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5"/>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6" w:hRule="atLeast"/>
          <w:jc w:val="center"/>
        </w:trPr>
        <w:tc>
          <w:tcPr>
            <w:tcW w:w="9030" w:type="dxa"/>
          </w:tcPr>
          <w:p>
            <w:pPr>
              <w:autoSpaceDE w:val="0"/>
              <w:autoSpaceDN w:val="0"/>
              <w:adjustRightInd w:val="0"/>
              <w:snapToGrid w:val="0"/>
              <w:spacing w:line="500" w:lineRule="atLeast"/>
              <w:ind w:left="956"/>
              <w:rPr>
                <w:rFonts w:ascii="宋体" w:hAnsi="宋体" w:cs="宋体"/>
                <w:b/>
                <w:bCs/>
                <w:sz w:val="32"/>
                <w:szCs w:val="32"/>
                <w:lang w:val="zh-CN"/>
              </w:rPr>
            </w:pPr>
          </w:p>
          <w:p>
            <w:pPr>
              <w:autoSpaceDE w:val="0"/>
              <w:autoSpaceDN w:val="0"/>
              <w:adjustRightInd w:val="0"/>
              <w:snapToGrid w:val="0"/>
              <w:spacing w:line="500" w:lineRule="atLeast"/>
              <w:jc w:val="center"/>
              <w:rPr>
                <w:rFonts w:ascii="宋体" w:hAnsi="宋体" w:cs="宋体"/>
                <w:sz w:val="32"/>
                <w:szCs w:val="32"/>
                <w:lang w:val="zh-CN"/>
              </w:rPr>
            </w:pPr>
          </w:p>
          <w:p>
            <w:pPr>
              <w:spacing w:line="480" w:lineRule="auto"/>
              <w:jc w:val="center"/>
              <w:rPr>
                <w:rFonts w:ascii="宋体" w:hAnsi="宋体" w:cs="宋体"/>
                <w:sz w:val="72"/>
                <w:szCs w:val="72"/>
              </w:rPr>
            </w:pPr>
            <w:r>
              <w:rPr>
                <w:rFonts w:hint="eastAsia" w:ascii="宋体" w:hAnsi="宋体" w:cs="宋体"/>
                <w:sz w:val="72"/>
                <w:szCs w:val="72"/>
              </w:rPr>
              <w:t>永嘉县政府采购</w:t>
            </w:r>
          </w:p>
          <w:p>
            <w:pPr>
              <w:spacing w:line="480" w:lineRule="auto"/>
              <w:jc w:val="center"/>
              <w:rPr>
                <w:rFonts w:ascii="宋体" w:hAnsi="宋体" w:cs="宋体"/>
                <w:sz w:val="72"/>
                <w:szCs w:val="72"/>
              </w:rPr>
            </w:pPr>
            <w:r>
              <w:rPr>
                <w:rFonts w:hint="eastAsia" w:ascii="宋体" w:hAnsi="宋体" w:cs="宋体"/>
                <w:sz w:val="72"/>
                <w:szCs w:val="72"/>
              </w:rPr>
              <w:t>招标文件</w:t>
            </w:r>
          </w:p>
          <w:p>
            <w:pPr>
              <w:jc w:val="center"/>
              <w:rPr>
                <w:rFonts w:ascii="宋体" w:hAnsi="宋体" w:cs="宋体"/>
                <w:b/>
                <w:bCs/>
                <w:sz w:val="72"/>
                <w:szCs w:val="72"/>
              </w:rPr>
            </w:pPr>
            <w:r>
              <w:rPr>
                <w:rFonts w:hint="eastAsia" w:ascii="宋体" w:hAnsi="宋体" w:cs="宋体"/>
                <w:sz w:val="72"/>
                <w:szCs w:val="72"/>
              </w:rPr>
              <w:t>（分散委托）</w:t>
            </w:r>
          </w:p>
          <w:p>
            <w:pPr>
              <w:spacing w:line="460" w:lineRule="atLeast"/>
              <w:ind w:left="2846" w:leftChars="710" w:hanging="1355" w:hangingChars="450"/>
              <w:rPr>
                <w:rFonts w:ascii="宋体" w:hAnsi="宋体" w:cs="宋体"/>
                <w:b/>
                <w:bCs/>
                <w:sz w:val="30"/>
                <w:szCs w:val="30"/>
              </w:rPr>
            </w:pPr>
          </w:p>
          <w:p>
            <w:pPr>
              <w:pStyle w:val="11"/>
              <w:ind w:firstLine="210"/>
              <w:rPr>
                <w:rFonts w:ascii="宋体" w:hAnsi="宋体" w:cs="宋体"/>
              </w:rPr>
            </w:pPr>
          </w:p>
          <w:p>
            <w:pPr>
              <w:pStyle w:val="11"/>
              <w:ind w:firstLine="210"/>
              <w:rPr>
                <w:rFonts w:ascii="宋体" w:hAnsi="宋体" w:cs="宋体"/>
              </w:rPr>
            </w:pPr>
          </w:p>
          <w:p>
            <w:pPr>
              <w:spacing w:line="460" w:lineRule="atLeast"/>
              <w:ind w:left="3565" w:leftChars="726" w:hanging="2040" w:hangingChars="680"/>
              <w:rPr>
                <w:rFonts w:ascii="宋体" w:hAnsi="宋体" w:cs="宋体"/>
                <w:sz w:val="30"/>
                <w:szCs w:val="30"/>
              </w:rPr>
            </w:pPr>
            <w:r>
              <w:rPr>
                <w:rFonts w:hint="eastAsia" w:ascii="宋体" w:hAnsi="宋体" w:cs="宋体"/>
                <w:sz w:val="30"/>
                <w:szCs w:val="30"/>
              </w:rPr>
              <w:t>项目名称：永嘉县上塘城区园林绿化养护</w:t>
            </w:r>
          </w:p>
          <w:p>
            <w:pPr>
              <w:spacing w:line="460" w:lineRule="atLeast"/>
              <w:ind w:left="3565" w:leftChars="726" w:hanging="2040" w:hangingChars="680"/>
              <w:rPr>
                <w:rFonts w:hint="eastAsia" w:ascii="宋体" w:hAnsi="宋体" w:eastAsia="宋体" w:cs="宋体"/>
                <w:sz w:val="30"/>
                <w:szCs w:val="30"/>
                <w:lang w:eastAsia="zh-CN"/>
              </w:rPr>
            </w:pPr>
            <w:r>
              <w:rPr>
                <w:rFonts w:hint="eastAsia" w:ascii="宋体" w:hAnsi="宋体" w:cs="宋体"/>
                <w:sz w:val="30"/>
                <w:szCs w:val="30"/>
              </w:rPr>
              <w:t>项目编号：</w:t>
            </w:r>
            <w:r>
              <w:rPr>
                <w:rFonts w:hint="eastAsia" w:ascii="宋体" w:hAnsi="宋体" w:cs="宋体"/>
                <w:sz w:val="30"/>
                <w:szCs w:val="30"/>
                <w:lang w:eastAsia="zh-CN"/>
              </w:rPr>
              <w:t>F-GB202111300533</w:t>
            </w:r>
          </w:p>
          <w:p>
            <w:pPr>
              <w:spacing w:line="500" w:lineRule="atLeast"/>
              <w:ind w:left="3565" w:leftChars="726" w:hanging="2040" w:hangingChars="680"/>
              <w:rPr>
                <w:rFonts w:ascii="宋体" w:hAnsi="宋体" w:cs="宋体"/>
                <w:sz w:val="30"/>
                <w:szCs w:val="30"/>
              </w:rPr>
            </w:pPr>
          </w:p>
          <w:p>
            <w:pPr>
              <w:pStyle w:val="11"/>
              <w:ind w:firstLine="210"/>
              <w:rPr>
                <w:rFonts w:ascii="宋体" w:hAnsi="宋体" w:cs="宋体"/>
              </w:rPr>
            </w:pPr>
          </w:p>
          <w:p>
            <w:pPr>
              <w:pStyle w:val="11"/>
              <w:ind w:firstLine="210"/>
              <w:rPr>
                <w:rFonts w:ascii="宋体" w:hAnsi="宋体" w:cs="宋体"/>
              </w:rPr>
            </w:pPr>
          </w:p>
          <w:p>
            <w:pPr>
              <w:pStyle w:val="11"/>
              <w:ind w:firstLine="210"/>
              <w:rPr>
                <w:rFonts w:ascii="宋体" w:hAnsi="宋体" w:cs="宋体"/>
              </w:rPr>
            </w:pPr>
          </w:p>
          <w:p>
            <w:pPr>
              <w:pStyle w:val="11"/>
              <w:ind w:firstLine="210"/>
              <w:rPr>
                <w:rFonts w:ascii="宋体" w:hAnsi="宋体" w:cs="宋体"/>
              </w:rPr>
            </w:pPr>
          </w:p>
          <w:p>
            <w:pPr>
              <w:pStyle w:val="11"/>
              <w:ind w:firstLine="210"/>
              <w:rPr>
                <w:rFonts w:ascii="宋体" w:hAnsi="宋体" w:cs="宋体"/>
              </w:rPr>
            </w:pPr>
          </w:p>
          <w:p>
            <w:pPr>
              <w:pStyle w:val="11"/>
              <w:ind w:firstLine="210"/>
              <w:rPr>
                <w:rFonts w:ascii="宋体" w:hAnsi="宋体" w:cs="宋体"/>
              </w:rPr>
            </w:pPr>
          </w:p>
          <w:p>
            <w:pPr>
              <w:pStyle w:val="11"/>
              <w:ind w:firstLine="210"/>
              <w:rPr>
                <w:rFonts w:ascii="宋体" w:hAnsi="宋体" w:cs="宋体"/>
              </w:rPr>
            </w:pPr>
          </w:p>
          <w:p>
            <w:pPr>
              <w:pStyle w:val="11"/>
              <w:ind w:firstLine="210"/>
              <w:rPr>
                <w:rFonts w:ascii="宋体" w:hAnsi="宋体" w:cs="宋体"/>
              </w:rPr>
            </w:pPr>
          </w:p>
          <w:p>
            <w:pPr>
              <w:pStyle w:val="11"/>
              <w:ind w:firstLine="210"/>
              <w:rPr>
                <w:rFonts w:ascii="宋体" w:hAnsi="宋体" w:cs="宋体"/>
              </w:rPr>
            </w:pPr>
          </w:p>
          <w:p>
            <w:pPr>
              <w:pStyle w:val="11"/>
              <w:ind w:firstLine="210"/>
              <w:rPr>
                <w:rFonts w:ascii="宋体" w:hAnsi="宋体" w:cs="宋体"/>
              </w:rPr>
            </w:pPr>
          </w:p>
          <w:p>
            <w:pPr>
              <w:pStyle w:val="11"/>
              <w:ind w:firstLine="210"/>
              <w:rPr>
                <w:rFonts w:ascii="宋体" w:hAnsi="宋体" w:cs="宋体"/>
              </w:rPr>
            </w:pPr>
          </w:p>
          <w:p>
            <w:pPr>
              <w:pStyle w:val="11"/>
              <w:ind w:firstLine="210"/>
              <w:rPr>
                <w:rFonts w:ascii="宋体" w:hAnsi="宋体" w:cs="宋体"/>
              </w:rPr>
            </w:pPr>
          </w:p>
          <w:p>
            <w:pPr>
              <w:pStyle w:val="11"/>
              <w:ind w:firstLine="210"/>
              <w:rPr>
                <w:rFonts w:ascii="宋体" w:hAnsi="宋体" w:cs="宋体"/>
              </w:rPr>
            </w:pPr>
          </w:p>
          <w:p>
            <w:pPr>
              <w:spacing w:line="460" w:lineRule="atLeast"/>
              <w:ind w:left="2841" w:leftChars="710" w:hanging="1350" w:hangingChars="450"/>
              <w:rPr>
                <w:rFonts w:ascii="宋体" w:hAnsi="宋体" w:cs="宋体"/>
                <w:sz w:val="30"/>
                <w:szCs w:val="30"/>
              </w:rPr>
            </w:pPr>
            <w:r>
              <w:rPr>
                <w:rFonts w:hint="eastAsia" w:ascii="宋体" w:hAnsi="宋体" w:cs="宋体"/>
                <w:sz w:val="30"/>
                <w:szCs w:val="30"/>
              </w:rPr>
              <w:t>采 购 人：永嘉县综合行政执法局</w:t>
            </w:r>
          </w:p>
          <w:p>
            <w:pPr>
              <w:spacing w:line="460" w:lineRule="atLeast"/>
              <w:ind w:left="2841" w:leftChars="710" w:hanging="1350" w:hangingChars="450"/>
              <w:rPr>
                <w:rFonts w:ascii="宋体" w:hAnsi="宋体" w:cs="宋体"/>
                <w:sz w:val="30"/>
                <w:szCs w:val="30"/>
              </w:rPr>
            </w:pPr>
            <w:r>
              <w:rPr>
                <w:rFonts w:hint="eastAsia" w:ascii="宋体" w:hAnsi="宋体" w:cs="宋体"/>
                <w:sz w:val="30"/>
                <w:szCs w:val="30"/>
              </w:rPr>
              <w:t>代理机构：浙江至诚工程咨询有限责任公司</w:t>
            </w:r>
          </w:p>
          <w:p>
            <w:pPr>
              <w:autoSpaceDE w:val="0"/>
              <w:autoSpaceDN w:val="0"/>
              <w:adjustRightInd w:val="0"/>
              <w:snapToGrid w:val="0"/>
              <w:spacing w:line="500" w:lineRule="atLeast"/>
              <w:jc w:val="center"/>
              <w:rPr>
                <w:rFonts w:ascii="宋体" w:hAnsi="宋体" w:cs="宋体"/>
                <w:sz w:val="32"/>
                <w:szCs w:val="32"/>
              </w:rPr>
            </w:pPr>
            <w:r>
              <w:rPr>
                <w:rFonts w:hint="eastAsia" w:ascii="宋体" w:hAnsi="宋体" w:cs="宋体"/>
                <w:sz w:val="30"/>
                <w:szCs w:val="30"/>
              </w:rPr>
              <w:t>二○二一年十</w:t>
            </w:r>
            <w:r>
              <w:rPr>
                <w:rFonts w:hint="eastAsia" w:ascii="宋体" w:hAnsi="宋体" w:cs="宋体"/>
                <w:sz w:val="30"/>
                <w:szCs w:val="30"/>
                <w:lang w:val="en-US" w:eastAsia="zh-CN"/>
              </w:rPr>
              <w:t>二</w:t>
            </w:r>
            <w:r>
              <w:rPr>
                <w:rFonts w:hint="eastAsia" w:ascii="宋体" w:hAnsi="宋体" w:cs="宋体"/>
                <w:sz w:val="30"/>
                <w:szCs w:val="30"/>
              </w:rPr>
              <w:t>月</w:t>
            </w:r>
          </w:p>
        </w:tc>
      </w:tr>
    </w:tbl>
    <w:p>
      <w:pPr>
        <w:spacing w:line="500" w:lineRule="atLeast"/>
        <w:rPr>
          <w:rFonts w:ascii="宋体" w:hAnsi="宋体" w:cs="宋体"/>
          <w:sz w:val="24"/>
          <w:szCs w:val="24"/>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850" w:gutter="0"/>
          <w:pgNumType w:start="1"/>
          <w:cols w:space="720" w:num="1"/>
          <w:titlePg/>
          <w:docGrid w:type="lines" w:linePitch="312" w:charSpace="0"/>
        </w:sectPr>
      </w:pPr>
    </w:p>
    <w:p>
      <w:pPr>
        <w:widowControl/>
        <w:spacing w:line="500" w:lineRule="atLeast"/>
        <w:jc w:val="center"/>
        <w:rPr>
          <w:rFonts w:ascii="宋体" w:hAnsi="宋体" w:cs="宋体"/>
          <w:b/>
          <w:bCs/>
          <w:sz w:val="32"/>
          <w:szCs w:val="32"/>
        </w:rPr>
      </w:pPr>
      <w:bookmarkStart w:id="0" w:name="_Toc496116237"/>
      <w:bookmarkStart w:id="1" w:name="_Toc293038713"/>
      <w:r>
        <w:rPr>
          <w:rFonts w:hint="eastAsia" w:ascii="宋体" w:hAnsi="宋体" w:cs="宋体"/>
          <w:b/>
          <w:bCs/>
          <w:sz w:val="32"/>
          <w:szCs w:val="32"/>
        </w:rPr>
        <w:t>招标文件目录</w:t>
      </w:r>
    </w:p>
    <w:p>
      <w:pPr>
        <w:pStyle w:val="18"/>
        <w:spacing w:line="720" w:lineRule="auto"/>
        <w:rPr>
          <w:rFonts w:ascii="宋体" w:hAnsi="宋体" w:cs="宋体"/>
          <w:szCs w:val="22"/>
        </w:rPr>
      </w:pPr>
      <w:r>
        <w:rPr>
          <w:rFonts w:hint="eastAsia" w:ascii="宋体" w:hAnsi="宋体" w:cs="宋体"/>
        </w:rPr>
        <w:fldChar w:fldCharType="begin"/>
      </w:r>
      <w:r>
        <w:rPr>
          <w:rFonts w:hint="eastAsia" w:ascii="宋体" w:hAnsi="宋体" w:cs="宋体"/>
        </w:rPr>
        <w:instrText xml:space="preserve"> TOC \o "1-2" \h \z \u </w:instrText>
      </w:r>
      <w:r>
        <w:rPr>
          <w:rFonts w:hint="eastAsia" w:ascii="宋体" w:hAnsi="宋体" w:cs="宋体"/>
        </w:rPr>
        <w:fldChar w:fldCharType="separate"/>
      </w:r>
    </w:p>
    <w:p>
      <w:pPr>
        <w:pStyle w:val="18"/>
        <w:spacing w:line="720" w:lineRule="auto"/>
        <w:rPr>
          <w:rFonts w:ascii="宋体" w:hAnsi="宋体" w:cs="宋体"/>
          <w:szCs w:val="22"/>
        </w:rPr>
      </w:pPr>
      <w:r>
        <w:fldChar w:fldCharType="begin"/>
      </w:r>
      <w:r>
        <w:instrText xml:space="preserve"> HYPERLINK \l "_Toc73091433" </w:instrText>
      </w:r>
      <w:r>
        <w:fldChar w:fldCharType="separate"/>
      </w:r>
      <w:r>
        <w:rPr>
          <w:rStyle w:val="31"/>
          <w:rFonts w:hint="eastAsia" w:ascii="宋体" w:hAnsi="宋体" w:cs="宋体"/>
          <w:color w:val="auto"/>
        </w:rPr>
        <w:t>第一部分  投标通知(邀请)书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_Toc73091433 \h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r>
        <w:rPr>
          <w:rFonts w:hint="eastAsia" w:ascii="宋体" w:hAnsi="宋体" w:cs="宋体"/>
        </w:rPr>
        <w:fldChar w:fldCharType="end"/>
      </w:r>
    </w:p>
    <w:p>
      <w:pPr>
        <w:pStyle w:val="18"/>
        <w:spacing w:line="720" w:lineRule="auto"/>
        <w:rPr>
          <w:rFonts w:ascii="宋体" w:hAnsi="宋体" w:cs="宋体"/>
          <w:szCs w:val="22"/>
        </w:rPr>
      </w:pPr>
      <w:r>
        <w:fldChar w:fldCharType="begin"/>
      </w:r>
      <w:r>
        <w:instrText xml:space="preserve"> HYPERLINK \l "_Toc73091434" </w:instrText>
      </w:r>
      <w:r>
        <w:fldChar w:fldCharType="separate"/>
      </w:r>
      <w:r>
        <w:rPr>
          <w:rStyle w:val="31"/>
          <w:rFonts w:hint="eastAsia" w:ascii="宋体" w:hAnsi="宋体" w:cs="宋体"/>
          <w:color w:val="auto"/>
        </w:rPr>
        <w:t>第二部份 采购内容及要求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_Toc73091434 \h </w:instrText>
      </w:r>
      <w:r>
        <w:rPr>
          <w:rFonts w:hint="eastAsia" w:ascii="宋体" w:hAnsi="宋体" w:cs="宋体"/>
        </w:rPr>
        <w:fldChar w:fldCharType="separate"/>
      </w:r>
      <w:r>
        <w:rPr>
          <w:rFonts w:hint="eastAsia" w:ascii="宋体" w:hAnsi="宋体" w:cs="宋体"/>
        </w:rPr>
        <w:t>10</w:t>
      </w:r>
      <w:r>
        <w:rPr>
          <w:rFonts w:hint="eastAsia" w:ascii="宋体" w:hAnsi="宋体" w:cs="宋体"/>
        </w:rPr>
        <w:fldChar w:fldCharType="end"/>
      </w:r>
      <w:r>
        <w:rPr>
          <w:rFonts w:hint="eastAsia" w:ascii="宋体" w:hAnsi="宋体" w:cs="宋体"/>
        </w:rPr>
        <w:fldChar w:fldCharType="end"/>
      </w:r>
    </w:p>
    <w:p>
      <w:pPr>
        <w:pStyle w:val="18"/>
        <w:spacing w:line="720" w:lineRule="auto"/>
        <w:rPr>
          <w:rFonts w:ascii="宋体" w:hAnsi="宋体" w:cs="宋体"/>
          <w:szCs w:val="22"/>
        </w:rPr>
      </w:pPr>
      <w:r>
        <w:fldChar w:fldCharType="begin"/>
      </w:r>
      <w:r>
        <w:instrText xml:space="preserve"> HYPERLINK \l "_Toc73091435" </w:instrText>
      </w:r>
      <w:r>
        <w:fldChar w:fldCharType="separate"/>
      </w:r>
      <w:r>
        <w:rPr>
          <w:rStyle w:val="31"/>
          <w:rFonts w:hint="eastAsia" w:ascii="宋体" w:hAnsi="宋体" w:cs="宋体"/>
          <w:color w:val="auto"/>
        </w:rPr>
        <w:t>第三部分 供应商须知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_Toc73091435 \h </w:instrText>
      </w:r>
      <w:r>
        <w:rPr>
          <w:rFonts w:hint="eastAsia" w:ascii="宋体" w:hAnsi="宋体" w:cs="宋体"/>
        </w:rPr>
        <w:fldChar w:fldCharType="separate"/>
      </w:r>
      <w:r>
        <w:rPr>
          <w:rFonts w:hint="eastAsia" w:ascii="宋体" w:hAnsi="宋体" w:cs="宋体"/>
        </w:rPr>
        <w:t>10</w:t>
      </w:r>
      <w:r>
        <w:rPr>
          <w:rFonts w:hint="eastAsia" w:ascii="宋体" w:hAnsi="宋体" w:cs="宋体"/>
        </w:rPr>
        <w:fldChar w:fldCharType="end"/>
      </w:r>
      <w:r>
        <w:rPr>
          <w:rFonts w:hint="eastAsia" w:ascii="宋体" w:hAnsi="宋体" w:cs="宋体"/>
        </w:rPr>
        <w:fldChar w:fldCharType="end"/>
      </w:r>
    </w:p>
    <w:p>
      <w:pPr>
        <w:pStyle w:val="18"/>
        <w:spacing w:line="720" w:lineRule="auto"/>
        <w:rPr>
          <w:rFonts w:ascii="宋体" w:hAnsi="宋体" w:cs="宋体"/>
          <w:szCs w:val="22"/>
        </w:rPr>
      </w:pPr>
      <w:r>
        <w:fldChar w:fldCharType="begin"/>
      </w:r>
      <w:r>
        <w:instrText xml:space="preserve"> HYPERLINK \l "_Toc73091436" </w:instrText>
      </w:r>
      <w:r>
        <w:fldChar w:fldCharType="separate"/>
      </w:r>
      <w:r>
        <w:rPr>
          <w:rStyle w:val="31"/>
          <w:rFonts w:hint="eastAsia" w:ascii="宋体" w:hAnsi="宋体" w:cs="宋体"/>
          <w:color w:val="auto"/>
        </w:rPr>
        <w:t>第四部分 政府采购政策功能相关说明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_Toc73091436 \h </w:instrText>
      </w:r>
      <w:r>
        <w:rPr>
          <w:rFonts w:hint="eastAsia" w:ascii="宋体" w:hAnsi="宋体" w:cs="宋体"/>
        </w:rPr>
        <w:fldChar w:fldCharType="separate"/>
      </w:r>
      <w:r>
        <w:rPr>
          <w:rFonts w:hint="eastAsia" w:ascii="宋体" w:hAnsi="宋体" w:cs="宋体"/>
        </w:rPr>
        <w:t>53</w:t>
      </w:r>
      <w:r>
        <w:rPr>
          <w:rFonts w:hint="eastAsia" w:ascii="宋体" w:hAnsi="宋体" w:cs="宋体"/>
        </w:rPr>
        <w:fldChar w:fldCharType="end"/>
      </w:r>
      <w:r>
        <w:rPr>
          <w:rFonts w:hint="eastAsia" w:ascii="宋体" w:hAnsi="宋体" w:cs="宋体"/>
        </w:rPr>
        <w:fldChar w:fldCharType="end"/>
      </w:r>
    </w:p>
    <w:p>
      <w:pPr>
        <w:pStyle w:val="18"/>
        <w:spacing w:line="720" w:lineRule="auto"/>
        <w:rPr>
          <w:rFonts w:ascii="宋体" w:hAnsi="宋体" w:cs="宋体"/>
          <w:szCs w:val="22"/>
        </w:rPr>
      </w:pPr>
      <w:r>
        <w:fldChar w:fldCharType="begin"/>
      </w:r>
      <w:r>
        <w:instrText xml:space="preserve"> HYPERLINK \l "_Toc73091437" </w:instrText>
      </w:r>
      <w:r>
        <w:fldChar w:fldCharType="separate"/>
      </w:r>
      <w:r>
        <w:rPr>
          <w:rStyle w:val="31"/>
          <w:rFonts w:hint="eastAsia" w:ascii="宋体" w:hAnsi="宋体" w:cs="宋体"/>
          <w:color w:val="auto"/>
        </w:rPr>
        <w:t>第五部分   合同格式（仅供参考）</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_Toc73091437 \h </w:instrText>
      </w:r>
      <w:r>
        <w:rPr>
          <w:rFonts w:hint="eastAsia" w:ascii="宋体" w:hAnsi="宋体" w:cs="宋体"/>
        </w:rPr>
        <w:fldChar w:fldCharType="separate"/>
      </w:r>
      <w:r>
        <w:rPr>
          <w:rFonts w:hint="eastAsia" w:ascii="宋体" w:hAnsi="宋体" w:cs="宋体"/>
        </w:rPr>
        <w:t>58</w:t>
      </w:r>
      <w:r>
        <w:rPr>
          <w:rFonts w:hint="eastAsia" w:ascii="宋体" w:hAnsi="宋体" w:cs="宋体"/>
        </w:rPr>
        <w:fldChar w:fldCharType="end"/>
      </w:r>
      <w:r>
        <w:rPr>
          <w:rFonts w:hint="eastAsia" w:ascii="宋体" w:hAnsi="宋体" w:cs="宋体"/>
        </w:rPr>
        <w:fldChar w:fldCharType="end"/>
      </w:r>
    </w:p>
    <w:p>
      <w:pPr>
        <w:pStyle w:val="18"/>
        <w:spacing w:line="720" w:lineRule="auto"/>
        <w:rPr>
          <w:rFonts w:ascii="宋体" w:hAnsi="宋体" w:cs="宋体"/>
          <w:szCs w:val="22"/>
        </w:rPr>
      </w:pPr>
      <w:r>
        <w:fldChar w:fldCharType="begin"/>
      </w:r>
      <w:r>
        <w:instrText xml:space="preserve"> HYPERLINK \l "_Toc73091440" </w:instrText>
      </w:r>
      <w:r>
        <w:fldChar w:fldCharType="separate"/>
      </w:r>
      <w:r>
        <w:rPr>
          <w:rStyle w:val="31"/>
          <w:rFonts w:hint="eastAsia" w:ascii="宋体" w:hAnsi="宋体" w:cs="宋体"/>
          <w:color w:val="auto"/>
        </w:rPr>
        <w:t>第六部分 投标文件格式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_Toc73091440 \h </w:instrText>
      </w:r>
      <w:r>
        <w:rPr>
          <w:rFonts w:hint="eastAsia" w:ascii="宋体" w:hAnsi="宋体" w:cs="宋体"/>
        </w:rPr>
        <w:fldChar w:fldCharType="separate"/>
      </w:r>
      <w:r>
        <w:rPr>
          <w:rFonts w:hint="eastAsia" w:ascii="宋体" w:hAnsi="宋体" w:cs="宋体"/>
        </w:rPr>
        <w:t>63</w:t>
      </w:r>
      <w:r>
        <w:rPr>
          <w:rFonts w:hint="eastAsia" w:ascii="宋体" w:hAnsi="宋体" w:cs="宋体"/>
        </w:rPr>
        <w:fldChar w:fldCharType="end"/>
      </w:r>
      <w:r>
        <w:rPr>
          <w:rFonts w:hint="eastAsia" w:ascii="宋体" w:hAnsi="宋体" w:cs="宋体"/>
        </w:rPr>
        <w:fldChar w:fldCharType="end"/>
      </w:r>
    </w:p>
    <w:p>
      <w:pPr>
        <w:pStyle w:val="18"/>
        <w:spacing w:line="720" w:lineRule="auto"/>
        <w:rPr>
          <w:rFonts w:ascii="宋体" w:hAnsi="宋体" w:cs="宋体"/>
          <w:szCs w:val="22"/>
        </w:rPr>
      </w:pPr>
      <w:r>
        <w:fldChar w:fldCharType="begin"/>
      </w:r>
      <w:r>
        <w:instrText xml:space="preserve"> HYPERLINK \l "_Toc73091441" </w:instrText>
      </w:r>
      <w:r>
        <w:fldChar w:fldCharType="separate"/>
      </w:r>
      <w:r>
        <w:rPr>
          <w:rStyle w:val="31"/>
          <w:rFonts w:hint="eastAsia" w:ascii="宋体" w:hAnsi="宋体" w:cs="宋体"/>
          <w:color w:val="auto"/>
        </w:rPr>
        <w:t>一、资格文件部分格式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_Toc73091441 \h </w:instrText>
      </w:r>
      <w:r>
        <w:rPr>
          <w:rFonts w:hint="eastAsia" w:ascii="宋体" w:hAnsi="宋体" w:cs="宋体"/>
        </w:rPr>
        <w:fldChar w:fldCharType="separate"/>
      </w:r>
      <w:r>
        <w:rPr>
          <w:rFonts w:hint="eastAsia" w:ascii="宋体" w:hAnsi="宋体" w:cs="宋体"/>
        </w:rPr>
        <w:t>63</w:t>
      </w:r>
      <w:r>
        <w:rPr>
          <w:rFonts w:hint="eastAsia" w:ascii="宋体" w:hAnsi="宋体" w:cs="宋体"/>
        </w:rPr>
        <w:fldChar w:fldCharType="end"/>
      </w:r>
      <w:r>
        <w:rPr>
          <w:rFonts w:hint="eastAsia" w:ascii="宋体" w:hAnsi="宋体" w:cs="宋体"/>
        </w:rPr>
        <w:fldChar w:fldCharType="end"/>
      </w:r>
    </w:p>
    <w:p>
      <w:pPr>
        <w:pStyle w:val="18"/>
        <w:spacing w:line="720" w:lineRule="auto"/>
        <w:rPr>
          <w:rFonts w:ascii="宋体" w:hAnsi="宋体" w:cs="宋体"/>
          <w:szCs w:val="22"/>
        </w:rPr>
      </w:pPr>
      <w:r>
        <w:fldChar w:fldCharType="begin"/>
      </w:r>
      <w:r>
        <w:instrText xml:space="preserve"> HYPERLINK \l "_Toc73091446" </w:instrText>
      </w:r>
      <w:r>
        <w:fldChar w:fldCharType="separate"/>
      </w:r>
      <w:r>
        <w:rPr>
          <w:rStyle w:val="31"/>
          <w:rFonts w:hint="eastAsia" w:ascii="宋体" w:hAnsi="宋体" w:cs="宋体"/>
          <w:color w:val="auto"/>
        </w:rPr>
        <w:t>二、报价文件部分格式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_Toc73091446 \h </w:instrText>
      </w:r>
      <w:r>
        <w:rPr>
          <w:rFonts w:hint="eastAsia" w:ascii="宋体" w:hAnsi="宋体" w:cs="宋体"/>
        </w:rPr>
        <w:fldChar w:fldCharType="separate"/>
      </w:r>
      <w:r>
        <w:rPr>
          <w:rFonts w:hint="eastAsia" w:ascii="宋体" w:hAnsi="宋体" w:cs="宋体"/>
        </w:rPr>
        <w:t>68</w:t>
      </w:r>
      <w:r>
        <w:rPr>
          <w:rFonts w:hint="eastAsia" w:ascii="宋体" w:hAnsi="宋体" w:cs="宋体"/>
        </w:rPr>
        <w:fldChar w:fldCharType="end"/>
      </w:r>
      <w:r>
        <w:rPr>
          <w:rFonts w:hint="eastAsia" w:ascii="宋体" w:hAnsi="宋体" w:cs="宋体"/>
        </w:rPr>
        <w:fldChar w:fldCharType="end"/>
      </w:r>
    </w:p>
    <w:p>
      <w:pPr>
        <w:pStyle w:val="18"/>
        <w:spacing w:line="720" w:lineRule="auto"/>
        <w:rPr>
          <w:rFonts w:ascii="宋体" w:hAnsi="宋体" w:cs="宋体"/>
          <w:szCs w:val="22"/>
        </w:rPr>
      </w:pPr>
      <w:r>
        <w:fldChar w:fldCharType="begin"/>
      </w:r>
      <w:r>
        <w:instrText xml:space="preserve"> HYPERLINK \l "_Toc73091448" </w:instrText>
      </w:r>
      <w:r>
        <w:fldChar w:fldCharType="separate"/>
      </w:r>
      <w:r>
        <w:rPr>
          <w:rStyle w:val="31"/>
          <w:rFonts w:hint="eastAsia" w:ascii="宋体" w:hAnsi="宋体" w:cs="宋体"/>
          <w:color w:val="auto"/>
        </w:rPr>
        <w:t>三、商务技术文件部分格式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_Toc73091448 \h </w:instrText>
      </w:r>
      <w:r>
        <w:rPr>
          <w:rFonts w:hint="eastAsia" w:ascii="宋体" w:hAnsi="宋体" w:cs="宋体"/>
        </w:rPr>
        <w:fldChar w:fldCharType="separate"/>
      </w:r>
      <w:r>
        <w:rPr>
          <w:rFonts w:hint="eastAsia" w:ascii="宋体" w:hAnsi="宋体" w:cs="宋体"/>
        </w:rPr>
        <w:t>70</w:t>
      </w:r>
      <w:r>
        <w:rPr>
          <w:rFonts w:hint="eastAsia" w:ascii="宋体" w:hAnsi="宋体" w:cs="宋体"/>
        </w:rPr>
        <w:fldChar w:fldCharType="end"/>
      </w:r>
      <w:r>
        <w:rPr>
          <w:rFonts w:hint="eastAsia" w:ascii="宋体" w:hAnsi="宋体" w:cs="宋体"/>
        </w:rPr>
        <w:fldChar w:fldCharType="end"/>
      </w:r>
    </w:p>
    <w:p>
      <w:pPr>
        <w:pStyle w:val="18"/>
        <w:spacing w:line="720" w:lineRule="auto"/>
        <w:rPr>
          <w:rFonts w:ascii="宋体" w:hAnsi="宋体" w:cs="宋体"/>
          <w:szCs w:val="22"/>
        </w:rPr>
      </w:pPr>
      <w:r>
        <w:fldChar w:fldCharType="begin"/>
      </w:r>
      <w:r>
        <w:instrText xml:space="preserve"> HYPERLINK \l "_Toc73091452" </w:instrText>
      </w:r>
      <w:r>
        <w:fldChar w:fldCharType="separate"/>
      </w:r>
      <w:r>
        <w:rPr>
          <w:rStyle w:val="31"/>
          <w:rFonts w:hint="eastAsia" w:ascii="宋体" w:hAnsi="宋体" w:cs="宋体"/>
          <w:color w:val="auto"/>
        </w:rPr>
        <w:t>第七部分 评标定标办法</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_Toc73091452 \h </w:instrText>
      </w:r>
      <w:r>
        <w:rPr>
          <w:rFonts w:hint="eastAsia" w:ascii="宋体" w:hAnsi="宋体" w:cs="宋体"/>
        </w:rPr>
        <w:fldChar w:fldCharType="separate"/>
      </w:r>
      <w:r>
        <w:rPr>
          <w:rFonts w:hint="eastAsia" w:ascii="宋体" w:hAnsi="宋体" w:cs="宋体"/>
        </w:rPr>
        <w:t>82</w:t>
      </w:r>
      <w:r>
        <w:rPr>
          <w:rFonts w:hint="eastAsia" w:ascii="宋体" w:hAnsi="宋体" w:cs="宋体"/>
        </w:rPr>
        <w:fldChar w:fldCharType="end"/>
      </w:r>
      <w:r>
        <w:rPr>
          <w:rFonts w:hint="eastAsia" w:ascii="宋体" w:hAnsi="宋体" w:cs="宋体"/>
        </w:rPr>
        <w:fldChar w:fldCharType="end"/>
      </w:r>
    </w:p>
    <w:p>
      <w:pPr>
        <w:spacing w:line="480" w:lineRule="auto"/>
        <w:rPr>
          <w:rFonts w:ascii="宋体" w:hAnsi="宋体" w:cs="宋体"/>
        </w:rPr>
      </w:pPr>
      <w:r>
        <w:rPr>
          <w:rFonts w:hint="eastAsia" w:ascii="宋体" w:hAnsi="宋体" w:cs="宋体"/>
        </w:rPr>
        <w:fldChar w:fldCharType="end"/>
      </w:r>
    </w:p>
    <w:p>
      <w:pPr>
        <w:pStyle w:val="23"/>
        <w:rPr>
          <w:rFonts w:ascii="宋体" w:hAnsi="宋体" w:cs="宋体"/>
          <w:sz w:val="30"/>
          <w:szCs w:val="30"/>
        </w:rPr>
      </w:pPr>
      <w:bookmarkStart w:id="2" w:name="_Toc498343162"/>
    </w:p>
    <w:p>
      <w:pPr>
        <w:pStyle w:val="23"/>
        <w:rPr>
          <w:rFonts w:ascii="宋体" w:hAnsi="宋体" w:cs="宋体"/>
          <w:sz w:val="30"/>
          <w:szCs w:val="30"/>
        </w:rPr>
      </w:pPr>
    </w:p>
    <w:bookmarkEnd w:id="0"/>
    <w:bookmarkEnd w:id="2"/>
    <w:p>
      <w:pPr>
        <w:spacing w:line="360" w:lineRule="auto"/>
        <w:jc w:val="center"/>
        <w:outlineLvl w:val="0"/>
        <w:rPr>
          <w:rFonts w:ascii="宋体" w:hAnsi="宋体" w:cs="宋体"/>
          <w:sz w:val="30"/>
          <w:szCs w:val="30"/>
        </w:rPr>
      </w:pPr>
      <w:bookmarkStart w:id="3" w:name="_Toc486964700"/>
      <w:bookmarkStart w:id="4" w:name="_Toc496116238"/>
      <w:bookmarkStart w:id="5" w:name="_Toc498343163"/>
      <w:r>
        <w:rPr>
          <w:rFonts w:hint="eastAsia" w:ascii="宋体" w:hAnsi="宋体" w:cs="宋体"/>
          <w:sz w:val="30"/>
          <w:szCs w:val="30"/>
        </w:rPr>
        <w:br w:type="page"/>
      </w:r>
      <w:bookmarkEnd w:id="3"/>
      <w:bookmarkEnd w:id="4"/>
      <w:bookmarkEnd w:id="5"/>
      <w:bookmarkStart w:id="6" w:name="_Toc498343164"/>
      <w:bookmarkStart w:id="7" w:name="_Toc73091433"/>
      <w:bookmarkStart w:id="8" w:name="_Toc496116239"/>
    </w:p>
    <w:p>
      <w:pPr>
        <w:pStyle w:val="22"/>
        <w:spacing w:before="75" w:beforeAutospacing="0" w:after="75" w:afterAutospacing="0"/>
        <w:jc w:val="center"/>
        <w:rPr>
          <w:sz w:val="27"/>
          <w:szCs w:val="27"/>
        </w:rPr>
      </w:pPr>
      <w:r>
        <w:rPr>
          <w:rFonts w:hint="eastAsia"/>
          <w:b/>
          <w:bCs/>
          <w:kern w:val="2"/>
          <w:sz w:val="30"/>
          <w:szCs w:val="30"/>
        </w:rPr>
        <w:t>浙江至诚工程咨询有限责任公司关于永嘉县上塘城区园林绿化养护的公开招标公告</w:t>
      </w:r>
    </w:p>
    <w:p>
      <w:pPr>
        <w:pStyle w:val="22"/>
        <w:spacing w:before="75" w:beforeAutospacing="0" w:after="75" w:afterAutospacing="0" w:line="360" w:lineRule="auto"/>
        <w:rPr>
          <w:sz w:val="21"/>
          <w:szCs w:val="21"/>
        </w:rPr>
      </w:pPr>
      <w:r>
        <w:rPr>
          <w:rFonts w:hint="eastAsia"/>
          <w:sz w:val="21"/>
          <w:szCs w:val="21"/>
        </w:rPr>
        <w:t>项目概况                                                    </w:t>
      </w:r>
    </w:p>
    <w:p>
      <w:pPr>
        <w:pStyle w:val="22"/>
        <w:spacing w:before="75" w:beforeAutospacing="0" w:after="75" w:afterAutospacing="0" w:line="360" w:lineRule="auto"/>
        <w:rPr>
          <w:sz w:val="21"/>
          <w:szCs w:val="21"/>
        </w:rPr>
      </w:pPr>
      <w:r>
        <w:rPr>
          <w:rFonts w:hint="eastAsia"/>
          <w:sz w:val="21"/>
          <w:szCs w:val="21"/>
        </w:rPr>
        <w:t>    永嘉县上塘城区园林绿化养护招标项目的潜在投标人应在政采云平台（http://zfcg.czt.zj.gov.cn）获取（下载）招标文件，并于2021年</w:t>
      </w:r>
      <w:r>
        <w:rPr>
          <w:rFonts w:hint="eastAsia"/>
          <w:sz w:val="21"/>
          <w:szCs w:val="21"/>
          <w:lang w:val="en-US" w:eastAsia="zh-CN"/>
        </w:rPr>
        <w:t>12</w:t>
      </w:r>
      <w:r>
        <w:rPr>
          <w:rFonts w:hint="eastAsia"/>
          <w:sz w:val="21"/>
          <w:szCs w:val="21"/>
        </w:rPr>
        <w:t>月</w:t>
      </w:r>
      <w:r>
        <w:rPr>
          <w:rFonts w:hint="eastAsia"/>
          <w:sz w:val="21"/>
          <w:szCs w:val="21"/>
          <w:lang w:val="en-US" w:eastAsia="zh-CN"/>
        </w:rPr>
        <w:t>24</w:t>
      </w:r>
      <w:r>
        <w:rPr>
          <w:rFonts w:hint="eastAsia"/>
          <w:sz w:val="21"/>
          <w:szCs w:val="21"/>
        </w:rPr>
        <w:t>日</w:t>
      </w:r>
      <w:r>
        <w:rPr>
          <w:rFonts w:hint="eastAsia"/>
          <w:sz w:val="21"/>
          <w:szCs w:val="21"/>
          <w:lang w:val="en-US" w:eastAsia="zh-CN"/>
        </w:rPr>
        <w:t>9</w:t>
      </w:r>
      <w:r>
        <w:rPr>
          <w:rFonts w:hint="eastAsia"/>
          <w:sz w:val="21"/>
          <w:szCs w:val="21"/>
        </w:rPr>
        <w:t>:30（北京时间）前递交（上传）投标文件。                             </w:t>
      </w:r>
    </w:p>
    <w:p>
      <w:pPr>
        <w:pStyle w:val="22"/>
        <w:spacing w:before="255" w:beforeAutospacing="0" w:after="255" w:afterAutospacing="0" w:line="360" w:lineRule="auto"/>
        <w:rPr>
          <w:sz w:val="21"/>
          <w:szCs w:val="21"/>
        </w:rPr>
      </w:pPr>
      <w:r>
        <w:rPr>
          <w:rFonts w:hint="eastAsia"/>
          <w:b/>
          <w:bCs/>
          <w:sz w:val="21"/>
          <w:szCs w:val="21"/>
        </w:rPr>
        <w:t>一、项目基本情况     </w:t>
      </w:r>
      <w:r>
        <w:rPr>
          <w:rFonts w:hint="eastAsia"/>
          <w:sz w:val="21"/>
          <w:szCs w:val="21"/>
        </w:rPr>
        <w:t xml:space="preserve">                                  </w:t>
      </w:r>
    </w:p>
    <w:p>
      <w:pPr>
        <w:pStyle w:val="22"/>
        <w:spacing w:before="75" w:beforeAutospacing="0" w:after="75" w:afterAutospacing="0" w:line="360" w:lineRule="auto"/>
        <w:rPr>
          <w:sz w:val="21"/>
          <w:szCs w:val="21"/>
        </w:rPr>
      </w:pPr>
      <w:r>
        <w:rPr>
          <w:rFonts w:hint="eastAsia"/>
          <w:sz w:val="21"/>
          <w:szCs w:val="21"/>
        </w:rPr>
        <w:t>    项目编号：</w:t>
      </w:r>
      <w:r>
        <w:rPr>
          <w:rFonts w:hint="eastAsia"/>
          <w:sz w:val="21"/>
          <w:szCs w:val="21"/>
          <w:lang w:eastAsia="zh-CN"/>
        </w:rPr>
        <w:t>F-GB202111300533</w:t>
      </w:r>
      <w:r>
        <w:rPr>
          <w:rFonts w:hint="eastAsia"/>
          <w:sz w:val="21"/>
          <w:szCs w:val="21"/>
        </w:rPr>
        <w:t> </w:t>
      </w:r>
    </w:p>
    <w:p>
      <w:pPr>
        <w:pStyle w:val="22"/>
        <w:spacing w:before="75" w:beforeAutospacing="0" w:after="75" w:afterAutospacing="0" w:line="360" w:lineRule="auto"/>
        <w:rPr>
          <w:sz w:val="21"/>
          <w:szCs w:val="21"/>
        </w:rPr>
      </w:pPr>
      <w:r>
        <w:rPr>
          <w:rFonts w:hint="eastAsia"/>
          <w:sz w:val="21"/>
          <w:szCs w:val="21"/>
        </w:rPr>
        <w:t>    项目名称：永嘉县上塘城区园林绿化养护</w:t>
      </w:r>
    </w:p>
    <w:p>
      <w:pPr>
        <w:pStyle w:val="22"/>
        <w:spacing w:before="75" w:beforeAutospacing="0" w:after="75" w:afterAutospacing="0" w:line="360" w:lineRule="auto"/>
        <w:ind w:firstLine="630"/>
        <w:rPr>
          <w:rFonts w:hint="eastAsia"/>
          <w:sz w:val="21"/>
          <w:szCs w:val="21"/>
        </w:rPr>
      </w:pPr>
      <w:r>
        <w:rPr>
          <w:rFonts w:hint="eastAsia"/>
          <w:sz w:val="21"/>
          <w:szCs w:val="21"/>
        </w:rPr>
        <w:t>预算金额（元）：9880000</w:t>
      </w:r>
    </w:p>
    <w:p>
      <w:pPr>
        <w:pStyle w:val="22"/>
        <w:spacing w:before="75" w:beforeAutospacing="0" w:after="75" w:afterAutospacing="0" w:line="360" w:lineRule="auto"/>
        <w:ind w:firstLine="630"/>
        <w:rPr>
          <w:rFonts w:hint="eastAsia" w:eastAsia="宋体"/>
          <w:sz w:val="21"/>
          <w:szCs w:val="21"/>
          <w:lang w:eastAsia="zh-CN"/>
        </w:rPr>
      </w:pPr>
      <w:r>
        <w:rPr>
          <w:rFonts w:hint="eastAsia"/>
          <w:sz w:val="21"/>
          <w:szCs w:val="21"/>
        </w:rPr>
        <w:t>最高限价（元）：9880000</w:t>
      </w:r>
      <w:r>
        <w:rPr>
          <w:rFonts w:hint="eastAsia"/>
          <w:sz w:val="21"/>
          <w:szCs w:val="21"/>
          <w:lang w:val="en-US" w:eastAsia="zh-CN"/>
        </w:rPr>
        <w:t xml:space="preserve"> </w:t>
      </w:r>
    </w:p>
    <w:p>
      <w:pPr>
        <w:pStyle w:val="22"/>
        <w:spacing w:before="75" w:beforeAutospacing="0" w:after="75" w:afterAutospacing="0" w:line="360" w:lineRule="auto"/>
        <w:rPr>
          <w:sz w:val="21"/>
          <w:szCs w:val="21"/>
        </w:rPr>
      </w:pPr>
      <w:r>
        <w:rPr>
          <w:rFonts w:hint="eastAsia"/>
          <w:sz w:val="21"/>
          <w:szCs w:val="21"/>
        </w:rPr>
        <w:t>    采购需求：</w:t>
      </w:r>
    </w:p>
    <w:p>
      <w:pPr>
        <w:pStyle w:val="22"/>
        <w:spacing w:before="75" w:beforeAutospacing="0" w:after="75" w:afterAutospacing="0" w:line="360" w:lineRule="auto"/>
        <w:rPr>
          <w:sz w:val="21"/>
          <w:szCs w:val="21"/>
        </w:rPr>
      </w:pPr>
      <w:r>
        <w:rPr>
          <w:rFonts w:hint="eastAsia"/>
          <w:sz w:val="21"/>
          <w:szCs w:val="21"/>
        </w:rPr>
        <w:t>    </w:t>
      </w:r>
    </w:p>
    <w:p>
      <w:pPr>
        <w:pStyle w:val="22"/>
        <w:spacing w:before="75" w:beforeAutospacing="0" w:after="75" w:afterAutospacing="0" w:line="360" w:lineRule="auto"/>
        <w:rPr>
          <w:sz w:val="21"/>
          <w:szCs w:val="21"/>
        </w:rPr>
      </w:pPr>
      <w:r>
        <w:rPr>
          <w:rFonts w:hint="eastAsia"/>
          <w:sz w:val="21"/>
          <w:szCs w:val="21"/>
        </w:rPr>
        <w:t>    标项名称: 永嘉县上塘城区园林绿化养护 </w:t>
      </w:r>
    </w:p>
    <w:p>
      <w:pPr>
        <w:pStyle w:val="22"/>
        <w:spacing w:before="75" w:beforeAutospacing="0" w:after="75" w:afterAutospacing="0" w:line="360" w:lineRule="auto"/>
        <w:rPr>
          <w:sz w:val="21"/>
          <w:szCs w:val="21"/>
        </w:rPr>
      </w:pPr>
      <w:r>
        <w:rPr>
          <w:rFonts w:hint="eastAsia"/>
          <w:sz w:val="21"/>
          <w:szCs w:val="21"/>
        </w:rPr>
        <w:t>    数量: 1  </w:t>
      </w:r>
    </w:p>
    <w:p>
      <w:pPr>
        <w:pStyle w:val="22"/>
        <w:spacing w:before="75" w:beforeAutospacing="0" w:after="75" w:afterAutospacing="0" w:line="360" w:lineRule="auto"/>
        <w:rPr>
          <w:sz w:val="21"/>
          <w:szCs w:val="21"/>
        </w:rPr>
      </w:pPr>
      <w:r>
        <w:rPr>
          <w:rFonts w:hint="eastAsia"/>
          <w:sz w:val="21"/>
          <w:szCs w:val="21"/>
        </w:rPr>
        <w:t>    预算金额（元）: 9880000</w:t>
      </w:r>
      <w:r>
        <w:rPr>
          <w:rFonts w:hint="eastAsia"/>
          <w:sz w:val="21"/>
          <w:szCs w:val="21"/>
          <w:lang w:val="en-US" w:eastAsia="zh-CN"/>
        </w:rPr>
        <w:t xml:space="preserve"> </w:t>
      </w:r>
      <w:r>
        <w:rPr>
          <w:rFonts w:hint="eastAsia"/>
          <w:sz w:val="21"/>
          <w:szCs w:val="21"/>
        </w:rPr>
        <w:t> </w:t>
      </w:r>
    </w:p>
    <w:p>
      <w:pPr>
        <w:pStyle w:val="22"/>
        <w:spacing w:before="75" w:beforeAutospacing="0" w:after="75" w:afterAutospacing="0" w:line="360" w:lineRule="auto"/>
        <w:rPr>
          <w:bCs/>
          <w:sz w:val="22"/>
          <w:szCs w:val="22"/>
        </w:rPr>
      </w:pPr>
      <w:r>
        <w:rPr>
          <w:rFonts w:hint="eastAsia"/>
          <w:sz w:val="21"/>
          <w:szCs w:val="21"/>
        </w:rPr>
        <w:t>    简要规格描述或项目基本概况介绍、用途：</w:t>
      </w:r>
      <w:r>
        <w:rPr>
          <w:rFonts w:hint="eastAsia"/>
          <w:bCs/>
          <w:sz w:val="22"/>
          <w:szCs w:val="22"/>
        </w:rPr>
        <w:t>养护面积468088.61 ㎡（滨江公园：32797.15㎡、大会堂广场：3533.09㎡、鹅浦公园：60088.37㎡、乌岩山公园：72129.74㎡、永嘉广场：11123.53㎡、中塘溪公园：48748.37㎡、黄屿滨水公园：20097.92㎡、其它街旁公园绿地：43924.17㎡、附属绿地面积：77190.03 ㎡、龙山公园：50000.75㎡、屿山公园：37076.51㎡（含入口广场绿化）、下塘山公园：3678.98㎡、苗圃：7700㎡）行道树：5151棵；</w:t>
      </w:r>
      <w:r>
        <w:rPr>
          <w:rFonts w:hint="eastAsia"/>
          <w:bCs/>
          <w:sz w:val="22"/>
          <w:szCs w:val="22"/>
          <w:highlight w:val="none"/>
        </w:rPr>
        <w:t>项目内容包括绿化养护、绿地保洁、园区硬化区域和附属设施如：座椅、垃圾筒、园灯、灯杆、监控、公厕、水池、建筑小品、亭、栏、</w:t>
      </w:r>
      <w:r>
        <w:rPr>
          <w:rFonts w:hint="eastAsia"/>
          <w:bCs/>
          <w:sz w:val="22"/>
          <w:szCs w:val="22"/>
          <w:highlight w:val="none"/>
          <w:lang w:bidi="ar"/>
        </w:rPr>
        <w:t>廊</w:t>
      </w:r>
      <w:r>
        <w:rPr>
          <w:rFonts w:hint="eastAsia"/>
          <w:bCs/>
          <w:sz w:val="22"/>
          <w:szCs w:val="22"/>
          <w:highlight w:val="none"/>
        </w:rPr>
        <w:t>等所有设施的清洁维护、园区治安、经营场所运营等。</w:t>
      </w:r>
    </w:p>
    <w:p>
      <w:pPr>
        <w:pStyle w:val="22"/>
        <w:spacing w:before="75" w:beforeAutospacing="0" w:after="75" w:afterAutospacing="0" w:line="360" w:lineRule="auto"/>
        <w:rPr>
          <w:sz w:val="21"/>
          <w:szCs w:val="21"/>
        </w:rPr>
      </w:pPr>
      <w:r>
        <w:rPr>
          <w:rFonts w:hint="eastAsia"/>
          <w:sz w:val="21"/>
          <w:szCs w:val="21"/>
        </w:rPr>
        <w:t>    备注： </w:t>
      </w:r>
    </w:p>
    <w:p>
      <w:pPr>
        <w:pStyle w:val="22"/>
        <w:spacing w:before="75" w:beforeAutospacing="0" w:after="75" w:afterAutospacing="0" w:line="360" w:lineRule="auto"/>
        <w:rPr>
          <w:sz w:val="21"/>
          <w:szCs w:val="21"/>
        </w:rPr>
      </w:pPr>
      <w:r>
        <w:rPr>
          <w:rFonts w:hint="eastAsia"/>
          <w:sz w:val="21"/>
          <w:szCs w:val="21"/>
        </w:rPr>
        <w:t>    合同履约期限：2年</w:t>
      </w:r>
    </w:p>
    <w:p>
      <w:pPr>
        <w:pStyle w:val="22"/>
        <w:spacing w:before="75" w:beforeAutospacing="0" w:after="75" w:afterAutospacing="0" w:line="360" w:lineRule="auto"/>
        <w:rPr>
          <w:sz w:val="21"/>
          <w:szCs w:val="21"/>
        </w:rPr>
      </w:pPr>
      <w:r>
        <w:rPr>
          <w:rFonts w:hint="eastAsia"/>
          <w:sz w:val="21"/>
          <w:szCs w:val="21"/>
        </w:rPr>
        <w:t>    本项目</w:t>
      </w:r>
      <w:r>
        <w:rPr>
          <w:rFonts w:hint="eastAsia"/>
          <w:sz w:val="22"/>
        </w:rPr>
        <w:t>（否）</w:t>
      </w:r>
      <w:r>
        <w:rPr>
          <w:rFonts w:hint="eastAsia"/>
          <w:sz w:val="21"/>
          <w:szCs w:val="21"/>
        </w:rPr>
        <w:t>接受联合体投标。</w:t>
      </w:r>
    </w:p>
    <w:p>
      <w:pPr>
        <w:pStyle w:val="22"/>
        <w:spacing w:before="225" w:beforeAutospacing="0" w:after="225" w:afterAutospacing="0" w:line="360" w:lineRule="auto"/>
        <w:rPr>
          <w:sz w:val="21"/>
          <w:szCs w:val="21"/>
        </w:rPr>
      </w:pPr>
      <w:r>
        <w:rPr>
          <w:rStyle w:val="28"/>
          <w:rFonts w:hint="eastAsia"/>
          <w:sz w:val="21"/>
          <w:szCs w:val="21"/>
        </w:rPr>
        <w:t>二、申请人的资格要求：</w:t>
      </w:r>
    </w:p>
    <w:p>
      <w:pPr>
        <w:pStyle w:val="22"/>
        <w:spacing w:before="75" w:beforeAutospacing="0" w:after="75" w:afterAutospacing="0" w:line="360" w:lineRule="auto"/>
        <w:rPr>
          <w:sz w:val="21"/>
          <w:szCs w:val="21"/>
        </w:rPr>
      </w:pPr>
      <w:r>
        <w:rPr>
          <w:rFonts w:hint="eastAsia"/>
          <w:sz w:val="21"/>
          <w:szCs w:val="21"/>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22"/>
        <w:spacing w:before="75" w:beforeAutospacing="0" w:after="75" w:afterAutospacing="0" w:line="360" w:lineRule="auto"/>
        <w:rPr>
          <w:sz w:val="21"/>
          <w:szCs w:val="21"/>
        </w:rPr>
      </w:pPr>
      <w:r>
        <w:rPr>
          <w:rFonts w:hint="eastAsia"/>
          <w:sz w:val="21"/>
          <w:szCs w:val="21"/>
        </w:rPr>
        <w:t>    2.落实政府采购政策需满足的资格要求：无 </w:t>
      </w:r>
    </w:p>
    <w:p>
      <w:pPr>
        <w:pStyle w:val="22"/>
        <w:spacing w:before="75" w:beforeAutospacing="0" w:after="75" w:afterAutospacing="0" w:line="360" w:lineRule="auto"/>
        <w:rPr>
          <w:sz w:val="21"/>
          <w:szCs w:val="21"/>
        </w:rPr>
      </w:pPr>
      <w:r>
        <w:rPr>
          <w:rFonts w:hint="eastAsia"/>
          <w:sz w:val="21"/>
          <w:szCs w:val="21"/>
        </w:rPr>
        <w:t>    3.本项目的特定资格要求：无。 </w:t>
      </w:r>
    </w:p>
    <w:p>
      <w:pPr>
        <w:pStyle w:val="22"/>
        <w:spacing w:before="255" w:beforeAutospacing="0" w:after="255" w:afterAutospacing="0" w:line="360" w:lineRule="auto"/>
        <w:jc w:val="both"/>
        <w:rPr>
          <w:sz w:val="21"/>
          <w:szCs w:val="21"/>
        </w:rPr>
      </w:pPr>
      <w:r>
        <w:rPr>
          <w:rStyle w:val="28"/>
          <w:rFonts w:hint="eastAsia"/>
          <w:sz w:val="21"/>
          <w:szCs w:val="21"/>
        </w:rPr>
        <w:t>三、获取招标文件</w:t>
      </w:r>
      <w:r>
        <w:rPr>
          <w:rFonts w:hint="eastAsia"/>
          <w:sz w:val="21"/>
          <w:szCs w:val="21"/>
        </w:rPr>
        <w:t> </w:t>
      </w:r>
    </w:p>
    <w:p>
      <w:pPr>
        <w:pStyle w:val="22"/>
        <w:spacing w:before="75" w:beforeAutospacing="0" w:after="75" w:afterAutospacing="0" w:line="360" w:lineRule="auto"/>
        <w:rPr>
          <w:sz w:val="21"/>
          <w:szCs w:val="21"/>
        </w:rPr>
      </w:pPr>
      <w:r>
        <w:rPr>
          <w:rFonts w:hint="eastAsia"/>
          <w:sz w:val="21"/>
          <w:szCs w:val="21"/>
        </w:rPr>
        <w:t>    时间：/至2021年</w:t>
      </w:r>
      <w:r>
        <w:rPr>
          <w:rFonts w:hint="eastAsia"/>
          <w:sz w:val="21"/>
          <w:szCs w:val="21"/>
          <w:lang w:val="en-US" w:eastAsia="zh-CN"/>
        </w:rPr>
        <w:t>12</w:t>
      </w:r>
      <w:r>
        <w:rPr>
          <w:rFonts w:hint="eastAsia"/>
          <w:sz w:val="21"/>
          <w:szCs w:val="21"/>
        </w:rPr>
        <w:t>月</w:t>
      </w:r>
      <w:r>
        <w:rPr>
          <w:rFonts w:hint="eastAsia"/>
          <w:sz w:val="21"/>
          <w:szCs w:val="21"/>
          <w:lang w:val="en-US" w:eastAsia="zh-CN"/>
        </w:rPr>
        <w:t>24</w:t>
      </w:r>
      <w:r>
        <w:rPr>
          <w:rFonts w:hint="eastAsia"/>
          <w:sz w:val="21"/>
          <w:szCs w:val="21"/>
        </w:rPr>
        <w:t>日</w:t>
      </w:r>
      <w:r>
        <w:rPr>
          <w:rFonts w:hint="eastAsia"/>
          <w:sz w:val="21"/>
          <w:szCs w:val="21"/>
          <w:lang w:val="en-US" w:eastAsia="zh-CN"/>
        </w:rPr>
        <w:t>9:30</w:t>
      </w:r>
      <w:r>
        <w:rPr>
          <w:rFonts w:hint="eastAsia"/>
          <w:sz w:val="21"/>
          <w:szCs w:val="21"/>
        </w:rPr>
        <w:t> ，每天上午00:00至12:00 ，下午12:00至23:59（北京时间，线上获取法定节假日均可，线下获取文件法定节假日除外）</w:t>
      </w:r>
    </w:p>
    <w:p>
      <w:pPr>
        <w:pStyle w:val="22"/>
        <w:spacing w:before="75" w:beforeAutospacing="0" w:after="75" w:afterAutospacing="0" w:line="360" w:lineRule="auto"/>
        <w:rPr>
          <w:sz w:val="21"/>
          <w:szCs w:val="21"/>
        </w:rPr>
      </w:pPr>
      <w:r>
        <w:rPr>
          <w:rFonts w:hint="eastAsia"/>
          <w:sz w:val="21"/>
          <w:szCs w:val="21"/>
        </w:rPr>
        <w:t>    地点（网址）：政采云平台（http://zfcg.czt.zj.gov.cn） </w:t>
      </w:r>
    </w:p>
    <w:p>
      <w:pPr>
        <w:pStyle w:val="22"/>
        <w:spacing w:before="75" w:beforeAutospacing="0" w:after="75" w:afterAutospacing="0" w:line="360" w:lineRule="auto"/>
        <w:rPr>
          <w:sz w:val="21"/>
          <w:szCs w:val="21"/>
        </w:rPr>
      </w:pPr>
      <w:r>
        <w:rPr>
          <w:rFonts w:hint="eastAsia"/>
          <w:sz w:val="21"/>
          <w:szCs w:val="21"/>
        </w:rPr>
        <w:t>    方式：潜在投标人登陆政采云平台，在线申请获取采购文件（进入“项目采购”应用，在获取采购文件菜单中选择项目，申请获取采购文件，本项目采购文件不收取工本费；仅需浏览采购文件的供应商可点击“游客，浏览采购文件”直接下载采购文件浏览） </w:t>
      </w:r>
    </w:p>
    <w:p>
      <w:pPr>
        <w:pStyle w:val="22"/>
        <w:spacing w:before="75" w:beforeAutospacing="0" w:after="75" w:afterAutospacing="0" w:line="360" w:lineRule="auto"/>
        <w:rPr>
          <w:sz w:val="21"/>
          <w:szCs w:val="21"/>
        </w:rPr>
      </w:pPr>
      <w:r>
        <w:rPr>
          <w:rFonts w:hint="eastAsia"/>
          <w:sz w:val="21"/>
          <w:szCs w:val="21"/>
        </w:rPr>
        <w:t>    售价（元）：0 </w:t>
      </w:r>
    </w:p>
    <w:p>
      <w:pPr>
        <w:pStyle w:val="22"/>
        <w:spacing w:before="255" w:beforeAutospacing="0" w:after="255" w:afterAutospacing="0" w:line="360" w:lineRule="auto"/>
        <w:jc w:val="both"/>
        <w:rPr>
          <w:sz w:val="21"/>
          <w:szCs w:val="21"/>
        </w:rPr>
      </w:pPr>
      <w:r>
        <w:rPr>
          <w:rStyle w:val="28"/>
          <w:rFonts w:hint="eastAsia"/>
          <w:sz w:val="21"/>
          <w:szCs w:val="21"/>
        </w:rPr>
        <w:t>四、提交投标文件截止时间、开标时间和地点</w:t>
      </w:r>
    </w:p>
    <w:p>
      <w:pPr>
        <w:pStyle w:val="22"/>
        <w:spacing w:before="75" w:beforeAutospacing="0" w:after="75" w:afterAutospacing="0" w:line="360" w:lineRule="auto"/>
        <w:rPr>
          <w:sz w:val="21"/>
          <w:szCs w:val="21"/>
        </w:rPr>
      </w:pPr>
      <w:r>
        <w:rPr>
          <w:rFonts w:hint="eastAsia"/>
          <w:sz w:val="21"/>
          <w:szCs w:val="21"/>
        </w:rPr>
        <w:t>    提交投标文件截止时间：2021年</w:t>
      </w:r>
      <w:r>
        <w:rPr>
          <w:rFonts w:hint="eastAsia"/>
          <w:sz w:val="21"/>
          <w:szCs w:val="21"/>
          <w:lang w:val="en-US" w:eastAsia="zh-CN"/>
        </w:rPr>
        <w:t>12</w:t>
      </w:r>
      <w:r>
        <w:rPr>
          <w:rFonts w:hint="eastAsia"/>
          <w:sz w:val="21"/>
          <w:szCs w:val="21"/>
        </w:rPr>
        <w:t>月</w:t>
      </w:r>
      <w:r>
        <w:rPr>
          <w:rFonts w:hint="eastAsia"/>
          <w:sz w:val="21"/>
          <w:szCs w:val="21"/>
          <w:lang w:val="en-US" w:eastAsia="zh-CN"/>
        </w:rPr>
        <w:t>24</w:t>
      </w:r>
      <w:r>
        <w:rPr>
          <w:rFonts w:hint="eastAsia"/>
          <w:sz w:val="21"/>
          <w:szCs w:val="21"/>
        </w:rPr>
        <w:t>日</w:t>
      </w:r>
      <w:r>
        <w:rPr>
          <w:rFonts w:hint="eastAsia"/>
          <w:sz w:val="21"/>
          <w:szCs w:val="21"/>
          <w:lang w:val="en-US" w:eastAsia="zh-CN"/>
        </w:rPr>
        <w:t>9</w:t>
      </w:r>
      <w:r>
        <w:rPr>
          <w:rFonts w:hint="eastAsia"/>
          <w:sz w:val="21"/>
          <w:szCs w:val="21"/>
        </w:rPr>
        <w:t>:30（北京时间）</w:t>
      </w:r>
    </w:p>
    <w:p>
      <w:pPr>
        <w:pStyle w:val="22"/>
        <w:spacing w:before="75" w:beforeAutospacing="0" w:after="75" w:afterAutospacing="0" w:line="360" w:lineRule="auto"/>
        <w:rPr>
          <w:sz w:val="21"/>
          <w:szCs w:val="21"/>
        </w:rPr>
      </w:pPr>
      <w:r>
        <w:rPr>
          <w:rFonts w:hint="eastAsia"/>
          <w:sz w:val="21"/>
          <w:szCs w:val="21"/>
        </w:rPr>
        <w:t>    投标地点（网址）：政采云电子投标客户端在线提交 </w:t>
      </w:r>
    </w:p>
    <w:p>
      <w:pPr>
        <w:pStyle w:val="22"/>
        <w:spacing w:before="75" w:beforeAutospacing="0" w:after="75" w:afterAutospacing="0" w:line="360" w:lineRule="auto"/>
        <w:rPr>
          <w:sz w:val="21"/>
          <w:szCs w:val="21"/>
        </w:rPr>
      </w:pPr>
      <w:r>
        <w:rPr>
          <w:rFonts w:hint="eastAsia"/>
          <w:sz w:val="21"/>
          <w:szCs w:val="21"/>
        </w:rPr>
        <w:t>    开标时间：2021年</w:t>
      </w:r>
      <w:r>
        <w:rPr>
          <w:rFonts w:hint="eastAsia"/>
          <w:sz w:val="21"/>
          <w:szCs w:val="21"/>
          <w:lang w:val="en-US" w:eastAsia="zh-CN"/>
        </w:rPr>
        <w:t>12</w:t>
      </w:r>
      <w:r>
        <w:rPr>
          <w:rFonts w:hint="eastAsia"/>
          <w:sz w:val="21"/>
          <w:szCs w:val="21"/>
        </w:rPr>
        <w:t>月</w:t>
      </w:r>
      <w:r>
        <w:rPr>
          <w:rFonts w:hint="eastAsia"/>
          <w:sz w:val="21"/>
          <w:szCs w:val="21"/>
          <w:lang w:val="en-US" w:eastAsia="zh-CN"/>
        </w:rPr>
        <w:t>24</w:t>
      </w:r>
      <w:r>
        <w:rPr>
          <w:rFonts w:hint="eastAsia"/>
          <w:sz w:val="21"/>
          <w:szCs w:val="21"/>
        </w:rPr>
        <w:t>日</w:t>
      </w:r>
      <w:r>
        <w:rPr>
          <w:rFonts w:hint="eastAsia"/>
          <w:sz w:val="21"/>
          <w:szCs w:val="21"/>
          <w:lang w:val="en-US" w:eastAsia="zh-CN"/>
        </w:rPr>
        <w:t>9</w:t>
      </w:r>
      <w:r>
        <w:rPr>
          <w:rFonts w:hint="eastAsia"/>
          <w:sz w:val="21"/>
          <w:szCs w:val="21"/>
        </w:rPr>
        <w:t>:30（北京时间） </w:t>
      </w:r>
    </w:p>
    <w:p>
      <w:pPr>
        <w:pStyle w:val="22"/>
        <w:spacing w:before="75" w:beforeAutospacing="0" w:after="75" w:afterAutospacing="0" w:line="360" w:lineRule="auto"/>
        <w:rPr>
          <w:sz w:val="21"/>
          <w:szCs w:val="21"/>
        </w:rPr>
      </w:pPr>
      <w:r>
        <w:rPr>
          <w:rFonts w:hint="eastAsia"/>
          <w:sz w:val="21"/>
          <w:szCs w:val="21"/>
        </w:rPr>
        <w:t>    开标地点（网址）：永嘉县公共资源交易中心评标室（永嘉上塘广场路建设大厦三楼）  </w:t>
      </w:r>
    </w:p>
    <w:p>
      <w:pPr>
        <w:pStyle w:val="22"/>
        <w:spacing w:before="255" w:beforeAutospacing="0" w:after="255" w:afterAutospacing="0" w:line="360" w:lineRule="auto"/>
        <w:jc w:val="both"/>
        <w:rPr>
          <w:sz w:val="21"/>
          <w:szCs w:val="21"/>
        </w:rPr>
      </w:pPr>
      <w:r>
        <w:rPr>
          <w:rStyle w:val="28"/>
          <w:rFonts w:hint="eastAsia"/>
          <w:sz w:val="21"/>
          <w:szCs w:val="21"/>
        </w:rPr>
        <w:t>五、公告期限</w:t>
      </w:r>
      <w:r>
        <w:rPr>
          <w:rFonts w:hint="eastAsia"/>
          <w:sz w:val="21"/>
          <w:szCs w:val="21"/>
        </w:rPr>
        <w:t> </w:t>
      </w:r>
    </w:p>
    <w:p>
      <w:pPr>
        <w:pStyle w:val="22"/>
        <w:spacing w:before="75" w:beforeAutospacing="0" w:after="75" w:afterAutospacing="0" w:line="360" w:lineRule="auto"/>
        <w:rPr>
          <w:sz w:val="21"/>
          <w:szCs w:val="21"/>
        </w:rPr>
      </w:pPr>
      <w:r>
        <w:rPr>
          <w:rFonts w:hint="eastAsia"/>
          <w:sz w:val="21"/>
          <w:szCs w:val="21"/>
        </w:rPr>
        <w:t>    自本公告发布之日起5个工作日。</w:t>
      </w:r>
    </w:p>
    <w:p>
      <w:pPr>
        <w:pStyle w:val="22"/>
        <w:spacing w:before="255" w:beforeAutospacing="0" w:after="255" w:afterAutospacing="0" w:line="360" w:lineRule="auto"/>
        <w:jc w:val="both"/>
        <w:rPr>
          <w:sz w:val="21"/>
          <w:szCs w:val="21"/>
        </w:rPr>
      </w:pPr>
      <w:r>
        <w:rPr>
          <w:rStyle w:val="28"/>
          <w:rFonts w:hint="eastAsia"/>
          <w:sz w:val="21"/>
          <w:szCs w:val="21"/>
        </w:rPr>
        <w:t>六、其他补充事宜</w:t>
      </w:r>
    </w:p>
    <w:p>
      <w:pPr>
        <w:pStyle w:val="22"/>
        <w:spacing w:before="75" w:beforeAutospacing="0" w:after="75" w:afterAutospacing="0" w:line="360" w:lineRule="auto"/>
        <w:rPr>
          <w:sz w:val="21"/>
          <w:szCs w:val="21"/>
        </w:rPr>
      </w:pPr>
      <w:r>
        <w:rPr>
          <w:rFonts w:hint="eastAsia"/>
          <w:sz w:val="21"/>
          <w:szCs w:val="21"/>
        </w:rPr>
        <w:t>    1.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pStyle w:val="22"/>
        <w:spacing w:before="75" w:beforeAutospacing="0" w:after="75" w:afterAutospacing="0" w:line="360" w:lineRule="auto"/>
        <w:rPr>
          <w:sz w:val="21"/>
          <w:szCs w:val="21"/>
        </w:rPr>
      </w:pPr>
      <w:r>
        <w:rPr>
          <w:rFonts w:hint="eastAsia"/>
          <w:sz w:val="21"/>
          <w:szCs w:val="21"/>
        </w:rPr>
        <w:t xml:space="preserve">    2.提交方式：质疑函范本、投诉书范本请到浙江政府采购网下载专区下载。供应商可在政采云系统--项目采购--询问质疑投诉中在线提交质疑，如对质疑回复不满，可通过浙江政务服务网--政府采购投诉处理--在线办理向财政部门提起投诉（注意：需在线质疑后才可在线投诉），并电话告知相关采购人、代理机构、财政部门。</w:t>
      </w:r>
    </w:p>
    <w:p>
      <w:pPr>
        <w:pStyle w:val="22"/>
        <w:spacing w:before="75" w:beforeAutospacing="0" w:after="75" w:afterAutospacing="0" w:line="360" w:lineRule="auto"/>
        <w:rPr>
          <w:sz w:val="21"/>
          <w:szCs w:val="21"/>
        </w:rPr>
      </w:pPr>
      <w:r>
        <w:rPr>
          <w:rFonts w:hint="eastAsia"/>
          <w:sz w:val="21"/>
          <w:szCs w:val="21"/>
        </w:rPr>
        <w:t xml:space="preserve">   3.其他事项：在线投标响应（电子投标）说明 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供应商-政府采购项目电子交易操作指南》（https://help.zcygov.cn/web/site_2/2018/12-28/2573.html）；通过“政府采购云平台”参与在线投标时如遇平台技术问题详询400-881-7190。 2、为确保网上操作合法、有效和安全，投标供应商应当在投标截止时间前完成在“政府采购云平台”的身份认证，确保在电子投标过程中能够对相关数据电文进行加密和使用CA电子签章。使用“政采云电子交易客户端”需要提前申领CA数字证书，申领流程请自行前往“浙江政府采购网-下载专区-电子交易客户端-CA驱动和申领流程”进行查阅。 </w:t>
      </w:r>
    </w:p>
    <w:p>
      <w:pPr>
        <w:pStyle w:val="22"/>
        <w:spacing w:before="255" w:beforeAutospacing="0" w:after="255" w:afterAutospacing="0" w:line="360" w:lineRule="auto"/>
        <w:jc w:val="both"/>
        <w:rPr>
          <w:sz w:val="21"/>
          <w:szCs w:val="21"/>
        </w:rPr>
      </w:pPr>
      <w:r>
        <w:rPr>
          <w:rStyle w:val="28"/>
          <w:rFonts w:hint="eastAsia"/>
          <w:sz w:val="21"/>
          <w:szCs w:val="21"/>
        </w:rPr>
        <w:t>七、对本次采购提出询问、质疑、投诉，请按以下方式联系</w:t>
      </w:r>
    </w:p>
    <w:p>
      <w:pPr>
        <w:pStyle w:val="22"/>
        <w:spacing w:before="75" w:beforeAutospacing="0" w:after="75" w:afterAutospacing="0" w:line="360" w:lineRule="auto"/>
        <w:rPr>
          <w:sz w:val="21"/>
          <w:szCs w:val="21"/>
        </w:rPr>
      </w:pPr>
      <w:r>
        <w:rPr>
          <w:rFonts w:hint="eastAsia"/>
          <w:sz w:val="21"/>
          <w:szCs w:val="21"/>
        </w:rPr>
        <w:t>    1.采购人信息</w:t>
      </w:r>
    </w:p>
    <w:p>
      <w:pPr>
        <w:pStyle w:val="22"/>
        <w:spacing w:before="75" w:beforeAutospacing="0" w:after="75" w:afterAutospacing="0" w:line="360" w:lineRule="auto"/>
        <w:rPr>
          <w:sz w:val="21"/>
          <w:szCs w:val="21"/>
        </w:rPr>
      </w:pPr>
      <w:r>
        <w:rPr>
          <w:rFonts w:hint="eastAsia"/>
          <w:sz w:val="21"/>
          <w:szCs w:val="21"/>
        </w:rPr>
        <w:t>    名    称：永嘉县综合行政执法局 </w:t>
      </w:r>
    </w:p>
    <w:p>
      <w:pPr>
        <w:pStyle w:val="22"/>
        <w:spacing w:before="75" w:beforeAutospacing="0" w:after="75" w:afterAutospacing="0" w:line="360" w:lineRule="auto"/>
        <w:rPr>
          <w:sz w:val="21"/>
          <w:szCs w:val="21"/>
        </w:rPr>
      </w:pPr>
      <w:r>
        <w:rPr>
          <w:rFonts w:hint="eastAsia"/>
          <w:sz w:val="21"/>
          <w:szCs w:val="21"/>
        </w:rPr>
        <w:t>    地    址：永嘉县上塘永建路235号（老的教育局大楼内） </w:t>
      </w:r>
    </w:p>
    <w:p>
      <w:pPr>
        <w:pStyle w:val="22"/>
        <w:spacing w:before="75" w:beforeAutospacing="0" w:after="75" w:afterAutospacing="0" w:line="360" w:lineRule="auto"/>
        <w:rPr>
          <w:sz w:val="21"/>
          <w:szCs w:val="21"/>
        </w:rPr>
      </w:pPr>
      <w:r>
        <w:rPr>
          <w:rFonts w:hint="eastAsia"/>
          <w:sz w:val="21"/>
          <w:szCs w:val="21"/>
        </w:rPr>
        <w:t>    传    真： </w:t>
      </w:r>
    </w:p>
    <w:p>
      <w:pPr>
        <w:pStyle w:val="22"/>
        <w:spacing w:before="75" w:beforeAutospacing="0" w:after="75" w:afterAutospacing="0" w:line="360" w:lineRule="auto"/>
        <w:rPr>
          <w:sz w:val="21"/>
          <w:szCs w:val="21"/>
        </w:rPr>
      </w:pPr>
      <w:r>
        <w:rPr>
          <w:rFonts w:hint="eastAsia"/>
          <w:sz w:val="21"/>
          <w:szCs w:val="21"/>
        </w:rPr>
        <w:t>    项目联系人（询问）：潘先生  </w:t>
      </w:r>
    </w:p>
    <w:p>
      <w:pPr>
        <w:pStyle w:val="22"/>
        <w:spacing w:before="75" w:beforeAutospacing="0" w:after="75" w:afterAutospacing="0" w:line="360" w:lineRule="auto"/>
        <w:rPr>
          <w:sz w:val="21"/>
          <w:szCs w:val="21"/>
        </w:rPr>
      </w:pPr>
      <w:r>
        <w:rPr>
          <w:rFonts w:hint="eastAsia"/>
          <w:sz w:val="21"/>
          <w:szCs w:val="21"/>
        </w:rPr>
        <w:t>    项目联系方式（询问）：13968884749 </w:t>
      </w:r>
    </w:p>
    <w:p>
      <w:pPr>
        <w:pStyle w:val="22"/>
        <w:spacing w:before="75" w:beforeAutospacing="0" w:after="75" w:afterAutospacing="0" w:line="360" w:lineRule="auto"/>
        <w:rPr>
          <w:sz w:val="21"/>
          <w:szCs w:val="21"/>
        </w:rPr>
      </w:pPr>
      <w:r>
        <w:rPr>
          <w:rFonts w:hint="eastAsia"/>
          <w:sz w:val="21"/>
          <w:szCs w:val="21"/>
        </w:rPr>
        <w:t>    质疑联系人：潘先生    </w:t>
      </w:r>
    </w:p>
    <w:p>
      <w:pPr>
        <w:pStyle w:val="22"/>
        <w:spacing w:before="75" w:beforeAutospacing="0" w:after="75" w:afterAutospacing="0" w:line="360" w:lineRule="auto"/>
        <w:rPr>
          <w:sz w:val="21"/>
          <w:szCs w:val="21"/>
        </w:rPr>
      </w:pPr>
      <w:r>
        <w:rPr>
          <w:rFonts w:hint="eastAsia"/>
          <w:sz w:val="21"/>
          <w:szCs w:val="21"/>
        </w:rPr>
        <w:t>    质疑联系方式：13968884749  </w:t>
      </w:r>
    </w:p>
    <w:p>
      <w:pPr>
        <w:pStyle w:val="22"/>
        <w:spacing w:before="75" w:beforeAutospacing="0" w:after="75" w:afterAutospacing="0" w:line="360" w:lineRule="auto"/>
        <w:rPr>
          <w:sz w:val="21"/>
          <w:szCs w:val="21"/>
        </w:rPr>
      </w:pPr>
      <w:r>
        <w:rPr>
          <w:rFonts w:hint="eastAsia"/>
          <w:sz w:val="21"/>
          <w:szCs w:val="21"/>
        </w:rPr>
        <w:t>    </w:t>
      </w:r>
    </w:p>
    <w:p>
      <w:pPr>
        <w:pStyle w:val="22"/>
        <w:spacing w:before="75" w:beforeAutospacing="0" w:after="75" w:afterAutospacing="0" w:line="360" w:lineRule="auto"/>
        <w:rPr>
          <w:sz w:val="21"/>
          <w:szCs w:val="21"/>
        </w:rPr>
      </w:pPr>
      <w:r>
        <w:rPr>
          <w:rFonts w:hint="eastAsia"/>
          <w:sz w:val="21"/>
          <w:szCs w:val="21"/>
        </w:rPr>
        <w:t>    2.采购代理机构信息            </w:t>
      </w:r>
    </w:p>
    <w:p>
      <w:pPr>
        <w:pStyle w:val="22"/>
        <w:spacing w:before="75" w:beforeAutospacing="0" w:after="75" w:afterAutospacing="0" w:line="360" w:lineRule="auto"/>
        <w:rPr>
          <w:sz w:val="21"/>
          <w:szCs w:val="21"/>
        </w:rPr>
      </w:pPr>
      <w:r>
        <w:rPr>
          <w:rFonts w:hint="eastAsia"/>
          <w:sz w:val="21"/>
          <w:szCs w:val="21"/>
        </w:rPr>
        <w:t>    名    称：浙江至诚工程咨询有限责任公司             </w:t>
      </w:r>
    </w:p>
    <w:p>
      <w:pPr>
        <w:pStyle w:val="22"/>
        <w:spacing w:before="75" w:beforeAutospacing="0" w:after="75" w:afterAutospacing="0" w:line="360" w:lineRule="auto"/>
        <w:ind w:left="210" w:hanging="210" w:hangingChars="100"/>
        <w:rPr>
          <w:sz w:val="21"/>
          <w:szCs w:val="21"/>
        </w:rPr>
      </w:pPr>
      <w:r>
        <w:rPr>
          <w:rFonts w:hint="eastAsia"/>
          <w:sz w:val="21"/>
          <w:szCs w:val="21"/>
        </w:rPr>
        <w:t>    地    址：金三角大酒店副楼六楼工程部（永嘉县瓯北街道双塔路1777号）             </w:t>
      </w:r>
    </w:p>
    <w:p>
      <w:pPr>
        <w:pStyle w:val="22"/>
        <w:spacing w:before="75" w:beforeAutospacing="0" w:after="75" w:afterAutospacing="0" w:line="360" w:lineRule="auto"/>
        <w:rPr>
          <w:sz w:val="21"/>
          <w:szCs w:val="21"/>
        </w:rPr>
      </w:pPr>
      <w:r>
        <w:rPr>
          <w:rFonts w:hint="eastAsia"/>
          <w:sz w:val="21"/>
          <w:szCs w:val="21"/>
        </w:rPr>
        <w:t>    传    真：             </w:t>
      </w:r>
    </w:p>
    <w:p>
      <w:pPr>
        <w:pStyle w:val="22"/>
        <w:spacing w:before="75" w:beforeAutospacing="0" w:after="75" w:afterAutospacing="0" w:line="360" w:lineRule="auto"/>
        <w:rPr>
          <w:sz w:val="21"/>
          <w:szCs w:val="21"/>
        </w:rPr>
      </w:pPr>
      <w:r>
        <w:rPr>
          <w:rFonts w:hint="eastAsia"/>
          <w:sz w:val="21"/>
          <w:szCs w:val="21"/>
        </w:rPr>
        <w:t>    项目联系人（询问）：陈先生              </w:t>
      </w:r>
    </w:p>
    <w:p>
      <w:pPr>
        <w:pStyle w:val="22"/>
        <w:spacing w:before="75" w:beforeAutospacing="0" w:after="75" w:afterAutospacing="0" w:line="360" w:lineRule="auto"/>
        <w:rPr>
          <w:sz w:val="21"/>
          <w:szCs w:val="21"/>
        </w:rPr>
      </w:pPr>
      <w:r>
        <w:rPr>
          <w:rFonts w:hint="eastAsia"/>
          <w:sz w:val="21"/>
          <w:szCs w:val="21"/>
        </w:rPr>
        <w:t>    项目联系方式（询问）：13566132267 </w:t>
      </w:r>
    </w:p>
    <w:p>
      <w:pPr>
        <w:pStyle w:val="22"/>
        <w:spacing w:before="75" w:beforeAutospacing="0" w:after="75" w:afterAutospacing="0" w:line="360" w:lineRule="auto"/>
        <w:rPr>
          <w:sz w:val="21"/>
          <w:szCs w:val="21"/>
        </w:rPr>
      </w:pPr>
      <w:r>
        <w:rPr>
          <w:rFonts w:hint="eastAsia"/>
          <w:sz w:val="21"/>
          <w:szCs w:val="21"/>
        </w:rPr>
        <w:t>    质疑联系人：戴先生            </w:t>
      </w:r>
    </w:p>
    <w:p>
      <w:pPr>
        <w:pStyle w:val="22"/>
        <w:spacing w:before="75" w:beforeAutospacing="0" w:after="75" w:afterAutospacing="0" w:line="360" w:lineRule="auto"/>
        <w:rPr>
          <w:sz w:val="21"/>
          <w:szCs w:val="21"/>
        </w:rPr>
      </w:pPr>
      <w:r>
        <w:rPr>
          <w:rFonts w:hint="eastAsia"/>
          <w:sz w:val="21"/>
          <w:szCs w:val="21"/>
        </w:rPr>
        <w:t>    质疑联系方式：13906670571 　　　　　　     </w:t>
      </w:r>
    </w:p>
    <w:p>
      <w:pPr>
        <w:pStyle w:val="22"/>
        <w:spacing w:before="75" w:beforeAutospacing="0" w:after="75" w:afterAutospacing="0" w:line="360" w:lineRule="auto"/>
        <w:rPr>
          <w:sz w:val="21"/>
          <w:szCs w:val="21"/>
        </w:rPr>
      </w:pPr>
      <w:r>
        <w:rPr>
          <w:rFonts w:hint="eastAsia"/>
          <w:sz w:val="21"/>
          <w:szCs w:val="21"/>
        </w:rPr>
        <w:t>    </w:t>
      </w:r>
    </w:p>
    <w:p>
      <w:pPr>
        <w:pStyle w:val="22"/>
        <w:spacing w:before="75" w:beforeAutospacing="0" w:after="75" w:afterAutospacing="0" w:line="360" w:lineRule="auto"/>
        <w:rPr>
          <w:sz w:val="21"/>
          <w:szCs w:val="21"/>
        </w:rPr>
      </w:pPr>
      <w:r>
        <w:rPr>
          <w:rFonts w:hint="eastAsia"/>
          <w:sz w:val="21"/>
          <w:szCs w:val="21"/>
        </w:rPr>
        <w:t>    3.同级政府采购监督管理部门            </w:t>
      </w:r>
    </w:p>
    <w:p>
      <w:pPr>
        <w:pStyle w:val="22"/>
        <w:spacing w:before="75" w:beforeAutospacing="0" w:after="75" w:afterAutospacing="0" w:line="360" w:lineRule="auto"/>
        <w:rPr>
          <w:sz w:val="21"/>
          <w:szCs w:val="21"/>
        </w:rPr>
      </w:pPr>
      <w:r>
        <w:rPr>
          <w:rFonts w:hint="eastAsia"/>
          <w:sz w:val="21"/>
          <w:szCs w:val="21"/>
        </w:rPr>
        <w:t>    名    称：永嘉县财政局             </w:t>
      </w:r>
    </w:p>
    <w:p>
      <w:pPr>
        <w:pStyle w:val="22"/>
        <w:spacing w:before="75" w:beforeAutospacing="0" w:after="75" w:afterAutospacing="0" w:line="360" w:lineRule="auto"/>
        <w:rPr>
          <w:sz w:val="21"/>
          <w:szCs w:val="21"/>
        </w:rPr>
      </w:pPr>
      <w:r>
        <w:rPr>
          <w:rFonts w:hint="eastAsia"/>
          <w:sz w:val="21"/>
          <w:szCs w:val="21"/>
        </w:rPr>
        <w:t>    地    址：/             </w:t>
      </w:r>
    </w:p>
    <w:p>
      <w:pPr>
        <w:pStyle w:val="22"/>
        <w:spacing w:before="75" w:beforeAutospacing="0" w:after="75" w:afterAutospacing="0" w:line="360" w:lineRule="auto"/>
        <w:rPr>
          <w:sz w:val="21"/>
          <w:szCs w:val="21"/>
        </w:rPr>
      </w:pPr>
      <w:r>
        <w:rPr>
          <w:rFonts w:hint="eastAsia"/>
          <w:sz w:val="21"/>
          <w:szCs w:val="21"/>
        </w:rPr>
        <w:t>    传    真：/             </w:t>
      </w:r>
    </w:p>
    <w:p>
      <w:pPr>
        <w:pStyle w:val="22"/>
        <w:spacing w:before="75" w:beforeAutospacing="0" w:after="75" w:afterAutospacing="0" w:line="360" w:lineRule="auto"/>
        <w:rPr>
          <w:sz w:val="21"/>
          <w:szCs w:val="21"/>
        </w:rPr>
      </w:pPr>
      <w:r>
        <w:rPr>
          <w:rFonts w:hint="eastAsia"/>
          <w:sz w:val="21"/>
          <w:szCs w:val="21"/>
        </w:rPr>
        <w:t>    联系人 ：胡先生             </w:t>
      </w:r>
    </w:p>
    <w:p>
      <w:pPr>
        <w:pStyle w:val="22"/>
        <w:spacing w:before="75" w:beforeAutospacing="0" w:after="75" w:afterAutospacing="0" w:line="360" w:lineRule="auto"/>
        <w:rPr>
          <w:sz w:val="21"/>
          <w:szCs w:val="21"/>
        </w:rPr>
      </w:pPr>
      <w:r>
        <w:rPr>
          <w:rFonts w:hint="eastAsia"/>
          <w:sz w:val="21"/>
          <w:szCs w:val="21"/>
        </w:rPr>
        <w:t>    监督投诉电话：0577-67230257            </w:t>
      </w:r>
    </w:p>
    <w:p>
      <w:pPr>
        <w:pStyle w:val="22"/>
        <w:spacing w:before="75" w:beforeAutospacing="0" w:after="75" w:afterAutospacing="0" w:line="360" w:lineRule="auto"/>
        <w:rPr>
          <w:sz w:val="21"/>
          <w:szCs w:val="21"/>
        </w:rPr>
      </w:pPr>
      <w:r>
        <w:rPr>
          <w:rFonts w:hint="eastAsia"/>
          <w:sz w:val="21"/>
          <w:szCs w:val="21"/>
        </w:rPr>
        <w:t>         </w:t>
      </w:r>
    </w:p>
    <w:p>
      <w:pPr>
        <w:widowControl/>
        <w:spacing w:line="360" w:lineRule="auto"/>
        <w:jc w:val="left"/>
        <w:rPr>
          <w:rFonts w:ascii="宋体" w:hAnsi="宋体" w:cs="宋体"/>
        </w:rPr>
      </w:pPr>
      <w:r>
        <w:rPr>
          <w:rFonts w:hint="eastAsia" w:ascii="宋体" w:hAnsi="宋体" w:cs="宋体"/>
          <w:kern w:val="0"/>
          <w:lang w:bidi="ar"/>
        </w:rPr>
        <w:t>若对项目采购电子交易系统操作有疑问，可登录政采云（https://www.zcygov.cn/），点击右侧咨询小采，获取采小蜜智能服务管家帮助，或拨打政采云服务热线400-881-7190获取热线服务帮助。       </w:t>
      </w:r>
    </w:p>
    <w:p>
      <w:pPr>
        <w:widowControl/>
        <w:spacing w:line="360" w:lineRule="auto"/>
        <w:jc w:val="left"/>
        <w:rPr>
          <w:rFonts w:ascii="宋体" w:hAnsi="宋体" w:cs="宋体"/>
        </w:rPr>
      </w:pPr>
      <w:r>
        <w:rPr>
          <w:rFonts w:hint="eastAsia" w:ascii="宋体" w:hAnsi="宋体" w:cs="宋体"/>
          <w:kern w:val="0"/>
          <w:lang w:bidi="ar"/>
        </w:rPr>
        <w:t>CA问题联系电话（人工）：汇信CA 400-888-4636；天谷CA 400-087-8198。</w:t>
      </w:r>
    </w:p>
    <w:p>
      <w:pPr>
        <w:spacing w:line="360" w:lineRule="auto"/>
        <w:jc w:val="center"/>
        <w:outlineLvl w:val="0"/>
        <w:rPr>
          <w:rFonts w:ascii="宋体" w:hAnsi="宋体" w:cs="宋体"/>
          <w:sz w:val="30"/>
          <w:szCs w:val="30"/>
        </w:rPr>
      </w:pPr>
    </w:p>
    <w:p>
      <w:pPr>
        <w:rPr>
          <w:rFonts w:ascii="宋体" w:hAnsi="宋体" w:cs="宋体"/>
          <w:sz w:val="30"/>
          <w:szCs w:val="30"/>
        </w:rPr>
      </w:pPr>
      <w:r>
        <w:rPr>
          <w:rFonts w:hint="eastAsia" w:ascii="宋体" w:hAnsi="宋体" w:cs="宋体"/>
          <w:sz w:val="30"/>
          <w:szCs w:val="30"/>
        </w:rPr>
        <w:br w:type="page"/>
      </w:r>
    </w:p>
    <w:p>
      <w:pPr>
        <w:spacing w:line="360" w:lineRule="auto"/>
        <w:jc w:val="center"/>
        <w:outlineLvl w:val="0"/>
        <w:rPr>
          <w:rFonts w:ascii="宋体" w:hAnsi="宋体" w:cs="宋体"/>
          <w:sz w:val="30"/>
          <w:szCs w:val="30"/>
        </w:rPr>
      </w:pPr>
      <w:r>
        <w:rPr>
          <w:rFonts w:hint="eastAsia" w:ascii="宋体" w:hAnsi="宋体" w:cs="宋体"/>
          <w:sz w:val="30"/>
          <w:szCs w:val="30"/>
        </w:rPr>
        <w:t>第一部分  投标通知(邀请)书</w:t>
      </w:r>
      <w:bookmarkEnd w:id="6"/>
      <w:bookmarkEnd w:id="7"/>
      <w:bookmarkEnd w:id="8"/>
    </w:p>
    <w:tbl>
      <w:tblPr>
        <w:tblStyle w:val="25"/>
        <w:tblW w:w="1023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94"/>
        <w:gridCol w:w="1715"/>
        <w:gridCol w:w="78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tcBorders>
              <w:top w:val="single" w:color="auto" w:sz="12" w:space="0"/>
            </w:tcBorders>
            <w:vAlign w:val="center"/>
          </w:tcPr>
          <w:p>
            <w:pPr>
              <w:spacing w:line="400" w:lineRule="atLeast"/>
              <w:jc w:val="center"/>
              <w:rPr>
                <w:rFonts w:ascii="宋体" w:hAnsi="宋体" w:cs="宋体"/>
                <w:sz w:val="22"/>
              </w:rPr>
            </w:pPr>
            <w:r>
              <w:rPr>
                <w:rFonts w:hint="eastAsia" w:ascii="宋体" w:hAnsi="宋体" w:cs="宋体"/>
                <w:sz w:val="22"/>
                <w:szCs w:val="22"/>
              </w:rPr>
              <w:t>序号</w:t>
            </w:r>
          </w:p>
        </w:tc>
        <w:tc>
          <w:tcPr>
            <w:tcW w:w="1715" w:type="dxa"/>
            <w:tcBorders>
              <w:top w:val="single" w:color="auto" w:sz="12" w:space="0"/>
            </w:tcBorders>
            <w:vAlign w:val="center"/>
          </w:tcPr>
          <w:p>
            <w:pPr>
              <w:spacing w:line="400" w:lineRule="atLeast"/>
              <w:jc w:val="center"/>
              <w:rPr>
                <w:rFonts w:ascii="宋体" w:hAnsi="宋体" w:cs="宋体"/>
                <w:sz w:val="22"/>
              </w:rPr>
            </w:pPr>
            <w:r>
              <w:rPr>
                <w:rFonts w:hint="eastAsia" w:ascii="宋体" w:hAnsi="宋体" w:cs="宋体"/>
                <w:sz w:val="22"/>
                <w:szCs w:val="22"/>
              </w:rPr>
              <w:t>内容</w:t>
            </w:r>
          </w:p>
        </w:tc>
        <w:tc>
          <w:tcPr>
            <w:tcW w:w="7821" w:type="dxa"/>
            <w:tcBorders>
              <w:top w:val="single" w:color="auto" w:sz="12" w:space="0"/>
            </w:tcBorders>
            <w:vAlign w:val="center"/>
          </w:tcPr>
          <w:p>
            <w:pPr>
              <w:spacing w:line="400" w:lineRule="atLeast"/>
              <w:jc w:val="center"/>
              <w:rPr>
                <w:rFonts w:ascii="宋体" w:hAnsi="宋体" w:cs="宋体"/>
                <w:sz w:val="22"/>
              </w:rPr>
            </w:pPr>
            <w:r>
              <w:rPr>
                <w:rFonts w:hint="eastAsia" w:ascii="宋体" w:hAnsi="宋体" w:cs="宋体"/>
                <w:sz w:val="22"/>
                <w:szCs w:val="22"/>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widowControl/>
              <w:tabs>
                <w:tab w:val="left" w:pos="420"/>
                <w:tab w:val="left" w:pos="720"/>
              </w:tabs>
              <w:ind w:right="1100"/>
              <w:jc w:val="center"/>
              <w:rPr>
                <w:rFonts w:ascii="宋体" w:hAnsi="宋体" w:cs="宋体"/>
                <w:sz w:val="22"/>
              </w:rPr>
            </w:pPr>
            <w:r>
              <w:rPr>
                <w:rFonts w:hint="eastAsia" w:ascii="宋体" w:hAnsi="宋体" w:cs="宋体"/>
                <w:sz w:val="22"/>
                <w:szCs w:val="22"/>
              </w:rPr>
              <w:t>1</w:t>
            </w:r>
          </w:p>
        </w:tc>
        <w:tc>
          <w:tcPr>
            <w:tcW w:w="1715" w:type="dxa"/>
            <w:vAlign w:val="center"/>
          </w:tcPr>
          <w:p>
            <w:pPr>
              <w:jc w:val="center"/>
              <w:rPr>
                <w:rFonts w:ascii="宋体" w:hAnsi="宋体" w:cs="宋体"/>
                <w:sz w:val="22"/>
              </w:rPr>
            </w:pPr>
            <w:r>
              <w:rPr>
                <w:rFonts w:hint="eastAsia" w:ascii="宋体" w:hAnsi="宋体" w:cs="宋体"/>
                <w:sz w:val="22"/>
                <w:szCs w:val="22"/>
              </w:rPr>
              <w:t>项目名称</w:t>
            </w:r>
          </w:p>
        </w:tc>
        <w:tc>
          <w:tcPr>
            <w:tcW w:w="7821" w:type="dxa"/>
            <w:vAlign w:val="center"/>
          </w:tcPr>
          <w:p>
            <w:pPr>
              <w:rPr>
                <w:rFonts w:ascii="宋体" w:hAnsi="宋体" w:cs="宋体"/>
                <w:sz w:val="22"/>
              </w:rPr>
            </w:pPr>
            <w:r>
              <w:rPr>
                <w:rFonts w:hint="eastAsia" w:ascii="宋体" w:hAnsi="宋体" w:cs="宋体"/>
                <w:sz w:val="22"/>
                <w:szCs w:val="22"/>
              </w:rPr>
              <w:t>永嘉县上塘城区园林绿化养护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widowControl/>
              <w:tabs>
                <w:tab w:val="left" w:pos="420"/>
                <w:tab w:val="left" w:pos="720"/>
              </w:tabs>
              <w:ind w:right="1100"/>
              <w:jc w:val="center"/>
              <w:rPr>
                <w:rFonts w:ascii="宋体" w:hAnsi="宋体" w:cs="宋体"/>
                <w:sz w:val="22"/>
              </w:rPr>
            </w:pPr>
            <w:r>
              <w:rPr>
                <w:rFonts w:hint="eastAsia" w:ascii="宋体" w:hAnsi="宋体" w:cs="宋体"/>
                <w:sz w:val="22"/>
                <w:szCs w:val="22"/>
              </w:rPr>
              <w:t>2</w:t>
            </w:r>
          </w:p>
        </w:tc>
        <w:tc>
          <w:tcPr>
            <w:tcW w:w="1715" w:type="dxa"/>
            <w:vAlign w:val="center"/>
          </w:tcPr>
          <w:p>
            <w:pPr>
              <w:jc w:val="center"/>
              <w:rPr>
                <w:rFonts w:ascii="宋体" w:hAnsi="宋体" w:cs="宋体"/>
                <w:sz w:val="22"/>
              </w:rPr>
            </w:pPr>
            <w:r>
              <w:rPr>
                <w:rFonts w:hint="eastAsia" w:ascii="宋体" w:hAnsi="宋体" w:cs="宋体"/>
                <w:sz w:val="22"/>
                <w:szCs w:val="22"/>
              </w:rPr>
              <w:t>项目编号</w:t>
            </w:r>
          </w:p>
        </w:tc>
        <w:tc>
          <w:tcPr>
            <w:tcW w:w="7821" w:type="dxa"/>
            <w:vAlign w:val="center"/>
          </w:tcPr>
          <w:p>
            <w:pPr>
              <w:rPr>
                <w:rFonts w:hint="eastAsia" w:ascii="宋体" w:hAnsi="宋体" w:eastAsia="宋体" w:cs="宋体"/>
                <w:sz w:val="22"/>
                <w:lang w:eastAsia="zh-CN"/>
              </w:rPr>
            </w:pPr>
            <w:r>
              <w:rPr>
                <w:rFonts w:hint="eastAsia" w:ascii="宋体" w:hAnsi="宋体" w:cs="宋体"/>
                <w:sz w:val="22"/>
                <w:lang w:eastAsia="zh-CN"/>
              </w:rPr>
              <w:t>F-GB202111300533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widowControl/>
              <w:tabs>
                <w:tab w:val="left" w:pos="420"/>
                <w:tab w:val="left" w:pos="720"/>
              </w:tabs>
              <w:ind w:right="1100"/>
              <w:jc w:val="center"/>
              <w:rPr>
                <w:rFonts w:ascii="宋体" w:hAnsi="宋体" w:cs="宋体"/>
                <w:sz w:val="22"/>
              </w:rPr>
            </w:pPr>
            <w:r>
              <w:rPr>
                <w:rFonts w:hint="eastAsia" w:ascii="宋体" w:hAnsi="宋体" w:cs="宋体"/>
                <w:sz w:val="22"/>
                <w:szCs w:val="22"/>
              </w:rPr>
              <w:t>3</w:t>
            </w:r>
          </w:p>
        </w:tc>
        <w:tc>
          <w:tcPr>
            <w:tcW w:w="1715" w:type="dxa"/>
            <w:vAlign w:val="center"/>
          </w:tcPr>
          <w:p>
            <w:pPr>
              <w:jc w:val="center"/>
              <w:rPr>
                <w:rFonts w:ascii="宋体" w:hAnsi="宋体" w:cs="宋体"/>
                <w:sz w:val="22"/>
              </w:rPr>
            </w:pPr>
            <w:r>
              <w:rPr>
                <w:rFonts w:hint="eastAsia" w:ascii="宋体" w:hAnsi="宋体" w:cs="宋体"/>
                <w:sz w:val="22"/>
                <w:szCs w:val="22"/>
              </w:rPr>
              <w:t>资金来源</w:t>
            </w:r>
          </w:p>
        </w:tc>
        <w:tc>
          <w:tcPr>
            <w:tcW w:w="7821" w:type="dxa"/>
            <w:vAlign w:val="center"/>
          </w:tcPr>
          <w:p>
            <w:pPr>
              <w:rPr>
                <w:rFonts w:ascii="宋体" w:hAnsi="宋体" w:cs="宋体"/>
                <w:sz w:val="22"/>
              </w:rPr>
            </w:pPr>
            <w:r>
              <w:rPr>
                <w:rFonts w:hint="eastAsia" w:ascii="宋体" w:hAnsi="宋体" w:cs="宋体"/>
                <w:sz w:val="22"/>
                <w:szCs w:val="22"/>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widowControl/>
              <w:tabs>
                <w:tab w:val="left" w:pos="420"/>
                <w:tab w:val="left" w:pos="720"/>
              </w:tabs>
              <w:ind w:right="1100"/>
              <w:jc w:val="center"/>
              <w:rPr>
                <w:rFonts w:ascii="宋体" w:hAnsi="宋体" w:cs="宋体"/>
                <w:sz w:val="22"/>
              </w:rPr>
            </w:pPr>
            <w:r>
              <w:rPr>
                <w:rFonts w:hint="eastAsia" w:ascii="宋体" w:hAnsi="宋体" w:cs="宋体"/>
                <w:sz w:val="22"/>
                <w:szCs w:val="22"/>
              </w:rPr>
              <w:t>4</w:t>
            </w:r>
          </w:p>
        </w:tc>
        <w:tc>
          <w:tcPr>
            <w:tcW w:w="1715" w:type="dxa"/>
            <w:vAlign w:val="center"/>
          </w:tcPr>
          <w:p>
            <w:pPr>
              <w:jc w:val="center"/>
              <w:rPr>
                <w:rFonts w:ascii="宋体" w:hAnsi="宋体" w:cs="宋体"/>
                <w:sz w:val="22"/>
              </w:rPr>
            </w:pPr>
            <w:r>
              <w:rPr>
                <w:rFonts w:hint="eastAsia" w:ascii="宋体" w:hAnsi="宋体" w:cs="宋体"/>
                <w:sz w:val="22"/>
                <w:szCs w:val="22"/>
              </w:rPr>
              <w:t>采购预算</w:t>
            </w:r>
          </w:p>
        </w:tc>
        <w:tc>
          <w:tcPr>
            <w:tcW w:w="7821" w:type="dxa"/>
            <w:vAlign w:val="center"/>
          </w:tcPr>
          <w:p>
            <w:pPr>
              <w:rPr>
                <w:rFonts w:hint="eastAsia" w:ascii="宋体" w:hAnsi="宋体" w:eastAsia="宋体" w:cs="宋体"/>
                <w:sz w:val="22"/>
                <w:lang w:eastAsia="zh-CN"/>
              </w:rPr>
            </w:pPr>
            <w:r>
              <w:rPr>
                <w:rFonts w:hint="eastAsia" w:ascii="宋体" w:hAnsi="宋体" w:cs="宋体"/>
                <w:sz w:val="22"/>
                <w:szCs w:val="22"/>
              </w:rPr>
              <w:t>988万元</w:t>
            </w:r>
            <w:r>
              <w:rPr>
                <w:rFonts w:hint="eastAsia" w:ascii="宋体" w:hAnsi="宋体" w:cs="宋体"/>
                <w:sz w:val="22"/>
                <w:szCs w:val="22"/>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widowControl/>
              <w:tabs>
                <w:tab w:val="left" w:pos="420"/>
                <w:tab w:val="left" w:pos="720"/>
              </w:tabs>
              <w:ind w:right="1100"/>
              <w:jc w:val="center"/>
              <w:rPr>
                <w:rFonts w:ascii="宋体" w:hAnsi="宋体" w:cs="宋体"/>
                <w:sz w:val="22"/>
              </w:rPr>
            </w:pPr>
            <w:r>
              <w:rPr>
                <w:rFonts w:hint="eastAsia" w:ascii="宋体" w:hAnsi="宋体" w:cs="宋体"/>
                <w:sz w:val="22"/>
                <w:szCs w:val="22"/>
              </w:rPr>
              <w:t>5</w:t>
            </w:r>
          </w:p>
        </w:tc>
        <w:tc>
          <w:tcPr>
            <w:tcW w:w="1715" w:type="dxa"/>
            <w:vAlign w:val="center"/>
          </w:tcPr>
          <w:p>
            <w:pPr>
              <w:jc w:val="center"/>
              <w:rPr>
                <w:rFonts w:ascii="宋体" w:hAnsi="宋体" w:cs="宋体"/>
                <w:sz w:val="22"/>
              </w:rPr>
            </w:pPr>
            <w:r>
              <w:rPr>
                <w:rFonts w:hint="eastAsia" w:ascii="宋体" w:hAnsi="宋体" w:cs="宋体"/>
                <w:sz w:val="22"/>
                <w:szCs w:val="22"/>
              </w:rPr>
              <w:t>采购方式</w:t>
            </w:r>
          </w:p>
        </w:tc>
        <w:tc>
          <w:tcPr>
            <w:tcW w:w="7821" w:type="dxa"/>
            <w:vAlign w:val="center"/>
          </w:tcPr>
          <w:p>
            <w:pPr>
              <w:rPr>
                <w:rFonts w:ascii="宋体" w:hAnsi="宋体" w:cs="宋体"/>
                <w:sz w:val="22"/>
              </w:rPr>
            </w:pPr>
            <w:r>
              <w:rPr>
                <w:rFonts w:hint="eastAsia" w:ascii="宋体" w:hAnsi="宋体" w:cs="宋体"/>
                <w:sz w:val="22"/>
                <w:szCs w:val="22"/>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widowControl/>
              <w:tabs>
                <w:tab w:val="left" w:pos="420"/>
                <w:tab w:val="left" w:pos="720"/>
              </w:tabs>
              <w:ind w:right="1100"/>
              <w:jc w:val="center"/>
              <w:rPr>
                <w:rFonts w:ascii="宋体" w:hAnsi="宋体" w:cs="宋体"/>
                <w:sz w:val="22"/>
              </w:rPr>
            </w:pPr>
            <w:r>
              <w:rPr>
                <w:rFonts w:hint="eastAsia" w:ascii="宋体" w:hAnsi="宋体" w:cs="宋体"/>
                <w:sz w:val="22"/>
                <w:szCs w:val="22"/>
              </w:rPr>
              <w:t>6</w:t>
            </w:r>
          </w:p>
        </w:tc>
        <w:tc>
          <w:tcPr>
            <w:tcW w:w="1715" w:type="dxa"/>
            <w:vAlign w:val="center"/>
          </w:tcPr>
          <w:p>
            <w:pPr>
              <w:adjustRightInd w:val="0"/>
              <w:jc w:val="center"/>
              <w:rPr>
                <w:rFonts w:ascii="宋体" w:hAnsi="宋体" w:cs="宋体"/>
                <w:sz w:val="22"/>
              </w:rPr>
            </w:pPr>
            <w:r>
              <w:rPr>
                <w:rFonts w:hint="eastAsia" w:ascii="宋体" w:hAnsi="宋体" w:cs="宋体"/>
                <w:sz w:val="22"/>
                <w:szCs w:val="22"/>
              </w:rPr>
              <w:t>采购人</w:t>
            </w:r>
          </w:p>
        </w:tc>
        <w:tc>
          <w:tcPr>
            <w:tcW w:w="7821" w:type="dxa"/>
            <w:vAlign w:val="center"/>
          </w:tcPr>
          <w:p>
            <w:pPr>
              <w:adjustRightInd w:val="0"/>
              <w:rPr>
                <w:rFonts w:ascii="宋体" w:hAnsi="宋体" w:cs="宋体"/>
                <w:sz w:val="22"/>
              </w:rPr>
            </w:pPr>
            <w:r>
              <w:rPr>
                <w:rFonts w:hint="eastAsia" w:ascii="宋体" w:hAnsi="宋体" w:cs="宋体"/>
                <w:sz w:val="22"/>
                <w:szCs w:val="22"/>
              </w:rPr>
              <w:t>名称：永嘉县综合行政执法局</w:t>
            </w:r>
          </w:p>
          <w:p>
            <w:pPr>
              <w:adjustRightInd w:val="0"/>
              <w:rPr>
                <w:rFonts w:ascii="宋体" w:hAnsi="宋体" w:cs="宋体"/>
                <w:sz w:val="22"/>
              </w:rPr>
            </w:pPr>
            <w:r>
              <w:rPr>
                <w:rFonts w:hint="eastAsia" w:ascii="宋体" w:hAnsi="宋体" w:cs="宋体"/>
                <w:sz w:val="22"/>
                <w:szCs w:val="22"/>
              </w:rPr>
              <w:t>联 系 人：潘先生</w:t>
            </w:r>
          </w:p>
          <w:p>
            <w:pPr>
              <w:adjustRightInd w:val="0"/>
              <w:rPr>
                <w:rFonts w:ascii="宋体" w:hAnsi="宋体" w:cs="宋体"/>
                <w:sz w:val="22"/>
              </w:rPr>
            </w:pPr>
            <w:r>
              <w:rPr>
                <w:rFonts w:hint="eastAsia" w:ascii="宋体" w:hAnsi="宋体" w:cs="宋体"/>
                <w:sz w:val="22"/>
                <w:szCs w:val="22"/>
              </w:rPr>
              <w:t>联系方式：13968884749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widowControl/>
              <w:tabs>
                <w:tab w:val="left" w:pos="420"/>
                <w:tab w:val="left" w:pos="720"/>
              </w:tabs>
              <w:ind w:right="1100"/>
              <w:jc w:val="center"/>
              <w:rPr>
                <w:rFonts w:ascii="宋体" w:hAnsi="宋体" w:cs="宋体"/>
                <w:sz w:val="22"/>
              </w:rPr>
            </w:pPr>
            <w:r>
              <w:rPr>
                <w:rFonts w:hint="eastAsia" w:ascii="宋体" w:hAnsi="宋体" w:cs="宋体"/>
                <w:sz w:val="22"/>
                <w:szCs w:val="22"/>
              </w:rPr>
              <w:t>7</w:t>
            </w:r>
          </w:p>
        </w:tc>
        <w:tc>
          <w:tcPr>
            <w:tcW w:w="1715" w:type="dxa"/>
            <w:vAlign w:val="center"/>
          </w:tcPr>
          <w:p>
            <w:pPr>
              <w:jc w:val="center"/>
              <w:rPr>
                <w:rFonts w:ascii="宋体" w:hAnsi="宋体" w:cs="宋体"/>
                <w:sz w:val="22"/>
              </w:rPr>
            </w:pPr>
            <w:r>
              <w:rPr>
                <w:rFonts w:hint="eastAsia" w:ascii="宋体" w:hAnsi="宋体" w:cs="宋体"/>
                <w:sz w:val="22"/>
                <w:szCs w:val="22"/>
              </w:rPr>
              <w:t>采购代理机构</w:t>
            </w:r>
          </w:p>
        </w:tc>
        <w:tc>
          <w:tcPr>
            <w:tcW w:w="7821" w:type="dxa"/>
            <w:vAlign w:val="center"/>
          </w:tcPr>
          <w:p>
            <w:pPr>
              <w:adjustRightInd w:val="0"/>
              <w:rPr>
                <w:rFonts w:ascii="宋体" w:hAnsi="宋体" w:cs="宋体"/>
                <w:sz w:val="22"/>
              </w:rPr>
            </w:pPr>
            <w:r>
              <w:rPr>
                <w:rFonts w:hint="eastAsia" w:ascii="宋体" w:hAnsi="宋体" w:cs="宋体"/>
                <w:sz w:val="22"/>
                <w:szCs w:val="22"/>
              </w:rPr>
              <w:t>采购代理机构名称：浙江至诚工程咨询有限责任公司</w:t>
            </w:r>
          </w:p>
          <w:p>
            <w:pPr>
              <w:adjustRightInd w:val="0"/>
              <w:rPr>
                <w:rFonts w:ascii="宋体" w:hAnsi="宋体" w:cs="宋体"/>
                <w:sz w:val="22"/>
              </w:rPr>
            </w:pPr>
            <w:r>
              <w:rPr>
                <w:rFonts w:hint="eastAsia" w:ascii="宋体" w:hAnsi="宋体" w:cs="宋体"/>
                <w:sz w:val="22"/>
                <w:szCs w:val="22"/>
              </w:rPr>
              <w:t xml:space="preserve">地    点：金三角大酒店副楼六楼工程部（永嘉县瓯北街道双塔路1777号） </w:t>
            </w:r>
          </w:p>
          <w:p>
            <w:pPr>
              <w:adjustRightInd w:val="0"/>
              <w:rPr>
                <w:rFonts w:ascii="宋体" w:hAnsi="宋体" w:cs="宋体"/>
                <w:sz w:val="22"/>
              </w:rPr>
            </w:pPr>
            <w:r>
              <w:rPr>
                <w:rFonts w:hint="eastAsia" w:ascii="宋体" w:hAnsi="宋体" w:cs="宋体"/>
                <w:sz w:val="22"/>
                <w:szCs w:val="22"/>
              </w:rPr>
              <w:t>联 系 人：陈先生</w:t>
            </w:r>
          </w:p>
          <w:p>
            <w:pPr>
              <w:adjustRightInd w:val="0"/>
              <w:rPr>
                <w:rFonts w:ascii="宋体" w:hAnsi="宋体" w:cs="宋体"/>
                <w:sz w:val="22"/>
              </w:rPr>
            </w:pPr>
            <w:r>
              <w:rPr>
                <w:rFonts w:hint="eastAsia" w:ascii="宋体" w:hAnsi="宋体" w:cs="宋体"/>
                <w:sz w:val="22"/>
                <w:szCs w:val="22"/>
              </w:rPr>
              <w:t>联系电话：</w:t>
            </w:r>
            <w:r>
              <w:rPr>
                <w:rFonts w:hint="eastAsia" w:ascii="宋体" w:hAnsi="宋体" w:cs="宋体"/>
                <w:sz w:val="22"/>
              </w:rPr>
              <w:t>13566132267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widowControl/>
              <w:tabs>
                <w:tab w:val="left" w:pos="420"/>
                <w:tab w:val="left" w:pos="720"/>
              </w:tabs>
              <w:ind w:right="1100"/>
              <w:jc w:val="center"/>
              <w:rPr>
                <w:rFonts w:ascii="宋体" w:hAnsi="宋体" w:cs="宋体"/>
                <w:sz w:val="22"/>
              </w:rPr>
            </w:pPr>
            <w:r>
              <w:rPr>
                <w:rFonts w:hint="eastAsia" w:ascii="宋体" w:hAnsi="宋体" w:cs="宋体"/>
                <w:sz w:val="22"/>
                <w:szCs w:val="22"/>
              </w:rPr>
              <w:t>8</w:t>
            </w:r>
          </w:p>
        </w:tc>
        <w:tc>
          <w:tcPr>
            <w:tcW w:w="1715" w:type="dxa"/>
            <w:vAlign w:val="center"/>
          </w:tcPr>
          <w:p>
            <w:pPr>
              <w:jc w:val="center"/>
              <w:rPr>
                <w:rFonts w:ascii="宋体" w:hAnsi="宋体" w:cs="宋体"/>
                <w:sz w:val="22"/>
              </w:rPr>
            </w:pPr>
            <w:r>
              <w:rPr>
                <w:rFonts w:hint="eastAsia" w:ascii="宋体" w:hAnsi="宋体" w:cs="宋体"/>
                <w:sz w:val="22"/>
                <w:szCs w:val="22"/>
              </w:rPr>
              <w:t>评标办法</w:t>
            </w:r>
          </w:p>
        </w:tc>
        <w:tc>
          <w:tcPr>
            <w:tcW w:w="7821" w:type="dxa"/>
            <w:vAlign w:val="center"/>
          </w:tcPr>
          <w:p>
            <w:pPr>
              <w:adjustRightInd w:val="0"/>
              <w:rPr>
                <w:rFonts w:ascii="宋体" w:hAnsi="宋体" w:cs="宋体"/>
                <w:sz w:val="22"/>
              </w:rPr>
            </w:pPr>
            <w:r>
              <w:rPr>
                <w:rFonts w:hint="eastAsia" w:ascii="宋体" w:hAnsi="宋体" w:cs="宋体"/>
                <w:sz w:val="22"/>
                <w:szCs w:val="22"/>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widowControl/>
              <w:tabs>
                <w:tab w:val="left" w:pos="420"/>
                <w:tab w:val="left" w:pos="720"/>
              </w:tabs>
              <w:ind w:right="1100"/>
              <w:jc w:val="center"/>
              <w:rPr>
                <w:rFonts w:ascii="宋体" w:hAnsi="宋体" w:cs="宋体"/>
                <w:sz w:val="22"/>
              </w:rPr>
            </w:pPr>
            <w:r>
              <w:rPr>
                <w:rFonts w:hint="eastAsia" w:ascii="宋体" w:hAnsi="宋体" w:cs="宋体"/>
                <w:sz w:val="22"/>
                <w:szCs w:val="22"/>
              </w:rPr>
              <w:t>9</w:t>
            </w:r>
          </w:p>
        </w:tc>
        <w:tc>
          <w:tcPr>
            <w:tcW w:w="1715" w:type="dxa"/>
            <w:vAlign w:val="center"/>
          </w:tcPr>
          <w:p>
            <w:pPr>
              <w:jc w:val="center"/>
              <w:rPr>
                <w:rFonts w:ascii="宋体" w:hAnsi="宋体" w:cs="宋体"/>
                <w:sz w:val="22"/>
              </w:rPr>
            </w:pPr>
            <w:r>
              <w:rPr>
                <w:rFonts w:hint="eastAsia" w:ascii="宋体" w:hAnsi="宋体" w:cs="宋体"/>
                <w:sz w:val="22"/>
                <w:szCs w:val="22"/>
              </w:rPr>
              <w:t>采购内容</w:t>
            </w:r>
          </w:p>
        </w:tc>
        <w:tc>
          <w:tcPr>
            <w:tcW w:w="7821" w:type="dxa"/>
            <w:vAlign w:val="center"/>
          </w:tcPr>
          <w:p>
            <w:pPr>
              <w:adjustRightInd w:val="0"/>
              <w:rPr>
                <w:rFonts w:ascii="宋体" w:hAnsi="宋体" w:cs="宋体"/>
                <w:sz w:val="22"/>
              </w:rPr>
            </w:pPr>
            <w:r>
              <w:rPr>
                <w:rFonts w:hint="eastAsia" w:ascii="宋体" w:hAnsi="宋体" w:cs="宋体"/>
                <w:sz w:val="22"/>
                <w:szCs w:val="22"/>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jc w:val="center"/>
              <w:rPr>
                <w:rFonts w:ascii="宋体" w:hAnsi="宋体" w:cs="宋体"/>
                <w:sz w:val="22"/>
              </w:rPr>
            </w:pPr>
            <w:r>
              <w:rPr>
                <w:rFonts w:hint="eastAsia" w:ascii="宋体" w:hAnsi="宋体" w:cs="宋体"/>
                <w:sz w:val="22"/>
                <w:szCs w:val="22"/>
              </w:rPr>
              <w:t>10</w:t>
            </w:r>
          </w:p>
        </w:tc>
        <w:tc>
          <w:tcPr>
            <w:tcW w:w="1715" w:type="dxa"/>
            <w:vAlign w:val="center"/>
          </w:tcPr>
          <w:p>
            <w:pPr>
              <w:jc w:val="center"/>
              <w:rPr>
                <w:rFonts w:ascii="宋体" w:hAnsi="宋体" w:cs="宋体"/>
                <w:sz w:val="22"/>
              </w:rPr>
            </w:pPr>
            <w:r>
              <w:rPr>
                <w:rFonts w:hint="eastAsia" w:ascii="宋体" w:hAnsi="宋体" w:cs="宋体"/>
                <w:sz w:val="22"/>
                <w:szCs w:val="22"/>
              </w:rPr>
              <w:t>供应商资格要求</w:t>
            </w:r>
          </w:p>
        </w:tc>
        <w:tc>
          <w:tcPr>
            <w:tcW w:w="7821" w:type="dxa"/>
            <w:vAlign w:val="center"/>
          </w:tcPr>
          <w:p>
            <w:pPr>
              <w:adjustRightInd w:val="0"/>
              <w:rPr>
                <w:rFonts w:ascii="宋体" w:hAnsi="宋体" w:cs="宋体"/>
                <w:sz w:val="22"/>
              </w:rPr>
            </w:pPr>
            <w:r>
              <w:rPr>
                <w:rFonts w:hint="eastAsia" w:ascii="宋体" w:hAnsi="宋体" w:cs="宋体"/>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pPr>
              <w:adjustRightInd w:val="0"/>
              <w:rPr>
                <w:rFonts w:ascii="宋体" w:hAnsi="宋体" w:cs="宋体"/>
                <w:sz w:val="22"/>
              </w:rPr>
            </w:pPr>
            <w:r>
              <w:rPr>
                <w:rFonts w:hint="eastAsia" w:ascii="宋体" w:hAnsi="宋体" w:cs="宋体"/>
                <w:sz w:val="22"/>
                <w:szCs w:val="22"/>
              </w:rPr>
              <w:t xml:space="preserve">2.落实政府采购政策需满足的资格要求：无 </w:t>
            </w:r>
          </w:p>
          <w:p>
            <w:pPr>
              <w:adjustRightInd w:val="0"/>
              <w:rPr>
                <w:rFonts w:ascii="宋体" w:hAnsi="宋体" w:cs="宋体"/>
                <w:sz w:val="22"/>
              </w:rPr>
            </w:pPr>
            <w:r>
              <w:rPr>
                <w:rFonts w:hint="eastAsia" w:ascii="宋体" w:hAnsi="宋体" w:cs="宋体"/>
                <w:sz w:val="22"/>
                <w:szCs w:val="22"/>
              </w:rPr>
              <w:t>3.本项目的特定资格要求：无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jc w:val="center"/>
              <w:rPr>
                <w:rFonts w:ascii="宋体" w:hAnsi="宋体" w:cs="宋体"/>
                <w:sz w:val="22"/>
              </w:rPr>
            </w:pPr>
            <w:r>
              <w:rPr>
                <w:rFonts w:hint="eastAsia" w:ascii="宋体" w:hAnsi="宋体" w:cs="宋体"/>
                <w:sz w:val="22"/>
                <w:szCs w:val="22"/>
              </w:rPr>
              <w:t>11</w:t>
            </w:r>
          </w:p>
        </w:tc>
        <w:tc>
          <w:tcPr>
            <w:tcW w:w="1715" w:type="dxa"/>
            <w:vAlign w:val="center"/>
          </w:tcPr>
          <w:p>
            <w:pPr>
              <w:adjustRightInd w:val="0"/>
              <w:jc w:val="center"/>
              <w:rPr>
                <w:rFonts w:ascii="宋体" w:hAnsi="宋体" w:cs="宋体"/>
                <w:sz w:val="22"/>
              </w:rPr>
            </w:pPr>
            <w:r>
              <w:rPr>
                <w:rFonts w:hint="eastAsia" w:ascii="宋体" w:hAnsi="宋体" w:cs="宋体"/>
                <w:sz w:val="22"/>
                <w:szCs w:val="22"/>
              </w:rPr>
              <w:t>是否接受联合体投标</w:t>
            </w:r>
          </w:p>
        </w:tc>
        <w:tc>
          <w:tcPr>
            <w:tcW w:w="7821" w:type="dxa"/>
            <w:vAlign w:val="center"/>
          </w:tcPr>
          <w:p>
            <w:pPr>
              <w:adjustRightInd w:val="0"/>
              <w:rPr>
                <w:rFonts w:ascii="宋体" w:hAnsi="宋体" w:cs="宋体"/>
                <w:sz w:val="22"/>
              </w:rPr>
            </w:pPr>
            <w:r>
              <w:rPr>
                <w:rFonts w:hint="eastAsia" w:ascii="宋体" w:hAnsi="宋体" w:cs="宋体"/>
                <w:sz w:val="22"/>
                <w:szCs w:val="22"/>
              </w:rPr>
              <w:fldChar w:fldCharType="begin"/>
            </w:r>
            <w:r>
              <w:rPr>
                <w:rFonts w:hint="eastAsia" w:ascii="宋体" w:hAnsi="宋体" w:cs="宋体"/>
                <w:sz w:val="22"/>
                <w:szCs w:val="22"/>
              </w:rPr>
              <w:instrText xml:space="preserve"> eq \o\ac(□,</w:instrText>
            </w:r>
            <w:r>
              <w:rPr>
                <w:rFonts w:hint="eastAsia" w:ascii="宋体" w:hAnsi="宋体" w:cs="宋体"/>
                <w:position w:val="2"/>
                <w:sz w:val="15"/>
                <w:szCs w:val="22"/>
              </w:rPr>
              <w:instrText xml:space="preserve">√</w:instrText>
            </w:r>
            <w:r>
              <w:rPr>
                <w:rFonts w:hint="eastAsia" w:ascii="宋体" w:hAnsi="宋体" w:cs="宋体"/>
                <w:sz w:val="22"/>
                <w:szCs w:val="22"/>
              </w:rPr>
              <w:instrText xml:space="preserve">)</w:instrText>
            </w:r>
            <w:r>
              <w:rPr>
                <w:rFonts w:hint="eastAsia" w:ascii="宋体" w:hAnsi="宋体" w:cs="宋体"/>
                <w:sz w:val="22"/>
                <w:szCs w:val="22"/>
              </w:rPr>
              <w:fldChar w:fldCharType="end"/>
            </w:r>
            <w:r>
              <w:rPr>
                <w:rFonts w:hint="eastAsia" w:ascii="宋体" w:hAnsi="宋体" w:cs="宋体"/>
                <w:sz w:val="22"/>
                <w:szCs w:val="22"/>
              </w:rPr>
              <w:t>不接受</w:t>
            </w:r>
          </w:p>
          <w:p>
            <w:pPr>
              <w:adjustRightInd w:val="0"/>
              <w:rPr>
                <w:rFonts w:ascii="宋体" w:hAnsi="宋体" w:cs="宋体"/>
                <w:sz w:val="22"/>
              </w:rPr>
            </w:pPr>
            <w:r>
              <w:rPr>
                <w:rFonts w:hint="eastAsia" w:ascii="宋体" w:hAnsi="宋体" w:cs="宋体"/>
                <w:sz w:val="22"/>
                <w:szCs w:val="22"/>
              </w:rPr>
              <w:fldChar w:fldCharType="begin"/>
            </w:r>
            <w:r>
              <w:rPr>
                <w:rFonts w:hint="eastAsia" w:ascii="宋体" w:hAnsi="宋体" w:cs="宋体"/>
                <w:sz w:val="22"/>
                <w:szCs w:val="22"/>
              </w:rPr>
              <w:instrText xml:space="preserve"> eq \o\ac(□)</w:instrText>
            </w:r>
            <w:r>
              <w:rPr>
                <w:rFonts w:hint="eastAsia" w:ascii="宋体" w:hAnsi="宋体" w:cs="宋体"/>
                <w:sz w:val="22"/>
                <w:szCs w:val="22"/>
              </w:rPr>
              <w:fldChar w:fldCharType="end"/>
            </w:r>
            <w:r>
              <w:rPr>
                <w:rFonts w:hint="eastAsia" w:ascii="宋体" w:hAnsi="宋体" w:cs="宋体"/>
                <w:sz w:val="22"/>
                <w:szCs w:val="22"/>
              </w:rPr>
              <w:t>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jc w:val="center"/>
              <w:rPr>
                <w:rFonts w:ascii="宋体" w:hAnsi="宋体" w:cs="宋体"/>
                <w:sz w:val="22"/>
              </w:rPr>
            </w:pPr>
            <w:r>
              <w:rPr>
                <w:rFonts w:hint="eastAsia" w:ascii="宋体" w:hAnsi="宋体" w:cs="宋体"/>
                <w:sz w:val="22"/>
                <w:szCs w:val="22"/>
              </w:rPr>
              <w:t>12</w:t>
            </w:r>
          </w:p>
        </w:tc>
        <w:tc>
          <w:tcPr>
            <w:tcW w:w="1715" w:type="dxa"/>
            <w:vAlign w:val="center"/>
          </w:tcPr>
          <w:p>
            <w:pPr>
              <w:adjustRightInd w:val="0"/>
              <w:jc w:val="center"/>
              <w:rPr>
                <w:rFonts w:ascii="宋体" w:hAnsi="宋体" w:cs="宋体"/>
                <w:sz w:val="22"/>
              </w:rPr>
            </w:pPr>
            <w:r>
              <w:rPr>
                <w:rFonts w:hint="eastAsia" w:ascii="宋体" w:hAnsi="宋体" w:cs="宋体"/>
                <w:sz w:val="22"/>
                <w:szCs w:val="22"/>
              </w:rPr>
              <w:t>踏勘现场</w:t>
            </w:r>
          </w:p>
        </w:tc>
        <w:tc>
          <w:tcPr>
            <w:tcW w:w="7821" w:type="dxa"/>
            <w:vAlign w:val="center"/>
          </w:tcPr>
          <w:p>
            <w:pPr>
              <w:adjustRightInd w:val="0"/>
              <w:rPr>
                <w:rFonts w:ascii="宋体" w:hAnsi="宋体" w:cs="宋体"/>
                <w:sz w:val="22"/>
              </w:rPr>
            </w:pPr>
            <w:r>
              <w:rPr>
                <w:rFonts w:hint="eastAsia" w:ascii="宋体" w:hAnsi="宋体" w:cs="宋体"/>
                <w:sz w:val="22"/>
                <w:szCs w:val="22"/>
              </w:rPr>
              <w:fldChar w:fldCharType="begin"/>
            </w:r>
            <w:r>
              <w:rPr>
                <w:rFonts w:hint="eastAsia" w:ascii="宋体" w:hAnsi="宋体" w:cs="宋体"/>
                <w:sz w:val="22"/>
                <w:szCs w:val="22"/>
              </w:rPr>
              <w:instrText xml:space="preserve"> eq \o\ac(□,√)</w:instrText>
            </w:r>
            <w:r>
              <w:rPr>
                <w:rFonts w:hint="eastAsia" w:ascii="宋体" w:hAnsi="宋体" w:cs="宋体"/>
                <w:sz w:val="22"/>
                <w:szCs w:val="22"/>
              </w:rPr>
              <w:fldChar w:fldCharType="end"/>
            </w:r>
            <w:r>
              <w:rPr>
                <w:rFonts w:hint="eastAsia" w:ascii="宋体" w:hAnsi="宋体" w:cs="宋体"/>
                <w:sz w:val="22"/>
                <w:szCs w:val="22"/>
              </w:rPr>
              <w:t>不组织</w:t>
            </w:r>
          </w:p>
          <w:p>
            <w:pPr>
              <w:adjustRightInd w:val="0"/>
              <w:rPr>
                <w:rFonts w:ascii="宋体" w:hAnsi="宋体" w:cs="宋体"/>
                <w:sz w:val="22"/>
              </w:rPr>
            </w:pPr>
            <w:r>
              <w:rPr>
                <w:rFonts w:hint="eastAsia" w:ascii="宋体" w:hAnsi="宋体" w:cs="宋体"/>
                <w:sz w:val="22"/>
                <w:szCs w:val="22"/>
              </w:rPr>
              <w:t xml:space="preserve">□组织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jc w:val="center"/>
              <w:rPr>
                <w:rFonts w:ascii="宋体" w:hAnsi="宋体" w:cs="宋体"/>
                <w:sz w:val="22"/>
              </w:rPr>
            </w:pPr>
            <w:r>
              <w:rPr>
                <w:rFonts w:hint="eastAsia" w:ascii="宋体" w:hAnsi="宋体" w:cs="宋体"/>
                <w:sz w:val="22"/>
                <w:szCs w:val="22"/>
              </w:rPr>
              <w:t>13</w:t>
            </w:r>
          </w:p>
        </w:tc>
        <w:tc>
          <w:tcPr>
            <w:tcW w:w="1715" w:type="dxa"/>
            <w:vAlign w:val="center"/>
          </w:tcPr>
          <w:p>
            <w:pPr>
              <w:adjustRightInd w:val="0"/>
              <w:jc w:val="center"/>
              <w:rPr>
                <w:rFonts w:ascii="宋体" w:hAnsi="宋体" w:cs="宋体"/>
                <w:sz w:val="22"/>
              </w:rPr>
            </w:pPr>
            <w:r>
              <w:rPr>
                <w:rFonts w:hint="eastAsia" w:ascii="宋体" w:hAnsi="宋体" w:cs="宋体"/>
                <w:sz w:val="22"/>
                <w:szCs w:val="22"/>
              </w:rPr>
              <w:t>是否允许递交备选投标方案</w:t>
            </w:r>
          </w:p>
        </w:tc>
        <w:tc>
          <w:tcPr>
            <w:tcW w:w="7821" w:type="dxa"/>
            <w:vAlign w:val="center"/>
          </w:tcPr>
          <w:p>
            <w:pPr>
              <w:adjustRightInd w:val="0"/>
              <w:rPr>
                <w:rFonts w:ascii="宋体" w:hAnsi="宋体" w:cs="宋体"/>
                <w:sz w:val="22"/>
              </w:rPr>
            </w:pPr>
            <w:r>
              <w:rPr>
                <w:rFonts w:hint="eastAsia" w:ascii="宋体" w:hAnsi="宋体" w:cs="宋体"/>
                <w:sz w:val="22"/>
                <w:szCs w:val="22"/>
              </w:rPr>
              <w:fldChar w:fldCharType="begin"/>
            </w:r>
            <w:r>
              <w:rPr>
                <w:rFonts w:hint="eastAsia" w:ascii="宋体" w:hAnsi="宋体" w:cs="宋体"/>
                <w:sz w:val="22"/>
                <w:szCs w:val="22"/>
              </w:rPr>
              <w:instrText xml:space="preserve"> eq \o\ac(□,√)</w:instrText>
            </w:r>
            <w:r>
              <w:rPr>
                <w:rFonts w:hint="eastAsia" w:ascii="宋体" w:hAnsi="宋体" w:cs="宋体"/>
                <w:sz w:val="22"/>
                <w:szCs w:val="22"/>
              </w:rPr>
              <w:fldChar w:fldCharType="end"/>
            </w:r>
            <w:r>
              <w:rPr>
                <w:rFonts w:hint="eastAsia" w:ascii="宋体" w:hAnsi="宋体" w:cs="宋体"/>
                <w:sz w:val="22"/>
                <w:szCs w:val="22"/>
              </w:rPr>
              <w:t xml:space="preserve"> 不允许</w:t>
            </w:r>
          </w:p>
          <w:p>
            <w:pPr>
              <w:adjustRightInd w:val="0"/>
              <w:rPr>
                <w:rFonts w:ascii="宋体" w:hAnsi="宋体" w:cs="宋体"/>
                <w:sz w:val="22"/>
              </w:rPr>
            </w:pPr>
            <w:r>
              <w:rPr>
                <w:rFonts w:hint="eastAsia" w:ascii="宋体" w:hAnsi="宋体" w:cs="宋体"/>
                <w:sz w:val="22"/>
                <w:szCs w:val="22"/>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jc w:val="center"/>
              <w:rPr>
                <w:rFonts w:ascii="宋体" w:hAnsi="宋体" w:cs="宋体"/>
                <w:sz w:val="22"/>
              </w:rPr>
            </w:pPr>
            <w:r>
              <w:rPr>
                <w:rFonts w:hint="eastAsia" w:ascii="宋体" w:hAnsi="宋体" w:cs="宋体"/>
                <w:sz w:val="22"/>
                <w:szCs w:val="22"/>
              </w:rPr>
              <w:t>14</w:t>
            </w:r>
          </w:p>
        </w:tc>
        <w:tc>
          <w:tcPr>
            <w:tcW w:w="1715" w:type="dxa"/>
            <w:vAlign w:val="center"/>
          </w:tcPr>
          <w:p>
            <w:pPr>
              <w:adjustRightInd w:val="0"/>
              <w:jc w:val="center"/>
              <w:rPr>
                <w:rFonts w:ascii="宋体" w:hAnsi="宋体" w:cs="宋体"/>
                <w:sz w:val="22"/>
              </w:rPr>
            </w:pPr>
            <w:r>
              <w:rPr>
                <w:rFonts w:hint="eastAsia" w:ascii="宋体" w:hAnsi="宋体" w:cs="宋体"/>
                <w:sz w:val="22"/>
                <w:szCs w:val="22"/>
              </w:rPr>
              <w:t>分包</w:t>
            </w:r>
          </w:p>
        </w:tc>
        <w:tc>
          <w:tcPr>
            <w:tcW w:w="7821" w:type="dxa"/>
            <w:vAlign w:val="center"/>
          </w:tcPr>
          <w:p>
            <w:pPr>
              <w:adjustRightInd w:val="0"/>
              <w:rPr>
                <w:rFonts w:ascii="宋体" w:hAnsi="宋体" w:cs="宋体"/>
                <w:sz w:val="22"/>
              </w:rPr>
            </w:pPr>
            <w:r>
              <w:rPr>
                <w:rFonts w:hint="eastAsia" w:ascii="宋体" w:hAnsi="宋体" w:cs="宋体"/>
                <w:sz w:val="22"/>
                <w:szCs w:val="22"/>
              </w:rPr>
              <w:t>□允许</w:t>
            </w:r>
          </w:p>
          <w:p>
            <w:pPr>
              <w:adjustRightInd w:val="0"/>
              <w:rPr>
                <w:rFonts w:ascii="宋体" w:hAnsi="宋体" w:cs="宋体"/>
                <w:sz w:val="22"/>
              </w:rPr>
            </w:pPr>
            <w:r>
              <w:rPr>
                <w:rFonts w:hint="eastAsia" w:ascii="宋体" w:hAnsi="宋体" w:cs="宋体"/>
                <w:sz w:val="22"/>
                <w:szCs w:val="22"/>
              </w:rPr>
              <w:fldChar w:fldCharType="begin"/>
            </w:r>
            <w:r>
              <w:rPr>
                <w:rFonts w:hint="eastAsia" w:ascii="宋体" w:hAnsi="宋体" w:cs="宋体"/>
                <w:sz w:val="22"/>
                <w:szCs w:val="22"/>
              </w:rPr>
              <w:instrText xml:space="preserve"> eq \o\ac(□,√)</w:instrText>
            </w:r>
            <w:r>
              <w:rPr>
                <w:rFonts w:hint="eastAsia" w:ascii="宋体" w:hAnsi="宋体" w:cs="宋体"/>
                <w:sz w:val="22"/>
                <w:szCs w:val="22"/>
              </w:rPr>
              <w:fldChar w:fldCharType="end"/>
            </w:r>
            <w:r>
              <w:rPr>
                <w:rFonts w:hint="eastAsia" w:ascii="宋体" w:hAnsi="宋体" w:cs="宋体"/>
                <w:sz w:val="22"/>
                <w:szCs w:val="22"/>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0" w:hRule="atLeast"/>
          <w:jc w:val="center"/>
        </w:trPr>
        <w:tc>
          <w:tcPr>
            <w:tcW w:w="694" w:type="dxa"/>
            <w:vAlign w:val="center"/>
          </w:tcPr>
          <w:p>
            <w:pPr>
              <w:jc w:val="center"/>
              <w:rPr>
                <w:rFonts w:ascii="宋体" w:hAnsi="宋体" w:cs="宋体"/>
                <w:sz w:val="22"/>
              </w:rPr>
            </w:pPr>
            <w:r>
              <w:rPr>
                <w:rFonts w:hint="eastAsia" w:ascii="宋体" w:hAnsi="宋体" w:cs="宋体"/>
                <w:sz w:val="22"/>
                <w:szCs w:val="22"/>
              </w:rPr>
              <w:t>15</w:t>
            </w:r>
          </w:p>
        </w:tc>
        <w:tc>
          <w:tcPr>
            <w:tcW w:w="1715" w:type="dxa"/>
            <w:vAlign w:val="center"/>
          </w:tcPr>
          <w:p>
            <w:pPr>
              <w:adjustRightInd w:val="0"/>
              <w:jc w:val="center"/>
              <w:rPr>
                <w:rFonts w:ascii="宋体" w:hAnsi="宋体" w:cs="宋体"/>
                <w:sz w:val="22"/>
              </w:rPr>
            </w:pPr>
            <w:r>
              <w:rPr>
                <w:rFonts w:hint="eastAsia" w:ascii="宋体" w:hAnsi="宋体" w:cs="宋体"/>
                <w:sz w:val="22"/>
                <w:szCs w:val="22"/>
              </w:rPr>
              <w:t>报价货币</w:t>
            </w:r>
          </w:p>
        </w:tc>
        <w:tc>
          <w:tcPr>
            <w:tcW w:w="7821" w:type="dxa"/>
            <w:vAlign w:val="center"/>
          </w:tcPr>
          <w:p>
            <w:pPr>
              <w:adjustRightInd w:val="0"/>
              <w:rPr>
                <w:rFonts w:ascii="宋体" w:hAnsi="宋体" w:cs="宋体"/>
                <w:sz w:val="22"/>
              </w:rPr>
            </w:pPr>
            <w:r>
              <w:rPr>
                <w:rFonts w:hint="eastAsia" w:ascii="宋体" w:hAnsi="宋体" w:cs="宋体"/>
                <w:sz w:val="22"/>
                <w:szCs w:val="22"/>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0" w:hRule="atLeast"/>
          <w:jc w:val="center"/>
        </w:trPr>
        <w:tc>
          <w:tcPr>
            <w:tcW w:w="694" w:type="dxa"/>
            <w:vAlign w:val="center"/>
          </w:tcPr>
          <w:p>
            <w:pPr>
              <w:jc w:val="center"/>
              <w:rPr>
                <w:rFonts w:ascii="宋体" w:hAnsi="宋体" w:cs="宋体"/>
                <w:sz w:val="22"/>
              </w:rPr>
            </w:pPr>
            <w:r>
              <w:rPr>
                <w:rFonts w:hint="eastAsia" w:ascii="宋体" w:hAnsi="宋体" w:cs="宋体"/>
                <w:sz w:val="22"/>
                <w:szCs w:val="22"/>
              </w:rPr>
              <w:t>16</w:t>
            </w:r>
          </w:p>
        </w:tc>
        <w:tc>
          <w:tcPr>
            <w:tcW w:w="1715" w:type="dxa"/>
            <w:vAlign w:val="center"/>
          </w:tcPr>
          <w:p>
            <w:pPr>
              <w:adjustRightInd w:val="0"/>
              <w:jc w:val="center"/>
              <w:rPr>
                <w:rFonts w:ascii="宋体" w:hAnsi="宋体" w:cs="宋体"/>
                <w:sz w:val="22"/>
              </w:rPr>
            </w:pPr>
            <w:r>
              <w:rPr>
                <w:rFonts w:hint="eastAsia" w:ascii="宋体" w:hAnsi="宋体" w:cs="宋体"/>
                <w:sz w:val="22"/>
                <w:szCs w:val="22"/>
              </w:rPr>
              <w:t>报价语言</w:t>
            </w:r>
          </w:p>
        </w:tc>
        <w:tc>
          <w:tcPr>
            <w:tcW w:w="7821" w:type="dxa"/>
            <w:vAlign w:val="center"/>
          </w:tcPr>
          <w:p>
            <w:pPr>
              <w:adjustRightInd w:val="0"/>
              <w:rPr>
                <w:rFonts w:ascii="宋体" w:hAnsi="宋体" w:cs="宋体"/>
                <w:sz w:val="22"/>
              </w:rPr>
            </w:pPr>
            <w:r>
              <w:rPr>
                <w:rFonts w:hint="eastAsia" w:ascii="宋体" w:hAnsi="宋体" w:cs="宋体"/>
                <w:sz w:val="22"/>
                <w:szCs w:val="22"/>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 w:hRule="atLeast"/>
          <w:jc w:val="center"/>
        </w:trPr>
        <w:tc>
          <w:tcPr>
            <w:tcW w:w="694" w:type="dxa"/>
            <w:vAlign w:val="center"/>
          </w:tcPr>
          <w:p>
            <w:pPr>
              <w:jc w:val="center"/>
              <w:rPr>
                <w:rFonts w:ascii="宋体" w:hAnsi="宋体" w:cs="宋体"/>
                <w:sz w:val="22"/>
              </w:rPr>
            </w:pPr>
            <w:r>
              <w:rPr>
                <w:rFonts w:hint="eastAsia" w:ascii="宋体" w:hAnsi="宋体" w:cs="宋体"/>
                <w:sz w:val="22"/>
                <w:szCs w:val="22"/>
              </w:rPr>
              <w:t>17</w:t>
            </w:r>
          </w:p>
        </w:tc>
        <w:tc>
          <w:tcPr>
            <w:tcW w:w="1715" w:type="dxa"/>
            <w:vAlign w:val="center"/>
          </w:tcPr>
          <w:p>
            <w:pPr>
              <w:adjustRightInd w:val="0"/>
              <w:rPr>
                <w:rFonts w:ascii="宋体" w:hAnsi="宋体" w:cs="宋体"/>
                <w:sz w:val="22"/>
              </w:rPr>
            </w:pPr>
            <w:r>
              <w:rPr>
                <w:rFonts w:hint="eastAsia" w:ascii="宋体" w:hAnsi="宋体" w:cs="宋体"/>
                <w:sz w:val="22"/>
                <w:szCs w:val="22"/>
              </w:rPr>
              <w:t>投标文件的编制</w:t>
            </w:r>
          </w:p>
        </w:tc>
        <w:tc>
          <w:tcPr>
            <w:tcW w:w="7821" w:type="dxa"/>
            <w:vAlign w:val="center"/>
          </w:tcPr>
          <w:p>
            <w:pPr>
              <w:adjustRightInd w:val="0"/>
              <w:rPr>
                <w:rFonts w:ascii="宋体" w:hAnsi="宋体" w:cs="宋体"/>
                <w:sz w:val="22"/>
              </w:rPr>
            </w:pPr>
            <w:r>
              <w:rPr>
                <w:rFonts w:hint="eastAsia" w:ascii="宋体" w:hAnsi="宋体" w:cs="宋体"/>
                <w:sz w:val="22"/>
                <w:szCs w:val="22"/>
              </w:rPr>
              <w:t>供应商应先安装“政采云电子交易客户端”，并按照本采购文件和“政采云平台”的要求，通过“政采云电子交易客户端”编制并加密投标文件。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694" w:type="dxa"/>
            <w:vAlign w:val="center"/>
          </w:tcPr>
          <w:p>
            <w:pPr>
              <w:jc w:val="center"/>
              <w:rPr>
                <w:rFonts w:ascii="宋体" w:hAnsi="宋体" w:cs="宋体"/>
                <w:sz w:val="22"/>
              </w:rPr>
            </w:pPr>
            <w:r>
              <w:rPr>
                <w:rFonts w:hint="eastAsia" w:ascii="宋体" w:hAnsi="宋体" w:cs="宋体"/>
                <w:sz w:val="22"/>
                <w:szCs w:val="22"/>
              </w:rPr>
              <w:t>18</w:t>
            </w:r>
          </w:p>
        </w:tc>
        <w:tc>
          <w:tcPr>
            <w:tcW w:w="1715" w:type="dxa"/>
            <w:vAlign w:val="center"/>
          </w:tcPr>
          <w:p>
            <w:pPr>
              <w:jc w:val="center"/>
              <w:rPr>
                <w:rFonts w:ascii="宋体" w:hAnsi="宋体" w:cs="宋体"/>
                <w:sz w:val="22"/>
              </w:rPr>
            </w:pPr>
            <w:r>
              <w:rPr>
                <w:rFonts w:hint="eastAsia" w:ascii="宋体" w:hAnsi="宋体" w:cs="宋体"/>
                <w:sz w:val="22"/>
                <w:szCs w:val="22"/>
              </w:rPr>
              <w:t>报价有效期</w:t>
            </w:r>
          </w:p>
        </w:tc>
        <w:tc>
          <w:tcPr>
            <w:tcW w:w="7821" w:type="dxa"/>
            <w:vAlign w:val="center"/>
          </w:tcPr>
          <w:p>
            <w:pPr>
              <w:rPr>
                <w:rFonts w:ascii="宋体" w:hAnsi="宋体" w:cs="宋体"/>
                <w:sz w:val="22"/>
              </w:rPr>
            </w:pPr>
            <w:r>
              <w:rPr>
                <w:rFonts w:hint="eastAsia" w:ascii="宋体" w:hAnsi="宋体" w:cs="宋体"/>
                <w:sz w:val="22"/>
                <w:szCs w:val="22"/>
              </w:rPr>
              <w:t>提交响应文件截止时间起90天内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694" w:type="dxa"/>
            <w:vAlign w:val="center"/>
          </w:tcPr>
          <w:p>
            <w:pPr>
              <w:jc w:val="center"/>
              <w:rPr>
                <w:rFonts w:ascii="宋体" w:hAnsi="宋体" w:cs="宋体"/>
                <w:sz w:val="22"/>
              </w:rPr>
            </w:pPr>
            <w:r>
              <w:rPr>
                <w:rFonts w:hint="eastAsia" w:ascii="宋体" w:hAnsi="宋体" w:cs="宋体"/>
                <w:sz w:val="22"/>
                <w:szCs w:val="22"/>
              </w:rPr>
              <w:t>19</w:t>
            </w:r>
          </w:p>
        </w:tc>
        <w:tc>
          <w:tcPr>
            <w:tcW w:w="1715" w:type="dxa"/>
            <w:vAlign w:val="center"/>
          </w:tcPr>
          <w:p>
            <w:pPr>
              <w:jc w:val="center"/>
              <w:rPr>
                <w:rFonts w:ascii="宋体" w:hAnsi="宋体" w:cs="宋体"/>
                <w:sz w:val="22"/>
              </w:rPr>
            </w:pPr>
            <w:r>
              <w:rPr>
                <w:rFonts w:hint="eastAsia" w:ascii="宋体" w:hAnsi="宋体" w:cs="宋体"/>
                <w:sz w:val="22"/>
                <w:szCs w:val="22"/>
              </w:rPr>
              <w:t>签字或盖章要求</w:t>
            </w:r>
          </w:p>
        </w:tc>
        <w:tc>
          <w:tcPr>
            <w:tcW w:w="7821" w:type="dxa"/>
            <w:vAlign w:val="center"/>
          </w:tcPr>
          <w:p>
            <w:pPr>
              <w:rPr>
                <w:rFonts w:ascii="宋体" w:hAnsi="宋体" w:cs="宋体"/>
                <w:sz w:val="22"/>
              </w:rPr>
            </w:pPr>
            <w:r>
              <w:rPr>
                <w:rFonts w:hint="eastAsia" w:ascii="宋体" w:hAnsi="宋体" w:cs="宋体"/>
                <w:sz w:val="22"/>
                <w:szCs w:val="22"/>
              </w:rPr>
              <w:t>投标文件的相应位置应加盖：电子签章。若为联合体的投标人，投标文件</w:t>
            </w:r>
            <w:r>
              <w:rPr>
                <w:rFonts w:hint="eastAsia" w:ascii="宋体" w:hAnsi="宋体" w:cs="宋体"/>
                <w:shd w:val="clear" w:color="auto" w:fill="FFFFFF"/>
              </w:rPr>
              <w:t>除联合体协议书外可由联合体牵头人签署。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694" w:type="dxa"/>
            <w:vAlign w:val="center"/>
          </w:tcPr>
          <w:p>
            <w:pPr>
              <w:jc w:val="center"/>
              <w:rPr>
                <w:rFonts w:ascii="宋体" w:hAnsi="宋体" w:cs="宋体"/>
                <w:sz w:val="22"/>
              </w:rPr>
            </w:pPr>
            <w:r>
              <w:rPr>
                <w:rFonts w:hint="eastAsia" w:ascii="宋体" w:hAnsi="宋体" w:cs="宋体"/>
                <w:sz w:val="22"/>
                <w:szCs w:val="22"/>
              </w:rPr>
              <w:t>20</w:t>
            </w:r>
          </w:p>
        </w:tc>
        <w:tc>
          <w:tcPr>
            <w:tcW w:w="1715" w:type="dxa"/>
            <w:vAlign w:val="center"/>
          </w:tcPr>
          <w:p>
            <w:pPr>
              <w:rPr>
                <w:rFonts w:ascii="宋体" w:hAnsi="宋体" w:cs="宋体"/>
                <w:sz w:val="22"/>
              </w:rPr>
            </w:pPr>
            <w:r>
              <w:rPr>
                <w:rFonts w:hint="eastAsia" w:ascii="宋体" w:hAnsi="宋体" w:cs="宋体"/>
                <w:sz w:val="22"/>
                <w:szCs w:val="22"/>
              </w:rPr>
              <w:t>投标文件的形式、制作及组成</w:t>
            </w:r>
          </w:p>
        </w:tc>
        <w:tc>
          <w:tcPr>
            <w:tcW w:w="7821" w:type="dxa"/>
            <w:vAlign w:val="center"/>
          </w:tcPr>
          <w:p>
            <w:pPr>
              <w:rPr>
                <w:rFonts w:ascii="宋体" w:hAnsi="宋体" w:cs="宋体"/>
                <w:sz w:val="22"/>
              </w:rPr>
            </w:pPr>
            <w:r>
              <w:rPr>
                <w:rFonts w:hint="eastAsia" w:ascii="宋体" w:hAnsi="宋体" w:cs="宋体"/>
                <w:sz w:val="22"/>
                <w:szCs w:val="22"/>
              </w:rPr>
              <w:t>本项目实行在线投标响应（电子投标）。</w:t>
            </w:r>
          </w:p>
          <w:p>
            <w:pPr>
              <w:rPr>
                <w:rFonts w:ascii="宋体" w:hAnsi="宋体" w:cs="宋体"/>
                <w:sz w:val="22"/>
              </w:rPr>
            </w:pPr>
            <w:r>
              <w:rPr>
                <w:rFonts w:hint="eastAsia" w:ascii="宋体" w:hAnsi="宋体" w:cs="宋体"/>
                <w:sz w:val="22"/>
                <w:szCs w:val="22"/>
              </w:rPr>
              <w:t>投标人须准备电子投标文件（包括“电子加密投标文件”和“备份投标文件”两类，在投标文件编制完成后同时生成）。</w:t>
            </w:r>
          </w:p>
          <w:p>
            <w:pPr>
              <w:rPr>
                <w:rFonts w:ascii="宋体" w:hAnsi="宋体" w:cs="宋体"/>
                <w:sz w:val="22"/>
              </w:rPr>
            </w:pPr>
            <w:r>
              <w:rPr>
                <w:rFonts w:hint="eastAsia" w:ascii="宋体" w:hAnsi="宋体" w:cs="宋体"/>
                <w:sz w:val="22"/>
                <w:szCs w:val="22"/>
              </w:rPr>
              <w:t>（1）“电子加密投标文件”是指通过“政采云电子交易客户端”完成投标文件编制后生成并加密的数据电文形式的投标文件。</w:t>
            </w:r>
          </w:p>
          <w:p>
            <w:pPr>
              <w:rPr>
                <w:rFonts w:ascii="宋体" w:hAnsi="宋体" w:cs="宋体"/>
                <w:sz w:val="22"/>
              </w:rPr>
            </w:pPr>
            <w:r>
              <w:rPr>
                <w:rFonts w:hint="eastAsia" w:ascii="宋体" w:hAnsi="宋体" w:cs="宋体"/>
                <w:sz w:val="22"/>
                <w:szCs w:val="22"/>
              </w:rPr>
              <w:t>（2）“备份投标文件”是指与“电子加密投标文件”同时生成的数据电文形式的电子文件（备份标书），其他方式编制的备份投标文件视为无效备份投标文件。</w:t>
            </w:r>
          </w:p>
          <w:p>
            <w:pPr>
              <w:rPr>
                <w:rFonts w:ascii="宋体" w:hAnsi="宋体" w:cs="宋体"/>
                <w:sz w:val="22"/>
              </w:rPr>
            </w:pPr>
            <w:r>
              <w:rPr>
                <w:rFonts w:hint="eastAsia" w:ascii="宋体" w:hAnsi="宋体" w:cs="宋体"/>
                <w:sz w:val="22"/>
                <w:szCs w:val="22"/>
              </w:rPr>
              <w:t>以上两类投标文件均由资格文件、报价文件、商务技术文件三部分组成。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694" w:type="dxa"/>
            <w:vAlign w:val="center"/>
          </w:tcPr>
          <w:p>
            <w:pPr>
              <w:jc w:val="center"/>
              <w:rPr>
                <w:rFonts w:ascii="宋体" w:hAnsi="宋体" w:cs="宋体"/>
                <w:sz w:val="22"/>
              </w:rPr>
            </w:pPr>
            <w:r>
              <w:rPr>
                <w:rFonts w:hint="eastAsia" w:ascii="宋体" w:hAnsi="宋体" w:cs="宋体"/>
                <w:sz w:val="22"/>
                <w:szCs w:val="22"/>
              </w:rPr>
              <w:t>21</w:t>
            </w:r>
          </w:p>
        </w:tc>
        <w:tc>
          <w:tcPr>
            <w:tcW w:w="1715" w:type="dxa"/>
            <w:vAlign w:val="center"/>
          </w:tcPr>
          <w:p>
            <w:pPr>
              <w:jc w:val="center"/>
              <w:rPr>
                <w:rFonts w:ascii="宋体" w:hAnsi="宋体" w:cs="宋体"/>
                <w:sz w:val="22"/>
              </w:rPr>
            </w:pPr>
            <w:r>
              <w:rPr>
                <w:rFonts w:hint="eastAsia" w:ascii="宋体" w:hAnsi="宋体" w:cs="宋体"/>
                <w:sz w:val="22"/>
                <w:szCs w:val="22"/>
              </w:rPr>
              <w:t>投标样品</w:t>
            </w:r>
          </w:p>
        </w:tc>
        <w:tc>
          <w:tcPr>
            <w:tcW w:w="7821" w:type="dxa"/>
            <w:vAlign w:val="center"/>
          </w:tcPr>
          <w:p>
            <w:pPr>
              <w:rPr>
                <w:rFonts w:ascii="宋体" w:hAnsi="宋体" w:cs="宋体"/>
                <w:sz w:val="22"/>
              </w:rPr>
            </w:pPr>
            <w:r>
              <w:rPr>
                <w:rFonts w:hint="eastAsia" w:ascii="宋体" w:hAnsi="宋体" w:cs="宋体"/>
                <w:b/>
                <w:bCs/>
                <w:sz w:val="22"/>
                <w:szCs w:val="22"/>
              </w:rPr>
              <w:fldChar w:fldCharType="begin"/>
            </w:r>
            <w:r>
              <w:rPr>
                <w:rFonts w:hint="eastAsia" w:ascii="宋体" w:hAnsi="宋体" w:cs="宋体"/>
                <w:b/>
                <w:bCs/>
                <w:sz w:val="22"/>
                <w:szCs w:val="22"/>
              </w:rPr>
              <w:instrText xml:space="preserve"> eq \o\ac(□,</w:instrText>
            </w:r>
            <w:r>
              <w:rPr>
                <w:rFonts w:hint="eastAsia" w:ascii="宋体" w:hAnsi="宋体" w:cs="宋体"/>
                <w:b/>
                <w:bCs/>
                <w:position w:val="2"/>
                <w:sz w:val="15"/>
                <w:szCs w:val="22"/>
              </w:rPr>
              <w:instrText xml:space="preserve">√</w:instrText>
            </w:r>
            <w:r>
              <w:rPr>
                <w:rFonts w:hint="eastAsia" w:ascii="宋体" w:hAnsi="宋体" w:cs="宋体"/>
                <w:b/>
                <w:bCs/>
                <w:sz w:val="22"/>
                <w:szCs w:val="22"/>
              </w:rPr>
              <w:instrText xml:space="preserve">)</w:instrText>
            </w:r>
            <w:r>
              <w:rPr>
                <w:rFonts w:hint="eastAsia" w:ascii="宋体" w:hAnsi="宋体" w:cs="宋体"/>
                <w:b/>
                <w:bCs/>
                <w:sz w:val="22"/>
                <w:szCs w:val="22"/>
              </w:rPr>
              <w:fldChar w:fldCharType="end"/>
            </w:r>
            <w:r>
              <w:rPr>
                <w:rFonts w:hint="eastAsia" w:ascii="宋体" w:hAnsi="宋体" w:cs="宋体"/>
                <w:sz w:val="22"/>
                <w:szCs w:val="22"/>
              </w:rPr>
              <w:t>不需要</w:t>
            </w:r>
          </w:p>
          <w:p>
            <w:pPr>
              <w:rPr>
                <w:rFonts w:ascii="宋体" w:hAnsi="宋体" w:cs="宋体"/>
                <w:sz w:val="22"/>
              </w:rPr>
            </w:pPr>
            <w:r>
              <w:rPr>
                <w:rFonts w:hint="eastAsia" w:ascii="宋体" w:hAnsi="宋体" w:cs="宋体"/>
                <w:sz w:val="22"/>
                <w:szCs w:val="22"/>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694" w:type="dxa"/>
            <w:vAlign w:val="center"/>
          </w:tcPr>
          <w:p>
            <w:pPr>
              <w:jc w:val="center"/>
              <w:rPr>
                <w:rFonts w:ascii="宋体" w:hAnsi="宋体" w:cs="宋体"/>
                <w:sz w:val="22"/>
              </w:rPr>
            </w:pPr>
            <w:r>
              <w:rPr>
                <w:rFonts w:hint="eastAsia" w:ascii="宋体" w:hAnsi="宋体" w:cs="宋体"/>
                <w:sz w:val="22"/>
                <w:szCs w:val="22"/>
              </w:rPr>
              <w:t>22</w:t>
            </w:r>
          </w:p>
        </w:tc>
        <w:tc>
          <w:tcPr>
            <w:tcW w:w="1715" w:type="dxa"/>
            <w:vAlign w:val="center"/>
          </w:tcPr>
          <w:p>
            <w:pPr>
              <w:jc w:val="center"/>
              <w:rPr>
                <w:rFonts w:ascii="宋体" w:hAnsi="宋体" w:cs="宋体"/>
                <w:sz w:val="22"/>
              </w:rPr>
            </w:pPr>
            <w:r>
              <w:rPr>
                <w:rFonts w:hint="eastAsia" w:ascii="宋体" w:hAnsi="宋体" w:cs="宋体"/>
                <w:sz w:val="22"/>
                <w:szCs w:val="22"/>
              </w:rPr>
              <w:t>投标保证金</w:t>
            </w:r>
          </w:p>
        </w:tc>
        <w:tc>
          <w:tcPr>
            <w:tcW w:w="7821" w:type="dxa"/>
            <w:vAlign w:val="center"/>
          </w:tcPr>
          <w:p>
            <w:pPr>
              <w:rPr>
                <w:rFonts w:ascii="宋体" w:hAnsi="宋体" w:cs="宋体"/>
                <w:sz w:val="22"/>
              </w:rPr>
            </w:pPr>
            <w:r>
              <w:rPr>
                <w:rFonts w:hint="eastAsia" w:ascii="宋体" w:hAnsi="宋体" w:cs="宋体"/>
                <w:b/>
                <w:bCs/>
                <w:sz w:val="22"/>
                <w:szCs w:val="22"/>
              </w:rPr>
              <w:fldChar w:fldCharType="begin"/>
            </w:r>
            <w:r>
              <w:rPr>
                <w:rFonts w:hint="eastAsia" w:ascii="宋体" w:hAnsi="宋体" w:cs="宋体"/>
                <w:b/>
                <w:bCs/>
                <w:sz w:val="22"/>
                <w:szCs w:val="22"/>
              </w:rPr>
              <w:instrText xml:space="preserve"> eq \o\ac(□,</w:instrText>
            </w:r>
            <w:r>
              <w:rPr>
                <w:rFonts w:hint="eastAsia" w:ascii="宋体" w:hAnsi="宋体" w:cs="宋体"/>
                <w:b/>
                <w:bCs/>
                <w:position w:val="2"/>
                <w:sz w:val="15"/>
                <w:szCs w:val="22"/>
              </w:rPr>
              <w:instrText xml:space="preserve">√</w:instrText>
            </w:r>
            <w:r>
              <w:rPr>
                <w:rFonts w:hint="eastAsia" w:ascii="宋体" w:hAnsi="宋体" w:cs="宋体"/>
                <w:b/>
                <w:bCs/>
                <w:sz w:val="22"/>
                <w:szCs w:val="22"/>
              </w:rPr>
              <w:instrText xml:space="preserve">)</w:instrText>
            </w:r>
            <w:r>
              <w:rPr>
                <w:rFonts w:hint="eastAsia" w:ascii="宋体" w:hAnsi="宋体" w:cs="宋体"/>
                <w:b/>
                <w:bCs/>
                <w:sz w:val="22"/>
                <w:szCs w:val="22"/>
              </w:rPr>
              <w:fldChar w:fldCharType="end"/>
            </w:r>
            <w:r>
              <w:rPr>
                <w:rFonts w:hint="eastAsia" w:ascii="宋体" w:hAnsi="宋体" w:cs="宋体"/>
                <w:sz w:val="22"/>
                <w:szCs w:val="22"/>
              </w:rPr>
              <w:t>不需要</w:t>
            </w:r>
          </w:p>
          <w:p>
            <w:pPr>
              <w:rPr>
                <w:rFonts w:ascii="宋体" w:hAnsi="宋体" w:cs="宋体"/>
                <w:sz w:val="22"/>
              </w:rPr>
            </w:pPr>
            <w:r>
              <w:rPr>
                <w:rFonts w:hint="eastAsia" w:ascii="宋体" w:hAnsi="宋体" w:cs="宋体"/>
                <w:sz w:val="22"/>
                <w:szCs w:val="22"/>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7" w:hRule="atLeast"/>
          <w:jc w:val="center"/>
        </w:trPr>
        <w:tc>
          <w:tcPr>
            <w:tcW w:w="694" w:type="dxa"/>
            <w:vAlign w:val="center"/>
          </w:tcPr>
          <w:p>
            <w:pPr>
              <w:jc w:val="center"/>
              <w:rPr>
                <w:rFonts w:ascii="宋体" w:hAnsi="宋体" w:cs="宋体"/>
                <w:sz w:val="22"/>
              </w:rPr>
            </w:pPr>
            <w:r>
              <w:rPr>
                <w:rFonts w:hint="eastAsia" w:ascii="宋体" w:hAnsi="宋体" w:cs="宋体"/>
                <w:sz w:val="22"/>
                <w:szCs w:val="22"/>
              </w:rPr>
              <w:t>23</w:t>
            </w:r>
          </w:p>
        </w:tc>
        <w:tc>
          <w:tcPr>
            <w:tcW w:w="1715" w:type="dxa"/>
            <w:vAlign w:val="center"/>
          </w:tcPr>
          <w:p>
            <w:pPr>
              <w:adjustRightInd w:val="0"/>
              <w:jc w:val="center"/>
              <w:rPr>
                <w:rFonts w:ascii="宋体" w:hAnsi="宋体" w:cs="宋体"/>
                <w:sz w:val="22"/>
              </w:rPr>
            </w:pPr>
            <w:r>
              <w:rPr>
                <w:rFonts w:hint="eastAsia" w:ascii="宋体" w:hAnsi="宋体" w:cs="宋体"/>
                <w:sz w:val="22"/>
                <w:szCs w:val="22"/>
              </w:rPr>
              <w:t>履约担保</w:t>
            </w:r>
          </w:p>
        </w:tc>
        <w:tc>
          <w:tcPr>
            <w:tcW w:w="7821" w:type="dxa"/>
            <w:vAlign w:val="center"/>
          </w:tcPr>
          <w:p>
            <w:pPr>
              <w:rPr>
                <w:rFonts w:ascii="宋体" w:hAnsi="宋体" w:cs="宋体"/>
                <w:sz w:val="22"/>
              </w:rPr>
            </w:pPr>
            <w:r>
              <w:rPr>
                <w:rFonts w:hint="eastAsia" w:ascii="宋体" w:hAnsi="宋体" w:cs="宋体"/>
                <w:sz w:val="22"/>
                <w:szCs w:val="22"/>
              </w:rPr>
              <w:fldChar w:fldCharType="begin"/>
            </w:r>
            <w:r>
              <w:rPr>
                <w:rFonts w:hint="eastAsia" w:ascii="宋体" w:hAnsi="宋体" w:cs="宋体"/>
                <w:sz w:val="22"/>
                <w:szCs w:val="22"/>
              </w:rPr>
              <w:instrText xml:space="preserve"> eq \o\ac(□)</w:instrText>
            </w:r>
            <w:r>
              <w:rPr>
                <w:rFonts w:hint="eastAsia" w:ascii="宋体" w:hAnsi="宋体" w:cs="宋体"/>
                <w:sz w:val="22"/>
                <w:szCs w:val="22"/>
              </w:rPr>
              <w:fldChar w:fldCharType="end"/>
            </w:r>
            <w:r>
              <w:rPr>
                <w:rFonts w:hint="eastAsia" w:ascii="宋体" w:hAnsi="宋体" w:cs="宋体"/>
                <w:sz w:val="22"/>
                <w:szCs w:val="22"/>
              </w:rPr>
              <w:t>不需要</w:t>
            </w:r>
          </w:p>
          <w:p>
            <w:pPr>
              <w:adjustRightInd w:val="0"/>
              <w:rPr>
                <w:rFonts w:ascii="宋体" w:hAnsi="宋体" w:cs="宋体"/>
                <w:sz w:val="22"/>
              </w:rPr>
            </w:pPr>
            <w:r>
              <w:rPr>
                <w:rFonts w:hint="eastAsia" w:ascii="宋体" w:hAnsi="宋体" w:cs="宋体"/>
                <w:b/>
                <w:bCs/>
                <w:sz w:val="22"/>
                <w:szCs w:val="22"/>
              </w:rPr>
              <w:fldChar w:fldCharType="begin"/>
            </w:r>
            <w:r>
              <w:rPr>
                <w:rFonts w:hint="eastAsia" w:ascii="宋体" w:hAnsi="宋体" w:cs="宋体"/>
                <w:b/>
                <w:bCs/>
                <w:sz w:val="22"/>
                <w:szCs w:val="22"/>
              </w:rPr>
              <w:instrText xml:space="preserve"> eq \o\ac(□,</w:instrText>
            </w:r>
            <w:r>
              <w:rPr>
                <w:rFonts w:hint="eastAsia" w:ascii="宋体" w:hAnsi="宋体" w:cs="宋体"/>
                <w:b/>
                <w:bCs/>
                <w:position w:val="2"/>
                <w:sz w:val="15"/>
                <w:szCs w:val="22"/>
              </w:rPr>
              <w:instrText xml:space="preserve">√</w:instrText>
            </w:r>
            <w:r>
              <w:rPr>
                <w:rFonts w:hint="eastAsia" w:ascii="宋体" w:hAnsi="宋体" w:cs="宋体"/>
                <w:b/>
                <w:bCs/>
                <w:sz w:val="22"/>
                <w:szCs w:val="22"/>
              </w:rPr>
              <w:instrText xml:space="preserve">)</w:instrText>
            </w:r>
            <w:r>
              <w:rPr>
                <w:rFonts w:hint="eastAsia" w:ascii="宋体" w:hAnsi="宋体" w:cs="宋体"/>
                <w:b/>
                <w:bCs/>
                <w:sz w:val="22"/>
                <w:szCs w:val="22"/>
              </w:rPr>
              <w:fldChar w:fldCharType="end"/>
            </w:r>
            <w:r>
              <w:rPr>
                <w:rFonts w:hint="eastAsia" w:ascii="宋体" w:hAnsi="宋体" w:cs="宋体"/>
                <w:sz w:val="22"/>
                <w:szCs w:val="22"/>
              </w:rPr>
              <w:t>需要  合同签订后成交供应商应提供合同总金额5%的履约保证金至采购人指定账户，履约保证金可以以银行或保险公司出具的保函作为履约保函。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32" w:hRule="atLeast"/>
          <w:jc w:val="center"/>
        </w:trPr>
        <w:tc>
          <w:tcPr>
            <w:tcW w:w="694" w:type="dxa"/>
            <w:vAlign w:val="center"/>
          </w:tcPr>
          <w:p>
            <w:pPr>
              <w:jc w:val="center"/>
              <w:rPr>
                <w:rFonts w:ascii="宋体" w:hAnsi="宋体" w:cs="宋体"/>
                <w:sz w:val="22"/>
              </w:rPr>
            </w:pPr>
            <w:r>
              <w:rPr>
                <w:rFonts w:hint="eastAsia" w:ascii="宋体" w:hAnsi="宋体" w:cs="宋体"/>
                <w:sz w:val="22"/>
                <w:szCs w:val="22"/>
              </w:rPr>
              <w:t>24</w:t>
            </w:r>
          </w:p>
        </w:tc>
        <w:tc>
          <w:tcPr>
            <w:tcW w:w="1715" w:type="dxa"/>
            <w:vAlign w:val="center"/>
          </w:tcPr>
          <w:p>
            <w:pPr>
              <w:adjustRightInd w:val="0"/>
              <w:jc w:val="center"/>
              <w:rPr>
                <w:rFonts w:ascii="宋体" w:hAnsi="宋体" w:cs="宋体"/>
                <w:sz w:val="22"/>
              </w:rPr>
            </w:pPr>
            <w:r>
              <w:rPr>
                <w:rFonts w:hint="eastAsia" w:ascii="宋体" w:hAnsi="宋体" w:cs="宋体"/>
                <w:sz w:val="22"/>
                <w:szCs w:val="22"/>
              </w:rPr>
              <w:t>投标文件份数</w:t>
            </w:r>
          </w:p>
        </w:tc>
        <w:tc>
          <w:tcPr>
            <w:tcW w:w="7821" w:type="dxa"/>
            <w:vAlign w:val="center"/>
          </w:tcPr>
          <w:p>
            <w:pPr>
              <w:adjustRightInd w:val="0"/>
              <w:jc w:val="left"/>
              <w:rPr>
                <w:rFonts w:ascii="宋体" w:hAnsi="宋体" w:cs="宋体"/>
                <w:sz w:val="22"/>
              </w:rPr>
            </w:pPr>
            <w:r>
              <w:rPr>
                <w:rFonts w:hint="eastAsia" w:ascii="宋体" w:hAnsi="宋体" w:cs="宋体"/>
                <w:sz w:val="22"/>
                <w:szCs w:val="22"/>
              </w:rPr>
              <w:t>（1）“电子加密投标文件”：在线上传递交、一份。</w:t>
            </w:r>
          </w:p>
          <w:p>
            <w:pPr>
              <w:adjustRightInd w:val="0"/>
              <w:jc w:val="left"/>
              <w:rPr>
                <w:rFonts w:ascii="宋体" w:hAnsi="宋体" w:cs="宋体"/>
                <w:sz w:val="22"/>
              </w:rPr>
            </w:pPr>
            <w:r>
              <w:rPr>
                <w:rFonts w:hint="eastAsia" w:ascii="宋体" w:hAnsi="宋体" w:cs="宋体"/>
                <w:sz w:val="22"/>
                <w:szCs w:val="22"/>
              </w:rPr>
              <w:t>（2）“备份投标文件”：以U盘存储，密封包装后（顺丰快递形式）在</w:t>
            </w:r>
            <w:r>
              <w:rPr>
                <w:rFonts w:hint="eastAsia" w:ascii="宋体" w:hAnsi="宋体" w:cs="宋体"/>
                <w:sz w:val="22"/>
                <w:szCs w:val="22"/>
                <w:u w:val="single"/>
              </w:rPr>
              <w:t>2021年</w:t>
            </w:r>
            <w:r>
              <w:rPr>
                <w:rFonts w:hint="eastAsia" w:ascii="宋体" w:hAnsi="宋体" w:cs="宋体"/>
                <w:sz w:val="22"/>
                <w:szCs w:val="22"/>
                <w:u w:val="single"/>
                <w:lang w:val="en-US" w:eastAsia="zh-CN"/>
              </w:rPr>
              <w:t>12</w:t>
            </w:r>
            <w:r>
              <w:rPr>
                <w:rFonts w:hint="eastAsia" w:ascii="宋体" w:hAnsi="宋体" w:cs="宋体"/>
                <w:sz w:val="22"/>
                <w:szCs w:val="22"/>
                <w:u w:val="single"/>
              </w:rPr>
              <w:t>月</w:t>
            </w:r>
            <w:r>
              <w:rPr>
                <w:rFonts w:hint="eastAsia" w:ascii="宋体" w:hAnsi="宋体" w:cs="宋体"/>
                <w:sz w:val="22"/>
                <w:szCs w:val="22"/>
                <w:u w:val="single"/>
                <w:lang w:val="en-US" w:eastAsia="zh-CN"/>
              </w:rPr>
              <w:t>23</w:t>
            </w:r>
            <w:r>
              <w:rPr>
                <w:rFonts w:hint="eastAsia" w:ascii="宋体" w:hAnsi="宋体" w:cs="宋体"/>
                <w:sz w:val="22"/>
                <w:szCs w:val="22"/>
                <w:u w:val="single"/>
              </w:rPr>
              <w:t>日16时00分</w:t>
            </w:r>
            <w:r>
              <w:rPr>
                <w:rFonts w:hint="eastAsia" w:ascii="宋体" w:hAnsi="宋体" w:cs="宋体"/>
                <w:sz w:val="22"/>
                <w:szCs w:val="22"/>
              </w:rPr>
              <w:t>前递交，一份，邮寄地址：金三角大酒店副楼六楼工程部（永嘉县瓯北街道双塔路1777号），戴先生收，联系电话：13906670571。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7" w:hRule="atLeast"/>
          <w:jc w:val="center"/>
        </w:trPr>
        <w:tc>
          <w:tcPr>
            <w:tcW w:w="694" w:type="dxa"/>
            <w:vAlign w:val="center"/>
          </w:tcPr>
          <w:p>
            <w:pPr>
              <w:jc w:val="center"/>
              <w:rPr>
                <w:rFonts w:ascii="宋体" w:hAnsi="宋体" w:cs="宋体"/>
                <w:sz w:val="22"/>
              </w:rPr>
            </w:pPr>
            <w:r>
              <w:rPr>
                <w:rFonts w:hint="eastAsia" w:ascii="宋体" w:hAnsi="宋体" w:cs="宋体"/>
                <w:sz w:val="22"/>
                <w:szCs w:val="22"/>
              </w:rPr>
              <w:t>25</w:t>
            </w:r>
          </w:p>
        </w:tc>
        <w:tc>
          <w:tcPr>
            <w:tcW w:w="1715" w:type="dxa"/>
            <w:vAlign w:val="center"/>
          </w:tcPr>
          <w:p>
            <w:pPr>
              <w:jc w:val="center"/>
              <w:rPr>
                <w:rFonts w:ascii="宋体" w:hAnsi="宋体" w:cs="宋体"/>
                <w:sz w:val="22"/>
              </w:rPr>
            </w:pPr>
            <w:r>
              <w:rPr>
                <w:rFonts w:hint="eastAsia" w:ascii="宋体" w:hAnsi="宋体" w:cs="宋体"/>
                <w:sz w:val="22"/>
                <w:szCs w:val="22"/>
              </w:rPr>
              <w:t>响应文件递交截止时间及开标时间</w:t>
            </w:r>
          </w:p>
        </w:tc>
        <w:tc>
          <w:tcPr>
            <w:tcW w:w="7821" w:type="dxa"/>
            <w:vAlign w:val="center"/>
          </w:tcPr>
          <w:p>
            <w:pPr>
              <w:rPr>
                <w:rFonts w:ascii="宋体" w:hAnsi="宋体" w:cs="宋体"/>
                <w:sz w:val="22"/>
              </w:rPr>
            </w:pPr>
            <w:r>
              <w:rPr>
                <w:rFonts w:hint="eastAsia" w:ascii="宋体" w:hAnsi="宋体" w:cs="宋体"/>
              </w:rPr>
              <w:t>2021年</w:t>
            </w:r>
            <w:r>
              <w:rPr>
                <w:rFonts w:hint="eastAsia" w:cs="宋体"/>
                <w:lang w:val="en-US" w:eastAsia="zh-CN"/>
              </w:rPr>
              <w:t>12</w:t>
            </w:r>
            <w:r>
              <w:rPr>
                <w:rFonts w:hint="eastAsia" w:ascii="宋体" w:hAnsi="宋体" w:cs="宋体"/>
              </w:rPr>
              <w:t>月</w:t>
            </w:r>
            <w:r>
              <w:rPr>
                <w:rFonts w:hint="eastAsia" w:cs="宋体"/>
                <w:lang w:val="en-US" w:eastAsia="zh-CN"/>
              </w:rPr>
              <w:t>24</w:t>
            </w:r>
            <w:r>
              <w:rPr>
                <w:rFonts w:hint="eastAsia" w:ascii="宋体" w:hAnsi="宋体" w:cs="宋体"/>
              </w:rPr>
              <w:t>日</w:t>
            </w:r>
            <w:r>
              <w:rPr>
                <w:rFonts w:hint="eastAsia" w:cs="宋体"/>
                <w:lang w:val="en-US" w:eastAsia="zh-CN"/>
              </w:rPr>
              <w:t>9</w:t>
            </w:r>
            <w:r>
              <w:rPr>
                <w:rFonts w:hint="eastAsia" w:ascii="宋体" w:hAnsi="宋体" w:cs="宋体"/>
              </w:rPr>
              <w:t>:30（北京时间）</w:t>
            </w:r>
            <w:r>
              <w:rPr>
                <w:rFonts w:hint="eastAsia" w:ascii="宋体" w:hAnsi="宋体" w:cs="宋体"/>
                <w:sz w:val="22"/>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97" w:hRule="atLeast"/>
          <w:jc w:val="center"/>
        </w:trPr>
        <w:tc>
          <w:tcPr>
            <w:tcW w:w="694" w:type="dxa"/>
            <w:vAlign w:val="center"/>
          </w:tcPr>
          <w:p>
            <w:pPr>
              <w:jc w:val="center"/>
              <w:rPr>
                <w:rFonts w:ascii="宋体" w:hAnsi="宋体" w:cs="宋体"/>
                <w:sz w:val="22"/>
              </w:rPr>
            </w:pPr>
            <w:r>
              <w:rPr>
                <w:rFonts w:hint="eastAsia" w:ascii="宋体" w:hAnsi="宋体" w:cs="宋体"/>
                <w:sz w:val="22"/>
                <w:szCs w:val="22"/>
              </w:rPr>
              <w:t>26</w:t>
            </w:r>
          </w:p>
        </w:tc>
        <w:tc>
          <w:tcPr>
            <w:tcW w:w="1715" w:type="dxa"/>
            <w:vAlign w:val="center"/>
          </w:tcPr>
          <w:p>
            <w:pPr>
              <w:autoSpaceDE w:val="0"/>
              <w:autoSpaceDN w:val="0"/>
              <w:adjustRightInd w:val="0"/>
              <w:spacing w:line="300" w:lineRule="atLeast"/>
              <w:rPr>
                <w:rFonts w:ascii="宋体" w:hAnsi="宋体" w:cs="宋体"/>
                <w:sz w:val="22"/>
                <w:lang w:val="zh-CN"/>
              </w:rPr>
            </w:pPr>
            <w:r>
              <w:rPr>
                <w:rFonts w:hint="eastAsia" w:ascii="宋体" w:hAnsi="宋体" w:cs="宋体"/>
                <w:sz w:val="22"/>
                <w:szCs w:val="22"/>
                <w:lang w:val="zh-CN"/>
              </w:rPr>
              <w:t>投标文件的上传和递交</w:t>
            </w:r>
          </w:p>
        </w:tc>
        <w:tc>
          <w:tcPr>
            <w:tcW w:w="7821" w:type="dxa"/>
            <w:vAlign w:val="center"/>
          </w:tcPr>
          <w:p>
            <w:pPr>
              <w:pStyle w:val="60"/>
              <w:autoSpaceDE w:val="0"/>
              <w:autoSpaceDN w:val="0"/>
              <w:adjustRightInd w:val="0"/>
              <w:spacing w:line="300" w:lineRule="atLeast"/>
              <w:jc w:val="both"/>
              <w:rPr>
                <w:sz w:val="22"/>
                <w:szCs w:val="22"/>
              </w:rPr>
            </w:pPr>
            <w:r>
              <w:rPr>
                <w:rFonts w:hint="eastAsia"/>
                <w:sz w:val="22"/>
                <w:szCs w:val="22"/>
              </w:rPr>
              <w:t>一、“电子加密投标文件”的上传、递交：</w:t>
            </w:r>
          </w:p>
          <w:p>
            <w:pPr>
              <w:pStyle w:val="60"/>
              <w:autoSpaceDE w:val="0"/>
              <w:autoSpaceDN w:val="0"/>
              <w:adjustRightInd w:val="0"/>
              <w:spacing w:line="300" w:lineRule="atLeast"/>
              <w:ind w:firstLine="440" w:firstLineChars="200"/>
              <w:jc w:val="both"/>
              <w:rPr>
                <w:sz w:val="22"/>
                <w:szCs w:val="22"/>
              </w:rPr>
            </w:pPr>
            <w:r>
              <w:rPr>
                <w:rFonts w:hint="eastAsia"/>
                <w:sz w:val="22"/>
                <w:szCs w:val="22"/>
              </w:rPr>
              <w:t>a.投标人应在投标文件递交截止时间前将“电子加密投标文件”成功上传递交至“政采云平台”，否则投标无效。</w:t>
            </w:r>
          </w:p>
          <w:p>
            <w:pPr>
              <w:pStyle w:val="60"/>
              <w:autoSpaceDE w:val="0"/>
              <w:autoSpaceDN w:val="0"/>
              <w:adjustRightInd w:val="0"/>
              <w:spacing w:line="300" w:lineRule="atLeast"/>
              <w:ind w:firstLine="440" w:firstLineChars="200"/>
              <w:jc w:val="both"/>
              <w:rPr>
                <w:sz w:val="22"/>
                <w:szCs w:val="22"/>
              </w:rPr>
            </w:pPr>
            <w:r>
              <w:rPr>
                <w:rFonts w:hint="eastAsia"/>
                <w:sz w:val="22"/>
                <w:szCs w:val="22"/>
              </w:rPr>
              <w:t>b.“电子加密投标文件”成功上传递交后，供应商可自行打印投标文件接收回执。</w:t>
            </w:r>
          </w:p>
          <w:p>
            <w:pPr>
              <w:pStyle w:val="60"/>
              <w:autoSpaceDE w:val="0"/>
              <w:autoSpaceDN w:val="0"/>
              <w:adjustRightInd w:val="0"/>
              <w:spacing w:line="300" w:lineRule="atLeast"/>
              <w:jc w:val="both"/>
              <w:rPr>
                <w:sz w:val="22"/>
                <w:szCs w:val="22"/>
              </w:rPr>
            </w:pPr>
            <w:r>
              <w:rPr>
                <w:rFonts w:hint="eastAsia"/>
                <w:sz w:val="22"/>
                <w:szCs w:val="22"/>
              </w:rPr>
              <w:t>二、“备份投标文件”的密封包装、递交：</w:t>
            </w:r>
          </w:p>
          <w:p>
            <w:pPr>
              <w:pStyle w:val="60"/>
              <w:autoSpaceDE w:val="0"/>
              <w:autoSpaceDN w:val="0"/>
              <w:adjustRightInd w:val="0"/>
              <w:spacing w:line="300" w:lineRule="atLeast"/>
              <w:ind w:firstLine="440" w:firstLineChars="200"/>
              <w:jc w:val="both"/>
              <w:rPr>
                <w:sz w:val="22"/>
                <w:szCs w:val="22"/>
              </w:rPr>
            </w:pPr>
            <w:r>
              <w:rPr>
                <w:rFonts w:hint="eastAsia"/>
                <w:sz w:val="22"/>
                <w:szCs w:val="22"/>
              </w:rPr>
              <w:t>a.投标人在“政采云平台”完成“电子加密投标文件”的上传递交后，还可以（建议顺丰快递形式）递交以介质（U盘）存储的 “备份投标文件”（一份）；顺丰快递形式快递至采购代理机构地址（地址详见招标采购文件，防疫期间不建议供应商本代表抵达开评标地点）；解密CA必须是上传并制作电子投标文件CA锁。</w:t>
            </w:r>
          </w:p>
          <w:p>
            <w:pPr>
              <w:autoSpaceDE w:val="0"/>
              <w:autoSpaceDN w:val="0"/>
              <w:adjustRightInd w:val="0"/>
              <w:spacing w:line="300" w:lineRule="atLeast"/>
              <w:ind w:firstLine="440" w:firstLineChars="200"/>
              <w:rPr>
                <w:rFonts w:ascii="宋体" w:hAnsi="宋体" w:cs="宋体"/>
                <w:sz w:val="22"/>
                <w:lang w:val="zh-CN"/>
              </w:rPr>
            </w:pPr>
            <w:r>
              <w:rPr>
                <w:rFonts w:hint="eastAsia" w:ascii="宋体" w:hAnsi="宋体" w:cs="宋体"/>
                <w:sz w:val="22"/>
                <w:szCs w:val="22"/>
                <w:lang w:val="zh-CN"/>
              </w:rPr>
              <w:t>b.“备份投标文件”应当密封包装，并在包装上标注投标项目名称、投标单位名称并加盖公章。没有密封包装或者逾期邮寄送达至投标地点的“备份投标文件”将不予接收。</w:t>
            </w:r>
          </w:p>
          <w:p>
            <w:pPr>
              <w:autoSpaceDE w:val="0"/>
              <w:autoSpaceDN w:val="0"/>
              <w:adjustRightInd w:val="0"/>
              <w:spacing w:line="300" w:lineRule="atLeast"/>
              <w:ind w:firstLine="440" w:firstLineChars="200"/>
              <w:rPr>
                <w:rFonts w:ascii="宋体" w:hAnsi="宋体" w:cs="宋体"/>
                <w:sz w:val="22"/>
                <w:lang w:val="zh-CN"/>
              </w:rPr>
            </w:pPr>
            <w:r>
              <w:rPr>
                <w:rFonts w:hint="eastAsia" w:ascii="宋体" w:hAnsi="宋体" w:cs="宋体"/>
                <w:sz w:val="22"/>
                <w:szCs w:val="22"/>
                <w:lang w:val="zh-CN"/>
              </w:rPr>
              <w:t>c.通过“政采云平台”成功上传递交的“电子加密投标文件”已按时解密的，“备份投标文件”自动失效。投标文件递交截止时间前，投标人仅递交了“备份投标文件”而未将“电子加密投标文件”成功上传至“政采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6" w:hRule="atLeast"/>
          <w:jc w:val="center"/>
        </w:trPr>
        <w:tc>
          <w:tcPr>
            <w:tcW w:w="694" w:type="dxa"/>
            <w:vAlign w:val="center"/>
          </w:tcPr>
          <w:p>
            <w:pPr>
              <w:jc w:val="center"/>
              <w:rPr>
                <w:rFonts w:ascii="宋体" w:hAnsi="宋体" w:cs="宋体"/>
                <w:sz w:val="22"/>
              </w:rPr>
            </w:pPr>
            <w:r>
              <w:rPr>
                <w:rFonts w:hint="eastAsia" w:ascii="宋体" w:hAnsi="宋体" w:cs="宋体"/>
                <w:sz w:val="22"/>
                <w:szCs w:val="22"/>
              </w:rPr>
              <w:t>27</w:t>
            </w:r>
          </w:p>
        </w:tc>
        <w:tc>
          <w:tcPr>
            <w:tcW w:w="1715" w:type="dxa"/>
            <w:vAlign w:val="center"/>
          </w:tcPr>
          <w:p>
            <w:pPr>
              <w:autoSpaceDE w:val="0"/>
              <w:autoSpaceDN w:val="0"/>
              <w:adjustRightInd w:val="0"/>
              <w:spacing w:line="300" w:lineRule="atLeast"/>
              <w:rPr>
                <w:rFonts w:ascii="宋体" w:hAnsi="宋体" w:cs="宋体"/>
                <w:sz w:val="22"/>
                <w:lang w:val="zh-CN"/>
              </w:rPr>
            </w:pPr>
            <w:r>
              <w:rPr>
                <w:rFonts w:hint="eastAsia" w:ascii="宋体" w:hAnsi="宋体" w:cs="宋体"/>
                <w:sz w:val="22"/>
                <w:szCs w:val="22"/>
                <w:lang w:val="zh-CN"/>
              </w:rPr>
              <w:t>电子加密投标文件的解密和异常情况处理</w:t>
            </w:r>
          </w:p>
        </w:tc>
        <w:tc>
          <w:tcPr>
            <w:tcW w:w="7821" w:type="dxa"/>
            <w:vAlign w:val="center"/>
          </w:tcPr>
          <w:p>
            <w:pPr>
              <w:autoSpaceDE w:val="0"/>
              <w:autoSpaceDN w:val="0"/>
              <w:adjustRightInd w:val="0"/>
              <w:spacing w:line="300" w:lineRule="atLeast"/>
              <w:rPr>
                <w:rFonts w:ascii="宋体" w:hAnsi="宋体" w:cs="宋体"/>
                <w:sz w:val="22"/>
                <w:lang w:val="zh-CN"/>
              </w:rPr>
            </w:pPr>
            <w:r>
              <w:rPr>
                <w:rFonts w:hint="eastAsia" w:ascii="宋体" w:hAnsi="宋体" w:cs="宋体"/>
                <w:sz w:val="22"/>
                <w:szCs w:val="22"/>
                <w:lang w:val="zh-CN"/>
              </w:rPr>
              <w:t>（1）开标后，采购组织机构将向各投标人发出“电子加密投标文件”的解密通知，各投标人代表应当在接到解密通知后30分钟内自行完成“电子加密投标文件”的在线解密。</w:t>
            </w:r>
          </w:p>
          <w:p>
            <w:pPr>
              <w:autoSpaceDE w:val="0"/>
              <w:autoSpaceDN w:val="0"/>
              <w:adjustRightInd w:val="0"/>
              <w:spacing w:line="300" w:lineRule="atLeast"/>
              <w:rPr>
                <w:rFonts w:ascii="宋体" w:hAnsi="宋体" w:cs="宋体"/>
                <w:sz w:val="22"/>
                <w:lang w:val="zh-CN"/>
              </w:rPr>
            </w:pPr>
            <w:r>
              <w:rPr>
                <w:rFonts w:hint="eastAsia" w:ascii="宋体" w:hAnsi="宋体" w:cs="宋体"/>
                <w:sz w:val="22"/>
                <w:szCs w:val="22"/>
                <w:lang w:val="zh-CN"/>
              </w:rPr>
              <w:t>（2）通过“政采云平台”成功上传递交的“电子加密投标文件”无法按时解密，投标人如按规定递交了“备份投标文件”的，以“备份投标文件”为依据（由采购组织机构按“政采云平台”操作规范将“备份投标文件”上传至“政采云平台”，上传成功后，“电子加密投标文件”自动失效），否则视为投标文件撤回。</w:t>
            </w:r>
          </w:p>
          <w:p>
            <w:pPr>
              <w:autoSpaceDE w:val="0"/>
              <w:autoSpaceDN w:val="0"/>
              <w:adjustRightInd w:val="0"/>
              <w:spacing w:line="300" w:lineRule="atLeast"/>
              <w:rPr>
                <w:rFonts w:ascii="宋体" w:hAnsi="宋体" w:cs="宋体"/>
                <w:sz w:val="22"/>
                <w:lang w:val="zh-CN"/>
              </w:rPr>
            </w:pPr>
            <w:r>
              <w:rPr>
                <w:rFonts w:hint="eastAsia" w:ascii="宋体" w:hAnsi="宋体" w:cs="宋体"/>
                <w:sz w:val="22"/>
                <w:szCs w:val="22"/>
                <w:lang w:val="zh-CN"/>
              </w:rPr>
              <w:t>（3）投标文件递交截止时间前，投标人仅递交了“备份投标文件”而未将电子加密投标文件上传至“政采云平台”的，投标无效。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86" w:hRule="atLeast"/>
          <w:jc w:val="center"/>
        </w:trPr>
        <w:tc>
          <w:tcPr>
            <w:tcW w:w="694" w:type="dxa"/>
            <w:vAlign w:val="center"/>
          </w:tcPr>
          <w:p>
            <w:pPr>
              <w:jc w:val="center"/>
              <w:rPr>
                <w:rFonts w:ascii="宋体" w:hAnsi="宋体" w:cs="宋体"/>
                <w:sz w:val="22"/>
              </w:rPr>
            </w:pPr>
            <w:r>
              <w:rPr>
                <w:rFonts w:hint="eastAsia" w:ascii="宋体" w:hAnsi="宋体" w:cs="宋体"/>
                <w:sz w:val="22"/>
                <w:szCs w:val="22"/>
              </w:rPr>
              <w:t>28</w:t>
            </w:r>
          </w:p>
        </w:tc>
        <w:tc>
          <w:tcPr>
            <w:tcW w:w="1715" w:type="dxa"/>
            <w:vAlign w:val="center"/>
          </w:tcPr>
          <w:p>
            <w:pPr>
              <w:jc w:val="center"/>
              <w:rPr>
                <w:rFonts w:ascii="宋体" w:hAnsi="宋体" w:cs="宋体"/>
                <w:sz w:val="22"/>
              </w:rPr>
            </w:pPr>
            <w:r>
              <w:rPr>
                <w:rFonts w:hint="eastAsia" w:ascii="宋体" w:hAnsi="宋体" w:cs="宋体"/>
                <w:sz w:val="22"/>
                <w:szCs w:val="22"/>
              </w:rPr>
              <w:t>评标委员会成员的组建</w:t>
            </w:r>
          </w:p>
        </w:tc>
        <w:tc>
          <w:tcPr>
            <w:tcW w:w="7821" w:type="dxa"/>
            <w:vAlign w:val="center"/>
          </w:tcPr>
          <w:p>
            <w:pPr>
              <w:rPr>
                <w:rFonts w:ascii="宋体" w:hAnsi="宋体" w:cs="宋体"/>
                <w:sz w:val="22"/>
              </w:rPr>
            </w:pPr>
            <w:r>
              <w:rPr>
                <w:rFonts w:hint="eastAsia" w:ascii="宋体" w:hAnsi="宋体" w:cs="宋体"/>
                <w:sz w:val="22"/>
                <w:szCs w:val="22"/>
              </w:rPr>
              <w:t>评标委员会成员构成： 由采购人代表以及有关技术、经济等方面的专家组成，成员为5人及以上单数，其中技术、经济类专家不得少于总人数的2/3；评标专家确定方式：按相关规定从专家库中抽取。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1" w:hRule="atLeast"/>
          <w:jc w:val="center"/>
        </w:trPr>
        <w:tc>
          <w:tcPr>
            <w:tcW w:w="694" w:type="dxa"/>
            <w:vAlign w:val="center"/>
          </w:tcPr>
          <w:p>
            <w:pPr>
              <w:jc w:val="center"/>
              <w:rPr>
                <w:rFonts w:ascii="宋体" w:hAnsi="宋体" w:cs="宋体"/>
                <w:sz w:val="22"/>
              </w:rPr>
            </w:pPr>
            <w:r>
              <w:rPr>
                <w:rFonts w:hint="eastAsia" w:ascii="宋体" w:hAnsi="宋体" w:cs="宋体"/>
                <w:sz w:val="22"/>
                <w:szCs w:val="22"/>
              </w:rPr>
              <w:t>29</w:t>
            </w:r>
          </w:p>
        </w:tc>
        <w:tc>
          <w:tcPr>
            <w:tcW w:w="1715" w:type="dxa"/>
            <w:vAlign w:val="center"/>
          </w:tcPr>
          <w:p>
            <w:pPr>
              <w:adjustRightInd w:val="0"/>
              <w:jc w:val="center"/>
              <w:rPr>
                <w:rFonts w:ascii="宋体" w:hAnsi="宋体" w:cs="宋体"/>
                <w:sz w:val="22"/>
              </w:rPr>
            </w:pPr>
            <w:r>
              <w:rPr>
                <w:rFonts w:hint="eastAsia" w:ascii="宋体" w:hAnsi="宋体" w:cs="宋体"/>
                <w:sz w:val="22"/>
                <w:szCs w:val="22"/>
              </w:rPr>
              <w:t>政府采购</w:t>
            </w:r>
          </w:p>
          <w:p>
            <w:pPr>
              <w:adjustRightInd w:val="0"/>
              <w:jc w:val="center"/>
              <w:rPr>
                <w:rFonts w:ascii="宋体" w:hAnsi="宋体" w:cs="宋体"/>
                <w:sz w:val="22"/>
              </w:rPr>
            </w:pPr>
            <w:r>
              <w:rPr>
                <w:rFonts w:hint="eastAsia" w:ascii="宋体" w:hAnsi="宋体" w:cs="宋体"/>
                <w:sz w:val="22"/>
                <w:szCs w:val="22"/>
              </w:rPr>
              <w:t>扶持政策</w:t>
            </w:r>
          </w:p>
        </w:tc>
        <w:tc>
          <w:tcPr>
            <w:tcW w:w="7821" w:type="dxa"/>
            <w:vAlign w:val="center"/>
          </w:tcPr>
          <w:p>
            <w:pPr>
              <w:rPr>
                <w:rFonts w:ascii="宋体" w:hAnsi="宋体" w:eastAsia="宋体" w:cs="Arial"/>
                <w:b w:val="0"/>
                <w:color w:val="auto"/>
                <w:sz w:val="22"/>
                <w:szCs w:val="22"/>
                <w:highlight w:val="none"/>
              </w:rPr>
            </w:pPr>
            <w:r>
              <w:rPr>
                <w:rFonts w:ascii="宋体" w:hAnsi="宋体" w:eastAsia="宋体"/>
                <w:b w:val="0"/>
                <w:color w:val="auto"/>
                <w:sz w:val="22"/>
                <w:szCs w:val="22"/>
                <w:highlight w:val="none"/>
              </w:rPr>
              <w:t>1、</w:t>
            </w:r>
            <w:r>
              <w:rPr>
                <w:rFonts w:ascii="宋体" w:hAnsi="宋体" w:eastAsia="宋体" w:cs="Arial"/>
                <w:b w:val="0"/>
                <w:color w:val="auto"/>
                <w:sz w:val="22"/>
                <w:szCs w:val="22"/>
                <w:highlight w:val="none"/>
              </w:rPr>
              <w:t>对符合财政扶持政策的小微企业（或监狱企业、或残疾人福利性单位）给予评标价格折扣。供应商企业属于以上多种性质的，不重复享受扶持政策。</w:t>
            </w:r>
          </w:p>
          <w:p>
            <w:pPr>
              <w:rPr>
                <w:rFonts w:ascii="宋体" w:hAnsi="宋体" w:cs="宋体"/>
                <w:sz w:val="22"/>
              </w:rPr>
            </w:pPr>
            <w:r>
              <w:rPr>
                <w:rFonts w:ascii="宋体" w:hAnsi="宋体" w:eastAsia="宋体" w:cs="Arial"/>
                <w:b w:val="0"/>
                <w:color w:val="auto"/>
                <w:sz w:val="22"/>
                <w:szCs w:val="22"/>
                <w:highlight w:val="none"/>
              </w:rPr>
              <w:t>2、对节能、环保产品优先采购。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1" w:hRule="atLeast"/>
          <w:jc w:val="center"/>
        </w:trPr>
        <w:tc>
          <w:tcPr>
            <w:tcW w:w="694" w:type="dxa"/>
            <w:vAlign w:val="center"/>
          </w:tcPr>
          <w:p>
            <w:pPr>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30</w:t>
            </w:r>
          </w:p>
        </w:tc>
        <w:tc>
          <w:tcPr>
            <w:tcW w:w="1715" w:type="dxa"/>
            <w:vAlign w:val="center"/>
          </w:tcPr>
          <w:p>
            <w:pPr>
              <w:jc w:val="center"/>
              <w:rPr>
                <w:rFonts w:hint="eastAsia" w:ascii="宋体" w:hAnsi="宋体" w:cs="宋体"/>
                <w:sz w:val="22"/>
                <w:szCs w:val="22"/>
              </w:rPr>
            </w:pPr>
            <w:r>
              <w:rPr>
                <w:rFonts w:hint="eastAsia" w:ascii="宋体" w:eastAsia="宋体"/>
                <w:b w:val="0"/>
                <w:color w:val="auto"/>
                <w:sz w:val="22"/>
                <w:szCs w:val="22"/>
                <w:highlight w:val="none"/>
              </w:rPr>
              <w:t>政采贷</w:t>
            </w:r>
          </w:p>
        </w:tc>
        <w:tc>
          <w:tcPr>
            <w:tcW w:w="7821" w:type="dxa"/>
            <w:vAlign w:val="center"/>
          </w:tcPr>
          <w:p>
            <w:pPr>
              <w:rPr>
                <w:rFonts w:hint="eastAsia" w:ascii="宋体" w:hAnsi="宋体" w:cs="宋体"/>
                <w:bCs/>
                <w:sz w:val="22"/>
                <w:szCs w:val="22"/>
              </w:rPr>
            </w:pPr>
            <w:r>
              <w:rPr>
                <w:rFonts w:hint="eastAsia" w:ascii="宋体" w:eastAsia="宋体" w:cs="Arial"/>
                <w:b w:val="0"/>
                <w:color w:val="auto"/>
                <w:sz w:val="22"/>
                <w:szCs w:val="22"/>
                <w:highlight w:val="none"/>
              </w:rPr>
              <w:t>根据浙江省财政厅《关于坚决打赢疫情防控狙击战进一步做好政府采购资金支持企业发展工作的通知》（浙财采监〔2020〕3号）和永嘉县财政局《关于做好政府采购相关工作应对新冠肺炎疫情支持中小企业共渡难关的通知》（永财采监〔2020〕47号）文件精神，永嘉县财政局积极协同永嘉县相关金融机构，加快推广政采贷、履约保函等政府采购金融服务。各中标供应商可直接在政采云上申请政采贷也可以通过线下申请政采贷活动，具体见附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5" w:hRule="atLeast"/>
          <w:jc w:val="center"/>
        </w:trPr>
        <w:tc>
          <w:tcPr>
            <w:tcW w:w="694" w:type="dxa"/>
            <w:vAlign w:val="center"/>
          </w:tcPr>
          <w:p>
            <w:pPr>
              <w:jc w:val="center"/>
              <w:rPr>
                <w:rFonts w:hint="eastAsia" w:ascii="宋体" w:hAnsi="宋体" w:eastAsia="宋体" w:cs="宋体"/>
                <w:sz w:val="22"/>
                <w:lang w:eastAsia="zh-CN"/>
              </w:rPr>
            </w:pPr>
            <w:r>
              <w:rPr>
                <w:rFonts w:hint="eastAsia" w:ascii="宋体" w:hAnsi="宋体" w:cs="宋体"/>
                <w:sz w:val="22"/>
                <w:szCs w:val="22"/>
              </w:rPr>
              <w:t>3</w:t>
            </w:r>
            <w:r>
              <w:rPr>
                <w:rFonts w:hint="eastAsia" w:ascii="宋体" w:hAnsi="宋体" w:cs="宋体"/>
                <w:sz w:val="22"/>
                <w:szCs w:val="22"/>
                <w:lang w:val="en-US" w:eastAsia="zh-CN"/>
              </w:rPr>
              <w:t>1</w:t>
            </w:r>
          </w:p>
        </w:tc>
        <w:tc>
          <w:tcPr>
            <w:tcW w:w="1715" w:type="dxa"/>
            <w:vAlign w:val="center"/>
          </w:tcPr>
          <w:p>
            <w:pPr>
              <w:jc w:val="center"/>
              <w:rPr>
                <w:rFonts w:ascii="宋体" w:hAnsi="宋体" w:cs="宋体"/>
                <w:sz w:val="22"/>
              </w:rPr>
            </w:pPr>
            <w:r>
              <w:rPr>
                <w:rFonts w:hint="eastAsia" w:ascii="宋体" w:hAnsi="宋体" w:cs="宋体"/>
                <w:sz w:val="22"/>
                <w:szCs w:val="22"/>
              </w:rPr>
              <w:t>供应商信用</w:t>
            </w:r>
          </w:p>
          <w:p>
            <w:pPr>
              <w:jc w:val="center"/>
              <w:rPr>
                <w:rFonts w:ascii="宋体" w:hAnsi="宋体" w:cs="宋体"/>
                <w:sz w:val="22"/>
              </w:rPr>
            </w:pPr>
            <w:r>
              <w:rPr>
                <w:rFonts w:hint="eastAsia" w:ascii="宋体" w:hAnsi="宋体" w:cs="宋体"/>
                <w:sz w:val="22"/>
                <w:szCs w:val="22"/>
              </w:rPr>
              <w:t>查询</w:t>
            </w:r>
          </w:p>
        </w:tc>
        <w:tc>
          <w:tcPr>
            <w:tcW w:w="7821" w:type="dxa"/>
            <w:vAlign w:val="center"/>
          </w:tcPr>
          <w:p>
            <w:pPr>
              <w:rPr>
                <w:rFonts w:ascii="宋体" w:hAnsi="宋体" w:cs="宋体"/>
                <w:sz w:val="22"/>
              </w:rPr>
            </w:pPr>
            <w:r>
              <w:rPr>
                <w:rFonts w:hint="eastAsia" w:ascii="宋体" w:hAnsi="宋体" w:cs="宋体"/>
                <w:sz w:val="22"/>
                <w:szCs w:val="22"/>
              </w:rPr>
              <w:t>1、投标供应商信用信息查询的查询渠道：“信用中国”(</w:t>
            </w:r>
            <w:r>
              <w:fldChar w:fldCharType="begin"/>
            </w:r>
            <w:r>
              <w:instrText xml:space="preserve"> HYPERLINK "http://www.creditchina.gov.cn" </w:instrText>
            </w:r>
            <w:r>
              <w:fldChar w:fldCharType="separate"/>
            </w:r>
            <w:r>
              <w:rPr>
                <w:rFonts w:hint="eastAsia" w:ascii="宋体" w:hAnsi="宋体" w:cs="宋体"/>
                <w:sz w:val="22"/>
                <w:szCs w:val="22"/>
              </w:rPr>
              <w:t>www.creditchina.gov.cn</w:t>
            </w:r>
            <w:r>
              <w:rPr>
                <w:rFonts w:hint="eastAsia" w:ascii="宋体" w:hAnsi="宋体" w:cs="宋体"/>
                <w:sz w:val="22"/>
                <w:szCs w:val="22"/>
              </w:rPr>
              <w:fldChar w:fldCharType="end"/>
            </w:r>
            <w:r>
              <w:rPr>
                <w:rFonts w:hint="eastAsia" w:ascii="宋体" w:hAnsi="宋体" w:cs="宋体"/>
                <w:sz w:val="22"/>
                <w:szCs w:val="22"/>
              </w:rPr>
              <w:t>)；“中国政府采购网”（http://www.ccgp.gov.cn/）；</w:t>
            </w:r>
          </w:p>
          <w:p>
            <w:pPr>
              <w:rPr>
                <w:rFonts w:ascii="宋体" w:hAnsi="宋体" w:cs="宋体"/>
                <w:sz w:val="22"/>
              </w:rPr>
            </w:pPr>
            <w:r>
              <w:rPr>
                <w:rFonts w:hint="eastAsia" w:ascii="宋体" w:hAnsi="宋体" w:cs="宋体"/>
                <w:sz w:val="22"/>
                <w:szCs w:val="22"/>
              </w:rPr>
              <w:t>2、投标供应商信用信息查询截止时点：招标公告发布之日至投标截止时间前；</w:t>
            </w:r>
          </w:p>
          <w:p>
            <w:pPr>
              <w:rPr>
                <w:rFonts w:ascii="宋体" w:hAnsi="宋体" w:cs="宋体"/>
                <w:sz w:val="22"/>
              </w:rPr>
            </w:pPr>
            <w:r>
              <w:rPr>
                <w:rFonts w:hint="eastAsia" w:ascii="宋体" w:hAnsi="宋体" w:cs="宋体"/>
                <w:sz w:val="22"/>
                <w:szCs w:val="22"/>
              </w:rPr>
              <w:t>3、投标供应商信用信息查询记录和证据留存的具体方式：网页截图打印；</w:t>
            </w:r>
          </w:p>
          <w:p>
            <w:pPr>
              <w:rPr>
                <w:rFonts w:ascii="宋体" w:hAnsi="宋体" w:cs="宋体"/>
                <w:sz w:val="22"/>
              </w:rPr>
            </w:pPr>
            <w:r>
              <w:rPr>
                <w:rFonts w:hint="eastAsia" w:ascii="宋体" w:hAnsi="宋体" w:cs="宋体"/>
                <w:sz w:val="22"/>
                <w:szCs w:val="22"/>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p>
            <w:pPr>
              <w:rPr>
                <w:rFonts w:ascii="宋体" w:hAnsi="宋体" w:cs="宋体"/>
                <w:sz w:val="22"/>
                <w:u w:val="single"/>
              </w:rPr>
            </w:pPr>
            <w:r>
              <w:rPr>
                <w:rFonts w:hint="eastAsia" w:ascii="宋体" w:hAnsi="宋体" w:cs="宋体"/>
                <w:sz w:val="22"/>
                <w:szCs w:val="22"/>
              </w:rPr>
              <w:t>5、▲</w:t>
            </w:r>
            <w:r>
              <w:rPr>
                <w:rFonts w:hint="eastAsia" w:ascii="宋体" w:hAnsi="宋体" w:cs="宋体"/>
                <w:sz w:val="22"/>
                <w:szCs w:val="22"/>
                <w:u w:val="single"/>
              </w:rPr>
              <w:t>关于“信用中国”(www.creditchina.gov.cn) 信用记录网页截图相关说明：</w:t>
            </w:r>
          </w:p>
          <w:p>
            <w:pPr>
              <w:rPr>
                <w:rFonts w:ascii="宋体" w:hAnsi="宋体" w:cs="宋体"/>
                <w:sz w:val="22"/>
              </w:rPr>
            </w:pPr>
            <w:r>
              <w:rPr>
                <w:rFonts w:hint="eastAsia" w:ascii="宋体" w:hAnsi="宋体" w:cs="宋体"/>
                <w:sz w:val="22"/>
                <w:szCs w:val="22"/>
              </w:rPr>
              <w:t>①若供应商查询页面“行政处罚”栏显示有行政处罚事项，须将所有行政处罚事项在“信用中国”网页上列出的明细一并打印，并附说明，是否属于“经营活动中的重大违法记录”。</w:t>
            </w:r>
          </w:p>
          <w:p>
            <w:pPr>
              <w:rPr>
                <w:rFonts w:ascii="宋体" w:hAnsi="宋体" w:cs="宋体"/>
                <w:sz w:val="22"/>
              </w:rPr>
            </w:pPr>
            <w:r>
              <w:rPr>
                <w:rFonts w:hint="eastAsia" w:ascii="宋体" w:hAnsi="宋体" w:cs="宋体"/>
                <w:sz w:val="22"/>
                <w:szCs w:val="22"/>
              </w:rPr>
              <w:t>②若供应商在“信用中国”无数据，亦须将搜索结果页面打印，并附说明。</w:t>
            </w:r>
          </w:p>
          <w:p>
            <w:pPr>
              <w:rPr>
                <w:rFonts w:ascii="宋体" w:hAnsi="宋体" w:cs="宋体"/>
                <w:sz w:val="22"/>
              </w:rPr>
            </w:pPr>
            <w:r>
              <w:rPr>
                <w:rFonts w:hint="eastAsia" w:ascii="宋体" w:hAnsi="宋体" w:cs="宋体"/>
                <w:sz w:val="22"/>
                <w:szCs w:val="22"/>
              </w:rPr>
              <w:t>③未按照以上①-②条要求提供“信用中国”查询结果记录的，将按照资格审查不通过处理。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76" w:hRule="atLeast"/>
          <w:jc w:val="center"/>
        </w:trPr>
        <w:tc>
          <w:tcPr>
            <w:tcW w:w="694" w:type="dxa"/>
            <w:vAlign w:val="center"/>
          </w:tcPr>
          <w:p>
            <w:pPr>
              <w:jc w:val="center"/>
              <w:rPr>
                <w:rFonts w:hint="eastAsia" w:ascii="宋体" w:hAnsi="宋体" w:eastAsia="宋体" w:cs="宋体"/>
                <w:sz w:val="22"/>
                <w:lang w:eastAsia="zh-CN"/>
              </w:rPr>
            </w:pPr>
            <w:r>
              <w:rPr>
                <w:rFonts w:hint="eastAsia" w:ascii="宋体" w:hAnsi="宋体" w:cs="宋体"/>
                <w:sz w:val="22"/>
                <w:szCs w:val="22"/>
              </w:rPr>
              <w:t>3</w:t>
            </w:r>
            <w:r>
              <w:rPr>
                <w:rFonts w:hint="eastAsia" w:ascii="宋体" w:hAnsi="宋体" w:cs="宋体"/>
                <w:sz w:val="22"/>
                <w:szCs w:val="22"/>
                <w:lang w:val="en-US" w:eastAsia="zh-CN"/>
              </w:rPr>
              <w:t>2</w:t>
            </w:r>
          </w:p>
        </w:tc>
        <w:tc>
          <w:tcPr>
            <w:tcW w:w="1715" w:type="dxa"/>
            <w:vAlign w:val="center"/>
          </w:tcPr>
          <w:p>
            <w:pPr>
              <w:jc w:val="center"/>
              <w:rPr>
                <w:rFonts w:ascii="宋体" w:hAnsi="宋体" w:cs="宋体"/>
                <w:sz w:val="22"/>
              </w:rPr>
            </w:pPr>
            <w:r>
              <w:rPr>
                <w:rFonts w:hint="eastAsia" w:ascii="宋体" w:hAnsi="宋体" w:cs="宋体"/>
                <w:sz w:val="22"/>
                <w:szCs w:val="22"/>
              </w:rPr>
              <w:t>合同备案</w:t>
            </w:r>
          </w:p>
        </w:tc>
        <w:tc>
          <w:tcPr>
            <w:tcW w:w="7821" w:type="dxa"/>
            <w:vAlign w:val="center"/>
          </w:tcPr>
          <w:p>
            <w:pPr>
              <w:rPr>
                <w:rFonts w:ascii="宋体" w:hAnsi="宋体" w:cs="宋体"/>
                <w:sz w:val="22"/>
              </w:rPr>
            </w:pPr>
            <w:r>
              <w:rPr>
                <w:rFonts w:hint="eastAsia" w:ascii="宋体" w:hAnsi="宋体" w:cs="宋体"/>
                <w:sz w:val="22"/>
                <w:szCs w:val="22"/>
              </w:rPr>
              <w:t>1、中标供应商须在发出中标通知书之日起30日历天内与采购人签订合同。</w:t>
            </w:r>
          </w:p>
          <w:p>
            <w:pPr>
              <w:rPr>
                <w:rFonts w:ascii="宋体" w:hAnsi="宋体" w:cs="宋体"/>
                <w:sz w:val="22"/>
              </w:rPr>
            </w:pPr>
            <w:r>
              <w:rPr>
                <w:rFonts w:hint="eastAsia" w:ascii="宋体" w:hAnsi="宋体" w:cs="宋体"/>
                <w:sz w:val="22"/>
                <w:szCs w:val="22"/>
              </w:rPr>
              <w:t>2、中标供应商与采购人签订合同后，2日历天内将合同原件交浙江至诚工程咨询有限责任公司备案。合同原件扫描件电子版发给浙江至诚工程咨询有限责任公司：邮箱：</w:t>
            </w:r>
            <w:r>
              <w:fldChar w:fldCharType="begin"/>
            </w:r>
            <w:r>
              <w:instrText xml:space="preserve"> HYPERLINK "mailto:250453502@qq.com" </w:instrText>
            </w:r>
            <w:r>
              <w:fldChar w:fldCharType="separate"/>
            </w:r>
            <w:r>
              <w:rPr>
                <w:rStyle w:val="31"/>
                <w:rFonts w:hint="eastAsia" w:ascii="宋体" w:hAnsi="宋体" w:cs="宋体"/>
                <w:color w:val="auto"/>
                <w:sz w:val="22"/>
                <w:szCs w:val="22"/>
              </w:rPr>
              <w:t>2441880975@qq.com</w:t>
            </w:r>
            <w:r>
              <w:rPr>
                <w:rStyle w:val="31"/>
                <w:rFonts w:hint="eastAsia" w:ascii="宋体" w:hAnsi="宋体" w:cs="宋体"/>
                <w:color w:val="auto"/>
                <w:sz w:val="22"/>
                <w:szCs w:val="22"/>
              </w:rPr>
              <w:fldChar w:fldCharType="end"/>
            </w:r>
            <w:r>
              <w:rPr>
                <w:rFonts w:hint="eastAsia" w:ascii="宋体" w:hAnsi="宋体" w:cs="宋体"/>
                <w:sz w:val="22"/>
                <w:szCs w:val="22"/>
              </w:rPr>
              <w:t>；</w:t>
            </w:r>
          </w:p>
          <w:p>
            <w:pPr>
              <w:rPr>
                <w:rFonts w:ascii="宋体" w:hAnsi="宋体" w:cs="宋体"/>
                <w:sz w:val="22"/>
              </w:rPr>
            </w:pPr>
            <w:r>
              <w:rPr>
                <w:rFonts w:hint="eastAsia" w:ascii="宋体" w:hAnsi="宋体" w:cs="宋体"/>
                <w:sz w:val="22"/>
                <w:szCs w:val="22"/>
              </w:rPr>
              <w:t>3、本项目政府采购合同按规定在浙江政府采购网（http://www.zjzfcg.gov.cn）予以公告。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76" w:hRule="atLeast"/>
          <w:jc w:val="center"/>
        </w:trPr>
        <w:tc>
          <w:tcPr>
            <w:tcW w:w="694" w:type="dxa"/>
            <w:vAlign w:val="center"/>
          </w:tcPr>
          <w:p>
            <w:pPr>
              <w:jc w:val="center"/>
              <w:rPr>
                <w:rFonts w:hint="eastAsia" w:ascii="宋体" w:hAnsi="宋体" w:eastAsia="宋体" w:cs="宋体"/>
                <w:sz w:val="22"/>
                <w:lang w:eastAsia="zh-CN"/>
              </w:rPr>
            </w:pPr>
            <w:r>
              <w:rPr>
                <w:rFonts w:hint="eastAsia" w:ascii="宋体" w:hAnsi="宋体" w:cs="宋体"/>
                <w:sz w:val="22"/>
                <w:szCs w:val="22"/>
              </w:rPr>
              <w:t>3</w:t>
            </w:r>
            <w:r>
              <w:rPr>
                <w:rFonts w:hint="eastAsia" w:ascii="宋体" w:hAnsi="宋体" w:cs="宋体"/>
                <w:sz w:val="22"/>
                <w:szCs w:val="22"/>
                <w:lang w:val="en-US" w:eastAsia="zh-CN"/>
              </w:rPr>
              <w:t>3</w:t>
            </w:r>
          </w:p>
        </w:tc>
        <w:tc>
          <w:tcPr>
            <w:tcW w:w="1715" w:type="dxa"/>
            <w:vAlign w:val="center"/>
          </w:tcPr>
          <w:p>
            <w:pPr>
              <w:jc w:val="center"/>
              <w:rPr>
                <w:rFonts w:ascii="宋体" w:hAnsi="宋体" w:cs="宋体"/>
                <w:sz w:val="22"/>
              </w:rPr>
            </w:pPr>
            <w:r>
              <w:rPr>
                <w:rFonts w:hint="eastAsia" w:ascii="宋体" w:hAnsi="宋体" w:cs="宋体"/>
                <w:sz w:val="22"/>
                <w:szCs w:val="22"/>
              </w:rPr>
              <w:t>合同履约管理</w:t>
            </w:r>
          </w:p>
        </w:tc>
        <w:tc>
          <w:tcPr>
            <w:tcW w:w="7821" w:type="dxa"/>
            <w:vAlign w:val="center"/>
          </w:tcPr>
          <w:p>
            <w:pPr>
              <w:rPr>
                <w:rFonts w:ascii="宋体" w:hAnsi="宋体" w:cs="宋体"/>
                <w:sz w:val="22"/>
              </w:rPr>
            </w:pPr>
            <w:r>
              <w:rPr>
                <w:rFonts w:hint="eastAsia" w:ascii="宋体" w:hAnsi="宋体" w:cs="宋体"/>
                <w:sz w:val="22"/>
                <w:szCs w:val="22"/>
              </w:rPr>
              <w:t>合同签订后，采购人依法加强对合同履约进行管理，并在成交供应商服务、项目验收等重要关节，如实填写《合同验收报告》，并及时向同级财政部门报告验收过程中遇到的问题。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0" w:hRule="atLeast"/>
          <w:jc w:val="center"/>
        </w:trPr>
        <w:tc>
          <w:tcPr>
            <w:tcW w:w="694" w:type="dxa"/>
            <w:vAlign w:val="center"/>
          </w:tcPr>
          <w:p>
            <w:pPr>
              <w:jc w:val="center"/>
              <w:rPr>
                <w:rFonts w:hint="eastAsia" w:ascii="宋体" w:hAnsi="宋体" w:eastAsia="宋体" w:cs="宋体"/>
                <w:sz w:val="22"/>
                <w:lang w:eastAsia="zh-CN"/>
              </w:rPr>
            </w:pPr>
            <w:r>
              <w:rPr>
                <w:rFonts w:hint="eastAsia" w:ascii="宋体" w:hAnsi="宋体" w:cs="宋体"/>
                <w:sz w:val="22"/>
                <w:szCs w:val="22"/>
              </w:rPr>
              <w:t>3</w:t>
            </w:r>
            <w:r>
              <w:rPr>
                <w:rFonts w:hint="eastAsia" w:ascii="宋体" w:hAnsi="宋体" w:cs="宋体"/>
                <w:sz w:val="22"/>
                <w:szCs w:val="22"/>
                <w:lang w:val="en-US" w:eastAsia="zh-CN"/>
              </w:rPr>
              <w:t>4</w:t>
            </w:r>
          </w:p>
        </w:tc>
        <w:tc>
          <w:tcPr>
            <w:tcW w:w="1715" w:type="dxa"/>
            <w:vAlign w:val="center"/>
          </w:tcPr>
          <w:p>
            <w:pPr>
              <w:jc w:val="center"/>
              <w:rPr>
                <w:rFonts w:ascii="宋体" w:hAnsi="宋体" w:cs="宋体"/>
                <w:sz w:val="22"/>
              </w:rPr>
            </w:pPr>
            <w:r>
              <w:rPr>
                <w:rFonts w:hint="eastAsia" w:ascii="宋体" w:hAnsi="宋体" w:cs="宋体"/>
                <w:sz w:val="22"/>
                <w:szCs w:val="22"/>
              </w:rPr>
              <w:t>免则声明</w:t>
            </w:r>
          </w:p>
        </w:tc>
        <w:tc>
          <w:tcPr>
            <w:tcW w:w="7821" w:type="dxa"/>
            <w:vAlign w:val="center"/>
          </w:tcPr>
          <w:p>
            <w:pPr>
              <w:rPr>
                <w:rFonts w:ascii="宋体" w:hAnsi="宋体" w:cs="宋体"/>
                <w:sz w:val="22"/>
              </w:rPr>
            </w:pPr>
            <w:r>
              <w:rPr>
                <w:rFonts w:hint="eastAsia" w:ascii="宋体" w:hAnsi="宋体" w:cs="宋体"/>
                <w:sz w:val="22"/>
                <w:szCs w:val="22"/>
              </w:rPr>
              <w:t>1、供应商自行承担投标过程中产生的费用。无论何种因素导致采购项目延期开标、废标（流标）、供应商未成交、项目终止采购的，采购人与代理机构均不承担供应商投标费用。</w:t>
            </w:r>
          </w:p>
          <w:p>
            <w:pPr>
              <w:rPr>
                <w:rFonts w:ascii="宋体" w:hAnsi="宋体" w:cs="宋体"/>
                <w:sz w:val="22"/>
              </w:rPr>
            </w:pPr>
            <w:r>
              <w:rPr>
                <w:rFonts w:hint="eastAsia" w:ascii="宋体" w:hAnsi="宋体" w:cs="宋体"/>
                <w:sz w:val="22"/>
                <w:szCs w:val="22"/>
              </w:rPr>
              <w:t>2、供应商在投标、合同履行过程中必须做好安全保障工作，不因项目实施而危及自身及第三方人员、财产安全。若发生任何安全事故，由成交供应商自行承担一切责任并赔偿损失。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8" w:hRule="atLeast"/>
          <w:jc w:val="center"/>
        </w:trPr>
        <w:tc>
          <w:tcPr>
            <w:tcW w:w="694" w:type="dxa"/>
            <w:vAlign w:val="center"/>
          </w:tcPr>
          <w:p>
            <w:pPr>
              <w:jc w:val="center"/>
              <w:rPr>
                <w:rFonts w:hint="eastAsia" w:ascii="宋体" w:hAnsi="宋体" w:eastAsia="宋体" w:cs="宋体"/>
                <w:sz w:val="22"/>
                <w:lang w:eastAsia="zh-CN"/>
              </w:rPr>
            </w:pPr>
            <w:r>
              <w:rPr>
                <w:rFonts w:hint="eastAsia" w:ascii="宋体" w:hAnsi="宋体" w:cs="宋体"/>
                <w:sz w:val="22"/>
                <w:szCs w:val="22"/>
              </w:rPr>
              <w:t>3</w:t>
            </w:r>
            <w:r>
              <w:rPr>
                <w:rFonts w:hint="eastAsia" w:ascii="宋体" w:hAnsi="宋体" w:cs="宋体"/>
                <w:sz w:val="22"/>
                <w:szCs w:val="22"/>
                <w:lang w:val="en-US" w:eastAsia="zh-CN"/>
              </w:rPr>
              <w:t>5</w:t>
            </w:r>
          </w:p>
        </w:tc>
        <w:tc>
          <w:tcPr>
            <w:tcW w:w="1715" w:type="dxa"/>
            <w:vAlign w:val="center"/>
          </w:tcPr>
          <w:p>
            <w:pPr>
              <w:jc w:val="center"/>
              <w:rPr>
                <w:rFonts w:ascii="宋体" w:hAnsi="宋体" w:cs="宋体"/>
                <w:sz w:val="22"/>
              </w:rPr>
            </w:pPr>
            <w:r>
              <w:rPr>
                <w:rFonts w:hint="eastAsia" w:ascii="宋体" w:hAnsi="宋体" w:cs="宋体"/>
                <w:sz w:val="22"/>
                <w:szCs w:val="22"/>
              </w:rPr>
              <w:t>解释权</w:t>
            </w:r>
          </w:p>
        </w:tc>
        <w:tc>
          <w:tcPr>
            <w:tcW w:w="7821" w:type="dxa"/>
            <w:vAlign w:val="center"/>
          </w:tcPr>
          <w:p>
            <w:pPr>
              <w:rPr>
                <w:rFonts w:ascii="宋体" w:hAnsi="宋体" w:cs="宋体"/>
                <w:sz w:val="22"/>
              </w:rPr>
            </w:pPr>
            <w:r>
              <w:rPr>
                <w:rFonts w:hint="eastAsia" w:ascii="宋体" w:hAnsi="宋体" w:cs="宋体"/>
                <w:sz w:val="22"/>
                <w:szCs w:val="22"/>
              </w:rPr>
              <w:t>构成本招标文件的各个组成文件应互为解释，互为说明；如有不明确或不一致，构成合同文件组成内容的，以合同文件约定内容为准，且以专用合同条款约定的合同文件优先顺序解释；仅适用于采购阶段的约定，按采购公告、供应商须知、评标办法、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8" w:hRule="atLeast"/>
          <w:jc w:val="center"/>
        </w:trPr>
        <w:tc>
          <w:tcPr>
            <w:tcW w:w="694" w:type="dxa"/>
            <w:tcBorders>
              <w:bottom w:val="single" w:color="auto" w:sz="12" w:space="0"/>
            </w:tcBorders>
            <w:vAlign w:val="center"/>
          </w:tcPr>
          <w:p>
            <w:pPr>
              <w:jc w:val="center"/>
              <w:rPr>
                <w:rFonts w:hint="eastAsia" w:ascii="宋体" w:hAnsi="宋体" w:eastAsia="宋体" w:cs="宋体"/>
                <w:sz w:val="22"/>
                <w:lang w:eastAsia="zh-CN"/>
              </w:rPr>
            </w:pPr>
            <w:r>
              <w:rPr>
                <w:rFonts w:hint="eastAsia" w:ascii="宋体" w:hAnsi="宋体" w:cs="宋体"/>
                <w:sz w:val="22"/>
                <w:szCs w:val="22"/>
              </w:rPr>
              <w:t>3</w:t>
            </w:r>
            <w:r>
              <w:rPr>
                <w:rFonts w:hint="eastAsia" w:ascii="宋体" w:hAnsi="宋体" w:cs="宋体"/>
                <w:sz w:val="22"/>
                <w:szCs w:val="22"/>
                <w:lang w:val="en-US" w:eastAsia="zh-CN"/>
              </w:rPr>
              <w:t>6</w:t>
            </w:r>
          </w:p>
        </w:tc>
        <w:tc>
          <w:tcPr>
            <w:tcW w:w="1715" w:type="dxa"/>
            <w:tcBorders>
              <w:bottom w:val="single" w:color="auto" w:sz="12" w:space="0"/>
            </w:tcBorders>
            <w:vAlign w:val="center"/>
          </w:tcPr>
          <w:p>
            <w:pPr>
              <w:pStyle w:val="13"/>
              <w:spacing w:line="460" w:lineRule="atLeast"/>
              <w:jc w:val="center"/>
              <w:rPr>
                <w:rFonts w:hAnsi="宋体"/>
                <w:sz w:val="22"/>
              </w:rPr>
            </w:pPr>
            <w:r>
              <w:rPr>
                <w:rFonts w:hint="eastAsia" w:hAnsi="宋体"/>
                <w:sz w:val="22"/>
                <w:szCs w:val="22"/>
              </w:rPr>
              <w:t>招标代理服务费</w:t>
            </w:r>
          </w:p>
        </w:tc>
        <w:tc>
          <w:tcPr>
            <w:tcW w:w="7821" w:type="dxa"/>
            <w:tcBorders>
              <w:bottom w:val="single" w:color="auto" w:sz="12" w:space="0"/>
            </w:tcBorders>
            <w:vAlign w:val="center"/>
          </w:tcPr>
          <w:p>
            <w:pPr>
              <w:rPr>
                <w:rFonts w:ascii="宋体" w:hAnsi="宋体" w:cs="宋体"/>
                <w:sz w:val="22"/>
              </w:rPr>
            </w:pPr>
            <w:r>
              <w:rPr>
                <w:rFonts w:hint="eastAsia" w:ascii="宋体" w:hAnsi="宋体" w:cs="宋体"/>
                <w:sz w:val="22"/>
                <w:szCs w:val="22"/>
              </w:rPr>
              <w:t>本次项目招标代理服务费按固定金额68000收取。采购人不负责任何招标代理服务费用。招标代理服务费由中标人支付，请报价人在报价时予以考虑。招标代理服务费汇入以下帐户：</w:t>
            </w:r>
          </w:p>
          <w:p>
            <w:pPr>
              <w:rPr>
                <w:rFonts w:ascii="宋体" w:hAnsi="宋体" w:cs="宋体"/>
                <w:sz w:val="22"/>
              </w:rPr>
            </w:pPr>
            <w:r>
              <w:rPr>
                <w:rFonts w:hint="eastAsia" w:ascii="宋体" w:hAnsi="宋体" w:cs="宋体"/>
                <w:sz w:val="22"/>
                <w:szCs w:val="22"/>
              </w:rPr>
              <w:t>开户银行：中国建设银行股份有限公司永嘉瓯北支行</w:t>
            </w:r>
          </w:p>
          <w:p>
            <w:pPr>
              <w:rPr>
                <w:rFonts w:ascii="宋体" w:hAnsi="宋体" w:cs="宋体"/>
                <w:sz w:val="22"/>
              </w:rPr>
            </w:pPr>
            <w:r>
              <w:rPr>
                <w:rFonts w:hint="eastAsia" w:ascii="宋体" w:hAnsi="宋体" w:cs="宋体"/>
                <w:sz w:val="22"/>
                <w:szCs w:val="22"/>
              </w:rPr>
              <w:t>开户名称：浙江至诚工程咨询有限责任公司永嘉分公司</w:t>
            </w:r>
          </w:p>
          <w:p>
            <w:pPr>
              <w:rPr>
                <w:rFonts w:ascii="宋体" w:hAnsi="宋体" w:cs="宋体"/>
                <w:sz w:val="22"/>
              </w:rPr>
            </w:pPr>
            <w:r>
              <w:rPr>
                <w:rFonts w:hint="eastAsia" w:ascii="宋体" w:hAnsi="宋体" w:cs="宋体"/>
                <w:sz w:val="22"/>
                <w:szCs w:val="22"/>
              </w:rPr>
              <w:t>开户帐号：33050162766900000361</w:t>
            </w:r>
          </w:p>
          <w:p>
            <w:pPr>
              <w:rPr>
                <w:rFonts w:ascii="宋体" w:hAnsi="宋体" w:cs="宋体"/>
                <w:sz w:val="22"/>
              </w:rPr>
            </w:pPr>
            <w:r>
              <w:rPr>
                <w:rFonts w:hint="eastAsia" w:ascii="宋体" w:hAnsi="宋体" w:cs="宋体"/>
                <w:sz w:val="22"/>
                <w:szCs w:val="22"/>
              </w:rPr>
              <w:t>招标代理服务费须在领取《中标通知书》前付清。</w:t>
            </w:r>
          </w:p>
        </w:tc>
      </w:tr>
    </w:tbl>
    <w:p>
      <w:pPr>
        <w:rPr>
          <w:rFonts w:ascii="宋体" w:hAnsi="宋体" w:cs="宋体"/>
        </w:rPr>
      </w:pPr>
    </w:p>
    <w:p>
      <w:pPr>
        <w:pStyle w:val="11"/>
        <w:ind w:firstLine="210"/>
        <w:rPr>
          <w:rFonts w:ascii="宋体" w:hAnsi="宋体" w:cs="宋体"/>
        </w:rPr>
      </w:pPr>
    </w:p>
    <w:p>
      <w:pPr>
        <w:pStyle w:val="11"/>
        <w:ind w:firstLine="210"/>
        <w:rPr>
          <w:rFonts w:ascii="宋体" w:hAnsi="宋体" w:cs="宋体"/>
        </w:rPr>
      </w:pPr>
    </w:p>
    <w:p>
      <w:pPr>
        <w:widowControl/>
        <w:jc w:val="left"/>
        <w:rPr>
          <w:rFonts w:ascii="宋体" w:hAnsi="宋体" w:cs="宋体"/>
          <w:sz w:val="30"/>
          <w:szCs w:val="30"/>
        </w:rPr>
        <w:sectPr>
          <w:footerReference r:id="rId9" w:type="default"/>
          <w:pgSz w:w="11906" w:h="16838"/>
          <w:pgMar w:top="1134" w:right="1134" w:bottom="1134" w:left="1134" w:header="851" w:footer="850" w:gutter="0"/>
          <w:pgNumType w:start="1"/>
          <w:cols w:space="720" w:num="1"/>
          <w:titlePg/>
          <w:docGrid w:type="lines" w:linePitch="312" w:charSpace="0"/>
        </w:sectPr>
      </w:pPr>
      <w:bookmarkStart w:id="9" w:name="_Toc498343165"/>
      <w:bookmarkStart w:id="10" w:name="_Toc461563840"/>
    </w:p>
    <w:p>
      <w:pPr>
        <w:pStyle w:val="23"/>
        <w:rPr>
          <w:rFonts w:ascii="宋体" w:hAnsi="宋体" w:cs="宋体"/>
          <w:sz w:val="30"/>
          <w:szCs w:val="30"/>
        </w:rPr>
      </w:pPr>
      <w:bookmarkStart w:id="11" w:name="_Toc73091434"/>
      <w:r>
        <w:rPr>
          <w:rFonts w:hint="eastAsia" w:ascii="宋体" w:hAnsi="宋体" w:cs="宋体"/>
          <w:sz w:val="30"/>
          <w:szCs w:val="30"/>
        </w:rPr>
        <w:t xml:space="preserve">第二部份 </w:t>
      </w:r>
      <w:bookmarkEnd w:id="9"/>
      <w:bookmarkEnd w:id="10"/>
      <w:bookmarkEnd w:id="11"/>
      <w:r>
        <w:rPr>
          <w:rFonts w:hint="eastAsia" w:ascii="宋体" w:hAnsi="宋体" w:cs="宋体"/>
          <w:sz w:val="30"/>
          <w:szCs w:val="30"/>
        </w:rPr>
        <w:t>采购内容及要求</w:t>
      </w:r>
    </w:p>
    <w:p>
      <w:pPr>
        <w:widowControl/>
        <w:spacing w:line="460" w:lineRule="atLeast"/>
        <w:jc w:val="left"/>
        <w:rPr>
          <w:rFonts w:ascii="宋体"/>
          <w:b/>
          <w:bCs w:val="0"/>
          <w:sz w:val="22"/>
          <w:szCs w:val="22"/>
        </w:rPr>
      </w:pPr>
      <w:bookmarkStart w:id="12" w:name="_Toc527636123"/>
      <w:bookmarkStart w:id="13" w:name="_Toc498343168"/>
      <w:bookmarkStart w:id="14" w:name="_Toc461563851"/>
      <w:bookmarkStart w:id="15" w:name="_Toc73091435"/>
      <w:r>
        <w:rPr>
          <w:rFonts w:hint="eastAsia" w:ascii="宋体"/>
          <w:b/>
          <w:bCs w:val="0"/>
          <w:sz w:val="22"/>
          <w:szCs w:val="22"/>
        </w:rPr>
        <w:t>一、绿化养护服务范围</w:t>
      </w:r>
      <w:bookmarkEnd w:id="12"/>
    </w:p>
    <w:p>
      <w:pPr>
        <w:widowControl/>
        <w:autoSpaceDE w:val="0"/>
        <w:autoSpaceDN w:val="0"/>
        <w:adjustRightInd w:val="0"/>
        <w:spacing w:line="460" w:lineRule="atLeast"/>
        <w:ind w:firstLine="440" w:firstLineChars="200"/>
        <w:textAlignment w:val="bottom"/>
        <w:rPr>
          <w:rFonts w:ascii="宋体"/>
          <w:bCs/>
          <w:sz w:val="22"/>
          <w:szCs w:val="22"/>
        </w:rPr>
      </w:pPr>
      <w:r>
        <w:rPr>
          <w:rFonts w:hint="eastAsia" w:ascii="宋体"/>
          <w:bCs/>
          <w:sz w:val="22"/>
          <w:szCs w:val="22"/>
        </w:rPr>
        <w:t>养护范围：养护面积468088.61㎡、行道树：5151棵等。绿地养护面积、行道树具体分布详下表（具体内容详见</w:t>
      </w:r>
      <w:r>
        <w:rPr>
          <w:rFonts w:hint="eastAsia" w:ascii="宋体"/>
          <w:sz w:val="22"/>
          <w:szCs w:val="22"/>
        </w:rPr>
        <w:t>2021年上塘中心城区养护绿地面积调查报告</w:t>
      </w:r>
      <w:r>
        <w:rPr>
          <w:rFonts w:hint="eastAsia" w:ascii="宋体"/>
          <w:bCs/>
          <w:sz w:val="22"/>
          <w:szCs w:val="22"/>
        </w:rPr>
        <w:t>）：</w:t>
      </w:r>
    </w:p>
    <w:tbl>
      <w:tblPr>
        <w:tblStyle w:val="26"/>
        <w:tblW w:w="9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160"/>
        <w:gridCol w:w="2160"/>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widowControl/>
              <w:autoSpaceDE w:val="0"/>
              <w:autoSpaceDN w:val="0"/>
              <w:adjustRightInd w:val="0"/>
              <w:spacing w:line="460" w:lineRule="atLeast"/>
              <w:jc w:val="center"/>
              <w:textAlignment w:val="bottom"/>
              <w:rPr>
                <w:rFonts w:ascii="宋体"/>
                <w:bCs/>
                <w:sz w:val="22"/>
                <w:szCs w:val="22"/>
              </w:rPr>
            </w:pPr>
            <w:r>
              <w:rPr>
                <w:rFonts w:hint="eastAsia" w:ascii="宋体"/>
                <w:bCs/>
                <w:sz w:val="22"/>
                <w:szCs w:val="22"/>
              </w:rPr>
              <w:t>序号</w:t>
            </w:r>
          </w:p>
        </w:tc>
        <w:tc>
          <w:tcPr>
            <w:tcW w:w="2160" w:type="dxa"/>
          </w:tcPr>
          <w:p>
            <w:pPr>
              <w:widowControl/>
              <w:autoSpaceDE w:val="0"/>
              <w:autoSpaceDN w:val="0"/>
              <w:adjustRightInd w:val="0"/>
              <w:spacing w:line="460" w:lineRule="atLeast"/>
              <w:jc w:val="center"/>
              <w:textAlignment w:val="bottom"/>
              <w:rPr>
                <w:rFonts w:ascii="宋体"/>
                <w:bCs/>
                <w:sz w:val="22"/>
                <w:szCs w:val="22"/>
              </w:rPr>
            </w:pPr>
            <w:r>
              <w:rPr>
                <w:rFonts w:hint="eastAsia" w:ascii="宋体"/>
                <w:bCs/>
                <w:sz w:val="22"/>
                <w:szCs w:val="22"/>
              </w:rPr>
              <w:t>绿地名称</w:t>
            </w:r>
          </w:p>
        </w:tc>
        <w:tc>
          <w:tcPr>
            <w:tcW w:w="2160" w:type="dxa"/>
          </w:tcPr>
          <w:p>
            <w:pPr>
              <w:widowControl/>
              <w:autoSpaceDE w:val="0"/>
              <w:autoSpaceDN w:val="0"/>
              <w:adjustRightInd w:val="0"/>
              <w:spacing w:line="460" w:lineRule="atLeast"/>
              <w:jc w:val="center"/>
              <w:textAlignment w:val="bottom"/>
              <w:rPr>
                <w:rFonts w:ascii="宋体"/>
                <w:bCs/>
                <w:sz w:val="22"/>
                <w:szCs w:val="22"/>
              </w:rPr>
            </w:pPr>
            <w:r>
              <w:rPr>
                <w:rFonts w:hint="eastAsia" w:ascii="宋体"/>
                <w:bCs/>
                <w:sz w:val="22"/>
                <w:szCs w:val="22"/>
              </w:rPr>
              <w:t>养护面积（㎡）</w:t>
            </w:r>
          </w:p>
        </w:tc>
        <w:tc>
          <w:tcPr>
            <w:tcW w:w="2160" w:type="dxa"/>
            <w:vAlign w:val="center"/>
          </w:tcPr>
          <w:p>
            <w:pPr>
              <w:widowControl/>
              <w:autoSpaceDE w:val="0"/>
              <w:autoSpaceDN w:val="0"/>
              <w:adjustRightInd w:val="0"/>
              <w:spacing w:line="460" w:lineRule="atLeast"/>
              <w:jc w:val="center"/>
              <w:textAlignment w:val="bottom"/>
              <w:rPr>
                <w:rFonts w:ascii="宋体"/>
                <w:bCs/>
                <w:sz w:val="22"/>
                <w:szCs w:val="22"/>
              </w:rPr>
            </w:pPr>
            <w:r>
              <w:rPr>
                <w:rFonts w:hint="eastAsia" w:ascii="宋体"/>
                <w:bCs/>
                <w:sz w:val="22"/>
                <w:szCs w:val="22"/>
              </w:rPr>
              <w:t>所在位置</w:t>
            </w:r>
          </w:p>
        </w:tc>
        <w:tc>
          <w:tcPr>
            <w:tcW w:w="2160" w:type="dxa"/>
            <w:vAlign w:val="center"/>
          </w:tcPr>
          <w:p>
            <w:pPr>
              <w:widowControl/>
              <w:autoSpaceDE w:val="0"/>
              <w:autoSpaceDN w:val="0"/>
              <w:adjustRightInd w:val="0"/>
              <w:spacing w:line="460" w:lineRule="atLeast"/>
              <w:jc w:val="center"/>
              <w:textAlignment w:val="bottom"/>
              <w:rPr>
                <w:rFonts w:ascii="宋体"/>
                <w:bCs/>
                <w:sz w:val="22"/>
                <w:szCs w:val="22"/>
              </w:rPr>
            </w:pPr>
            <w:r>
              <w:rPr>
                <w:rFonts w:hint="eastAsia" w:ascii="宋体"/>
                <w:bCs/>
                <w:sz w:val="22"/>
                <w:szCs w:val="22"/>
              </w:rPr>
              <w:t>行道树（株）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widowControl/>
              <w:autoSpaceDE w:val="0"/>
              <w:autoSpaceDN w:val="0"/>
              <w:adjustRightInd w:val="0"/>
              <w:spacing w:line="460" w:lineRule="atLeast"/>
              <w:jc w:val="center"/>
              <w:textAlignment w:val="bottom"/>
              <w:rPr>
                <w:rFonts w:ascii="宋体"/>
                <w:bCs/>
                <w:sz w:val="22"/>
                <w:szCs w:val="22"/>
              </w:rPr>
            </w:pPr>
            <w:r>
              <w:rPr>
                <w:rFonts w:hint="eastAsia" w:ascii="宋体"/>
                <w:bCs/>
                <w:sz w:val="22"/>
                <w:szCs w:val="22"/>
              </w:rPr>
              <w:t>1</w:t>
            </w:r>
          </w:p>
        </w:tc>
        <w:tc>
          <w:tcPr>
            <w:tcW w:w="2160" w:type="dxa"/>
            <w:vAlign w:val="center"/>
          </w:tcPr>
          <w:p>
            <w:pPr>
              <w:widowControl/>
              <w:jc w:val="center"/>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滨江公园</w:t>
            </w:r>
          </w:p>
        </w:tc>
        <w:tc>
          <w:tcPr>
            <w:tcW w:w="2160" w:type="dxa"/>
            <w:vAlign w:val="center"/>
          </w:tcPr>
          <w:p>
            <w:pPr>
              <w:widowControl/>
              <w:jc w:val="center"/>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32797.15</w:t>
            </w: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博文路</w:t>
            </w: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widowControl/>
              <w:autoSpaceDE w:val="0"/>
              <w:autoSpaceDN w:val="0"/>
              <w:adjustRightInd w:val="0"/>
              <w:spacing w:line="460" w:lineRule="atLeast"/>
              <w:jc w:val="center"/>
              <w:textAlignment w:val="bottom"/>
              <w:rPr>
                <w:rFonts w:ascii="宋体"/>
                <w:bCs/>
                <w:sz w:val="22"/>
                <w:szCs w:val="22"/>
              </w:rPr>
            </w:pPr>
            <w:r>
              <w:rPr>
                <w:rFonts w:hint="eastAsia" w:ascii="宋体"/>
                <w:bCs/>
                <w:sz w:val="22"/>
                <w:szCs w:val="22"/>
              </w:rPr>
              <w:t>2</w:t>
            </w:r>
          </w:p>
        </w:tc>
        <w:tc>
          <w:tcPr>
            <w:tcW w:w="2160" w:type="dxa"/>
            <w:vAlign w:val="center"/>
          </w:tcPr>
          <w:p>
            <w:pPr>
              <w:widowControl/>
              <w:jc w:val="center"/>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大会堂广场</w:t>
            </w:r>
          </w:p>
        </w:tc>
        <w:tc>
          <w:tcPr>
            <w:tcW w:w="2160" w:type="dxa"/>
            <w:vAlign w:val="center"/>
          </w:tcPr>
          <w:p>
            <w:pPr>
              <w:widowControl/>
              <w:jc w:val="center"/>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3533.09</w:t>
            </w: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城北小区</w:t>
            </w: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widowControl/>
              <w:autoSpaceDE w:val="0"/>
              <w:autoSpaceDN w:val="0"/>
              <w:adjustRightInd w:val="0"/>
              <w:spacing w:line="460" w:lineRule="atLeast"/>
              <w:jc w:val="center"/>
              <w:textAlignment w:val="bottom"/>
              <w:rPr>
                <w:rFonts w:ascii="宋体"/>
                <w:bCs/>
                <w:sz w:val="22"/>
                <w:szCs w:val="22"/>
              </w:rPr>
            </w:pPr>
            <w:r>
              <w:rPr>
                <w:rFonts w:hint="eastAsia" w:ascii="宋体"/>
                <w:bCs/>
                <w:sz w:val="22"/>
                <w:szCs w:val="22"/>
              </w:rPr>
              <w:t>3</w:t>
            </w:r>
          </w:p>
        </w:tc>
        <w:tc>
          <w:tcPr>
            <w:tcW w:w="2160" w:type="dxa"/>
            <w:vAlign w:val="center"/>
          </w:tcPr>
          <w:p>
            <w:pPr>
              <w:widowControl/>
              <w:jc w:val="center"/>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鹅浦公园</w:t>
            </w:r>
          </w:p>
        </w:tc>
        <w:tc>
          <w:tcPr>
            <w:tcW w:w="2160" w:type="dxa"/>
            <w:vAlign w:val="center"/>
          </w:tcPr>
          <w:p>
            <w:pPr>
              <w:widowControl/>
              <w:jc w:val="center"/>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60088.37</w:t>
            </w:r>
          </w:p>
        </w:tc>
        <w:tc>
          <w:tcPr>
            <w:tcW w:w="2160" w:type="dxa"/>
            <w:vAlign w:val="center"/>
          </w:tcPr>
          <w:p>
            <w:pPr>
              <w:widowControl/>
              <w:jc w:val="center"/>
              <w:textAlignment w:val="top"/>
              <w:rPr>
                <w:rFonts w:ascii="宋体"/>
                <w:bCs/>
                <w:sz w:val="22"/>
                <w:szCs w:val="22"/>
              </w:rPr>
            </w:pPr>
            <w:r>
              <w:rPr>
                <w:rFonts w:hint="eastAsia" w:ascii="宋体" w:hAnsi="宋体" w:cs="宋体"/>
                <w:color w:val="000000"/>
                <w:kern w:val="0"/>
                <w:sz w:val="22"/>
                <w:szCs w:val="22"/>
                <w:lang w:bidi="ar"/>
              </w:rPr>
              <w:t>大会堂路</w:t>
            </w:r>
          </w:p>
        </w:tc>
        <w:tc>
          <w:tcPr>
            <w:tcW w:w="2160" w:type="dxa"/>
            <w:vAlign w:val="center"/>
          </w:tcPr>
          <w:p>
            <w:pPr>
              <w:widowControl/>
              <w:jc w:val="center"/>
              <w:textAlignment w:val="top"/>
              <w:rPr>
                <w:rFonts w:ascii="宋体"/>
                <w:bCs/>
                <w:sz w:val="22"/>
                <w:szCs w:val="22"/>
              </w:rPr>
            </w:pPr>
            <w:r>
              <w:rPr>
                <w:rFonts w:hint="eastAsia" w:ascii="宋体" w:hAnsi="宋体" w:cs="宋体"/>
                <w:color w:val="000000"/>
                <w:kern w:val="0"/>
                <w:sz w:val="22"/>
                <w:szCs w:val="22"/>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widowControl/>
              <w:autoSpaceDE w:val="0"/>
              <w:autoSpaceDN w:val="0"/>
              <w:adjustRightInd w:val="0"/>
              <w:spacing w:line="460" w:lineRule="atLeast"/>
              <w:jc w:val="center"/>
              <w:textAlignment w:val="bottom"/>
              <w:rPr>
                <w:rFonts w:ascii="宋体"/>
                <w:bCs/>
                <w:sz w:val="22"/>
                <w:szCs w:val="22"/>
              </w:rPr>
            </w:pPr>
            <w:r>
              <w:rPr>
                <w:rFonts w:hint="eastAsia" w:ascii="宋体"/>
                <w:bCs/>
                <w:sz w:val="22"/>
                <w:szCs w:val="22"/>
              </w:rPr>
              <w:t>4</w:t>
            </w:r>
          </w:p>
        </w:tc>
        <w:tc>
          <w:tcPr>
            <w:tcW w:w="2160" w:type="dxa"/>
            <w:vAlign w:val="center"/>
          </w:tcPr>
          <w:p>
            <w:pPr>
              <w:widowControl/>
              <w:jc w:val="center"/>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乌岩山公园</w:t>
            </w:r>
          </w:p>
        </w:tc>
        <w:tc>
          <w:tcPr>
            <w:tcW w:w="2160" w:type="dxa"/>
            <w:vAlign w:val="center"/>
          </w:tcPr>
          <w:p>
            <w:pPr>
              <w:widowControl/>
              <w:jc w:val="center"/>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72129.74</w:t>
            </w:r>
          </w:p>
        </w:tc>
        <w:tc>
          <w:tcPr>
            <w:tcW w:w="2160" w:type="dxa"/>
            <w:vAlign w:val="center"/>
          </w:tcPr>
          <w:p>
            <w:pPr>
              <w:widowControl/>
              <w:jc w:val="center"/>
              <w:textAlignment w:val="top"/>
              <w:rPr>
                <w:rFonts w:ascii="宋体"/>
                <w:bCs/>
                <w:sz w:val="22"/>
                <w:szCs w:val="22"/>
              </w:rPr>
            </w:pPr>
            <w:r>
              <w:rPr>
                <w:rFonts w:hint="eastAsia" w:ascii="宋体" w:hAnsi="宋体" w:cs="宋体"/>
                <w:color w:val="000000"/>
                <w:kern w:val="0"/>
                <w:sz w:val="22"/>
                <w:szCs w:val="22"/>
                <w:lang w:bidi="ar"/>
              </w:rPr>
              <w:t>墩西路</w:t>
            </w:r>
          </w:p>
        </w:tc>
        <w:tc>
          <w:tcPr>
            <w:tcW w:w="2160" w:type="dxa"/>
            <w:vAlign w:val="center"/>
          </w:tcPr>
          <w:p>
            <w:pPr>
              <w:widowControl/>
              <w:jc w:val="center"/>
              <w:textAlignment w:val="top"/>
              <w:rPr>
                <w:rFonts w:ascii="宋体"/>
                <w:bCs/>
                <w:sz w:val="22"/>
                <w:szCs w:val="22"/>
              </w:rPr>
            </w:pPr>
            <w:r>
              <w:rPr>
                <w:rFonts w:hint="eastAsia" w:ascii="宋体" w:hAnsi="宋体" w:cs="宋体"/>
                <w:color w:val="000000"/>
                <w:kern w:val="0"/>
                <w:sz w:val="22"/>
                <w:szCs w:val="22"/>
                <w:lang w:bidi="ar"/>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widowControl/>
              <w:autoSpaceDE w:val="0"/>
              <w:autoSpaceDN w:val="0"/>
              <w:adjustRightInd w:val="0"/>
              <w:spacing w:line="460" w:lineRule="atLeast"/>
              <w:jc w:val="center"/>
              <w:textAlignment w:val="bottom"/>
              <w:rPr>
                <w:rFonts w:ascii="宋体"/>
                <w:bCs/>
                <w:sz w:val="22"/>
                <w:szCs w:val="22"/>
              </w:rPr>
            </w:pPr>
            <w:r>
              <w:rPr>
                <w:rFonts w:hint="eastAsia" w:ascii="宋体"/>
                <w:bCs/>
                <w:sz w:val="22"/>
                <w:szCs w:val="22"/>
              </w:rPr>
              <w:t>5</w:t>
            </w:r>
          </w:p>
        </w:tc>
        <w:tc>
          <w:tcPr>
            <w:tcW w:w="2160" w:type="dxa"/>
            <w:vAlign w:val="center"/>
          </w:tcPr>
          <w:p>
            <w:pPr>
              <w:widowControl/>
              <w:jc w:val="center"/>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永嘉广场</w:t>
            </w:r>
          </w:p>
        </w:tc>
        <w:tc>
          <w:tcPr>
            <w:tcW w:w="2160" w:type="dxa"/>
            <w:vAlign w:val="center"/>
          </w:tcPr>
          <w:p>
            <w:pPr>
              <w:widowControl/>
              <w:jc w:val="center"/>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11123.53</w:t>
            </w:r>
          </w:p>
        </w:tc>
        <w:tc>
          <w:tcPr>
            <w:tcW w:w="2160" w:type="dxa"/>
            <w:vAlign w:val="center"/>
          </w:tcPr>
          <w:p>
            <w:pPr>
              <w:widowControl/>
              <w:jc w:val="center"/>
              <w:textAlignment w:val="top"/>
              <w:rPr>
                <w:rFonts w:ascii="宋体"/>
                <w:bCs/>
                <w:sz w:val="22"/>
                <w:szCs w:val="22"/>
              </w:rPr>
            </w:pPr>
            <w:r>
              <w:rPr>
                <w:rFonts w:hint="eastAsia" w:ascii="宋体" w:hAnsi="宋体" w:cs="宋体"/>
                <w:color w:val="000000"/>
                <w:kern w:val="0"/>
                <w:sz w:val="22"/>
                <w:szCs w:val="22"/>
                <w:lang w:bidi="ar"/>
              </w:rPr>
              <w:t>繁华路</w:t>
            </w:r>
          </w:p>
        </w:tc>
        <w:tc>
          <w:tcPr>
            <w:tcW w:w="2160" w:type="dxa"/>
            <w:vAlign w:val="center"/>
          </w:tcPr>
          <w:p>
            <w:pPr>
              <w:widowControl/>
              <w:jc w:val="center"/>
              <w:textAlignment w:val="top"/>
              <w:rPr>
                <w:rFonts w:ascii="宋体"/>
                <w:bCs/>
                <w:sz w:val="22"/>
                <w:szCs w:val="22"/>
              </w:rPr>
            </w:pPr>
            <w:r>
              <w:rPr>
                <w:rFonts w:hint="eastAsia" w:ascii="宋体" w:hAnsi="宋体" w:cs="宋体"/>
                <w:color w:val="000000"/>
                <w:kern w:val="0"/>
                <w:sz w:val="22"/>
                <w:szCs w:val="22"/>
                <w:lang w:bidi="ar"/>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widowControl/>
              <w:autoSpaceDE w:val="0"/>
              <w:autoSpaceDN w:val="0"/>
              <w:adjustRightInd w:val="0"/>
              <w:spacing w:line="460" w:lineRule="atLeast"/>
              <w:jc w:val="center"/>
              <w:textAlignment w:val="bottom"/>
              <w:rPr>
                <w:rFonts w:ascii="宋体"/>
                <w:bCs/>
                <w:sz w:val="22"/>
                <w:szCs w:val="22"/>
              </w:rPr>
            </w:pPr>
            <w:r>
              <w:rPr>
                <w:rFonts w:hint="eastAsia" w:ascii="宋体"/>
                <w:bCs/>
                <w:sz w:val="22"/>
                <w:szCs w:val="22"/>
              </w:rPr>
              <w:t>6</w:t>
            </w:r>
          </w:p>
        </w:tc>
        <w:tc>
          <w:tcPr>
            <w:tcW w:w="2160" w:type="dxa"/>
            <w:vAlign w:val="center"/>
          </w:tcPr>
          <w:p>
            <w:pPr>
              <w:widowControl/>
              <w:jc w:val="center"/>
              <w:textAlignment w:val="top"/>
              <w:rPr>
                <w:rFonts w:ascii="宋体" w:hAnsi="宋体" w:cs="宋体"/>
                <w:kern w:val="0"/>
                <w:sz w:val="22"/>
                <w:szCs w:val="22"/>
                <w:lang w:bidi="ar"/>
              </w:rPr>
            </w:pPr>
            <w:r>
              <w:rPr>
                <w:rFonts w:hint="eastAsia" w:ascii="宋体" w:hAnsi="宋体" w:cs="宋体"/>
                <w:kern w:val="0"/>
                <w:sz w:val="22"/>
                <w:szCs w:val="22"/>
                <w:lang w:bidi="ar"/>
              </w:rPr>
              <w:t>中塘溪公园</w:t>
            </w:r>
          </w:p>
        </w:tc>
        <w:tc>
          <w:tcPr>
            <w:tcW w:w="2160" w:type="dxa"/>
            <w:vAlign w:val="center"/>
          </w:tcPr>
          <w:p>
            <w:pPr>
              <w:widowControl/>
              <w:jc w:val="center"/>
              <w:textAlignment w:val="top"/>
              <w:rPr>
                <w:rFonts w:ascii="宋体" w:hAnsi="宋体" w:cs="宋体"/>
                <w:kern w:val="0"/>
                <w:sz w:val="22"/>
                <w:szCs w:val="22"/>
                <w:lang w:bidi="ar"/>
              </w:rPr>
            </w:pPr>
            <w:r>
              <w:rPr>
                <w:rFonts w:hint="eastAsia" w:ascii="宋体" w:hAnsi="宋体" w:cs="宋体"/>
                <w:kern w:val="0"/>
                <w:sz w:val="22"/>
                <w:szCs w:val="22"/>
                <w:lang w:bidi="ar"/>
              </w:rPr>
              <w:t>48748.37</w:t>
            </w:r>
          </w:p>
        </w:tc>
        <w:tc>
          <w:tcPr>
            <w:tcW w:w="2160" w:type="dxa"/>
            <w:vAlign w:val="center"/>
          </w:tcPr>
          <w:p>
            <w:pPr>
              <w:widowControl/>
              <w:jc w:val="center"/>
              <w:textAlignment w:val="top"/>
              <w:rPr>
                <w:rFonts w:ascii="宋体"/>
                <w:bCs/>
                <w:sz w:val="22"/>
                <w:szCs w:val="22"/>
              </w:rPr>
            </w:pPr>
            <w:r>
              <w:rPr>
                <w:rFonts w:hint="eastAsia" w:ascii="宋体" w:hAnsi="宋体" w:cs="宋体"/>
                <w:color w:val="000000"/>
                <w:kern w:val="0"/>
                <w:sz w:val="22"/>
                <w:szCs w:val="22"/>
                <w:lang w:bidi="ar"/>
              </w:rPr>
              <w:t>广场路</w:t>
            </w:r>
          </w:p>
        </w:tc>
        <w:tc>
          <w:tcPr>
            <w:tcW w:w="2160" w:type="dxa"/>
            <w:vAlign w:val="center"/>
          </w:tcPr>
          <w:p>
            <w:pPr>
              <w:widowControl/>
              <w:jc w:val="center"/>
              <w:textAlignment w:val="top"/>
              <w:rPr>
                <w:rFonts w:ascii="宋体"/>
                <w:bCs/>
                <w:sz w:val="22"/>
                <w:szCs w:val="22"/>
              </w:rPr>
            </w:pPr>
            <w:r>
              <w:rPr>
                <w:rFonts w:hint="eastAsia" w:ascii="宋体" w:hAnsi="宋体" w:cs="宋体"/>
                <w:color w:val="000000"/>
                <w:kern w:val="0"/>
                <w:sz w:val="22"/>
                <w:szCs w:val="22"/>
                <w:lang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widowControl/>
              <w:autoSpaceDE w:val="0"/>
              <w:autoSpaceDN w:val="0"/>
              <w:adjustRightInd w:val="0"/>
              <w:spacing w:line="460" w:lineRule="atLeast"/>
              <w:jc w:val="center"/>
              <w:textAlignment w:val="bottom"/>
              <w:rPr>
                <w:rFonts w:ascii="宋体"/>
                <w:bCs/>
                <w:sz w:val="22"/>
                <w:szCs w:val="22"/>
              </w:rPr>
            </w:pPr>
            <w:r>
              <w:rPr>
                <w:rFonts w:hint="eastAsia" w:ascii="宋体"/>
                <w:bCs/>
                <w:sz w:val="22"/>
                <w:szCs w:val="22"/>
              </w:rPr>
              <w:t>7</w:t>
            </w:r>
          </w:p>
        </w:tc>
        <w:tc>
          <w:tcPr>
            <w:tcW w:w="2160" w:type="dxa"/>
            <w:vAlign w:val="center"/>
          </w:tcPr>
          <w:p>
            <w:pPr>
              <w:widowControl/>
              <w:jc w:val="center"/>
              <w:textAlignment w:val="top"/>
              <w:rPr>
                <w:rFonts w:ascii="宋体" w:hAnsi="宋体" w:cs="宋体"/>
                <w:kern w:val="0"/>
                <w:sz w:val="22"/>
                <w:szCs w:val="22"/>
                <w:lang w:bidi="ar"/>
              </w:rPr>
            </w:pPr>
            <w:r>
              <w:rPr>
                <w:rFonts w:hint="eastAsia" w:ascii="宋体" w:hAnsi="宋体" w:cs="宋体"/>
                <w:kern w:val="0"/>
                <w:sz w:val="22"/>
                <w:szCs w:val="22"/>
                <w:lang w:bidi="ar"/>
              </w:rPr>
              <w:t>黄屿滨水公园</w:t>
            </w:r>
          </w:p>
        </w:tc>
        <w:tc>
          <w:tcPr>
            <w:tcW w:w="2160" w:type="dxa"/>
            <w:vAlign w:val="center"/>
          </w:tcPr>
          <w:p>
            <w:pPr>
              <w:widowControl/>
              <w:jc w:val="center"/>
              <w:textAlignment w:val="top"/>
              <w:rPr>
                <w:rFonts w:ascii="宋体" w:hAnsi="宋体" w:cs="宋体"/>
                <w:kern w:val="0"/>
                <w:sz w:val="22"/>
                <w:szCs w:val="22"/>
                <w:lang w:bidi="ar"/>
              </w:rPr>
            </w:pPr>
            <w:r>
              <w:rPr>
                <w:rFonts w:hint="eastAsia" w:ascii="宋体" w:hAnsi="宋体" w:cs="宋体"/>
                <w:kern w:val="0"/>
                <w:sz w:val="22"/>
                <w:szCs w:val="22"/>
                <w:lang w:bidi="ar"/>
              </w:rPr>
              <w:t>20097.92</w:t>
            </w:r>
          </w:p>
        </w:tc>
        <w:tc>
          <w:tcPr>
            <w:tcW w:w="2160" w:type="dxa"/>
            <w:vAlign w:val="center"/>
          </w:tcPr>
          <w:p>
            <w:pPr>
              <w:widowControl/>
              <w:jc w:val="center"/>
              <w:textAlignment w:val="top"/>
              <w:rPr>
                <w:rFonts w:ascii="宋体"/>
                <w:bCs/>
                <w:sz w:val="22"/>
                <w:szCs w:val="22"/>
              </w:rPr>
            </w:pPr>
            <w:r>
              <w:rPr>
                <w:rFonts w:hint="eastAsia" w:ascii="宋体" w:hAnsi="宋体" w:cs="宋体"/>
                <w:color w:val="000000"/>
                <w:kern w:val="0"/>
                <w:sz w:val="22"/>
                <w:szCs w:val="22"/>
                <w:lang w:bidi="ar"/>
              </w:rPr>
              <w:t>环城北路</w:t>
            </w:r>
          </w:p>
        </w:tc>
        <w:tc>
          <w:tcPr>
            <w:tcW w:w="2160" w:type="dxa"/>
            <w:vAlign w:val="center"/>
          </w:tcPr>
          <w:p>
            <w:pPr>
              <w:widowControl/>
              <w:jc w:val="center"/>
              <w:textAlignment w:val="top"/>
              <w:rPr>
                <w:rFonts w:ascii="宋体"/>
                <w:bCs/>
                <w:sz w:val="22"/>
                <w:szCs w:val="22"/>
              </w:rPr>
            </w:pPr>
            <w:r>
              <w:rPr>
                <w:rFonts w:hint="eastAsia" w:ascii="宋体" w:hAnsi="宋体" w:cs="宋体"/>
                <w:color w:val="000000"/>
                <w:kern w:val="0"/>
                <w:sz w:val="22"/>
                <w:szCs w:val="22"/>
                <w:lang w:bidi="ar"/>
              </w:rPr>
              <w:t>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widowControl/>
              <w:autoSpaceDE w:val="0"/>
              <w:autoSpaceDN w:val="0"/>
              <w:adjustRightInd w:val="0"/>
              <w:spacing w:line="460" w:lineRule="atLeast"/>
              <w:jc w:val="center"/>
              <w:textAlignment w:val="bottom"/>
              <w:rPr>
                <w:rFonts w:ascii="宋体"/>
                <w:bCs/>
                <w:sz w:val="22"/>
                <w:szCs w:val="22"/>
              </w:rPr>
            </w:pPr>
            <w:r>
              <w:rPr>
                <w:rFonts w:hint="eastAsia" w:ascii="宋体"/>
                <w:bCs/>
                <w:sz w:val="22"/>
                <w:szCs w:val="22"/>
              </w:rPr>
              <w:t>8</w:t>
            </w:r>
          </w:p>
        </w:tc>
        <w:tc>
          <w:tcPr>
            <w:tcW w:w="2160" w:type="dxa"/>
            <w:vAlign w:val="center"/>
          </w:tcPr>
          <w:p>
            <w:pPr>
              <w:widowControl/>
              <w:jc w:val="center"/>
              <w:textAlignment w:val="top"/>
              <w:rPr>
                <w:rFonts w:ascii="宋体" w:hAnsi="宋体" w:cs="宋体"/>
                <w:kern w:val="0"/>
                <w:sz w:val="22"/>
                <w:szCs w:val="22"/>
                <w:lang w:bidi="ar"/>
              </w:rPr>
            </w:pPr>
            <w:r>
              <w:rPr>
                <w:rFonts w:hint="eastAsia" w:ascii="宋体" w:hAnsi="宋体" w:cs="宋体"/>
                <w:kern w:val="0"/>
                <w:sz w:val="22"/>
                <w:szCs w:val="22"/>
                <w:lang w:bidi="ar"/>
              </w:rPr>
              <w:t>其它街旁公园绿地</w:t>
            </w:r>
          </w:p>
        </w:tc>
        <w:tc>
          <w:tcPr>
            <w:tcW w:w="2160" w:type="dxa"/>
            <w:vAlign w:val="center"/>
          </w:tcPr>
          <w:p>
            <w:pPr>
              <w:widowControl/>
              <w:jc w:val="center"/>
              <w:textAlignment w:val="top"/>
              <w:rPr>
                <w:rFonts w:ascii="宋体" w:hAnsi="宋体" w:cs="宋体"/>
                <w:kern w:val="0"/>
                <w:sz w:val="22"/>
                <w:szCs w:val="22"/>
                <w:lang w:bidi="ar"/>
              </w:rPr>
            </w:pPr>
            <w:r>
              <w:rPr>
                <w:rFonts w:hint="eastAsia" w:ascii="宋体" w:hAnsi="宋体" w:cs="宋体"/>
                <w:kern w:val="0"/>
                <w:sz w:val="22"/>
                <w:szCs w:val="22"/>
                <w:lang w:bidi="ar"/>
              </w:rPr>
              <w:t>43924.17</w:t>
            </w:r>
          </w:p>
        </w:tc>
        <w:tc>
          <w:tcPr>
            <w:tcW w:w="2160" w:type="dxa"/>
            <w:vAlign w:val="center"/>
          </w:tcPr>
          <w:p>
            <w:pPr>
              <w:widowControl/>
              <w:jc w:val="center"/>
              <w:textAlignment w:val="top"/>
              <w:rPr>
                <w:rFonts w:ascii="宋体"/>
                <w:bCs/>
                <w:sz w:val="22"/>
                <w:szCs w:val="22"/>
              </w:rPr>
            </w:pPr>
            <w:r>
              <w:rPr>
                <w:rFonts w:hint="eastAsia" w:ascii="宋体" w:hAnsi="宋体" w:cs="宋体"/>
                <w:color w:val="000000"/>
                <w:kern w:val="0"/>
                <w:sz w:val="22"/>
                <w:szCs w:val="22"/>
                <w:lang w:bidi="ar"/>
              </w:rPr>
              <w:t>环城东路</w:t>
            </w:r>
          </w:p>
        </w:tc>
        <w:tc>
          <w:tcPr>
            <w:tcW w:w="2160" w:type="dxa"/>
            <w:vAlign w:val="center"/>
          </w:tcPr>
          <w:p>
            <w:pPr>
              <w:widowControl/>
              <w:jc w:val="center"/>
              <w:textAlignment w:val="top"/>
              <w:rPr>
                <w:rFonts w:ascii="宋体"/>
                <w:bCs/>
                <w:sz w:val="22"/>
                <w:szCs w:val="22"/>
              </w:rPr>
            </w:pPr>
            <w:r>
              <w:rPr>
                <w:rFonts w:hint="eastAsia" w:ascii="宋体" w:hAnsi="宋体" w:cs="宋体"/>
                <w:color w:val="000000"/>
                <w:kern w:val="0"/>
                <w:sz w:val="22"/>
                <w:szCs w:val="22"/>
                <w:lang w:bidi="ar"/>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widowControl/>
              <w:autoSpaceDE w:val="0"/>
              <w:autoSpaceDN w:val="0"/>
              <w:adjustRightInd w:val="0"/>
              <w:spacing w:line="460" w:lineRule="atLeast"/>
              <w:jc w:val="center"/>
              <w:textAlignment w:val="bottom"/>
              <w:rPr>
                <w:rFonts w:ascii="宋体"/>
                <w:bCs/>
                <w:sz w:val="22"/>
                <w:szCs w:val="22"/>
              </w:rPr>
            </w:pPr>
            <w:r>
              <w:rPr>
                <w:rFonts w:hint="eastAsia" w:ascii="宋体"/>
                <w:bCs/>
                <w:sz w:val="22"/>
                <w:szCs w:val="22"/>
              </w:rPr>
              <w:t>9</w:t>
            </w:r>
          </w:p>
        </w:tc>
        <w:tc>
          <w:tcPr>
            <w:tcW w:w="2160" w:type="dxa"/>
            <w:vAlign w:val="center"/>
          </w:tcPr>
          <w:p>
            <w:pPr>
              <w:widowControl/>
              <w:jc w:val="center"/>
              <w:textAlignment w:val="top"/>
              <w:rPr>
                <w:rFonts w:ascii="宋体" w:hAnsi="宋体" w:cs="宋体"/>
                <w:kern w:val="0"/>
                <w:sz w:val="22"/>
                <w:szCs w:val="22"/>
                <w:lang w:bidi="ar"/>
              </w:rPr>
            </w:pPr>
            <w:r>
              <w:rPr>
                <w:rFonts w:hint="eastAsia" w:ascii="宋体" w:hAnsi="宋体" w:cs="宋体"/>
                <w:kern w:val="0"/>
                <w:sz w:val="22"/>
                <w:szCs w:val="22"/>
                <w:lang w:bidi="ar"/>
              </w:rPr>
              <w:t>附属绿地面积</w:t>
            </w:r>
          </w:p>
        </w:tc>
        <w:tc>
          <w:tcPr>
            <w:tcW w:w="2160" w:type="dxa"/>
            <w:vAlign w:val="center"/>
          </w:tcPr>
          <w:p>
            <w:pPr>
              <w:widowControl/>
              <w:jc w:val="center"/>
              <w:textAlignment w:val="top"/>
              <w:rPr>
                <w:rFonts w:ascii="宋体" w:hAnsi="宋体" w:cs="宋体"/>
                <w:kern w:val="0"/>
                <w:sz w:val="22"/>
                <w:szCs w:val="22"/>
                <w:lang w:bidi="ar"/>
              </w:rPr>
            </w:pPr>
            <w:r>
              <w:rPr>
                <w:rFonts w:hint="eastAsia" w:ascii="宋体" w:hAnsi="宋体" w:cs="宋体"/>
                <w:kern w:val="0"/>
                <w:sz w:val="22"/>
                <w:szCs w:val="22"/>
                <w:lang w:bidi="ar"/>
              </w:rPr>
              <w:t>77190.03</w:t>
            </w:r>
          </w:p>
        </w:tc>
        <w:tc>
          <w:tcPr>
            <w:tcW w:w="2160" w:type="dxa"/>
            <w:vAlign w:val="center"/>
          </w:tcPr>
          <w:p>
            <w:pPr>
              <w:widowControl/>
              <w:jc w:val="center"/>
              <w:textAlignment w:val="top"/>
              <w:rPr>
                <w:rFonts w:ascii="宋体"/>
                <w:bCs/>
                <w:sz w:val="22"/>
                <w:szCs w:val="22"/>
              </w:rPr>
            </w:pPr>
            <w:r>
              <w:rPr>
                <w:rFonts w:hint="eastAsia" w:ascii="宋体" w:hAnsi="宋体" w:cs="宋体"/>
                <w:color w:val="000000"/>
                <w:kern w:val="0"/>
                <w:sz w:val="22"/>
                <w:szCs w:val="22"/>
                <w:lang w:bidi="ar"/>
              </w:rPr>
              <w:t>环城西路</w:t>
            </w:r>
          </w:p>
        </w:tc>
        <w:tc>
          <w:tcPr>
            <w:tcW w:w="2160" w:type="dxa"/>
            <w:vAlign w:val="center"/>
          </w:tcPr>
          <w:p>
            <w:pPr>
              <w:widowControl/>
              <w:jc w:val="center"/>
              <w:textAlignment w:val="top"/>
              <w:rPr>
                <w:rFonts w:ascii="宋体"/>
                <w:bCs/>
                <w:sz w:val="22"/>
                <w:szCs w:val="22"/>
              </w:rPr>
            </w:pPr>
            <w:r>
              <w:rPr>
                <w:rFonts w:hint="eastAsia" w:ascii="宋体" w:hAnsi="宋体" w:cs="宋体"/>
                <w:color w:val="000000"/>
                <w:kern w:val="0"/>
                <w:sz w:val="22"/>
                <w:szCs w:val="22"/>
                <w:lang w:bidi="ar"/>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widowControl/>
              <w:autoSpaceDE w:val="0"/>
              <w:autoSpaceDN w:val="0"/>
              <w:adjustRightInd w:val="0"/>
              <w:spacing w:line="460" w:lineRule="atLeast"/>
              <w:jc w:val="center"/>
              <w:textAlignment w:val="bottom"/>
              <w:rPr>
                <w:rFonts w:ascii="宋体"/>
                <w:bCs/>
                <w:sz w:val="22"/>
                <w:szCs w:val="22"/>
              </w:rPr>
            </w:pPr>
            <w:r>
              <w:rPr>
                <w:rFonts w:hint="eastAsia" w:ascii="宋体"/>
                <w:bCs/>
                <w:sz w:val="22"/>
                <w:szCs w:val="22"/>
              </w:rPr>
              <w:t>10</w:t>
            </w:r>
          </w:p>
        </w:tc>
        <w:tc>
          <w:tcPr>
            <w:tcW w:w="2160" w:type="dxa"/>
            <w:vAlign w:val="center"/>
          </w:tcPr>
          <w:p>
            <w:pPr>
              <w:widowControl/>
              <w:jc w:val="center"/>
              <w:textAlignment w:val="top"/>
              <w:rPr>
                <w:rFonts w:ascii="宋体" w:hAnsi="宋体" w:cs="宋体"/>
                <w:kern w:val="0"/>
                <w:sz w:val="22"/>
                <w:szCs w:val="22"/>
                <w:lang w:bidi="ar"/>
              </w:rPr>
            </w:pPr>
            <w:r>
              <w:rPr>
                <w:rFonts w:hint="eastAsia" w:ascii="宋体" w:hAnsi="宋体" w:cs="宋体"/>
                <w:kern w:val="0"/>
                <w:sz w:val="22"/>
                <w:szCs w:val="22"/>
                <w:lang w:bidi="ar"/>
              </w:rPr>
              <w:t>龙山公园</w:t>
            </w:r>
          </w:p>
        </w:tc>
        <w:tc>
          <w:tcPr>
            <w:tcW w:w="2160" w:type="dxa"/>
            <w:vAlign w:val="center"/>
          </w:tcPr>
          <w:p>
            <w:pPr>
              <w:widowControl/>
              <w:jc w:val="center"/>
              <w:textAlignment w:val="top"/>
              <w:rPr>
                <w:rFonts w:ascii="宋体" w:hAnsi="宋体" w:cs="宋体"/>
                <w:kern w:val="0"/>
                <w:sz w:val="22"/>
                <w:szCs w:val="22"/>
                <w:lang w:bidi="ar"/>
              </w:rPr>
            </w:pPr>
            <w:r>
              <w:rPr>
                <w:rFonts w:hint="eastAsia" w:ascii="宋体" w:hAnsi="宋体" w:cs="宋体"/>
                <w:kern w:val="0"/>
                <w:sz w:val="22"/>
                <w:szCs w:val="22"/>
                <w:lang w:bidi="ar"/>
              </w:rPr>
              <w:t>50000.75</w:t>
            </w:r>
          </w:p>
        </w:tc>
        <w:tc>
          <w:tcPr>
            <w:tcW w:w="2160" w:type="dxa"/>
            <w:vAlign w:val="center"/>
          </w:tcPr>
          <w:p>
            <w:pPr>
              <w:widowControl/>
              <w:jc w:val="center"/>
              <w:textAlignment w:val="top"/>
              <w:rPr>
                <w:rFonts w:ascii="宋体"/>
                <w:bCs/>
                <w:sz w:val="22"/>
                <w:szCs w:val="22"/>
              </w:rPr>
            </w:pPr>
            <w:r>
              <w:rPr>
                <w:rFonts w:hint="eastAsia" w:ascii="宋体" w:hAnsi="宋体" w:cs="宋体"/>
                <w:color w:val="000000"/>
                <w:kern w:val="0"/>
                <w:sz w:val="22"/>
                <w:szCs w:val="22"/>
                <w:lang w:bidi="ar"/>
              </w:rPr>
              <w:t>嘉宁街</w:t>
            </w:r>
          </w:p>
        </w:tc>
        <w:tc>
          <w:tcPr>
            <w:tcW w:w="2160" w:type="dxa"/>
            <w:vAlign w:val="center"/>
          </w:tcPr>
          <w:p>
            <w:pPr>
              <w:widowControl/>
              <w:jc w:val="center"/>
              <w:textAlignment w:val="top"/>
              <w:rPr>
                <w:rFonts w:ascii="宋体"/>
                <w:bCs/>
                <w:sz w:val="22"/>
                <w:szCs w:val="22"/>
              </w:rPr>
            </w:pPr>
            <w:r>
              <w:rPr>
                <w:rFonts w:hint="eastAsia" w:ascii="宋体" w:hAnsi="宋体" w:cs="宋体"/>
                <w:color w:val="000000"/>
                <w:kern w:val="0"/>
                <w:sz w:val="22"/>
                <w:szCs w:val="22"/>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widowControl/>
              <w:autoSpaceDE w:val="0"/>
              <w:autoSpaceDN w:val="0"/>
              <w:adjustRightInd w:val="0"/>
              <w:spacing w:line="460" w:lineRule="atLeast"/>
              <w:jc w:val="center"/>
              <w:textAlignment w:val="bottom"/>
              <w:rPr>
                <w:rFonts w:ascii="宋体"/>
                <w:bCs/>
                <w:sz w:val="22"/>
                <w:szCs w:val="22"/>
              </w:rPr>
            </w:pPr>
            <w:r>
              <w:rPr>
                <w:rFonts w:hint="eastAsia" w:ascii="宋体"/>
                <w:bCs/>
                <w:sz w:val="22"/>
                <w:szCs w:val="22"/>
              </w:rPr>
              <w:t>11</w:t>
            </w:r>
          </w:p>
        </w:tc>
        <w:tc>
          <w:tcPr>
            <w:tcW w:w="2160" w:type="dxa"/>
            <w:vAlign w:val="center"/>
          </w:tcPr>
          <w:p>
            <w:pPr>
              <w:widowControl/>
              <w:jc w:val="center"/>
              <w:textAlignment w:val="top"/>
              <w:rPr>
                <w:rFonts w:ascii="宋体" w:hAnsi="宋体" w:cs="宋体"/>
                <w:kern w:val="0"/>
                <w:sz w:val="22"/>
                <w:szCs w:val="22"/>
                <w:lang w:bidi="ar"/>
              </w:rPr>
            </w:pPr>
            <w:r>
              <w:rPr>
                <w:rFonts w:hint="eastAsia" w:ascii="宋体" w:hAnsi="宋体" w:cs="宋体"/>
                <w:kern w:val="0"/>
                <w:sz w:val="22"/>
                <w:szCs w:val="22"/>
                <w:lang w:bidi="ar"/>
              </w:rPr>
              <w:t>屿山公园</w:t>
            </w:r>
          </w:p>
        </w:tc>
        <w:tc>
          <w:tcPr>
            <w:tcW w:w="2160" w:type="dxa"/>
            <w:vAlign w:val="center"/>
          </w:tcPr>
          <w:p>
            <w:pPr>
              <w:widowControl/>
              <w:jc w:val="center"/>
              <w:textAlignment w:val="top"/>
              <w:rPr>
                <w:rFonts w:ascii="宋体" w:hAnsi="宋体" w:cs="宋体"/>
                <w:kern w:val="0"/>
                <w:sz w:val="22"/>
                <w:szCs w:val="22"/>
                <w:lang w:bidi="ar"/>
              </w:rPr>
            </w:pPr>
            <w:r>
              <w:rPr>
                <w:rFonts w:hint="eastAsia" w:ascii="宋体" w:hAnsi="宋体" w:cs="宋体"/>
                <w:kern w:val="0"/>
                <w:sz w:val="22"/>
                <w:szCs w:val="22"/>
                <w:lang w:bidi="ar"/>
              </w:rPr>
              <w:t>37076.51</w:t>
            </w:r>
          </w:p>
        </w:tc>
        <w:tc>
          <w:tcPr>
            <w:tcW w:w="2160" w:type="dxa"/>
            <w:vAlign w:val="center"/>
          </w:tcPr>
          <w:p>
            <w:pPr>
              <w:widowControl/>
              <w:jc w:val="center"/>
              <w:textAlignment w:val="top"/>
              <w:rPr>
                <w:rFonts w:ascii="宋体"/>
                <w:bCs/>
                <w:sz w:val="22"/>
                <w:szCs w:val="22"/>
              </w:rPr>
            </w:pPr>
            <w:r>
              <w:rPr>
                <w:rFonts w:hint="eastAsia" w:ascii="宋体" w:hAnsi="宋体" w:cs="宋体"/>
                <w:color w:val="000000"/>
                <w:kern w:val="0"/>
                <w:sz w:val="22"/>
                <w:szCs w:val="22"/>
                <w:lang w:bidi="ar"/>
              </w:rPr>
              <w:t>嘉兴街</w:t>
            </w:r>
          </w:p>
        </w:tc>
        <w:tc>
          <w:tcPr>
            <w:tcW w:w="2160" w:type="dxa"/>
            <w:vAlign w:val="center"/>
          </w:tcPr>
          <w:p>
            <w:pPr>
              <w:widowControl/>
              <w:jc w:val="center"/>
              <w:textAlignment w:val="top"/>
              <w:rPr>
                <w:rFonts w:ascii="宋体"/>
                <w:bCs/>
                <w:sz w:val="22"/>
                <w:szCs w:val="22"/>
              </w:rPr>
            </w:pPr>
            <w:r>
              <w:rPr>
                <w:rFonts w:hint="eastAsia" w:ascii="宋体" w:hAnsi="宋体" w:cs="宋体"/>
                <w:color w:val="000000"/>
                <w:kern w:val="0"/>
                <w:sz w:val="22"/>
                <w:szCs w:val="22"/>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widowControl/>
              <w:autoSpaceDE w:val="0"/>
              <w:autoSpaceDN w:val="0"/>
              <w:adjustRightInd w:val="0"/>
              <w:spacing w:line="460" w:lineRule="atLeast"/>
              <w:jc w:val="center"/>
              <w:textAlignment w:val="bottom"/>
              <w:rPr>
                <w:rFonts w:ascii="宋体"/>
                <w:bCs/>
                <w:sz w:val="22"/>
                <w:szCs w:val="22"/>
              </w:rPr>
            </w:pPr>
            <w:r>
              <w:rPr>
                <w:rFonts w:hint="eastAsia" w:ascii="宋体"/>
                <w:bCs/>
                <w:sz w:val="22"/>
                <w:szCs w:val="22"/>
              </w:rPr>
              <w:t>12</w:t>
            </w:r>
          </w:p>
        </w:tc>
        <w:tc>
          <w:tcPr>
            <w:tcW w:w="2160" w:type="dxa"/>
            <w:vAlign w:val="center"/>
          </w:tcPr>
          <w:p>
            <w:pPr>
              <w:widowControl/>
              <w:jc w:val="center"/>
              <w:textAlignment w:val="top"/>
              <w:rPr>
                <w:rFonts w:ascii="宋体" w:hAnsi="宋体" w:cs="宋体"/>
                <w:kern w:val="0"/>
                <w:sz w:val="22"/>
                <w:szCs w:val="22"/>
                <w:lang w:bidi="ar"/>
              </w:rPr>
            </w:pPr>
            <w:r>
              <w:rPr>
                <w:rFonts w:hint="eastAsia" w:ascii="宋体" w:hAnsi="宋体" w:cs="宋体"/>
                <w:kern w:val="0"/>
                <w:sz w:val="22"/>
                <w:szCs w:val="22"/>
                <w:lang w:bidi="ar"/>
              </w:rPr>
              <w:t>下塘山公园</w:t>
            </w:r>
          </w:p>
        </w:tc>
        <w:tc>
          <w:tcPr>
            <w:tcW w:w="2160" w:type="dxa"/>
            <w:vAlign w:val="center"/>
          </w:tcPr>
          <w:p>
            <w:pPr>
              <w:widowControl/>
              <w:jc w:val="center"/>
              <w:textAlignment w:val="top"/>
              <w:rPr>
                <w:rFonts w:ascii="宋体" w:hAnsi="宋体" w:cs="宋体"/>
                <w:kern w:val="0"/>
                <w:sz w:val="22"/>
                <w:szCs w:val="22"/>
                <w:lang w:bidi="ar"/>
              </w:rPr>
            </w:pPr>
            <w:r>
              <w:rPr>
                <w:rFonts w:hint="eastAsia" w:ascii="宋体" w:hAnsi="宋体" w:cs="宋体"/>
                <w:kern w:val="0"/>
                <w:sz w:val="22"/>
                <w:szCs w:val="22"/>
                <w:lang w:bidi="ar"/>
              </w:rPr>
              <w:t>3678.98</w:t>
            </w:r>
          </w:p>
        </w:tc>
        <w:tc>
          <w:tcPr>
            <w:tcW w:w="2160" w:type="dxa"/>
            <w:vAlign w:val="center"/>
          </w:tcPr>
          <w:p>
            <w:pPr>
              <w:widowControl/>
              <w:jc w:val="center"/>
              <w:textAlignment w:val="top"/>
              <w:rPr>
                <w:rFonts w:ascii="宋体"/>
                <w:bCs/>
                <w:sz w:val="22"/>
                <w:szCs w:val="22"/>
              </w:rPr>
            </w:pPr>
            <w:r>
              <w:rPr>
                <w:rFonts w:hint="eastAsia" w:ascii="宋体" w:hAnsi="宋体" w:cs="宋体"/>
                <w:color w:val="000000"/>
                <w:kern w:val="0"/>
                <w:sz w:val="22"/>
                <w:szCs w:val="22"/>
                <w:lang w:bidi="ar"/>
              </w:rPr>
              <w:t>金西路</w:t>
            </w:r>
          </w:p>
        </w:tc>
        <w:tc>
          <w:tcPr>
            <w:tcW w:w="2160" w:type="dxa"/>
            <w:vAlign w:val="center"/>
          </w:tcPr>
          <w:p>
            <w:pPr>
              <w:widowControl/>
              <w:jc w:val="center"/>
              <w:textAlignment w:val="top"/>
              <w:rPr>
                <w:rFonts w:ascii="宋体"/>
                <w:bCs/>
                <w:sz w:val="22"/>
                <w:szCs w:val="22"/>
              </w:rPr>
            </w:pPr>
            <w:r>
              <w:rPr>
                <w:rFonts w:hint="eastAsia" w:ascii="宋体" w:hAnsi="宋体" w:cs="宋体"/>
                <w:color w:val="000000"/>
                <w:kern w:val="0"/>
                <w:sz w:val="22"/>
                <w:szCs w:val="22"/>
                <w:lang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widowControl/>
              <w:autoSpaceDE w:val="0"/>
              <w:autoSpaceDN w:val="0"/>
              <w:adjustRightInd w:val="0"/>
              <w:spacing w:line="460" w:lineRule="atLeast"/>
              <w:jc w:val="center"/>
              <w:textAlignment w:val="bottom"/>
              <w:rPr>
                <w:rFonts w:ascii="宋体"/>
                <w:bCs/>
                <w:sz w:val="22"/>
                <w:szCs w:val="22"/>
              </w:rPr>
            </w:pPr>
            <w:r>
              <w:rPr>
                <w:rFonts w:hint="eastAsia" w:ascii="宋体"/>
                <w:bCs/>
                <w:sz w:val="22"/>
                <w:szCs w:val="22"/>
              </w:rPr>
              <w:t>13</w:t>
            </w:r>
          </w:p>
        </w:tc>
        <w:tc>
          <w:tcPr>
            <w:tcW w:w="2160" w:type="dxa"/>
            <w:vAlign w:val="center"/>
          </w:tcPr>
          <w:p>
            <w:pPr>
              <w:widowControl/>
              <w:jc w:val="center"/>
              <w:textAlignment w:val="top"/>
              <w:rPr>
                <w:rFonts w:ascii="宋体" w:hAnsi="宋体" w:cs="宋体"/>
                <w:kern w:val="0"/>
                <w:sz w:val="22"/>
                <w:szCs w:val="22"/>
                <w:lang w:bidi="ar"/>
              </w:rPr>
            </w:pPr>
            <w:r>
              <w:rPr>
                <w:rFonts w:hint="eastAsia" w:ascii="宋体" w:hAnsi="宋体" w:cs="宋体"/>
                <w:kern w:val="0"/>
                <w:sz w:val="22"/>
                <w:szCs w:val="22"/>
                <w:lang w:bidi="ar"/>
              </w:rPr>
              <w:t>苗圃</w:t>
            </w:r>
          </w:p>
        </w:tc>
        <w:tc>
          <w:tcPr>
            <w:tcW w:w="2160" w:type="dxa"/>
            <w:vAlign w:val="center"/>
          </w:tcPr>
          <w:p>
            <w:pPr>
              <w:widowControl/>
              <w:jc w:val="center"/>
              <w:textAlignment w:val="top"/>
              <w:rPr>
                <w:rFonts w:ascii="宋体" w:hAnsi="宋体" w:cs="宋体"/>
                <w:kern w:val="0"/>
                <w:sz w:val="22"/>
                <w:szCs w:val="22"/>
                <w:lang w:bidi="ar"/>
              </w:rPr>
            </w:pPr>
            <w:r>
              <w:rPr>
                <w:rFonts w:hint="eastAsia" w:ascii="宋体" w:hAnsi="宋体" w:cs="宋体"/>
                <w:kern w:val="0"/>
                <w:sz w:val="22"/>
                <w:szCs w:val="22"/>
                <w:lang w:bidi="ar"/>
              </w:rPr>
              <w:t>7700.00</w:t>
            </w:r>
          </w:p>
        </w:tc>
        <w:tc>
          <w:tcPr>
            <w:tcW w:w="2160" w:type="dxa"/>
            <w:vAlign w:val="center"/>
          </w:tcPr>
          <w:p>
            <w:pPr>
              <w:widowControl/>
              <w:jc w:val="center"/>
              <w:textAlignment w:val="top"/>
              <w:rPr>
                <w:rFonts w:ascii="宋体"/>
                <w:bCs/>
                <w:sz w:val="22"/>
                <w:szCs w:val="22"/>
              </w:rPr>
            </w:pPr>
            <w:r>
              <w:rPr>
                <w:rFonts w:hint="eastAsia" w:ascii="宋体" w:hAnsi="宋体" w:cs="宋体"/>
                <w:color w:val="000000"/>
                <w:kern w:val="0"/>
                <w:sz w:val="22"/>
                <w:szCs w:val="22"/>
                <w:lang w:bidi="ar"/>
              </w:rPr>
              <w:t>临城南路</w:t>
            </w:r>
          </w:p>
        </w:tc>
        <w:tc>
          <w:tcPr>
            <w:tcW w:w="2160" w:type="dxa"/>
            <w:vAlign w:val="center"/>
          </w:tcPr>
          <w:p>
            <w:pPr>
              <w:widowControl/>
              <w:jc w:val="center"/>
              <w:textAlignment w:val="top"/>
              <w:rPr>
                <w:rFonts w:ascii="宋体"/>
                <w:bCs/>
                <w:sz w:val="22"/>
                <w:szCs w:val="22"/>
              </w:rPr>
            </w:pPr>
            <w:r>
              <w:rPr>
                <w:rFonts w:hint="eastAsia" w:ascii="宋体" w:hAnsi="宋体" w:cs="宋体"/>
                <w:color w:val="000000"/>
                <w:kern w:val="0"/>
                <w:sz w:val="22"/>
                <w:szCs w:val="22"/>
                <w:lang w:bidi="ar"/>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widowControl/>
              <w:autoSpaceDE w:val="0"/>
              <w:autoSpaceDN w:val="0"/>
              <w:adjustRightInd w:val="0"/>
              <w:spacing w:line="460" w:lineRule="atLeast"/>
              <w:jc w:val="center"/>
              <w:textAlignment w:val="bottom"/>
              <w:rPr>
                <w:rFonts w:ascii="宋体"/>
                <w:bCs/>
                <w:sz w:val="22"/>
                <w:szCs w:val="22"/>
              </w:rPr>
            </w:pPr>
            <w:r>
              <w:rPr>
                <w:rFonts w:hint="eastAsia" w:ascii="宋体"/>
                <w:bCs/>
                <w:sz w:val="22"/>
                <w:szCs w:val="22"/>
              </w:rPr>
              <w:t>14</w:t>
            </w:r>
          </w:p>
        </w:tc>
        <w:tc>
          <w:tcPr>
            <w:tcW w:w="2160" w:type="dxa"/>
            <w:vAlign w:val="center"/>
          </w:tcPr>
          <w:p>
            <w:pPr>
              <w:widowControl/>
              <w:jc w:val="center"/>
              <w:textAlignment w:val="top"/>
              <w:rPr>
                <w:rFonts w:ascii="宋体" w:hAnsi="宋体" w:cs="宋体"/>
                <w:kern w:val="0"/>
                <w:sz w:val="22"/>
                <w:szCs w:val="22"/>
                <w:lang w:bidi="ar"/>
              </w:rPr>
            </w:pPr>
            <w:r>
              <w:rPr>
                <w:rFonts w:hint="eastAsia" w:ascii="宋体" w:hAnsi="宋体" w:cs="宋体"/>
                <w:kern w:val="0"/>
                <w:sz w:val="22"/>
                <w:szCs w:val="22"/>
                <w:lang w:bidi="ar"/>
              </w:rPr>
              <w:t>合计</w:t>
            </w:r>
          </w:p>
        </w:tc>
        <w:tc>
          <w:tcPr>
            <w:tcW w:w="2160" w:type="dxa"/>
            <w:vAlign w:val="center"/>
          </w:tcPr>
          <w:p>
            <w:pPr>
              <w:widowControl/>
              <w:jc w:val="center"/>
              <w:textAlignment w:val="top"/>
              <w:rPr>
                <w:rFonts w:ascii="宋体" w:hAnsi="宋体" w:cs="宋体"/>
                <w:kern w:val="0"/>
                <w:sz w:val="22"/>
                <w:szCs w:val="22"/>
                <w:lang w:bidi="ar"/>
              </w:rPr>
            </w:pPr>
            <w:r>
              <w:rPr>
                <w:rFonts w:hint="eastAsia" w:ascii="宋体" w:hAnsi="宋体" w:cs="宋体"/>
                <w:kern w:val="0"/>
                <w:sz w:val="22"/>
                <w:szCs w:val="22"/>
                <w:lang w:bidi="ar"/>
              </w:rPr>
              <w:t>468088.61</w:t>
            </w:r>
          </w:p>
        </w:tc>
        <w:tc>
          <w:tcPr>
            <w:tcW w:w="2160" w:type="dxa"/>
            <w:vAlign w:val="center"/>
          </w:tcPr>
          <w:p>
            <w:pPr>
              <w:widowControl/>
              <w:jc w:val="center"/>
              <w:textAlignment w:val="top"/>
              <w:rPr>
                <w:rFonts w:ascii="宋体"/>
                <w:bCs/>
                <w:sz w:val="22"/>
                <w:szCs w:val="22"/>
              </w:rPr>
            </w:pPr>
            <w:r>
              <w:rPr>
                <w:rFonts w:hint="eastAsia" w:ascii="宋体" w:hAnsi="宋体" w:cs="宋体"/>
                <w:color w:val="000000"/>
                <w:kern w:val="0"/>
                <w:sz w:val="22"/>
                <w:szCs w:val="22"/>
                <w:lang w:bidi="ar"/>
              </w:rPr>
              <w:t>码道街</w:t>
            </w:r>
          </w:p>
        </w:tc>
        <w:tc>
          <w:tcPr>
            <w:tcW w:w="2160" w:type="dxa"/>
            <w:vAlign w:val="center"/>
          </w:tcPr>
          <w:p>
            <w:pPr>
              <w:widowControl/>
              <w:jc w:val="center"/>
              <w:textAlignment w:val="top"/>
              <w:rPr>
                <w:rFonts w:ascii="宋体"/>
                <w:bCs/>
                <w:sz w:val="22"/>
                <w:szCs w:val="22"/>
              </w:rPr>
            </w:pPr>
            <w:r>
              <w:rPr>
                <w:rFonts w:hint="eastAsia" w:ascii="宋体" w:hAnsi="宋体" w:cs="宋体"/>
                <w:color w:val="000000"/>
                <w:kern w:val="0"/>
                <w:sz w:val="22"/>
                <w:szCs w:val="22"/>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widowControl/>
              <w:autoSpaceDE w:val="0"/>
              <w:autoSpaceDN w:val="0"/>
              <w:adjustRightInd w:val="0"/>
              <w:spacing w:line="460" w:lineRule="atLeast"/>
              <w:jc w:val="center"/>
              <w:textAlignment w:val="bottom"/>
              <w:rPr>
                <w:rFonts w:ascii="宋体"/>
                <w:bCs/>
                <w:sz w:val="22"/>
                <w:szCs w:val="22"/>
              </w:rPr>
            </w:pPr>
            <w:r>
              <w:rPr>
                <w:rFonts w:hint="eastAsia" w:ascii="宋体"/>
                <w:bCs/>
                <w:sz w:val="22"/>
                <w:szCs w:val="22"/>
              </w:rPr>
              <w:t>15</w:t>
            </w:r>
          </w:p>
        </w:tc>
        <w:tc>
          <w:tcPr>
            <w:tcW w:w="2160" w:type="dxa"/>
            <w:vAlign w:val="center"/>
          </w:tcPr>
          <w:p>
            <w:pPr>
              <w:widowControl/>
              <w:jc w:val="center"/>
              <w:textAlignment w:val="top"/>
              <w:rPr>
                <w:rFonts w:ascii="宋体" w:hAnsi="宋体" w:cs="宋体"/>
                <w:color w:val="000000"/>
                <w:kern w:val="0"/>
                <w:sz w:val="22"/>
                <w:szCs w:val="22"/>
                <w:lang w:bidi="ar"/>
              </w:rPr>
            </w:pPr>
          </w:p>
        </w:tc>
        <w:tc>
          <w:tcPr>
            <w:tcW w:w="2160" w:type="dxa"/>
            <w:vAlign w:val="center"/>
          </w:tcPr>
          <w:p>
            <w:pPr>
              <w:widowControl/>
              <w:jc w:val="center"/>
              <w:textAlignment w:val="top"/>
              <w:rPr>
                <w:rFonts w:ascii="宋体" w:hAnsi="宋体" w:cs="宋体"/>
                <w:color w:val="000000"/>
                <w:kern w:val="0"/>
                <w:sz w:val="22"/>
                <w:szCs w:val="22"/>
                <w:lang w:bidi="ar"/>
              </w:rPr>
            </w:pP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码道西街</w:t>
            </w: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widowControl/>
              <w:autoSpaceDE w:val="0"/>
              <w:autoSpaceDN w:val="0"/>
              <w:adjustRightInd w:val="0"/>
              <w:spacing w:line="460" w:lineRule="atLeast"/>
              <w:jc w:val="center"/>
              <w:textAlignment w:val="bottom"/>
              <w:rPr>
                <w:rFonts w:ascii="宋体"/>
                <w:bCs/>
                <w:sz w:val="22"/>
                <w:szCs w:val="22"/>
              </w:rPr>
            </w:pPr>
            <w:r>
              <w:rPr>
                <w:rFonts w:hint="eastAsia" w:ascii="宋体"/>
                <w:bCs/>
                <w:sz w:val="22"/>
                <w:szCs w:val="22"/>
              </w:rPr>
              <w:t>16</w:t>
            </w: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桥汇路</w:t>
            </w: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widowControl/>
              <w:autoSpaceDE w:val="0"/>
              <w:autoSpaceDN w:val="0"/>
              <w:adjustRightInd w:val="0"/>
              <w:spacing w:line="460" w:lineRule="atLeast"/>
              <w:jc w:val="center"/>
              <w:textAlignment w:val="bottom"/>
              <w:rPr>
                <w:rFonts w:ascii="宋体"/>
                <w:bCs/>
                <w:sz w:val="22"/>
                <w:szCs w:val="22"/>
              </w:rPr>
            </w:pPr>
            <w:r>
              <w:rPr>
                <w:rFonts w:hint="eastAsia" w:ascii="宋体"/>
                <w:bCs/>
                <w:sz w:val="22"/>
                <w:szCs w:val="22"/>
              </w:rPr>
              <w:t>17</w:t>
            </w: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桥翔路</w:t>
            </w: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widowControl/>
              <w:autoSpaceDE w:val="0"/>
              <w:autoSpaceDN w:val="0"/>
              <w:adjustRightInd w:val="0"/>
              <w:spacing w:line="460" w:lineRule="atLeast"/>
              <w:jc w:val="center"/>
              <w:textAlignment w:val="bottom"/>
              <w:rPr>
                <w:rFonts w:ascii="宋体"/>
                <w:bCs/>
                <w:sz w:val="22"/>
                <w:szCs w:val="22"/>
              </w:rPr>
            </w:pPr>
            <w:r>
              <w:rPr>
                <w:rFonts w:hint="eastAsia" w:ascii="宋体"/>
                <w:bCs/>
                <w:sz w:val="22"/>
                <w:szCs w:val="22"/>
              </w:rPr>
              <w:t>18</w:t>
            </w: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沙门路</w:t>
            </w: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widowControl/>
              <w:autoSpaceDE w:val="0"/>
              <w:autoSpaceDN w:val="0"/>
              <w:adjustRightInd w:val="0"/>
              <w:spacing w:line="460" w:lineRule="atLeast"/>
              <w:jc w:val="center"/>
              <w:textAlignment w:val="bottom"/>
              <w:rPr>
                <w:rFonts w:ascii="宋体"/>
                <w:bCs/>
                <w:sz w:val="22"/>
                <w:szCs w:val="22"/>
              </w:rPr>
            </w:pPr>
            <w:r>
              <w:rPr>
                <w:rFonts w:hint="eastAsia" w:ascii="宋体"/>
                <w:bCs/>
                <w:sz w:val="22"/>
                <w:szCs w:val="22"/>
              </w:rPr>
              <w:t>19</w:t>
            </w: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上塘街</w:t>
            </w: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widowControl/>
              <w:autoSpaceDE w:val="0"/>
              <w:autoSpaceDN w:val="0"/>
              <w:adjustRightInd w:val="0"/>
              <w:spacing w:line="460" w:lineRule="atLeast"/>
              <w:jc w:val="center"/>
              <w:textAlignment w:val="bottom"/>
              <w:rPr>
                <w:rFonts w:ascii="宋体"/>
                <w:bCs/>
                <w:sz w:val="22"/>
                <w:szCs w:val="22"/>
              </w:rPr>
            </w:pPr>
            <w:r>
              <w:rPr>
                <w:rFonts w:hint="eastAsia" w:ascii="宋体"/>
                <w:bCs/>
                <w:sz w:val="22"/>
                <w:szCs w:val="22"/>
              </w:rPr>
              <w:t>20</w:t>
            </w: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特产场</w:t>
            </w: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widowControl/>
              <w:autoSpaceDE w:val="0"/>
              <w:autoSpaceDN w:val="0"/>
              <w:adjustRightInd w:val="0"/>
              <w:spacing w:line="460" w:lineRule="atLeast"/>
              <w:jc w:val="center"/>
              <w:textAlignment w:val="bottom"/>
              <w:rPr>
                <w:rFonts w:ascii="宋体"/>
                <w:bCs/>
                <w:sz w:val="22"/>
                <w:szCs w:val="22"/>
              </w:rPr>
            </w:pPr>
            <w:r>
              <w:rPr>
                <w:rFonts w:hint="eastAsia" w:ascii="宋体"/>
                <w:bCs/>
                <w:sz w:val="22"/>
                <w:szCs w:val="22"/>
              </w:rPr>
              <w:t>21</w:t>
            </w: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团结路</w:t>
            </w: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widowControl/>
              <w:autoSpaceDE w:val="0"/>
              <w:autoSpaceDN w:val="0"/>
              <w:adjustRightInd w:val="0"/>
              <w:spacing w:line="460" w:lineRule="atLeast"/>
              <w:jc w:val="center"/>
              <w:textAlignment w:val="bottom"/>
              <w:rPr>
                <w:rFonts w:ascii="宋体"/>
                <w:bCs/>
                <w:sz w:val="22"/>
                <w:szCs w:val="22"/>
              </w:rPr>
            </w:pPr>
            <w:r>
              <w:rPr>
                <w:rFonts w:hint="eastAsia" w:ascii="宋体"/>
                <w:bCs/>
                <w:sz w:val="22"/>
                <w:szCs w:val="22"/>
              </w:rPr>
              <w:t>22</w:t>
            </w: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望江路</w:t>
            </w: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widowControl/>
              <w:autoSpaceDE w:val="0"/>
              <w:autoSpaceDN w:val="0"/>
              <w:adjustRightInd w:val="0"/>
              <w:spacing w:line="460" w:lineRule="atLeast"/>
              <w:jc w:val="center"/>
              <w:textAlignment w:val="bottom"/>
              <w:rPr>
                <w:rFonts w:ascii="宋体"/>
                <w:bCs/>
                <w:sz w:val="22"/>
                <w:szCs w:val="22"/>
              </w:rPr>
            </w:pPr>
            <w:r>
              <w:rPr>
                <w:rFonts w:hint="eastAsia" w:ascii="宋体"/>
                <w:bCs/>
                <w:sz w:val="22"/>
                <w:szCs w:val="22"/>
              </w:rPr>
              <w:t>23</w:t>
            </w: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望浦路</w:t>
            </w: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widowControl/>
              <w:autoSpaceDE w:val="0"/>
              <w:autoSpaceDN w:val="0"/>
              <w:adjustRightInd w:val="0"/>
              <w:spacing w:line="460" w:lineRule="atLeast"/>
              <w:jc w:val="center"/>
              <w:textAlignment w:val="bottom"/>
              <w:rPr>
                <w:rFonts w:ascii="宋体"/>
                <w:bCs/>
                <w:sz w:val="22"/>
                <w:szCs w:val="22"/>
              </w:rPr>
            </w:pPr>
            <w:r>
              <w:rPr>
                <w:rFonts w:hint="eastAsia" w:ascii="宋体"/>
                <w:bCs/>
                <w:sz w:val="22"/>
                <w:szCs w:val="22"/>
              </w:rPr>
              <w:t>24</w:t>
            </w: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下堡东路</w:t>
            </w: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widowControl/>
              <w:autoSpaceDE w:val="0"/>
              <w:autoSpaceDN w:val="0"/>
              <w:adjustRightInd w:val="0"/>
              <w:spacing w:line="460" w:lineRule="atLeast"/>
              <w:jc w:val="center"/>
              <w:textAlignment w:val="bottom"/>
              <w:rPr>
                <w:rFonts w:ascii="宋体"/>
                <w:bCs/>
                <w:sz w:val="22"/>
                <w:szCs w:val="22"/>
              </w:rPr>
            </w:pPr>
            <w:r>
              <w:rPr>
                <w:rFonts w:hint="eastAsia" w:ascii="宋体"/>
                <w:bCs/>
                <w:sz w:val="22"/>
                <w:szCs w:val="22"/>
              </w:rPr>
              <w:t>25</w:t>
            </w: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下堡西路</w:t>
            </w: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widowControl/>
              <w:autoSpaceDE w:val="0"/>
              <w:autoSpaceDN w:val="0"/>
              <w:adjustRightInd w:val="0"/>
              <w:spacing w:line="460" w:lineRule="atLeast"/>
              <w:jc w:val="center"/>
              <w:textAlignment w:val="bottom"/>
              <w:rPr>
                <w:rFonts w:ascii="宋体"/>
                <w:bCs/>
                <w:sz w:val="22"/>
                <w:szCs w:val="22"/>
              </w:rPr>
            </w:pPr>
            <w:r>
              <w:rPr>
                <w:rFonts w:hint="eastAsia" w:ascii="宋体"/>
                <w:bCs/>
                <w:sz w:val="22"/>
                <w:szCs w:val="22"/>
              </w:rPr>
              <w:t>26</w:t>
            </w: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下塘大道</w:t>
            </w: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widowControl/>
              <w:autoSpaceDE w:val="0"/>
              <w:autoSpaceDN w:val="0"/>
              <w:adjustRightInd w:val="0"/>
              <w:spacing w:line="460" w:lineRule="atLeast"/>
              <w:jc w:val="center"/>
              <w:textAlignment w:val="bottom"/>
              <w:rPr>
                <w:rFonts w:ascii="宋体"/>
                <w:bCs/>
                <w:sz w:val="22"/>
                <w:szCs w:val="22"/>
              </w:rPr>
            </w:pPr>
            <w:r>
              <w:rPr>
                <w:rFonts w:hint="eastAsia" w:ascii="宋体"/>
                <w:bCs/>
                <w:sz w:val="22"/>
                <w:szCs w:val="22"/>
              </w:rPr>
              <w:t>27</w:t>
            </w: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下塘东路</w:t>
            </w: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widowControl/>
              <w:autoSpaceDE w:val="0"/>
              <w:autoSpaceDN w:val="0"/>
              <w:adjustRightInd w:val="0"/>
              <w:spacing w:line="460" w:lineRule="atLeast"/>
              <w:jc w:val="center"/>
              <w:textAlignment w:val="bottom"/>
              <w:rPr>
                <w:rFonts w:ascii="宋体"/>
                <w:bCs/>
                <w:sz w:val="22"/>
                <w:szCs w:val="22"/>
              </w:rPr>
            </w:pPr>
            <w:r>
              <w:rPr>
                <w:rFonts w:hint="eastAsia" w:ascii="宋体"/>
                <w:bCs/>
                <w:sz w:val="22"/>
                <w:szCs w:val="22"/>
              </w:rPr>
              <w:t>28</w:t>
            </w: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下塘中路</w:t>
            </w: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widowControl/>
              <w:autoSpaceDE w:val="0"/>
              <w:autoSpaceDN w:val="0"/>
              <w:adjustRightInd w:val="0"/>
              <w:spacing w:line="460" w:lineRule="atLeast"/>
              <w:jc w:val="center"/>
              <w:textAlignment w:val="bottom"/>
              <w:rPr>
                <w:rFonts w:ascii="宋体"/>
                <w:bCs/>
                <w:sz w:val="22"/>
                <w:szCs w:val="22"/>
              </w:rPr>
            </w:pPr>
            <w:r>
              <w:rPr>
                <w:rFonts w:hint="eastAsia" w:ascii="宋体"/>
                <w:bCs/>
                <w:sz w:val="22"/>
                <w:szCs w:val="22"/>
              </w:rPr>
              <w:t>29</w:t>
            </w: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县前路</w:t>
            </w: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widowControl/>
              <w:autoSpaceDE w:val="0"/>
              <w:autoSpaceDN w:val="0"/>
              <w:adjustRightInd w:val="0"/>
              <w:spacing w:line="460" w:lineRule="atLeast"/>
              <w:jc w:val="center"/>
              <w:textAlignment w:val="bottom"/>
              <w:rPr>
                <w:rFonts w:ascii="宋体"/>
                <w:bCs/>
                <w:sz w:val="22"/>
                <w:szCs w:val="22"/>
              </w:rPr>
            </w:pPr>
            <w:r>
              <w:rPr>
                <w:rFonts w:hint="eastAsia" w:ascii="宋体"/>
                <w:bCs/>
                <w:sz w:val="22"/>
                <w:szCs w:val="22"/>
              </w:rPr>
              <w:t>30</w:t>
            </w: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谢浦路</w:t>
            </w: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widowControl/>
              <w:autoSpaceDE w:val="0"/>
              <w:autoSpaceDN w:val="0"/>
              <w:adjustRightInd w:val="0"/>
              <w:spacing w:line="460" w:lineRule="atLeast"/>
              <w:jc w:val="center"/>
              <w:textAlignment w:val="bottom"/>
              <w:rPr>
                <w:rFonts w:ascii="宋体"/>
                <w:bCs/>
                <w:sz w:val="22"/>
                <w:szCs w:val="22"/>
              </w:rPr>
            </w:pPr>
            <w:r>
              <w:rPr>
                <w:rFonts w:hint="eastAsia" w:ascii="宋体"/>
                <w:bCs/>
                <w:sz w:val="22"/>
                <w:szCs w:val="22"/>
              </w:rPr>
              <w:t>31</w:t>
            </w: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秀水路</w:t>
            </w: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widowControl/>
              <w:autoSpaceDE w:val="0"/>
              <w:autoSpaceDN w:val="0"/>
              <w:adjustRightInd w:val="0"/>
              <w:spacing w:line="460" w:lineRule="atLeast"/>
              <w:jc w:val="center"/>
              <w:textAlignment w:val="bottom"/>
              <w:rPr>
                <w:rFonts w:ascii="宋体"/>
                <w:bCs/>
                <w:sz w:val="22"/>
                <w:szCs w:val="22"/>
              </w:rPr>
            </w:pPr>
            <w:r>
              <w:rPr>
                <w:rFonts w:hint="eastAsia" w:ascii="宋体"/>
                <w:bCs/>
                <w:sz w:val="22"/>
                <w:szCs w:val="22"/>
              </w:rPr>
              <w:t>32</w:t>
            </w: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沿河路</w:t>
            </w: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widowControl/>
              <w:autoSpaceDE w:val="0"/>
              <w:autoSpaceDN w:val="0"/>
              <w:adjustRightInd w:val="0"/>
              <w:spacing w:line="460" w:lineRule="atLeast"/>
              <w:jc w:val="center"/>
              <w:textAlignment w:val="bottom"/>
              <w:rPr>
                <w:rFonts w:ascii="宋体"/>
                <w:bCs/>
                <w:sz w:val="22"/>
                <w:szCs w:val="22"/>
              </w:rPr>
            </w:pPr>
            <w:r>
              <w:rPr>
                <w:rFonts w:hint="eastAsia" w:ascii="宋体"/>
                <w:bCs/>
                <w:sz w:val="22"/>
                <w:szCs w:val="22"/>
              </w:rPr>
              <w:t>33</w:t>
            </w: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沿江路</w:t>
            </w: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widowControl/>
              <w:autoSpaceDE w:val="0"/>
              <w:autoSpaceDN w:val="0"/>
              <w:adjustRightInd w:val="0"/>
              <w:spacing w:line="460" w:lineRule="atLeast"/>
              <w:jc w:val="center"/>
              <w:textAlignment w:val="bottom"/>
              <w:rPr>
                <w:rFonts w:ascii="宋体"/>
                <w:bCs/>
                <w:sz w:val="22"/>
                <w:szCs w:val="22"/>
              </w:rPr>
            </w:pPr>
            <w:r>
              <w:rPr>
                <w:rFonts w:hint="eastAsia" w:ascii="宋体"/>
                <w:bCs/>
                <w:sz w:val="22"/>
                <w:szCs w:val="22"/>
              </w:rPr>
              <w:t>34</w:t>
            </w: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永建路</w:t>
            </w: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widowControl/>
              <w:autoSpaceDE w:val="0"/>
              <w:autoSpaceDN w:val="0"/>
              <w:adjustRightInd w:val="0"/>
              <w:spacing w:line="460" w:lineRule="atLeast"/>
              <w:jc w:val="center"/>
              <w:textAlignment w:val="bottom"/>
              <w:rPr>
                <w:rFonts w:ascii="宋体"/>
                <w:bCs/>
                <w:sz w:val="22"/>
                <w:szCs w:val="22"/>
              </w:rPr>
            </w:pPr>
            <w:r>
              <w:rPr>
                <w:rFonts w:hint="eastAsia" w:ascii="宋体"/>
                <w:bCs/>
                <w:sz w:val="22"/>
                <w:szCs w:val="22"/>
              </w:rPr>
              <w:t>35</w:t>
            </w: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永兴路</w:t>
            </w: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widowControl/>
              <w:autoSpaceDE w:val="0"/>
              <w:autoSpaceDN w:val="0"/>
              <w:adjustRightInd w:val="0"/>
              <w:spacing w:line="460" w:lineRule="atLeast"/>
              <w:jc w:val="center"/>
              <w:textAlignment w:val="bottom"/>
              <w:rPr>
                <w:rFonts w:ascii="宋体"/>
                <w:bCs/>
                <w:sz w:val="22"/>
                <w:szCs w:val="22"/>
              </w:rPr>
            </w:pPr>
            <w:r>
              <w:rPr>
                <w:rFonts w:hint="eastAsia" w:ascii="宋体"/>
                <w:bCs/>
                <w:sz w:val="22"/>
                <w:szCs w:val="22"/>
              </w:rPr>
              <w:t>36</w:t>
            </w: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元浦路</w:t>
            </w: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widowControl/>
              <w:autoSpaceDE w:val="0"/>
              <w:autoSpaceDN w:val="0"/>
              <w:adjustRightInd w:val="0"/>
              <w:spacing w:line="460" w:lineRule="atLeast"/>
              <w:jc w:val="center"/>
              <w:textAlignment w:val="bottom"/>
              <w:rPr>
                <w:rFonts w:ascii="宋体"/>
                <w:bCs/>
                <w:sz w:val="22"/>
                <w:szCs w:val="22"/>
              </w:rPr>
            </w:pPr>
            <w:r>
              <w:rPr>
                <w:rFonts w:hint="eastAsia" w:ascii="宋体"/>
                <w:bCs/>
                <w:sz w:val="22"/>
                <w:szCs w:val="22"/>
              </w:rPr>
              <w:t>37</w:t>
            </w: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越江路</w:t>
            </w: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widowControl/>
              <w:autoSpaceDE w:val="0"/>
              <w:autoSpaceDN w:val="0"/>
              <w:adjustRightInd w:val="0"/>
              <w:spacing w:line="460" w:lineRule="atLeast"/>
              <w:jc w:val="center"/>
              <w:textAlignment w:val="bottom"/>
              <w:rPr>
                <w:rFonts w:ascii="宋体"/>
                <w:bCs/>
                <w:sz w:val="22"/>
                <w:szCs w:val="22"/>
              </w:rPr>
            </w:pPr>
            <w:r>
              <w:rPr>
                <w:rFonts w:hint="eastAsia" w:ascii="宋体"/>
                <w:bCs/>
                <w:sz w:val="22"/>
                <w:szCs w:val="22"/>
              </w:rPr>
              <w:t>38</w:t>
            </w: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振兴路</w:t>
            </w:r>
          </w:p>
        </w:tc>
        <w:tc>
          <w:tcPr>
            <w:tcW w:w="2160" w:type="dxa"/>
            <w:vAlign w:val="center"/>
          </w:tcPr>
          <w:p>
            <w:pPr>
              <w:widowControl/>
              <w:jc w:val="center"/>
              <w:textAlignment w:val="top"/>
              <w:rPr>
                <w:rFonts w:ascii="宋体" w:hAnsi="宋体" w:cs="宋体"/>
                <w:bCs/>
                <w:color w:val="000000"/>
                <w:kern w:val="0"/>
                <w:sz w:val="22"/>
                <w:szCs w:val="22"/>
                <w:lang w:bidi="ar"/>
              </w:rPr>
            </w:pPr>
            <w:r>
              <w:rPr>
                <w:rFonts w:hint="eastAsia" w:ascii="宋体" w:hAnsi="宋体" w:cs="宋体"/>
                <w:color w:val="000000"/>
                <w:kern w:val="0"/>
                <w:sz w:val="22"/>
                <w:szCs w:val="22"/>
                <w:lang w:bidi="ar"/>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widowControl/>
              <w:autoSpaceDE w:val="0"/>
              <w:autoSpaceDN w:val="0"/>
              <w:adjustRightInd w:val="0"/>
              <w:spacing w:line="460" w:lineRule="atLeast"/>
              <w:jc w:val="center"/>
              <w:textAlignment w:val="bottom"/>
              <w:rPr>
                <w:rFonts w:ascii="宋体"/>
                <w:bCs/>
                <w:sz w:val="22"/>
                <w:szCs w:val="22"/>
              </w:rPr>
            </w:pPr>
            <w:r>
              <w:rPr>
                <w:rFonts w:hint="eastAsia" w:ascii="宋体"/>
                <w:bCs/>
                <w:sz w:val="22"/>
                <w:szCs w:val="22"/>
              </w:rPr>
              <w:t>39</w:t>
            </w: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vAlign w:val="center"/>
          </w:tcPr>
          <w:p>
            <w:pPr>
              <w:pStyle w:val="64"/>
              <w:spacing w:before="15" w:line="240" w:lineRule="auto"/>
              <w:ind w:left="240"/>
              <w:jc w:val="center"/>
              <w:rPr>
                <w:bCs/>
                <w:color w:val="000000"/>
                <w:lang w:val="en-US" w:bidi="ar"/>
              </w:rPr>
            </w:pPr>
            <w:r>
              <w:t>综合农贸市场</w:t>
            </w:r>
          </w:p>
        </w:tc>
        <w:tc>
          <w:tcPr>
            <w:tcW w:w="2160" w:type="dxa"/>
            <w:vAlign w:val="center"/>
          </w:tcPr>
          <w:p>
            <w:pPr>
              <w:pStyle w:val="64"/>
              <w:spacing w:before="15" w:line="240" w:lineRule="auto"/>
              <w:ind w:left="381" w:right="263"/>
              <w:jc w:val="center"/>
              <w:rPr>
                <w:bCs/>
                <w:color w:val="000000"/>
                <w:lang w:val="en-US" w:bidi="ar"/>
              </w:rPr>
            </w:pPr>
            <w: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widowControl/>
              <w:autoSpaceDE w:val="0"/>
              <w:autoSpaceDN w:val="0"/>
              <w:adjustRightInd w:val="0"/>
              <w:spacing w:line="460" w:lineRule="atLeast"/>
              <w:jc w:val="center"/>
              <w:textAlignment w:val="bottom"/>
              <w:rPr>
                <w:rFonts w:ascii="宋体"/>
                <w:bCs/>
                <w:sz w:val="22"/>
                <w:szCs w:val="22"/>
              </w:rPr>
            </w:pPr>
            <w:r>
              <w:rPr>
                <w:rFonts w:hint="eastAsia" w:ascii="宋体"/>
                <w:bCs/>
                <w:sz w:val="22"/>
                <w:szCs w:val="22"/>
              </w:rPr>
              <w:t>40</w:t>
            </w: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tcPr>
          <w:p>
            <w:pPr>
              <w:widowControl/>
              <w:autoSpaceDE w:val="0"/>
              <w:autoSpaceDN w:val="0"/>
              <w:adjustRightInd w:val="0"/>
              <w:spacing w:line="460" w:lineRule="atLeast"/>
              <w:jc w:val="center"/>
              <w:textAlignment w:val="bottom"/>
              <w:rPr>
                <w:rFonts w:ascii="宋体"/>
                <w:bCs/>
                <w:sz w:val="22"/>
                <w:szCs w:val="22"/>
              </w:rPr>
            </w:pPr>
          </w:p>
        </w:tc>
        <w:tc>
          <w:tcPr>
            <w:tcW w:w="2160" w:type="dxa"/>
            <w:vAlign w:val="center"/>
          </w:tcPr>
          <w:p>
            <w:pPr>
              <w:pStyle w:val="64"/>
              <w:spacing w:before="15" w:line="240" w:lineRule="auto"/>
              <w:ind w:left="381" w:right="263"/>
              <w:jc w:val="center"/>
              <w:rPr>
                <w:lang w:val="en-US"/>
              </w:rPr>
            </w:pPr>
            <w:r>
              <w:rPr>
                <w:rFonts w:hint="eastAsia"/>
                <w:lang w:val="en-US"/>
              </w:rPr>
              <w:t>合计</w:t>
            </w:r>
          </w:p>
        </w:tc>
        <w:tc>
          <w:tcPr>
            <w:tcW w:w="2160" w:type="dxa"/>
            <w:vAlign w:val="center"/>
          </w:tcPr>
          <w:p>
            <w:pPr>
              <w:pStyle w:val="64"/>
              <w:spacing w:before="15" w:line="240" w:lineRule="auto"/>
              <w:ind w:left="381" w:right="263"/>
              <w:jc w:val="center"/>
              <w:rPr>
                <w:lang w:val="en-US"/>
              </w:rPr>
            </w:pPr>
            <w:r>
              <w:rPr>
                <w:lang w:val="en-US"/>
              </w:rPr>
              <w:t>5151</w:t>
            </w:r>
          </w:p>
        </w:tc>
      </w:tr>
    </w:tbl>
    <w:p>
      <w:pPr>
        <w:widowControl/>
        <w:autoSpaceDE w:val="0"/>
        <w:autoSpaceDN w:val="0"/>
        <w:adjustRightInd w:val="0"/>
        <w:spacing w:line="460" w:lineRule="atLeast"/>
        <w:ind w:firstLine="440" w:firstLineChars="200"/>
        <w:jc w:val="center"/>
        <w:textAlignment w:val="bottom"/>
        <w:rPr>
          <w:rFonts w:ascii="宋体"/>
          <w:bCs/>
          <w:sz w:val="22"/>
          <w:szCs w:val="22"/>
        </w:rPr>
      </w:pPr>
    </w:p>
    <w:p>
      <w:pPr>
        <w:widowControl/>
        <w:numPr>
          <w:ilvl w:val="0"/>
          <w:numId w:val="1"/>
        </w:numPr>
        <w:spacing w:line="460" w:lineRule="atLeast"/>
        <w:jc w:val="left"/>
        <w:rPr>
          <w:rFonts w:hint="eastAsia" w:ascii="宋体"/>
          <w:bCs/>
          <w:sz w:val="22"/>
          <w:szCs w:val="22"/>
          <w:highlight w:val="none"/>
        </w:rPr>
      </w:pPr>
      <w:bookmarkStart w:id="16" w:name="_Toc527636124"/>
      <w:r>
        <w:rPr>
          <w:rFonts w:hint="eastAsia" w:ascii="宋体"/>
          <w:b/>
          <w:sz w:val="22"/>
          <w:szCs w:val="22"/>
          <w:highlight w:val="none"/>
          <w:u w:val="single"/>
        </w:rPr>
        <w:t>承包内容（包括绿化养护、绿地保洁、园区硬化区域和附属设施如：座椅、垃圾筒、园灯、灯杆、监控、公厕、水池、建筑小品、亭、栏、</w:t>
      </w:r>
      <w:r>
        <w:rPr>
          <w:rFonts w:hint="eastAsia" w:ascii="宋体" w:hAnsi="宋体" w:cs="宋体"/>
          <w:b/>
          <w:color w:val="000000"/>
          <w:kern w:val="0"/>
          <w:sz w:val="22"/>
          <w:szCs w:val="22"/>
          <w:highlight w:val="none"/>
          <w:u w:val="single"/>
          <w:lang w:bidi="ar"/>
        </w:rPr>
        <w:t>廊</w:t>
      </w:r>
      <w:r>
        <w:rPr>
          <w:rFonts w:hint="eastAsia" w:ascii="宋体"/>
          <w:b/>
          <w:sz w:val="22"/>
          <w:szCs w:val="22"/>
          <w:highlight w:val="none"/>
          <w:u w:val="single"/>
        </w:rPr>
        <w:t>等所有设施的清洁维护、园区治安、经营场所运营等）</w:t>
      </w:r>
      <w:bookmarkEnd w:id="16"/>
      <w:r>
        <w:rPr>
          <w:rFonts w:hint="eastAsia" w:ascii="宋体"/>
          <w:b/>
          <w:sz w:val="22"/>
          <w:szCs w:val="22"/>
          <w:highlight w:val="none"/>
          <w:u w:val="single"/>
          <w:lang w:eastAsia="zh-CN"/>
        </w:rPr>
        <w:t>，</w:t>
      </w:r>
      <w:r>
        <w:rPr>
          <w:rFonts w:hint="eastAsia" w:ascii="宋体"/>
          <w:b/>
          <w:sz w:val="22"/>
          <w:szCs w:val="22"/>
          <w:highlight w:val="none"/>
          <w:u w:val="single"/>
          <w:lang w:val="en-US" w:eastAsia="zh-CN"/>
        </w:rPr>
        <w:t>不限于以上内容</w:t>
      </w:r>
      <w:r>
        <w:rPr>
          <w:rFonts w:hint="eastAsia" w:ascii="宋体"/>
          <w:b/>
          <w:sz w:val="22"/>
          <w:szCs w:val="22"/>
          <w:highlight w:val="none"/>
          <w:u w:val="single"/>
        </w:rPr>
        <w:t>具体以采购人要求为准</w:t>
      </w:r>
      <w:r>
        <w:rPr>
          <w:rFonts w:hint="eastAsia" w:ascii="宋体"/>
          <w:bCs/>
          <w:sz w:val="22"/>
          <w:szCs w:val="22"/>
          <w:highlight w:val="none"/>
        </w:rPr>
        <w:t>。</w:t>
      </w:r>
    </w:p>
    <w:p>
      <w:pPr>
        <w:widowControl/>
        <w:numPr>
          <w:ilvl w:val="0"/>
          <w:numId w:val="1"/>
        </w:numPr>
        <w:autoSpaceDE w:val="0"/>
        <w:autoSpaceDN w:val="0"/>
        <w:adjustRightInd w:val="0"/>
        <w:spacing w:line="400" w:lineRule="exact"/>
        <w:textAlignment w:val="bottom"/>
        <w:rPr>
          <w:rFonts w:hint="eastAsia" w:ascii="宋体"/>
          <w:b/>
          <w:bCs w:val="0"/>
          <w:color w:val="000000" w:themeColor="text1"/>
          <w:sz w:val="22"/>
          <w:lang w:val="en-US" w:eastAsia="zh-CN"/>
          <w14:textFill>
            <w14:solidFill>
              <w14:schemeClr w14:val="tx1"/>
            </w14:solidFill>
          </w14:textFill>
        </w:rPr>
      </w:pPr>
      <w:r>
        <w:rPr>
          <w:rFonts w:hint="eastAsia" w:ascii="宋体"/>
          <w:b/>
          <w:bCs w:val="0"/>
          <w:color w:val="000000" w:themeColor="text1"/>
          <w:sz w:val="22"/>
          <w14:textFill>
            <w14:solidFill>
              <w14:schemeClr w14:val="tx1"/>
            </w14:solidFill>
          </w14:textFill>
        </w:rPr>
        <w:t>养护标准</w:t>
      </w:r>
      <w:r>
        <w:rPr>
          <w:rFonts w:hint="eastAsia" w:ascii="宋体"/>
          <w:b/>
          <w:bCs w:val="0"/>
          <w:color w:val="000000" w:themeColor="text1"/>
          <w:sz w:val="22"/>
          <w:lang w:val="en-US" w:eastAsia="zh-CN"/>
          <w14:textFill>
            <w14:solidFill>
              <w14:schemeClr w14:val="tx1"/>
            </w14:solidFill>
          </w14:textFill>
        </w:rPr>
        <w:t xml:space="preserve"> </w:t>
      </w:r>
    </w:p>
    <w:p>
      <w:pPr>
        <w:widowControl/>
        <w:numPr>
          <w:ilvl w:val="-1"/>
          <w:numId w:val="0"/>
        </w:numPr>
        <w:autoSpaceDE w:val="0"/>
        <w:autoSpaceDN w:val="0"/>
        <w:adjustRightInd w:val="0"/>
        <w:spacing w:line="400" w:lineRule="exact"/>
        <w:ind w:firstLine="440" w:firstLineChars="200"/>
        <w:textAlignment w:val="bottom"/>
        <w:rPr>
          <w:rFonts w:hint="eastAsia" w:ascii="宋体" w:hAnsi="宋体" w:cs="宋体"/>
          <w:sz w:val="22"/>
          <w:szCs w:val="22"/>
        </w:rPr>
      </w:pPr>
      <w:r>
        <w:rPr>
          <w:rFonts w:hint="eastAsia" w:ascii="宋体" w:hAnsi="宋体" w:cs="宋体"/>
          <w:sz w:val="22"/>
          <w:szCs w:val="22"/>
        </w:rPr>
        <w:t>符合《中华人民共和国城市绿化条例》、《城市绿化工程施工及验收规范》、《园林绿化技术规程》、《温州市园林绿化工程验收标准》（修订），具体参照《永嘉县城镇园林绿化养护管理标准》I级绿地标准执行。</w:t>
      </w:r>
    </w:p>
    <w:p>
      <w:pPr>
        <w:widowControl/>
        <w:spacing w:line="460" w:lineRule="atLeast"/>
        <w:jc w:val="left"/>
        <w:rPr>
          <w:rFonts w:ascii="宋体"/>
          <w:b/>
          <w:bCs/>
          <w:sz w:val="22"/>
          <w:szCs w:val="22"/>
        </w:rPr>
      </w:pPr>
      <w:r>
        <w:rPr>
          <w:rFonts w:hint="eastAsia" w:ascii="宋体"/>
          <w:b/>
          <w:bCs/>
          <w:sz w:val="22"/>
          <w:szCs w:val="22"/>
          <w:lang w:val="en-US" w:eastAsia="zh-CN"/>
        </w:rPr>
        <w:t>四</w:t>
      </w:r>
      <w:r>
        <w:rPr>
          <w:rFonts w:hint="eastAsia" w:ascii="宋体"/>
          <w:b/>
          <w:bCs/>
          <w:sz w:val="22"/>
          <w:szCs w:val="22"/>
        </w:rPr>
        <w:t>、其他要求及说明</w:t>
      </w:r>
    </w:p>
    <w:p>
      <w:pPr>
        <w:widowControl/>
        <w:autoSpaceDE w:val="0"/>
        <w:autoSpaceDN w:val="0"/>
        <w:adjustRightInd w:val="0"/>
        <w:spacing w:line="460" w:lineRule="atLeast"/>
        <w:ind w:firstLine="442" w:firstLineChars="200"/>
        <w:textAlignment w:val="bottom"/>
        <w:rPr>
          <w:rFonts w:ascii="宋体"/>
          <w:b/>
          <w:bCs/>
          <w:sz w:val="22"/>
          <w:szCs w:val="22"/>
        </w:rPr>
      </w:pPr>
      <w:r>
        <w:rPr>
          <w:rFonts w:hint="eastAsia" w:ascii="宋体"/>
          <w:b/>
          <w:bCs/>
          <w:sz w:val="22"/>
          <w:szCs w:val="22"/>
        </w:rPr>
        <w:t>1.    投标报价</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rPr>
        <w:t>1.1   本次招标实行年度固定总价承包，工程承包总价必须包括投标人在承包区域内提供绿化养护、保洁及补种相关服务所需的一切劳务、材料、设备、配件、备件、损耗（包括水、电等）、仓储、运输（包括垃圾外运）、维护、税费、保险、利润、完成合同所需的一切本身和不可或缺的所有工作开支、政策性文件规定及合同包含的所有风险、责任等各项全部费用并承担一切风险责任。除发生下列因素可调整合同价外，不得以任何其他理由调整任何费用。</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rPr>
        <w:t>（1）发包方提出的承包区域面积变更，根据原中标综合单价计算变更费用。但属于承包方投标漏项少算的费用不得追补。</w:t>
      </w:r>
    </w:p>
    <w:p>
      <w:pPr>
        <w:widowControl/>
        <w:autoSpaceDE w:val="0"/>
        <w:autoSpaceDN w:val="0"/>
        <w:adjustRightInd w:val="0"/>
        <w:spacing w:line="360" w:lineRule="auto"/>
        <w:ind w:firstLine="440" w:firstLineChars="200"/>
        <w:textAlignment w:val="bottom"/>
        <w:rPr>
          <w:rFonts w:hint="eastAsia" w:ascii="宋体"/>
          <w:sz w:val="22"/>
          <w:szCs w:val="22"/>
        </w:rPr>
      </w:pPr>
      <w:r>
        <w:rPr>
          <w:rFonts w:hint="eastAsia" w:ascii="宋体"/>
          <w:sz w:val="22"/>
          <w:szCs w:val="22"/>
        </w:rPr>
        <w:t>（2）发生不可抗力的因素造成乙方直接损失的费用，经鉴定核准，甲方酌情予以一定补偿。但属于乙方可以预见、预防，而乙方预防不力所造成的损失，不予赔偿。其经济损失由乙方承担。</w:t>
      </w:r>
    </w:p>
    <w:p>
      <w:pPr>
        <w:pStyle w:val="2"/>
        <w:spacing w:line="360" w:lineRule="auto"/>
        <w:ind w:left="0" w:firstLine="0" w:firstLineChars="0"/>
        <w:rPr>
          <w:rFonts w:hint="eastAsia" w:ascii="宋体" w:hAnsi="Times New Roman" w:eastAsia="宋体" w:cs="Times New Roman"/>
          <w:sz w:val="22"/>
          <w:szCs w:val="22"/>
          <w:lang w:val="en-US" w:eastAsia="zh-CN"/>
        </w:rPr>
      </w:pPr>
      <w:r>
        <w:rPr>
          <w:rFonts w:hint="eastAsia" w:ascii="宋体"/>
          <w:sz w:val="22"/>
          <w:szCs w:val="22"/>
          <w:lang w:val="en-US" w:eastAsia="zh-CN"/>
        </w:rPr>
        <w:t xml:space="preserve"> </w:t>
      </w:r>
      <w:r>
        <w:rPr>
          <w:rFonts w:hint="eastAsia" w:ascii="宋体" w:hAnsi="Times New Roman" w:cs="Times New Roman"/>
          <w:sz w:val="22"/>
          <w:szCs w:val="22"/>
          <w:lang w:val="en-US" w:eastAsia="zh-CN"/>
        </w:rPr>
        <w:t xml:space="preserve">   </w:t>
      </w:r>
      <w:r>
        <w:rPr>
          <w:rFonts w:hint="default" w:ascii="宋体" w:hAnsi="Times New Roman" w:cs="Times New Roman"/>
          <w:sz w:val="22"/>
          <w:szCs w:val="22"/>
          <w:lang w:val="en-US" w:eastAsia="zh-CN"/>
        </w:rPr>
        <w:t>（3）</w:t>
      </w:r>
      <w:r>
        <w:rPr>
          <w:rFonts w:hint="default" w:ascii="宋体" w:hAnsi="Times New Roman" w:cs="Times New Roman"/>
          <w:b/>
          <w:bCs/>
          <w:sz w:val="22"/>
          <w:szCs w:val="22"/>
          <w:highlight w:val="none"/>
          <w:lang w:val="en-US" w:eastAsia="zh-CN"/>
        </w:rPr>
        <w:t>备用金：采购人为今后不可预见或尚未确定的项目所预留的金额，该金额由采购人掌握，投标人不得更改，投标报价时高于采购文件规定的则按投标人所报金额扣除，若低于于采购文件规定的则按采购文件规定的金额扣除。</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rPr>
        <w:t>1.2   投标人认为为完成本招标文件规定的工程承包内容所需发生的直接成本、间接成本、利润、税金、政策性文件规定的费用、技术措施费、机械进出场费、原材料价格变化风险等一切费用均</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rPr>
        <w:t>应计入投标报价；凡未列入的，将被认为均已包含在投标总价中，今后不得以任何理由追加或调整。</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rPr>
        <w:t xml:space="preserve">1.3 </w:t>
      </w:r>
      <w:r>
        <w:rPr>
          <w:rFonts w:hint="eastAsia" w:ascii="宋体"/>
          <w:b/>
          <w:bCs/>
          <w:sz w:val="22"/>
          <w:szCs w:val="22"/>
        </w:rPr>
        <w:t xml:space="preserve"> ▲投入绿化养护人员均须按相关规定缴纳社保。</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rPr>
        <w:t xml:space="preserve">1.4  </w:t>
      </w:r>
      <w:r>
        <w:rPr>
          <w:rFonts w:hint="eastAsia" w:ascii="宋体"/>
          <w:b/>
          <w:bCs/>
          <w:sz w:val="22"/>
          <w:szCs w:val="22"/>
        </w:rPr>
        <w:t>▲结合本项目具体情况，要求本次投标供应商员工基本工资最低不得低于温州市市区本年度最低工资标准的110%（最低工资不包括下列四项收入：延长工作时间的工资；中班、夜班、高温、低温、有毒有害等特殊工作环境、条件下的津贴；贴补伙食、住房等支付给劳动者的非货币性收入；法律、法规和国家规定的劳动者福利待遇等）。</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rPr>
        <w:t xml:space="preserve">1.5  </w:t>
      </w:r>
      <w:r>
        <w:rPr>
          <w:rFonts w:hint="eastAsia" w:ascii="宋体"/>
          <w:b/>
          <w:bCs/>
          <w:sz w:val="22"/>
          <w:szCs w:val="22"/>
        </w:rPr>
        <w:t>▲节假日补贴最少按年度11天计取，要求按最低发放工资标准的三倍发放节假日补贴。</w:t>
      </w:r>
    </w:p>
    <w:p>
      <w:pPr>
        <w:widowControl/>
        <w:autoSpaceDE w:val="0"/>
        <w:autoSpaceDN w:val="0"/>
        <w:adjustRightInd w:val="0"/>
        <w:spacing w:line="460" w:lineRule="atLeast"/>
        <w:ind w:firstLine="440" w:firstLineChars="200"/>
        <w:textAlignment w:val="bottom"/>
        <w:rPr>
          <w:rFonts w:ascii="宋体"/>
          <w:b/>
          <w:bCs/>
          <w:sz w:val="22"/>
          <w:szCs w:val="22"/>
        </w:rPr>
      </w:pPr>
      <w:r>
        <w:rPr>
          <w:rFonts w:hint="eastAsia" w:ascii="宋体"/>
          <w:sz w:val="22"/>
          <w:szCs w:val="22"/>
        </w:rPr>
        <w:t xml:space="preserve">1.6  </w:t>
      </w:r>
      <w:r>
        <w:rPr>
          <w:rFonts w:hint="eastAsia" w:ascii="宋体"/>
          <w:b/>
          <w:bCs/>
          <w:sz w:val="22"/>
          <w:szCs w:val="22"/>
        </w:rPr>
        <w:t>▲高温补贴共4个月（六、七、八、九共四月，逐月发放，一线工人每人每月不低于200元人民币）按相关规定发放。</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rPr>
        <w:t xml:space="preserve">1.7  </w:t>
      </w:r>
      <w:r>
        <w:rPr>
          <w:rFonts w:hint="eastAsia" w:ascii="宋体"/>
          <w:b/>
          <w:bCs/>
          <w:sz w:val="22"/>
          <w:szCs w:val="22"/>
        </w:rPr>
        <w:t>▲特殊岗位津贴发放标准按10元/每人/每出勤日。</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rPr>
        <w:t>1.8  供应商的报价应包括为完成本项目服务可能发生的全部费用及供应商的利润和应交纳的税金等。供应商对合同内容的费用、质量、安全、文明服务等实行全面承包。</w:t>
      </w:r>
    </w:p>
    <w:p>
      <w:pPr>
        <w:widowControl/>
        <w:autoSpaceDE w:val="0"/>
        <w:autoSpaceDN w:val="0"/>
        <w:adjustRightInd w:val="0"/>
        <w:spacing w:line="460" w:lineRule="atLeast"/>
        <w:ind w:firstLine="442" w:firstLineChars="200"/>
        <w:textAlignment w:val="bottom"/>
        <w:rPr>
          <w:rFonts w:ascii="宋体"/>
          <w:b/>
          <w:bCs/>
          <w:sz w:val="22"/>
          <w:szCs w:val="22"/>
        </w:rPr>
      </w:pPr>
      <w:r>
        <w:rPr>
          <w:rFonts w:hint="eastAsia" w:ascii="宋体"/>
          <w:b/>
          <w:bCs/>
          <w:sz w:val="22"/>
          <w:szCs w:val="22"/>
        </w:rPr>
        <w:t>2.  承包期限</w:t>
      </w:r>
    </w:p>
    <w:p>
      <w:pPr>
        <w:widowControl/>
        <w:autoSpaceDE w:val="0"/>
        <w:autoSpaceDN w:val="0"/>
        <w:adjustRightInd w:val="0"/>
        <w:spacing w:line="460" w:lineRule="atLeast"/>
        <w:ind w:firstLine="440" w:firstLineChars="200"/>
        <w:textAlignment w:val="bottom"/>
        <w:rPr>
          <w:rFonts w:ascii="宋体"/>
          <w:sz w:val="22"/>
          <w:szCs w:val="22"/>
          <w:highlight w:val="yellow"/>
        </w:rPr>
      </w:pPr>
      <w:r>
        <w:rPr>
          <w:rFonts w:hint="eastAsia" w:ascii="宋体"/>
          <w:sz w:val="22"/>
          <w:szCs w:val="22"/>
        </w:rPr>
        <w:t xml:space="preserve">2.1  </w:t>
      </w:r>
      <w:r>
        <w:rPr>
          <w:rFonts w:hint="eastAsia" w:ascii="宋体"/>
          <w:sz w:val="22"/>
          <w:szCs w:val="22"/>
          <w:highlight w:val="none"/>
        </w:rPr>
        <w:t>本次项目服务管理服务期为两年</w:t>
      </w:r>
      <w:r>
        <w:rPr>
          <w:rFonts w:hint="eastAsia" w:ascii="宋体"/>
          <w:sz w:val="22"/>
          <w:szCs w:val="22"/>
          <w:highlight w:val="none"/>
          <w:lang w:eastAsia="zh-CN"/>
        </w:rPr>
        <w:t>。</w:t>
      </w:r>
    </w:p>
    <w:p>
      <w:pPr>
        <w:widowControl/>
        <w:autoSpaceDE w:val="0"/>
        <w:autoSpaceDN w:val="0"/>
        <w:adjustRightInd w:val="0"/>
        <w:spacing w:line="460" w:lineRule="atLeast"/>
        <w:ind w:firstLine="442" w:firstLineChars="200"/>
        <w:textAlignment w:val="bottom"/>
        <w:rPr>
          <w:rFonts w:ascii="宋体"/>
          <w:b/>
          <w:bCs/>
          <w:sz w:val="22"/>
          <w:szCs w:val="22"/>
        </w:rPr>
      </w:pPr>
      <w:r>
        <w:rPr>
          <w:rFonts w:hint="eastAsia" w:ascii="宋体"/>
          <w:b/>
          <w:bCs/>
          <w:sz w:val="22"/>
          <w:szCs w:val="22"/>
        </w:rPr>
        <w:t>3.  结算方式</w:t>
      </w:r>
    </w:p>
    <w:p>
      <w:pPr>
        <w:pStyle w:val="13"/>
        <w:snapToGrid w:val="0"/>
        <w:spacing w:line="440" w:lineRule="atLeast"/>
        <w:ind w:firstLine="440" w:firstLineChars="200"/>
        <w:rPr>
          <w:rFonts w:hint="eastAsia" w:hAnsi="宋体"/>
          <w:sz w:val="22"/>
          <w:szCs w:val="22"/>
          <w:lang w:eastAsia="zh-CN"/>
        </w:rPr>
      </w:pPr>
      <w:r>
        <w:rPr>
          <w:rFonts w:hint="eastAsia" w:hAnsi="宋体"/>
          <w:sz w:val="22"/>
          <w:szCs w:val="22"/>
        </w:rPr>
        <w:t>3.1.</w:t>
      </w:r>
      <w:r>
        <w:rPr>
          <w:rFonts w:hint="eastAsia" w:hAnsi="宋体"/>
          <w:b/>
          <w:bCs/>
          <w:sz w:val="22"/>
          <w:szCs w:val="22"/>
          <w:highlight w:val="none"/>
          <w:lang w:eastAsia="zh-CN"/>
        </w:rPr>
        <w:t>签订合同且投标人提供履约保证金，</w:t>
      </w:r>
      <w:r>
        <w:rPr>
          <w:rFonts w:hint="eastAsia" w:hAnsi="宋体"/>
          <w:b/>
          <w:bCs/>
          <w:sz w:val="22"/>
          <w:szCs w:val="22"/>
          <w:highlight w:val="none"/>
          <w:lang w:val="en-US" w:eastAsia="zh-CN"/>
        </w:rPr>
        <w:t>中标供应商人员设备全部到场交接完后15个工作日内支付合同价10%的预付款（具体预付落实需以预付当月永嘉县财政库款情况为前提），预付款在前3个月费用中等额扣回</w:t>
      </w:r>
      <w:r>
        <w:rPr>
          <w:rFonts w:hint="eastAsia" w:hAnsi="宋体"/>
          <w:sz w:val="22"/>
          <w:szCs w:val="22"/>
          <w:highlight w:val="none"/>
          <w:lang w:eastAsia="zh-CN"/>
        </w:rPr>
        <w:t>。</w:t>
      </w:r>
    </w:p>
    <w:p>
      <w:pPr>
        <w:widowControl/>
        <w:autoSpaceDE w:val="0"/>
        <w:autoSpaceDN w:val="0"/>
        <w:adjustRightInd w:val="0"/>
        <w:spacing w:line="460" w:lineRule="atLeast"/>
        <w:ind w:firstLine="442" w:firstLineChars="200"/>
        <w:textAlignment w:val="bottom"/>
        <w:rPr>
          <w:rFonts w:hint="eastAsia" w:ascii="宋体"/>
          <w:sz w:val="22"/>
          <w:szCs w:val="22"/>
        </w:rPr>
      </w:pPr>
      <w:r>
        <w:rPr>
          <w:rFonts w:hint="eastAsia" w:hAnsi="宋体"/>
          <w:b/>
          <w:bCs/>
          <w:sz w:val="22"/>
          <w:szCs w:val="22"/>
          <w:highlight w:val="none"/>
        </w:rPr>
        <w:t>采用先养护后付费方式，当月养护后第三个月前15个工作日内结算承包经费（例如1月份的经费在3月份结算，遇节假日顺延），由甲方根据养护当月的考核结果，凭乙方开具的财税正式发票和当月实际绿化养护合同价款扣除处罚金额后进行全额支付，以此类推。</w:t>
      </w:r>
    </w:p>
    <w:p>
      <w:pPr>
        <w:widowControl/>
        <w:autoSpaceDE w:val="0"/>
        <w:autoSpaceDN w:val="0"/>
        <w:adjustRightInd w:val="0"/>
        <w:spacing w:line="460" w:lineRule="atLeast"/>
        <w:ind w:firstLine="440" w:firstLineChars="200"/>
        <w:textAlignment w:val="bottom"/>
        <w:rPr>
          <w:rFonts w:ascii="宋体"/>
          <w:color w:val="0000FF"/>
          <w:sz w:val="22"/>
          <w:szCs w:val="22"/>
        </w:rPr>
      </w:pPr>
      <w:r>
        <w:rPr>
          <w:rFonts w:hint="eastAsia" w:ascii="宋体"/>
          <w:sz w:val="22"/>
          <w:szCs w:val="22"/>
        </w:rPr>
        <w:t>3.2．承包到期后根据考核结果将余款一次付清。</w:t>
      </w:r>
    </w:p>
    <w:p>
      <w:pPr>
        <w:widowControl/>
        <w:autoSpaceDE w:val="0"/>
        <w:autoSpaceDN w:val="0"/>
        <w:adjustRightInd w:val="0"/>
        <w:spacing w:line="460" w:lineRule="atLeast"/>
        <w:ind w:firstLine="442" w:firstLineChars="200"/>
        <w:textAlignment w:val="bottom"/>
        <w:rPr>
          <w:rFonts w:ascii="宋体"/>
          <w:b/>
          <w:bCs/>
          <w:sz w:val="22"/>
          <w:szCs w:val="22"/>
        </w:rPr>
      </w:pPr>
      <w:r>
        <w:rPr>
          <w:rFonts w:hint="eastAsia" w:ascii="宋体"/>
          <w:b/>
          <w:bCs/>
          <w:sz w:val="22"/>
          <w:szCs w:val="22"/>
        </w:rPr>
        <w:t>4. 其他要求及说明</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rPr>
        <w:t>4.1 开标前，投标人应自行对招标区域现状情况做实地勘察测量，本项目总价包干，供应商自行承担报价风险。</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rPr>
        <w:t>4.2 承包期间如遇政策原因最低工资调整，合同价不调整；投标人应在投标报价时充分考虑该因素。</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rPr>
        <w:t>4.3 ▲本项目承包期内，中标人必须对承包区域内有死株现象发生的苗木及时进行补种。承包期满后，招标人对养护区域内所有苗木进行移交验收，苗木数量必须与本招标文件工程量清单与补种数量之和相一致，若少于招标文件工程量清单与补种数量之和，则在退还履约保证金之前必须进行补种，否则履约保证金不予退还。</w:t>
      </w:r>
    </w:p>
    <w:p>
      <w:pPr>
        <w:widowControl/>
        <w:autoSpaceDE w:val="0"/>
        <w:autoSpaceDN w:val="0"/>
        <w:adjustRightInd w:val="0"/>
        <w:spacing w:line="460" w:lineRule="atLeast"/>
        <w:ind w:firstLine="442" w:firstLineChars="200"/>
        <w:jc w:val="left"/>
        <w:textAlignment w:val="bottom"/>
        <w:rPr>
          <w:rFonts w:hint="eastAsia" w:ascii="宋体"/>
          <w:b/>
          <w:bCs/>
          <w:sz w:val="22"/>
          <w:szCs w:val="22"/>
        </w:rPr>
      </w:pPr>
      <w:r>
        <w:rPr>
          <w:rFonts w:hint="eastAsia" w:ascii="宋体"/>
          <w:b/>
          <w:bCs/>
          <w:sz w:val="22"/>
          <w:szCs w:val="22"/>
          <w:lang w:val="en-US" w:eastAsia="zh-CN"/>
        </w:rPr>
        <w:t>5.</w:t>
      </w:r>
      <w:r>
        <w:rPr>
          <w:rFonts w:hint="eastAsia" w:ascii="宋体"/>
          <w:b/>
          <w:bCs/>
          <w:sz w:val="22"/>
          <w:szCs w:val="22"/>
        </w:rPr>
        <w:t>服务和质量要求</w:t>
      </w:r>
    </w:p>
    <w:p>
      <w:pPr>
        <w:pStyle w:val="61"/>
        <w:keepNext w:val="0"/>
        <w:keepLines w:val="0"/>
        <w:pageBreakBefore w:val="0"/>
        <w:kinsoku/>
        <w:wordWrap/>
        <w:overflowPunct/>
        <w:topLinePunct w:val="0"/>
        <w:bidi w:val="0"/>
        <w:snapToGrid/>
        <w:spacing w:line="400" w:lineRule="exact"/>
        <w:ind w:left="0" w:leftChars="0" w:firstLine="1540" w:firstLineChars="700"/>
        <w:rPr>
          <w:rFonts w:ascii="宋体"/>
          <w:b/>
          <w:color w:val="000000" w:themeColor="text1"/>
          <w:sz w:val="22"/>
          <w:u w:val="single"/>
          <w14:textFill>
            <w14:solidFill>
              <w14:schemeClr w14:val="tx1"/>
            </w14:solidFill>
          </w14:textFill>
        </w:rPr>
      </w:pPr>
      <w:r>
        <w:rPr>
          <w:rFonts w:hint="eastAsia" w:ascii="宋体"/>
          <w:sz w:val="22"/>
          <w:szCs w:val="22"/>
          <w:u w:val="single"/>
        </w:rPr>
        <w:t>▲</w:t>
      </w:r>
      <w:r>
        <w:rPr>
          <w:rFonts w:hint="eastAsia" w:ascii="宋体"/>
          <w:b/>
          <w:color w:val="000000" w:themeColor="text1"/>
          <w:sz w:val="22"/>
          <w:u w:val="single"/>
          <w14:textFill>
            <w14:solidFill>
              <w14:schemeClr w14:val="tx1"/>
            </w14:solidFill>
          </w14:textFill>
        </w:rPr>
        <w:t>本项目人员配备及作业技术设备配备情况如下：</w:t>
      </w:r>
    </w:p>
    <w:tbl>
      <w:tblPr>
        <w:tblStyle w:val="25"/>
        <w:tblW w:w="7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228"/>
        <w:gridCol w:w="1301"/>
        <w:gridCol w:w="4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571" w:type="dxa"/>
            <w:vAlign w:val="center"/>
          </w:tcPr>
          <w:p>
            <w:pPr>
              <w:pStyle w:val="61"/>
              <w:keepNext w:val="0"/>
              <w:keepLines w:val="0"/>
              <w:pageBreakBefore w:val="0"/>
              <w:kinsoku/>
              <w:wordWrap/>
              <w:overflowPunct/>
              <w:topLinePunct w:val="0"/>
              <w:bidi w:val="0"/>
              <w:snapToGrid/>
              <w:spacing w:line="400" w:lineRule="exact"/>
              <w:ind w:left="0" w:leftChars="0" w:firstLine="0" w:firstLineChars="0"/>
              <w:jc w:val="center"/>
              <w:rPr>
                <w:rFonts w:hint="eastAsia" w:ascii="宋体"/>
                <w:b/>
                <w:bCs w:val="0"/>
                <w:color w:val="000000" w:themeColor="text1"/>
                <w:sz w:val="22"/>
                <w:szCs w:val="22"/>
                <w14:textFill>
                  <w14:solidFill>
                    <w14:schemeClr w14:val="tx1"/>
                  </w14:solidFill>
                </w14:textFill>
              </w:rPr>
            </w:pPr>
            <w:r>
              <w:rPr>
                <w:rFonts w:hint="eastAsia" w:ascii="宋体"/>
                <w:b/>
                <w:bCs w:val="0"/>
                <w:color w:val="000000" w:themeColor="text1"/>
                <w:sz w:val="22"/>
                <w:szCs w:val="22"/>
                <w14:textFill>
                  <w14:solidFill>
                    <w14:schemeClr w14:val="tx1"/>
                  </w14:solidFill>
                </w14:textFill>
              </w:rPr>
              <w:t>序号</w:t>
            </w:r>
          </w:p>
        </w:tc>
        <w:tc>
          <w:tcPr>
            <w:tcW w:w="1228" w:type="dxa"/>
            <w:vAlign w:val="center"/>
          </w:tcPr>
          <w:p>
            <w:pPr>
              <w:pStyle w:val="61"/>
              <w:keepNext w:val="0"/>
              <w:keepLines w:val="0"/>
              <w:pageBreakBefore w:val="0"/>
              <w:kinsoku/>
              <w:wordWrap/>
              <w:overflowPunct/>
              <w:topLinePunct w:val="0"/>
              <w:bidi w:val="0"/>
              <w:snapToGrid/>
              <w:spacing w:line="400" w:lineRule="exact"/>
              <w:ind w:left="0" w:leftChars="0" w:firstLine="0" w:firstLineChars="0"/>
              <w:jc w:val="center"/>
              <w:rPr>
                <w:rFonts w:hint="eastAsia" w:ascii="宋体"/>
                <w:b/>
                <w:bCs w:val="0"/>
                <w:color w:val="000000" w:themeColor="text1"/>
                <w:sz w:val="22"/>
                <w:szCs w:val="22"/>
                <w14:textFill>
                  <w14:solidFill>
                    <w14:schemeClr w14:val="tx1"/>
                  </w14:solidFill>
                </w14:textFill>
              </w:rPr>
            </w:pPr>
            <w:r>
              <w:rPr>
                <w:rFonts w:hint="eastAsia" w:ascii="宋体"/>
                <w:b/>
                <w:bCs w:val="0"/>
                <w:color w:val="000000" w:themeColor="text1"/>
                <w:sz w:val="22"/>
                <w:szCs w:val="22"/>
                <w14:textFill>
                  <w14:solidFill>
                    <w14:schemeClr w14:val="tx1"/>
                  </w14:solidFill>
                </w14:textFill>
              </w:rPr>
              <w:t>名称</w:t>
            </w:r>
          </w:p>
        </w:tc>
        <w:tc>
          <w:tcPr>
            <w:tcW w:w="1301" w:type="dxa"/>
            <w:vAlign w:val="center"/>
          </w:tcPr>
          <w:p>
            <w:pPr>
              <w:pStyle w:val="61"/>
              <w:keepNext w:val="0"/>
              <w:keepLines w:val="0"/>
              <w:pageBreakBefore w:val="0"/>
              <w:kinsoku/>
              <w:wordWrap/>
              <w:overflowPunct/>
              <w:topLinePunct w:val="0"/>
              <w:bidi w:val="0"/>
              <w:snapToGrid/>
              <w:spacing w:line="400" w:lineRule="exact"/>
              <w:ind w:left="0" w:leftChars="0" w:firstLine="0" w:firstLineChars="0"/>
              <w:jc w:val="center"/>
              <w:rPr>
                <w:rFonts w:hint="eastAsia" w:ascii="宋体"/>
                <w:b/>
                <w:bCs w:val="0"/>
                <w:color w:val="000000" w:themeColor="text1"/>
                <w:sz w:val="22"/>
                <w:szCs w:val="22"/>
                <w14:textFill>
                  <w14:solidFill>
                    <w14:schemeClr w14:val="tx1"/>
                  </w14:solidFill>
                </w14:textFill>
              </w:rPr>
            </w:pPr>
            <w:r>
              <w:rPr>
                <w:rFonts w:hint="eastAsia" w:ascii="宋体"/>
                <w:b/>
                <w:bCs w:val="0"/>
                <w:color w:val="000000" w:themeColor="text1"/>
                <w:sz w:val="22"/>
                <w:szCs w:val="22"/>
                <w14:textFill>
                  <w14:solidFill>
                    <w14:schemeClr w14:val="tx1"/>
                  </w14:solidFill>
                </w14:textFill>
              </w:rPr>
              <w:t>数量</w:t>
            </w:r>
          </w:p>
        </w:tc>
        <w:tc>
          <w:tcPr>
            <w:tcW w:w="4817" w:type="dxa"/>
            <w:vAlign w:val="center"/>
          </w:tcPr>
          <w:p>
            <w:pPr>
              <w:pStyle w:val="61"/>
              <w:keepNext w:val="0"/>
              <w:keepLines w:val="0"/>
              <w:pageBreakBefore w:val="0"/>
              <w:kinsoku/>
              <w:wordWrap/>
              <w:overflowPunct/>
              <w:topLinePunct w:val="0"/>
              <w:bidi w:val="0"/>
              <w:snapToGrid/>
              <w:spacing w:line="400" w:lineRule="exact"/>
              <w:ind w:left="0" w:leftChars="0" w:firstLine="0" w:firstLineChars="0"/>
              <w:jc w:val="center"/>
              <w:rPr>
                <w:rFonts w:hint="eastAsia" w:ascii="宋体"/>
                <w:b/>
                <w:bCs w:val="0"/>
                <w:color w:val="000000" w:themeColor="text1"/>
                <w:sz w:val="22"/>
                <w:szCs w:val="22"/>
                <w14:textFill>
                  <w14:solidFill>
                    <w14:schemeClr w14:val="tx1"/>
                  </w14:solidFill>
                </w14:textFill>
              </w:rPr>
            </w:pPr>
            <w:r>
              <w:rPr>
                <w:rFonts w:hint="eastAsia" w:ascii="宋体"/>
                <w:b/>
                <w:bCs w:val="0"/>
                <w:color w:val="000000" w:themeColor="text1"/>
                <w:sz w:val="22"/>
                <w:szCs w:val="22"/>
                <w14:textFill>
                  <w14:solidFill>
                    <w14:schemeClr w14:val="tx1"/>
                  </w14:solidFill>
                </w14:textFill>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exact"/>
          <w:jc w:val="center"/>
        </w:trPr>
        <w:tc>
          <w:tcPr>
            <w:tcW w:w="571" w:type="dxa"/>
            <w:vAlign w:val="center"/>
          </w:tcPr>
          <w:p>
            <w:pPr>
              <w:pStyle w:val="61"/>
              <w:keepNext w:val="0"/>
              <w:keepLines w:val="0"/>
              <w:pageBreakBefore w:val="0"/>
              <w:kinsoku/>
              <w:wordWrap/>
              <w:overflowPunct/>
              <w:topLinePunct w:val="0"/>
              <w:bidi w:val="0"/>
              <w:snapToGrid/>
              <w:spacing w:line="400" w:lineRule="exact"/>
              <w:ind w:left="0" w:leftChars="0" w:firstLine="0" w:firstLineChars="0"/>
              <w:jc w:val="center"/>
              <w:rPr>
                <w:rFonts w:hint="eastAsia" w:ascii="宋体"/>
                <w:b/>
                <w:bCs w:val="0"/>
                <w:color w:val="000000" w:themeColor="text1"/>
                <w:sz w:val="22"/>
                <w:szCs w:val="22"/>
                <w:highlight w:val="none"/>
                <w14:textFill>
                  <w14:solidFill>
                    <w14:schemeClr w14:val="tx1"/>
                  </w14:solidFill>
                </w14:textFill>
              </w:rPr>
            </w:pPr>
            <w:r>
              <w:rPr>
                <w:rFonts w:hint="eastAsia" w:ascii="宋体"/>
                <w:b/>
                <w:bCs w:val="0"/>
                <w:color w:val="000000" w:themeColor="text1"/>
                <w:sz w:val="22"/>
                <w:szCs w:val="22"/>
                <w:highlight w:val="none"/>
                <w14:textFill>
                  <w14:solidFill>
                    <w14:schemeClr w14:val="tx1"/>
                  </w14:solidFill>
                </w14:textFill>
              </w:rPr>
              <w:t>1</w:t>
            </w:r>
          </w:p>
        </w:tc>
        <w:tc>
          <w:tcPr>
            <w:tcW w:w="1228" w:type="dxa"/>
            <w:vAlign w:val="center"/>
          </w:tcPr>
          <w:p>
            <w:pPr>
              <w:pStyle w:val="61"/>
              <w:keepNext w:val="0"/>
              <w:keepLines w:val="0"/>
              <w:pageBreakBefore w:val="0"/>
              <w:kinsoku/>
              <w:wordWrap/>
              <w:overflowPunct/>
              <w:topLinePunct w:val="0"/>
              <w:bidi w:val="0"/>
              <w:snapToGrid/>
              <w:spacing w:line="400" w:lineRule="exact"/>
              <w:ind w:left="0" w:leftChars="0" w:firstLine="0" w:firstLineChars="0"/>
              <w:jc w:val="center"/>
              <w:rPr>
                <w:rFonts w:hint="eastAsia" w:ascii="宋体"/>
                <w:b/>
                <w:bCs w:val="0"/>
                <w:color w:val="000000" w:themeColor="text1"/>
                <w:sz w:val="22"/>
                <w:szCs w:val="22"/>
                <w:highlight w:val="none"/>
                <w14:textFill>
                  <w14:solidFill>
                    <w14:schemeClr w14:val="tx1"/>
                  </w14:solidFill>
                </w14:textFill>
              </w:rPr>
            </w:pPr>
            <w:r>
              <w:rPr>
                <w:rFonts w:hint="eastAsia" w:ascii="宋体"/>
                <w:b/>
                <w:bCs w:val="0"/>
                <w:color w:val="000000" w:themeColor="text1"/>
                <w:sz w:val="22"/>
                <w:szCs w:val="22"/>
                <w:highlight w:val="none"/>
                <w14:textFill>
                  <w14:solidFill>
                    <w14:schemeClr w14:val="tx1"/>
                  </w14:solidFill>
                </w14:textFill>
              </w:rPr>
              <w:t>绿化养护人员配备</w:t>
            </w:r>
          </w:p>
        </w:tc>
        <w:tc>
          <w:tcPr>
            <w:tcW w:w="1301" w:type="dxa"/>
            <w:vAlign w:val="center"/>
          </w:tcPr>
          <w:p>
            <w:pPr>
              <w:pStyle w:val="61"/>
              <w:keepNext w:val="0"/>
              <w:keepLines w:val="0"/>
              <w:pageBreakBefore w:val="0"/>
              <w:kinsoku/>
              <w:wordWrap/>
              <w:overflowPunct/>
              <w:topLinePunct w:val="0"/>
              <w:bidi w:val="0"/>
              <w:snapToGrid/>
              <w:spacing w:line="400" w:lineRule="exact"/>
              <w:ind w:left="0" w:leftChars="0" w:firstLine="0" w:firstLineChars="0"/>
              <w:jc w:val="center"/>
              <w:rPr>
                <w:rFonts w:hint="default" w:ascii="宋体" w:eastAsia="宋体"/>
                <w:b/>
                <w:bCs w:val="0"/>
                <w:color w:val="000000" w:themeColor="text1"/>
                <w:sz w:val="22"/>
                <w:szCs w:val="22"/>
                <w:highlight w:val="none"/>
                <w:lang w:val="en-US" w:eastAsia="zh-CN"/>
                <w14:textFill>
                  <w14:solidFill>
                    <w14:schemeClr w14:val="tx1"/>
                  </w14:solidFill>
                </w14:textFill>
              </w:rPr>
            </w:pPr>
            <w:r>
              <w:rPr>
                <w:rFonts w:hint="eastAsia" w:ascii="宋体"/>
                <w:b/>
                <w:bCs w:val="0"/>
                <w:color w:val="000000" w:themeColor="text1"/>
                <w:sz w:val="22"/>
                <w:szCs w:val="22"/>
                <w:highlight w:val="none"/>
                <w:lang w:val="en-US" w:eastAsia="zh-CN"/>
                <w14:textFill>
                  <w14:solidFill>
                    <w14:schemeClr w14:val="tx1"/>
                  </w14:solidFill>
                </w14:textFill>
              </w:rPr>
              <w:t>不少于30人</w:t>
            </w:r>
          </w:p>
        </w:tc>
        <w:tc>
          <w:tcPr>
            <w:tcW w:w="4817" w:type="dxa"/>
            <w:vAlign w:val="center"/>
          </w:tcPr>
          <w:p>
            <w:pPr>
              <w:pStyle w:val="61"/>
              <w:keepNext w:val="0"/>
              <w:keepLines w:val="0"/>
              <w:pageBreakBefore w:val="0"/>
              <w:kinsoku/>
              <w:wordWrap/>
              <w:overflowPunct/>
              <w:topLinePunct w:val="0"/>
              <w:bidi w:val="0"/>
              <w:snapToGrid/>
              <w:spacing w:line="400" w:lineRule="exact"/>
              <w:ind w:left="0" w:leftChars="0" w:firstLine="0" w:firstLineChars="0"/>
              <w:jc w:val="center"/>
              <w:rPr>
                <w:rFonts w:hint="default" w:ascii="宋体"/>
                <w:b/>
                <w:bCs w:val="0"/>
                <w:color w:val="000000" w:themeColor="text1"/>
                <w:sz w:val="22"/>
                <w:szCs w:val="22"/>
                <w:highlight w:val="none"/>
                <w:lang w:val="en-US"/>
                <w14:textFill>
                  <w14:solidFill>
                    <w14:schemeClr w14:val="tx1"/>
                  </w14:solidFill>
                </w14:textFill>
              </w:rPr>
            </w:pPr>
            <w:r>
              <w:rPr>
                <w:rFonts w:hint="eastAsia" w:ascii="宋体"/>
                <w:b/>
                <w:bCs w:val="0"/>
                <w:color w:val="000000" w:themeColor="text1"/>
                <w:sz w:val="22"/>
                <w:szCs w:val="22"/>
                <w:highlight w:val="none"/>
                <w:lang w:val="en-US" w:eastAsia="zh-CN"/>
                <w14:textFill>
                  <w14:solidFill>
                    <w14:schemeClr w14:val="tx1"/>
                  </w14:solidFill>
                </w14:textFill>
              </w:rPr>
              <w:t>不含项目负责人、保洁及司机等人员，要求身体健康，无其他不适合养护工作的身体状况。确保满足本项目作业需求（中标后提供</w:t>
            </w:r>
            <w:r>
              <w:rPr>
                <w:rFonts w:hint="eastAsia" w:ascii="宋体"/>
                <w:b/>
                <w:bCs w:val="0"/>
                <w:color w:val="000000" w:themeColor="text1"/>
                <w:sz w:val="22"/>
                <w:szCs w:val="22"/>
                <w:highlight w:val="none"/>
                <w14:textFill>
                  <w14:solidFill>
                    <w14:schemeClr w14:val="tx1"/>
                  </w14:solidFill>
                </w14:textFill>
              </w:rPr>
              <w:t>养护</w:t>
            </w:r>
            <w:r>
              <w:rPr>
                <w:rFonts w:hint="eastAsia" w:ascii="宋体"/>
                <w:b/>
                <w:bCs w:val="0"/>
                <w:color w:val="000000" w:themeColor="text1"/>
                <w:sz w:val="22"/>
                <w:szCs w:val="22"/>
                <w:highlight w:val="none"/>
                <w:lang w:val="en-US" w:eastAsia="zh-CN"/>
                <w14:textFill>
                  <w14:solidFill>
                    <w14:schemeClr w14:val="tx1"/>
                  </w14:solidFill>
                </w14:textFill>
              </w:rPr>
              <w:t>人员近三个月社保缴纳证明）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571" w:type="dxa"/>
            <w:vAlign w:val="center"/>
          </w:tcPr>
          <w:p>
            <w:pPr>
              <w:pStyle w:val="61"/>
              <w:keepNext w:val="0"/>
              <w:keepLines w:val="0"/>
              <w:pageBreakBefore w:val="0"/>
              <w:kinsoku/>
              <w:wordWrap/>
              <w:overflowPunct/>
              <w:topLinePunct w:val="0"/>
              <w:bidi w:val="0"/>
              <w:snapToGrid/>
              <w:spacing w:line="400" w:lineRule="exact"/>
              <w:ind w:left="0" w:leftChars="0" w:firstLine="0" w:firstLineChars="0"/>
              <w:jc w:val="center"/>
              <w:rPr>
                <w:rFonts w:hint="eastAsia" w:ascii="宋体"/>
                <w:b/>
                <w:bCs w:val="0"/>
                <w:color w:val="000000" w:themeColor="text1"/>
                <w:sz w:val="22"/>
                <w:szCs w:val="22"/>
                <w:highlight w:val="none"/>
                <w14:textFill>
                  <w14:solidFill>
                    <w14:schemeClr w14:val="tx1"/>
                  </w14:solidFill>
                </w14:textFill>
              </w:rPr>
            </w:pPr>
            <w:r>
              <w:rPr>
                <w:rFonts w:hint="eastAsia" w:ascii="宋体"/>
                <w:b/>
                <w:bCs w:val="0"/>
                <w:color w:val="000000" w:themeColor="text1"/>
                <w:sz w:val="22"/>
                <w:szCs w:val="22"/>
                <w:highlight w:val="none"/>
                <w14:textFill>
                  <w14:solidFill>
                    <w14:schemeClr w14:val="tx1"/>
                  </w14:solidFill>
                </w14:textFill>
              </w:rPr>
              <w:t>2</w:t>
            </w:r>
          </w:p>
        </w:tc>
        <w:tc>
          <w:tcPr>
            <w:tcW w:w="1228" w:type="dxa"/>
            <w:vAlign w:val="center"/>
          </w:tcPr>
          <w:p>
            <w:pPr>
              <w:pStyle w:val="61"/>
              <w:keepNext w:val="0"/>
              <w:keepLines w:val="0"/>
              <w:pageBreakBefore w:val="0"/>
              <w:kinsoku/>
              <w:wordWrap/>
              <w:overflowPunct/>
              <w:topLinePunct w:val="0"/>
              <w:bidi w:val="0"/>
              <w:snapToGrid/>
              <w:spacing w:line="400" w:lineRule="exact"/>
              <w:ind w:left="0" w:leftChars="0" w:firstLine="0" w:firstLineChars="0"/>
              <w:jc w:val="center"/>
              <w:rPr>
                <w:rFonts w:hint="eastAsia" w:ascii="宋体"/>
                <w:b/>
                <w:bCs w:val="0"/>
                <w:color w:val="000000" w:themeColor="text1"/>
                <w:sz w:val="22"/>
                <w:szCs w:val="22"/>
                <w:highlight w:val="none"/>
                <w14:textFill>
                  <w14:solidFill>
                    <w14:schemeClr w14:val="tx1"/>
                  </w14:solidFill>
                </w14:textFill>
              </w:rPr>
            </w:pPr>
            <w:r>
              <w:rPr>
                <w:rFonts w:hint="eastAsia" w:ascii="宋体"/>
                <w:b/>
                <w:bCs w:val="0"/>
                <w:color w:val="000000" w:themeColor="text1"/>
                <w:sz w:val="22"/>
                <w:szCs w:val="22"/>
                <w:highlight w:val="none"/>
                <w14:textFill>
                  <w14:solidFill>
                    <w14:schemeClr w14:val="tx1"/>
                  </w14:solidFill>
                </w14:textFill>
              </w:rPr>
              <w:t>洒水车</w:t>
            </w:r>
          </w:p>
        </w:tc>
        <w:tc>
          <w:tcPr>
            <w:tcW w:w="1301" w:type="dxa"/>
            <w:vAlign w:val="center"/>
          </w:tcPr>
          <w:p>
            <w:pPr>
              <w:pStyle w:val="61"/>
              <w:keepNext w:val="0"/>
              <w:keepLines w:val="0"/>
              <w:pageBreakBefore w:val="0"/>
              <w:kinsoku/>
              <w:wordWrap/>
              <w:overflowPunct/>
              <w:topLinePunct w:val="0"/>
              <w:bidi w:val="0"/>
              <w:snapToGrid/>
              <w:spacing w:line="400" w:lineRule="exact"/>
              <w:ind w:left="0" w:leftChars="0" w:firstLine="0" w:firstLineChars="0"/>
              <w:jc w:val="center"/>
              <w:rPr>
                <w:rFonts w:ascii="宋体"/>
                <w:b/>
                <w:bCs w:val="0"/>
                <w:color w:val="000000" w:themeColor="text1"/>
                <w:sz w:val="22"/>
                <w:szCs w:val="22"/>
                <w:highlight w:val="none"/>
                <w14:textFill>
                  <w14:solidFill>
                    <w14:schemeClr w14:val="tx1"/>
                  </w14:solidFill>
                </w14:textFill>
              </w:rPr>
            </w:pPr>
            <w:r>
              <w:rPr>
                <w:rFonts w:hint="eastAsia" w:ascii="宋体"/>
                <w:b/>
                <w:bCs w:val="0"/>
                <w:color w:val="000000" w:themeColor="text1"/>
                <w:sz w:val="22"/>
                <w:szCs w:val="22"/>
                <w:highlight w:val="none"/>
                <w:lang w:val="en-US" w:eastAsia="zh-CN"/>
                <w14:textFill>
                  <w14:solidFill>
                    <w14:schemeClr w14:val="tx1"/>
                  </w14:solidFill>
                </w14:textFill>
              </w:rPr>
              <w:t>1</w:t>
            </w:r>
            <w:r>
              <w:rPr>
                <w:rFonts w:hint="eastAsia" w:ascii="宋体"/>
                <w:b/>
                <w:bCs w:val="0"/>
                <w:color w:val="000000" w:themeColor="text1"/>
                <w:sz w:val="22"/>
                <w:szCs w:val="22"/>
                <w:highlight w:val="none"/>
                <w14:textFill>
                  <w14:solidFill>
                    <w14:schemeClr w14:val="tx1"/>
                  </w14:solidFill>
                </w14:textFill>
              </w:rPr>
              <w:t>辆</w:t>
            </w:r>
          </w:p>
        </w:tc>
        <w:tc>
          <w:tcPr>
            <w:tcW w:w="4817" w:type="dxa"/>
            <w:vAlign w:val="center"/>
          </w:tcPr>
          <w:p>
            <w:pPr>
              <w:pStyle w:val="61"/>
              <w:keepNext w:val="0"/>
              <w:keepLines w:val="0"/>
              <w:pageBreakBefore w:val="0"/>
              <w:kinsoku/>
              <w:wordWrap/>
              <w:overflowPunct/>
              <w:topLinePunct w:val="0"/>
              <w:bidi w:val="0"/>
              <w:snapToGrid/>
              <w:spacing w:line="400" w:lineRule="exact"/>
              <w:ind w:left="0" w:leftChars="0" w:firstLine="0" w:firstLineChars="0"/>
              <w:jc w:val="center"/>
              <w:rPr>
                <w:rFonts w:hint="eastAsia" w:ascii="宋体"/>
                <w:b/>
                <w:bCs w:val="0"/>
                <w:color w:val="000000" w:themeColor="text1"/>
                <w:sz w:val="22"/>
                <w:szCs w:val="22"/>
                <w:highlight w:val="none"/>
                <w14:textFill>
                  <w14:solidFill>
                    <w14:schemeClr w14:val="tx1"/>
                  </w14:solidFill>
                </w14:textFill>
              </w:rPr>
            </w:pPr>
            <w:r>
              <w:rPr>
                <w:rFonts w:hint="eastAsia" w:ascii="宋体"/>
                <w:b/>
                <w:bCs w:val="0"/>
                <w:color w:val="000000" w:themeColor="text1"/>
                <w:sz w:val="22"/>
                <w:szCs w:val="22"/>
                <w:highlight w:val="none"/>
                <w:lang w:eastAsia="zh-CN"/>
                <w14:textFill>
                  <w14:solidFill>
                    <w14:schemeClr w14:val="tx1"/>
                  </w14:solidFill>
                </w14:textFill>
              </w:rPr>
              <w:t>总质</w:t>
            </w:r>
            <w:r>
              <w:rPr>
                <w:rFonts w:hint="eastAsia" w:ascii="宋体"/>
                <w:b/>
                <w:bCs w:val="0"/>
                <w:color w:val="000000" w:themeColor="text1"/>
                <w:sz w:val="22"/>
                <w:szCs w:val="22"/>
                <w:highlight w:val="none"/>
                <w14:textFill>
                  <w14:solidFill>
                    <w14:schemeClr w14:val="tx1"/>
                  </w14:solidFill>
                </w14:textFill>
              </w:rPr>
              <w:t>量≥</w:t>
            </w:r>
            <w:r>
              <w:rPr>
                <w:rFonts w:hint="eastAsia" w:ascii="宋体"/>
                <w:b/>
                <w:bCs w:val="0"/>
                <w:color w:val="000000" w:themeColor="text1"/>
                <w:sz w:val="22"/>
                <w:szCs w:val="22"/>
                <w:highlight w:val="none"/>
                <w:lang w:val="en-US" w:eastAsia="zh-CN"/>
                <w14:textFill>
                  <w14:solidFill>
                    <w14:schemeClr w14:val="tx1"/>
                  </w14:solidFill>
                </w14:textFill>
              </w:rPr>
              <w:t xml:space="preserve"> 16000kg</w:t>
            </w:r>
            <w:r>
              <w:rPr>
                <w:rFonts w:hint="eastAsia" w:ascii="宋体"/>
                <w:b/>
                <w:bCs w:val="0"/>
                <w:color w:val="000000" w:themeColor="text1"/>
                <w:sz w:val="22"/>
                <w:szCs w:val="22"/>
                <w:highlight w:val="none"/>
                <w:lang w:eastAsia="zh-CN"/>
                <w14:textFill>
                  <w14:solidFill>
                    <w14:schemeClr w14:val="tx1"/>
                  </w14:solidFill>
                </w14:textFill>
              </w:rPr>
              <w:t>（</w:t>
            </w:r>
            <w:r>
              <w:rPr>
                <w:rFonts w:hint="eastAsia" w:ascii="宋体"/>
                <w:b/>
                <w:bCs w:val="0"/>
                <w:color w:val="000000" w:themeColor="text1"/>
                <w:sz w:val="22"/>
                <w:szCs w:val="22"/>
                <w:highlight w:val="none"/>
                <w:lang w:val="en-US" w:eastAsia="zh-CN"/>
                <w14:textFill>
                  <w14:solidFill>
                    <w14:schemeClr w14:val="tx1"/>
                  </w14:solidFill>
                </w14:textFill>
              </w:rPr>
              <w:t>中标后提供</w:t>
            </w:r>
            <w:r>
              <w:rPr>
                <w:rFonts w:hint="eastAsia" w:ascii="宋体"/>
                <w:b/>
                <w:bCs/>
                <w:color w:val="auto"/>
                <w:sz w:val="22"/>
                <w:szCs w:val="22"/>
                <w:highlight w:val="none"/>
                <w:u w:val="none"/>
                <w:lang w:val="en-US" w:eastAsia="zh-CN"/>
              </w:rPr>
              <w:t>车辆行驶证</w:t>
            </w:r>
            <w:r>
              <w:rPr>
                <w:rFonts w:hint="eastAsia" w:ascii="宋体"/>
                <w:b/>
                <w:bCs w:val="0"/>
                <w:color w:val="000000" w:themeColor="text1"/>
                <w:sz w:val="22"/>
                <w:szCs w:val="22"/>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exact"/>
          <w:jc w:val="center"/>
        </w:trPr>
        <w:tc>
          <w:tcPr>
            <w:tcW w:w="571" w:type="dxa"/>
            <w:vAlign w:val="center"/>
          </w:tcPr>
          <w:p>
            <w:pPr>
              <w:pStyle w:val="61"/>
              <w:keepNext w:val="0"/>
              <w:keepLines w:val="0"/>
              <w:pageBreakBefore w:val="0"/>
              <w:kinsoku/>
              <w:wordWrap/>
              <w:overflowPunct/>
              <w:topLinePunct w:val="0"/>
              <w:bidi w:val="0"/>
              <w:snapToGrid/>
              <w:spacing w:line="400" w:lineRule="exact"/>
              <w:ind w:left="0" w:leftChars="0" w:firstLine="0" w:firstLineChars="0"/>
              <w:jc w:val="center"/>
              <w:rPr>
                <w:rFonts w:hint="eastAsia" w:ascii="宋体" w:eastAsia="宋体"/>
                <w:b/>
                <w:bCs w:val="0"/>
                <w:color w:val="000000" w:themeColor="text1"/>
                <w:sz w:val="22"/>
                <w:szCs w:val="22"/>
                <w:highlight w:val="none"/>
                <w:lang w:eastAsia="zh-CN"/>
                <w14:textFill>
                  <w14:solidFill>
                    <w14:schemeClr w14:val="tx1"/>
                  </w14:solidFill>
                </w14:textFill>
              </w:rPr>
            </w:pPr>
            <w:r>
              <w:rPr>
                <w:rFonts w:hint="eastAsia" w:ascii="宋体"/>
                <w:b/>
                <w:bCs w:val="0"/>
                <w:color w:val="000000" w:themeColor="text1"/>
                <w:sz w:val="22"/>
                <w:szCs w:val="22"/>
                <w:highlight w:val="none"/>
                <w:lang w:val="en-US" w:eastAsia="zh-CN"/>
                <w14:textFill>
                  <w14:solidFill>
                    <w14:schemeClr w14:val="tx1"/>
                  </w14:solidFill>
                </w14:textFill>
              </w:rPr>
              <w:t>3</w:t>
            </w:r>
          </w:p>
        </w:tc>
        <w:tc>
          <w:tcPr>
            <w:tcW w:w="1228" w:type="dxa"/>
            <w:vAlign w:val="center"/>
          </w:tcPr>
          <w:p>
            <w:pPr>
              <w:pStyle w:val="61"/>
              <w:keepNext w:val="0"/>
              <w:keepLines w:val="0"/>
              <w:pageBreakBefore w:val="0"/>
              <w:kinsoku/>
              <w:wordWrap/>
              <w:overflowPunct/>
              <w:topLinePunct w:val="0"/>
              <w:bidi w:val="0"/>
              <w:snapToGrid/>
              <w:spacing w:line="400" w:lineRule="exact"/>
              <w:ind w:left="0" w:leftChars="0" w:firstLine="0" w:firstLineChars="0"/>
              <w:jc w:val="center"/>
              <w:rPr>
                <w:rFonts w:hint="eastAsia" w:ascii="宋体"/>
                <w:b/>
                <w:bCs w:val="0"/>
                <w:color w:val="000000" w:themeColor="text1"/>
                <w:sz w:val="22"/>
                <w:szCs w:val="22"/>
                <w:highlight w:val="none"/>
                <w14:textFill>
                  <w14:solidFill>
                    <w14:schemeClr w14:val="tx1"/>
                  </w14:solidFill>
                </w14:textFill>
              </w:rPr>
            </w:pPr>
            <w:r>
              <w:rPr>
                <w:rFonts w:hint="eastAsia" w:ascii="宋体"/>
                <w:b/>
                <w:bCs w:val="0"/>
                <w:color w:val="000000" w:themeColor="text1"/>
                <w:sz w:val="22"/>
                <w:szCs w:val="22"/>
                <w:highlight w:val="none"/>
                <w:lang w:val="en-US" w:eastAsia="zh-CN"/>
                <w14:textFill>
                  <w14:solidFill>
                    <w14:schemeClr w14:val="tx1"/>
                  </w14:solidFill>
                </w14:textFill>
              </w:rPr>
              <w:t>安保人员</w:t>
            </w:r>
          </w:p>
        </w:tc>
        <w:tc>
          <w:tcPr>
            <w:tcW w:w="1301" w:type="dxa"/>
            <w:vAlign w:val="center"/>
          </w:tcPr>
          <w:p>
            <w:pPr>
              <w:pStyle w:val="61"/>
              <w:keepNext w:val="0"/>
              <w:keepLines w:val="0"/>
              <w:pageBreakBefore w:val="0"/>
              <w:kinsoku/>
              <w:wordWrap/>
              <w:overflowPunct/>
              <w:topLinePunct w:val="0"/>
              <w:bidi w:val="0"/>
              <w:snapToGrid/>
              <w:spacing w:line="400" w:lineRule="exact"/>
              <w:ind w:left="0" w:leftChars="0" w:firstLine="0" w:firstLineChars="0"/>
              <w:jc w:val="center"/>
              <w:rPr>
                <w:rFonts w:hint="default" w:ascii="宋体"/>
                <w:b/>
                <w:bCs w:val="0"/>
                <w:color w:val="000000" w:themeColor="text1"/>
                <w:sz w:val="22"/>
                <w:szCs w:val="22"/>
                <w:highlight w:val="none"/>
                <w:lang w:val="en-US"/>
                <w14:textFill>
                  <w14:solidFill>
                    <w14:schemeClr w14:val="tx1"/>
                  </w14:solidFill>
                </w14:textFill>
              </w:rPr>
            </w:pPr>
            <w:r>
              <w:rPr>
                <w:rFonts w:hint="eastAsia" w:ascii="宋体"/>
                <w:b/>
                <w:bCs w:val="0"/>
                <w:color w:val="000000" w:themeColor="text1"/>
                <w:sz w:val="22"/>
                <w:szCs w:val="22"/>
                <w:highlight w:val="none"/>
                <w:lang w:val="en-US" w:eastAsia="zh-CN"/>
                <w14:textFill>
                  <w14:solidFill>
                    <w14:schemeClr w14:val="tx1"/>
                  </w14:solidFill>
                </w14:textFill>
              </w:rPr>
              <w:t>6个</w:t>
            </w:r>
          </w:p>
        </w:tc>
        <w:tc>
          <w:tcPr>
            <w:tcW w:w="4817" w:type="dxa"/>
            <w:vAlign w:val="center"/>
          </w:tcPr>
          <w:p>
            <w:pPr>
              <w:pStyle w:val="61"/>
              <w:keepNext w:val="0"/>
              <w:keepLines w:val="0"/>
              <w:pageBreakBefore w:val="0"/>
              <w:kinsoku/>
              <w:wordWrap/>
              <w:overflowPunct/>
              <w:topLinePunct w:val="0"/>
              <w:bidi w:val="0"/>
              <w:snapToGrid/>
              <w:spacing w:line="400" w:lineRule="exact"/>
              <w:ind w:left="0" w:leftChars="0" w:firstLine="440"/>
              <w:jc w:val="center"/>
              <w:rPr>
                <w:rFonts w:hint="default" w:ascii="宋体" w:eastAsia="宋体"/>
                <w:b/>
                <w:bCs w:val="0"/>
                <w:color w:val="000000" w:themeColor="text1"/>
                <w:sz w:val="22"/>
                <w:szCs w:val="22"/>
                <w:highlight w:val="none"/>
                <w:lang w:val="en-US" w:eastAsia="zh-CN"/>
                <w14:textFill>
                  <w14:solidFill>
                    <w14:schemeClr w14:val="tx1"/>
                  </w14:solidFill>
                </w14:textFill>
              </w:rPr>
            </w:pPr>
            <w:r>
              <w:rPr>
                <w:rFonts w:hint="eastAsia" w:ascii="宋体"/>
                <w:b/>
                <w:sz w:val="22"/>
                <w:szCs w:val="22"/>
                <w:highlight w:val="none"/>
              </w:rPr>
              <w:t>鹅浦公园、中塘溪公园、屿山公园，</w:t>
            </w:r>
            <w:r>
              <w:rPr>
                <w:rFonts w:hint="eastAsia" w:ascii="宋体"/>
                <w:b/>
                <w:bCs w:val="0"/>
                <w:color w:val="000000" w:themeColor="text1"/>
                <w:sz w:val="22"/>
                <w:szCs w:val="22"/>
                <w:highlight w:val="none"/>
                <w:lang w:val="en-US" w:eastAsia="zh-CN"/>
                <w14:textFill>
                  <w14:solidFill>
                    <w14:schemeClr w14:val="tx1"/>
                  </w14:solidFill>
                </w14:textFill>
              </w:rPr>
              <w:t>每个公园要求至少配备安保人员2人满足本项目作业需求（24小时维持公园的日常运作及安保管理）</w:t>
            </w:r>
          </w:p>
        </w:tc>
      </w:tr>
    </w:tbl>
    <w:p>
      <w:pPr>
        <w:pStyle w:val="10"/>
      </w:pPr>
    </w:p>
    <w:p>
      <w:pPr>
        <w:widowControl/>
        <w:autoSpaceDE w:val="0"/>
        <w:autoSpaceDN w:val="0"/>
        <w:adjustRightInd w:val="0"/>
        <w:spacing w:line="460" w:lineRule="atLeast"/>
        <w:ind w:firstLine="440" w:firstLineChars="200"/>
        <w:textAlignment w:val="bottom"/>
        <w:rPr>
          <w:rFonts w:ascii="宋体"/>
          <w:sz w:val="22"/>
        </w:rPr>
      </w:pPr>
      <w:r>
        <w:rPr>
          <w:rFonts w:hint="eastAsia" w:ascii="宋体"/>
          <w:sz w:val="22"/>
        </w:rPr>
        <w:t>绿化养护质量严格按照温州市市政园林局印发的《温州市园林植物养护技术规程》及相关规定执行。</w:t>
      </w:r>
    </w:p>
    <w:p>
      <w:pPr>
        <w:widowControl/>
        <w:autoSpaceDE w:val="0"/>
        <w:autoSpaceDN w:val="0"/>
        <w:adjustRightInd w:val="0"/>
        <w:spacing w:line="460" w:lineRule="atLeast"/>
        <w:ind w:firstLine="442" w:firstLineChars="200"/>
        <w:jc w:val="left"/>
        <w:textAlignment w:val="bottom"/>
        <w:rPr>
          <w:rFonts w:hint="eastAsia" w:ascii="宋体"/>
          <w:b/>
          <w:bCs/>
          <w:sz w:val="22"/>
          <w:szCs w:val="22"/>
        </w:rPr>
      </w:pPr>
      <w:r>
        <w:rPr>
          <w:rFonts w:hint="eastAsia" w:ascii="宋体"/>
          <w:b/>
          <w:bCs/>
          <w:sz w:val="22"/>
          <w:szCs w:val="22"/>
          <w:lang w:val="en-US" w:eastAsia="zh-CN"/>
        </w:rPr>
        <w:t>6</w:t>
      </w:r>
      <w:r>
        <w:rPr>
          <w:rFonts w:hint="eastAsia" w:ascii="宋体"/>
          <w:b/>
          <w:bCs/>
          <w:sz w:val="22"/>
          <w:szCs w:val="22"/>
          <w:lang w:eastAsia="zh-CN"/>
        </w:rPr>
        <w:t>.</w:t>
      </w:r>
      <w:r>
        <w:rPr>
          <w:rFonts w:hint="eastAsia" w:ascii="宋体"/>
          <w:b/>
          <w:bCs/>
          <w:sz w:val="22"/>
          <w:szCs w:val="22"/>
        </w:rPr>
        <w:t>现场条件</w:t>
      </w:r>
    </w:p>
    <w:p>
      <w:pPr>
        <w:widowControl/>
        <w:autoSpaceDE w:val="0"/>
        <w:autoSpaceDN w:val="0"/>
        <w:adjustRightInd w:val="0"/>
        <w:spacing w:line="460" w:lineRule="atLeast"/>
        <w:ind w:firstLine="440" w:firstLineChars="200"/>
        <w:textAlignment w:val="bottom"/>
        <w:rPr>
          <w:rFonts w:hint="eastAsia" w:ascii="宋体"/>
          <w:sz w:val="22"/>
          <w:u w:val="none"/>
        </w:rPr>
      </w:pPr>
      <w:r>
        <w:rPr>
          <w:rFonts w:hint="eastAsia" w:ascii="宋体"/>
          <w:sz w:val="22"/>
          <w:szCs w:val="22"/>
          <w:lang w:val="en-US" w:eastAsia="zh-CN"/>
        </w:rPr>
        <w:t>6</w:t>
      </w:r>
      <w:r>
        <w:rPr>
          <w:rFonts w:hint="eastAsia" w:ascii="宋体"/>
          <w:sz w:val="22"/>
          <w:szCs w:val="22"/>
        </w:rPr>
        <w:t>.</w:t>
      </w:r>
      <w:r>
        <w:rPr>
          <w:rFonts w:hint="eastAsia" w:ascii="宋体"/>
          <w:sz w:val="22"/>
          <w:szCs w:val="22"/>
          <w:lang w:val="en-US" w:eastAsia="zh-CN"/>
        </w:rPr>
        <w:t>1</w:t>
      </w:r>
      <w:r>
        <w:rPr>
          <w:rFonts w:hint="eastAsia" w:ascii="宋体"/>
          <w:sz w:val="22"/>
          <w:u w:val="none"/>
        </w:rPr>
        <w:t>▲此次招标所涉及的人员食宿和作业工具、服装等均由承包单位自行负责解决。此次招标所涉及的人员全部由中标供应商自行负责解决。</w:t>
      </w:r>
    </w:p>
    <w:p>
      <w:pPr>
        <w:widowControl/>
        <w:autoSpaceDE w:val="0"/>
        <w:autoSpaceDN w:val="0"/>
        <w:adjustRightInd w:val="0"/>
        <w:spacing w:line="460" w:lineRule="atLeast"/>
        <w:ind w:firstLine="440" w:firstLineChars="200"/>
        <w:textAlignment w:val="bottom"/>
        <w:rPr>
          <w:rFonts w:hint="eastAsia" w:ascii="宋体" w:hAnsi="Times New Roman" w:eastAsia="宋体" w:cs="Times New Roman"/>
          <w:b/>
          <w:bCs/>
          <w:sz w:val="22"/>
          <w:u w:val="none"/>
          <w:lang w:val="en-US" w:eastAsia="zh-CN"/>
        </w:rPr>
      </w:pPr>
      <w:r>
        <w:rPr>
          <w:rFonts w:hint="eastAsia" w:ascii="宋体"/>
          <w:sz w:val="22"/>
          <w:szCs w:val="22"/>
          <w:lang w:val="en-US" w:eastAsia="zh-CN"/>
        </w:rPr>
        <w:t>6</w:t>
      </w:r>
      <w:r>
        <w:rPr>
          <w:rFonts w:hint="eastAsia" w:ascii="宋体"/>
          <w:sz w:val="22"/>
          <w:szCs w:val="22"/>
        </w:rPr>
        <w:t>.2</w:t>
      </w:r>
      <w:r>
        <w:rPr>
          <w:rFonts w:hint="eastAsia" w:ascii="宋体" w:hAnsi="Times New Roman" w:eastAsia="宋体" w:cs="Times New Roman"/>
          <w:b/>
          <w:bCs/>
          <w:sz w:val="22"/>
          <w:u w:val="none"/>
          <w:lang w:val="en-US" w:eastAsia="zh-CN"/>
        </w:rPr>
        <w:t xml:space="preserve"> </w:t>
      </w:r>
      <w:r>
        <w:rPr>
          <w:rFonts w:hint="eastAsia" w:ascii="宋体"/>
          <w:b/>
          <w:bCs/>
          <w:sz w:val="22"/>
          <w:u w:val="none"/>
        </w:rPr>
        <w:t>▲</w:t>
      </w:r>
      <w:r>
        <w:rPr>
          <w:rFonts w:hint="eastAsia" w:ascii="宋体" w:hAnsi="Times New Roman" w:eastAsia="宋体" w:cs="Times New Roman"/>
          <w:b/>
          <w:bCs/>
          <w:sz w:val="22"/>
          <w:u w:val="none"/>
          <w:lang w:val="en-US" w:eastAsia="zh-CN"/>
        </w:rPr>
        <w:t>滨江公园浦口段630平方米、浦东段70平方米的管理房无偿供乙方使用，用于堆放肥料、工具及办公等；</w:t>
      </w:r>
    </w:p>
    <w:p>
      <w:pPr>
        <w:widowControl/>
        <w:autoSpaceDE w:val="0"/>
        <w:autoSpaceDN w:val="0"/>
        <w:adjustRightInd w:val="0"/>
        <w:spacing w:line="460" w:lineRule="atLeast"/>
        <w:ind w:firstLine="440" w:firstLineChars="200"/>
        <w:textAlignment w:val="bottom"/>
        <w:rPr>
          <w:rFonts w:hint="default" w:ascii="宋体" w:hAnsi="Times New Roman" w:eastAsia="宋体" w:cs="Times New Roman"/>
          <w:b/>
          <w:bCs/>
          <w:sz w:val="22"/>
          <w:u w:val="none"/>
          <w:lang w:val="en-US" w:eastAsia="zh-CN"/>
        </w:rPr>
      </w:pPr>
      <w:r>
        <w:rPr>
          <w:rFonts w:hint="eastAsia" w:ascii="宋体"/>
          <w:sz w:val="22"/>
          <w:szCs w:val="22"/>
          <w:lang w:val="en-US" w:eastAsia="zh-CN"/>
        </w:rPr>
        <w:t>6</w:t>
      </w:r>
      <w:r>
        <w:rPr>
          <w:rFonts w:hint="eastAsia" w:ascii="宋体"/>
          <w:sz w:val="22"/>
          <w:szCs w:val="22"/>
        </w:rPr>
        <w:t>.</w:t>
      </w:r>
      <w:r>
        <w:rPr>
          <w:rFonts w:hint="eastAsia" w:ascii="宋体"/>
          <w:sz w:val="22"/>
          <w:szCs w:val="22"/>
          <w:lang w:val="en-US" w:eastAsia="zh-CN"/>
        </w:rPr>
        <w:t>3</w:t>
      </w:r>
      <w:r>
        <w:rPr>
          <w:rFonts w:hint="eastAsia" w:ascii="宋体" w:hAnsi="Times New Roman" w:eastAsia="宋体" w:cs="Times New Roman"/>
          <w:b/>
          <w:bCs/>
          <w:sz w:val="22"/>
          <w:u w:val="none"/>
          <w:lang w:val="en-US" w:eastAsia="zh-CN"/>
        </w:rPr>
        <w:t xml:space="preserve"> </w:t>
      </w:r>
      <w:r>
        <w:rPr>
          <w:rFonts w:hint="eastAsia" w:ascii="宋体"/>
          <w:b/>
          <w:bCs/>
          <w:sz w:val="22"/>
          <w:u w:val="none"/>
        </w:rPr>
        <w:t>▲</w:t>
      </w:r>
      <w:r>
        <w:rPr>
          <w:rFonts w:hint="default" w:ascii="宋体" w:hAnsi="Times New Roman" w:eastAsia="宋体" w:cs="Times New Roman"/>
          <w:b/>
          <w:bCs/>
          <w:sz w:val="22"/>
          <w:u w:val="none"/>
          <w:lang w:val="en-US" w:eastAsia="zh-CN"/>
        </w:rPr>
        <w:t xml:space="preserve">永嘉县综合行政执法局 浙CB6621 程力威CLW5050JKJ5高空作业车升降车 LEFYFCG35GHN94181 GB172608 201705 使用于高空修剪作业；浙CB9538洒水车 中联ZLJ5123G0XDFE4  LGAX2A12BF1019880 E3008601 20151203 ，上述车辆无偿供乙方使用，期间产生的保险费、油费、维修费、司机佣金、事故责任等一切费用和责任由乙方承担。 </w:t>
      </w:r>
    </w:p>
    <w:p>
      <w:pPr>
        <w:widowControl/>
        <w:autoSpaceDE w:val="0"/>
        <w:autoSpaceDN w:val="0"/>
        <w:adjustRightInd w:val="0"/>
        <w:spacing w:line="460" w:lineRule="atLeast"/>
        <w:ind w:firstLine="440" w:firstLineChars="200"/>
        <w:textAlignment w:val="bottom"/>
        <w:rPr>
          <w:rFonts w:hint="eastAsia" w:ascii="宋体" w:hAnsi="Times New Roman" w:eastAsia="宋体" w:cs="Times New Roman"/>
          <w:sz w:val="22"/>
          <w:u w:val="none"/>
          <w:lang w:val="en-US" w:eastAsia="zh-CN"/>
        </w:rPr>
      </w:pPr>
      <w:r>
        <w:rPr>
          <w:rFonts w:hint="eastAsia" w:ascii="宋体"/>
          <w:sz w:val="22"/>
          <w:szCs w:val="22"/>
          <w:lang w:val="en-US" w:eastAsia="zh-CN"/>
        </w:rPr>
        <w:t>6</w:t>
      </w:r>
      <w:r>
        <w:rPr>
          <w:rFonts w:hint="eastAsia" w:ascii="宋体"/>
          <w:sz w:val="22"/>
          <w:szCs w:val="22"/>
        </w:rPr>
        <w:t>.</w:t>
      </w:r>
      <w:r>
        <w:rPr>
          <w:rFonts w:hint="eastAsia" w:ascii="宋体"/>
          <w:sz w:val="22"/>
          <w:szCs w:val="22"/>
          <w:lang w:val="en-US" w:eastAsia="zh-CN"/>
        </w:rPr>
        <w:t>4</w:t>
      </w:r>
      <w:r>
        <w:rPr>
          <w:rFonts w:hint="eastAsia" w:ascii="宋体" w:hAnsi="Times New Roman" w:eastAsia="宋体" w:cs="Times New Roman"/>
          <w:b/>
          <w:bCs/>
          <w:sz w:val="22"/>
          <w:u w:val="none"/>
          <w:lang w:val="en-US" w:eastAsia="zh-CN"/>
        </w:rPr>
        <w:t xml:space="preserve"> </w:t>
      </w:r>
      <w:r>
        <w:rPr>
          <w:rFonts w:hint="eastAsia" w:ascii="宋体" w:hAnsi="Times New Roman" w:eastAsia="宋体" w:cs="Times New Roman"/>
          <w:sz w:val="22"/>
          <w:u w:val="none"/>
          <w:lang w:val="en-US" w:eastAsia="zh-CN"/>
        </w:rPr>
        <w:t>作业工具的临时停放由承包单位负责。</w:t>
      </w:r>
    </w:p>
    <w:p>
      <w:pPr>
        <w:widowControl/>
        <w:autoSpaceDE w:val="0"/>
        <w:autoSpaceDN w:val="0"/>
        <w:adjustRightInd w:val="0"/>
        <w:spacing w:line="460" w:lineRule="atLeast"/>
        <w:ind w:firstLine="442" w:firstLineChars="200"/>
        <w:jc w:val="left"/>
        <w:textAlignment w:val="bottom"/>
        <w:rPr>
          <w:rFonts w:hint="eastAsia" w:ascii="宋体"/>
          <w:b/>
          <w:bCs/>
          <w:sz w:val="22"/>
          <w:szCs w:val="22"/>
        </w:rPr>
      </w:pPr>
      <w:r>
        <w:rPr>
          <w:rFonts w:hint="eastAsia" w:ascii="宋体"/>
          <w:b/>
          <w:bCs/>
          <w:sz w:val="22"/>
          <w:szCs w:val="22"/>
          <w:lang w:val="en-US" w:eastAsia="zh-CN"/>
        </w:rPr>
        <w:t>7.</w:t>
      </w:r>
      <w:r>
        <w:rPr>
          <w:rFonts w:hint="eastAsia" w:ascii="宋体"/>
          <w:b/>
          <w:bCs/>
          <w:sz w:val="22"/>
          <w:szCs w:val="22"/>
        </w:rPr>
        <w:t>考核及处罚标准</w:t>
      </w:r>
    </w:p>
    <w:p>
      <w:pPr>
        <w:widowControl/>
        <w:autoSpaceDE w:val="0"/>
        <w:autoSpaceDN w:val="0"/>
        <w:adjustRightInd w:val="0"/>
        <w:spacing w:line="460" w:lineRule="atLeast"/>
        <w:ind w:firstLine="440" w:firstLineChars="200"/>
        <w:textAlignment w:val="bottom"/>
        <w:rPr>
          <w:rFonts w:ascii="宋体"/>
          <w:sz w:val="22"/>
        </w:rPr>
      </w:pPr>
      <w:r>
        <w:rPr>
          <w:rFonts w:hint="eastAsia" w:ascii="宋体"/>
          <w:sz w:val="22"/>
          <w:szCs w:val="22"/>
          <w:lang w:val="en-US" w:eastAsia="zh-CN"/>
        </w:rPr>
        <w:t>7</w:t>
      </w:r>
      <w:r>
        <w:rPr>
          <w:rFonts w:hint="eastAsia" w:ascii="宋体"/>
          <w:sz w:val="22"/>
          <w:szCs w:val="22"/>
        </w:rPr>
        <w:t>.</w:t>
      </w:r>
      <w:r>
        <w:rPr>
          <w:rFonts w:hint="eastAsia" w:ascii="宋体"/>
          <w:sz w:val="22"/>
          <w:szCs w:val="22"/>
          <w:lang w:val="en-US" w:eastAsia="zh-CN"/>
        </w:rPr>
        <w:t>1</w:t>
      </w:r>
      <w:r>
        <w:rPr>
          <w:rFonts w:hint="eastAsia" w:ascii="宋体" w:hAnsi="Times New Roman" w:eastAsia="宋体" w:cs="Times New Roman"/>
          <w:b/>
          <w:bCs/>
          <w:sz w:val="22"/>
          <w:u w:val="none"/>
          <w:lang w:val="en-US" w:eastAsia="zh-CN"/>
        </w:rPr>
        <w:t xml:space="preserve"> </w:t>
      </w:r>
      <w:r>
        <w:rPr>
          <w:rFonts w:hint="eastAsia" w:ascii="宋体"/>
          <w:sz w:val="22"/>
        </w:rPr>
        <w:t>依照市场化运作绿化养护考核评分细则进行综合计算考评。</w:t>
      </w:r>
    </w:p>
    <w:p>
      <w:pPr>
        <w:widowControl/>
        <w:autoSpaceDE w:val="0"/>
        <w:autoSpaceDN w:val="0"/>
        <w:adjustRightInd w:val="0"/>
        <w:spacing w:line="460" w:lineRule="atLeast"/>
        <w:ind w:firstLine="440" w:firstLineChars="200"/>
        <w:textAlignment w:val="bottom"/>
        <w:rPr>
          <w:rFonts w:ascii="宋体"/>
          <w:sz w:val="22"/>
        </w:rPr>
      </w:pPr>
      <w:r>
        <w:rPr>
          <w:rFonts w:hint="eastAsia" w:ascii="宋体"/>
          <w:sz w:val="22"/>
          <w:szCs w:val="22"/>
          <w:lang w:val="en-US" w:eastAsia="zh-CN"/>
        </w:rPr>
        <w:t>7</w:t>
      </w:r>
      <w:r>
        <w:rPr>
          <w:rFonts w:hint="eastAsia" w:ascii="宋体"/>
          <w:sz w:val="22"/>
          <w:szCs w:val="22"/>
        </w:rPr>
        <w:t>.</w:t>
      </w:r>
      <w:r>
        <w:rPr>
          <w:rFonts w:hint="eastAsia" w:ascii="宋体"/>
          <w:sz w:val="22"/>
          <w:szCs w:val="22"/>
          <w:lang w:val="en-US" w:eastAsia="zh-CN"/>
        </w:rPr>
        <w:t>2</w:t>
      </w:r>
      <w:r>
        <w:rPr>
          <w:rFonts w:hint="eastAsia" w:ascii="宋体" w:hAnsi="Times New Roman" w:eastAsia="宋体" w:cs="Times New Roman"/>
          <w:b/>
          <w:bCs/>
          <w:sz w:val="22"/>
          <w:u w:val="none"/>
          <w:lang w:val="en-US" w:eastAsia="zh-CN"/>
        </w:rPr>
        <w:t xml:space="preserve"> </w:t>
      </w:r>
      <w:r>
        <w:rPr>
          <w:rFonts w:hint="eastAsia" w:ascii="宋体"/>
          <w:sz w:val="22"/>
        </w:rPr>
        <w:t>永嘉县相关职能部门组成的考核小组将负责对城区绿化养护质量进行检查考评，检查将采取明检、暗检相结合的方式，每月综合考评一次。如需承包公司配合的将提前一小时通知该单位派员参加。</w:t>
      </w:r>
    </w:p>
    <w:p>
      <w:pPr>
        <w:widowControl/>
        <w:autoSpaceDE w:val="0"/>
        <w:autoSpaceDN w:val="0"/>
        <w:adjustRightInd w:val="0"/>
        <w:spacing w:line="460" w:lineRule="atLeast"/>
        <w:ind w:firstLine="440" w:firstLineChars="200"/>
        <w:textAlignment w:val="bottom"/>
        <w:rPr>
          <w:rFonts w:ascii="宋体"/>
          <w:sz w:val="22"/>
        </w:rPr>
      </w:pPr>
      <w:r>
        <w:rPr>
          <w:rFonts w:hint="eastAsia" w:ascii="宋体"/>
          <w:sz w:val="22"/>
          <w:szCs w:val="22"/>
          <w:lang w:val="en-US" w:eastAsia="zh-CN"/>
        </w:rPr>
        <w:t>7</w:t>
      </w:r>
      <w:r>
        <w:rPr>
          <w:rFonts w:hint="eastAsia" w:ascii="宋体"/>
          <w:sz w:val="22"/>
          <w:szCs w:val="22"/>
        </w:rPr>
        <w:t>.</w:t>
      </w:r>
      <w:r>
        <w:rPr>
          <w:rFonts w:hint="eastAsia" w:ascii="宋体"/>
          <w:sz w:val="22"/>
          <w:szCs w:val="22"/>
          <w:lang w:val="en-US" w:eastAsia="zh-CN"/>
        </w:rPr>
        <w:t>3</w:t>
      </w:r>
      <w:r>
        <w:rPr>
          <w:rFonts w:hint="eastAsia" w:ascii="宋体" w:hAnsi="Times New Roman" w:eastAsia="宋体" w:cs="Times New Roman"/>
          <w:b/>
          <w:bCs/>
          <w:sz w:val="22"/>
          <w:u w:val="none"/>
          <w:lang w:val="en-US" w:eastAsia="zh-CN"/>
        </w:rPr>
        <w:t xml:space="preserve"> </w:t>
      </w:r>
      <w:r>
        <w:rPr>
          <w:rFonts w:hint="eastAsia" w:ascii="宋体"/>
          <w:sz w:val="22"/>
        </w:rPr>
        <w:t>绿化养护考核，起评满分为各100分；达标分为95分（含），低于95分为不达标。每月评不达标的，将按照处罚标准进行相应的处罚。</w:t>
      </w:r>
    </w:p>
    <w:p>
      <w:pPr>
        <w:widowControl/>
        <w:autoSpaceDE w:val="0"/>
        <w:autoSpaceDN w:val="0"/>
        <w:adjustRightInd w:val="0"/>
        <w:spacing w:line="460" w:lineRule="atLeast"/>
        <w:ind w:firstLine="440" w:firstLineChars="200"/>
        <w:textAlignment w:val="bottom"/>
        <w:rPr>
          <w:rFonts w:ascii="宋体"/>
          <w:sz w:val="22"/>
        </w:rPr>
      </w:pPr>
      <w:r>
        <w:rPr>
          <w:rFonts w:hint="eastAsia" w:ascii="宋体"/>
          <w:sz w:val="22"/>
          <w:szCs w:val="22"/>
          <w:lang w:val="en-US" w:eastAsia="zh-CN"/>
        </w:rPr>
        <w:t>7</w:t>
      </w:r>
      <w:r>
        <w:rPr>
          <w:rFonts w:hint="eastAsia" w:ascii="宋体"/>
          <w:sz w:val="22"/>
          <w:szCs w:val="22"/>
        </w:rPr>
        <w:t>.</w:t>
      </w:r>
      <w:r>
        <w:rPr>
          <w:rFonts w:hint="eastAsia" w:ascii="宋体"/>
          <w:sz w:val="22"/>
          <w:szCs w:val="22"/>
          <w:lang w:val="en-US" w:eastAsia="zh-CN"/>
        </w:rPr>
        <w:t>4</w:t>
      </w:r>
      <w:r>
        <w:rPr>
          <w:rFonts w:hint="eastAsia" w:ascii="宋体" w:hAnsi="Times New Roman" w:eastAsia="宋体" w:cs="Times New Roman"/>
          <w:b/>
          <w:bCs/>
          <w:sz w:val="22"/>
          <w:u w:val="none"/>
          <w:lang w:val="en-US" w:eastAsia="zh-CN"/>
        </w:rPr>
        <w:t xml:space="preserve"> </w:t>
      </w:r>
      <w:r>
        <w:rPr>
          <w:rFonts w:hint="eastAsia" w:ascii="宋体"/>
          <w:sz w:val="22"/>
        </w:rPr>
        <w:t>处罚标准</w:t>
      </w:r>
    </w:p>
    <w:p>
      <w:pPr>
        <w:widowControl/>
        <w:autoSpaceDE w:val="0"/>
        <w:autoSpaceDN w:val="0"/>
        <w:adjustRightInd w:val="0"/>
        <w:spacing w:line="460" w:lineRule="atLeast"/>
        <w:ind w:firstLine="440" w:firstLineChars="200"/>
        <w:textAlignment w:val="bottom"/>
        <w:rPr>
          <w:rFonts w:ascii="宋体"/>
          <w:sz w:val="22"/>
        </w:rPr>
      </w:pPr>
      <w:r>
        <w:rPr>
          <w:rFonts w:hint="eastAsia" w:ascii="宋体"/>
          <w:sz w:val="22"/>
        </w:rPr>
        <w:t>（1）罚款按照月度规定支付金形式对罚金作出明确规定，凡月度评分被扣的分，根据其月度规定支付金进行当月处罚。</w:t>
      </w:r>
    </w:p>
    <w:p>
      <w:pPr>
        <w:widowControl/>
        <w:autoSpaceDE w:val="0"/>
        <w:autoSpaceDN w:val="0"/>
        <w:adjustRightInd w:val="0"/>
        <w:spacing w:line="460" w:lineRule="exact"/>
        <w:ind w:firstLine="440" w:firstLineChars="200"/>
        <w:textAlignment w:val="bottom"/>
        <w:rPr>
          <w:rFonts w:ascii="宋体"/>
          <w:sz w:val="22"/>
        </w:rPr>
      </w:pPr>
      <w:r>
        <w:rPr>
          <w:rFonts w:hint="eastAsia" w:ascii="宋体"/>
          <w:sz w:val="22"/>
        </w:rPr>
        <w:t>（2）以达标分为标准，每月评分&lt;95分（达标分），规定的罚金详见《园林绿化养护考核办法》。</w:t>
      </w:r>
    </w:p>
    <w:p>
      <w:pPr>
        <w:widowControl/>
        <w:autoSpaceDE w:val="0"/>
        <w:autoSpaceDN w:val="0"/>
        <w:adjustRightInd w:val="0"/>
        <w:spacing w:line="460" w:lineRule="exact"/>
        <w:ind w:firstLine="440" w:firstLineChars="200"/>
        <w:textAlignment w:val="bottom"/>
        <w:rPr>
          <w:rFonts w:ascii="宋体"/>
          <w:sz w:val="22"/>
        </w:rPr>
      </w:pPr>
      <w:r>
        <w:rPr>
          <w:rFonts w:hint="eastAsia" w:ascii="宋体"/>
          <w:sz w:val="22"/>
        </w:rPr>
        <w:t>（3）有市民投诉、媒体曝光的影响环境卫生事件,经核实是由承包单位或作业人员责任引起的将予以处罚,处罚额度为每发现一次并核实扣月度规定支付总额的6%。</w:t>
      </w:r>
    </w:p>
    <w:p>
      <w:pPr>
        <w:widowControl/>
        <w:autoSpaceDE w:val="0"/>
        <w:autoSpaceDN w:val="0"/>
        <w:adjustRightInd w:val="0"/>
        <w:spacing w:line="460" w:lineRule="exact"/>
        <w:ind w:firstLine="440" w:firstLineChars="200"/>
        <w:textAlignment w:val="bottom"/>
        <w:rPr>
          <w:rFonts w:ascii="宋体"/>
          <w:sz w:val="22"/>
        </w:rPr>
      </w:pPr>
      <w:r>
        <w:rPr>
          <w:rFonts w:hint="eastAsia" w:ascii="宋体"/>
          <w:sz w:val="22"/>
        </w:rPr>
        <w:t>（4）罚款从每月承包经费中扣除。</w:t>
      </w:r>
    </w:p>
    <w:p>
      <w:pPr>
        <w:widowControl/>
        <w:autoSpaceDE w:val="0"/>
        <w:autoSpaceDN w:val="0"/>
        <w:adjustRightInd w:val="0"/>
        <w:spacing w:line="460" w:lineRule="exact"/>
        <w:ind w:firstLine="440" w:firstLineChars="200"/>
        <w:textAlignment w:val="bottom"/>
        <w:rPr>
          <w:rFonts w:ascii="宋体"/>
          <w:sz w:val="22"/>
        </w:rPr>
      </w:pPr>
      <w:r>
        <w:rPr>
          <w:rFonts w:hint="eastAsia" w:ascii="宋体"/>
          <w:sz w:val="22"/>
        </w:rPr>
        <w:t>（5）当月考核分数&lt;80分，由采购人</w:t>
      </w:r>
      <w:r>
        <w:rPr>
          <w:rFonts w:hint="eastAsia" w:ascii="宋体" w:hAnsi="宋体" w:cs="宋体"/>
          <w:sz w:val="22"/>
          <w:szCs w:val="22"/>
        </w:rPr>
        <w:t>责令其限期改正，并发书面通知书以示警告</w:t>
      </w:r>
      <w:r>
        <w:rPr>
          <w:rFonts w:hint="eastAsia" w:ascii="宋体"/>
          <w:sz w:val="22"/>
        </w:rPr>
        <w:t>。</w:t>
      </w:r>
    </w:p>
    <w:p>
      <w:pPr>
        <w:spacing w:line="460" w:lineRule="exact"/>
        <w:ind w:firstLine="420"/>
        <w:rPr>
          <w:rFonts w:ascii="宋体"/>
          <w:sz w:val="22"/>
        </w:rPr>
      </w:pPr>
      <w:r>
        <w:rPr>
          <w:rFonts w:hint="eastAsia" w:ascii="宋体"/>
          <w:sz w:val="22"/>
        </w:rPr>
        <w:t>（6）在考核中，</w:t>
      </w:r>
      <w:r>
        <w:rPr>
          <w:rFonts w:hint="eastAsia" w:ascii="宋体" w:hAnsi="宋体" w:cs="宋体"/>
          <w:sz w:val="22"/>
          <w:szCs w:val="22"/>
        </w:rPr>
        <w:t>乙方全年有三次被警告的，发包人有权单方面终止合同，并没收履约保证金，由此引起的一切损失由承包人自行承担。</w:t>
      </w:r>
    </w:p>
    <w:p>
      <w:pPr>
        <w:widowControl/>
        <w:autoSpaceDE w:val="0"/>
        <w:autoSpaceDN w:val="0"/>
        <w:adjustRightInd w:val="0"/>
        <w:spacing w:line="460" w:lineRule="atLeast"/>
        <w:ind w:firstLine="442" w:firstLineChars="200"/>
        <w:jc w:val="left"/>
        <w:textAlignment w:val="bottom"/>
        <w:rPr>
          <w:rFonts w:hint="eastAsia" w:ascii="宋体"/>
          <w:b/>
          <w:bCs/>
          <w:sz w:val="22"/>
          <w:szCs w:val="22"/>
        </w:rPr>
      </w:pPr>
      <w:r>
        <w:rPr>
          <w:rFonts w:hint="eastAsia" w:ascii="宋体"/>
          <w:b/>
          <w:bCs/>
          <w:sz w:val="22"/>
          <w:szCs w:val="22"/>
          <w:lang w:val="en-US" w:eastAsia="zh-CN"/>
        </w:rPr>
        <w:t>8.</w:t>
      </w:r>
      <w:r>
        <w:rPr>
          <w:rFonts w:hint="eastAsia" w:ascii="宋体"/>
          <w:b/>
          <w:bCs/>
          <w:sz w:val="22"/>
          <w:szCs w:val="22"/>
        </w:rPr>
        <w:t>要求</w:t>
      </w:r>
    </w:p>
    <w:p>
      <w:pPr>
        <w:widowControl/>
        <w:autoSpaceDE w:val="0"/>
        <w:autoSpaceDN w:val="0"/>
        <w:adjustRightInd w:val="0"/>
        <w:spacing w:line="460" w:lineRule="atLeast"/>
        <w:ind w:firstLine="440" w:firstLineChars="200"/>
        <w:textAlignment w:val="bottom"/>
        <w:rPr>
          <w:rFonts w:ascii="宋体"/>
          <w:sz w:val="22"/>
        </w:rPr>
      </w:pPr>
      <w:r>
        <w:rPr>
          <w:rFonts w:hint="eastAsia" w:ascii="宋体"/>
          <w:sz w:val="22"/>
          <w:szCs w:val="22"/>
          <w:lang w:val="en-US" w:eastAsia="zh-CN"/>
        </w:rPr>
        <w:t>8</w:t>
      </w:r>
      <w:r>
        <w:rPr>
          <w:rFonts w:hint="eastAsia" w:ascii="宋体"/>
          <w:sz w:val="22"/>
          <w:szCs w:val="22"/>
        </w:rPr>
        <w:t>.</w:t>
      </w:r>
      <w:r>
        <w:rPr>
          <w:rFonts w:hint="eastAsia" w:ascii="宋体"/>
          <w:sz w:val="22"/>
          <w:szCs w:val="22"/>
          <w:lang w:val="en-US" w:eastAsia="zh-CN"/>
        </w:rPr>
        <w:t>2</w:t>
      </w:r>
      <w:r>
        <w:rPr>
          <w:rFonts w:hint="eastAsia" w:ascii="宋体" w:hAnsi="Times New Roman" w:eastAsia="宋体" w:cs="Times New Roman"/>
          <w:b/>
          <w:bCs/>
          <w:sz w:val="22"/>
          <w:u w:val="none"/>
          <w:lang w:val="en-US" w:eastAsia="zh-CN"/>
        </w:rPr>
        <w:t xml:space="preserve"> </w:t>
      </w:r>
      <w:r>
        <w:rPr>
          <w:rFonts w:hint="eastAsia" w:ascii="宋体"/>
          <w:sz w:val="22"/>
        </w:rPr>
        <w:t>投标人的项目负责人应具有绿化养护实际工作三年以上经验，中标人在承包期内，未经采购单位的同意，不得变换项目负责人，如若不能兑现，视同违约处理。</w:t>
      </w:r>
    </w:p>
    <w:p>
      <w:pPr>
        <w:widowControl/>
        <w:autoSpaceDE w:val="0"/>
        <w:autoSpaceDN w:val="0"/>
        <w:adjustRightInd w:val="0"/>
        <w:spacing w:line="460" w:lineRule="atLeast"/>
        <w:ind w:firstLine="440" w:firstLineChars="200"/>
        <w:textAlignment w:val="bottom"/>
        <w:rPr>
          <w:rFonts w:ascii="宋体"/>
          <w:sz w:val="22"/>
        </w:rPr>
      </w:pPr>
      <w:r>
        <w:rPr>
          <w:rFonts w:hint="eastAsia" w:ascii="宋体"/>
          <w:sz w:val="22"/>
          <w:szCs w:val="22"/>
          <w:lang w:val="en-US" w:eastAsia="zh-CN"/>
        </w:rPr>
        <w:t>8</w:t>
      </w:r>
      <w:r>
        <w:rPr>
          <w:rFonts w:hint="eastAsia" w:ascii="宋体"/>
          <w:sz w:val="22"/>
          <w:szCs w:val="22"/>
        </w:rPr>
        <w:t>.</w:t>
      </w:r>
      <w:r>
        <w:rPr>
          <w:rFonts w:hint="eastAsia" w:ascii="宋体"/>
          <w:sz w:val="22"/>
          <w:szCs w:val="22"/>
          <w:lang w:val="en-US" w:eastAsia="zh-CN"/>
        </w:rPr>
        <w:t>2</w:t>
      </w:r>
      <w:r>
        <w:rPr>
          <w:rFonts w:hint="eastAsia" w:ascii="宋体" w:hAnsi="Times New Roman" w:eastAsia="宋体" w:cs="Times New Roman"/>
          <w:b/>
          <w:bCs/>
          <w:sz w:val="22"/>
          <w:u w:val="none"/>
          <w:lang w:val="en-US" w:eastAsia="zh-CN"/>
        </w:rPr>
        <w:t xml:space="preserve"> </w:t>
      </w:r>
      <w:r>
        <w:rPr>
          <w:rFonts w:hint="eastAsia" w:ascii="宋体"/>
          <w:sz w:val="22"/>
        </w:rPr>
        <w:t xml:space="preserve">员工劳动保障 </w:t>
      </w:r>
    </w:p>
    <w:p>
      <w:pPr>
        <w:widowControl/>
        <w:autoSpaceDE w:val="0"/>
        <w:autoSpaceDN w:val="0"/>
        <w:adjustRightInd w:val="0"/>
        <w:spacing w:line="460" w:lineRule="atLeast"/>
        <w:ind w:firstLine="440" w:firstLineChars="200"/>
        <w:textAlignment w:val="bottom"/>
        <w:rPr>
          <w:rFonts w:ascii="宋体"/>
          <w:sz w:val="22"/>
        </w:rPr>
      </w:pPr>
      <w:r>
        <w:rPr>
          <w:rFonts w:hint="eastAsia" w:ascii="宋体"/>
          <w:sz w:val="22"/>
        </w:rPr>
        <w:t>（1）必须与员工签订书面劳动合同，招收人员在主管部门备案。</w:t>
      </w:r>
    </w:p>
    <w:p>
      <w:pPr>
        <w:widowControl/>
        <w:autoSpaceDE w:val="0"/>
        <w:autoSpaceDN w:val="0"/>
        <w:adjustRightInd w:val="0"/>
        <w:spacing w:line="460" w:lineRule="atLeast"/>
        <w:ind w:firstLine="440" w:firstLineChars="200"/>
        <w:textAlignment w:val="bottom"/>
        <w:rPr>
          <w:rFonts w:ascii="宋体"/>
          <w:sz w:val="22"/>
        </w:rPr>
      </w:pPr>
      <w:r>
        <w:rPr>
          <w:rFonts w:hint="eastAsia" w:ascii="宋体"/>
          <w:sz w:val="22"/>
        </w:rPr>
        <w:t>（2）执行《劳动法》、《劳动合同法》有关员工保障的其他规定，由劳动部门查实的，根据查实情况处罚。</w:t>
      </w:r>
    </w:p>
    <w:p>
      <w:pPr>
        <w:widowControl/>
        <w:autoSpaceDE w:val="0"/>
        <w:autoSpaceDN w:val="0"/>
        <w:adjustRightInd w:val="0"/>
        <w:spacing w:line="460" w:lineRule="atLeast"/>
        <w:ind w:firstLine="440" w:firstLineChars="200"/>
        <w:textAlignment w:val="bottom"/>
        <w:rPr>
          <w:rFonts w:ascii="宋体"/>
          <w:sz w:val="22"/>
        </w:rPr>
      </w:pPr>
      <w:r>
        <w:rPr>
          <w:rFonts w:hint="eastAsia" w:ascii="宋体"/>
          <w:sz w:val="22"/>
        </w:rPr>
        <w:t>（3）用工年龄按照国家劳动法律法规相关规定执行。</w:t>
      </w:r>
    </w:p>
    <w:p>
      <w:pPr>
        <w:widowControl/>
        <w:autoSpaceDE w:val="0"/>
        <w:autoSpaceDN w:val="0"/>
        <w:adjustRightInd w:val="0"/>
        <w:spacing w:line="460" w:lineRule="atLeast"/>
        <w:ind w:firstLine="442" w:firstLineChars="200"/>
        <w:jc w:val="left"/>
        <w:textAlignment w:val="bottom"/>
        <w:rPr>
          <w:rFonts w:hint="eastAsia" w:ascii="宋体"/>
          <w:b/>
          <w:bCs/>
          <w:sz w:val="22"/>
          <w:szCs w:val="22"/>
        </w:rPr>
      </w:pPr>
      <w:r>
        <w:rPr>
          <w:rFonts w:hint="eastAsia" w:ascii="宋体"/>
          <w:b/>
          <w:bCs/>
          <w:sz w:val="22"/>
          <w:szCs w:val="22"/>
          <w:lang w:val="en-US" w:eastAsia="zh-CN"/>
        </w:rPr>
        <w:t>9.</w:t>
      </w:r>
      <w:r>
        <w:rPr>
          <w:rFonts w:hint="eastAsia" w:ascii="宋体"/>
          <w:b/>
          <w:bCs/>
          <w:sz w:val="22"/>
          <w:szCs w:val="22"/>
        </w:rPr>
        <w:t>特殊条款</w:t>
      </w:r>
    </w:p>
    <w:p>
      <w:pPr>
        <w:widowControl/>
        <w:autoSpaceDE w:val="0"/>
        <w:autoSpaceDN w:val="0"/>
        <w:adjustRightInd w:val="0"/>
        <w:spacing w:line="460" w:lineRule="atLeast"/>
        <w:ind w:firstLine="440" w:firstLineChars="200"/>
        <w:textAlignment w:val="bottom"/>
        <w:rPr>
          <w:rFonts w:ascii="宋体"/>
          <w:sz w:val="22"/>
        </w:rPr>
      </w:pPr>
      <w:r>
        <w:rPr>
          <w:rFonts w:hint="eastAsia" w:ascii="宋体"/>
          <w:sz w:val="22"/>
          <w:szCs w:val="22"/>
          <w:lang w:val="en-US" w:eastAsia="zh-CN"/>
        </w:rPr>
        <w:t>9</w:t>
      </w:r>
      <w:r>
        <w:rPr>
          <w:rFonts w:hint="eastAsia" w:ascii="宋体"/>
          <w:sz w:val="22"/>
          <w:szCs w:val="22"/>
        </w:rPr>
        <w:t>.</w:t>
      </w:r>
      <w:r>
        <w:rPr>
          <w:rFonts w:hint="eastAsia" w:ascii="宋体"/>
          <w:sz w:val="22"/>
          <w:szCs w:val="22"/>
          <w:lang w:val="en-US" w:eastAsia="zh-CN"/>
        </w:rPr>
        <w:t>1</w:t>
      </w:r>
      <w:r>
        <w:rPr>
          <w:rFonts w:hint="eastAsia" w:ascii="宋体" w:hAnsi="Times New Roman" w:eastAsia="宋体" w:cs="Times New Roman"/>
          <w:b/>
          <w:bCs/>
          <w:sz w:val="22"/>
          <w:u w:val="none"/>
          <w:lang w:val="en-US" w:eastAsia="zh-CN"/>
        </w:rPr>
        <w:t xml:space="preserve"> </w:t>
      </w:r>
      <w:r>
        <w:rPr>
          <w:rFonts w:hint="eastAsia" w:ascii="宋体"/>
          <w:sz w:val="22"/>
        </w:rPr>
        <w:t>绿化养护工作要求及检查验收标准</w:t>
      </w:r>
    </w:p>
    <w:tbl>
      <w:tblPr>
        <w:tblStyle w:val="25"/>
        <w:tblW w:w="928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09"/>
        <w:gridCol w:w="3420"/>
        <w:gridCol w:w="37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2109" w:type="dxa"/>
            <w:vAlign w:val="center"/>
          </w:tcPr>
          <w:p>
            <w:pPr>
              <w:rPr>
                <w:rFonts w:ascii="宋体"/>
                <w:sz w:val="22"/>
                <w:szCs w:val="22"/>
              </w:rPr>
            </w:pPr>
            <w:r>
              <w:rPr>
                <w:rFonts w:hint="eastAsia" w:ascii="宋体"/>
                <w:sz w:val="22"/>
                <w:szCs w:val="22"/>
              </w:rPr>
              <w:t>项目名称</w:t>
            </w:r>
          </w:p>
        </w:tc>
        <w:tc>
          <w:tcPr>
            <w:tcW w:w="3420" w:type="dxa"/>
            <w:vAlign w:val="center"/>
          </w:tcPr>
          <w:p>
            <w:pPr>
              <w:rPr>
                <w:rFonts w:ascii="宋体"/>
                <w:sz w:val="22"/>
                <w:szCs w:val="22"/>
              </w:rPr>
            </w:pPr>
            <w:r>
              <w:rPr>
                <w:rFonts w:hint="eastAsia" w:ascii="宋体"/>
                <w:sz w:val="22"/>
                <w:szCs w:val="22"/>
              </w:rPr>
              <w:t>工作要求</w:t>
            </w:r>
          </w:p>
        </w:tc>
        <w:tc>
          <w:tcPr>
            <w:tcW w:w="3760" w:type="dxa"/>
            <w:vAlign w:val="center"/>
          </w:tcPr>
          <w:p>
            <w:pPr>
              <w:rPr>
                <w:rFonts w:ascii="宋体"/>
                <w:sz w:val="22"/>
                <w:szCs w:val="22"/>
              </w:rPr>
            </w:pPr>
            <w:r>
              <w:rPr>
                <w:rFonts w:hint="eastAsia" w:ascii="宋体"/>
                <w:sz w:val="22"/>
                <w:szCs w:val="22"/>
              </w:rPr>
              <w:t>验收标准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0" w:hRule="atLeast"/>
          <w:jc w:val="center"/>
        </w:trPr>
        <w:tc>
          <w:tcPr>
            <w:tcW w:w="2109" w:type="dxa"/>
            <w:vAlign w:val="center"/>
          </w:tcPr>
          <w:p>
            <w:pPr>
              <w:rPr>
                <w:rFonts w:ascii="宋体"/>
                <w:sz w:val="22"/>
                <w:szCs w:val="22"/>
              </w:rPr>
            </w:pPr>
            <w:r>
              <w:rPr>
                <w:rFonts w:hint="eastAsia" w:ascii="宋体"/>
                <w:sz w:val="22"/>
                <w:szCs w:val="22"/>
              </w:rPr>
              <w:t>浇水以草坪、灌木为主</w:t>
            </w:r>
          </w:p>
        </w:tc>
        <w:tc>
          <w:tcPr>
            <w:tcW w:w="3420" w:type="dxa"/>
            <w:vAlign w:val="center"/>
          </w:tcPr>
          <w:p>
            <w:pPr>
              <w:rPr>
                <w:rFonts w:ascii="宋体"/>
                <w:sz w:val="22"/>
                <w:szCs w:val="22"/>
              </w:rPr>
            </w:pPr>
            <w:r>
              <w:rPr>
                <w:rFonts w:hint="eastAsia" w:ascii="宋体"/>
                <w:sz w:val="22"/>
                <w:szCs w:val="22"/>
              </w:rPr>
              <w:t>具体视天气情况</w:t>
            </w:r>
          </w:p>
        </w:tc>
        <w:tc>
          <w:tcPr>
            <w:tcW w:w="3760" w:type="dxa"/>
            <w:vAlign w:val="center"/>
          </w:tcPr>
          <w:p>
            <w:pPr>
              <w:rPr>
                <w:rFonts w:ascii="宋体"/>
                <w:sz w:val="22"/>
                <w:szCs w:val="22"/>
              </w:rPr>
            </w:pPr>
            <w:r>
              <w:rPr>
                <w:rFonts w:hint="eastAsia" w:ascii="宋体"/>
                <w:sz w:val="22"/>
                <w:szCs w:val="22"/>
              </w:rPr>
              <w:t>保持植物良好长势，不出现枯萎等缺水现象。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jc w:val="center"/>
        </w:trPr>
        <w:tc>
          <w:tcPr>
            <w:tcW w:w="2109" w:type="dxa"/>
            <w:vAlign w:val="center"/>
          </w:tcPr>
          <w:p>
            <w:pPr>
              <w:rPr>
                <w:rFonts w:ascii="宋体"/>
                <w:sz w:val="22"/>
                <w:szCs w:val="22"/>
              </w:rPr>
            </w:pPr>
            <w:r>
              <w:rPr>
                <w:rFonts w:hint="eastAsia" w:ascii="宋体"/>
                <w:sz w:val="22"/>
                <w:szCs w:val="22"/>
              </w:rPr>
              <w:t>施肥</w:t>
            </w:r>
          </w:p>
        </w:tc>
        <w:tc>
          <w:tcPr>
            <w:tcW w:w="3420" w:type="dxa"/>
            <w:vAlign w:val="center"/>
          </w:tcPr>
          <w:p>
            <w:pPr>
              <w:rPr>
                <w:highlight w:val="none"/>
              </w:rPr>
            </w:pPr>
            <w:r>
              <w:rPr>
                <w:rFonts w:hint="eastAsia"/>
                <w:highlight w:val="none"/>
              </w:rPr>
              <w:t>开花植物平均3次/年</w:t>
            </w:r>
          </w:p>
          <w:p>
            <w:pPr>
              <w:pStyle w:val="2"/>
              <w:ind w:left="0" w:firstLine="0" w:firstLineChars="0"/>
            </w:pPr>
            <w:r>
              <w:rPr>
                <w:rFonts w:hint="eastAsia"/>
                <w:sz w:val="21"/>
                <w:szCs w:val="21"/>
                <w:highlight w:val="none"/>
              </w:rPr>
              <w:t>其余植物平均</w:t>
            </w:r>
            <w:r>
              <w:rPr>
                <w:sz w:val="21"/>
                <w:szCs w:val="21"/>
                <w:highlight w:val="none"/>
              </w:rPr>
              <w:t>2</w:t>
            </w:r>
            <w:r>
              <w:rPr>
                <w:rFonts w:hint="eastAsia"/>
                <w:sz w:val="21"/>
                <w:szCs w:val="21"/>
                <w:highlight w:val="none"/>
              </w:rPr>
              <w:t>次/年</w:t>
            </w:r>
          </w:p>
        </w:tc>
        <w:tc>
          <w:tcPr>
            <w:tcW w:w="3760" w:type="dxa"/>
            <w:vAlign w:val="center"/>
          </w:tcPr>
          <w:p>
            <w:pPr>
              <w:rPr>
                <w:rFonts w:ascii="宋体"/>
                <w:sz w:val="22"/>
                <w:szCs w:val="22"/>
              </w:rPr>
            </w:pPr>
            <w:r>
              <w:rPr>
                <w:rFonts w:hint="eastAsia" w:ascii="宋体"/>
                <w:sz w:val="22"/>
                <w:szCs w:val="22"/>
              </w:rPr>
              <w:t>做到施肥均匀、充足、适度，保证绿化植物强壮、枝叶茂盛。</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54" w:hRule="atLeast"/>
          <w:jc w:val="center"/>
        </w:trPr>
        <w:tc>
          <w:tcPr>
            <w:tcW w:w="2109" w:type="dxa"/>
            <w:vAlign w:val="center"/>
          </w:tcPr>
          <w:p>
            <w:pPr>
              <w:rPr>
                <w:rFonts w:ascii="宋体"/>
                <w:sz w:val="22"/>
                <w:szCs w:val="22"/>
              </w:rPr>
            </w:pPr>
            <w:r>
              <w:rPr>
                <w:rFonts w:hint="eastAsia" w:ascii="宋体"/>
                <w:sz w:val="22"/>
                <w:szCs w:val="22"/>
              </w:rPr>
              <w:t>修剪整形</w:t>
            </w:r>
          </w:p>
        </w:tc>
        <w:tc>
          <w:tcPr>
            <w:tcW w:w="3420" w:type="dxa"/>
            <w:vAlign w:val="center"/>
          </w:tcPr>
          <w:p>
            <w:pPr>
              <w:rPr>
                <w:rFonts w:ascii="宋体"/>
                <w:sz w:val="22"/>
                <w:szCs w:val="22"/>
              </w:rPr>
            </w:pPr>
            <w:r>
              <w:rPr>
                <w:rFonts w:hint="eastAsia" w:ascii="宋体"/>
                <w:sz w:val="22"/>
                <w:szCs w:val="22"/>
              </w:rPr>
              <w:t>灌木：6次/年</w:t>
            </w:r>
          </w:p>
          <w:p>
            <w:pPr>
              <w:rPr>
                <w:rFonts w:ascii="宋体"/>
                <w:sz w:val="22"/>
                <w:szCs w:val="22"/>
              </w:rPr>
            </w:pPr>
            <w:r>
              <w:rPr>
                <w:rFonts w:hint="eastAsia" w:ascii="宋体"/>
                <w:sz w:val="22"/>
                <w:szCs w:val="22"/>
              </w:rPr>
              <w:t>（根据长势状况而定）</w:t>
            </w:r>
          </w:p>
          <w:p>
            <w:pPr>
              <w:rPr>
                <w:rFonts w:ascii="宋体"/>
                <w:sz w:val="22"/>
                <w:szCs w:val="22"/>
              </w:rPr>
            </w:pPr>
            <w:r>
              <w:rPr>
                <w:rFonts w:hint="eastAsia" w:ascii="宋体"/>
                <w:sz w:val="22"/>
                <w:szCs w:val="22"/>
              </w:rPr>
              <w:t>乔木：冬季修剪一遍。</w:t>
            </w:r>
          </w:p>
        </w:tc>
        <w:tc>
          <w:tcPr>
            <w:tcW w:w="3760" w:type="dxa"/>
            <w:vAlign w:val="center"/>
          </w:tcPr>
          <w:p>
            <w:pPr>
              <w:rPr>
                <w:rFonts w:ascii="宋体"/>
                <w:sz w:val="22"/>
                <w:szCs w:val="22"/>
              </w:rPr>
            </w:pPr>
            <w:r>
              <w:rPr>
                <w:rFonts w:hint="eastAsia" w:ascii="宋体"/>
                <w:sz w:val="22"/>
                <w:szCs w:val="22"/>
              </w:rPr>
              <w:t>乔、灌木：植物主枝分布均匀，通风透气，造型美观；绿篱整齐一致。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2109" w:type="dxa"/>
            <w:vAlign w:val="center"/>
          </w:tcPr>
          <w:p>
            <w:pPr>
              <w:spacing w:line="460" w:lineRule="atLeast"/>
              <w:rPr>
                <w:rFonts w:ascii="宋体"/>
                <w:sz w:val="22"/>
                <w:szCs w:val="22"/>
              </w:rPr>
            </w:pPr>
            <w:r>
              <w:rPr>
                <w:rFonts w:hint="eastAsia" w:ascii="宋体"/>
                <w:sz w:val="22"/>
                <w:szCs w:val="22"/>
              </w:rPr>
              <w:t>病虫害防治</w:t>
            </w:r>
          </w:p>
        </w:tc>
        <w:tc>
          <w:tcPr>
            <w:tcW w:w="3420" w:type="dxa"/>
            <w:vAlign w:val="center"/>
          </w:tcPr>
          <w:p>
            <w:pPr>
              <w:rPr>
                <w:rFonts w:ascii="宋体"/>
                <w:sz w:val="22"/>
                <w:szCs w:val="22"/>
              </w:rPr>
            </w:pPr>
            <w:r>
              <w:rPr>
                <w:rFonts w:hint="eastAsia" w:ascii="宋体"/>
                <w:sz w:val="22"/>
                <w:szCs w:val="22"/>
              </w:rPr>
              <w:t>草地、灌木、乔木</w:t>
            </w:r>
          </w:p>
        </w:tc>
        <w:tc>
          <w:tcPr>
            <w:tcW w:w="3760" w:type="dxa"/>
            <w:vAlign w:val="center"/>
          </w:tcPr>
          <w:p>
            <w:pPr>
              <w:rPr>
                <w:rFonts w:ascii="宋体"/>
                <w:sz w:val="22"/>
                <w:szCs w:val="22"/>
              </w:rPr>
            </w:pPr>
            <w:r>
              <w:rPr>
                <w:rFonts w:hint="eastAsia" w:ascii="宋体"/>
                <w:sz w:val="22"/>
                <w:szCs w:val="22"/>
              </w:rPr>
              <w:t>及时防治，病株、虫害现象不成灾。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58" w:hRule="atLeast"/>
          <w:jc w:val="center"/>
        </w:trPr>
        <w:tc>
          <w:tcPr>
            <w:tcW w:w="2109" w:type="dxa"/>
            <w:vAlign w:val="center"/>
          </w:tcPr>
          <w:p>
            <w:pPr>
              <w:rPr>
                <w:rFonts w:ascii="宋体"/>
                <w:sz w:val="22"/>
                <w:szCs w:val="22"/>
              </w:rPr>
            </w:pPr>
            <w:r>
              <w:rPr>
                <w:rFonts w:hint="eastAsia" w:ascii="宋体"/>
                <w:sz w:val="22"/>
                <w:szCs w:val="22"/>
              </w:rPr>
              <w:t>除杂草松土</w:t>
            </w:r>
          </w:p>
        </w:tc>
        <w:tc>
          <w:tcPr>
            <w:tcW w:w="3420" w:type="dxa"/>
            <w:vAlign w:val="center"/>
          </w:tcPr>
          <w:p>
            <w:pPr>
              <w:rPr>
                <w:rFonts w:ascii="宋体"/>
                <w:sz w:val="22"/>
                <w:szCs w:val="22"/>
              </w:rPr>
            </w:pPr>
            <w:r>
              <w:rPr>
                <w:rFonts w:hint="eastAsia" w:ascii="宋体"/>
                <w:sz w:val="22"/>
                <w:szCs w:val="22"/>
              </w:rPr>
              <w:t>草坪等除草每月一遍，雨后杂草严重者每周一遍，草坪上不允许有开花杂草，花木丛中不允许有高于花木的杂草</w:t>
            </w:r>
          </w:p>
        </w:tc>
        <w:tc>
          <w:tcPr>
            <w:tcW w:w="3760" w:type="dxa"/>
            <w:vAlign w:val="center"/>
          </w:tcPr>
          <w:p>
            <w:pPr>
              <w:rPr>
                <w:rFonts w:ascii="宋体"/>
                <w:sz w:val="22"/>
                <w:szCs w:val="22"/>
              </w:rPr>
            </w:pPr>
            <w:r>
              <w:rPr>
                <w:rFonts w:hint="eastAsia" w:ascii="宋体"/>
                <w:sz w:val="22"/>
                <w:szCs w:val="22"/>
              </w:rPr>
              <w:t>花丛下无杂草，树盘内无严重杂草。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jc w:val="center"/>
        </w:trPr>
        <w:tc>
          <w:tcPr>
            <w:tcW w:w="2109" w:type="dxa"/>
            <w:vAlign w:val="center"/>
          </w:tcPr>
          <w:p>
            <w:pPr>
              <w:spacing w:line="460" w:lineRule="atLeast"/>
              <w:rPr>
                <w:rFonts w:ascii="宋体"/>
                <w:sz w:val="22"/>
                <w:szCs w:val="22"/>
              </w:rPr>
            </w:pPr>
            <w:r>
              <w:rPr>
                <w:rFonts w:hint="eastAsia" w:ascii="宋体"/>
                <w:sz w:val="22"/>
                <w:szCs w:val="22"/>
              </w:rPr>
              <w:t>补植</w:t>
            </w:r>
          </w:p>
        </w:tc>
        <w:tc>
          <w:tcPr>
            <w:tcW w:w="3420" w:type="dxa"/>
            <w:vAlign w:val="center"/>
          </w:tcPr>
          <w:p>
            <w:pPr>
              <w:rPr>
                <w:rFonts w:ascii="宋体"/>
                <w:sz w:val="22"/>
                <w:szCs w:val="22"/>
              </w:rPr>
            </w:pPr>
            <w:r>
              <w:rPr>
                <w:rFonts w:hint="eastAsia" w:ascii="宋体"/>
                <w:sz w:val="22"/>
                <w:szCs w:val="22"/>
              </w:rPr>
              <w:t>对因生长不良造成的残缺花草、树木必须及时补植恢复。</w:t>
            </w:r>
          </w:p>
        </w:tc>
        <w:tc>
          <w:tcPr>
            <w:tcW w:w="3760" w:type="dxa"/>
            <w:vAlign w:val="center"/>
          </w:tcPr>
          <w:p>
            <w:pPr>
              <w:rPr>
                <w:rFonts w:ascii="宋体"/>
                <w:sz w:val="22"/>
                <w:szCs w:val="22"/>
              </w:rPr>
            </w:pPr>
            <w:r>
              <w:rPr>
                <w:rFonts w:hint="eastAsia" w:ascii="宋体"/>
                <w:sz w:val="22"/>
                <w:szCs w:val="22"/>
              </w:rPr>
              <w:t>能满足植物生长的条件下无黄土裸露；无明显沟缝。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0" w:hRule="atLeast"/>
          <w:jc w:val="center"/>
        </w:trPr>
        <w:tc>
          <w:tcPr>
            <w:tcW w:w="2109" w:type="dxa"/>
            <w:vAlign w:val="center"/>
          </w:tcPr>
          <w:p>
            <w:pPr>
              <w:rPr>
                <w:rFonts w:ascii="宋体"/>
                <w:sz w:val="22"/>
                <w:szCs w:val="22"/>
              </w:rPr>
            </w:pPr>
            <w:r>
              <w:rPr>
                <w:rFonts w:hint="eastAsia" w:ascii="宋体"/>
                <w:sz w:val="22"/>
                <w:szCs w:val="22"/>
              </w:rPr>
              <w:t>清理绿化垃圾</w:t>
            </w:r>
          </w:p>
        </w:tc>
        <w:tc>
          <w:tcPr>
            <w:tcW w:w="3420" w:type="dxa"/>
            <w:vAlign w:val="center"/>
          </w:tcPr>
          <w:p>
            <w:pPr>
              <w:rPr>
                <w:rFonts w:ascii="宋体"/>
                <w:sz w:val="22"/>
                <w:szCs w:val="22"/>
              </w:rPr>
            </w:pPr>
            <w:r>
              <w:rPr>
                <w:rFonts w:hint="eastAsia" w:ascii="宋体"/>
                <w:sz w:val="22"/>
                <w:szCs w:val="22"/>
              </w:rPr>
              <w:t>修剪下来的树枝和杂草等垃圾要当天清运，不准就地焚烧。</w:t>
            </w:r>
          </w:p>
        </w:tc>
        <w:tc>
          <w:tcPr>
            <w:tcW w:w="3760" w:type="dxa"/>
            <w:vAlign w:val="center"/>
          </w:tcPr>
          <w:p>
            <w:pPr>
              <w:rPr>
                <w:rFonts w:ascii="宋体"/>
                <w:sz w:val="22"/>
                <w:szCs w:val="22"/>
              </w:rPr>
            </w:pPr>
            <w:r>
              <w:rPr>
                <w:rFonts w:hint="eastAsia" w:ascii="宋体"/>
                <w:sz w:val="22"/>
                <w:szCs w:val="22"/>
              </w:rPr>
              <w:t>有专人跟踪保洁。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0" w:hRule="atLeast"/>
          <w:jc w:val="center"/>
        </w:trPr>
        <w:tc>
          <w:tcPr>
            <w:tcW w:w="2109" w:type="dxa"/>
            <w:vAlign w:val="center"/>
          </w:tcPr>
          <w:p>
            <w:pPr>
              <w:rPr>
                <w:rFonts w:ascii="宋体"/>
                <w:sz w:val="22"/>
                <w:szCs w:val="22"/>
              </w:rPr>
            </w:pPr>
            <w:r>
              <w:rPr>
                <w:rFonts w:hint="eastAsia" w:ascii="宋体"/>
                <w:sz w:val="22"/>
                <w:szCs w:val="22"/>
              </w:rPr>
              <w:t>防风防汛</w:t>
            </w:r>
          </w:p>
        </w:tc>
        <w:tc>
          <w:tcPr>
            <w:tcW w:w="3420" w:type="dxa"/>
            <w:vAlign w:val="center"/>
          </w:tcPr>
          <w:p>
            <w:pPr>
              <w:rPr>
                <w:rFonts w:ascii="宋体"/>
                <w:sz w:val="22"/>
                <w:szCs w:val="22"/>
              </w:rPr>
            </w:pPr>
            <w:r>
              <w:rPr>
                <w:rFonts w:hint="eastAsia" w:ascii="宋体"/>
                <w:sz w:val="22"/>
                <w:szCs w:val="22"/>
              </w:rPr>
              <w:t>灾前积极预防，对树木加固，灾后及时清除倒树断枝、疏通道路，清理扶植。</w:t>
            </w:r>
          </w:p>
        </w:tc>
        <w:tc>
          <w:tcPr>
            <w:tcW w:w="3760" w:type="dxa"/>
            <w:vAlign w:val="center"/>
          </w:tcPr>
          <w:p>
            <w:pPr>
              <w:rPr>
                <w:rFonts w:ascii="宋体"/>
                <w:sz w:val="22"/>
                <w:szCs w:val="22"/>
              </w:rPr>
            </w:pPr>
            <w:r>
              <w:rPr>
                <w:rFonts w:hint="eastAsia" w:ascii="宋体"/>
                <w:sz w:val="22"/>
                <w:szCs w:val="22"/>
              </w:rPr>
              <w:t>尽快恢复原状、以免影响交通人流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2109" w:type="dxa"/>
            <w:vAlign w:val="center"/>
          </w:tcPr>
          <w:p>
            <w:pPr>
              <w:rPr>
                <w:rFonts w:ascii="宋体"/>
                <w:sz w:val="22"/>
                <w:szCs w:val="22"/>
              </w:rPr>
            </w:pPr>
            <w:r>
              <w:rPr>
                <w:rFonts w:hint="eastAsia" w:ascii="宋体"/>
                <w:sz w:val="22"/>
                <w:szCs w:val="22"/>
              </w:rPr>
              <w:t>保护措施</w:t>
            </w:r>
          </w:p>
        </w:tc>
        <w:tc>
          <w:tcPr>
            <w:tcW w:w="3420" w:type="dxa"/>
            <w:vAlign w:val="center"/>
          </w:tcPr>
          <w:p>
            <w:pPr>
              <w:rPr>
                <w:rFonts w:ascii="宋体"/>
                <w:sz w:val="22"/>
                <w:szCs w:val="22"/>
              </w:rPr>
            </w:pPr>
            <w:r>
              <w:rPr>
                <w:rFonts w:hint="eastAsia" w:ascii="宋体"/>
                <w:sz w:val="22"/>
                <w:szCs w:val="22"/>
              </w:rPr>
              <w:t>保护现有绿化完整，防止人为损坏。</w:t>
            </w:r>
          </w:p>
        </w:tc>
        <w:tc>
          <w:tcPr>
            <w:tcW w:w="3760" w:type="dxa"/>
            <w:vAlign w:val="center"/>
          </w:tcPr>
          <w:p>
            <w:pPr>
              <w:rPr>
                <w:rFonts w:ascii="宋体"/>
                <w:sz w:val="22"/>
                <w:szCs w:val="22"/>
              </w:rPr>
            </w:pPr>
            <w:r>
              <w:rPr>
                <w:rFonts w:hint="eastAsia" w:ascii="宋体"/>
                <w:sz w:val="22"/>
                <w:szCs w:val="22"/>
              </w:rPr>
              <w:t>出现人为损坏时要及时恢复</w:t>
            </w:r>
          </w:p>
        </w:tc>
      </w:tr>
    </w:tbl>
    <w:p/>
    <w:p>
      <w:pPr>
        <w:pStyle w:val="2"/>
        <w:keepNext w:val="0"/>
        <w:keepLines w:val="0"/>
        <w:pageBreakBefore w:val="0"/>
        <w:kinsoku/>
        <w:wordWrap/>
        <w:overflowPunct/>
        <w:topLinePunct w:val="0"/>
        <w:bidi w:val="0"/>
        <w:snapToGrid/>
        <w:spacing w:line="400" w:lineRule="exact"/>
        <w:ind w:left="0" w:leftChars="0" w:firstLine="220" w:firstLineChars="100"/>
        <w:jc w:val="left"/>
        <w:rPr>
          <w:rFonts w:hint="eastAsia" w:eastAsia="宋体"/>
          <w:bCs/>
          <w:color w:val="000000" w:themeColor="text1"/>
          <w:sz w:val="22"/>
          <w:szCs w:val="22"/>
          <w:lang w:eastAsia="zh-CN"/>
          <w14:textFill>
            <w14:solidFill>
              <w14:schemeClr w14:val="tx1"/>
            </w14:solidFill>
          </w14:textFill>
        </w:rPr>
      </w:pPr>
      <w:r>
        <w:rPr>
          <w:rFonts w:hint="eastAsia"/>
          <w:bCs/>
          <w:color w:val="000000" w:themeColor="text1"/>
          <w:sz w:val="22"/>
          <w:szCs w:val="22"/>
          <w14:textFill>
            <w14:solidFill>
              <w14:schemeClr w14:val="tx1"/>
            </w14:solidFill>
          </w14:textFill>
        </w:rPr>
        <w:t>附件：永嘉县</w:t>
      </w:r>
      <w:r>
        <w:rPr>
          <w:rFonts w:hint="eastAsia"/>
          <w:bCs/>
          <w:color w:val="000000" w:themeColor="text1"/>
          <w:sz w:val="22"/>
          <w:szCs w:val="22"/>
          <w:lang w:eastAsia="zh-CN"/>
          <w14:textFill>
            <w14:solidFill>
              <w14:schemeClr w14:val="tx1"/>
            </w14:solidFill>
          </w14:textFill>
        </w:rPr>
        <w:t>上塘</w:t>
      </w:r>
      <w:r>
        <w:rPr>
          <w:rFonts w:hint="eastAsia"/>
          <w:bCs/>
          <w:color w:val="000000" w:themeColor="text1"/>
          <w:sz w:val="22"/>
          <w:szCs w:val="22"/>
          <w14:textFill>
            <w14:solidFill>
              <w14:schemeClr w14:val="tx1"/>
            </w14:solidFill>
          </w14:textFill>
        </w:rPr>
        <w:t>城镇园林绿化养护管理标准</w:t>
      </w:r>
    </w:p>
    <w:p>
      <w:pPr>
        <w:pStyle w:val="2"/>
        <w:spacing w:line="400" w:lineRule="exact"/>
        <w:ind w:firstLine="220" w:firstLineChars="100"/>
        <w:jc w:val="left"/>
        <w:rPr>
          <w:rFonts w:ascii="宋体"/>
          <w:b/>
          <w:sz w:val="22"/>
        </w:rPr>
      </w:pPr>
      <w:r>
        <w:rPr>
          <w:rFonts w:hint="eastAsia"/>
          <w:bCs/>
          <w:color w:val="000000" w:themeColor="text1"/>
          <w:sz w:val="22"/>
          <w:szCs w:val="22"/>
          <w14:textFill>
            <w14:solidFill>
              <w14:schemeClr w14:val="tx1"/>
            </w14:solidFill>
          </w14:textFill>
        </w:rPr>
        <w:t>附件：《园林绿化养护考核办法》</w:t>
      </w:r>
    </w:p>
    <w:p>
      <w:pPr>
        <w:widowControl/>
        <w:autoSpaceDE w:val="0"/>
        <w:autoSpaceDN w:val="0"/>
        <w:adjustRightInd w:val="0"/>
        <w:spacing w:line="460" w:lineRule="atLeast"/>
        <w:textAlignment w:val="bottom"/>
        <w:rPr>
          <w:rFonts w:ascii="宋体"/>
          <w:b/>
          <w:sz w:val="22"/>
        </w:rPr>
      </w:pPr>
    </w:p>
    <w:p>
      <w:pPr>
        <w:widowControl/>
        <w:autoSpaceDE w:val="0"/>
        <w:autoSpaceDN w:val="0"/>
        <w:adjustRightInd w:val="0"/>
        <w:spacing w:line="460" w:lineRule="atLeast"/>
        <w:textAlignment w:val="bottom"/>
        <w:rPr>
          <w:rFonts w:hint="eastAsia" w:ascii="宋体"/>
          <w:b/>
          <w:sz w:val="28"/>
          <w:szCs w:val="24"/>
          <w:lang w:val="en-US" w:eastAsia="zh-CN"/>
        </w:rPr>
      </w:pPr>
    </w:p>
    <w:p>
      <w:pPr>
        <w:widowControl/>
        <w:autoSpaceDE w:val="0"/>
        <w:autoSpaceDN w:val="0"/>
        <w:adjustRightInd w:val="0"/>
        <w:spacing w:line="460" w:lineRule="atLeast"/>
        <w:textAlignment w:val="bottom"/>
        <w:rPr>
          <w:rFonts w:hint="eastAsia" w:ascii="宋体"/>
          <w:b/>
          <w:sz w:val="28"/>
          <w:szCs w:val="24"/>
          <w:lang w:val="en-US" w:eastAsia="zh-CN"/>
        </w:rPr>
      </w:pPr>
    </w:p>
    <w:p>
      <w:pPr>
        <w:widowControl/>
        <w:autoSpaceDE w:val="0"/>
        <w:autoSpaceDN w:val="0"/>
        <w:adjustRightInd w:val="0"/>
        <w:spacing w:line="460" w:lineRule="atLeast"/>
        <w:textAlignment w:val="bottom"/>
        <w:rPr>
          <w:rFonts w:hint="eastAsia" w:ascii="宋体"/>
          <w:b/>
          <w:sz w:val="28"/>
          <w:szCs w:val="24"/>
          <w:lang w:val="en-US" w:eastAsia="zh-CN"/>
        </w:rPr>
      </w:pPr>
    </w:p>
    <w:p>
      <w:pPr>
        <w:widowControl/>
        <w:autoSpaceDE w:val="0"/>
        <w:autoSpaceDN w:val="0"/>
        <w:adjustRightInd w:val="0"/>
        <w:spacing w:line="460" w:lineRule="atLeast"/>
        <w:textAlignment w:val="bottom"/>
        <w:rPr>
          <w:rFonts w:hint="eastAsia" w:ascii="宋体"/>
          <w:b/>
          <w:sz w:val="28"/>
          <w:szCs w:val="24"/>
          <w:lang w:val="en-US" w:eastAsia="zh-CN"/>
        </w:rPr>
      </w:pPr>
    </w:p>
    <w:p>
      <w:pPr>
        <w:widowControl/>
        <w:autoSpaceDE w:val="0"/>
        <w:autoSpaceDN w:val="0"/>
        <w:adjustRightInd w:val="0"/>
        <w:spacing w:line="460" w:lineRule="atLeast"/>
        <w:textAlignment w:val="bottom"/>
        <w:rPr>
          <w:rFonts w:hint="eastAsia" w:ascii="宋体"/>
          <w:b/>
          <w:sz w:val="28"/>
          <w:szCs w:val="24"/>
          <w:lang w:val="en-US" w:eastAsia="zh-CN"/>
        </w:rPr>
      </w:pPr>
    </w:p>
    <w:p>
      <w:pPr>
        <w:widowControl/>
        <w:autoSpaceDE w:val="0"/>
        <w:autoSpaceDN w:val="0"/>
        <w:adjustRightInd w:val="0"/>
        <w:spacing w:line="460" w:lineRule="atLeast"/>
        <w:textAlignment w:val="bottom"/>
        <w:rPr>
          <w:rFonts w:hint="eastAsia" w:ascii="宋体"/>
          <w:b/>
          <w:sz w:val="28"/>
          <w:szCs w:val="24"/>
          <w:lang w:val="en-US" w:eastAsia="zh-CN"/>
        </w:rPr>
      </w:pPr>
    </w:p>
    <w:p>
      <w:pPr>
        <w:widowControl/>
        <w:autoSpaceDE w:val="0"/>
        <w:autoSpaceDN w:val="0"/>
        <w:adjustRightInd w:val="0"/>
        <w:spacing w:line="460" w:lineRule="atLeast"/>
        <w:textAlignment w:val="bottom"/>
        <w:rPr>
          <w:rFonts w:hint="eastAsia" w:ascii="宋体"/>
          <w:b/>
          <w:sz w:val="28"/>
          <w:szCs w:val="24"/>
          <w:lang w:val="en-US" w:eastAsia="zh-CN"/>
        </w:rPr>
      </w:pPr>
    </w:p>
    <w:p>
      <w:pPr>
        <w:widowControl/>
        <w:autoSpaceDE w:val="0"/>
        <w:autoSpaceDN w:val="0"/>
        <w:adjustRightInd w:val="0"/>
        <w:spacing w:line="460" w:lineRule="atLeast"/>
        <w:textAlignment w:val="bottom"/>
        <w:rPr>
          <w:rFonts w:hint="eastAsia" w:ascii="宋体"/>
          <w:b/>
          <w:sz w:val="28"/>
          <w:szCs w:val="24"/>
          <w:lang w:val="en-US" w:eastAsia="zh-CN"/>
        </w:rPr>
      </w:pPr>
    </w:p>
    <w:p>
      <w:pPr>
        <w:widowControl/>
        <w:autoSpaceDE w:val="0"/>
        <w:autoSpaceDN w:val="0"/>
        <w:adjustRightInd w:val="0"/>
        <w:spacing w:line="460" w:lineRule="atLeast"/>
        <w:textAlignment w:val="bottom"/>
        <w:rPr>
          <w:rFonts w:hint="eastAsia" w:ascii="宋体"/>
          <w:b/>
          <w:sz w:val="28"/>
          <w:szCs w:val="24"/>
          <w:lang w:val="en-US" w:eastAsia="zh-CN"/>
        </w:rPr>
      </w:pPr>
    </w:p>
    <w:p>
      <w:pPr>
        <w:widowControl/>
        <w:autoSpaceDE w:val="0"/>
        <w:autoSpaceDN w:val="0"/>
        <w:adjustRightInd w:val="0"/>
        <w:spacing w:line="460" w:lineRule="atLeast"/>
        <w:textAlignment w:val="bottom"/>
        <w:rPr>
          <w:rFonts w:hint="eastAsia" w:ascii="宋体"/>
          <w:b/>
          <w:sz w:val="28"/>
          <w:szCs w:val="24"/>
          <w:lang w:val="en-US" w:eastAsia="zh-CN"/>
        </w:rPr>
      </w:pPr>
    </w:p>
    <w:p>
      <w:pPr>
        <w:widowControl/>
        <w:autoSpaceDE w:val="0"/>
        <w:autoSpaceDN w:val="0"/>
        <w:adjustRightInd w:val="0"/>
        <w:spacing w:line="460" w:lineRule="atLeast"/>
        <w:textAlignment w:val="bottom"/>
        <w:rPr>
          <w:rFonts w:hint="eastAsia" w:ascii="宋体" w:eastAsia="宋体"/>
          <w:b/>
          <w:sz w:val="28"/>
          <w:szCs w:val="24"/>
          <w:lang w:val="en-US" w:eastAsia="zh-CN"/>
        </w:rPr>
      </w:pPr>
      <w:r>
        <w:rPr>
          <w:rFonts w:hint="eastAsia" w:ascii="宋体"/>
          <w:b/>
          <w:sz w:val="28"/>
          <w:szCs w:val="24"/>
          <w:lang w:val="en-US" w:eastAsia="zh-CN"/>
        </w:rPr>
        <w:t>附件</w:t>
      </w:r>
    </w:p>
    <w:p>
      <w:pPr>
        <w:pStyle w:val="5"/>
        <w:jc w:val="left"/>
        <w:rPr>
          <w:rFonts w:ascii="宋体" w:hAnsi="宋体" w:eastAsia="宋体" w:cs="宋体"/>
          <w:b/>
          <w:bCs/>
          <w:sz w:val="28"/>
          <w:szCs w:val="28"/>
        </w:rPr>
      </w:pPr>
      <w:r>
        <w:rPr>
          <w:rFonts w:hint="eastAsia" w:ascii="宋体"/>
          <w:sz w:val="22"/>
        </w:rPr>
        <w:t xml:space="preserve">                      </w:t>
      </w:r>
      <w:r>
        <w:rPr>
          <w:rFonts w:hint="eastAsia" w:ascii="宋体" w:hAnsi="宋体" w:eastAsia="宋体" w:cs="宋体"/>
          <w:b/>
          <w:bCs/>
          <w:sz w:val="28"/>
          <w:szCs w:val="28"/>
        </w:rPr>
        <w:t>永嘉县</w:t>
      </w:r>
      <w:r>
        <w:rPr>
          <w:rFonts w:hint="eastAsia" w:ascii="宋体" w:hAnsi="宋体" w:eastAsia="宋体" w:cs="宋体"/>
          <w:b/>
          <w:bCs/>
          <w:sz w:val="28"/>
          <w:szCs w:val="28"/>
          <w:lang w:eastAsia="zh-CN"/>
        </w:rPr>
        <w:t>上塘城区</w:t>
      </w:r>
      <w:r>
        <w:rPr>
          <w:rFonts w:hint="eastAsia" w:ascii="宋体" w:hAnsi="宋体" w:eastAsia="宋体" w:cs="宋体"/>
          <w:b/>
          <w:bCs/>
          <w:sz w:val="28"/>
          <w:szCs w:val="28"/>
        </w:rPr>
        <w:t>园林绿化养护管理标准</w:t>
      </w:r>
    </w:p>
    <w:p>
      <w:pPr>
        <w:spacing w:line="400" w:lineRule="exact"/>
        <w:jc w:val="center"/>
        <w:rPr>
          <w:rFonts w:ascii="宋体" w:hAnsi="宋体" w:cs="宋体"/>
        </w:rPr>
      </w:pPr>
      <w:r>
        <w:rPr>
          <w:rFonts w:hint="eastAsia" w:ascii="宋体" w:hAnsi="宋体" w:cs="宋体"/>
          <w:sz w:val="32"/>
          <w:szCs w:val="32"/>
        </w:rPr>
        <w:t xml:space="preserve">  </w:t>
      </w:r>
      <w:r>
        <w:rPr>
          <w:rFonts w:hint="eastAsia" w:ascii="宋体" w:hAnsi="宋体" w:cs="宋体"/>
        </w:rPr>
        <w:t>第一章   总则</w:t>
      </w:r>
    </w:p>
    <w:p>
      <w:pPr>
        <w:spacing w:line="400" w:lineRule="exact"/>
        <w:ind w:firstLine="431" w:firstLineChars="196"/>
        <w:rPr>
          <w:rFonts w:ascii="宋体" w:hAnsi="宋体" w:cs="宋体"/>
          <w:sz w:val="22"/>
          <w:szCs w:val="22"/>
        </w:rPr>
      </w:pPr>
      <w:r>
        <w:rPr>
          <w:rFonts w:hint="eastAsia" w:ascii="宋体" w:hAnsi="宋体" w:cs="宋体"/>
          <w:sz w:val="22"/>
          <w:szCs w:val="22"/>
        </w:rPr>
        <w:t>1.1本标准按园林绿地的组成元素进行编写，涵盖园林绿化养护中有关乔木、行道树、绿篱、草坪、草地、地被植物、花境、花坛、立体绿化、水生植物、古树名木、水体及喷泉、园林设施等元素。按照不同绿地等级对应的养护质量标准要求，特制定四个绿地养护等级标准，其中I级为养护质量最高标准，IV级为养护质量最低标准（植物生长良好，无明显脏乱差）。</w:t>
      </w:r>
    </w:p>
    <w:p>
      <w:pPr>
        <w:spacing w:line="400" w:lineRule="exact"/>
        <w:ind w:firstLine="431" w:firstLineChars="196"/>
        <w:rPr>
          <w:rFonts w:ascii="宋体" w:hAnsi="宋体" w:cs="宋体"/>
          <w:sz w:val="22"/>
          <w:szCs w:val="22"/>
        </w:rPr>
      </w:pPr>
      <w:r>
        <w:rPr>
          <w:rFonts w:hint="eastAsia" w:ascii="宋体" w:hAnsi="宋体" w:cs="宋体"/>
          <w:sz w:val="22"/>
          <w:szCs w:val="22"/>
        </w:rPr>
        <w:t>1.2 本标准适用于全县各类城镇园林绿地。</w:t>
      </w:r>
    </w:p>
    <w:p>
      <w:pPr>
        <w:spacing w:line="400" w:lineRule="exact"/>
        <w:jc w:val="center"/>
        <w:rPr>
          <w:rFonts w:ascii="宋体" w:hAnsi="宋体" w:cs="宋体"/>
          <w:sz w:val="22"/>
          <w:szCs w:val="22"/>
        </w:rPr>
      </w:pPr>
      <w:r>
        <w:rPr>
          <w:rFonts w:hint="eastAsia" w:ascii="宋体" w:hAnsi="宋体" w:cs="宋体"/>
          <w:sz w:val="22"/>
          <w:szCs w:val="22"/>
        </w:rPr>
        <w:t>第二章   术语</w:t>
      </w:r>
    </w:p>
    <w:p>
      <w:pPr>
        <w:spacing w:line="400" w:lineRule="exact"/>
        <w:ind w:firstLine="431" w:firstLineChars="196"/>
        <w:rPr>
          <w:rFonts w:ascii="宋体" w:hAnsi="宋体" w:cs="宋体"/>
          <w:sz w:val="22"/>
          <w:szCs w:val="22"/>
        </w:rPr>
      </w:pPr>
      <w:r>
        <w:rPr>
          <w:rFonts w:hint="eastAsia" w:ascii="宋体" w:hAnsi="宋体" w:cs="宋体"/>
          <w:sz w:val="22"/>
          <w:szCs w:val="22"/>
        </w:rPr>
        <w:t>2.1 乔木：指树身高大的树木，由根部发生独立的主干，树干和树冠有明显区分。</w:t>
      </w:r>
    </w:p>
    <w:p>
      <w:pPr>
        <w:spacing w:line="400" w:lineRule="exact"/>
        <w:ind w:firstLine="431" w:firstLineChars="196"/>
        <w:rPr>
          <w:rFonts w:ascii="宋体" w:hAnsi="宋体" w:cs="宋体"/>
          <w:sz w:val="22"/>
          <w:szCs w:val="22"/>
        </w:rPr>
      </w:pPr>
      <w:r>
        <w:rPr>
          <w:rFonts w:hint="eastAsia" w:ascii="宋体" w:hAnsi="宋体" w:cs="宋体"/>
          <w:sz w:val="22"/>
          <w:szCs w:val="22"/>
        </w:rPr>
        <w:t>2.2 行道树：道路两旁的树木，常成行栽植，排列整齐，规格统一，株间有一定距离，具有遮荫、防尘、护路、美化街景的功能。</w:t>
      </w:r>
    </w:p>
    <w:p>
      <w:pPr>
        <w:spacing w:line="400" w:lineRule="exact"/>
        <w:ind w:firstLine="431" w:firstLineChars="196"/>
        <w:rPr>
          <w:rFonts w:ascii="宋体" w:hAnsi="宋体" w:cs="宋体"/>
          <w:sz w:val="22"/>
          <w:szCs w:val="22"/>
        </w:rPr>
      </w:pPr>
      <w:r>
        <w:rPr>
          <w:rFonts w:hint="eastAsia" w:ascii="宋体" w:hAnsi="宋体" w:cs="宋体"/>
          <w:sz w:val="22"/>
          <w:szCs w:val="22"/>
        </w:rPr>
        <w:t>2.3 净空高度：树冠下面枝条离地面的垂直距离。</w:t>
      </w:r>
    </w:p>
    <w:p>
      <w:pPr>
        <w:spacing w:line="400" w:lineRule="exact"/>
        <w:ind w:firstLine="431" w:firstLineChars="196"/>
        <w:rPr>
          <w:rFonts w:ascii="宋体" w:hAnsi="宋体" w:cs="宋体"/>
          <w:sz w:val="22"/>
          <w:szCs w:val="22"/>
        </w:rPr>
      </w:pPr>
      <w:r>
        <w:rPr>
          <w:rFonts w:hint="eastAsia" w:ascii="宋体" w:hAnsi="宋体" w:cs="宋体"/>
          <w:sz w:val="22"/>
          <w:szCs w:val="22"/>
        </w:rPr>
        <w:t>2.4 绿篱：由灌木或小乔木单行或多行规则种植成带状或墙状，可整形修剪或自然生长。可代替篱笆、栏杆和墙垣，具有分隔、防护或装饰作用。根据植物性状不同，分为花篱、刺篱、果篱等。</w:t>
      </w:r>
    </w:p>
    <w:p>
      <w:pPr>
        <w:spacing w:line="400" w:lineRule="exact"/>
        <w:ind w:firstLine="431" w:firstLineChars="196"/>
        <w:rPr>
          <w:rFonts w:ascii="宋体" w:hAnsi="宋体" w:cs="宋体"/>
          <w:sz w:val="22"/>
          <w:szCs w:val="22"/>
        </w:rPr>
      </w:pPr>
      <w:r>
        <w:rPr>
          <w:rFonts w:hint="eastAsia" w:ascii="宋体" w:hAnsi="宋体" w:cs="宋体"/>
          <w:sz w:val="22"/>
          <w:szCs w:val="22"/>
        </w:rPr>
        <w:t>2.5 花灌木：指观花为主的灌木类植物。造型多样，观赏效果佳。</w:t>
      </w:r>
    </w:p>
    <w:p>
      <w:pPr>
        <w:spacing w:line="400" w:lineRule="exact"/>
        <w:ind w:firstLine="431" w:firstLineChars="196"/>
        <w:rPr>
          <w:rFonts w:ascii="宋体" w:hAnsi="宋体" w:cs="宋体"/>
          <w:sz w:val="22"/>
          <w:szCs w:val="22"/>
        </w:rPr>
      </w:pPr>
      <w:r>
        <w:rPr>
          <w:rFonts w:hint="eastAsia" w:ascii="宋体" w:hAnsi="宋体" w:cs="宋体"/>
          <w:sz w:val="22"/>
          <w:szCs w:val="22"/>
        </w:rPr>
        <w:t>2.6 草坪：用以覆盖地表的低矮草层。大多选用质地纤细，耐践踏的禾本科植物，仅少数是莎草科、豆科或其它科植物。需定期轧剪。</w:t>
      </w:r>
    </w:p>
    <w:p>
      <w:pPr>
        <w:spacing w:line="400" w:lineRule="exact"/>
        <w:ind w:firstLine="431" w:firstLineChars="196"/>
        <w:rPr>
          <w:rFonts w:ascii="宋体" w:hAnsi="宋体" w:cs="宋体"/>
          <w:sz w:val="22"/>
          <w:szCs w:val="22"/>
        </w:rPr>
      </w:pPr>
      <w:r>
        <w:rPr>
          <w:rFonts w:hint="eastAsia" w:ascii="宋体" w:hAnsi="宋体" w:cs="宋体"/>
          <w:sz w:val="22"/>
          <w:szCs w:val="22"/>
        </w:rPr>
        <w:t>2.7 草地：低矮草层，包括混植各种花卉的缀花草地，一般不进行轧剪的。</w:t>
      </w:r>
    </w:p>
    <w:p>
      <w:pPr>
        <w:spacing w:line="400" w:lineRule="exact"/>
        <w:ind w:firstLine="431" w:firstLineChars="196"/>
        <w:rPr>
          <w:rFonts w:ascii="宋体" w:hAnsi="宋体" w:cs="宋体"/>
          <w:sz w:val="22"/>
          <w:szCs w:val="22"/>
        </w:rPr>
      </w:pPr>
      <w:r>
        <w:rPr>
          <w:rFonts w:hint="eastAsia" w:ascii="宋体" w:hAnsi="宋体" w:cs="宋体"/>
          <w:sz w:val="22"/>
          <w:szCs w:val="22"/>
        </w:rPr>
        <w:t>2.8 地被植物：植株低矮、枝叶密集，具有较强扩展能力，能覆盖裸露平地或坡地的植物。可单植也可混植。</w:t>
      </w:r>
    </w:p>
    <w:p>
      <w:pPr>
        <w:spacing w:line="400" w:lineRule="exact"/>
        <w:ind w:firstLine="431" w:firstLineChars="196"/>
        <w:rPr>
          <w:rFonts w:ascii="宋体" w:hAnsi="宋体" w:cs="宋体"/>
          <w:sz w:val="22"/>
          <w:szCs w:val="22"/>
        </w:rPr>
      </w:pPr>
      <w:r>
        <w:rPr>
          <w:rFonts w:hint="eastAsia" w:ascii="宋体" w:hAnsi="宋体" w:cs="宋体"/>
          <w:sz w:val="22"/>
          <w:szCs w:val="22"/>
        </w:rPr>
        <w:t>2.9 花境：以宿根花卉为主，间有灌木、花卉、观赏草的带状或自然块状布置形式。大多位于树林、树丛、草坪、道路、建筑等边缘，以自然式种植为主，具有季相变化和立面效果。</w:t>
      </w:r>
    </w:p>
    <w:p>
      <w:pPr>
        <w:spacing w:line="400" w:lineRule="exact"/>
        <w:ind w:firstLine="431" w:firstLineChars="196"/>
        <w:rPr>
          <w:rFonts w:ascii="宋体" w:hAnsi="宋体" w:cs="宋体"/>
          <w:sz w:val="22"/>
          <w:szCs w:val="22"/>
        </w:rPr>
      </w:pPr>
      <w:r>
        <w:rPr>
          <w:rFonts w:hint="eastAsia" w:ascii="宋体" w:hAnsi="宋体" w:cs="宋体"/>
          <w:sz w:val="22"/>
          <w:szCs w:val="22"/>
        </w:rPr>
        <w:t>2.10 花坛：以一、二年生花卉为主，或可有其他宿根木本花卉和温室花卉等，种植成规则或不规则的、群体的、平面图案精细的、具美观效果的布置形式。</w:t>
      </w:r>
    </w:p>
    <w:p>
      <w:pPr>
        <w:spacing w:line="400" w:lineRule="exact"/>
        <w:ind w:firstLine="431" w:firstLineChars="196"/>
        <w:rPr>
          <w:rFonts w:ascii="宋体" w:hAnsi="宋体" w:cs="宋体"/>
          <w:sz w:val="22"/>
          <w:szCs w:val="22"/>
        </w:rPr>
      </w:pPr>
      <w:r>
        <w:rPr>
          <w:rFonts w:hint="eastAsia" w:ascii="宋体" w:hAnsi="宋体" w:cs="宋体"/>
          <w:sz w:val="22"/>
          <w:szCs w:val="22"/>
        </w:rPr>
        <w:t>2.11 切边：为阻隔两种不同植物生长带来相互影响所采取的养护措施，有时也可采用插片等其他措施。</w:t>
      </w:r>
    </w:p>
    <w:p>
      <w:pPr>
        <w:spacing w:line="400" w:lineRule="exact"/>
        <w:ind w:firstLine="431" w:firstLineChars="196"/>
        <w:rPr>
          <w:rFonts w:ascii="宋体" w:hAnsi="宋体" w:cs="宋体"/>
          <w:sz w:val="22"/>
          <w:szCs w:val="22"/>
        </w:rPr>
      </w:pPr>
      <w:r>
        <w:rPr>
          <w:rFonts w:hint="eastAsia" w:ascii="宋体" w:hAnsi="宋体" w:cs="宋体"/>
          <w:sz w:val="22"/>
          <w:szCs w:val="22"/>
        </w:rPr>
        <w:t>2.12 立体绿化（垂直绿化）：利用除地面资源以外的其他空间资源进行绿化的方式。</w:t>
      </w:r>
    </w:p>
    <w:p>
      <w:pPr>
        <w:spacing w:line="400" w:lineRule="exact"/>
        <w:ind w:firstLine="431" w:firstLineChars="196"/>
        <w:rPr>
          <w:rFonts w:ascii="宋体" w:hAnsi="宋体" w:cs="宋体"/>
          <w:sz w:val="22"/>
          <w:szCs w:val="22"/>
        </w:rPr>
      </w:pPr>
      <w:r>
        <w:rPr>
          <w:rFonts w:hint="eastAsia" w:ascii="宋体" w:hAnsi="宋体" w:cs="宋体"/>
          <w:sz w:val="22"/>
          <w:szCs w:val="22"/>
        </w:rPr>
        <w:t>2.13 绿化植物有害生物：指对园林绿化植物的生长、生存造成危害，影响园林绿化景观面貌的动物、植物及微生物。</w:t>
      </w:r>
    </w:p>
    <w:p>
      <w:pPr>
        <w:spacing w:line="400" w:lineRule="exact"/>
        <w:ind w:firstLine="431" w:firstLineChars="196"/>
        <w:rPr>
          <w:rFonts w:ascii="宋体" w:hAnsi="宋体" w:cs="宋体"/>
          <w:sz w:val="22"/>
          <w:szCs w:val="22"/>
        </w:rPr>
      </w:pPr>
      <w:r>
        <w:rPr>
          <w:rFonts w:hint="eastAsia" w:ascii="宋体" w:hAnsi="宋体" w:cs="宋体"/>
          <w:sz w:val="22"/>
          <w:szCs w:val="22"/>
        </w:rPr>
        <w:t>2.14 有害生物控制：从维护、促进园林生态平衡的角度，遵循有害生物综合治理原则，运用科学技术手段，协调园林植物与其他动植物以及环境因子之间的关系，有效控制有害生物危害。</w:t>
      </w:r>
    </w:p>
    <w:p>
      <w:pPr>
        <w:spacing w:line="400" w:lineRule="exact"/>
        <w:ind w:firstLine="431" w:firstLineChars="196"/>
        <w:rPr>
          <w:rFonts w:ascii="宋体" w:hAnsi="宋体" w:cs="宋体"/>
          <w:sz w:val="22"/>
          <w:szCs w:val="22"/>
        </w:rPr>
      </w:pPr>
      <w:r>
        <w:rPr>
          <w:rFonts w:hint="eastAsia" w:ascii="宋体" w:hAnsi="宋体" w:cs="宋体"/>
          <w:sz w:val="22"/>
          <w:szCs w:val="22"/>
        </w:rPr>
        <w:t>2.15 水体：指河流、湖泊、池塘、水库、沼泽、海洋以及地下水等水的聚积体。绿地内的水体分自然和人工建造两大类。人工建造的水体在形式上分规则水池和仿自然水池。据驳岸和池底结构的不同，分自然（软底）和人工（铺装）两种类别。</w:t>
      </w:r>
    </w:p>
    <w:p>
      <w:pPr>
        <w:spacing w:line="400" w:lineRule="exact"/>
        <w:ind w:firstLine="431" w:firstLineChars="196"/>
        <w:rPr>
          <w:rFonts w:ascii="宋体" w:hAnsi="宋体" w:cs="宋体"/>
          <w:sz w:val="22"/>
          <w:szCs w:val="22"/>
        </w:rPr>
      </w:pPr>
      <w:r>
        <w:rPr>
          <w:rFonts w:hint="eastAsia" w:ascii="宋体" w:hAnsi="宋体" w:cs="宋体"/>
          <w:sz w:val="22"/>
          <w:szCs w:val="22"/>
        </w:rPr>
        <w:t>2.16 水生植物：凡是生长在水域附近如湖泊、河川、池塘及海边的半咸水和海水中或常年潮湿泥土地上的植物。</w:t>
      </w:r>
    </w:p>
    <w:p>
      <w:pPr>
        <w:spacing w:line="400" w:lineRule="exact"/>
        <w:ind w:firstLine="431" w:firstLineChars="196"/>
        <w:rPr>
          <w:rFonts w:ascii="宋体" w:hAnsi="宋体" w:cs="宋体"/>
          <w:sz w:val="22"/>
          <w:szCs w:val="22"/>
        </w:rPr>
      </w:pPr>
      <w:r>
        <w:rPr>
          <w:rFonts w:hint="eastAsia" w:ascii="宋体" w:hAnsi="宋体" w:cs="宋体"/>
          <w:sz w:val="22"/>
          <w:szCs w:val="22"/>
        </w:rPr>
        <w:t>2.17 古树名木：城市中百年以上树龄的树木为古树。稀有、珍贵树木、具有历史价值或有重要纪念意义的树木为名木。</w:t>
      </w:r>
    </w:p>
    <w:p>
      <w:pPr>
        <w:spacing w:line="400" w:lineRule="exact"/>
        <w:ind w:firstLine="431" w:firstLineChars="196"/>
        <w:rPr>
          <w:rFonts w:ascii="宋体" w:hAnsi="宋体" w:cs="宋体"/>
          <w:sz w:val="22"/>
          <w:szCs w:val="22"/>
        </w:rPr>
      </w:pPr>
      <w:r>
        <w:rPr>
          <w:rFonts w:hint="eastAsia" w:ascii="宋体" w:hAnsi="宋体" w:cs="宋体"/>
          <w:sz w:val="22"/>
          <w:szCs w:val="22"/>
        </w:rPr>
        <w:t>2.18 古树名木保护区：古树、名木树冠垂直投影外不小于 5 米的区域。</w:t>
      </w:r>
    </w:p>
    <w:p>
      <w:pPr>
        <w:spacing w:line="400" w:lineRule="exact"/>
        <w:ind w:firstLine="431" w:firstLineChars="196"/>
        <w:rPr>
          <w:rFonts w:ascii="宋体" w:hAnsi="宋体" w:cs="宋体"/>
          <w:sz w:val="22"/>
          <w:szCs w:val="22"/>
        </w:rPr>
      </w:pPr>
      <w:r>
        <w:rPr>
          <w:rFonts w:hint="eastAsia" w:ascii="宋体" w:hAnsi="宋体" w:cs="宋体"/>
          <w:sz w:val="22"/>
          <w:szCs w:val="22"/>
        </w:rPr>
        <w:t>2.19 有效土层：植物根系能正常生长发育的土壤厚度。</w:t>
      </w:r>
    </w:p>
    <w:p>
      <w:pPr>
        <w:spacing w:line="400" w:lineRule="exact"/>
        <w:ind w:firstLine="431" w:firstLineChars="196"/>
        <w:rPr>
          <w:rFonts w:ascii="宋体" w:hAnsi="宋体" w:cs="宋体"/>
          <w:sz w:val="22"/>
          <w:szCs w:val="22"/>
        </w:rPr>
      </w:pPr>
      <w:r>
        <w:rPr>
          <w:rFonts w:hint="eastAsia" w:ascii="宋体" w:hAnsi="宋体" w:cs="宋体"/>
          <w:sz w:val="22"/>
          <w:szCs w:val="22"/>
        </w:rPr>
        <w:t>2.20 施肥：人工补充养分或提高土壤肥力，以满足植物生长需要的措施。</w:t>
      </w:r>
    </w:p>
    <w:p>
      <w:pPr>
        <w:spacing w:line="400" w:lineRule="exact"/>
        <w:ind w:firstLine="431" w:firstLineChars="196"/>
        <w:rPr>
          <w:rFonts w:ascii="宋体" w:hAnsi="宋体" w:cs="宋体"/>
          <w:sz w:val="22"/>
          <w:szCs w:val="22"/>
        </w:rPr>
      </w:pPr>
      <w:r>
        <w:rPr>
          <w:rFonts w:hint="eastAsia" w:ascii="宋体" w:hAnsi="宋体" w:cs="宋体"/>
          <w:sz w:val="22"/>
          <w:szCs w:val="22"/>
        </w:rPr>
        <w:t>2.21 基肥：定植前结合树穴挖掘或整地而施用的肥料。</w:t>
      </w:r>
    </w:p>
    <w:p>
      <w:pPr>
        <w:spacing w:line="400" w:lineRule="exact"/>
        <w:ind w:firstLine="431" w:firstLineChars="196"/>
        <w:rPr>
          <w:rFonts w:ascii="宋体" w:hAnsi="宋体" w:cs="宋体"/>
          <w:sz w:val="22"/>
          <w:szCs w:val="22"/>
        </w:rPr>
      </w:pPr>
      <w:r>
        <w:rPr>
          <w:rFonts w:hint="eastAsia" w:ascii="宋体" w:hAnsi="宋体" w:cs="宋体"/>
          <w:sz w:val="22"/>
          <w:szCs w:val="22"/>
        </w:rPr>
        <w:t>2.22 追肥：在植物生长发育期所进行的施肥，其目的是满足植物在不同生育期对养分的特殊需要。</w:t>
      </w:r>
    </w:p>
    <w:p>
      <w:pPr>
        <w:spacing w:line="400" w:lineRule="exact"/>
        <w:ind w:firstLine="431" w:firstLineChars="196"/>
        <w:rPr>
          <w:rFonts w:ascii="宋体" w:hAnsi="宋体" w:cs="宋体"/>
          <w:sz w:val="22"/>
          <w:szCs w:val="22"/>
        </w:rPr>
      </w:pPr>
      <w:r>
        <w:rPr>
          <w:rFonts w:hint="eastAsia" w:ascii="宋体" w:hAnsi="宋体" w:cs="宋体"/>
          <w:sz w:val="22"/>
          <w:szCs w:val="22"/>
        </w:rPr>
        <w:t>2.23 园林设施：城市园林绿地中的一切养护或园林共用设施。</w:t>
      </w:r>
    </w:p>
    <w:p>
      <w:pPr>
        <w:spacing w:line="400" w:lineRule="exact"/>
        <w:ind w:firstLine="431" w:firstLineChars="196"/>
        <w:rPr>
          <w:rFonts w:ascii="宋体" w:hAnsi="宋体" w:cs="宋体"/>
        </w:rPr>
      </w:pPr>
      <w:r>
        <w:rPr>
          <w:rFonts w:hint="eastAsia" w:ascii="宋体" w:hAnsi="宋体" w:cs="宋体"/>
          <w:sz w:val="22"/>
          <w:szCs w:val="22"/>
        </w:rPr>
        <w:t>2.24 萎蔫：某些植物在水分亏缺严重时，细胞失去膨压，茎叶下垂现象称萎蔫。</w:t>
      </w:r>
    </w:p>
    <w:p>
      <w:pPr>
        <w:spacing w:line="400" w:lineRule="exact"/>
        <w:jc w:val="center"/>
        <w:rPr>
          <w:rFonts w:ascii="宋体" w:hAnsi="宋体" w:cs="宋体"/>
          <w:sz w:val="22"/>
          <w:szCs w:val="22"/>
        </w:rPr>
      </w:pPr>
      <w:r>
        <w:rPr>
          <w:rFonts w:hint="eastAsia" w:ascii="宋体" w:hAnsi="宋体" w:cs="宋体"/>
          <w:sz w:val="22"/>
          <w:szCs w:val="22"/>
        </w:rPr>
        <w:t>第三章  不同等级绿地对应的养护标准</w:t>
      </w:r>
    </w:p>
    <w:p>
      <w:pPr>
        <w:spacing w:line="400" w:lineRule="exact"/>
        <w:rPr>
          <w:rFonts w:ascii="宋体" w:hAnsi="宋体" w:cs="宋体"/>
          <w:sz w:val="22"/>
          <w:szCs w:val="22"/>
        </w:rPr>
      </w:pPr>
      <w:r>
        <w:rPr>
          <w:rFonts w:hint="eastAsia" w:ascii="宋体" w:hAnsi="宋体" w:cs="宋体"/>
          <w:sz w:val="22"/>
          <w:szCs w:val="22"/>
        </w:rPr>
        <w:t>3.1 乔木养护技术应符合表3.1规定：</w:t>
      </w:r>
    </w:p>
    <w:p>
      <w:pPr>
        <w:spacing w:line="400" w:lineRule="exact"/>
        <w:jc w:val="center"/>
        <w:rPr>
          <w:rFonts w:ascii="宋体" w:hAnsi="宋体" w:cs="宋体"/>
          <w:sz w:val="22"/>
          <w:szCs w:val="22"/>
        </w:rPr>
      </w:pPr>
      <w:r>
        <w:rPr>
          <w:rFonts w:hint="eastAsia" w:ascii="宋体" w:hAnsi="宋体" w:cs="宋体"/>
          <w:sz w:val="22"/>
          <w:szCs w:val="22"/>
        </w:rPr>
        <w:t>表3.1 乔木</w:t>
      </w:r>
    </w:p>
    <w:tbl>
      <w:tblPr>
        <w:tblStyle w:val="25"/>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852"/>
        <w:gridCol w:w="2853"/>
        <w:gridCol w:w="2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项目</w:t>
            </w:r>
          </w:p>
        </w:tc>
        <w:tc>
          <w:tcPr>
            <w:tcW w:w="855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 w:val="22"/>
                <w:szCs w:val="22"/>
              </w:rPr>
            </w:pPr>
          </w:p>
        </w:tc>
        <w:tc>
          <w:tcPr>
            <w:tcW w:w="28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I级</w:t>
            </w:r>
          </w:p>
        </w:tc>
        <w:tc>
          <w:tcPr>
            <w:tcW w:w="2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II级</w:t>
            </w:r>
          </w:p>
        </w:tc>
        <w:tc>
          <w:tcPr>
            <w:tcW w:w="2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III级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2"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景观</w:t>
            </w:r>
          </w:p>
          <w:p>
            <w:pPr>
              <w:spacing w:line="400" w:lineRule="exact"/>
              <w:jc w:val="center"/>
              <w:rPr>
                <w:rFonts w:ascii="宋体" w:hAnsi="宋体" w:cs="宋体"/>
                <w:sz w:val="22"/>
                <w:szCs w:val="22"/>
              </w:rPr>
            </w:pPr>
            <w:r>
              <w:rPr>
                <w:rFonts w:hint="eastAsia" w:ascii="宋体" w:hAnsi="宋体" w:cs="宋体"/>
                <w:sz w:val="22"/>
                <w:szCs w:val="22"/>
              </w:rPr>
              <w:t>效果</w:t>
            </w:r>
          </w:p>
        </w:tc>
        <w:tc>
          <w:tcPr>
            <w:tcW w:w="28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1.树形美观，树冠饱满，观赏价值高；</w:t>
            </w:r>
          </w:p>
          <w:p>
            <w:pPr>
              <w:spacing w:line="400" w:lineRule="exact"/>
              <w:rPr>
                <w:rFonts w:ascii="宋体" w:hAnsi="宋体" w:cs="宋体"/>
                <w:sz w:val="22"/>
                <w:szCs w:val="22"/>
              </w:rPr>
            </w:pPr>
            <w:r>
              <w:rPr>
                <w:rFonts w:hint="eastAsia" w:ascii="宋体" w:hAnsi="宋体" w:cs="宋体"/>
                <w:sz w:val="22"/>
                <w:szCs w:val="22"/>
              </w:rPr>
              <w:t>2.无死株、缺株。</w:t>
            </w:r>
          </w:p>
        </w:tc>
        <w:tc>
          <w:tcPr>
            <w:tcW w:w="28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1.树形完整，树冠基本饱满，有观赏价值；</w:t>
            </w:r>
          </w:p>
          <w:p>
            <w:pPr>
              <w:spacing w:line="400" w:lineRule="exact"/>
              <w:rPr>
                <w:rFonts w:ascii="宋体" w:hAnsi="宋体" w:cs="宋体"/>
                <w:sz w:val="22"/>
                <w:szCs w:val="22"/>
              </w:rPr>
            </w:pPr>
            <w:r>
              <w:rPr>
                <w:rFonts w:hint="eastAsia" w:ascii="宋体" w:hAnsi="宋体" w:cs="宋体"/>
                <w:sz w:val="22"/>
                <w:szCs w:val="22"/>
              </w:rPr>
              <w:t>2.无死株，无明显缺株。</w:t>
            </w:r>
          </w:p>
        </w:tc>
        <w:tc>
          <w:tcPr>
            <w:tcW w:w="28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1.树形基本完整，景观面貌尚可；</w:t>
            </w:r>
          </w:p>
          <w:p>
            <w:pPr>
              <w:spacing w:line="400" w:lineRule="exact"/>
              <w:rPr>
                <w:rFonts w:ascii="宋体" w:hAnsi="宋体" w:cs="宋体"/>
                <w:sz w:val="22"/>
                <w:szCs w:val="22"/>
              </w:rPr>
            </w:pPr>
            <w:r>
              <w:rPr>
                <w:rFonts w:hint="eastAsia" w:ascii="宋体" w:hAnsi="宋体" w:cs="宋体"/>
                <w:sz w:val="22"/>
                <w:szCs w:val="22"/>
              </w:rPr>
              <w:t>2.无死株。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生长</w:t>
            </w:r>
          </w:p>
        </w:tc>
        <w:tc>
          <w:tcPr>
            <w:tcW w:w="28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1.枝叶生长、色泽正常；</w:t>
            </w:r>
          </w:p>
          <w:p>
            <w:pPr>
              <w:spacing w:line="400" w:lineRule="exact"/>
              <w:rPr>
                <w:rFonts w:ascii="宋体" w:hAnsi="宋体" w:cs="宋体"/>
                <w:sz w:val="22"/>
                <w:szCs w:val="22"/>
              </w:rPr>
            </w:pPr>
            <w:r>
              <w:rPr>
                <w:rFonts w:hint="eastAsia" w:ascii="宋体" w:hAnsi="宋体" w:cs="宋体"/>
                <w:sz w:val="22"/>
                <w:szCs w:val="22"/>
              </w:rPr>
              <w:t>2.枝干健壮，无枯枝，无萌蘖枝；</w:t>
            </w:r>
          </w:p>
          <w:p>
            <w:pPr>
              <w:spacing w:line="400" w:lineRule="exact"/>
              <w:rPr>
                <w:rFonts w:ascii="宋体" w:hAnsi="宋体" w:cs="宋体"/>
                <w:sz w:val="22"/>
                <w:szCs w:val="22"/>
              </w:rPr>
            </w:pPr>
            <w:r>
              <w:rPr>
                <w:rFonts w:hint="eastAsia" w:ascii="宋体" w:hAnsi="宋体" w:cs="宋体"/>
                <w:sz w:val="22"/>
                <w:szCs w:val="22"/>
              </w:rPr>
              <w:t>3.观花树木适时茂盛开花；观果树木正常结果；色叶树种季相变化明显。</w:t>
            </w:r>
          </w:p>
        </w:tc>
        <w:tc>
          <w:tcPr>
            <w:tcW w:w="28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1.枝叶生长、色泽基本正常；</w:t>
            </w:r>
          </w:p>
          <w:p>
            <w:pPr>
              <w:spacing w:line="400" w:lineRule="exact"/>
              <w:rPr>
                <w:rFonts w:ascii="宋体" w:hAnsi="宋体" w:cs="宋体"/>
                <w:sz w:val="22"/>
                <w:szCs w:val="22"/>
              </w:rPr>
            </w:pPr>
            <w:r>
              <w:rPr>
                <w:rFonts w:hint="eastAsia" w:ascii="宋体" w:hAnsi="宋体" w:cs="宋体"/>
                <w:sz w:val="22"/>
                <w:szCs w:val="22"/>
              </w:rPr>
              <w:t>2.无明显枯枝，基本无萌蘖枝；</w:t>
            </w:r>
          </w:p>
          <w:p>
            <w:pPr>
              <w:spacing w:line="400" w:lineRule="exact"/>
              <w:rPr>
                <w:rFonts w:ascii="宋体" w:hAnsi="宋体" w:cs="宋体"/>
                <w:sz w:val="22"/>
                <w:szCs w:val="22"/>
              </w:rPr>
            </w:pPr>
            <w:r>
              <w:rPr>
                <w:rFonts w:hint="eastAsia" w:ascii="宋体" w:hAnsi="宋体" w:cs="宋体"/>
                <w:sz w:val="22"/>
                <w:szCs w:val="22"/>
              </w:rPr>
              <w:t>3.观花树木茂盛开花；观果树木正常结果。</w:t>
            </w:r>
          </w:p>
        </w:tc>
        <w:tc>
          <w:tcPr>
            <w:tcW w:w="28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枝叶生长量和色泽基本正常。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6"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修剪</w:t>
            </w:r>
          </w:p>
        </w:tc>
        <w:tc>
          <w:tcPr>
            <w:tcW w:w="28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主要修剪枯枝、病虫枝、徒长枝、下垂枝、扭伤枝以及其他影响树势、树形的枝条。</w:t>
            </w:r>
          </w:p>
        </w:tc>
        <w:tc>
          <w:tcPr>
            <w:tcW w:w="28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主要修剪枯枝、病虫枝、徒长枝、扭伤枝以及其他影响树势、树形的枝条。</w:t>
            </w:r>
          </w:p>
        </w:tc>
        <w:tc>
          <w:tcPr>
            <w:tcW w:w="28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主要修剪枯枝、病虫枝、徒长枝等。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防护</w:t>
            </w:r>
          </w:p>
          <w:p>
            <w:pPr>
              <w:spacing w:line="400" w:lineRule="exact"/>
              <w:jc w:val="center"/>
              <w:rPr>
                <w:rFonts w:ascii="宋体" w:hAnsi="宋体" w:cs="宋体"/>
                <w:sz w:val="22"/>
                <w:szCs w:val="22"/>
              </w:rPr>
            </w:pPr>
            <w:r>
              <w:rPr>
                <w:rFonts w:hint="eastAsia" w:ascii="宋体" w:hAnsi="宋体" w:cs="宋体"/>
                <w:sz w:val="22"/>
                <w:szCs w:val="22"/>
              </w:rPr>
              <w:t>设施</w:t>
            </w:r>
          </w:p>
        </w:tc>
        <w:tc>
          <w:tcPr>
            <w:tcW w:w="28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1.支撑规范、统一、有效，无断桩、坏桩， 桩位扎缚规范；</w:t>
            </w:r>
          </w:p>
          <w:p>
            <w:pPr>
              <w:spacing w:line="400" w:lineRule="exact"/>
              <w:rPr>
                <w:rFonts w:ascii="宋体" w:hAnsi="宋体" w:cs="宋体"/>
                <w:sz w:val="22"/>
                <w:szCs w:val="22"/>
              </w:rPr>
            </w:pPr>
            <w:r>
              <w:rPr>
                <w:rFonts w:hint="eastAsia" w:ascii="宋体" w:hAnsi="宋体" w:cs="宋体"/>
                <w:sz w:val="22"/>
                <w:szCs w:val="22"/>
              </w:rPr>
              <w:t>2.防台措施到位，对危树及时采取修枝、加固等措施；</w:t>
            </w:r>
          </w:p>
          <w:p>
            <w:pPr>
              <w:spacing w:line="400" w:lineRule="exact"/>
              <w:rPr>
                <w:rFonts w:ascii="宋体" w:hAnsi="宋体" w:cs="宋体"/>
                <w:sz w:val="22"/>
                <w:szCs w:val="22"/>
              </w:rPr>
            </w:pPr>
            <w:r>
              <w:rPr>
                <w:rFonts w:hint="eastAsia" w:ascii="宋体" w:hAnsi="宋体" w:cs="宋体"/>
                <w:sz w:val="22"/>
                <w:szCs w:val="22"/>
              </w:rPr>
              <w:t>3.凡易受冻害的树木，冬季适时采取根际培土主干包扎等防寒措施。</w:t>
            </w:r>
          </w:p>
        </w:tc>
        <w:tc>
          <w:tcPr>
            <w:tcW w:w="28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1.支撑规范、统一、有效，基本无断桩、坏桩，桩位扎缚有效；</w:t>
            </w:r>
          </w:p>
          <w:p>
            <w:pPr>
              <w:spacing w:line="400" w:lineRule="exact"/>
              <w:rPr>
                <w:rFonts w:ascii="宋体" w:hAnsi="宋体" w:cs="宋体"/>
                <w:sz w:val="22"/>
                <w:szCs w:val="22"/>
              </w:rPr>
            </w:pPr>
            <w:r>
              <w:rPr>
                <w:rFonts w:hint="eastAsia" w:ascii="宋体" w:hAnsi="宋体" w:cs="宋体"/>
                <w:sz w:val="22"/>
                <w:szCs w:val="22"/>
              </w:rPr>
              <w:t>2.台风来临前，相关防台措施到位；</w:t>
            </w:r>
          </w:p>
          <w:p>
            <w:pPr>
              <w:spacing w:line="400" w:lineRule="exact"/>
              <w:rPr>
                <w:rFonts w:ascii="宋体" w:hAnsi="宋体" w:cs="宋体"/>
                <w:sz w:val="22"/>
                <w:szCs w:val="22"/>
              </w:rPr>
            </w:pPr>
            <w:r>
              <w:rPr>
                <w:rFonts w:hint="eastAsia" w:ascii="宋体" w:hAnsi="宋体" w:cs="宋体"/>
                <w:sz w:val="22"/>
                <w:szCs w:val="22"/>
              </w:rPr>
              <w:t>3.凡易受冻害的树木，冬季适时采取一定防寒措施。</w:t>
            </w:r>
          </w:p>
        </w:tc>
        <w:tc>
          <w:tcPr>
            <w:tcW w:w="28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1.支撑规范、统一、有效，无明显断桩、坏桩，桩位扎缚有效；</w:t>
            </w:r>
          </w:p>
          <w:p>
            <w:pPr>
              <w:spacing w:line="400" w:lineRule="exact"/>
              <w:rPr>
                <w:rFonts w:ascii="宋体" w:hAnsi="宋体" w:cs="宋体"/>
                <w:sz w:val="22"/>
                <w:szCs w:val="22"/>
              </w:rPr>
            </w:pPr>
            <w:r>
              <w:rPr>
                <w:rFonts w:hint="eastAsia" w:ascii="宋体" w:hAnsi="宋体" w:cs="宋体"/>
                <w:sz w:val="22"/>
                <w:szCs w:val="22"/>
              </w:rPr>
              <w:t>2.台风来临前，浅根性高大乔木有防台措施；</w:t>
            </w:r>
          </w:p>
          <w:p>
            <w:pPr>
              <w:spacing w:line="400" w:lineRule="exact"/>
              <w:rPr>
                <w:rFonts w:ascii="宋体" w:hAnsi="宋体" w:cs="宋体"/>
                <w:sz w:val="22"/>
                <w:szCs w:val="22"/>
              </w:rPr>
            </w:pPr>
            <w:r>
              <w:rPr>
                <w:rFonts w:hint="eastAsia" w:ascii="宋体" w:hAnsi="宋体" w:cs="宋体"/>
                <w:sz w:val="22"/>
                <w:szCs w:val="22"/>
              </w:rPr>
              <w:t>3.凡易受冻害的树木，冬季适时采取防寒措施。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切边</w:t>
            </w:r>
          </w:p>
        </w:tc>
        <w:tc>
          <w:tcPr>
            <w:tcW w:w="28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大小适宜，边缘清晰，线条流畅；与周围环境协调。</w:t>
            </w:r>
          </w:p>
        </w:tc>
        <w:tc>
          <w:tcPr>
            <w:tcW w:w="28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大小适宜，边缘清晰。</w:t>
            </w:r>
          </w:p>
        </w:tc>
        <w:tc>
          <w:tcPr>
            <w:tcW w:w="28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大小适宜。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排灌</w:t>
            </w:r>
          </w:p>
        </w:tc>
        <w:tc>
          <w:tcPr>
            <w:tcW w:w="28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1.排水通畅，严禁积水；</w:t>
            </w:r>
          </w:p>
          <w:p>
            <w:pPr>
              <w:spacing w:line="400" w:lineRule="exact"/>
              <w:rPr>
                <w:rFonts w:ascii="宋体" w:hAnsi="宋体" w:cs="宋体"/>
                <w:sz w:val="22"/>
                <w:szCs w:val="22"/>
              </w:rPr>
            </w:pPr>
            <w:r>
              <w:rPr>
                <w:rFonts w:hint="eastAsia" w:ascii="宋体" w:hAnsi="宋体" w:cs="宋体"/>
                <w:sz w:val="22"/>
                <w:szCs w:val="22"/>
              </w:rPr>
              <w:t>2.无失水萎蔫现象。</w:t>
            </w:r>
          </w:p>
        </w:tc>
        <w:tc>
          <w:tcPr>
            <w:tcW w:w="28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1.排水基本畅通，无积水；</w:t>
            </w:r>
          </w:p>
          <w:p>
            <w:pPr>
              <w:spacing w:line="400" w:lineRule="exact"/>
              <w:rPr>
                <w:rFonts w:ascii="宋体" w:hAnsi="宋体" w:cs="宋体"/>
                <w:sz w:val="22"/>
                <w:szCs w:val="22"/>
              </w:rPr>
            </w:pPr>
            <w:r>
              <w:rPr>
                <w:rFonts w:hint="eastAsia" w:ascii="宋体" w:hAnsi="宋体" w:cs="宋体"/>
                <w:sz w:val="22"/>
                <w:szCs w:val="22"/>
              </w:rPr>
              <w:t>2.基本无失水萎蔫现象。</w:t>
            </w:r>
          </w:p>
        </w:tc>
        <w:tc>
          <w:tcPr>
            <w:tcW w:w="28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1.无明显积水；</w:t>
            </w:r>
          </w:p>
          <w:p>
            <w:pPr>
              <w:spacing w:line="400" w:lineRule="exact"/>
              <w:rPr>
                <w:rFonts w:ascii="宋体" w:hAnsi="宋体" w:cs="宋体"/>
                <w:sz w:val="22"/>
                <w:szCs w:val="22"/>
              </w:rPr>
            </w:pPr>
            <w:r>
              <w:rPr>
                <w:rFonts w:hint="eastAsia" w:ascii="宋体" w:hAnsi="宋体" w:cs="宋体"/>
                <w:sz w:val="22"/>
                <w:szCs w:val="22"/>
              </w:rPr>
              <w:t>2.无明显失水萎蔫现象。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清洁</w:t>
            </w:r>
          </w:p>
        </w:tc>
        <w:tc>
          <w:tcPr>
            <w:tcW w:w="28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无垃圾；树干上无悬挂物。</w:t>
            </w:r>
          </w:p>
        </w:tc>
        <w:tc>
          <w:tcPr>
            <w:tcW w:w="28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基本无垃圾；树干上基本无悬挂物。</w:t>
            </w:r>
          </w:p>
        </w:tc>
        <w:tc>
          <w:tcPr>
            <w:tcW w:w="28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无陈积垃圾；树干上无明显悬挂物。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抹芽除萌</w:t>
            </w:r>
          </w:p>
        </w:tc>
        <w:tc>
          <w:tcPr>
            <w:tcW w:w="855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及时彻底（萌芽长度小于8cm），创口平滑。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复  壮</w:t>
            </w:r>
          </w:p>
        </w:tc>
        <w:tc>
          <w:tcPr>
            <w:tcW w:w="855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1.按时复壮；           2.方案措施科学周密；</w:t>
            </w:r>
          </w:p>
          <w:p>
            <w:pPr>
              <w:spacing w:line="400" w:lineRule="exact"/>
              <w:rPr>
                <w:rFonts w:ascii="宋体" w:hAnsi="宋体" w:cs="宋体"/>
                <w:sz w:val="22"/>
                <w:szCs w:val="22"/>
              </w:rPr>
            </w:pPr>
            <w:r>
              <w:rPr>
                <w:rFonts w:hint="eastAsia" w:ascii="宋体" w:hAnsi="宋体" w:cs="宋体"/>
                <w:sz w:val="22"/>
                <w:szCs w:val="22"/>
              </w:rPr>
              <w:t>3.严格操作规程；          4.创部、朽部及时清理、消毒、涂药、修补；</w:t>
            </w:r>
          </w:p>
          <w:p>
            <w:pPr>
              <w:spacing w:line="400" w:lineRule="exact"/>
              <w:rPr>
                <w:rFonts w:ascii="宋体" w:hAnsi="宋体" w:cs="宋体"/>
                <w:sz w:val="22"/>
                <w:szCs w:val="22"/>
              </w:rPr>
            </w:pPr>
            <w:r>
              <w:rPr>
                <w:rFonts w:hint="eastAsia" w:ascii="宋体" w:hAnsi="宋体" w:cs="宋体"/>
                <w:sz w:val="22"/>
                <w:szCs w:val="22"/>
              </w:rPr>
              <w:t>5.档案齐全,记录详细。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栽（补）植</w:t>
            </w:r>
          </w:p>
        </w:tc>
        <w:tc>
          <w:tcPr>
            <w:tcW w:w="855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 xml:space="preserve">1.树干笔直，纵成行、横成排； </w:t>
            </w:r>
          </w:p>
          <w:p>
            <w:pPr>
              <w:spacing w:line="400" w:lineRule="exact"/>
              <w:rPr>
                <w:rFonts w:ascii="宋体" w:hAnsi="宋体" w:cs="宋体"/>
                <w:sz w:val="22"/>
                <w:szCs w:val="22"/>
              </w:rPr>
            </w:pPr>
            <w:r>
              <w:rPr>
                <w:rFonts w:hint="eastAsia" w:ascii="宋体" w:hAnsi="宋体" w:cs="宋体"/>
                <w:sz w:val="22"/>
                <w:szCs w:val="22"/>
              </w:rPr>
              <w:t>2.易成活树种成活率100%,不易成活树种成活率98%以上；</w:t>
            </w:r>
          </w:p>
          <w:p>
            <w:pPr>
              <w:spacing w:line="400" w:lineRule="exact"/>
              <w:rPr>
                <w:rFonts w:ascii="宋体" w:hAnsi="宋体" w:cs="宋体"/>
                <w:sz w:val="22"/>
                <w:szCs w:val="22"/>
              </w:rPr>
            </w:pPr>
            <w:r>
              <w:rPr>
                <w:rFonts w:hint="eastAsia" w:ascii="宋体" w:hAnsi="宋体" w:cs="宋体"/>
                <w:sz w:val="22"/>
                <w:szCs w:val="22"/>
              </w:rPr>
              <w:t>3.常绿树种及不易成活树种移植必须带土球，土球直径不小于胸径的8～10倍，且须根保留完好；</w:t>
            </w:r>
          </w:p>
          <w:p>
            <w:pPr>
              <w:spacing w:line="400" w:lineRule="exact"/>
              <w:rPr>
                <w:rFonts w:ascii="宋体" w:hAnsi="宋体" w:cs="宋体"/>
                <w:sz w:val="22"/>
                <w:szCs w:val="22"/>
              </w:rPr>
            </w:pPr>
            <w:r>
              <w:rPr>
                <w:rFonts w:hint="eastAsia" w:ascii="宋体" w:hAnsi="宋体" w:cs="宋体"/>
                <w:sz w:val="22"/>
                <w:szCs w:val="22"/>
              </w:rPr>
              <w:t>4.树坑直径大于土球直径50cm以上,封土深度以盖住土球上部5～10cm为宜；</w:t>
            </w:r>
          </w:p>
          <w:p>
            <w:pPr>
              <w:spacing w:line="400" w:lineRule="exact"/>
              <w:rPr>
                <w:rFonts w:ascii="宋体" w:hAnsi="宋体" w:cs="宋体"/>
                <w:sz w:val="22"/>
                <w:szCs w:val="22"/>
              </w:rPr>
            </w:pPr>
            <w:r>
              <w:rPr>
                <w:rFonts w:hint="eastAsia" w:ascii="宋体" w:hAnsi="宋体" w:cs="宋体"/>
                <w:sz w:val="22"/>
                <w:szCs w:val="22"/>
              </w:rPr>
              <w:t>5.栽前起挖、包装运输规范，栽后支撑、修剪、浇水等严格按规程操作。</w:t>
            </w:r>
          </w:p>
        </w:tc>
      </w:tr>
    </w:tbl>
    <w:p>
      <w:pPr>
        <w:spacing w:line="400" w:lineRule="exact"/>
        <w:rPr>
          <w:rFonts w:ascii="宋体" w:hAnsi="宋体" w:cs="宋体"/>
          <w:sz w:val="22"/>
          <w:szCs w:val="22"/>
        </w:rPr>
      </w:pPr>
      <w:r>
        <w:rPr>
          <w:rFonts w:hint="eastAsia" w:ascii="宋体" w:hAnsi="宋体" w:cs="宋体"/>
          <w:sz w:val="22"/>
          <w:szCs w:val="22"/>
        </w:rPr>
        <w:t>3.2 行道树养护标准应符合表3.2规定：</w:t>
      </w:r>
    </w:p>
    <w:p>
      <w:pPr>
        <w:spacing w:line="400" w:lineRule="exact"/>
        <w:jc w:val="center"/>
        <w:rPr>
          <w:rFonts w:ascii="宋体" w:hAnsi="宋体" w:cs="宋体"/>
          <w:sz w:val="22"/>
          <w:szCs w:val="22"/>
        </w:rPr>
      </w:pPr>
      <w:r>
        <w:rPr>
          <w:rFonts w:hint="eastAsia" w:ascii="宋体" w:hAnsi="宋体" w:cs="宋体"/>
          <w:sz w:val="22"/>
          <w:szCs w:val="22"/>
        </w:rPr>
        <w:t>表3.2 行道树</w:t>
      </w:r>
    </w:p>
    <w:tbl>
      <w:tblPr>
        <w:tblStyle w:val="25"/>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852"/>
        <w:gridCol w:w="2853"/>
        <w:gridCol w:w="2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6" w:type="dxa"/>
            <w:vMerge w:val="restart"/>
            <w:tcBorders>
              <w:top w:val="single" w:color="auto" w:sz="4" w:space="0"/>
              <w:left w:val="single" w:color="auto" w:sz="4" w:space="0"/>
              <w:bottom w:val="single" w:color="auto" w:sz="4" w:space="0"/>
              <w:right w:val="single" w:color="auto" w:sz="4" w:space="0"/>
            </w:tcBorders>
          </w:tcPr>
          <w:p>
            <w:pPr>
              <w:spacing w:line="400" w:lineRule="exact"/>
              <w:ind w:firstLine="1430" w:firstLineChars="650"/>
              <w:rPr>
                <w:rFonts w:ascii="宋体" w:hAnsi="宋体" w:cs="宋体"/>
                <w:sz w:val="22"/>
                <w:szCs w:val="22"/>
              </w:rPr>
            </w:pPr>
            <w:r>
              <w:rPr>
                <w:rFonts w:hint="eastAsia" w:ascii="宋体" w:hAnsi="宋体" w:cs="宋体"/>
                <w:sz w:val="22"/>
                <w:szCs w:val="22"/>
              </w:rPr>
              <w:t xml:space="preserve">   </w:t>
            </w:r>
          </w:p>
          <w:p>
            <w:pPr>
              <w:spacing w:line="400" w:lineRule="exact"/>
              <w:jc w:val="center"/>
              <w:rPr>
                <w:rFonts w:ascii="宋体" w:hAnsi="宋体" w:cs="宋体"/>
                <w:sz w:val="22"/>
                <w:szCs w:val="22"/>
              </w:rPr>
            </w:pPr>
            <w:r>
              <w:rPr>
                <w:rFonts w:hint="eastAsia" w:ascii="宋体" w:hAnsi="宋体" w:cs="宋体"/>
                <w:sz w:val="22"/>
                <w:szCs w:val="22"/>
              </w:rPr>
              <w:t>项目</w:t>
            </w:r>
          </w:p>
        </w:tc>
        <w:tc>
          <w:tcPr>
            <w:tcW w:w="855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 w:val="22"/>
                <w:szCs w:val="22"/>
              </w:rPr>
            </w:pPr>
          </w:p>
        </w:tc>
        <w:tc>
          <w:tcPr>
            <w:tcW w:w="28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I级</w:t>
            </w:r>
          </w:p>
        </w:tc>
        <w:tc>
          <w:tcPr>
            <w:tcW w:w="2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II级</w:t>
            </w:r>
          </w:p>
        </w:tc>
        <w:tc>
          <w:tcPr>
            <w:tcW w:w="2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III级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景观</w:t>
            </w:r>
          </w:p>
          <w:p>
            <w:pPr>
              <w:spacing w:line="400" w:lineRule="exact"/>
              <w:jc w:val="center"/>
              <w:rPr>
                <w:rFonts w:ascii="宋体" w:hAnsi="宋体" w:cs="宋体"/>
                <w:sz w:val="22"/>
                <w:szCs w:val="22"/>
              </w:rPr>
            </w:pPr>
            <w:r>
              <w:rPr>
                <w:rFonts w:hint="eastAsia" w:ascii="宋体" w:hAnsi="宋体" w:cs="宋体"/>
                <w:sz w:val="22"/>
                <w:szCs w:val="22"/>
              </w:rPr>
              <w:t>效果</w:t>
            </w:r>
          </w:p>
        </w:tc>
        <w:tc>
          <w:tcPr>
            <w:tcW w:w="28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植株树冠完整，规格整齐，生长茂盛，有较好的遮荫和生态效益。</w:t>
            </w:r>
          </w:p>
        </w:tc>
        <w:tc>
          <w:tcPr>
            <w:tcW w:w="28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植株面貌基本统一，规格基本整齐，生长良好，有较好的遮荫效果。</w:t>
            </w:r>
          </w:p>
        </w:tc>
        <w:tc>
          <w:tcPr>
            <w:tcW w:w="28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植株青枝绿叶，有遮荫效果。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生长</w:t>
            </w:r>
          </w:p>
        </w:tc>
        <w:tc>
          <w:tcPr>
            <w:tcW w:w="28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1.无死株、缺株；</w:t>
            </w:r>
          </w:p>
          <w:p>
            <w:pPr>
              <w:spacing w:line="400" w:lineRule="exact"/>
              <w:rPr>
                <w:rFonts w:ascii="宋体" w:hAnsi="宋体" w:cs="宋体"/>
                <w:sz w:val="22"/>
                <w:szCs w:val="22"/>
              </w:rPr>
            </w:pPr>
            <w:r>
              <w:rPr>
                <w:rFonts w:hint="eastAsia" w:ascii="宋体" w:hAnsi="宋体" w:cs="宋体"/>
                <w:sz w:val="22"/>
                <w:szCs w:val="22"/>
              </w:rPr>
              <w:t>2.植株全年生长正常，无枯枝、断枝和生长不良枝。</w:t>
            </w:r>
          </w:p>
        </w:tc>
        <w:tc>
          <w:tcPr>
            <w:tcW w:w="28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1.无死株，基本无缺株；</w:t>
            </w:r>
          </w:p>
          <w:p>
            <w:pPr>
              <w:spacing w:line="400" w:lineRule="exact"/>
              <w:rPr>
                <w:rFonts w:ascii="宋体" w:hAnsi="宋体" w:cs="宋体"/>
                <w:sz w:val="22"/>
                <w:szCs w:val="22"/>
              </w:rPr>
            </w:pPr>
            <w:r>
              <w:rPr>
                <w:rFonts w:hint="eastAsia" w:ascii="宋体" w:hAnsi="宋体" w:cs="宋体"/>
                <w:sz w:val="22"/>
                <w:szCs w:val="22"/>
              </w:rPr>
              <w:t>2.植株全年生长正常，无明显的枯枝、断枝和生长不良枝。</w:t>
            </w:r>
          </w:p>
        </w:tc>
        <w:tc>
          <w:tcPr>
            <w:tcW w:w="28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1.无死株，无明显缺株；</w:t>
            </w:r>
          </w:p>
          <w:p>
            <w:pPr>
              <w:spacing w:line="400" w:lineRule="exact"/>
              <w:rPr>
                <w:rFonts w:ascii="宋体" w:hAnsi="宋体" w:cs="宋体"/>
                <w:sz w:val="22"/>
                <w:szCs w:val="22"/>
              </w:rPr>
            </w:pPr>
            <w:r>
              <w:rPr>
                <w:rFonts w:hint="eastAsia" w:ascii="宋体" w:hAnsi="宋体" w:cs="宋体"/>
                <w:sz w:val="22"/>
                <w:szCs w:val="22"/>
              </w:rPr>
              <w:t>2.植株全年生长基本正常。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4"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树冠</w:t>
            </w:r>
          </w:p>
        </w:tc>
        <w:tc>
          <w:tcPr>
            <w:tcW w:w="28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1.冠形完整，分枝点合适，主侧枝分布匀称，上缘线和下缘线整齐划一；</w:t>
            </w:r>
          </w:p>
          <w:p>
            <w:pPr>
              <w:spacing w:line="400" w:lineRule="exact"/>
              <w:rPr>
                <w:rFonts w:ascii="宋体" w:hAnsi="宋体" w:cs="宋体"/>
                <w:sz w:val="22"/>
                <w:szCs w:val="22"/>
              </w:rPr>
            </w:pPr>
            <w:r>
              <w:rPr>
                <w:rFonts w:hint="eastAsia" w:ascii="宋体" w:hAnsi="宋体" w:cs="宋体"/>
                <w:sz w:val="22"/>
                <w:szCs w:val="22"/>
              </w:rPr>
              <w:t>2.严格遵照有关规定，与周围环境相协调，各项公用设施保持安全距离。</w:t>
            </w:r>
          </w:p>
        </w:tc>
        <w:tc>
          <w:tcPr>
            <w:tcW w:w="28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1.冠形基本完整统一，分枝点合适；</w:t>
            </w:r>
          </w:p>
          <w:p>
            <w:pPr>
              <w:spacing w:line="400" w:lineRule="exact"/>
              <w:rPr>
                <w:rFonts w:ascii="宋体" w:hAnsi="宋体" w:cs="宋体"/>
                <w:sz w:val="22"/>
                <w:szCs w:val="22"/>
              </w:rPr>
            </w:pPr>
            <w:r>
              <w:rPr>
                <w:rFonts w:hint="eastAsia" w:ascii="宋体" w:hAnsi="宋体" w:cs="宋体"/>
                <w:sz w:val="22"/>
                <w:szCs w:val="22"/>
              </w:rPr>
              <w:t>2.基本遵照有关规定，各项公用设施距离得当。</w:t>
            </w:r>
          </w:p>
        </w:tc>
        <w:tc>
          <w:tcPr>
            <w:tcW w:w="28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1.冠形基本统一；</w:t>
            </w:r>
          </w:p>
          <w:p>
            <w:pPr>
              <w:spacing w:line="400" w:lineRule="exact"/>
              <w:rPr>
                <w:rFonts w:ascii="宋体" w:hAnsi="宋体" w:cs="宋体"/>
                <w:sz w:val="22"/>
                <w:szCs w:val="22"/>
              </w:rPr>
            </w:pPr>
            <w:r>
              <w:rPr>
                <w:rFonts w:hint="eastAsia" w:ascii="宋体" w:hAnsi="宋体" w:cs="宋体"/>
                <w:sz w:val="22"/>
                <w:szCs w:val="22"/>
              </w:rPr>
              <w:t>2.无严重影响交通、架空线的树枝。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主干</w:t>
            </w:r>
          </w:p>
        </w:tc>
        <w:tc>
          <w:tcPr>
            <w:tcW w:w="28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1.分叉点高度一致，净空高度应大于3.5m（机动车道两侧）；</w:t>
            </w:r>
          </w:p>
          <w:p>
            <w:pPr>
              <w:spacing w:line="400" w:lineRule="exact"/>
              <w:rPr>
                <w:rFonts w:ascii="宋体" w:hAnsi="宋体" w:cs="宋体"/>
                <w:sz w:val="22"/>
                <w:szCs w:val="22"/>
              </w:rPr>
            </w:pPr>
            <w:r>
              <w:rPr>
                <w:rFonts w:hint="eastAsia" w:ascii="宋体" w:hAnsi="宋体" w:cs="宋体"/>
                <w:sz w:val="22"/>
                <w:szCs w:val="22"/>
              </w:rPr>
              <w:t>2.无萌生的芽条。</w:t>
            </w:r>
          </w:p>
        </w:tc>
        <w:tc>
          <w:tcPr>
            <w:tcW w:w="28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1.分叉点高度一致，净空高度应大于3.5m（机动车道两侧）；</w:t>
            </w:r>
          </w:p>
          <w:p>
            <w:pPr>
              <w:spacing w:line="400" w:lineRule="exact"/>
              <w:rPr>
                <w:rFonts w:ascii="宋体" w:hAnsi="宋体" w:cs="宋体"/>
                <w:sz w:val="22"/>
                <w:szCs w:val="22"/>
              </w:rPr>
            </w:pPr>
            <w:r>
              <w:rPr>
                <w:rFonts w:hint="eastAsia" w:ascii="宋体" w:hAnsi="宋体" w:cs="宋体"/>
                <w:sz w:val="22"/>
                <w:szCs w:val="22"/>
              </w:rPr>
              <w:t>2.基本无萌生的芽条。</w:t>
            </w:r>
          </w:p>
        </w:tc>
        <w:tc>
          <w:tcPr>
            <w:tcW w:w="28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1.分叉点高度基本一致，净空高度应大于3.5m（机动车道两侧）；</w:t>
            </w:r>
          </w:p>
          <w:p>
            <w:pPr>
              <w:spacing w:line="400" w:lineRule="exact"/>
              <w:rPr>
                <w:rFonts w:ascii="宋体" w:hAnsi="宋体" w:cs="宋体"/>
                <w:sz w:val="22"/>
                <w:szCs w:val="22"/>
              </w:rPr>
            </w:pPr>
            <w:r>
              <w:rPr>
                <w:rFonts w:hint="eastAsia" w:ascii="宋体" w:hAnsi="宋体" w:cs="宋体"/>
                <w:sz w:val="22"/>
                <w:szCs w:val="22"/>
              </w:rPr>
              <w:t>2.无明显萌生的芽条。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0"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修剪</w:t>
            </w:r>
          </w:p>
        </w:tc>
        <w:tc>
          <w:tcPr>
            <w:tcW w:w="28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1.主要修剪枯枝、死桩、病虫枝、下垂枝、过密枝、萌蘖枝等，宜保持树冠圆整，分枝均衡，通风透光；</w:t>
            </w:r>
          </w:p>
          <w:p>
            <w:pPr>
              <w:spacing w:line="400" w:lineRule="exact"/>
              <w:rPr>
                <w:rFonts w:ascii="宋体" w:hAnsi="宋体" w:cs="宋体"/>
                <w:sz w:val="22"/>
                <w:szCs w:val="22"/>
              </w:rPr>
            </w:pPr>
            <w:r>
              <w:rPr>
                <w:rFonts w:hint="eastAsia" w:ascii="宋体" w:hAnsi="宋体" w:cs="宋体"/>
                <w:sz w:val="22"/>
                <w:szCs w:val="22"/>
              </w:rPr>
              <w:t>2.修剪切口应平整光滑，无撕皮、撕裂现象，不留短桩、烂头，直径在 5cm 以上的切口应进行防腐处理。</w:t>
            </w:r>
          </w:p>
        </w:tc>
        <w:tc>
          <w:tcPr>
            <w:tcW w:w="28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1.主要修剪枯枝、死桩、病虫枝、萌蘖枝等，宜保持树冠基本圆整；</w:t>
            </w:r>
          </w:p>
          <w:p>
            <w:pPr>
              <w:spacing w:line="400" w:lineRule="exact"/>
              <w:rPr>
                <w:rFonts w:ascii="宋体" w:hAnsi="宋体" w:cs="宋体"/>
                <w:sz w:val="22"/>
                <w:szCs w:val="22"/>
              </w:rPr>
            </w:pPr>
            <w:r>
              <w:rPr>
                <w:rFonts w:hint="eastAsia" w:ascii="宋体" w:hAnsi="宋体" w:cs="宋体"/>
                <w:sz w:val="22"/>
                <w:szCs w:val="22"/>
              </w:rPr>
              <w:t>2.修剪切口应平整光滑，不留短桩、烂头，直径在 5cm 以上的切口应进行防腐处理。</w:t>
            </w:r>
          </w:p>
        </w:tc>
        <w:tc>
          <w:tcPr>
            <w:tcW w:w="28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1.主要修剪枯枝、死桩、病虫枝等，宜保持树冠基本圆整；</w:t>
            </w:r>
          </w:p>
          <w:p>
            <w:pPr>
              <w:spacing w:line="400" w:lineRule="exact"/>
              <w:rPr>
                <w:rFonts w:ascii="宋体" w:hAnsi="宋体" w:cs="宋体"/>
                <w:sz w:val="22"/>
                <w:szCs w:val="22"/>
              </w:rPr>
            </w:pPr>
            <w:r>
              <w:rPr>
                <w:rFonts w:hint="eastAsia" w:ascii="宋体" w:hAnsi="宋体" w:cs="宋体"/>
                <w:sz w:val="22"/>
                <w:szCs w:val="22"/>
              </w:rPr>
              <w:t>2.修剪切口应平整光滑。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3"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树穴</w:t>
            </w:r>
          </w:p>
        </w:tc>
        <w:tc>
          <w:tcPr>
            <w:tcW w:w="28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1.树穴形式统一，长×宽×深（内径）不小于1m×1m×1m；</w:t>
            </w:r>
          </w:p>
          <w:p>
            <w:pPr>
              <w:spacing w:line="400" w:lineRule="exact"/>
              <w:rPr>
                <w:rFonts w:ascii="宋体" w:hAnsi="宋体" w:cs="宋体"/>
                <w:sz w:val="22"/>
                <w:szCs w:val="22"/>
              </w:rPr>
            </w:pPr>
            <w:r>
              <w:rPr>
                <w:rFonts w:hint="eastAsia" w:ascii="宋体" w:hAnsi="宋体" w:cs="宋体"/>
                <w:sz w:val="22"/>
                <w:szCs w:val="22"/>
              </w:rPr>
              <w:t>2.盖板或覆盖物完整，无缺损；</w:t>
            </w:r>
          </w:p>
          <w:p>
            <w:pPr>
              <w:spacing w:line="400" w:lineRule="exact"/>
              <w:rPr>
                <w:rFonts w:ascii="宋体" w:hAnsi="宋体" w:cs="宋体"/>
                <w:sz w:val="22"/>
                <w:szCs w:val="22"/>
              </w:rPr>
            </w:pPr>
            <w:r>
              <w:rPr>
                <w:rFonts w:hint="eastAsia" w:ascii="宋体" w:hAnsi="宋体" w:cs="宋体"/>
                <w:sz w:val="22"/>
                <w:szCs w:val="22"/>
              </w:rPr>
              <w:t>3.种植地被的树穴，地被生长良好。</w:t>
            </w:r>
          </w:p>
        </w:tc>
        <w:tc>
          <w:tcPr>
            <w:tcW w:w="28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1.树穴形式统一，长×宽×深（内径）不小于1m×1m×1m；</w:t>
            </w:r>
          </w:p>
          <w:p>
            <w:pPr>
              <w:spacing w:line="400" w:lineRule="exact"/>
              <w:rPr>
                <w:rFonts w:ascii="宋体" w:hAnsi="宋体" w:cs="宋体"/>
                <w:sz w:val="22"/>
                <w:szCs w:val="22"/>
              </w:rPr>
            </w:pPr>
            <w:r>
              <w:rPr>
                <w:rFonts w:hint="eastAsia" w:ascii="宋体" w:hAnsi="宋体" w:cs="宋体"/>
                <w:sz w:val="22"/>
                <w:szCs w:val="22"/>
              </w:rPr>
              <w:t>2.盖板或覆盖物基本完整，无严重缺损。</w:t>
            </w:r>
          </w:p>
        </w:tc>
        <w:tc>
          <w:tcPr>
            <w:tcW w:w="28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1.树穴形式基本统一，长×宽×深（内径）不小于1m×1m×1m；</w:t>
            </w:r>
          </w:p>
          <w:p>
            <w:pPr>
              <w:spacing w:line="400" w:lineRule="exact"/>
              <w:rPr>
                <w:rFonts w:ascii="宋体" w:hAnsi="宋体" w:cs="宋体"/>
                <w:sz w:val="22"/>
                <w:szCs w:val="22"/>
              </w:rPr>
            </w:pPr>
            <w:r>
              <w:rPr>
                <w:rFonts w:hint="eastAsia" w:ascii="宋体" w:hAnsi="宋体" w:cs="宋体"/>
                <w:sz w:val="22"/>
                <w:szCs w:val="22"/>
              </w:rPr>
              <w:t>2.树穴内不缺土，根系无明显裸露。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9"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防护</w:t>
            </w:r>
          </w:p>
          <w:p>
            <w:pPr>
              <w:spacing w:line="400" w:lineRule="exact"/>
              <w:jc w:val="center"/>
              <w:rPr>
                <w:rFonts w:ascii="宋体" w:hAnsi="宋体" w:cs="宋体"/>
                <w:sz w:val="22"/>
                <w:szCs w:val="22"/>
              </w:rPr>
            </w:pPr>
            <w:r>
              <w:rPr>
                <w:rFonts w:hint="eastAsia" w:ascii="宋体" w:hAnsi="宋体" w:cs="宋体"/>
                <w:sz w:val="22"/>
                <w:szCs w:val="22"/>
              </w:rPr>
              <w:t>设施</w:t>
            </w:r>
          </w:p>
        </w:tc>
        <w:tc>
          <w:tcPr>
            <w:tcW w:w="28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1.支撑规范、统一、有效，无断桩、坏桩，桩位扎缚规范；</w:t>
            </w:r>
          </w:p>
          <w:p>
            <w:pPr>
              <w:spacing w:line="400" w:lineRule="exact"/>
              <w:rPr>
                <w:rFonts w:ascii="宋体" w:hAnsi="宋体" w:cs="宋体"/>
                <w:sz w:val="22"/>
                <w:szCs w:val="22"/>
              </w:rPr>
            </w:pPr>
            <w:r>
              <w:rPr>
                <w:rFonts w:hint="eastAsia" w:ascii="宋体" w:hAnsi="宋体" w:cs="宋体"/>
                <w:sz w:val="22"/>
                <w:szCs w:val="22"/>
              </w:rPr>
              <w:t>2.台风来临前，应做好立支柱、绑扎、加土、扶正、疏枝、打地桩等措施；</w:t>
            </w:r>
          </w:p>
          <w:p>
            <w:pPr>
              <w:spacing w:line="400" w:lineRule="exact"/>
              <w:rPr>
                <w:rFonts w:ascii="宋体" w:hAnsi="宋体" w:cs="宋体"/>
                <w:sz w:val="22"/>
                <w:szCs w:val="22"/>
              </w:rPr>
            </w:pPr>
            <w:r>
              <w:rPr>
                <w:rFonts w:hint="eastAsia" w:ascii="宋体" w:hAnsi="宋体" w:cs="宋体"/>
                <w:sz w:val="22"/>
                <w:szCs w:val="22"/>
              </w:rPr>
              <w:t>3.凡易受冻害的树木，冬季适时采取根际培土主干包扎等防寒措施；</w:t>
            </w:r>
          </w:p>
          <w:p>
            <w:pPr>
              <w:spacing w:line="400" w:lineRule="exact"/>
              <w:rPr>
                <w:rFonts w:ascii="宋体" w:hAnsi="宋体" w:cs="宋体"/>
                <w:sz w:val="22"/>
                <w:szCs w:val="22"/>
              </w:rPr>
            </w:pPr>
            <w:r>
              <w:rPr>
                <w:rFonts w:hint="eastAsia" w:ascii="宋体" w:hAnsi="宋体" w:cs="宋体"/>
                <w:sz w:val="22"/>
                <w:szCs w:val="22"/>
              </w:rPr>
              <w:t>4.冬至前后完成树干刷白，高度应保持在1.2米-1.3米。</w:t>
            </w:r>
          </w:p>
        </w:tc>
        <w:tc>
          <w:tcPr>
            <w:tcW w:w="28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1.支撑规范、统一、有效，基本无断桩、坏桩，桩位扎缚有效；</w:t>
            </w:r>
          </w:p>
          <w:p>
            <w:pPr>
              <w:spacing w:line="400" w:lineRule="exact"/>
              <w:rPr>
                <w:rFonts w:ascii="宋体" w:hAnsi="宋体" w:cs="宋体"/>
                <w:sz w:val="22"/>
                <w:szCs w:val="22"/>
              </w:rPr>
            </w:pPr>
            <w:r>
              <w:rPr>
                <w:rFonts w:hint="eastAsia" w:ascii="宋体" w:hAnsi="宋体" w:cs="宋体"/>
                <w:sz w:val="22"/>
                <w:szCs w:val="22"/>
              </w:rPr>
              <w:t>2.台风来临前，防台措施到位；</w:t>
            </w:r>
          </w:p>
          <w:p>
            <w:pPr>
              <w:spacing w:line="400" w:lineRule="exact"/>
              <w:rPr>
                <w:rFonts w:ascii="宋体" w:hAnsi="宋体" w:cs="宋体"/>
                <w:sz w:val="22"/>
                <w:szCs w:val="22"/>
              </w:rPr>
            </w:pPr>
            <w:r>
              <w:rPr>
                <w:rFonts w:hint="eastAsia" w:ascii="宋体" w:hAnsi="宋体" w:cs="宋体"/>
                <w:sz w:val="22"/>
                <w:szCs w:val="22"/>
              </w:rPr>
              <w:t>3.凡易受冻害的树木，冬季适时采取一定防寒措施；</w:t>
            </w:r>
          </w:p>
          <w:p>
            <w:pPr>
              <w:spacing w:line="400" w:lineRule="exact"/>
              <w:rPr>
                <w:rFonts w:ascii="宋体" w:hAnsi="宋体" w:cs="宋体"/>
                <w:sz w:val="22"/>
                <w:szCs w:val="22"/>
              </w:rPr>
            </w:pPr>
            <w:r>
              <w:rPr>
                <w:rFonts w:hint="eastAsia" w:ascii="宋体" w:hAnsi="宋体" w:cs="宋体"/>
                <w:sz w:val="22"/>
                <w:szCs w:val="22"/>
              </w:rPr>
              <w:t>4.冬至前后完成树干刷白，高度应保持在1.2米-1.3米。</w:t>
            </w:r>
          </w:p>
        </w:tc>
        <w:tc>
          <w:tcPr>
            <w:tcW w:w="28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1.支撑规范、统一、有效，无明显断桩、坏桩，桩位扎缚有效；</w:t>
            </w:r>
          </w:p>
          <w:p>
            <w:pPr>
              <w:spacing w:line="400" w:lineRule="exact"/>
              <w:rPr>
                <w:rFonts w:ascii="宋体" w:hAnsi="宋体" w:cs="宋体"/>
                <w:sz w:val="22"/>
                <w:szCs w:val="22"/>
              </w:rPr>
            </w:pPr>
            <w:r>
              <w:rPr>
                <w:rFonts w:hint="eastAsia" w:ascii="宋体" w:hAnsi="宋体" w:cs="宋体"/>
                <w:sz w:val="22"/>
                <w:szCs w:val="22"/>
              </w:rPr>
              <w:t>2.台风来临前，有防台措施；</w:t>
            </w:r>
          </w:p>
          <w:p>
            <w:pPr>
              <w:spacing w:line="400" w:lineRule="exact"/>
              <w:rPr>
                <w:rFonts w:ascii="宋体" w:hAnsi="宋体" w:cs="宋体"/>
                <w:sz w:val="22"/>
                <w:szCs w:val="22"/>
              </w:rPr>
            </w:pPr>
            <w:r>
              <w:rPr>
                <w:rFonts w:hint="eastAsia" w:ascii="宋体" w:hAnsi="宋体" w:cs="宋体"/>
                <w:sz w:val="22"/>
                <w:szCs w:val="22"/>
              </w:rPr>
              <w:t>3.凡易受冻害的树木，冬季适时采取防寒措施；</w:t>
            </w:r>
          </w:p>
          <w:p>
            <w:pPr>
              <w:spacing w:line="400" w:lineRule="exact"/>
              <w:rPr>
                <w:rFonts w:ascii="宋体" w:hAnsi="宋体" w:cs="宋体"/>
                <w:sz w:val="22"/>
                <w:szCs w:val="22"/>
              </w:rPr>
            </w:pPr>
            <w:r>
              <w:rPr>
                <w:rFonts w:hint="eastAsia" w:ascii="宋体" w:hAnsi="宋体" w:cs="宋体"/>
                <w:sz w:val="22"/>
                <w:szCs w:val="22"/>
              </w:rPr>
              <w:t>4.冬至前后完成树干刷白，高度应保持在1.2米-1.3米。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4"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清洁</w:t>
            </w:r>
          </w:p>
        </w:tc>
        <w:tc>
          <w:tcPr>
            <w:tcW w:w="28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1.树冠、树穴内无垃圾；</w:t>
            </w:r>
          </w:p>
          <w:p>
            <w:pPr>
              <w:spacing w:line="400" w:lineRule="exact"/>
              <w:rPr>
                <w:rFonts w:ascii="宋体" w:hAnsi="宋体" w:cs="宋体"/>
                <w:sz w:val="22"/>
                <w:szCs w:val="22"/>
              </w:rPr>
            </w:pPr>
            <w:r>
              <w:rPr>
                <w:rFonts w:hint="eastAsia" w:ascii="宋体" w:hAnsi="宋体" w:cs="宋体"/>
                <w:sz w:val="22"/>
                <w:szCs w:val="22"/>
              </w:rPr>
              <w:t>2.树干上无悬挂物，周边无堆积物；</w:t>
            </w:r>
          </w:p>
          <w:p>
            <w:pPr>
              <w:spacing w:line="400" w:lineRule="exact"/>
              <w:rPr>
                <w:rFonts w:ascii="宋体" w:hAnsi="宋体" w:cs="宋体"/>
                <w:sz w:val="22"/>
                <w:szCs w:val="22"/>
              </w:rPr>
            </w:pPr>
            <w:r>
              <w:rPr>
                <w:rFonts w:hint="eastAsia" w:ascii="宋体" w:hAnsi="宋体" w:cs="宋体"/>
                <w:sz w:val="22"/>
                <w:szCs w:val="22"/>
              </w:rPr>
              <w:t>3.树叶无厚重粉尘覆盖。</w:t>
            </w:r>
          </w:p>
        </w:tc>
        <w:tc>
          <w:tcPr>
            <w:tcW w:w="28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1.树冠、树穴内基本无垃圾；</w:t>
            </w:r>
          </w:p>
          <w:p>
            <w:pPr>
              <w:spacing w:line="400" w:lineRule="exact"/>
              <w:rPr>
                <w:rFonts w:ascii="宋体" w:hAnsi="宋体" w:cs="宋体"/>
                <w:sz w:val="22"/>
                <w:szCs w:val="22"/>
              </w:rPr>
            </w:pPr>
            <w:r>
              <w:rPr>
                <w:rFonts w:hint="eastAsia" w:ascii="宋体" w:hAnsi="宋体" w:cs="宋体"/>
                <w:sz w:val="22"/>
                <w:szCs w:val="22"/>
              </w:rPr>
              <w:t>2.树干上基本无悬挂物；</w:t>
            </w:r>
          </w:p>
          <w:p>
            <w:pPr>
              <w:spacing w:line="400" w:lineRule="exact"/>
              <w:rPr>
                <w:rFonts w:ascii="宋体" w:hAnsi="宋体" w:cs="宋体"/>
                <w:sz w:val="22"/>
                <w:szCs w:val="22"/>
              </w:rPr>
            </w:pPr>
            <w:r>
              <w:rPr>
                <w:rFonts w:hint="eastAsia" w:ascii="宋体" w:hAnsi="宋体" w:cs="宋体"/>
                <w:sz w:val="22"/>
                <w:szCs w:val="22"/>
              </w:rPr>
              <w:t>3.树叶基本无厚重粉尘覆盖。</w:t>
            </w:r>
          </w:p>
        </w:tc>
        <w:tc>
          <w:tcPr>
            <w:tcW w:w="28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1.树冠、树穴内无陈积垃圾；</w:t>
            </w:r>
          </w:p>
          <w:p>
            <w:pPr>
              <w:spacing w:line="400" w:lineRule="exact"/>
              <w:rPr>
                <w:rFonts w:ascii="宋体" w:hAnsi="宋体" w:cs="宋体"/>
                <w:sz w:val="22"/>
                <w:szCs w:val="22"/>
              </w:rPr>
            </w:pPr>
            <w:r>
              <w:rPr>
                <w:rFonts w:hint="eastAsia" w:ascii="宋体" w:hAnsi="宋体" w:cs="宋体"/>
                <w:sz w:val="22"/>
                <w:szCs w:val="22"/>
              </w:rPr>
              <w:t>2.树干上无明显悬挂物。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抹芽除萌</w:t>
            </w:r>
          </w:p>
        </w:tc>
        <w:tc>
          <w:tcPr>
            <w:tcW w:w="855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及时彻底（萌芽长度小于8cm），创口平滑。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复  壮</w:t>
            </w:r>
          </w:p>
        </w:tc>
        <w:tc>
          <w:tcPr>
            <w:tcW w:w="855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1.按时复壮；           2.方案措施科学周密；</w:t>
            </w:r>
          </w:p>
          <w:p>
            <w:pPr>
              <w:spacing w:line="400" w:lineRule="exact"/>
              <w:rPr>
                <w:rFonts w:ascii="宋体" w:hAnsi="宋体" w:cs="宋体"/>
                <w:sz w:val="22"/>
                <w:szCs w:val="22"/>
              </w:rPr>
            </w:pPr>
            <w:r>
              <w:rPr>
                <w:rFonts w:hint="eastAsia" w:ascii="宋体" w:hAnsi="宋体" w:cs="宋体"/>
                <w:sz w:val="22"/>
                <w:szCs w:val="22"/>
              </w:rPr>
              <w:t>3.严格操作规程；       4.创部、朽部及时清理、消毒、涂药、修补；</w:t>
            </w:r>
          </w:p>
          <w:p>
            <w:pPr>
              <w:spacing w:line="400" w:lineRule="exact"/>
              <w:rPr>
                <w:rFonts w:ascii="宋体" w:hAnsi="宋体" w:cs="宋体"/>
                <w:sz w:val="22"/>
                <w:szCs w:val="22"/>
              </w:rPr>
            </w:pPr>
            <w:r>
              <w:rPr>
                <w:rFonts w:hint="eastAsia" w:ascii="宋体" w:hAnsi="宋体" w:cs="宋体"/>
                <w:sz w:val="22"/>
                <w:szCs w:val="22"/>
              </w:rPr>
              <w:t>5.档案齐全,记录详细。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4"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栽（补）植</w:t>
            </w:r>
          </w:p>
        </w:tc>
        <w:tc>
          <w:tcPr>
            <w:tcW w:w="8558" w:type="dxa"/>
            <w:gridSpan w:val="3"/>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rPr>
                <w:rFonts w:ascii="宋体" w:hAnsi="宋体" w:cs="宋体"/>
                <w:sz w:val="22"/>
                <w:szCs w:val="22"/>
              </w:rPr>
            </w:pPr>
            <w:r>
              <w:rPr>
                <w:rFonts w:hint="eastAsia" w:ascii="宋体" w:hAnsi="宋体" w:cs="宋体"/>
                <w:sz w:val="22"/>
                <w:szCs w:val="22"/>
              </w:rPr>
              <w:t>补植树种应同路段树种一致，且有III级或以上分枝；</w:t>
            </w:r>
          </w:p>
          <w:p>
            <w:pPr>
              <w:numPr>
                <w:ilvl w:val="0"/>
                <w:numId w:val="2"/>
              </w:numPr>
              <w:spacing w:line="400" w:lineRule="exact"/>
              <w:rPr>
                <w:rFonts w:ascii="宋体" w:hAnsi="宋体" w:cs="宋体"/>
                <w:sz w:val="22"/>
                <w:szCs w:val="22"/>
              </w:rPr>
            </w:pPr>
            <w:r>
              <w:rPr>
                <w:rFonts w:hint="eastAsia" w:ascii="宋体" w:hAnsi="宋体" w:cs="宋体"/>
                <w:sz w:val="22"/>
                <w:szCs w:val="22"/>
              </w:rPr>
              <w:t xml:space="preserve">树干笔直，纵成行、横成排； </w:t>
            </w:r>
          </w:p>
          <w:p>
            <w:pPr>
              <w:spacing w:line="400" w:lineRule="exact"/>
              <w:rPr>
                <w:rFonts w:ascii="宋体" w:hAnsi="宋体" w:cs="宋体"/>
                <w:sz w:val="22"/>
                <w:szCs w:val="22"/>
              </w:rPr>
            </w:pPr>
            <w:r>
              <w:rPr>
                <w:rFonts w:hint="eastAsia" w:ascii="宋体" w:hAnsi="宋体" w:cs="宋体"/>
                <w:sz w:val="22"/>
                <w:szCs w:val="22"/>
              </w:rPr>
              <w:t>3.易成活树种成活率100%,不易成活树种成活率98%以上；</w:t>
            </w:r>
          </w:p>
          <w:p>
            <w:pPr>
              <w:spacing w:line="400" w:lineRule="exact"/>
              <w:rPr>
                <w:rFonts w:ascii="宋体" w:hAnsi="宋体" w:cs="宋体"/>
                <w:sz w:val="22"/>
                <w:szCs w:val="22"/>
              </w:rPr>
            </w:pPr>
            <w:r>
              <w:rPr>
                <w:rFonts w:hint="eastAsia" w:ascii="宋体" w:hAnsi="宋体" w:cs="宋体"/>
                <w:sz w:val="22"/>
                <w:szCs w:val="22"/>
              </w:rPr>
              <w:t>4.常绿树种及不易成活树种移植必须带土球，土球直径不小于胸径的8～10倍，且须根保留完好；</w:t>
            </w:r>
          </w:p>
          <w:p>
            <w:pPr>
              <w:spacing w:line="400" w:lineRule="exact"/>
              <w:rPr>
                <w:rFonts w:ascii="宋体" w:hAnsi="宋体" w:cs="宋体"/>
                <w:sz w:val="22"/>
                <w:szCs w:val="22"/>
              </w:rPr>
            </w:pPr>
            <w:r>
              <w:rPr>
                <w:rFonts w:hint="eastAsia" w:ascii="宋体" w:hAnsi="宋体" w:cs="宋体"/>
                <w:sz w:val="22"/>
                <w:szCs w:val="22"/>
              </w:rPr>
              <w:t>5.树坑直径大于土球直径50cm以上,封土深度以盖住土球上部5～10cm为宜；</w:t>
            </w:r>
          </w:p>
          <w:p>
            <w:pPr>
              <w:spacing w:line="400" w:lineRule="exact"/>
              <w:rPr>
                <w:rFonts w:ascii="宋体" w:hAnsi="宋体" w:cs="宋体"/>
                <w:sz w:val="22"/>
                <w:szCs w:val="22"/>
              </w:rPr>
            </w:pPr>
            <w:r>
              <w:rPr>
                <w:rFonts w:hint="eastAsia" w:ascii="宋体" w:hAnsi="宋体" w:cs="宋体"/>
                <w:sz w:val="22"/>
                <w:szCs w:val="22"/>
              </w:rPr>
              <w:t>6.栽前起挖、包装运输规范，栽后支撑、修剪、浇水等严格按规程操作。</w:t>
            </w:r>
          </w:p>
        </w:tc>
      </w:tr>
    </w:tbl>
    <w:p>
      <w:pPr>
        <w:spacing w:line="400" w:lineRule="exact"/>
        <w:rPr>
          <w:rFonts w:ascii="宋体" w:hAnsi="宋体" w:cs="宋体"/>
          <w:sz w:val="22"/>
          <w:szCs w:val="22"/>
        </w:rPr>
      </w:pPr>
      <w:r>
        <w:rPr>
          <w:rFonts w:hint="eastAsia" w:ascii="宋体" w:hAnsi="宋体" w:cs="宋体"/>
          <w:sz w:val="22"/>
          <w:szCs w:val="22"/>
        </w:rPr>
        <w:t>3.3绿篱及花灌木养护标准应符合表3.3的规定：</w:t>
      </w:r>
    </w:p>
    <w:p>
      <w:pPr>
        <w:spacing w:line="400" w:lineRule="exact"/>
        <w:jc w:val="center"/>
        <w:rPr>
          <w:rFonts w:ascii="宋体" w:hAnsi="宋体" w:cs="宋体"/>
          <w:sz w:val="22"/>
          <w:szCs w:val="22"/>
        </w:rPr>
      </w:pPr>
      <w:r>
        <w:rPr>
          <w:rFonts w:hint="eastAsia" w:ascii="宋体" w:hAnsi="宋体" w:cs="宋体"/>
          <w:sz w:val="22"/>
          <w:szCs w:val="22"/>
        </w:rPr>
        <w:t>表3.3  绿篱及花灌木</w:t>
      </w:r>
    </w:p>
    <w:tbl>
      <w:tblPr>
        <w:tblStyle w:val="25"/>
        <w:tblW w:w="9240"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800"/>
        <w:gridCol w:w="2800"/>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40" w:type="dxa"/>
            <w:vMerge w:val="restart"/>
            <w:tcBorders>
              <w:top w:val="single" w:color="auto" w:sz="4" w:space="0"/>
              <w:left w:val="single" w:color="auto" w:sz="4" w:space="0"/>
              <w:bottom w:val="single" w:color="auto" w:sz="4" w:space="0"/>
              <w:right w:val="single" w:color="auto" w:sz="4" w:space="0"/>
            </w:tcBorders>
          </w:tcPr>
          <w:p>
            <w:pPr>
              <w:spacing w:line="400" w:lineRule="exact"/>
              <w:ind w:firstLine="1430" w:firstLineChars="650"/>
              <w:rPr>
                <w:rFonts w:ascii="宋体" w:hAnsi="宋体" w:cs="宋体"/>
                <w:sz w:val="22"/>
                <w:szCs w:val="22"/>
              </w:rPr>
            </w:pPr>
            <w:r>
              <w:rPr>
                <w:rFonts w:hint="eastAsia" w:ascii="宋体" w:hAnsi="宋体" w:cs="宋体"/>
                <w:sz w:val="22"/>
                <w:szCs w:val="22"/>
              </w:rPr>
              <w:t xml:space="preserve">   </w:t>
            </w:r>
          </w:p>
          <w:p>
            <w:pPr>
              <w:spacing w:line="400" w:lineRule="exact"/>
              <w:jc w:val="center"/>
              <w:rPr>
                <w:rFonts w:ascii="宋体" w:hAnsi="宋体" w:cs="宋体"/>
                <w:sz w:val="22"/>
                <w:szCs w:val="22"/>
              </w:rPr>
            </w:pPr>
            <w:r>
              <w:rPr>
                <w:rFonts w:hint="eastAsia" w:ascii="宋体" w:hAnsi="宋体" w:cs="宋体"/>
                <w:sz w:val="22"/>
                <w:szCs w:val="22"/>
              </w:rPr>
              <w:t>项目</w:t>
            </w:r>
          </w:p>
        </w:tc>
        <w:tc>
          <w:tcPr>
            <w:tcW w:w="840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 w:val="22"/>
                <w:szCs w:val="22"/>
              </w:rPr>
            </w:pP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I级</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II级</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III级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景观</w:t>
            </w:r>
          </w:p>
          <w:p>
            <w:pPr>
              <w:spacing w:line="400" w:lineRule="exact"/>
              <w:jc w:val="center"/>
              <w:rPr>
                <w:rFonts w:ascii="宋体" w:hAnsi="宋体" w:cs="宋体"/>
                <w:sz w:val="22"/>
                <w:szCs w:val="22"/>
              </w:rPr>
            </w:pPr>
            <w:r>
              <w:rPr>
                <w:rFonts w:hint="eastAsia" w:ascii="宋体" w:hAnsi="宋体" w:cs="宋体"/>
                <w:sz w:val="22"/>
                <w:szCs w:val="22"/>
              </w:rPr>
              <w:t>效果</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1.景观优美，有明显的层次感和造型；</w:t>
            </w:r>
          </w:p>
          <w:p>
            <w:pPr>
              <w:spacing w:line="400" w:lineRule="exact"/>
              <w:rPr>
                <w:rFonts w:ascii="宋体" w:hAnsi="宋体" w:cs="宋体"/>
                <w:sz w:val="22"/>
                <w:szCs w:val="22"/>
              </w:rPr>
            </w:pPr>
            <w:r>
              <w:rPr>
                <w:rFonts w:hint="eastAsia" w:ascii="宋体" w:hAnsi="宋体" w:cs="宋体"/>
                <w:sz w:val="22"/>
                <w:szCs w:val="22"/>
              </w:rPr>
              <w:t>2.条块分明，色彩明快，线条优美，直线笔直，曲线流畅；</w:t>
            </w:r>
          </w:p>
          <w:p>
            <w:pPr>
              <w:spacing w:line="400" w:lineRule="exact"/>
              <w:rPr>
                <w:rFonts w:ascii="宋体" w:hAnsi="宋体" w:cs="宋体"/>
                <w:sz w:val="22"/>
                <w:szCs w:val="22"/>
              </w:rPr>
            </w:pPr>
            <w:r>
              <w:rPr>
                <w:rFonts w:hint="eastAsia" w:ascii="宋体" w:hAnsi="宋体" w:cs="宋体"/>
                <w:sz w:val="22"/>
                <w:szCs w:val="22"/>
              </w:rPr>
              <w:t>3.无缺株断层。</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1.景观良好，造型完整；</w:t>
            </w:r>
          </w:p>
          <w:p>
            <w:pPr>
              <w:spacing w:line="400" w:lineRule="exact"/>
              <w:rPr>
                <w:rFonts w:ascii="宋体" w:hAnsi="宋体" w:cs="宋体"/>
                <w:sz w:val="22"/>
                <w:szCs w:val="22"/>
              </w:rPr>
            </w:pPr>
            <w:r>
              <w:rPr>
                <w:rFonts w:hint="eastAsia" w:ascii="宋体" w:hAnsi="宋体" w:cs="宋体"/>
                <w:sz w:val="22"/>
                <w:szCs w:val="22"/>
              </w:rPr>
              <w:t>2.条块分明，色彩明快，线条优美；</w:t>
            </w:r>
          </w:p>
          <w:p>
            <w:pPr>
              <w:spacing w:line="400" w:lineRule="exact"/>
              <w:rPr>
                <w:rFonts w:ascii="宋体" w:hAnsi="宋体" w:cs="宋体"/>
                <w:sz w:val="22"/>
                <w:szCs w:val="22"/>
              </w:rPr>
            </w:pPr>
            <w:r>
              <w:rPr>
                <w:rFonts w:hint="eastAsia" w:ascii="宋体" w:hAnsi="宋体" w:cs="宋体"/>
                <w:sz w:val="22"/>
                <w:szCs w:val="22"/>
              </w:rPr>
              <w:t>3.基本无缺株断层。</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1.景观好，造型基本完整；</w:t>
            </w:r>
          </w:p>
          <w:p>
            <w:pPr>
              <w:spacing w:line="400" w:lineRule="exact"/>
              <w:rPr>
                <w:rFonts w:ascii="宋体" w:hAnsi="宋体" w:cs="宋体"/>
                <w:sz w:val="22"/>
                <w:szCs w:val="22"/>
              </w:rPr>
            </w:pPr>
            <w:r>
              <w:rPr>
                <w:rFonts w:hint="eastAsia" w:ascii="宋体" w:hAnsi="宋体" w:cs="宋体"/>
                <w:sz w:val="22"/>
                <w:szCs w:val="22"/>
              </w:rPr>
              <w:t>2.条块分明，线条优美；</w:t>
            </w:r>
          </w:p>
          <w:p>
            <w:pPr>
              <w:spacing w:line="400" w:lineRule="exact"/>
              <w:rPr>
                <w:rFonts w:ascii="宋体" w:hAnsi="宋体" w:cs="宋体"/>
                <w:sz w:val="22"/>
                <w:szCs w:val="22"/>
              </w:rPr>
            </w:pPr>
            <w:r>
              <w:rPr>
                <w:rFonts w:hint="eastAsia" w:ascii="宋体" w:hAnsi="宋体" w:cs="宋体"/>
                <w:sz w:val="22"/>
                <w:szCs w:val="22"/>
              </w:rPr>
              <w:t>3.无明显缺株断层。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1"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生长</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1.生长势强，枝壮叶茂；</w:t>
            </w:r>
          </w:p>
          <w:p>
            <w:pPr>
              <w:spacing w:line="400" w:lineRule="exact"/>
              <w:rPr>
                <w:rFonts w:ascii="宋体" w:hAnsi="宋体" w:cs="宋体"/>
                <w:sz w:val="22"/>
                <w:szCs w:val="22"/>
              </w:rPr>
            </w:pPr>
            <w:r>
              <w:rPr>
                <w:rFonts w:hint="eastAsia" w:ascii="宋体" w:hAnsi="宋体" w:cs="宋体"/>
                <w:sz w:val="22"/>
                <w:szCs w:val="22"/>
              </w:rPr>
              <w:t>2.叶色正常有光泽，无黄叶、焦叶、卷叶、枯萎叶，生长季节不落叶；</w:t>
            </w:r>
          </w:p>
          <w:p>
            <w:pPr>
              <w:spacing w:line="400" w:lineRule="exact"/>
              <w:rPr>
                <w:rFonts w:ascii="宋体" w:hAnsi="宋体" w:cs="宋体"/>
                <w:sz w:val="22"/>
                <w:szCs w:val="22"/>
              </w:rPr>
            </w:pPr>
            <w:r>
              <w:rPr>
                <w:rFonts w:hint="eastAsia" w:ascii="宋体" w:hAnsi="宋体" w:cs="宋体"/>
                <w:sz w:val="22"/>
                <w:szCs w:val="22"/>
              </w:rPr>
              <w:t>3.开花树种适时开花；</w:t>
            </w:r>
          </w:p>
          <w:p>
            <w:pPr>
              <w:spacing w:line="400" w:lineRule="exact"/>
              <w:rPr>
                <w:rFonts w:ascii="宋体" w:hAnsi="宋体" w:cs="宋体"/>
                <w:sz w:val="22"/>
                <w:szCs w:val="22"/>
              </w:rPr>
            </w:pPr>
            <w:r>
              <w:rPr>
                <w:rFonts w:hint="eastAsia" w:ascii="宋体" w:hAnsi="宋体" w:cs="宋体"/>
                <w:sz w:val="22"/>
                <w:szCs w:val="22"/>
              </w:rPr>
              <w:t>4.造型完整，枝条分布匀称，无病枝枯枝和落叶堆积。</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1.生长正常；</w:t>
            </w:r>
          </w:p>
          <w:p>
            <w:pPr>
              <w:spacing w:line="400" w:lineRule="exact"/>
              <w:rPr>
                <w:rFonts w:ascii="宋体" w:hAnsi="宋体" w:cs="宋体"/>
                <w:sz w:val="22"/>
                <w:szCs w:val="22"/>
              </w:rPr>
            </w:pPr>
            <w:r>
              <w:rPr>
                <w:rFonts w:hint="eastAsia" w:ascii="宋体" w:hAnsi="宋体" w:cs="宋体"/>
                <w:sz w:val="22"/>
                <w:szCs w:val="22"/>
              </w:rPr>
              <w:t>2.叶色正常，生长季节不大面积落叶；</w:t>
            </w:r>
          </w:p>
          <w:p>
            <w:pPr>
              <w:spacing w:line="400" w:lineRule="exact"/>
              <w:rPr>
                <w:rFonts w:ascii="宋体" w:hAnsi="宋体" w:cs="宋体"/>
                <w:sz w:val="22"/>
                <w:szCs w:val="22"/>
              </w:rPr>
            </w:pPr>
            <w:r>
              <w:rPr>
                <w:rFonts w:hint="eastAsia" w:ascii="宋体" w:hAnsi="宋体" w:cs="宋体"/>
                <w:sz w:val="22"/>
                <w:szCs w:val="22"/>
              </w:rPr>
              <w:t>3.开花树种适时开花；</w:t>
            </w:r>
          </w:p>
          <w:p>
            <w:pPr>
              <w:spacing w:line="400" w:lineRule="exact"/>
              <w:rPr>
                <w:rFonts w:ascii="宋体" w:hAnsi="宋体" w:cs="宋体"/>
                <w:sz w:val="22"/>
                <w:szCs w:val="22"/>
              </w:rPr>
            </w:pPr>
            <w:r>
              <w:rPr>
                <w:rFonts w:hint="eastAsia" w:ascii="宋体" w:hAnsi="宋体" w:cs="宋体"/>
                <w:sz w:val="22"/>
                <w:szCs w:val="22"/>
              </w:rPr>
              <w:t>4.无病枝枯枝和落叶堆积。</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1.生长基本正常；</w:t>
            </w:r>
          </w:p>
          <w:p>
            <w:pPr>
              <w:spacing w:line="400" w:lineRule="exact"/>
              <w:rPr>
                <w:rFonts w:ascii="宋体" w:hAnsi="宋体" w:cs="宋体"/>
                <w:sz w:val="22"/>
                <w:szCs w:val="22"/>
              </w:rPr>
            </w:pPr>
            <w:r>
              <w:rPr>
                <w:rFonts w:hint="eastAsia" w:ascii="宋体" w:hAnsi="宋体" w:cs="宋体"/>
                <w:sz w:val="22"/>
                <w:szCs w:val="22"/>
              </w:rPr>
              <w:t>2.叶色正常。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1"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修剪</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1.修剪适时适宜，疏密得当，造型美观；</w:t>
            </w:r>
          </w:p>
          <w:p>
            <w:pPr>
              <w:spacing w:line="400" w:lineRule="exact"/>
              <w:rPr>
                <w:rFonts w:ascii="宋体" w:hAnsi="宋体" w:cs="宋体"/>
                <w:sz w:val="22"/>
                <w:szCs w:val="22"/>
              </w:rPr>
            </w:pPr>
            <w:r>
              <w:rPr>
                <w:rFonts w:hint="eastAsia" w:ascii="宋体" w:hAnsi="宋体" w:cs="宋体"/>
                <w:sz w:val="22"/>
                <w:szCs w:val="22"/>
              </w:rPr>
              <w:t>2.工艺精细，操作规范，工具齐全。</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1.修剪适时适宜，疏密得当；</w:t>
            </w:r>
          </w:p>
          <w:p>
            <w:pPr>
              <w:spacing w:line="400" w:lineRule="exact"/>
              <w:rPr>
                <w:rFonts w:ascii="宋体" w:hAnsi="宋体" w:cs="宋体"/>
                <w:sz w:val="22"/>
                <w:szCs w:val="22"/>
              </w:rPr>
            </w:pPr>
            <w:r>
              <w:rPr>
                <w:rFonts w:hint="eastAsia" w:ascii="宋体" w:hAnsi="宋体" w:cs="宋体"/>
                <w:sz w:val="22"/>
                <w:szCs w:val="22"/>
              </w:rPr>
              <w:t>2.操作标准，工具齐全。</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修剪基本适时适宜，疏密基本得当。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切边</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边线清晰，线条流畅。</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边线明显，线条流畅。</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边线明显。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松土</w:t>
            </w:r>
          </w:p>
          <w:p>
            <w:pPr>
              <w:spacing w:line="400" w:lineRule="exact"/>
              <w:jc w:val="center"/>
              <w:rPr>
                <w:rFonts w:ascii="宋体" w:hAnsi="宋体" w:cs="宋体"/>
                <w:sz w:val="22"/>
                <w:szCs w:val="22"/>
              </w:rPr>
            </w:pPr>
            <w:r>
              <w:rPr>
                <w:rFonts w:hint="eastAsia" w:ascii="宋体" w:hAnsi="宋体" w:cs="宋体"/>
                <w:sz w:val="22"/>
                <w:szCs w:val="22"/>
              </w:rPr>
              <w:t>除草</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无大型、恶性、缠绕性杂草。</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基本无大型、恶性、缠绕性杂草。</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无明显大型、恶性、缠绕性杂草。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排灌</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1.排水畅通，无积水；</w:t>
            </w:r>
          </w:p>
          <w:p>
            <w:pPr>
              <w:spacing w:line="400" w:lineRule="exact"/>
              <w:rPr>
                <w:rFonts w:ascii="宋体" w:hAnsi="宋体" w:cs="宋体"/>
                <w:sz w:val="22"/>
                <w:szCs w:val="22"/>
              </w:rPr>
            </w:pPr>
            <w:r>
              <w:rPr>
                <w:rFonts w:hint="eastAsia" w:ascii="宋体" w:hAnsi="宋体" w:cs="宋体"/>
                <w:sz w:val="22"/>
                <w:szCs w:val="22"/>
              </w:rPr>
              <w:t>2.无失水萎蔫现象。</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1.排水基本畅通，无积水；</w:t>
            </w:r>
          </w:p>
          <w:p>
            <w:pPr>
              <w:spacing w:line="400" w:lineRule="exact"/>
              <w:rPr>
                <w:rFonts w:ascii="宋体" w:hAnsi="宋体" w:cs="宋体"/>
                <w:sz w:val="22"/>
                <w:szCs w:val="22"/>
              </w:rPr>
            </w:pPr>
            <w:r>
              <w:rPr>
                <w:rFonts w:hint="eastAsia" w:ascii="宋体" w:hAnsi="宋体" w:cs="宋体"/>
                <w:sz w:val="22"/>
                <w:szCs w:val="22"/>
              </w:rPr>
              <w:t>2.基本无失水萎蔫现象。</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1.排水基本畅通，无明显积水；</w:t>
            </w:r>
          </w:p>
          <w:p>
            <w:pPr>
              <w:spacing w:line="400" w:lineRule="exact"/>
              <w:rPr>
                <w:rFonts w:ascii="宋体" w:hAnsi="宋体" w:cs="宋体"/>
                <w:sz w:val="22"/>
                <w:szCs w:val="22"/>
              </w:rPr>
            </w:pPr>
            <w:r>
              <w:rPr>
                <w:rFonts w:hint="eastAsia" w:ascii="宋体" w:hAnsi="宋体" w:cs="宋体"/>
                <w:sz w:val="22"/>
                <w:szCs w:val="22"/>
              </w:rPr>
              <w:t>2.无明显失水萎蔫现象。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9"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栽（补）植</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1.栽植科学，搭配合理；</w:t>
            </w:r>
          </w:p>
          <w:p>
            <w:pPr>
              <w:spacing w:line="400" w:lineRule="exact"/>
              <w:rPr>
                <w:rFonts w:ascii="宋体" w:hAnsi="宋体" w:cs="宋体"/>
                <w:sz w:val="22"/>
                <w:szCs w:val="22"/>
              </w:rPr>
            </w:pPr>
            <w:r>
              <w:rPr>
                <w:rFonts w:hint="eastAsia" w:ascii="宋体" w:hAnsi="宋体" w:cs="宋体"/>
                <w:sz w:val="22"/>
                <w:szCs w:val="22"/>
              </w:rPr>
              <w:t>2.补植苗木树种统一，规格基本一致；</w:t>
            </w:r>
          </w:p>
          <w:p>
            <w:pPr>
              <w:spacing w:line="400" w:lineRule="exact"/>
              <w:rPr>
                <w:rFonts w:ascii="宋体" w:hAnsi="宋体" w:cs="宋体"/>
                <w:sz w:val="22"/>
                <w:szCs w:val="22"/>
              </w:rPr>
            </w:pPr>
            <w:r>
              <w:rPr>
                <w:rFonts w:hint="eastAsia" w:ascii="宋体" w:hAnsi="宋体" w:cs="宋体"/>
                <w:sz w:val="22"/>
                <w:szCs w:val="22"/>
              </w:rPr>
              <w:t>3.补植季节应以春秋两季种植为主，非种植季节补植，应采取相应措施并加强补植后的养护工作。</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1.栽植科学，搭配合理；</w:t>
            </w:r>
          </w:p>
          <w:p>
            <w:pPr>
              <w:spacing w:line="400" w:lineRule="exact"/>
              <w:rPr>
                <w:rFonts w:ascii="宋体" w:hAnsi="宋体" w:cs="宋体"/>
                <w:sz w:val="22"/>
                <w:szCs w:val="22"/>
              </w:rPr>
            </w:pPr>
            <w:r>
              <w:rPr>
                <w:rFonts w:hint="eastAsia" w:ascii="宋体" w:hAnsi="宋体" w:cs="宋体"/>
                <w:sz w:val="22"/>
                <w:szCs w:val="22"/>
              </w:rPr>
              <w:t>2.补植苗木树种统一，规格近似；</w:t>
            </w:r>
          </w:p>
          <w:p>
            <w:pPr>
              <w:spacing w:line="400" w:lineRule="exact"/>
              <w:rPr>
                <w:rFonts w:ascii="宋体" w:hAnsi="宋体" w:cs="宋体"/>
                <w:sz w:val="22"/>
                <w:szCs w:val="22"/>
              </w:rPr>
            </w:pPr>
            <w:r>
              <w:rPr>
                <w:rFonts w:hint="eastAsia" w:ascii="宋体" w:hAnsi="宋体" w:cs="宋体"/>
                <w:sz w:val="22"/>
                <w:szCs w:val="22"/>
              </w:rPr>
              <w:t>3.补植季节应以春秋两季种植为主，非种植季节补植，应采取相应措施并加强补植后的养护工作。</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1.栽植科学，搭配合理；</w:t>
            </w:r>
          </w:p>
          <w:p>
            <w:pPr>
              <w:spacing w:line="400" w:lineRule="exact"/>
              <w:rPr>
                <w:rFonts w:ascii="宋体" w:hAnsi="宋体" w:cs="宋体"/>
                <w:sz w:val="22"/>
                <w:szCs w:val="22"/>
              </w:rPr>
            </w:pPr>
            <w:r>
              <w:rPr>
                <w:rFonts w:hint="eastAsia" w:ascii="宋体" w:hAnsi="宋体" w:cs="宋体"/>
                <w:sz w:val="22"/>
                <w:szCs w:val="22"/>
              </w:rPr>
              <w:t>2.补植苗木树种统一。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清洁</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1.无垃圾；</w:t>
            </w:r>
          </w:p>
          <w:p>
            <w:pPr>
              <w:spacing w:line="400" w:lineRule="exact"/>
              <w:rPr>
                <w:rFonts w:ascii="宋体" w:hAnsi="宋体" w:cs="宋体"/>
                <w:sz w:val="22"/>
                <w:szCs w:val="22"/>
              </w:rPr>
            </w:pPr>
            <w:r>
              <w:rPr>
                <w:rFonts w:hint="eastAsia" w:ascii="宋体" w:hAnsi="宋体" w:cs="宋体"/>
                <w:sz w:val="22"/>
                <w:szCs w:val="22"/>
              </w:rPr>
              <w:t>2.无粉尘覆盖。</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1.基本无垃圾；</w:t>
            </w:r>
          </w:p>
          <w:p>
            <w:pPr>
              <w:spacing w:line="400" w:lineRule="exact"/>
              <w:rPr>
                <w:rFonts w:ascii="宋体" w:hAnsi="宋体" w:cs="宋体"/>
                <w:sz w:val="22"/>
                <w:szCs w:val="22"/>
              </w:rPr>
            </w:pPr>
            <w:r>
              <w:rPr>
                <w:rFonts w:hint="eastAsia" w:ascii="宋体" w:hAnsi="宋体" w:cs="宋体"/>
                <w:sz w:val="22"/>
                <w:szCs w:val="22"/>
              </w:rPr>
              <w:t>2.无厚重粉尘覆盖。</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无陈积垃圾。</w:t>
            </w:r>
          </w:p>
        </w:tc>
      </w:tr>
    </w:tbl>
    <w:p>
      <w:pPr>
        <w:spacing w:line="400" w:lineRule="exact"/>
        <w:rPr>
          <w:rFonts w:ascii="宋体" w:hAnsi="宋体" w:cs="宋体"/>
          <w:sz w:val="22"/>
          <w:szCs w:val="22"/>
        </w:rPr>
      </w:pPr>
      <w:r>
        <w:rPr>
          <w:rFonts w:hint="eastAsia" w:ascii="宋体" w:hAnsi="宋体" w:cs="宋体"/>
          <w:sz w:val="22"/>
          <w:szCs w:val="22"/>
        </w:rPr>
        <w:t>3.4 草坪、草地养护标准应符合表3.4的规定：</w:t>
      </w:r>
    </w:p>
    <w:p>
      <w:pPr>
        <w:spacing w:line="400" w:lineRule="exact"/>
        <w:jc w:val="center"/>
        <w:rPr>
          <w:rFonts w:ascii="宋体" w:hAnsi="宋体" w:cs="宋体"/>
          <w:sz w:val="22"/>
          <w:szCs w:val="22"/>
        </w:rPr>
      </w:pPr>
      <w:r>
        <w:rPr>
          <w:rFonts w:hint="eastAsia" w:ascii="宋体" w:hAnsi="宋体" w:cs="宋体"/>
          <w:sz w:val="22"/>
          <w:szCs w:val="22"/>
        </w:rPr>
        <w:t>表3.4 草坪、草地</w:t>
      </w:r>
    </w:p>
    <w:tbl>
      <w:tblPr>
        <w:tblStyle w:val="25"/>
        <w:tblW w:w="9240"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800"/>
        <w:gridCol w:w="2800"/>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40" w:type="dxa"/>
            <w:vMerge w:val="restart"/>
            <w:tcBorders>
              <w:top w:val="single" w:color="auto" w:sz="4" w:space="0"/>
              <w:left w:val="single" w:color="auto" w:sz="4" w:space="0"/>
              <w:bottom w:val="single" w:color="auto" w:sz="4" w:space="0"/>
              <w:right w:val="single" w:color="auto" w:sz="4" w:space="0"/>
            </w:tcBorders>
          </w:tcPr>
          <w:p>
            <w:pPr>
              <w:spacing w:line="400" w:lineRule="exact"/>
              <w:ind w:firstLine="1430" w:firstLineChars="650"/>
              <w:jc w:val="center"/>
              <w:rPr>
                <w:rFonts w:ascii="宋体" w:hAnsi="宋体" w:cs="宋体"/>
                <w:sz w:val="22"/>
                <w:szCs w:val="22"/>
              </w:rPr>
            </w:pPr>
          </w:p>
          <w:p>
            <w:pPr>
              <w:spacing w:line="400" w:lineRule="exact"/>
              <w:jc w:val="center"/>
              <w:rPr>
                <w:rFonts w:ascii="宋体" w:hAnsi="宋体" w:cs="宋体"/>
                <w:sz w:val="22"/>
                <w:szCs w:val="22"/>
              </w:rPr>
            </w:pPr>
            <w:r>
              <w:rPr>
                <w:rFonts w:hint="eastAsia" w:ascii="宋体" w:hAnsi="宋体" w:cs="宋体"/>
                <w:sz w:val="22"/>
                <w:szCs w:val="22"/>
              </w:rPr>
              <w:t>项目</w:t>
            </w:r>
          </w:p>
        </w:tc>
        <w:tc>
          <w:tcPr>
            <w:tcW w:w="840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 w:val="22"/>
                <w:szCs w:val="22"/>
              </w:rPr>
            </w:pP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I级</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II级</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III级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2"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景观</w:t>
            </w:r>
          </w:p>
          <w:p>
            <w:pPr>
              <w:spacing w:line="400" w:lineRule="exact"/>
              <w:jc w:val="center"/>
              <w:rPr>
                <w:rFonts w:ascii="宋体" w:hAnsi="宋体" w:cs="宋体"/>
                <w:sz w:val="22"/>
                <w:szCs w:val="22"/>
              </w:rPr>
            </w:pPr>
            <w:r>
              <w:rPr>
                <w:rFonts w:hint="eastAsia" w:ascii="宋体" w:hAnsi="宋体" w:cs="宋体"/>
                <w:sz w:val="22"/>
                <w:szCs w:val="22"/>
              </w:rPr>
              <w:t>效果</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1.管理精细，景观优美；</w:t>
            </w:r>
          </w:p>
          <w:p>
            <w:pPr>
              <w:spacing w:line="400" w:lineRule="exact"/>
              <w:rPr>
                <w:rFonts w:ascii="宋体" w:hAnsi="宋体" w:cs="宋体"/>
                <w:sz w:val="22"/>
                <w:szCs w:val="22"/>
              </w:rPr>
            </w:pPr>
            <w:r>
              <w:rPr>
                <w:rFonts w:hint="eastAsia" w:ascii="宋体" w:hAnsi="宋体" w:cs="宋体"/>
                <w:sz w:val="22"/>
                <w:szCs w:val="22"/>
              </w:rPr>
              <w:t>2.草种纯，目测无杂草；</w:t>
            </w:r>
          </w:p>
          <w:p>
            <w:pPr>
              <w:spacing w:line="400" w:lineRule="exact"/>
              <w:rPr>
                <w:rFonts w:ascii="宋体" w:hAnsi="宋体" w:cs="宋体"/>
                <w:sz w:val="22"/>
                <w:szCs w:val="22"/>
              </w:rPr>
            </w:pPr>
            <w:r>
              <w:rPr>
                <w:rFonts w:hint="eastAsia" w:ascii="宋体" w:hAnsi="宋体" w:cs="宋体"/>
                <w:sz w:val="22"/>
                <w:szCs w:val="22"/>
              </w:rPr>
              <w:t>3.生长旺盛，生长季节不枯黄，无斑秃；</w:t>
            </w:r>
          </w:p>
          <w:p>
            <w:pPr>
              <w:spacing w:line="400" w:lineRule="exact"/>
              <w:rPr>
                <w:rFonts w:ascii="宋体" w:hAnsi="宋体" w:cs="宋体"/>
                <w:sz w:val="22"/>
                <w:szCs w:val="22"/>
              </w:rPr>
            </w:pPr>
            <w:r>
              <w:rPr>
                <w:rFonts w:hint="eastAsia" w:ascii="宋体" w:hAnsi="宋体" w:cs="宋体"/>
                <w:sz w:val="22"/>
                <w:szCs w:val="22"/>
              </w:rPr>
              <w:t>4.美观平整、坡度科学、无坑洼；</w:t>
            </w:r>
          </w:p>
          <w:p>
            <w:pPr>
              <w:spacing w:line="400" w:lineRule="exact"/>
              <w:rPr>
                <w:rFonts w:ascii="宋体" w:hAnsi="宋体" w:cs="宋体"/>
                <w:sz w:val="22"/>
                <w:szCs w:val="22"/>
              </w:rPr>
            </w:pPr>
            <w:r>
              <w:rPr>
                <w:rFonts w:hint="eastAsia" w:ascii="宋体" w:hAnsi="宋体" w:cs="宋体"/>
                <w:sz w:val="22"/>
                <w:szCs w:val="22"/>
              </w:rPr>
              <w:t>5.基本无人为践踏。</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1.管理到位，景观良好；</w:t>
            </w:r>
          </w:p>
          <w:p>
            <w:pPr>
              <w:spacing w:line="400" w:lineRule="exact"/>
              <w:rPr>
                <w:rFonts w:ascii="宋体" w:hAnsi="宋体" w:cs="宋体"/>
                <w:sz w:val="22"/>
                <w:szCs w:val="22"/>
              </w:rPr>
            </w:pPr>
            <w:r>
              <w:rPr>
                <w:rFonts w:hint="eastAsia" w:ascii="宋体" w:hAnsi="宋体" w:cs="宋体"/>
                <w:sz w:val="22"/>
                <w:szCs w:val="22"/>
              </w:rPr>
              <w:t>2.草种基本纯，目测无大面积杂草；</w:t>
            </w:r>
          </w:p>
          <w:p>
            <w:pPr>
              <w:spacing w:line="400" w:lineRule="exact"/>
              <w:rPr>
                <w:rFonts w:ascii="宋体" w:hAnsi="宋体" w:cs="宋体"/>
                <w:sz w:val="22"/>
                <w:szCs w:val="22"/>
              </w:rPr>
            </w:pPr>
            <w:r>
              <w:rPr>
                <w:rFonts w:hint="eastAsia" w:ascii="宋体" w:hAnsi="宋体" w:cs="宋体"/>
                <w:sz w:val="22"/>
                <w:szCs w:val="22"/>
              </w:rPr>
              <w:t>3.生长季节不枯黄，无大面积斑秃；</w:t>
            </w:r>
          </w:p>
          <w:p>
            <w:pPr>
              <w:spacing w:line="400" w:lineRule="exact"/>
              <w:rPr>
                <w:rFonts w:ascii="宋体" w:hAnsi="宋体" w:cs="宋体"/>
                <w:sz w:val="22"/>
                <w:szCs w:val="22"/>
              </w:rPr>
            </w:pPr>
            <w:r>
              <w:rPr>
                <w:rFonts w:hint="eastAsia" w:ascii="宋体" w:hAnsi="宋体" w:cs="宋体"/>
                <w:sz w:val="22"/>
                <w:szCs w:val="22"/>
              </w:rPr>
              <w:t>4.坡度平整、无坑洼；</w:t>
            </w:r>
          </w:p>
          <w:p>
            <w:pPr>
              <w:spacing w:line="400" w:lineRule="exact"/>
              <w:rPr>
                <w:rFonts w:ascii="宋体" w:hAnsi="宋体" w:cs="宋体"/>
                <w:sz w:val="22"/>
                <w:szCs w:val="22"/>
              </w:rPr>
            </w:pPr>
            <w:r>
              <w:rPr>
                <w:rFonts w:hint="eastAsia" w:ascii="宋体" w:hAnsi="宋体" w:cs="宋体"/>
                <w:sz w:val="22"/>
                <w:szCs w:val="22"/>
              </w:rPr>
              <w:t>5.基本无人为践踏。</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1.管理到位；</w:t>
            </w:r>
          </w:p>
          <w:p>
            <w:pPr>
              <w:spacing w:line="400" w:lineRule="exact"/>
              <w:rPr>
                <w:rFonts w:ascii="宋体" w:hAnsi="宋体" w:cs="宋体"/>
                <w:sz w:val="22"/>
                <w:szCs w:val="22"/>
              </w:rPr>
            </w:pPr>
            <w:r>
              <w:rPr>
                <w:rFonts w:hint="eastAsia" w:ascii="宋体" w:hAnsi="宋体" w:cs="宋体"/>
                <w:sz w:val="22"/>
                <w:szCs w:val="22"/>
              </w:rPr>
              <w:t>2.生长季节不枯黄，无大面积斑秃；</w:t>
            </w:r>
          </w:p>
          <w:p>
            <w:pPr>
              <w:spacing w:line="400" w:lineRule="exact"/>
              <w:rPr>
                <w:rFonts w:ascii="宋体" w:hAnsi="宋体" w:cs="宋体"/>
                <w:sz w:val="22"/>
                <w:szCs w:val="22"/>
              </w:rPr>
            </w:pPr>
            <w:r>
              <w:rPr>
                <w:rFonts w:hint="eastAsia" w:ascii="宋体" w:hAnsi="宋体" w:cs="宋体"/>
                <w:sz w:val="22"/>
                <w:szCs w:val="22"/>
              </w:rPr>
              <w:t>3.无严重人为践踏。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生长</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1.生长旺盛，整洁美观；</w:t>
            </w:r>
          </w:p>
          <w:p>
            <w:pPr>
              <w:spacing w:line="400" w:lineRule="exact"/>
              <w:rPr>
                <w:rFonts w:ascii="宋体" w:hAnsi="宋体" w:cs="宋体"/>
                <w:sz w:val="22"/>
                <w:szCs w:val="22"/>
              </w:rPr>
            </w:pPr>
            <w:r>
              <w:rPr>
                <w:rFonts w:hint="eastAsia" w:ascii="宋体" w:hAnsi="宋体" w:cs="宋体"/>
                <w:sz w:val="22"/>
                <w:szCs w:val="22"/>
              </w:rPr>
              <w:t>2.无空秃。</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1.生长良好，整洁美观；</w:t>
            </w:r>
          </w:p>
          <w:p>
            <w:pPr>
              <w:spacing w:line="400" w:lineRule="exact"/>
              <w:rPr>
                <w:rFonts w:ascii="宋体" w:hAnsi="宋体" w:cs="宋体"/>
                <w:sz w:val="22"/>
                <w:szCs w:val="22"/>
              </w:rPr>
            </w:pPr>
            <w:r>
              <w:rPr>
                <w:rFonts w:hint="eastAsia" w:ascii="宋体" w:hAnsi="宋体" w:cs="宋体"/>
                <w:sz w:val="22"/>
                <w:szCs w:val="22"/>
              </w:rPr>
              <w:t>2.无大于1㎡以上的集中空秃。</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1.生长好，整洁美观；</w:t>
            </w:r>
          </w:p>
          <w:p>
            <w:pPr>
              <w:spacing w:line="400" w:lineRule="exact"/>
              <w:rPr>
                <w:rFonts w:ascii="宋体" w:hAnsi="宋体" w:cs="宋体"/>
                <w:sz w:val="22"/>
                <w:szCs w:val="22"/>
              </w:rPr>
            </w:pPr>
            <w:r>
              <w:rPr>
                <w:rFonts w:hint="eastAsia" w:ascii="宋体" w:hAnsi="宋体" w:cs="宋体"/>
                <w:sz w:val="22"/>
                <w:szCs w:val="22"/>
              </w:rPr>
              <w:t>2.无大面积集中空秃。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修剪</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1.适时适度修剪，草坪修剪高度控制适宜；</w:t>
            </w:r>
          </w:p>
          <w:p>
            <w:pPr>
              <w:spacing w:line="400" w:lineRule="exact"/>
              <w:rPr>
                <w:rFonts w:ascii="宋体" w:hAnsi="宋体" w:cs="宋体"/>
                <w:sz w:val="22"/>
                <w:szCs w:val="22"/>
              </w:rPr>
            </w:pPr>
            <w:r>
              <w:rPr>
                <w:rFonts w:hint="eastAsia" w:ascii="宋体" w:hAnsi="宋体" w:cs="宋体"/>
                <w:sz w:val="22"/>
                <w:szCs w:val="22"/>
              </w:rPr>
              <w:t>2.修剪平整、均匀、无漏草，草屑清理及时；</w:t>
            </w:r>
          </w:p>
          <w:p>
            <w:pPr>
              <w:spacing w:line="400" w:lineRule="exact"/>
              <w:rPr>
                <w:rFonts w:ascii="宋体" w:hAnsi="宋体" w:cs="宋体"/>
                <w:sz w:val="22"/>
                <w:szCs w:val="22"/>
              </w:rPr>
            </w:pPr>
            <w:r>
              <w:rPr>
                <w:rFonts w:hint="eastAsia" w:ascii="宋体" w:hAnsi="宋体" w:cs="宋体"/>
                <w:sz w:val="22"/>
                <w:szCs w:val="22"/>
              </w:rPr>
              <w:t>3.靠近道路一边和树穴的草修剪齐整，保持线条清晰。</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1.适时适度修剪，草坪修剪高度控制适宜；</w:t>
            </w:r>
          </w:p>
          <w:p>
            <w:pPr>
              <w:spacing w:line="400" w:lineRule="exact"/>
              <w:rPr>
                <w:rFonts w:ascii="宋体" w:hAnsi="宋体" w:cs="宋体"/>
                <w:sz w:val="22"/>
                <w:szCs w:val="22"/>
              </w:rPr>
            </w:pPr>
            <w:r>
              <w:rPr>
                <w:rFonts w:hint="eastAsia" w:ascii="宋体" w:hAnsi="宋体" w:cs="宋体"/>
                <w:sz w:val="22"/>
                <w:szCs w:val="22"/>
              </w:rPr>
              <w:t>2.修剪平整、均匀，草屑清理及时；</w:t>
            </w:r>
          </w:p>
          <w:p>
            <w:pPr>
              <w:spacing w:line="400" w:lineRule="exact"/>
              <w:rPr>
                <w:rFonts w:ascii="宋体" w:hAnsi="宋体" w:cs="宋体"/>
                <w:sz w:val="22"/>
                <w:szCs w:val="22"/>
              </w:rPr>
            </w:pPr>
            <w:r>
              <w:rPr>
                <w:rFonts w:hint="eastAsia" w:ascii="宋体" w:hAnsi="宋体" w:cs="宋体"/>
                <w:sz w:val="22"/>
                <w:szCs w:val="22"/>
              </w:rPr>
              <w:t>3.靠近道路一边和树穴的草修剪齐整。</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1.适时适度修剪，草坪修剪高度控制基本适宜；</w:t>
            </w:r>
          </w:p>
          <w:p>
            <w:pPr>
              <w:spacing w:line="400" w:lineRule="exact"/>
              <w:rPr>
                <w:rFonts w:ascii="宋体" w:hAnsi="宋体" w:cs="宋体"/>
                <w:sz w:val="22"/>
                <w:szCs w:val="22"/>
              </w:rPr>
            </w:pPr>
            <w:r>
              <w:rPr>
                <w:rFonts w:hint="eastAsia" w:ascii="宋体" w:hAnsi="宋体" w:cs="宋体"/>
                <w:sz w:val="22"/>
                <w:szCs w:val="22"/>
              </w:rPr>
              <w:t>2.修剪基本平整，无草屑遗留。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排灌</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1.排灌系统完好无损，自然排水通畅；</w:t>
            </w:r>
          </w:p>
          <w:p>
            <w:pPr>
              <w:spacing w:line="400" w:lineRule="exact"/>
              <w:rPr>
                <w:rFonts w:ascii="宋体" w:hAnsi="宋体" w:cs="宋体"/>
                <w:sz w:val="22"/>
                <w:szCs w:val="22"/>
              </w:rPr>
            </w:pPr>
            <w:r>
              <w:rPr>
                <w:rFonts w:hint="eastAsia" w:ascii="宋体" w:hAnsi="宋体" w:cs="宋体"/>
                <w:sz w:val="22"/>
                <w:szCs w:val="22"/>
              </w:rPr>
              <w:t>2.无失水萎蔫现象。</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1.有良好的排灌设施，自然排水通畅，无积水；</w:t>
            </w:r>
          </w:p>
          <w:p>
            <w:pPr>
              <w:spacing w:line="400" w:lineRule="exact"/>
              <w:rPr>
                <w:rFonts w:ascii="宋体" w:hAnsi="宋体" w:cs="宋体"/>
                <w:sz w:val="22"/>
                <w:szCs w:val="22"/>
              </w:rPr>
            </w:pPr>
            <w:r>
              <w:rPr>
                <w:rFonts w:hint="eastAsia" w:ascii="宋体" w:hAnsi="宋体" w:cs="宋体"/>
                <w:sz w:val="22"/>
                <w:szCs w:val="22"/>
              </w:rPr>
              <w:t>2.基本无失水萎蔫现象。</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1.排水基本通畅，无明显积水坑；</w:t>
            </w:r>
          </w:p>
          <w:p>
            <w:pPr>
              <w:spacing w:line="400" w:lineRule="exact"/>
              <w:rPr>
                <w:rFonts w:ascii="宋体" w:hAnsi="宋体" w:cs="宋体"/>
                <w:sz w:val="22"/>
                <w:szCs w:val="22"/>
              </w:rPr>
            </w:pPr>
            <w:r>
              <w:rPr>
                <w:rFonts w:hint="eastAsia" w:ascii="宋体" w:hAnsi="宋体" w:cs="宋体"/>
                <w:sz w:val="22"/>
                <w:szCs w:val="22"/>
              </w:rPr>
              <w:t>2.无明显失水萎蔫现象。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切边</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边线宽窄适宜、边线清晰、线条流畅。</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边线宽窄适宜、边线清晰、线条流畅。</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边线清晰。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除草</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清除杂草及时。</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清除杂草及时。</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清除杂草及时。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打孔</w:t>
            </w:r>
          </w:p>
          <w:p>
            <w:pPr>
              <w:spacing w:line="400" w:lineRule="exact"/>
              <w:jc w:val="center"/>
              <w:rPr>
                <w:rFonts w:ascii="宋体" w:hAnsi="宋体" w:cs="宋体"/>
                <w:sz w:val="22"/>
                <w:szCs w:val="22"/>
              </w:rPr>
            </w:pPr>
            <w:r>
              <w:rPr>
                <w:rFonts w:hint="eastAsia" w:ascii="宋体" w:hAnsi="宋体" w:cs="宋体"/>
                <w:sz w:val="22"/>
                <w:szCs w:val="22"/>
              </w:rPr>
              <w:t>松土</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冷季型草坪宜在秋季进行，暖季型草坪宜在早春进行。</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冷季型草坪宜在秋季进行，暖季型草坪宜在早春进行。</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冷季型草坪宜在秋季进行，暖季型草坪宜在早春进行。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栽（补）植</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1.及时对空秃地段进行补种补植；</w:t>
            </w:r>
          </w:p>
          <w:p>
            <w:pPr>
              <w:spacing w:line="400" w:lineRule="exact"/>
              <w:rPr>
                <w:rFonts w:ascii="宋体" w:hAnsi="宋体" w:cs="宋体"/>
                <w:sz w:val="22"/>
                <w:szCs w:val="22"/>
              </w:rPr>
            </w:pPr>
            <w:r>
              <w:rPr>
                <w:rFonts w:hint="eastAsia" w:ascii="宋体" w:hAnsi="宋体" w:cs="宋体"/>
                <w:sz w:val="22"/>
                <w:szCs w:val="22"/>
              </w:rPr>
              <w:t>2.补栽平整美观，无明显补栽痕迹。</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及时对空秃地段进行补种补植。</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及时对空秃地段进行补种补植。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清洁</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无垃圾。</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无垃圾。</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无垃圾。</w:t>
            </w:r>
          </w:p>
        </w:tc>
      </w:tr>
    </w:tbl>
    <w:p>
      <w:pPr>
        <w:spacing w:line="400" w:lineRule="exact"/>
        <w:rPr>
          <w:rFonts w:ascii="宋体" w:hAnsi="宋体" w:cs="宋体"/>
          <w:sz w:val="22"/>
          <w:szCs w:val="22"/>
        </w:rPr>
      </w:pPr>
      <w:r>
        <w:rPr>
          <w:rFonts w:hint="eastAsia" w:ascii="宋体" w:hAnsi="宋体" w:cs="宋体"/>
          <w:sz w:val="22"/>
          <w:szCs w:val="22"/>
        </w:rPr>
        <w:t>3.5 地被植物养护标准应符合表3.5的规定：</w:t>
      </w:r>
    </w:p>
    <w:p>
      <w:pPr>
        <w:spacing w:line="400" w:lineRule="exact"/>
        <w:jc w:val="center"/>
        <w:rPr>
          <w:rFonts w:ascii="宋体" w:hAnsi="宋体" w:cs="宋体"/>
          <w:sz w:val="22"/>
          <w:szCs w:val="22"/>
        </w:rPr>
      </w:pPr>
      <w:r>
        <w:rPr>
          <w:rFonts w:hint="eastAsia" w:ascii="宋体" w:hAnsi="宋体" w:cs="宋体"/>
          <w:sz w:val="22"/>
          <w:szCs w:val="22"/>
        </w:rPr>
        <w:t>表3.5 地被植物</w:t>
      </w:r>
    </w:p>
    <w:tbl>
      <w:tblPr>
        <w:tblStyle w:val="25"/>
        <w:tblW w:w="9240" w:type="dxa"/>
        <w:tblInd w:w="-20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0"/>
        <w:gridCol w:w="3885"/>
        <w:gridCol w:w="38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6" w:hRule="atLeast"/>
        </w:trPr>
        <w:tc>
          <w:tcPr>
            <w:tcW w:w="1470" w:type="dxa"/>
            <w:vMerge w:val="restart"/>
            <w:tcBorders>
              <w:top w:val="single" w:color="auto" w:sz="4" w:space="0"/>
              <w:left w:val="single" w:color="auto" w:sz="4" w:space="0"/>
              <w:bottom w:val="single" w:color="auto" w:sz="4" w:space="0"/>
              <w:right w:val="single" w:color="auto" w:sz="6"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项目</w:t>
            </w:r>
          </w:p>
        </w:tc>
        <w:tc>
          <w:tcPr>
            <w:tcW w:w="3885" w:type="dxa"/>
            <w:tcBorders>
              <w:top w:val="single" w:color="auto" w:sz="4" w:space="0"/>
              <w:left w:val="single" w:color="auto" w:sz="6" w:space="0"/>
              <w:bottom w:val="single" w:color="auto" w:sz="6" w:space="0"/>
              <w:right w:val="single" w:color="auto" w:sz="6"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单植地被</w:t>
            </w:r>
          </w:p>
        </w:tc>
        <w:tc>
          <w:tcPr>
            <w:tcW w:w="3885" w:type="dxa"/>
            <w:tcBorders>
              <w:top w:val="single" w:color="auto" w:sz="4" w:space="0"/>
              <w:left w:val="single" w:color="auto" w:sz="6" w:space="0"/>
              <w:bottom w:val="single" w:color="auto" w:sz="6"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混植地被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3" w:hRule="atLeast"/>
        </w:trPr>
        <w:tc>
          <w:tcPr>
            <w:tcW w:w="1470" w:type="dxa"/>
            <w:vMerge w:val="continue"/>
            <w:tcBorders>
              <w:top w:val="single" w:color="auto" w:sz="4" w:space="0"/>
              <w:left w:val="single" w:color="auto" w:sz="4" w:space="0"/>
              <w:bottom w:val="single" w:color="auto" w:sz="4" w:space="0"/>
              <w:right w:val="single" w:color="auto" w:sz="6" w:space="0"/>
            </w:tcBorders>
            <w:vAlign w:val="center"/>
          </w:tcPr>
          <w:p>
            <w:pPr>
              <w:widowControl/>
              <w:spacing w:line="400" w:lineRule="exact"/>
              <w:jc w:val="left"/>
              <w:rPr>
                <w:rFonts w:ascii="宋体" w:hAnsi="宋体" w:cs="宋体"/>
                <w:sz w:val="22"/>
                <w:szCs w:val="22"/>
              </w:rPr>
            </w:pPr>
          </w:p>
        </w:tc>
        <w:tc>
          <w:tcPr>
            <w:tcW w:w="3885"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标准</w:t>
            </w:r>
          </w:p>
        </w:tc>
        <w:tc>
          <w:tcPr>
            <w:tcW w:w="3885" w:type="dxa"/>
            <w:tcBorders>
              <w:top w:val="single" w:color="auto" w:sz="6" w:space="0"/>
              <w:left w:val="single" w:color="auto" w:sz="6"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61" w:hRule="atLeast"/>
        </w:trPr>
        <w:tc>
          <w:tcPr>
            <w:tcW w:w="1470" w:type="dxa"/>
            <w:tcBorders>
              <w:top w:val="single" w:color="auto" w:sz="4" w:space="0"/>
              <w:left w:val="single" w:color="auto" w:sz="4" w:space="0"/>
              <w:bottom w:val="single" w:color="auto" w:sz="6" w:space="0"/>
              <w:right w:val="single" w:color="auto" w:sz="6"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景观效果</w:t>
            </w:r>
          </w:p>
        </w:tc>
        <w:tc>
          <w:tcPr>
            <w:tcW w:w="3885" w:type="dxa"/>
            <w:tcBorders>
              <w:top w:val="single" w:color="auto" w:sz="4" w:space="0"/>
              <w:left w:val="single" w:color="auto" w:sz="6" w:space="0"/>
              <w:bottom w:val="single" w:color="auto" w:sz="6" w:space="0"/>
              <w:right w:val="single" w:color="auto" w:sz="6" w:space="0"/>
            </w:tcBorders>
            <w:vAlign w:val="center"/>
          </w:tcPr>
          <w:p>
            <w:pPr>
              <w:spacing w:line="400" w:lineRule="exact"/>
              <w:rPr>
                <w:rFonts w:ascii="宋体" w:hAnsi="宋体" w:cs="宋体"/>
                <w:sz w:val="22"/>
                <w:szCs w:val="22"/>
              </w:rPr>
            </w:pPr>
            <w:r>
              <w:rPr>
                <w:rFonts w:hint="eastAsia" w:ascii="宋体" w:hAnsi="宋体" w:cs="宋体"/>
                <w:sz w:val="22"/>
                <w:szCs w:val="22"/>
              </w:rPr>
              <w:t>1.种植密度合理；</w:t>
            </w:r>
          </w:p>
          <w:p>
            <w:pPr>
              <w:spacing w:line="400" w:lineRule="exact"/>
              <w:rPr>
                <w:rFonts w:ascii="宋体" w:hAnsi="宋体" w:cs="宋体"/>
                <w:sz w:val="22"/>
                <w:szCs w:val="22"/>
              </w:rPr>
            </w:pPr>
            <w:r>
              <w:rPr>
                <w:rFonts w:hint="eastAsia" w:ascii="宋体" w:hAnsi="宋体" w:cs="宋体"/>
                <w:sz w:val="22"/>
                <w:szCs w:val="22"/>
              </w:rPr>
              <w:t>2.植株规格整齐；</w:t>
            </w:r>
          </w:p>
          <w:p>
            <w:pPr>
              <w:spacing w:line="400" w:lineRule="exact"/>
              <w:rPr>
                <w:rFonts w:ascii="宋体" w:hAnsi="宋体" w:cs="宋体"/>
                <w:sz w:val="22"/>
                <w:szCs w:val="22"/>
              </w:rPr>
            </w:pPr>
            <w:r>
              <w:rPr>
                <w:rFonts w:hint="eastAsia" w:ascii="宋体" w:hAnsi="宋体" w:cs="宋体"/>
                <w:sz w:val="22"/>
                <w:szCs w:val="22"/>
              </w:rPr>
              <w:t>3.基本无死株，群体景观效果好。</w:t>
            </w:r>
          </w:p>
        </w:tc>
        <w:tc>
          <w:tcPr>
            <w:tcW w:w="3885" w:type="dxa"/>
            <w:tcBorders>
              <w:top w:val="single" w:color="auto" w:sz="4" w:space="0"/>
              <w:left w:val="single" w:color="auto" w:sz="6" w:space="0"/>
              <w:bottom w:val="single" w:color="auto" w:sz="6"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1.混植种类配置合理；</w:t>
            </w:r>
          </w:p>
          <w:p>
            <w:pPr>
              <w:spacing w:line="400" w:lineRule="exact"/>
              <w:rPr>
                <w:rFonts w:ascii="宋体" w:hAnsi="宋体" w:cs="宋体"/>
                <w:sz w:val="22"/>
                <w:szCs w:val="22"/>
              </w:rPr>
            </w:pPr>
            <w:r>
              <w:rPr>
                <w:rFonts w:hint="eastAsia" w:ascii="宋体" w:hAnsi="宋体" w:cs="宋体"/>
                <w:sz w:val="22"/>
                <w:szCs w:val="22"/>
              </w:rPr>
              <w:t>2.叶色、叶型协调；</w:t>
            </w:r>
          </w:p>
          <w:p>
            <w:pPr>
              <w:spacing w:line="400" w:lineRule="exact"/>
              <w:rPr>
                <w:rFonts w:ascii="宋体" w:hAnsi="宋体" w:cs="宋体"/>
                <w:sz w:val="22"/>
                <w:szCs w:val="22"/>
              </w:rPr>
            </w:pPr>
            <w:r>
              <w:rPr>
                <w:rFonts w:hint="eastAsia" w:ascii="宋体" w:hAnsi="宋体" w:cs="宋体"/>
                <w:sz w:val="22"/>
                <w:szCs w:val="22"/>
              </w:rPr>
              <w:t>3.基本无死株和残存枯花。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3" w:hRule="atLeast"/>
        </w:trPr>
        <w:tc>
          <w:tcPr>
            <w:tcW w:w="147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生长</w:t>
            </w:r>
          </w:p>
        </w:tc>
        <w:tc>
          <w:tcPr>
            <w:tcW w:w="3885"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s="宋体"/>
                <w:sz w:val="22"/>
                <w:szCs w:val="22"/>
              </w:rPr>
            </w:pPr>
            <w:r>
              <w:rPr>
                <w:rFonts w:hint="eastAsia" w:ascii="宋体" w:hAnsi="宋体" w:cs="宋体"/>
                <w:sz w:val="22"/>
                <w:szCs w:val="22"/>
              </w:rPr>
              <w:t>1.生长良好；</w:t>
            </w:r>
          </w:p>
          <w:p>
            <w:pPr>
              <w:spacing w:line="400" w:lineRule="exact"/>
              <w:rPr>
                <w:rFonts w:ascii="宋体" w:hAnsi="宋体" w:cs="宋体"/>
                <w:sz w:val="22"/>
                <w:szCs w:val="22"/>
              </w:rPr>
            </w:pPr>
            <w:r>
              <w:rPr>
                <w:rFonts w:hint="eastAsia" w:ascii="宋体" w:hAnsi="宋体" w:cs="宋体"/>
                <w:sz w:val="22"/>
                <w:szCs w:val="22"/>
              </w:rPr>
              <w:t>2.覆盖率大于90%，基本无空秃。</w:t>
            </w:r>
          </w:p>
        </w:tc>
        <w:tc>
          <w:tcPr>
            <w:tcW w:w="3885"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1.生长良好，符合生态要求；</w:t>
            </w:r>
          </w:p>
          <w:p>
            <w:pPr>
              <w:spacing w:line="400" w:lineRule="exact"/>
              <w:rPr>
                <w:rFonts w:ascii="宋体" w:hAnsi="宋体" w:cs="宋体"/>
                <w:sz w:val="22"/>
                <w:szCs w:val="22"/>
              </w:rPr>
            </w:pPr>
            <w:r>
              <w:rPr>
                <w:rFonts w:hint="eastAsia" w:ascii="宋体" w:hAnsi="宋体" w:cs="宋体"/>
                <w:sz w:val="22"/>
                <w:szCs w:val="22"/>
              </w:rPr>
              <w:t>2.覆盖率大于90%，基本无空秃。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3" w:hRule="atLeast"/>
        </w:trPr>
        <w:tc>
          <w:tcPr>
            <w:tcW w:w="147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排灌</w:t>
            </w:r>
          </w:p>
        </w:tc>
        <w:tc>
          <w:tcPr>
            <w:tcW w:w="3885"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宋体" w:hAnsi="宋体" w:cs="宋体"/>
                <w:sz w:val="22"/>
                <w:szCs w:val="22"/>
              </w:rPr>
            </w:pPr>
            <w:r>
              <w:rPr>
                <w:rFonts w:hint="eastAsia" w:ascii="宋体" w:hAnsi="宋体" w:cs="宋体"/>
                <w:sz w:val="22"/>
                <w:szCs w:val="22"/>
              </w:rPr>
              <w:t>1.排水畅通，雨后无积水；</w:t>
            </w:r>
          </w:p>
          <w:p>
            <w:pPr>
              <w:spacing w:line="400" w:lineRule="exact"/>
              <w:rPr>
                <w:rFonts w:ascii="宋体" w:hAnsi="宋体" w:cs="宋体"/>
                <w:sz w:val="22"/>
                <w:szCs w:val="22"/>
              </w:rPr>
            </w:pPr>
            <w:r>
              <w:rPr>
                <w:rFonts w:hint="eastAsia" w:ascii="宋体" w:hAnsi="宋体" w:cs="宋体"/>
                <w:sz w:val="22"/>
                <w:szCs w:val="22"/>
              </w:rPr>
              <w:t>2.植株基本无失水萎蔫现象。</w:t>
            </w:r>
          </w:p>
        </w:tc>
        <w:tc>
          <w:tcPr>
            <w:tcW w:w="3885"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1.排水畅通，雨后无积水；</w:t>
            </w:r>
          </w:p>
          <w:p>
            <w:pPr>
              <w:spacing w:line="400" w:lineRule="exact"/>
              <w:rPr>
                <w:rFonts w:ascii="宋体" w:hAnsi="宋体" w:cs="宋体"/>
                <w:sz w:val="22"/>
                <w:szCs w:val="22"/>
              </w:rPr>
            </w:pPr>
            <w:r>
              <w:rPr>
                <w:rFonts w:hint="eastAsia" w:ascii="宋体" w:hAnsi="宋体" w:cs="宋体"/>
                <w:sz w:val="22"/>
                <w:szCs w:val="22"/>
              </w:rPr>
              <w:t>2.植株基本无失水萎蔫现象。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6" w:hRule="atLeast"/>
        </w:trPr>
        <w:tc>
          <w:tcPr>
            <w:tcW w:w="1470" w:type="dxa"/>
            <w:tcBorders>
              <w:top w:val="single" w:color="auto" w:sz="6" w:space="0"/>
              <w:left w:val="single" w:color="auto" w:sz="4" w:space="0"/>
              <w:bottom w:val="single" w:color="auto" w:sz="4" w:space="0"/>
              <w:right w:val="single" w:color="auto" w:sz="6"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清洁</w:t>
            </w:r>
          </w:p>
        </w:tc>
        <w:tc>
          <w:tcPr>
            <w:tcW w:w="3885" w:type="dxa"/>
            <w:tcBorders>
              <w:top w:val="single" w:color="auto" w:sz="6" w:space="0"/>
              <w:left w:val="single" w:color="auto" w:sz="6" w:space="0"/>
              <w:bottom w:val="single" w:color="auto" w:sz="4" w:space="0"/>
              <w:right w:val="single" w:color="auto" w:sz="6" w:space="0"/>
            </w:tcBorders>
            <w:vAlign w:val="center"/>
          </w:tcPr>
          <w:p>
            <w:pPr>
              <w:spacing w:line="400" w:lineRule="exact"/>
              <w:rPr>
                <w:rFonts w:ascii="宋体" w:hAnsi="宋体" w:cs="宋体"/>
                <w:sz w:val="22"/>
                <w:szCs w:val="22"/>
              </w:rPr>
            </w:pPr>
            <w:r>
              <w:rPr>
                <w:rFonts w:hint="eastAsia" w:ascii="宋体" w:hAnsi="宋体" w:cs="宋体"/>
                <w:sz w:val="22"/>
                <w:szCs w:val="22"/>
              </w:rPr>
              <w:t>无垃圾。</w:t>
            </w:r>
          </w:p>
        </w:tc>
        <w:tc>
          <w:tcPr>
            <w:tcW w:w="3885" w:type="dxa"/>
            <w:tcBorders>
              <w:top w:val="single" w:color="auto" w:sz="6" w:space="0"/>
              <w:left w:val="single" w:color="auto" w:sz="6"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无垃圾。</w:t>
            </w:r>
          </w:p>
        </w:tc>
      </w:tr>
    </w:tbl>
    <w:p>
      <w:pPr>
        <w:spacing w:line="400" w:lineRule="exact"/>
        <w:rPr>
          <w:rFonts w:ascii="宋体" w:hAnsi="宋体" w:cs="宋体"/>
          <w:sz w:val="22"/>
          <w:szCs w:val="22"/>
        </w:rPr>
      </w:pPr>
      <w:r>
        <w:rPr>
          <w:rFonts w:hint="eastAsia" w:ascii="宋体" w:hAnsi="宋体" w:cs="宋体"/>
          <w:sz w:val="22"/>
          <w:szCs w:val="22"/>
        </w:rPr>
        <w:t>3.6 花境养护标准应符合表3.6的规定：</w:t>
      </w:r>
    </w:p>
    <w:p>
      <w:pPr>
        <w:spacing w:line="400" w:lineRule="exact"/>
        <w:jc w:val="center"/>
        <w:rPr>
          <w:rFonts w:ascii="宋体" w:hAnsi="宋体" w:cs="宋体"/>
          <w:sz w:val="22"/>
          <w:szCs w:val="22"/>
        </w:rPr>
      </w:pPr>
      <w:r>
        <w:rPr>
          <w:rFonts w:hint="eastAsia" w:ascii="宋体" w:hAnsi="宋体" w:cs="宋体"/>
          <w:sz w:val="22"/>
          <w:szCs w:val="22"/>
        </w:rPr>
        <w:t>表3.6 花境</w:t>
      </w:r>
    </w:p>
    <w:tbl>
      <w:tblPr>
        <w:tblStyle w:val="25"/>
        <w:tblW w:w="9240"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4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项目</w:t>
            </w:r>
          </w:p>
        </w:tc>
        <w:tc>
          <w:tcPr>
            <w:tcW w:w="7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trPr>
        <w:tc>
          <w:tcPr>
            <w:tcW w:w="14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景观效果</w:t>
            </w:r>
          </w:p>
        </w:tc>
        <w:tc>
          <w:tcPr>
            <w:tcW w:w="777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1.植物配置错落有致，有季相变化；</w:t>
            </w:r>
          </w:p>
          <w:p>
            <w:pPr>
              <w:spacing w:line="400" w:lineRule="exact"/>
              <w:rPr>
                <w:rFonts w:ascii="宋体" w:hAnsi="宋体" w:cs="宋体"/>
                <w:sz w:val="22"/>
                <w:szCs w:val="22"/>
              </w:rPr>
            </w:pPr>
            <w:r>
              <w:rPr>
                <w:rFonts w:hint="eastAsia" w:ascii="宋体" w:hAnsi="宋体" w:cs="宋体"/>
                <w:sz w:val="22"/>
                <w:szCs w:val="22"/>
              </w:rPr>
              <w:t>2.品种搭配合理，植株生长正常，株行距适宜；</w:t>
            </w:r>
          </w:p>
          <w:p>
            <w:pPr>
              <w:spacing w:line="400" w:lineRule="exact"/>
              <w:rPr>
                <w:rFonts w:ascii="宋体" w:hAnsi="宋体" w:cs="宋体"/>
                <w:sz w:val="22"/>
                <w:szCs w:val="22"/>
              </w:rPr>
            </w:pPr>
            <w:r>
              <w:rPr>
                <w:rFonts w:hint="eastAsia" w:ascii="宋体" w:hAnsi="宋体" w:cs="宋体"/>
                <w:sz w:val="22"/>
                <w:szCs w:val="22"/>
              </w:rPr>
              <w:t>3.观花花卉适时开花，观叶植物叶色正常。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14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生长</w:t>
            </w:r>
          </w:p>
        </w:tc>
        <w:tc>
          <w:tcPr>
            <w:tcW w:w="777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生长健壮、枝叶茂盛。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1470" w:type="dxa"/>
            <w:tcBorders>
              <w:top w:val="single" w:color="auto" w:sz="4" w:space="0"/>
              <w:left w:val="single" w:color="auto" w:sz="4" w:space="0"/>
              <w:bottom w:val="single" w:color="auto" w:sz="4" w:space="0"/>
              <w:right w:val="single" w:color="auto" w:sz="4" w:space="0"/>
            </w:tcBorders>
            <w:vAlign w:val="center"/>
          </w:tcPr>
          <w:p>
            <w:pPr>
              <w:spacing w:line="400" w:lineRule="exact"/>
              <w:ind w:left="-44" w:right="-25"/>
              <w:jc w:val="center"/>
              <w:rPr>
                <w:rFonts w:ascii="宋体" w:hAnsi="宋体" w:cs="宋体"/>
                <w:sz w:val="22"/>
                <w:szCs w:val="22"/>
              </w:rPr>
            </w:pPr>
            <w:r>
              <w:rPr>
                <w:rFonts w:hint="eastAsia" w:ascii="宋体" w:hAnsi="宋体" w:cs="宋体"/>
                <w:sz w:val="22"/>
                <w:szCs w:val="22"/>
              </w:rPr>
              <w:t>设施</w:t>
            </w:r>
          </w:p>
        </w:tc>
        <w:tc>
          <w:tcPr>
            <w:tcW w:w="777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围护设施完好，无破损。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1470" w:type="dxa"/>
            <w:tcBorders>
              <w:top w:val="single" w:color="auto" w:sz="4" w:space="0"/>
              <w:left w:val="single" w:color="auto" w:sz="4" w:space="0"/>
              <w:bottom w:val="single" w:color="auto" w:sz="4" w:space="0"/>
              <w:right w:val="single" w:color="auto" w:sz="4" w:space="0"/>
            </w:tcBorders>
            <w:vAlign w:val="center"/>
          </w:tcPr>
          <w:p>
            <w:pPr>
              <w:spacing w:line="400" w:lineRule="exact"/>
              <w:ind w:left="-44" w:right="-25"/>
              <w:jc w:val="center"/>
              <w:rPr>
                <w:rFonts w:ascii="宋体" w:hAnsi="宋体" w:cs="宋体"/>
                <w:sz w:val="22"/>
                <w:szCs w:val="22"/>
              </w:rPr>
            </w:pPr>
            <w:r>
              <w:rPr>
                <w:rFonts w:hint="eastAsia" w:ascii="宋体" w:hAnsi="宋体" w:cs="宋体"/>
                <w:sz w:val="22"/>
                <w:szCs w:val="22"/>
              </w:rPr>
              <w:t>切边</w:t>
            </w:r>
          </w:p>
        </w:tc>
        <w:tc>
          <w:tcPr>
            <w:tcW w:w="777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草坪交界处如有切边，宽度、深度均不宜大于15cm。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1470" w:type="dxa"/>
            <w:tcBorders>
              <w:top w:val="single" w:color="auto" w:sz="4" w:space="0"/>
              <w:left w:val="single" w:color="auto" w:sz="4" w:space="0"/>
              <w:bottom w:val="single" w:color="auto" w:sz="4" w:space="0"/>
              <w:right w:val="single" w:color="auto" w:sz="4" w:space="0"/>
            </w:tcBorders>
            <w:vAlign w:val="center"/>
          </w:tcPr>
          <w:p>
            <w:pPr>
              <w:spacing w:line="400" w:lineRule="exact"/>
              <w:ind w:left="-44" w:right="-25"/>
              <w:jc w:val="center"/>
              <w:rPr>
                <w:rFonts w:ascii="宋体" w:hAnsi="宋体" w:cs="宋体"/>
                <w:sz w:val="22"/>
                <w:szCs w:val="22"/>
              </w:rPr>
            </w:pPr>
            <w:r>
              <w:rPr>
                <w:rFonts w:hint="eastAsia" w:ascii="宋体" w:hAnsi="宋体" w:cs="宋体"/>
                <w:sz w:val="22"/>
                <w:szCs w:val="22"/>
              </w:rPr>
              <w:t>排灌</w:t>
            </w:r>
          </w:p>
        </w:tc>
        <w:tc>
          <w:tcPr>
            <w:tcW w:w="777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1.排水通畅良好，无积水；</w:t>
            </w:r>
          </w:p>
          <w:p>
            <w:pPr>
              <w:spacing w:line="400" w:lineRule="exact"/>
              <w:rPr>
                <w:rFonts w:ascii="宋体" w:hAnsi="宋体" w:cs="宋体"/>
                <w:sz w:val="22"/>
                <w:szCs w:val="22"/>
              </w:rPr>
            </w:pPr>
            <w:r>
              <w:rPr>
                <w:rFonts w:hint="eastAsia" w:ascii="宋体" w:hAnsi="宋体" w:cs="宋体"/>
                <w:sz w:val="22"/>
                <w:szCs w:val="22"/>
              </w:rPr>
              <w:t>2.无失水萎蔫现象。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1470" w:type="dxa"/>
            <w:tcBorders>
              <w:top w:val="single" w:color="auto" w:sz="4" w:space="0"/>
              <w:left w:val="single" w:color="auto" w:sz="4" w:space="0"/>
              <w:bottom w:val="single" w:color="auto" w:sz="4" w:space="0"/>
              <w:right w:val="single" w:color="auto" w:sz="4" w:space="0"/>
            </w:tcBorders>
            <w:vAlign w:val="center"/>
          </w:tcPr>
          <w:p>
            <w:pPr>
              <w:spacing w:line="400" w:lineRule="exact"/>
              <w:ind w:left="-44" w:right="-25"/>
              <w:jc w:val="center"/>
              <w:rPr>
                <w:rFonts w:ascii="宋体" w:hAnsi="宋体" w:cs="宋体"/>
                <w:sz w:val="22"/>
                <w:szCs w:val="22"/>
              </w:rPr>
            </w:pPr>
            <w:r>
              <w:rPr>
                <w:rFonts w:hint="eastAsia" w:ascii="宋体" w:hAnsi="宋体" w:cs="宋体"/>
                <w:sz w:val="22"/>
                <w:szCs w:val="22"/>
              </w:rPr>
              <w:t>松土除草</w:t>
            </w:r>
          </w:p>
        </w:tc>
        <w:tc>
          <w:tcPr>
            <w:tcW w:w="777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松土除杂草及时。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1470" w:type="dxa"/>
            <w:tcBorders>
              <w:top w:val="single" w:color="auto" w:sz="4" w:space="0"/>
              <w:left w:val="single" w:color="auto" w:sz="4" w:space="0"/>
              <w:bottom w:val="single" w:color="auto" w:sz="4" w:space="0"/>
              <w:right w:val="single" w:color="auto" w:sz="4" w:space="0"/>
            </w:tcBorders>
            <w:vAlign w:val="center"/>
          </w:tcPr>
          <w:p>
            <w:pPr>
              <w:spacing w:line="400" w:lineRule="exact"/>
              <w:ind w:left="-44" w:right="-25"/>
              <w:jc w:val="center"/>
              <w:rPr>
                <w:rFonts w:ascii="宋体" w:hAnsi="宋体" w:cs="宋体"/>
                <w:sz w:val="22"/>
                <w:szCs w:val="22"/>
              </w:rPr>
            </w:pPr>
            <w:r>
              <w:rPr>
                <w:rFonts w:hint="eastAsia" w:ascii="宋体" w:hAnsi="宋体" w:cs="宋体"/>
                <w:sz w:val="22"/>
                <w:szCs w:val="22"/>
              </w:rPr>
              <w:t>清洁</w:t>
            </w:r>
          </w:p>
        </w:tc>
        <w:tc>
          <w:tcPr>
            <w:tcW w:w="777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无垃圾。</w:t>
            </w:r>
          </w:p>
        </w:tc>
      </w:tr>
    </w:tbl>
    <w:p>
      <w:pPr>
        <w:spacing w:line="400" w:lineRule="exact"/>
        <w:rPr>
          <w:rFonts w:ascii="宋体" w:hAnsi="宋体" w:cs="宋体"/>
          <w:sz w:val="22"/>
          <w:szCs w:val="22"/>
        </w:rPr>
      </w:pPr>
      <w:r>
        <w:rPr>
          <w:rFonts w:hint="eastAsia" w:ascii="宋体" w:hAnsi="宋体" w:cs="宋体"/>
          <w:sz w:val="22"/>
          <w:szCs w:val="22"/>
        </w:rPr>
        <w:t>3.7花坛养护标准应符合表3.7的规定：</w:t>
      </w:r>
    </w:p>
    <w:p>
      <w:pPr>
        <w:spacing w:line="400" w:lineRule="exact"/>
        <w:jc w:val="center"/>
        <w:rPr>
          <w:rFonts w:ascii="宋体" w:hAnsi="宋体" w:cs="宋体"/>
          <w:sz w:val="22"/>
          <w:szCs w:val="22"/>
        </w:rPr>
      </w:pPr>
      <w:r>
        <w:rPr>
          <w:rFonts w:hint="eastAsia" w:ascii="宋体" w:hAnsi="宋体" w:cs="宋体"/>
          <w:sz w:val="22"/>
          <w:szCs w:val="22"/>
        </w:rPr>
        <w:t>表3.7  花坛</w:t>
      </w:r>
    </w:p>
    <w:tbl>
      <w:tblPr>
        <w:tblStyle w:val="25"/>
        <w:tblW w:w="9240"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项目</w:t>
            </w:r>
          </w:p>
        </w:tc>
        <w:tc>
          <w:tcPr>
            <w:tcW w:w="7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9" w:hRule="atLeast"/>
        </w:trPr>
        <w:tc>
          <w:tcPr>
            <w:tcW w:w="14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景观效果</w:t>
            </w:r>
          </w:p>
        </w:tc>
        <w:tc>
          <w:tcPr>
            <w:tcW w:w="777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1.色彩鲜明，搭配合理；</w:t>
            </w:r>
          </w:p>
          <w:p>
            <w:pPr>
              <w:spacing w:line="400" w:lineRule="exact"/>
              <w:rPr>
                <w:rFonts w:ascii="宋体" w:hAnsi="宋体" w:cs="宋体"/>
                <w:sz w:val="22"/>
                <w:szCs w:val="22"/>
              </w:rPr>
            </w:pPr>
            <w:r>
              <w:rPr>
                <w:rFonts w:hint="eastAsia" w:ascii="宋体" w:hAnsi="宋体" w:cs="宋体"/>
                <w:sz w:val="22"/>
                <w:szCs w:val="22"/>
              </w:rPr>
              <w:t>2.株行距适宜，观赏效果佳；</w:t>
            </w:r>
          </w:p>
          <w:p>
            <w:pPr>
              <w:spacing w:line="400" w:lineRule="exact"/>
              <w:rPr>
                <w:rFonts w:ascii="宋体" w:hAnsi="宋体" w:cs="宋体"/>
                <w:sz w:val="22"/>
                <w:szCs w:val="22"/>
              </w:rPr>
            </w:pPr>
            <w:r>
              <w:rPr>
                <w:rFonts w:hint="eastAsia" w:ascii="宋体" w:hAnsi="宋体" w:cs="宋体"/>
                <w:sz w:val="22"/>
                <w:szCs w:val="22"/>
              </w:rPr>
              <w:t>3.不露土，植株无明显缺株、倒伏。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trPr>
        <w:tc>
          <w:tcPr>
            <w:tcW w:w="14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生长</w:t>
            </w:r>
          </w:p>
        </w:tc>
        <w:tc>
          <w:tcPr>
            <w:tcW w:w="777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1.植株健壮，株高基本相等；</w:t>
            </w:r>
          </w:p>
          <w:p>
            <w:pPr>
              <w:spacing w:line="400" w:lineRule="exact"/>
              <w:rPr>
                <w:rFonts w:ascii="宋体" w:hAnsi="宋体" w:cs="宋体"/>
                <w:sz w:val="22"/>
                <w:szCs w:val="22"/>
              </w:rPr>
            </w:pPr>
            <w:r>
              <w:rPr>
                <w:rFonts w:hint="eastAsia" w:ascii="宋体" w:hAnsi="宋体" w:cs="宋体"/>
                <w:sz w:val="22"/>
                <w:szCs w:val="22"/>
              </w:rPr>
              <w:t>2.茎干粗壮，叶色正常；</w:t>
            </w:r>
          </w:p>
          <w:p>
            <w:pPr>
              <w:spacing w:line="400" w:lineRule="exact"/>
              <w:rPr>
                <w:rFonts w:ascii="宋体" w:hAnsi="宋体" w:cs="宋体"/>
                <w:sz w:val="22"/>
                <w:szCs w:val="22"/>
              </w:rPr>
            </w:pPr>
            <w:r>
              <w:rPr>
                <w:rFonts w:hint="eastAsia" w:ascii="宋体" w:hAnsi="宋体" w:cs="宋体"/>
                <w:sz w:val="22"/>
                <w:szCs w:val="22"/>
              </w:rPr>
              <w:t>3.花型正，花色纯。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1470" w:type="dxa"/>
            <w:tcBorders>
              <w:top w:val="single" w:color="auto" w:sz="4" w:space="0"/>
              <w:left w:val="single" w:color="auto" w:sz="4" w:space="0"/>
              <w:bottom w:val="single" w:color="auto" w:sz="4" w:space="0"/>
              <w:right w:val="single" w:color="auto" w:sz="4" w:space="0"/>
            </w:tcBorders>
            <w:vAlign w:val="center"/>
          </w:tcPr>
          <w:p>
            <w:pPr>
              <w:spacing w:line="400" w:lineRule="exact"/>
              <w:ind w:left="-44" w:right="-25"/>
              <w:jc w:val="center"/>
              <w:rPr>
                <w:rFonts w:ascii="宋体" w:hAnsi="宋体" w:cs="宋体"/>
                <w:sz w:val="22"/>
                <w:szCs w:val="22"/>
              </w:rPr>
            </w:pPr>
            <w:r>
              <w:rPr>
                <w:rFonts w:hint="eastAsia" w:ascii="宋体" w:hAnsi="宋体" w:cs="宋体"/>
                <w:sz w:val="22"/>
                <w:szCs w:val="22"/>
              </w:rPr>
              <w:t>花期</w:t>
            </w:r>
          </w:p>
        </w:tc>
        <w:tc>
          <w:tcPr>
            <w:tcW w:w="777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1.花期基本一致；</w:t>
            </w:r>
          </w:p>
          <w:p>
            <w:pPr>
              <w:spacing w:line="400" w:lineRule="exact"/>
              <w:rPr>
                <w:rFonts w:ascii="宋体" w:hAnsi="宋体" w:cs="宋体"/>
                <w:sz w:val="22"/>
                <w:szCs w:val="22"/>
              </w:rPr>
            </w:pPr>
            <w:r>
              <w:rPr>
                <w:rFonts w:hint="eastAsia" w:ascii="宋体" w:hAnsi="宋体" w:cs="宋体"/>
                <w:sz w:val="22"/>
                <w:szCs w:val="22"/>
              </w:rPr>
              <w:t>2.确保重大节日有花。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470" w:type="dxa"/>
            <w:tcBorders>
              <w:top w:val="single" w:color="auto" w:sz="4" w:space="0"/>
              <w:left w:val="single" w:color="auto" w:sz="4" w:space="0"/>
              <w:bottom w:val="single" w:color="auto" w:sz="4" w:space="0"/>
              <w:right w:val="single" w:color="auto" w:sz="4" w:space="0"/>
            </w:tcBorders>
            <w:vAlign w:val="center"/>
          </w:tcPr>
          <w:p>
            <w:pPr>
              <w:spacing w:line="400" w:lineRule="exact"/>
              <w:ind w:left="-44" w:right="-25"/>
              <w:jc w:val="center"/>
              <w:rPr>
                <w:rFonts w:ascii="宋体" w:hAnsi="宋体" w:cs="宋体"/>
                <w:sz w:val="22"/>
                <w:szCs w:val="22"/>
              </w:rPr>
            </w:pPr>
            <w:r>
              <w:rPr>
                <w:rFonts w:hint="eastAsia" w:ascii="宋体" w:hAnsi="宋体" w:cs="宋体"/>
                <w:sz w:val="22"/>
                <w:szCs w:val="22"/>
              </w:rPr>
              <w:t>排灌</w:t>
            </w:r>
          </w:p>
        </w:tc>
        <w:tc>
          <w:tcPr>
            <w:tcW w:w="777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排水通畅，基本无失水萎蔫现象。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1470" w:type="dxa"/>
            <w:tcBorders>
              <w:top w:val="single" w:color="auto" w:sz="4" w:space="0"/>
              <w:left w:val="single" w:color="auto" w:sz="4" w:space="0"/>
              <w:bottom w:val="single" w:color="auto" w:sz="4" w:space="0"/>
              <w:right w:val="single" w:color="auto" w:sz="4" w:space="0"/>
            </w:tcBorders>
            <w:vAlign w:val="center"/>
          </w:tcPr>
          <w:p>
            <w:pPr>
              <w:spacing w:line="400" w:lineRule="exact"/>
              <w:ind w:left="-44" w:right="-25"/>
              <w:jc w:val="center"/>
              <w:rPr>
                <w:rFonts w:ascii="宋体" w:hAnsi="宋体" w:cs="宋体"/>
                <w:sz w:val="22"/>
                <w:szCs w:val="22"/>
              </w:rPr>
            </w:pPr>
            <w:r>
              <w:rPr>
                <w:rFonts w:hint="eastAsia" w:ascii="宋体" w:hAnsi="宋体" w:cs="宋体"/>
                <w:sz w:val="22"/>
                <w:szCs w:val="22"/>
              </w:rPr>
              <w:t>清洁</w:t>
            </w:r>
          </w:p>
        </w:tc>
        <w:tc>
          <w:tcPr>
            <w:tcW w:w="777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无垃圾。</w:t>
            </w:r>
          </w:p>
        </w:tc>
      </w:tr>
    </w:tbl>
    <w:p>
      <w:pPr>
        <w:spacing w:line="400" w:lineRule="exact"/>
        <w:rPr>
          <w:rFonts w:ascii="宋体" w:hAnsi="宋体" w:cs="宋体"/>
          <w:sz w:val="22"/>
          <w:szCs w:val="22"/>
        </w:rPr>
      </w:pPr>
      <w:r>
        <w:rPr>
          <w:rFonts w:hint="eastAsia" w:ascii="宋体" w:hAnsi="宋体" w:cs="宋体"/>
          <w:sz w:val="22"/>
          <w:szCs w:val="22"/>
        </w:rPr>
        <w:t>3.8立体绿化养护标准应符合表3.8的规定：</w:t>
      </w:r>
    </w:p>
    <w:p>
      <w:pPr>
        <w:spacing w:line="400" w:lineRule="exact"/>
        <w:jc w:val="center"/>
        <w:rPr>
          <w:rFonts w:ascii="宋体" w:hAnsi="宋体" w:cs="宋体"/>
          <w:sz w:val="22"/>
          <w:szCs w:val="22"/>
        </w:rPr>
      </w:pPr>
      <w:r>
        <w:rPr>
          <w:rFonts w:hint="eastAsia" w:ascii="宋体" w:hAnsi="宋体" w:cs="宋体"/>
          <w:sz w:val="22"/>
          <w:szCs w:val="22"/>
        </w:rPr>
        <w:t>表3.8 立体绿化</w:t>
      </w:r>
    </w:p>
    <w:tbl>
      <w:tblPr>
        <w:tblStyle w:val="25"/>
        <w:tblW w:w="9240"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4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项目</w:t>
            </w:r>
          </w:p>
        </w:tc>
        <w:tc>
          <w:tcPr>
            <w:tcW w:w="7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trPr>
        <w:tc>
          <w:tcPr>
            <w:tcW w:w="14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景观效果</w:t>
            </w:r>
          </w:p>
        </w:tc>
        <w:tc>
          <w:tcPr>
            <w:tcW w:w="777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1.景观良好，疏密基本合理；</w:t>
            </w:r>
          </w:p>
          <w:p>
            <w:pPr>
              <w:spacing w:line="400" w:lineRule="exact"/>
              <w:rPr>
                <w:rFonts w:ascii="宋体" w:hAnsi="宋体" w:cs="宋体"/>
                <w:sz w:val="22"/>
                <w:szCs w:val="22"/>
              </w:rPr>
            </w:pPr>
            <w:r>
              <w:rPr>
                <w:rFonts w:hint="eastAsia" w:ascii="宋体" w:hAnsi="宋体" w:cs="宋体"/>
                <w:sz w:val="22"/>
                <w:szCs w:val="22"/>
              </w:rPr>
              <w:t>2.无枯枝残花。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14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生长</w:t>
            </w:r>
          </w:p>
        </w:tc>
        <w:tc>
          <w:tcPr>
            <w:tcW w:w="777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1.植株生长正常，藤蔓枝叶长势良好；</w:t>
            </w:r>
          </w:p>
          <w:p>
            <w:pPr>
              <w:spacing w:line="400" w:lineRule="exact"/>
              <w:rPr>
                <w:rFonts w:ascii="宋体" w:hAnsi="宋体" w:cs="宋体"/>
                <w:sz w:val="22"/>
                <w:szCs w:val="22"/>
              </w:rPr>
            </w:pPr>
            <w:r>
              <w:rPr>
                <w:rFonts w:hint="eastAsia" w:ascii="宋体" w:hAnsi="宋体" w:cs="宋体"/>
                <w:sz w:val="22"/>
                <w:szCs w:val="22"/>
              </w:rPr>
              <w:t>2.叶色正常，有光泽，生长季节不落叶；</w:t>
            </w:r>
          </w:p>
          <w:p>
            <w:pPr>
              <w:spacing w:line="400" w:lineRule="exact"/>
              <w:rPr>
                <w:rFonts w:ascii="宋体" w:hAnsi="宋体" w:cs="宋体"/>
                <w:sz w:val="22"/>
                <w:szCs w:val="22"/>
              </w:rPr>
            </w:pPr>
            <w:r>
              <w:rPr>
                <w:rFonts w:hint="eastAsia" w:ascii="宋体" w:hAnsi="宋体" w:cs="宋体"/>
                <w:sz w:val="22"/>
                <w:szCs w:val="22"/>
              </w:rPr>
              <w:t>3.无明显枯枝残花。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1470" w:type="dxa"/>
            <w:tcBorders>
              <w:top w:val="single" w:color="auto" w:sz="4" w:space="0"/>
              <w:left w:val="single" w:color="auto" w:sz="4" w:space="0"/>
              <w:bottom w:val="single" w:color="auto" w:sz="4" w:space="0"/>
              <w:right w:val="single" w:color="auto" w:sz="4" w:space="0"/>
            </w:tcBorders>
            <w:vAlign w:val="center"/>
          </w:tcPr>
          <w:p>
            <w:pPr>
              <w:spacing w:line="400" w:lineRule="exact"/>
              <w:ind w:left="-44" w:right="-25"/>
              <w:jc w:val="center"/>
              <w:rPr>
                <w:rFonts w:ascii="宋体" w:hAnsi="宋体" w:cs="宋体"/>
                <w:sz w:val="22"/>
                <w:szCs w:val="22"/>
              </w:rPr>
            </w:pPr>
            <w:r>
              <w:rPr>
                <w:rFonts w:hint="eastAsia" w:ascii="宋体" w:hAnsi="宋体" w:cs="宋体"/>
                <w:sz w:val="22"/>
                <w:szCs w:val="22"/>
              </w:rPr>
              <w:t>修剪</w:t>
            </w:r>
          </w:p>
        </w:tc>
        <w:tc>
          <w:tcPr>
            <w:tcW w:w="777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1.根据不同的造型和植物材料进行修剪、整形；</w:t>
            </w:r>
          </w:p>
          <w:p>
            <w:pPr>
              <w:spacing w:line="400" w:lineRule="exact"/>
              <w:rPr>
                <w:rFonts w:ascii="宋体" w:hAnsi="宋体" w:cs="宋体"/>
                <w:sz w:val="22"/>
                <w:szCs w:val="22"/>
              </w:rPr>
            </w:pPr>
            <w:r>
              <w:rPr>
                <w:rFonts w:hint="eastAsia" w:ascii="宋体" w:hAnsi="宋体" w:cs="宋体"/>
                <w:sz w:val="22"/>
                <w:szCs w:val="22"/>
              </w:rPr>
              <w:t>2.科学美观，适时适度。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470" w:type="dxa"/>
            <w:tcBorders>
              <w:top w:val="single" w:color="auto" w:sz="4" w:space="0"/>
              <w:left w:val="single" w:color="auto" w:sz="4" w:space="0"/>
              <w:bottom w:val="single" w:color="auto" w:sz="4" w:space="0"/>
              <w:right w:val="single" w:color="auto" w:sz="4" w:space="0"/>
            </w:tcBorders>
            <w:vAlign w:val="center"/>
          </w:tcPr>
          <w:p>
            <w:pPr>
              <w:spacing w:line="400" w:lineRule="exact"/>
              <w:ind w:left="-44" w:right="-25"/>
              <w:jc w:val="center"/>
              <w:rPr>
                <w:rFonts w:ascii="宋体" w:hAnsi="宋体" w:cs="宋体"/>
                <w:sz w:val="22"/>
                <w:szCs w:val="22"/>
              </w:rPr>
            </w:pPr>
            <w:r>
              <w:rPr>
                <w:rFonts w:hint="eastAsia" w:ascii="宋体" w:hAnsi="宋体" w:cs="宋体"/>
                <w:sz w:val="22"/>
                <w:szCs w:val="22"/>
              </w:rPr>
              <w:t>排灌</w:t>
            </w:r>
          </w:p>
        </w:tc>
        <w:tc>
          <w:tcPr>
            <w:tcW w:w="777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排水通畅，基本无失水萎蔫现象。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470" w:type="dxa"/>
            <w:tcBorders>
              <w:top w:val="single" w:color="auto" w:sz="4" w:space="0"/>
              <w:left w:val="single" w:color="auto" w:sz="4" w:space="0"/>
              <w:bottom w:val="single" w:color="auto" w:sz="4" w:space="0"/>
              <w:right w:val="single" w:color="auto" w:sz="4" w:space="0"/>
            </w:tcBorders>
            <w:vAlign w:val="center"/>
          </w:tcPr>
          <w:p>
            <w:pPr>
              <w:spacing w:line="400" w:lineRule="exact"/>
              <w:ind w:left="-44" w:right="-25"/>
              <w:jc w:val="center"/>
              <w:rPr>
                <w:rFonts w:ascii="宋体" w:hAnsi="宋体" w:cs="宋体"/>
                <w:sz w:val="22"/>
                <w:szCs w:val="22"/>
              </w:rPr>
            </w:pPr>
            <w:r>
              <w:rPr>
                <w:rFonts w:hint="eastAsia" w:ascii="宋体" w:hAnsi="宋体" w:cs="宋体"/>
                <w:sz w:val="22"/>
                <w:szCs w:val="22"/>
              </w:rPr>
              <w:t>设施</w:t>
            </w:r>
          </w:p>
        </w:tc>
        <w:tc>
          <w:tcPr>
            <w:tcW w:w="777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设施安全，基本完好。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470" w:type="dxa"/>
            <w:tcBorders>
              <w:top w:val="single" w:color="auto" w:sz="4" w:space="0"/>
              <w:left w:val="single" w:color="auto" w:sz="4" w:space="0"/>
              <w:bottom w:val="single" w:color="auto" w:sz="4" w:space="0"/>
              <w:right w:val="single" w:color="auto" w:sz="4" w:space="0"/>
            </w:tcBorders>
            <w:vAlign w:val="center"/>
          </w:tcPr>
          <w:p>
            <w:pPr>
              <w:spacing w:line="400" w:lineRule="exact"/>
              <w:ind w:left="-44" w:right="-25"/>
              <w:jc w:val="center"/>
              <w:rPr>
                <w:rFonts w:ascii="宋体" w:hAnsi="宋体" w:cs="宋体"/>
                <w:sz w:val="22"/>
                <w:szCs w:val="22"/>
              </w:rPr>
            </w:pPr>
            <w:r>
              <w:rPr>
                <w:rFonts w:hint="eastAsia" w:ascii="宋体" w:hAnsi="宋体" w:cs="宋体"/>
                <w:sz w:val="22"/>
                <w:szCs w:val="22"/>
              </w:rPr>
              <w:t>清洁</w:t>
            </w:r>
          </w:p>
        </w:tc>
        <w:tc>
          <w:tcPr>
            <w:tcW w:w="777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无垃圾。</w:t>
            </w:r>
          </w:p>
        </w:tc>
      </w:tr>
    </w:tbl>
    <w:p>
      <w:pPr>
        <w:spacing w:line="400" w:lineRule="exact"/>
        <w:rPr>
          <w:rFonts w:ascii="宋体" w:hAnsi="宋体" w:cs="宋体"/>
          <w:sz w:val="22"/>
          <w:szCs w:val="22"/>
        </w:rPr>
      </w:pPr>
    </w:p>
    <w:p>
      <w:pPr>
        <w:spacing w:line="400" w:lineRule="exact"/>
        <w:rPr>
          <w:rFonts w:ascii="宋体" w:hAnsi="宋体" w:cs="宋体"/>
          <w:sz w:val="22"/>
          <w:szCs w:val="22"/>
        </w:rPr>
      </w:pPr>
      <w:r>
        <w:rPr>
          <w:rFonts w:hint="eastAsia" w:ascii="宋体" w:hAnsi="宋体" w:cs="宋体"/>
          <w:sz w:val="22"/>
          <w:szCs w:val="22"/>
        </w:rPr>
        <w:t>3.9有害生物控制养护标准应符合表3.9的规定：</w:t>
      </w:r>
    </w:p>
    <w:p>
      <w:pPr>
        <w:spacing w:line="400" w:lineRule="exact"/>
        <w:jc w:val="center"/>
        <w:rPr>
          <w:rFonts w:ascii="宋体" w:hAnsi="宋体" w:cs="宋体"/>
          <w:sz w:val="22"/>
          <w:szCs w:val="22"/>
        </w:rPr>
      </w:pPr>
      <w:r>
        <w:rPr>
          <w:rFonts w:hint="eastAsia" w:ascii="宋体" w:hAnsi="宋体" w:cs="宋体"/>
          <w:sz w:val="22"/>
          <w:szCs w:val="22"/>
        </w:rPr>
        <w:t>表3.9有害生物控制</w:t>
      </w:r>
    </w:p>
    <w:tbl>
      <w:tblPr>
        <w:tblStyle w:val="25"/>
        <w:tblW w:w="9387"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678"/>
        <w:gridCol w:w="2693"/>
        <w:gridCol w:w="2649"/>
        <w:gridCol w:w="2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308"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项目</w:t>
            </w:r>
          </w:p>
        </w:tc>
        <w:tc>
          <w:tcPr>
            <w:tcW w:w="807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13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 w:val="22"/>
                <w:szCs w:val="22"/>
              </w:rPr>
            </w:pPr>
          </w:p>
        </w:tc>
        <w:tc>
          <w:tcPr>
            <w:tcW w:w="2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I级</w:t>
            </w:r>
          </w:p>
        </w:tc>
        <w:tc>
          <w:tcPr>
            <w:tcW w:w="26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II级</w:t>
            </w:r>
          </w:p>
        </w:tc>
        <w:tc>
          <w:tcPr>
            <w:tcW w:w="2737" w:type="dxa"/>
            <w:tcBorders>
              <w:top w:val="single" w:color="auto" w:sz="4" w:space="0"/>
              <w:left w:val="single" w:color="auto" w:sz="4" w:space="0"/>
              <w:bottom w:val="single" w:color="auto" w:sz="4" w:space="0"/>
              <w:right w:val="single" w:color="auto" w:sz="4" w:space="0"/>
            </w:tcBorders>
            <w:vAlign w:val="center"/>
          </w:tcPr>
          <w:p>
            <w:pPr>
              <w:spacing w:line="400" w:lineRule="exact"/>
              <w:ind w:left="201"/>
              <w:jc w:val="center"/>
              <w:rPr>
                <w:rFonts w:ascii="宋体" w:hAnsi="宋体" w:cs="宋体"/>
                <w:sz w:val="22"/>
                <w:szCs w:val="22"/>
              </w:rPr>
            </w:pPr>
            <w:r>
              <w:rPr>
                <w:rFonts w:hint="eastAsia" w:ascii="宋体" w:hAnsi="宋体" w:cs="宋体"/>
                <w:sz w:val="22"/>
                <w:szCs w:val="22"/>
              </w:rPr>
              <w:t>III级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130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危害程度</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基本无有害生物危害状</w:t>
            </w:r>
          </w:p>
        </w:tc>
        <w:tc>
          <w:tcPr>
            <w:tcW w:w="26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无明显有害生物危害状</w:t>
            </w:r>
          </w:p>
        </w:tc>
        <w:tc>
          <w:tcPr>
            <w:tcW w:w="273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无严重有害生物危害状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2"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病害</w:t>
            </w:r>
          </w:p>
        </w:tc>
        <w:tc>
          <w:tcPr>
            <w:tcW w:w="678" w:type="dxa"/>
            <w:tcBorders>
              <w:top w:val="single" w:color="auto" w:sz="4" w:space="0"/>
              <w:left w:val="single" w:color="auto" w:sz="4" w:space="0"/>
              <w:bottom w:val="single" w:color="auto" w:sz="4" w:space="0"/>
              <w:right w:val="single" w:color="auto" w:sz="4" w:space="0"/>
            </w:tcBorders>
            <w:vAlign w:val="center"/>
          </w:tcPr>
          <w:p>
            <w:pPr>
              <w:spacing w:line="400" w:lineRule="exact"/>
              <w:ind w:left="-44" w:right="-25"/>
              <w:jc w:val="center"/>
              <w:rPr>
                <w:rFonts w:ascii="宋体" w:hAnsi="宋体" w:cs="宋体"/>
                <w:sz w:val="22"/>
                <w:szCs w:val="22"/>
              </w:rPr>
            </w:pPr>
            <w:r>
              <w:rPr>
                <w:rFonts w:hint="eastAsia" w:ascii="宋体" w:hAnsi="宋体" w:cs="宋体"/>
                <w:sz w:val="22"/>
                <w:szCs w:val="22"/>
              </w:rPr>
              <w:t>发</w:t>
            </w:r>
          </w:p>
          <w:p>
            <w:pPr>
              <w:spacing w:line="400" w:lineRule="exact"/>
              <w:ind w:left="-44" w:right="-25"/>
              <w:jc w:val="center"/>
              <w:rPr>
                <w:rFonts w:ascii="宋体" w:hAnsi="宋体" w:cs="宋体"/>
                <w:sz w:val="22"/>
                <w:szCs w:val="22"/>
              </w:rPr>
            </w:pPr>
            <w:r>
              <w:rPr>
                <w:rFonts w:hint="eastAsia" w:ascii="宋体" w:hAnsi="宋体" w:cs="宋体"/>
                <w:sz w:val="22"/>
                <w:szCs w:val="22"/>
              </w:rPr>
              <w:t>病</w:t>
            </w:r>
          </w:p>
          <w:p>
            <w:pPr>
              <w:spacing w:line="400" w:lineRule="exact"/>
              <w:ind w:left="-44" w:right="-25"/>
              <w:jc w:val="center"/>
              <w:rPr>
                <w:rFonts w:ascii="宋体" w:hAnsi="宋体" w:cs="宋体"/>
                <w:sz w:val="22"/>
                <w:szCs w:val="22"/>
              </w:rPr>
            </w:pPr>
            <w:r>
              <w:rPr>
                <w:rFonts w:hint="eastAsia" w:ascii="宋体" w:hAnsi="宋体" w:cs="宋体"/>
                <w:sz w:val="22"/>
                <w:szCs w:val="22"/>
              </w:rPr>
              <w:t>率</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1.整体病害发病率≤5%</w:t>
            </w:r>
          </w:p>
          <w:p>
            <w:pPr>
              <w:spacing w:line="400" w:lineRule="exact"/>
              <w:rPr>
                <w:rFonts w:ascii="宋体" w:hAnsi="宋体" w:cs="宋体"/>
                <w:sz w:val="22"/>
                <w:szCs w:val="22"/>
              </w:rPr>
            </w:pPr>
            <w:r>
              <w:rPr>
                <w:rFonts w:hint="eastAsia" w:ascii="宋体" w:hAnsi="宋体" w:cs="宋体"/>
                <w:sz w:val="22"/>
                <w:szCs w:val="22"/>
              </w:rPr>
              <w:t>2.叶部病害发病率≤5%</w:t>
            </w:r>
          </w:p>
          <w:p>
            <w:pPr>
              <w:spacing w:line="400" w:lineRule="exact"/>
              <w:rPr>
                <w:rFonts w:ascii="宋体" w:hAnsi="宋体" w:cs="宋体"/>
                <w:sz w:val="22"/>
                <w:szCs w:val="22"/>
              </w:rPr>
            </w:pPr>
            <w:r>
              <w:rPr>
                <w:rFonts w:hint="eastAsia" w:ascii="宋体" w:hAnsi="宋体" w:cs="宋体"/>
                <w:sz w:val="22"/>
                <w:szCs w:val="22"/>
              </w:rPr>
              <w:t>3.枝干病害发病率≤3%</w:t>
            </w:r>
          </w:p>
          <w:p>
            <w:pPr>
              <w:spacing w:line="400" w:lineRule="exact"/>
              <w:rPr>
                <w:rFonts w:ascii="宋体" w:hAnsi="宋体" w:cs="宋体"/>
                <w:sz w:val="22"/>
                <w:szCs w:val="22"/>
              </w:rPr>
            </w:pPr>
            <w:r>
              <w:rPr>
                <w:rFonts w:hint="eastAsia" w:ascii="宋体" w:hAnsi="宋体" w:cs="宋体"/>
                <w:sz w:val="22"/>
                <w:szCs w:val="22"/>
              </w:rPr>
              <w:t>4.根部病害发病率≤3%</w:t>
            </w:r>
          </w:p>
        </w:tc>
        <w:tc>
          <w:tcPr>
            <w:tcW w:w="26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1.整体病害发病率≤8%</w:t>
            </w:r>
          </w:p>
          <w:p>
            <w:pPr>
              <w:spacing w:line="400" w:lineRule="exact"/>
              <w:rPr>
                <w:rFonts w:ascii="宋体" w:hAnsi="宋体" w:cs="宋体"/>
                <w:sz w:val="22"/>
                <w:szCs w:val="22"/>
              </w:rPr>
            </w:pPr>
            <w:r>
              <w:rPr>
                <w:rFonts w:hint="eastAsia" w:ascii="宋体" w:hAnsi="宋体" w:cs="宋体"/>
                <w:sz w:val="22"/>
                <w:szCs w:val="22"/>
              </w:rPr>
              <w:t>2.叶部病害发病率≤8%</w:t>
            </w:r>
          </w:p>
          <w:p>
            <w:pPr>
              <w:spacing w:line="400" w:lineRule="exact"/>
              <w:rPr>
                <w:rFonts w:ascii="宋体" w:hAnsi="宋体" w:cs="宋体"/>
                <w:sz w:val="22"/>
                <w:szCs w:val="22"/>
              </w:rPr>
            </w:pPr>
            <w:r>
              <w:rPr>
                <w:rFonts w:hint="eastAsia" w:ascii="宋体" w:hAnsi="宋体" w:cs="宋体"/>
                <w:sz w:val="22"/>
                <w:szCs w:val="22"/>
              </w:rPr>
              <w:t>3.枝干病害发病率≤5%</w:t>
            </w:r>
          </w:p>
          <w:p>
            <w:pPr>
              <w:spacing w:line="400" w:lineRule="exact"/>
              <w:rPr>
                <w:rFonts w:ascii="宋体" w:hAnsi="宋体" w:cs="宋体"/>
                <w:sz w:val="22"/>
                <w:szCs w:val="22"/>
              </w:rPr>
            </w:pPr>
            <w:r>
              <w:rPr>
                <w:rFonts w:hint="eastAsia" w:ascii="宋体" w:hAnsi="宋体" w:cs="宋体"/>
                <w:sz w:val="22"/>
                <w:szCs w:val="22"/>
              </w:rPr>
              <w:t>4.根部病害发病率≤5%</w:t>
            </w:r>
          </w:p>
        </w:tc>
        <w:tc>
          <w:tcPr>
            <w:tcW w:w="273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1.整体病害发病率≤10%</w:t>
            </w:r>
          </w:p>
          <w:p>
            <w:pPr>
              <w:spacing w:line="400" w:lineRule="exact"/>
              <w:rPr>
                <w:rFonts w:ascii="宋体" w:hAnsi="宋体" w:cs="宋体"/>
                <w:sz w:val="22"/>
                <w:szCs w:val="22"/>
              </w:rPr>
            </w:pPr>
            <w:r>
              <w:rPr>
                <w:rFonts w:hint="eastAsia" w:ascii="宋体" w:hAnsi="宋体" w:cs="宋体"/>
                <w:sz w:val="22"/>
                <w:szCs w:val="22"/>
              </w:rPr>
              <w:t>2.叶部病害发病率≤10%</w:t>
            </w:r>
          </w:p>
          <w:p>
            <w:pPr>
              <w:spacing w:line="400" w:lineRule="exact"/>
              <w:rPr>
                <w:rFonts w:ascii="宋体" w:hAnsi="宋体" w:cs="宋体"/>
                <w:sz w:val="22"/>
                <w:szCs w:val="22"/>
              </w:rPr>
            </w:pPr>
            <w:r>
              <w:rPr>
                <w:rFonts w:hint="eastAsia" w:ascii="宋体" w:hAnsi="宋体" w:cs="宋体"/>
                <w:sz w:val="22"/>
                <w:szCs w:val="22"/>
              </w:rPr>
              <w:t>3.枝干病害发病率≤8%</w:t>
            </w:r>
          </w:p>
          <w:p>
            <w:pPr>
              <w:spacing w:line="400" w:lineRule="exact"/>
              <w:rPr>
                <w:rFonts w:ascii="宋体" w:hAnsi="宋体" w:cs="宋体"/>
                <w:sz w:val="22"/>
                <w:szCs w:val="22"/>
              </w:rPr>
            </w:pPr>
            <w:r>
              <w:rPr>
                <w:rFonts w:hint="eastAsia" w:ascii="宋体" w:hAnsi="宋体" w:cs="宋体"/>
                <w:sz w:val="22"/>
                <w:szCs w:val="22"/>
              </w:rPr>
              <w:t>4.根部病害发病率≤8%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 w:val="22"/>
                <w:szCs w:val="22"/>
              </w:rPr>
            </w:pPr>
          </w:p>
        </w:tc>
        <w:tc>
          <w:tcPr>
            <w:tcW w:w="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危害</w:t>
            </w:r>
          </w:p>
          <w:p>
            <w:pPr>
              <w:spacing w:line="400" w:lineRule="exact"/>
              <w:jc w:val="center"/>
              <w:rPr>
                <w:rFonts w:ascii="宋体" w:hAnsi="宋体" w:cs="宋体"/>
                <w:sz w:val="22"/>
                <w:szCs w:val="22"/>
              </w:rPr>
            </w:pPr>
            <w:r>
              <w:rPr>
                <w:rFonts w:hint="eastAsia" w:ascii="宋体" w:hAnsi="宋体" w:cs="宋体"/>
                <w:sz w:val="22"/>
                <w:szCs w:val="22"/>
              </w:rPr>
              <w:t>程度</w:t>
            </w:r>
          </w:p>
        </w:tc>
        <w:tc>
          <w:tcPr>
            <w:tcW w:w="2693" w:type="dxa"/>
            <w:tcBorders>
              <w:top w:val="single" w:color="auto" w:sz="4" w:space="0"/>
              <w:left w:val="single" w:color="auto" w:sz="4" w:space="0"/>
              <w:bottom w:val="dotted"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基本无危害</w:t>
            </w:r>
          </w:p>
        </w:tc>
        <w:tc>
          <w:tcPr>
            <w:tcW w:w="2649" w:type="dxa"/>
            <w:tcBorders>
              <w:top w:val="single" w:color="auto" w:sz="4" w:space="0"/>
              <w:left w:val="single" w:color="auto" w:sz="4" w:space="0"/>
              <w:bottom w:val="dotted"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无明显危害</w:t>
            </w:r>
          </w:p>
        </w:tc>
        <w:tc>
          <w:tcPr>
            <w:tcW w:w="2737" w:type="dxa"/>
            <w:tcBorders>
              <w:top w:val="single" w:color="auto" w:sz="4" w:space="0"/>
              <w:left w:val="single" w:color="auto" w:sz="4" w:space="0"/>
              <w:bottom w:val="dotted"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无特别严重危害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虫害</w:t>
            </w:r>
          </w:p>
        </w:tc>
        <w:tc>
          <w:tcPr>
            <w:tcW w:w="678" w:type="dxa"/>
            <w:tcBorders>
              <w:top w:val="single" w:color="auto" w:sz="4" w:space="0"/>
              <w:left w:val="single" w:color="auto" w:sz="4" w:space="0"/>
              <w:bottom w:val="single" w:color="auto" w:sz="4" w:space="0"/>
              <w:right w:val="single" w:color="auto" w:sz="4" w:space="0"/>
            </w:tcBorders>
            <w:vAlign w:val="center"/>
          </w:tcPr>
          <w:p>
            <w:pPr>
              <w:spacing w:line="400" w:lineRule="exact"/>
              <w:ind w:left="-44" w:right="-25"/>
              <w:jc w:val="center"/>
              <w:rPr>
                <w:rFonts w:ascii="宋体" w:hAnsi="宋体" w:cs="宋体"/>
                <w:sz w:val="22"/>
                <w:szCs w:val="22"/>
              </w:rPr>
            </w:pPr>
            <w:r>
              <w:rPr>
                <w:rFonts w:hint="eastAsia" w:ascii="宋体" w:hAnsi="宋体" w:cs="宋体"/>
                <w:sz w:val="22"/>
                <w:szCs w:val="22"/>
              </w:rPr>
              <w:t>食叶</w:t>
            </w:r>
          </w:p>
          <w:p>
            <w:pPr>
              <w:spacing w:line="400" w:lineRule="exact"/>
              <w:ind w:left="-44" w:right="-25"/>
              <w:jc w:val="center"/>
              <w:rPr>
                <w:rFonts w:ascii="宋体" w:hAnsi="宋体" w:cs="宋体"/>
                <w:sz w:val="22"/>
                <w:szCs w:val="22"/>
              </w:rPr>
            </w:pPr>
            <w:r>
              <w:rPr>
                <w:rFonts w:hint="eastAsia" w:ascii="宋体" w:hAnsi="宋体" w:cs="宋体"/>
                <w:sz w:val="22"/>
                <w:szCs w:val="22"/>
              </w:rPr>
              <w:t>害虫</w:t>
            </w:r>
          </w:p>
        </w:tc>
        <w:tc>
          <w:tcPr>
            <w:tcW w:w="2693" w:type="dxa"/>
            <w:tcBorders>
              <w:top w:val="single" w:color="auto" w:sz="4" w:space="0"/>
              <w:left w:val="single" w:color="auto" w:sz="4" w:space="0"/>
              <w:bottom w:val="dotted"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危害的叶片每株不超过5%</w:t>
            </w:r>
          </w:p>
        </w:tc>
        <w:tc>
          <w:tcPr>
            <w:tcW w:w="2649" w:type="dxa"/>
            <w:tcBorders>
              <w:top w:val="single" w:color="auto" w:sz="4" w:space="0"/>
              <w:left w:val="single" w:color="auto" w:sz="4" w:space="0"/>
              <w:bottom w:val="dotted"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危害的叶片每株不超过10%</w:t>
            </w:r>
          </w:p>
        </w:tc>
        <w:tc>
          <w:tcPr>
            <w:tcW w:w="2737" w:type="dxa"/>
            <w:tcBorders>
              <w:top w:val="single" w:color="auto" w:sz="4" w:space="0"/>
              <w:left w:val="single" w:color="auto" w:sz="4" w:space="0"/>
              <w:bottom w:val="dotted"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危害的叶片每株不超过20%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 w:val="22"/>
                <w:szCs w:val="22"/>
              </w:rPr>
            </w:pPr>
          </w:p>
        </w:tc>
        <w:tc>
          <w:tcPr>
            <w:tcW w:w="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刺吸</w:t>
            </w:r>
          </w:p>
          <w:p>
            <w:pPr>
              <w:spacing w:line="400" w:lineRule="exact"/>
              <w:jc w:val="center"/>
              <w:rPr>
                <w:rFonts w:ascii="宋体" w:hAnsi="宋体" w:cs="宋体"/>
                <w:sz w:val="22"/>
                <w:szCs w:val="22"/>
              </w:rPr>
            </w:pPr>
            <w:r>
              <w:rPr>
                <w:rFonts w:hint="eastAsia" w:ascii="宋体" w:hAnsi="宋体" w:cs="宋体"/>
                <w:sz w:val="22"/>
                <w:szCs w:val="22"/>
              </w:rPr>
              <w:t>害虫</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危害的叶片每株不超过10%</w:t>
            </w:r>
          </w:p>
        </w:tc>
        <w:tc>
          <w:tcPr>
            <w:tcW w:w="26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危害的叶片每株不超过15%</w:t>
            </w:r>
          </w:p>
        </w:tc>
        <w:tc>
          <w:tcPr>
            <w:tcW w:w="273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危害的叶片每株不超过25%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 w:val="22"/>
                <w:szCs w:val="22"/>
              </w:rPr>
            </w:pPr>
          </w:p>
        </w:tc>
        <w:tc>
          <w:tcPr>
            <w:tcW w:w="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蛀干</w:t>
            </w:r>
          </w:p>
          <w:p>
            <w:pPr>
              <w:spacing w:line="400" w:lineRule="exact"/>
              <w:jc w:val="center"/>
              <w:rPr>
                <w:rFonts w:ascii="宋体" w:hAnsi="宋体" w:cs="宋体"/>
                <w:sz w:val="22"/>
                <w:szCs w:val="22"/>
              </w:rPr>
            </w:pPr>
            <w:r>
              <w:rPr>
                <w:rFonts w:hint="eastAsia" w:ascii="宋体" w:hAnsi="宋体" w:cs="宋体"/>
                <w:sz w:val="22"/>
                <w:szCs w:val="22"/>
              </w:rPr>
              <w:t>害虫</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基本无活虫活卵；</w:t>
            </w:r>
          </w:p>
          <w:p>
            <w:pPr>
              <w:spacing w:line="400" w:lineRule="exact"/>
              <w:rPr>
                <w:rFonts w:ascii="宋体" w:hAnsi="宋体" w:cs="宋体"/>
                <w:sz w:val="22"/>
                <w:szCs w:val="22"/>
              </w:rPr>
            </w:pPr>
            <w:r>
              <w:rPr>
                <w:rFonts w:hint="eastAsia" w:ascii="宋体" w:hAnsi="宋体" w:cs="宋体"/>
                <w:sz w:val="22"/>
                <w:szCs w:val="22"/>
              </w:rPr>
              <w:t>树干受害率不超过3%。</w:t>
            </w:r>
          </w:p>
        </w:tc>
        <w:tc>
          <w:tcPr>
            <w:tcW w:w="26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危害株数在2%以下；</w:t>
            </w:r>
          </w:p>
          <w:p>
            <w:pPr>
              <w:spacing w:line="400" w:lineRule="exact"/>
              <w:rPr>
                <w:rFonts w:ascii="宋体" w:hAnsi="宋体" w:cs="宋体"/>
                <w:sz w:val="22"/>
                <w:szCs w:val="22"/>
              </w:rPr>
            </w:pPr>
            <w:r>
              <w:rPr>
                <w:rFonts w:hint="eastAsia" w:ascii="宋体" w:hAnsi="宋体" w:cs="宋体"/>
                <w:sz w:val="22"/>
                <w:szCs w:val="22"/>
              </w:rPr>
              <w:t>树干受害率不超过5%。</w:t>
            </w:r>
          </w:p>
        </w:tc>
        <w:tc>
          <w:tcPr>
            <w:tcW w:w="273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危害株数在5%以下；</w:t>
            </w:r>
          </w:p>
          <w:p>
            <w:pPr>
              <w:spacing w:line="400" w:lineRule="exact"/>
              <w:rPr>
                <w:rFonts w:ascii="宋体" w:hAnsi="宋体" w:cs="宋体"/>
                <w:sz w:val="22"/>
                <w:szCs w:val="22"/>
              </w:rPr>
            </w:pPr>
            <w:r>
              <w:rPr>
                <w:rFonts w:hint="eastAsia" w:ascii="宋体" w:hAnsi="宋体" w:cs="宋体"/>
                <w:sz w:val="22"/>
                <w:szCs w:val="22"/>
              </w:rPr>
              <w:t>树干受害率不超过10%。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sz w:val="22"/>
                <w:szCs w:val="22"/>
              </w:rPr>
            </w:pPr>
          </w:p>
        </w:tc>
        <w:tc>
          <w:tcPr>
            <w:tcW w:w="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地下</w:t>
            </w:r>
          </w:p>
          <w:p>
            <w:pPr>
              <w:spacing w:line="400" w:lineRule="exact"/>
              <w:jc w:val="center"/>
              <w:rPr>
                <w:rFonts w:ascii="宋体" w:hAnsi="宋体" w:cs="宋体"/>
                <w:sz w:val="22"/>
                <w:szCs w:val="22"/>
              </w:rPr>
            </w:pPr>
            <w:r>
              <w:rPr>
                <w:rFonts w:hint="eastAsia" w:ascii="宋体" w:hAnsi="宋体" w:cs="宋体"/>
                <w:sz w:val="22"/>
                <w:szCs w:val="22"/>
              </w:rPr>
              <w:t>害虫</w:t>
            </w:r>
          </w:p>
        </w:tc>
        <w:tc>
          <w:tcPr>
            <w:tcW w:w="2693" w:type="dxa"/>
            <w:tcBorders>
              <w:top w:val="dotted"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整体株危害不超过5%，</w:t>
            </w:r>
          </w:p>
          <w:p>
            <w:pPr>
              <w:spacing w:line="400" w:lineRule="exact"/>
              <w:rPr>
                <w:rFonts w:ascii="宋体" w:hAnsi="宋体" w:cs="宋体"/>
                <w:sz w:val="22"/>
                <w:szCs w:val="22"/>
              </w:rPr>
            </w:pPr>
          </w:p>
        </w:tc>
        <w:tc>
          <w:tcPr>
            <w:tcW w:w="2649" w:type="dxa"/>
            <w:tcBorders>
              <w:top w:val="dotted"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整体株危害不超过10%，</w:t>
            </w:r>
          </w:p>
          <w:p>
            <w:pPr>
              <w:spacing w:line="400" w:lineRule="exact"/>
              <w:rPr>
                <w:rFonts w:ascii="宋体" w:hAnsi="宋体" w:cs="宋体"/>
                <w:sz w:val="22"/>
                <w:szCs w:val="22"/>
              </w:rPr>
            </w:pPr>
          </w:p>
        </w:tc>
        <w:tc>
          <w:tcPr>
            <w:tcW w:w="2737" w:type="dxa"/>
            <w:tcBorders>
              <w:top w:val="dotted"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整体株危害不超过15%，</w:t>
            </w:r>
          </w:p>
          <w:p>
            <w:pPr>
              <w:spacing w:line="400" w:lineRule="exac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8" w:hRule="atLeast"/>
        </w:trPr>
        <w:tc>
          <w:tcPr>
            <w:tcW w:w="130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有</w:t>
            </w:r>
          </w:p>
          <w:p>
            <w:pPr>
              <w:spacing w:line="400" w:lineRule="exact"/>
              <w:jc w:val="center"/>
              <w:rPr>
                <w:rFonts w:ascii="宋体" w:hAnsi="宋体" w:cs="宋体"/>
                <w:sz w:val="22"/>
                <w:szCs w:val="22"/>
              </w:rPr>
            </w:pPr>
            <w:r>
              <w:rPr>
                <w:rFonts w:hint="eastAsia" w:ascii="宋体" w:hAnsi="宋体" w:cs="宋体"/>
                <w:sz w:val="22"/>
                <w:szCs w:val="22"/>
              </w:rPr>
              <w:t>害</w:t>
            </w:r>
          </w:p>
          <w:p>
            <w:pPr>
              <w:spacing w:line="400" w:lineRule="exact"/>
              <w:jc w:val="center"/>
              <w:rPr>
                <w:rFonts w:ascii="宋体" w:hAnsi="宋体" w:cs="宋体"/>
                <w:sz w:val="22"/>
                <w:szCs w:val="22"/>
              </w:rPr>
            </w:pPr>
            <w:r>
              <w:rPr>
                <w:rFonts w:hint="eastAsia" w:ascii="宋体" w:hAnsi="宋体" w:cs="宋体"/>
                <w:sz w:val="22"/>
                <w:szCs w:val="22"/>
              </w:rPr>
              <w:t>生</w:t>
            </w:r>
          </w:p>
          <w:p>
            <w:pPr>
              <w:spacing w:line="400" w:lineRule="exact"/>
              <w:jc w:val="center"/>
              <w:rPr>
                <w:rFonts w:ascii="宋体" w:hAnsi="宋体" w:cs="宋体"/>
                <w:sz w:val="22"/>
                <w:szCs w:val="22"/>
              </w:rPr>
            </w:pPr>
            <w:r>
              <w:rPr>
                <w:rFonts w:hint="eastAsia" w:ascii="宋体" w:hAnsi="宋体" w:cs="宋体"/>
                <w:sz w:val="22"/>
                <w:szCs w:val="22"/>
              </w:rPr>
              <w:t>物</w:t>
            </w:r>
          </w:p>
          <w:p>
            <w:pPr>
              <w:spacing w:line="400" w:lineRule="exact"/>
              <w:jc w:val="center"/>
              <w:rPr>
                <w:rFonts w:ascii="宋体" w:hAnsi="宋体" w:cs="宋体"/>
                <w:sz w:val="22"/>
                <w:szCs w:val="22"/>
              </w:rPr>
            </w:pPr>
            <w:r>
              <w:rPr>
                <w:rFonts w:hint="eastAsia" w:ascii="宋体" w:hAnsi="宋体" w:cs="宋体"/>
                <w:sz w:val="22"/>
                <w:szCs w:val="22"/>
              </w:rPr>
              <w:t>防</w:t>
            </w:r>
          </w:p>
          <w:p>
            <w:pPr>
              <w:spacing w:line="400" w:lineRule="exact"/>
              <w:jc w:val="center"/>
              <w:rPr>
                <w:rFonts w:ascii="宋体" w:hAnsi="宋体" w:cs="宋体"/>
                <w:sz w:val="22"/>
                <w:szCs w:val="22"/>
              </w:rPr>
            </w:pPr>
            <w:r>
              <w:rPr>
                <w:rFonts w:hint="eastAsia" w:ascii="宋体" w:hAnsi="宋体" w:cs="宋体"/>
                <w:sz w:val="22"/>
                <w:szCs w:val="22"/>
              </w:rPr>
              <w:t>治</w:t>
            </w:r>
          </w:p>
        </w:tc>
        <w:tc>
          <w:tcPr>
            <w:tcW w:w="807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1.贯彻“预防为主、综合治理”的防治方针，积极推广和施用微生物制剂、BT乳剂、性引诱剂等生物防治技术；</w:t>
            </w:r>
          </w:p>
          <w:p>
            <w:pPr>
              <w:spacing w:line="400" w:lineRule="exact"/>
              <w:rPr>
                <w:rFonts w:ascii="宋体" w:hAnsi="宋体" w:cs="宋体"/>
                <w:sz w:val="22"/>
                <w:szCs w:val="22"/>
              </w:rPr>
            </w:pPr>
            <w:r>
              <w:rPr>
                <w:rFonts w:hint="eastAsia" w:ascii="宋体" w:hAnsi="宋体" w:cs="宋体"/>
                <w:sz w:val="22"/>
                <w:szCs w:val="22"/>
              </w:rPr>
              <w:t>2.应做好有害生物的预测预报工作，制订较为详尽的防治工作计划；</w:t>
            </w:r>
          </w:p>
          <w:p>
            <w:pPr>
              <w:spacing w:line="400" w:lineRule="exact"/>
              <w:rPr>
                <w:rFonts w:ascii="宋体" w:hAnsi="宋体" w:cs="宋体"/>
                <w:sz w:val="22"/>
                <w:szCs w:val="22"/>
              </w:rPr>
            </w:pPr>
            <w:r>
              <w:rPr>
                <w:rFonts w:hint="eastAsia" w:ascii="宋体" w:hAnsi="宋体" w:cs="宋体"/>
                <w:sz w:val="22"/>
                <w:szCs w:val="22"/>
              </w:rPr>
              <w:t>3.植保机具较齐全，运转良好；</w:t>
            </w:r>
          </w:p>
          <w:p>
            <w:pPr>
              <w:spacing w:line="400" w:lineRule="exact"/>
              <w:rPr>
                <w:rFonts w:ascii="宋体" w:hAnsi="宋体" w:cs="宋体"/>
                <w:sz w:val="22"/>
                <w:szCs w:val="22"/>
              </w:rPr>
            </w:pPr>
            <w:r>
              <w:rPr>
                <w:rFonts w:hint="eastAsia" w:ascii="宋体" w:hAnsi="宋体" w:cs="宋体"/>
                <w:sz w:val="22"/>
                <w:szCs w:val="22"/>
              </w:rPr>
              <w:t>4.采用化学农药防治，必须掌握对症下药、合理使用、适地防治、用量适当、安全使用等原则；</w:t>
            </w:r>
          </w:p>
          <w:p>
            <w:pPr>
              <w:spacing w:line="400" w:lineRule="exact"/>
              <w:rPr>
                <w:rFonts w:ascii="宋体" w:hAnsi="宋体" w:cs="宋体"/>
                <w:sz w:val="22"/>
                <w:szCs w:val="22"/>
              </w:rPr>
            </w:pPr>
            <w:r>
              <w:rPr>
                <w:rFonts w:hint="eastAsia" w:ascii="宋体" w:hAnsi="宋体" w:cs="宋体"/>
                <w:sz w:val="22"/>
                <w:szCs w:val="22"/>
              </w:rPr>
              <w:t>5.药剂保管、药剂施用制度、安全保护制度及安全操作规程等措施完善到位；</w:t>
            </w:r>
          </w:p>
          <w:p>
            <w:pPr>
              <w:spacing w:line="400" w:lineRule="exact"/>
              <w:rPr>
                <w:rFonts w:ascii="宋体" w:hAnsi="宋体" w:cs="宋体"/>
                <w:sz w:val="22"/>
                <w:szCs w:val="22"/>
              </w:rPr>
            </w:pPr>
            <w:r>
              <w:rPr>
                <w:rFonts w:hint="eastAsia" w:ascii="宋体" w:hAnsi="宋体" w:cs="宋体"/>
                <w:sz w:val="22"/>
                <w:szCs w:val="22"/>
              </w:rPr>
              <w:t>6.防治率不少于95%。</w:t>
            </w:r>
          </w:p>
        </w:tc>
      </w:tr>
    </w:tbl>
    <w:p>
      <w:pPr>
        <w:spacing w:line="400" w:lineRule="exact"/>
        <w:rPr>
          <w:rFonts w:ascii="宋体" w:hAnsi="宋体" w:cs="宋体"/>
          <w:sz w:val="22"/>
          <w:szCs w:val="22"/>
        </w:rPr>
      </w:pPr>
      <w:r>
        <w:rPr>
          <w:rFonts w:hint="eastAsia" w:ascii="宋体" w:hAnsi="宋体" w:cs="宋体"/>
          <w:sz w:val="22"/>
          <w:szCs w:val="22"/>
        </w:rPr>
        <w:t>3.10水体、喷泉、水生植物养护标准应符合表3.10的规定：</w:t>
      </w:r>
    </w:p>
    <w:p>
      <w:pPr>
        <w:spacing w:line="400" w:lineRule="exact"/>
        <w:jc w:val="center"/>
        <w:rPr>
          <w:rFonts w:ascii="宋体" w:hAnsi="宋体" w:cs="宋体"/>
          <w:sz w:val="22"/>
          <w:szCs w:val="22"/>
        </w:rPr>
      </w:pPr>
      <w:r>
        <w:rPr>
          <w:rFonts w:hint="eastAsia" w:ascii="宋体" w:hAnsi="宋体" w:cs="宋体"/>
          <w:sz w:val="22"/>
          <w:szCs w:val="22"/>
        </w:rPr>
        <w:t>表3.10水体、喷泉、水生植物</w:t>
      </w:r>
    </w:p>
    <w:tbl>
      <w:tblPr>
        <w:tblStyle w:val="25"/>
        <w:tblW w:w="9240"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4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项目</w:t>
            </w:r>
          </w:p>
        </w:tc>
        <w:tc>
          <w:tcPr>
            <w:tcW w:w="777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292" w:firstLineChars="1042"/>
              <w:rPr>
                <w:rFonts w:ascii="宋体" w:hAnsi="宋体" w:cs="宋体"/>
                <w:sz w:val="22"/>
                <w:szCs w:val="22"/>
              </w:rPr>
            </w:pPr>
            <w:r>
              <w:rPr>
                <w:rFonts w:hint="eastAsia" w:ascii="宋体" w:hAnsi="宋体" w:cs="宋体"/>
                <w:sz w:val="22"/>
                <w:szCs w:val="22"/>
              </w:rPr>
              <w:t>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3" w:hRule="atLeast"/>
        </w:trPr>
        <w:tc>
          <w:tcPr>
            <w:tcW w:w="14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景观效果</w:t>
            </w:r>
          </w:p>
        </w:tc>
        <w:tc>
          <w:tcPr>
            <w:tcW w:w="777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1.景色得体，水量适度，基本达到和保持设计要求；</w:t>
            </w:r>
          </w:p>
          <w:p>
            <w:pPr>
              <w:spacing w:line="400" w:lineRule="exact"/>
              <w:rPr>
                <w:rFonts w:ascii="宋体" w:hAnsi="宋体" w:cs="宋体"/>
                <w:sz w:val="22"/>
                <w:szCs w:val="22"/>
              </w:rPr>
            </w:pPr>
            <w:r>
              <w:rPr>
                <w:rFonts w:hint="eastAsia" w:ascii="宋体" w:hAnsi="宋体" w:cs="宋体"/>
                <w:sz w:val="22"/>
                <w:szCs w:val="22"/>
              </w:rPr>
              <w:t>2.水生植物配置合理；植株生长健康；花、叶色纯，可观花、观叶；观花观果植株基本正常开花结果。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4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水质</w:t>
            </w:r>
          </w:p>
        </w:tc>
        <w:tc>
          <w:tcPr>
            <w:tcW w:w="777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无污物，无异味；基本符合地面水环境质量标准（GB3838-88），喷泉用水达到景观娱乐用水标准。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470" w:type="dxa"/>
            <w:tcBorders>
              <w:top w:val="dotted"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驳岸</w:t>
            </w:r>
          </w:p>
        </w:tc>
        <w:tc>
          <w:tcPr>
            <w:tcW w:w="777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安全稳固，自然美观，无明显缺损。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14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设施</w:t>
            </w:r>
          </w:p>
        </w:tc>
        <w:tc>
          <w:tcPr>
            <w:tcW w:w="777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1.防护设施和安全警示齐全；</w:t>
            </w:r>
          </w:p>
          <w:p>
            <w:pPr>
              <w:spacing w:line="400" w:lineRule="exact"/>
              <w:rPr>
                <w:rFonts w:ascii="宋体" w:hAnsi="宋体" w:cs="宋体"/>
                <w:sz w:val="22"/>
                <w:szCs w:val="22"/>
              </w:rPr>
            </w:pPr>
            <w:r>
              <w:rPr>
                <w:rFonts w:hint="eastAsia" w:ascii="宋体" w:hAnsi="宋体" w:cs="宋体"/>
                <w:sz w:val="22"/>
                <w:szCs w:val="22"/>
              </w:rPr>
              <w:t>2.循环、动力、排灌等设施基本完好无损，运行正常。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4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清洁</w:t>
            </w:r>
          </w:p>
        </w:tc>
        <w:tc>
          <w:tcPr>
            <w:tcW w:w="777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水面打捞及时，无漂浮垃圾。</w:t>
            </w:r>
          </w:p>
        </w:tc>
      </w:tr>
    </w:tbl>
    <w:p>
      <w:pPr>
        <w:spacing w:line="400" w:lineRule="exact"/>
        <w:rPr>
          <w:rFonts w:ascii="宋体" w:hAnsi="宋体" w:cs="宋体"/>
          <w:sz w:val="22"/>
          <w:szCs w:val="22"/>
        </w:rPr>
      </w:pPr>
      <w:r>
        <w:rPr>
          <w:rFonts w:hint="eastAsia" w:ascii="宋体" w:hAnsi="宋体" w:cs="宋体"/>
          <w:sz w:val="22"/>
          <w:szCs w:val="22"/>
        </w:rPr>
        <w:t>3.11古树名木及古树后备资源养护标准应符合表3.11的规定：</w:t>
      </w:r>
    </w:p>
    <w:p>
      <w:pPr>
        <w:spacing w:line="400" w:lineRule="exact"/>
        <w:jc w:val="center"/>
        <w:rPr>
          <w:rFonts w:ascii="宋体" w:hAnsi="宋体" w:cs="宋体"/>
          <w:sz w:val="22"/>
          <w:szCs w:val="22"/>
        </w:rPr>
      </w:pPr>
      <w:r>
        <w:rPr>
          <w:rFonts w:hint="eastAsia" w:ascii="宋体" w:hAnsi="宋体" w:cs="宋体"/>
          <w:sz w:val="22"/>
          <w:szCs w:val="22"/>
        </w:rPr>
        <w:t>表3.11古树名木及古树后备资源</w:t>
      </w:r>
    </w:p>
    <w:tbl>
      <w:tblPr>
        <w:tblStyle w:val="25"/>
        <w:tblW w:w="9240"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项目</w:t>
            </w:r>
          </w:p>
        </w:tc>
        <w:tc>
          <w:tcPr>
            <w:tcW w:w="777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292" w:firstLineChars="1042"/>
              <w:rPr>
                <w:rFonts w:ascii="宋体" w:hAnsi="宋体" w:cs="宋体"/>
                <w:sz w:val="22"/>
                <w:szCs w:val="22"/>
              </w:rPr>
            </w:pPr>
            <w:r>
              <w:rPr>
                <w:rFonts w:hint="eastAsia" w:ascii="宋体" w:hAnsi="宋体" w:cs="宋体"/>
                <w:sz w:val="22"/>
                <w:szCs w:val="22"/>
              </w:rPr>
              <w:t>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14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景观效果</w:t>
            </w:r>
          </w:p>
        </w:tc>
        <w:tc>
          <w:tcPr>
            <w:tcW w:w="777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1.保持植株的自然形态；</w:t>
            </w:r>
          </w:p>
          <w:p>
            <w:pPr>
              <w:spacing w:line="400" w:lineRule="exact"/>
              <w:rPr>
                <w:rFonts w:ascii="宋体" w:hAnsi="宋体" w:cs="宋体"/>
                <w:sz w:val="22"/>
                <w:szCs w:val="22"/>
              </w:rPr>
            </w:pPr>
            <w:r>
              <w:rPr>
                <w:rFonts w:hint="eastAsia" w:ascii="宋体" w:hAnsi="宋体" w:cs="宋体"/>
                <w:sz w:val="22"/>
                <w:szCs w:val="22"/>
              </w:rPr>
              <w:t>2.周边的配套设施（如驳岸、支撑、围栏、防雷设施等）与植株协调。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trPr>
        <w:tc>
          <w:tcPr>
            <w:tcW w:w="14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生长</w:t>
            </w:r>
          </w:p>
        </w:tc>
        <w:tc>
          <w:tcPr>
            <w:tcW w:w="777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1.无腐烂的枝条和多余的萌蘖枝；</w:t>
            </w:r>
          </w:p>
          <w:p>
            <w:pPr>
              <w:spacing w:line="400" w:lineRule="exact"/>
              <w:rPr>
                <w:rFonts w:ascii="宋体" w:hAnsi="宋体" w:cs="宋体"/>
                <w:sz w:val="22"/>
                <w:szCs w:val="22"/>
              </w:rPr>
            </w:pPr>
            <w:r>
              <w:rPr>
                <w:rFonts w:hint="eastAsia" w:ascii="宋体" w:hAnsi="宋体" w:cs="宋体"/>
                <w:sz w:val="22"/>
                <w:szCs w:val="22"/>
              </w:rPr>
              <w:t>2.植株上不应有影响生长的寄生植物；</w:t>
            </w:r>
          </w:p>
          <w:p>
            <w:pPr>
              <w:spacing w:line="400" w:lineRule="exact"/>
              <w:rPr>
                <w:rFonts w:ascii="宋体" w:hAnsi="宋体" w:cs="宋体"/>
                <w:sz w:val="22"/>
                <w:szCs w:val="22"/>
              </w:rPr>
            </w:pPr>
            <w:r>
              <w:rPr>
                <w:rFonts w:hint="eastAsia" w:ascii="宋体" w:hAnsi="宋体" w:cs="宋体"/>
                <w:sz w:val="22"/>
                <w:szCs w:val="22"/>
              </w:rPr>
              <w:t>3.保护区内不应有影响植株生长的植物；</w:t>
            </w:r>
          </w:p>
          <w:p>
            <w:pPr>
              <w:spacing w:line="400" w:lineRule="exact"/>
              <w:rPr>
                <w:rFonts w:ascii="宋体" w:hAnsi="宋体" w:cs="宋体"/>
                <w:sz w:val="22"/>
                <w:szCs w:val="22"/>
              </w:rPr>
            </w:pPr>
            <w:r>
              <w:rPr>
                <w:rFonts w:hint="eastAsia" w:ascii="宋体" w:hAnsi="宋体" w:cs="宋体"/>
                <w:sz w:val="22"/>
                <w:szCs w:val="22"/>
              </w:rPr>
              <w:t>4.地面覆盖物应有利植株生长；</w:t>
            </w:r>
          </w:p>
          <w:p>
            <w:pPr>
              <w:spacing w:line="400" w:lineRule="exact"/>
              <w:rPr>
                <w:rFonts w:ascii="宋体" w:hAnsi="宋体" w:cs="宋体"/>
                <w:sz w:val="22"/>
                <w:szCs w:val="22"/>
              </w:rPr>
            </w:pPr>
            <w:r>
              <w:rPr>
                <w:rFonts w:hint="eastAsia" w:ascii="宋体" w:hAnsi="宋体" w:cs="宋体"/>
                <w:sz w:val="22"/>
                <w:szCs w:val="22"/>
              </w:rPr>
              <w:t>5.无影响植株生长的树洞和创伤。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4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设施</w:t>
            </w:r>
          </w:p>
        </w:tc>
        <w:tc>
          <w:tcPr>
            <w:tcW w:w="777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1.植株必须有保护标牌，位置明显，字迹清晰；</w:t>
            </w:r>
          </w:p>
          <w:p>
            <w:pPr>
              <w:spacing w:line="400" w:lineRule="exact"/>
              <w:rPr>
                <w:rFonts w:ascii="宋体" w:hAnsi="宋体" w:cs="宋体"/>
                <w:sz w:val="22"/>
                <w:szCs w:val="22"/>
              </w:rPr>
            </w:pPr>
            <w:r>
              <w:rPr>
                <w:rFonts w:hint="eastAsia" w:ascii="宋体" w:hAnsi="宋体" w:cs="宋体"/>
                <w:sz w:val="22"/>
                <w:szCs w:val="22"/>
              </w:rPr>
              <w:t>2.植株周边的配套设施必须安全有效，不得影响植株生长。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排灌</w:t>
            </w:r>
          </w:p>
        </w:tc>
        <w:tc>
          <w:tcPr>
            <w:tcW w:w="777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保护区内必须排水通畅、无积水。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470" w:type="dxa"/>
            <w:tcBorders>
              <w:top w:val="dotted"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清洁</w:t>
            </w:r>
          </w:p>
        </w:tc>
        <w:tc>
          <w:tcPr>
            <w:tcW w:w="777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保护区内无垃圾。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70" w:type="dxa"/>
            <w:tcBorders>
              <w:top w:val="dotted"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档案资料</w:t>
            </w:r>
          </w:p>
        </w:tc>
        <w:tc>
          <w:tcPr>
            <w:tcW w:w="777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建立一树一档，历史资料齐全，有动态养护记录。</w:t>
            </w:r>
          </w:p>
        </w:tc>
      </w:tr>
    </w:tbl>
    <w:p>
      <w:pPr>
        <w:spacing w:line="400" w:lineRule="exact"/>
        <w:rPr>
          <w:rFonts w:ascii="宋体" w:hAnsi="宋体" w:cs="宋体"/>
          <w:sz w:val="22"/>
          <w:szCs w:val="22"/>
        </w:rPr>
      </w:pPr>
    </w:p>
    <w:p>
      <w:pPr>
        <w:spacing w:line="400" w:lineRule="exact"/>
        <w:rPr>
          <w:rFonts w:ascii="宋体" w:hAnsi="宋体" w:cs="宋体"/>
          <w:sz w:val="22"/>
          <w:szCs w:val="22"/>
        </w:rPr>
      </w:pPr>
      <w:r>
        <w:rPr>
          <w:rFonts w:hint="eastAsia" w:ascii="宋体" w:hAnsi="宋体" w:cs="宋体"/>
          <w:sz w:val="22"/>
          <w:szCs w:val="22"/>
        </w:rPr>
        <w:t>3.12 园林设施养护标准应符合表3.12的规定：</w:t>
      </w:r>
    </w:p>
    <w:p>
      <w:pPr>
        <w:spacing w:line="400" w:lineRule="exact"/>
        <w:jc w:val="center"/>
        <w:rPr>
          <w:rFonts w:ascii="宋体" w:hAnsi="宋体" w:cs="宋体"/>
          <w:sz w:val="22"/>
          <w:szCs w:val="22"/>
        </w:rPr>
      </w:pPr>
      <w:r>
        <w:rPr>
          <w:rFonts w:hint="eastAsia" w:ascii="宋体" w:hAnsi="宋体" w:cs="宋体"/>
          <w:sz w:val="22"/>
          <w:szCs w:val="22"/>
        </w:rPr>
        <w:t>表3.12 园林设施</w:t>
      </w:r>
    </w:p>
    <w:tbl>
      <w:tblPr>
        <w:tblStyle w:val="25"/>
        <w:tblW w:w="9240" w:type="dxa"/>
        <w:tblInd w:w="-20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0"/>
        <w:gridCol w:w="77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3" w:hRule="atLeast"/>
        </w:trPr>
        <w:tc>
          <w:tcPr>
            <w:tcW w:w="1470" w:type="dxa"/>
            <w:tcBorders>
              <w:top w:val="single" w:color="auto" w:sz="4" w:space="0"/>
              <w:left w:val="single" w:color="auto" w:sz="4" w:space="0"/>
              <w:bottom w:val="single" w:color="auto" w:sz="6" w:space="0"/>
              <w:right w:val="single" w:color="auto" w:sz="6"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项目</w:t>
            </w:r>
          </w:p>
        </w:tc>
        <w:tc>
          <w:tcPr>
            <w:tcW w:w="7770" w:type="dxa"/>
            <w:tcBorders>
              <w:top w:val="single" w:color="auto" w:sz="4" w:space="0"/>
              <w:left w:val="single" w:color="auto" w:sz="6" w:space="0"/>
              <w:bottom w:val="single" w:color="auto" w:sz="6"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标        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26" w:hRule="atLeast"/>
        </w:trPr>
        <w:tc>
          <w:tcPr>
            <w:tcW w:w="147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园林建筑及构筑物</w:t>
            </w:r>
          </w:p>
        </w:tc>
        <w:tc>
          <w:tcPr>
            <w:tcW w:w="7770"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1.外貌无明显破损；</w:t>
            </w:r>
          </w:p>
          <w:p>
            <w:pPr>
              <w:spacing w:line="400" w:lineRule="exact"/>
              <w:rPr>
                <w:rFonts w:ascii="宋体" w:hAnsi="宋体" w:cs="宋体"/>
                <w:sz w:val="22"/>
                <w:szCs w:val="22"/>
              </w:rPr>
            </w:pPr>
            <w:r>
              <w:rPr>
                <w:rFonts w:hint="eastAsia" w:ascii="宋体" w:hAnsi="宋体" w:cs="宋体"/>
                <w:sz w:val="22"/>
                <w:szCs w:val="22"/>
              </w:rPr>
              <w:t>2.室内陈设合理，基本无破损，无陈积尘埃；</w:t>
            </w:r>
          </w:p>
          <w:p>
            <w:pPr>
              <w:spacing w:line="400" w:lineRule="exact"/>
              <w:rPr>
                <w:rFonts w:ascii="宋体" w:hAnsi="宋体" w:cs="宋体"/>
                <w:sz w:val="22"/>
                <w:szCs w:val="22"/>
              </w:rPr>
            </w:pPr>
            <w:r>
              <w:rPr>
                <w:rFonts w:hint="eastAsia" w:ascii="宋体" w:hAnsi="宋体" w:cs="宋体"/>
                <w:sz w:val="22"/>
                <w:szCs w:val="22"/>
              </w:rPr>
              <w:t>3.结构、装修和设备安全，基本无渗漏。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47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道路地坪</w:t>
            </w:r>
          </w:p>
        </w:tc>
        <w:tc>
          <w:tcPr>
            <w:tcW w:w="7770"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1.基本平整，无损缺、无积水，基本保持清洁；</w:t>
            </w:r>
          </w:p>
          <w:p>
            <w:pPr>
              <w:spacing w:line="400" w:lineRule="exact"/>
              <w:rPr>
                <w:rFonts w:ascii="宋体" w:hAnsi="宋体" w:cs="宋体"/>
                <w:sz w:val="22"/>
                <w:szCs w:val="22"/>
              </w:rPr>
            </w:pPr>
            <w:r>
              <w:rPr>
                <w:rFonts w:hint="eastAsia" w:ascii="宋体" w:hAnsi="宋体" w:cs="宋体"/>
                <w:sz w:val="22"/>
                <w:szCs w:val="22"/>
              </w:rPr>
              <w:t>2.保持材质外观的延续性和协调性；</w:t>
            </w:r>
          </w:p>
          <w:p>
            <w:pPr>
              <w:spacing w:line="400" w:lineRule="exact"/>
              <w:rPr>
                <w:rFonts w:ascii="宋体" w:hAnsi="宋体" w:cs="宋体"/>
                <w:sz w:val="22"/>
                <w:szCs w:val="22"/>
              </w:rPr>
            </w:pPr>
            <w:r>
              <w:rPr>
                <w:rFonts w:hint="eastAsia" w:ascii="宋体" w:hAnsi="宋体" w:cs="宋体"/>
                <w:sz w:val="22"/>
                <w:szCs w:val="22"/>
              </w:rPr>
              <w:t>3.无障碍设施完好、通畅，应急通道无阻。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89" w:hRule="atLeast"/>
        </w:trPr>
        <w:tc>
          <w:tcPr>
            <w:tcW w:w="147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花架</w:t>
            </w:r>
          </w:p>
        </w:tc>
        <w:tc>
          <w:tcPr>
            <w:tcW w:w="7770"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1.完整，无缺损，满足植物攀爬需要；</w:t>
            </w:r>
          </w:p>
          <w:p>
            <w:pPr>
              <w:spacing w:line="400" w:lineRule="exact"/>
              <w:rPr>
                <w:rFonts w:ascii="宋体" w:hAnsi="宋体" w:cs="宋体"/>
                <w:sz w:val="22"/>
                <w:szCs w:val="22"/>
              </w:rPr>
            </w:pPr>
            <w:r>
              <w:rPr>
                <w:rFonts w:hint="eastAsia" w:ascii="宋体" w:hAnsi="宋体" w:cs="宋体"/>
                <w:sz w:val="22"/>
                <w:szCs w:val="22"/>
              </w:rPr>
              <w:t>2.坚固安全，外观与周围环境协调；</w:t>
            </w:r>
          </w:p>
          <w:p>
            <w:pPr>
              <w:spacing w:line="400" w:lineRule="exact"/>
              <w:rPr>
                <w:rFonts w:ascii="宋体" w:hAnsi="宋体" w:cs="宋体"/>
                <w:sz w:val="22"/>
                <w:szCs w:val="22"/>
              </w:rPr>
            </w:pPr>
            <w:r>
              <w:rPr>
                <w:rFonts w:hint="eastAsia" w:ascii="宋体" w:hAnsi="宋体" w:cs="宋体"/>
                <w:sz w:val="22"/>
                <w:szCs w:val="22"/>
              </w:rPr>
              <w:t>3.材质环保。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58" w:hRule="atLeast"/>
        </w:trPr>
        <w:tc>
          <w:tcPr>
            <w:tcW w:w="147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围栏</w:t>
            </w:r>
          </w:p>
        </w:tc>
        <w:tc>
          <w:tcPr>
            <w:tcW w:w="7770"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1.完整，无缺损；</w:t>
            </w:r>
          </w:p>
          <w:p>
            <w:pPr>
              <w:spacing w:line="400" w:lineRule="exact"/>
              <w:rPr>
                <w:rFonts w:ascii="宋体" w:hAnsi="宋体" w:cs="宋体"/>
                <w:sz w:val="22"/>
                <w:szCs w:val="22"/>
              </w:rPr>
            </w:pPr>
            <w:r>
              <w:rPr>
                <w:rFonts w:hint="eastAsia" w:ascii="宋体" w:hAnsi="宋体" w:cs="宋体"/>
                <w:sz w:val="22"/>
                <w:szCs w:val="22"/>
              </w:rPr>
              <w:t>2.外观与周围环境协调；</w:t>
            </w:r>
          </w:p>
          <w:p>
            <w:pPr>
              <w:spacing w:line="400" w:lineRule="exact"/>
              <w:rPr>
                <w:rFonts w:ascii="宋体" w:hAnsi="宋体" w:cs="宋体"/>
                <w:sz w:val="22"/>
                <w:szCs w:val="22"/>
              </w:rPr>
            </w:pPr>
            <w:r>
              <w:rPr>
                <w:rFonts w:hint="eastAsia" w:ascii="宋体" w:hAnsi="宋体" w:cs="宋体"/>
                <w:sz w:val="22"/>
                <w:szCs w:val="22"/>
              </w:rPr>
              <w:t>3.材质环保。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2" w:hRule="atLeast"/>
        </w:trPr>
        <w:tc>
          <w:tcPr>
            <w:tcW w:w="147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假山叠石</w:t>
            </w:r>
          </w:p>
        </w:tc>
        <w:tc>
          <w:tcPr>
            <w:tcW w:w="7770"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1.假山叠石完整、稳固、安全；</w:t>
            </w:r>
          </w:p>
          <w:p>
            <w:pPr>
              <w:spacing w:line="400" w:lineRule="exact"/>
              <w:rPr>
                <w:rFonts w:ascii="宋体" w:hAnsi="宋体" w:cs="宋体"/>
                <w:sz w:val="22"/>
                <w:szCs w:val="22"/>
              </w:rPr>
            </w:pPr>
            <w:r>
              <w:rPr>
                <w:rFonts w:hint="eastAsia" w:ascii="宋体" w:hAnsi="宋体" w:cs="宋体"/>
                <w:sz w:val="22"/>
                <w:szCs w:val="22"/>
              </w:rPr>
              <w:t>2.不适于攀爬的叠石有醒目标志和防护设备；</w:t>
            </w:r>
          </w:p>
          <w:p>
            <w:pPr>
              <w:spacing w:line="400" w:lineRule="exact"/>
              <w:rPr>
                <w:rFonts w:ascii="宋体" w:hAnsi="宋体" w:cs="宋体"/>
                <w:sz w:val="22"/>
                <w:szCs w:val="22"/>
              </w:rPr>
            </w:pPr>
            <w:r>
              <w:rPr>
                <w:rFonts w:hint="eastAsia" w:ascii="宋体" w:hAnsi="宋体" w:cs="宋体"/>
                <w:sz w:val="22"/>
                <w:szCs w:val="22"/>
              </w:rPr>
              <w:t>3.假山四周及石缝无影响安全和景观的杂草、杂物。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30" w:hRule="atLeast"/>
        </w:trPr>
        <w:tc>
          <w:tcPr>
            <w:tcW w:w="147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雕塑</w:t>
            </w:r>
          </w:p>
        </w:tc>
        <w:tc>
          <w:tcPr>
            <w:tcW w:w="7770"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1.设置应符合规划设计要求，非固定雕塑不应影响绿地开放；</w:t>
            </w:r>
          </w:p>
          <w:p>
            <w:pPr>
              <w:spacing w:line="400" w:lineRule="exact"/>
              <w:rPr>
                <w:rFonts w:ascii="宋体" w:hAnsi="宋体" w:cs="宋体"/>
                <w:sz w:val="22"/>
                <w:szCs w:val="22"/>
              </w:rPr>
            </w:pPr>
            <w:r>
              <w:rPr>
                <w:rFonts w:hint="eastAsia" w:ascii="宋体" w:hAnsi="宋体" w:cs="宋体"/>
                <w:sz w:val="22"/>
                <w:szCs w:val="22"/>
              </w:rPr>
              <w:t>2.保持结构、基础安全完整；</w:t>
            </w:r>
          </w:p>
          <w:p>
            <w:pPr>
              <w:spacing w:line="400" w:lineRule="exact"/>
              <w:rPr>
                <w:rFonts w:ascii="宋体" w:hAnsi="宋体" w:cs="宋体"/>
                <w:sz w:val="22"/>
                <w:szCs w:val="22"/>
              </w:rPr>
            </w:pPr>
            <w:r>
              <w:rPr>
                <w:rFonts w:hint="eastAsia" w:ascii="宋体" w:hAnsi="宋体" w:cs="宋体"/>
                <w:sz w:val="22"/>
                <w:szCs w:val="22"/>
              </w:rPr>
              <w:t>3.各种雕塑应定期检查，基本保持清洁无垢。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8" w:hRule="atLeast"/>
        </w:trPr>
        <w:tc>
          <w:tcPr>
            <w:tcW w:w="147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娱乐健身</w:t>
            </w:r>
          </w:p>
          <w:p>
            <w:pPr>
              <w:spacing w:line="400" w:lineRule="exact"/>
              <w:jc w:val="center"/>
              <w:rPr>
                <w:rFonts w:ascii="宋体" w:hAnsi="宋体" w:cs="宋体"/>
                <w:sz w:val="22"/>
                <w:szCs w:val="22"/>
              </w:rPr>
            </w:pPr>
            <w:r>
              <w:rPr>
                <w:rFonts w:hint="eastAsia" w:ascii="宋体" w:hAnsi="宋体" w:cs="宋体"/>
                <w:sz w:val="22"/>
                <w:szCs w:val="22"/>
              </w:rPr>
              <w:t>设施</w:t>
            </w:r>
          </w:p>
        </w:tc>
        <w:tc>
          <w:tcPr>
            <w:tcW w:w="7770"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1.所有设施均应明示生产单位及使用要求、操作规程；</w:t>
            </w:r>
          </w:p>
          <w:p>
            <w:pPr>
              <w:spacing w:line="400" w:lineRule="exact"/>
              <w:rPr>
                <w:rFonts w:ascii="宋体" w:hAnsi="宋体" w:cs="宋体"/>
                <w:sz w:val="22"/>
                <w:szCs w:val="22"/>
              </w:rPr>
            </w:pPr>
            <w:r>
              <w:rPr>
                <w:rFonts w:hint="eastAsia" w:ascii="宋体" w:hAnsi="宋体" w:cs="宋体"/>
                <w:sz w:val="22"/>
                <w:szCs w:val="22"/>
              </w:rPr>
              <w:t>2.保持整洁，运转正常，色彩常新，严禁带故障运行。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28" w:hRule="atLeast"/>
        </w:trPr>
        <w:tc>
          <w:tcPr>
            <w:tcW w:w="147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上下水</w:t>
            </w:r>
          </w:p>
        </w:tc>
        <w:tc>
          <w:tcPr>
            <w:tcW w:w="7770"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1.管道通畅，上水无污染；</w:t>
            </w:r>
          </w:p>
          <w:p>
            <w:pPr>
              <w:spacing w:line="400" w:lineRule="exact"/>
              <w:rPr>
                <w:rFonts w:ascii="宋体" w:hAnsi="宋体" w:cs="宋体"/>
                <w:sz w:val="22"/>
                <w:szCs w:val="22"/>
              </w:rPr>
            </w:pPr>
            <w:r>
              <w:rPr>
                <w:rFonts w:hint="eastAsia" w:ascii="宋体" w:hAnsi="宋体" w:cs="宋体"/>
                <w:sz w:val="22"/>
                <w:szCs w:val="22"/>
              </w:rPr>
              <w:t>2.外露的窨井、给排水口等设施清洁、完整无损、无隐患；</w:t>
            </w:r>
          </w:p>
          <w:p>
            <w:pPr>
              <w:spacing w:line="400" w:lineRule="exact"/>
              <w:rPr>
                <w:rFonts w:ascii="宋体" w:hAnsi="宋体" w:cs="宋体"/>
                <w:sz w:val="22"/>
                <w:szCs w:val="22"/>
              </w:rPr>
            </w:pPr>
            <w:r>
              <w:rPr>
                <w:rFonts w:hint="eastAsia" w:ascii="宋体" w:hAnsi="宋体" w:cs="宋体"/>
                <w:sz w:val="22"/>
                <w:szCs w:val="22"/>
              </w:rPr>
              <w:t>3.防汛、消防等设备完好、有效。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4" w:hRule="atLeast"/>
        </w:trPr>
        <w:tc>
          <w:tcPr>
            <w:tcW w:w="147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供电照明</w:t>
            </w:r>
          </w:p>
        </w:tc>
        <w:tc>
          <w:tcPr>
            <w:tcW w:w="7770"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1.输配电、照明设施常年完整、正常运转；</w:t>
            </w:r>
          </w:p>
          <w:p>
            <w:pPr>
              <w:spacing w:line="400" w:lineRule="exact"/>
              <w:rPr>
                <w:rFonts w:ascii="宋体" w:hAnsi="宋体" w:cs="宋体"/>
                <w:sz w:val="22"/>
                <w:szCs w:val="22"/>
              </w:rPr>
            </w:pPr>
            <w:r>
              <w:rPr>
                <w:rFonts w:hint="eastAsia" w:ascii="宋体" w:hAnsi="宋体" w:cs="宋体"/>
                <w:sz w:val="22"/>
                <w:szCs w:val="22"/>
              </w:rPr>
              <w:t>2.照明设施清洁、有适宜照明度，无带电裸露部分，各项管线设施完整、安全。</w:t>
            </w:r>
          </w:p>
        </w:tc>
      </w:tr>
    </w:tbl>
    <w:p>
      <w:pPr>
        <w:spacing w:line="400" w:lineRule="exact"/>
        <w:rPr>
          <w:rFonts w:ascii="宋体" w:hAnsi="宋体" w:cs="宋体"/>
          <w:sz w:val="22"/>
          <w:szCs w:val="22"/>
        </w:rPr>
      </w:pPr>
      <w:r>
        <w:rPr>
          <w:rFonts w:hint="eastAsia" w:ascii="宋体" w:hAnsi="宋体" w:cs="宋体"/>
          <w:sz w:val="22"/>
          <w:szCs w:val="22"/>
        </w:rPr>
        <w:t>3.13 其他设施养护标准应符合表3.13的规定：</w:t>
      </w:r>
    </w:p>
    <w:p>
      <w:pPr>
        <w:spacing w:line="400" w:lineRule="exact"/>
        <w:jc w:val="center"/>
        <w:rPr>
          <w:rFonts w:ascii="宋体" w:hAnsi="宋体" w:cs="宋体"/>
          <w:sz w:val="22"/>
          <w:szCs w:val="22"/>
        </w:rPr>
      </w:pPr>
      <w:r>
        <w:rPr>
          <w:rFonts w:hint="eastAsia" w:ascii="宋体" w:hAnsi="宋体" w:cs="宋体"/>
          <w:sz w:val="22"/>
          <w:szCs w:val="22"/>
        </w:rPr>
        <w:t>表3.13 其他设施</w:t>
      </w:r>
    </w:p>
    <w:tbl>
      <w:tblPr>
        <w:tblStyle w:val="25"/>
        <w:tblW w:w="9240" w:type="dxa"/>
        <w:tblInd w:w="-20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0"/>
        <w:gridCol w:w="77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3" w:hRule="atLeast"/>
        </w:trPr>
        <w:tc>
          <w:tcPr>
            <w:tcW w:w="1470" w:type="dxa"/>
            <w:tcBorders>
              <w:top w:val="single" w:color="auto" w:sz="4" w:space="0"/>
              <w:left w:val="single" w:color="auto" w:sz="4" w:space="0"/>
              <w:bottom w:val="single" w:color="auto" w:sz="6" w:space="0"/>
              <w:right w:val="single" w:color="auto" w:sz="6"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项目</w:t>
            </w:r>
          </w:p>
        </w:tc>
        <w:tc>
          <w:tcPr>
            <w:tcW w:w="7770" w:type="dxa"/>
            <w:tcBorders>
              <w:top w:val="single" w:color="auto" w:sz="4" w:space="0"/>
              <w:left w:val="single" w:color="auto" w:sz="6" w:space="0"/>
              <w:bottom w:val="single" w:color="auto" w:sz="6"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标        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trPr>
        <w:tc>
          <w:tcPr>
            <w:tcW w:w="147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垃圾箱</w:t>
            </w:r>
          </w:p>
        </w:tc>
        <w:tc>
          <w:tcPr>
            <w:tcW w:w="7770"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1.外观整洁、完整，箱内无沉积垃圾；</w:t>
            </w:r>
          </w:p>
          <w:p>
            <w:pPr>
              <w:spacing w:line="400" w:lineRule="exact"/>
              <w:rPr>
                <w:rFonts w:ascii="宋体" w:hAnsi="宋体" w:cs="宋体"/>
                <w:sz w:val="22"/>
                <w:szCs w:val="22"/>
              </w:rPr>
            </w:pPr>
            <w:r>
              <w:rPr>
                <w:rFonts w:hint="eastAsia" w:ascii="宋体" w:hAnsi="宋体" w:cs="宋体"/>
                <w:sz w:val="22"/>
                <w:szCs w:val="22"/>
              </w:rPr>
              <w:t>2.垃圾应有分类；</w:t>
            </w:r>
          </w:p>
          <w:p>
            <w:pPr>
              <w:spacing w:line="400" w:lineRule="exact"/>
              <w:rPr>
                <w:rFonts w:ascii="宋体" w:hAnsi="宋体" w:cs="宋体"/>
                <w:sz w:val="22"/>
                <w:szCs w:val="22"/>
              </w:rPr>
            </w:pPr>
            <w:r>
              <w:rPr>
                <w:rFonts w:hint="eastAsia" w:ascii="宋体" w:hAnsi="宋体" w:cs="宋体"/>
                <w:sz w:val="22"/>
                <w:szCs w:val="22"/>
              </w:rPr>
              <w:t>3.箱体周边地面整洁，无垃圾。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trPr>
        <w:tc>
          <w:tcPr>
            <w:tcW w:w="147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垃圾堆场</w:t>
            </w:r>
          </w:p>
        </w:tc>
        <w:tc>
          <w:tcPr>
            <w:tcW w:w="7770"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1.与景观区域分隔，地面排水良好；</w:t>
            </w:r>
          </w:p>
          <w:p>
            <w:pPr>
              <w:spacing w:line="400" w:lineRule="exact"/>
              <w:rPr>
                <w:rFonts w:ascii="宋体" w:hAnsi="宋体" w:cs="宋体"/>
                <w:sz w:val="22"/>
                <w:szCs w:val="22"/>
              </w:rPr>
            </w:pPr>
            <w:r>
              <w:rPr>
                <w:rFonts w:hint="eastAsia" w:ascii="宋体" w:hAnsi="宋体" w:cs="宋体"/>
                <w:sz w:val="22"/>
                <w:szCs w:val="22"/>
              </w:rPr>
              <w:t>2.场内无臭、无蚊蝇孳生；</w:t>
            </w:r>
          </w:p>
          <w:p>
            <w:pPr>
              <w:spacing w:line="400" w:lineRule="exact"/>
              <w:rPr>
                <w:rFonts w:ascii="宋体" w:hAnsi="宋体" w:cs="宋体"/>
                <w:sz w:val="22"/>
                <w:szCs w:val="22"/>
              </w:rPr>
            </w:pPr>
            <w:r>
              <w:rPr>
                <w:rFonts w:hint="eastAsia" w:ascii="宋体" w:hAnsi="宋体" w:cs="宋体"/>
                <w:sz w:val="22"/>
                <w:szCs w:val="22"/>
              </w:rPr>
              <w:t>3.垃圾清运规范。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trPr>
        <w:tc>
          <w:tcPr>
            <w:tcW w:w="147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园椅、园凳</w:t>
            </w:r>
          </w:p>
        </w:tc>
        <w:tc>
          <w:tcPr>
            <w:tcW w:w="7770"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1.布点合理，安全牢固，基本无缺损；</w:t>
            </w:r>
          </w:p>
          <w:p>
            <w:pPr>
              <w:spacing w:line="400" w:lineRule="exact"/>
              <w:rPr>
                <w:rFonts w:ascii="宋体" w:hAnsi="宋体" w:cs="宋体"/>
                <w:sz w:val="22"/>
                <w:szCs w:val="22"/>
              </w:rPr>
            </w:pPr>
            <w:r>
              <w:rPr>
                <w:rFonts w:hint="eastAsia" w:ascii="宋体" w:hAnsi="宋体" w:cs="宋体"/>
                <w:sz w:val="22"/>
                <w:szCs w:val="22"/>
              </w:rPr>
              <w:t>2.整洁美观，凳面基本洁净；</w:t>
            </w:r>
          </w:p>
          <w:p>
            <w:pPr>
              <w:spacing w:line="400" w:lineRule="exact"/>
              <w:rPr>
                <w:rFonts w:ascii="宋体" w:hAnsi="宋体" w:cs="宋体"/>
                <w:sz w:val="22"/>
                <w:szCs w:val="22"/>
              </w:rPr>
            </w:pPr>
            <w:r>
              <w:rPr>
                <w:rFonts w:hint="eastAsia" w:ascii="宋体" w:hAnsi="宋体" w:cs="宋体"/>
                <w:sz w:val="22"/>
                <w:szCs w:val="22"/>
              </w:rPr>
              <w:t>3.维修应设置明显标志。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trPr>
        <w:tc>
          <w:tcPr>
            <w:tcW w:w="147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标牌</w:t>
            </w:r>
          </w:p>
        </w:tc>
        <w:tc>
          <w:tcPr>
            <w:tcW w:w="7770"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1.位置合理，构建完好，牢固安全；</w:t>
            </w:r>
          </w:p>
          <w:p>
            <w:pPr>
              <w:spacing w:line="400" w:lineRule="exact"/>
              <w:rPr>
                <w:rFonts w:ascii="宋体" w:hAnsi="宋体" w:cs="宋体"/>
                <w:sz w:val="22"/>
                <w:szCs w:val="22"/>
              </w:rPr>
            </w:pPr>
            <w:r>
              <w:rPr>
                <w:rFonts w:hint="eastAsia" w:ascii="宋体" w:hAnsi="宋体" w:cs="宋体"/>
                <w:sz w:val="22"/>
                <w:szCs w:val="22"/>
              </w:rPr>
              <w:t>2.字迹清楚，图形规范；</w:t>
            </w:r>
          </w:p>
          <w:p>
            <w:pPr>
              <w:spacing w:line="400" w:lineRule="exact"/>
              <w:rPr>
                <w:rFonts w:ascii="宋体" w:hAnsi="宋体" w:cs="宋体"/>
                <w:sz w:val="22"/>
                <w:szCs w:val="22"/>
              </w:rPr>
            </w:pPr>
            <w:r>
              <w:rPr>
                <w:rFonts w:hint="eastAsia" w:ascii="宋体" w:hAnsi="宋体" w:cs="宋体"/>
                <w:sz w:val="22"/>
                <w:szCs w:val="22"/>
              </w:rPr>
              <w:t>3.材质环保，色彩与周围环境协调。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trPr>
        <w:tc>
          <w:tcPr>
            <w:tcW w:w="147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报廊</w:t>
            </w:r>
          </w:p>
          <w:p>
            <w:pPr>
              <w:spacing w:line="400" w:lineRule="exact"/>
              <w:jc w:val="center"/>
              <w:rPr>
                <w:rFonts w:ascii="宋体" w:hAnsi="宋体" w:cs="宋体"/>
                <w:sz w:val="22"/>
                <w:szCs w:val="22"/>
              </w:rPr>
            </w:pPr>
            <w:r>
              <w:rPr>
                <w:rFonts w:hint="eastAsia" w:ascii="宋体" w:hAnsi="宋体" w:cs="宋体"/>
                <w:sz w:val="22"/>
                <w:szCs w:val="22"/>
              </w:rPr>
              <w:t>宣传廊</w:t>
            </w:r>
          </w:p>
        </w:tc>
        <w:tc>
          <w:tcPr>
            <w:tcW w:w="7770"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1.位置合理，整洁美观；</w:t>
            </w:r>
          </w:p>
          <w:p>
            <w:pPr>
              <w:spacing w:line="400" w:lineRule="exact"/>
              <w:rPr>
                <w:rFonts w:ascii="宋体" w:hAnsi="宋体" w:cs="宋体"/>
                <w:sz w:val="22"/>
                <w:szCs w:val="22"/>
              </w:rPr>
            </w:pPr>
            <w:r>
              <w:rPr>
                <w:rFonts w:hint="eastAsia" w:ascii="宋体" w:hAnsi="宋体" w:cs="宋体"/>
                <w:sz w:val="22"/>
                <w:szCs w:val="22"/>
              </w:rPr>
              <w:t>2.构件完好，牢固安全；</w:t>
            </w:r>
          </w:p>
          <w:p>
            <w:pPr>
              <w:spacing w:line="400" w:lineRule="exact"/>
              <w:rPr>
                <w:rFonts w:ascii="宋体" w:hAnsi="宋体" w:cs="宋体"/>
                <w:sz w:val="22"/>
                <w:szCs w:val="22"/>
              </w:rPr>
            </w:pPr>
            <w:r>
              <w:rPr>
                <w:rFonts w:hint="eastAsia" w:ascii="宋体" w:hAnsi="宋体" w:cs="宋体"/>
                <w:sz w:val="22"/>
                <w:szCs w:val="22"/>
              </w:rPr>
              <w:t>3.陈列材料内容丰富、健康，更换及时；</w:t>
            </w:r>
          </w:p>
          <w:p>
            <w:pPr>
              <w:spacing w:line="400" w:lineRule="exact"/>
              <w:rPr>
                <w:rFonts w:ascii="宋体" w:hAnsi="宋体" w:cs="宋体"/>
                <w:sz w:val="22"/>
                <w:szCs w:val="22"/>
              </w:rPr>
            </w:pPr>
            <w:r>
              <w:rPr>
                <w:rFonts w:hint="eastAsia" w:ascii="宋体" w:hAnsi="宋体" w:cs="宋体"/>
                <w:sz w:val="22"/>
                <w:szCs w:val="22"/>
              </w:rPr>
              <w:t>4.周边区域地面整洁，无垃圾。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trPr>
        <w:tc>
          <w:tcPr>
            <w:tcW w:w="1470"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户外广播</w:t>
            </w:r>
          </w:p>
        </w:tc>
        <w:tc>
          <w:tcPr>
            <w:tcW w:w="7770"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1.设施完好；</w:t>
            </w:r>
          </w:p>
          <w:p>
            <w:pPr>
              <w:spacing w:line="400" w:lineRule="exact"/>
              <w:rPr>
                <w:rFonts w:ascii="宋体" w:hAnsi="宋体" w:cs="宋体"/>
                <w:sz w:val="22"/>
                <w:szCs w:val="22"/>
              </w:rPr>
            </w:pPr>
            <w:r>
              <w:rPr>
                <w:rFonts w:hint="eastAsia" w:ascii="宋体" w:hAnsi="宋体" w:cs="宋体"/>
                <w:sz w:val="22"/>
                <w:szCs w:val="22"/>
              </w:rPr>
              <w:t>2.适时广播；</w:t>
            </w:r>
          </w:p>
          <w:p>
            <w:pPr>
              <w:spacing w:line="400" w:lineRule="exact"/>
              <w:rPr>
                <w:rFonts w:ascii="宋体" w:hAnsi="宋体" w:cs="宋体"/>
                <w:sz w:val="22"/>
                <w:szCs w:val="22"/>
              </w:rPr>
            </w:pPr>
            <w:r>
              <w:rPr>
                <w:rFonts w:hint="eastAsia" w:ascii="宋体" w:hAnsi="宋体" w:cs="宋体"/>
                <w:sz w:val="22"/>
                <w:szCs w:val="22"/>
              </w:rPr>
              <w:t>3.背景音乐音量严禁大于55分贝。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trPr>
        <w:tc>
          <w:tcPr>
            <w:tcW w:w="1470" w:type="dxa"/>
            <w:tcBorders>
              <w:top w:val="single" w:color="auto" w:sz="6" w:space="0"/>
              <w:left w:val="single" w:color="auto" w:sz="4" w:space="0"/>
              <w:bottom w:val="single" w:color="auto" w:sz="12" w:space="0"/>
              <w:right w:val="single" w:color="auto" w:sz="6"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停车场地</w:t>
            </w:r>
          </w:p>
        </w:tc>
        <w:tc>
          <w:tcPr>
            <w:tcW w:w="7770" w:type="dxa"/>
            <w:tcBorders>
              <w:top w:val="single" w:color="auto" w:sz="6" w:space="0"/>
              <w:left w:val="single" w:color="auto" w:sz="6" w:space="0"/>
              <w:bottom w:val="single" w:color="auto" w:sz="12"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1.平整清洁，车位有明显标志；</w:t>
            </w:r>
          </w:p>
          <w:p>
            <w:pPr>
              <w:spacing w:line="400" w:lineRule="exact"/>
              <w:rPr>
                <w:rFonts w:ascii="宋体" w:hAnsi="宋体" w:cs="宋体"/>
                <w:sz w:val="22"/>
                <w:szCs w:val="22"/>
              </w:rPr>
            </w:pPr>
            <w:r>
              <w:rPr>
                <w:rFonts w:hint="eastAsia" w:ascii="宋体" w:hAnsi="宋体" w:cs="宋体"/>
                <w:sz w:val="22"/>
                <w:szCs w:val="22"/>
              </w:rPr>
              <w:t>2.停车位绿化覆盖率85%以上；</w:t>
            </w:r>
          </w:p>
          <w:p>
            <w:pPr>
              <w:spacing w:line="400" w:lineRule="exact"/>
              <w:rPr>
                <w:rFonts w:ascii="宋体" w:hAnsi="宋体" w:cs="宋体"/>
                <w:sz w:val="22"/>
                <w:szCs w:val="22"/>
              </w:rPr>
            </w:pPr>
            <w:r>
              <w:rPr>
                <w:rFonts w:hint="eastAsia" w:ascii="宋体" w:hAnsi="宋体" w:cs="宋体"/>
                <w:sz w:val="22"/>
                <w:szCs w:val="22"/>
              </w:rPr>
              <w:t>3.收费应明示。</w:t>
            </w:r>
          </w:p>
        </w:tc>
      </w:tr>
    </w:tbl>
    <w:p>
      <w:pPr>
        <w:spacing w:line="400" w:lineRule="exact"/>
        <w:rPr>
          <w:rFonts w:ascii="宋体" w:hAnsi="宋体" w:cs="宋体"/>
          <w:sz w:val="22"/>
          <w:szCs w:val="22"/>
        </w:rPr>
      </w:pPr>
      <w:r>
        <w:rPr>
          <w:rFonts w:hint="eastAsia" w:ascii="宋体" w:hAnsi="宋体" w:cs="宋体"/>
          <w:sz w:val="22"/>
          <w:szCs w:val="22"/>
        </w:rPr>
        <w:t>3.14土壤养护标准应符合下列规定:</w:t>
      </w:r>
    </w:p>
    <w:p>
      <w:pPr>
        <w:spacing w:line="400" w:lineRule="exact"/>
        <w:ind w:firstLine="440" w:firstLineChars="200"/>
        <w:rPr>
          <w:rFonts w:ascii="宋体" w:hAnsi="宋体" w:cs="宋体"/>
          <w:sz w:val="22"/>
          <w:szCs w:val="22"/>
        </w:rPr>
      </w:pPr>
      <w:r>
        <w:rPr>
          <w:rFonts w:hint="eastAsia" w:ascii="宋体" w:hAnsi="宋体" w:cs="宋体"/>
          <w:sz w:val="22"/>
          <w:szCs w:val="22"/>
        </w:rPr>
        <w:t>1.种植土壤中严禁混入建筑垃圾和有害物质；</w:t>
      </w:r>
    </w:p>
    <w:p>
      <w:pPr>
        <w:spacing w:line="400" w:lineRule="exact"/>
        <w:ind w:firstLine="440" w:firstLineChars="200"/>
        <w:rPr>
          <w:rFonts w:ascii="宋体" w:hAnsi="宋体" w:cs="宋体"/>
          <w:sz w:val="22"/>
          <w:szCs w:val="22"/>
        </w:rPr>
      </w:pPr>
      <w:r>
        <w:rPr>
          <w:rFonts w:hint="eastAsia" w:ascii="宋体" w:hAnsi="宋体" w:cs="宋体"/>
          <w:sz w:val="22"/>
          <w:szCs w:val="22"/>
        </w:rPr>
        <w:t>2.种植土壤无白色盐霜，疏松不板结，土块易捣碎；</w:t>
      </w:r>
    </w:p>
    <w:p>
      <w:pPr>
        <w:spacing w:line="400" w:lineRule="exact"/>
        <w:ind w:firstLine="440" w:firstLineChars="200"/>
        <w:rPr>
          <w:rFonts w:ascii="宋体" w:hAnsi="宋体" w:cs="宋体"/>
          <w:sz w:val="22"/>
          <w:szCs w:val="22"/>
        </w:rPr>
      </w:pPr>
      <w:r>
        <w:rPr>
          <w:rFonts w:hint="eastAsia" w:ascii="宋体" w:hAnsi="宋体" w:cs="宋体"/>
          <w:sz w:val="22"/>
          <w:szCs w:val="22"/>
        </w:rPr>
        <w:t>3.深根性乔木有效土层应大于150cm，浅根性乔木有效土层应大于100cm，大灌木有效土层应大于60cm，小灌木有效土层应大于45cm，草坪地被有效土层应大于30cm；</w:t>
      </w:r>
    </w:p>
    <w:p>
      <w:pPr>
        <w:spacing w:line="400" w:lineRule="exact"/>
        <w:ind w:firstLine="440" w:firstLineChars="200"/>
        <w:rPr>
          <w:rFonts w:ascii="宋体" w:hAnsi="宋体" w:cs="宋体"/>
          <w:sz w:val="22"/>
          <w:szCs w:val="22"/>
        </w:rPr>
      </w:pPr>
      <w:r>
        <w:rPr>
          <w:rFonts w:hint="eastAsia" w:ascii="宋体" w:hAnsi="宋体" w:cs="宋体"/>
          <w:sz w:val="22"/>
          <w:szCs w:val="22"/>
        </w:rPr>
        <w:t>4.种植土壤应符合设计要求，当设计无具体要求时，应符合《浙江省园林绿化工程施工质量验收规范（DB 33/1068-2010）》要求。</w:t>
      </w:r>
    </w:p>
    <w:p>
      <w:pPr>
        <w:spacing w:line="400" w:lineRule="exact"/>
        <w:rPr>
          <w:rFonts w:ascii="宋体" w:hAnsi="宋体" w:cs="宋体"/>
          <w:sz w:val="22"/>
          <w:szCs w:val="22"/>
        </w:rPr>
      </w:pPr>
      <w:r>
        <w:rPr>
          <w:rFonts w:hint="eastAsia" w:ascii="宋体" w:hAnsi="宋体" w:cs="宋体"/>
          <w:sz w:val="22"/>
          <w:szCs w:val="22"/>
        </w:rPr>
        <w:t>3.15 施肥养护标准应符合表3.15的规定：</w:t>
      </w:r>
    </w:p>
    <w:p>
      <w:pPr>
        <w:spacing w:line="400" w:lineRule="exact"/>
        <w:jc w:val="center"/>
        <w:rPr>
          <w:rFonts w:ascii="宋体" w:hAnsi="宋体" w:cs="宋体"/>
          <w:sz w:val="22"/>
          <w:szCs w:val="22"/>
        </w:rPr>
      </w:pPr>
      <w:r>
        <w:rPr>
          <w:rFonts w:hint="eastAsia" w:ascii="宋体" w:hAnsi="宋体" w:cs="宋体"/>
          <w:sz w:val="22"/>
          <w:szCs w:val="22"/>
        </w:rPr>
        <w:t>表3.15 施肥</w:t>
      </w:r>
    </w:p>
    <w:tbl>
      <w:tblPr>
        <w:tblStyle w:val="25"/>
        <w:tblW w:w="9240"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4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项目</w:t>
            </w:r>
          </w:p>
        </w:tc>
        <w:tc>
          <w:tcPr>
            <w:tcW w:w="7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4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目的与要求</w:t>
            </w:r>
          </w:p>
        </w:tc>
        <w:tc>
          <w:tcPr>
            <w:tcW w:w="777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1.施肥是保证花草树木旺盛生长的有效养护措施之一；</w:t>
            </w:r>
          </w:p>
          <w:p>
            <w:pPr>
              <w:spacing w:line="400" w:lineRule="exact"/>
              <w:rPr>
                <w:rFonts w:ascii="宋体" w:hAnsi="宋体" w:cs="宋体"/>
                <w:sz w:val="22"/>
                <w:szCs w:val="22"/>
              </w:rPr>
            </w:pPr>
            <w:r>
              <w:rPr>
                <w:rFonts w:hint="eastAsia" w:ascii="宋体" w:hAnsi="宋体" w:cs="宋体"/>
                <w:sz w:val="22"/>
                <w:szCs w:val="22"/>
              </w:rPr>
              <w:t>2.应根据树种、树龄、气候条件、生长需要和土壤肥力等情况合理施肥，平衡土壤中各种矿质营养元素，保持土壤肥力和合理结构。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2" w:hRule="atLeast"/>
        </w:trPr>
        <w:tc>
          <w:tcPr>
            <w:tcW w:w="14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肥料种类</w:t>
            </w:r>
          </w:p>
        </w:tc>
        <w:tc>
          <w:tcPr>
            <w:tcW w:w="777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1.施用的肥料种类应视树种、生长期及观赏和土壤缺肥状况等不同要求而定；</w:t>
            </w:r>
          </w:p>
          <w:p>
            <w:pPr>
              <w:spacing w:line="400" w:lineRule="exact"/>
              <w:rPr>
                <w:rFonts w:ascii="宋体" w:hAnsi="宋体" w:cs="宋体"/>
                <w:sz w:val="22"/>
                <w:szCs w:val="22"/>
              </w:rPr>
            </w:pPr>
            <w:r>
              <w:rPr>
                <w:rFonts w:hint="eastAsia" w:ascii="宋体" w:hAnsi="宋体" w:cs="宋体"/>
                <w:sz w:val="22"/>
                <w:szCs w:val="22"/>
              </w:rPr>
              <w:t>2.提倡使用有机肥和复（混）合肥料，基肥应采用腐熟有机肥，追肥应以磷肥、氮肥等多元复（混）合化肥为主，视树种而定；</w:t>
            </w:r>
          </w:p>
          <w:p>
            <w:pPr>
              <w:spacing w:line="400" w:lineRule="exact"/>
              <w:rPr>
                <w:rFonts w:ascii="宋体" w:hAnsi="宋体" w:cs="宋体"/>
                <w:sz w:val="22"/>
                <w:szCs w:val="22"/>
              </w:rPr>
            </w:pPr>
            <w:r>
              <w:rPr>
                <w:rFonts w:hint="eastAsia" w:ascii="宋体" w:hAnsi="宋体" w:cs="宋体"/>
                <w:sz w:val="22"/>
                <w:szCs w:val="22"/>
              </w:rPr>
              <w:t>3.早期欲扩大冠幅，宜施氮肥；开花植物花前宜施磷、钾肥，花后宜补施氮肥。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1" w:hRule="atLeast"/>
        </w:trPr>
        <w:tc>
          <w:tcPr>
            <w:tcW w:w="14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施用方法</w:t>
            </w:r>
          </w:p>
        </w:tc>
        <w:tc>
          <w:tcPr>
            <w:tcW w:w="777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1.基肥宜深施，追肥宜浅施；肥料与土壤拌匀后，采用穴施、环施和放射状沟施等方法，深度不宜少于30cm；</w:t>
            </w:r>
          </w:p>
          <w:p>
            <w:pPr>
              <w:spacing w:line="400" w:lineRule="exact"/>
              <w:rPr>
                <w:rFonts w:ascii="宋体" w:hAnsi="宋体" w:cs="宋体"/>
                <w:sz w:val="22"/>
                <w:szCs w:val="22"/>
              </w:rPr>
            </w:pPr>
            <w:r>
              <w:rPr>
                <w:rFonts w:hint="eastAsia" w:ascii="宋体" w:hAnsi="宋体" w:cs="宋体"/>
                <w:sz w:val="22"/>
                <w:szCs w:val="22"/>
              </w:rPr>
              <w:t>2.一般树木休眠期施基肥1次，生长期施追肥1-2次；针对较耐瘠薄的树种，通常可不施或少施追肥；</w:t>
            </w:r>
          </w:p>
          <w:p>
            <w:pPr>
              <w:spacing w:line="400" w:lineRule="exact"/>
              <w:rPr>
                <w:rFonts w:ascii="宋体" w:hAnsi="宋体" w:cs="宋体"/>
                <w:sz w:val="22"/>
                <w:szCs w:val="22"/>
              </w:rPr>
            </w:pPr>
            <w:r>
              <w:rPr>
                <w:rFonts w:hint="eastAsia" w:ascii="宋体" w:hAnsi="宋体" w:cs="宋体"/>
                <w:sz w:val="22"/>
                <w:szCs w:val="22"/>
              </w:rPr>
              <w:t>3.开花植物宜在花前、花后、花芽分化等时期分别追肥，花肥视开花次数而定；</w:t>
            </w:r>
          </w:p>
          <w:p>
            <w:pPr>
              <w:spacing w:line="400" w:lineRule="exact"/>
              <w:rPr>
                <w:rFonts w:ascii="宋体" w:hAnsi="宋体" w:cs="宋体"/>
                <w:sz w:val="22"/>
                <w:szCs w:val="22"/>
              </w:rPr>
            </w:pPr>
            <w:r>
              <w:rPr>
                <w:rFonts w:hint="eastAsia" w:ascii="宋体" w:hAnsi="宋体" w:cs="宋体"/>
                <w:sz w:val="22"/>
                <w:szCs w:val="22"/>
              </w:rPr>
              <w:t>4.草坪越冬期宜施有机肥料，平时宜薄肥勤施；施肥方法可采用颗粒撒施、叶面喷施和灌溉施肥；</w:t>
            </w:r>
          </w:p>
          <w:p>
            <w:pPr>
              <w:spacing w:line="400" w:lineRule="exact"/>
              <w:rPr>
                <w:rFonts w:ascii="宋体" w:hAnsi="宋体" w:cs="宋体"/>
                <w:sz w:val="22"/>
                <w:szCs w:val="22"/>
              </w:rPr>
            </w:pPr>
            <w:r>
              <w:rPr>
                <w:rFonts w:hint="eastAsia" w:ascii="宋体" w:hAnsi="宋体" w:cs="宋体"/>
                <w:sz w:val="22"/>
                <w:szCs w:val="22"/>
              </w:rPr>
              <w:t>5.有机肥应腐熟后施用，根部施肥宜在晴天，且土壤干燥时施肥；根外施肥应控制浓度，防止肥害；</w:t>
            </w:r>
          </w:p>
          <w:p>
            <w:pPr>
              <w:spacing w:line="400" w:lineRule="exact"/>
              <w:rPr>
                <w:rFonts w:ascii="宋体" w:hAnsi="宋体" w:cs="宋体"/>
                <w:sz w:val="22"/>
                <w:szCs w:val="22"/>
              </w:rPr>
            </w:pPr>
            <w:r>
              <w:rPr>
                <w:rFonts w:hint="eastAsia" w:ascii="宋体" w:hAnsi="宋体" w:cs="宋体"/>
                <w:sz w:val="22"/>
                <w:szCs w:val="22"/>
              </w:rPr>
              <w:t>6.具体视植物生长状况，适时、适量进行施肥；施用有异味的肥料，应在人流量较少的时间段进行。</w:t>
            </w:r>
          </w:p>
        </w:tc>
      </w:tr>
    </w:tbl>
    <w:p>
      <w:pPr>
        <w:spacing w:line="400" w:lineRule="exact"/>
        <w:rPr>
          <w:rFonts w:ascii="宋体" w:hAnsi="宋体" w:cs="宋体"/>
          <w:sz w:val="22"/>
          <w:szCs w:val="22"/>
        </w:rPr>
      </w:pPr>
      <w:r>
        <w:rPr>
          <w:rFonts w:hint="eastAsia" w:ascii="宋体" w:hAnsi="宋体" w:cs="宋体"/>
          <w:sz w:val="22"/>
          <w:szCs w:val="22"/>
        </w:rPr>
        <w:t>3.16城市绿地技术档案建立标准应符合表3.16的规定：</w:t>
      </w:r>
    </w:p>
    <w:p>
      <w:pPr>
        <w:spacing w:line="400" w:lineRule="exact"/>
        <w:jc w:val="center"/>
        <w:rPr>
          <w:rFonts w:ascii="宋体" w:hAnsi="宋体" w:cs="宋体"/>
          <w:sz w:val="22"/>
          <w:szCs w:val="22"/>
        </w:rPr>
      </w:pPr>
      <w:r>
        <w:rPr>
          <w:rFonts w:hint="eastAsia" w:ascii="宋体" w:hAnsi="宋体" w:cs="宋体"/>
          <w:sz w:val="22"/>
          <w:szCs w:val="22"/>
        </w:rPr>
        <w:t>表3.16 城市绿地技术档案</w:t>
      </w:r>
    </w:p>
    <w:tbl>
      <w:tblPr>
        <w:tblStyle w:val="25"/>
        <w:tblW w:w="9240" w:type="dxa"/>
        <w:tblInd w:w="-20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0"/>
        <w:gridCol w:w="77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5" w:hRule="atLeast"/>
        </w:trPr>
        <w:tc>
          <w:tcPr>
            <w:tcW w:w="1470" w:type="dxa"/>
            <w:tcBorders>
              <w:top w:val="single" w:color="auto" w:sz="4" w:space="0"/>
              <w:left w:val="single" w:color="auto" w:sz="4" w:space="0"/>
              <w:bottom w:val="single" w:color="auto" w:sz="6" w:space="0"/>
              <w:right w:val="single" w:color="auto" w:sz="6"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项目</w:t>
            </w:r>
          </w:p>
        </w:tc>
        <w:tc>
          <w:tcPr>
            <w:tcW w:w="7770" w:type="dxa"/>
            <w:tcBorders>
              <w:top w:val="single" w:color="auto" w:sz="4" w:space="0"/>
              <w:left w:val="single" w:color="auto" w:sz="6" w:space="0"/>
              <w:bottom w:val="single" w:color="auto" w:sz="6" w:space="0"/>
              <w:right w:val="single" w:color="auto" w:sz="4"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标        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67" w:hRule="atLeast"/>
        </w:trPr>
        <w:tc>
          <w:tcPr>
            <w:tcW w:w="1470" w:type="dxa"/>
            <w:tcBorders>
              <w:top w:val="single" w:color="auto" w:sz="4" w:space="0"/>
              <w:left w:val="single" w:color="auto" w:sz="4" w:space="0"/>
              <w:bottom w:val="single" w:color="auto" w:sz="6" w:space="0"/>
              <w:right w:val="single" w:color="auto" w:sz="6"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目的与要求</w:t>
            </w:r>
          </w:p>
        </w:tc>
        <w:tc>
          <w:tcPr>
            <w:tcW w:w="7770" w:type="dxa"/>
            <w:tcBorders>
              <w:top w:val="single" w:color="auto" w:sz="4" w:space="0"/>
              <w:left w:val="single" w:color="auto" w:sz="6" w:space="0"/>
              <w:bottom w:val="single" w:color="auto" w:sz="6"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1.城市绿地技术档案是城市绿地发展应用、管理养护全过程的真实记录，是城市绿地科研和管理工作真实有效依据的反应；</w:t>
            </w:r>
          </w:p>
          <w:p>
            <w:pPr>
              <w:spacing w:line="400" w:lineRule="exact"/>
              <w:rPr>
                <w:rFonts w:ascii="宋体" w:hAnsi="宋体" w:cs="宋体"/>
                <w:sz w:val="22"/>
                <w:szCs w:val="22"/>
              </w:rPr>
            </w:pPr>
            <w:r>
              <w:rPr>
                <w:rFonts w:hint="eastAsia" w:ascii="宋体" w:hAnsi="宋体" w:cs="宋体"/>
                <w:sz w:val="22"/>
                <w:szCs w:val="22"/>
              </w:rPr>
              <w:t>2.各绿化管养单位应建立完整的绿地技术档案，及时收集、积累、整理分析和总结经验；</w:t>
            </w:r>
          </w:p>
          <w:p>
            <w:pPr>
              <w:spacing w:line="400" w:lineRule="exact"/>
              <w:rPr>
                <w:rFonts w:ascii="宋体" w:hAnsi="宋体" w:cs="宋体"/>
                <w:sz w:val="22"/>
                <w:szCs w:val="22"/>
              </w:rPr>
            </w:pPr>
            <w:r>
              <w:rPr>
                <w:rFonts w:hint="eastAsia" w:ascii="宋体" w:hAnsi="宋体" w:cs="宋体"/>
                <w:sz w:val="22"/>
                <w:szCs w:val="22"/>
              </w:rPr>
              <w:t>3.技术档案要求完整、详尽、准确、及时，每年分类整理、装订成册、编好目录、分类归档，并按要求报送管理部门。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65" w:hRule="atLeast"/>
        </w:trPr>
        <w:tc>
          <w:tcPr>
            <w:tcW w:w="1470" w:type="dxa"/>
            <w:tcBorders>
              <w:top w:val="single" w:color="auto" w:sz="6" w:space="0"/>
              <w:left w:val="single" w:color="auto" w:sz="4" w:space="0"/>
              <w:bottom w:val="single" w:color="auto" w:sz="12" w:space="0"/>
              <w:right w:val="single" w:color="auto" w:sz="6" w:space="0"/>
            </w:tcBorders>
            <w:vAlign w:val="center"/>
          </w:tcPr>
          <w:p>
            <w:pPr>
              <w:spacing w:line="400" w:lineRule="exact"/>
              <w:jc w:val="center"/>
              <w:rPr>
                <w:rFonts w:ascii="宋体" w:hAnsi="宋体" w:cs="宋体"/>
                <w:sz w:val="22"/>
                <w:szCs w:val="22"/>
              </w:rPr>
            </w:pPr>
            <w:r>
              <w:rPr>
                <w:rFonts w:hint="eastAsia" w:ascii="宋体" w:hAnsi="宋体" w:cs="宋体"/>
                <w:sz w:val="22"/>
                <w:szCs w:val="22"/>
              </w:rPr>
              <w:t>档案内容</w:t>
            </w:r>
          </w:p>
        </w:tc>
        <w:tc>
          <w:tcPr>
            <w:tcW w:w="7770" w:type="dxa"/>
            <w:tcBorders>
              <w:top w:val="single" w:color="auto" w:sz="6" w:space="0"/>
              <w:left w:val="single" w:color="auto" w:sz="6" w:space="0"/>
              <w:bottom w:val="single" w:color="auto" w:sz="12" w:space="0"/>
              <w:right w:val="single" w:color="auto" w:sz="4" w:space="0"/>
            </w:tcBorders>
            <w:vAlign w:val="center"/>
          </w:tcPr>
          <w:p>
            <w:pPr>
              <w:spacing w:line="400" w:lineRule="exact"/>
              <w:rPr>
                <w:rFonts w:ascii="宋体" w:hAnsi="宋体" w:cs="宋体"/>
                <w:sz w:val="22"/>
                <w:szCs w:val="22"/>
              </w:rPr>
            </w:pPr>
            <w:r>
              <w:rPr>
                <w:rFonts w:hint="eastAsia" w:ascii="宋体" w:hAnsi="宋体" w:cs="宋体"/>
                <w:sz w:val="22"/>
                <w:szCs w:val="22"/>
              </w:rPr>
              <w:t>1.绿地气候、物候、水文、土质、地形等自然条件，地下构筑物的变化资料及调查报告；</w:t>
            </w:r>
          </w:p>
          <w:p>
            <w:pPr>
              <w:spacing w:line="400" w:lineRule="exact"/>
              <w:rPr>
                <w:rFonts w:ascii="宋体" w:hAnsi="宋体" w:cs="宋体"/>
                <w:sz w:val="22"/>
                <w:szCs w:val="22"/>
              </w:rPr>
            </w:pPr>
            <w:r>
              <w:rPr>
                <w:rFonts w:hint="eastAsia" w:ascii="宋体" w:hAnsi="宋体" w:cs="宋体"/>
                <w:sz w:val="22"/>
                <w:szCs w:val="22"/>
              </w:rPr>
              <w:t>2.绿地建设历史及发展状况；</w:t>
            </w:r>
          </w:p>
          <w:p>
            <w:pPr>
              <w:spacing w:line="400" w:lineRule="exact"/>
              <w:rPr>
                <w:rFonts w:ascii="宋体" w:hAnsi="宋体" w:cs="宋体"/>
                <w:sz w:val="22"/>
                <w:szCs w:val="22"/>
              </w:rPr>
            </w:pPr>
            <w:r>
              <w:rPr>
                <w:rFonts w:hint="eastAsia" w:ascii="宋体" w:hAnsi="宋体" w:cs="宋体"/>
                <w:sz w:val="22"/>
                <w:szCs w:val="22"/>
              </w:rPr>
              <w:t>3.建筑、小品及园路、铺装场地等所有设施的种类、规格、数量；</w:t>
            </w:r>
          </w:p>
          <w:p>
            <w:pPr>
              <w:spacing w:line="400" w:lineRule="exact"/>
              <w:rPr>
                <w:rFonts w:ascii="宋体" w:hAnsi="宋体" w:cs="宋体"/>
                <w:sz w:val="22"/>
                <w:szCs w:val="22"/>
              </w:rPr>
            </w:pPr>
            <w:r>
              <w:rPr>
                <w:rFonts w:hint="eastAsia" w:ascii="宋体" w:hAnsi="宋体" w:cs="宋体"/>
                <w:sz w:val="22"/>
                <w:szCs w:val="22"/>
              </w:rPr>
              <w:t>4.植物种类：按植物分类记载地区名称、规格、来源、栽植年月、生长势和日常养护措施及其成效等；</w:t>
            </w:r>
          </w:p>
          <w:p>
            <w:pPr>
              <w:spacing w:line="400" w:lineRule="exact"/>
              <w:rPr>
                <w:rFonts w:ascii="宋体" w:hAnsi="宋体" w:cs="宋体"/>
                <w:sz w:val="22"/>
                <w:szCs w:val="22"/>
              </w:rPr>
            </w:pPr>
            <w:r>
              <w:rPr>
                <w:rFonts w:hint="eastAsia" w:ascii="宋体" w:hAnsi="宋体" w:cs="宋体"/>
                <w:sz w:val="22"/>
                <w:szCs w:val="22"/>
              </w:rPr>
              <w:t>5.应用新技术新工艺和新成果的单项技术资料；</w:t>
            </w:r>
          </w:p>
          <w:p>
            <w:pPr>
              <w:spacing w:line="400" w:lineRule="exact"/>
              <w:rPr>
                <w:rFonts w:ascii="宋体" w:hAnsi="宋体" w:cs="宋体"/>
                <w:sz w:val="22"/>
                <w:szCs w:val="22"/>
              </w:rPr>
            </w:pPr>
            <w:r>
              <w:rPr>
                <w:rFonts w:hint="eastAsia" w:ascii="宋体" w:hAnsi="宋体" w:cs="宋体"/>
                <w:sz w:val="22"/>
                <w:szCs w:val="22"/>
              </w:rPr>
              <w:t>6.各类统计报表和调查总结报告等；</w:t>
            </w:r>
          </w:p>
          <w:p>
            <w:pPr>
              <w:spacing w:line="400" w:lineRule="exact"/>
              <w:rPr>
                <w:rFonts w:ascii="宋体" w:hAnsi="宋体" w:cs="宋体"/>
                <w:sz w:val="22"/>
                <w:szCs w:val="22"/>
              </w:rPr>
            </w:pPr>
            <w:r>
              <w:rPr>
                <w:rFonts w:hint="eastAsia" w:ascii="宋体" w:hAnsi="宋体" w:cs="宋体"/>
                <w:sz w:val="22"/>
                <w:szCs w:val="22"/>
              </w:rPr>
              <w:t>7.枯死树木挖除后应记录归档。</w:t>
            </w:r>
          </w:p>
        </w:tc>
      </w:tr>
    </w:tbl>
    <w:p>
      <w:pPr>
        <w:spacing w:line="400" w:lineRule="exact"/>
        <w:jc w:val="center"/>
        <w:rPr>
          <w:rFonts w:ascii="宋体" w:hAnsi="宋体" w:cs="宋体"/>
          <w:b w:val="0"/>
          <w:bCs w:val="0"/>
          <w:sz w:val="22"/>
          <w:szCs w:val="22"/>
        </w:rPr>
      </w:pPr>
      <w:r>
        <w:rPr>
          <w:rFonts w:hint="eastAsia" w:ascii="宋体" w:hAnsi="宋体" w:cs="宋体"/>
          <w:b w:val="0"/>
          <w:bCs w:val="0"/>
          <w:sz w:val="22"/>
          <w:szCs w:val="22"/>
        </w:rPr>
        <w:t>第四章  其它</w:t>
      </w:r>
    </w:p>
    <w:p>
      <w:pPr>
        <w:spacing w:line="400" w:lineRule="exact"/>
        <w:ind w:firstLine="440" w:firstLineChars="200"/>
        <w:rPr>
          <w:rFonts w:ascii="宋体" w:hAnsi="宋体" w:cs="宋体"/>
          <w:sz w:val="22"/>
          <w:szCs w:val="22"/>
        </w:rPr>
      </w:pPr>
      <w:r>
        <w:rPr>
          <w:rFonts w:hint="eastAsia" w:ascii="宋体" w:hAnsi="宋体" w:cs="宋体"/>
          <w:sz w:val="22"/>
          <w:szCs w:val="22"/>
        </w:rPr>
        <w:t>4.1城镇公园公厕管理作业要求</w:t>
      </w:r>
    </w:p>
    <w:p>
      <w:pPr>
        <w:spacing w:line="400" w:lineRule="exact"/>
        <w:ind w:firstLine="440" w:firstLineChars="200"/>
        <w:rPr>
          <w:rFonts w:ascii="宋体" w:hAnsi="宋体" w:cs="宋体"/>
          <w:sz w:val="22"/>
          <w:szCs w:val="22"/>
        </w:rPr>
      </w:pPr>
      <w:r>
        <w:rPr>
          <w:rFonts w:hint="eastAsia" w:ascii="宋体" w:hAnsi="宋体" w:cs="宋体"/>
          <w:sz w:val="22"/>
          <w:szCs w:val="22"/>
        </w:rPr>
        <w:t>4.1.1公厕开放时间24小时开放。</w:t>
      </w:r>
    </w:p>
    <w:p>
      <w:pPr>
        <w:spacing w:line="400" w:lineRule="exact"/>
        <w:ind w:firstLine="440" w:firstLineChars="200"/>
        <w:rPr>
          <w:rFonts w:ascii="宋体" w:hAnsi="宋体" w:cs="宋体"/>
          <w:sz w:val="22"/>
          <w:szCs w:val="22"/>
        </w:rPr>
      </w:pPr>
      <w:r>
        <w:rPr>
          <w:rFonts w:hint="eastAsia" w:ascii="宋体" w:hAnsi="宋体" w:cs="宋体"/>
          <w:sz w:val="22"/>
          <w:szCs w:val="22"/>
        </w:rPr>
        <w:t>4.1.2文明礼貌劝导游客正确使用公厕设施。</w:t>
      </w:r>
    </w:p>
    <w:p>
      <w:pPr>
        <w:spacing w:line="400" w:lineRule="exact"/>
        <w:ind w:firstLine="440" w:firstLineChars="200"/>
        <w:rPr>
          <w:rFonts w:ascii="宋体" w:hAnsi="宋体" w:cs="宋体"/>
          <w:sz w:val="22"/>
          <w:szCs w:val="22"/>
        </w:rPr>
      </w:pPr>
      <w:r>
        <w:rPr>
          <w:rFonts w:hint="eastAsia" w:ascii="宋体" w:hAnsi="宋体" w:cs="宋体"/>
          <w:sz w:val="22"/>
          <w:szCs w:val="22"/>
        </w:rPr>
        <w:t>4.1.3公厕对外一律免费，严禁乙方乱收费，或进行经营活动。</w:t>
      </w:r>
    </w:p>
    <w:p>
      <w:pPr>
        <w:spacing w:line="400" w:lineRule="exact"/>
        <w:ind w:firstLine="440" w:firstLineChars="200"/>
        <w:rPr>
          <w:rFonts w:ascii="宋体" w:hAnsi="宋体" w:cs="宋体"/>
          <w:sz w:val="22"/>
          <w:szCs w:val="22"/>
        </w:rPr>
      </w:pPr>
      <w:r>
        <w:rPr>
          <w:rFonts w:hint="eastAsia" w:ascii="宋体" w:hAnsi="宋体" w:cs="宋体"/>
          <w:sz w:val="22"/>
          <w:szCs w:val="22"/>
        </w:rPr>
        <w:t>4.1.4厕所内外做到常冲洗、勤保洁，厕所达到“四无四净”要求，即：无尿碱、无蜘蛛网、无臭味、无蝇蛆、地面净、墙壁净、便池蹲坑净、厕所周边净（厕外3米内范围）。</w:t>
      </w:r>
    </w:p>
    <w:p>
      <w:pPr>
        <w:spacing w:line="400" w:lineRule="exact"/>
        <w:ind w:firstLine="440" w:firstLineChars="200"/>
        <w:rPr>
          <w:rFonts w:ascii="宋体" w:hAnsi="宋体" w:cs="宋体"/>
          <w:sz w:val="22"/>
          <w:szCs w:val="22"/>
        </w:rPr>
      </w:pPr>
      <w:r>
        <w:rPr>
          <w:rFonts w:hint="eastAsia" w:ascii="宋体" w:hAnsi="宋体" w:cs="宋体"/>
          <w:sz w:val="22"/>
          <w:szCs w:val="22"/>
        </w:rPr>
        <w:t>4.1.5厕内干净、整洁。厕内（含管理间、工具间）地面、门框、墙壁、隔墙、灯具、洗手盆（池）镜台干净、整洁，无乱刻画、无尘垢。</w:t>
      </w:r>
    </w:p>
    <w:p>
      <w:pPr>
        <w:spacing w:line="400" w:lineRule="exact"/>
        <w:ind w:firstLine="440" w:firstLineChars="200"/>
        <w:rPr>
          <w:rFonts w:ascii="宋体" w:hAnsi="宋体" w:cs="宋体"/>
          <w:sz w:val="22"/>
          <w:szCs w:val="22"/>
        </w:rPr>
      </w:pPr>
      <w:r>
        <w:rPr>
          <w:rFonts w:hint="eastAsia" w:ascii="宋体" w:hAnsi="宋体" w:cs="宋体"/>
          <w:sz w:val="22"/>
          <w:szCs w:val="22"/>
        </w:rPr>
        <w:t>4.1.6蹲位、尿槽、倒粪点“用后即冲”无尿碱、无粪迹、无堵塞。</w:t>
      </w:r>
    </w:p>
    <w:p>
      <w:pPr>
        <w:spacing w:line="400" w:lineRule="exact"/>
        <w:ind w:firstLine="440" w:firstLineChars="200"/>
        <w:rPr>
          <w:rFonts w:ascii="宋体" w:hAnsi="宋体" w:cs="宋体"/>
          <w:sz w:val="22"/>
          <w:szCs w:val="22"/>
        </w:rPr>
      </w:pPr>
      <w:r>
        <w:rPr>
          <w:rFonts w:hint="eastAsia" w:ascii="宋体" w:hAnsi="宋体" w:cs="宋体"/>
          <w:sz w:val="22"/>
          <w:szCs w:val="22"/>
        </w:rPr>
        <w:t>4.1.7蓄水池、拖把池无水垢、无青苔。</w:t>
      </w:r>
    </w:p>
    <w:p>
      <w:pPr>
        <w:spacing w:line="400" w:lineRule="exact"/>
        <w:ind w:firstLine="440" w:firstLineChars="200"/>
        <w:rPr>
          <w:rFonts w:ascii="宋体" w:hAnsi="宋体" w:cs="宋体"/>
          <w:sz w:val="22"/>
          <w:szCs w:val="22"/>
        </w:rPr>
      </w:pPr>
      <w:r>
        <w:rPr>
          <w:rFonts w:hint="eastAsia" w:ascii="宋体" w:hAnsi="宋体" w:cs="宋体"/>
          <w:sz w:val="22"/>
          <w:szCs w:val="22"/>
        </w:rPr>
        <w:t>4.1.8进行不定期的消杀，厕内基本无蚊蝇。</w:t>
      </w:r>
    </w:p>
    <w:p>
      <w:pPr>
        <w:spacing w:line="400" w:lineRule="exact"/>
        <w:ind w:firstLine="440" w:firstLineChars="200"/>
        <w:rPr>
          <w:rFonts w:ascii="宋体" w:hAnsi="宋体" w:cs="宋体"/>
          <w:sz w:val="22"/>
          <w:szCs w:val="22"/>
        </w:rPr>
      </w:pPr>
      <w:r>
        <w:rPr>
          <w:rFonts w:hint="eastAsia" w:ascii="宋体" w:hAnsi="宋体" w:cs="宋体"/>
          <w:sz w:val="22"/>
          <w:szCs w:val="22"/>
        </w:rPr>
        <w:t>4.1.9发现贮粪池粪便溢满应及时报告。</w:t>
      </w:r>
    </w:p>
    <w:p>
      <w:pPr>
        <w:spacing w:line="400" w:lineRule="exact"/>
        <w:ind w:firstLine="440" w:firstLineChars="200"/>
        <w:rPr>
          <w:rFonts w:ascii="宋体" w:hAnsi="宋体" w:cs="宋体"/>
          <w:sz w:val="22"/>
          <w:szCs w:val="22"/>
        </w:rPr>
      </w:pPr>
      <w:r>
        <w:rPr>
          <w:rFonts w:hint="eastAsia" w:ascii="宋体" w:hAnsi="宋体" w:cs="宋体"/>
          <w:sz w:val="22"/>
          <w:szCs w:val="22"/>
        </w:rPr>
        <w:t>4.1.10公厕设置规范、齐全、整洁，免费说明、投诉电话及管理制度于明显位置上墙。发现破损应及时报告。</w:t>
      </w:r>
    </w:p>
    <w:p>
      <w:pPr>
        <w:spacing w:line="400" w:lineRule="exact"/>
        <w:ind w:firstLine="440" w:firstLineChars="200"/>
        <w:rPr>
          <w:rFonts w:ascii="宋体" w:hAnsi="宋体" w:cs="宋体"/>
          <w:sz w:val="22"/>
          <w:szCs w:val="22"/>
        </w:rPr>
      </w:pPr>
      <w:r>
        <w:rPr>
          <w:rFonts w:hint="eastAsia" w:ascii="宋体" w:hAnsi="宋体" w:cs="宋体"/>
          <w:sz w:val="22"/>
          <w:szCs w:val="22"/>
        </w:rPr>
        <w:t>4.1.11每个蹲位必须设置污纸桶，并做到每日清理。</w:t>
      </w:r>
    </w:p>
    <w:p>
      <w:pPr>
        <w:spacing w:line="400" w:lineRule="exact"/>
        <w:ind w:firstLine="440" w:firstLineChars="200"/>
        <w:rPr>
          <w:rFonts w:ascii="宋体" w:hAnsi="宋体" w:cs="宋体"/>
          <w:sz w:val="22"/>
          <w:szCs w:val="22"/>
        </w:rPr>
      </w:pPr>
      <w:r>
        <w:rPr>
          <w:rFonts w:hint="eastAsia" w:ascii="宋体" w:hAnsi="宋体" w:cs="宋体"/>
          <w:sz w:val="22"/>
          <w:szCs w:val="22"/>
        </w:rPr>
        <w:t>4.1.12清洁用具应按《公厕每月必备工具清单》配备齐全。</w:t>
      </w:r>
    </w:p>
    <w:p>
      <w:pPr>
        <w:spacing w:line="400" w:lineRule="exact"/>
        <w:ind w:firstLine="440" w:firstLineChars="200"/>
        <w:rPr>
          <w:rFonts w:ascii="宋体" w:hAnsi="宋体" w:cs="宋体"/>
          <w:sz w:val="22"/>
          <w:szCs w:val="22"/>
        </w:rPr>
      </w:pPr>
      <w:r>
        <w:rPr>
          <w:rFonts w:hint="eastAsia" w:ascii="宋体" w:hAnsi="宋体" w:cs="宋体"/>
          <w:sz w:val="22"/>
          <w:szCs w:val="22"/>
        </w:rPr>
        <w:t>4.1.13厕周无“三乱”现象、保持厕所容貌整齐、环境整洁，无污染、无污水溢流、无堵塞，进出粪口干净。</w:t>
      </w:r>
    </w:p>
    <w:p>
      <w:pPr>
        <w:spacing w:line="400" w:lineRule="exact"/>
        <w:ind w:firstLine="440" w:firstLineChars="200"/>
        <w:rPr>
          <w:rFonts w:ascii="宋体" w:hAnsi="宋体" w:cs="宋体"/>
          <w:sz w:val="22"/>
          <w:szCs w:val="22"/>
        </w:rPr>
      </w:pPr>
      <w:r>
        <w:rPr>
          <w:rFonts w:hint="eastAsia" w:ascii="宋体" w:hAnsi="宋体" w:cs="宋体"/>
          <w:sz w:val="22"/>
          <w:szCs w:val="22"/>
        </w:rPr>
        <w:t>4.1.14安全防火，禁止在公厕内住宿和使用电炉和高耗电电器、禁止从事违法乱纪活动。</w:t>
      </w:r>
    </w:p>
    <w:p>
      <w:pPr>
        <w:spacing w:line="400" w:lineRule="exact"/>
        <w:ind w:firstLine="440" w:firstLineChars="200"/>
        <w:rPr>
          <w:rFonts w:ascii="宋体" w:hAnsi="宋体" w:cs="宋体"/>
          <w:sz w:val="22"/>
          <w:szCs w:val="22"/>
        </w:rPr>
      </w:pPr>
      <w:r>
        <w:rPr>
          <w:rFonts w:hint="eastAsia" w:ascii="宋体" w:hAnsi="宋体" w:cs="宋体"/>
          <w:sz w:val="22"/>
          <w:szCs w:val="22"/>
        </w:rPr>
        <w:t>4.1.15爱护厕所周边绿化。</w:t>
      </w:r>
    </w:p>
    <w:p>
      <w:pPr>
        <w:spacing w:line="400" w:lineRule="exact"/>
        <w:ind w:firstLine="440" w:firstLineChars="200"/>
        <w:rPr>
          <w:rFonts w:ascii="宋体" w:hAnsi="宋体" w:cs="宋体"/>
          <w:sz w:val="22"/>
          <w:szCs w:val="22"/>
        </w:rPr>
      </w:pPr>
      <w:r>
        <w:rPr>
          <w:rFonts w:hint="eastAsia" w:ascii="宋体" w:hAnsi="宋体" w:cs="宋体"/>
          <w:sz w:val="22"/>
          <w:szCs w:val="22"/>
        </w:rPr>
        <w:t>4.1.16承包期内，公厕所有附属设施、公厕管理房不得以任何理由挪作他用或租借他人。</w:t>
      </w:r>
    </w:p>
    <w:p>
      <w:pPr>
        <w:spacing w:line="400" w:lineRule="exact"/>
        <w:ind w:firstLine="440" w:firstLineChars="200"/>
        <w:rPr>
          <w:rFonts w:ascii="宋体" w:hAnsi="宋体" w:cs="宋体"/>
          <w:sz w:val="22"/>
          <w:szCs w:val="22"/>
        </w:rPr>
      </w:pPr>
      <w:r>
        <w:rPr>
          <w:rFonts w:hint="eastAsia" w:ascii="宋体" w:hAnsi="宋体" w:cs="宋体"/>
          <w:sz w:val="22"/>
          <w:szCs w:val="22"/>
        </w:rPr>
        <w:t>4.1.17公厕每月必备工具清单</w:t>
      </w:r>
    </w:p>
    <w:p>
      <w:pPr>
        <w:spacing w:line="400" w:lineRule="exact"/>
        <w:ind w:firstLine="440" w:firstLineChars="200"/>
        <w:rPr>
          <w:rFonts w:ascii="宋体" w:hAnsi="宋体" w:cs="宋体"/>
          <w:sz w:val="22"/>
          <w:szCs w:val="22"/>
        </w:rPr>
      </w:pPr>
      <w:r>
        <w:rPr>
          <w:rFonts w:hint="eastAsia" w:ascii="宋体" w:hAnsi="宋体" w:cs="宋体"/>
          <w:sz w:val="22"/>
          <w:szCs w:val="22"/>
        </w:rPr>
        <w:t>易耗品：</w:t>
      </w:r>
    </w:p>
    <w:p>
      <w:pPr>
        <w:spacing w:line="400" w:lineRule="exact"/>
        <w:ind w:firstLine="440" w:firstLineChars="200"/>
        <w:rPr>
          <w:rFonts w:ascii="宋体" w:hAnsi="宋体" w:cs="宋体"/>
          <w:sz w:val="22"/>
          <w:szCs w:val="22"/>
        </w:rPr>
      </w:pPr>
      <w:r>
        <w:rPr>
          <w:rFonts w:hint="eastAsia" w:ascii="宋体" w:hAnsi="宋体" w:cs="宋体"/>
          <w:sz w:val="22"/>
          <w:szCs w:val="22"/>
        </w:rPr>
        <w:t>垃圾袋     数量应满足每天每个垃圾桶套袋</w:t>
      </w:r>
    </w:p>
    <w:p>
      <w:pPr>
        <w:spacing w:line="400" w:lineRule="exact"/>
        <w:ind w:firstLine="440" w:firstLineChars="200"/>
        <w:rPr>
          <w:rFonts w:ascii="宋体" w:hAnsi="宋体" w:cs="宋体"/>
          <w:sz w:val="22"/>
          <w:szCs w:val="22"/>
        </w:rPr>
      </w:pPr>
      <w:r>
        <w:rPr>
          <w:rFonts w:hint="eastAsia" w:ascii="宋体" w:hAnsi="宋体" w:cs="宋体"/>
          <w:sz w:val="22"/>
          <w:szCs w:val="22"/>
        </w:rPr>
        <w:t>拖把       4把</w:t>
      </w:r>
    </w:p>
    <w:p>
      <w:pPr>
        <w:spacing w:line="400" w:lineRule="exact"/>
        <w:ind w:firstLine="440" w:firstLineChars="200"/>
        <w:rPr>
          <w:rFonts w:ascii="宋体" w:hAnsi="宋体" w:cs="宋体"/>
          <w:sz w:val="22"/>
          <w:szCs w:val="22"/>
        </w:rPr>
      </w:pPr>
      <w:r>
        <w:rPr>
          <w:rFonts w:hint="eastAsia" w:ascii="宋体" w:hAnsi="宋体" w:cs="宋体"/>
          <w:sz w:val="22"/>
          <w:szCs w:val="22"/>
        </w:rPr>
        <w:t>塑料扫把   2把</w:t>
      </w:r>
    </w:p>
    <w:p>
      <w:pPr>
        <w:spacing w:line="400" w:lineRule="exact"/>
        <w:ind w:firstLine="440" w:firstLineChars="200"/>
        <w:rPr>
          <w:rFonts w:ascii="宋体" w:hAnsi="宋体" w:cs="宋体"/>
          <w:sz w:val="22"/>
          <w:szCs w:val="22"/>
        </w:rPr>
      </w:pPr>
      <w:r>
        <w:rPr>
          <w:rFonts w:hint="eastAsia" w:ascii="宋体" w:hAnsi="宋体" w:cs="宋体"/>
          <w:sz w:val="22"/>
          <w:szCs w:val="22"/>
        </w:rPr>
        <w:t>塑料刷子   2把</w:t>
      </w:r>
    </w:p>
    <w:p>
      <w:pPr>
        <w:spacing w:line="400" w:lineRule="exact"/>
        <w:ind w:firstLine="440" w:firstLineChars="200"/>
        <w:rPr>
          <w:rFonts w:ascii="宋体" w:hAnsi="宋体" w:cs="宋体"/>
          <w:sz w:val="22"/>
          <w:szCs w:val="22"/>
        </w:rPr>
      </w:pPr>
      <w:r>
        <w:rPr>
          <w:rFonts w:hint="eastAsia" w:ascii="宋体" w:hAnsi="宋体" w:cs="宋体"/>
          <w:sz w:val="22"/>
          <w:szCs w:val="22"/>
        </w:rPr>
        <w:t>铁丝球     10个</w:t>
      </w:r>
    </w:p>
    <w:p>
      <w:pPr>
        <w:spacing w:line="400" w:lineRule="exact"/>
        <w:ind w:firstLine="440" w:firstLineChars="200"/>
        <w:rPr>
          <w:rFonts w:ascii="宋体" w:hAnsi="宋体" w:cs="宋体"/>
          <w:sz w:val="22"/>
          <w:szCs w:val="22"/>
        </w:rPr>
      </w:pPr>
      <w:r>
        <w:rPr>
          <w:rFonts w:hint="eastAsia" w:ascii="宋体" w:hAnsi="宋体" w:cs="宋体"/>
          <w:sz w:val="22"/>
          <w:szCs w:val="22"/>
        </w:rPr>
        <w:t>毛巾       2条</w:t>
      </w:r>
    </w:p>
    <w:p>
      <w:pPr>
        <w:spacing w:line="400" w:lineRule="exact"/>
        <w:ind w:firstLine="440" w:firstLineChars="200"/>
        <w:rPr>
          <w:rFonts w:ascii="宋体" w:hAnsi="宋体" w:cs="宋体"/>
          <w:sz w:val="22"/>
          <w:szCs w:val="22"/>
        </w:rPr>
      </w:pPr>
      <w:r>
        <w:rPr>
          <w:rFonts w:hint="eastAsia" w:ascii="宋体" w:hAnsi="宋体" w:cs="宋体"/>
          <w:sz w:val="22"/>
          <w:szCs w:val="22"/>
        </w:rPr>
        <w:t>马桶刷     4把</w:t>
      </w:r>
    </w:p>
    <w:p>
      <w:pPr>
        <w:spacing w:line="400" w:lineRule="exact"/>
        <w:ind w:firstLine="440" w:firstLineChars="200"/>
        <w:rPr>
          <w:rFonts w:ascii="宋体" w:hAnsi="宋体" w:cs="宋体"/>
          <w:sz w:val="22"/>
          <w:szCs w:val="22"/>
        </w:rPr>
      </w:pPr>
      <w:r>
        <w:rPr>
          <w:rFonts w:hint="eastAsia" w:ascii="宋体" w:hAnsi="宋体" w:cs="宋体"/>
          <w:sz w:val="22"/>
          <w:szCs w:val="22"/>
        </w:rPr>
        <w:t>畚斗       1个</w:t>
      </w:r>
    </w:p>
    <w:p>
      <w:pPr>
        <w:spacing w:line="400" w:lineRule="exact"/>
        <w:ind w:firstLine="440" w:firstLineChars="200"/>
        <w:rPr>
          <w:rFonts w:ascii="宋体" w:hAnsi="宋体" w:cs="宋体"/>
          <w:sz w:val="22"/>
          <w:szCs w:val="22"/>
        </w:rPr>
      </w:pPr>
      <w:r>
        <w:rPr>
          <w:rFonts w:hint="eastAsia" w:ascii="宋体" w:hAnsi="宋体" w:cs="宋体"/>
          <w:sz w:val="22"/>
          <w:szCs w:val="22"/>
        </w:rPr>
        <w:t xml:space="preserve">草酸       若干 </w:t>
      </w:r>
    </w:p>
    <w:p>
      <w:pPr>
        <w:spacing w:line="400" w:lineRule="exact"/>
        <w:ind w:firstLine="440" w:firstLineChars="200"/>
        <w:rPr>
          <w:rFonts w:ascii="宋体" w:hAnsi="宋体" w:cs="宋体"/>
          <w:sz w:val="22"/>
          <w:szCs w:val="22"/>
        </w:rPr>
      </w:pPr>
      <w:r>
        <w:rPr>
          <w:rFonts w:hint="eastAsia" w:ascii="宋体" w:hAnsi="宋体" w:cs="宋体"/>
          <w:sz w:val="22"/>
          <w:szCs w:val="22"/>
        </w:rPr>
        <w:t>非易耗品：</w:t>
      </w:r>
    </w:p>
    <w:p>
      <w:pPr>
        <w:spacing w:line="400" w:lineRule="exact"/>
        <w:ind w:firstLine="440" w:firstLineChars="200"/>
        <w:rPr>
          <w:rFonts w:ascii="宋体" w:hAnsi="宋体" w:cs="宋体"/>
          <w:sz w:val="22"/>
          <w:szCs w:val="22"/>
        </w:rPr>
      </w:pPr>
      <w:r>
        <w:rPr>
          <w:rFonts w:hint="eastAsia" w:ascii="宋体" w:hAnsi="宋体" w:cs="宋体"/>
          <w:sz w:val="22"/>
          <w:szCs w:val="22"/>
        </w:rPr>
        <w:t>水桶       2个</w:t>
      </w:r>
    </w:p>
    <w:p>
      <w:pPr>
        <w:spacing w:line="400" w:lineRule="exact"/>
        <w:ind w:firstLine="440" w:firstLineChars="200"/>
        <w:rPr>
          <w:rFonts w:ascii="宋体" w:hAnsi="宋体" w:cs="宋体"/>
          <w:sz w:val="22"/>
          <w:szCs w:val="22"/>
        </w:rPr>
      </w:pPr>
      <w:r>
        <w:rPr>
          <w:rFonts w:hint="eastAsia" w:ascii="宋体" w:hAnsi="宋体" w:cs="宋体"/>
          <w:sz w:val="22"/>
          <w:szCs w:val="22"/>
        </w:rPr>
        <w:t>水勺       2个</w:t>
      </w:r>
    </w:p>
    <w:p>
      <w:pPr>
        <w:spacing w:line="400" w:lineRule="exact"/>
        <w:ind w:firstLine="440" w:firstLineChars="200"/>
        <w:rPr>
          <w:rFonts w:ascii="宋体" w:hAnsi="宋体" w:cs="宋体"/>
          <w:sz w:val="22"/>
          <w:szCs w:val="22"/>
        </w:rPr>
      </w:pPr>
      <w:r>
        <w:rPr>
          <w:rFonts w:hint="eastAsia" w:ascii="宋体" w:hAnsi="宋体" w:cs="宋体"/>
          <w:sz w:val="22"/>
          <w:szCs w:val="22"/>
        </w:rPr>
        <w:t>蛇皮管     2条</w:t>
      </w:r>
    </w:p>
    <w:p>
      <w:pPr>
        <w:spacing w:line="400" w:lineRule="exact"/>
        <w:ind w:firstLine="440" w:firstLineChars="200"/>
        <w:rPr>
          <w:rFonts w:ascii="宋体" w:hAnsi="宋体" w:cs="宋体"/>
          <w:sz w:val="22"/>
          <w:szCs w:val="22"/>
        </w:rPr>
      </w:pPr>
      <w:r>
        <w:rPr>
          <w:rFonts w:hint="eastAsia" w:ascii="宋体" w:hAnsi="宋体" w:cs="宋体"/>
          <w:sz w:val="22"/>
          <w:szCs w:val="22"/>
        </w:rPr>
        <w:t>垃圾桶     数量应满足每个蹲位一个</w:t>
      </w:r>
    </w:p>
    <w:p>
      <w:pPr>
        <w:spacing w:line="400" w:lineRule="exact"/>
        <w:ind w:firstLine="440" w:firstLineChars="200"/>
        <w:rPr>
          <w:rFonts w:ascii="宋体" w:hAnsi="宋体" w:cs="宋体"/>
          <w:sz w:val="22"/>
          <w:szCs w:val="22"/>
        </w:rPr>
      </w:pPr>
      <w:r>
        <w:rPr>
          <w:rFonts w:hint="eastAsia" w:ascii="宋体" w:hAnsi="宋体" w:cs="宋体"/>
          <w:sz w:val="22"/>
          <w:szCs w:val="22"/>
        </w:rPr>
        <w:t>火叉       1支</w:t>
      </w:r>
    </w:p>
    <w:p>
      <w:pPr>
        <w:spacing w:line="400" w:lineRule="exact"/>
        <w:ind w:firstLine="440" w:firstLineChars="200"/>
        <w:rPr>
          <w:rFonts w:ascii="宋体" w:hAnsi="宋体" w:cs="宋体"/>
          <w:sz w:val="22"/>
          <w:szCs w:val="22"/>
        </w:rPr>
      </w:pPr>
      <w:r>
        <w:rPr>
          <w:rFonts w:hint="eastAsia" w:ascii="宋体" w:hAnsi="宋体" w:cs="宋体"/>
          <w:sz w:val="22"/>
          <w:szCs w:val="22"/>
        </w:rPr>
        <w:t>长柄鸡毛掸 1支</w:t>
      </w:r>
    </w:p>
    <w:p>
      <w:pPr>
        <w:spacing w:line="400" w:lineRule="exact"/>
        <w:ind w:firstLine="440" w:firstLineChars="200"/>
        <w:rPr>
          <w:rFonts w:ascii="宋体" w:hAnsi="宋体" w:cs="宋体"/>
          <w:sz w:val="22"/>
          <w:szCs w:val="22"/>
        </w:rPr>
      </w:pPr>
      <w:r>
        <w:rPr>
          <w:rFonts w:hint="eastAsia" w:ascii="宋体" w:hAnsi="宋体" w:cs="宋体"/>
          <w:sz w:val="22"/>
          <w:szCs w:val="22"/>
        </w:rPr>
        <w:t>4.2 公园日常卫生保洁标准</w:t>
      </w:r>
    </w:p>
    <w:p>
      <w:pPr>
        <w:spacing w:line="400" w:lineRule="exact"/>
        <w:ind w:firstLine="431" w:firstLineChars="196"/>
        <w:rPr>
          <w:rFonts w:ascii="宋体" w:hAnsi="宋体" w:cs="宋体"/>
          <w:sz w:val="22"/>
          <w:szCs w:val="22"/>
        </w:rPr>
      </w:pPr>
      <w:r>
        <w:rPr>
          <w:rFonts w:hint="eastAsia" w:ascii="宋体" w:hAnsi="宋体" w:cs="宋体"/>
          <w:sz w:val="22"/>
          <w:szCs w:val="22"/>
        </w:rPr>
        <w:t>4.2.1卫生清扫</w:t>
      </w:r>
    </w:p>
    <w:p>
      <w:pPr>
        <w:spacing w:line="400" w:lineRule="exact"/>
        <w:ind w:firstLine="440" w:firstLineChars="200"/>
        <w:rPr>
          <w:rFonts w:ascii="宋体" w:hAnsi="宋体" w:cs="宋体"/>
          <w:sz w:val="22"/>
          <w:szCs w:val="22"/>
        </w:rPr>
      </w:pPr>
      <w:r>
        <w:rPr>
          <w:rFonts w:hint="eastAsia" w:ascii="宋体" w:hAnsi="宋体" w:cs="宋体"/>
          <w:sz w:val="22"/>
          <w:szCs w:val="22"/>
        </w:rPr>
        <w:t>每天7：30（特殊天气8：30）前完成绿地清扫。</w:t>
      </w:r>
    </w:p>
    <w:p>
      <w:pPr>
        <w:spacing w:line="400" w:lineRule="exact"/>
        <w:ind w:firstLine="440" w:firstLineChars="200"/>
        <w:rPr>
          <w:rFonts w:ascii="宋体" w:hAnsi="宋体" w:cs="宋体"/>
          <w:sz w:val="22"/>
          <w:szCs w:val="22"/>
        </w:rPr>
      </w:pPr>
      <w:r>
        <w:rPr>
          <w:rFonts w:hint="eastAsia" w:ascii="宋体" w:hAnsi="宋体" w:cs="宋体"/>
          <w:sz w:val="22"/>
          <w:szCs w:val="22"/>
        </w:rPr>
        <w:t>每天8：00（特殊天气8：30）前垃圾清运完毕。</w:t>
      </w:r>
    </w:p>
    <w:p>
      <w:pPr>
        <w:spacing w:line="400" w:lineRule="exact"/>
        <w:ind w:firstLine="440" w:firstLineChars="200"/>
        <w:rPr>
          <w:rFonts w:ascii="宋体" w:hAnsi="宋体" w:cs="宋体"/>
          <w:sz w:val="22"/>
          <w:szCs w:val="22"/>
        </w:rPr>
      </w:pPr>
      <w:r>
        <w:rPr>
          <w:rFonts w:hint="eastAsia" w:ascii="宋体" w:hAnsi="宋体" w:cs="宋体"/>
          <w:sz w:val="22"/>
          <w:szCs w:val="22"/>
        </w:rPr>
        <w:t>4.2.2卫生保洁</w:t>
      </w:r>
    </w:p>
    <w:p>
      <w:pPr>
        <w:spacing w:line="400" w:lineRule="exact"/>
        <w:ind w:firstLine="440" w:firstLineChars="200"/>
        <w:rPr>
          <w:rFonts w:ascii="宋体" w:hAnsi="宋体" w:cs="宋体"/>
          <w:sz w:val="22"/>
          <w:szCs w:val="22"/>
        </w:rPr>
      </w:pPr>
      <w:r>
        <w:rPr>
          <w:rFonts w:hint="eastAsia" w:ascii="宋体" w:hAnsi="宋体" w:cs="宋体"/>
          <w:sz w:val="22"/>
          <w:szCs w:val="22"/>
        </w:rPr>
        <w:t>及时清扫绿地、灌木丛中的纸张、饮料瓶、塑料袋、果皮果核等可捡物；纸屑、碎物屑、水果渣、粪便等可扫脏物；枯枝、落花、落果等绿化残物；瓜子壳、花生壳、烟蒂、分散碎屑等细小杂物。</w:t>
      </w:r>
    </w:p>
    <w:p>
      <w:pPr>
        <w:spacing w:line="400" w:lineRule="exact"/>
        <w:ind w:firstLine="440" w:firstLineChars="200"/>
        <w:rPr>
          <w:rFonts w:ascii="宋体" w:hAnsi="宋体" w:cs="宋体"/>
          <w:sz w:val="22"/>
          <w:szCs w:val="22"/>
        </w:rPr>
      </w:pPr>
      <w:r>
        <w:rPr>
          <w:rFonts w:hint="eastAsia" w:ascii="宋体" w:hAnsi="宋体" w:cs="宋体"/>
          <w:sz w:val="22"/>
          <w:szCs w:val="22"/>
        </w:rPr>
        <w:t>垃圾应在指定地点存放，公园内不得有暴露垃圾。公园内垃圾日产日消，垃圾不得在公园内过夜。</w:t>
      </w:r>
    </w:p>
    <w:p>
      <w:pPr>
        <w:spacing w:line="400" w:lineRule="exact"/>
        <w:ind w:firstLine="440" w:firstLineChars="200"/>
        <w:rPr>
          <w:rFonts w:ascii="宋体" w:hAnsi="宋体" w:cs="宋体"/>
          <w:sz w:val="22"/>
          <w:szCs w:val="22"/>
        </w:rPr>
      </w:pPr>
      <w:r>
        <w:rPr>
          <w:rFonts w:hint="eastAsia" w:ascii="宋体" w:hAnsi="宋体" w:cs="宋体"/>
          <w:sz w:val="22"/>
          <w:szCs w:val="22"/>
        </w:rPr>
        <w:t>清扫工具、垃圾车应在指定地点存放。</w:t>
      </w:r>
    </w:p>
    <w:p>
      <w:pPr>
        <w:spacing w:line="400" w:lineRule="exact"/>
        <w:ind w:firstLine="440" w:firstLineChars="200"/>
        <w:rPr>
          <w:rFonts w:ascii="宋体" w:hAnsi="宋体" w:cs="宋体"/>
          <w:sz w:val="22"/>
          <w:szCs w:val="22"/>
        </w:rPr>
      </w:pPr>
      <w:r>
        <w:rPr>
          <w:rFonts w:hint="eastAsia" w:ascii="宋体" w:hAnsi="宋体" w:cs="宋体"/>
          <w:sz w:val="22"/>
          <w:szCs w:val="22"/>
        </w:rPr>
        <w:t>保质保量完成管理部门安排的临时任务（包括增加保洁人员、延长保洁时间等）。</w:t>
      </w:r>
    </w:p>
    <w:p>
      <w:pPr>
        <w:spacing w:line="400" w:lineRule="exact"/>
        <w:ind w:firstLine="440" w:firstLineChars="200"/>
        <w:rPr>
          <w:rFonts w:ascii="宋体" w:hAnsi="宋体" w:cs="宋体"/>
          <w:sz w:val="22"/>
          <w:szCs w:val="22"/>
        </w:rPr>
      </w:pPr>
      <w:r>
        <w:rPr>
          <w:rFonts w:hint="eastAsia" w:ascii="宋体" w:hAnsi="宋体" w:cs="宋体"/>
          <w:sz w:val="22"/>
          <w:szCs w:val="22"/>
        </w:rPr>
        <w:t>4.3花箱苗木一年更换4次，超过4次另行结算，包括日常管养、箱体清洗、维修及种植。承包单位负责方案设计（需事先报甲方核准）及现场摆设及种植等（包括苗木材料、造型骨架、种植土等相关材料）所有费用均由承包单位负责。</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lang w:val="en-US" w:eastAsia="zh-CN"/>
        </w:rPr>
        <w:t>5</w:t>
      </w:r>
      <w:r>
        <w:rPr>
          <w:rFonts w:hint="eastAsia" w:ascii="宋体"/>
          <w:sz w:val="22"/>
          <w:szCs w:val="22"/>
        </w:rPr>
        <w:t>.质量技术要求</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lang w:val="en-US" w:eastAsia="zh-CN"/>
        </w:rPr>
        <w:t>5</w:t>
      </w:r>
      <w:r>
        <w:rPr>
          <w:rFonts w:hint="eastAsia" w:ascii="宋体"/>
          <w:sz w:val="22"/>
          <w:szCs w:val="22"/>
        </w:rPr>
        <w:t>.1灌溉和排水</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rPr>
        <w:t>1）排水：严格保持绿地排水通畅，大雨后及时排出局部积水，每株树都要避免雨后根部淹水，避免绿地积水；下暴雨后，要确保排水通畅。</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rPr>
        <w:t>2）灌溉：根据土壤“墒情”及时灌溉，夏季浇水时间应在下午4点以后；水量适当，既要浇透不能只湿地皮不湿根，又不可水分过多，以防底土过湿而影响植物根系生长。第二天上午土壤湿度达到“耕性”状态时，立即松土，以切断上部毛细管，减少土表水蒸发。不得出现树木因缺水死亡的现象。</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rPr>
        <w:t>3）根据季节适时浇水、排水。</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lang w:val="en-US" w:eastAsia="zh-CN"/>
        </w:rPr>
        <w:t>5</w:t>
      </w:r>
      <w:r>
        <w:rPr>
          <w:rFonts w:hint="eastAsia" w:ascii="宋体"/>
          <w:sz w:val="22"/>
          <w:szCs w:val="22"/>
        </w:rPr>
        <w:t>.2 中耕除草、挑草</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rPr>
        <w:t>1）树木根部附近土壤要保持疏松，易板结的土壤在蒸腾旺季每月松土一次。在生长旺季，每月松土除草1-2次。中耕除草应选在晴朗或初晴天气，土壤不过分湿润的时期进行。中耕除草以不影响根系生长为限。</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rPr>
        <w:t>2）人工挑草有利于地被植物的保护，防止杂草与地被争水争肥影响地被健康生长。</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lang w:val="en-US" w:eastAsia="zh-CN"/>
        </w:rPr>
        <w:t>5</w:t>
      </w:r>
      <w:r>
        <w:rPr>
          <w:rFonts w:hint="eastAsia" w:ascii="宋体"/>
          <w:sz w:val="22"/>
          <w:szCs w:val="22"/>
        </w:rPr>
        <w:t>.3 施肥</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rPr>
        <w:t>1) 行道树要求每年施肥二次，绿地内各类树木要求一年施肥二次，肥料为复合肥或肥饼，施肥时需通知采购人，以采购人验收为准；改善土壤理化性状，保持土壤疏松。不出现因缺肥造成树木产生病害。(包工包料)</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lang w:val="en-US" w:eastAsia="zh-CN"/>
        </w:rPr>
        <w:t>5</w:t>
      </w:r>
      <w:r>
        <w:rPr>
          <w:rFonts w:hint="eastAsia" w:ascii="宋体"/>
          <w:sz w:val="22"/>
          <w:szCs w:val="22"/>
        </w:rPr>
        <w:t>.4病虫害防治</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rPr>
        <w:t>1）对园林植物为害及普遍又严重的“五小、二病”加强防治。五小指：疥虫、蚜虫、粉虱、蓟马、叶螨；二病指：病毒病、线虫病、还应该对天牛以及其他病害进行防治。</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rPr>
        <w:t>2）综合防治，以防为主；病虫害危害控制在以不影响观赏效果的范围之内。其中食叶性害虫危害的叶片，每株不超过10%；刺吸式害虫危害的叶片，每株不超过15%；无蛀干性害虫的株树在2%一下。</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rPr>
        <w:t>3）所有树木冬季必须刷白，及时防治病虫害。发现枯枝、死枝必须24小时处理完毕；对枯死的树木应连同根部在24小时内挖除，并在1周内补种完毕。</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rPr>
        <w:t>4)配备专职植保员，应每天检查病虫害发生情况，发现病虫害应在2天内治理完毕，并做好病虫害防治工作台账，要求树木常年无明显病虫害。</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lang w:val="en-US" w:eastAsia="zh-CN"/>
        </w:rPr>
        <w:t>5</w:t>
      </w:r>
      <w:r>
        <w:rPr>
          <w:rFonts w:hint="eastAsia" w:ascii="宋体"/>
          <w:sz w:val="22"/>
          <w:szCs w:val="22"/>
        </w:rPr>
        <w:t>.5修剪</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rPr>
        <w:t>1）乔木类主要修除病虫害枝，扭伤枝以及枯烂枝。主梢明显的乔木应保护顶芽，孤植树应保留下枝，保持树冠丰满；</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rPr>
        <w:t>2）灌木类修剪遵循“先上后下，先外后内，去弱留强，去老留新”的原则进行，修剪促使枝叶茂盛，分布匀称；</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rPr>
        <w:t>3）色块应及时整修，保持和达到设计要求；如海桐等。</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rPr>
        <w:t>4）一年至少对树木保持三次以上大型修剪。树木要求无徒长枝、病虫枝、过密枝、枯枝、伤损枝、无死树木现象。</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rPr>
        <w:t>5）草坪内草高不得超过8cm，常绿草高不得超过6cm，草种基本纯，无杂草，草坪覆盖率应大于95%，无孔秃现象。</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rPr>
        <w:t>6）整形植物必须技术修剪保持形态，悬垂植物生长健壮，整体效果好。采用修剪等特殊手法，控制高度，植物高度不得影响交通视线。</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lang w:val="en-US" w:eastAsia="zh-CN"/>
        </w:rPr>
        <w:t>5</w:t>
      </w:r>
      <w:r>
        <w:rPr>
          <w:rFonts w:hint="eastAsia" w:ascii="宋体"/>
          <w:sz w:val="22"/>
          <w:szCs w:val="22"/>
        </w:rPr>
        <w:t>.6 剥芽</w:t>
      </w:r>
    </w:p>
    <w:p>
      <w:pPr>
        <w:widowControl/>
        <w:autoSpaceDE w:val="0"/>
        <w:autoSpaceDN w:val="0"/>
        <w:adjustRightInd w:val="0"/>
        <w:spacing w:line="460" w:lineRule="atLeast"/>
        <w:ind w:firstLine="440" w:firstLineChars="200"/>
        <w:textAlignment w:val="bottom"/>
        <w:rPr>
          <w:rFonts w:ascii="宋体"/>
          <w:sz w:val="22"/>
        </w:rPr>
      </w:pPr>
      <w:r>
        <w:rPr>
          <w:rFonts w:hint="eastAsia" w:ascii="宋体"/>
          <w:sz w:val="22"/>
          <w:szCs w:val="22"/>
        </w:rPr>
        <w:t>对女贞、白玉兰、香樟等树种在春季应及时剥去主干上根基部的萌蘖条；</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lang w:val="en-US" w:eastAsia="zh-CN"/>
        </w:rPr>
        <w:t>5</w:t>
      </w:r>
      <w:r>
        <w:rPr>
          <w:rFonts w:hint="eastAsia" w:ascii="宋体"/>
          <w:sz w:val="22"/>
          <w:szCs w:val="22"/>
        </w:rPr>
        <w:t>.7 防寒、防冻措施</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rPr>
        <w:t>寒流来临前应采取根基培土、主干、和根颈包扎等措施，防寒工作宜在常规寒流来临前完成，如遇有大雪及时清除树冠积雪，但不要损伤树冠。</w:t>
      </w:r>
    </w:p>
    <w:p>
      <w:pPr>
        <w:widowControl/>
        <w:autoSpaceDE w:val="0"/>
        <w:autoSpaceDN w:val="0"/>
        <w:adjustRightInd w:val="0"/>
        <w:spacing w:line="460" w:lineRule="atLeast"/>
        <w:ind w:firstLine="440" w:firstLineChars="200"/>
        <w:textAlignment w:val="bottom"/>
        <w:rPr>
          <w:rFonts w:ascii="宋体"/>
          <w:sz w:val="22"/>
        </w:rPr>
      </w:pPr>
      <w:r>
        <w:rPr>
          <w:rFonts w:hint="eastAsia" w:ascii="宋体"/>
          <w:sz w:val="22"/>
          <w:lang w:val="en-US" w:eastAsia="zh-CN"/>
        </w:rPr>
        <w:t>5</w:t>
      </w:r>
      <w:r>
        <w:rPr>
          <w:rFonts w:hint="eastAsia" w:ascii="宋体"/>
          <w:sz w:val="22"/>
        </w:rPr>
        <w:t>.8 抗台风及紧急情况抢救措施</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rPr>
        <w:t>1）高大乔木在台风来临前，应以预防为主的原则，对树木存在根浅、迎风、树冠大、树枝过密以及立地条件差等，要根据实际情况分别采取绑扎、加土、扶正、疏枝、加桩等几项综合措施。</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rPr>
        <w:t>2）绑扎宜采用8号铅丝或绳索绑扎树干，绑扎点应衬垫橡皮，不得损伤树枝；另一端必须固定；也可多株串联起来再行固定。</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rPr>
        <w:t>3）加土：树穴内的土壤，出现低洼和积水现象时，必须在台风来临前加土，使根颈周围的土保持馒头状。对枝叶茂密、树冠庞大的树木经行疏稀修剪；</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rPr>
        <w:t>4）如果在台风暴雨中树木倒伏，应先强行修剪疏冠，在土壤耕性状态时扶起重栽，重栽后必须采取有效的固定措施如用三角撑等。</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rPr>
        <w:t>5）台风过后影响安全、畅通的树木要求在12小时内处理完毕，其余受损树木等应在三天内处理完毕。</w:t>
      </w:r>
    </w:p>
    <w:p>
      <w:pPr>
        <w:widowControl/>
        <w:autoSpaceDE w:val="0"/>
        <w:autoSpaceDN w:val="0"/>
        <w:adjustRightInd w:val="0"/>
        <w:spacing w:line="460" w:lineRule="atLeast"/>
        <w:ind w:firstLine="440" w:firstLineChars="200"/>
        <w:textAlignment w:val="bottom"/>
        <w:rPr>
          <w:rFonts w:ascii="宋体"/>
          <w:sz w:val="22"/>
        </w:rPr>
      </w:pPr>
      <w:r>
        <w:rPr>
          <w:rFonts w:hint="eastAsia" w:ascii="宋体"/>
          <w:sz w:val="22"/>
          <w:lang w:val="en-US" w:eastAsia="zh-CN"/>
        </w:rPr>
        <w:t>5</w:t>
      </w:r>
      <w:r>
        <w:rPr>
          <w:rFonts w:hint="eastAsia" w:ascii="宋体"/>
          <w:sz w:val="22"/>
        </w:rPr>
        <w:t>.9 环境卫生：</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rPr>
        <w:t>要求绿地整洁，草坪与树穴内无杂草，不得有石块、果壳、纸屑及其他垃圾，树木无张贴、无钉子、铁丝等破坏树木生长的东西。修剪留下的树枝及草末要求在当天必须清理完毕。</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lang w:val="en-US" w:eastAsia="zh-CN"/>
        </w:rPr>
        <w:t>5</w:t>
      </w:r>
      <w:r>
        <w:rPr>
          <w:rFonts w:hint="eastAsia" w:ascii="宋体"/>
          <w:sz w:val="22"/>
          <w:szCs w:val="22"/>
        </w:rPr>
        <w:t>.10 树木成活率</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rPr>
        <w:t>新栽树木成活率在95%以上；原有树木保存率在100%，无死株、无缺株（人力不可抗拒的自然灾害除外）。由自身养护及防护措施不到位造成树木死亡率超过甲方标准，损失的费用由乙方承担（如补植，树木品种规格应一致，胸径误差≤20%）。如果非法侵占或砍伐树木，要及时向甲方汇报，由甲方配合乙方追查，补植由乙方负责。</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lang w:val="en-US" w:eastAsia="zh-CN"/>
        </w:rPr>
        <w:t>5</w:t>
      </w:r>
      <w:r>
        <w:rPr>
          <w:rFonts w:hint="eastAsia" w:ascii="宋体"/>
          <w:sz w:val="22"/>
          <w:szCs w:val="22"/>
        </w:rPr>
        <w:t>.11  补植</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rPr>
        <w:t>遇到因人为或其它因素造成的树木损坏，必须无条件在1周内补种完毕，包括因重大活动造成的损坏，无条件按采购人要求完成补种并保活，否则采购人有权自行进行补种，由此产生的费用在支付给供应商的合同款中扣除。</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lang w:val="en-US" w:eastAsia="zh-CN"/>
        </w:rPr>
        <w:t>5</w:t>
      </w:r>
      <w:r>
        <w:rPr>
          <w:rFonts w:hint="eastAsia" w:ascii="宋体"/>
          <w:sz w:val="22"/>
          <w:szCs w:val="22"/>
        </w:rPr>
        <w:t>.12   及时向采购人反映</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rPr>
        <w:t>1、采购人对绿化情况进行登记管理，在绿化养护移交后，若发现垃圾死角、缺株、死株是采购人未进行登记管理的，需及时向采购人反映，第一次由采购人及时进行处理，处理完毕后，后续还出现类似问题，均需中标供应商负责。</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rPr>
        <w:t>2、对损坏绿化、侵占绿地的现象应及时予以制止，遇到严重的破坏树木行为应及时上报采购人及执法部门，并做好配合。</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lang w:val="en-US" w:eastAsia="zh-CN"/>
        </w:rPr>
        <w:t>5</w:t>
      </w:r>
      <w:r>
        <w:rPr>
          <w:rFonts w:hint="eastAsia" w:ascii="宋体"/>
          <w:sz w:val="22"/>
          <w:szCs w:val="22"/>
        </w:rPr>
        <w:t>.13  其他任务要求：</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rPr>
        <w:t>1）因工作需要，甲方临时向乙方提出植、补、移树、灌、乔木的要求，乙方应全力配合，按照甲方提出标准及要求完成任务，不得无故拖延。</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rPr>
        <w:t>2）乙方应根据甲方要求在指定地段完成临时性的花卉摆放（经费由乙方向甲方另外清算，不列在养护经费之内）。</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rPr>
        <w:t>注：以上要求如与各级绿地养护标准要求冲突的，以绿化养护各级标准为准。</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lang w:val="en-US" w:eastAsia="zh-CN"/>
        </w:rPr>
        <w:t>6</w:t>
      </w:r>
      <w:r>
        <w:rPr>
          <w:rFonts w:hint="eastAsia" w:ascii="宋体"/>
          <w:sz w:val="22"/>
          <w:szCs w:val="22"/>
        </w:rPr>
        <w:t>. 管理及作业要求</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lang w:val="en-US" w:eastAsia="zh-CN"/>
        </w:rPr>
        <w:t>6</w:t>
      </w:r>
      <w:r>
        <w:rPr>
          <w:rFonts w:hint="eastAsia" w:ascii="宋体"/>
          <w:sz w:val="22"/>
          <w:szCs w:val="22"/>
        </w:rPr>
        <w:t>.1承包方应建立完善的管理制度及《质量考核奖惩规定》；并建立健全的管理制度及档案资料（包括对树种、数量、更换等情况及时记录入档）；</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lang w:val="en-US" w:eastAsia="zh-CN"/>
        </w:rPr>
        <w:t>6</w:t>
      </w:r>
      <w:r>
        <w:rPr>
          <w:rFonts w:hint="eastAsia" w:ascii="宋体"/>
          <w:sz w:val="22"/>
          <w:szCs w:val="22"/>
        </w:rPr>
        <w:t>.2 乙方必须信守承诺，认真落实具有相应的技术固定养护人员；</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lang w:val="en-US" w:eastAsia="zh-CN"/>
        </w:rPr>
        <w:t>6</w:t>
      </w:r>
      <w:r>
        <w:rPr>
          <w:rFonts w:hint="eastAsia" w:ascii="宋体"/>
          <w:sz w:val="22"/>
          <w:szCs w:val="22"/>
        </w:rPr>
        <w:t>.3 承包方应认真落实具有相应技术的固定养护人员；每位上岗员工在上岗工作前，应接受过绿化技术普及培训，安全教育，包括道路交通安全教育，机械操作规程教育，消防教育等，明确每项养护工作的质量要求，并按规定操作；</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lang w:val="en-US" w:eastAsia="zh-CN"/>
        </w:rPr>
        <w:t>6</w:t>
      </w:r>
      <w:r>
        <w:rPr>
          <w:rFonts w:hint="eastAsia" w:ascii="宋体"/>
          <w:sz w:val="22"/>
          <w:szCs w:val="22"/>
        </w:rPr>
        <w:t>.4 养护人员必须挂牌上岗，统一穿着工作服，工作鞋，不能穿拖鞋上岗操作；</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lang w:val="en-US" w:eastAsia="zh-CN"/>
        </w:rPr>
        <w:t>6</w:t>
      </w:r>
      <w:r>
        <w:rPr>
          <w:rFonts w:hint="eastAsia" w:ascii="宋体"/>
          <w:sz w:val="22"/>
          <w:szCs w:val="22"/>
        </w:rPr>
        <w:t>.5 承包方应制定各类应急措施，如发生车损、土方倾倒、树木被台风吹倒等情况，在半小时内赶到现场，拍照后汇报甲方，并立即处置现场，尽快恢复绿化面貌；</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lang w:val="en-US" w:eastAsia="zh-CN"/>
        </w:rPr>
        <w:t>6</w:t>
      </w:r>
      <w:r>
        <w:rPr>
          <w:rFonts w:hint="eastAsia" w:ascii="宋体"/>
          <w:sz w:val="22"/>
          <w:szCs w:val="22"/>
        </w:rPr>
        <w:t>.6 每天巡视养护路段，遇有车树木倒伏等突发情况，及时赶到现场作业，尽快恢复绿化面貌；</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lang w:val="en-US" w:eastAsia="zh-CN"/>
        </w:rPr>
        <w:t>6</w:t>
      </w:r>
      <w:r>
        <w:rPr>
          <w:rFonts w:hint="eastAsia" w:ascii="宋体"/>
          <w:sz w:val="22"/>
          <w:szCs w:val="22"/>
        </w:rPr>
        <w:t>.7 各类农药专门放置，并安排专人保管，专人使用；</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lang w:val="en-US" w:eastAsia="zh-CN"/>
        </w:rPr>
        <w:t>6</w:t>
      </w:r>
      <w:r>
        <w:rPr>
          <w:rFonts w:hint="eastAsia" w:ascii="宋体"/>
          <w:sz w:val="22"/>
          <w:szCs w:val="22"/>
        </w:rPr>
        <w:t>.8 机械设备的操作者，必须持有专门的上岗证书，不得擅自违章操作；</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lang w:val="en-US" w:eastAsia="zh-CN"/>
        </w:rPr>
        <w:t>6</w:t>
      </w:r>
      <w:r>
        <w:rPr>
          <w:rFonts w:hint="eastAsia" w:ascii="宋体"/>
          <w:sz w:val="22"/>
          <w:szCs w:val="22"/>
        </w:rPr>
        <w:t>.9 制定安全生产奖罚制度，对违反制度的工作人员，根据情节轻重予以教育和处罚；</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lang w:val="en-US" w:eastAsia="zh-CN"/>
        </w:rPr>
        <w:t>6</w:t>
      </w:r>
      <w:r>
        <w:rPr>
          <w:rFonts w:hint="eastAsia" w:ascii="宋体"/>
          <w:sz w:val="22"/>
          <w:szCs w:val="22"/>
        </w:rPr>
        <w:t>.10 实行挂牌施工，标明施工范围、内容、开竣工日期、施工单位、项目经理、监督电话、牌子置于施工范围明显处，以便监督；开展文明施工，职业道德教育，做到无野蛮施工，无违章施工和无重大安全伤亡事故；</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lang w:val="en-US" w:eastAsia="zh-CN"/>
        </w:rPr>
        <w:t>6</w:t>
      </w:r>
      <w:r>
        <w:rPr>
          <w:rFonts w:hint="eastAsia" w:ascii="宋体"/>
          <w:sz w:val="22"/>
          <w:szCs w:val="22"/>
        </w:rPr>
        <w:t>.11 施工现场的材料堆放整齐有序，施工结束后做到工完场地清，如割完草皮后及时将草屑清理干净；</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lang w:val="en-US" w:eastAsia="zh-CN"/>
        </w:rPr>
        <w:t>6</w:t>
      </w:r>
      <w:r>
        <w:rPr>
          <w:rFonts w:hint="eastAsia" w:ascii="宋体"/>
          <w:sz w:val="22"/>
          <w:szCs w:val="22"/>
        </w:rPr>
        <w:t>.12 绿化维护及保洁所用耗材、材料装备设施；水、电的接入及费用；人员食宿、安全等均由承包单位自行负责解决，包含在投标总价中；</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lang w:val="en-US" w:eastAsia="zh-CN"/>
        </w:rPr>
        <w:t>6</w:t>
      </w:r>
      <w:r>
        <w:rPr>
          <w:rFonts w:hint="eastAsia" w:ascii="宋体"/>
          <w:sz w:val="22"/>
          <w:szCs w:val="22"/>
        </w:rPr>
        <w:t>.13 在合同执行期内，投标人应遵守法律法规及其他有关规定，并接受甲方及有关部门的监督、检查和管理。</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lang w:val="en-US" w:eastAsia="zh-CN"/>
        </w:rPr>
        <w:t>6</w:t>
      </w:r>
      <w:r>
        <w:rPr>
          <w:rFonts w:hint="eastAsia" w:ascii="宋体"/>
          <w:sz w:val="22"/>
          <w:szCs w:val="22"/>
        </w:rPr>
        <w:t xml:space="preserve">.14 项目负责人到岗率应达90%以上，平常巡查管理由专业技工负责。 </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lang w:val="en-US" w:eastAsia="zh-CN"/>
        </w:rPr>
        <w:t>6</w:t>
      </w:r>
      <w:r>
        <w:rPr>
          <w:rFonts w:hint="eastAsia" w:ascii="宋体"/>
          <w:sz w:val="22"/>
          <w:szCs w:val="22"/>
        </w:rPr>
        <w:t>.15 养护用水不得使用道路周边河渠水，请投标供应商报价时充分考虑养护用水费用。</w:t>
      </w:r>
    </w:p>
    <w:p>
      <w:pPr>
        <w:widowControl/>
        <w:autoSpaceDE w:val="0"/>
        <w:autoSpaceDN w:val="0"/>
        <w:adjustRightInd w:val="0"/>
        <w:spacing w:line="460" w:lineRule="atLeast"/>
        <w:ind w:firstLine="440" w:firstLineChars="200"/>
        <w:textAlignment w:val="bottom"/>
        <w:rPr>
          <w:rFonts w:ascii="宋体"/>
          <w:sz w:val="22"/>
          <w:szCs w:val="22"/>
        </w:rPr>
      </w:pPr>
      <w:r>
        <w:rPr>
          <w:rFonts w:hint="eastAsia" w:ascii="宋体"/>
          <w:sz w:val="22"/>
          <w:szCs w:val="22"/>
          <w:lang w:val="en-US" w:eastAsia="zh-CN"/>
        </w:rPr>
        <w:t>6</w:t>
      </w:r>
      <w:r>
        <w:rPr>
          <w:rFonts w:hint="eastAsia" w:ascii="宋体"/>
          <w:sz w:val="22"/>
          <w:szCs w:val="22"/>
        </w:rPr>
        <w:t>.16 本项目不得转包、分包。</w:t>
      </w:r>
    </w:p>
    <w:p>
      <w:pPr>
        <w:widowControl/>
        <w:autoSpaceDE w:val="0"/>
        <w:autoSpaceDN w:val="0"/>
        <w:adjustRightInd w:val="0"/>
        <w:spacing w:line="460" w:lineRule="atLeast"/>
        <w:textAlignment w:val="bottom"/>
        <w:rPr>
          <w:rFonts w:hint="eastAsia" w:ascii="宋体"/>
          <w:sz w:val="28"/>
          <w:szCs w:val="28"/>
        </w:rPr>
      </w:pPr>
    </w:p>
    <w:p>
      <w:pPr>
        <w:widowControl/>
        <w:autoSpaceDE w:val="0"/>
        <w:autoSpaceDN w:val="0"/>
        <w:adjustRightInd w:val="0"/>
        <w:spacing w:line="460" w:lineRule="atLeast"/>
        <w:jc w:val="center"/>
        <w:textAlignment w:val="bottom"/>
        <w:rPr>
          <w:rFonts w:hint="eastAsia" w:ascii="宋体"/>
          <w:b/>
          <w:bCs/>
          <w:sz w:val="28"/>
          <w:szCs w:val="28"/>
        </w:rPr>
      </w:pPr>
    </w:p>
    <w:p>
      <w:pPr>
        <w:widowControl/>
        <w:autoSpaceDE w:val="0"/>
        <w:autoSpaceDN w:val="0"/>
        <w:adjustRightInd w:val="0"/>
        <w:spacing w:line="460" w:lineRule="atLeast"/>
        <w:jc w:val="center"/>
        <w:textAlignment w:val="bottom"/>
        <w:rPr>
          <w:rFonts w:hint="eastAsia" w:ascii="宋体"/>
          <w:b/>
          <w:bCs/>
          <w:sz w:val="28"/>
          <w:szCs w:val="28"/>
        </w:rPr>
      </w:pPr>
    </w:p>
    <w:p>
      <w:pPr>
        <w:widowControl/>
        <w:autoSpaceDE w:val="0"/>
        <w:autoSpaceDN w:val="0"/>
        <w:adjustRightInd w:val="0"/>
        <w:spacing w:line="460" w:lineRule="atLeast"/>
        <w:jc w:val="center"/>
        <w:textAlignment w:val="bottom"/>
        <w:rPr>
          <w:rFonts w:hint="eastAsia" w:ascii="宋体"/>
          <w:b/>
          <w:bCs/>
          <w:sz w:val="28"/>
          <w:szCs w:val="28"/>
        </w:rPr>
      </w:pPr>
    </w:p>
    <w:p>
      <w:pPr>
        <w:widowControl/>
        <w:autoSpaceDE w:val="0"/>
        <w:autoSpaceDN w:val="0"/>
        <w:adjustRightInd w:val="0"/>
        <w:spacing w:line="460" w:lineRule="atLeast"/>
        <w:jc w:val="center"/>
        <w:textAlignment w:val="bottom"/>
        <w:rPr>
          <w:rFonts w:hint="eastAsia" w:ascii="宋体"/>
          <w:b/>
          <w:bCs/>
          <w:sz w:val="28"/>
          <w:szCs w:val="28"/>
        </w:rPr>
      </w:pPr>
    </w:p>
    <w:p>
      <w:pPr>
        <w:widowControl/>
        <w:autoSpaceDE w:val="0"/>
        <w:autoSpaceDN w:val="0"/>
        <w:adjustRightInd w:val="0"/>
        <w:spacing w:line="460" w:lineRule="atLeast"/>
        <w:jc w:val="center"/>
        <w:textAlignment w:val="bottom"/>
        <w:rPr>
          <w:rFonts w:hint="eastAsia" w:ascii="宋体"/>
          <w:b/>
          <w:bCs/>
          <w:sz w:val="28"/>
          <w:szCs w:val="28"/>
        </w:rPr>
      </w:pPr>
    </w:p>
    <w:p>
      <w:pPr>
        <w:widowControl/>
        <w:autoSpaceDE w:val="0"/>
        <w:autoSpaceDN w:val="0"/>
        <w:adjustRightInd w:val="0"/>
        <w:spacing w:line="460" w:lineRule="atLeast"/>
        <w:jc w:val="center"/>
        <w:textAlignment w:val="bottom"/>
        <w:rPr>
          <w:rFonts w:hint="eastAsia" w:ascii="宋体"/>
          <w:b/>
          <w:bCs/>
          <w:sz w:val="28"/>
          <w:szCs w:val="28"/>
        </w:rPr>
      </w:pPr>
    </w:p>
    <w:p>
      <w:pPr>
        <w:widowControl/>
        <w:autoSpaceDE w:val="0"/>
        <w:autoSpaceDN w:val="0"/>
        <w:adjustRightInd w:val="0"/>
        <w:spacing w:line="460" w:lineRule="atLeast"/>
        <w:jc w:val="center"/>
        <w:textAlignment w:val="bottom"/>
        <w:rPr>
          <w:rFonts w:hint="eastAsia" w:ascii="宋体"/>
          <w:b/>
          <w:bCs/>
          <w:sz w:val="28"/>
          <w:szCs w:val="28"/>
        </w:rPr>
      </w:pPr>
    </w:p>
    <w:p>
      <w:pPr>
        <w:widowControl/>
        <w:autoSpaceDE w:val="0"/>
        <w:autoSpaceDN w:val="0"/>
        <w:adjustRightInd w:val="0"/>
        <w:spacing w:line="460" w:lineRule="atLeast"/>
        <w:jc w:val="center"/>
        <w:textAlignment w:val="bottom"/>
        <w:rPr>
          <w:rFonts w:ascii="宋体"/>
          <w:sz w:val="22"/>
        </w:rPr>
      </w:pPr>
      <w:r>
        <w:rPr>
          <w:rFonts w:hint="eastAsia" w:ascii="宋体"/>
          <w:b/>
          <w:bCs/>
          <w:sz w:val="28"/>
          <w:szCs w:val="28"/>
        </w:rPr>
        <w:t>《园林绿化养护考核办法》</w:t>
      </w:r>
    </w:p>
    <w:p>
      <w:pPr>
        <w:rPr>
          <w:rFonts w:ascii="宋体"/>
          <w:sz w:val="22"/>
          <w:szCs w:val="22"/>
        </w:rPr>
      </w:pPr>
      <w:r>
        <w:rPr>
          <w:rFonts w:hint="eastAsia" w:ascii="宋体"/>
          <w:sz w:val="22"/>
          <w:szCs w:val="22"/>
        </w:rPr>
        <w:t>一、考核分值定分计算依据及标准：</w:t>
      </w:r>
    </w:p>
    <w:p>
      <w:pPr>
        <w:spacing w:line="440" w:lineRule="exact"/>
        <w:ind w:firstLine="440" w:firstLineChars="200"/>
        <w:rPr>
          <w:rFonts w:ascii="宋体"/>
          <w:sz w:val="22"/>
          <w:szCs w:val="22"/>
        </w:rPr>
      </w:pPr>
      <w:r>
        <w:rPr>
          <w:rFonts w:hint="eastAsia" w:ascii="宋体"/>
          <w:sz w:val="22"/>
          <w:szCs w:val="22"/>
        </w:rPr>
        <w:t>1、考核总分值每月满分为100分。</w:t>
      </w:r>
    </w:p>
    <w:p>
      <w:pPr>
        <w:spacing w:line="400" w:lineRule="exact"/>
        <w:rPr>
          <w:rFonts w:ascii="宋体"/>
          <w:sz w:val="22"/>
          <w:szCs w:val="22"/>
        </w:rPr>
      </w:pPr>
      <w:r>
        <w:rPr>
          <w:rFonts w:hint="eastAsia" w:ascii="宋体"/>
          <w:sz w:val="22"/>
          <w:szCs w:val="22"/>
        </w:rPr>
        <w:t xml:space="preserve">    2、检查计分根据《园林绿化养护考核评分细则》逐项对照分值采取累计扣分形式实行考核，考核表上每项均有设定评分标准，业主单位将根据月度考核结果对承包单位进行分档处罚（具体处罚标准按照《月度考核处罚标准》执行），处罚金额在当月养护经费中直接扣除。</w:t>
      </w:r>
    </w:p>
    <w:p>
      <w:pPr>
        <w:spacing w:line="360" w:lineRule="auto"/>
        <w:rPr>
          <w:rFonts w:ascii="宋体"/>
          <w:sz w:val="22"/>
          <w:szCs w:val="22"/>
        </w:rPr>
      </w:pPr>
      <w:r>
        <w:rPr>
          <w:rFonts w:hint="eastAsia" w:ascii="宋体"/>
          <w:sz w:val="22"/>
          <w:szCs w:val="22"/>
        </w:rPr>
        <w:t>二、考核措施：</w:t>
      </w:r>
    </w:p>
    <w:p>
      <w:pPr>
        <w:spacing w:line="400" w:lineRule="exact"/>
        <w:ind w:firstLine="440" w:firstLineChars="200"/>
        <w:rPr>
          <w:rFonts w:ascii="宋体"/>
          <w:sz w:val="22"/>
          <w:szCs w:val="22"/>
        </w:rPr>
      </w:pPr>
      <w:r>
        <w:rPr>
          <w:rFonts w:hint="eastAsia" w:ascii="宋体"/>
          <w:sz w:val="22"/>
          <w:szCs w:val="22"/>
        </w:rPr>
        <w:t>考核由业主单位组织进行检查考评，检查将采取明检、暗检相结合的方式，以暗检为主，具体考核如下：</w:t>
      </w:r>
    </w:p>
    <w:p>
      <w:pPr>
        <w:spacing w:line="400" w:lineRule="exact"/>
        <w:rPr>
          <w:rFonts w:ascii="宋体"/>
          <w:sz w:val="22"/>
          <w:szCs w:val="22"/>
        </w:rPr>
      </w:pPr>
      <w:r>
        <w:rPr>
          <w:rFonts w:hint="eastAsia" w:ascii="宋体"/>
          <w:sz w:val="22"/>
          <w:szCs w:val="22"/>
        </w:rPr>
        <w:t xml:space="preserve">   （一）月度考核：</w:t>
      </w:r>
    </w:p>
    <w:p>
      <w:pPr>
        <w:spacing w:line="400" w:lineRule="exact"/>
        <w:ind w:firstLine="420"/>
        <w:rPr>
          <w:rFonts w:ascii="宋体"/>
          <w:sz w:val="22"/>
          <w:szCs w:val="22"/>
        </w:rPr>
      </w:pPr>
      <w:r>
        <w:rPr>
          <w:rFonts w:hint="eastAsia" w:ascii="宋体"/>
          <w:sz w:val="22"/>
          <w:szCs w:val="22"/>
        </w:rPr>
        <w:t>1、计算公式：</w:t>
      </w:r>
    </w:p>
    <w:p>
      <w:pPr>
        <w:spacing w:line="400" w:lineRule="exact"/>
        <w:ind w:firstLine="420"/>
        <w:rPr>
          <w:rFonts w:ascii="宋体"/>
          <w:sz w:val="22"/>
          <w:szCs w:val="22"/>
        </w:rPr>
      </w:pPr>
      <w:r>
        <w:rPr>
          <w:rFonts w:hint="eastAsia" w:ascii="宋体"/>
          <w:b/>
          <w:bCs/>
          <w:sz w:val="22"/>
          <w:szCs w:val="22"/>
        </w:rPr>
        <w:drawing>
          <wp:anchor distT="0" distB="0" distL="114300" distR="114300" simplePos="0" relativeHeight="251660288" behindDoc="0" locked="0" layoutInCell="1" allowOverlap="1">
            <wp:simplePos x="0" y="0"/>
            <wp:positionH relativeFrom="column">
              <wp:posOffset>1101725</wp:posOffset>
            </wp:positionH>
            <wp:positionV relativeFrom="paragraph">
              <wp:posOffset>19050</wp:posOffset>
            </wp:positionV>
            <wp:extent cx="2514600" cy="438150"/>
            <wp:effectExtent l="0" t="0" r="0" b="0"/>
            <wp:wrapNone/>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6"/>
                    <a:stretch>
                      <a:fillRect/>
                    </a:stretch>
                  </pic:blipFill>
                  <pic:spPr>
                    <a:xfrm>
                      <a:off x="0" y="0"/>
                      <a:ext cx="2514600" cy="438150"/>
                    </a:xfrm>
                    <a:prstGeom prst="rect">
                      <a:avLst/>
                    </a:prstGeom>
                    <a:noFill/>
                    <a:ln>
                      <a:noFill/>
                    </a:ln>
                  </pic:spPr>
                </pic:pic>
              </a:graphicData>
            </a:graphic>
          </wp:anchor>
        </w:drawing>
      </w:r>
    </w:p>
    <w:p>
      <w:pPr>
        <w:spacing w:line="400" w:lineRule="exact"/>
        <w:rPr>
          <w:rFonts w:ascii="宋体"/>
          <w:sz w:val="22"/>
          <w:szCs w:val="22"/>
        </w:rPr>
      </w:pPr>
    </w:p>
    <w:p>
      <w:pPr>
        <w:spacing w:line="400" w:lineRule="exact"/>
        <w:ind w:firstLine="420"/>
        <w:rPr>
          <w:rFonts w:ascii="宋体"/>
          <w:sz w:val="22"/>
          <w:szCs w:val="22"/>
        </w:rPr>
      </w:pPr>
      <w:r>
        <w:rPr>
          <w:rFonts w:hint="eastAsia" w:ascii="宋体"/>
          <w:sz w:val="22"/>
          <w:szCs w:val="22"/>
        </w:rPr>
        <w:t>2、月度考核：由日常抽查考核结果汇总计算得出平均分。具体计算方式参照月度考核计算公式。业主单位将根据月度考核结果对承包单位进行分档处罚（具体处罚标准按照《月度考核处罚标准》执行），处罚金额在养护工作当月运行经费中直接扣除。</w:t>
      </w:r>
    </w:p>
    <w:p>
      <w:pPr>
        <w:spacing w:line="400" w:lineRule="exact"/>
        <w:ind w:firstLine="420"/>
        <w:rPr>
          <w:rFonts w:ascii="宋体"/>
          <w:sz w:val="22"/>
          <w:szCs w:val="22"/>
        </w:rPr>
      </w:pPr>
    </w:p>
    <w:p>
      <w:pPr>
        <w:spacing w:line="400" w:lineRule="exact"/>
        <w:jc w:val="center"/>
        <w:rPr>
          <w:rFonts w:ascii="宋体"/>
          <w:sz w:val="22"/>
          <w:szCs w:val="22"/>
        </w:rPr>
      </w:pPr>
      <w:r>
        <w:rPr>
          <w:rFonts w:hint="eastAsia" w:ascii="宋体"/>
          <w:sz w:val="22"/>
          <w:szCs w:val="22"/>
        </w:rPr>
        <w:t>月度考核处罚标准</w:t>
      </w: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651"/>
        <w:gridCol w:w="3105"/>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Pr>
          <w:p>
            <w:pPr>
              <w:spacing w:line="400" w:lineRule="exact"/>
              <w:jc w:val="center"/>
              <w:rPr>
                <w:rFonts w:ascii="宋体"/>
                <w:sz w:val="22"/>
                <w:szCs w:val="22"/>
              </w:rPr>
            </w:pPr>
            <w:r>
              <w:rPr>
                <w:rFonts w:hint="eastAsia" w:ascii="宋体"/>
                <w:sz w:val="22"/>
                <w:szCs w:val="22"/>
              </w:rPr>
              <w:t>档次</w:t>
            </w:r>
          </w:p>
        </w:tc>
        <w:tc>
          <w:tcPr>
            <w:tcW w:w="2651" w:type="dxa"/>
          </w:tcPr>
          <w:p>
            <w:pPr>
              <w:spacing w:line="400" w:lineRule="exact"/>
              <w:jc w:val="center"/>
              <w:rPr>
                <w:rFonts w:ascii="宋体"/>
                <w:sz w:val="22"/>
                <w:szCs w:val="22"/>
              </w:rPr>
            </w:pPr>
            <w:r>
              <w:rPr>
                <w:rFonts w:hint="eastAsia" w:ascii="宋体"/>
                <w:sz w:val="22"/>
                <w:szCs w:val="22"/>
              </w:rPr>
              <w:t>月度考核分数区间（分）</w:t>
            </w:r>
          </w:p>
        </w:tc>
        <w:tc>
          <w:tcPr>
            <w:tcW w:w="3105" w:type="dxa"/>
          </w:tcPr>
          <w:p>
            <w:pPr>
              <w:spacing w:line="400" w:lineRule="exact"/>
              <w:jc w:val="center"/>
              <w:rPr>
                <w:rFonts w:ascii="宋体"/>
                <w:sz w:val="22"/>
                <w:szCs w:val="22"/>
              </w:rPr>
            </w:pPr>
            <w:r>
              <w:rPr>
                <w:rFonts w:hint="eastAsia" w:ascii="宋体"/>
                <w:sz w:val="22"/>
                <w:szCs w:val="22"/>
              </w:rPr>
              <w:t>月处罚金额比例</w:t>
            </w:r>
          </w:p>
        </w:tc>
        <w:tc>
          <w:tcPr>
            <w:tcW w:w="1955" w:type="dxa"/>
          </w:tcPr>
          <w:p>
            <w:pPr>
              <w:spacing w:line="400" w:lineRule="exact"/>
              <w:jc w:val="center"/>
              <w:rPr>
                <w:rFonts w:ascii="宋体"/>
                <w:sz w:val="22"/>
                <w:szCs w:val="22"/>
              </w:rPr>
            </w:pPr>
            <w:r>
              <w:rPr>
                <w:rFonts w:hint="eastAsia" w:ascii="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Pr>
          <w:p>
            <w:pPr>
              <w:spacing w:line="400" w:lineRule="exact"/>
              <w:jc w:val="center"/>
              <w:rPr>
                <w:rFonts w:ascii="宋体"/>
                <w:sz w:val="22"/>
                <w:szCs w:val="22"/>
              </w:rPr>
            </w:pPr>
            <w:r>
              <w:rPr>
                <w:rFonts w:hint="eastAsia" w:ascii="宋体"/>
                <w:sz w:val="22"/>
                <w:szCs w:val="22"/>
              </w:rPr>
              <w:t>一档</w:t>
            </w:r>
          </w:p>
        </w:tc>
        <w:tc>
          <w:tcPr>
            <w:tcW w:w="2651" w:type="dxa"/>
          </w:tcPr>
          <w:p>
            <w:pPr>
              <w:spacing w:line="400" w:lineRule="exact"/>
              <w:jc w:val="center"/>
              <w:rPr>
                <w:rFonts w:ascii="宋体"/>
                <w:sz w:val="22"/>
                <w:szCs w:val="22"/>
              </w:rPr>
            </w:pPr>
            <w:r>
              <w:rPr>
                <w:rFonts w:hint="eastAsia" w:ascii="宋体"/>
                <w:sz w:val="22"/>
                <w:szCs w:val="22"/>
              </w:rPr>
              <w:t>95（含）-100</w:t>
            </w:r>
          </w:p>
        </w:tc>
        <w:tc>
          <w:tcPr>
            <w:tcW w:w="3105" w:type="dxa"/>
          </w:tcPr>
          <w:p>
            <w:pPr>
              <w:spacing w:line="400" w:lineRule="exact"/>
              <w:jc w:val="center"/>
              <w:rPr>
                <w:rFonts w:ascii="宋体"/>
                <w:sz w:val="22"/>
                <w:szCs w:val="22"/>
              </w:rPr>
            </w:pPr>
            <w:r>
              <w:rPr>
                <w:rFonts w:hint="eastAsia" w:ascii="宋体"/>
                <w:sz w:val="22"/>
                <w:szCs w:val="22"/>
              </w:rPr>
              <w:t>不处罚</w:t>
            </w:r>
          </w:p>
        </w:tc>
        <w:tc>
          <w:tcPr>
            <w:tcW w:w="1955" w:type="dxa"/>
          </w:tcPr>
          <w:p>
            <w:pPr>
              <w:spacing w:line="400" w:lineRule="exact"/>
              <w:jc w:val="center"/>
              <w:rPr>
                <w:rFonts w:asci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Pr>
          <w:p>
            <w:pPr>
              <w:spacing w:line="400" w:lineRule="exact"/>
              <w:jc w:val="center"/>
              <w:rPr>
                <w:rFonts w:ascii="宋体"/>
                <w:sz w:val="22"/>
                <w:szCs w:val="22"/>
              </w:rPr>
            </w:pPr>
            <w:r>
              <w:rPr>
                <w:rFonts w:hint="eastAsia" w:ascii="宋体"/>
                <w:sz w:val="22"/>
                <w:szCs w:val="22"/>
              </w:rPr>
              <w:t>二档</w:t>
            </w:r>
          </w:p>
        </w:tc>
        <w:tc>
          <w:tcPr>
            <w:tcW w:w="2651" w:type="dxa"/>
          </w:tcPr>
          <w:p>
            <w:pPr>
              <w:spacing w:line="400" w:lineRule="exact"/>
              <w:jc w:val="center"/>
              <w:rPr>
                <w:rFonts w:ascii="宋体"/>
                <w:sz w:val="22"/>
                <w:szCs w:val="22"/>
              </w:rPr>
            </w:pPr>
            <w:r>
              <w:rPr>
                <w:rFonts w:hint="eastAsia" w:ascii="宋体"/>
                <w:sz w:val="22"/>
                <w:szCs w:val="22"/>
              </w:rPr>
              <w:t>90（含）-95（不含）</w:t>
            </w:r>
          </w:p>
        </w:tc>
        <w:tc>
          <w:tcPr>
            <w:tcW w:w="3105" w:type="dxa"/>
          </w:tcPr>
          <w:p>
            <w:pPr>
              <w:spacing w:line="400" w:lineRule="exact"/>
              <w:jc w:val="center"/>
              <w:rPr>
                <w:rFonts w:ascii="宋体"/>
                <w:sz w:val="22"/>
                <w:szCs w:val="22"/>
              </w:rPr>
            </w:pPr>
            <w:r>
              <w:rPr>
                <w:rFonts w:hint="eastAsia" w:ascii="宋体"/>
                <w:sz w:val="22"/>
                <w:szCs w:val="22"/>
              </w:rPr>
              <w:t>当月实际养护合同价款的5%</w:t>
            </w:r>
          </w:p>
        </w:tc>
        <w:tc>
          <w:tcPr>
            <w:tcW w:w="1955" w:type="dxa"/>
          </w:tcPr>
          <w:p>
            <w:pPr>
              <w:spacing w:line="400" w:lineRule="exact"/>
              <w:jc w:val="center"/>
              <w:rPr>
                <w:rFonts w:asci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Pr>
          <w:p>
            <w:pPr>
              <w:spacing w:line="400" w:lineRule="exact"/>
              <w:jc w:val="center"/>
              <w:rPr>
                <w:rFonts w:ascii="宋体"/>
                <w:sz w:val="22"/>
                <w:szCs w:val="22"/>
              </w:rPr>
            </w:pPr>
            <w:r>
              <w:rPr>
                <w:rFonts w:hint="eastAsia" w:ascii="宋体"/>
                <w:sz w:val="22"/>
                <w:szCs w:val="22"/>
              </w:rPr>
              <w:t>三档</w:t>
            </w:r>
          </w:p>
        </w:tc>
        <w:tc>
          <w:tcPr>
            <w:tcW w:w="2651" w:type="dxa"/>
          </w:tcPr>
          <w:p>
            <w:pPr>
              <w:spacing w:line="400" w:lineRule="exact"/>
              <w:jc w:val="center"/>
              <w:rPr>
                <w:rFonts w:ascii="宋体"/>
                <w:sz w:val="22"/>
                <w:szCs w:val="22"/>
              </w:rPr>
            </w:pPr>
            <w:r>
              <w:rPr>
                <w:rFonts w:hint="eastAsia" w:ascii="宋体"/>
                <w:sz w:val="22"/>
                <w:szCs w:val="22"/>
              </w:rPr>
              <w:t>85（含）-90（不含）</w:t>
            </w:r>
          </w:p>
        </w:tc>
        <w:tc>
          <w:tcPr>
            <w:tcW w:w="3105" w:type="dxa"/>
          </w:tcPr>
          <w:p>
            <w:pPr>
              <w:spacing w:line="400" w:lineRule="exact"/>
              <w:jc w:val="center"/>
              <w:rPr>
                <w:rFonts w:ascii="宋体"/>
                <w:sz w:val="22"/>
                <w:szCs w:val="22"/>
              </w:rPr>
            </w:pPr>
            <w:r>
              <w:rPr>
                <w:rFonts w:hint="eastAsia" w:ascii="宋体"/>
                <w:sz w:val="22"/>
                <w:szCs w:val="22"/>
              </w:rPr>
              <w:t>当月实际养护合同价款的10%</w:t>
            </w:r>
          </w:p>
        </w:tc>
        <w:tc>
          <w:tcPr>
            <w:tcW w:w="1955" w:type="dxa"/>
          </w:tcPr>
          <w:p>
            <w:pPr>
              <w:spacing w:line="400" w:lineRule="exact"/>
              <w:jc w:val="center"/>
              <w:rPr>
                <w:rFonts w:asci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Pr>
          <w:p>
            <w:pPr>
              <w:spacing w:line="400" w:lineRule="exact"/>
              <w:jc w:val="center"/>
              <w:rPr>
                <w:rFonts w:ascii="宋体"/>
                <w:sz w:val="22"/>
                <w:szCs w:val="22"/>
              </w:rPr>
            </w:pPr>
            <w:r>
              <w:rPr>
                <w:rFonts w:hint="eastAsia" w:ascii="宋体"/>
                <w:sz w:val="22"/>
                <w:szCs w:val="22"/>
              </w:rPr>
              <w:t>四档</w:t>
            </w:r>
          </w:p>
        </w:tc>
        <w:tc>
          <w:tcPr>
            <w:tcW w:w="2651" w:type="dxa"/>
          </w:tcPr>
          <w:p>
            <w:pPr>
              <w:spacing w:line="400" w:lineRule="exact"/>
              <w:jc w:val="center"/>
              <w:rPr>
                <w:rFonts w:ascii="宋体"/>
                <w:sz w:val="22"/>
                <w:szCs w:val="22"/>
              </w:rPr>
            </w:pPr>
            <w:r>
              <w:rPr>
                <w:rFonts w:hint="eastAsia" w:ascii="宋体"/>
                <w:sz w:val="22"/>
                <w:szCs w:val="22"/>
              </w:rPr>
              <w:t>80（含）-85（不含）</w:t>
            </w:r>
          </w:p>
        </w:tc>
        <w:tc>
          <w:tcPr>
            <w:tcW w:w="3105" w:type="dxa"/>
          </w:tcPr>
          <w:p>
            <w:pPr>
              <w:spacing w:line="400" w:lineRule="exact"/>
              <w:jc w:val="center"/>
              <w:rPr>
                <w:rFonts w:ascii="宋体"/>
                <w:sz w:val="22"/>
                <w:szCs w:val="22"/>
              </w:rPr>
            </w:pPr>
            <w:r>
              <w:rPr>
                <w:rFonts w:hint="eastAsia" w:ascii="宋体"/>
                <w:sz w:val="22"/>
                <w:szCs w:val="22"/>
              </w:rPr>
              <w:t>当月实际养护合同价款的15%</w:t>
            </w:r>
          </w:p>
        </w:tc>
        <w:tc>
          <w:tcPr>
            <w:tcW w:w="1955" w:type="dxa"/>
          </w:tcPr>
          <w:p>
            <w:pPr>
              <w:spacing w:line="400" w:lineRule="exact"/>
              <w:jc w:val="center"/>
              <w:rPr>
                <w:rFonts w:asci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Pr>
          <w:p>
            <w:pPr>
              <w:spacing w:line="400" w:lineRule="exact"/>
              <w:jc w:val="center"/>
              <w:rPr>
                <w:rFonts w:ascii="宋体"/>
                <w:sz w:val="22"/>
                <w:szCs w:val="22"/>
              </w:rPr>
            </w:pPr>
            <w:r>
              <w:rPr>
                <w:rFonts w:hint="eastAsia" w:ascii="宋体"/>
                <w:sz w:val="22"/>
                <w:szCs w:val="22"/>
              </w:rPr>
              <w:t>五档</w:t>
            </w:r>
          </w:p>
        </w:tc>
        <w:tc>
          <w:tcPr>
            <w:tcW w:w="2651" w:type="dxa"/>
          </w:tcPr>
          <w:p>
            <w:pPr>
              <w:spacing w:line="400" w:lineRule="exact"/>
              <w:jc w:val="center"/>
              <w:rPr>
                <w:rFonts w:ascii="宋体"/>
                <w:sz w:val="22"/>
                <w:szCs w:val="22"/>
              </w:rPr>
            </w:pPr>
            <w:r>
              <w:rPr>
                <w:rFonts w:hint="eastAsia" w:ascii="宋体"/>
                <w:sz w:val="22"/>
                <w:szCs w:val="22"/>
              </w:rPr>
              <w:t>80以下</w:t>
            </w:r>
          </w:p>
        </w:tc>
        <w:tc>
          <w:tcPr>
            <w:tcW w:w="3105" w:type="dxa"/>
          </w:tcPr>
          <w:p>
            <w:pPr>
              <w:spacing w:line="400" w:lineRule="exact"/>
              <w:jc w:val="center"/>
              <w:rPr>
                <w:rFonts w:ascii="宋体"/>
                <w:sz w:val="22"/>
                <w:szCs w:val="22"/>
              </w:rPr>
            </w:pPr>
            <w:r>
              <w:rPr>
                <w:rFonts w:hint="eastAsia" w:ascii="宋体"/>
                <w:sz w:val="22"/>
                <w:szCs w:val="22"/>
              </w:rPr>
              <w:t>当月实际养护合同价款的30%</w:t>
            </w:r>
          </w:p>
        </w:tc>
        <w:tc>
          <w:tcPr>
            <w:tcW w:w="1955" w:type="dxa"/>
          </w:tcPr>
          <w:p>
            <w:pPr>
              <w:spacing w:line="400" w:lineRule="exact"/>
              <w:jc w:val="center"/>
              <w:rPr>
                <w:rFonts w:ascii="宋体"/>
                <w:sz w:val="22"/>
                <w:szCs w:val="22"/>
              </w:rPr>
            </w:pPr>
            <w:r>
              <w:rPr>
                <w:rFonts w:hint="eastAsia" w:ascii="宋体"/>
                <w:sz w:val="22"/>
                <w:szCs w:val="22"/>
              </w:rPr>
              <w:t>发书面通知书以示警告</w:t>
            </w:r>
          </w:p>
        </w:tc>
      </w:tr>
    </w:tbl>
    <w:p>
      <w:pPr>
        <w:numPr>
          <w:ilvl w:val="0"/>
          <w:numId w:val="3"/>
        </w:numPr>
        <w:spacing w:line="400" w:lineRule="exact"/>
        <w:ind w:left="530"/>
        <w:rPr>
          <w:rFonts w:ascii="宋体"/>
          <w:sz w:val="22"/>
          <w:szCs w:val="22"/>
        </w:rPr>
      </w:pPr>
      <w:r>
        <w:rPr>
          <w:rFonts w:hint="eastAsia" w:ascii="宋体"/>
          <w:sz w:val="22"/>
          <w:szCs w:val="22"/>
        </w:rPr>
        <w:t>日常抽查考核：业主单位将根据《园林绿化养护考核评分细则》进行不限次数的日常考核（满分100）。每次日常抽查内容为公园一座、道路绿化一条。</w:t>
      </w:r>
    </w:p>
    <w:p>
      <w:pPr>
        <w:numPr>
          <w:ilvl w:val="0"/>
          <w:numId w:val="3"/>
        </w:numPr>
        <w:spacing w:line="400" w:lineRule="exact"/>
        <w:ind w:left="530"/>
        <w:rPr>
          <w:rFonts w:ascii="宋体"/>
          <w:b/>
          <w:bCs/>
          <w:sz w:val="22"/>
          <w:szCs w:val="22"/>
          <w:highlight w:val="none"/>
        </w:rPr>
      </w:pPr>
      <w:r>
        <w:rPr>
          <w:rFonts w:hint="eastAsia" w:ascii="宋体"/>
          <w:b/>
          <w:bCs/>
          <w:sz w:val="22"/>
          <w:szCs w:val="22"/>
          <w:highlight w:val="none"/>
        </w:rPr>
        <w:t>奖惩方法包括：</w:t>
      </w:r>
    </w:p>
    <w:p>
      <w:pPr>
        <w:widowControl/>
        <w:tabs>
          <w:tab w:val="left" w:pos="1170"/>
          <w:tab w:val="left" w:pos="1620"/>
        </w:tabs>
        <w:spacing w:line="480" w:lineRule="exact"/>
        <w:ind w:firstLine="442" w:firstLineChars="200"/>
        <w:rPr>
          <w:b/>
          <w:bCs/>
          <w:color w:val="000000" w:themeColor="text1"/>
          <w:sz w:val="22"/>
          <w:szCs w:val="22"/>
          <w:highlight w:val="none"/>
          <w14:textFill>
            <w14:solidFill>
              <w14:schemeClr w14:val="tx1"/>
            </w14:solidFill>
          </w14:textFill>
        </w:rPr>
      </w:pPr>
      <w:r>
        <w:rPr>
          <w:rFonts w:hint="eastAsia"/>
          <w:b/>
          <w:bCs/>
          <w:color w:val="000000" w:themeColor="text1"/>
          <w:sz w:val="22"/>
          <w:szCs w:val="22"/>
          <w:highlight w:val="none"/>
          <w14:textFill>
            <w14:solidFill>
              <w14:schemeClr w14:val="tx1"/>
            </w14:solidFill>
          </w14:textFill>
        </w:rPr>
        <w:t>1） 在规定时间内完成标段内乔木（行道树、绿地内的乔木、亚桥）刷白工作，要求刷白均匀，刷白高度约1.1米，未完成的，扣除当月养护经费的10%；</w:t>
      </w:r>
    </w:p>
    <w:p>
      <w:pPr>
        <w:widowControl/>
        <w:tabs>
          <w:tab w:val="left" w:pos="1170"/>
          <w:tab w:val="left" w:pos="1620"/>
        </w:tabs>
        <w:spacing w:line="480" w:lineRule="exact"/>
        <w:ind w:firstLine="442" w:firstLineChars="200"/>
        <w:rPr>
          <w:b/>
          <w:bCs/>
          <w:color w:val="000000" w:themeColor="text1"/>
          <w:sz w:val="22"/>
          <w:szCs w:val="22"/>
          <w:highlight w:val="none"/>
          <w14:textFill>
            <w14:solidFill>
              <w14:schemeClr w14:val="tx1"/>
            </w14:solidFill>
          </w14:textFill>
        </w:rPr>
      </w:pPr>
      <w:r>
        <w:rPr>
          <w:rFonts w:hint="eastAsia"/>
          <w:b/>
          <w:bCs/>
          <w:color w:val="000000" w:themeColor="text1"/>
          <w:sz w:val="22"/>
          <w:szCs w:val="22"/>
          <w:highlight w:val="none"/>
          <w14:textFill>
            <w14:solidFill>
              <w14:schemeClr w14:val="tx1"/>
            </w14:solidFill>
          </w14:textFill>
        </w:rPr>
        <w:t>2） 对中队辖区范围内巡查发现的问题，养护单位逾期未整改及回复的每次扣除养护费200元；在规定时间内再次未整改扣除养护经费400元；对当月合计同一个问题累计三次以上（不含），额外扣除该标段养护经费1000元。</w:t>
      </w:r>
    </w:p>
    <w:p>
      <w:pPr>
        <w:pStyle w:val="22"/>
        <w:spacing w:before="0" w:beforeAutospacing="0" w:after="0" w:afterAutospacing="0" w:line="480" w:lineRule="exact"/>
        <w:ind w:firstLine="451" w:firstLineChars="204"/>
        <w:jc w:val="both"/>
        <w:rPr>
          <w:b/>
          <w:bCs/>
          <w:color w:val="000000" w:themeColor="text1"/>
          <w:sz w:val="22"/>
          <w:szCs w:val="22"/>
          <w:highlight w:val="none"/>
          <w14:textFill>
            <w14:solidFill>
              <w14:schemeClr w14:val="tx1"/>
            </w14:solidFill>
          </w14:textFill>
        </w:rPr>
      </w:pPr>
      <w:r>
        <w:rPr>
          <w:rFonts w:hint="eastAsia"/>
          <w:b/>
          <w:bCs/>
          <w:color w:val="000000" w:themeColor="text1"/>
          <w:sz w:val="22"/>
          <w:szCs w:val="22"/>
          <w:highlight w:val="none"/>
          <w14:textFill>
            <w14:solidFill>
              <w14:schemeClr w14:val="tx1"/>
            </w14:solidFill>
          </w14:textFill>
        </w:rPr>
        <w:t>3） 因养护企业养护不当，在节假日期间以及省市重大活动期间发送督办单，每张扣除2000元；在全国性创建活动中失分的，扣除相关绿地养护企业该标段的履约保证金及该绿地当月养护经费。</w:t>
      </w:r>
    </w:p>
    <w:p>
      <w:pPr>
        <w:pStyle w:val="22"/>
        <w:spacing w:before="0" w:beforeAutospacing="0" w:after="0" w:afterAutospacing="0" w:line="480" w:lineRule="exact"/>
        <w:ind w:firstLine="451" w:firstLineChars="204"/>
        <w:jc w:val="both"/>
        <w:rPr>
          <w:b/>
          <w:bCs/>
          <w:color w:val="000000" w:themeColor="text1"/>
          <w:sz w:val="22"/>
          <w:szCs w:val="22"/>
          <w:highlight w:val="none"/>
          <w14:textFill>
            <w14:solidFill>
              <w14:schemeClr w14:val="tx1"/>
            </w14:solidFill>
          </w14:textFill>
        </w:rPr>
      </w:pPr>
      <w:r>
        <w:rPr>
          <w:rFonts w:hint="eastAsia"/>
          <w:b/>
          <w:bCs/>
          <w:color w:val="000000" w:themeColor="text1"/>
          <w:sz w:val="22"/>
          <w:szCs w:val="22"/>
          <w:highlight w:val="none"/>
          <w14:textFill>
            <w14:solidFill>
              <w14:schemeClr w14:val="tx1"/>
            </w14:solidFill>
          </w14:textFill>
        </w:rPr>
        <w:t>4） 对于县文明办、数字城管等部门派遣问题未在规定时间内整改完毕或整改后未及时回复的，每个扣除养护费1000元。同一问题因整改不到位返工的每个扣除养护费2000元。同一案卷造成二次返工的，扣除该标段月度养护经费的1%。</w:t>
      </w:r>
    </w:p>
    <w:p>
      <w:pPr>
        <w:pStyle w:val="22"/>
        <w:spacing w:before="0" w:beforeAutospacing="0" w:after="0" w:afterAutospacing="0" w:line="480" w:lineRule="exact"/>
        <w:ind w:firstLine="451" w:firstLineChars="204"/>
        <w:jc w:val="both"/>
        <w:rPr>
          <w:b/>
          <w:bCs/>
          <w:sz w:val="22"/>
          <w:szCs w:val="22"/>
          <w:highlight w:val="none"/>
        </w:rPr>
      </w:pPr>
      <w:r>
        <w:rPr>
          <w:rFonts w:hint="eastAsia"/>
          <w:b/>
          <w:bCs/>
          <w:color w:val="000000" w:themeColor="text1"/>
          <w:sz w:val="22"/>
          <w:szCs w:val="22"/>
          <w:highlight w:val="none"/>
          <w14:textFill>
            <w14:solidFill>
              <w14:schemeClr w14:val="tx1"/>
            </w14:solidFill>
          </w14:textFill>
        </w:rPr>
        <w:t>5）</w:t>
      </w:r>
      <w:r>
        <w:rPr>
          <w:rFonts w:hint="eastAsia"/>
          <w:b/>
          <w:bCs/>
          <w:sz w:val="22"/>
          <w:szCs w:val="22"/>
          <w:highlight w:val="none"/>
        </w:rPr>
        <w:t xml:space="preserve"> 对标段内所发生的违章占绿或毁绿现象未及时上报或处置不及时的，发现一处扣除养护费500元；未按时完成上级有关部门布置的专项养护工作任务，一次扣除养护费2000元。</w:t>
      </w:r>
    </w:p>
    <w:p>
      <w:pPr>
        <w:pStyle w:val="22"/>
        <w:spacing w:before="0" w:beforeAutospacing="0" w:after="0" w:afterAutospacing="0" w:line="480" w:lineRule="exact"/>
        <w:ind w:firstLine="451" w:firstLineChars="204"/>
        <w:jc w:val="both"/>
        <w:rPr>
          <w:b/>
          <w:bCs/>
          <w:sz w:val="22"/>
          <w:szCs w:val="22"/>
          <w:highlight w:val="none"/>
        </w:rPr>
      </w:pPr>
      <w:r>
        <w:rPr>
          <w:rFonts w:hint="eastAsia"/>
          <w:b/>
          <w:bCs/>
          <w:color w:val="000000" w:themeColor="text1"/>
          <w:sz w:val="22"/>
          <w:szCs w:val="22"/>
          <w:highlight w:val="none"/>
          <w14:textFill>
            <w14:solidFill>
              <w14:schemeClr w14:val="tx1"/>
            </w14:solidFill>
          </w14:textFill>
        </w:rPr>
        <w:t>6）</w:t>
      </w:r>
      <w:r>
        <w:rPr>
          <w:rFonts w:hint="eastAsia"/>
          <w:b/>
          <w:bCs/>
          <w:sz w:val="22"/>
          <w:szCs w:val="22"/>
          <w:highlight w:val="none"/>
        </w:rPr>
        <w:t xml:space="preserve"> 城区绿化养护项目中，项目负责人每月到岗不少于四天，每标段两名现场管理员每月到岗不少于二十二天，要求按时提交签到表。</w:t>
      </w:r>
    </w:p>
    <w:p>
      <w:pPr>
        <w:pStyle w:val="22"/>
        <w:spacing w:before="0" w:beforeAutospacing="0" w:after="0" w:afterAutospacing="0" w:line="480" w:lineRule="exact"/>
        <w:ind w:firstLine="451" w:firstLineChars="204"/>
        <w:jc w:val="both"/>
        <w:rPr>
          <w:b/>
          <w:bCs/>
          <w:sz w:val="22"/>
          <w:szCs w:val="22"/>
          <w:highlight w:val="none"/>
        </w:rPr>
      </w:pPr>
      <w:r>
        <w:rPr>
          <w:rFonts w:hint="eastAsia"/>
          <w:b/>
          <w:bCs/>
          <w:color w:val="000000" w:themeColor="text1"/>
          <w:sz w:val="22"/>
          <w:szCs w:val="22"/>
          <w:highlight w:val="none"/>
          <w14:textFill>
            <w14:solidFill>
              <w14:schemeClr w14:val="tx1"/>
            </w14:solidFill>
          </w14:textFill>
        </w:rPr>
        <w:t>7）</w:t>
      </w:r>
      <w:r>
        <w:rPr>
          <w:rFonts w:hint="eastAsia"/>
          <w:b/>
          <w:bCs/>
          <w:sz w:val="22"/>
          <w:szCs w:val="22"/>
          <w:highlight w:val="none"/>
        </w:rPr>
        <w:t xml:space="preserve"> 项目负责人如果出现当月到岗天数不足四天，扣除该标段当月养护经费；累计出现两次（含两次），扣除两个月养护经费，并终止养护合同，同时记录该项目评价为不合格。</w:t>
      </w:r>
    </w:p>
    <w:p>
      <w:pPr>
        <w:pStyle w:val="22"/>
        <w:spacing w:before="0" w:beforeAutospacing="0" w:after="0" w:afterAutospacing="0" w:line="480" w:lineRule="exact"/>
        <w:ind w:firstLine="451" w:firstLineChars="204"/>
        <w:jc w:val="both"/>
        <w:rPr>
          <w:b/>
          <w:bCs/>
          <w:sz w:val="22"/>
          <w:szCs w:val="22"/>
          <w:highlight w:val="none"/>
        </w:rPr>
      </w:pPr>
      <w:r>
        <w:rPr>
          <w:rFonts w:hint="eastAsia"/>
          <w:b/>
          <w:bCs/>
          <w:color w:val="000000" w:themeColor="text1"/>
          <w:sz w:val="22"/>
          <w:szCs w:val="22"/>
          <w:highlight w:val="none"/>
          <w14:textFill>
            <w14:solidFill>
              <w14:schemeClr w14:val="tx1"/>
            </w14:solidFill>
          </w14:textFill>
        </w:rPr>
        <w:t>8）</w:t>
      </w:r>
      <w:r>
        <w:rPr>
          <w:rFonts w:hint="eastAsia"/>
          <w:b/>
          <w:bCs/>
          <w:sz w:val="22"/>
          <w:szCs w:val="22"/>
          <w:highlight w:val="none"/>
        </w:rPr>
        <w:t xml:space="preserve"> 标段内现场管理人员，每月缺勤一天，扣除当月养护费500元，缺勤两天，扣除当月养护费1000元，缺勤三天，扣除当月养护费2000元，以此倍数增加，扣完本标段本季度养护费为止。现场管理人员轮休期间，养护企业可指派其他现场管理人员代为管理。</w:t>
      </w:r>
    </w:p>
    <w:p>
      <w:pPr>
        <w:pStyle w:val="22"/>
        <w:spacing w:before="0" w:beforeAutospacing="0" w:after="0" w:afterAutospacing="0" w:line="480" w:lineRule="exact"/>
        <w:ind w:firstLine="451" w:firstLineChars="204"/>
        <w:jc w:val="both"/>
        <w:rPr>
          <w:b/>
          <w:bCs/>
          <w:sz w:val="22"/>
          <w:szCs w:val="22"/>
          <w:highlight w:val="none"/>
        </w:rPr>
      </w:pPr>
      <w:r>
        <w:rPr>
          <w:rFonts w:hint="eastAsia"/>
          <w:b/>
          <w:bCs/>
          <w:color w:val="000000" w:themeColor="text1"/>
          <w:sz w:val="22"/>
          <w:szCs w:val="22"/>
          <w:highlight w:val="none"/>
          <w14:textFill>
            <w14:solidFill>
              <w14:schemeClr w14:val="tx1"/>
            </w14:solidFill>
          </w14:textFill>
        </w:rPr>
        <w:t>9）</w:t>
      </w:r>
      <w:r>
        <w:rPr>
          <w:rFonts w:hint="eastAsia"/>
          <w:b/>
          <w:bCs/>
          <w:sz w:val="22"/>
          <w:szCs w:val="22"/>
          <w:highlight w:val="none"/>
        </w:rPr>
        <w:t xml:space="preserve"> 在绿地标段养护工作中，因养护不当，被上级部门点名批评或批示件的每次扣除养护费3000元，逾期未落实整改的每次扣除养护费5000元。</w:t>
      </w:r>
    </w:p>
    <w:p>
      <w:pPr>
        <w:pStyle w:val="22"/>
        <w:spacing w:before="0" w:beforeAutospacing="0" w:after="0" w:afterAutospacing="0" w:line="480" w:lineRule="exact"/>
        <w:ind w:firstLine="451" w:firstLineChars="204"/>
        <w:jc w:val="both"/>
        <w:rPr>
          <w:b/>
          <w:bCs/>
          <w:sz w:val="22"/>
          <w:szCs w:val="22"/>
          <w:highlight w:val="none"/>
        </w:rPr>
      </w:pPr>
      <w:r>
        <w:rPr>
          <w:rFonts w:hint="eastAsia"/>
          <w:b/>
          <w:bCs/>
          <w:color w:val="000000" w:themeColor="text1"/>
          <w:sz w:val="22"/>
          <w:szCs w:val="22"/>
          <w:highlight w:val="none"/>
          <w14:textFill>
            <w14:solidFill>
              <w14:schemeClr w14:val="tx1"/>
            </w14:solidFill>
          </w14:textFill>
        </w:rPr>
        <w:t>10）</w:t>
      </w:r>
      <w:r>
        <w:rPr>
          <w:rFonts w:hint="eastAsia"/>
          <w:b/>
          <w:bCs/>
          <w:sz w:val="22"/>
          <w:szCs w:val="22"/>
          <w:highlight w:val="none"/>
        </w:rPr>
        <w:t xml:space="preserve"> 因责任事故被区级问责或区级媒体曝光的，每次扣除养护费10000元；被市级问责或市级媒体曝光的，每次扣除养护费20000元；被省级问责或省级媒体曝光的，每次扣除养护费30000元；</w:t>
      </w:r>
    </w:p>
    <w:p>
      <w:pPr>
        <w:widowControl/>
        <w:tabs>
          <w:tab w:val="left" w:pos="1170"/>
          <w:tab w:val="left" w:pos="1620"/>
        </w:tabs>
        <w:spacing w:line="480" w:lineRule="exact"/>
        <w:ind w:firstLine="442" w:firstLineChars="200"/>
        <w:rPr>
          <w:b/>
          <w:bCs/>
          <w:sz w:val="22"/>
          <w:szCs w:val="22"/>
          <w:highlight w:val="none"/>
        </w:rPr>
      </w:pPr>
      <w:r>
        <w:rPr>
          <w:rFonts w:hint="eastAsia"/>
          <w:b/>
          <w:bCs/>
          <w:color w:val="000000" w:themeColor="text1"/>
          <w:sz w:val="22"/>
          <w:szCs w:val="22"/>
          <w:highlight w:val="none"/>
          <w14:textFill>
            <w14:solidFill>
              <w14:schemeClr w14:val="tx1"/>
            </w14:solidFill>
          </w14:textFill>
        </w:rPr>
        <w:t>11）</w:t>
      </w:r>
      <w:r>
        <w:rPr>
          <w:rFonts w:hint="eastAsia"/>
          <w:b/>
          <w:bCs/>
          <w:sz w:val="22"/>
          <w:szCs w:val="22"/>
          <w:highlight w:val="none"/>
        </w:rPr>
        <w:t xml:space="preserve"> 出现安全责任事故的，各相关责任主体除照国家法律法规承担各自的责任外，参照本办法对相关养护企业予以经济处罚，一般安全责任事故的，给予扣除相关养护企业履约保证金50%的处罚，并通报批评；较大安全责任事故的，给予扣除相关养护企业履约保证金75%的处罚，并通报批评；重大安全责任事故、特别重大安全责任事故的，给予扣除相关养护企业履约保证金100%的处罚，并通报批评，终止养护合同，并向相关部门通报。</w:t>
      </w:r>
    </w:p>
    <w:p>
      <w:pPr>
        <w:pStyle w:val="22"/>
        <w:spacing w:before="0" w:beforeAutospacing="0" w:after="0" w:afterAutospacing="0" w:line="480" w:lineRule="exact"/>
        <w:ind w:firstLine="451" w:firstLineChars="204"/>
        <w:jc w:val="both"/>
        <w:rPr>
          <w:b/>
          <w:bCs/>
          <w:color w:val="000000" w:themeColor="text1"/>
          <w:sz w:val="22"/>
          <w:szCs w:val="22"/>
          <w:highlight w:val="none"/>
          <w14:textFill>
            <w14:solidFill>
              <w14:schemeClr w14:val="tx1"/>
            </w14:solidFill>
          </w14:textFill>
        </w:rPr>
      </w:pPr>
      <w:r>
        <w:rPr>
          <w:rFonts w:hint="eastAsia"/>
          <w:b/>
          <w:bCs/>
          <w:color w:val="000000" w:themeColor="text1"/>
          <w:sz w:val="22"/>
          <w:szCs w:val="22"/>
          <w:highlight w:val="none"/>
          <w14:textFill>
            <w14:solidFill>
              <w14:schemeClr w14:val="tx1"/>
            </w14:solidFill>
          </w14:textFill>
        </w:rPr>
        <w:t>（3）代整治</w:t>
      </w:r>
    </w:p>
    <w:p>
      <w:pPr>
        <w:pStyle w:val="22"/>
        <w:spacing w:before="0" w:beforeAutospacing="0" w:after="0" w:afterAutospacing="0" w:line="480" w:lineRule="exact"/>
        <w:ind w:firstLine="451" w:firstLineChars="204"/>
        <w:jc w:val="both"/>
        <w:rPr>
          <w:b/>
          <w:bCs/>
          <w:sz w:val="22"/>
          <w:szCs w:val="22"/>
          <w:highlight w:val="none"/>
        </w:rPr>
      </w:pPr>
      <w:r>
        <w:rPr>
          <w:rFonts w:hint="eastAsia"/>
          <w:b/>
          <w:bCs/>
          <w:color w:val="000000" w:themeColor="text1"/>
          <w:sz w:val="22"/>
          <w:szCs w:val="22"/>
          <w:highlight w:val="none"/>
          <w14:textFill>
            <w14:solidFill>
              <w14:schemeClr w14:val="tx1"/>
            </w14:solidFill>
          </w14:textFill>
        </w:rPr>
        <w:t>1）</w:t>
      </w:r>
      <w:r>
        <w:rPr>
          <w:rFonts w:hint="eastAsia"/>
          <w:b/>
          <w:bCs/>
          <w:sz w:val="22"/>
          <w:szCs w:val="22"/>
          <w:highlight w:val="none"/>
        </w:rPr>
        <w:t xml:space="preserve"> 在绿地养护过程中因养护不到位造成黄土裸露、缺株、死株等同一个问题在经3次整改后，依然不到位的，将由甲方进行代整治。</w:t>
      </w:r>
    </w:p>
    <w:p>
      <w:pPr>
        <w:pStyle w:val="22"/>
        <w:spacing w:before="0" w:beforeAutospacing="0" w:after="0" w:afterAutospacing="0" w:line="480" w:lineRule="exact"/>
        <w:ind w:firstLine="451" w:firstLineChars="204"/>
        <w:jc w:val="both"/>
        <w:rPr>
          <w:b/>
          <w:bCs/>
          <w:sz w:val="22"/>
          <w:szCs w:val="22"/>
          <w:highlight w:val="none"/>
        </w:rPr>
      </w:pPr>
      <w:r>
        <w:rPr>
          <w:rFonts w:hint="eastAsia"/>
          <w:b/>
          <w:bCs/>
          <w:color w:val="000000" w:themeColor="text1"/>
          <w:sz w:val="22"/>
          <w:szCs w:val="22"/>
          <w:highlight w:val="none"/>
          <w14:textFill>
            <w14:solidFill>
              <w14:schemeClr w14:val="tx1"/>
            </w14:solidFill>
          </w14:textFill>
        </w:rPr>
        <w:t>2）</w:t>
      </w:r>
      <w:r>
        <w:rPr>
          <w:rFonts w:hint="eastAsia"/>
          <w:b/>
          <w:bCs/>
          <w:sz w:val="22"/>
          <w:szCs w:val="22"/>
          <w:highlight w:val="none"/>
        </w:rPr>
        <w:t xml:space="preserve"> 对于县文明办、数字城管部门部门派遣问题、督办件问题在规定时间内拒不整改的，将由</w:t>
      </w:r>
      <w:r>
        <w:rPr>
          <w:rFonts w:hint="eastAsia"/>
          <w:b/>
          <w:bCs/>
          <w:sz w:val="22"/>
          <w:szCs w:val="22"/>
          <w:highlight w:val="none"/>
          <w:lang w:eastAsia="zh-CN"/>
        </w:rPr>
        <w:t>甲方</w:t>
      </w:r>
      <w:r>
        <w:rPr>
          <w:rFonts w:hint="eastAsia"/>
          <w:b/>
          <w:bCs/>
          <w:sz w:val="22"/>
          <w:szCs w:val="22"/>
          <w:highlight w:val="none"/>
        </w:rPr>
        <w:t>进行代整治。</w:t>
      </w:r>
    </w:p>
    <w:p>
      <w:pPr>
        <w:pStyle w:val="22"/>
        <w:spacing w:before="0" w:beforeAutospacing="0" w:after="0" w:afterAutospacing="0" w:line="480" w:lineRule="exact"/>
        <w:ind w:firstLine="451" w:firstLineChars="204"/>
        <w:jc w:val="both"/>
        <w:rPr>
          <w:b/>
          <w:bCs/>
          <w:sz w:val="22"/>
          <w:szCs w:val="22"/>
          <w:highlight w:val="none"/>
        </w:rPr>
      </w:pPr>
      <w:r>
        <w:rPr>
          <w:rFonts w:hint="eastAsia"/>
          <w:b/>
          <w:bCs/>
          <w:color w:val="000000" w:themeColor="text1"/>
          <w:sz w:val="22"/>
          <w:szCs w:val="22"/>
          <w:highlight w:val="none"/>
          <w14:textFill>
            <w14:solidFill>
              <w14:schemeClr w14:val="tx1"/>
            </w14:solidFill>
          </w14:textFill>
        </w:rPr>
        <w:t>3）甲方</w:t>
      </w:r>
      <w:r>
        <w:rPr>
          <w:rFonts w:hint="eastAsia"/>
          <w:b/>
          <w:bCs/>
          <w:sz w:val="22"/>
          <w:szCs w:val="22"/>
          <w:highlight w:val="none"/>
        </w:rPr>
        <w:t>根据实际测算代整治费用，在养护经费中直接扣除。</w:t>
      </w:r>
    </w:p>
    <w:p>
      <w:pPr>
        <w:pStyle w:val="22"/>
        <w:spacing w:before="0" w:beforeAutospacing="0" w:after="0" w:afterAutospacing="0" w:line="480" w:lineRule="exact"/>
        <w:ind w:firstLine="451" w:firstLineChars="204"/>
        <w:jc w:val="both"/>
        <w:rPr>
          <w:b/>
          <w:bCs/>
          <w:sz w:val="22"/>
          <w:szCs w:val="22"/>
          <w:highlight w:val="none"/>
        </w:rPr>
      </w:pPr>
      <w:r>
        <w:rPr>
          <w:rFonts w:hint="eastAsia"/>
          <w:b/>
          <w:bCs/>
          <w:color w:val="000000" w:themeColor="text1"/>
          <w:sz w:val="22"/>
          <w:szCs w:val="22"/>
          <w:highlight w:val="none"/>
          <w14:textFill>
            <w14:solidFill>
              <w14:schemeClr w14:val="tx1"/>
            </w14:solidFill>
          </w14:textFill>
        </w:rPr>
        <w:t>4）</w:t>
      </w:r>
      <w:r>
        <w:rPr>
          <w:rFonts w:hint="eastAsia"/>
          <w:b/>
          <w:bCs/>
          <w:sz w:val="22"/>
          <w:szCs w:val="22"/>
          <w:highlight w:val="none"/>
        </w:rPr>
        <w:t xml:space="preserve"> 在试用期或在合同期如果有养护企业解除合同，该标段养护任务由甲方</w:t>
      </w:r>
      <w:r>
        <w:rPr>
          <w:rFonts w:hint="eastAsia"/>
          <w:b/>
          <w:bCs/>
          <w:sz w:val="22"/>
          <w:szCs w:val="22"/>
          <w:highlight w:val="none"/>
          <w:lang w:eastAsia="zh-CN"/>
        </w:rPr>
        <w:t>代</w:t>
      </w:r>
      <w:r>
        <w:rPr>
          <w:rFonts w:hint="eastAsia"/>
          <w:b/>
          <w:bCs/>
          <w:sz w:val="22"/>
          <w:szCs w:val="22"/>
          <w:highlight w:val="none"/>
        </w:rPr>
        <w:t>为养护至重新招投标进场为止。</w:t>
      </w:r>
    </w:p>
    <w:p>
      <w:pPr>
        <w:pStyle w:val="11"/>
        <w:numPr>
          <w:ilvl w:val="255"/>
          <w:numId w:val="0"/>
        </w:numPr>
        <w:ind w:firstLine="442" w:firstLineChars="200"/>
        <w:rPr>
          <w:b/>
          <w:bCs/>
          <w:highlight w:val="none"/>
        </w:rPr>
      </w:pPr>
      <w:r>
        <w:rPr>
          <w:rFonts w:hint="eastAsia" w:ascii="宋体"/>
          <w:b/>
          <w:bCs/>
          <w:sz w:val="22"/>
          <w:szCs w:val="22"/>
          <w:highlight w:val="none"/>
        </w:rPr>
        <w:t xml:space="preserve"> （4）月度考核得分低于80分的，由业主单位责令其限期改正，并发书面通知书以示警告；乙方全年有二次被警告的，发包人有权单方面终止合同，并没收履约保证金，由此引起的一切损失由承包人自行承担。</w:t>
      </w:r>
    </w:p>
    <w:p>
      <w:pPr>
        <w:spacing w:line="400" w:lineRule="exact"/>
        <w:rPr>
          <w:rFonts w:ascii="宋体"/>
          <w:sz w:val="22"/>
          <w:szCs w:val="22"/>
        </w:rPr>
      </w:pPr>
      <w:r>
        <w:rPr>
          <w:rFonts w:hint="eastAsia" w:ascii="宋体"/>
          <w:sz w:val="22"/>
          <w:szCs w:val="22"/>
        </w:rPr>
        <w:t xml:space="preserve">    （二）年终考核：</w:t>
      </w:r>
    </w:p>
    <w:p>
      <w:pPr>
        <w:spacing w:line="400" w:lineRule="exact"/>
        <w:rPr>
          <w:rFonts w:ascii="宋体"/>
          <w:sz w:val="22"/>
          <w:szCs w:val="22"/>
        </w:rPr>
      </w:pPr>
      <w:r>
        <w:rPr>
          <w:rFonts w:hint="eastAsia" w:ascii="宋体"/>
          <w:sz w:val="22"/>
          <w:szCs w:val="22"/>
        </w:rPr>
        <w:t xml:space="preserve">     计算公式：</w:t>
      </w:r>
    </w:p>
    <w:p>
      <w:pPr>
        <w:spacing w:line="400" w:lineRule="exact"/>
        <w:rPr>
          <w:rFonts w:ascii="宋体"/>
          <w:sz w:val="22"/>
          <w:szCs w:val="22"/>
        </w:rPr>
      </w:pPr>
      <w:r>
        <w:rPr>
          <w:rFonts w:hint="eastAsia" w:ascii="宋体"/>
          <w:b/>
          <w:bCs/>
          <w:sz w:val="22"/>
          <w:szCs w:val="22"/>
        </w:rPr>
        <w:drawing>
          <wp:anchor distT="0" distB="0" distL="114300" distR="114300" simplePos="0" relativeHeight="251659264" behindDoc="0" locked="0" layoutInCell="1" allowOverlap="1">
            <wp:simplePos x="0" y="0"/>
            <wp:positionH relativeFrom="column">
              <wp:posOffset>932180</wp:posOffset>
            </wp:positionH>
            <wp:positionV relativeFrom="paragraph">
              <wp:posOffset>58420</wp:posOffset>
            </wp:positionV>
            <wp:extent cx="3927475" cy="200025"/>
            <wp:effectExtent l="0" t="0" r="0" b="8890"/>
            <wp:wrapNone/>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17"/>
                    <a:stretch>
                      <a:fillRect/>
                    </a:stretch>
                  </pic:blipFill>
                  <pic:spPr>
                    <a:xfrm>
                      <a:off x="0" y="0"/>
                      <a:ext cx="3927475" cy="200025"/>
                    </a:xfrm>
                    <a:prstGeom prst="rect">
                      <a:avLst/>
                    </a:prstGeom>
                    <a:noFill/>
                    <a:ln>
                      <a:noFill/>
                    </a:ln>
                  </pic:spPr>
                </pic:pic>
              </a:graphicData>
            </a:graphic>
          </wp:anchor>
        </w:drawing>
      </w:r>
      <w:r>
        <w:rPr>
          <w:rFonts w:hint="eastAsia" w:ascii="宋体"/>
          <w:sz w:val="22"/>
          <w:szCs w:val="22"/>
        </w:rPr>
        <w:t xml:space="preserve">                </w:t>
      </w:r>
    </w:p>
    <w:p>
      <w:pPr>
        <w:spacing w:line="400" w:lineRule="exact"/>
        <w:rPr>
          <w:rFonts w:ascii="宋体"/>
          <w:sz w:val="22"/>
          <w:szCs w:val="22"/>
        </w:rPr>
      </w:pPr>
      <w:r>
        <w:rPr>
          <w:rFonts w:hint="eastAsia" w:ascii="宋体"/>
          <w:sz w:val="22"/>
          <w:szCs w:val="22"/>
        </w:rPr>
        <w:t xml:space="preserve">    年度综合考评分（满分20分）由业主单位根据承包年的养护质量、工作管理、社会反响、重要活动应对等多方面进行综合考评给分。若年终考核得分低于80分，业主单位有权单方面终止合同，并没收履约保证金，由此引起的一切损失由承包人自行承担。</w:t>
      </w:r>
    </w:p>
    <w:p>
      <w:pPr>
        <w:widowControl/>
        <w:jc w:val="left"/>
        <w:rPr>
          <w:rFonts w:ascii="宋体"/>
          <w:sz w:val="22"/>
          <w:szCs w:val="22"/>
        </w:rPr>
      </w:pPr>
      <w:r>
        <w:rPr>
          <w:rFonts w:hint="eastAsia" w:ascii="宋体"/>
          <w:sz w:val="22"/>
          <w:szCs w:val="22"/>
        </w:rPr>
        <w:t>三、园林绿化养护考核评分细则：</w:t>
      </w:r>
    </w:p>
    <w:p>
      <w:pPr>
        <w:spacing w:line="360" w:lineRule="auto"/>
        <w:ind w:firstLine="107" w:firstLineChars="49"/>
        <w:rPr>
          <w:rFonts w:ascii="宋体"/>
          <w:sz w:val="22"/>
          <w:szCs w:val="22"/>
        </w:rPr>
      </w:pPr>
      <w:r>
        <w:rPr>
          <w:rFonts w:hint="eastAsia" w:ascii="宋体"/>
          <w:sz w:val="22"/>
          <w:szCs w:val="22"/>
        </w:rPr>
        <w:t>绿地名称：                           养护等级 ：                 考核月份：</w:t>
      </w:r>
    </w:p>
    <w:tbl>
      <w:tblPr>
        <w:tblStyle w:val="25"/>
        <w:tblW w:w="8836" w:type="dxa"/>
        <w:jc w:val="center"/>
        <w:tblLayout w:type="fixed"/>
        <w:tblCellMar>
          <w:top w:w="0" w:type="dxa"/>
          <w:left w:w="108" w:type="dxa"/>
          <w:bottom w:w="0" w:type="dxa"/>
          <w:right w:w="108" w:type="dxa"/>
        </w:tblCellMar>
      </w:tblPr>
      <w:tblGrid>
        <w:gridCol w:w="772"/>
        <w:gridCol w:w="3308"/>
        <w:gridCol w:w="711"/>
        <w:gridCol w:w="3339"/>
        <w:gridCol w:w="706"/>
      </w:tblGrid>
      <w:tr>
        <w:tblPrEx>
          <w:tblCellMar>
            <w:top w:w="0" w:type="dxa"/>
            <w:left w:w="108" w:type="dxa"/>
            <w:bottom w:w="0" w:type="dxa"/>
            <w:right w:w="108" w:type="dxa"/>
          </w:tblCellMar>
        </w:tblPrEx>
        <w:trPr>
          <w:trHeight w:val="316" w:hRule="atLeast"/>
          <w:jc w:val="center"/>
        </w:trPr>
        <w:tc>
          <w:tcPr>
            <w:tcW w:w="77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sz w:val="22"/>
                <w:szCs w:val="22"/>
              </w:rPr>
            </w:pPr>
            <w:r>
              <w:rPr>
                <w:rFonts w:hint="eastAsia" w:ascii="宋体"/>
                <w:sz w:val="22"/>
                <w:szCs w:val="22"/>
              </w:rPr>
              <w:t>序号</w:t>
            </w:r>
          </w:p>
        </w:tc>
        <w:tc>
          <w:tcPr>
            <w:tcW w:w="33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sz w:val="22"/>
                <w:szCs w:val="22"/>
              </w:rPr>
            </w:pPr>
            <w:r>
              <w:rPr>
                <w:rFonts w:hint="eastAsia" w:ascii="宋体"/>
                <w:sz w:val="22"/>
                <w:szCs w:val="22"/>
              </w:rPr>
              <w:t>考核标准</w:t>
            </w:r>
          </w:p>
        </w:tc>
        <w:tc>
          <w:tcPr>
            <w:tcW w:w="7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sz w:val="22"/>
                <w:szCs w:val="22"/>
              </w:rPr>
            </w:pPr>
            <w:r>
              <w:rPr>
                <w:rFonts w:hint="eastAsia" w:ascii="宋体"/>
                <w:sz w:val="22"/>
                <w:szCs w:val="22"/>
              </w:rPr>
              <w:t>标准分</w:t>
            </w:r>
          </w:p>
        </w:tc>
        <w:tc>
          <w:tcPr>
            <w:tcW w:w="333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sz w:val="22"/>
                <w:szCs w:val="22"/>
              </w:rPr>
            </w:pPr>
            <w:r>
              <w:rPr>
                <w:rFonts w:hint="eastAsia" w:ascii="宋体"/>
                <w:sz w:val="22"/>
                <w:szCs w:val="22"/>
              </w:rPr>
              <w:t>考核办法</w:t>
            </w:r>
          </w:p>
        </w:tc>
        <w:tc>
          <w:tcPr>
            <w:tcW w:w="70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sz w:val="22"/>
                <w:szCs w:val="22"/>
              </w:rPr>
            </w:pPr>
            <w:r>
              <w:rPr>
                <w:rFonts w:hint="eastAsia" w:ascii="宋体"/>
                <w:sz w:val="22"/>
                <w:szCs w:val="22"/>
              </w:rPr>
              <w:t>考核得分</w:t>
            </w:r>
          </w:p>
        </w:tc>
      </w:tr>
      <w:tr>
        <w:tblPrEx>
          <w:tblCellMar>
            <w:top w:w="0" w:type="dxa"/>
            <w:left w:w="108" w:type="dxa"/>
            <w:bottom w:w="0" w:type="dxa"/>
            <w:right w:w="108" w:type="dxa"/>
          </w:tblCellMar>
        </w:tblPrEx>
        <w:trPr>
          <w:trHeight w:val="316" w:hRule="atLeast"/>
          <w:jc w:val="center"/>
        </w:trPr>
        <w:tc>
          <w:tcPr>
            <w:tcW w:w="7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22"/>
                <w:szCs w:val="22"/>
              </w:rPr>
            </w:pPr>
          </w:p>
        </w:tc>
        <w:tc>
          <w:tcPr>
            <w:tcW w:w="3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22"/>
                <w:szCs w:val="22"/>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22"/>
                <w:szCs w:val="22"/>
              </w:rPr>
            </w:pPr>
          </w:p>
        </w:tc>
        <w:tc>
          <w:tcPr>
            <w:tcW w:w="33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22"/>
                <w:szCs w:val="22"/>
              </w:rPr>
            </w:pPr>
          </w:p>
        </w:tc>
        <w:tc>
          <w:tcPr>
            <w:tcW w:w="70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sz w:val="22"/>
                <w:szCs w:val="22"/>
              </w:rPr>
            </w:pPr>
          </w:p>
        </w:tc>
      </w:tr>
      <w:tr>
        <w:tblPrEx>
          <w:tblCellMar>
            <w:top w:w="0" w:type="dxa"/>
            <w:left w:w="108" w:type="dxa"/>
            <w:bottom w:w="0" w:type="dxa"/>
            <w:right w:w="108" w:type="dxa"/>
          </w:tblCellMar>
        </w:tblPrEx>
        <w:trPr>
          <w:trHeight w:val="737" w:hRule="atLeast"/>
          <w:jc w:val="center"/>
        </w:trPr>
        <w:tc>
          <w:tcPr>
            <w:tcW w:w="772" w:type="dxa"/>
            <w:vMerge w:val="restart"/>
            <w:tcBorders>
              <w:top w:val="nil"/>
              <w:left w:val="single" w:color="auto" w:sz="4" w:space="0"/>
              <w:right w:val="single" w:color="auto" w:sz="4" w:space="0"/>
            </w:tcBorders>
            <w:vAlign w:val="center"/>
          </w:tcPr>
          <w:p>
            <w:pPr>
              <w:widowControl/>
              <w:jc w:val="center"/>
              <w:rPr>
                <w:rFonts w:ascii="宋体"/>
                <w:sz w:val="22"/>
                <w:szCs w:val="22"/>
              </w:rPr>
            </w:pPr>
            <w:r>
              <w:rPr>
                <w:rFonts w:hint="eastAsia" w:ascii="宋体"/>
                <w:sz w:val="22"/>
                <w:szCs w:val="22"/>
              </w:rPr>
              <w:t>管理   (15分)</w:t>
            </w:r>
          </w:p>
        </w:tc>
        <w:tc>
          <w:tcPr>
            <w:tcW w:w="3308" w:type="dxa"/>
            <w:tcBorders>
              <w:top w:val="single" w:color="auto" w:sz="4" w:space="0"/>
              <w:left w:val="nil"/>
              <w:bottom w:val="single" w:color="auto" w:sz="4" w:space="0"/>
              <w:right w:val="single" w:color="000000" w:sz="4" w:space="0"/>
            </w:tcBorders>
            <w:vAlign w:val="center"/>
          </w:tcPr>
          <w:p>
            <w:pPr>
              <w:widowControl/>
              <w:jc w:val="left"/>
              <w:rPr>
                <w:rFonts w:ascii="宋体"/>
                <w:sz w:val="22"/>
                <w:szCs w:val="22"/>
              </w:rPr>
            </w:pPr>
            <w:r>
              <w:rPr>
                <w:rFonts w:hint="eastAsia" w:ascii="宋体"/>
                <w:sz w:val="22"/>
                <w:szCs w:val="22"/>
              </w:rPr>
              <w:t>按照养护管理标准规范操作。</w:t>
            </w:r>
          </w:p>
        </w:tc>
        <w:tc>
          <w:tcPr>
            <w:tcW w:w="711" w:type="dxa"/>
            <w:tcBorders>
              <w:top w:val="nil"/>
              <w:left w:val="nil"/>
              <w:bottom w:val="single" w:color="auto" w:sz="4" w:space="0"/>
              <w:right w:val="single" w:color="auto" w:sz="4" w:space="0"/>
            </w:tcBorders>
            <w:vAlign w:val="center"/>
          </w:tcPr>
          <w:p>
            <w:pPr>
              <w:widowControl/>
              <w:jc w:val="center"/>
              <w:rPr>
                <w:rFonts w:ascii="宋体"/>
                <w:sz w:val="22"/>
                <w:szCs w:val="22"/>
              </w:rPr>
            </w:pPr>
            <w:r>
              <w:rPr>
                <w:rFonts w:hint="eastAsia" w:ascii="宋体"/>
                <w:sz w:val="22"/>
                <w:szCs w:val="22"/>
              </w:rPr>
              <w:t>4</w:t>
            </w:r>
          </w:p>
        </w:tc>
        <w:tc>
          <w:tcPr>
            <w:tcW w:w="3339" w:type="dxa"/>
            <w:tcBorders>
              <w:top w:val="single" w:color="auto" w:sz="4" w:space="0"/>
              <w:left w:val="nil"/>
              <w:bottom w:val="single" w:color="auto" w:sz="4" w:space="0"/>
              <w:right w:val="single" w:color="auto" w:sz="4" w:space="0"/>
            </w:tcBorders>
            <w:vAlign w:val="center"/>
          </w:tcPr>
          <w:p>
            <w:pPr>
              <w:widowControl/>
              <w:jc w:val="left"/>
              <w:rPr>
                <w:rFonts w:ascii="宋体"/>
                <w:sz w:val="22"/>
                <w:szCs w:val="22"/>
              </w:rPr>
            </w:pPr>
            <w:r>
              <w:rPr>
                <w:rFonts w:hint="eastAsia" w:ascii="宋体"/>
                <w:sz w:val="22"/>
                <w:szCs w:val="22"/>
              </w:rPr>
              <w:t>未按管养标准规范操作扣1-4分。</w:t>
            </w:r>
          </w:p>
        </w:tc>
        <w:tc>
          <w:tcPr>
            <w:tcW w:w="706" w:type="dxa"/>
            <w:tcBorders>
              <w:top w:val="nil"/>
              <w:left w:val="single" w:color="auto" w:sz="4" w:space="0"/>
              <w:bottom w:val="single" w:color="auto" w:sz="4" w:space="0"/>
              <w:right w:val="single" w:color="auto" w:sz="4" w:space="0"/>
            </w:tcBorders>
            <w:vAlign w:val="center"/>
          </w:tcPr>
          <w:p>
            <w:pPr>
              <w:widowControl/>
              <w:jc w:val="left"/>
              <w:rPr>
                <w:rFonts w:ascii="宋体"/>
                <w:sz w:val="22"/>
                <w:szCs w:val="22"/>
              </w:rPr>
            </w:pPr>
            <w:r>
              <w:rPr>
                <w:rFonts w:hint="eastAsia" w:ascii="宋体"/>
                <w:sz w:val="22"/>
                <w:szCs w:val="22"/>
              </w:rPr>
              <w:t>　</w:t>
            </w:r>
          </w:p>
        </w:tc>
      </w:tr>
      <w:tr>
        <w:tblPrEx>
          <w:tblCellMar>
            <w:top w:w="0" w:type="dxa"/>
            <w:left w:w="108" w:type="dxa"/>
            <w:bottom w:w="0" w:type="dxa"/>
            <w:right w:w="108" w:type="dxa"/>
          </w:tblCellMar>
        </w:tblPrEx>
        <w:trPr>
          <w:trHeight w:val="731" w:hRule="atLeast"/>
          <w:jc w:val="center"/>
        </w:trPr>
        <w:tc>
          <w:tcPr>
            <w:tcW w:w="772" w:type="dxa"/>
            <w:vMerge w:val="continue"/>
            <w:tcBorders>
              <w:left w:val="single" w:color="auto" w:sz="4" w:space="0"/>
              <w:right w:val="single" w:color="auto" w:sz="4" w:space="0"/>
            </w:tcBorders>
            <w:vAlign w:val="center"/>
          </w:tcPr>
          <w:p>
            <w:pPr>
              <w:widowControl/>
              <w:jc w:val="left"/>
              <w:rPr>
                <w:rFonts w:ascii="宋体"/>
                <w:sz w:val="22"/>
                <w:szCs w:val="22"/>
              </w:rPr>
            </w:pPr>
          </w:p>
        </w:tc>
        <w:tc>
          <w:tcPr>
            <w:tcW w:w="3308" w:type="dxa"/>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sz w:val="22"/>
                <w:szCs w:val="22"/>
              </w:rPr>
            </w:pPr>
            <w:r>
              <w:rPr>
                <w:rFonts w:hint="eastAsia" w:ascii="宋体"/>
                <w:sz w:val="22"/>
                <w:szCs w:val="22"/>
              </w:rPr>
              <w:t>作业时间有效制止损坏园林设施、破坏花草树木的行为。</w:t>
            </w:r>
          </w:p>
        </w:tc>
        <w:tc>
          <w:tcPr>
            <w:tcW w:w="711" w:type="dxa"/>
            <w:tcBorders>
              <w:top w:val="nil"/>
              <w:left w:val="nil"/>
              <w:bottom w:val="single" w:color="auto" w:sz="4" w:space="0"/>
              <w:right w:val="single" w:color="auto" w:sz="4" w:space="0"/>
            </w:tcBorders>
            <w:vAlign w:val="center"/>
          </w:tcPr>
          <w:p>
            <w:pPr>
              <w:widowControl/>
              <w:spacing w:line="240" w:lineRule="exact"/>
              <w:jc w:val="center"/>
              <w:rPr>
                <w:rFonts w:ascii="宋体"/>
                <w:sz w:val="22"/>
                <w:szCs w:val="22"/>
              </w:rPr>
            </w:pPr>
            <w:r>
              <w:rPr>
                <w:rFonts w:hint="eastAsia" w:ascii="宋体"/>
                <w:sz w:val="22"/>
                <w:szCs w:val="22"/>
              </w:rPr>
              <w:t>3</w:t>
            </w:r>
          </w:p>
        </w:tc>
        <w:tc>
          <w:tcPr>
            <w:tcW w:w="3339"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sz w:val="22"/>
                <w:szCs w:val="22"/>
              </w:rPr>
            </w:pPr>
            <w:r>
              <w:rPr>
                <w:rFonts w:hint="eastAsia" w:ascii="宋体"/>
                <w:sz w:val="22"/>
                <w:szCs w:val="22"/>
              </w:rPr>
              <w:t>视情节每次扣1-3分。</w:t>
            </w:r>
          </w:p>
        </w:tc>
        <w:tc>
          <w:tcPr>
            <w:tcW w:w="706" w:type="dxa"/>
            <w:tcBorders>
              <w:top w:val="nil"/>
              <w:left w:val="single" w:color="auto" w:sz="4" w:space="0"/>
              <w:bottom w:val="single" w:color="auto" w:sz="4" w:space="0"/>
              <w:right w:val="single" w:color="auto" w:sz="4" w:space="0"/>
            </w:tcBorders>
            <w:vAlign w:val="center"/>
          </w:tcPr>
          <w:p>
            <w:pPr>
              <w:widowControl/>
              <w:jc w:val="left"/>
              <w:rPr>
                <w:rFonts w:ascii="宋体"/>
                <w:sz w:val="22"/>
                <w:szCs w:val="22"/>
              </w:rPr>
            </w:pPr>
          </w:p>
        </w:tc>
      </w:tr>
      <w:tr>
        <w:tblPrEx>
          <w:tblCellMar>
            <w:top w:w="0" w:type="dxa"/>
            <w:left w:w="108" w:type="dxa"/>
            <w:bottom w:w="0" w:type="dxa"/>
            <w:right w:w="108" w:type="dxa"/>
          </w:tblCellMar>
        </w:tblPrEx>
        <w:trPr>
          <w:trHeight w:val="731" w:hRule="atLeast"/>
          <w:jc w:val="center"/>
        </w:trPr>
        <w:tc>
          <w:tcPr>
            <w:tcW w:w="772" w:type="dxa"/>
            <w:vMerge w:val="continue"/>
            <w:tcBorders>
              <w:left w:val="single" w:color="auto" w:sz="4" w:space="0"/>
              <w:right w:val="single" w:color="auto" w:sz="4" w:space="0"/>
            </w:tcBorders>
            <w:vAlign w:val="center"/>
          </w:tcPr>
          <w:p>
            <w:pPr>
              <w:widowControl/>
              <w:jc w:val="left"/>
              <w:rPr>
                <w:rFonts w:ascii="宋体"/>
                <w:sz w:val="22"/>
                <w:szCs w:val="22"/>
              </w:rPr>
            </w:pPr>
          </w:p>
        </w:tc>
        <w:tc>
          <w:tcPr>
            <w:tcW w:w="3308" w:type="dxa"/>
            <w:tcBorders>
              <w:top w:val="single" w:color="auto" w:sz="4" w:space="0"/>
              <w:left w:val="nil"/>
              <w:bottom w:val="single" w:color="auto" w:sz="4" w:space="0"/>
              <w:right w:val="single" w:color="000000" w:sz="4" w:space="0"/>
            </w:tcBorders>
            <w:vAlign w:val="center"/>
          </w:tcPr>
          <w:p>
            <w:pPr>
              <w:widowControl/>
              <w:jc w:val="left"/>
              <w:rPr>
                <w:rFonts w:ascii="宋体"/>
                <w:sz w:val="22"/>
                <w:szCs w:val="22"/>
              </w:rPr>
            </w:pPr>
            <w:r>
              <w:rPr>
                <w:rFonts w:hint="eastAsia" w:ascii="宋体"/>
                <w:sz w:val="22"/>
                <w:szCs w:val="22"/>
              </w:rPr>
              <w:t>责任性投诉或新闻媒体曝光。</w:t>
            </w:r>
          </w:p>
        </w:tc>
        <w:tc>
          <w:tcPr>
            <w:tcW w:w="711" w:type="dxa"/>
            <w:tcBorders>
              <w:top w:val="nil"/>
              <w:left w:val="nil"/>
              <w:bottom w:val="single" w:color="auto" w:sz="4" w:space="0"/>
              <w:right w:val="single" w:color="auto" w:sz="4" w:space="0"/>
            </w:tcBorders>
            <w:vAlign w:val="center"/>
          </w:tcPr>
          <w:p>
            <w:pPr>
              <w:widowControl/>
              <w:jc w:val="center"/>
              <w:rPr>
                <w:rFonts w:ascii="宋体"/>
                <w:sz w:val="22"/>
                <w:szCs w:val="22"/>
              </w:rPr>
            </w:pPr>
            <w:r>
              <w:rPr>
                <w:rFonts w:hint="eastAsia" w:ascii="宋体"/>
                <w:sz w:val="22"/>
                <w:szCs w:val="22"/>
              </w:rPr>
              <w:t>3</w:t>
            </w:r>
          </w:p>
        </w:tc>
        <w:tc>
          <w:tcPr>
            <w:tcW w:w="3339" w:type="dxa"/>
            <w:tcBorders>
              <w:top w:val="single" w:color="auto" w:sz="4" w:space="0"/>
              <w:left w:val="nil"/>
              <w:bottom w:val="single" w:color="auto" w:sz="4" w:space="0"/>
              <w:right w:val="single" w:color="auto" w:sz="4" w:space="0"/>
            </w:tcBorders>
            <w:vAlign w:val="center"/>
          </w:tcPr>
          <w:p>
            <w:pPr>
              <w:widowControl/>
              <w:jc w:val="left"/>
              <w:rPr>
                <w:rFonts w:ascii="宋体"/>
                <w:sz w:val="22"/>
                <w:szCs w:val="22"/>
              </w:rPr>
            </w:pPr>
            <w:r>
              <w:rPr>
                <w:rFonts w:hint="eastAsia" w:ascii="宋体"/>
                <w:sz w:val="22"/>
                <w:szCs w:val="22"/>
              </w:rPr>
              <w:t>视责任问题一次扣1-3分。</w:t>
            </w:r>
          </w:p>
        </w:tc>
        <w:tc>
          <w:tcPr>
            <w:tcW w:w="706" w:type="dxa"/>
            <w:tcBorders>
              <w:top w:val="nil"/>
              <w:left w:val="single" w:color="auto" w:sz="4" w:space="0"/>
              <w:bottom w:val="single" w:color="auto" w:sz="4" w:space="0"/>
              <w:right w:val="single" w:color="auto" w:sz="4" w:space="0"/>
            </w:tcBorders>
            <w:vAlign w:val="center"/>
          </w:tcPr>
          <w:p>
            <w:pPr>
              <w:widowControl/>
              <w:jc w:val="left"/>
              <w:rPr>
                <w:rFonts w:ascii="宋体"/>
                <w:sz w:val="22"/>
                <w:szCs w:val="22"/>
              </w:rPr>
            </w:pPr>
          </w:p>
        </w:tc>
      </w:tr>
      <w:tr>
        <w:tblPrEx>
          <w:tblCellMar>
            <w:top w:w="0" w:type="dxa"/>
            <w:left w:w="108" w:type="dxa"/>
            <w:bottom w:w="0" w:type="dxa"/>
            <w:right w:w="108" w:type="dxa"/>
          </w:tblCellMar>
        </w:tblPrEx>
        <w:trPr>
          <w:trHeight w:val="731" w:hRule="atLeast"/>
          <w:jc w:val="center"/>
        </w:trPr>
        <w:tc>
          <w:tcPr>
            <w:tcW w:w="772" w:type="dxa"/>
            <w:vMerge w:val="continue"/>
            <w:tcBorders>
              <w:left w:val="single" w:color="auto" w:sz="4" w:space="0"/>
              <w:bottom w:val="single" w:color="auto" w:sz="4" w:space="0"/>
              <w:right w:val="single" w:color="auto" w:sz="4" w:space="0"/>
            </w:tcBorders>
            <w:vAlign w:val="center"/>
          </w:tcPr>
          <w:p>
            <w:pPr>
              <w:widowControl/>
              <w:jc w:val="left"/>
              <w:rPr>
                <w:rFonts w:ascii="宋体"/>
                <w:sz w:val="22"/>
                <w:szCs w:val="22"/>
              </w:rPr>
            </w:pPr>
          </w:p>
        </w:tc>
        <w:tc>
          <w:tcPr>
            <w:tcW w:w="3308" w:type="dxa"/>
            <w:tcBorders>
              <w:top w:val="single" w:color="auto" w:sz="4" w:space="0"/>
              <w:left w:val="nil"/>
              <w:bottom w:val="single" w:color="auto" w:sz="4" w:space="0"/>
              <w:right w:val="single" w:color="000000" w:sz="4" w:space="0"/>
            </w:tcBorders>
            <w:vAlign w:val="center"/>
          </w:tcPr>
          <w:p>
            <w:pPr>
              <w:widowControl/>
              <w:jc w:val="left"/>
              <w:rPr>
                <w:rFonts w:ascii="宋体"/>
                <w:sz w:val="22"/>
                <w:szCs w:val="22"/>
              </w:rPr>
            </w:pPr>
            <w:r>
              <w:rPr>
                <w:rFonts w:hint="eastAsia" w:ascii="宋体"/>
                <w:sz w:val="22"/>
                <w:szCs w:val="22"/>
              </w:rPr>
              <w:t>建立城市绿地技术档案。</w:t>
            </w:r>
          </w:p>
        </w:tc>
        <w:tc>
          <w:tcPr>
            <w:tcW w:w="711" w:type="dxa"/>
            <w:tcBorders>
              <w:top w:val="nil"/>
              <w:left w:val="nil"/>
              <w:bottom w:val="single" w:color="auto" w:sz="4" w:space="0"/>
              <w:right w:val="single" w:color="auto" w:sz="4" w:space="0"/>
            </w:tcBorders>
            <w:vAlign w:val="center"/>
          </w:tcPr>
          <w:p>
            <w:pPr>
              <w:widowControl/>
              <w:jc w:val="center"/>
              <w:rPr>
                <w:rFonts w:ascii="宋体"/>
                <w:sz w:val="22"/>
                <w:szCs w:val="22"/>
              </w:rPr>
            </w:pPr>
            <w:r>
              <w:rPr>
                <w:rFonts w:hint="eastAsia" w:ascii="宋体"/>
                <w:sz w:val="22"/>
                <w:szCs w:val="22"/>
              </w:rPr>
              <w:t>5</w:t>
            </w:r>
          </w:p>
        </w:tc>
        <w:tc>
          <w:tcPr>
            <w:tcW w:w="3339" w:type="dxa"/>
            <w:tcBorders>
              <w:top w:val="single" w:color="auto" w:sz="4" w:space="0"/>
              <w:left w:val="nil"/>
              <w:bottom w:val="single" w:color="auto" w:sz="4" w:space="0"/>
              <w:right w:val="single" w:color="auto" w:sz="4" w:space="0"/>
            </w:tcBorders>
            <w:vAlign w:val="center"/>
          </w:tcPr>
          <w:p>
            <w:pPr>
              <w:widowControl/>
              <w:jc w:val="left"/>
              <w:rPr>
                <w:rFonts w:ascii="宋体"/>
                <w:sz w:val="22"/>
                <w:szCs w:val="22"/>
              </w:rPr>
            </w:pPr>
            <w:r>
              <w:rPr>
                <w:rFonts w:hint="eastAsia" w:ascii="宋体"/>
                <w:sz w:val="22"/>
                <w:szCs w:val="22"/>
              </w:rPr>
              <w:t>未建立或建立不规范，视情况一次扣1-5分。</w:t>
            </w:r>
          </w:p>
        </w:tc>
        <w:tc>
          <w:tcPr>
            <w:tcW w:w="706" w:type="dxa"/>
            <w:tcBorders>
              <w:top w:val="nil"/>
              <w:left w:val="single" w:color="auto" w:sz="4" w:space="0"/>
              <w:bottom w:val="single" w:color="auto" w:sz="4" w:space="0"/>
              <w:right w:val="single" w:color="auto" w:sz="4" w:space="0"/>
            </w:tcBorders>
            <w:vAlign w:val="center"/>
          </w:tcPr>
          <w:p>
            <w:pPr>
              <w:widowControl/>
              <w:jc w:val="left"/>
              <w:rPr>
                <w:rFonts w:ascii="宋体"/>
                <w:sz w:val="22"/>
                <w:szCs w:val="22"/>
              </w:rPr>
            </w:pPr>
          </w:p>
        </w:tc>
      </w:tr>
      <w:tr>
        <w:tblPrEx>
          <w:tblCellMar>
            <w:top w:w="0" w:type="dxa"/>
            <w:left w:w="108" w:type="dxa"/>
            <w:bottom w:w="0" w:type="dxa"/>
            <w:right w:w="108" w:type="dxa"/>
          </w:tblCellMar>
        </w:tblPrEx>
        <w:trPr>
          <w:trHeight w:val="447" w:hRule="atLeast"/>
          <w:jc w:val="center"/>
        </w:trPr>
        <w:tc>
          <w:tcPr>
            <w:tcW w:w="77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sz w:val="22"/>
                <w:szCs w:val="22"/>
              </w:rPr>
            </w:pPr>
            <w:r>
              <w:rPr>
                <w:rFonts w:hint="eastAsia" w:ascii="宋体"/>
                <w:sz w:val="22"/>
                <w:szCs w:val="22"/>
              </w:rPr>
              <w:t>卫生  保洁（15分）</w:t>
            </w:r>
          </w:p>
        </w:tc>
        <w:tc>
          <w:tcPr>
            <w:tcW w:w="3308" w:type="dxa"/>
            <w:tcBorders>
              <w:top w:val="single" w:color="auto" w:sz="4" w:space="0"/>
              <w:left w:val="nil"/>
              <w:bottom w:val="single" w:color="auto" w:sz="4" w:space="0"/>
              <w:right w:val="single" w:color="000000" w:sz="4" w:space="0"/>
            </w:tcBorders>
            <w:vAlign w:val="center"/>
          </w:tcPr>
          <w:p>
            <w:pPr>
              <w:widowControl/>
              <w:jc w:val="left"/>
              <w:rPr>
                <w:rFonts w:ascii="宋体"/>
                <w:sz w:val="22"/>
                <w:szCs w:val="22"/>
              </w:rPr>
            </w:pPr>
            <w:r>
              <w:rPr>
                <w:rFonts w:hint="eastAsia" w:ascii="宋体"/>
                <w:sz w:val="22"/>
                <w:szCs w:val="22"/>
              </w:rPr>
              <w:t>每天及时清理绿地（包括公厕等附属建筑物）垃圾并有保洁人员在岗实施保洁工作；                    垃圾应及时清运，不过夜，不现场焚烧垃圾。                          绿地无明显纸屑、果皮、杂物。</w:t>
            </w:r>
          </w:p>
        </w:tc>
        <w:tc>
          <w:tcPr>
            <w:tcW w:w="711" w:type="dxa"/>
            <w:tcBorders>
              <w:top w:val="single" w:color="auto" w:sz="4" w:space="0"/>
              <w:left w:val="nil"/>
              <w:bottom w:val="single" w:color="auto" w:sz="4" w:space="0"/>
              <w:right w:val="single" w:color="auto" w:sz="4" w:space="0"/>
            </w:tcBorders>
            <w:vAlign w:val="center"/>
          </w:tcPr>
          <w:p>
            <w:pPr>
              <w:widowControl/>
              <w:jc w:val="center"/>
              <w:rPr>
                <w:rFonts w:ascii="宋体"/>
                <w:sz w:val="22"/>
                <w:szCs w:val="22"/>
              </w:rPr>
            </w:pPr>
            <w:r>
              <w:rPr>
                <w:rFonts w:hint="eastAsia" w:ascii="宋体"/>
                <w:sz w:val="22"/>
                <w:szCs w:val="22"/>
              </w:rPr>
              <w:t>8</w:t>
            </w:r>
          </w:p>
        </w:tc>
        <w:tc>
          <w:tcPr>
            <w:tcW w:w="3339" w:type="dxa"/>
            <w:tcBorders>
              <w:top w:val="single" w:color="auto" w:sz="4" w:space="0"/>
              <w:left w:val="nil"/>
              <w:bottom w:val="single" w:color="auto" w:sz="4" w:space="0"/>
              <w:right w:val="single" w:color="auto" w:sz="4" w:space="0"/>
            </w:tcBorders>
            <w:vAlign w:val="center"/>
          </w:tcPr>
          <w:p>
            <w:pPr>
              <w:widowControl/>
              <w:jc w:val="left"/>
              <w:rPr>
                <w:rFonts w:ascii="宋体"/>
                <w:sz w:val="22"/>
                <w:szCs w:val="22"/>
              </w:rPr>
            </w:pPr>
            <w:r>
              <w:rPr>
                <w:rFonts w:hint="eastAsia" w:ascii="宋体"/>
                <w:sz w:val="22"/>
                <w:szCs w:val="22"/>
              </w:rPr>
              <w:t>未及时完成清扫清理工作的扣2分；                                   保洁人员不在岗或未实行保洁工作的扣1-3分。                          有明显纸屑、果皮、杂物，每处扣1分，垃圾未及时清理、过夜、现场焚烧垃圾扣1－3分。</w:t>
            </w:r>
          </w:p>
        </w:tc>
        <w:tc>
          <w:tcPr>
            <w:tcW w:w="706" w:type="dxa"/>
            <w:tcBorders>
              <w:top w:val="single" w:color="auto" w:sz="4" w:space="0"/>
              <w:left w:val="single" w:color="auto" w:sz="4" w:space="0"/>
              <w:bottom w:val="single" w:color="auto" w:sz="4" w:space="0"/>
              <w:right w:val="single" w:color="auto" w:sz="4" w:space="0"/>
            </w:tcBorders>
            <w:vAlign w:val="center"/>
          </w:tcPr>
          <w:p>
            <w:pPr>
              <w:jc w:val="left"/>
              <w:rPr>
                <w:rFonts w:ascii="宋体"/>
                <w:sz w:val="22"/>
                <w:szCs w:val="22"/>
              </w:rPr>
            </w:pPr>
          </w:p>
        </w:tc>
      </w:tr>
      <w:tr>
        <w:tblPrEx>
          <w:tblCellMar>
            <w:top w:w="0" w:type="dxa"/>
            <w:left w:w="108" w:type="dxa"/>
            <w:bottom w:w="0" w:type="dxa"/>
            <w:right w:w="108" w:type="dxa"/>
          </w:tblCellMar>
        </w:tblPrEx>
        <w:trPr>
          <w:trHeight w:val="2805" w:hRule="atLeast"/>
          <w:jc w:val="center"/>
        </w:trPr>
        <w:tc>
          <w:tcPr>
            <w:tcW w:w="7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22"/>
                <w:szCs w:val="22"/>
              </w:rPr>
            </w:pPr>
          </w:p>
        </w:tc>
        <w:tc>
          <w:tcPr>
            <w:tcW w:w="3308" w:type="dxa"/>
            <w:tcBorders>
              <w:top w:val="single" w:color="auto" w:sz="4" w:space="0"/>
              <w:left w:val="nil"/>
              <w:bottom w:val="single" w:color="auto" w:sz="4" w:space="0"/>
              <w:right w:val="single" w:color="000000" w:sz="4" w:space="0"/>
            </w:tcBorders>
            <w:vAlign w:val="center"/>
          </w:tcPr>
          <w:p>
            <w:pPr>
              <w:widowControl/>
              <w:jc w:val="left"/>
              <w:rPr>
                <w:rFonts w:ascii="宋体"/>
                <w:sz w:val="22"/>
                <w:szCs w:val="22"/>
              </w:rPr>
            </w:pPr>
            <w:r>
              <w:rPr>
                <w:rFonts w:hint="eastAsia" w:ascii="宋体"/>
                <w:sz w:val="22"/>
                <w:szCs w:val="22"/>
              </w:rPr>
              <w:t>保持设施完好，路沿石、椅子、花池、树池若有破损应及时上报并清理干净。对绿地内的硬地、道路、护拦、沟渠、雕塑、景石、水池、长廊、凉亭等进行清洗；对桌椅、果皮箱、园灯、小品等园林设施进行擦抹保洁，绿地上无晾衣物杂物、乱张贴，乱涂画</w:t>
            </w:r>
          </w:p>
        </w:tc>
        <w:tc>
          <w:tcPr>
            <w:tcW w:w="711" w:type="dxa"/>
            <w:tcBorders>
              <w:top w:val="nil"/>
              <w:left w:val="nil"/>
              <w:bottom w:val="single" w:color="auto" w:sz="4" w:space="0"/>
              <w:right w:val="single" w:color="auto" w:sz="4" w:space="0"/>
            </w:tcBorders>
            <w:vAlign w:val="center"/>
          </w:tcPr>
          <w:p>
            <w:pPr>
              <w:widowControl/>
              <w:jc w:val="center"/>
              <w:rPr>
                <w:rFonts w:ascii="宋体"/>
                <w:sz w:val="22"/>
                <w:szCs w:val="22"/>
              </w:rPr>
            </w:pPr>
            <w:r>
              <w:rPr>
                <w:rFonts w:hint="eastAsia" w:ascii="宋体"/>
                <w:sz w:val="22"/>
                <w:szCs w:val="22"/>
              </w:rPr>
              <w:t>5</w:t>
            </w:r>
          </w:p>
        </w:tc>
        <w:tc>
          <w:tcPr>
            <w:tcW w:w="3339" w:type="dxa"/>
            <w:tcBorders>
              <w:top w:val="single" w:color="auto" w:sz="4" w:space="0"/>
              <w:left w:val="nil"/>
              <w:bottom w:val="single" w:color="auto" w:sz="4" w:space="0"/>
              <w:right w:val="single" w:color="auto" w:sz="4" w:space="0"/>
            </w:tcBorders>
            <w:vAlign w:val="center"/>
          </w:tcPr>
          <w:p>
            <w:pPr>
              <w:widowControl/>
              <w:jc w:val="left"/>
              <w:rPr>
                <w:rFonts w:ascii="宋体"/>
                <w:sz w:val="22"/>
                <w:szCs w:val="22"/>
              </w:rPr>
            </w:pPr>
            <w:r>
              <w:rPr>
                <w:rFonts w:hint="eastAsia" w:ascii="宋体"/>
                <w:sz w:val="22"/>
                <w:szCs w:val="22"/>
              </w:rPr>
              <w:t>设施有破损或丢失未及时上报的扣1分；未及时清理扣1分。未及时清洗、擦抹设施的，每次扣1分。设施有乱粘贴、乱图画每处扣1分。绿地上有晾衣服杂物每处扣1分。</w:t>
            </w:r>
          </w:p>
        </w:tc>
        <w:tc>
          <w:tcPr>
            <w:tcW w:w="706" w:type="dxa"/>
            <w:tcBorders>
              <w:top w:val="nil"/>
              <w:left w:val="single" w:color="auto" w:sz="4" w:space="0"/>
              <w:bottom w:val="single" w:color="auto" w:sz="4" w:space="0"/>
              <w:right w:val="single" w:color="auto" w:sz="4" w:space="0"/>
            </w:tcBorders>
            <w:vAlign w:val="center"/>
          </w:tcPr>
          <w:p>
            <w:pPr>
              <w:widowControl/>
              <w:jc w:val="left"/>
              <w:rPr>
                <w:rFonts w:ascii="宋体"/>
                <w:sz w:val="22"/>
                <w:szCs w:val="22"/>
              </w:rPr>
            </w:pPr>
            <w:r>
              <w:rPr>
                <w:rFonts w:hint="eastAsia" w:ascii="宋体"/>
                <w:sz w:val="22"/>
                <w:szCs w:val="22"/>
              </w:rPr>
              <w:t>　</w:t>
            </w:r>
          </w:p>
        </w:tc>
      </w:tr>
      <w:tr>
        <w:tblPrEx>
          <w:tblCellMar>
            <w:top w:w="0" w:type="dxa"/>
            <w:left w:w="108" w:type="dxa"/>
            <w:bottom w:w="0" w:type="dxa"/>
            <w:right w:w="108" w:type="dxa"/>
          </w:tblCellMar>
        </w:tblPrEx>
        <w:trPr>
          <w:trHeight w:val="944" w:hRule="atLeast"/>
          <w:jc w:val="center"/>
        </w:trPr>
        <w:tc>
          <w:tcPr>
            <w:tcW w:w="7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22"/>
                <w:szCs w:val="22"/>
              </w:rPr>
            </w:pPr>
          </w:p>
        </w:tc>
        <w:tc>
          <w:tcPr>
            <w:tcW w:w="3308" w:type="dxa"/>
            <w:tcBorders>
              <w:top w:val="single" w:color="auto" w:sz="4" w:space="0"/>
              <w:left w:val="nil"/>
              <w:bottom w:val="single" w:color="auto" w:sz="4" w:space="0"/>
              <w:right w:val="single" w:color="000000" w:sz="4" w:space="0"/>
            </w:tcBorders>
            <w:vAlign w:val="center"/>
          </w:tcPr>
          <w:p>
            <w:pPr>
              <w:widowControl/>
              <w:jc w:val="left"/>
              <w:rPr>
                <w:rFonts w:ascii="宋体"/>
                <w:sz w:val="22"/>
                <w:szCs w:val="22"/>
              </w:rPr>
            </w:pPr>
            <w:r>
              <w:rPr>
                <w:rFonts w:hint="eastAsia" w:ascii="宋体"/>
                <w:sz w:val="22"/>
                <w:szCs w:val="22"/>
              </w:rPr>
              <w:t>定期“灭四害”，清除鼠洞及蚊蝇滋生物。</w:t>
            </w:r>
          </w:p>
        </w:tc>
        <w:tc>
          <w:tcPr>
            <w:tcW w:w="711" w:type="dxa"/>
            <w:tcBorders>
              <w:top w:val="nil"/>
              <w:left w:val="nil"/>
              <w:bottom w:val="single" w:color="auto" w:sz="4" w:space="0"/>
              <w:right w:val="single" w:color="auto" w:sz="4" w:space="0"/>
            </w:tcBorders>
            <w:vAlign w:val="center"/>
          </w:tcPr>
          <w:p>
            <w:pPr>
              <w:widowControl/>
              <w:jc w:val="center"/>
              <w:rPr>
                <w:rFonts w:ascii="宋体"/>
                <w:sz w:val="22"/>
                <w:szCs w:val="22"/>
              </w:rPr>
            </w:pPr>
            <w:r>
              <w:rPr>
                <w:rFonts w:hint="eastAsia" w:ascii="宋体"/>
                <w:sz w:val="22"/>
                <w:szCs w:val="22"/>
              </w:rPr>
              <w:t>2</w:t>
            </w:r>
          </w:p>
        </w:tc>
        <w:tc>
          <w:tcPr>
            <w:tcW w:w="3339" w:type="dxa"/>
            <w:tcBorders>
              <w:top w:val="single" w:color="auto" w:sz="4" w:space="0"/>
              <w:left w:val="nil"/>
              <w:bottom w:val="single" w:color="auto" w:sz="4" w:space="0"/>
              <w:right w:val="single" w:color="auto" w:sz="4" w:space="0"/>
            </w:tcBorders>
            <w:vAlign w:val="center"/>
          </w:tcPr>
          <w:p>
            <w:pPr>
              <w:widowControl/>
              <w:jc w:val="left"/>
              <w:rPr>
                <w:rFonts w:ascii="宋体"/>
                <w:sz w:val="22"/>
                <w:szCs w:val="22"/>
              </w:rPr>
            </w:pPr>
            <w:r>
              <w:rPr>
                <w:rFonts w:hint="eastAsia" w:ascii="宋体"/>
                <w:sz w:val="22"/>
                <w:szCs w:val="22"/>
              </w:rPr>
              <w:t>发现鼠洞，一处扣1分。                    未做好“灭四害”工作扣1－2分。</w:t>
            </w:r>
          </w:p>
        </w:tc>
        <w:tc>
          <w:tcPr>
            <w:tcW w:w="706" w:type="dxa"/>
            <w:tcBorders>
              <w:top w:val="nil"/>
              <w:left w:val="single" w:color="auto" w:sz="4" w:space="0"/>
              <w:bottom w:val="single" w:color="auto" w:sz="4" w:space="0"/>
              <w:right w:val="single" w:color="auto" w:sz="4" w:space="0"/>
            </w:tcBorders>
            <w:vAlign w:val="center"/>
          </w:tcPr>
          <w:p>
            <w:pPr>
              <w:widowControl/>
              <w:jc w:val="left"/>
              <w:rPr>
                <w:rFonts w:ascii="宋体"/>
                <w:sz w:val="22"/>
                <w:szCs w:val="22"/>
              </w:rPr>
            </w:pPr>
            <w:r>
              <w:rPr>
                <w:rFonts w:hint="eastAsia" w:ascii="宋体"/>
                <w:sz w:val="22"/>
                <w:szCs w:val="22"/>
              </w:rPr>
              <w:t>　</w:t>
            </w:r>
          </w:p>
        </w:tc>
      </w:tr>
      <w:tr>
        <w:tblPrEx>
          <w:tblCellMar>
            <w:top w:w="0" w:type="dxa"/>
            <w:left w:w="108" w:type="dxa"/>
            <w:bottom w:w="0" w:type="dxa"/>
            <w:right w:w="108" w:type="dxa"/>
          </w:tblCellMar>
        </w:tblPrEx>
        <w:trPr>
          <w:trHeight w:val="704" w:hRule="atLeast"/>
          <w:jc w:val="center"/>
        </w:trPr>
        <w:tc>
          <w:tcPr>
            <w:tcW w:w="772" w:type="dxa"/>
            <w:tcBorders>
              <w:top w:val="nil"/>
              <w:left w:val="single" w:color="auto" w:sz="4" w:space="0"/>
              <w:bottom w:val="single" w:color="auto" w:sz="4" w:space="0"/>
              <w:right w:val="single" w:color="auto" w:sz="4" w:space="0"/>
            </w:tcBorders>
            <w:vAlign w:val="center"/>
          </w:tcPr>
          <w:p>
            <w:pPr>
              <w:widowControl/>
              <w:jc w:val="center"/>
              <w:rPr>
                <w:rFonts w:ascii="宋体"/>
                <w:sz w:val="22"/>
                <w:szCs w:val="22"/>
              </w:rPr>
            </w:pPr>
            <w:r>
              <w:rPr>
                <w:rFonts w:hint="eastAsia" w:ascii="宋体"/>
                <w:sz w:val="22"/>
                <w:szCs w:val="22"/>
              </w:rPr>
              <w:t>景观效果(30)</w:t>
            </w:r>
          </w:p>
        </w:tc>
        <w:tc>
          <w:tcPr>
            <w:tcW w:w="3308" w:type="dxa"/>
            <w:tcBorders>
              <w:top w:val="single" w:color="auto" w:sz="4" w:space="0"/>
              <w:left w:val="nil"/>
              <w:bottom w:val="single" w:color="auto" w:sz="4" w:space="0"/>
              <w:right w:val="single" w:color="000000" w:sz="4" w:space="0"/>
            </w:tcBorders>
            <w:vAlign w:val="center"/>
          </w:tcPr>
          <w:p>
            <w:pPr>
              <w:widowControl/>
              <w:jc w:val="left"/>
              <w:rPr>
                <w:rFonts w:ascii="宋体"/>
                <w:sz w:val="22"/>
                <w:szCs w:val="22"/>
              </w:rPr>
            </w:pPr>
            <w:r>
              <w:rPr>
                <w:rFonts w:hint="eastAsia" w:ascii="宋体"/>
                <w:sz w:val="22"/>
                <w:szCs w:val="22"/>
              </w:rPr>
              <w:t>景观效果好，植物生长旺盛，修剪整齐，层次分明、色彩鲜艳、整齐美观。树木修剪规范整齐，分枝合理均匀；花灌木修剪及时、准确；色块、绿篱适期修剪，曲线润畅，轮廓明显，三面整齐平整，球类修剪圆整。                                 草坪适时进行修剪，保持一定高度，修剪面平整，边角无遗留，草屑及时扫尽运出。</w:t>
            </w:r>
          </w:p>
        </w:tc>
        <w:tc>
          <w:tcPr>
            <w:tcW w:w="711" w:type="dxa"/>
            <w:tcBorders>
              <w:top w:val="nil"/>
              <w:left w:val="nil"/>
              <w:bottom w:val="single" w:color="auto" w:sz="4" w:space="0"/>
              <w:right w:val="single" w:color="auto" w:sz="4" w:space="0"/>
            </w:tcBorders>
            <w:vAlign w:val="center"/>
          </w:tcPr>
          <w:p>
            <w:pPr>
              <w:widowControl/>
              <w:jc w:val="center"/>
              <w:rPr>
                <w:rFonts w:ascii="宋体"/>
                <w:sz w:val="22"/>
                <w:szCs w:val="22"/>
              </w:rPr>
            </w:pPr>
            <w:r>
              <w:rPr>
                <w:rFonts w:hint="eastAsia" w:ascii="宋体"/>
                <w:sz w:val="22"/>
                <w:szCs w:val="22"/>
              </w:rPr>
              <w:t>30</w:t>
            </w:r>
          </w:p>
        </w:tc>
        <w:tc>
          <w:tcPr>
            <w:tcW w:w="3339" w:type="dxa"/>
            <w:tcBorders>
              <w:top w:val="single" w:color="auto" w:sz="4" w:space="0"/>
              <w:left w:val="nil"/>
              <w:bottom w:val="single" w:color="auto" w:sz="4" w:space="0"/>
              <w:right w:val="single" w:color="auto" w:sz="4" w:space="0"/>
            </w:tcBorders>
            <w:vAlign w:val="center"/>
          </w:tcPr>
          <w:p>
            <w:pPr>
              <w:widowControl/>
              <w:jc w:val="left"/>
              <w:rPr>
                <w:rFonts w:ascii="宋体"/>
                <w:sz w:val="22"/>
                <w:szCs w:val="22"/>
              </w:rPr>
            </w:pPr>
            <w:r>
              <w:rPr>
                <w:rFonts w:hint="eastAsia" w:ascii="宋体"/>
                <w:sz w:val="22"/>
                <w:szCs w:val="22"/>
              </w:rPr>
              <w:t xml:space="preserve">修剪不到位、层次不分明、不整齐扣1-10分。                           </w:t>
            </w:r>
          </w:p>
          <w:p>
            <w:pPr>
              <w:widowControl/>
              <w:jc w:val="left"/>
              <w:rPr>
                <w:rFonts w:ascii="宋体"/>
                <w:sz w:val="22"/>
                <w:szCs w:val="22"/>
              </w:rPr>
            </w:pPr>
            <w:r>
              <w:rPr>
                <w:rFonts w:hint="eastAsia" w:ascii="宋体"/>
                <w:sz w:val="22"/>
                <w:szCs w:val="22"/>
              </w:rPr>
              <w:t>未及时修剪，灌木超出10厘米扣1-10分。</w:t>
            </w:r>
          </w:p>
          <w:p>
            <w:pPr>
              <w:widowControl/>
              <w:jc w:val="left"/>
              <w:rPr>
                <w:rFonts w:ascii="宋体"/>
                <w:sz w:val="22"/>
                <w:szCs w:val="22"/>
              </w:rPr>
            </w:pPr>
            <w:r>
              <w:rPr>
                <w:rFonts w:hint="eastAsia" w:ascii="宋体"/>
                <w:sz w:val="22"/>
                <w:szCs w:val="22"/>
              </w:rPr>
              <w:t>不按要求乱修剪，扣1-10分。</w:t>
            </w:r>
          </w:p>
          <w:p>
            <w:pPr>
              <w:widowControl/>
              <w:jc w:val="left"/>
              <w:rPr>
                <w:rFonts w:ascii="宋体"/>
                <w:sz w:val="22"/>
                <w:szCs w:val="22"/>
              </w:rPr>
            </w:pPr>
            <w:r>
              <w:rPr>
                <w:rFonts w:hint="eastAsia" w:ascii="宋体"/>
                <w:sz w:val="22"/>
                <w:szCs w:val="22"/>
              </w:rPr>
              <w:t>色块轮廓不明显，层次不清，每100平方米扣1分。                                 草坪修剪面不平，边角有遗留，每10平方米扣1分。</w:t>
            </w:r>
          </w:p>
        </w:tc>
        <w:tc>
          <w:tcPr>
            <w:tcW w:w="706" w:type="dxa"/>
            <w:tcBorders>
              <w:top w:val="nil"/>
              <w:left w:val="single" w:color="auto" w:sz="4" w:space="0"/>
              <w:bottom w:val="single" w:color="auto" w:sz="4" w:space="0"/>
              <w:right w:val="single" w:color="auto" w:sz="4" w:space="0"/>
            </w:tcBorders>
            <w:vAlign w:val="center"/>
          </w:tcPr>
          <w:p>
            <w:pPr>
              <w:widowControl/>
              <w:jc w:val="left"/>
              <w:rPr>
                <w:rFonts w:ascii="宋体"/>
                <w:sz w:val="22"/>
                <w:szCs w:val="22"/>
              </w:rPr>
            </w:pPr>
            <w:r>
              <w:rPr>
                <w:rFonts w:hint="eastAsia" w:ascii="宋体"/>
                <w:sz w:val="22"/>
                <w:szCs w:val="22"/>
              </w:rPr>
              <w:t>　</w:t>
            </w:r>
          </w:p>
        </w:tc>
      </w:tr>
      <w:tr>
        <w:tblPrEx>
          <w:tblCellMar>
            <w:top w:w="0" w:type="dxa"/>
            <w:left w:w="108" w:type="dxa"/>
            <w:bottom w:w="0" w:type="dxa"/>
            <w:right w:w="108" w:type="dxa"/>
          </w:tblCellMar>
        </w:tblPrEx>
        <w:trPr>
          <w:trHeight w:val="402" w:hRule="atLeast"/>
          <w:jc w:val="center"/>
        </w:trPr>
        <w:tc>
          <w:tcPr>
            <w:tcW w:w="77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sz w:val="22"/>
                <w:szCs w:val="22"/>
              </w:rPr>
            </w:pPr>
            <w:r>
              <w:rPr>
                <w:rFonts w:hint="eastAsia" w:ascii="宋体"/>
                <w:sz w:val="22"/>
                <w:szCs w:val="22"/>
              </w:rPr>
              <w:t>绿化管养（40分）</w:t>
            </w:r>
          </w:p>
        </w:tc>
        <w:tc>
          <w:tcPr>
            <w:tcW w:w="3308" w:type="dxa"/>
            <w:tcBorders>
              <w:top w:val="single" w:color="auto" w:sz="4" w:space="0"/>
              <w:left w:val="nil"/>
              <w:bottom w:val="single" w:color="auto" w:sz="4" w:space="0"/>
              <w:right w:val="single" w:color="000000" w:sz="4" w:space="0"/>
            </w:tcBorders>
            <w:vAlign w:val="center"/>
          </w:tcPr>
          <w:p>
            <w:pPr>
              <w:widowControl/>
              <w:jc w:val="left"/>
              <w:rPr>
                <w:rFonts w:ascii="宋体"/>
                <w:sz w:val="22"/>
                <w:szCs w:val="22"/>
              </w:rPr>
            </w:pPr>
            <w:r>
              <w:rPr>
                <w:rFonts w:hint="eastAsia" w:ascii="宋体"/>
                <w:sz w:val="22"/>
                <w:szCs w:val="22"/>
              </w:rPr>
              <w:t>除杂草：绿地及时除草，要求乔木、灌木无杂草伴生，草坪杂草率≤1-5%，树穴整修，草坪内树穴与绿篱及时切边，草坪与树木、绿篱、草花应有分隔沟。</w:t>
            </w:r>
          </w:p>
        </w:tc>
        <w:tc>
          <w:tcPr>
            <w:tcW w:w="711" w:type="dxa"/>
            <w:tcBorders>
              <w:top w:val="single" w:color="auto" w:sz="4" w:space="0"/>
              <w:left w:val="nil"/>
              <w:bottom w:val="single" w:color="auto" w:sz="4" w:space="0"/>
              <w:right w:val="single" w:color="auto" w:sz="4" w:space="0"/>
            </w:tcBorders>
            <w:vAlign w:val="center"/>
          </w:tcPr>
          <w:p>
            <w:pPr>
              <w:widowControl/>
              <w:jc w:val="center"/>
              <w:rPr>
                <w:rFonts w:ascii="宋体"/>
                <w:sz w:val="22"/>
                <w:szCs w:val="22"/>
              </w:rPr>
            </w:pPr>
            <w:r>
              <w:rPr>
                <w:rFonts w:hint="eastAsia" w:ascii="宋体"/>
                <w:sz w:val="22"/>
                <w:szCs w:val="22"/>
              </w:rPr>
              <w:t>7</w:t>
            </w:r>
          </w:p>
        </w:tc>
        <w:tc>
          <w:tcPr>
            <w:tcW w:w="3339" w:type="dxa"/>
            <w:tcBorders>
              <w:top w:val="single" w:color="auto" w:sz="4" w:space="0"/>
              <w:left w:val="nil"/>
              <w:bottom w:val="single" w:color="auto" w:sz="4" w:space="0"/>
              <w:right w:val="single" w:color="auto" w:sz="4" w:space="0"/>
            </w:tcBorders>
            <w:vAlign w:val="center"/>
          </w:tcPr>
          <w:p>
            <w:pPr>
              <w:widowControl/>
              <w:jc w:val="left"/>
              <w:rPr>
                <w:rFonts w:hint="eastAsia" w:ascii="宋体"/>
                <w:sz w:val="22"/>
                <w:szCs w:val="22"/>
              </w:rPr>
            </w:pPr>
            <w:r>
              <w:rPr>
                <w:rFonts w:hint="eastAsia" w:ascii="宋体"/>
                <w:sz w:val="22"/>
                <w:szCs w:val="22"/>
              </w:rPr>
              <w:t xml:space="preserve">草坪杂草率＞1-5%，每100平方米扣0.5-1分；树穴、绿篱等不及时切边，草坪与树木、绿篱、草花等无合理分隔沟每10米扣0.5分。            </w:t>
            </w:r>
          </w:p>
          <w:p>
            <w:pPr>
              <w:widowControl/>
              <w:jc w:val="left"/>
              <w:rPr>
                <w:rFonts w:ascii="宋体"/>
                <w:sz w:val="22"/>
                <w:szCs w:val="22"/>
              </w:rPr>
            </w:pPr>
            <w:r>
              <w:rPr>
                <w:rFonts w:hint="eastAsia" w:ascii="宋体"/>
                <w:sz w:val="22"/>
                <w:szCs w:val="22"/>
              </w:rPr>
              <w:t>灌木（乔木）内杂草伴生，扣1－3分。杂草明显高于绿地灌木5厘米以上每100平方米扣1分。</w:t>
            </w: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22"/>
                <w:szCs w:val="22"/>
              </w:rPr>
            </w:pPr>
            <w:r>
              <w:rPr>
                <w:rFonts w:hint="eastAsia" w:ascii="宋体"/>
                <w:sz w:val="22"/>
                <w:szCs w:val="22"/>
              </w:rPr>
              <w:t>　</w:t>
            </w:r>
          </w:p>
        </w:tc>
      </w:tr>
      <w:tr>
        <w:tblPrEx>
          <w:tblCellMar>
            <w:top w:w="0" w:type="dxa"/>
            <w:left w:w="108" w:type="dxa"/>
            <w:bottom w:w="0" w:type="dxa"/>
            <w:right w:w="108" w:type="dxa"/>
          </w:tblCellMar>
        </w:tblPrEx>
        <w:trPr>
          <w:trHeight w:val="402" w:hRule="atLeast"/>
          <w:jc w:val="center"/>
        </w:trPr>
        <w:tc>
          <w:tcPr>
            <w:tcW w:w="7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22"/>
                <w:szCs w:val="22"/>
              </w:rPr>
            </w:pPr>
          </w:p>
        </w:tc>
        <w:tc>
          <w:tcPr>
            <w:tcW w:w="3308" w:type="dxa"/>
            <w:tcBorders>
              <w:top w:val="single" w:color="auto" w:sz="4" w:space="0"/>
              <w:left w:val="nil"/>
              <w:bottom w:val="single" w:color="auto" w:sz="4" w:space="0"/>
              <w:right w:val="single" w:color="000000" w:sz="4" w:space="0"/>
            </w:tcBorders>
            <w:vAlign w:val="center"/>
          </w:tcPr>
          <w:p>
            <w:pPr>
              <w:widowControl/>
              <w:jc w:val="left"/>
              <w:rPr>
                <w:rFonts w:ascii="宋体"/>
                <w:sz w:val="22"/>
                <w:szCs w:val="22"/>
              </w:rPr>
            </w:pPr>
            <w:r>
              <w:rPr>
                <w:rFonts w:hint="eastAsia" w:ascii="宋体"/>
                <w:sz w:val="22"/>
                <w:szCs w:val="22"/>
              </w:rPr>
              <w:t>土壤无板结，植物根系不得裸露，绿地无坑洼积水。</w:t>
            </w:r>
          </w:p>
        </w:tc>
        <w:tc>
          <w:tcPr>
            <w:tcW w:w="711" w:type="dxa"/>
            <w:tcBorders>
              <w:top w:val="single" w:color="auto" w:sz="4" w:space="0"/>
              <w:left w:val="nil"/>
              <w:bottom w:val="single" w:color="auto" w:sz="4" w:space="0"/>
              <w:right w:val="single" w:color="auto" w:sz="4" w:space="0"/>
            </w:tcBorders>
            <w:vAlign w:val="center"/>
          </w:tcPr>
          <w:p>
            <w:pPr>
              <w:widowControl/>
              <w:jc w:val="center"/>
              <w:rPr>
                <w:rFonts w:ascii="宋体"/>
                <w:sz w:val="22"/>
                <w:szCs w:val="22"/>
              </w:rPr>
            </w:pPr>
            <w:r>
              <w:rPr>
                <w:rFonts w:hint="eastAsia" w:ascii="宋体"/>
                <w:sz w:val="22"/>
                <w:szCs w:val="22"/>
              </w:rPr>
              <w:t>4</w:t>
            </w:r>
          </w:p>
        </w:tc>
        <w:tc>
          <w:tcPr>
            <w:tcW w:w="3339" w:type="dxa"/>
            <w:tcBorders>
              <w:top w:val="single" w:color="auto" w:sz="4" w:space="0"/>
              <w:left w:val="nil"/>
              <w:bottom w:val="single" w:color="auto" w:sz="4" w:space="0"/>
              <w:right w:val="single" w:color="auto" w:sz="4" w:space="0"/>
            </w:tcBorders>
            <w:vAlign w:val="center"/>
          </w:tcPr>
          <w:p>
            <w:pPr>
              <w:widowControl/>
              <w:jc w:val="left"/>
              <w:rPr>
                <w:rFonts w:ascii="宋体"/>
                <w:sz w:val="22"/>
                <w:szCs w:val="22"/>
              </w:rPr>
            </w:pPr>
            <w:r>
              <w:rPr>
                <w:rFonts w:hint="eastAsia" w:ascii="宋体"/>
                <w:sz w:val="22"/>
                <w:szCs w:val="22"/>
              </w:rPr>
              <w:t>出现植物根系裸露，绿地坑洼积水，灌木每100平方米扣1-4分；树穴、地被土壤板结，长期不疏松，每100平方米扣1分。</w:t>
            </w: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22"/>
                <w:szCs w:val="22"/>
              </w:rPr>
            </w:pPr>
          </w:p>
        </w:tc>
      </w:tr>
      <w:tr>
        <w:tblPrEx>
          <w:tblCellMar>
            <w:top w:w="0" w:type="dxa"/>
            <w:left w:w="108" w:type="dxa"/>
            <w:bottom w:w="0" w:type="dxa"/>
            <w:right w:w="108" w:type="dxa"/>
          </w:tblCellMar>
        </w:tblPrEx>
        <w:trPr>
          <w:trHeight w:val="402" w:hRule="atLeast"/>
          <w:jc w:val="center"/>
        </w:trPr>
        <w:tc>
          <w:tcPr>
            <w:tcW w:w="7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22"/>
                <w:szCs w:val="22"/>
              </w:rPr>
            </w:pPr>
          </w:p>
        </w:tc>
        <w:tc>
          <w:tcPr>
            <w:tcW w:w="3308" w:type="dxa"/>
            <w:tcBorders>
              <w:top w:val="single" w:color="auto" w:sz="4" w:space="0"/>
              <w:left w:val="nil"/>
              <w:bottom w:val="single" w:color="auto" w:sz="4" w:space="0"/>
              <w:right w:val="single" w:color="000000" w:sz="4" w:space="0"/>
            </w:tcBorders>
            <w:vAlign w:val="center"/>
          </w:tcPr>
          <w:p>
            <w:pPr>
              <w:widowControl/>
              <w:jc w:val="left"/>
              <w:rPr>
                <w:rFonts w:ascii="宋体"/>
                <w:sz w:val="22"/>
                <w:szCs w:val="22"/>
              </w:rPr>
            </w:pPr>
            <w:r>
              <w:rPr>
                <w:rFonts w:hint="eastAsia" w:ascii="宋体"/>
                <w:sz w:val="22"/>
                <w:szCs w:val="22"/>
              </w:rPr>
              <w:t>补植：应及时清除死株，补植缺株，保持植物景观的植株完整，无裸露地。</w:t>
            </w:r>
          </w:p>
        </w:tc>
        <w:tc>
          <w:tcPr>
            <w:tcW w:w="711" w:type="dxa"/>
            <w:tcBorders>
              <w:top w:val="single" w:color="auto" w:sz="4" w:space="0"/>
              <w:left w:val="nil"/>
              <w:bottom w:val="single" w:color="auto" w:sz="4" w:space="0"/>
              <w:right w:val="single" w:color="auto" w:sz="4" w:space="0"/>
            </w:tcBorders>
            <w:vAlign w:val="center"/>
          </w:tcPr>
          <w:p>
            <w:pPr>
              <w:widowControl/>
              <w:jc w:val="center"/>
              <w:rPr>
                <w:rFonts w:ascii="宋体"/>
                <w:sz w:val="22"/>
                <w:szCs w:val="22"/>
              </w:rPr>
            </w:pPr>
            <w:r>
              <w:rPr>
                <w:rFonts w:hint="eastAsia" w:ascii="宋体"/>
                <w:sz w:val="22"/>
                <w:szCs w:val="22"/>
              </w:rPr>
              <w:t>10</w:t>
            </w:r>
          </w:p>
        </w:tc>
        <w:tc>
          <w:tcPr>
            <w:tcW w:w="3339" w:type="dxa"/>
            <w:tcBorders>
              <w:top w:val="single" w:color="auto" w:sz="4" w:space="0"/>
              <w:left w:val="nil"/>
              <w:bottom w:val="single" w:color="auto" w:sz="4" w:space="0"/>
              <w:right w:val="single" w:color="auto" w:sz="4" w:space="0"/>
            </w:tcBorders>
            <w:vAlign w:val="center"/>
          </w:tcPr>
          <w:p>
            <w:pPr>
              <w:widowControl/>
              <w:jc w:val="left"/>
              <w:rPr>
                <w:rFonts w:ascii="宋体"/>
                <w:sz w:val="22"/>
                <w:szCs w:val="22"/>
              </w:rPr>
            </w:pPr>
            <w:r>
              <w:rPr>
                <w:rFonts w:hint="eastAsia" w:ascii="宋体"/>
                <w:sz w:val="22"/>
                <w:szCs w:val="22"/>
              </w:rPr>
              <w:t>发现死株、缺株，乔木每株扣1分；灌木每10平方米扣1分，草地裸露每10平方米扣0.5分。</w:t>
            </w: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22"/>
                <w:szCs w:val="22"/>
              </w:rPr>
            </w:pPr>
          </w:p>
        </w:tc>
      </w:tr>
      <w:tr>
        <w:tblPrEx>
          <w:tblCellMar>
            <w:top w:w="0" w:type="dxa"/>
            <w:left w:w="108" w:type="dxa"/>
            <w:bottom w:w="0" w:type="dxa"/>
            <w:right w:w="108" w:type="dxa"/>
          </w:tblCellMar>
        </w:tblPrEx>
        <w:trPr>
          <w:trHeight w:val="402" w:hRule="atLeast"/>
          <w:jc w:val="center"/>
        </w:trPr>
        <w:tc>
          <w:tcPr>
            <w:tcW w:w="7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22"/>
                <w:szCs w:val="22"/>
              </w:rPr>
            </w:pPr>
          </w:p>
        </w:tc>
        <w:tc>
          <w:tcPr>
            <w:tcW w:w="3308" w:type="dxa"/>
            <w:tcBorders>
              <w:top w:val="single" w:color="auto" w:sz="4" w:space="0"/>
              <w:left w:val="nil"/>
              <w:bottom w:val="single" w:color="auto" w:sz="4" w:space="0"/>
              <w:right w:val="single" w:color="000000" w:sz="4" w:space="0"/>
            </w:tcBorders>
            <w:vAlign w:val="center"/>
          </w:tcPr>
          <w:p>
            <w:pPr>
              <w:widowControl/>
              <w:jc w:val="left"/>
              <w:rPr>
                <w:rFonts w:ascii="宋体"/>
                <w:sz w:val="22"/>
                <w:szCs w:val="22"/>
              </w:rPr>
            </w:pPr>
            <w:r>
              <w:rPr>
                <w:rFonts w:hint="eastAsia" w:ascii="宋体"/>
                <w:sz w:val="22"/>
                <w:szCs w:val="22"/>
              </w:rPr>
              <w:t>浇水：根据植物的生长特性和季节变化进行浇水，确保植物正常生长。</w:t>
            </w:r>
          </w:p>
        </w:tc>
        <w:tc>
          <w:tcPr>
            <w:tcW w:w="711" w:type="dxa"/>
            <w:tcBorders>
              <w:top w:val="single" w:color="auto" w:sz="4" w:space="0"/>
              <w:left w:val="nil"/>
              <w:bottom w:val="single" w:color="auto" w:sz="4" w:space="0"/>
              <w:right w:val="single" w:color="auto" w:sz="4" w:space="0"/>
            </w:tcBorders>
            <w:vAlign w:val="center"/>
          </w:tcPr>
          <w:p>
            <w:pPr>
              <w:widowControl/>
              <w:jc w:val="center"/>
              <w:rPr>
                <w:rFonts w:ascii="宋体"/>
                <w:sz w:val="22"/>
                <w:szCs w:val="22"/>
              </w:rPr>
            </w:pPr>
            <w:r>
              <w:rPr>
                <w:rFonts w:hint="eastAsia" w:ascii="宋体"/>
                <w:sz w:val="22"/>
                <w:szCs w:val="22"/>
              </w:rPr>
              <w:t>8</w:t>
            </w:r>
          </w:p>
        </w:tc>
        <w:tc>
          <w:tcPr>
            <w:tcW w:w="3339" w:type="dxa"/>
            <w:tcBorders>
              <w:top w:val="single" w:color="auto" w:sz="4" w:space="0"/>
              <w:left w:val="nil"/>
              <w:bottom w:val="single" w:color="auto" w:sz="4" w:space="0"/>
              <w:right w:val="single" w:color="auto" w:sz="4" w:space="0"/>
            </w:tcBorders>
            <w:vAlign w:val="center"/>
          </w:tcPr>
          <w:p>
            <w:pPr>
              <w:widowControl/>
              <w:jc w:val="left"/>
              <w:rPr>
                <w:rFonts w:ascii="宋体"/>
                <w:sz w:val="22"/>
                <w:szCs w:val="22"/>
              </w:rPr>
            </w:pPr>
            <w:r>
              <w:rPr>
                <w:rFonts w:hint="eastAsia" w:ascii="宋体"/>
                <w:sz w:val="22"/>
                <w:szCs w:val="22"/>
              </w:rPr>
              <w:t>植物因缺水出现萎焉乔木每株扣1分，灌木每10平方米扣1分，草地每10平方米扣0.5分，出现枯死乔木每株扣1分，灌木每10平方米扣2分，草地每10平方米扣2分。</w:t>
            </w: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22"/>
                <w:szCs w:val="22"/>
              </w:rPr>
            </w:pPr>
          </w:p>
        </w:tc>
      </w:tr>
      <w:tr>
        <w:tblPrEx>
          <w:tblCellMar>
            <w:top w:w="0" w:type="dxa"/>
            <w:left w:w="108" w:type="dxa"/>
            <w:bottom w:w="0" w:type="dxa"/>
            <w:right w:w="108" w:type="dxa"/>
          </w:tblCellMar>
        </w:tblPrEx>
        <w:trPr>
          <w:trHeight w:val="402" w:hRule="atLeast"/>
          <w:jc w:val="center"/>
        </w:trPr>
        <w:tc>
          <w:tcPr>
            <w:tcW w:w="7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22"/>
                <w:szCs w:val="22"/>
              </w:rPr>
            </w:pPr>
          </w:p>
        </w:tc>
        <w:tc>
          <w:tcPr>
            <w:tcW w:w="3308" w:type="dxa"/>
            <w:tcBorders>
              <w:top w:val="single" w:color="auto" w:sz="4" w:space="0"/>
              <w:left w:val="nil"/>
              <w:bottom w:val="single" w:color="auto" w:sz="4" w:space="0"/>
              <w:right w:val="single" w:color="000000" w:sz="4" w:space="0"/>
            </w:tcBorders>
            <w:vAlign w:val="center"/>
          </w:tcPr>
          <w:p>
            <w:pPr>
              <w:widowControl/>
              <w:jc w:val="left"/>
              <w:rPr>
                <w:rFonts w:ascii="宋体"/>
                <w:sz w:val="22"/>
                <w:szCs w:val="22"/>
              </w:rPr>
            </w:pPr>
            <w:r>
              <w:rPr>
                <w:rFonts w:hint="eastAsia" w:ascii="宋体"/>
                <w:sz w:val="22"/>
                <w:szCs w:val="22"/>
              </w:rPr>
              <w:t>施肥：根据植物的生长特性和月养护计划进行施肥。</w:t>
            </w:r>
          </w:p>
        </w:tc>
        <w:tc>
          <w:tcPr>
            <w:tcW w:w="711" w:type="dxa"/>
            <w:tcBorders>
              <w:top w:val="single" w:color="auto" w:sz="4" w:space="0"/>
              <w:left w:val="nil"/>
              <w:bottom w:val="single" w:color="auto" w:sz="4" w:space="0"/>
              <w:right w:val="single" w:color="auto" w:sz="4" w:space="0"/>
            </w:tcBorders>
            <w:vAlign w:val="center"/>
          </w:tcPr>
          <w:p>
            <w:pPr>
              <w:widowControl/>
              <w:jc w:val="center"/>
              <w:rPr>
                <w:rFonts w:ascii="宋体"/>
                <w:sz w:val="22"/>
                <w:szCs w:val="22"/>
              </w:rPr>
            </w:pPr>
            <w:r>
              <w:rPr>
                <w:rFonts w:hint="eastAsia" w:ascii="宋体"/>
                <w:sz w:val="22"/>
                <w:szCs w:val="22"/>
              </w:rPr>
              <w:t>6</w:t>
            </w:r>
          </w:p>
        </w:tc>
        <w:tc>
          <w:tcPr>
            <w:tcW w:w="3339" w:type="dxa"/>
            <w:tcBorders>
              <w:top w:val="single" w:color="auto" w:sz="4" w:space="0"/>
              <w:left w:val="nil"/>
              <w:bottom w:val="single" w:color="auto" w:sz="4" w:space="0"/>
              <w:right w:val="single" w:color="auto" w:sz="4" w:space="0"/>
            </w:tcBorders>
            <w:vAlign w:val="center"/>
          </w:tcPr>
          <w:p>
            <w:pPr>
              <w:widowControl/>
              <w:jc w:val="left"/>
              <w:rPr>
                <w:rFonts w:ascii="宋体"/>
                <w:sz w:val="22"/>
                <w:szCs w:val="22"/>
              </w:rPr>
            </w:pPr>
            <w:r>
              <w:rPr>
                <w:rFonts w:hint="eastAsia" w:ascii="宋体"/>
                <w:sz w:val="22"/>
                <w:szCs w:val="22"/>
              </w:rPr>
              <w:t>因缺肥导致植物叶片黄叶、长势不良的每处扣1-2分，因施肥不当出现肥害，每处扣1-2分。</w:t>
            </w: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22"/>
                <w:szCs w:val="22"/>
              </w:rPr>
            </w:pPr>
          </w:p>
        </w:tc>
      </w:tr>
      <w:tr>
        <w:tblPrEx>
          <w:tblCellMar>
            <w:top w:w="0" w:type="dxa"/>
            <w:left w:w="108" w:type="dxa"/>
            <w:bottom w:w="0" w:type="dxa"/>
            <w:right w:w="108" w:type="dxa"/>
          </w:tblCellMar>
        </w:tblPrEx>
        <w:trPr>
          <w:trHeight w:val="402" w:hRule="atLeast"/>
          <w:jc w:val="center"/>
        </w:trPr>
        <w:tc>
          <w:tcPr>
            <w:tcW w:w="7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22"/>
                <w:szCs w:val="22"/>
              </w:rPr>
            </w:pPr>
          </w:p>
        </w:tc>
        <w:tc>
          <w:tcPr>
            <w:tcW w:w="3308" w:type="dxa"/>
            <w:tcBorders>
              <w:top w:val="single" w:color="auto" w:sz="4" w:space="0"/>
              <w:left w:val="nil"/>
              <w:bottom w:val="single" w:color="auto" w:sz="4" w:space="0"/>
              <w:right w:val="single" w:color="000000" w:sz="4" w:space="0"/>
            </w:tcBorders>
            <w:vAlign w:val="center"/>
          </w:tcPr>
          <w:p>
            <w:pPr>
              <w:widowControl/>
              <w:jc w:val="left"/>
              <w:rPr>
                <w:rFonts w:ascii="宋体"/>
                <w:sz w:val="22"/>
                <w:szCs w:val="22"/>
              </w:rPr>
            </w:pPr>
            <w:r>
              <w:rPr>
                <w:rFonts w:hint="eastAsia" w:ascii="宋体"/>
                <w:sz w:val="22"/>
                <w:szCs w:val="22"/>
              </w:rPr>
              <w:t xml:space="preserve"> 病虫害：应及时做好植物病虫害防治工作，发生病虫害，植株受害面积须符合养护标准规定。</w:t>
            </w:r>
          </w:p>
        </w:tc>
        <w:tc>
          <w:tcPr>
            <w:tcW w:w="711" w:type="dxa"/>
            <w:tcBorders>
              <w:top w:val="single" w:color="auto" w:sz="4" w:space="0"/>
              <w:left w:val="nil"/>
              <w:bottom w:val="single" w:color="auto" w:sz="4" w:space="0"/>
              <w:right w:val="single" w:color="auto" w:sz="4" w:space="0"/>
            </w:tcBorders>
            <w:vAlign w:val="center"/>
          </w:tcPr>
          <w:p>
            <w:pPr>
              <w:widowControl/>
              <w:jc w:val="center"/>
              <w:rPr>
                <w:rFonts w:ascii="宋体"/>
                <w:sz w:val="22"/>
                <w:szCs w:val="22"/>
              </w:rPr>
            </w:pPr>
            <w:r>
              <w:rPr>
                <w:rFonts w:hint="eastAsia" w:ascii="宋体"/>
                <w:sz w:val="22"/>
                <w:szCs w:val="22"/>
              </w:rPr>
              <w:t>5</w:t>
            </w:r>
          </w:p>
        </w:tc>
        <w:tc>
          <w:tcPr>
            <w:tcW w:w="3339" w:type="dxa"/>
            <w:tcBorders>
              <w:top w:val="single" w:color="auto" w:sz="4" w:space="0"/>
              <w:left w:val="nil"/>
              <w:bottom w:val="single" w:color="auto" w:sz="4" w:space="0"/>
              <w:right w:val="single" w:color="auto" w:sz="4" w:space="0"/>
            </w:tcBorders>
            <w:vAlign w:val="center"/>
          </w:tcPr>
          <w:p>
            <w:pPr>
              <w:widowControl/>
              <w:jc w:val="left"/>
              <w:rPr>
                <w:rFonts w:ascii="宋体"/>
                <w:sz w:val="22"/>
                <w:szCs w:val="22"/>
              </w:rPr>
            </w:pPr>
            <w:r>
              <w:rPr>
                <w:rFonts w:hint="eastAsia" w:ascii="宋体"/>
                <w:sz w:val="22"/>
                <w:szCs w:val="22"/>
              </w:rPr>
              <w:t>发生病虫害，植株受害面积不符合养护标准规定每处扣1分；严重导致死亡每次扣2分；使用不当发生药害，致使植物落叶死亡，每次扣2分。</w:t>
            </w: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22"/>
                <w:szCs w:val="22"/>
              </w:rPr>
            </w:pPr>
          </w:p>
        </w:tc>
      </w:tr>
      <w:tr>
        <w:tblPrEx>
          <w:tblCellMar>
            <w:top w:w="0" w:type="dxa"/>
            <w:left w:w="108" w:type="dxa"/>
            <w:bottom w:w="0" w:type="dxa"/>
            <w:right w:w="108" w:type="dxa"/>
          </w:tblCellMar>
        </w:tblPrEx>
        <w:trPr>
          <w:trHeight w:val="670"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22"/>
                <w:szCs w:val="22"/>
              </w:rPr>
            </w:pPr>
            <w:r>
              <w:rPr>
                <w:rFonts w:hint="eastAsia" w:ascii="宋体"/>
                <w:sz w:val="22"/>
                <w:szCs w:val="22"/>
              </w:rPr>
              <w:t>合计分数</w:t>
            </w:r>
          </w:p>
        </w:tc>
        <w:tc>
          <w:tcPr>
            <w:tcW w:w="3308" w:type="dxa"/>
            <w:tcBorders>
              <w:top w:val="single" w:color="auto" w:sz="4" w:space="0"/>
              <w:left w:val="nil"/>
              <w:bottom w:val="single" w:color="auto" w:sz="4" w:space="0"/>
              <w:right w:val="single" w:color="auto" w:sz="4" w:space="0"/>
            </w:tcBorders>
            <w:vAlign w:val="center"/>
          </w:tcPr>
          <w:p>
            <w:pPr>
              <w:widowControl/>
              <w:jc w:val="center"/>
              <w:rPr>
                <w:rFonts w:ascii="宋体"/>
                <w:sz w:val="22"/>
                <w:szCs w:val="22"/>
              </w:rPr>
            </w:pPr>
            <w:r>
              <w:rPr>
                <w:rFonts w:hint="eastAsia" w:ascii="宋体"/>
                <w:sz w:val="22"/>
                <w:szCs w:val="22"/>
              </w:rPr>
              <w:t>　</w:t>
            </w:r>
          </w:p>
        </w:tc>
        <w:tc>
          <w:tcPr>
            <w:tcW w:w="711" w:type="dxa"/>
            <w:tcBorders>
              <w:top w:val="single" w:color="auto" w:sz="4" w:space="0"/>
              <w:left w:val="nil"/>
              <w:bottom w:val="single" w:color="auto" w:sz="4" w:space="0"/>
              <w:right w:val="single" w:color="auto" w:sz="4" w:space="0"/>
            </w:tcBorders>
            <w:vAlign w:val="center"/>
          </w:tcPr>
          <w:p>
            <w:pPr>
              <w:widowControl/>
              <w:jc w:val="center"/>
              <w:rPr>
                <w:rFonts w:ascii="宋体"/>
                <w:sz w:val="22"/>
                <w:szCs w:val="22"/>
              </w:rPr>
            </w:pPr>
            <w:r>
              <w:rPr>
                <w:rFonts w:hint="eastAsia" w:ascii="宋体"/>
                <w:sz w:val="22"/>
                <w:szCs w:val="22"/>
              </w:rPr>
              <w:t>考核人员</w:t>
            </w:r>
          </w:p>
        </w:tc>
        <w:tc>
          <w:tcPr>
            <w:tcW w:w="4045" w:type="dxa"/>
            <w:gridSpan w:val="2"/>
            <w:tcBorders>
              <w:top w:val="single" w:color="auto" w:sz="4" w:space="0"/>
              <w:left w:val="nil"/>
              <w:bottom w:val="single" w:color="auto" w:sz="4" w:space="0"/>
              <w:right w:val="single" w:color="auto" w:sz="4" w:space="0"/>
            </w:tcBorders>
            <w:vAlign w:val="center"/>
          </w:tcPr>
          <w:p>
            <w:pPr>
              <w:widowControl/>
              <w:jc w:val="center"/>
              <w:rPr>
                <w:rFonts w:ascii="宋体"/>
                <w:sz w:val="22"/>
                <w:szCs w:val="22"/>
              </w:rPr>
            </w:pPr>
          </w:p>
        </w:tc>
      </w:tr>
      <w:tr>
        <w:tblPrEx>
          <w:tblCellMar>
            <w:top w:w="0" w:type="dxa"/>
            <w:left w:w="108" w:type="dxa"/>
            <w:bottom w:w="0" w:type="dxa"/>
            <w:right w:w="108" w:type="dxa"/>
          </w:tblCellMar>
        </w:tblPrEx>
        <w:trPr>
          <w:trHeight w:val="3140"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sz w:val="22"/>
                <w:szCs w:val="22"/>
              </w:rPr>
            </w:pPr>
            <w:r>
              <w:rPr>
                <w:rFonts w:hint="eastAsia" w:ascii="宋体"/>
                <w:sz w:val="22"/>
                <w:szCs w:val="22"/>
              </w:rPr>
              <w:t>科室负责人</w:t>
            </w:r>
          </w:p>
        </w:tc>
        <w:tc>
          <w:tcPr>
            <w:tcW w:w="3308" w:type="dxa"/>
            <w:tcBorders>
              <w:top w:val="single" w:color="auto" w:sz="4" w:space="0"/>
              <w:left w:val="nil"/>
              <w:bottom w:val="single" w:color="auto" w:sz="4" w:space="0"/>
              <w:right w:val="single" w:color="auto" w:sz="4" w:space="0"/>
            </w:tcBorders>
            <w:vAlign w:val="center"/>
          </w:tcPr>
          <w:p>
            <w:pPr>
              <w:widowControl/>
              <w:jc w:val="center"/>
              <w:rPr>
                <w:rFonts w:ascii="宋体"/>
                <w:sz w:val="22"/>
                <w:szCs w:val="22"/>
              </w:rPr>
            </w:pPr>
          </w:p>
        </w:tc>
        <w:tc>
          <w:tcPr>
            <w:tcW w:w="711" w:type="dxa"/>
            <w:tcBorders>
              <w:top w:val="single" w:color="auto" w:sz="4" w:space="0"/>
              <w:left w:val="nil"/>
              <w:bottom w:val="single" w:color="auto" w:sz="4" w:space="0"/>
              <w:right w:val="single" w:color="auto" w:sz="4" w:space="0"/>
            </w:tcBorders>
            <w:vAlign w:val="center"/>
          </w:tcPr>
          <w:p>
            <w:pPr>
              <w:widowControl/>
              <w:jc w:val="center"/>
              <w:rPr>
                <w:rFonts w:ascii="宋体"/>
                <w:sz w:val="22"/>
                <w:szCs w:val="22"/>
              </w:rPr>
            </w:pPr>
            <w:r>
              <w:rPr>
                <w:rFonts w:hint="eastAsia" w:ascii="宋体"/>
                <w:sz w:val="22"/>
                <w:szCs w:val="22"/>
              </w:rPr>
              <w:t>分管领导</w:t>
            </w:r>
          </w:p>
        </w:tc>
        <w:tc>
          <w:tcPr>
            <w:tcW w:w="4045" w:type="dxa"/>
            <w:gridSpan w:val="2"/>
            <w:tcBorders>
              <w:top w:val="single" w:color="auto" w:sz="4" w:space="0"/>
              <w:left w:val="nil"/>
              <w:bottom w:val="single" w:color="auto" w:sz="4" w:space="0"/>
              <w:right w:val="single" w:color="auto" w:sz="4" w:space="0"/>
            </w:tcBorders>
            <w:vAlign w:val="center"/>
          </w:tcPr>
          <w:p>
            <w:pPr>
              <w:widowControl/>
              <w:jc w:val="center"/>
              <w:rPr>
                <w:rFonts w:ascii="宋体"/>
                <w:sz w:val="22"/>
                <w:szCs w:val="22"/>
              </w:rPr>
            </w:pPr>
          </w:p>
        </w:tc>
      </w:tr>
    </w:tbl>
    <w:p>
      <w:pPr>
        <w:spacing w:line="480" w:lineRule="exact"/>
        <w:ind w:firstLine="220" w:firstLineChars="100"/>
        <w:rPr>
          <w:rFonts w:ascii="宋体" w:hAnsi="宋体"/>
        </w:rPr>
      </w:pPr>
      <w:r>
        <w:rPr>
          <w:rFonts w:hint="eastAsia" w:ascii="宋体"/>
          <w:sz w:val="22"/>
          <w:szCs w:val="22"/>
        </w:rPr>
        <w:t xml:space="preserve">                                      日期：</w:t>
      </w:r>
    </w:p>
    <w:p/>
    <w:p>
      <w:pPr>
        <w:rPr>
          <w:rFonts w:ascii="宋体" w:hAnsi="宋体" w:cs="宋体"/>
          <w:sz w:val="30"/>
          <w:szCs w:val="30"/>
        </w:rPr>
      </w:pPr>
      <w:r>
        <w:rPr>
          <w:rFonts w:hint="eastAsia" w:ascii="宋体" w:hAnsi="宋体" w:cs="宋体"/>
          <w:sz w:val="30"/>
          <w:szCs w:val="30"/>
        </w:rPr>
        <w:br w:type="page"/>
      </w:r>
    </w:p>
    <w:p>
      <w:pPr>
        <w:pStyle w:val="23"/>
        <w:rPr>
          <w:rFonts w:ascii="宋体" w:hAnsi="宋体" w:cs="宋体"/>
          <w:sz w:val="30"/>
          <w:szCs w:val="30"/>
        </w:rPr>
      </w:pPr>
      <w:r>
        <w:rPr>
          <w:rFonts w:hint="eastAsia" w:ascii="宋体" w:hAnsi="宋体" w:cs="宋体"/>
          <w:sz w:val="30"/>
          <w:szCs w:val="30"/>
        </w:rPr>
        <w:t>第三部分 供应商须知</w:t>
      </w:r>
      <w:bookmarkEnd w:id="13"/>
      <w:bookmarkEnd w:id="14"/>
      <w:bookmarkEnd w:id="15"/>
    </w:p>
    <w:p>
      <w:pPr>
        <w:widowControl/>
        <w:autoSpaceDE w:val="0"/>
        <w:autoSpaceDN w:val="0"/>
        <w:adjustRightInd w:val="0"/>
        <w:spacing w:line="460" w:lineRule="atLeast"/>
        <w:textAlignment w:val="bottom"/>
        <w:rPr>
          <w:rFonts w:ascii="宋体" w:hAnsi="宋体" w:cs="宋体"/>
          <w:b/>
          <w:bCs/>
          <w:sz w:val="22"/>
          <w:szCs w:val="22"/>
        </w:rPr>
      </w:pPr>
      <w:bookmarkStart w:id="17" w:name="_Toc461563852"/>
      <w:r>
        <w:rPr>
          <w:rFonts w:hint="eastAsia" w:ascii="宋体" w:hAnsi="宋体" w:cs="宋体"/>
          <w:b/>
          <w:bCs/>
          <w:sz w:val="22"/>
          <w:szCs w:val="22"/>
        </w:rPr>
        <w:t>一、说明</w:t>
      </w:r>
      <w:bookmarkEnd w:id="17"/>
    </w:p>
    <w:p>
      <w:pPr>
        <w:widowControl/>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1、本次采购工作是按照《中华人民共和国政府采购法》、《政府采购货物和服务招标投标管理办法》及相关法律规章组织和实施。</w:t>
      </w:r>
    </w:p>
    <w:p>
      <w:pPr>
        <w:widowControl/>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2、供应商必须对全部内容进行投标报价，只对部分内容进行投标报价的供应商将按无效投标处理。</w:t>
      </w:r>
    </w:p>
    <w:p>
      <w:pPr>
        <w:widowControl/>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3、无论投标过程中的作法和结果如何，供应商自行承担投标活动中所发生的全部费用。采购人有权选择中标供应商的服务范围。</w:t>
      </w:r>
    </w:p>
    <w:p>
      <w:pPr>
        <w:widowControl/>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4、本次采购采用商务投标文件与技术资信文件分别评审，评标委员会首先评审供应商技术资信部分，技术资信部分无效的供应商不进入商务报价评审。</w:t>
      </w:r>
    </w:p>
    <w:p>
      <w:pPr>
        <w:widowControl/>
        <w:autoSpaceDE w:val="0"/>
        <w:autoSpaceDN w:val="0"/>
        <w:adjustRightInd w:val="0"/>
        <w:spacing w:line="460" w:lineRule="atLeast"/>
        <w:ind w:firstLine="440" w:firstLineChars="200"/>
        <w:textAlignment w:val="bottom"/>
        <w:rPr>
          <w:rFonts w:ascii="宋体" w:hAnsi="宋体" w:cs="宋体"/>
          <w:sz w:val="22"/>
          <w:szCs w:val="22"/>
          <w:u w:val="single"/>
        </w:rPr>
      </w:pPr>
      <w:r>
        <w:rPr>
          <w:rFonts w:hint="eastAsia" w:ascii="宋体" w:hAnsi="宋体" w:cs="宋体"/>
          <w:sz w:val="22"/>
          <w:szCs w:val="22"/>
          <w:u w:val="single"/>
        </w:rPr>
        <w:t>5、供应商须自行现场勘察，确认采购人的实际需求，取得准确的报价依据。如果认为招标文件描述或所列范围、面积与实际情况有较大出入，请在规定的招标质疑截止时间前列出详细的异议意见和数据向采购代理机构书面反映，逾期不得再对招标文件的条款提出质疑，视为接受招标文件，投标供应商中标后不得以各种理由提出增价要求，否则做投标违约处理，采购人有权取消其中标资格。</w:t>
      </w:r>
    </w:p>
    <w:p>
      <w:pPr>
        <w:widowControl/>
        <w:autoSpaceDE w:val="0"/>
        <w:autoSpaceDN w:val="0"/>
        <w:adjustRightInd w:val="0"/>
        <w:spacing w:line="460" w:lineRule="atLeast"/>
        <w:ind w:firstLine="440" w:firstLineChars="200"/>
        <w:textAlignment w:val="bottom"/>
        <w:rPr>
          <w:rFonts w:ascii="宋体" w:hAnsi="宋体" w:cs="宋体"/>
          <w:b/>
          <w:bCs/>
          <w:sz w:val="22"/>
          <w:szCs w:val="22"/>
          <w:u w:val="single"/>
        </w:rPr>
      </w:pPr>
      <w:r>
        <w:rPr>
          <w:rFonts w:hint="eastAsia" w:ascii="宋体" w:hAnsi="宋体" w:cs="宋体"/>
          <w:sz w:val="22"/>
          <w:szCs w:val="22"/>
        </w:rPr>
        <w:t>6、</w:t>
      </w:r>
      <w:r>
        <w:rPr>
          <w:rFonts w:hint="eastAsia" w:ascii="宋体" w:hAnsi="宋体" w:cs="宋体"/>
          <w:b/>
          <w:bCs/>
          <w:sz w:val="22"/>
          <w:szCs w:val="22"/>
          <w:u w:val="single"/>
        </w:rPr>
        <w:t>本项目采购预算见采购公告。</w:t>
      </w:r>
    </w:p>
    <w:p>
      <w:pPr>
        <w:widowControl/>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lang w:val="zh-CN"/>
        </w:rPr>
        <w:t>7、</w:t>
      </w:r>
      <w:r>
        <w:rPr>
          <w:rFonts w:hint="eastAsia" w:ascii="宋体" w:hAnsi="宋体" w:cs="宋体"/>
          <w:sz w:val="22"/>
          <w:szCs w:val="22"/>
        </w:rPr>
        <w:t>投标供应商认为为完成本招标文件规定的项目承包内容所发生的直接成本、间接成本、利润、税金、政策性文件规定的费用等一切费用均应计入投标报价，凡未列入的将被认为均已包含在投标报价中，今后不得以任何理由追加或调整。</w:t>
      </w:r>
    </w:p>
    <w:p>
      <w:pPr>
        <w:widowControl/>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8、</w:t>
      </w:r>
      <w:r>
        <w:rPr>
          <w:rFonts w:hint="eastAsia" w:ascii="宋体" w:hAnsi="宋体" w:cs="宋体"/>
          <w:b/>
          <w:bCs/>
          <w:sz w:val="22"/>
          <w:szCs w:val="22"/>
        </w:rPr>
        <w:t>供应商如果报名后不来参与本次投标要在投标截止前3天给予书面告知及其理由。</w:t>
      </w:r>
    </w:p>
    <w:p>
      <w:pPr>
        <w:widowControl/>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9、采用最低评标价法的采购项目，提供相同品牌产品的不同投标供应商参加同一合同项下投标的，以其中通过资格审查、符合性审查且报价最低的参加评标；报价相同的，采取随机抽取方式确定，其他投标无效。</w:t>
      </w:r>
    </w:p>
    <w:p>
      <w:pPr>
        <w:widowControl/>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使用综合评分法的采购项目，提供相同品牌产品且通过资格审查、符合性审查的不同投标供应商参加同一合同项下投标的，按一家投标供应商计算，评审后得分最高的同品牌投标供应商获得中标人推荐资格；评审得分相同的，采取随机抽取方式确定，其他同品牌投标供应商不作为中标候选人。</w:t>
      </w:r>
    </w:p>
    <w:p>
      <w:pPr>
        <w:widowControl/>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非单一产品采购项目， 单项产品投标价格比重占总投标价 50% 及以上的认定为核心产品 （有效投标供应商中一家供应商该产品投标价格占总投标价 50% 级以上即认定）， 多家投标人提供的核心产品品牌相同的，按前两款规定处理。</w:t>
      </w:r>
    </w:p>
    <w:p>
      <w:pPr>
        <w:widowControl/>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10、本项目对符合财政扶持政策的中小企业（小型、微型）、监狱企业、残疾人福利性单位给予价格优惠扶持，执行节能产品政府强制采购和优先采购政策，执行环境标志产品政府优先采购政策；</w:t>
      </w:r>
    </w:p>
    <w:p>
      <w:pPr>
        <w:widowControl/>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11、根据浙江省财政厅《关于坚决打赢疫情防控狙击战进一步做好政府采购资金支持企业发展工作的通知》（浙财采监〔2020〕3号）和永嘉县财政局《关于做好政府采购相关工作应对新冠肺炎疫情支持中小企业共渡难关的通知》（永财采监〔2020〕47号）文件精神，永嘉县财政局积极协同永嘉县相关金融机构，加快推广政采贷、履约保函等政府采购金融服务。各中标供应商可直接在政采云上申请政采贷也可以通过线下申请政采贷活动，永嘉县域内金融机构政采贷服务业务介绍详见采购公告“政采贷融资”，如有需要可直接联系。</w:t>
      </w:r>
    </w:p>
    <w:p>
      <w:pPr>
        <w:widowControl/>
        <w:autoSpaceDE w:val="0"/>
        <w:autoSpaceDN w:val="0"/>
        <w:adjustRightInd w:val="0"/>
        <w:spacing w:line="460" w:lineRule="atLeast"/>
        <w:ind w:firstLine="440" w:firstLineChars="200"/>
        <w:textAlignment w:val="bottom"/>
      </w:pPr>
      <w:r>
        <w:rPr>
          <w:rFonts w:hint="eastAsia" w:ascii="宋体" w:hAnsi="宋体" w:cs="宋体"/>
          <w:sz w:val="22"/>
          <w:szCs w:val="22"/>
        </w:rPr>
        <w:t>12、投标人代表指全权代表投标人参加投标活动并签署投标文件的人。如果投标人代表是法定代表人的，仅须提供身份证扫描件；如果投标人代表不是法定代表人，须持有《法定代表人授权书》。</w:t>
      </w:r>
    </w:p>
    <w:p>
      <w:pPr>
        <w:widowControl/>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13、中标供应商必须是已申请加入浙江省政府采购供应商库的，未申请加入的请到浙江省政府采购网申请加入：</w:t>
      </w:r>
      <w:r>
        <w:fldChar w:fldCharType="begin"/>
      </w:r>
      <w:r>
        <w:instrText xml:space="preserve"> HYPERLINK "http://www.zjzfcg.gov.cn/new/zytz/257927.html" </w:instrText>
      </w:r>
      <w:r>
        <w:fldChar w:fldCharType="separate"/>
      </w:r>
      <w:r>
        <w:rPr>
          <w:rFonts w:hint="eastAsia" w:ascii="宋体" w:hAnsi="宋体" w:cs="宋体"/>
          <w:sz w:val="22"/>
          <w:szCs w:val="22"/>
        </w:rPr>
        <w:t>http://www.zjzfcg.gov.cn/new/zytz/257927.html</w:t>
      </w:r>
      <w:r>
        <w:rPr>
          <w:rFonts w:hint="eastAsia" w:ascii="宋体" w:hAnsi="宋体" w:cs="宋体"/>
          <w:sz w:val="22"/>
          <w:szCs w:val="22"/>
        </w:rPr>
        <w:fldChar w:fldCharType="end"/>
      </w:r>
      <w:r>
        <w:rPr>
          <w:rFonts w:hint="eastAsia" w:ascii="宋体" w:hAnsi="宋体" w:cs="宋体"/>
          <w:sz w:val="22"/>
          <w:szCs w:val="22"/>
        </w:rPr>
        <w:t xml:space="preserve"> 。</w:t>
      </w:r>
    </w:p>
    <w:p>
      <w:pPr>
        <w:widowControl/>
        <w:autoSpaceDE w:val="0"/>
        <w:autoSpaceDN w:val="0"/>
        <w:adjustRightInd w:val="0"/>
        <w:spacing w:line="460" w:lineRule="atLeast"/>
        <w:textAlignment w:val="bottom"/>
        <w:rPr>
          <w:rFonts w:ascii="宋体" w:hAnsi="宋体" w:cs="宋体"/>
          <w:b/>
          <w:bCs/>
          <w:sz w:val="22"/>
          <w:szCs w:val="22"/>
        </w:rPr>
      </w:pPr>
      <w:bookmarkStart w:id="18" w:name="_Toc461563853"/>
      <w:r>
        <w:rPr>
          <w:rFonts w:hint="eastAsia" w:ascii="宋体" w:hAnsi="宋体" w:cs="宋体"/>
          <w:b/>
          <w:bCs/>
          <w:sz w:val="22"/>
          <w:szCs w:val="22"/>
        </w:rPr>
        <w:t>二、供应商资格条件</w:t>
      </w:r>
      <w:bookmarkEnd w:id="18"/>
    </w:p>
    <w:p>
      <w:pPr>
        <w:autoSpaceDE w:val="0"/>
        <w:autoSpaceDN w:val="0"/>
        <w:adjustRightInd w:val="0"/>
        <w:spacing w:line="450" w:lineRule="exact"/>
        <w:ind w:firstLine="440" w:firstLineChars="200"/>
        <w:rPr>
          <w:rFonts w:ascii="宋体" w:hAnsi="宋体" w:cs="宋体"/>
          <w:sz w:val="22"/>
          <w:szCs w:val="22"/>
          <w:lang w:val="zh-CN"/>
        </w:rPr>
      </w:pPr>
      <w:r>
        <w:rPr>
          <w:rFonts w:hint="eastAsia" w:ascii="宋体" w:hAnsi="宋体" w:cs="宋体"/>
          <w:sz w:val="22"/>
          <w:szCs w:val="22"/>
          <w:lang w:val="zh-CN"/>
        </w:rPr>
        <w:t>按招标公告要求。</w:t>
      </w:r>
    </w:p>
    <w:p>
      <w:pPr>
        <w:widowControl/>
        <w:autoSpaceDE w:val="0"/>
        <w:autoSpaceDN w:val="0"/>
        <w:adjustRightInd w:val="0"/>
        <w:spacing w:line="460" w:lineRule="atLeast"/>
        <w:textAlignment w:val="bottom"/>
        <w:rPr>
          <w:rFonts w:ascii="宋体" w:hAnsi="宋体" w:cs="宋体"/>
          <w:b/>
          <w:bCs/>
          <w:sz w:val="22"/>
          <w:szCs w:val="22"/>
        </w:rPr>
      </w:pPr>
      <w:bookmarkStart w:id="19" w:name="_Toc461563854"/>
      <w:r>
        <w:rPr>
          <w:rFonts w:hint="eastAsia" w:ascii="宋体" w:hAnsi="宋体" w:cs="宋体"/>
          <w:b/>
          <w:bCs/>
          <w:sz w:val="22"/>
          <w:szCs w:val="22"/>
        </w:rPr>
        <w:t>三、招标文件</w:t>
      </w:r>
      <w:bookmarkEnd w:id="19"/>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1、招标文件</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1.1、招标文件约束力</w:t>
      </w:r>
    </w:p>
    <w:p>
      <w:pPr>
        <w:autoSpaceDE w:val="0"/>
        <w:autoSpaceDN w:val="0"/>
        <w:adjustRightInd w:val="0"/>
        <w:spacing w:line="460" w:lineRule="atLeast"/>
        <w:ind w:firstLine="440" w:firstLineChars="200"/>
        <w:rPr>
          <w:rFonts w:ascii="宋体" w:hAnsi="宋体" w:cs="宋体"/>
          <w:sz w:val="22"/>
          <w:szCs w:val="22"/>
          <w:u w:val="single"/>
        </w:rPr>
      </w:pPr>
      <w:r>
        <w:rPr>
          <w:rFonts w:hint="eastAsia" w:ascii="宋体" w:hAnsi="宋体" w:cs="宋体"/>
          <w:sz w:val="22"/>
          <w:szCs w:val="22"/>
        </w:rPr>
        <w:t>▲</w:t>
      </w:r>
      <w:r>
        <w:rPr>
          <w:rFonts w:hint="eastAsia" w:ascii="宋体" w:hAnsi="宋体" w:cs="宋体"/>
          <w:b/>
          <w:bCs/>
          <w:sz w:val="22"/>
          <w:szCs w:val="22"/>
          <w:u w:val="single"/>
        </w:rPr>
        <w:t>供应商一旦获取了本招标文件并参加投标，即被认为接受了本招标文件中所有条款和规定。</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1.2、招标文件的组成</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招标文件由招标文件总目录所列内容及补充资料等组成。</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2、招标文件的澄清</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供应商对招标文件如有质疑或需要澄清，以书面形式或在政采云（在线询问和质疑系统）中向采购人、采购代理机构提出，但通知不得迟于规定的质疑时间前使采购代理机构收到，采购代理机构将用书面形式予以答复。如有必要，可将不说明来源的答复书面发给各有关供应商并予以公告。</w:t>
      </w:r>
      <w:r>
        <w:rPr>
          <w:rFonts w:hint="eastAsia" w:ascii="宋体" w:hAnsi="宋体" w:cs="宋体"/>
          <w:b/>
          <w:bCs/>
          <w:sz w:val="22"/>
          <w:szCs w:val="22"/>
        </w:rPr>
        <w:t>任何口头答复均不作为投标依据。</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3、招标文件的修改</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3.1、在投标截止时间前，采购人有权澄清或者修改招标文件，并以书面形式（补充、更正文件）通知供应商。补充、更正文件作为招标文件的组成部分，对所有投标供应商均有约束力。</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3.2、澄清或者修改的内容可能影响投标文件编制的，采购人或者采购代理机构在投标截止时间至少15日前，以书面形式通知所有获取招标文件的潜在投标供应商；不足15日的，采购人或者采购代理机构顺延提交投标文件的截止时间。</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3.3、补充、更正文件在浙江政府采购网（http://www.zjzfcg.gov.cn/）予以公告公布。</w:t>
      </w:r>
      <w:bookmarkEnd w:id="1"/>
    </w:p>
    <w:p>
      <w:pPr>
        <w:widowControl/>
        <w:autoSpaceDE w:val="0"/>
        <w:autoSpaceDN w:val="0"/>
        <w:adjustRightInd w:val="0"/>
        <w:spacing w:line="460" w:lineRule="atLeast"/>
        <w:textAlignment w:val="bottom"/>
        <w:rPr>
          <w:rFonts w:ascii="宋体" w:hAnsi="宋体" w:cs="宋体"/>
          <w:b/>
          <w:bCs/>
          <w:sz w:val="22"/>
          <w:szCs w:val="22"/>
        </w:rPr>
      </w:pPr>
      <w:bookmarkStart w:id="20" w:name="_Toc496116252"/>
      <w:r>
        <w:rPr>
          <w:rFonts w:hint="eastAsia" w:ascii="宋体" w:hAnsi="宋体" w:cs="宋体"/>
          <w:b/>
          <w:bCs/>
          <w:sz w:val="22"/>
          <w:szCs w:val="22"/>
        </w:rPr>
        <w:t>四、投标文件</w:t>
      </w:r>
      <w:bookmarkEnd w:id="20"/>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1、投标文件</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1.1供应商提交的投标文件以及供应商与采购人就有关投标的所有来往函电均应使用中文。供应商可以提交用其它语言印制的资料，但必须译成中文，在有差异和矛盾时以中文为准。</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1.2供应商提交的投标文件报价均采用人民币报价。</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1.3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在基本满足招标技术要求的前提下出现的微小差异。</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1.4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1.5供应商应仔细阅读招标文件中的所有内容，按照招标文件要求，详细编制投标文件，所有文件资料必须是针对本次投标。不按招标文件的要求提供的投标文件可能导致被拒绝。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pacing w:line="460" w:lineRule="atLeast"/>
        <w:ind w:firstLine="440" w:firstLineChars="200"/>
        <w:rPr>
          <w:rFonts w:ascii="宋体" w:hAnsi="宋体" w:cs="宋体"/>
          <w:sz w:val="22"/>
          <w:szCs w:val="22"/>
          <w:lang w:val="zh-CN"/>
        </w:rPr>
      </w:pPr>
      <w:r>
        <w:rPr>
          <w:rFonts w:hint="eastAsia" w:ascii="宋体" w:hAnsi="宋体" w:cs="宋体"/>
          <w:sz w:val="22"/>
          <w:szCs w:val="22"/>
          <w:lang w:val="zh-CN"/>
        </w:rPr>
        <w:t>2、投标文件的组成</w:t>
      </w:r>
    </w:p>
    <w:p>
      <w:pPr>
        <w:autoSpaceDE w:val="0"/>
        <w:autoSpaceDN w:val="0"/>
        <w:adjustRightInd w:val="0"/>
        <w:spacing w:line="460" w:lineRule="atLeast"/>
        <w:ind w:firstLine="442" w:firstLineChars="200"/>
        <w:rPr>
          <w:rFonts w:ascii="宋体" w:hAnsi="宋体" w:cs="宋体"/>
          <w:b/>
          <w:bCs/>
          <w:sz w:val="22"/>
          <w:szCs w:val="22"/>
          <w:lang w:val="zh-CN"/>
        </w:rPr>
      </w:pPr>
      <w:r>
        <w:rPr>
          <w:rFonts w:hint="eastAsia" w:ascii="宋体" w:hAnsi="宋体" w:cs="宋体"/>
          <w:b/>
          <w:bCs/>
          <w:sz w:val="22"/>
          <w:szCs w:val="22"/>
          <w:u w:val="single"/>
        </w:rPr>
        <w:t>投标文件由资格证明文件、报价文件部分和技术资信部分三部分组成。</w:t>
      </w:r>
    </w:p>
    <w:p>
      <w:pPr>
        <w:autoSpaceDE w:val="0"/>
        <w:autoSpaceDN w:val="0"/>
        <w:adjustRightInd w:val="0"/>
        <w:spacing w:line="450" w:lineRule="atLeast"/>
        <w:ind w:firstLine="442" w:firstLineChars="200"/>
        <w:rPr>
          <w:rFonts w:ascii="宋体" w:hAnsi="宋体" w:cs="宋体"/>
          <w:b/>
          <w:bCs/>
          <w:sz w:val="22"/>
          <w:szCs w:val="22"/>
          <w:u w:val="single"/>
          <w:lang w:val="zh-CN"/>
        </w:rPr>
      </w:pPr>
      <w:bookmarkStart w:id="21" w:name="_Toc132122115"/>
      <w:bookmarkStart w:id="22" w:name="_Toc132122412"/>
      <w:r>
        <w:rPr>
          <w:rFonts w:hint="eastAsia" w:ascii="宋体" w:hAnsi="宋体" w:cs="宋体"/>
          <w:b/>
          <w:bCs/>
          <w:sz w:val="22"/>
          <w:szCs w:val="22"/>
          <w:u w:val="single"/>
          <w:lang w:val="zh-CN"/>
        </w:rPr>
        <w:t>2.1、资格证明文件部分组成</w:t>
      </w:r>
    </w:p>
    <w:tbl>
      <w:tblPr>
        <w:tblStyle w:val="2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9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30" w:lineRule="atLeast"/>
              <w:jc w:val="center"/>
              <w:rPr>
                <w:rFonts w:ascii="宋体" w:hAnsi="宋体" w:cs="宋体"/>
                <w:b/>
                <w:bCs/>
                <w:sz w:val="22"/>
                <w:lang w:val="zh-CN"/>
              </w:rPr>
            </w:pPr>
            <w:r>
              <w:rPr>
                <w:rFonts w:hint="eastAsia" w:ascii="宋体" w:hAnsi="宋体" w:cs="宋体"/>
                <w:b/>
                <w:bCs/>
                <w:sz w:val="22"/>
                <w:szCs w:val="22"/>
                <w:lang w:val="zh-CN"/>
              </w:rPr>
              <w:t>序号</w:t>
            </w:r>
          </w:p>
        </w:tc>
        <w:tc>
          <w:tcPr>
            <w:tcW w:w="905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30" w:lineRule="atLeast"/>
              <w:jc w:val="center"/>
              <w:rPr>
                <w:rFonts w:ascii="宋体" w:hAnsi="宋体" w:cs="宋体"/>
                <w:b/>
                <w:bCs/>
                <w:sz w:val="22"/>
                <w:lang w:val="zh-CN"/>
              </w:rPr>
            </w:pPr>
            <w:r>
              <w:rPr>
                <w:rFonts w:hint="eastAsia" w:ascii="宋体" w:hAnsi="宋体" w:cs="宋体"/>
                <w:b/>
                <w:bCs/>
                <w:sz w:val="22"/>
                <w:szCs w:val="22"/>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dxa"/>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ascii="宋体" w:hAnsi="宋体" w:cs="宋体"/>
                <w:bCs/>
                <w:sz w:val="22"/>
                <w:lang w:val="zh-CN"/>
              </w:rPr>
            </w:pPr>
            <w:r>
              <w:rPr>
                <w:rFonts w:hint="eastAsia" w:ascii="宋体" w:hAnsi="宋体" w:cs="宋体"/>
                <w:bCs/>
                <w:sz w:val="22"/>
                <w:szCs w:val="22"/>
                <w:lang w:val="zh-CN"/>
              </w:rPr>
              <w:t>1</w:t>
            </w:r>
          </w:p>
        </w:tc>
        <w:tc>
          <w:tcPr>
            <w:tcW w:w="9054" w:type="dxa"/>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ascii="宋体" w:hAnsi="宋体" w:cs="宋体"/>
                <w:bCs/>
                <w:sz w:val="22"/>
                <w:lang w:val="zh-CN"/>
              </w:rPr>
            </w:pPr>
            <w:r>
              <w:rPr>
                <w:rFonts w:hint="eastAsia" w:ascii="宋体" w:hAnsi="宋体" w:cs="宋体"/>
                <w:bCs/>
                <w:sz w:val="22"/>
                <w:szCs w:val="22"/>
              </w:rPr>
              <w:t>投标供应商的营业执照（或事业法人登记证书或其它工商等登记证明材料）、税务登记证（如为多证合一仅需提供营业执照（或事业法人登记证书或其它工商等登记证明材料），扫描件加盖公章），若为投标人联合体的，除提供联合体各方的营业执照外，还须提供联合体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dxa"/>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ascii="宋体" w:hAnsi="宋体" w:cs="宋体"/>
                <w:bCs/>
                <w:sz w:val="22"/>
                <w:lang w:val="zh-CN"/>
              </w:rPr>
            </w:pPr>
            <w:r>
              <w:rPr>
                <w:rFonts w:hint="eastAsia" w:ascii="宋体" w:hAnsi="宋体" w:cs="宋体"/>
                <w:bCs/>
                <w:sz w:val="22"/>
                <w:szCs w:val="22"/>
                <w:lang w:val="zh-CN"/>
              </w:rPr>
              <w:t>2</w:t>
            </w:r>
          </w:p>
        </w:tc>
        <w:tc>
          <w:tcPr>
            <w:tcW w:w="9054" w:type="dxa"/>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ascii="宋体" w:hAnsi="宋体" w:cs="宋体"/>
                <w:bCs/>
                <w:sz w:val="22"/>
              </w:rPr>
            </w:pPr>
            <w:r>
              <w:rPr>
                <w:rFonts w:hint="eastAsia" w:ascii="宋体" w:hAnsi="宋体" w:cs="宋体"/>
                <w:sz w:val="22"/>
                <w:szCs w:val="22"/>
              </w:rPr>
              <w:t>投标人最近一年度的资产负债表、损益表或利润表(新成立的公司，必须提供情况说明）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dxa"/>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ascii="宋体" w:hAnsi="宋体" w:cs="宋体"/>
                <w:bCs/>
                <w:sz w:val="22"/>
              </w:rPr>
            </w:pPr>
            <w:r>
              <w:rPr>
                <w:rFonts w:hint="eastAsia" w:ascii="宋体" w:hAnsi="宋体" w:cs="宋体"/>
                <w:bCs/>
                <w:sz w:val="22"/>
                <w:szCs w:val="22"/>
              </w:rPr>
              <w:t>3</w:t>
            </w:r>
          </w:p>
        </w:tc>
        <w:tc>
          <w:tcPr>
            <w:tcW w:w="9054" w:type="dxa"/>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ascii="宋体" w:hAnsi="宋体" w:cs="宋体"/>
                <w:bCs/>
                <w:sz w:val="22"/>
              </w:rPr>
            </w:pPr>
            <w:r>
              <w:rPr>
                <w:rFonts w:hint="eastAsia" w:ascii="宋体" w:hAnsi="宋体" w:cs="宋体"/>
                <w:sz w:val="22"/>
                <w:szCs w:val="22"/>
              </w:rPr>
              <w:t>具有履行合同所必需的设备和专业技术能力的承诺函（附件一）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0" w:type="dxa"/>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ascii="宋体" w:hAnsi="宋体" w:cs="宋体"/>
                <w:bCs/>
                <w:sz w:val="22"/>
              </w:rPr>
            </w:pPr>
            <w:r>
              <w:rPr>
                <w:rFonts w:hint="eastAsia" w:ascii="宋体" w:hAnsi="宋体" w:cs="宋体"/>
                <w:bCs/>
                <w:sz w:val="22"/>
                <w:szCs w:val="22"/>
              </w:rPr>
              <w:t>4</w:t>
            </w:r>
          </w:p>
        </w:tc>
        <w:tc>
          <w:tcPr>
            <w:tcW w:w="9054" w:type="dxa"/>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rPr>
                <w:rFonts w:ascii="宋体" w:hAnsi="宋体" w:cs="宋体"/>
                <w:bCs/>
                <w:sz w:val="22"/>
              </w:rPr>
            </w:pPr>
            <w:r>
              <w:rPr>
                <w:rFonts w:hint="eastAsia" w:ascii="宋体" w:hAnsi="宋体" w:cs="宋体"/>
                <w:bCs/>
                <w:sz w:val="22"/>
                <w:szCs w:val="22"/>
              </w:rPr>
              <w:t>依法缴纳税收和社会保障资金的承诺函（附件二）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dxa"/>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ascii="宋体" w:hAnsi="宋体" w:cs="宋体"/>
                <w:bCs/>
                <w:sz w:val="22"/>
              </w:rPr>
            </w:pPr>
            <w:r>
              <w:rPr>
                <w:rFonts w:hint="eastAsia" w:ascii="宋体" w:hAnsi="宋体" w:cs="宋体"/>
                <w:bCs/>
                <w:sz w:val="22"/>
                <w:szCs w:val="22"/>
              </w:rPr>
              <w:t>5</w:t>
            </w:r>
          </w:p>
        </w:tc>
        <w:tc>
          <w:tcPr>
            <w:tcW w:w="9054" w:type="dxa"/>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ascii="宋体" w:hAnsi="宋体" w:cs="宋体"/>
                <w:bCs/>
                <w:sz w:val="22"/>
              </w:rPr>
            </w:pPr>
            <w:r>
              <w:rPr>
                <w:rFonts w:hint="eastAsia" w:ascii="宋体" w:hAnsi="宋体" w:cs="宋体"/>
                <w:sz w:val="22"/>
                <w:szCs w:val="22"/>
              </w:rPr>
              <w:t>参加政府采购活动前3年内（新成立不满三年的组织机构自成立之日起算）在经营活动中没有重大违法记录的声明函（附件三）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dxa"/>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ascii="宋体" w:hAnsi="宋体" w:cs="宋体"/>
                <w:bCs/>
                <w:sz w:val="22"/>
                <w:lang w:val="zh-CN"/>
              </w:rPr>
            </w:pPr>
            <w:r>
              <w:rPr>
                <w:rFonts w:hint="eastAsia" w:ascii="宋体" w:hAnsi="宋体" w:cs="宋体"/>
                <w:bCs/>
                <w:sz w:val="22"/>
                <w:szCs w:val="22"/>
                <w:lang w:val="zh-CN"/>
              </w:rPr>
              <w:t>6</w:t>
            </w:r>
          </w:p>
        </w:tc>
        <w:tc>
          <w:tcPr>
            <w:tcW w:w="9054" w:type="dxa"/>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ascii="宋体" w:hAnsi="宋体" w:cs="宋体"/>
                <w:bCs/>
                <w:sz w:val="22"/>
              </w:rPr>
            </w:pPr>
            <w:r>
              <w:rPr>
                <w:rFonts w:hint="eastAsia" w:ascii="宋体" w:hAnsi="宋体" w:cs="宋体"/>
                <w:bCs/>
                <w:sz w:val="22"/>
                <w:szCs w:val="22"/>
              </w:rPr>
              <w:t>投标供应商特定资格条件证明：无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dxa"/>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ascii="宋体" w:hAnsi="宋体" w:cs="宋体"/>
                <w:bCs/>
                <w:sz w:val="22"/>
              </w:rPr>
            </w:pPr>
            <w:r>
              <w:rPr>
                <w:rFonts w:hint="eastAsia" w:ascii="宋体" w:hAnsi="宋体" w:cs="宋体"/>
                <w:bCs/>
                <w:sz w:val="22"/>
                <w:szCs w:val="22"/>
              </w:rPr>
              <w:t>7</w:t>
            </w:r>
          </w:p>
        </w:tc>
        <w:tc>
          <w:tcPr>
            <w:tcW w:w="9054" w:type="dxa"/>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ascii="宋体" w:hAnsi="宋体" w:cs="宋体"/>
                <w:bCs/>
                <w:sz w:val="22"/>
              </w:rPr>
            </w:pPr>
            <w:r>
              <w:rPr>
                <w:rFonts w:hint="eastAsia" w:ascii="宋体" w:hAnsi="宋体" w:cs="宋体"/>
                <w:bCs/>
                <w:sz w:val="22"/>
                <w:szCs w:val="22"/>
              </w:rPr>
              <w:t>投标供应商“信用中国”(www.creditchina.gov.cn)；“中国政府采购网”（www.ccgp.gov.cn）信用记录查询网页截图（采购公告发布之日至响应文件递交截止时间前）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dxa"/>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ascii="宋体" w:hAnsi="宋体" w:cs="宋体"/>
                <w:bCs/>
                <w:sz w:val="22"/>
              </w:rPr>
            </w:pPr>
            <w:r>
              <w:rPr>
                <w:rFonts w:hint="eastAsia" w:ascii="宋体" w:hAnsi="宋体" w:cs="宋体"/>
                <w:bCs/>
                <w:sz w:val="22"/>
                <w:szCs w:val="22"/>
              </w:rPr>
              <w:t>8</w:t>
            </w:r>
          </w:p>
        </w:tc>
        <w:tc>
          <w:tcPr>
            <w:tcW w:w="9054" w:type="dxa"/>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ascii="宋体" w:hAnsi="宋体" w:cs="宋体"/>
                <w:bCs/>
                <w:sz w:val="22"/>
              </w:rPr>
            </w:pPr>
            <w:r>
              <w:rPr>
                <w:rFonts w:hint="eastAsia" w:ascii="宋体" w:hAnsi="宋体" w:cs="宋体"/>
                <w:bCs/>
                <w:sz w:val="22"/>
                <w:szCs w:val="22"/>
              </w:rPr>
              <w:t>与参加本次项目同一合同项下政府采购活动的其他供应商不存在单位负责人为同一人或者直接控股、管理关系的承诺函（附件四）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ascii="宋体" w:hAnsi="宋体" w:cs="宋体"/>
                <w:bCs/>
                <w:sz w:val="22"/>
              </w:rPr>
            </w:pPr>
            <w:r>
              <w:rPr>
                <w:rFonts w:hint="eastAsia" w:ascii="宋体" w:hAnsi="宋体" w:cs="宋体"/>
                <w:bCs/>
                <w:sz w:val="22"/>
                <w:szCs w:val="22"/>
              </w:rPr>
              <w:t>9</w:t>
            </w:r>
          </w:p>
        </w:tc>
        <w:tc>
          <w:tcPr>
            <w:tcW w:w="905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30" w:lineRule="atLeast"/>
              <w:rPr>
                <w:rFonts w:ascii="宋体" w:hAnsi="宋体" w:cs="宋体"/>
                <w:bCs/>
                <w:sz w:val="22"/>
              </w:rPr>
            </w:pPr>
            <w:r>
              <w:rPr>
                <w:rFonts w:hint="eastAsia" w:ascii="宋体" w:hAnsi="宋体" w:cs="宋体"/>
                <w:bCs/>
                <w:sz w:val="22"/>
                <w:szCs w:val="22"/>
              </w:rPr>
              <w:t>投标供应商参与政府采购活动投标资格声明函（附件五）</w:t>
            </w:r>
          </w:p>
        </w:tc>
      </w:tr>
    </w:tbl>
    <w:p>
      <w:pPr>
        <w:autoSpaceDE w:val="0"/>
        <w:autoSpaceDN w:val="0"/>
        <w:adjustRightInd w:val="0"/>
        <w:spacing w:line="450" w:lineRule="atLeast"/>
        <w:ind w:firstLine="442" w:firstLineChars="200"/>
        <w:rPr>
          <w:rFonts w:ascii="宋体" w:hAnsi="宋体" w:cs="宋体"/>
          <w:b/>
          <w:bCs/>
          <w:sz w:val="22"/>
          <w:szCs w:val="22"/>
          <w:u w:val="single"/>
          <w:lang w:val="zh-CN"/>
        </w:rPr>
      </w:pPr>
      <w:r>
        <w:rPr>
          <w:rFonts w:hint="eastAsia" w:ascii="宋体" w:hAnsi="宋体" w:cs="宋体"/>
          <w:b/>
          <w:bCs/>
          <w:sz w:val="22"/>
          <w:szCs w:val="22"/>
          <w:u w:val="single"/>
          <w:lang w:val="zh-CN"/>
        </w:rPr>
        <w:t>2.2、报价文件部分组成</w:t>
      </w:r>
    </w:p>
    <w:tbl>
      <w:tblPr>
        <w:tblStyle w:val="2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9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autoSpaceDE w:val="0"/>
              <w:autoSpaceDN w:val="0"/>
              <w:adjustRightInd w:val="0"/>
              <w:snapToGrid w:val="0"/>
              <w:spacing w:line="430" w:lineRule="atLeast"/>
              <w:rPr>
                <w:rFonts w:ascii="宋体" w:hAnsi="宋体" w:cs="宋体"/>
                <w:b/>
                <w:bCs/>
                <w:sz w:val="22"/>
                <w:lang w:val="zh-CN"/>
              </w:rPr>
            </w:pPr>
            <w:r>
              <w:rPr>
                <w:rFonts w:hint="eastAsia" w:ascii="宋体" w:hAnsi="宋体" w:cs="宋体"/>
                <w:b/>
                <w:bCs/>
                <w:sz w:val="22"/>
                <w:szCs w:val="22"/>
                <w:lang w:val="zh-CN"/>
              </w:rPr>
              <w:t>序号</w:t>
            </w:r>
          </w:p>
        </w:tc>
        <w:tc>
          <w:tcPr>
            <w:tcW w:w="9042" w:type="dxa"/>
          </w:tcPr>
          <w:p>
            <w:pPr>
              <w:autoSpaceDE w:val="0"/>
              <w:autoSpaceDN w:val="0"/>
              <w:adjustRightInd w:val="0"/>
              <w:snapToGrid w:val="0"/>
              <w:spacing w:line="430" w:lineRule="atLeast"/>
              <w:rPr>
                <w:rFonts w:ascii="宋体" w:hAnsi="宋体" w:cs="宋体"/>
                <w:b/>
                <w:bCs/>
                <w:sz w:val="22"/>
                <w:lang w:val="zh-CN"/>
              </w:rPr>
            </w:pPr>
            <w:r>
              <w:rPr>
                <w:rFonts w:hint="eastAsia" w:ascii="宋体" w:hAnsi="宋体" w:cs="宋体"/>
                <w:b/>
                <w:bCs/>
                <w:sz w:val="22"/>
                <w:szCs w:val="22"/>
                <w:lang w:val="zh-CN"/>
              </w:rPr>
              <w:t>内容（▲</w:t>
            </w:r>
            <w:r>
              <w:rPr>
                <w:rFonts w:hint="eastAsia" w:ascii="宋体" w:hAnsi="宋体" w:cs="宋体"/>
                <w:b/>
                <w:bCs/>
                <w:sz w:val="22"/>
                <w:szCs w:val="22"/>
                <w:u w:val="single"/>
                <w:lang w:val="zh-CN"/>
              </w:rPr>
              <w:t>报价一览表、分项报价表（若有）供应商必须提供，否则不能通过符合性审查的，责任自负</w:t>
            </w:r>
            <w:r>
              <w:rPr>
                <w:rFonts w:hint="eastAsia" w:ascii="宋体" w:hAnsi="宋体" w:cs="宋体"/>
                <w:b/>
                <w:bCs/>
                <w:sz w:val="22"/>
                <w:szCs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autoSpaceDE w:val="0"/>
              <w:autoSpaceDN w:val="0"/>
              <w:adjustRightInd w:val="0"/>
              <w:snapToGrid w:val="0"/>
              <w:spacing w:line="430" w:lineRule="atLeast"/>
              <w:jc w:val="center"/>
              <w:rPr>
                <w:rFonts w:ascii="宋体" w:hAnsi="宋体" w:cs="宋体"/>
                <w:b/>
                <w:bCs/>
                <w:sz w:val="22"/>
                <w:lang w:val="zh-CN"/>
              </w:rPr>
            </w:pPr>
            <w:r>
              <w:rPr>
                <w:rFonts w:hint="eastAsia" w:ascii="宋体" w:hAnsi="宋体" w:cs="宋体"/>
                <w:b/>
                <w:bCs/>
                <w:sz w:val="22"/>
                <w:szCs w:val="22"/>
                <w:lang w:val="zh-CN"/>
              </w:rPr>
              <w:t>1</w:t>
            </w:r>
          </w:p>
        </w:tc>
        <w:tc>
          <w:tcPr>
            <w:tcW w:w="9042" w:type="dxa"/>
          </w:tcPr>
          <w:p>
            <w:pPr>
              <w:autoSpaceDE w:val="0"/>
              <w:autoSpaceDN w:val="0"/>
              <w:adjustRightInd w:val="0"/>
              <w:spacing w:line="430" w:lineRule="atLeast"/>
              <w:textAlignment w:val="bottom"/>
              <w:rPr>
                <w:rFonts w:ascii="宋体" w:hAnsi="宋体" w:cs="宋体"/>
                <w:b/>
                <w:bCs/>
                <w:sz w:val="22"/>
              </w:rPr>
            </w:pPr>
            <w:r>
              <w:rPr>
                <w:rFonts w:hint="eastAsia" w:ascii="宋体" w:hAnsi="宋体" w:cs="宋体"/>
                <w:b/>
                <w:bCs/>
                <w:sz w:val="22"/>
                <w:szCs w:val="22"/>
              </w:rPr>
              <w:t>报价一览表（附件六）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autoSpaceDE w:val="0"/>
              <w:autoSpaceDN w:val="0"/>
              <w:adjustRightInd w:val="0"/>
              <w:snapToGrid w:val="0"/>
              <w:spacing w:line="430" w:lineRule="atLeast"/>
              <w:jc w:val="center"/>
              <w:rPr>
                <w:rFonts w:ascii="宋体" w:hAnsi="宋体" w:cs="宋体"/>
                <w:b/>
                <w:bCs/>
                <w:sz w:val="22"/>
                <w:szCs w:val="22"/>
              </w:rPr>
            </w:pPr>
            <w:r>
              <w:rPr>
                <w:rFonts w:hint="eastAsia" w:ascii="宋体" w:hAnsi="宋体" w:cs="宋体"/>
                <w:b/>
                <w:bCs/>
                <w:sz w:val="22"/>
                <w:szCs w:val="22"/>
              </w:rPr>
              <w:t>2</w:t>
            </w:r>
          </w:p>
        </w:tc>
        <w:tc>
          <w:tcPr>
            <w:tcW w:w="9042" w:type="dxa"/>
          </w:tcPr>
          <w:p>
            <w:pPr>
              <w:autoSpaceDE w:val="0"/>
              <w:autoSpaceDN w:val="0"/>
              <w:adjustRightInd w:val="0"/>
              <w:spacing w:line="430" w:lineRule="atLeast"/>
              <w:textAlignment w:val="bottom"/>
              <w:rPr>
                <w:rFonts w:ascii="宋体" w:hAnsi="宋体" w:cs="宋体"/>
                <w:b/>
                <w:bCs/>
                <w:sz w:val="22"/>
                <w:szCs w:val="22"/>
              </w:rPr>
            </w:pPr>
            <w:r>
              <w:rPr>
                <w:rFonts w:hint="eastAsia" w:ascii="宋体"/>
                <w:b/>
                <w:bCs/>
                <w:sz w:val="22"/>
                <w:szCs w:val="22"/>
              </w:rPr>
              <w:t>投标分项报价表（附件七）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autoSpaceDE w:val="0"/>
              <w:autoSpaceDN w:val="0"/>
              <w:adjustRightInd w:val="0"/>
              <w:snapToGrid w:val="0"/>
              <w:spacing w:line="430" w:lineRule="atLeast"/>
              <w:jc w:val="center"/>
              <w:rPr>
                <w:rFonts w:ascii="宋体" w:hAnsi="宋体" w:cs="宋体"/>
                <w:sz w:val="22"/>
                <w:lang w:val="zh-CN"/>
              </w:rPr>
            </w:pPr>
            <w:r>
              <w:rPr>
                <w:rFonts w:hint="eastAsia" w:ascii="宋体" w:hAnsi="宋体" w:cs="宋体"/>
                <w:sz w:val="22"/>
                <w:szCs w:val="22"/>
              </w:rPr>
              <w:t>3</w:t>
            </w:r>
          </w:p>
        </w:tc>
        <w:tc>
          <w:tcPr>
            <w:tcW w:w="9042" w:type="dxa"/>
          </w:tcPr>
          <w:p>
            <w:pPr>
              <w:autoSpaceDE w:val="0"/>
              <w:autoSpaceDN w:val="0"/>
              <w:adjustRightInd w:val="0"/>
              <w:snapToGrid w:val="0"/>
              <w:spacing w:line="430" w:lineRule="atLeast"/>
              <w:rPr>
                <w:rFonts w:ascii="宋体" w:hAnsi="宋体" w:cs="宋体"/>
                <w:sz w:val="22"/>
              </w:rPr>
            </w:pPr>
            <w:r>
              <w:rPr>
                <w:rFonts w:hint="eastAsia" w:ascii="宋体" w:hAnsi="宋体" w:cs="宋体"/>
                <w:sz w:val="22"/>
                <w:szCs w:val="22"/>
              </w:rPr>
              <w:t>享受小微企业（含监狱企业、残疾人福利性单位）价格折扣须按供应商单位性质提供以下相关的证明材料：</w:t>
            </w:r>
          </w:p>
          <w:p>
            <w:pPr>
              <w:autoSpaceDE w:val="0"/>
              <w:autoSpaceDN w:val="0"/>
              <w:adjustRightInd w:val="0"/>
              <w:snapToGrid w:val="0"/>
              <w:spacing w:line="430" w:lineRule="atLeast"/>
              <w:rPr>
                <w:rFonts w:ascii="宋体" w:hAnsi="宋体" w:cs="宋体"/>
                <w:sz w:val="22"/>
              </w:rPr>
            </w:pPr>
            <w:r>
              <w:rPr>
                <w:rFonts w:hint="eastAsia" w:ascii="宋体" w:hAnsi="宋体" w:cs="宋体"/>
                <w:sz w:val="22"/>
                <w:szCs w:val="22"/>
              </w:rPr>
              <w:t>（1）《中小企业声明函》（原件，加盖供应商公章，格式见招标文件第四部分）</w:t>
            </w:r>
          </w:p>
          <w:p>
            <w:pPr>
              <w:autoSpaceDE w:val="0"/>
              <w:autoSpaceDN w:val="0"/>
              <w:adjustRightInd w:val="0"/>
              <w:snapToGrid w:val="0"/>
              <w:spacing w:line="430" w:lineRule="atLeast"/>
              <w:rPr>
                <w:rFonts w:ascii="宋体" w:hAnsi="宋体" w:cs="宋体"/>
                <w:sz w:val="22"/>
              </w:rPr>
            </w:pPr>
            <w:r>
              <w:rPr>
                <w:rFonts w:hint="eastAsia" w:ascii="宋体" w:hAnsi="宋体" w:cs="宋体"/>
                <w:sz w:val="22"/>
                <w:szCs w:val="22"/>
              </w:rPr>
              <w:t>（2）监狱企业参加政府采购活动时，应当提供由省级以上监狱管理局、戒毒管理局(含新疆生产建设兵团)出具的属于监狱企业的证明文件（原件或扫描件加盖公章）。在政府采购活动中，监狱企业视同小型、微型企业，享受评审中价格扣除政策。</w:t>
            </w:r>
          </w:p>
          <w:p>
            <w:pPr>
              <w:autoSpaceDE w:val="0"/>
              <w:autoSpaceDN w:val="0"/>
              <w:adjustRightInd w:val="0"/>
              <w:spacing w:line="500" w:lineRule="atLeast"/>
              <w:rPr>
                <w:rFonts w:ascii="宋体" w:hAnsi="宋体" w:cs="宋体"/>
                <w:sz w:val="22"/>
              </w:rPr>
            </w:pPr>
            <w:r>
              <w:rPr>
                <w:rFonts w:hint="eastAsia" w:ascii="宋体" w:hAnsi="宋体" w:cs="宋体"/>
                <w:sz w:val="22"/>
                <w:szCs w:val="22"/>
              </w:rPr>
              <w:t>（3）残疾人福利性单位声明函（原件，加盖供应商公章，格式见招标文件第四部分）在政府采购活动中，残疾人福利性单位视同小型、微型企业，享受评审中价格扣除政策。</w:t>
            </w:r>
          </w:p>
        </w:tc>
      </w:tr>
    </w:tbl>
    <w:p>
      <w:pPr>
        <w:autoSpaceDE w:val="0"/>
        <w:autoSpaceDN w:val="0"/>
        <w:adjustRightInd w:val="0"/>
        <w:spacing w:line="450" w:lineRule="atLeast"/>
        <w:ind w:firstLine="442" w:firstLineChars="200"/>
        <w:rPr>
          <w:rFonts w:ascii="宋体" w:hAnsi="宋体" w:cs="宋体"/>
          <w:b/>
          <w:bCs/>
          <w:sz w:val="22"/>
          <w:szCs w:val="22"/>
          <w:u w:val="single"/>
          <w:lang w:val="zh-CN"/>
        </w:rPr>
      </w:pPr>
      <w:bookmarkStart w:id="23" w:name="_Toc132122410"/>
      <w:bookmarkStart w:id="24" w:name="_Toc132122113"/>
      <w:r>
        <w:rPr>
          <w:rFonts w:hint="eastAsia" w:ascii="宋体" w:hAnsi="宋体" w:cs="宋体"/>
          <w:b/>
          <w:bCs/>
          <w:sz w:val="22"/>
          <w:szCs w:val="22"/>
          <w:u w:val="single"/>
          <w:lang w:val="zh-CN"/>
        </w:rPr>
        <w:t>2.3、商务技术文件部分组成</w:t>
      </w:r>
    </w:p>
    <w:bookmarkEnd w:id="23"/>
    <w:bookmarkEnd w:id="24"/>
    <w:tbl>
      <w:tblPr>
        <w:tblStyle w:val="25"/>
        <w:tblW w:w="92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8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rPr>
                <w:rFonts w:ascii="宋体"/>
                <w:sz w:val="22"/>
                <w:szCs w:val="22"/>
                <w:lang w:val="zh-CN"/>
              </w:rPr>
            </w:pPr>
            <w:r>
              <w:rPr>
                <w:rFonts w:hint="eastAsia" w:ascii="宋体"/>
                <w:sz w:val="22"/>
                <w:szCs w:val="22"/>
                <w:lang w:val="zh-CN"/>
              </w:rPr>
              <w:t>序号</w:t>
            </w:r>
          </w:p>
        </w:tc>
        <w:tc>
          <w:tcPr>
            <w:tcW w:w="8182" w:type="dxa"/>
          </w:tcPr>
          <w:p>
            <w:pPr>
              <w:autoSpaceDE w:val="0"/>
              <w:autoSpaceDN w:val="0"/>
              <w:adjustRightInd w:val="0"/>
              <w:snapToGrid w:val="0"/>
              <w:spacing w:line="430" w:lineRule="atLeast"/>
              <w:rPr>
                <w:rFonts w:ascii="宋体"/>
                <w:sz w:val="22"/>
                <w:szCs w:val="22"/>
                <w:lang w:val="zh-CN"/>
              </w:rPr>
            </w:pPr>
            <w:r>
              <w:rPr>
                <w:rFonts w:hint="eastAsia" w:ascii="宋体"/>
                <w:sz w:val="22"/>
                <w:szCs w:val="22"/>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2"/>
          </w:tcPr>
          <w:p>
            <w:pPr>
              <w:autoSpaceDE w:val="0"/>
              <w:autoSpaceDN w:val="0"/>
              <w:adjustRightInd w:val="0"/>
              <w:snapToGrid w:val="0"/>
              <w:spacing w:line="430" w:lineRule="atLeast"/>
              <w:rPr>
                <w:rFonts w:ascii="宋体"/>
                <w:sz w:val="22"/>
                <w:szCs w:val="22"/>
                <w:lang w:val="zh-CN"/>
              </w:rPr>
            </w:pPr>
            <w:r>
              <w:rPr>
                <w:rFonts w:hint="eastAsia" w:ascii="宋体"/>
                <w:sz w:val="22"/>
                <w:szCs w:val="22"/>
                <w:lang w:val="zh-CN"/>
              </w:rPr>
              <w:t>资信部分（▲序号1-</w:t>
            </w:r>
            <w:r>
              <w:rPr>
                <w:rFonts w:hint="eastAsia" w:ascii="宋体"/>
                <w:sz w:val="22"/>
                <w:szCs w:val="22"/>
              </w:rPr>
              <w:t>3</w:t>
            </w:r>
            <w:r>
              <w:rPr>
                <w:rFonts w:hint="eastAsia" w:ascii="宋体"/>
                <w:sz w:val="22"/>
                <w:szCs w:val="22"/>
                <w:lang w:val="zh-CN"/>
              </w:rPr>
              <w:t>项供应商必须提供，否则不能通过资格性审查的，责任自负）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rPr>
                <w:rFonts w:ascii="宋体"/>
                <w:sz w:val="22"/>
                <w:szCs w:val="22"/>
                <w:lang w:val="zh-CN"/>
              </w:rPr>
            </w:pPr>
            <w:r>
              <w:rPr>
                <w:rFonts w:hint="eastAsia" w:ascii="宋体"/>
                <w:sz w:val="22"/>
                <w:szCs w:val="22"/>
                <w:lang w:val="zh-CN"/>
              </w:rPr>
              <w:t>1</w:t>
            </w:r>
          </w:p>
        </w:tc>
        <w:tc>
          <w:tcPr>
            <w:tcW w:w="8182" w:type="dxa"/>
          </w:tcPr>
          <w:p>
            <w:pPr>
              <w:autoSpaceDE w:val="0"/>
              <w:autoSpaceDN w:val="0"/>
              <w:adjustRightInd w:val="0"/>
              <w:snapToGrid w:val="0"/>
              <w:spacing w:line="430" w:lineRule="atLeast"/>
              <w:rPr>
                <w:rFonts w:ascii="宋体"/>
                <w:sz w:val="22"/>
                <w:szCs w:val="22"/>
                <w:lang w:val="zh-CN"/>
              </w:rPr>
            </w:pPr>
            <w:r>
              <w:rPr>
                <w:rFonts w:hint="eastAsia" w:ascii="宋体"/>
                <w:sz w:val="22"/>
                <w:szCs w:val="22"/>
              </w:rPr>
              <w:t>投标函（附件八）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rPr>
                <w:rFonts w:ascii="宋体"/>
                <w:sz w:val="22"/>
                <w:szCs w:val="22"/>
                <w:lang w:val="zh-CN"/>
              </w:rPr>
            </w:pPr>
            <w:r>
              <w:rPr>
                <w:rFonts w:hint="eastAsia" w:ascii="宋体"/>
                <w:sz w:val="22"/>
                <w:szCs w:val="22"/>
                <w:lang w:val="zh-CN"/>
              </w:rPr>
              <w:t>2</w:t>
            </w:r>
          </w:p>
        </w:tc>
        <w:tc>
          <w:tcPr>
            <w:tcW w:w="8182" w:type="dxa"/>
          </w:tcPr>
          <w:p>
            <w:pPr>
              <w:autoSpaceDE w:val="0"/>
              <w:autoSpaceDN w:val="0"/>
              <w:adjustRightInd w:val="0"/>
              <w:snapToGrid w:val="0"/>
              <w:spacing w:line="430" w:lineRule="atLeast"/>
              <w:rPr>
                <w:rFonts w:ascii="宋体"/>
                <w:sz w:val="22"/>
                <w:szCs w:val="22"/>
              </w:rPr>
            </w:pPr>
            <w:r>
              <w:rPr>
                <w:rFonts w:hint="eastAsia" w:ascii="宋体"/>
                <w:sz w:val="22"/>
                <w:szCs w:val="22"/>
              </w:rPr>
              <w:t>供应商法定代表人授权书（见附件九）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rPr>
                <w:rFonts w:ascii="宋体"/>
                <w:sz w:val="22"/>
                <w:szCs w:val="22"/>
                <w:lang w:val="zh-CN"/>
              </w:rPr>
            </w:pPr>
            <w:r>
              <w:rPr>
                <w:rFonts w:hint="eastAsia" w:ascii="宋体"/>
                <w:sz w:val="22"/>
                <w:szCs w:val="22"/>
                <w:lang w:val="zh-CN"/>
              </w:rPr>
              <w:t>3</w:t>
            </w:r>
          </w:p>
        </w:tc>
        <w:tc>
          <w:tcPr>
            <w:tcW w:w="8182" w:type="dxa"/>
          </w:tcPr>
          <w:p>
            <w:pPr>
              <w:autoSpaceDE w:val="0"/>
              <w:autoSpaceDN w:val="0"/>
              <w:adjustRightInd w:val="0"/>
              <w:snapToGrid w:val="0"/>
              <w:spacing w:line="430" w:lineRule="atLeast"/>
              <w:rPr>
                <w:rFonts w:ascii="宋体"/>
                <w:sz w:val="22"/>
                <w:szCs w:val="22"/>
              </w:rPr>
            </w:pPr>
            <w:r>
              <w:rPr>
                <w:rFonts w:hint="eastAsia" w:ascii="宋体"/>
                <w:sz w:val="22"/>
                <w:szCs w:val="22"/>
              </w:rPr>
              <w:t>法定代表人诚信投标承诺书（附件十）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rPr>
                <w:rFonts w:ascii="宋体"/>
                <w:sz w:val="22"/>
                <w:szCs w:val="22"/>
                <w:lang w:val="zh-CN"/>
              </w:rPr>
            </w:pPr>
            <w:r>
              <w:rPr>
                <w:rFonts w:hint="eastAsia" w:ascii="宋体"/>
                <w:sz w:val="22"/>
                <w:szCs w:val="22"/>
                <w:lang w:val="zh-CN"/>
              </w:rPr>
              <w:t>4</w:t>
            </w:r>
          </w:p>
        </w:tc>
        <w:tc>
          <w:tcPr>
            <w:tcW w:w="8182" w:type="dxa"/>
          </w:tcPr>
          <w:p>
            <w:pPr>
              <w:autoSpaceDE w:val="0"/>
              <w:autoSpaceDN w:val="0"/>
              <w:adjustRightInd w:val="0"/>
              <w:snapToGrid w:val="0"/>
              <w:spacing w:line="430" w:lineRule="atLeast"/>
              <w:rPr>
                <w:rFonts w:ascii="宋体"/>
                <w:sz w:val="22"/>
                <w:szCs w:val="22"/>
              </w:rPr>
            </w:pPr>
            <w:r>
              <w:rPr>
                <w:rFonts w:hint="eastAsia" w:ascii="宋体"/>
                <w:sz w:val="22"/>
                <w:szCs w:val="22"/>
              </w:rPr>
              <w:t>供应商质量体系认证证书（如有则提供）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rPr>
                <w:rFonts w:ascii="宋体"/>
                <w:sz w:val="22"/>
                <w:szCs w:val="22"/>
                <w:lang w:val="zh-CN"/>
              </w:rPr>
            </w:pPr>
            <w:r>
              <w:rPr>
                <w:rFonts w:hint="eastAsia" w:ascii="宋体"/>
                <w:sz w:val="22"/>
                <w:szCs w:val="22"/>
                <w:lang w:val="zh-CN"/>
              </w:rPr>
              <w:t>5</w:t>
            </w:r>
          </w:p>
        </w:tc>
        <w:tc>
          <w:tcPr>
            <w:tcW w:w="8182" w:type="dxa"/>
          </w:tcPr>
          <w:p>
            <w:pPr>
              <w:autoSpaceDE w:val="0"/>
              <w:autoSpaceDN w:val="0"/>
              <w:adjustRightInd w:val="0"/>
              <w:snapToGrid w:val="0"/>
              <w:spacing w:line="430" w:lineRule="atLeast"/>
              <w:rPr>
                <w:rFonts w:ascii="宋体"/>
                <w:sz w:val="22"/>
                <w:szCs w:val="22"/>
              </w:rPr>
            </w:pPr>
            <w:r>
              <w:rPr>
                <w:rFonts w:hint="eastAsia" w:ascii="宋体"/>
                <w:sz w:val="22"/>
                <w:szCs w:val="22"/>
              </w:rPr>
              <w:t>供应商环境体系认证证书（如有则提供）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rPr>
                <w:rFonts w:ascii="宋体"/>
                <w:sz w:val="22"/>
                <w:szCs w:val="22"/>
                <w:lang w:val="zh-CN"/>
              </w:rPr>
            </w:pPr>
            <w:r>
              <w:rPr>
                <w:rFonts w:hint="eastAsia" w:ascii="宋体"/>
                <w:sz w:val="22"/>
                <w:szCs w:val="22"/>
                <w:lang w:val="zh-CN"/>
              </w:rPr>
              <w:t>6</w:t>
            </w:r>
          </w:p>
        </w:tc>
        <w:tc>
          <w:tcPr>
            <w:tcW w:w="8182" w:type="dxa"/>
          </w:tcPr>
          <w:p>
            <w:pPr>
              <w:autoSpaceDE w:val="0"/>
              <w:autoSpaceDN w:val="0"/>
              <w:adjustRightInd w:val="0"/>
              <w:snapToGrid w:val="0"/>
              <w:spacing w:line="430" w:lineRule="atLeast"/>
              <w:rPr>
                <w:rFonts w:ascii="宋体"/>
                <w:sz w:val="22"/>
                <w:szCs w:val="22"/>
              </w:rPr>
            </w:pPr>
            <w:r>
              <w:rPr>
                <w:rFonts w:hint="eastAsia" w:ascii="宋体"/>
                <w:sz w:val="22"/>
                <w:szCs w:val="22"/>
              </w:rPr>
              <w:t>供应商职业健康体系认证证书（如有则提供）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rPr>
                <w:rFonts w:ascii="宋体"/>
                <w:sz w:val="22"/>
                <w:szCs w:val="22"/>
                <w:lang w:val="zh-CN"/>
              </w:rPr>
            </w:pPr>
            <w:r>
              <w:rPr>
                <w:rFonts w:hint="eastAsia" w:ascii="宋体"/>
                <w:sz w:val="22"/>
                <w:szCs w:val="22"/>
                <w:lang w:val="zh-CN"/>
              </w:rPr>
              <w:t>7</w:t>
            </w:r>
          </w:p>
        </w:tc>
        <w:tc>
          <w:tcPr>
            <w:tcW w:w="8182" w:type="dxa"/>
          </w:tcPr>
          <w:p>
            <w:pPr>
              <w:autoSpaceDE w:val="0"/>
              <w:autoSpaceDN w:val="0"/>
              <w:adjustRightInd w:val="0"/>
              <w:snapToGrid w:val="0"/>
              <w:spacing w:line="430" w:lineRule="atLeast"/>
              <w:rPr>
                <w:rFonts w:ascii="宋体"/>
                <w:sz w:val="22"/>
                <w:szCs w:val="22"/>
              </w:rPr>
            </w:pPr>
            <w:r>
              <w:rPr>
                <w:rFonts w:hint="eastAsia" w:ascii="宋体"/>
                <w:sz w:val="22"/>
                <w:szCs w:val="22"/>
              </w:rPr>
              <w:t>供应商资信等级证明等（如有则提供）；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rPr>
                <w:rFonts w:ascii="宋体"/>
                <w:sz w:val="22"/>
                <w:szCs w:val="22"/>
                <w:lang w:val="zh-CN"/>
              </w:rPr>
            </w:pPr>
            <w:r>
              <w:rPr>
                <w:rFonts w:hint="eastAsia" w:ascii="宋体"/>
                <w:sz w:val="22"/>
                <w:szCs w:val="22"/>
                <w:lang w:val="zh-CN"/>
              </w:rPr>
              <w:t>8</w:t>
            </w:r>
          </w:p>
        </w:tc>
        <w:tc>
          <w:tcPr>
            <w:tcW w:w="8182" w:type="dxa"/>
          </w:tcPr>
          <w:p>
            <w:pPr>
              <w:autoSpaceDE w:val="0"/>
              <w:autoSpaceDN w:val="0"/>
              <w:adjustRightInd w:val="0"/>
              <w:snapToGrid w:val="0"/>
              <w:spacing w:line="430" w:lineRule="atLeast"/>
              <w:rPr>
                <w:rFonts w:ascii="宋体"/>
                <w:sz w:val="22"/>
                <w:szCs w:val="22"/>
              </w:rPr>
            </w:pPr>
            <w:r>
              <w:rPr>
                <w:rFonts w:hint="eastAsia" w:ascii="宋体"/>
                <w:sz w:val="22"/>
                <w:szCs w:val="22"/>
              </w:rPr>
              <w:t>供应商曾经获得的政府部门或行业协会颁发的荣誉证书（如有则提供）；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rPr>
                <w:rFonts w:ascii="宋体"/>
                <w:sz w:val="22"/>
                <w:szCs w:val="22"/>
                <w:lang w:val="zh-CN"/>
              </w:rPr>
            </w:pPr>
            <w:r>
              <w:rPr>
                <w:rFonts w:hint="eastAsia" w:ascii="宋体"/>
                <w:sz w:val="22"/>
                <w:szCs w:val="22"/>
                <w:lang w:val="zh-CN"/>
              </w:rPr>
              <w:t>9</w:t>
            </w:r>
          </w:p>
        </w:tc>
        <w:tc>
          <w:tcPr>
            <w:tcW w:w="8182" w:type="dxa"/>
          </w:tcPr>
          <w:p>
            <w:pPr>
              <w:autoSpaceDE w:val="0"/>
              <w:autoSpaceDN w:val="0"/>
              <w:adjustRightInd w:val="0"/>
              <w:snapToGrid w:val="0"/>
              <w:spacing w:line="430" w:lineRule="atLeast"/>
              <w:rPr>
                <w:rFonts w:ascii="宋体"/>
                <w:sz w:val="22"/>
                <w:szCs w:val="22"/>
              </w:rPr>
            </w:pPr>
            <w:r>
              <w:rPr>
                <w:rFonts w:hint="eastAsia" w:ascii="宋体"/>
                <w:sz w:val="22"/>
                <w:szCs w:val="22"/>
              </w:rPr>
              <w:t>供应商具有的其它相关资质证书（如有则提供）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rPr>
                <w:rFonts w:ascii="宋体"/>
                <w:sz w:val="22"/>
                <w:szCs w:val="22"/>
                <w:lang w:val="zh-CN"/>
              </w:rPr>
            </w:pPr>
            <w:r>
              <w:rPr>
                <w:rFonts w:hint="eastAsia" w:ascii="宋体"/>
                <w:sz w:val="22"/>
                <w:szCs w:val="22"/>
                <w:lang w:val="zh-CN"/>
              </w:rPr>
              <w:t>10</w:t>
            </w:r>
          </w:p>
        </w:tc>
        <w:tc>
          <w:tcPr>
            <w:tcW w:w="8182" w:type="dxa"/>
          </w:tcPr>
          <w:p>
            <w:pPr>
              <w:autoSpaceDE w:val="0"/>
              <w:autoSpaceDN w:val="0"/>
              <w:adjustRightInd w:val="0"/>
              <w:snapToGrid w:val="0"/>
              <w:rPr>
                <w:rFonts w:ascii="宋体"/>
                <w:sz w:val="22"/>
                <w:szCs w:val="22"/>
              </w:rPr>
            </w:pPr>
            <w:r>
              <w:rPr>
                <w:rFonts w:hint="eastAsia" w:ascii="宋体"/>
                <w:sz w:val="22"/>
                <w:szCs w:val="22"/>
              </w:rPr>
              <w:t>供应商提供2017年1月1日以来同类项目业绩；（具体以评分细则中的要求为准）（附件十一）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rPr>
                <w:rFonts w:ascii="宋体"/>
                <w:sz w:val="22"/>
                <w:szCs w:val="22"/>
              </w:rPr>
            </w:pPr>
            <w:r>
              <w:rPr>
                <w:rFonts w:hint="eastAsia" w:ascii="宋体"/>
                <w:sz w:val="22"/>
                <w:szCs w:val="22"/>
              </w:rPr>
              <w:t>12</w:t>
            </w:r>
          </w:p>
        </w:tc>
        <w:tc>
          <w:tcPr>
            <w:tcW w:w="8182" w:type="dxa"/>
          </w:tcPr>
          <w:p>
            <w:pPr>
              <w:autoSpaceDE w:val="0"/>
              <w:autoSpaceDN w:val="0"/>
              <w:adjustRightInd w:val="0"/>
              <w:snapToGrid w:val="0"/>
              <w:spacing w:line="430" w:lineRule="atLeast"/>
              <w:rPr>
                <w:rFonts w:ascii="宋体"/>
                <w:sz w:val="22"/>
                <w:szCs w:val="22"/>
              </w:rPr>
            </w:pPr>
            <w:r>
              <w:rPr>
                <w:rFonts w:hint="eastAsia" w:ascii="宋体"/>
                <w:sz w:val="22"/>
                <w:szCs w:val="22"/>
              </w:rPr>
              <w:t>商务偏离表（附件十二（一））、技术偏离表（附件十二（二））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rPr>
                <w:rFonts w:ascii="宋体"/>
                <w:sz w:val="22"/>
                <w:szCs w:val="22"/>
              </w:rPr>
            </w:pPr>
            <w:r>
              <w:rPr>
                <w:rFonts w:hint="eastAsia" w:ascii="宋体"/>
                <w:sz w:val="22"/>
                <w:szCs w:val="22"/>
              </w:rPr>
              <w:t>13</w:t>
            </w:r>
          </w:p>
        </w:tc>
        <w:tc>
          <w:tcPr>
            <w:tcW w:w="8182" w:type="dxa"/>
          </w:tcPr>
          <w:p>
            <w:pPr>
              <w:autoSpaceDE w:val="0"/>
              <w:autoSpaceDN w:val="0"/>
              <w:adjustRightInd w:val="0"/>
              <w:snapToGrid w:val="0"/>
              <w:spacing w:line="430" w:lineRule="atLeast"/>
              <w:rPr>
                <w:rFonts w:ascii="宋体"/>
                <w:sz w:val="22"/>
                <w:szCs w:val="22"/>
              </w:rPr>
            </w:pPr>
            <w:r>
              <w:rPr>
                <w:rFonts w:hint="eastAsia" w:ascii="宋体" w:cs="仿宋_GB2312"/>
                <w:sz w:val="22"/>
                <w:szCs w:val="22"/>
                <w:lang w:val="zh-CN"/>
              </w:rPr>
              <w:t>▲</w:t>
            </w:r>
            <w:r>
              <w:rPr>
                <w:rFonts w:hint="eastAsia" w:ascii="宋体"/>
                <w:sz w:val="22"/>
                <w:szCs w:val="22"/>
              </w:rPr>
              <w:t>绿化养护实施方案：（附件十三）；</w:t>
            </w:r>
          </w:p>
          <w:p>
            <w:pPr>
              <w:autoSpaceDE w:val="0"/>
              <w:autoSpaceDN w:val="0"/>
              <w:adjustRightInd w:val="0"/>
              <w:snapToGrid w:val="0"/>
              <w:spacing w:line="430" w:lineRule="atLeast"/>
              <w:rPr>
                <w:rFonts w:ascii="宋体"/>
                <w:sz w:val="22"/>
                <w:szCs w:val="22"/>
              </w:rPr>
            </w:pPr>
            <w:r>
              <w:rPr>
                <w:rFonts w:hint="eastAsia" w:ascii="宋体"/>
                <w:sz w:val="22"/>
                <w:szCs w:val="22"/>
              </w:rPr>
              <w:t>对本项目的现状调查与问题剖析：根据本项目的重点、难点等问题进行调查剖析，并针对性的提出合理化的具体实施计划和方案。</w:t>
            </w:r>
          </w:p>
          <w:p>
            <w:pPr>
              <w:autoSpaceDE w:val="0"/>
              <w:autoSpaceDN w:val="0"/>
              <w:adjustRightInd w:val="0"/>
              <w:snapToGrid w:val="0"/>
              <w:spacing w:line="430" w:lineRule="atLeast"/>
              <w:rPr>
                <w:rFonts w:ascii="宋体"/>
                <w:sz w:val="22"/>
                <w:szCs w:val="22"/>
              </w:rPr>
            </w:pPr>
            <w:r>
              <w:rPr>
                <w:rFonts w:hint="eastAsia" w:ascii="宋体"/>
                <w:sz w:val="22"/>
                <w:szCs w:val="22"/>
              </w:rPr>
              <w:t>针对本项目提出应急处理预案。</w:t>
            </w:r>
          </w:p>
          <w:p>
            <w:pPr>
              <w:autoSpaceDE w:val="0"/>
              <w:autoSpaceDN w:val="0"/>
              <w:adjustRightInd w:val="0"/>
              <w:snapToGrid w:val="0"/>
              <w:spacing w:line="430" w:lineRule="atLeast"/>
              <w:rPr>
                <w:rFonts w:ascii="宋体" w:cs="Arial"/>
                <w:sz w:val="22"/>
                <w:szCs w:val="22"/>
              </w:rPr>
            </w:pPr>
            <w:r>
              <w:rPr>
                <w:rFonts w:hint="eastAsia" w:ascii="宋体"/>
                <w:sz w:val="22"/>
                <w:szCs w:val="22"/>
              </w:rPr>
              <w:t>具体实施计划和方案：质量控制手段和保证措施等。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rPr>
                <w:rFonts w:ascii="宋体"/>
                <w:sz w:val="22"/>
                <w:szCs w:val="22"/>
              </w:rPr>
            </w:pPr>
            <w:r>
              <w:rPr>
                <w:rFonts w:hint="eastAsia" w:ascii="宋体"/>
                <w:sz w:val="22"/>
                <w:szCs w:val="22"/>
              </w:rPr>
              <w:t>14</w:t>
            </w:r>
          </w:p>
        </w:tc>
        <w:tc>
          <w:tcPr>
            <w:tcW w:w="8182" w:type="dxa"/>
            <w:vAlign w:val="center"/>
          </w:tcPr>
          <w:p>
            <w:pPr>
              <w:autoSpaceDE w:val="0"/>
              <w:autoSpaceDN w:val="0"/>
              <w:adjustRightInd w:val="0"/>
              <w:snapToGrid w:val="0"/>
              <w:spacing w:line="430" w:lineRule="atLeast"/>
              <w:rPr>
                <w:rFonts w:ascii="宋体"/>
                <w:sz w:val="22"/>
                <w:szCs w:val="22"/>
              </w:rPr>
            </w:pPr>
            <w:r>
              <w:rPr>
                <w:rFonts w:hint="eastAsia" w:ascii="宋体"/>
                <w:sz w:val="22"/>
                <w:szCs w:val="22"/>
              </w:rPr>
              <w:t>进场车辆、机具、设备；（附件十四）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rPr>
                <w:rFonts w:ascii="宋体"/>
                <w:sz w:val="22"/>
                <w:szCs w:val="22"/>
              </w:rPr>
            </w:pPr>
            <w:r>
              <w:rPr>
                <w:rFonts w:hint="eastAsia" w:ascii="宋体"/>
                <w:sz w:val="22"/>
                <w:szCs w:val="22"/>
              </w:rPr>
              <w:t>15</w:t>
            </w:r>
          </w:p>
        </w:tc>
        <w:tc>
          <w:tcPr>
            <w:tcW w:w="8182" w:type="dxa"/>
          </w:tcPr>
          <w:p>
            <w:pPr>
              <w:autoSpaceDE w:val="0"/>
              <w:autoSpaceDN w:val="0"/>
              <w:adjustRightInd w:val="0"/>
              <w:snapToGrid w:val="0"/>
              <w:spacing w:line="430" w:lineRule="atLeast"/>
              <w:rPr>
                <w:rFonts w:ascii="宋体" w:cs="Arial"/>
                <w:sz w:val="22"/>
                <w:szCs w:val="22"/>
              </w:rPr>
            </w:pPr>
            <w:r>
              <w:rPr>
                <w:rFonts w:hint="eastAsia" w:ascii="宋体" w:cs="Arial"/>
                <w:sz w:val="22"/>
                <w:szCs w:val="22"/>
              </w:rPr>
              <w:t>耗材配置表（附件十五）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rPr>
                <w:rFonts w:ascii="宋体"/>
                <w:sz w:val="22"/>
                <w:szCs w:val="22"/>
              </w:rPr>
            </w:pPr>
            <w:r>
              <w:rPr>
                <w:rFonts w:hint="eastAsia" w:ascii="宋体"/>
                <w:sz w:val="22"/>
                <w:szCs w:val="22"/>
              </w:rPr>
              <w:t>16</w:t>
            </w:r>
          </w:p>
        </w:tc>
        <w:tc>
          <w:tcPr>
            <w:tcW w:w="8182" w:type="dxa"/>
          </w:tcPr>
          <w:p>
            <w:pPr>
              <w:autoSpaceDE w:val="0"/>
              <w:autoSpaceDN w:val="0"/>
              <w:adjustRightInd w:val="0"/>
              <w:spacing w:line="460" w:lineRule="atLeast"/>
              <w:textAlignment w:val="bottom"/>
              <w:rPr>
                <w:rFonts w:ascii="宋体"/>
                <w:sz w:val="22"/>
                <w:szCs w:val="22"/>
              </w:rPr>
            </w:pPr>
            <w:r>
              <w:rPr>
                <w:rFonts w:hint="eastAsia" w:ascii="宋体" w:cs="Arial"/>
                <w:sz w:val="22"/>
                <w:szCs w:val="22"/>
              </w:rPr>
              <w:t>项目部的组成及班子成员投入计划（附件十六）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rPr>
                <w:rFonts w:ascii="宋体"/>
                <w:sz w:val="22"/>
                <w:szCs w:val="22"/>
              </w:rPr>
            </w:pPr>
            <w:r>
              <w:rPr>
                <w:rFonts w:hint="eastAsia" w:ascii="宋体"/>
                <w:sz w:val="22"/>
                <w:szCs w:val="22"/>
              </w:rPr>
              <w:t>17</w:t>
            </w:r>
          </w:p>
        </w:tc>
        <w:tc>
          <w:tcPr>
            <w:tcW w:w="8182" w:type="dxa"/>
          </w:tcPr>
          <w:p>
            <w:pPr>
              <w:autoSpaceDE w:val="0"/>
              <w:autoSpaceDN w:val="0"/>
              <w:adjustRightInd w:val="0"/>
              <w:spacing w:line="460" w:lineRule="atLeast"/>
              <w:textAlignment w:val="bottom"/>
              <w:rPr>
                <w:rFonts w:ascii="宋体" w:cs="Arial"/>
                <w:sz w:val="22"/>
                <w:szCs w:val="22"/>
              </w:rPr>
            </w:pPr>
            <w:r>
              <w:rPr>
                <w:rFonts w:hint="eastAsia" w:ascii="宋体" w:cs="Arial"/>
                <w:sz w:val="22"/>
                <w:szCs w:val="22"/>
              </w:rPr>
              <w:t>承诺函</w:t>
            </w:r>
            <w:r>
              <w:rPr>
                <w:rFonts w:hint="eastAsia" w:ascii="宋体"/>
                <w:sz w:val="22"/>
                <w:szCs w:val="22"/>
              </w:rPr>
              <w:t>（附件十</w:t>
            </w:r>
            <w:r>
              <w:rPr>
                <w:rFonts w:hint="eastAsia" w:ascii="宋体"/>
                <w:sz w:val="22"/>
                <w:szCs w:val="22"/>
                <w:lang w:val="en-US" w:eastAsia="zh-CN"/>
              </w:rPr>
              <w:t>七</w:t>
            </w:r>
            <w:r>
              <w:rPr>
                <w:rFonts w:hint="eastAsia" w:ascii="宋体"/>
                <w:sz w:val="22"/>
                <w:szCs w:val="22"/>
              </w:rPr>
              <w:t>（一））、投入本项目的车辆承诺书（附件十</w:t>
            </w:r>
            <w:r>
              <w:rPr>
                <w:rFonts w:hint="eastAsia" w:ascii="宋体"/>
                <w:sz w:val="22"/>
                <w:szCs w:val="22"/>
                <w:lang w:val="en-US" w:eastAsia="zh-CN"/>
              </w:rPr>
              <w:t>七</w:t>
            </w:r>
            <w:r>
              <w:rPr>
                <w:rFonts w:hint="eastAsia" w:ascii="宋体"/>
                <w:sz w:val="22"/>
                <w:szCs w:val="22"/>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rPr>
                <w:rFonts w:ascii="宋体"/>
                <w:sz w:val="22"/>
                <w:szCs w:val="22"/>
              </w:rPr>
            </w:pPr>
            <w:r>
              <w:rPr>
                <w:rFonts w:hint="eastAsia" w:ascii="宋体"/>
                <w:sz w:val="22"/>
                <w:szCs w:val="22"/>
              </w:rPr>
              <w:t>18</w:t>
            </w:r>
          </w:p>
        </w:tc>
        <w:tc>
          <w:tcPr>
            <w:tcW w:w="8182" w:type="dxa"/>
          </w:tcPr>
          <w:p>
            <w:pPr>
              <w:autoSpaceDE w:val="0"/>
              <w:autoSpaceDN w:val="0"/>
              <w:adjustRightInd w:val="0"/>
              <w:snapToGrid w:val="0"/>
              <w:spacing w:line="430" w:lineRule="atLeast"/>
              <w:rPr>
                <w:rFonts w:ascii="宋体"/>
                <w:sz w:val="22"/>
                <w:szCs w:val="22"/>
              </w:rPr>
            </w:pPr>
            <w:r>
              <w:rPr>
                <w:rFonts w:hint="eastAsia" w:ascii="宋体"/>
                <w:sz w:val="22"/>
                <w:szCs w:val="22"/>
              </w:rPr>
              <w:t>根据招标文件中的采购内容与技术要求、评标细则，需要提供的其它文件和资料。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rPr>
                <w:rFonts w:ascii="宋体"/>
                <w:sz w:val="22"/>
                <w:szCs w:val="22"/>
              </w:rPr>
            </w:pPr>
            <w:r>
              <w:rPr>
                <w:rFonts w:hint="eastAsia" w:ascii="宋体"/>
                <w:sz w:val="22"/>
                <w:szCs w:val="22"/>
              </w:rPr>
              <w:t>19</w:t>
            </w:r>
          </w:p>
        </w:tc>
        <w:tc>
          <w:tcPr>
            <w:tcW w:w="8182" w:type="dxa"/>
          </w:tcPr>
          <w:p>
            <w:pPr>
              <w:autoSpaceDE w:val="0"/>
              <w:autoSpaceDN w:val="0"/>
              <w:adjustRightInd w:val="0"/>
              <w:snapToGrid w:val="0"/>
              <w:spacing w:line="430" w:lineRule="atLeast"/>
              <w:rPr>
                <w:rFonts w:ascii="宋体"/>
                <w:sz w:val="22"/>
                <w:szCs w:val="22"/>
              </w:rPr>
            </w:pPr>
            <w:r>
              <w:rPr>
                <w:rFonts w:hint="eastAsia" w:ascii="宋体"/>
                <w:sz w:val="22"/>
                <w:szCs w:val="22"/>
              </w:rPr>
              <w:t>其它供应商须说明的资料（如有则提供）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autoSpaceDE w:val="0"/>
              <w:autoSpaceDN w:val="0"/>
              <w:adjustRightInd w:val="0"/>
              <w:snapToGrid w:val="0"/>
              <w:spacing w:line="430" w:lineRule="atLeast"/>
              <w:rPr>
                <w:rFonts w:ascii="宋体"/>
                <w:sz w:val="22"/>
                <w:szCs w:val="22"/>
              </w:rPr>
            </w:pPr>
            <w:r>
              <w:rPr>
                <w:rFonts w:hint="eastAsia" w:ascii="宋体"/>
                <w:sz w:val="22"/>
                <w:szCs w:val="22"/>
              </w:rPr>
              <w:t>20</w:t>
            </w:r>
          </w:p>
        </w:tc>
        <w:tc>
          <w:tcPr>
            <w:tcW w:w="8182" w:type="dxa"/>
          </w:tcPr>
          <w:p>
            <w:pPr>
              <w:autoSpaceDE w:val="0"/>
              <w:autoSpaceDN w:val="0"/>
              <w:adjustRightInd w:val="0"/>
              <w:snapToGrid w:val="0"/>
              <w:rPr>
                <w:rFonts w:ascii="宋体"/>
                <w:sz w:val="22"/>
                <w:szCs w:val="22"/>
              </w:rPr>
            </w:pPr>
            <w:r>
              <w:rPr>
                <w:rFonts w:hint="eastAsia" w:ascii="宋体"/>
                <w:sz w:val="22"/>
                <w:szCs w:val="22"/>
              </w:rPr>
              <w:t>供应商针对评分细则，编制目录索引，注明评标细则项目所在响应文件页码。</w:t>
            </w:r>
            <w:r>
              <w:rPr>
                <w:rFonts w:hint="eastAsia" w:ascii="宋体"/>
                <w:sz w:val="22"/>
                <w:szCs w:val="22"/>
                <w:u w:val="single"/>
              </w:rPr>
              <w:t>放置于目录前面</w:t>
            </w:r>
          </w:p>
        </w:tc>
      </w:tr>
    </w:tbl>
    <w:p>
      <w:pPr>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3、投标文件编制</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3.1本项目通过“政采云平台（www.zcygov.cn）”实行在线投标响应（电子投标）。供应商应通过“政采云电子交易客户端”，并按照本采购文件和“政采云平台”的要求编制并加密投标文件。</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3.2投标人应当按照本章节 “投标文件组成”规定的内容及顺序在“政采云电子交易客户端”编制投标文件。其中 “技术资信文件”中不得出现本项目投标报价，如因投标人原因提前泄露投标报价，是投标人的责任。</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3.3本采购文件“投标文件格式”中有提供格式的，投标人须参照格式进行编制（格式中要求提供相关证明材料的还需后附相关证明材料），并按格式要求在指定位置根据要求进行签章，否则视为未提供；本文件“第六部分 投标文件格式”未提供格式的，请各投标单位自行拟定格式，并加盖单位公章并由法定代表人或其授权代表签署（签字或盖章），否则视为未提供。</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3.4投标文件内容不完整、编排混乱导致投标文件被误读、漏读或者查找不到相关内容的，是投标人的责任。</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3.5投标文件因字迹潦草或表达不清所引起的后果由投标人负责。</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3.6 投标人没有按照本章节 “投标文件组成”要求提供全部资料，或者没有仔细阅读采购文件，或者没有对采购文件在各方面的要求作出实质性响应是投标人的风险，由此造成的一切后果由投标人自行承担。</w:t>
      </w:r>
    </w:p>
    <w:p>
      <w:pPr>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4、投标文件的签章</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4.1投标文件的签章要求：投标人须知前附表；</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4.2投标文件应由投标人法定代表人或其授权代表签章，并时加盖投标人公章（电子签章）。</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4.3电子签章操作指南详见采购公告附件《供应商项目采购-电子招投标操作指南》。</w:t>
      </w:r>
    </w:p>
    <w:p>
      <w:pPr>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5、投标文件的形式</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5.1投标文件的形式：见投标人须知前附表；</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5.2“电子加密投标文件”：“电子加密投标文件”是指通过“政采云电子交易客户端”完成投标文件编制后生成并加密的数据电文形式的投标文件。</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5.3“备份投标文件”：“备份投标文件”是指与“电子加密投标文件”同时生成的数据电文形式的电子文件（备份标书），其他方式编制的“备份投标文件”视为无效的“备份投标文件”。</w:t>
      </w:r>
    </w:p>
    <w:p>
      <w:pPr>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6、投标文件的份数</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6.1投标文件的份数：见投标人须知前附表。</w:t>
      </w:r>
    </w:p>
    <w:p>
      <w:pPr>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7、投标报价</w:t>
      </w:r>
      <w:bookmarkEnd w:id="21"/>
      <w:bookmarkEnd w:id="22"/>
    </w:p>
    <w:p>
      <w:pPr>
        <w:autoSpaceDE w:val="0"/>
        <w:autoSpaceDN w:val="0"/>
        <w:adjustRightInd w:val="0"/>
        <w:spacing w:line="460" w:lineRule="atLeast"/>
        <w:ind w:firstLine="440" w:firstLineChars="200"/>
        <w:textAlignment w:val="bottom"/>
        <w:rPr>
          <w:rFonts w:ascii="宋体" w:hAnsi="宋体" w:cs="宋体"/>
          <w:sz w:val="22"/>
          <w:szCs w:val="22"/>
        </w:rPr>
      </w:pPr>
      <w:bookmarkStart w:id="25" w:name="_Toc132122413"/>
      <w:bookmarkStart w:id="26" w:name="_Toc132122116"/>
      <w:r>
        <w:rPr>
          <w:rFonts w:hint="eastAsia" w:ascii="宋体" w:hAnsi="宋体" w:cs="宋体"/>
          <w:sz w:val="22"/>
          <w:szCs w:val="22"/>
        </w:rPr>
        <w:t>7.1、供应商应按招标文件中《开标一览表》及《投标分项报价表》（如有）填写投标报价及分项报价（如果）。</w:t>
      </w:r>
    </w:p>
    <w:p>
      <w:pPr>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7.2、本次招标只允许有一个报价，有选择的报价将不予接受。</w:t>
      </w:r>
    </w:p>
    <w:p>
      <w:pPr>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7.3、投标报价应按包含以下费用。</w:t>
      </w:r>
    </w:p>
    <w:p>
      <w:pPr>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承包区域内提供绿化养护、保洁及补种相关服务所需的一切劳务、材料、设备、配件、备件、损耗（包括水、电等）、仓储、运输（包括垃圾外运）、维护、税费、保险、利润、完成合同所需的一切本身和不可或缺的所有工作开支、政策性文件规定及合同包含的所有风险、责任等各项全部费用并承担一切风险责任。</w:t>
      </w:r>
    </w:p>
    <w:p>
      <w:pPr>
        <w:autoSpaceDE w:val="0"/>
        <w:autoSpaceDN w:val="0"/>
        <w:adjustRightInd w:val="0"/>
        <w:spacing w:line="460" w:lineRule="atLeast"/>
        <w:ind w:firstLine="442" w:firstLineChars="200"/>
        <w:textAlignment w:val="bottom"/>
        <w:rPr>
          <w:rFonts w:ascii="宋体" w:hAnsi="宋体" w:cs="宋体"/>
          <w:b/>
          <w:bCs/>
          <w:sz w:val="22"/>
          <w:szCs w:val="22"/>
          <w:u w:val="single"/>
        </w:rPr>
      </w:pPr>
      <w:r>
        <w:rPr>
          <w:rFonts w:hint="eastAsia" w:ascii="宋体" w:hAnsi="宋体" w:cs="宋体"/>
          <w:b/>
          <w:bCs/>
          <w:sz w:val="22"/>
          <w:szCs w:val="22"/>
          <w:u w:val="single"/>
        </w:rPr>
        <w:t>供应商在投标报价中应充分考虑所有可能发生的费用，否则采购人将视投标综合单价中已包括所有费用。</w:t>
      </w:r>
    </w:p>
    <w:p>
      <w:pPr>
        <w:autoSpaceDE w:val="0"/>
        <w:autoSpaceDN w:val="0"/>
        <w:adjustRightInd w:val="0"/>
        <w:spacing w:line="460" w:lineRule="atLeast"/>
        <w:ind w:firstLine="442" w:firstLineChars="200"/>
        <w:textAlignment w:val="bottom"/>
        <w:rPr>
          <w:rFonts w:ascii="宋体" w:hAnsi="宋体" w:cs="宋体"/>
          <w:sz w:val="22"/>
          <w:szCs w:val="22"/>
          <w:u w:val="single"/>
        </w:rPr>
      </w:pPr>
      <w:r>
        <w:rPr>
          <w:rFonts w:hint="eastAsia" w:ascii="宋体" w:hAnsi="宋体" w:cs="宋体"/>
          <w:b/>
          <w:bCs/>
          <w:sz w:val="22"/>
          <w:szCs w:val="22"/>
          <w:u w:val="single"/>
        </w:rPr>
        <w:t>供应商对在合同执行中，除上述费用及招标文件规定的由中标供应商负责的工作范围以外需要采购人协调或提供便利的工作应当在投标文件中说明。</w:t>
      </w:r>
    </w:p>
    <w:p>
      <w:pPr>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填写报价表格时，各项费用应如实填写。</w:t>
      </w:r>
    </w:p>
    <w:p>
      <w:pPr>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8、采购人要求分类报价是为了方便评标，但在任何情况下不限制采购人以其认为最合适的条款签订合同的权利。</w:t>
      </w:r>
    </w:p>
    <w:bookmarkEnd w:id="25"/>
    <w:bookmarkEnd w:id="26"/>
    <w:p>
      <w:pPr>
        <w:autoSpaceDE w:val="0"/>
        <w:autoSpaceDN w:val="0"/>
        <w:adjustRightInd w:val="0"/>
        <w:spacing w:line="460" w:lineRule="atLeast"/>
        <w:ind w:firstLine="440" w:firstLineChars="200"/>
        <w:textAlignment w:val="bottom"/>
        <w:rPr>
          <w:rFonts w:ascii="宋体" w:hAnsi="宋体" w:cs="宋体"/>
          <w:sz w:val="22"/>
          <w:szCs w:val="22"/>
        </w:rPr>
      </w:pPr>
      <w:bookmarkStart w:id="27" w:name="_Toc132122117"/>
      <w:bookmarkStart w:id="28" w:name="_Toc132122414"/>
      <w:bookmarkStart w:id="29" w:name="_Toc132126155"/>
      <w:bookmarkStart w:id="30" w:name="_Toc132125038"/>
      <w:bookmarkStart w:id="31" w:name="_Toc132125096"/>
      <w:bookmarkStart w:id="32" w:name="_Toc132122417"/>
      <w:bookmarkStart w:id="33" w:name="_Toc132124595"/>
      <w:bookmarkStart w:id="34" w:name="_Toc132655777"/>
      <w:bookmarkStart w:id="35" w:name="_Toc132123440"/>
      <w:bookmarkStart w:id="36" w:name="_Toc132125575"/>
      <w:bookmarkStart w:id="37" w:name="_Toc132122120"/>
      <w:bookmarkStart w:id="38" w:name="_Toc132125984"/>
      <w:bookmarkStart w:id="39" w:name="_Toc132123839"/>
      <w:bookmarkStart w:id="40" w:name="_Toc132123882"/>
      <w:bookmarkStart w:id="41" w:name="_Toc132125152"/>
      <w:bookmarkStart w:id="42" w:name="_Toc332809833"/>
      <w:bookmarkStart w:id="43" w:name="_Toc132123635"/>
      <w:bookmarkStart w:id="44" w:name="_Toc132123548"/>
      <w:r>
        <w:rPr>
          <w:rFonts w:hint="eastAsia" w:ascii="宋体" w:hAnsi="宋体" w:cs="宋体"/>
          <w:sz w:val="22"/>
          <w:szCs w:val="22"/>
        </w:rPr>
        <w:t>9、投标文件的有效期</w:t>
      </w:r>
      <w:bookmarkEnd w:id="27"/>
      <w:bookmarkEnd w:id="28"/>
    </w:p>
    <w:p>
      <w:pPr>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9.1 自投标截止时间起90天内，投标文件应保持有效。有效期短于这个规定期限的投标将被拒绝。</w:t>
      </w:r>
    </w:p>
    <w:p>
      <w:pPr>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9.2 在特殊情况下，采购人可与供应商协商延长投标文件的有效期，这种要求和答复均应以书面形式进行。</w:t>
      </w:r>
    </w:p>
    <w:p>
      <w:pPr>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9.3 供应商可拒绝接受延期要求。同意延长有效期的供应商不能修改投标文件。</w:t>
      </w:r>
    </w:p>
    <w:p>
      <w:pPr>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10、投标人如发生下列情况之一，将上报同级政府采购监督管理部门，追究其责任：</w:t>
      </w:r>
    </w:p>
    <w:p>
      <w:pPr>
        <w:pStyle w:val="61"/>
        <w:numPr>
          <w:ilvl w:val="0"/>
          <w:numId w:val="4"/>
        </w:numPr>
        <w:autoSpaceDE w:val="0"/>
        <w:autoSpaceDN w:val="0"/>
        <w:adjustRightInd w:val="0"/>
        <w:spacing w:line="460" w:lineRule="atLeast"/>
        <w:ind w:firstLineChars="0"/>
        <w:textAlignment w:val="bottom"/>
        <w:rPr>
          <w:rFonts w:ascii="宋体" w:hAnsi="宋体" w:cs="宋体"/>
          <w:sz w:val="22"/>
          <w:szCs w:val="22"/>
        </w:rPr>
      </w:pPr>
      <w:r>
        <w:rPr>
          <w:rFonts w:hint="eastAsia" w:ascii="宋体" w:hAnsi="宋体" w:cs="宋体"/>
          <w:sz w:val="22"/>
          <w:szCs w:val="22"/>
        </w:rPr>
        <w:t>投标人在采购文件规定的投标有效期内撤回投标；</w:t>
      </w:r>
    </w:p>
    <w:p>
      <w:pPr>
        <w:pStyle w:val="61"/>
        <w:numPr>
          <w:ilvl w:val="0"/>
          <w:numId w:val="4"/>
        </w:numPr>
        <w:autoSpaceDE w:val="0"/>
        <w:autoSpaceDN w:val="0"/>
        <w:adjustRightInd w:val="0"/>
        <w:spacing w:line="460" w:lineRule="atLeast"/>
        <w:ind w:firstLineChars="0"/>
        <w:textAlignment w:val="bottom"/>
        <w:rPr>
          <w:rFonts w:ascii="宋体" w:hAnsi="宋体" w:cs="宋体"/>
          <w:sz w:val="22"/>
          <w:szCs w:val="22"/>
        </w:rPr>
      </w:pPr>
      <w:r>
        <w:rPr>
          <w:rFonts w:hint="eastAsia" w:ascii="宋体" w:hAnsi="宋体" w:cs="宋体"/>
          <w:sz w:val="22"/>
          <w:szCs w:val="22"/>
        </w:rPr>
        <w:t>中标人未按中标通知书中规定的时间与采购人签订合同；</w:t>
      </w:r>
    </w:p>
    <w:p>
      <w:pPr>
        <w:pStyle w:val="61"/>
        <w:numPr>
          <w:ilvl w:val="0"/>
          <w:numId w:val="4"/>
        </w:numPr>
        <w:autoSpaceDE w:val="0"/>
        <w:autoSpaceDN w:val="0"/>
        <w:adjustRightInd w:val="0"/>
        <w:spacing w:line="460" w:lineRule="atLeast"/>
        <w:ind w:firstLineChars="0"/>
        <w:textAlignment w:val="bottom"/>
        <w:rPr>
          <w:rFonts w:ascii="宋体" w:hAnsi="宋体" w:cs="宋体"/>
          <w:sz w:val="22"/>
          <w:szCs w:val="22"/>
        </w:rPr>
      </w:pPr>
      <w:r>
        <w:rPr>
          <w:rFonts w:hint="eastAsia" w:ascii="宋体" w:hAnsi="宋体" w:cs="宋体"/>
          <w:sz w:val="22"/>
          <w:szCs w:val="22"/>
        </w:rPr>
        <w:t>投标人在采购文件中提供虚假技术指标及参数，经评标委员会确认属实的。</w:t>
      </w:r>
    </w:p>
    <w:p>
      <w:pPr>
        <w:pStyle w:val="61"/>
        <w:numPr>
          <w:ilvl w:val="0"/>
          <w:numId w:val="4"/>
        </w:numPr>
        <w:autoSpaceDE w:val="0"/>
        <w:autoSpaceDN w:val="0"/>
        <w:adjustRightInd w:val="0"/>
        <w:spacing w:line="460" w:lineRule="atLeast"/>
        <w:ind w:firstLineChars="0"/>
        <w:textAlignment w:val="bottom"/>
        <w:rPr>
          <w:rFonts w:ascii="宋体" w:hAnsi="宋体" w:cs="宋体"/>
          <w:sz w:val="22"/>
          <w:szCs w:val="22"/>
        </w:rPr>
      </w:pPr>
      <w:r>
        <w:rPr>
          <w:rFonts w:hint="eastAsia" w:ascii="宋体" w:hAnsi="宋体" w:cs="宋体"/>
          <w:sz w:val="22"/>
          <w:szCs w:val="22"/>
        </w:rPr>
        <w:t>经同级政府采购监督管理部门审查认定投标人有违反《中华人民共和国政府采购法》等有关法律法规的行为。</w:t>
      </w:r>
    </w:p>
    <w:p>
      <w:pPr>
        <w:widowControl/>
        <w:autoSpaceDE w:val="0"/>
        <w:autoSpaceDN w:val="0"/>
        <w:adjustRightInd w:val="0"/>
        <w:spacing w:line="460" w:lineRule="atLeast"/>
        <w:textAlignment w:val="bottom"/>
        <w:rPr>
          <w:rFonts w:ascii="宋体" w:hAnsi="宋体" w:cs="宋体"/>
          <w:b/>
          <w:bCs/>
          <w:sz w:val="22"/>
          <w:szCs w:val="22"/>
        </w:rPr>
      </w:pPr>
      <w:bookmarkStart w:id="45" w:name="_Toc132125574"/>
      <w:bookmarkStart w:id="46" w:name="_Toc132123439"/>
      <w:bookmarkStart w:id="47" w:name="_Toc132123838"/>
      <w:bookmarkStart w:id="48" w:name="_Toc132123634"/>
      <w:bookmarkStart w:id="49" w:name="_Toc132125151"/>
      <w:bookmarkStart w:id="50" w:name="_Toc132126154"/>
      <w:bookmarkStart w:id="51" w:name="_Toc132122416"/>
      <w:bookmarkStart w:id="52" w:name="_Toc132125983"/>
      <w:bookmarkStart w:id="53" w:name="_Toc496116253"/>
      <w:bookmarkStart w:id="54" w:name="_Toc132124594"/>
      <w:bookmarkStart w:id="55" w:name="_Toc132125037"/>
      <w:bookmarkStart w:id="56" w:name="_Toc132123881"/>
      <w:bookmarkStart w:id="57" w:name="_Toc132125095"/>
      <w:bookmarkStart w:id="58" w:name="_Toc132655776"/>
      <w:bookmarkStart w:id="59" w:name="_Toc132123547"/>
      <w:bookmarkStart w:id="60" w:name="_Toc132122119"/>
      <w:r>
        <w:rPr>
          <w:rFonts w:hint="eastAsia" w:ascii="宋体" w:hAnsi="宋体" w:cs="宋体"/>
          <w:b/>
          <w:bCs/>
          <w:sz w:val="22"/>
          <w:szCs w:val="22"/>
        </w:rPr>
        <w:t>五、投标文件的密封</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1、投标文件的递交</w:t>
      </w:r>
    </w:p>
    <w:p>
      <w:pPr>
        <w:autoSpaceDE w:val="0"/>
        <w:autoSpaceDN w:val="0"/>
        <w:adjustRightInd w:val="0"/>
        <w:spacing w:line="460" w:lineRule="atLeast"/>
        <w:ind w:firstLine="440" w:firstLineChars="200"/>
        <w:textAlignment w:val="bottom"/>
        <w:rPr>
          <w:rFonts w:ascii="宋体" w:hAnsi="宋体" w:cs="宋体"/>
          <w:kern w:val="0"/>
          <w:sz w:val="22"/>
          <w:szCs w:val="22"/>
        </w:rPr>
      </w:pPr>
      <w:r>
        <w:rPr>
          <w:rFonts w:hint="eastAsia" w:ascii="宋体" w:hAnsi="宋体" w:cs="宋体"/>
          <w:sz w:val="22"/>
          <w:szCs w:val="22"/>
        </w:rPr>
        <w:t>1.1投标文件的上传、递交：见投标人须知前附表。</w:t>
      </w:r>
    </w:p>
    <w:p>
      <w:pPr>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2、 “电子加密投标文件”解密和异常情况处理。</w:t>
      </w:r>
    </w:p>
    <w:p>
      <w:pPr>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2.1“电子加密投标文件”解密：见投标人须知前附表。</w:t>
      </w:r>
    </w:p>
    <w:p>
      <w:pPr>
        <w:autoSpaceDE w:val="0"/>
        <w:autoSpaceDN w:val="0"/>
        <w:adjustRightInd w:val="0"/>
        <w:spacing w:line="460" w:lineRule="atLeast"/>
        <w:ind w:firstLine="442" w:firstLineChars="200"/>
        <w:textAlignment w:val="bottom"/>
        <w:rPr>
          <w:rFonts w:ascii="宋体" w:hAnsi="宋体" w:cs="宋体"/>
          <w:b/>
          <w:bCs/>
          <w:kern w:val="0"/>
          <w:sz w:val="22"/>
          <w:szCs w:val="22"/>
        </w:rPr>
      </w:pPr>
      <w:r>
        <w:rPr>
          <w:rFonts w:hint="eastAsia" w:ascii="宋体" w:hAnsi="宋体" w:cs="宋体"/>
          <w:b/>
          <w:bCs/>
          <w:kern w:val="0"/>
          <w:sz w:val="22"/>
          <w:szCs w:val="22"/>
        </w:rPr>
        <w:t>3、 投标文件的补充、修改或撤回</w:t>
      </w:r>
    </w:p>
    <w:p>
      <w:pPr>
        <w:autoSpaceDE w:val="0"/>
        <w:autoSpaceDN w:val="0"/>
        <w:adjustRightInd w:val="0"/>
        <w:spacing w:line="460" w:lineRule="atLeast"/>
        <w:ind w:firstLine="440" w:firstLineChars="200"/>
        <w:textAlignment w:val="bottom"/>
        <w:rPr>
          <w:rFonts w:ascii="宋体" w:hAnsi="宋体" w:cs="宋体"/>
          <w:kern w:val="0"/>
          <w:sz w:val="22"/>
          <w:szCs w:val="22"/>
        </w:rPr>
      </w:pPr>
      <w:r>
        <w:rPr>
          <w:rFonts w:hint="eastAsia" w:ascii="宋体" w:hAnsi="宋体" w:cs="宋体"/>
          <w:kern w:val="0"/>
          <w:sz w:val="22"/>
          <w:szCs w:val="22"/>
        </w:rPr>
        <w:t>3.1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pPr>
        <w:autoSpaceDE w:val="0"/>
        <w:autoSpaceDN w:val="0"/>
        <w:adjustRightInd w:val="0"/>
        <w:spacing w:line="460" w:lineRule="atLeast"/>
        <w:ind w:firstLine="440" w:firstLineChars="200"/>
        <w:textAlignment w:val="bottom"/>
        <w:rPr>
          <w:rFonts w:ascii="宋体" w:hAnsi="宋体" w:cs="宋体"/>
          <w:kern w:val="0"/>
          <w:sz w:val="22"/>
          <w:szCs w:val="22"/>
        </w:rPr>
      </w:pPr>
      <w:r>
        <w:rPr>
          <w:rFonts w:hint="eastAsia" w:ascii="宋体" w:hAnsi="宋体" w:cs="宋体"/>
          <w:kern w:val="0"/>
          <w:sz w:val="22"/>
          <w:szCs w:val="22"/>
        </w:rPr>
        <w:t>3.2投标文件递交截止时间后，投标人不得撤回、修改投标文件。</w:t>
      </w:r>
    </w:p>
    <w:p>
      <w:pPr>
        <w:autoSpaceDE w:val="0"/>
        <w:autoSpaceDN w:val="0"/>
        <w:adjustRightInd w:val="0"/>
        <w:spacing w:line="460" w:lineRule="atLeast"/>
        <w:ind w:firstLine="442" w:firstLineChars="200"/>
        <w:textAlignment w:val="bottom"/>
        <w:rPr>
          <w:rFonts w:ascii="宋体" w:hAnsi="宋体" w:cs="宋体"/>
          <w:kern w:val="0"/>
          <w:sz w:val="22"/>
          <w:szCs w:val="22"/>
        </w:rPr>
      </w:pPr>
      <w:r>
        <w:rPr>
          <w:rFonts w:hint="eastAsia" w:ascii="宋体" w:hAnsi="宋体" w:cs="宋体"/>
          <w:b/>
          <w:bCs/>
          <w:kern w:val="0"/>
          <w:sz w:val="22"/>
          <w:szCs w:val="22"/>
        </w:rPr>
        <w:t>4、投标文件的备选方案</w:t>
      </w:r>
    </w:p>
    <w:p>
      <w:pPr>
        <w:autoSpaceDE w:val="0"/>
        <w:autoSpaceDN w:val="0"/>
        <w:adjustRightInd w:val="0"/>
        <w:spacing w:line="460" w:lineRule="atLeast"/>
        <w:ind w:firstLine="440" w:firstLineChars="200"/>
        <w:textAlignment w:val="bottom"/>
        <w:rPr>
          <w:rFonts w:ascii="宋体" w:hAnsi="宋体" w:cs="宋体"/>
          <w:kern w:val="0"/>
          <w:sz w:val="22"/>
          <w:szCs w:val="22"/>
        </w:rPr>
      </w:pPr>
      <w:r>
        <w:rPr>
          <w:rFonts w:hint="eastAsia" w:ascii="宋体" w:hAnsi="宋体" w:cs="宋体"/>
          <w:kern w:val="0"/>
          <w:sz w:val="22"/>
          <w:szCs w:val="22"/>
        </w:rPr>
        <w:t>4.1投标人不得递交任何的投标备选（替代）方案，否则其投标文件将作无效标处理。与“电子加密投标文件”同时生成的“备份投标文件”不是投标备选（替代）方案。</w:t>
      </w:r>
    </w:p>
    <w:p>
      <w:pPr>
        <w:widowControl/>
        <w:autoSpaceDE w:val="0"/>
        <w:autoSpaceDN w:val="0"/>
        <w:adjustRightInd w:val="0"/>
        <w:spacing w:line="460" w:lineRule="atLeast"/>
        <w:textAlignment w:val="bottom"/>
        <w:rPr>
          <w:rFonts w:ascii="宋体" w:hAnsi="宋体" w:cs="宋体"/>
          <w:b/>
          <w:bCs/>
          <w:sz w:val="22"/>
          <w:szCs w:val="22"/>
        </w:rPr>
      </w:pPr>
      <w:bookmarkStart w:id="61" w:name="_Toc496116254"/>
      <w:r>
        <w:rPr>
          <w:rFonts w:hint="eastAsia" w:ascii="宋体" w:hAnsi="宋体" w:cs="宋体"/>
          <w:b/>
          <w:bCs/>
          <w:sz w:val="22"/>
          <w:szCs w:val="22"/>
        </w:rPr>
        <w:t>六、开标和评标</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61"/>
    </w:p>
    <w:p>
      <w:pPr>
        <w:autoSpaceDE w:val="0"/>
        <w:autoSpaceDN w:val="0"/>
        <w:adjustRightInd w:val="0"/>
        <w:spacing w:line="460" w:lineRule="atLeast"/>
        <w:ind w:firstLine="442" w:firstLineChars="200"/>
        <w:textAlignment w:val="bottom"/>
        <w:rPr>
          <w:rFonts w:ascii="宋体" w:hAnsi="宋体" w:cs="宋体"/>
          <w:b/>
          <w:bCs/>
          <w:kern w:val="0"/>
          <w:sz w:val="22"/>
          <w:szCs w:val="22"/>
        </w:rPr>
      </w:pPr>
      <w:r>
        <w:rPr>
          <w:rFonts w:hint="eastAsia" w:ascii="宋体" w:hAnsi="宋体" w:cs="宋体"/>
          <w:b/>
          <w:bCs/>
          <w:kern w:val="0"/>
          <w:sz w:val="22"/>
          <w:szCs w:val="22"/>
        </w:rPr>
        <w:t>1、开标形式</w:t>
      </w:r>
    </w:p>
    <w:p>
      <w:pPr>
        <w:autoSpaceDE w:val="0"/>
        <w:autoSpaceDN w:val="0"/>
        <w:adjustRightInd w:val="0"/>
        <w:spacing w:line="460" w:lineRule="atLeast"/>
        <w:ind w:firstLine="440" w:firstLineChars="200"/>
        <w:textAlignment w:val="bottom"/>
        <w:rPr>
          <w:rFonts w:ascii="宋体" w:hAnsi="宋体" w:cs="宋体"/>
          <w:kern w:val="0"/>
          <w:sz w:val="22"/>
          <w:szCs w:val="22"/>
        </w:rPr>
      </w:pPr>
      <w:r>
        <w:rPr>
          <w:rFonts w:hint="eastAsia" w:ascii="宋体" w:hAnsi="宋体" w:cs="宋体"/>
          <w:kern w:val="0"/>
          <w:sz w:val="22"/>
          <w:szCs w:val="22"/>
        </w:rPr>
        <w:t>1.1 采购组织机构将按照采购文件规定的时间通过“政采云平台”组织开标、开启投标文件，所有供应商均应当准时在线参加。</w:t>
      </w:r>
    </w:p>
    <w:p>
      <w:pPr>
        <w:autoSpaceDE w:val="0"/>
        <w:autoSpaceDN w:val="0"/>
        <w:adjustRightInd w:val="0"/>
        <w:spacing w:line="460" w:lineRule="atLeast"/>
        <w:ind w:firstLine="442" w:firstLineChars="200"/>
        <w:textAlignment w:val="bottom"/>
        <w:rPr>
          <w:rFonts w:ascii="宋体" w:hAnsi="宋体" w:cs="宋体"/>
          <w:b/>
          <w:bCs/>
          <w:kern w:val="0"/>
          <w:sz w:val="22"/>
          <w:szCs w:val="22"/>
        </w:rPr>
      </w:pPr>
      <w:r>
        <w:rPr>
          <w:rFonts w:hint="eastAsia" w:ascii="宋体" w:hAnsi="宋体" w:cs="宋体"/>
          <w:b/>
          <w:bCs/>
          <w:kern w:val="0"/>
          <w:sz w:val="22"/>
          <w:szCs w:val="22"/>
        </w:rPr>
        <w:t>2、 开标准备</w:t>
      </w:r>
    </w:p>
    <w:p>
      <w:pPr>
        <w:autoSpaceDE w:val="0"/>
        <w:autoSpaceDN w:val="0"/>
        <w:adjustRightInd w:val="0"/>
        <w:spacing w:line="460" w:lineRule="atLeast"/>
        <w:ind w:firstLine="440" w:firstLineChars="200"/>
        <w:textAlignment w:val="bottom"/>
        <w:rPr>
          <w:rFonts w:ascii="宋体" w:hAnsi="宋体" w:cs="宋体"/>
          <w:kern w:val="0"/>
          <w:sz w:val="22"/>
          <w:szCs w:val="22"/>
        </w:rPr>
      </w:pPr>
      <w:r>
        <w:rPr>
          <w:rFonts w:hint="eastAsia" w:ascii="宋体" w:hAnsi="宋体" w:cs="宋体"/>
          <w:kern w:val="0"/>
          <w:sz w:val="22"/>
          <w:szCs w:val="22"/>
        </w:rPr>
        <w:t>2.1开标的准备工作由采购组织机构负责落实。</w:t>
      </w:r>
    </w:p>
    <w:p>
      <w:pPr>
        <w:autoSpaceDE w:val="0"/>
        <w:autoSpaceDN w:val="0"/>
        <w:adjustRightInd w:val="0"/>
        <w:spacing w:line="460" w:lineRule="atLeast"/>
        <w:ind w:firstLine="440" w:firstLineChars="200"/>
        <w:textAlignment w:val="bottom"/>
        <w:rPr>
          <w:rFonts w:ascii="宋体" w:hAnsi="宋体" w:cs="宋体"/>
          <w:kern w:val="0"/>
          <w:sz w:val="22"/>
          <w:szCs w:val="22"/>
        </w:rPr>
      </w:pPr>
      <w:r>
        <w:rPr>
          <w:rFonts w:hint="eastAsia" w:ascii="宋体" w:hAnsi="宋体" w:cs="宋体"/>
          <w:kern w:val="0"/>
          <w:sz w:val="22"/>
          <w:szCs w:val="22"/>
        </w:rPr>
        <w:t>2.2采购组织机构将按照采购文件规定的时间通过“政采云平台”组织开标、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供应商自己承担。</w:t>
      </w:r>
    </w:p>
    <w:p>
      <w:pPr>
        <w:numPr>
          <w:ilvl w:val="0"/>
          <w:numId w:val="5"/>
        </w:numPr>
        <w:autoSpaceDE w:val="0"/>
        <w:autoSpaceDN w:val="0"/>
        <w:adjustRightInd w:val="0"/>
        <w:spacing w:line="460" w:lineRule="atLeast"/>
        <w:ind w:firstLine="442" w:firstLineChars="200"/>
        <w:textAlignment w:val="bottom"/>
        <w:rPr>
          <w:rFonts w:ascii="宋体" w:hAnsi="宋体" w:cs="宋体"/>
          <w:b/>
          <w:bCs/>
          <w:kern w:val="0"/>
          <w:sz w:val="22"/>
          <w:szCs w:val="22"/>
        </w:rPr>
      </w:pPr>
      <w:r>
        <w:rPr>
          <w:rFonts w:hint="eastAsia" w:ascii="宋体" w:hAnsi="宋体" w:cs="宋体"/>
          <w:b/>
          <w:bCs/>
          <w:kern w:val="0"/>
          <w:sz w:val="22"/>
          <w:szCs w:val="22"/>
        </w:rPr>
        <w:t>开标流程</w:t>
      </w:r>
      <w:bookmarkStart w:id="62" w:name="_Toc24550037"/>
      <w:bookmarkStart w:id="63" w:name="_Toc33194393"/>
    </w:p>
    <w:p>
      <w:pPr>
        <w:autoSpaceDE w:val="0"/>
        <w:autoSpaceDN w:val="0"/>
        <w:adjustRightInd w:val="0"/>
        <w:spacing w:line="460" w:lineRule="atLeast"/>
        <w:ind w:firstLine="442" w:firstLineChars="200"/>
        <w:textAlignment w:val="bottom"/>
        <w:rPr>
          <w:rFonts w:ascii="宋体" w:hAnsi="宋体" w:cs="宋体"/>
          <w:b/>
          <w:bCs/>
          <w:kern w:val="0"/>
          <w:sz w:val="22"/>
          <w:szCs w:val="22"/>
        </w:rPr>
      </w:pPr>
      <w:r>
        <w:rPr>
          <w:rFonts w:hint="eastAsia" w:ascii="宋体" w:hAnsi="宋体" w:cs="宋体"/>
          <w:b/>
          <w:bCs/>
          <w:kern w:val="0"/>
          <w:sz w:val="22"/>
          <w:szCs w:val="22"/>
        </w:rPr>
        <w:t>（1）向各投标供应商发出电子加密投标文件【开始解密】通知，由供应商按招标文件规定的时间内自行进行投标文件解密。投标供应商在规定的时间内无法完成已递交的“电子加密投标文件”解密的，其投标文件按拒收处理。</w:t>
      </w:r>
    </w:p>
    <w:p>
      <w:pPr>
        <w:autoSpaceDE w:val="0"/>
        <w:autoSpaceDN w:val="0"/>
        <w:adjustRightInd w:val="0"/>
        <w:spacing w:line="460" w:lineRule="atLeast"/>
        <w:ind w:firstLine="442" w:firstLineChars="200"/>
        <w:textAlignment w:val="bottom"/>
        <w:rPr>
          <w:rFonts w:ascii="宋体" w:hAnsi="宋体" w:cs="宋体"/>
          <w:b/>
          <w:bCs/>
          <w:kern w:val="0"/>
          <w:sz w:val="22"/>
          <w:szCs w:val="22"/>
        </w:rPr>
      </w:pPr>
      <w:r>
        <w:rPr>
          <w:rFonts w:hint="eastAsia" w:ascii="宋体" w:hAnsi="宋体" w:cs="宋体"/>
          <w:b/>
          <w:bCs/>
          <w:kern w:val="0"/>
          <w:sz w:val="22"/>
          <w:szCs w:val="22"/>
        </w:rPr>
        <w:t>（2）投标文件解密结束，开启资格文件，进入资格审查环节，采购人或采购代理机构将对依法对投标供应商的资格进行审查，具体见本章节“投标供应商资格审查”相关规定。</w:t>
      </w:r>
    </w:p>
    <w:p>
      <w:pPr>
        <w:autoSpaceDE w:val="0"/>
        <w:autoSpaceDN w:val="0"/>
        <w:adjustRightInd w:val="0"/>
        <w:spacing w:line="460" w:lineRule="atLeast"/>
        <w:ind w:firstLine="442" w:firstLineChars="200"/>
        <w:textAlignment w:val="bottom"/>
        <w:rPr>
          <w:rFonts w:ascii="宋体" w:hAnsi="宋体" w:cs="宋体"/>
          <w:b/>
          <w:bCs/>
          <w:kern w:val="0"/>
          <w:sz w:val="22"/>
          <w:szCs w:val="22"/>
        </w:rPr>
      </w:pPr>
      <w:r>
        <w:rPr>
          <w:rFonts w:hint="eastAsia" w:ascii="宋体" w:hAnsi="宋体" w:cs="宋体"/>
          <w:b/>
          <w:bCs/>
          <w:kern w:val="0"/>
          <w:sz w:val="22"/>
          <w:szCs w:val="22"/>
        </w:rPr>
        <w:t>（3）开启资格审查通过的投标供应商的商务技术文件进入符合性审查及商务技术评审；</w:t>
      </w:r>
    </w:p>
    <w:p>
      <w:pPr>
        <w:autoSpaceDE w:val="0"/>
        <w:autoSpaceDN w:val="0"/>
        <w:adjustRightInd w:val="0"/>
        <w:spacing w:line="460" w:lineRule="atLeast"/>
        <w:ind w:firstLine="442" w:firstLineChars="200"/>
        <w:textAlignment w:val="bottom"/>
        <w:rPr>
          <w:rFonts w:ascii="宋体" w:hAnsi="宋体" w:cs="宋体"/>
          <w:b/>
          <w:bCs/>
          <w:kern w:val="0"/>
          <w:sz w:val="22"/>
          <w:szCs w:val="22"/>
        </w:rPr>
      </w:pPr>
      <w:r>
        <w:rPr>
          <w:rFonts w:hint="eastAsia" w:ascii="宋体" w:hAnsi="宋体" w:cs="宋体"/>
          <w:b/>
          <w:bCs/>
          <w:kern w:val="0"/>
          <w:sz w:val="22"/>
          <w:szCs w:val="22"/>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pPr>
        <w:autoSpaceDE w:val="0"/>
        <w:autoSpaceDN w:val="0"/>
        <w:adjustRightInd w:val="0"/>
        <w:spacing w:line="460" w:lineRule="atLeast"/>
        <w:ind w:firstLine="442" w:firstLineChars="200"/>
        <w:textAlignment w:val="bottom"/>
        <w:rPr>
          <w:rFonts w:ascii="宋体" w:hAnsi="宋体" w:cs="宋体"/>
          <w:b/>
          <w:bCs/>
          <w:kern w:val="0"/>
          <w:sz w:val="22"/>
          <w:szCs w:val="22"/>
        </w:rPr>
      </w:pPr>
      <w:r>
        <w:rPr>
          <w:rFonts w:hint="eastAsia" w:ascii="宋体" w:hAnsi="宋体" w:cs="宋体"/>
          <w:b/>
          <w:bCs/>
          <w:kern w:val="0"/>
          <w:sz w:val="22"/>
          <w:szCs w:val="22"/>
        </w:rPr>
        <w:t>开标时，报价文件中投标报价出现前后不一致的，按照下列规定修正：</w:t>
      </w:r>
    </w:p>
    <w:p>
      <w:pPr>
        <w:autoSpaceDE w:val="0"/>
        <w:autoSpaceDN w:val="0"/>
        <w:adjustRightInd w:val="0"/>
        <w:spacing w:line="460" w:lineRule="atLeast"/>
        <w:ind w:firstLine="442" w:firstLineChars="200"/>
        <w:textAlignment w:val="bottom"/>
        <w:rPr>
          <w:rFonts w:ascii="宋体" w:hAnsi="宋体" w:cs="宋体"/>
          <w:b/>
          <w:bCs/>
          <w:kern w:val="0"/>
          <w:sz w:val="22"/>
          <w:szCs w:val="22"/>
        </w:rPr>
      </w:pPr>
      <w:r>
        <w:rPr>
          <w:rFonts w:hint="eastAsia" w:ascii="宋体" w:hAnsi="宋体" w:cs="宋体"/>
          <w:b/>
          <w:bCs/>
          <w:kern w:val="0"/>
          <w:sz w:val="22"/>
          <w:szCs w:val="22"/>
        </w:rPr>
        <w:t>（一）投标文件中开标一览表内容与投标文件中相应内容不一致的，以开标一览表为准；</w:t>
      </w:r>
    </w:p>
    <w:p>
      <w:pPr>
        <w:autoSpaceDE w:val="0"/>
        <w:autoSpaceDN w:val="0"/>
        <w:adjustRightInd w:val="0"/>
        <w:spacing w:line="460" w:lineRule="atLeast"/>
        <w:ind w:firstLine="442" w:firstLineChars="200"/>
        <w:textAlignment w:val="bottom"/>
        <w:rPr>
          <w:rFonts w:ascii="宋体" w:hAnsi="宋体" w:cs="宋体"/>
          <w:b/>
          <w:bCs/>
          <w:kern w:val="0"/>
          <w:sz w:val="22"/>
          <w:szCs w:val="22"/>
        </w:rPr>
      </w:pPr>
      <w:r>
        <w:rPr>
          <w:rFonts w:hint="eastAsia" w:ascii="宋体" w:hAnsi="宋体" w:cs="宋体"/>
          <w:b/>
          <w:bCs/>
          <w:kern w:val="0"/>
          <w:sz w:val="22"/>
          <w:szCs w:val="22"/>
        </w:rPr>
        <w:t>（二）大写金额和小写金额不一致的，以大写金额为准；</w:t>
      </w:r>
    </w:p>
    <w:p>
      <w:pPr>
        <w:autoSpaceDE w:val="0"/>
        <w:autoSpaceDN w:val="0"/>
        <w:adjustRightInd w:val="0"/>
        <w:spacing w:line="460" w:lineRule="atLeast"/>
        <w:ind w:firstLine="442" w:firstLineChars="200"/>
        <w:textAlignment w:val="bottom"/>
        <w:rPr>
          <w:rFonts w:ascii="宋体" w:hAnsi="宋体" w:cs="宋体"/>
          <w:b/>
          <w:bCs/>
          <w:kern w:val="0"/>
          <w:sz w:val="22"/>
          <w:szCs w:val="22"/>
        </w:rPr>
      </w:pPr>
      <w:r>
        <w:rPr>
          <w:rFonts w:hint="eastAsia" w:ascii="宋体" w:hAnsi="宋体" w:cs="宋体"/>
          <w:b/>
          <w:bCs/>
          <w:kern w:val="0"/>
          <w:sz w:val="22"/>
          <w:szCs w:val="22"/>
        </w:rPr>
        <w:t>（三）单价金额小数点或者百分比有明显错位的，以开标一览表的总价为准，并修改单价；</w:t>
      </w:r>
    </w:p>
    <w:p>
      <w:pPr>
        <w:autoSpaceDE w:val="0"/>
        <w:autoSpaceDN w:val="0"/>
        <w:adjustRightInd w:val="0"/>
        <w:spacing w:line="460" w:lineRule="atLeast"/>
        <w:ind w:firstLine="442" w:firstLineChars="200"/>
        <w:textAlignment w:val="bottom"/>
        <w:rPr>
          <w:rFonts w:ascii="宋体" w:hAnsi="宋体" w:cs="宋体"/>
          <w:b/>
          <w:bCs/>
          <w:kern w:val="0"/>
          <w:sz w:val="22"/>
          <w:szCs w:val="22"/>
        </w:rPr>
      </w:pPr>
      <w:r>
        <w:rPr>
          <w:rFonts w:hint="eastAsia" w:ascii="宋体" w:hAnsi="宋体" w:cs="宋体"/>
          <w:b/>
          <w:bCs/>
          <w:kern w:val="0"/>
          <w:sz w:val="22"/>
          <w:szCs w:val="22"/>
        </w:rPr>
        <w:t>（四）总价金额与按单价汇总金额不一致的，以单价金额计算结果为准。</w:t>
      </w:r>
    </w:p>
    <w:p>
      <w:pPr>
        <w:autoSpaceDE w:val="0"/>
        <w:autoSpaceDN w:val="0"/>
        <w:adjustRightInd w:val="0"/>
        <w:spacing w:line="460" w:lineRule="atLeast"/>
        <w:ind w:firstLine="442" w:firstLineChars="200"/>
        <w:textAlignment w:val="bottom"/>
        <w:rPr>
          <w:rFonts w:ascii="宋体" w:hAnsi="宋体" w:cs="宋体"/>
          <w:b/>
          <w:bCs/>
          <w:kern w:val="0"/>
          <w:sz w:val="22"/>
          <w:szCs w:val="22"/>
        </w:rPr>
      </w:pPr>
      <w:r>
        <w:rPr>
          <w:rFonts w:hint="eastAsia" w:ascii="宋体" w:hAnsi="宋体" w:cs="宋体"/>
          <w:b/>
          <w:bCs/>
          <w:kern w:val="0"/>
          <w:sz w:val="22"/>
          <w:szCs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pPr>
        <w:autoSpaceDE w:val="0"/>
        <w:autoSpaceDN w:val="0"/>
        <w:adjustRightInd w:val="0"/>
        <w:spacing w:line="460" w:lineRule="atLeast"/>
        <w:ind w:firstLine="442" w:firstLineChars="200"/>
        <w:textAlignment w:val="bottom"/>
        <w:rPr>
          <w:rFonts w:ascii="宋体" w:hAnsi="宋体" w:cs="宋体"/>
          <w:b/>
          <w:bCs/>
          <w:kern w:val="0"/>
          <w:sz w:val="22"/>
          <w:szCs w:val="22"/>
        </w:rPr>
      </w:pPr>
      <w:r>
        <w:rPr>
          <w:rFonts w:hint="eastAsia" w:ascii="宋体" w:hAnsi="宋体" w:cs="宋体"/>
          <w:b/>
          <w:bCs/>
          <w:kern w:val="0"/>
          <w:sz w:val="22"/>
          <w:szCs w:val="22"/>
        </w:rPr>
        <w:t>（5）评审结束后，公布采购结果。</w:t>
      </w:r>
    </w:p>
    <w:p>
      <w:pPr>
        <w:autoSpaceDE w:val="0"/>
        <w:autoSpaceDN w:val="0"/>
        <w:adjustRightInd w:val="0"/>
        <w:spacing w:line="460" w:lineRule="atLeast"/>
        <w:ind w:firstLine="442" w:firstLineChars="200"/>
        <w:textAlignment w:val="bottom"/>
        <w:rPr>
          <w:rFonts w:ascii="宋体" w:hAnsi="宋体" w:cs="宋体"/>
          <w:b/>
          <w:bCs/>
          <w:kern w:val="0"/>
          <w:sz w:val="22"/>
          <w:szCs w:val="22"/>
        </w:rPr>
      </w:pPr>
      <w:r>
        <w:rPr>
          <w:rFonts w:hint="eastAsia" w:ascii="宋体" w:hAnsi="宋体" w:cs="宋体"/>
          <w:b/>
          <w:bCs/>
          <w:kern w:val="0"/>
          <w:sz w:val="22"/>
          <w:szCs w:val="22"/>
        </w:rPr>
        <w:t>特别说明：如遇“政府采购云平台”电子化开标或评审程序调整的，按调整后程序执行。</w:t>
      </w:r>
    </w:p>
    <w:p>
      <w:pPr>
        <w:autoSpaceDE w:val="0"/>
        <w:autoSpaceDN w:val="0"/>
        <w:adjustRightInd w:val="0"/>
        <w:spacing w:line="460" w:lineRule="atLeast"/>
        <w:ind w:firstLine="442" w:firstLineChars="200"/>
        <w:textAlignment w:val="bottom"/>
        <w:rPr>
          <w:rFonts w:ascii="宋体" w:hAnsi="宋体" w:cs="宋体"/>
          <w:b/>
          <w:bCs/>
          <w:kern w:val="0"/>
          <w:sz w:val="22"/>
          <w:szCs w:val="22"/>
        </w:rPr>
      </w:pPr>
      <w:r>
        <w:rPr>
          <w:rFonts w:hint="eastAsia" w:ascii="宋体" w:hAnsi="宋体" w:cs="宋体"/>
          <w:b/>
          <w:bCs/>
          <w:kern w:val="0"/>
          <w:sz w:val="22"/>
          <w:szCs w:val="22"/>
        </w:rPr>
        <w:t>4、 投标供应商资格审查</w:t>
      </w:r>
      <w:bookmarkEnd w:id="62"/>
      <w:bookmarkEnd w:id="63"/>
    </w:p>
    <w:p>
      <w:pPr>
        <w:autoSpaceDE w:val="0"/>
        <w:autoSpaceDN w:val="0"/>
        <w:adjustRightInd w:val="0"/>
        <w:snapToGrid w:val="0"/>
        <w:spacing w:line="460" w:lineRule="atLeast"/>
        <w:ind w:firstLine="440" w:firstLineChars="200"/>
        <w:textAlignment w:val="bottom"/>
        <w:rPr>
          <w:rFonts w:ascii="宋体"/>
          <w:sz w:val="22"/>
          <w:szCs w:val="22"/>
        </w:rPr>
      </w:pPr>
      <w:r>
        <w:rPr>
          <w:rFonts w:hint="eastAsia" w:ascii="宋体"/>
          <w:sz w:val="22"/>
          <w:szCs w:val="22"/>
        </w:rPr>
        <w:t>4</w:t>
      </w:r>
      <w:r>
        <w:rPr>
          <w:rFonts w:ascii="宋体"/>
          <w:sz w:val="22"/>
          <w:szCs w:val="22"/>
        </w:rPr>
        <w:t>.1、开标后，采购人或者采购代理机构应当依法对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autoSpaceDE w:val="0"/>
        <w:autoSpaceDN w:val="0"/>
        <w:adjustRightInd w:val="0"/>
        <w:snapToGrid w:val="0"/>
        <w:spacing w:line="460" w:lineRule="atLeast"/>
        <w:ind w:firstLine="440" w:firstLineChars="200"/>
        <w:textAlignment w:val="bottom"/>
        <w:rPr>
          <w:rFonts w:ascii="宋体"/>
          <w:sz w:val="22"/>
          <w:szCs w:val="22"/>
        </w:rPr>
      </w:pPr>
      <w:r>
        <w:rPr>
          <w:rFonts w:hint="eastAsia" w:ascii="宋体"/>
          <w:sz w:val="22"/>
          <w:szCs w:val="22"/>
        </w:rPr>
        <w:t>4</w:t>
      </w:r>
      <w:r>
        <w:rPr>
          <w:rFonts w:ascii="宋体"/>
          <w:sz w:val="22"/>
          <w:szCs w:val="22"/>
        </w:rPr>
        <w:t>.2、投标供应商提交的资格证明材料无法证明其符合招标文件规定的“投标供应商资格要求”的，采购人或采购代理机构将对其作资格审查不通过处理（无效投标），并不再将其投标提交评标委员会进行后续评审。</w:t>
      </w:r>
    </w:p>
    <w:p>
      <w:pPr>
        <w:autoSpaceDE w:val="0"/>
        <w:autoSpaceDN w:val="0"/>
        <w:adjustRightInd w:val="0"/>
        <w:snapToGrid w:val="0"/>
        <w:spacing w:line="460" w:lineRule="atLeast"/>
        <w:ind w:firstLine="440" w:firstLineChars="200"/>
        <w:textAlignment w:val="bottom"/>
        <w:rPr>
          <w:rFonts w:ascii="宋体"/>
          <w:sz w:val="22"/>
          <w:szCs w:val="22"/>
        </w:rPr>
      </w:pPr>
      <w:r>
        <w:rPr>
          <w:rFonts w:hint="eastAsia" w:ascii="宋体"/>
          <w:sz w:val="22"/>
          <w:szCs w:val="22"/>
        </w:rPr>
        <w:t>4.</w:t>
      </w:r>
      <w:r>
        <w:rPr>
          <w:rFonts w:ascii="宋体"/>
          <w:sz w:val="22"/>
          <w:szCs w:val="22"/>
        </w:rPr>
        <w:t>3、单位负责人为同一人或者存在直接控股、管理关系的不同供应商参加同一合同项下的政府采购活动的，相关投标供应商均作资格无效处理。</w:t>
      </w:r>
    </w:p>
    <w:p>
      <w:pPr>
        <w:autoSpaceDE w:val="0"/>
        <w:autoSpaceDN w:val="0"/>
        <w:adjustRightInd w:val="0"/>
        <w:snapToGrid w:val="0"/>
        <w:spacing w:line="460" w:lineRule="atLeast"/>
        <w:ind w:firstLine="440" w:firstLineChars="200"/>
        <w:textAlignment w:val="bottom"/>
        <w:rPr>
          <w:rFonts w:ascii="宋体"/>
          <w:sz w:val="22"/>
          <w:szCs w:val="22"/>
        </w:rPr>
      </w:pPr>
      <w:r>
        <w:rPr>
          <w:rFonts w:hint="eastAsia" w:ascii="宋体"/>
          <w:sz w:val="22"/>
          <w:szCs w:val="22"/>
        </w:rPr>
        <w:t>4</w:t>
      </w:r>
      <w:r>
        <w:rPr>
          <w:rFonts w:ascii="宋体"/>
          <w:sz w:val="22"/>
          <w:szCs w:val="22"/>
        </w:rPr>
        <w:t>.4、属于公益一类事业单位、使用事业编制且由财政拨款保障的群团组织参与本项目投标的按无效投标处理。</w:t>
      </w:r>
    </w:p>
    <w:p>
      <w:pPr>
        <w:pStyle w:val="13"/>
        <w:snapToGrid w:val="0"/>
        <w:spacing w:line="460" w:lineRule="atLeast"/>
        <w:ind w:firstLine="435" w:firstLineChars="197"/>
        <w:rPr>
          <w:rFonts w:hAnsi="宋体"/>
          <w:b/>
          <w:bCs/>
          <w:sz w:val="22"/>
          <w:szCs w:val="22"/>
        </w:rPr>
      </w:pPr>
      <w:r>
        <w:rPr>
          <w:rFonts w:hint="eastAsia" w:hAnsi="宋体"/>
          <w:b/>
          <w:bCs/>
          <w:sz w:val="22"/>
          <w:szCs w:val="22"/>
        </w:rPr>
        <w:t>5、评标</w:t>
      </w:r>
    </w:p>
    <w:p>
      <w:pPr>
        <w:pStyle w:val="13"/>
        <w:snapToGrid w:val="0"/>
        <w:spacing w:line="460" w:lineRule="atLeast"/>
        <w:ind w:firstLine="435" w:firstLineChars="197"/>
        <w:rPr>
          <w:rFonts w:hAnsi="宋体"/>
          <w:b/>
          <w:bCs/>
          <w:sz w:val="22"/>
          <w:szCs w:val="22"/>
        </w:rPr>
      </w:pPr>
      <w:r>
        <w:rPr>
          <w:rFonts w:hint="eastAsia" w:hAnsi="宋体"/>
          <w:b/>
          <w:bCs/>
          <w:sz w:val="22"/>
          <w:szCs w:val="22"/>
        </w:rPr>
        <w:t>5.1评标由采购人依法组建的评标委员会负责，并独立履行下列职责：</w:t>
      </w:r>
    </w:p>
    <w:p>
      <w:pPr>
        <w:snapToGrid w:val="0"/>
        <w:spacing w:line="460" w:lineRule="atLeast"/>
        <w:ind w:firstLine="433" w:firstLineChars="197"/>
        <w:rPr>
          <w:rFonts w:ascii="宋体" w:hAnsi="宋体" w:cs="宋体"/>
          <w:sz w:val="22"/>
          <w:szCs w:val="22"/>
        </w:rPr>
      </w:pPr>
      <w:r>
        <w:rPr>
          <w:rFonts w:hint="eastAsia" w:ascii="宋体" w:hAnsi="宋体" w:cs="宋体"/>
          <w:sz w:val="22"/>
          <w:szCs w:val="22"/>
        </w:rPr>
        <w:t>1）审查投标文件是否符合招标文件要求，并做出评价；</w:t>
      </w:r>
    </w:p>
    <w:p>
      <w:pPr>
        <w:snapToGrid w:val="0"/>
        <w:spacing w:line="460" w:lineRule="atLeast"/>
        <w:ind w:firstLine="433" w:firstLineChars="197"/>
        <w:rPr>
          <w:rFonts w:ascii="宋体" w:hAnsi="宋体" w:cs="宋体"/>
          <w:sz w:val="22"/>
          <w:szCs w:val="22"/>
        </w:rPr>
      </w:pPr>
      <w:r>
        <w:rPr>
          <w:rFonts w:hint="eastAsia" w:ascii="宋体" w:hAnsi="宋体" w:cs="宋体"/>
          <w:sz w:val="22"/>
          <w:szCs w:val="22"/>
        </w:rPr>
        <w:t>2）要求供应商对投标文件有关事项做出解释或者澄清；</w:t>
      </w:r>
    </w:p>
    <w:p>
      <w:pPr>
        <w:snapToGrid w:val="0"/>
        <w:spacing w:line="460" w:lineRule="atLeast"/>
        <w:ind w:firstLine="433" w:firstLineChars="197"/>
        <w:rPr>
          <w:rFonts w:ascii="宋体" w:hAnsi="宋体" w:cs="宋体"/>
          <w:sz w:val="22"/>
          <w:szCs w:val="22"/>
        </w:rPr>
      </w:pPr>
      <w:r>
        <w:rPr>
          <w:rFonts w:hint="eastAsia" w:ascii="宋体" w:hAnsi="宋体" w:cs="宋体"/>
          <w:sz w:val="22"/>
          <w:szCs w:val="22"/>
        </w:rPr>
        <w:t>3）按照招标文件确定的评标办法确定中标人，并对其排序；综合得分最高的供应商推荐为中标人；</w:t>
      </w:r>
    </w:p>
    <w:p>
      <w:pPr>
        <w:pStyle w:val="13"/>
        <w:snapToGrid w:val="0"/>
        <w:spacing w:line="460" w:lineRule="atLeast"/>
        <w:ind w:firstLine="433" w:firstLineChars="197"/>
        <w:rPr>
          <w:rFonts w:hAnsi="宋体"/>
          <w:sz w:val="22"/>
          <w:szCs w:val="22"/>
        </w:rPr>
      </w:pPr>
      <w:r>
        <w:rPr>
          <w:rFonts w:hint="eastAsia" w:hAnsi="宋体"/>
          <w:sz w:val="22"/>
          <w:szCs w:val="22"/>
        </w:rPr>
        <w:t>4）向采购人或者有关部门报告非法干预评标工作的行为。</w:t>
      </w:r>
    </w:p>
    <w:p>
      <w:pPr>
        <w:pStyle w:val="13"/>
        <w:snapToGrid w:val="0"/>
        <w:spacing w:line="460" w:lineRule="atLeast"/>
        <w:ind w:firstLine="433" w:firstLineChars="197"/>
        <w:rPr>
          <w:rFonts w:hAnsi="宋体"/>
          <w:sz w:val="22"/>
          <w:szCs w:val="22"/>
        </w:rPr>
      </w:pPr>
      <w:r>
        <w:rPr>
          <w:rFonts w:hint="eastAsia" w:hAnsi="宋体"/>
          <w:sz w:val="22"/>
          <w:szCs w:val="22"/>
        </w:rPr>
        <w:t>5）根据采购人的授权确定中标人名单；</w:t>
      </w:r>
    </w:p>
    <w:p>
      <w:pPr>
        <w:snapToGrid w:val="0"/>
        <w:spacing w:line="460" w:lineRule="atLeast"/>
        <w:ind w:firstLine="435" w:firstLineChars="197"/>
        <w:rPr>
          <w:rFonts w:ascii="宋体" w:hAnsi="宋体" w:cs="宋体"/>
          <w:b/>
          <w:bCs/>
          <w:sz w:val="22"/>
          <w:szCs w:val="22"/>
        </w:rPr>
      </w:pPr>
      <w:r>
        <w:rPr>
          <w:rFonts w:hint="eastAsia" w:ascii="宋体" w:hAnsi="宋体" w:cs="宋体"/>
          <w:b/>
          <w:bCs/>
          <w:sz w:val="22"/>
          <w:szCs w:val="22"/>
        </w:rPr>
        <w:t>5.2评标应当遵循下列工作程序：</w:t>
      </w:r>
    </w:p>
    <w:p>
      <w:pPr>
        <w:snapToGrid w:val="0"/>
        <w:spacing w:line="460" w:lineRule="atLeast"/>
        <w:ind w:firstLine="433" w:firstLineChars="197"/>
        <w:rPr>
          <w:rFonts w:ascii="宋体" w:hAnsi="宋体" w:cs="宋体"/>
          <w:sz w:val="22"/>
          <w:szCs w:val="22"/>
        </w:rPr>
      </w:pPr>
      <w:r>
        <w:rPr>
          <w:rFonts w:hint="eastAsia" w:ascii="宋体" w:hAnsi="宋体" w:cs="宋体"/>
          <w:sz w:val="22"/>
          <w:szCs w:val="22"/>
        </w:rPr>
        <w:t>1）投标文件初审。初审为符合性检查。</w:t>
      </w:r>
    </w:p>
    <w:p>
      <w:pPr>
        <w:snapToGrid w:val="0"/>
        <w:spacing w:line="460" w:lineRule="atLeast"/>
        <w:ind w:firstLine="323" w:firstLineChars="147"/>
        <w:rPr>
          <w:rFonts w:ascii="宋体" w:hAnsi="宋体" w:cs="宋体"/>
          <w:sz w:val="22"/>
          <w:szCs w:val="22"/>
        </w:rPr>
      </w:pPr>
      <w:r>
        <w:rPr>
          <w:rFonts w:hint="eastAsia" w:ascii="宋体" w:hAnsi="宋体" w:cs="宋体"/>
          <w:sz w:val="22"/>
          <w:szCs w:val="22"/>
        </w:rPr>
        <w:t>（1)符合性检查。依据招标文件的规定，从投标文件的有效性、完整性和对招标文件的响应程度进行审查，以确定是否对招标文件的实质性要求做出响应。</w:t>
      </w:r>
    </w:p>
    <w:p>
      <w:pPr>
        <w:snapToGrid w:val="0"/>
        <w:spacing w:line="460" w:lineRule="atLeast"/>
        <w:ind w:firstLine="433" w:firstLineChars="197"/>
        <w:rPr>
          <w:rFonts w:ascii="宋体" w:hAnsi="宋体" w:cs="宋体"/>
          <w:sz w:val="22"/>
          <w:szCs w:val="22"/>
        </w:rPr>
      </w:pPr>
      <w:r>
        <w:rPr>
          <w:rFonts w:hint="eastAsia" w:ascii="宋体" w:hAnsi="宋体" w:cs="宋体"/>
          <w:sz w:val="22"/>
          <w:szCs w:val="22"/>
        </w:rPr>
        <w:t>2）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pPr>
        <w:adjustRightInd w:val="0"/>
        <w:snapToGrid w:val="0"/>
        <w:spacing w:line="460" w:lineRule="atLeast"/>
        <w:ind w:firstLine="435" w:firstLineChars="197"/>
        <w:rPr>
          <w:rFonts w:ascii="宋体" w:hAnsi="宋体" w:cs="宋体"/>
          <w:b/>
          <w:bCs/>
          <w:sz w:val="22"/>
          <w:szCs w:val="22"/>
        </w:rPr>
      </w:pPr>
      <w:r>
        <w:rPr>
          <w:rFonts w:hint="eastAsia" w:ascii="宋体" w:hAnsi="宋体" w:cs="宋体"/>
          <w:b/>
          <w:bCs/>
          <w:sz w:val="22"/>
          <w:szCs w:val="22"/>
        </w:rPr>
        <w:t>实质上没有响应招标文件要求的投标将被拒绝。供应商不得通过修正或撤消不合要求的偏离从而使其投标成为实质上响应的投标。</w:t>
      </w:r>
    </w:p>
    <w:p>
      <w:pPr>
        <w:snapToGrid w:val="0"/>
        <w:spacing w:line="460" w:lineRule="atLeast"/>
        <w:ind w:firstLine="435" w:firstLineChars="197"/>
        <w:rPr>
          <w:rFonts w:ascii="宋体" w:hAnsi="宋体" w:cs="宋体"/>
          <w:b/>
          <w:bCs/>
          <w:sz w:val="22"/>
          <w:szCs w:val="22"/>
        </w:rPr>
      </w:pPr>
      <w:r>
        <w:rPr>
          <w:rFonts w:hint="eastAsia" w:ascii="宋体" w:hAnsi="宋体" w:cs="宋体"/>
          <w:b/>
          <w:bCs/>
          <w:sz w:val="22"/>
          <w:szCs w:val="22"/>
        </w:rPr>
        <w:t>评标委员会对投标文件的判定，只依据投标文件内容本身，不依靠开标后的任何外来证明。</w:t>
      </w:r>
    </w:p>
    <w:p>
      <w:pPr>
        <w:pStyle w:val="13"/>
        <w:snapToGrid w:val="0"/>
        <w:spacing w:line="460" w:lineRule="atLeast"/>
        <w:ind w:firstLine="433" w:firstLineChars="197"/>
        <w:rPr>
          <w:rFonts w:hAnsi="宋体"/>
          <w:sz w:val="22"/>
          <w:szCs w:val="22"/>
        </w:rPr>
      </w:pPr>
      <w:r>
        <w:rPr>
          <w:rFonts w:hint="eastAsia" w:hAnsi="宋体"/>
          <w:sz w:val="22"/>
          <w:szCs w:val="22"/>
        </w:rPr>
        <w:t>3）比较与评价。按招标文件中规定的评标方法和标准，对资格性检查和符合性检查合格的投标文件进行商务和技术评估，综合比较与评价。</w:t>
      </w:r>
    </w:p>
    <w:p>
      <w:pPr>
        <w:pStyle w:val="13"/>
        <w:snapToGrid w:val="0"/>
        <w:spacing w:line="460" w:lineRule="atLeast"/>
        <w:ind w:firstLine="433" w:firstLineChars="197"/>
        <w:rPr>
          <w:rFonts w:hAnsi="宋体"/>
          <w:sz w:val="22"/>
          <w:szCs w:val="22"/>
        </w:rPr>
      </w:pPr>
      <w:r>
        <w:rPr>
          <w:rFonts w:hint="eastAsia" w:hAnsi="宋体"/>
          <w:sz w:val="22"/>
          <w:szCs w:val="22"/>
        </w:rPr>
        <w:t>4）推荐中标人候选人名单，并根据采购人的授权确定中标人。</w:t>
      </w:r>
    </w:p>
    <w:p>
      <w:pPr>
        <w:pStyle w:val="13"/>
        <w:snapToGrid w:val="0"/>
        <w:spacing w:line="460" w:lineRule="atLeast"/>
        <w:ind w:firstLine="435" w:firstLineChars="197"/>
        <w:rPr>
          <w:rFonts w:hAnsi="宋体"/>
          <w:b/>
          <w:bCs/>
          <w:sz w:val="22"/>
          <w:szCs w:val="22"/>
          <w:u w:val="single"/>
        </w:rPr>
      </w:pPr>
      <w:r>
        <w:rPr>
          <w:rFonts w:hint="eastAsia" w:hAnsi="宋体"/>
          <w:b/>
          <w:bCs/>
          <w:sz w:val="22"/>
          <w:szCs w:val="22"/>
        </w:rPr>
        <w:t xml:space="preserve">5.3 </w:t>
      </w:r>
      <w:r>
        <w:rPr>
          <w:rFonts w:hint="eastAsia" w:hAnsi="宋体"/>
          <w:b/>
          <w:bCs/>
          <w:sz w:val="22"/>
          <w:szCs w:val="22"/>
          <w:u w:val="single"/>
        </w:rPr>
        <w:t>▲投标人存在下列情况之一的，投标无效:</w:t>
      </w:r>
    </w:p>
    <w:p>
      <w:pPr>
        <w:pStyle w:val="13"/>
        <w:snapToGrid w:val="0"/>
        <w:spacing w:line="460" w:lineRule="atLeast"/>
        <w:ind w:firstLine="433" w:firstLineChars="197"/>
        <w:rPr>
          <w:rFonts w:hAnsi="宋体"/>
          <w:sz w:val="22"/>
          <w:szCs w:val="22"/>
        </w:rPr>
      </w:pPr>
      <w:r>
        <w:rPr>
          <w:rFonts w:hint="eastAsia" w:hAnsi="宋体"/>
          <w:sz w:val="22"/>
          <w:szCs w:val="22"/>
        </w:rPr>
        <w:t>1）投标文件未按招标文件要求签署、盖章的；</w:t>
      </w:r>
    </w:p>
    <w:p>
      <w:pPr>
        <w:pStyle w:val="13"/>
        <w:snapToGrid w:val="0"/>
        <w:spacing w:line="460" w:lineRule="atLeast"/>
        <w:ind w:firstLine="433" w:firstLineChars="197"/>
        <w:rPr>
          <w:rFonts w:hAnsi="宋体"/>
          <w:sz w:val="22"/>
          <w:szCs w:val="22"/>
        </w:rPr>
      </w:pPr>
      <w:r>
        <w:rPr>
          <w:rFonts w:hint="eastAsia" w:hAnsi="宋体"/>
          <w:sz w:val="22"/>
          <w:szCs w:val="22"/>
        </w:rPr>
        <w:t>2）不具备招标文件中规定的资格要求的；</w:t>
      </w:r>
    </w:p>
    <w:p>
      <w:pPr>
        <w:pStyle w:val="13"/>
        <w:snapToGrid w:val="0"/>
        <w:spacing w:line="460" w:lineRule="atLeast"/>
        <w:ind w:firstLine="433" w:firstLineChars="197"/>
        <w:rPr>
          <w:rFonts w:hAnsi="宋体"/>
          <w:sz w:val="22"/>
          <w:szCs w:val="22"/>
        </w:rPr>
      </w:pPr>
      <w:r>
        <w:rPr>
          <w:rFonts w:hint="eastAsia" w:hAnsi="宋体"/>
          <w:sz w:val="22"/>
          <w:szCs w:val="22"/>
        </w:rPr>
        <w:t>3）报价超过招标文件中规定的预算金额或者最高限价的；</w:t>
      </w:r>
    </w:p>
    <w:p>
      <w:pPr>
        <w:pStyle w:val="13"/>
        <w:snapToGrid w:val="0"/>
        <w:spacing w:line="460" w:lineRule="atLeast"/>
        <w:ind w:firstLine="433" w:firstLineChars="197"/>
        <w:rPr>
          <w:rFonts w:hAnsi="宋体"/>
          <w:sz w:val="22"/>
          <w:szCs w:val="22"/>
        </w:rPr>
      </w:pPr>
      <w:r>
        <w:rPr>
          <w:rFonts w:hint="eastAsia" w:hAnsi="宋体"/>
          <w:sz w:val="22"/>
          <w:szCs w:val="22"/>
        </w:rPr>
        <w:t>4）投标文件含有采购人不能接受的附加条件的（包括招标文件中明确要求不得偏离的招标要求，存在负偏离的）;</w:t>
      </w:r>
    </w:p>
    <w:p>
      <w:pPr>
        <w:pStyle w:val="13"/>
        <w:snapToGrid w:val="0"/>
        <w:spacing w:line="460" w:lineRule="atLeast"/>
        <w:ind w:firstLine="433" w:firstLineChars="197"/>
        <w:rPr>
          <w:rFonts w:hAnsi="宋体"/>
          <w:sz w:val="22"/>
          <w:szCs w:val="22"/>
        </w:rPr>
      </w:pPr>
      <w:r>
        <w:rPr>
          <w:rFonts w:hint="eastAsia" w:hAnsi="宋体"/>
          <w:sz w:val="22"/>
          <w:szCs w:val="22"/>
        </w:rPr>
        <w:t>5）仅提交“备份投标文件”的；</w:t>
      </w:r>
    </w:p>
    <w:p>
      <w:pPr>
        <w:pStyle w:val="13"/>
        <w:snapToGrid w:val="0"/>
        <w:spacing w:line="460" w:lineRule="atLeast"/>
        <w:ind w:firstLine="433" w:firstLineChars="197"/>
        <w:rPr>
          <w:rFonts w:hAnsi="宋体"/>
          <w:sz w:val="22"/>
          <w:szCs w:val="22"/>
        </w:rPr>
      </w:pPr>
      <w:r>
        <w:rPr>
          <w:rFonts w:hint="eastAsia" w:hAnsi="宋体"/>
          <w:sz w:val="22"/>
          <w:szCs w:val="22"/>
        </w:rPr>
        <w:t>6）对关键条文的偏离、保留或反对，例如关于付款方式、完工期、免费质保期、适用法律法规、标准、税费等其他内容；</w:t>
      </w:r>
    </w:p>
    <w:p>
      <w:pPr>
        <w:pStyle w:val="13"/>
        <w:snapToGrid w:val="0"/>
        <w:spacing w:line="460" w:lineRule="atLeast"/>
        <w:ind w:firstLine="433" w:firstLineChars="197"/>
        <w:rPr>
          <w:rFonts w:hAnsi="宋体"/>
          <w:sz w:val="22"/>
          <w:szCs w:val="22"/>
        </w:rPr>
      </w:pPr>
      <w:r>
        <w:rPr>
          <w:rFonts w:hint="eastAsia" w:hAnsi="宋体"/>
          <w:sz w:val="22"/>
          <w:szCs w:val="22"/>
        </w:rPr>
        <w:t>7）存在串标、抬标或弄虚作假情况的；</w:t>
      </w:r>
    </w:p>
    <w:p>
      <w:pPr>
        <w:pStyle w:val="13"/>
        <w:snapToGrid w:val="0"/>
        <w:spacing w:line="460" w:lineRule="atLeast"/>
        <w:ind w:firstLine="433" w:firstLineChars="197"/>
        <w:rPr>
          <w:rFonts w:hAnsi="宋体"/>
          <w:sz w:val="22"/>
          <w:szCs w:val="22"/>
        </w:rPr>
      </w:pPr>
      <w:r>
        <w:rPr>
          <w:rFonts w:hint="eastAsia" w:hAnsi="宋体"/>
          <w:sz w:val="22"/>
          <w:szCs w:val="22"/>
        </w:rPr>
        <w:t>8）法律、法规和招标文件规定的其他无效情形（或出现重大偏差）。</w:t>
      </w:r>
    </w:p>
    <w:p>
      <w:pPr>
        <w:pStyle w:val="13"/>
        <w:snapToGrid w:val="0"/>
        <w:spacing w:line="460" w:lineRule="atLeast"/>
        <w:ind w:firstLine="435" w:firstLineChars="197"/>
        <w:rPr>
          <w:rFonts w:hAnsi="宋体"/>
          <w:b/>
          <w:bCs/>
          <w:sz w:val="22"/>
          <w:szCs w:val="22"/>
        </w:rPr>
      </w:pPr>
      <w:r>
        <w:rPr>
          <w:rFonts w:hint="eastAsia" w:hAnsi="宋体"/>
          <w:b/>
          <w:bCs/>
          <w:sz w:val="22"/>
          <w:szCs w:val="22"/>
        </w:rPr>
        <w:t>5.4 ▲</w:t>
      </w:r>
      <w:r>
        <w:rPr>
          <w:rFonts w:hint="eastAsia" w:hAnsi="宋体"/>
          <w:b/>
          <w:bCs/>
          <w:sz w:val="22"/>
          <w:szCs w:val="22"/>
          <w:u w:val="single"/>
        </w:rPr>
        <w:t>评标委员会发现投标文件有下列情形之一的属于重大偏差(评标委员会按少数服从多数原则认定),按照无效投标处理：</w:t>
      </w:r>
    </w:p>
    <w:p>
      <w:pPr>
        <w:pStyle w:val="13"/>
        <w:snapToGrid w:val="0"/>
        <w:spacing w:line="460" w:lineRule="atLeast"/>
        <w:ind w:firstLine="435" w:firstLineChars="197"/>
        <w:rPr>
          <w:rFonts w:hAnsi="宋体"/>
          <w:b/>
          <w:bCs/>
          <w:sz w:val="22"/>
          <w:szCs w:val="22"/>
        </w:rPr>
      </w:pPr>
      <w:r>
        <w:rPr>
          <w:rFonts w:hint="eastAsia" w:hAnsi="宋体"/>
          <w:b/>
          <w:bCs/>
          <w:sz w:val="22"/>
          <w:szCs w:val="22"/>
        </w:rPr>
        <w:t>1）未按招标文件要求编制或字迹模糊、辨认不清的投标文件；</w:t>
      </w:r>
    </w:p>
    <w:p>
      <w:pPr>
        <w:pStyle w:val="13"/>
        <w:snapToGrid w:val="0"/>
        <w:spacing w:line="460" w:lineRule="atLeast"/>
        <w:ind w:firstLine="435" w:firstLineChars="197"/>
        <w:rPr>
          <w:rFonts w:hAnsi="宋体"/>
          <w:b/>
          <w:bCs/>
          <w:sz w:val="22"/>
          <w:szCs w:val="22"/>
        </w:rPr>
      </w:pPr>
      <w:r>
        <w:rPr>
          <w:rFonts w:hint="eastAsia" w:hAnsi="宋体"/>
          <w:b/>
          <w:bCs/>
          <w:sz w:val="22"/>
          <w:szCs w:val="22"/>
        </w:rPr>
        <w:t>2）供应商技术资信投标文件中出现投标报价；</w:t>
      </w:r>
    </w:p>
    <w:p>
      <w:pPr>
        <w:pStyle w:val="13"/>
        <w:snapToGrid w:val="0"/>
        <w:spacing w:line="460" w:lineRule="atLeast"/>
        <w:ind w:firstLine="435" w:firstLineChars="197"/>
        <w:rPr>
          <w:rFonts w:hAnsi="宋体"/>
          <w:b/>
          <w:bCs/>
          <w:sz w:val="22"/>
          <w:szCs w:val="22"/>
        </w:rPr>
      </w:pPr>
      <w:r>
        <w:rPr>
          <w:rFonts w:hint="eastAsia" w:hAnsi="宋体"/>
          <w:b/>
          <w:bCs/>
          <w:sz w:val="22"/>
          <w:szCs w:val="22"/>
        </w:rPr>
        <w:t>3）除2.3条款以外，出现其它明显不符合技术规格、技术标准的要求或不满足招标文件技术规格书中的主要参数的投标文件；</w:t>
      </w:r>
    </w:p>
    <w:p>
      <w:pPr>
        <w:pStyle w:val="13"/>
        <w:snapToGrid w:val="0"/>
        <w:spacing w:line="460" w:lineRule="atLeast"/>
        <w:ind w:firstLine="435" w:firstLineChars="197"/>
        <w:rPr>
          <w:rFonts w:hAnsi="宋体"/>
          <w:b/>
          <w:bCs/>
          <w:sz w:val="22"/>
          <w:szCs w:val="22"/>
        </w:rPr>
      </w:pPr>
      <w:r>
        <w:rPr>
          <w:rFonts w:hint="eastAsia" w:hAnsi="宋体"/>
          <w:b/>
          <w:bCs/>
          <w:sz w:val="22"/>
          <w:szCs w:val="22"/>
        </w:rPr>
        <w:t>4）除2.3条款以外，出现投标服务内容与招标文件对比出现较大偏差；商务报价明细表计算错误，出现较大差错；</w:t>
      </w:r>
    </w:p>
    <w:p>
      <w:pPr>
        <w:pStyle w:val="13"/>
        <w:snapToGrid w:val="0"/>
        <w:spacing w:line="460" w:lineRule="atLeast"/>
        <w:ind w:firstLine="435" w:firstLineChars="197"/>
        <w:rPr>
          <w:rFonts w:hAnsi="宋体"/>
          <w:b/>
          <w:bCs/>
          <w:sz w:val="22"/>
          <w:szCs w:val="22"/>
        </w:rPr>
      </w:pPr>
      <w:r>
        <w:rPr>
          <w:rFonts w:hint="eastAsia" w:hAnsi="宋体"/>
          <w:b/>
          <w:bCs/>
          <w:sz w:val="22"/>
          <w:szCs w:val="22"/>
        </w:rPr>
        <w:t>5）除2.3条款以外，出现其它不符合招标文件中规定的实质性要求的投标文件，是否为偏离实质性要求由评标委员会认定。</w:t>
      </w:r>
    </w:p>
    <w:p>
      <w:pPr>
        <w:pStyle w:val="13"/>
        <w:snapToGrid w:val="0"/>
        <w:spacing w:line="460" w:lineRule="atLeast"/>
        <w:ind w:firstLine="435" w:firstLineChars="197"/>
        <w:rPr>
          <w:rFonts w:hAnsi="宋体"/>
          <w:b/>
          <w:bCs/>
          <w:sz w:val="22"/>
          <w:szCs w:val="22"/>
        </w:rPr>
      </w:pPr>
      <w:r>
        <w:rPr>
          <w:rFonts w:hint="eastAsia" w:hAnsi="宋体"/>
          <w:b/>
          <w:bCs/>
          <w:sz w:val="22"/>
          <w:szCs w:val="22"/>
        </w:rPr>
        <w:t>5.5 开启供应商商务报价文件后发现价格、数量有误，其投标价将按下述原则处理：</w:t>
      </w:r>
    </w:p>
    <w:p>
      <w:pPr>
        <w:adjustRightInd w:val="0"/>
        <w:snapToGrid w:val="0"/>
        <w:spacing w:line="460" w:lineRule="atLeast"/>
        <w:ind w:firstLine="433" w:firstLineChars="197"/>
        <w:rPr>
          <w:rFonts w:ascii="宋体" w:hAnsi="宋体" w:cs="宋体"/>
          <w:sz w:val="22"/>
          <w:szCs w:val="22"/>
        </w:rPr>
      </w:pPr>
      <w:r>
        <w:rPr>
          <w:rFonts w:hint="eastAsia" w:ascii="宋体" w:hAnsi="宋体" w:cs="宋体"/>
          <w:sz w:val="22"/>
          <w:szCs w:val="22"/>
        </w:rPr>
        <w:t>1) 任何有漏去一些小项货物或服务的投标将被视为其费用已包含在投标综合单价中，投标价格不予调整。如果供应商不接受上述处理方式，将作为无效投标。</w:t>
      </w:r>
    </w:p>
    <w:p>
      <w:pPr>
        <w:adjustRightInd w:val="0"/>
        <w:snapToGrid w:val="0"/>
        <w:spacing w:line="460" w:lineRule="atLeast"/>
        <w:ind w:firstLine="433" w:firstLineChars="197"/>
        <w:rPr>
          <w:rFonts w:ascii="宋体" w:hAnsi="宋体" w:cs="宋体"/>
          <w:sz w:val="22"/>
          <w:szCs w:val="22"/>
        </w:rPr>
      </w:pPr>
      <w:r>
        <w:rPr>
          <w:rFonts w:hint="eastAsia" w:ascii="宋体" w:hAnsi="宋体" w:cs="宋体"/>
          <w:sz w:val="22"/>
          <w:szCs w:val="22"/>
        </w:rPr>
        <w:t>2) 任何有多报一些小项工程或服务的投标其投标价不予调整，如果该供应商中标，则合同价格必须为核减掉多报的一些小项工程或服务后的价格。如果供应商不接受上述处理方式，将作为无效投标。</w:t>
      </w:r>
    </w:p>
    <w:p>
      <w:pPr>
        <w:adjustRightInd w:val="0"/>
        <w:snapToGrid w:val="0"/>
        <w:spacing w:line="460" w:lineRule="atLeast"/>
        <w:ind w:firstLine="433" w:firstLineChars="197"/>
        <w:rPr>
          <w:rFonts w:ascii="宋体" w:hAnsi="宋体" w:cs="宋体"/>
          <w:sz w:val="22"/>
          <w:szCs w:val="22"/>
        </w:rPr>
      </w:pPr>
      <w:r>
        <w:rPr>
          <w:rFonts w:hint="eastAsia" w:ascii="宋体" w:hAnsi="宋体" w:cs="宋体"/>
          <w:sz w:val="22"/>
          <w:szCs w:val="22"/>
        </w:rPr>
        <w:t>3）对于计算错误的其投标价不予调整，如果该供应商中标，如其投标价格计算错误导致多报者合同价格予以据实核减，少报者合同价格不予调整。如果供应商不接受上述处理方式，将作为无效投标。</w:t>
      </w:r>
    </w:p>
    <w:p>
      <w:pPr>
        <w:adjustRightInd w:val="0"/>
        <w:snapToGrid w:val="0"/>
        <w:spacing w:line="460" w:lineRule="atLeast"/>
        <w:ind w:firstLine="433" w:firstLineChars="197"/>
        <w:rPr>
          <w:rFonts w:ascii="宋体" w:hAnsi="宋体" w:cs="宋体"/>
          <w:sz w:val="22"/>
          <w:szCs w:val="22"/>
          <w:u w:val="single"/>
        </w:rPr>
      </w:pPr>
      <w:r>
        <w:rPr>
          <w:rFonts w:hint="eastAsia" w:ascii="宋体" w:hAnsi="宋体" w:cs="宋体"/>
          <w:sz w:val="22"/>
          <w:szCs w:val="22"/>
          <w:u w:val="single"/>
        </w:rPr>
        <w:t>4）对于计算错误，多报或漏报的一些小项工程或服务的仅仅为非实质性重大偏差范围内的偏离，并经过评标委员会按少数服从多数原则认定为细微偏差，评审时其投标价不予调整。</w:t>
      </w:r>
      <w:r>
        <w:rPr>
          <w:rFonts w:hint="eastAsia" w:ascii="宋体" w:hAnsi="宋体" w:cs="宋体"/>
          <w:b/>
          <w:bCs/>
          <w:sz w:val="22"/>
          <w:szCs w:val="22"/>
          <w:u w:val="single"/>
        </w:rPr>
        <w:t>如认定为重大偏差的，做无效投标处理。</w:t>
      </w:r>
    </w:p>
    <w:p>
      <w:pPr>
        <w:adjustRightInd w:val="0"/>
        <w:snapToGrid w:val="0"/>
        <w:spacing w:line="460" w:lineRule="atLeast"/>
        <w:ind w:firstLine="435" w:firstLineChars="197"/>
        <w:rPr>
          <w:rFonts w:ascii="宋体" w:hAnsi="宋体" w:cs="宋体"/>
          <w:b/>
          <w:bCs/>
          <w:sz w:val="22"/>
          <w:szCs w:val="22"/>
          <w:u w:val="single"/>
        </w:rPr>
      </w:pPr>
      <w:r>
        <w:rPr>
          <w:rFonts w:hint="eastAsia" w:ascii="宋体" w:hAnsi="宋体" w:cs="宋体"/>
          <w:b/>
          <w:bCs/>
          <w:sz w:val="22"/>
          <w:szCs w:val="22"/>
          <w:u w:val="single"/>
        </w:rPr>
        <w:t>5.6▲评标委员会认为投标人的报价明显低于其他通过符合性审查投标人的报价，有可能影响产品质量或者不能诚信履约的，将要求其在合理时间内在“政采云平台”上作出在线澄清并提供书面说明，必要时提交相关证明材料；投标人不能证明其报价合理性的，评标委员会应当将其作为无效投标处理。</w:t>
      </w:r>
    </w:p>
    <w:p>
      <w:pPr>
        <w:adjustRightInd w:val="0"/>
        <w:snapToGrid w:val="0"/>
        <w:spacing w:line="460" w:lineRule="atLeast"/>
        <w:ind w:firstLine="435" w:firstLineChars="197"/>
        <w:rPr>
          <w:rFonts w:ascii="宋体" w:hAnsi="宋体" w:cs="宋体"/>
          <w:b/>
          <w:bCs/>
          <w:sz w:val="22"/>
          <w:szCs w:val="22"/>
        </w:rPr>
      </w:pPr>
      <w:r>
        <w:rPr>
          <w:rFonts w:hint="eastAsia" w:ascii="宋体" w:hAnsi="宋体" w:cs="宋体"/>
          <w:b/>
          <w:bCs/>
          <w:sz w:val="22"/>
          <w:szCs w:val="22"/>
          <w:u w:val="single"/>
        </w:rPr>
        <w:t>5.7如果投标人代表拒绝按评标委员会要求在“政采云平台”作出在线回复且无其他有效回复方式的，评标委员会可以对其作出否决投标处理。</w:t>
      </w:r>
    </w:p>
    <w:p>
      <w:pPr>
        <w:pStyle w:val="13"/>
        <w:snapToGrid w:val="0"/>
        <w:spacing w:line="460" w:lineRule="atLeast"/>
        <w:ind w:firstLine="433" w:firstLineChars="197"/>
        <w:rPr>
          <w:rFonts w:hAnsi="宋体"/>
          <w:sz w:val="22"/>
          <w:szCs w:val="22"/>
        </w:rPr>
      </w:pPr>
      <w:r>
        <w:rPr>
          <w:rFonts w:hint="eastAsia" w:hAnsi="宋体"/>
          <w:sz w:val="22"/>
          <w:szCs w:val="22"/>
        </w:rPr>
        <w:t>5.8 经澄清后，若偏差仍存在，且不可接受，则投标文件将被认定为“没有实质性响应采购文件要求”，按无效投标处理，不再进入下一步评审。评标委员会在评标中，不得改变招标文件中规定的评标标准、方法和中标条件。</w:t>
      </w:r>
    </w:p>
    <w:p>
      <w:pPr>
        <w:pStyle w:val="13"/>
        <w:snapToGrid w:val="0"/>
        <w:spacing w:line="460" w:lineRule="atLeast"/>
        <w:ind w:firstLine="433" w:firstLineChars="197"/>
        <w:rPr>
          <w:rFonts w:hAnsi="宋体"/>
          <w:sz w:val="22"/>
          <w:szCs w:val="22"/>
        </w:rPr>
      </w:pPr>
      <w:r>
        <w:rPr>
          <w:rFonts w:hint="eastAsia" w:hAnsi="宋体"/>
          <w:sz w:val="22"/>
          <w:szCs w:val="22"/>
        </w:rPr>
        <w:t>5.9 评标时如遇到招标文件未规定的特殊情况，由评标委员会按少数服从多数原则集体决定处理。</w:t>
      </w:r>
    </w:p>
    <w:p>
      <w:pPr>
        <w:pStyle w:val="13"/>
        <w:snapToGrid w:val="0"/>
        <w:spacing w:line="460" w:lineRule="atLeast"/>
        <w:ind w:firstLine="435" w:firstLineChars="197"/>
        <w:rPr>
          <w:rFonts w:hAnsi="宋体"/>
          <w:b/>
          <w:bCs/>
          <w:sz w:val="22"/>
          <w:szCs w:val="22"/>
          <w:u w:val="single"/>
        </w:rPr>
      </w:pPr>
      <w:r>
        <w:rPr>
          <w:rFonts w:hint="eastAsia" w:hAnsi="宋体"/>
          <w:b/>
          <w:bCs/>
          <w:sz w:val="22"/>
          <w:szCs w:val="22"/>
          <w:u w:val="single"/>
        </w:rPr>
        <w:t>5.10评标委员会对未中标的供应商不作解释。同时根据政府采购法实施条例第四十条规定，本项目不对供应商公布详细的评审情况，不公布具体评标细则中小项得分。</w:t>
      </w:r>
    </w:p>
    <w:p>
      <w:pPr>
        <w:pStyle w:val="13"/>
        <w:snapToGrid w:val="0"/>
        <w:spacing w:line="460" w:lineRule="atLeast"/>
        <w:ind w:firstLine="433" w:firstLineChars="197"/>
        <w:rPr>
          <w:rFonts w:hAnsi="宋体"/>
          <w:sz w:val="22"/>
          <w:szCs w:val="22"/>
        </w:rPr>
      </w:pPr>
      <w:r>
        <w:rPr>
          <w:rFonts w:hint="eastAsia" w:hAnsi="宋体"/>
          <w:sz w:val="22"/>
          <w:szCs w:val="22"/>
        </w:rPr>
        <w:t>6、投标文件的澄清</w:t>
      </w:r>
    </w:p>
    <w:p>
      <w:pPr>
        <w:adjustRightInd w:val="0"/>
        <w:snapToGrid w:val="0"/>
        <w:spacing w:line="460" w:lineRule="atLeast"/>
        <w:ind w:firstLine="433" w:firstLineChars="197"/>
        <w:rPr>
          <w:rFonts w:ascii="宋体" w:hAnsi="宋体" w:cs="宋体"/>
          <w:sz w:val="22"/>
          <w:szCs w:val="22"/>
        </w:rPr>
      </w:pPr>
      <w:r>
        <w:rPr>
          <w:rFonts w:hint="eastAsia" w:ascii="宋体" w:hAnsi="宋体" w:cs="宋体"/>
          <w:sz w:val="22"/>
          <w:szCs w:val="22"/>
        </w:rPr>
        <w:t xml:space="preserve">6.1 </w:t>
      </w:r>
      <w:r>
        <w:rPr>
          <w:rFonts w:hint="eastAsia" w:ascii="宋体" w:hAnsi="宋体" w:cs="宋体"/>
          <w:b/>
          <w:bCs/>
          <w:sz w:val="22"/>
          <w:szCs w:val="22"/>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r>
        <w:rPr>
          <w:rFonts w:hint="eastAsia" w:ascii="宋体" w:hAnsi="宋体" w:cs="宋体"/>
          <w:sz w:val="22"/>
          <w:szCs w:val="22"/>
        </w:rPr>
        <w:t>。</w:t>
      </w:r>
    </w:p>
    <w:p>
      <w:pPr>
        <w:adjustRightInd w:val="0"/>
        <w:snapToGrid w:val="0"/>
        <w:spacing w:line="460" w:lineRule="atLeast"/>
        <w:ind w:firstLine="433" w:firstLineChars="197"/>
        <w:rPr>
          <w:rFonts w:ascii="宋体" w:hAnsi="宋体" w:cs="宋体"/>
          <w:sz w:val="22"/>
          <w:szCs w:val="22"/>
        </w:rPr>
      </w:pPr>
      <w:r>
        <w:rPr>
          <w:rFonts w:hint="eastAsia" w:ascii="宋体" w:hAnsi="宋体" w:cs="宋体"/>
          <w:sz w:val="22"/>
          <w:szCs w:val="22"/>
        </w:rPr>
        <w:t>6.2 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pPr>
        <w:adjustRightInd w:val="0"/>
        <w:snapToGrid w:val="0"/>
        <w:spacing w:line="460" w:lineRule="atLeast"/>
        <w:ind w:firstLine="433" w:firstLineChars="197"/>
        <w:rPr>
          <w:rFonts w:ascii="宋体" w:hAnsi="宋体" w:cs="宋体"/>
          <w:sz w:val="22"/>
          <w:szCs w:val="22"/>
        </w:rPr>
      </w:pPr>
      <w:r>
        <w:rPr>
          <w:rFonts w:hint="eastAsia" w:ascii="宋体" w:hAnsi="宋体" w:cs="宋体"/>
          <w:sz w:val="22"/>
          <w:szCs w:val="22"/>
        </w:rPr>
        <w:t xml:space="preserve">6.3 供应商对投标文件的澄清不得寻求、提供或允许改变投标价格等实质性内容。 </w:t>
      </w:r>
    </w:p>
    <w:p>
      <w:pPr>
        <w:adjustRightInd w:val="0"/>
        <w:snapToGrid w:val="0"/>
        <w:spacing w:line="460" w:lineRule="atLeast"/>
        <w:ind w:left="414" w:leftChars="197"/>
        <w:rPr>
          <w:rFonts w:ascii="宋体" w:hAnsi="宋体" w:cs="宋体"/>
          <w:sz w:val="22"/>
          <w:szCs w:val="22"/>
        </w:rPr>
      </w:pPr>
      <w:r>
        <w:rPr>
          <w:rFonts w:hint="eastAsia" w:ascii="宋体" w:hAnsi="宋体" w:cs="宋体"/>
          <w:sz w:val="22"/>
          <w:szCs w:val="22"/>
        </w:rPr>
        <w:t>7、禁止供应商相互串通投标。</w:t>
      </w:r>
    </w:p>
    <w:p>
      <w:pPr>
        <w:adjustRightInd w:val="0"/>
        <w:snapToGrid w:val="0"/>
        <w:spacing w:line="460" w:lineRule="atLeast"/>
        <w:ind w:left="414" w:leftChars="197"/>
        <w:rPr>
          <w:rFonts w:ascii="宋体" w:hAnsi="宋体" w:cs="宋体"/>
          <w:sz w:val="22"/>
          <w:szCs w:val="22"/>
        </w:rPr>
      </w:pPr>
      <w:r>
        <w:rPr>
          <w:rFonts w:hint="eastAsia" w:ascii="宋体" w:hAnsi="宋体" w:cs="宋体"/>
          <w:sz w:val="22"/>
          <w:szCs w:val="22"/>
        </w:rPr>
        <w:t>7.1、有下列情形之一的，视为供应商相互串通投标：</w:t>
      </w:r>
    </w:p>
    <w:p>
      <w:pPr>
        <w:adjustRightInd w:val="0"/>
        <w:snapToGrid w:val="0"/>
        <w:spacing w:line="460" w:lineRule="atLeast"/>
        <w:ind w:left="414" w:leftChars="197"/>
        <w:rPr>
          <w:rFonts w:ascii="宋体" w:hAnsi="宋体" w:cs="宋体"/>
          <w:sz w:val="22"/>
          <w:szCs w:val="22"/>
        </w:rPr>
      </w:pPr>
      <w:r>
        <w:rPr>
          <w:rFonts w:hint="eastAsia" w:ascii="宋体" w:hAnsi="宋体" w:cs="宋体"/>
          <w:sz w:val="22"/>
          <w:szCs w:val="22"/>
        </w:rPr>
        <w:t>（一）不同供应商的投标文件由同一单位或者个人编制；</w:t>
      </w:r>
    </w:p>
    <w:p>
      <w:pPr>
        <w:adjustRightInd w:val="0"/>
        <w:snapToGrid w:val="0"/>
        <w:spacing w:line="460" w:lineRule="atLeast"/>
        <w:ind w:left="414" w:leftChars="197"/>
        <w:rPr>
          <w:rFonts w:ascii="宋体" w:hAnsi="宋体" w:cs="宋体"/>
          <w:sz w:val="22"/>
          <w:szCs w:val="22"/>
        </w:rPr>
      </w:pPr>
      <w:r>
        <w:rPr>
          <w:rFonts w:hint="eastAsia" w:ascii="宋体" w:hAnsi="宋体" w:cs="宋体"/>
          <w:sz w:val="22"/>
          <w:szCs w:val="22"/>
        </w:rPr>
        <w:t>（二）不同供应商委托同一单位或者个人办理投标事宜；</w:t>
      </w:r>
    </w:p>
    <w:p>
      <w:pPr>
        <w:adjustRightInd w:val="0"/>
        <w:snapToGrid w:val="0"/>
        <w:spacing w:line="460" w:lineRule="atLeast"/>
        <w:ind w:left="414" w:leftChars="197"/>
        <w:rPr>
          <w:rFonts w:ascii="宋体" w:hAnsi="宋体" w:cs="宋体"/>
          <w:sz w:val="22"/>
          <w:szCs w:val="22"/>
        </w:rPr>
      </w:pPr>
      <w:r>
        <w:rPr>
          <w:rFonts w:hint="eastAsia" w:ascii="宋体" w:hAnsi="宋体" w:cs="宋体"/>
          <w:sz w:val="22"/>
          <w:szCs w:val="22"/>
        </w:rPr>
        <w:t>（三）不同供应商的投标文件载明的项目管理成员为同一人；</w:t>
      </w:r>
    </w:p>
    <w:p>
      <w:pPr>
        <w:adjustRightInd w:val="0"/>
        <w:snapToGrid w:val="0"/>
        <w:spacing w:line="460" w:lineRule="atLeast"/>
        <w:ind w:left="414" w:leftChars="197"/>
        <w:rPr>
          <w:rFonts w:ascii="宋体" w:hAnsi="宋体" w:cs="宋体"/>
          <w:sz w:val="22"/>
          <w:szCs w:val="22"/>
        </w:rPr>
      </w:pPr>
      <w:r>
        <w:rPr>
          <w:rFonts w:hint="eastAsia" w:ascii="宋体" w:hAnsi="宋体" w:cs="宋体"/>
          <w:sz w:val="22"/>
          <w:szCs w:val="22"/>
        </w:rPr>
        <w:t>（四）不同供应商的投标文件异常一致或者投标报价呈规律性差异；</w:t>
      </w:r>
    </w:p>
    <w:p>
      <w:pPr>
        <w:adjustRightInd w:val="0"/>
        <w:snapToGrid w:val="0"/>
        <w:spacing w:line="460" w:lineRule="atLeast"/>
        <w:ind w:left="414" w:leftChars="197"/>
        <w:rPr>
          <w:rFonts w:ascii="宋体" w:hAnsi="宋体" w:cs="宋体"/>
          <w:sz w:val="22"/>
          <w:szCs w:val="22"/>
        </w:rPr>
      </w:pPr>
      <w:r>
        <w:rPr>
          <w:rFonts w:hint="eastAsia" w:ascii="宋体" w:hAnsi="宋体" w:cs="宋体"/>
          <w:sz w:val="22"/>
          <w:szCs w:val="22"/>
        </w:rPr>
        <w:t>（五）不同供应商的投标文件相互混装；</w:t>
      </w:r>
    </w:p>
    <w:p>
      <w:pPr>
        <w:adjustRightInd w:val="0"/>
        <w:snapToGrid w:val="0"/>
        <w:spacing w:line="460" w:lineRule="atLeast"/>
        <w:ind w:left="414" w:leftChars="197"/>
        <w:rPr>
          <w:rFonts w:ascii="宋体" w:hAnsi="宋体" w:cs="宋体"/>
          <w:b/>
          <w:bCs/>
          <w:sz w:val="22"/>
          <w:szCs w:val="22"/>
        </w:rPr>
      </w:pPr>
      <w:r>
        <w:rPr>
          <w:rFonts w:hint="eastAsia" w:ascii="宋体" w:hAnsi="宋体" w:cs="宋体"/>
          <w:b/>
          <w:bCs/>
          <w:sz w:val="22"/>
          <w:szCs w:val="22"/>
        </w:rPr>
        <w:t>7.2、经评标委员会认定供应商进行串通投标的，评标委员会可以对相关供应商做出无效投标处理，并上报政府采购管理部门进行进一步处理。</w:t>
      </w:r>
    </w:p>
    <w:p>
      <w:pPr>
        <w:pStyle w:val="13"/>
        <w:snapToGrid w:val="0"/>
        <w:spacing w:line="460" w:lineRule="atLeast"/>
        <w:ind w:firstLine="433" w:firstLineChars="197"/>
        <w:rPr>
          <w:rFonts w:hAnsi="宋体"/>
          <w:sz w:val="22"/>
          <w:szCs w:val="22"/>
        </w:rPr>
      </w:pPr>
      <w:r>
        <w:rPr>
          <w:rFonts w:hint="eastAsia" w:hAnsi="宋体"/>
          <w:sz w:val="22"/>
          <w:szCs w:val="22"/>
        </w:rPr>
        <w:t>8、评标原则</w:t>
      </w:r>
    </w:p>
    <w:p>
      <w:pPr>
        <w:pStyle w:val="13"/>
        <w:snapToGrid w:val="0"/>
        <w:spacing w:line="460" w:lineRule="atLeast"/>
        <w:ind w:firstLine="435" w:firstLineChars="197"/>
        <w:rPr>
          <w:rFonts w:hAnsi="宋体"/>
          <w:b/>
          <w:bCs/>
          <w:sz w:val="22"/>
          <w:szCs w:val="22"/>
        </w:rPr>
      </w:pPr>
      <w:r>
        <w:rPr>
          <w:rFonts w:hint="eastAsia" w:hAnsi="宋体"/>
          <w:b/>
          <w:bCs/>
          <w:sz w:val="22"/>
          <w:szCs w:val="22"/>
        </w:rPr>
        <w:t>8.1 ▲</w:t>
      </w:r>
      <w:r>
        <w:rPr>
          <w:rFonts w:hint="eastAsia" w:hAnsi="宋体"/>
          <w:b/>
          <w:bCs/>
          <w:sz w:val="22"/>
          <w:szCs w:val="22"/>
          <w:u w:val="single"/>
        </w:rPr>
        <w:t>投标截止时或评审过程中有效投标供应商不足三家的，不予开标或评标。</w:t>
      </w:r>
    </w:p>
    <w:p>
      <w:pPr>
        <w:pStyle w:val="13"/>
        <w:snapToGrid w:val="0"/>
        <w:spacing w:line="460" w:lineRule="atLeast"/>
        <w:ind w:firstLine="433" w:firstLineChars="197"/>
        <w:rPr>
          <w:rFonts w:hAnsi="宋体"/>
          <w:sz w:val="22"/>
          <w:szCs w:val="22"/>
        </w:rPr>
      </w:pPr>
      <w:r>
        <w:rPr>
          <w:rFonts w:hint="eastAsia" w:hAnsi="宋体"/>
          <w:sz w:val="22"/>
          <w:szCs w:val="22"/>
        </w:rPr>
        <w:t>9、确定中标候选人</w:t>
      </w:r>
    </w:p>
    <w:p>
      <w:pPr>
        <w:adjustRightInd w:val="0"/>
        <w:snapToGrid w:val="0"/>
        <w:spacing w:line="460" w:lineRule="atLeast"/>
        <w:ind w:left="414" w:leftChars="197"/>
        <w:rPr>
          <w:rFonts w:ascii="宋体" w:hAnsi="宋体" w:cs="宋体"/>
          <w:sz w:val="22"/>
          <w:szCs w:val="22"/>
        </w:rPr>
      </w:pPr>
      <w:r>
        <w:rPr>
          <w:rFonts w:hint="eastAsia" w:ascii="宋体" w:hAnsi="宋体" w:cs="宋体"/>
          <w:sz w:val="22"/>
          <w:szCs w:val="22"/>
        </w:rPr>
        <w:t>9.1本次招标由评标委员会推荐中标候选人，采购人根据评标委员会的推荐结果进行最终确认。</w:t>
      </w:r>
    </w:p>
    <w:p>
      <w:pPr>
        <w:adjustRightInd w:val="0"/>
        <w:snapToGrid w:val="0"/>
        <w:spacing w:line="460" w:lineRule="atLeast"/>
        <w:ind w:left="414" w:leftChars="197"/>
        <w:rPr>
          <w:rFonts w:ascii="宋体" w:hAnsi="宋体" w:cs="宋体"/>
          <w:sz w:val="22"/>
          <w:szCs w:val="22"/>
        </w:rPr>
      </w:pPr>
      <w:r>
        <w:rPr>
          <w:rFonts w:hint="eastAsia" w:ascii="宋体" w:hAnsi="宋体" w:cs="宋体"/>
          <w:sz w:val="22"/>
          <w:szCs w:val="22"/>
        </w:rPr>
        <w:t>9.2评标委员会依据法律、法规及采购文件有关规定在有效标中按投标人的最终得分（即技术分与商务分之和）高低进行排序，得分前二名的投标人推荐为中标候选人与备选中标人（得分相同投标报价低的排序第一；得分且投标报价相同的，由评标委员会成员抽签决定排序）。</w:t>
      </w:r>
    </w:p>
    <w:p>
      <w:pPr>
        <w:adjustRightInd w:val="0"/>
        <w:snapToGrid w:val="0"/>
        <w:spacing w:line="460" w:lineRule="atLeast"/>
        <w:ind w:left="414" w:leftChars="197"/>
        <w:rPr>
          <w:rFonts w:ascii="宋体" w:hAnsi="宋体" w:cs="宋体"/>
          <w:sz w:val="22"/>
          <w:szCs w:val="22"/>
        </w:rPr>
      </w:pPr>
      <w:r>
        <w:rPr>
          <w:rFonts w:hint="eastAsia" w:ascii="宋体" w:hAnsi="宋体" w:cs="宋体"/>
          <w:sz w:val="22"/>
          <w:szCs w:val="22"/>
        </w:rPr>
        <w:t>9.3若出现以下情形之一，采购人可视具体情况确定是否由备选中标人为中标人或重新组织招标：</w:t>
      </w:r>
    </w:p>
    <w:p>
      <w:pPr>
        <w:spacing w:line="460" w:lineRule="exact"/>
        <w:ind w:firstLine="418" w:firstLineChars="190"/>
        <w:rPr>
          <w:rFonts w:ascii="宋体" w:hAnsi="宋体" w:cs="宋体"/>
          <w:kern w:val="0"/>
          <w:sz w:val="22"/>
          <w:szCs w:val="22"/>
        </w:rPr>
      </w:pPr>
      <w:r>
        <w:rPr>
          <w:rFonts w:hint="eastAsia" w:ascii="宋体" w:hAnsi="宋体" w:cs="宋体"/>
          <w:kern w:val="0"/>
          <w:sz w:val="22"/>
          <w:szCs w:val="22"/>
        </w:rPr>
        <w:t>1）中标候选人放弃中标资格；</w:t>
      </w:r>
    </w:p>
    <w:p>
      <w:pPr>
        <w:spacing w:line="460" w:lineRule="exact"/>
        <w:ind w:firstLine="418" w:firstLineChars="190"/>
        <w:rPr>
          <w:rFonts w:ascii="宋体" w:hAnsi="宋体" w:cs="宋体"/>
          <w:kern w:val="0"/>
          <w:sz w:val="22"/>
          <w:szCs w:val="22"/>
        </w:rPr>
      </w:pPr>
      <w:r>
        <w:rPr>
          <w:rFonts w:hint="eastAsia" w:ascii="宋体" w:hAnsi="宋体" w:cs="宋体"/>
          <w:kern w:val="0"/>
          <w:sz w:val="22"/>
          <w:szCs w:val="22"/>
        </w:rPr>
        <w:t>2）中标候选人因不可抗力提出不能履行合同；</w:t>
      </w:r>
    </w:p>
    <w:p>
      <w:pPr>
        <w:spacing w:line="460" w:lineRule="exact"/>
        <w:ind w:firstLine="418" w:firstLineChars="190"/>
        <w:rPr>
          <w:rFonts w:ascii="宋体" w:hAnsi="宋体" w:cs="宋体"/>
          <w:kern w:val="0"/>
          <w:sz w:val="22"/>
          <w:szCs w:val="22"/>
        </w:rPr>
      </w:pPr>
      <w:r>
        <w:rPr>
          <w:rFonts w:hint="eastAsia" w:ascii="宋体" w:hAnsi="宋体" w:cs="宋体"/>
          <w:kern w:val="0"/>
          <w:sz w:val="22"/>
          <w:szCs w:val="22"/>
        </w:rPr>
        <w:t>3）中标候选人未能在规定时间内与采购单位签订合同；</w:t>
      </w:r>
    </w:p>
    <w:p>
      <w:pPr>
        <w:spacing w:line="460" w:lineRule="exact"/>
        <w:ind w:firstLine="418" w:firstLineChars="190"/>
        <w:rPr>
          <w:rFonts w:ascii="宋体" w:hAnsi="宋体" w:cs="宋体"/>
          <w:kern w:val="0"/>
          <w:sz w:val="22"/>
          <w:szCs w:val="22"/>
        </w:rPr>
      </w:pPr>
      <w:r>
        <w:rPr>
          <w:rFonts w:hint="eastAsia" w:ascii="宋体" w:hAnsi="宋体" w:cs="宋体"/>
          <w:kern w:val="0"/>
          <w:sz w:val="22"/>
          <w:szCs w:val="22"/>
        </w:rPr>
        <w:t>4）经质疑，采购人审查后，中标候选人确实在本次采购活动中存在违法违规行为或其他原因使质疑成立的。</w:t>
      </w:r>
    </w:p>
    <w:p>
      <w:pPr>
        <w:adjustRightInd w:val="0"/>
        <w:snapToGrid w:val="0"/>
        <w:spacing w:line="460" w:lineRule="atLeast"/>
        <w:ind w:left="414" w:leftChars="197"/>
        <w:rPr>
          <w:rFonts w:ascii="宋体" w:hAnsi="宋体" w:cs="宋体"/>
          <w:sz w:val="22"/>
          <w:szCs w:val="22"/>
        </w:rPr>
      </w:pPr>
      <w:r>
        <w:rPr>
          <w:rFonts w:hint="eastAsia" w:ascii="宋体" w:hAnsi="宋体" w:cs="宋体"/>
          <w:sz w:val="22"/>
          <w:szCs w:val="22"/>
        </w:rPr>
        <w:t>9.4采购人、采购代理机构及评标委员会对未中标的供应商不作解释。同时根据政府采购法实施条例第四十条规定，本项目不对供应商公布详细的评审情况，不公布具体评标细则中小项得分。</w:t>
      </w:r>
    </w:p>
    <w:p>
      <w:pPr>
        <w:adjustRightInd w:val="0"/>
        <w:snapToGrid w:val="0"/>
        <w:spacing w:line="460" w:lineRule="atLeast"/>
        <w:ind w:left="414" w:leftChars="197"/>
        <w:rPr>
          <w:rFonts w:ascii="宋体" w:hAnsi="宋体" w:cs="宋体"/>
          <w:sz w:val="22"/>
          <w:szCs w:val="22"/>
        </w:rPr>
      </w:pPr>
      <w:r>
        <w:rPr>
          <w:rFonts w:hint="eastAsia" w:ascii="宋体" w:hAnsi="宋体" w:cs="宋体"/>
          <w:sz w:val="22"/>
          <w:szCs w:val="22"/>
        </w:rPr>
        <w:t>10、评标细则详见“评标原则及方法”。</w:t>
      </w:r>
    </w:p>
    <w:p>
      <w:pPr>
        <w:adjustRightInd w:val="0"/>
        <w:snapToGrid w:val="0"/>
        <w:spacing w:line="460" w:lineRule="atLeast"/>
        <w:ind w:left="414" w:leftChars="197"/>
        <w:rPr>
          <w:rFonts w:ascii="宋体" w:hAnsi="宋体" w:cs="宋体"/>
          <w:sz w:val="22"/>
          <w:szCs w:val="22"/>
        </w:rPr>
      </w:pPr>
      <w:r>
        <w:rPr>
          <w:rFonts w:hint="eastAsia" w:ascii="宋体" w:hAnsi="宋体" w:cs="宋体"/>
          <w:sz w:val="22"/>
          <w:szCs w:val="22"/>
        </w:rPr>
        <w:t>11、 可中止电子交易活动的情形</w:t>
      </w:r>
    </w:p>
    <w:p>
      <w:pPr>
        <w:adjustRightInd w:val="0"/>
        <w:snapToGrid w:val="0"/>
        <w:spacing w:line="460" w:lineRule="atLeast"/>
        <w:ind w:left="414" w:leftChars="197"/>
        <w:rPr>
          <w:rFonts w:ascii="宋体" w:hAnsi="宋体" w:cs="宋体"/>
          <w:sz w:val="22"/>
          <w:szCs w:val="22"/>
        </w:rPr>
      </w:pPr>
      <w:r>
        <w:rPr>
          <w:rFonts w:hint="eastAsia" w:ascii="宋体" w:hAnsi="宋体" w:cs="宋体"/>
          <w:sz w:val="22"/>
          <w:szCs w:val="22"/>
        </w:rPr>
        <w:t>11.1采购过程中出现以下情形，导致电子交易平台无法正常运行，或者无法保证电子交易的公平、公正和安全时，采购组织机构可中止电子交易活动：</w:t>
      </w:r>
    </w:p>
    <w:p>
      <w:pPr>
        <w:numPr>
          <w:ilvl w:val="2"/>
          <w:numId w:val="6"/>
        </w:numPr>
        <w:tabs>
          <w:tab w:val="left" w:pos="993"/>
        </w:tabs>
        <w:spacing w:line="460" w:lineRule="exact"/>
        <w:ind w:left="993" w:hanging="426"/>
        <w:rPr>
          <w:rFonts w:ascii="宋体" w:hAnsi="宋体" w:cs="宋体"/>
          <w:kern w:val="0"/>
          <w:sz w:val="22"/>
          <w:szCs w:val="22"/>
        </w:rPr>
      </w:pPr>
      <w:r>
        <w:rPr>
          <w:rFonts w:hint="eastAsia" w:ascii="宋体" w:hAnsi="宋体" w:cs="宋体"/>
          <w:kern w:val="0"/>
          <w:sz w:val="22"/>
          <w:szCs w:val="22"/>
        </w:rPr>
        <w:t>电子交易平台发生故障而无法登录访问的；</w:t>
      </w:r>
    </w:p>
    <w:p>
      <w:pPr>
        <w:numPr>
          <w:ilvl w:val="2"/>
          <w:numId w:val="6"/>
        </w:numPr>
        <w:tabs>
          <w:tab w:val="left" w:pos="993"/>
        </w:tabs>
        <w:spacing w:line="460" w:lineRule="exact"/>
        <w:ind w:left="993" w:hanging="426"/>
        <w:rPr>
          <w:rFonts w:ascii="宋体" w:hAnsi="宋体" w:cs="宋体"/>
          <w:kern w:val="0"/>
          <w:sz w:val="22"/>
          <w:szCs w:val="22"/>
        </w:rPr>
      </w:pPr>
      <w:r>
        <w:rPr>
          <w:rFonts w:hint="eastAsia" w:ascii="宋体" w:hAnsi="宋体" w:cs="宋体"/>
          <w:kern w:val="0"/>
          <w:sz w:val="22"/>
          <w:szCs w:val="22"/>
        </w:rPr>
        <w:t>电子交易平台应用或数据库出现错误，不能进行正常操作的；</w:t>
      </w:r>
    </w:p>
    <w:p>
      <w:pPr>
        <w:numPr>
          <w:ilvl w:val="2"/>
          <w:numId w:val="6"/>
        </w:numPr>
        <w:tabs>
          <w:tab w:val="left" w:pos="993"/>
        </w:tabs>
        <w:spacing w:line="460" w:lineRule="exact"/>
        <w:ind w:left="993" w:hanging="426"/>
        <w:rPr>
          <w:rFonts w:ascii="宋体" w:hAnsi="宋体" w:cs="宋体"/>
          <w:kern w:val="0"/>
          <w:sz w:val="22"/>
          <w:szCs w:val="22"/>
        </w:rPr>
      </w:pPr>
      <w:r>
        <w:rPr>
          <w:rFonts w:hint="eastAsia" w:ascii="宋体" w:hAnsi="宋体" w:cs="宋体"/>
          <w:kern w:val="0"/>
          <w:sz w:val="22"/>
          <w:szCs w:val="22"/>
        </w:rPr>
        <w:t>电子交易平台发现严重安全漏洞，有潜在泄密危险的；</w:t>
      </w:r>
    </w:p>
    <w:p>
      <w:pPr>
        <w:numPr>
          <w:ilvl w:val="2"/>
          <w:numId w:val="6"/>
        </w:numPr>
        <w:tabs>
          <w:tab w:val="left" w:pos="993"/>
        </w:tabs>
        <w:spacing w:line="460" w:lineRule="exact"/>
        <w:ind w:left="993" w:hanging="426"/>
        <w:rPr>
          <w:rFonts w:ascii="宋体" w:hAnsi="宋体" w:cs="宋体"/>
          <w:kern w:val="0"/>
          <w:sz w:val="22"/>
          <w:szCs w:val="22"/>
        </w:rPr>
      </w:pPr>
      <w:r>
        <w:rPr>
          <w:rFonts w:hint="eastAsia" w:ascii="宋体" w:hAnsi="宋体" w:cs="宋体"/>
          <w:kern w:val="0"/>
          <w:sz w:val="22"/>
          <w:szCs w:val="22"/>
        </w:rPr>
        <w:t>病毒发作导致不能进行正常操作的；</w:t>
      </w:r>
    </w:p>
    <w:p>
      <w:pPr>
        <w:numPr>
          <w:ilvl w:val="2"/>
          <w:numId w:val="6"/>
        </w:numPr>
        <w:tabs>
          <w:tab w:val="left" w:pos="993"/>
        </w:tabs>
        <w:spacing w:line="460" w:lineRule="exact"/>
        <w:ind w:left="993" w:hanging="426"/>
        <w:rPr>
          <w:rFonts w:ascii="宋体" w:hAnsi="宋体" w:cs="宋体"/>
          <w:kern w:val="0"/>
          <w:sz w:val="22"/>
          <w:szCs w:val="22"/>
        </w:rPr>
      </w:pPr>
      <w:r>
        <w:rPr>
          <w:rFonts w:hint="eastAsia" w:ascii="宋体" w:hAnsi="宋体" w:cs="宋体"/>
          <w:kern w:val="0"/>
          <w:sz w:val="22"/>
          <w:szCs w:val="22"/>
        </w:rPr>
        <w:t>其他无法保证电子交易的公平、公正和安全的情况。</w:t>
      </w:r>
    </w:p>
    <w:p>
      <w:pPr>
        <w:adjustRightInd w:val="0"/>
        <w:snapToGrid w:val="0"/>
        <w:spacing w:line="460" w:lineRule="atLeast"/>
        <w:ind w:left="414" w:leftChars="197"/>
        <w:rPr>
          <w:rFonts w:ascii="宋体" w:hAnsi="宋体" w:cs="宋体"/>
          <w:sz w:val="22"/>
          <w:szCs w:val="22"/>
        </w:rPr>
      </w:pPr>
      <w:r>
        <w:rPr>
          <w:rFonts w:hint="eastAsia" w:ascii="宋体" w:hAnsi="宋体" w:cs="宋体"/>
          <w:sz w:val="22"/>
          <w:szCs w:val="22"/>
        </w:rPr>
        <w:t>11.2出现前款规定情形，不影响采购公平、公正性的，采购组织机构可以待上述情形消除后继续组织电子交易活动；影响或可能影响采购公平、公正性的，应当重新采购。</w:t>
      </w:r>
    </w:p>
    <w:p>
      <w:pPr>
        <w:widowControl/>
        <w:autoSpaceDE w:val="0"/>
        <w:autoSpaceDN w:val="0"/>
        <w:adjustRightInd w:val="0"/>
        <w:spacing w:line="460" w:lineRule="atLeast"/>
        <w:textAlignment w:val="bottom"/>
        <w:rPr>
          <w:rFonts w:ascii="宋体" w:hAnsi="宋体" w:cs="宋体"/>
          <w:b/>
          <w:bCs/>
          <w:sz w:val="22"/>
          <w:szCs w:val="22"/>
        </w:rPr>
      </w:pPr>
      <w:bookmarkStart w:id="64" w:name="_Toc496116255"/>
      <w:r>
        <w:rPr>
          <w:rFonts w:hint="eastAsia" w:ascii="宋体" w:hAnsi="宋体" w:cs="宋体"/>
          <w:b/>
          <w:bCs/>
          <w:sz w:val="22"/>
          <w:szCs w:val="22"/>
        </w:rPr>
        <w:t>七、授予合同</w:t>
      </w:r>
      <w:bookmarkEnd w:id="64"/>
    </w:p>
    <w:p>
      <w:pPr>
        <w:pStyle w:val="13"/>
        <w:snapToGrid w:val="0"/>
        <w:spacing w:line="460" w:lineRule="atLeast"/>
        <w:ind w:firstLine="433" w:firstLineChars="197"/>
        <w:rPr>
          <w:rFonts w:hAnsi="宋体"/>
          <w:sz w:val="22"/>
          <w:szCs w:val="22"/>
        </w:rPr>
      </w:pPr>
      <w:r>
        <w:rPr>
          <w:rFonts w:hint="eastAsia" w:hAnsi="宋体"/>
          <w:sz w:val="22"/>
          <w:szCs w:val="22"/>
        </w:rPr>
        <w:t>1、决标</w:t>
      </w:r>
    </w:p>
    <w:p>
      <w:pPr>
        <w:pStyle w:val="13"/>
        <w:snapToGrid w:val="0"/>
        <w:spacing w:line="460" w:lineRule="atLeast"/>
        <w:ind w:firstLine="433" w:firstLineChars="197"/>
        <w:rPr>
          <w:rFonts w:hAnsi="宋体"/>
          <w:sz w:val="22"/>
          <w:szCs w:val="22"/>
        </w:rPr>
      </w:pPr>
      <w:r>
        <w:rPr>
          <w:rFonts w:hint="eastAsia" w:hAnsi="宋体"/>
          <w:sz w:val="22"/>
          <w:szCs w:val="22"/>
        </w:rPr>
        <w:t>1.1、评标结束后，评标委员会按照招标文件确定的评标办法推荐中标供应商。</w:t>
      </w:r>
    </w:p>
    <w:p>
      <w:pPr>
        <w:pStyle w:val="13"/>
        <w:snapToGrid w:val="0"/>
        <w:spacing w:line="460" w:lineRule="atLeast"/>
        <w:ind w:firstLine="433" w:firstLineChars="197"/>
        <w:rPr>
          <w:rFonts w:hAnsi="宋体"/>
          <w:sz w:val="22"/>
          <w:szCs w:val="22"/>
        </w:rPr>
      </w:pPr>
      <w:r>
        <w:rPr>
          <w:rFonts w:hint="eastAsia" w:hAnsi="宋体"/>
          <w:sz w:val="22"/>
          <w:szCs w:val="22"/>
        </w:rPr>
        <w:t>2、中标通知书</w:t>
      </w:r>
    </w:p>
    <w:p>
      <w:pPr>
        <w:spacing w:line="460" w:lineRule="atLeast"/>
        <w:ind w:firstLine="435" w:firstLineChars="197"/>
        <w:rPr>
          <w:rFonts w:ascii="宋体" w:hAnsi="宋体" w:cs="宋体"/>
          <w:b/>
          <w:bCs/>
          <w:sz w:val="22"/>
          <w:szCs w:val="22"/>
        </w:rPr>
      </w:pPr>
      <w:r>
        <w:rPr>
          <w:rFonts w:hint="eastAsia" w:ascii="宋体" w:hAnsi="宋体" w:cs="宋体"/>
          <w:b/>
          <w:bCs/>
          <w:sz w:val="22"/>
          <w:szCs w:val="22"/>
        </w:rPr>
        <w:t>2.1、采购人依法确认中标供应商后，代理机构在浙江省政府采购网上公告中标结果，公告期限为1个工作日。同时向中标供应商发出中标通知书。</w:t>
      </w:r>
    </w:p>
    <w:p>
      <w:pPr>
        <w:adjustRightInd w:val="0"/>
        <w:snapToGrid w:val="0"/>
        <w:spacing w:line="460" w:lineRule="atLeast"/>
        <w:ind w:firstLine="433" w:firstLineChars="197"/>
        <w:rPr>
          <w:rFonts w:ascii="宋体" w:hAnsi="宋体" w:cs="宋体"/>
          <w:sz w:val="22"/>
          <w:szCs w:val="22"/>
        </w:rPr>
      </w:pPr>
      <w:r>
        <w:rPr>
          <w:rFonts w:hint="eastAsia" w:ascii="宋体" w:hAnsi="宋体" w:cs="宋体"/>
          <w:sz w:val="22"/>
          <w:szCs w:val="22"/>
        </w:rPr>
        <w:t>2.2、中标通知书对采购人和中标人具有法律约束力。中标通知书发出后，采购人改变中标结果或者中标人放弃中标的，应当承担法律责任。</w:t>
      </w:r>
    </w:p>
    <w:p>
      <w:pPr>
        <w:adjustRightInd w:val="0"/>
        <w:snapToGrid w:val="0"/>
        <w:spacing w:line="460" w:lineRule="atLeast"/>
        <w:ind w:firstLine="435" w:firstLineChars="197"/>
        <w:rPr>
          <w:rFonts w:ascii="宋体" w:hAnsi="宋体" w:cs="宋体"/>
          <w:b/>
          <w:bCs/>
          <w:sz w:val="22"/>
          <w:szCs w:val="22"/>
        </w:rPr>
      </w:pPr>
      <w:r>
        <w:rPr>
          <w:rFonts w:hint="eastAsia" w:ascii="宋体" w:hAnsi="宋体" w:cs="宋体"/>
          <w:b/>
          <w:bCs/>
          <w:sz w:val="22"/>
          <w:szCs w:val="22"/>
        </w:rPr>
        <w:t>2.3、中标无效</w:t>
      </w:r>
    </w:p>
    <w:p>
      <w:pPr>
        <w:adjustRightInd w:val="0"/>
        <w:snapToGrid w:val="0"/>
        <w:spacing w:line="460" w:lineRule="atLeast"/>
        <w:ind w:firstLine="433" w:firstLineChars="197"/>
        <w:rPr>
          <w:rFonts w:ascii="宋体" w:hAnsi="宋体" w:cs="宋体"/>
          <w:sz w:val="22"/>
          <w:szCs w:val="22"/>
        </w:rPr>
      </w:pPr>
      <w:r>
        <w:rPr>
          <w:rFonts w:hint="eastAsia" w:ascii="宋体" w:hAnsi="宋体" w:cs="宋体"/>
          <w:sz w:val="22"/>
          <w:szCs w:val="22"/>
        </w:rPr>
        <w:t>1）发现中标供应商资格无效或中标供应商放弃中标或拒绝与采购人签订合同的,采购人可以按照评审报告推荐的中标候选人名单排序，确定下一候选人为中标供应商，也可以重新开展政府采购活动。</w:t>
      </w:r>
    </w:p>
    <w:p>
      <w:pPr>
        <w:adjustRightInd w:val="0"/>
        <w:snapToGrid w:val="0"/>
        <w:spacing w:line="460" w:lineRule="atLeast"/>
        <w:ind w:firstLine="433" w:firstLineChars="197"/>
        <w:rPr>
          <w:rFonts w:ascii="宋体" w:hAnsi="宋体" w:cs="宋体"/>
          <w:sz w:val="22"/>
          <w:szCs w:val="22"/>
        </w:rPr>
      </w:pPr>
      <w:r>
        <w:rPr>
          <w:rFonts w:hint="eastAsia" w:ascii="宋体" w:hAnsi="宋体" w:cs="宋体"/>
          <w:sz w:val="22"/>
          <w:szCs w:val="22"/>
        </w:rPr>
        <w:t>2）有《中华人民共和国政府采购法实施条例》第七十一条、第七十二条、第七十三条、第七十四条规定的违法行为之一，由政府采购监管部门依法处理。</w:t>
      </w:r>
    </w:p>
    <w:p>
      <w:pPr>
        <w:adjustRightInd w:val="0"/>
        <w:snapToGrid w:val="0"/>
        <w:spacing w:line="460" w:lineRule="atLeast"/>
        <w:ind w:firstLine="433" w:firstLineChars="197"/>
        <w:rPr>
          <w:rFonts w:ascii="宋体" w:hAnsi="宋体" w:cs="宋体"/>
          <w:sz w:val="22"/>
          <w:szCs w:val="22"/>
        </w:rPr>
      </w:pPr>
      <w:r>
        <w:rPr>
          <w:rFonts w:hint="eastAsia" w:ascii="宋体" w:hAnsi="宋体" w:cs="宋体"/>
          <w:sz w:val="22"/>
          <w:szCs w:val="22"/>
        </w:rPr>
        <w:t>4、签订合同</w:t>
      </w:r>
    </w:p>
    <w:p>
      <w:pPr>
        <w:pStyle w:val="13"/>
        <w:snapToGrid w:val="0"/>
        <w:spacing w:line="460" w:lineRule="atLeast"/>
        <w:ind w:firstLine="433" w:firstLineChars="197"/>
        <w:rPr>
          <w:rFonts w:hAnsi="宋体"/>
          <w:sz w:val="22"/>
          <w:szCs w:val="22"/>
        </w:rPr>
      </w:pPr>
      <w:r>
        <w:rPr>
          <w:rFonts w:hint="eastAsia" w:hAnsi="宋体"/>
          <w:sz w:val="22"/>
          <w:szCs w:val="22"/>
        </w:rPr>
        <w:t>4.1 中标供应商须主动联系采购人或采购代理机构领取中标通知书。中标供应商应当在中标通知书发出之日起30日历天内与采购人签订合同。中标供应商未经采购人许可，在规定时间内未到采购人处与采购人签订合同，则视为拒签合同。</w:t>
      </w:r>
    </w:p>
    <w:p>
      <w:pPr>
        <w:adjustRightInd w:val="0"/>
        <w:snapToGrid w:val="0"/>
        <w:spacing w:line="460" w:lineRule="atLeast"/>
        <w:ind w:firstLine="433" w:firstLineChars="197"/>
        <w:rPr>
          <w:rFonts w:ascii="宋体" w:hAnsi="宋体" w:cs="宋体"/>
          <w:sz w:val="22"/>
          <w:szCs w:val="22"/>
        </w:rPr>
      </w:pPr>
      <w:r>
        <w:rPr>
          <w:rFonts w:hint="eastAsia" w:ascii="宋体" w:hAnsi="宋体" w:cs="宋体"/>
          <w:sz w:val="22"/>
          <w:szCs w:val="22"/>
        </w:rPr>
        <w:t>4.2 招标文件、中标供应商的投标文件及投标修改文件、评标过程中有关澄清文件及经双方签字的询标纪要（承诺）和中标通知书均作为合同附件。</w:t>
      </w:r>
    </w:p>
    <w:p>
      <w:pPr>
        <w:adjustRightInd w:val="0"/>
        <w:snapToGrid w:val="0"/>
        <w:spacing w:line="460" w:lineRule="atLeast"/>
        <w:ind w:firstLine="433" w:firstLineChars="197"/>
        <w:rPr>
          <w:rFonts w:ascii="宋体" w:hAnsi="宋体" w:cs="宋体"/>
          <w:sz w:val="22"/>
          <w:szCs w:val="22"/>
        </w:rPr>
      </w:pPr>
      <w:r>
        <w:rPr>
          <w:rFonts w:hint="eastAsia" w:ascii="宋体" w:hAnsi="宋体" w:cs="宋体"/>
          <w:sz w:val="22"/>
          <w:szCs w:val="22"/>
        </w:rPr>
        <w:t>4.3 拒签合同的责任</w:t>
      </w:r>
    </w:p>
    <w:p>
      <w:pPr>
        <w:pStyle w:val="13"/>
        <w:snapToGrid w:val="0"/>
        <w:spacing w:line="460" w:lineRule="atLeast"/>
        <w:ind w:firstLine="433" w:firstLineChars="197"/>
        <w:rPr>
          <w:rFonts w:hAnsi="宋体"/>
          <w:sz w:val="22"/>
          <w:szCs w:val="22"/>
        </w:rPr>
      </w:pPr>
      <w:r>
        <w:rPr>
          <w:rFonts w:hint="eastAsia" w:hAnsi="宋体"/>
          <w:sz w:val="22"/>
          <w:szCs w:val="22"/>
        </w:rPr>
        <w:t>中标供应商在规定时间内（30日历天）借故否认已经承诺的条件、拒签合同或拒交履约保证金者，以投标违约处理，赔偿采购人由此造成的直接经济损失；采购人重新组织招标的，所需费用由原中标供应商承担。</w:t>
      </w:r>
    </w:p>
    <w:p>
      <w:pPr>
        <w:pStyle w:val="13"/>
        <w:snapToGrid w:val="0"/>
        <w:spacing w:line="460" w:lineRule="atLeast"/>
        <w:ind w:firstLine="433" w:firstLineChars="197"/>
        <w:rPr>
          <w:rFonts w:hAnsi="宋体"/>
          <w:sz w:val="22"/>
          <w:szCs w:val="22"/>
        </w:rPr>
      </w:pPr>
      <w:r>
        <w:rPr>
          <w:rFonts w:hint="eastAsia" w:hAnsi="宋体"/>
          <w:sz w:val="22"/>
          <w:szCs w:val="22"/>
        </w:rPr>
        <w:t>4.4 采购人在授予合同时有权对采购的服务予以增加或减少，但不得对单价或其他的条款和条件做任何改变。</w:t>
      </w:r>
    </w:p>
    <w:p>
      <w:pPr>
        <w:rPr>
          <w:rFonts w:ascii="宋体" w:hAnsi="宋体" w:cs="宋体"/>
          <w:sz w:val="30"/>
          <w:szCs w:val="30"/>
        </w:rPr>
      </w:pPr>
      <w:bookmarkStart w:id="65" w:name="_Toc498343169"/>
      <w:bookmarkStart w:id="66" w:name="_Toc73091436"/>
      <w:bookmarkStart w:id="67" w:name="_Toc496116256"/>
      <w:bookmarkStart w:id="68" w:name="_Toc293038719"/>
      <w:r>
        <w:rPr>
          <w:rFonts w:hint="eastAsia" w:ascii="宋体" w:hAnsi="宋体" w:cs="宋体"/>
          <w:sz w:val="30"/>
          <w:szCs w:val="30"/>
        </w:rPr>
        <w:br w:type="page"/>
      </w:r>
    </w:p>
    <w:p>
      <w:pPr>
        <w:pStyle w:val="23"/>
        <w:rPr>
          <w:rFonts w:ascii="宋体" w:hAnsi="宋体" w:cs="宋体"/>
          <w:sz w:val="30"/>
          <w:szCs w:val="30"/>
        </w:rPr>
      </w:pPr>
      <w:r>
        <w:rPr>
          <w:rFonts w:hint="eastAsia" w:ascii="宋体" w:hAnsi="宋体" w:cs="宋体"/>
          <w:sz w:val="30"/>
          <w:szCs w:val="30"/>
        </w:rPr>
        <w:t>第四部分 政府采购政策功能相关说明</w:t>
      </w:r>
      <w:bookmarkEnd w:id="65"/>
      <w:bookmarkEnd w:id="66"/>
      <w:bookmarkEnd w:id="67"/>
    </w:p>
    <w:p>
      <w:pPr>
        <w:jc w:val="left"/>
        <w:rPr>
          <w:rFonts w:ascii="宋体" w:hAnsi="宋体" w:cs="宋体"/>
          <w:sz w:val="22"/>
          <w:szCs w:val="22"/>
        </w:rPr>
      </w:pPr>
      <w:r>
        <w:rPr>
          <w:rFonts w:hint="eastAsia" w:ascii="宋体" w:hAnsi="宋体" w:cs="宋体"/>
          <w:sz w:val="22"/>
          <w:szCs w:val="22"/>
        </w:rPr>
        <w:t>一、小、微企业（含监狱企业、残疾人福利性单位）扶持政策说明</w:t>
      </w:r>
    </w:p>
    <w:p>
      <w:pPr>
        <w:spacing w:line="440" w:lineRule="atLeast"/>
        <w:jc w:val="left"/>
        <w:rPr>
          <w:rFonts w:ascii="宋体" w:hAnsi="宋体" w:cs="宋体"/>
          <w:sz w:val="22"/>
          <w:szCs w:val="22"/>
        </w:rPr>
      </w:pPr>
      <w:r>
        <w:rPr>
          <w:rFonts w:hint="eastAsia" w:ascii="宋体" w:hAnsi="宋体" w:cs="宋体"/>
          <w:sz w:val="22"/>
          <w:szCs w:val="22"/>
        </w:rPr>
        <w:t>1、文件依据</w:t>
      </w:r>
    </w:p>
    <w:p>
      <w:pPr>
        <w:spacing w:line="440" w:lineRule="atLeast"/>
        <w:jc w:val="left"/>
        <w:rPr>
          <w:rFonts w:ascii="宋体" w:hAnsi="宋体" w:cs="宋体"/>
          <w:sz w:val="22"/>
          <w:szCs w:val="22"/>
        </w:rPr>
      </w:pPr>
      <w:r>
        <w:rPr>
          <w:rFonts w:hint="eastAsia" w:ascii="宋体" w:hAnsi="宋体" w:cs="宋体"/>
          <w:sz w:val="22"/>
          <w:szCs w:val="22"/>
        </w:rPr>
        <w:t>（1）关于印发《政府采购促进中小企业发展管理办法》的通知（财库〔2020〕46号）</w:t>
      </w:r>
    </w:p>
    <w:p>
      <w:pPr>
        <w:spacing w:line="440" w:lineRule="atLeast"/>
        <w:jc w:val="left"/>
        <w:rPr>
          <w:rFonts w:ascii="宋体" w:hAnsi="宋体" w:cs="宋体"/>
          <w:sz w:val="22"/>
          <w:szCs w:val="22"/>
        </w:rPr>
      </w:pPr>
      <w:r>
        <w:rPr>
          <w:rFonts w:hint="eastAsia" w:ascii="宋体" w:hAnsi="宋体" w:cs="宋体"/>
          <w:sz w:val="22"/>
          <w:szCs w:val="22"/>
        </w:rPr>
        <w:t>（2）浙江省省财政厅《关于开展政府采购投标人网上注册登记和诚信管理工作的通知》（浙财采监〔2010〕8号)</w:t>
      </w:r>
    </w:p>
    <w:p>
      <w:pPr>
        <w:spacing w:line="440" w:lineRule="atLeast"/>
        <w:jc w:val="left"/>
        <w:rPr>
          <w:rFonts w:ascii="宋体" w:hAnsi="宋体" w:cs="宋体"/>
          <w:sz w:val="22"/>
          <w:szCs w:val="22"/>
        </w:rPr>
      </w:pPr>
      <w:r>
        <w:rPr>
          <w:rFonts w:hint="eastAsia" w:ascii="宋体" w:hAnsi="宋体" w:cs="宋体"/>
          <w:sz w:val="22"/>
          <w:szCs w:val="22"/>
        </w:rPr>
        <w:t>（3）《工业和信息化部、国家统计局、国家发展和改革委员会、财政部关于印发中小企业划型标准规定的通知》（工信部联企业[2011]300号）</w:t>
      </w:r>
    </w:p>
    <w:p>
      <w:pPr>
        <w:spacing w:line="440" w:lineRule="atLeast"/>
        <w:jc w:val="left"/>
        <w:rPr>
          <w:rFonts w:ascii="宋体" w:hAnsi="宋体" w:cs="宋体"/>
          <w:sz w:val="22"/>
          <w:szCs w:val="22"/>
        </w:rPr>
      </w:pPr>
      <w:r>
        <w:rPr>
          <w:rFonts w:hint="eastAsia" w:ascii="宋体" w:hAnsi="宋体" w:cs="宋体"/>
          <w:sz w:val="22"/>
          <w:szCs w:val="22"/>
        </w:rPr>
        <w:t>（4）财政部、司法部《关于政府采购支持监狱企业发展有关问题的通知》（财库〔2014〕68号）</w:t>
      </w:r>
    </w:p>
    <w:p>
      <w:pPr>
        <w:spacing w:line="440" w:lineRule="atLeast"/>
        <w:jc w:val="left"/>
        <w:rPr>
          <w:rFonts w:ascii="宋体" w:hAnsi="宋体" w:cs="宋体"/>
          <w:sz w:val="22"/>
          <w:szCs w:val="22"/>
        </w:rPr>
      </w:pPr>
      <w:r>
        <w:rPr>
          <w:rFonts w:hint="eastAsia" w:ascii="宋体" w:hAnsi="宋体" w:cs="宋体"/>
          <w:sz w:val="22"/>
          <w:szCs w:val="22"/>
        </w:rPr>
        <w:t>（5）《财政部 民政部 中国残疾人联合会关于促进残疾人就业政府采购政策的通知》（财库〔2017〕 141号）</w:t>
      </w:r>
    </w:p>
    <w:p>
      <w:pPr>
        <w:spacing w:line="440" w:lineRule="atLeast"/>
        <w:jc w:val="left"/>
        <w:rPr>
          <w:rFonts w:ascii="宋体" w:hAnsi="宋体" w:cs="宋体"/>
          <w:sz w:val="22"/>
          <w:szCs w:val="22"/>
        </w:rPr>
      </w:pPr>
      <w:r>
        <w:rPr>
          <w:rFonts w:hint="eastAsia" w:ascii="宋体" w:hAnsi="宋体" w:cs="宋体"/>
          <w:sz w:val="22"/>
          <w:szCs w:val="22"/>
        </w:rPr>
        <w:t>（6）《浙江省财政厅  浙江省经济和信息化委员会关于简化中小企业类别确认流程有关事项的通知》（浙财采监〔2018〕2号)</w:t>
      </w:r>
    </w:p>
    <w:p>
      <w:pPr>
        <w:spacing w:line="440" w:lineRule="atLeast"/>
        <w:jc w:val="left"/>
        <w:rPr>
          <w:rFonts w:ascii="宋体" w:hAnsi="宋体" w:cs="宋体"/>
          <w:sz w:val="22"/>
          <w:szCs w:val="22"/>
        </w:rPr>
      </w:pPr>
      <w:r>
        <w:rPr>
          <w:rFonts w:hint="eastAsia" w:ascii="宋体" w:hAnsi="宋体" w:cs="宋体"/>
          <w:sz w:val="22"/>
          <w:szCs w:val="22"/>
        </w:rPr>
        <w:t>2、享受小微企业价格折扣应具备的条件与价格折扣比例</w:t>
      </w:r>
    </w:p>
    <w:p>
      <w:pPr>
        <w:spacing w:line="440" w:lineRule="atLeast"/>
        <w:jc w:val="left"/>
        <w:rPr>
          <w:rFonts w:ascii="宋体" w:hAnsi="宋体" w:cs="宋体"/>
          <w:sz w:val="22"/>
          <w:szCs w:val="22"/>
        </w:rPr>
      </w:pPr>
      <w:r>
        <w:rPr>
          <w:rFonts w:hint="eastAsia" w:ascii="宋体" w:hAnsi="宋体" w:cs="宋体"/>
          <w:sz w:val="22"/>
          <w:szCs w:val="22"/>
        </w:rPr>
        <w:t>（1）在货物采购项目中，货物由中小企业制造，即货物由中小企业生产且使用该中小企业商号或者注册商标；</w:t>
      </w:r>
    </w:p>
    <w:p>
      <w:pPr>
        <w:spacing w:line="440" w:lineRule="atLeast"/>
        <w:jc w:val="left"/>
        <w:rPr>
          <w:rFonts w:ascii="宋体" w:hAnsi="宋体" w:cs="宋体"/>
          <w:sz w:val="22"/>
          <w:szCs w:val="22"/>
        </w:rPr>
      </w:pPr>
      <w:r>
        <w:rPr>
          <w:rFonts w:hint="eastAsia" w:ascii="宋体" w:hAnsi="宋体" w:cs="宋体"/>
          <w:sz w:val="22"/>
          <w:szCs w:val="22"/>
        </w:rPr>
        <w:t>（2）在工程采购项目中，工程由中小企业承建，即工程施工单位为中小企业；</w:t>
      </w:r>
    </w:p>
    <w:p>
      <w:pPr>
        <w:spacing w:line="440" w:lineRule="atLeast"/>
        <w:jc w:val="left"/>
        <w:rPr>
          <w:rFonts w:ascii="宋体" w:hAnsi="宋体" w:cs="宋体"/>
          <w:sz w:val="22"/>
          <w:szCs w:val="22"/>
        </w:rPr>
      </w:pPr>
      <w:r>
        <w:rPr>
          <w:rFonts w:hint="eastAsia" w:ascii="宋体" w:hAnsi="宋体" w:cs="宋体"/>
          <w:sz w:val="22"/>
          <w:szCs w:val="22"/>
        </w:rPr>
        <w:t>（3）在服务采购项目中，服务由中小企业承接，即提供服务的人员为中小企业依照《中华人民共和国劳动合同法》订立劳动合同的从业人员。</w:t>
      </w:r>
    </w:p>
    <w:p>
      <w:pPr>
        <w:spacing w:line="440" w:lineRule="atLeast"/>
        <w:jc w:val="left"/>
        <w:rPr>
          <w:rFonts w:ascii="宋体" w:hAnsi="宋体" w:cs="宋体"/>
          <w:sz w:val="22"/>
          <w:szCs w:val="22"/>
        </w:rPr>
      </w:pPr>
      <w:r>
        <w:rPr>
          <w:rFonts w:hint="eastAsia" w:ascii="宋体" w:hAnsi="宋体" w:cs="宋体"/>
          <w:sz w:val="22"/>
          <w:szCs w:val="22"/>
        </w:rPr>
        <w:t>在货物采购项目中，供应商提供的货物既有中小企业制造货物，也有大型企业制造货物的，不享受本办法规定的中小企业扶持政策。</w:t>
      </w:r>
    </w:p>
    <w:p>
      <w:pPr>
        <w:spacing w:line="440" w:lineRule="atLeast"/>
        <w:jc w:val="left"/>
        <w:rPr>
          <w:rFonts w:ascii="宋体" w:hAnsi="宋体" w:cs="宋体"/>
          <w:sz w:val="22"/>
          <w:szCs w:val="22"/>
        </w:rPr>
      </w:pPr>
      <w:r>
        <w:rPr>
          <w:rFonts w:hint="eastAsia" w:ascii="宋体" w:hAnsi="宋体" w:cs="宋体"/>
          <w:sz w:val="22"/>
          <w:szCs w:val="22"/>
        </w:rPr>
        <w:t>以联合体形式参加政府采购活动，联合体各方均为中小企业的，联合体视同中小企业。其中，联合体各方均为小微企业的，联合体视同小微企业。</w:t>
      </w:r>
    </w:p>
    <w:p>
      <w:pPr>
        <w:spacing w:line="440" w:lineRule="atLeast"/>
        <w:jc w:val="left"/>
        <w:rPr>
          <w:rFonts w:ascii="宋体" w:hAnsi="宋体" w:cs="宋体"/>
          <w:sz w:val="22"/>
          <w:szCs w:val="22"/>
          <w:u w:val="single"/>
        </w:rPr>
      </w:pPr>
      <w:r>
        <w:rPr>
          <w:rFonts w:hint="eastAsia" w:ascii="宋体" w:hAnsi="宋体" w:cs="宋体"/>
          <w:sz w:val="22"/>
          <w:szCs w:val="22"/>
          <w:u w:val="single"/>
        </w:rPr>
        <w:t>（3）本项目对小型和微型企业产品的价格给予6%的扣除，用扣除后的价格参与评审。</w:t>
      </w:r>
    </w:p>
    <w:p>
      <w:pPr>
        <w:spacing w:line="440" w:lineRule="atLeast"/>
        <w:jc w:val="left"/>
        <w:rPr>
          <w:rFonts w:ascii="宋体" w:hAnsi="宋体" w:cs="宋体"/>
          <w:sz w:val="22"/>
          <w:szCs w:val="22"/>
        </w:rPr>
      </w:pPr>
      <w:r>
        <w:rPr>
          <w:rFonts w:hint="eastAsia" w:ascii="宋体" w:hAnsi="宋体" w:cs="宋体"/>
          <w:sz w:val="22"/>
          <w:szCs w:val="22"/>
          <w:u w:val="single"/>
        </w:rPr>
        <w:t>3、享受小微企业价格折扣应提供以下证明材料</w:t>
      </w:r>
      <w:r>
        <w:rPr>
          <w:rFonts w:hint="eastAsia" w:ascii="宋体" w:hAnsi="宋体" w:cs="宋体"/>
          <w:sz w:val="22"/>
          <w:szCs w:val="22"/>
        </w:rPr>
        <w:t>：</w:t>
      </w:r>
    </w:p>
    <w:p>
      <w:pPr>
        <w:spacing w:line="440" w:lineRule="atLeast"/>
        <w:jc w:val="left"/>
        <w:rPr>
          <w:rFonts w:ascii="宋体" w:hAnsi="宋体" w:cs="宋体"/>
          <w:sz w:val="22"/>
          <w:szCs w:val="22"/>
        </w:rPr>
      </w:pPr>
      <w:r>
        <w:rPr>
          <w:rFonts w:hint="eastAsia" w:ascii="宋体" w:hAnsi="宋体" w:cs="宋体"/>
          <w:sz w:val="22"/>
          <w:szCs w:val="22"/>
        </w:rPr>
        <w:t>（1）《中小企业声明函》（原件，加盖投标人公章，格式见附件1）</w:t>
      </w:r>
    </w:p>
    <w:p>
      <w:pPr>
        <w:spacing w:line="440" w:lineRule="atLeast"/>
        <w:jc w:val="left"/>
        <w:rPr>
          <w:rFonts w:ascii="宋体" w:hAnsi="宋体" w:cs="宋体"/>
          <w:sz w:val="22"/>
          <w:szCs w:val="22"/>
        </w:rPr>
      </w:pPr>
      <w:r>
        <w:rPr>
          <w:rFonts w:hint="eastAsia" w:ascii="宋体" w:hAnsi="宋体" w:cs="宋体"/>
          <w:sz w:val="22"/>
          <w:szCs w:val="22"/>
        </w:rPr>
        <w:t>4、</w:t>
      </w:r>
      <w:r>
        <w:rPr>
          <w:rFonts w:hint="eastAsia" w:ascii="宋体" w:hAnsi="宋体" w:cs="宋体"/>
          <w:sz w:val="22"/>
          <w:szCs w:val="22"/>
          <w:u w:val="single"/>
        </w:rPr>
        <w:t>享受监狱企业价格折扣应提供以下证明材料（投标文件商务（报价）标中，不提供的不享受价格折扣）</w:t>
      </w:r>
      <w:r>
        <w:rPr>
          <w:rFonts w:hint="eastAsia" w:ascii="宋体" w:hAnsi="宋体" w:cs="宋体"/>
          <w:sz w:val="22"/>
          <w:szCs w:val="22"/>
        </w:rPr>
        <w:t>：</w:t>
      </w:r>
    </w:p>
    <w:p>
      <w:pPr>
        <w:spacing w:line="440" w:lineRule="atLeast"/>
        <w:jc w:val="left"/>
        <w:rPr>
          <w:rFonts w:ascii="宋体" w:hAnsi="宋体" w:cs="宋体"/>
          <w:sz w:val="22"/>
          <w:szCs w:val="22"/>
        </w:rPr>
      </w:pPr>
      <w:r>
        <w:rPr>
          <w:rFonts w:hint="eastAsia" w:ascii="宋体" w:hAnsi="宋体" w:cs="宋体"/>
          <w:sz w:val="22"/>
          <w:szCs w:val="22"/>
        </w:rPr>
        <w:t>（1）监狱企业参加政府采购活动时，应当提供由省级以上监狱管理局、戒毒管理局(含新疆生产建设兵团)出具的属于监狱企业的证明文件（原件或扫描件加盖公章）。在政府采购活动中，监狱企业视同小型、微型企业，享受评审中价格扣除政策。</w:t>
      </w:r>
    </w:p>
    <w:p>
      <w:pPr>
        <w:spacing w:line="440" w:lineRule="atLeast"/>
        <w:jc w:val="left"/>
        <w:rPr>
          <w:rFonts w:ascii="宋体" w:hAnsi="宋体" w:cs="宋体"/>
          <w:sz w:val="22"/>
          <w:szCs w:val="22"/>
        </w:rPr>
      </w:pPr>
      <w:r>
        <w:rPr>
          <w:rFonts w:hint="eastAsia" w:ascii="宋体" w:hAnsi="宋体" w:cs="宋体"/>
          <w:sz w:val="22"/>
          <w:szCs w:val="22"/>
        </w:rPr>
        <w:t>5、</w:t>
      </w:r>
      <w:r>
        <w:rPr>
          <w:rFonts w:hint="eastAsia" w:ascii="宋体" w:hAnsi="宋体" w:cs="宋体"/>
          <w:sz w:val="22"/>
          <w:szCs w:val="22"/>
          <w:u w:val="single"/>
        </w:rPr>
        <w:t>享受残疾人福利性单位格折扣应提供以下证明材料（投标文件技术资信标中，不提供的不享受价格折扣）</w:t>
      </w:r>
      <w:r>
        <w:rPr>
          <w:rFonts w:hint="eastAsia" w:ascii="宋体" w:hAnsi="宋体" w:cs="宋体"/>
          <w:sz w:val="22"/>
          <w:szCs w:val="22"/>
        </w:rPr>
        <w:t>：</w:t>
      </w:r>
    </w:p>
    <w:p>
      <w:pPr>
        <w:spacing w:line="440" w:lineRule="atLeast"/>
        <w:jc w:val="left"/>
        <w:rPr>
          <w:rFonts w:ascii="宋体" w:hAnsi="宋体" w:cs="宋体"/>
          <w:sz w:val="22"/>
          <w:szCs w:val="22"/>
        </w:rPr>
      </w:pPr>
      <w:r>
        <w:rPr>
          <w:rFonts w:hint="eastAsia" w:ascii="宋体" w:hAnsi="宋体" w:cs="宋体"/>
          <w:sz w:val="22"/>
          <w:szCs w:val="22"/>
        </w:rPr>
        <w:t>（1）残疾人福利性单位声明函（附件2）；</w:t>
      </w:r>
    </w:p>
    <w:p>
      <w:pPr>
        <w:spacing w:line="440" w:lineRule="atLeast"/>
        <w:jc w:val="left"/>
        <w:rPr>
          <w:rFonts w:ascii="宋体" w:hAnsi="宋体" w:cs="宋体"/>
          <w:sz w:val="22"/>
          <w:szCs w:val="22"/>
        </w:rPr>
      </w:pPr>
      <w:r>
        <w:rPr>
          <w:rFonts w:hint="eastAsia" w:ascii="宋体" w:hAnsi="宋体" w:cs="宋体"/>
          <w:sz w:val="22"/>
          <w:szCs w:val="22"/>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spacing w:line="440" w:lineRule="atLeast"/>
        <w:jc w:val="left"/>
        <w:rPr>
          <w:rFonts w:ascii="宋体" w:hAnsi="宋体" w:cs="宋体"/>
          <w:b/>
          <w:bCs/>
          <w:sz w:val="22"/>
          <w:szCs w:val="22"/>
        </w:rPr>
      </w:pPr>
    </w:p>
    <w:p>
      <w:pPr>
        <w:spacing w:line="440" w:lineRule="atLeast"/>
        <w:jc w:val="left"/>
        <w:rPr>
          <w:rFonts w:ascii="宋体" w:hAnsi="宋体" w:cs="宋体"/>
          <w:b/>
          <w:bCs/>
          <w:sz w:val="22"/>
          <w:szCs w:val="22"/>
        </w:rPr>
      </w:pPr>
    </w:p>
    <w:p>
      <w:pPr>
        <w:spacing w:line="440" w:lineRule="atLeast"/>
        <w:jc w:val="left"/>
        <w:rPr>
          <w:rFonts w:ascii="宋体" w:hAnsi="宋体" w:cs="宋体"/>
          <w:b/>
          <w:bCs/>
          <w:sz w:val="22"/>
          <w:szCs w:val="22"/>
        </w:rPr>
      </w:pPr>
    </w:p>
    <w:p>
      <w:pPr>
        <w:spacing w:line="440" w:lineRule="atLeast"/>
        <w:jc w:val="left"/>
        <w:rPr>
          <w:rFonts w:ascii="宋体" w:hAnsi="宋体" w:cs="宋体"/>
          <w:b/>
          <w:bCs/>
          <w:sz w:val="22"/>
          <w:szCs w:val="22"/>
        </w:rPr>
      </w:pPr>
    </w:p>
    <w:p>
      <w:pPr>
        <w:spacing w:line="440" w:lineRule="atLeast"/>
        <w:jc w:val="left"/>
        <w:rPr>
          <w:rFonts w:ascii="宋体" w:hAnsi="宋体" w:cs="宋体"/>
          <w:b/>
          <w:bCs/>
          <w:sz w:val="22"/>
          <w:szCs w:val="22"/>
        </w:rPr>
      </w:pPr>
    </w:p>
    <w:p>
      <w:pPr>
        <w:spacing w:line="440" w:lineRule="atLeast"/>
        <w:jc w:val="left"/>
        <w:rPr>
          <w:rFonts w:ascii="宋体" w:hAnsi="宋体" w:cs="宋体"/>
          <w:b/>
          <w:bCs/>
          <w:sz w:val="22"/>
          <w:szCs w:val="22"/>
        </w:rPr>
      </w:pPr>
    </w:p>
    <w:p>
      <w:pPr>
        <w:spacing w:line="440" w:lineRule="atLeast"/>
        <w:jc w:val="left"/>
        <w:rPr>
          <w:rFonts w:ascii="宋体" w:hAnsi="宋体" w:cs="宋体"/>
          <w:b/>
          <w:bCs/>
          <w:sz w:val="22"/>
          <w:szCs w:val="22"/>
        </w:rPr>
      </w:pPr>
    </w:p>
    <w:p>
      <w:pPr>
        <w:spacing w:line="440" w:lineRule="atLeast"/>
        <w:jc w:val="left"/>
        <w:rPr>
          <w:rFonts w:ascii="宋体" w:hAnsi="宋体" w:cs="宋体"/>
          <w:b/>
          <w:bCs/>
          <w:sz w:val="22"/>
          <w:szCs w:val="22"/>
        </w:rPr>
      </w:pPr>
    </w:p>
    <w:p>
      <w:pPr>
        <w:spacing w:line="440" w:lineRule="atLeast"/>
        <w:jc w:val="left"/>
        <w:rPr>
          <w:rFonts w:ascii="宋体" w:hAnsi="宋体" w:cs="宋体"/>
          <w:b/>
          <w:bCs/>
          <w:sz w:val="22"/>
          <w:szCs w:val="22"/>
        </w:rPr>
      </w:pPr>
    </w:p>
    <w:p>
      <w:pPr>
        <w:spacing w:line="440" w:lineRule="atLeast"/>
        <w:jc w:val="left"/>
        <w:rPr>
          <w:rFonts w:ascii="宋体" w:hAnsi="宋体" w:cs="宋体"/>
          <w:b/>
          <w:bCs/>
          <w:sz w:val="22"/>
          <w:szCs w:val="22"/>
        </w:rPr>
      </w:pPr>
    </w:p>
    <w:p>
      <w:pPr>
        <w:spacing w:line="440" w:lineRule="atLeast"/>
        <w:jc w:val="left"/>
        <w:rPr>
          <w:rFonts w:ascii="宋体" w:hAnsi="宋体" w:cs="宋体"/>
          <w:b/>
          <w:bCs/>
          <w:sz w:val="22"/>
          <w:szCs w:val="22"/>
        </w:rPr>
      </w:pPr>
    </w:p>
    <w:p>
      <w:pPr>
        <w:widowControl/>
        <w:spacing w:before="100" w:beforeAutospacing="1" w:after="100" w:afterAutospacing="1" w:line="440" w:lineRule="atLeast"/>
        <w:jc w:val="left"/>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br w:type="page"/>
      </w:r>
    </w:p>
    <w:p>
      <w:pPr>
        <w:widowControl/>
        <w:spacing w:before="100" w:beforeAutospacing="1" w:after="100" w:afterAutospacing="1" w:line="440" w:lineRule="atLeast"/>
        <w:jc w:val="left"/>
        <w:rPr>
          <w:rFonts w:ascii="宋体" w:hAnsi="宋体" w:cs="宋体"/>
          <w:b/>
          <w:bCs/>
          <w:sz w:val="24"/>
          <w:szCs w:val="24"/>
        </w:rPr>
      </w:pPr>
      <w:r>
        <w:rPr>
          <w:rFonts w:hint="eastAsia" w:ascii="宋体" w:hAnsi="宋体" w:cs="宋体"/>
          <w:b/>
          <w:bCs/>
          <w:sz w:val="24"/>
          <w:szCs w:val="24"/>
        </w:rPr>
        <w:t>附件1：</w:t>
      </w:r>
    </w:p>
    <w:p>
      <w:pPr>
        <w:widowControl/>
        <w:spacing w:before="100" w:beforeAutospacing="1" w:after="100" w:afterAutospacing="1" w:line="440" w:lineRule="atLeast"/>
        <w:jc w:val="center"/>
        <w:rPr>
          <w:rFonts w:ascii="宋体" w:hAnsi="宋体" w:cs="宋体"/>
          <w:b/>
          <w:bCs/>
          <w:sz w:val="24"/>
          <w:szCs w:val="24"/>
        </w:rPr>
      </w:pPr>
      <w:r>
        <w:rPr>
          <w:rFonts w:hint="eastAsia" w:ascii="宋体" w:hAnsi="宋体" w:cs="宋体"/>
          <w:b/>
          <w:bCs/>
          <w:sz w:val="24"/>
          <w:szCs w:val="24"/>
        </w:rPr>
        <w:t>中小企业声明函（货物）</w:t>
      </w:r>
    </w:p>
    <w:p>
      <w:pPr>
        <w:widowControl/>
        <w:spacing w:before="100" w:beforeAutospacing="1" w:after="100" w:afterAutospacing="1" w:line="440" w:lineRule="atLeast"/>
        <w:ind w:firstLine="440" w:firstLineChars="200"/>
        <w:jc w:val="left"/>
        <w:rPr>
          <w:rFonts w:ascii="宋体" w:hAnsi="宋体" w:cs="宋体"/>
          <w:sz w:val="22"/>
          <w:szCs w:val="22"/>
        </w:rPr>
      </w:pPr>
      <w:r>
        <w:rPr>
          <w:rFonts w:hint="eastAsia" w:ascii="宋体" w:hAnsi="宋体" w:cs="宋体"/>
          <w:sz w:val="22"/>
          <w:szCs w:val="22"/>
        </w:rPr>
        <w:t>本公司（联合体）郑重声明，根据《政府采购促进中小企业发展管理办法》（财库﹝2020﹞46 号）的规定，本公司（联合体）参加</w:t>
      </w:r>
      <w:r>
        <w:rPr>
          <w:rFonts w:hint="eastAsia" w:ascii="宋体" w:hAnsi="宋体" w:cs="宋体"/>
          <w:sz w:val="22"/>
          <w:szCs w:val="22"/>
          <w:u w:val="single"/>
        </w:rPr>
        <w:t xml:space="preserve"> （单位名称）</w:t>
      </w:r>
      <w:r>
        <w:rPr>
          <w:rFonts w:hint="eastAsia" w:ascii="宋体" w:hAnsi="宋体" w:cs="宋体"/>
          <w:sz w:val="22"/>
          <w:szCs w:val="22"/>
        </w:rPr>
        <w:t xml:space="preserve"> 的 </w:t>
      </w:r>
      <w:r>
        <w:rPr>
          <w:rFonts w:hint="eastAsia" w:ascii="宋体" w:hAnsi="宋体" w:cs="宋体"/>
          <w:sz w:val="22"/>
          <w:szCs w:val="22"/>
          <w:u w:val="single"/>
        </w:rPr>
        <w:t>（项目名称）</w:t>
      </w:r>
      <w:r>
        <w:rPr>
          <w:rFonts w:hint="eastAsia" w:ascii="宋体" w:hAnsi="宋体" w:cs="宋体"/>
          <w:sz w:val="22"/>
          <w:szCs w:val="22"/>
        </w:rPr>
        <w:t xml:space="preserve"> 采购活动，提供的货物全部由符合政策要求的中小企业制造。相关企业（含联合体中的中小企业、签订分包意向协议的中小企业）的具体情况如下：</w:t>
      </w:r>
    </w:p>
    <w:p>
      <w:pPr>
        <w:widowControl/>
        <w:spacing w:before="100" w:beforeAutospacing="1" w:after="100" w:afterAutospacing="1" w:line="440" w:lineRule="atLeast"/>
        <w:ind w:firstLine="440" w:firstLineChars="200"/>
        <w:jc w:val="left"/>
        <w:rPr>
          <w:rFonts w:ascii="宋体" w:hAnsi="宋体" w:cs="宋体"/>
          <w:sz w:val="22"/>
          <w:szCs w:val="22"/>
        </w:rPr>
      </w:pPr>
      <w:r>
        <w:rPr>
          <w:rFonts w:hint="eastAsia" w:ascii="宋体" w:hAnsi="宋体" w:cs="宋体"/>
          <w:sz w:val="22"/>
          <w:szCs w:val="22"/>
        </w:rPr>
        <w:t xml:space="preserve">1. </w:t>
      </w:r>
      <w:r>
        <w:rPr>
          <w:rFonts w:hint="eastAsia" w:ascii="宋体" w:hAnsi="宋体" w:cs="宋体"/>
          <w:sz w:val="22"/>
          <w:szCs w:val="22"/>
          <w:u w:val="single"/>
        </w:rPr>
        <w:t xml:space="preserve">（标的名称） </w:t>
      </w:r>
      <w:r>
        <w:rPr>
          <w:rFonts w:hint="eastAsia" w:ascii="宋体" w:hAnsi="宋体" w:cs="宋体"/>
          <w:sz w:val="22"/>
          <w:szCs w:val="22"/>
        </w:rPr>
        <w:t>，属于</w:t>
      </w:r>
      <w:r>
        <w:rPr>
          <w:rFonts w:hint="eastAsia" w:ascii="宋体" w:hAnsi="宋体" w:cs="宋体"/>
          <w:sz w:val="22"/>
          <w:szCs w:val="22"/>
          <w:u w:val="single"/>
        </w:rPr>
        <w:t>其他未列明服务业</w:t>
      </w:r>
      <w:r>
        <w:rPr>
          <w:rFonts w:hint="eastAsia" w:ascii="宋体" w:hAnsi="宋体" w:cs="宋体"/>
          <w:sz w:val="22"/>
          <w:szCs w:val="22"/>
        </w:rPr>
        <w:t xml:space="preserve">行业 ；制造商为 </w:t>
      </w:r>
      <w:r>
        <w:rPr>
          <w:rFonts w:hint="eastAsia" w:ascii="宋体" w:hAnsi="宋体" w:cs="宋体"/>
          <w:sz w:val="22"/>
          <w:szCs w:val="22"/>
          <w:u w:val="single"/>
        </w:rPr>
        <w:t>（企业名称）</w:t>
      </w:r>
      <w:r>
        <w:rPr>
          <w:rFonts w:hint="eastAsia" w:ascii="宋体" w:hAnsi="宋体" w:cs="宋体"/>
          <w:sz w:val="22"/>
          <w:szCs w:val="22"/>
        </w:rPr>
        <w:t xml:space="preserve"> ，从业人员</w:t>
      </w:r>
      <w:r>
        <w:rPr>
          <w:rFonts w:hint="eastAsia" w:ascii="宋体" w:hAnsi="宋体" w:cs="宋体"/>
          <w:sz w:val="22"/>
          <w:szCs w:val="22"/>
          <w:u w:val="single"/>
        </w:rPr>
        <w:t xml:space="preserve">        </w:t>
      </w:r>
      <w:r>
        <w:rPr>
          <w:rFonts w:hint="eastAsia" w:ascii="宋体" w:hAnsi="宋体" w:cs="宋体"/>
          <w:sz w:val="22"/>
          <w:szCs w:val="22"/>
        </w:rPr>
        <w:t>人，营业收入为</w:t>
      </w:r>
      <w:r>
        <w:rPr>
          <w:rFonts w:hint="eastAsia" w:ascii="宋体" w:hAnsi="宋体" w:cs="宋体"/>
          <w:sz w:val="22"/>
          <w:szCs w:val="22"/>
          <w:u w:val="single"/>
        </w:rPr>
        <w:t xml:space="preserve">        </w:t>
      </w:r>
      <w:r>
        <w:rPr>
          <w:rFonts w:hint="eastAsia" w:ascii="宋体" w:hAnsi="宋体" w:cs="宋体"/>
          <w:sz w:val="22"/>
          <w:szCs w:val="22"/>
        </w:rPr>
        <w:t>万元，资产总额为</w:t>
      </w:r>
      <w:r>
        <w:rPr>
          <w:rFonts w:hint="eastAsia" w:ascii="宋体" w:hAnsi="宋体" w:cs="宋体"/>
          <w:sz w:val="22"/>
          <w:szCs w:val="22"/>
          <w:u w:val="single"/>
        </w:rPr>
        <w:t xml:space="preserve">        </w:t>
      </w:r>
      <w:r>
        <w:rPr>
          <w:rFonts w:hint="eastAsia" w:ascii="宋体" w:hAnsi="宋体" w:cs="宋体"/>
          <w:sz w:val="22"/>
          <w:szCs w:val="22"/>
        </w:rPr>
        <w:t xml:space="preserve">万元 ，属于 </w:t>
      </w:r>
      <w:r>
        <w:rPr>
          <w:rFonts w:hint="eastAsia" w:ascii="宋体" w:hAnsi="宋体" w:cs="宋体"/>
          <w:sz w:val="22"/>
          <w:szCs w:val="22"/>
          <w:u w:val="single"/>
        </w:rPr>
        <w:t xml:space="preserve">（中型企业、小型企业、微型企业） </w:t>
      </w:r>
      <w:r>
        <w:rPr>
          <w:rFonts w:hint="eastAsia" w:ascii="宋体" w:hAnsi="宋体" w:cs="宋体"/>
          <w:sz w:val="22"/>
          <w:szCs w:val="22"/>
        </w:rPr>
        <w:t>；</w:t>
      </w:r>
    </w:p>
    <w:p>
      <w:pPr>
        <w:widowControl/>
        <w:spacing w:before="100" w:beforeAutospacing="1" w:after="100" w:afterAutospacing="1" w:line="440" w:lineRule="atLeast"/>
        <w:ind w:firstLine="440" w:firstLineChars="200"/>
        <w:jc w:val="left"/>
        <w:rPr>
          <w:rFonts w:ascii="宋体" w:hAnsi="宋体" w:cs="宋体"/>
          <w:sz w:val="22"/>
          <w:szCs w:val="22"/>
        </w:rPr>
      </w:pPr>
      <w:r>
        <w:rPr>
          <w:rFonts w:hint="eastAsia" w:ascii="宋体" w:hAnsi="宋体" w:cs="宋体"/>
          <w:sz w:val="22"/>
          <w:szCs w:val="22"/>
        </w:rPr>
        <w:t xml:space="preserve">2. </w:t>
      </w:r>
      <w:r>
        <w:rPr>
          <w:rFonts w:hint="eastAsia" w:ascii="宋体" w:hAnsi="宋体" w:cs="宋体"/>
          <w:sz w:val="22"/>
          <w:szCs w:val="22"/>
          <w:u w:val="single"/>
        </w:rPr>
        <w:t>（标的名称）</w:t>
      </w:r>
      <w:r>
        <w:rPr>
          <w:rFonts w:hint="eastAsia" w:ascii="宋体" w:hAnsi="宋体" w:cs="宋体"/>
          <w:sz w:val="22"/>
          <w:szCs w:val="22"/>
        </w:rPr>
        <w:t xml:space="preserve"> ，属于</w:t>
      </w:r>
      <w:r>
        <w:rPr>
          <w:rFonts w:hint="eastAsia" w:ascii="宋体" w:hAnsi="宋体" w:cs="宋体"/>
          <w:sz w:val="22"/>
          <w:szCs w:val="22"/>
          <w:u w:val="single"/>
        </w:rPr>
        <w:t>其他未列明服务业</w:t>
      </w:r>
      <w:r>
        <w:rPr>
          <w:rFonts w:hint="eastAsia" w:ascii="宋体" w:hAnsi="宋体" w:cs="宋体"/>
          <w:sz w:val="22"/>
          <w:szCs w:val="22"/>
        </w:rPr>
        <w:t>行业 ；制造商为</w:t>
      </w:r>
      <w:r>
        <w:rPr>
          <w:rFonts w:hint="eastAsia" w:ascii="宋体" w:hAnsi="宋体" w:cs="宋体"/>
          <w:sz w:val="22"/>
          <w:szCs w:val="22"/>
          <w:u w:val="single"/>
        </w:rPr>
        <w:t xml:space="preserve"> （企业名称）</w:t>
      </w:r>
      <w:r>
        <w:rPr>
          <w:rFonts w:hint="eastAsia" w:ascii="宋体" w:hAnsi="宋体" w:cs="宋体"/>
          <w:sz w:val="22"/>
          <w:szCs w:val="22"/>
        </w:rPr>
        <w:t xml:space="preserve"> ，从业人员</w:t>
      </w:r>
      <w:r>
        <w:rPr>
          <w:rFonts w:hint="eastAsia" w:ascii="宋体" w:hAnsi="宋体" w:cs="宋体"/>
          <w:sz w:val="22"/>
          <w:szCs w:val="22"/>
          <w:u w:val="single"/>
        </w:rPr>
        <w:t xml:space="preserve">        </w:t>
      </w:r>
      <w:r>
        <w:rPr>
          <w:rFonts w:hint="eastAsia" w:ascii="宋体" w:hAnsi="宋体" w:cs="宋体"/>
          <w:sz w:val="22"/>
          <w:szCs w:val="22"/>
        </w:rPr>
        <w:t>人，营业收入为</w:t>
      </w:r>
      <w:r>
        <w:rPr>
          <w:rFonts w:hint="eastAsia" w:ascii="宋体" w:hAnsi="宋体" w:cs="宋体"/>
          <w:sz w:val="22"/>
          <w:szCs w:val="22"/>
          <w:u w:val="single"/>
        </w:rPr>
        <w:t xml:space="preserve">        </w:t>
      </w:r>
      <w:r>
        <w:rPr>
          <w:rFonts w:hint="eastAsia" w:ascii="宋体" w:hAnsi="宋体" w:cs="宋体"/>
          <w:sz w:val="22"/>
          <w:szCs w:val="22"/>
        </w:rPr>
        <w:t>万元，资产总额为</w:t>
      </w:r>
      <w:r>
        <w:rPr>
          <w:rFonts w:hint="eastAsia" w:ascii="宋体" w:hAnsi="宋体" w:cs="宋体"/>
          <w:sz w:val="22"/>
          <w:szCs w:val="22"/>
          <w:u w:val="single"/>
        </w:rPr>
        <w:t xml:space="preserve">        </w:t>
      </w:r>
      <w:r>
        <w:rPr>
          <w:rFonts w:hint="eastAsia" w:ascii="宋体" w:hAnsi="宋体" w:cs="宋体"/>
          <w:sz w:val="22"/>
          <w:szCs w:val="22"/>
        </w:rPr>
        <w:t xml:space="preserve">万元，属于 </w:t>
      </w:r>
      <w:r>
        <w:rPr>
          <w:rFonts w:hint="eastAsia" w:ascii="宋体" w:hAnsi="宋体" w:cs="宋体"/>
          <w:sz w:val="22"/>
          <w:szCs w:val="22"/>
          <w:u w:val="single"/>
        </w:rPr>
        <w:t xml:space="preserve">（中型企业、小型企业、微型企业） </w:t>
      </w:r>
      <w:r>
        <w:rPr>
          <w:rFonts w:hint="eastAsia" w:ascii="宋体" w:hAnsi="宋体" w:cs="宋体"/>
          <w:sz w:val="22"/>
          <w:szCs w:val="22"/>
        </w:rPr>
        <w:t>；</w:t>
      </w:r>
    </w:p>
    <w:p>
      <w:pPr>
        <w:widowControl/>
        <w:spacing w:before="100" w:beforeAutospacing="1" w:after="100" w:afterAutospacing="1" w:line="440" w:lineRule="atLeast"/>
        <w:ind w:firstLine="440" w:firstLineChars="200"/>
        <w:jc w:val="left"/>
        <w:rPr>
          <w:rFonts w:ascii="宋体" w:hAnsi="宋体" w:cs="宋体"/>
          <w:sz w:val="22"/>
          <w:szCs w:val="22"/>
        </w:rPr>
      </w:pPr>
      <w:r>
        <w:rPr>
          <w:rFonts w:hint="eastAsia" w:ascii="宋体" w:hAnsi="宋体" w:cs="宋体"/>
          <w:sz w:val="22"/>
          <w:szCs w:val="22"/>
        </w:rPr>
        <w:t>……</w:t>
      </w:r>
    </w:p>
    <w:p>
      <w:pPr>
        <w:widowControl/>
        <w:spacing w:before="100" w:beforeAutospacing="1" w:after="100" w:afterAutospacing="1" w:line="440" w:lineRule="atLeast"/>
        <w:ind w:firstLine="440" w:firstLineChars="200"/>
        <w:jc w:val="left"/>
        <w:rPr>
          <w:rFonts w:ascii="宋体" w:hAnsi="宋体" w:cs="宋体"/>
          <w:sz w:val="22"/>
          <w:szCs w:val="22"/>
        </w:rPr>
      </w:pPr>
      <w:r>
        <w:rPr>
          <w:rFonts w:hint="eastAsia" w:ascii="宋体" w:hAnsi="宋体" w:cs="宋体"/>
          <w:sz w:val="22"/>
          <w:szCs w:val="22"/>
        </w:rPr>
        <w:t>以上企业，不属于大企业的分支机构，不存在控股股东为大企业的情形，也不存在与大企业的负责人为同一人的情形。</w:t>
      </w:r>
    </w:p>
    <w:p>
      <w:pPr>
        <w:widowControl/>
        <w:spacing w:before="100" w:beforeAutospacing="1" w:after="100" w:afterAutospacing="1" w:line="440" w:lineRule="atLeast"/>
        <w:ind w:firstLine="440" w:firstLineChars="200"/>
        <w:jc w:val="left"/>
        <w:rPr>
          <w:rFonts w:ascii="宋体" w:hAnsi="宋体" w:cs="宋体"/>
          <w:sz w:val="22"/>
          <w:szCs w:val="22"/>
        </w:rPr>
      </w:pPr>
      <w:r>
        <w:rPr>
          <w:rFonts w:hint="eastAsia" w:ascii="宋体" w:hAnsi="宋体" w:cs="宋体"/>
          <w:sz w:val="22"/>
          <w:szCs w:val="22"/>
        </w:rPr>
        <w:t>本企业对上述声明内容的真实性负责。如有虚假，将依法承担相应责任。</w:t>
      </w:r>
    </w:p>
    <w:p>
      <w:pPr>
        <w:widowControl/>
        <w:spacing w:before="100" w:beforeAutospacing="1" w:after="100" w:afterAutospacing="1" w:line="440" w:lineRule="atLeast"/>
        <w:ind w:firstLine="440" w:firstLineChars="200"/>
        <w:jc w:val="left"/>
        <w:rPr>
          <w:rFonts w:ascii="宋体" w:hAnsi="宋体" w:cs="宋体"/>
          <w:sz w:val="22"/>
          <w:szCs w:val="22"/>
        </w:rPr>
      </w:pPr>
      <w:r>
        <w:rPr>
          <w:rFonts w:hint="eastAsia" w:ascii="宋体" w:hAnsi="宋体" w:cs="宋体"/>
          <w:sz w:val="22"/>
          <w:szCs w:val="22"/>
        </w:rPr>
        <w:t>企业名称（盖章）：</w:t>
      </w:r>
    </w:p>
    <w:p>
      <w:pPr>
        <w:widowControl/>
        <w:spacing w:before="100" w:beforeAutospacing="1" w:after="100" w:afterAutospacing="1" w:line="440" w:lineRule="atLeast"/>
        <w:ind w:firstLine="440" w:firstLineChars="200"/>
        <w:jc w:val="left"/>
        <w:rPr>
          <w:rFonts w:ascii="宋体" w:hAnsi="宋体" w:cs="宋体"/>
          <w:sz w:val="22"/>
          <w:szCs w:val="22"/>
        </w:rPr>
      </w:pPr>
      <w:r>
        <w:rPr>
          <w:rFonts w:hint="eastAsia" w:ascii="宋体" w:hAnsi="宋体" w:cs="宋体"/>
          <w:sz w:val="22"/>
          <w:szCs w:val="22"/>
        </w:rPr>
        <w:t>日 期：</w:t>
      </w:r>
    </w:p>
    <w:p>
      <w:pPr>
        <w:widowControl/>
        <w:jc w:val="left"/>
        <w:rPr>
          <w:rFonts w:ascii="宋体" w:hAnsi="宋体" w:cs="宋体"/>
          <w:sz w:val="22"/>
          <w:szCs w:val="22"/>
        </w:rPr>
      </w:pPr>
      <w:r>
        <w:rPr>
          <w:rFonts w:hint="eastAsia" w:ascii="宋体" w:hAnsi="宋体" w:cs="宋体"/>
          <w:sz w:val="22"/>
          <w:szCs w:val="22"/>
        </w:rPr>
        <w:br w:type="page"/>
      </w:r>
    </w:p>
    <w:p>
      <w:pPr>
        <w:widowControl/>
        <w:spacing w:before="100" w:beforeAutospacing="1" w:after="100" w:afterAutospacing="1" w:line="440" w:lineRule="atLeast"/>
        <w:jc w:val="center"/>
        <w:rPr>
          <w:rFonts w:ascii="宋体" w:hAnsi="宋体" w:cs="宋体"/>
          <w:b/>
          <w:bCs/>
          <w:sz w:val="24"/>
          <w:szCs w:val="24"/>
        </w:rPr>
      </w:pPr>
      <w:r>
        <w:rPr>
          <w:rFonts w:hint="eastAsia" w:ascii="宋体" w:hAnsi="宋体" w:cs="宋体"/>
          <w:b/>
          <w:bCs/>
          <w:sz w:val="24"/>
          <w:szCs w:val="24"/>
        </w:rPr>
        <w:t>中小企业声明函（工程、服务）</w:t>
      </w:r>
    </w:p>
    <w:p>
      <w:pPr>
        <w:widowControl/>
        <w:spacing w:before="100" w:beforeAutospacing="1" w:after="100" w:afterAutospacing="1" w:line="440" w:lineRule="atLeast"/>
        <w:ind w:firstLine="440" w:firstLineChars="200"/>
        <w:jc w:val="left"/>
        <w:rPr>
          <w:rFonts w:ascii="宋体" w:hAnsi="宋体" w:cs="宋体"/>
          <w:sz w:val="22"/>
          <w:szCs w:val="22"/>
        </w:rPr>
      </w:pPr>
      <w:r>
        <w:rPr>
          <w:rFonts w:hint="eastAsia" w:ascii="宋体" w:hAnsi="宋体" w:cs="宋体"/>
          <w:sz w:val="22"/>
          <w:szCs w:val="22"/>
        </w:rPr>
        <w:t>本公司（联合体）郑重声明，根据《政府采购促进中小企业发展管理办法》（财库﹝2020﹞46 号）的规定，本公司（联合体）参加</w:t>
      </w:r>
      <w:r>
        <w:rPr>
          <w:rFonts w:hint="eastAsia" w:ascii="宋体" w:hAnsi="宋体" w:cs="宋体"/>
          <w:sz w:val="22"/>
          <w:szCs w:val="22"/>
          <w:u w:val="single"/>
        </w:rPr>
        <w:t xml:space="preserve"> （单位名称）</w:t>
      </w:r>
      <w:r>
        <w:rPr>
          <w:rFonts w:hint="eastAsia" w:ascii="宋体" w:hAnsi="宋体" w:cs="宋体"/>
          <w:sz w:val="22"/>
          <w:szCs w:val="22"/>
        </w:rPr>
        <w:t xml:space="preserve"> 的 </w:t>
      </w:r>
      <w:r>
        <w:rPr>
          <w:rFonts w:hint="eastAsia" w:ascii="宋体" w:hAnsi="宋体" w:cs="宋体"/>
          <w:sz w:val="22"/>
          <w:szCs w:val="22"/>
          <w:u w:val="single"/>
        </w:rPr>
        <w:t>（项目名称）</w:t>
      </w:r>
      <w:r>
        <w:rPr>
          <w:rFonts w:hint="eastAsia" w:ascii="宋体" w:hAnsi="宋体" w:cs="宋体"/>
          <w:sz w:val="22"/>
          <w:szCs w:val="22"/>
        </w:rPr>
        <w:t xml:space="preserve"> 采购活动，工程的施工单位全部为符合政策要求的中小企业（或者：服务全部由符合政策要求的中小企业承接）。相关企业（含联合体中的中小企业、签订分包意向协议的中小企业）的具体情况如下：</w:t>
      </w:r>
    </w:p>
    <w:p>
      <w:pPr>
        <w:widowControl/>
        <w:spacing w:before="100" w:beforeAutospacing="1" w:after="100" w:afterAutospacing="1" w:line="440" w:lineRule="atLeast"/>
        <w:ind w:firstLine="440" w:firstLineChars="200"/>
        <w:jc w:val="left"/>
        <w:rPr>
          <w:rFonts w:ascii="宋体" w:hAnsi="宋体" w:cs="宋体"/>
          <w:sz w:val="22"/>
          <w:szCs w:val="22"/>
        </w:rPr>
      </w:pPr>
      <w:r>
        <w:rPr>
          <w:rFonts w:hint="eastAsia" w:ascii="宋体" w:hAnsi="宋体" w:cs="宋体"/>
          <w:sz w:val="22"/>
          <w:szCs w:val="22"/>
        </w:rPr>
        <w:t xml:space="preserve">1. </w:t>
      </w:r>
      <w:r>
        <w:rPr>
          <w:rFonts w:hint="eastAsia" w:ascii="宋体" w:hAnsi="宋体" w:cs="宋体"/>
          <w:sz w:val="22"/>
          <w:szCs w:val="22"/>
          <w:u w:val="single"/>
        </w:rPr>
        <w:t xml:space="preserve">（标的名称） </w:t>
      </w:r>
      <w:r>
        <w:rPr>
          <w:rFonts w:hint="eastAsia" w:ascii="宋体" w:hAnsi="宋体" w:cs="宋体"/>
          <w:sz w:val="22"/>
          <w:szCs w:val="22"/>
        </w:rPr>
        <w:t>，属于</w:t>
      </w:r>
      <w:r>
        <w:rPr>
          <w:rFonts w:hint="eastAsia" w:ascii="宋体" w:hAnsi="宋体" w:cs="宋体"/>
          <w:sz w:val="22"/>
          <w:szCs w:val="22"/>
          <w:u w:val="single"/>
        </w:rPr>
        <w:t>其他未列明服务业行业</w:t>
      </w:r>
      <w:r>
        <w:rPr>
          <w:rFonts w:hint="eastAsia" w:ascii="宋体" w:hAnsi="宋体" w:cs="宋体"/>
          <w:sz w:val="22"/>
          <w:szCs w:val="22"/>
        </w:rPr>
        <w:t xml:space="preserve"> ；承建（承接）企业为 </w:t>
      </w:r>
      <w:r>
        <w:rPr>
          <w:rFonts w:hint="eastAsia" w:ascii="宋体" w:hAnsi="宋体" w:cs="宋体"/>
          <w:sz w:val="22"/>
          <w:szCs w:val="22"/>
          <w:u w:val="single"/>
        </w:rPr>
        <w:t xml:space="preserve">（企业名称） </w:t>
      </w:r>
      <w:r>
        <w:rPr>
          <w:rFonts w:hint="eastAsia" w:ascii="宋体" w:hAnsi="宋体" w:cs="宋体"/>
          <w:sz w:val="22"/>
          <w:szCs w:val="22"/>
        </w:rPr>
        <w:t>，从业人员</w:t>
      </w:r>
      <w:r>
        <w:rPr>
          <w:rFonts w:hint="eastAsia" w:ascii="宋体" w:hAnsi="宋体" w:cs="宋体"/>
          <w:sz w:val="22"/>
          <w:szCs w:val="22"/>
          <w:u w:val="single"/>
        </w:rPr>
        <w:t xml:space="preserve">        </w:t>
      </w:r>
      <w:r>
        <w:rPr>
          <w:rFonts w:hint="eastAsia" w:ascii="宋体" w:hAnsi="宋体" w:cs="宋体"/>
          <w:sz w:val="22"/>
          <w:szCs w:val="22"/>
        </w:rPr>
        <w:t>人，营业收入为</w:t>
      </w:r>
      <w:r>
        <w:rPr>
          <w:rFonts w:hint="eastAsia" w:ascii="宋体" w:hAnsi="宋体" w:cs="宋体"/>
          <w:sz w:val="22"/>
          <w:szCs w:val="22"/>
          <w:u w:val="single"/>
        </w:rPr>
        <w:t xml:space="preserve">        </w:t>
      </w:r>
      <w:r>
        <w:rPr>
          <w:rFonts w:hint="eastAsia" w:ascii="宋体" w:hAnsi="宋体" w:cs="宋体"/>
          <w:sz w:val="22"/>
          <w:szCs w:val="22"/>
        </w:rPr>
        <w:t>万元，资产总额为</w:t>
      </w:r>
      <w:r>
        <w:rPr>
          <w:rFonts w:hint="eastAsia" w:ascii="宋体" w:hAnsi="宋体" w:cs="宋体"/>
          <w:sz w:val="22"/>
          <w:szCs w:val="22"/>
          <w:u w:val="single"/>
        </w:rPr>
        <w:t xml:space="preserve">        </w:t>
      </w:r>
      <w:r>
        <w:rPr>
          <w:rFonts w:hint="eastAsia" w:ascii="宋体" w:hAnsi="宋体" w:cs="宋体"/>
          <w:sz w:val="22"/>
          <w:szCs w:val="22"/>
        </w:rPr>
        <w:t>万元 ，属于</w:t>
      </w:r>
      <w:r>
        <w:rPr>
          <w:rFonts w:hint="eastAsia" w:ascii="宋体" w:hAnsi="宋体" w:cs="宋体"/>
          <w:sz w:val="22"/>
          <w:szCs w:val="22"/>
          <w:u w:val="single"/>
        </w:rPr>
        <w:t xml:space="preserve"> （中型企业、小型企业、微型企业） </w:t>
      </w:r>
      <w:r>
        <w:rPr>
          <w:rFonts w:hint="eastAsia" w:ascii="宋体" w:hAnsi="宋体" w:cs="宋体"/>
          <w:sz w:val="22"/>
          <w:szCs w:val="22"/>
        </w:rPr>
        <w:t>；</w:t>
      </w:r>
    </w:p>
    <w:p>
      <w:pPr>
        <w:widowControl/>
        <w:spacing w:before="100" w:beforeAutospacing="1" w:after="100" w:afterAutospacing="1" w:line="440" w:lineRule="atLeast"/>
        <w:ind w:firstLine="440" w:firstLineChars="200"/>
        <w:jc w:val="left"/>
        <w:rPr>
          <w:rFonts w:ascii="宋体" w:hAnsi="宋体" w:cs="宋体"/>
          <w:sz w:val="22"/>
          <w:szCs w:val="22"/>
        </w:rPr>
      </w:pPr>
      <w:r>
        <w:rPr>
          <w:rFonts w:hint="eastAsia" w:ascii="宋体" w:hAnsi="宋体" w:cs="宋体"/>
          <w:sz w:val="22"/>
          <w:szCs w:val="22"/>
        </w:rPr>
        <w:t xml:space="preserve">2. </w:t>
      </w:r>
      <w:r>
        <w:rPr>
          <w:rFonts w:hint="eastAsia" w:ascii="宋体" w:hAnsi="宋体" w:cs="宋体"/>
          <w:sz w:val="22"/>
          <w:szCs w:val="22"/>
          <w:u w:val="single"/>
        </w:rPr>
        <w:t>（标的名称）</w:t>
      </w:r>
      <w:r>
        <w:rPr>
          <w:rFonts w:hint="eastAsia" w:ascii="宋体" w:hAnsi="宋体" w:cs="宋体"/>
          <w:sz w:val="22"/>
          <w:szCs w:val="22"/>
        </w:rPr>
        <w:t xml:space="preserve"> ，属于</w:t>
      </w:r>
      <w:r>
        <w:rPr>
          <w:rFonts w:hint="eastAsia" w:ascii="宋体" w:hAnsi="宋体" w:cs="宋体"/>
          <w:sz w:val="22"/>
          <w:szCs w:val="22"/>
          <w:u w:val="single"/>
        </w:rPr>
        <w:t xml:space="preserve">其他未列明服务业行业 </w:t>
      </w:r>
      <w:r>
        <w:rPr>
          <w:rFonts w:hint="eastAsia" w:ascii="宋体" w:hAnsi="宋体" w:cs="宋体"/>
          <w:sz w:val="22"/>
          <w:szCs w:val="22"/>
        </w:rPr>
        <w:t>；承建（承接）企业为</w:t>
      </w:r>
      <w:r>
        <w:rPr>
          <w:rFonts w:hint="eastAsia" w:ascii="宋体" w:hAnsi="宋体" w:cs="宋体"/>
          <w:sz w:val="22"/>
          <w:szCs w:val="22"/>
          <w:u w:val="single"/>
        </w:rPr>
        <w:t xml:space="preserve"> （企业名称）</w:t>
      </w:r>
      <w:r>
        <w:rPr>
          <w:rFonts w:hint="eastAsia" w:ascii="宋体" w:hAnsi="宋体" w:cs="宋体"/>
          <w:sz w:val="22"/>
          <w:szCs w:val="22"/>
        </w:rPr>
        <w:t xml:space="preserve"> ，从业人员</w:t>
      </w:r>
      <w:r>
        <w:rPr>
          <w:rFonts w:hint="eastAsia" w:ascii="宋体" w:hAnsi="宋体" w:cs="宋体"/>
          <w:sz w:val="22"/>
          <w:szCs w:val="22"/>
          <w:u w:val="single"/>
        </w:rPr>
        <w:t xml:space="preserve">        </w:t>
      </w:r>
      <w:r>
        <w:rPr>
          <w:rFonts w:hint="eastAsia" w:ascii="宋体" w:hAnsi="宋体" w:cs="宋体"/>
          <w:sz w:val="22"/>
          <w:szCs w:val="22"/>
        </w:rPr>
        <w:t>人，营业收入为</w:t>
      </w:r>
      <w:r>
        <w:rPr>
          <w:rFonts w:hint="eastAsia" w:ascii="宋体" w:hAnsi="宋体" w:cs="宋体"/>
          <w:sz w:val="22"/>
          <w:szCs w:val="22"/>
          <w:u w:val="single"/>
        </w:rPr>
        <w:t xml:space="preserve">        </w:t>
      </w:r>
      <w:r>
        <w:rPr>
          <w:rFonts w:hint="eastAsia" w:ascii="宋体" w:hAnsi="宋体" w:cs="宋体"/>
          <w:sz w:val="22"/>
          <w:szCs w:val="22"/>
        </w:rPr>
        <w:t>万元，资产总额为</w:t>
      </w:r>
      <w:r>
        <w:rPr>
          <w:rFonts w:hint="eastAsia" w:ascii="宋体" w:hAnsi="宋体" w:cs="宋体"/>
          <w:sz w:val="22"/>
          <w:szCs w:val="22"/>
          <w:u w:val="single"/>
        </w:rPr>
        <w:t xml:space="preserve">        </w:t>
      </w:r>
      <w:r>
        <w:rPr>
          <w:rFonts w:hint="eastAsia" w:ascii="宋体" w:hAnsi="宋体" w:cs="宋体"/>
          <w:sz w:val="22"/>
          <w:szCs w:val="22"/>
        </w:rPr>
        <w:t xml:space="preserve">万元，属于 </w:t>
      </w:r>
      <w:r>
        <w:rPr>
          <w:rFonts w:hint="eastAsia" w:ascii="宋体" w:hAnsi="宋体" w:cs="宋体"/>
          <w:sz w:val="22"/>
          <w:szCs w:val="22"/>
          <w:u w:val="single"/>
        </w:rPr>
        <w:t>（中型企业、小型企业、微型企业）</w:t>
      </w:r>
      <w:r>
        <w:rPr>
          <w:rFonts w:hint="eastAsia" w:ascii="宋体" w:hAnsi="宋体" w:cs="宋体"/>
          <w:sz w:val="22"/>
          <w:szCs w:val="22"/>
        </w:rPr>
        <w:t xml:space="preserve"> ；</w:t>
      </w:r>
    </w:p>
    <w:p>
      <w:pPr>
        <w:widowControl/>
        <w:spacing w:before="100" w:beforeAutospacing="1" w:after="100" w:afterAutospacing="1" w:line="440" w:lineRule="atLeast"/>
        <w:ind w:firstLine="440" w:firstLineChars="200"/>
        <w:jc w:val="left"/>
        <w:rPr>
          <w:rFonts w:ascii="宋体" w:hAnsi="宋体" w:cs="宋体"/>
          <w:sz w:val="22"/>
          <w:szCs w:val="22"/>
        </w:rPr>
      </w:pPr>
      <w:r>
        <w:rPr>
          <w:rFonts w:hint="eastAsia" w:ascii="宋体" w:hAnsi="宋体" w:cs="宋体"/>
          <w:sz w:val="22"/>
          <w:szCs w:val="22"/>
        </w:rPr>
        <w:t>……</w:t>
      </w:r>
    </w:p>
    <w:p>
      <w:pPr>
        <w:widowControl/>
        <w:spacing w:before="100" w:beforeAutospacing="1" w:after="100" w:afterAutospacing="1" w:line="440" w:lineRule="atLeast"/>
        <w:ind w:firstLine="440" w:firstLineChars="200"/>
        <w:jc w:val="left"/>
        <w:rPr>
          <w:rFonts w:ascii="宋体" w:hAnsi="宋体" w:cs="宋体"/>
          <w:sz w:val="22"/>
          <w:szCs w:val="22"/>
        </w:rPr>
      </w:pPr>
      <w:r>
        <w:rPr>
          <w:rFonts w:hint="eastAsia" w:ascii="宋体" w:hAnsi="宋体" w:cs="宋体"/>
          <w:sz w:val="22"/>
          <w:szCs w:val="22"/>
        </w:rPr>
        <w:t>以上企业，不属于大企业的分支机构，不存在控股股东为大企业的情形，也不存在与大企业的负责人为同一人的情形。</w:t>
      </w:r>
    </w:p>
    <w:p>
      <w:pPr>
        <w:widowControl/>
        <w:spacing w:before="100" w:beforeAutospacing="1" w:after="100" w:afterAutospacing="1" w:line="440" w:lineRule="atLeast"/>
        <w:ind w:firstLine="440" w:firstLineChars="200"/>
        <w:jc w:val="left"/>
        <w:rPr>
          <w:rFonts w:ascii="宋体" w:hAnsi="宋体" w:cs="宋体"/>
          <w:sz w:val="22"/>
          <w:szCs w:val="22"/>
        </w:rPr>
      </w:pPr>
      <w:r>
        <w:rPr>
          <w:rFonts w:hint="eastAsia" w:ascii="宋体" w:hAnsi="宋体" w:cs="宋体"/>
          <w:sz w:val="22"/>
          <w:szCs w:val="22"/>
        </w:rPr>
        <w:t>本企业对上述声明内容的真实性负责。如有虚假，将依法承担相应责任。</w:t>
      </w:r>
    </w:p>
    <w:p>
      <w:pPr>
        <w:widowControl/>
        <w:spacing w:before="100" w:beforeAutospacing="1" w:after="100" w:afterAutospacing="1" w:line="440" w:lineRule="atLeast"/>
        <w:ind w:firstLine="440" w:firstLineChars="200"/>
        <w:jc w:val="left"/>
        <w:rPr>
          <w:rFonts w:ascii="宋体" w:hAnsi="宋体" w:cs="宋体"/>
          <w:sz w:val="22"/>
          <w:szCs w:val="22"/>
        </w:rPr>
      </w:pPr>
      <w:r>
        <w:rPr>
          <w:rFonts w:hint="eastAsia" w:ascii="宋体" w:hAnsi="宋体" w:cs="宋体"/>
          <w:sz w:val="22"/>
          <w:szCs w:val="22"/>
        </w:rPr>
        <w:t>企业名称（盖章）：</w:t>
      </w:r>
    </w:p>
    <w:p>
      <w:pPr>
        <w:widowControl/>
        <w:spacing w:before="100" w:beforeAutospacing="1" w:after="100" w:afterAutospacing="1" w:line="440" w:lineRule="atLeast"/>
        <w:ind w:firstLine="440" w:firstLineChars="200"/>
        <w:jc w:val="left"/>
        <w:rPr>
          <w:rFonts w:ascii="宋体" w:hAnsi="宋体" w:cs="宋体"/>
          <w:b/>
          <w:bCs/>
          <w:sz w:val="24"/>
          <w:szCs w:val="24"/>
        </w:rPr>
      </w:pPr>
      <w:r>
        <w:rPr>
          <w:rFonts w:hint="eastAsia" w:ascii="宋体" w:hAnsi="宋体" w:cs="宋体"/>
          <w:sz w:val="22"/>
          <w:szCs w:val="22"/>
        </w:rPr>
        <w:t>日 期：            　　　　</w:t>
      </w:r>
      <w:r>
        <w:rPr>
          <w:rFonts w:hint="eastAsia" w:ascii="宋体" w:hAnsi="宋体" w:cs="宋体"/>
          <w:b/>
          <w:bCs/>
          <w:sz w:val="24"/>
          <w:szCs w:val="24"/>
        </w:rPr>
        <w:t>　</w:t>
      </w:r>
    </w:p>
    <w:p>
      <w:pPr>
        <w:spacing w:line="440" w:lineRule="atLeast"/>
        <w:rPr>
          <w:rFonts w:ascii="宋体" w:hAnsi="宋体" w:cs="宋体"/>
          <w:b/>
          <w:bCs/>
          <w:sz w:val="24"/>
          <w:szCs w:val="24"/>
        </w:rPr>
      </w:pPr>
    </w:p>
    <w:p>
      <w:pPr>
        <w:widowControl/>
        <w:spacing w:before="100" w:beforeAutospacing="1" w:after="100" w:afterAutospacing="1" w:line="440" w:lineRule="atLeast"/>
        <w:jc w:val="left"/>
        <w:rPr>
          <w:rFonts w:ascii="宋体" w:hAnsi="宋体" w:cs="宋体"/>
          <w:b/>
          <w:bCs/>
          <w:sz w:val="24"/>
          <w:szCs w:val="24"/>
        </w:rPr>
      </w:pPr>
      <w:r>
        <w:rPr>
          <w:rFonts w:hint="eastAsia" w:ascii="宋体" w:hAnsi="宋体" w:cs="宋体"/>
          <w:b/>
          <w:bCs/>
          <w:sz w:val="24"/>
          <w:szCs w:val="24"/>
        </w:rPr>
        <w:t>注：1 从业人员、营业收入、资产总额填报上一年度数据，无上一年度数据的新成立企业可不填报。</w:t>
      </w:r>
      <w:r>
        <w:rPr>
          <w:rFonts w:hint="eastAsia" w:ascii="宋体" w:hAnsi="宋体" w:cs="宋体"/>
          <w:sz w:val="22"/>
          <w:szCs w:val="22"/>
        </w:rPr>
        <w:t>                  　　　　</w:t>
      </w:r>
      <w:r>
        <w:rPr>
          <w:rFonts w:hint="eastAsia" w:ascii="宋体" w:hAnsi="宋体" w:cs="宋体"/>
          <w:b/>
          <w:bCs/>
          <w:sz w:val="24"/>
          <w:szCs w:val="24"/>
        </w:rPr>
        <w:t>　</w:t>
      </w:r>
    </w:p>
    <w:p>
      <w:pPr>
        <w:spacing w:line="440" w:lineRule="atLeast"/>
        <w:rPr>
          <w:rFonts w:ascii="宋体" w:hAnsi="宋体" w:cs="宋体"/>
          <w:b/>
          <w:bCs/>
          <w:sz w:val="24"/>
          <w:szCs w:val="24"/>
        </w:rPr>
      </w:pPr>
    </w:p>
    <w:p>
      <w:pPr>
        <w:widowControl/>
        <w:spacing w:before="100" w:beforeAutospacing="1" w:after="100" w:afterAutospacing="1" w:line="440" w:lineRule="atLeast"/>
        <w:jc w:val="left"/>
        <w:rPr>
          <w:rFonts w:ascii="宋体" w:hAnsi="宋体" w:cs="宋体"/>
          <w:b/>
          <w:bCs/>
          <w:sz w:val="24"/>
          <w:szCs w:val="24"/>
        </w:rPr>
      </w:pPr>
    </w:p>
    <w:p>
      <w:pPr>
        <w:widowControl/>
        <w:spacing w:before="100" w:beforeAutospacing="1" w:after="100" w:afterAutospacing="1" w:line="440" w:lineRule="atLeast"/>
        <w:jc w:val="left"/>
        <w:rPr>
          <w:rFonts w:ascii="宋体" w:hAnsi="宋体" w:cs="宋体"/>
          <w:b/>
          <w:bCs/>
          <w:sz w:val="24"/>
          <w:szCs w:val="24"/>
        </w:rPr>
      </w:pPr>
      <w:r>
        <w:rPr>
          <w:rFonts w:hint="eastAsia" w:ascii="宋体" w:hAnsi="宋体" w:cs="宋体"/>
          <w:b/>
          <w:bCs/>
          <w:sz w:val="24"/>
          <w:szCs w:val="24"/>
        </w:rPr>
        <w:br w:type="page"/>
      </w:r>
      <w:r>
        <w:rPr>
          <w:rFonts w:hint="eastAsia" w:ascii="宋体" w:hAnsi="宋体" w:cs="宋体"/>
          <w:b/>
          <w:bCs/>
          <w:sz w:val="24"/>
          <w:szCs w:val="24"/>
        </w:rPr>
        <w:t>附件2</w:t>
      </w:r>
    </w:p>
    <w:p>
      <w:pPr>
        <w:widowControl/>
        <w:spacing w:before="100" w:beforeAutospacing="1" w:after="100" w:afterAutospacing="1" w:line="440" w:lineRule="atLeast"/>
        <w:jc w:val="center"/>
        <w:rPr>
          <w:rFonts w:ascii="宋体" w:hAnsi="宋体" w:cs="宋体"/>
          <w:b/>
          <w:bCs/>
          <w:sz w:val="24"/>
          <w:szCs w:val="24"/>
        </w:rPr>
      </w:pPr>
      <w:bookmarkStart w:id="69" w:name="OLE_LINK13"/>
      <w:bookmarkStart w:id="70" w:name="OLE_LINK14"/>
      <w:r>
        <w:rPr>
          <w:rFonts w:hint="eastAsia" w:ascii="宋体" w:hAnsi="宋体" w:cs="宋体"/>
          <w:b/>
          <w:bCs/>
          <w:sz w:val="24"/>
          <w:szCs w:val="24"/>
        </w:rPr>
        <w:t>残疾人福利性单位声明函</w:t>
      </w:r>
    </w:p>
    <w:bookmarkEnd w:id="69"/>
    <w:bookmarkEnd w:id="70"/>
    <w:p>
      <w:pPr>
        <w:spacing w:line="588" w:lineRule="exact"/>
        <w:rPr>
          <w:rFonts w:ascii="宋体" w:hAnsi="宋体" w:cs="宋体"/>
          <w:b/>
          <w:bCs/>
          <w:spacing w:val="6"/>
          <w:sz w:val="30"/>
          <w:szCs w:val="30"/>
        </w:rPr>
      </w:pPr>
    </w:p>
    <w:p>
      <w:pPr>
        <w:spacing w:line="588" w:lineRule="exact"/>
        <w:ind w:firstLine="464" w:firstLineChars="200"/>
        <w:rPr>
          <w:rFonts w:ascii="宋体" w:hAnsi="宋体" w:cs="宋体"/>
          <w:spacing w:val="6"/>
          <w:sz w:val="22"/>
          <w:szCs w:val="22"/>
        </w:rPr>
      </w:pPr>
      <w:r>
        <w:rPr>
          <w:rFonts w:hint="eastAsia" w:ascii="宋体" w:hAnsi="宋体" w:cs="宋体"/>
          <w:spacing w:val="6"/>
          <w:sz w:val="22"/>
          <w:szCs w:val="22"/>
        </w:rPr>
        <w:t>本单位郑重声明，根据《财政部 民政部 中国残疾人联合会关于促进残疾人就业政府采购政策的通知》（财库</w:t>
      </w:r>
      <w:r>
        <w:rPr>
          <w:rFonts w:hint="eastAsia" w:ascii="宋体" w:hAnsi="宋体" w:cs="宋体"/>
          <w:sz w:val="22"/>
          <w:szCs w:val="22"/>
        </w:rPr>
        <w:t>〔2017〕 141</w:t>
      </w:r>
      <w:r>
        <w:rPr>
          <w:rFonts w:hint="eastAsia" w:ascii="宋体" w:hAnsi="宋体" w:cs="宋体"/>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64" w:firstLineChars="200"/>
        <w:rPr>
          <w:rFonts w:ascii="宋体" w:hAnsi="宋体" w:cs="宋体"/>
          <w:spacing w:val="6"/>
          <w:sz w:val="22"/>
          <w:szCs w:val="22"/>
        </w:rPr>
      </w:pPr>
      <w:r>
        <w:rPr>
          <w:rFonts w:hint="eastAsia" w:ascii="宋体" w:hAnsi="宋体" w:cs="宋体"/>
          <w:spacing w:val="6"/>
          <w:sz w:val="22"/>
          <w:szCs w:val="22"/>
        </w:rPr>
        <w:t>本单位对上述声明的真实性负责。如有虚假，将依法承担相应责任。</w:t>
      </w:r>
    </w:p>
    <w:p>
      <w:pPr>
        <w:spacing w:line="588" w:lineRule="exact"/>
        <w:ind w:firstLine="464" w:firstLineChars="200"/>
        <w:rPr>
          <w:rFonts w:ascii="宋体" w:hAnsi="宋体" w:cs="宋体"/>
          <w:spacing w:val="6"/>
          <w:sz w:val="22"/>
          <w:szCs w:val="22"/>
        </w:rPr>
      </w:pPr>
    </w:p>
    <w:p>
      <w:pPr>
        <w:tabs>
          <w:tab w:val="left" w:pos="4860"/>
        </w:tabs>
        <w:spacing w:line="588" w:lineRule="exact"/>
        <w:ind w:right="1560" w:firstLine="464" w:firstLineChars="200"/>
        <w:rPr>
          <w:rFonts w:ascii="宋体" w:hAnsi="宋体" w:cs="宋体"/>
          <w:spacing w:val="6"/>
          <w:sz w:val="22"/>
          <w:szCs w:val="22"/>
        </w:rPr>
      </w:pPr>
    </w:p>
    <w:p>
      <w:pPr>
        <w:tabs>
          <w:tab w:val="left" w:pos="4860"/>
        </w:tabs>
        <w:spacing w:line="588" w:lineRule="exact"/>
        <w:ind w:right="1560" w:firstLine="464" w:firstLineChars="200"/>
        <w:rPr>
          <w:rFonts w:ascii="宋体" w:hAnsi="宋体" w:cs="宋体"/>
          <w:spacing w:val="6"/>
          <w:sz w:val="22"/>
          <w:szCs w:val="22"/>
        </w:rPr>
      </w:pPr>
      <w:r>
        <w:rPr>
          <w:rFonts w:hint="eastAsia" w:ascii="宋体" w:hAnsi="宋体" w:cs="宋体"/>
          <w:spacing w:val="6"/>
          <w:sz w:val="22"/>
          <w:szCs w:val="22"/>
        </w:rPr>
        <w:t>供应商全称（盖章）：</w:t>
      </w:r>
    </w:p>
    <w:p>
      <w:pPr>
        <w:tabs>
          <w:tab w:val="left" w:pos="4860"/>
        </w:tabs>
        <w:spacing w:line="588" w:lineRule="exact"/>
        <w:ind w:right="1560" w:firstLine="464" w:firstLineChars="200"/>
        <w:rPr>
          <w:rFonts w:ascii="宋体" w:hAnsi="宋体" w:cs="宋体"/>
          <w:spacing w:val="6"/>
          <w:sz w:val="22"/>
          <w:szCs w:val="22"/>
        </w:rPr>
      </w:pPr>
      <w:r>
        <w:rPr>
          <w:rFonts w:hint="eastAsia" w:ascii="宋体" w:hAnsi="宋体" w:cs="宋体"/>
          <w:spacing w:val="6"/>
          <w:sz w:val="22"/>
          <w:szCs w:val="22"/>
        </w:rPr>
        <w:t>日  期：</w:t>
      </w:r>
    </w:p>
    <w:p>
      <w:pPr>
        <w:tabs>
          <w:tab w:val="left" w:pos="4860"/>
        </w:tabs>
        <w:spacing w:line="588" w:lineRule="exact"/>
        <w:ind w:right="1560" w:firstLine="464" w:firstLineChars="200"/>
        <w:jc w:val="center"/>
        <w:rPr>
          <w:rFonts w:ascii="宋体" w:hAnsi="宋体" w:cs="宋体"/>
          <w:spacing w:val="6"/>
          <w:sz w:val="22"/>
          <w:szCs w:val="22"/>
        </w:rPr>
      </w:pPr>
    </w:p>
    <w:p>
      <w:pPr>
        <w:tabs>
          <w:tab w:val="left" w:pos="4860"/>
        </w:tabs>
        <w:spacing w:line="588" w:lineRule="exact"/>
        <w:ind w:right="1560" w:firstLine="464" w:firstLineChars="200"/>
        <w:jc w:val="center"/>
        <w:rPr>
          <w:rFonts w:ascii="宋体" w:hAnsi="宋体" w:cs="宋体"/>
          <w:spacing w:val="6"/>
          <w:sz w:val="22"/>
          <w:szCs w:val="22"/>
        </w:rPr>
      </w:pPr>
    </w:p>
    <w:p>
      <w:pPr>
        <w:tabs>
          <w:tab w:val="left" w:pos="4860"/>
        </w:tabs>
        <w:spacing w:line="588" w:lineRule="exact"/>
        <w:ind w:right="1560"/>
        <w:jc w:val="left"/>
        <w:rPr>
          <w:rFonts w:ascii="宋体" w:hAnsi="宋体" w:cs="宋体"/>
          <w:b/>
          <w:bCs/>
          <w:sz w:val="22"/>
          <w:szCs w:val="22"/>
        </w:rPr>
      </w:pPr>
      <w:r>
        <w:rPr>
          <w:rFonts w:hint="eastAsia" w:ascii="宋体" w:hAnsi="宋体" w:cs="宋体"/>
          <w:b/>
          <w:bCs/>
          <w:sz w:val="22"/>
          <w:szCs w:val="22"/>
        </w:rPr>
        <w:t>备注说明：</w:t>
      </w:r>
    </w:p>
    <w:p>
      <w:pPr>
        <w:tabs>
          <w:tab w:val="left" w:pos="4860"/>
        </w:tabs>
        <w:spacing w:line="588" w:lineRule="exact"/>
        <w:ind w:right="1560"/>
        <w:jc w:val="left"/>
        <w:rPr>
          <w:rFonts w:ascii="宋体" w:hAnsi="宋体" w:cs="宋体"/>
          <w:b/>
          <w:bCs/>
          <w:sz w:val="22"/>
          <w:szCs w:val="22"/>
        </w:rPr>
      </w:pPr>
      <w:r>
        <w:rPr>
          <w:rFonts w:hint="eastAsia" w:ascii="宋体" w:hAnsi="宋体" w:cs="宋体"/>
          <w:b/>
          <w:bCs/>
          <w:sz w:val="22"/>
          <w:szCs w:val="22"/>
        </w:rPr>
        <w:t>1、如中标，将在中标公示中将此声明函予以公示，接受社会监督；</w:t>
      </w:r>
    </w:p>
    <w:p>
      <w:pPr>
        <w:autoSpaceDE w:val="0"/>
        <w:autoSpaceDN w:val="0"/>
        <w:adjustRightInd w:val="0"/>
        <w:spacing w:line="460" w:lineRule="atLeast"/>
        <w:textAlignment w:val="bottom"/>
        <w:rPr>
          <w:rFonts w:ascii="宋体" w:hAnsi="宋体" w:cs="宋体"/>
          <w:sz w:val="22"/>
          <w:szCs w:val="22"/>
        </w:rPr>
      </w:pPr>
      <w:r>
        <w:rPr>
          <w:rFonts w:hint="eastAsia" w:ascii="宋体" w:hAnsi="宋体" w:cs="宋体"/>
          <w:b/>
          <w:bCs/>
          <w:sz w:val="22"/>
          <w:szCs w:val="22"/>
        </w:rPr>
        <w:t>2、投标人提供的《残疾人福利性单位声明函》与事实不符的，依照《政府采购法》第七十七条第一款的规定追究法律责任。</w:t>
      </w:r>
    </w:p>
    <w:p>
      <w:pPr>
        <w:spacing w:line="360" w:lineRule="auto"/>
        <w:outlineLvl w:val="0"/>
        <w:rPr>
          <w:rFonts w:ascii="宋体" w:hAnsi="宋体" w:cs="宋体"/>
          <w:b/>
          <w:bCs/>
          <w:sz w:val="28"/>
          <w:szCs w:val="28"/>
        </w:rPr>
      </w:pPr>
    </w:p>
    <w:p>
      <w:pPr>
        <w:pStyle w:val="23"/>
        <w:rPr>
          <w:rFonts w:ascii="宋体" w:hAnsi="宋体" w:cs="宋体"/>
          <w:sz w:val="30"/>
          <w:szCs w:val="30"/>
        </w:rPr>
      </w:pPr>
      <w:bookmarkStart w:id="71" w:name="_Toc498343170"/>
    </w:p>
    <w:p>
      <w:pPr>
        <w:pStyle w:val="23"/>
        <w:rPr>
          <w:rFonts w:ascii="宋体" w:hAnsi="宋体" w:cs="宋体"/>
        </w:rPr>
      </w:pPr>
      <w:r>
        <w:rPr>
          <w:rFonts w:hint="eastAsia" w:ascii="宋体" w:hAnsi="宋体" w:cs="宋体"/>
          <w:sz w:val="30"/>
          <w:szCs w:val="30"/>
        </w:rPr>
        <w:br w:type="page"/>
      </w:r>
      <w:bookmarkStart w:id="72" w:name="_Toc73091437"/>
      <w:r>
        <w:rPr>
          <w:rFonts w:hint="eastAsia" w:ascii="宋体" w:hAnsi="宋体" w:cs="宋体"/>
          <w:sz w:val="30"/>
          <w:szCs w:val="30"/>
        </w:rPr>
        <w:t>第五部分   合同格式（仅供参考）</w:t>
      </w:r>
      <w:bookmarkEnd w:id="72"/>
    </w:p>
    <w:p>
      <w:pPr>
        <w:pStyle w:val="23"/>
        <w:rPr>
          <w:rFonts w:ascii="宋体" w:hAnsi="宋体" w:cs="宋体"/>
          <w:sz w:val="36"/>
        </w:rPr>
      </w:pPr>
      <w:bookmarkStart w:id="73" w:name="_Toc73091438"/>
      <w:bookmarkStart w:id="74" w:name="_Toc61444206"/>
      <w:r>
        <w:rPr>
          <w:rFonts w:hint="eastAsia" w:ascii="宋体" w:hAnsi="宋体" w:cs="宋体"/>
          <w:b w:val="0"/>
          <w:sz w:val="22"/>
          <w:szCs w:val="22"/>
        </w:rPr>
        <w:t>合同编号  ：</w:t>
      </w:r>
      <w:bookmarkEnd w:id="73"/>
      <w:bookmarkEnd w:id="74"/>
    </w:p>
    <w:p>
      <w:pPr>
        <w:pStyle w:val="82"/>
        <w:snapToGrid w:val="0"/>
        <w:spacing w:line="400" w:lineRule="atLeast"/>
        <w:rPr>
          <w:rFonts w:hAnsi="宋体"/>
          <w:sz w:val="22"/>
          <w:u w:val="single"/>
        </w:rPr>
      </w:pPr>
      <w:r>
        <w:rPr>
          <w:rFonts w:hint="eastAsia" w:hAnsi="宋体"/>
          <w:sz w:val="22"/>
        </w:rPr>
        <w:t>甲方</w:t>
      </w:r>
      <w:r>
        <w:rPr>
          <w:rFonts w:hint="eastAsia" w:hAnsi="宋体"/>
          <w:sz w:val="22"/>
          <w:u w:val="single"/>
        </w:rPr>
        <w:t xml:space="preserve">：                          </w:t>
      </w:r>
    </w:p>
    <w:p>
      <w:pPr>
        <w:pStyle w:val="82"/>
        <w:snapToGrid w:val="0"/>
        <w:spacing w:line="400" w:lineRule="atLeast"/>
        <w:rPr>
          <w:rFonts w:hAnsi="宋体"/>
          <w:sz w:val="22"/>
        </w:rPr>
      </w:pPr>
      <w:r>
        <w:rPr>
          <w:rFonts w:hint="eastAsia" w:hAnsi="宋体"/>
          <w:sz w:val="22"/>
        </w:rPr>
        <w:t>乙方：</w:t>
      </w:r>
      <w:r>
        <w:rPr>
          <w:rFonts w:hint="eastAsia" w:hAnsi="宋体"/>
          <w:sz w:val="22"/>
          <w:u w:val="single"/>
        </w:rPr>
        <w:t>本次招标的中标（成交）方</w:t>
      </w:r>
    </w:p>
    <w:p>
      <w:pPr>
        <w:pStyle w:val="82"/>
        <w:snapToGrid w:val="0"/>
        <w:spacing w:line="400" w:lineRule="atLeast"/>
        <w:ind w:firstLine="440" w:firstLineChars="200"/>
        <w:rPr>
          <w:rFonts w:hAnsi="宋体" w:cs="宋体"/>
          <w:sz w:val="22"/>
          <w:szCs w:val="22"/>
        </w:rPr>
      </w:pPr>
      <w:r>
        <w:rPr>
          <w:rFonts w:hint="eastAsia" w:hAnsi="宋体" w:cs="宋体"/>
          <w:sz w:val="22"/>
          <w:szCs w:val="22"/>
        </w:rPr>
        <w:t>根据永嘉县上塘城区园林绿化养护</w:t>
      </w:r>
      <w:r>
        <w:rPr>
          <w:rFonts w:hint="eastAsia" w:hAnsi="宋体"/>
          <w:sz w:val="22"/>
        </w:rPr>
        <w:t>（项目编号：</w:t>
      </w:r>
      <w:r>
        <w:rPr>
          <w:rFonts w:hint="eastAsia" w:hAnsi="宋体"/>
          <w:sz w:val="22"/>
          <w:lang w:eastAsia="zh-CN"/>
        </w:rPr>
        <w:t>F-GB202111300533</w:t>
      </w:r>
      <w:r>
        <w:rPr>
          <w:rFonts w:hint="eastAsia" w:hAnsi="宋体"/>
          <w:sz w:val="22"/>
        </w:rPr>
        <w:t xml:space="preserve"> ）招标结果</w:t>
      </w:r>
      <w:r>
        <w:rPr>
          <w:rFonts w:hint="eastAsia" w:hAnsi="宋体" w:cs="宋体"/>
          <w:sz w:val="22"/>
          <w:szCs w:val="22"/>
        </w:rPr>
        <w:t>，</w:t>
      </w:r>
      <w:r>
        <w:rPr>
          <w:rFonts w:hint="eastAsia" w:hAnsi="宋体"/>
          <w:sz w:val="22"/>
        </w:rPr>
        <w:t>据《中华人民共和国民法典》、《中华人民共和国政府采购法》及其他有法律、行政法规，遵循平等、自愿公平和诚实信用的原则，经甲乙双方协商一致，订立本服务协议。</w:t>
      </w:r>
    </w:p>
    <w:p>
      <w:pPr>
        <w:pStyle w:val="13"/>
        <w:snapToGrid w:val="0"/>
        <w:spacing w:line="440" w:lineRule="atLeast"/>
        <w:ind w:firstLine="330" w:firstLineChars="150"/>
        <w:rPr>
          <w:rFonts w:hAnsi="宋体"/>
          <w:sz w:val="22"/>
          <w:szCs w:val="22"/>
        </w:rPr>
      </w:pPr>
      <w:r>
        <w:rPr>
          <w:rFonts w:hint="eastAsia" w:hAnsi="宋体"/>
          <w:sz w:val="22"/>
          <w:szCs w:val="22"/>
        </w:rPr>
        <w:t>第一条  项目名称</w:t>
      </w:r>
    </w:p>
    <w:p>
      <w:pPr>
        <w:pStyle w:val="13"/>
        <w:snapToGrid w:val="0"/>
        <w:spacing w:line="440" w:lineRule="atLeast"/>
        <w:ind w:firstLine="220" w:firstLineChars="100"/>
        <w:rPr>
          <w:rFonts w:hAnsi="宋体"/>
          <w:sz w:val="22"/>
          <w:szCs w:val="22"/>
        </w:rPr>
      </w:pPr>
      <w:r>
        <w:rPr>
          <w:rFonts w:hint="eastAsia" w:hAnsi="宋体"/>
          <w:sz w:val="22"/>
          <w:szCs w:val="22"/>
          <w:u w:val="single"/>
        </w:rPr>
        <w:t xml:space="preserve">                           </w:t>
      </w:r>
      <w:r>
        <w:rPr>
          <w:rFonts w:hint="eastAsia" w:hAnsi="宋体"/>
          <w:sz w:val="22"/>
          <w:szCs w:val="22"/>
        </w:rPr>
        <w:t xml:space="preserve"> 养护承包合同。</w:t>
      </w:r>
    </w:p>
    <w:p>
      <w:pPr>
        <w:pStyle w:val="13"/>
        <w:snapToGrid w:val="0"/>
        <w:spacing w:line="440" w:lineRule="atLeast"/>
        <w:ind w:firstLine="330" w:firstLineChars="150"/>
        <w:rPr>
          <w:rFonts w:hAnsi="宋体"/>
          <w:sz w:val="22"/>
          <w:szCs w:val="22"/>
        </w:rPr>
      </w:pPr>
      <w:r>
        <w:rPr>
          <w:rFonts w:hint="eastAsia" w:hAnsi="宋体"/>
          <w:sz w:val="22"/>
          <w:szCs w:val="22"/>
        </w:rPr>
        <w:t>第二条  承包内容</w:t>
      </w:r>
    </w:p>
    <w:p>
      <w:pPr>
        <w:pStyle w:val="13"/>
        <w:snapToGrid w:val="0"/>
        <w:spacing w:line="440" w:lineRule="atLeast"/>
        <w:ind w:firstLine="330" w:firstLineChars="150"/>
        <w:rPr>
          <w:rFonts w:hAnsi="宋体"/>
          <w:sz w:val="22"/>
          <w:szCs w:val="22"/>
        </w:rPr>
      </w:pPr>
      <w:r>
        <w:rPr>
          <w:rFonts w:hint="eastAsia" w:hAnsi="宋体"/>
          <w:sz w:val="22"/>
          <w:szCs w:val="22"/>
        </w:rPr>
        <w:t>（一）公园养护服务（具体以招标文件要求为准）。</w:t>
      </w:r>
    </w:p>
    <w:p>
      <w:pPr>
        <w:pStyle w:val="13"/>
        <w:snapToGrid w:val="0"/>
        <w:spacing w:line="440" w:lineRule="atLeast"/>
        <w:ind w:firstLine="330" w:firstLineChars="150"/>
        <w:rPr>
          <w:rFonts w:hAnsi="宋体"/>
          <w:sz w:val="22"/>
          <w:szCs w:val="22"/>
        </w:rPr>
      </w:pPr>
      <w:r>
        <w:rPr>
          <w:rFonts w:hint="eastAsia" w:hAnsi="宋体"/>
          <w:sz w:val="22"/>
          <w:szCs w:val="22"/>
        </w:rPr>
        <w:t>（二）在合同期内因市政建设需要征用、临时占用需要调整乙方养护面积时，乙方须无条件服从。</w:t>
      </w:r>
    </w:p>
    <w:p>
      <w:pPr>
        <w:pStyle w:val="13"/>
        <w:snapToGrid w:val="0"/>
        <w:spacing w:line="440" w:lineRule="atLeast"/>
        <w:ind w:firstLine="440" w:firstLineChars="200"/>
        <w:rPr>
          <w:rFonts w:hAnsi="宋体"/>
          <w:sz w:val="22"/>
          <w:szCs w:val="22"/>
        </w:rPr>
      </w:pPr>
      <w:r>
        <w:rPr>
          <w:rFonts w:hint="eastAsia" w:hAnsi="宋体"/>
          <w:sz w:val="22"/>
          <w:szCs w:val="22"/>
        </w:rPr>
        <w:t>第三条  承包方式</w:t>
      </w:r>
    </w:p>
    <w:p>
      <w:pPr>
        <w:spacing w:line="400" w:lineRule="exact"/>
        <w:ind w:firstLine="440" w:firstLineChars="200"/>
        <w:rPr>
          <w:rFonts w:hint="eastAsia" w:ascii="宋体" w:hAnsi="宋体" w:eastAsia="宋体" w:cs="宋体"/>
          <w:sz w:val="22"/>
          <w:szCs w:val="22"/>
          <w:lang w:eastAsia="zh-CN"/>
        </w:rPr>
      </w:pPr>
      <w:r>
        <w:rPr>
          <w:rFonts w:hint="eastAsia" w:ascii="宋体" w:hAnsi="宋体" w:cs="宋体"/>
          <w:sz w:val="22"/>
          <w:szCs w:val="22"/>
        </w:rPr>
        <w:t>采用固定综合单价承包。甲方将实际绿化养护业务及相应的经费交给乙方，乙方按甲方的管理要求和标准组织绿化养护工作，并接受甲方的指导、监督和检查验收。</w:t>
      </w:r>
    </w:p>
    <w:p>
      <w:pPr>
        <w:numPr>
          <w:ilvl w:val="0"/>
          <w:numId w:val="7"/>
        </w:numPr>
        <w:spacing w:line="400" w:lineRule="exact"/>
        <w:ind w:firstLine="440" w:firstLineChars="200"/>
        <w:rPr>
          <w:rFonts w:ascii="宋体" w:hAnsi="宋体" w:cs="宋体"/>
          <w:sz w:val="22"/>
          <w:szCs w:val="22"/>
        </w:rPr>
      </w:pPr>
      <w:r>
        <w:rPr>
          <w:rFonts w:hint="eastAsia" w:ascii="宋体" w:hAnsi="宋体" w:cs="宋体"/>
          <w:sz w:val="22"/>
          <w:szCs w:val="22"/>
        </w:rPr>
        <w:t>承包期间，甲方对养护面积或数量因工程施工或其它原因有增减时，需通知乙方，当月养护费用按实际增减面积或数量予以调整；</w:t>
      </w:r>
    </w:p>
    <w:p>
      <w:pPr>
        <w:numPr>
          <w:ilvl w:val="0"/>
          <w:numId w:val="7"/>
        </w:numPr>
        <w:spacing w:line="400" w:lineRule="exact"/>
        <w:ind w:firstLine="440" w:firstLineChars="200"/>
        <w:rPr>
          <w:rFonts w:ascii="宋体" w:hAnsi="宋体" w:cs="宋体"/>
          <w:sz w:val="22"/>
          <w:szCs w:val="22"/>
        </w:rPr>
      </w:pPr>
      <w:r>
        <w:rPr>
          <w:rFonts w:hint="eastAsia" w:ascii="宋体" w:hAnsi="宋体" w:cs="宋体"/>
          <w:sz w:val="22"/>
          <w:szCs w:val="22"/>
        </w:rPr>
        <w:t>承包期间，乙方对养护面积或数量有增减或疑义时，及时向甲方提出，甲方核实后，再予以明确。</w:t>
      </w:r>
    </w:p>
    <w:p>
      <w:pPr>
        <w:pStyle w:val="13"/>
        <w:numPr>
          <w:ilvl w:val="0"/>
          <w:numId w:val="7"/>
        </w:numPr>
        <w:snapToGrid w:val="0"/>
        <w:spacing w:line="440" w:lineRule="atLeast"/>
        <w:ind w:firstLine="440" w:firstLineChars="200"/>
        <w:rPr>
          <w:rFonts w:hint="eastAsia" w:hAnsi="宋体"/>
          <w:sz w:val="22"/>
          <w:szCs w:val="22"/>
        </w:rPr>
      </w:pPr>
      <w:r>
        <w:rPr>
          <w:rFonts w:hint="eastAsia" w:hAnsi="宋体"/>
          <w:sz w:val="22"/>
          <w:szCs w:val="22"/>
        </w:rPr>
        <w:t>采用全包干形式，即业务包干、经费包干方式。甲方将养护业务及相应的经费交给乙方，乙方按甲方的管理要求和标准组织养护工作，并接受甲方的指导、监督和检查验收。</w:t>
      </w:r>
    </w:p>
    <w:p>
      <w:pPr>
        <w:pStyle w:val="13"/>
        <w:snapToGrid w:val="0"/>
        <w:spacing w:line="440" w:lineRule="atLeast"/>
        <w:ind w:firstLine="440" w:firstLineChars="200"/>
        <w:rPr>
          <w:rFonts w:hint="eastAsia" w:hAnsi="宋体"/>
          <w:sz w:val="22"/>
          <w:szCs w:val="22"/>
        </w:rPr>
      </w:pPr>
      <w:r>
        <w:rPr>
          <w:rFonts w:hint="eastAsia" w:hAnsi="宋体"/>
          <w:sz w:val="22"/>
          <w:szCs w:val="22"/>
          <w:lang w:val="en-US" w:eastAsia="zh-CN"/>
        </w:rPr>
        <w:t xml:space="preserve">（四） </w:t>
      </w:r>
      <w:r>
        <w:rPr>
          <w:rFonts w:hint="eastAsia" w:hAnsi="宋体"/>
          <w:b/>
          <w:bCs/>
          <w:sz w:val="22"/>
          <w:szCs w:val="22"/>
          <w:lang w:val="en-US" w:eastAsia="zh-CN"/>
        </w:rPr>
        <w:t>服务期限：2年服务期。</w:t>
      </w:r>
    </w:p>
    <w:p>
      <w:pPr>
        <w:pStyle w:val="13"/>
        <w:snapToGrid w:val="0"/>
        <w:spacing w:line="440" w:lineRule="atLeast"/>
        <w:ind w:firstLine="440" w:firstLineChars="200"/>
        <w:rPr>
          <w:rFonts w:hAnsi="宋体"/>
          <w:sz w:val="22"/>
          <w:szCs w:val="22"/>
        </w:rPr>
      </w:pPr>
      <w:r>
        <w:rPr>
          <w:rFonts w:hint="eastAsia" w:hAnsi="宋体"/>
          <w:sz w:val="22"/>
          <w:szCs w:val="22"/>
        </w:rPr>
        <w:t>第四条  承包经费</w:t>
      </w:r>
    </w:p>
    <w:p>
      <w:pPr>
        <w:pStyle w:val="13"/>
        <w:snapToGrid w:val="0"/>
        <w:spacing w:line="440" w:lineRule="atLeast"/>
        <w:ind w:firstLine="220" w:firstLineChars="100"/>
        <w:rPr>
          <w:rFonts w:hAnsi="宋体"/>
          <w:sz w:val="22"/>
          <w:szCs w:val="22"/>
        </w:rPr>
      </w:pPr>
      <w:r>
        <w:rPr>
          <w:rFonts w:hint="eastAsia" w:hAnsi="宋体"/>
          <w:sz w:val="22"/>
          <w:szCs w:val="22"/>
        </w:rPr>
        <w:t>（一）</w:t>
      </w:r>
      <w:r>
        <w:rPr>
          <w:rFonts w:hint="eastAsia" w:hAnsi="宋体"/>
          <w:b/>
          <w:bCs/>
          <w:sz w:val="22"/>
          <w:szCs w:val="22"/>
        </w:rPr>
        <w:t>承包经费：</w:t>
      </w:r>
      <w:r>
        <w:rPr>
          <w:rFonts w:hint="eastAsia" w:hAnsi="宋体"/>
          <w:b/>
          <w:bCs/>
          <w:sz w:val="22"/>
          <w:szCs w:val="22"/>
          <w:u w:val="single"/>
        </w:rPr>
        <w:t xml:space="preserve">             </w:t>
      </w:r>
      <w:r>
        <w:rPr>
          <w:rFonts w:hint="eastAsia" w:hAnsi="宋体"/>
          <w:b/>
          <w:bCs/>
          <w:sz w:val="22"/>
          <w:szCs w:val="22"/>
        </w:rPr>
        <w:t>元（人民币大写：</w:t>
      </w:r>
      <w:r>
        <w:rPr>
          <w:rFonts w:hint="eastAsia" w:hAnsi="宋体"/>
          <w:b/>
          <w:bCs/>
          <w:sz w:val="22"/>
          <w:szCs w:val="22"/>
          <w:u w:val="single"/>
        </w:rPr>
        <w:t xml:space="preserve">              </w:t>
      </w:r>
      <w:r>
        <w:rPr>
          <w:rFonts w:hint="eastAsia" w:hAnsi="宋体"/>
          <w:b/>
          <w:bCs/>
          <w:sz w:val="22"/>
          <w:szCs w:val="22"/>
        </w:rPr>
        <w:t>元整）。</w:t>
      </w:r>
    </w:p>
    <w:p>
      <w:pPr>
        <w:pStyle w:val="13"/>
        <w:snapToGrid w:val="0"/>
        <w:spacing w:line="440" w:lineRule="atLeast"/>
        <w:ind w:firstLine="220" w:firstLineChars="100"/>
        <w:rPr>
          <w:rFonts w:hAnsi="宋体"/>
          <w:sz w:val="22"/>
          <w:szCs w:val="22"/>
        </w:rPr>
      </w:pPr>
      <w:r>
        <w:rPr>
          <w:rFonts w:hint="eastAsia" w:hAnsi="宋体"/>
          <w:sz w:val="22"/>
          <w:szCs w:val="22"/>
        </w:rPr>
        <w:t>（二）承包经费由人工费（包括工人工资、奖金、房补、劳保福利、社保基金、工伤费、教育培训费、暂住费及处理一切伤亡事故等费用）、机械台班费、水电费、工具材料费、垃圾清运费、保洁、安全文明生产装备费（包括工人冬、夏装工作服、反光衣等）、重大活动及应急任务费用、</w:t>
      </w:r>
      <w:r>
        <w:rPr>
          <w:rFonts w:hint="eastAsia" w:hAnsi="宋体"/>
          <w:sz w:val="22"/>
          <w:szCs w:val="22"/>
          <w:lang w:val="zh-CN"/>
        </w:rPr>
        <w:t>浇水费、清残花落叶及绿化垃圾费、保洁、意外事件处理费、补植及其他费、修剪费用、施肥费用、松土除草费、病虫害防治费、所有设备设施维护费及</w:t>
      </w:r>
      <w:r>
        <w:rPr>
          <w:rFonts w:hint="eastAsia" w:hAnsi="宋体"/>
          <w:sz w:val="22"/>
          <w:szCs w:val="22"/>
        </w:rPr>
        <w:t>企业应缴税金和应得利润、应急等完成合同所需的一切本身和不可或缺的所有工作开支、政策性文件规定计合同包含的所有风险、责任等各项全部费用组成。</w:t>
      </w:r>
    </w:p>
    <w:p>
      <w:pPr>
        <w:pStyle w:val="13"/>
        <w:snapToGrid w:val="0"/>
        <w:spacing w:line="440" w:lineRule="atLeast"/>
        <w:ind w:firstLine="220" w:firstLineChars="100"/>
        <w:rPr>
          <w:rFonts w:hAnsi="宋体"/>
          <w:sz w:val="22"/>
          <w:szCs w:val="22"/>
        </w:rPr>
      </w:pPr>
      <w:r>
        <w:rPr>
          <w:rFonts w:hint="eastAsia" w:hAnsi="宋体"/>
          <w:sz w:val="22"/>
          <w:szCs w:val="22"/>
        </w:rPr>
        <w:t>（三）承包经费按项目进度、检查验收结果和资金到账情况按月核拨，由乙方按甲方业务要求支配使用。</w:t>
      </w:r>
    </w:p>
    <w:p>
      <w:pPr>
        <w:pStyle w:val="13"/>
        <w:snapToGrid w:val="0"/>
        <w:spacing w:line="440" w:lineRule="atLeast"/>
        <w:ind w:firstLine="220" w:firstLineChars="100"/>
        <w:rPr>
          <w:rFonts w:hAnsi="宋体"/>
          <w:sz w:val="22"/>
          <w:szCs w:val="22"/>
        </w:rPr>
      </w:pPr>
      <w:r>
        <w:rPr>
          <w:rFonts w:hint="eastAsia" w:hAnsi="宋体"/>
          <w:sz w:val="22"/>
          <w:szCs w:val="22"/>
        </w:rPr>
        <w:t>（四）承包经费最终结算价依据中标通知书、招投标文件、验收考核等要求计算。</w:t>
      </w:r>
    </w:p>
    <w:p>
      <w:pPr>
        <w:pStyle w:val="13"/>
        <w:snapToGrid w:val="0"/>
        <w:spacing w:line="440" w:lineRule="atLeast"/>
        <w:ind w:firstLine="220" w:firstLineChars="100"/>
        <w:rPr>
          <w:rFonts w:hAnsi="宋体"/>
          <w:sz w:val="22"/>
          <w:szCs w:val="22"/>
        </w:rPr>
      </w:pPr>
      <w:r>
        <w:rPr>
          <w:rFonts w:hint="eastAsia" w:hAnsi="宋体"/>
          <w:sz w:val="22"/>
          <w:szCs w:val="22"/>
        </w:rPr>
        <w:t>（五）付款方式</w:t>
      </w:r>
    </w:p>
    <w:p>
      <w:pPr>
        <w:pStyle w:val="13"/>
        <w:snapToGrid w:val="0"/>
        <w:spacing w:line="440" w:lineRule="atLeast"/>
        <w:ind w:firstLine="442" w:firstLineChars="200"/>
        <w:rPr>
          <w:rFonts w:hint="eastAsia" w:ascii="新宋体" w:hAnsi="新宋体" w:eastAsia="新宋体" w:cs="新宋体"/>
          <w:b/>
          <w:bCs/>
          <w:color w:val="auto"/>
          <w:sz w:val="22"/>
          <w:szCs w:val="22"/>
          <w:lang w:eastAsia="zh-CN"/>
        </w:rPr>
      </w:pPr>
      <w:r>
        <w:rPr>
          <w:rFonts w:hint="eastAsia" w:ascii="新宋体" w:hAnsi="新宋体" w:eastAsia="新宋体" w:cs="新宋体"/>
          <w:b/>
          <w:bCs/>
          <w:color w:val="auto"/>
          <w:sz w:val="22"/>
          <w:szCs w:val="22"/>
          <w:lang w:eastAsia="zh-CN"/>
        </w:rPr>
        <w:t>签订合同且投标人提供履约保证金，</w:t>
      </w:r>
      <w:r>
        <w:rPr>
          <w:rFonts w:hint="eastAsia" w:ascii="新宋体" w:hAnsi="新宋体" w:eastAsia="新宋体" w:cs="新宋体"/>
          <w:b/>
          <w:bCs/>
          <w:color w:val="auto"/>
          <w:sz w:val="22"/>
          <w:szCs w:val="22"/>
          <w:lang w:val="en-US" w:eastAsia="zh-CN"/>
        </w:rPr>
        <w:t>中标供应商人员设备全部到场交接完后15个工作日内支付合同价10%的预付款（具体预付落实需以预付当月永嘉县财政库款情况为前提），预付款在前3个月费用中等额扣回</w:t>
      </w:r>
      <w:r>
        <w:rPr>
          <w:rFonts w:hint="eastAsia" w:ascii="新宋体" w:hAnsi="新宋体" w:eastAsia="新宋体" w:cs="新宋体"/>
          <w:b/>
          <w:bCs/>
          <w:color w:val="auto"/>
          <w:sz w:val="22"/>
          <w:szCs w:val="22"/>
          <w:lang w:eastAsia="zh-CN"/>
        </w:rPr>
        <w:t>。</w:t>
      </w:r>
    </w:p>
    <w:p>
      <w:pPr>
        <w:pStyle w:val="13"/>
        <w:snapToGrid w:val="0"/>
        <w:spacing w:line="440" w:lineRule="atLeast"/>
        <w:ind w:firstLine="442" w:firstLineChars="200"/>
        <w:rPr>
          <w:rFonts w:hint="eastAsia" w:hAnsi="宋体"/>
          <w:sz w:val="22"/>
          <w:szCs w:val="22"/>
        </w:rPr>
      </w:pPr>
      <w:r>
        <w:rPr>
          <w:rFonts w:hint="eastAsia" w:hAnsi="宋体"/>
          <w:b/>
          <w:bCs/>
          <w:sz w:val="22"/>
          <w:szCs w:val="22"/>
          <w:highlight w:val="none"/>
        </w:rPr>
        <w:t>采用先养护后付费方式，当月养护后第三个月前15个工作日内结算承包经费（例如1月份的经费在3月份结算，遇节假日顺延），由甲方根据养护当月的考核结果，凭乙方开具的财税正式发票和当月实际绿化养护合同价款扣除处罚金额后进行全额支付，以此类推。</w:t>
      </w:r>
    </w:p>
    <w:p>
      <w:pPr>
        <w:pStyle w:val="13"/>
        <w:snapToGrid w:val="0"/>
        <w:spacing w:line="440" w:lineRule="atLeast"/>
        <w:ind w:firstLine="440" w:firstLineChars="200"/>
        <w:rPr>
          <w:rFonts w:hAnsi="宋体"/>
          <w:sz w:val="22"/>
          <w:szCs w:val="22"/>
        </w:rPr>
      </w:pPr>
      <w:r>
        <w:rPr>
          <w:rFonts w:hint="eastAsia" w:hAnsi="宋体"/>
          <w:sz w:val="22"/>
          <w:szCs w:val="22"/>
        </w:rPr>
        <w:t>第五条  工作要求和质量标准</w:t>
      </w:r>
    </w:p>
    <w:p>
      <w:pPr>
        <w:pStyle w:val="13"/>
        <w:snapToGrid w:val="0"/>
        <w:spacing w:line="440" w:lineRule="atLeast"/>
        <w:ind w:firstLine="482"/>
        <w:rPr>
          <w:rFonts w:hAnsi="宋体"/>
          <w:sz w:val="22"/>
          <w:szCs w:val="22"/>
        </w:rPr>
      </w:pPr>
      <w:r>
        <w:rPr>
          <w:rFonts w:hint="eastAsia" w:hAnsi="宋体"/>
          <w:sz w:val="22"/>
          <w:szCs w:val="22"/>
        </w:rPr>
        <w:t>各项具体工作的质量标准和作业规范按甲方具体要求《永嘉县城镇园林绿化养护管理标准》I级绿地标准及《招标文件》中所规定的执行。</w:t>
      </w:r>
    </w:p>
    <w:p>
      <w:pPr>
        <w:pStyle w:val="13"/>
        <w:snapToGrid w:val="0"/>
        <w:spacing w:line="440" w:lineRule="atLeast"/>
        <w:ind w:firstLine="482"/>
        <w:rPr>
          <w:rFonts w:hAnsi="宋体"/>
          <w:sz w:val="22"/>
          <w:szCs w:val="22"/>
        </w:rPr>
      </w:pPr>
      <w:r>
        <w:rPr>
          <w:rFonts w:hint="eastAsia" w:hAnsi="宋体"/>
          <w:sz w:val="22"/>
          <w:szCs w:val="22"/>
        </w:rPr>
        <w:t>第六条  履约保证金</w:t>
      </w:r>
    </w:p>
    <w:p>
      <w:pPr>
        <w:pStyle w:val="13"/>
        <w:snapToGrid w:val="0"/>
        <w:spacing w:line="440" w:lineRule="atLeast"/>
        <w:ind w:firstLine="220" w:firstLineChars="100"/>
        <w:rPr>
          <w:rFonts w:hAnsi="宋体"/>
          <w:sz w:val="22"/>
          <w:szCs w:val="22"/>
        </w:rPr>
      </w:pPr>
      <w:r>
        <w:rPr>
          <w:rFonts w:hint="eastAsia" w:hAnsi="宋体"/>
          <w:sz w:val="22"/>
          <w:szCs w:val="22"/>
        </w:rPr>
        <w:t>（一）中标供应商在收到中标通知书后5个工作日内，需向甲方提供合同总价5％的履约保证金。履约保证金在中标供应商与业主单位签订经济合同前递交。</w:t>
      </w:r>
    </w:p>
    <w:p>
      <w:pPr>
        <w:pStyle w:val="13"/>
        <w:snapToGrid w:val="0"/>
        <w:spacing w:line="440" w:lineRule="atLeast"/>
        <w:ind w:firstLine="220" w:firstLineChars="100"/>
        <w:rPr>
          <w:rFonts w:hAnsi="宋体"/>
          <w:sz w:val="22"/>
          <w:szCs w:val="22"/>
        </w:rPr>
      </w:pPr>
      <w:r>
        <w:rPr>
          <w:rFonts w:hint="eastAsia" w:hAnsi="宋体"/>
          <w:sz w:val="22"/>
          <w:szCs w:val="22"/>
        </w:rPr>
        <w:t>（二）承包任务完成并验收移交业主单位后十五个工作日内无息退还履约保证金；</w:t>
      </w:r>
    </w:p>
    <w:p>
      <w:pPr>
        <w:pStyle w:val="13"/>
        <w:snapToGrid w:val="0"/>
        <w:spacing w:line="440" w:lineRule="atLeast"/>
        <w:ind w:firstLine="220" w:firstLineChars="100"/>
        <w:rPr>
          <w:rFonts w:hAnsi="宋体"/>
          <w:sz w:val="22"/>
          <w:szCs w:val="22"/>
        </w:rPr>
      </w:pPr>
      <w:r>
        <w:rPr>
          <w:rFonts w:hint="eastAsia" w:hAnsi="宋体"/>
          <w:sz w:val="22"/>
          <w:szCs w:val="22"/>
        </w:rPr>
        <w:t>（三）中标供应商不能按期保质保量完成养护业务，除承担相关责任外，业主单位可相应没收合同履约保证金。</w:t>
      </w:r>
    </w:p>
    <w:p>
      <w:pPr>
        <w:pStyle w:val="13"/>
        <w:snapToGrid w:val="0"/>
        <w:spacing w:line="440" w:lineRule="atLeast"/>
        <w:ind w:firstLine="220" w:firstLineChars="100"/>
        <w:rPr>
          <w:rFonts w:hAnsi="宋体"/>
          <w:sz w:val="22"/>
          <w:szCs w:val="22"/>
        </w:rPr>
      </w:pPr>
      <w:r>
        <w:rPr>
          <w:rFonts w:hint="eastAsia" w:hAnsi="宋体"/>
          <w:sz w:val="22"/>
          <w:szCs w:val="22"/>
        </w:rPr>
        <w:t>（四）</w:t>
      </w:r>
      <w:r>
        <w:rPr>
          <w:rFonts w:hint="eastAsia" w:hAnsi="宋体"/>
          <w:sz w:val="22"/>
          <w:szCs w:val="22"/>
          <w:u w:val="single"/>
        </w:rPr>
        <w:t>本项目承包期内，中标人必须对承包区域内有死株现象发生的苗木及时进行补种。承包期满后，招标人对养护区域内所有苗木进行移交验收，苗木数量必须与本招标文件工程量清单与补种数量之和相一致，若少于招标文件工程量清单与补种数量之和，则在退还履约保证金之前必须进行补种，否则履约保证金不予退还</w:t>
      </w:r>
    </w:p>
    <w:p>
      <w:pPr>
        <w:pStyle w:val="13"/>
        <w:snapToGrid w:val="0"/>
        <w:spacing w:line="440" w:lineRule="atLeast"/>
        <w:ind w:firstLine="440" w:firstLineChars="200"/>
        <w:rPr>
          <w:rFonts w:hAnsi="宋体"/>
          <w:sz w:val="22"/>
          <w:szCs w:val="22"/>
        </w:rPr>
      </w:pPr>
      <w:r>
        <w:rPr>
          <w:rFonts w:hint="eastAsia" w:hAnsi="宋体"/>
          <w:sz w:val="22"/>
          <w:szCs w:val="22"/>
        </w:rPr>
        <w:t>第七条  考评办法</w:t>
      </w:r>
    </w:p>
    <w:p>
      <w:pPr>
        <w:pStyle w:val="13"/>
        <w:snapToGrid w:val="0"/>
        <w:spacing w:line="440" w:lineRule="atLeast"/>
        <w:ind w:firstLine="482"/>
        <w:rPr>
          <w:rFonts w:hAnsi="宋体"/>
          <w:sz w:val="22"/>
          <w:szCs w:val="22"/>
        </w:rPr>
      </w:pPr>
      <w:r>
        <w:rPr>
          <w:rFonts w:hint="eastAsia" w:hAnsi="宋体"/>
          <w:sz w:val="22"/>
          <w:szCs w:val="22"/>
        </w:rPr>
        <w:t>（一）乙方应严格按照甲方具体要求及《招标文件》的规定，对承包的面积范围的绿地进行养护。同时，还要接受甲方按《园林绿化养护考核办法》的规定进行质量检查考评。</w:t>
      </w:r>
    </w:p>
    <w:p>
      <w:pPr>
        <w:pStyle w:val="13"/>
        <w:snapToGrid w:val="0"/>
        <w:spacing w:line="440" w:lineRule="atLeast"/>
        <w:ind w:firstLine="482"/>
        <w:rPr>
          <w:rFonts w:hAnsi="宋体"/>
          <w:sz w:val="22"/>
          <w:szCs w:val="22"/>
        </w:rPr>
      </w:pPr>
      <w:r>
        <w:rPr>
          <w:rFonts w:hint="eastAsia" w:hAnsi="宋体"/>
          <w:sz w:val="22"/>
          <w:szCs w:val="22"/>
        </w:rPr>
        <w:t>（二）考核及处罚标准（特殊条款 《园林绿化养护考核办法》）</w:t>
      </w:r>
    </w:p>
    <w:p>
      <w:pPr>
        <w:pStyle w:val="13"/>
        <w:snapToGrid w:val="0"/>
        <w:spacing w:line="440" w:lineRule="atLeast"/>
        <w:ind w:firstLine="440" w:firstLineChars="200"/>
        <w:rPr>
          <w:rFonts w:hAnsi="宋体"/>
          <w:sz w:val="22"/>
          <w:szCs w:val="22"/>
        </w:rPr>
      </w:pPr>
      <w:r>
        <w:rPr>
          <w:rFonts w:hint="eastAsia" w:hAnsi="宋体"/>
          <w:sz w:val="22"/>
          <w:szCs w:val="22"/>
        </w:rPr>
        <w:t>第八条  权利和义务</w:t>
      </w:r>
    </w:p>
    <w:p>
      <w:pPr>
        <w:pStyle w:val="13"/>
        <w:snapToGrid w:val="0"/>
        <w:spacing w:line="440" w:lineRule="atLeast"/>
        <w:ind w:firstLine="220" w:firstLineChars="100"/>
        <w:rPr>
          <w:rFonts w:hAnsi="宋体"/>
          <w:sz w:val="22"/>
          <w:szCs w:val="22"/>
        </w:rPr>
      </w:pPr>
      <w:r>
        <w:rPr>
          <w:rFonts w:hint="eastAsia" w:hAnsi="宋体"/>
          <w:sz w:val="22"/>
          <w:szCs w:val="22"/>
        </w:rPr>
        <w:t>（一）甲方权利与义务</w:t>
      </w:r>
    </w:p>
    <w:p>
      <w:pPr>
        <w:pStyle w:val="13"/>
        <w:snapToGrid w:val="0"/>
        <w:spacing w:line="440" w:lineRule="atLeast"/>
        <w:ind w:firstLine="482"/>
        <w:rPr>
          <w:rFonts w:hAnsi="宋体"/>
          <w:sz w:val="22"/>
          <w:szCs w:val="22"/>
        </w:rPr>
      </w:pPr>
      <w:r>
        <w:rPr>
          <w:rFonts w:hint="eastAsia" w:hAnsi="宋体"/>
          <w:sz w:val="22"/>
          <w:szCs w:val="22"/>
        </w:rPr>
        <w:t>1、甲方对乙方的养护业务进行全面的技术指导、检查、管理和监督，对检查中发现的环境卫生质量、养护质量等问题及时向乙方提出书面或口头改进意见。</w:t>
      </w:r>
    </w:p>
    <w:p>
      <w:pPr>
        <w:pStyle w:val="13"/>
        <w:snapToGrid w:val="0"/>
        <w:spacing w:line="440" w:lineRule="atLeast"/>
        <w:ind w:firstLine="482"/>
        <w:rPr>
          <w:rFonts w:hAnsi="宋体"/>
          <w:sz w:val="22"/>
          <w:szCs w:val="22"/>
        </w:rPr>
      </w:pPr>
      <w:r>
        <w:rPr>
          <w:rFonts w:hint="eastAsia" w:hAnsi="宋体"/>
          <w:sz w:val="22"/>
          <w:szCs w:val="22"/>
        </w:rPr>
        <w:t>2、甲方对乙方违反《园林绿化养护考核办法》中规定的行为进行处罚。</w:t>
      </w:r>
    </w:p>
    <w:p>
      <w:pPr>
        <w:pStyle w:val="13"/>
        <w:snapToGrid w:val="0"/>
        <w:spacing w:line="440" w:lineRule="atLeast"/>
        <w:ind w:firstLine="482"/>
        <w:rPr>
          <w:rFonts w:hAnsi="宋体"/>
          <w:sz w:val="22"/>
          <w:szCs w:val="22"/>
        </w:rPr>
      </w:pPr>
      <w:r>
        <w:rPr>
          <w:rFonts w:hint="eastAsia" w:hAnsi="宋体"/>
          <w:sz w:val="22"/>
          <w:szCs w:val="22"/>
        </w:rPr>
        <w:t>3、甲方监督检查乙方落实安全生产措施（包括防台、防火）。</w:t>
      </w:r>
    </w:p>
    <w:p>
      <w:pPr>
        <w:pStyle w:val="13"/>
        <w:snapToGrid w:val="0"/>
        <w:spacing w:line="440" w:lineRule="atLeast"/>
        <w:ind w:firstLine="482"/>
        <w:rPr>
          <w:rFonts w:hAnsi="宋体"/>
          <w:sz w:val="22"/>
          <w:szCs w:val="22"/>
        </w:rPr>
      </w:pPr>
      <w:r>
        <w:rPr>
          <w:rFonts w:hint="eastAsia" w:hAnsi="宋体"/>
          <w:sz w:val="22"/>
          <w:szCs w:val="22"/>
        </w:rPr>
        <w:t>4、甲方监督检查乙方对员工进行培训的情况，以提高养护服务的技术水平。</w:t>
      </w:r>
    </w:p>
    <w:p>
      <w:pPr>
        <w:pStyle w:val="13"/>
        <w:snapToGrid w:val="0"/>
        <w:spacing w:line="440" w:lineRule="atLeast"/>
        <w:ind w:firstLine="482"/>
        <w:rPr>
          <w:rFonts w:hAnsi="宋体"/>
          <w:sz w:val="22"/>
          <w:szCs w:val="22"/>
        </w:rPr>
      </w:pPr>
      <w:r>
        <w:rPr>
          <w:rFonts w:hint="eastAsia" w:hAnsi="宋体"/>
          <w:sz w:val="22"/>
          <w:szCs w:val="22"/>
        </w:rPr>
        <w:t>5、甲方应按养护质量和检查验收结果计算经费，扣除乙方因检查不合格应扣款后，将经费按期支付给乙方。</w:t>
      </w:r>
    </w:p>
    <w:p>
      <w:pPr>
        <w:pStyle w:val="13"/>
        <w:snapToGrid w:val="0"/>
        <w:spacing w:line="440" w:lineRule="atLeast"/>
        <w:ind w:firstLine="482"/>
        <w:rPr>
          <w:rFonts w:hAnsi="宋体"/>
          <w:sz w:val="22"/>
          <w:szCs w:val="22"/>
        </w:rPr>
      </w:pPr>
      <w:r>
        <w:rPr>
          <w:rFonts w:hint="eastAsia" w:hAnsi="宋体"/>
          <w:sz w:val="22"/>
          <w:szCs w:val="22"/>
        </w:rPr>
        <w:t>6、甲方可要求乙方调整不合格员工。</w:t>
      </w:r>
    </w:p>
    <w:p>
      <w:pPr>
        <w:pStyle w:val="13"/>
        <w:snapToGrid w:val="0"/>
        <w:spacing w:line="440" w:lineRule="atLeast"/>
        <w:ind w:firstLine="482"/>
        <w:rPr>
          <w:rFonts w:hAnsi="宋体"/>
          <w:sz w:val="22"/>
          <w:szCs w:val="22"/>
        </w:rPr>
      </w:pPr>
      <w:r>
        <w:rPr>
          <w:rFonts w:hint="eastAsia" w:hAnsi="宋体"/>
          <w:sz w:val="22"/>
          <w:szCs w:val="22"/>
        </w:rPr>
        <w:t>7、甲方可根据政策的变动并结合实际情况对本项目合同、《园林绿化养护考核办法》、《永嘉县城镇园林绿化养护管理标准》I级绿地标准和“考核及处罚标准”进行修改和补充。</w:t>
      </w:r>
    </w:p>
    <w:p>
      <w:pPr>
        <w:pStyle w:val="13"/>
        <w:snapToGrid w:val="0"/>
        <w:spacing w:line="440" w:lineRule="atLeast"/>
        <w:ind w:firstLine="482"/>
        <w:rPr>
          <w:rFonts w:hAnsi="宋体"/>
          <w:sz w:val="22"/>
          <w:szCs w:val="22"/>
        </w:rPr>
      </w:pPr>
      <w:r>
        <w:rPr>
          <w:rFonts w:hint="eastAsia" w:hAnsi="宋体"/>
          <w:sz w:val="22"/>
          <w:szCs w:val="22"/>
        </w:rPr>
        <w:t>8、甲方应按时支付款项。本合同的经费由政府拨款，如因政策影响，拨款未能及时到位，乙方不得以此为由而不履行本合同规定的义务，否则甲方按规定扣罚。</w:t>
      </w:r>
    </w:p>
    <w:p>
      <w:pPr>
        <w:pStyle w:val="13"/>
        <w:snapToGrid w:val="0"/>
        <w:spacing w:line="440" w:lineRule="atLeast"/>
        <w:ind w:firstLine="220" w:firstLineChars="100"/>
        <w:rPr>
          <w:rFonts w:hAnsi="宋体"/>
          <w:sz w:val="22"/>
          <w:szCs w:val="22"/>
        </w:rPr>
      </w:pPr>
      <w:r>
        <w:rPr>
          <w:rFonts w:hint="eastAsia" w:hAnsi="宋体"/>
          <w:sz w:val="22"/>
          <w:szCs w:val="22"/>
        </w:rPr>
        <w:t>（二）乙方权利和义务</w:t>
      </w:r>
    </w:p>
    <w:p>
      <w:pPr>
        <w:pStyle w:val="13"/>
        <w:snapToGrid w:val="0"/>
        <w:spacing w:line="440" w:lineRule="atLeast"/>
        <w:ind w:firstLine="482"/>
        <w:rPr>
          <w:rFonts w:hAnsi="宋体"/>
          <w:sz w:val="22"/>
          <w:szCs w:val="22"/>
        </w:rPr>
      </w:pPr>
      <w:r>
        <w:rPr>
          <w:rFonts w:hint="eastAsia" w:hAnsi="宋体"/>
          <w:sz w:val="22"/>
          <w:szCs w:val="22"/>
        </w:rPr>
        <w:t>1、乙方有权根据承包合同按期领取承包结算经费。</w:t>
      </w:r>
    </w:p>
    <w:p>
      <w:pPr>
        <w:pStyle w:val="13"/>
        <w:snapToGrid w:val="0"/>
        <w:spacing w:line="440" w:lineRule="atLeast"/>
        <w:ind w:firstLine="482"/>
        <w:rPr>
          <w:rFonts w:hAnsi="宋体"/>
          <w:sz w:val="22"/>
          <w:szCs w:val="22"/>
        </w:rPr>
      </w:pPr>
      <w:r>
        <w:rPr>
          <w:rFonts w:hint="eastAsia" w:hAnsi="宋体"/>
          <w:sz w:val="22"/>
          <w:szCs w:val="22"/>
        </w:rPr>
        <w:t>2、乙方有权对管理工作提出建议。</w:t>
      </w:r>
    </w:p>
    <w:p>
      <w:pPr>
        <w:spacing w:line="400" w:lineRule="exact"/>
        <w:ind w:firstLine="228" w:firstLineChars="104"/>
        <w:rPr>
          <w:rFonts w:ascii="宋体" w:hAnsi="宋体" w:cs="宋体"/>
          <w:kern w:val="0"/>
          <w:sz w:val="22"/>
          <w:szCs w:val="22"/>
        </w:rPr>
      </w:pPr>
      <w:r>
        <w:rPr>
          <w:rFonts w:hint="eastAsia" w:ascii="宋体" w:hAnsi="宋体" w:cs="宋体"/>
          <w:kern w:val="0"/>
          <w:sz w:val="22"/>
          <w:szCs w:val="22"/>
        </w:rPr>
        <w:t xml:space="preserve">  3、鹅浦公园西侧城北社区办公用房、爱鹅楼在使用中产生的水电费用由中标单位先行统一垫付后，中标单位有权向房屋实际使用方</w:t>
      </w:r>
      <w:r>
        <w:rPr>
          <w:rFonts w:hint="eastAsia" w:ascii="宋体" w:hAnsi="宋体" w:cs="宋体"/>
          <w:sz w:val="22"/>
          <w:szCs w:val="22"/>
        </w:rPr>
        <w:t>按月度数收取水电费用（考虑水表无法分表安装，水电总度数按用电度数计算，水电费综合单价按1元/度执行）。公园内其它水电使用，如</w:t>
      </w:r>
      <w:r>
        <w:rPr>
          <w:rFonts w:hint="eastAsia" w:ascii="宋体" w:hAnsi="宋体" w:cs="宋体"/>
          <w:kern w:val="0"/>
          <w:sz w:val="22"/>
          <w:szCs w:val="22"/>
        </w:rPr>
        <w:t>健康馆、永嘉县图书馆、网球场、广场舞、晚会活动等属</w:t>
      </w:r>
      <w:r>
        <w:rPr>
          <w:rFonts w:hint="eastAsia" w:ascii="宋体" w:hAnsi="宋体" w:cs="宋体"/>
          <w:sz w:val="22"/>
          <w:szCs w:val="22"/>
        </w:rPr>
        <w:t>公益活动，其产生的水电费用由中标单位承担，包含在报价中。</w:t>
      </w:r>
    </w:p>
    <w:p>
      <w:pPr>
        <w:pStyle w:val="13"/>
        <w:snapToGrid w:val="0"/>
        <w:spacing w:line="440" w:lineRule="atLeast"/>
        <w:ind w:firstLine="482"/>
        <w:rPr>
          <w:rFonts w:hAnsi="宋体"/>
          <w:sz w:val="22"/>
          <w:szCs w:val="22"/>
        </w:rPr>
      </w:pPr>
      <w:r>
        <w:rPr>
          <w:rFonts w:hint="eastAsia" w:hAnsi="宋体"/>
          <w:sz w:val="22"/>
          <w:szCs w:val="22"/>
        </w:rPr>
        <w:t>4、乙方履行承诺的义务，并参加由甲方组织的检查和综合考评。</w:t>
      </w:r>
    </w:p>
    <w:p>
      <w:pPr>
        <w:pStyle w:val="13"/>
        <w:snapToGrid w:val="0"/>
        <w:spacing w:line="440" w:lineRule="atLeast"/>
        <w:ind w:firstLine="482"/>
        <w:rPr>
          <w:rFonts w:hAnsi="宋体"/>
          <w:sz w:val="22"/>
          <w:szCs w:val="22"/>
        </w:rPr>
      </w:pPr>
      <w:r>
        <w:rPr>
          <w:rFonts w:hint="eastAsia" w:hAnsi="宋体"/>
          <w:sz w:val="22"/>
          <w:szCs w:val="22"/>
        </w:rPr>
        <w:t>5、乙方应接受甲方的检查监督及指导。</w:t>
      </w:r>
    </w:p>
    <w:p>
      <w:pPr>
        <w:pStyle w:val="13"/>
        <w:snapToGrid w:val="0"/>
        <w:spacing w:line="440" w:lineRule="atLeast"/>
        <w:ind w:firstLine="482"/>
        <w:rPr>
          <w:rFonts w:hAnsi="宋体"/>
          <w:sz w:val="22"/>
          <w:szCs w:val="22"/>
        </w:rPr>
      </w:pPr>
      <w:r>
        <w:rPr>
          <w:rFonts w:hint="eastAsia" w:hAnsi="宋体"/>
          <w:sz w:val="22"/>
          <w:szCs w:val="22"/>
        </w:rPr>
        <w:t>6、按甲方的要求开展工作，如有改变，乙方应提出书面申请，并征得甲方的书面同意。</w:t>
      </w:r>
    </w:p>
    <w:p>
      <w:pPr>
        <w:pStyle w:val="13"/>
        <w:snapToGrid w:val="0"/>
        <w:spacing w:line="440" w:lineRule="atLeast"/>
        <w:ind w:firstLine="482"/>
        <w:rPr>
          <w:rFonts w:hAnsi="宋体"/>
          <w:sz w:val="22"/>
          <w:szCs w:val="22"/>
        </w:rPr>
      </w:pPr>
      <w:r>
        <w:rPr>
          <w:rFonts w:hint="eastAsia" w:hAnsi="宋体"/>
          <w:sz w:val="22"/>
          <w:szCs w:val="22"/>
        </w:rPr>
        <w:t xml:space="preserve">7、特殊情况下（台风、暴雨和冰雪等），乙方除应做好承包范围内的养护工作外，还应服从甲方的统一指挥和调动，参加抢险救灾工作。 </w:t>
      </w:r>
    </w:p>
    <w:p>
      <w:pPr>
        <w:pStyle w:val="13"/>
        <w:snapToGrid w:val="0"/>
        <w:spacing w:line="440" w:lineRule="atLeast"/>
        <w:ind w:firstLine="482"/>
        <w:rPr>
          <w:rFonts w:hAnsi="宋体"/>
          <w:sz w:val="22"/>
          <w:szCs w:val="22"/>
        </w:rPr>
      </w:pPr>
      <w:r>
        <w:rPr>
          <w:rFonts w:hint="eastAsia" w:hAnsi="宋体"/>
          <w:sz w:val="22"/>
          <w:szCs w:val="22"/>
        </w:rPr>
        <w:t>8、乙方根据本合同所承担的服务内容，按实际上岗人数自行到有关部门申办相关手续。员工最低工资不得低于永嘉县上年度最低工资标准的110%，并按相关规定办理社保。安排好属下人员的住宿和教育管理工作，如发生违纪事件，由乙方承担一切经济责任和法律责任。</w:t>
      </w:r>
    </w:p>
    <w:p>
      <w:pPr>
        <w:pStyle w:val="13"/>
        <w:snapToGrid w:val="0"/>
        <w:spacing w:line="440" w:lineRule="atLeast"/>
        <w:ind w:firstLine="482"/>
        <w:rPr>
          <w:rFonts w:hAnsi="宋体"/>
          <w:sz w:val="22"/>
          <w:szCs w:val="22"/>
        </w:rPr>
      </w:pPr>
      <w:r>
        <w:rPr>
          <w:rFonts w:hint="eastAsia" w:hAnsi="宋体"/>
          <w:sz w:val="22"/>
          <w:szCs w:val="22"/>
        </w:rPr>
        <w:t>9、乙方应按甲方要求，为上岗工人购买统一的工作服及反光背心。</w:t>
      </w:r>
    </w:p>
    <w:p>
      <w:pPr>
        <w:pStyle w:val="13"/>
        <w:snapToGrid w:val="0"/>
        <w:spacing w:line="440" w:lineRule="atLeast"/>
        <w:ind w:firstLine="482"/>
        <w:rPr>
          <w:rFonts w:hAnsi="宋体"/>
          <w:sz w:val="22"/>
          <w:szCs w:val="22"/>
        </w:rPr>
      </w:pPr>
      <w:r>
        <w:rPr>
          <w:rFonts w:hint="eastAsia" w:hAnsi="宋体"/>
          <w:sz w:val="22"/>
          <w:szCs w:val="22"/>
        </w:rPr>
        <w:t>10、负责提供本项目所需的全部工具、设备和材料。</w:t>
      </w:r>
    </w:p>
    <w:p>
      <w:pPr>
        <w:pStyle w:val="13"/>
        <w:snapToGrid w:val="0"/>
        <w:spacing w:line="440" w:lineRule="atLeast"/>
        <w:ind w:firstLine="482"/>
        <w:rPr>
          <w:rFonts w:hAnsi="宋体"/>
          <w:sz w:val="22"/>
          <w:szCs w:val="22"/>
        </w:rPr>
      </w:pPr>
      <w:r>
        <w:rPr>
          <w:rFonts w:hint="eastAsia" w:hAnsi="宋体"/>
          <w:sz w:val="22"/>
          <w:szCs w:val="22"/>
        </w:rPr>
        <w:t>11、乙方负责安排骨干参加业务技术的培训学习。</w:t>
      </w:r>
    </w:p>
    <w:p>
      <w:pPr>
        <w:pStyle w:val="13"/>
        <w:snapToGrid w:val="0"/>
        <w:spacing w:line="440" w:lineRule="atLeast"/>
        <w:ind w:firstLine="482"/>
        <w:rPr>
          <w:rFonts w:hAnsi="宋体"/>
          <w:sz w:val="22"/>
          <w:szCs w:val="22"/>
        </w:rPr>
      </w:pPr>
      <w:r>
        <w:rPr>
          <w:rFonts w:hint="eastAsia" w:hAnsi="宋体"/>
          <w:sz w:val="22"/>
          <w:szCs w:val="22"/>
        </w:rPr>
        <w:t>12、乙方负责作业过程中的事故处理和一切费用，并承担事故的所有责任。</w:t>
      </w:r>
    </w:p>
    <w:p>
      <w:pPr>
        <w:pStyle w:val="13"/>
        <w:snapToGrid w:val="0"/>
        <w:spacing w:line="440" w:lineRule="atLeast"/>
        <w:ind w:firstLine="482"/>
        <w:rPr>
          <w:rFonts w:hAnsi="宋体"/>
          <w:sz w:val="22"/>
          <w:szCs w:val="22"/>
        </w:rPr>
      </w:pPr>
      <w:r>
        <w:rPr>
          <w:rFonts w:hint="eastAsia" w:hAnsi="宋体"/>
          <w:sz w:val="22"/>
          <w:szCs w:val="22"/>
        </w:rPr>
        <w:t>13、乙方应严格遵守国家法律、法规的规定，做好社会治安综合治理和计划生育等工作，不得违反国家法律、法规和温州市的有关规定。</w:t>
      </w:r>
    </w:p>
    <w:p>
      <w:pPr>
        <w:pStyle w:val="13"/>
        <w:snapToGrid w:val="0"/>
        <w:spacing w:line="440" w:lineRule="atLeast"/>
        <w:ind w:firstLine="482"/>
        <w:rPr>
          <w:rFonts w:hAnsi="宋体"/>
          <w:sz w:val="22"/>
          <w:szCs w:val="22"/>
        </w:rPr>
      </w:pPr>
      <w:r>
        <w:rPr>
          <w:rFonts w:hint="eastAsia" w:hAnsi="宋体"/>
          <w:sz w:val="22"/>
          <w:szCs w:val="22"/>
        </w:rPr>
        <w:t>14、在合同期内，因国家建设需要调整乙方管理任务和管理级别时，乙方要服从大局，相应增减承包面积及经费。由此造成的经济损失，甲方不负赔偿责任。</w:t>
      </w:r>
    </w:p>
    <w:p>
      <w:pPr>
        <w:pStyle w:val="13"/>
        <w:snapToGrid w:val="0"/>
        <w:spacing w:line="440" w:lineRule="atLeast"/>
        <w:ind w:firstLine="482"/>
        <w:rPr>
          <w:rFonts w:hAnsi="宋体"/>
          <w:sz w:val="22"/>
          <w:szCs w:val="22"/>
        </w:rPr>
      </w:pPr>
      <w:r>
        <w:rPr>
          <w:rFonts w:hint="eastAsia" w:hAnsi="宋体"/>
          <w:sz w:val="22"/>
          <w:szCs w:val="22"/>
        </w:rPr>
        <w:t>15、乙方应遵守法律、法规和政策的规定，因以上原因使合同性质发生改变，甲方不负赔偿责任。</w:t>
      </w:r>
    </w:p>
    <w:p>
      <w:pPr>
        <w:pStyle w:val="13"/>
        <w:snapToGrid w:val="0"/>
        <w:spacing w:line="440" w:lineRule="atLeast"/>
        <w:ind w:firstLine="440" w:firstLineChars="200"/>
        <w:rPr>
          <w:rFonts w:hAnsi="宋体"/>
          <w:sz w:val="22"/>
          <w:szCs w:val="22"/>
        </w:rPr>
      </w:pPr>
      <w:r>
        <w:rPr>
          <w:rFonts w:hint="eastAsia" w:hAnsi="宋体"/>
          <w:sz w:val="22"/>
          <w:szCs w:val="22"/>
        </w:rPr>
        <w:t>第九条  合同组成</w:t>
      </w:r>
    </w:p>
    <w:p>
      <w:pPr>
        <w:pStyle w:val="13"/>
        <w:snapToGrid w:val="0"/>
        <w:spacing w:line="440" w:lineRule="atLeast"/>
        <w:ind w:firstLine="482"/>
        <w:rPr>
          <w:rFonts w:hAnsi="宋体"/>
          <w:sz w:val="22"/>
          <w:szCs w:val="22"/>
        </w:rPr>
      </w:pPr>
      <w:r>
        <w:rPr>
          <w:rFonts w:hint="eastAsia" w:hAnsi="宋体"/>
          <w:sz w:val="22"/>
          <w:szCs w:val="22"/>
        </w:rPr>
        <w:t>承包合同组成：《招标文件》、《投标文件》、《中标通知书》、 “考核及处罚标准”、附件及询标纪要为本合同的有效组成部分。</w:t>
      </w:r>
    </w:p>
    <w:p>
      <w:pPr>
        <w:pStyle w:val="13"/>
        <w:snapToGrid w:val="0"/>
        <w:spacing w:line="440" w:lineRule="atLeast"/>
        <w:ind w:firstLine="440" w:firstLineChars="200"/>
        <w:rPr>
          <w:rFonts w:hAnsi="宋体"/>
          <w:sz w:val="22"/>
          <w:szCs w:val="22"/>
        </w:rPr>
      </w:pPr>
      <w:r>
        <w:rPr>
          <w:rFonts w:hint="eastAsia" w:hAnsi="宋体"/>
          <w:sz w:val="22"/>
          <w:szCs w:val="22"/>
        </w:rPr>
        <w:t>第十条  违约责任</w:t>
      </w:r>
    </w:p>
    <w:p>
      <w:pPr>
        <w:pStyle w:val="13"/>
        <w:snapToGrid w:val="0"/>
        <w:spacing w:line="440" w:lineRule="atLeast"/>
        <w:ind w:firstLine="482"/>
        <w:rPr>
          <w:rFonts w:hAnsi="宋体"/>
          <w:sz w:val="22"/>
          <w:szCs w:val="22"/>
        </w:rPr>
      </w:pPr>
      <w:r>
        <w:rPr>
          <w:rFonts w:hint="eastAsia" w:hAnsi="宋体"/>
          <w:sz w:val="22"/>
          <w:szCs w:val="22"/>
        </w:rPr>
        <w:t>（一）乙方违反甲方具体要求及《招标文件》规定的行为均属违约行为。甲方根据上述规定条款，视乙方违反规定的情节轻重，做出批评教育、警告、扣罚处理，情节严重者，甲方有权单方终止本合同，由乙方承担一切经济损失和法律责任。因乙方违约造成甲方损失的，甲方从乙方缴纳的履约保证金中扣除。</w:t>
      </w:r>
    </w:p>
    <w:p>
      <w:pPr>
        <w:pStyle w:val="13"/>
        <w:snapToGrid w:val="0"/>
        <w:spacing w:line="440" w:lineRule="atLeast"/>
        <w:ind w:firstLine="482"/>
        <w:rPr>
          <w:rFonts w:hAnsi="宋体"/>
          <w:sz w:val="22"/>
          <w:szCs w:val="22"/>
        </w:rPr>
      </w:pPr>
      <w:r>
        <w:rPr>
          <w:rFonts w:hint="eastAsia" w:hAnsi="宋体"/>
          <w:sz w:val="22"/>
          <w:szCs w:val="22"/>
        </w:rPr>
        <w:t>（二）乙方因机械、工具或技术、劳动等跟不上管理需要影响工作，未达到质量标准，按照《招标文件》第二部分内的“考核与处罚标准”的规定，甲方有权单方终止本合同，并没收履约保证金。</w:t>
      </w:r>
    </w:p>
    <w:p>
      <w:pPr>
        <w:pStyle w:val="13"/>
        <w:snapToGrid w:val="0"/>
        <w:spacing w:line="440" w:lineRule="atLeast"/>
        <w:ind w:firstLine="440" w:firstLineChars="200"/>
        <w:rPr>
          <w:rFonts w:hAnsi="宋体"/>
          <w:sz w:val="22"/>
          <w:szCs w:val="22"/>
        </w:rPr>
      </w:pPr>
      <w:r>
        <w:rPr>
          <w:rFonts w:hint="eastAsia" w:hAnsi="宋体"/>
          <w:sz w:val="22"/>
          <w:szCs w:val="22"/>
        </w:rPr>
        <w:t>第十一条  验收移交</w:t>
      </w:r>
    </w:p>
    <w:p>
      <w:pPr>
        <w:pStyle w:val="13"/>
        <w:snapToGrid w:val="0"/>
        <w:spacing w:line="440" w:lineRule="atLeast"/>
        <w:ind w:firstLine="482"/>
        <w:rPr>
          <w:rFonts w:hAnsi="宋体"/>
          <w:sz w:val="22"/>
          <w:szCs w:val="22"/>
        </w:rPr>
      </w:pPr>
      <w:r>
        <w:rPr>
          <w:rFonts w:hint="eastAsia" w:hAnsi="宋体"/>
          <w:sz w:val="22"/>
          <w:szCs w:val="22"/>
        </w:rPr>
        <w:t>（一）在合同终止前十个工作日内，由乙方书面向甲方提出移交验收申请。</w:t>
      </w:r>
    </w:p>
    <w:p>
      <w:pPr>
        <w:pStyle w:val="13"/>
        <w:snapToGrid w:val="0"/>
        <w:spacing w:line="440" w:lineRule="atLeast"/>
        <w:ind w:firstLine="482"/>
        <w:rPr>
          <w:rFonts w:hAnsi="宋体"/>
          <w:sz w:val="22"/>
          <w:szCs w:val="22"/>
        </w:rPr>
      </w:pPr>
      <w:r>
        <w:rPr>
          <w:rFonts w:hint="eastAsia" w:hAnsi="宋体"/>
          <w:sz w:val="22"/>
          <w:szCs w:val="22"/>
        </w:rPr>
        <w:t>（二）合同期满，乙方必须将全部养护业务及时移交甲方。未经甲方许可，合同期满，乙方不及时移交管理工程给甲方，每超过一天扣除履约保证金的10%。</w:t>
      </w:r>
    </w:p>
    <w:p>
      <w:pPr>
        <w:pStyle w:val="13"/>
        <w:snapToGrid w:val="0"/>
        <w:spacing w:line="440" w:lineRule="atLeast"/>
        <w:ind w:firstLine="440" w:firstLineChars="200"/>
        <w:rPr>
          <w:rFonts w:hAnsi="宋体"/>
          <w:sz w:val="22"/>
          <w:szCs w:val="22"/>
        </w:rPr>
      </w:pPr>
      <w:r>
        <w:rPr>
          <w:rFonts w:hint="eastAsia" w:hAnsi="宋体"/>
          <w:sz w:val="22"/>
          <w:szCs w:val="22"/>
        </w:rPr>
        <w:t>第十二条  争议的解决</w:t>
      </w:r>
    </w:p>
    <w:p>
      <w:pPr>
        <w:pStyle w:val="13"/>
        <w:snapToGrid w:val="0"/>
        <w:spacing w:line="440" w:lineRule="atLeast"/>
        <w:ind w:firstLine="482"/>
        <w:rPr>
          <w:rFonts w:hAnsi="宋体"/>
          <w:sz w:val="22"/>
          <w:szCs w:val="22"/>
        </w:rPr>
      </w:pPr>
      <w:r>
        <w:rPr>
          <w:rFonts w:hint="eastAsia" w:hAnsi="宋体"/>
          <w:sz w:val="22"/>
          <w:szCs w:val="22"/>
        </w:rPr>
        <w:t>合同未尽事宜，应双方友好协调解决。协商不一致，任何一方均可提起仲裁或诉讼，仲裁或诉讼按合同履行地原则。</w:t>
      </w:r>
    </w:p>
    <w:p>
      <w:pPr>
        <w:pStyle w:val="13"/>
        <w:snapToGrid w:val="0"/>
        <w:spacing w:line="440" w:lineRule="atLeast"/>
        <w:ind w:firstLine="482"/>
        <w:rPr>
          <w:rFonts w:hAnsi="宋体"/>
          <w:sz w:val="22"/>
          <w:szCs w:val="22"/>
        </w:rPr>
      </w:pPr>
      <w:r>
        <w:rPr>
          <w:rFonts w:hint="eastAsia" w:hAnsi="宋体"/>
          <w:sz w:val="22"/>
          <w:szCs w:val="22"/>
        </w:rPr>
        <w:t>第十三条  合同生效及终止</w:t>
      </w:r>
    </w:p>
    <w:p>
      <w:pPr>
        <w:pStyle w:val="13"/>
        <w:snapToGrid w:val="0"/>
        <w:spacing w:line="440" w:lineRule="atLeast"/>
        <w:ind w:firstLine="482"/>
        <w:rPr>
          <w:rFonts w:hAnsi="宋体"/>
          <w:sz w:val="22"/>
          <w:szCs w:val="22"/>
        </w:rPr>
      </w:pPr>
      <w:r>
        <w:rPr>
          <w:rFonts w:hint="eastAsia" w:hAnsi="宋体"/>
          <w:sz w:val="22"/>
          <w:szCs w:val="22"/>
        </w:rPr>
        <w:t>（一）本合同在业主单位收到中标供应商提交的履约保证金后，且经双方法定代表人或授权代表签署，业主单位与中标供应商加盖印章后生效。</w:t>
      </w:r>
    </w:p>
    <w:p>
      <w:pPr>
        <w:pStyle w:val="13"/>
        <w:snapToGrid w:val="0"/>
        <w:spacing w:line="440" w:lineRule="atLeast"/>
        <w:ind w:firstLine="482"/>
        <w:rPr>
          <w:rFonts w:hAnsi="宋体"/>
          <w:sz w:val="22"/>
          <w:szCs w:val="22"/>
        </w:rPr>
      </w:pPr>
      <w:r>
        <w:rPr>
          <w:rFonts w:hint="eastAsia" w:hAnsi="宋体"/>
          <w:sz w:val="22"/>
          <w:szCs w:val="22"/>
        </w:rPr>
        <w:t>（二）合同终止：本合同出现以下情况时终止。</w:t>
      </w:r>
    </w:p>
    <w:p>
      <w:pPr>
        <w:pStyle w:val="13"/>
        <w:snapToGrid w:val="0"/>
        <w:spacing w:line="440" w:lineRule="atLeast"/>
        <w:ind w:firstLine="701" w:firstLineChars="319"/>
        <w:rPr>
          <w:rFonts w:hAnsi="宋体"/>
          <w:sz w:val="22"/>
          <w:szCs w:val="22"/>
        </w:rPr>
      </w:pPr>
      <w:r>
        <w:rPr>
          <w:rFonts w:hint="eastAsia" w:hAnsi="宋体"/>
          <w:sz w:val="22"/>
          <w:szCs w:val="22"/>
        </w:rPr>
        <w:t>1、期限届满时自行终止。</w:t>
      </w:r>
    </w:p>
    <w:p>
      <w:pPr>
        <w:pStyle w:val="13"/>
        <w:snapToGrid w:val="0"/>
        <w:spacing w:line="440" w:lineRule="atLeast"/>
        <w:ind w:firstLine="701" w:firstLineChars="319"/>
        <w:rPr>
          <w:rFonts w:hAnsi="宋体"/>
          <w:sz w:val="22"/>
          <w:szCs w:val="22"/>
        </w:rPr>
      </w:pPr>
      <w:r>
        <w:rPr>
          <w:rFonts w:hint="eastAsia" w:hAnsi="宋体"/>
          <w:sz w:val="22"/>
          <w:szCs w:val="22"/>
        </w:rPr>
        <w:t>2、根据《永嘉县城镇园林绿化养护管理标准》I级绿地标准及 “园林绿化养护考核办法”进行检查考评，不符合相关规定需终止合同的。</w:t>
      </w:r>
    </w:p>
    <w:p>
      <w:pPr>
        <w:pStyle w:val="13"/>
        <w:snapToGrid w:val="0"/>
        <w:spacing w:line="440" w:lineRule="atLeast"/>
        <w:ind w:firstLine="701" w:firstLineChars="319"/>
        <w:rPr>
          <w:rFonts w:hAnsi="宋体"/>
          <w:sz w:val="22"/>
          <w:szCs w:val="22"/>
        </w:rPr>
      </w:pPr>
      <w:r>
        <w:rPr>
          <w:rFonts w:hint="eastAsia" w:hAnsi="宋体"/>
          <w:sz w:val="22"/>
          <w:szCs w:val="22"/>
        </w:rPr>
        <w:t>3、有以下行为之一的：</w:t>
      </w:r>
    </w:p>
    <w:p>
      <w:pPr>
        <w:pStyle w:val="13"/>
        <w:snapToGrid w:val="0"/>
        <w:spacing w:line="440" w:lineRule="atLeast"/>
        <w:ind w:firstLine="482"/>
        <w:rPr>
          <w:rFonts w:hAnsi="宋体"/>
          <w:sz w:val="22"/>
          <w:szCs w:val="22"/>
        </w:rPr>
      </w:pPr>
      <w:r>
        <w:rPr>
          <w:rFonts w:hint="eastAsia" w:hAnsi="宋体"/>
          <w:sz w:val="22"/>
          <w:szCs w:val="22"/>
        </w:rPr>
        <w:t>（1）违反管理规定，造成重大伤亡或重大损失。</w:t>
      </w:r>
    </w:p>
    <w:p>
      <w:pPr>
        <w:pStyle w:val="13"/>
        <w:snapToGrid w:val="0"/>
        <w:spacing w:line="440" w:lineRule="atLeast"/>
        <w:ind w:firstLine="482"/>
        <w:rPr>
          <w:rFonts w:hAnsi="宋体"/>
          <w:sz w:val="22"/>
          <w:szCs w:val="22"/>
        </w:rPr>
      </w:pPr>
      <w:r>
        <w:rPr>
          <w:rFonts w:hint="eastAsia" w:hAnsi="宋体"/>
          <w:sz w:val="22"/>
          <w:szCs w:val="22"/>
        </w:rPr>
        <w:t>（2）因管理不善造成恶劣影响。</w:t>
      </w:r>
    </w:p>
    <w:p>
      <w:pPr>
        <w:pStyle w:val="13"/>
        <w:snapToGrid w:val="0"/>
        <w:spacing w:line="440" w:lineRule="atLeast"/>
        <w:ind w:firstLine="482"/>
        <w:rPr>
          <w:rFonts w:hAnsi="宋体"/>
          <w:sz w:val="22"/>
          <w:szCs w:val="22"/>
        </w:rPr>
      </w:pPr>
      <w:r>
        <w:rPr>
          <w:rFonts w:hint="eastAsia" w:hAnsi="宋体"/>
          <w:sz w:val="22"/>
          <w:szCs w:val="22"/>
        </w:rPr>
        <w:t>（3）擅自将合同转包给第三者。</w:t>
      </w:r>
    </w:p>
    <w:p>
      <w:pPr>
        <w:pStyle w:val="13"/>
        <w:snapToGrid w:val="0"/>
        <w:spacing w:line="440" w:lineRule="atLeast"/>
        <w:ind w:firstLine="482"/>
        <w:rPr>
          <w:rFonts w:hAnsi="宋体"/>
          <w:sz w:val="22"/>
          <w:szCs w:val="22"/>
        </w:rPr>
      </w:pPr>
      <w:r>
        <w:rPr>
          <w:rFonts w:hint="eastAsia" w:hAnsi="宋体"/>
          <w:sz w:val="22"/>
          <w:szCs w:val="22"/>
        </w:rPr>
        <w:t>（4）违反劳动法或其他相关法律法规，造成恶劣影响。</w:t>
      </w:r>
    </w:p>
    <w:p>
      <w:pPr>
        <w:pStyle w:val="13"/>
        <w:snapToGrid w:val="0"/>
        <w:spacing w:line="440" w:lineRule="atLeast"/>
        <w:ind w:firstLine="482"/>
        <w:rPr>
          <w:rFonts w:hAnsi="宋体"/>
          <w:sz w:val="22"/>
          <w:szCs w:val="22"/>
        </w:rPr>
      </w:pPr>
      <w:r>
        <w:rPr>
          <w:rFonts w:hint="eastAsia" w:hAnsi="宋体"/>
          <w:sz w:val="22"/>
          <w:szCs w:val="22"/>
        </w:rPr>
        <w:t>（5）弄虚作假及其他不正当行为。</w:t>
      </w:r>
    </w:p>
    <w:p>
      <w:pPr>
        <w:pStyle w:val="13"/>
        <w:snapToGrid w:val="0"/>
        <w:spacing w:line="440" w:lineRule="atLeast"/>
        <w:ind w:firstLine="701" w:firstLineChars="319"/>
        <w:rPr>
          <w:rFonts w:hAnsi="宋体"/>
          <w:sz w:val="22"/>
          <w:szCs w:val="22"/>
        </w:rPr>
      </w:pPr>
      <w:r>
        <w:rPr>
          <w:rFonts w:hint="eastAsia" w:hAnsi="宋体"/>
          <w:sz w:val="22"/>
          <w:szCs w:val="22"/>
        </w:rPr>
        <w:t>4、法律规定的终止事由。</w:t>
      </w:r>
    </w:p>
    <w:p>
      <w:pPr>
        <w:pStyle w:val="13"/>
        <w:snapToGrid w:val="0"/>
        <w:spacing w:line="440" w:lineRule="atLeast"/>
        <w:ind w:firstLine="482"/>
        <w:rPr>
          <w:rFonts w:hAnsi="宋体"/>
          <w:sz w:val="22"/>
          <w:szCs w:val="22"/>
        </w:rPr>
      </w:pPr>
      <w:r>
        <w:rPr>
          <w:rFonts w:hint="eastAsia" w:hAnsi="宋体"/>
          <w:sz w:val="22"/>
          <w:szCs w:val="22"/>
        </w:rPr>
        <w:t>（三）本合同一式拾份，双方各伍份。</w:t>
      </w:r>
    </w:p>
    <w:p>
      <w:pPr>
        <w:pStyle w:val="13"/>
        <w:snapToGrid w:val="0"/>
        <w:spacing w:line="440" w:lineRule="atLeast"/>
        <w:ind w:firstLine="440" w:firstLineChars="200"/>
        <w:rPr>
          <w:rFonts w:hAnsi="宋体"/>
          <w:sz w:val="22"/>
          <w:szCs w:val="22"/>
        </w:rPr>
      </w:pPr>
      <w:r>
        <w:rPr>
          <w:rFonts w:hint="eastAsia" w:hAnsi="宋体"/>
          <w:sz w:val="22"/>
          <w:szCs w:val="22"/>
        </w:rPr>
        <w:t>第十四条  合同的解释</w:t>
      </w:r>
    </w:p>
    <w:p>
      <w:pPr>
        <w:pStyle w:val="13"/>
        <w:snapToGrid w:val="0"/>
        <w:spacing w:line="440" w:lineRule="atLeast"/>
        <w:ind w:firstLine="482"/>
        <w:rPr>
          <w:rFonts w:hAnsi="宋体"/>
          <w:sz w:val="22"/>
          <w:szCs w:val="22"/>
        </w:rPr>
      </w:pPr>
      <w:r>
        <w:rPr>
          <w:rFonts w:hint="eastAsia" w:hAnsi="宋体"/>
          <w:sz w:val="22"/>
          <w:szCs w:val="22"/>
        </w:rPr>
        <w:t>本合同的解释权在甲方。</w:t>
      </w:r>
    </w:p>
    <w:p>
      <w:pPr>
        <w:pStyle w:val="13"/>
        <w:numPr>
          <w:ilvl w:val="0"/>
          <w:numId w:val="8"/>
        </w:numPr>
        <w:snapToGrid w:val="0"/>
        <w:spacing w:line="440" w:lineRule="atLeast"/>
        <w:ind w:firstLine="482"/>
        <w:rPr>
          <w:rFonts w:hAnsi="宋体"/>
          <w:sz w:val="22"/>
          <w:szCs w:val="22"/>
        </w:rPr>
      </w:pPr>
      <w:r>
        <w:rPr>
          <w:rFonts w:hint="eastAsia" w:hAnsi="宋体"/>
          <w:sz w:val="22"/>
          <w:szCs w:val="22"/>
        </w:rPr>
        <w:t xml:space="preserve"> 补充条款</w:t>
      </w:r>
    </w:p>
    <w:p>
      <w:pPr>
        <w:pStyle w:val="13"/>
        <w:numPr>
          <w:ilvl w:val="0"/>
          <w:numId w:val="9"/>
        </w:numPr>
        <w:snapToGrid w:val="0"/>
        <w:spacing w:line="440" w:lineRule="atLeast"/>
        <w:rPr>
          <w:rFonts w:hAnsi="宋体"/>
          <w:b/>
          <w:bCs/>
          <w:sz w:val="22"/>
          <w:szCs w:val="22"/>
          <w:highlight w:val="none"/>
        </w:rPr>
      </w:pPr>
      <w:r>
        <w:rPr>
          <w:rFonts w:hint="eastAsia" w:hAnsi="宋体"/>
          <w:b/>
          <w:bCs/>
          <w:sz w:val="22"/>
          <w:szCs w:val="22"/>
          <w:highlight w:val="none"/>
        </w:rPr>
        <w:t>中塘溪公园内的雷锋屋、母婴室、屿山公园直饮水，由乙方派专人管理，屿山公园直饮水每年滤芯需更换三次，需长期开张，不准停业；</w:t>
      </w:r>
    </w:p>
    <w:p>
      <w:pPr>
        <w:pStyle w:val="13"/>
        <w:numPr>
          <w:ilvl w:val="0"/>
          <w:numId w:val="9"/>
        </w:numPr>
        <w:snapToGrid w:val="0"/>
        <w:spacing w:line="440" w:lineRule="atLeast"/>
        <w:rPr>
          <w:b/>
          <w:bCs/>
          <w:highlight w:val="none"/>
        </w:rPr>
      </w:pPr>
      <w:r>
        <w:rPr>
          <w:rFonts w:hint="eastAsia" w:hAnsi="宋体"/>
          <w:b/>
          <w:bCs/>
          <w:sz w:val="22"/>
          <w:szCs w:val="22"/>
          <w:highlight w:val="none"/>
        </w:rPr>
        <w:t>滨江公园浦口段630平方米、浦东段70平方米的管理房无偿供乙方使用，用于堆放肥料、工具及办公等；</w:t>
      </w:r>
    </w:p>
    <w:p>
      <w:pPr>
        <w:pStyle w:val="13"/>
        <w:numPr>
          <w:ilvl w:val="0"/>
          <w:numId w:val="9"/>
        </w:numPr>
        <w:snapToGrid w:val="0"/>
        <w:spacing w:line="440" w:lineRule="atLeast"/>
        <w:rPr>
          <w:rFonts w:hAnsi="宋体"/>
          <w:b/>
          <w:bCs/>
          <w:sz w:val="22"/>
          <w:szCs w:val="22"/>
          <w:highlight w:val="none"/>
          <w:lang w:val="zh-CN"/>
        </w:rPr>
      </w:pPr>
      <w:r>
        <w:rPr>
          <w:rFonts w:hint="eastAsia" w:hAnsi="宋体"/>
          <w:b/>
          <w:bCs/>
          <w:sz w:val="22"/>
          <w:szCs w:val="22"/>
          <w:highlight w:val="none"/>
          <w:lang w:val="zh-CN"/>
        </w:rPr>
        <w:t>永嘉县综合行政执法局 浙CB6621 程力威CLW5050JKJ5高空作业车升降车 LEFYFCG35GHN94181 GB172608 201705 使用于高空修剪作业；浙CB9538洒水车 中联ZLJ5123G0XDFE4  LGAX2A12BF1019880 E3008601 20151203 ，上述车辆</w:t>
      </w:r>
      <w:r>
        <w:rPr>
          <w:rFonts w:hint="eastAsia" w:hAnsi="宋体"/>
          <w:b/>
          <w:bCs/>
          <w:sz w:val="22"/>
          <w:szCs w:val="22"/>
          <w:highlight w:val="none"/>
        </w:rPr>
        <w:t>无偿供乙方使用，期间产生的保险费、油费、维修费、司机佣金、事故责任等一切费用和责任由乙方承担。</w:t>
      </w:r>
      <w:r>
        <w:rPr>
          <w:rFonts w:hint="eastAsia" w:hAnsi="宋体"/>
          <w:b/>
          <w:bCs/>
          <w:sz w:val="22"/>
          <w:szCs w:val="22"/>
          <w:highlight w:val="none"/>
          <w:lang w:val="zh-CN"/>
        </w:rPr>
        <w:t xml:space="preserve">  </w:t>
      </w:r>
    </w:p>
    <w:p>
      <w:pPr>
        <w:pStyle w:val="13"/>
        <w:numPr>
          <w:ilvl w:val="255"/>
          <w:numId w:val="0"/>
        </w:numPr>
        <w:snapToGrid w:val="0"/>
        <w:spacing w:line="440" w:lineRule="atLeast"/>
        <w:ind w:left="990"/>
        <w:rPr>
          <w:rFonts w:hAnsi="宋体"/>
          <w:b/>
          <w:bCs/>
          <w:sz w:val="22"/>
          <w:szCs w:val="22"/>
          <w:highlight w:val="none"/>
        </w:rPr>
      </w:pPr>
      <w:r>
        <w:rPr>
          <w:rFonts w:hint="eastAsia" w:hAnsi="宋体"/>
          <w:b/>
          <w:bCs/>
          <w:sz w:val="22"/>
          <w:szCs w:val="22"/>
          <w:highlight w:val="none"/>
        </w:rPr>
        <w:t>4、八个公园的水电费由承包单位负责。</w:t>
      </w:r>
    </w:p>
    <w:p>
      <w:pPr>
        <w:pStyle w:val="13"/>
        <w:snapToGrid w:val="0"/>
        <w:spacing w:line="440" w:lineRule="atLeast"/>
        <w:ind w:left="990"/>
        <w:rPr>
          <w:rFonts w:hAnsi="宋体"/>
          <w:b/>
          <w:bCs/>
          <w:sz w:val="22"/>
          <w:szCs w:val="22"/>
          <w:highlight w:val="none"/>
        </w:rPr>
      </w:pPr>
      <w:r>
        <w:rPr>
          <w:rFonts w:hint="eastAsia" w:hAnsi="宋体"/>
          <w:b/>
          <w:bCs/>
          <w:sz w:val="22"/>
          <w:szCs w:val="22"/>
          <w:highlight w:val="none"/>
        </w:rPr>
        <w:t>5、承包单位负责向相关部门申请专用水龙头。</w:t>
      </w:r>
    </w:p>
    <w:p>
      <w:pPr>
        <w:pStyle w:val="13"/>
        <w:snapToGrid w:val="0"/>
        <w:spacing w:line="400" w:lineRule="atLeast"/>
        <w:ind w:firstLine="482"/>
        <w:rPr>
          <w:rFonts w:hAnsi="宋体"/>
          <w:sz w:val="22"/>
          <w:szCs w:val="22"/>
        </w:rPr>
      </w:pPr>
    </w:p>
    <w:p>
      <w:pPr>
        <w:pStyle w:val="13"/>
        <w:snapToGrid w:val="0"/>
        <w:spacing w:line="400" w:lineRule="atLeast"/>
        <w:ind w:firstLine="482"/>
        <w:rPr>
          <w:rFonts w:hAnsi="宋体"/>
          <w:sz w:val="22"/>
          <w:szCs w:val="22"/>
        </w:rPr>
      </w:pPr>
      <w:r>
        <w:rPr>
          <w:rFonts w:hint="eastAsia" w:hAnsi="宋体"/>
          <w:sz w:val="22"/>
          <w:szCs w:val="22"/>
        </w:rPr>
        <w:t>甲    方：（印章）                    乙    方：（印章）</w:t>
      </w:r>
    </w:p>
    <w:p>
      <w:pPr>
        <w:pStyle w:val="13"/>
        <w:snapToGrid w:val="0"/>
        <w:spacing w:line="400" w:lineRule="atLeast"/>
        <w:ind w:firstLine="482"/>
        <w:rPr>
          <w:rFonts w:hAnsi="宋体"/>
          <w:sz w:val="22"/>
          <w:szCs w:val="22"/>
        </w:rPr>
      </w:pPr>
      <w:r>
        <w:rPr>
          <w:rFonts w:hint="eastAsia" w:hAnsi="宋体"/>
          <w:sz w:val="22"/>
          <w:szCs w:val="22"/>
        </w:rPr>
        <w:t>全权代表：（签字）                    全权代表：（签字）</w:t>
      </w:r>
    </w:p>
    <w:p>
      <w:pPr>
        <w:pStyle w:val="13"/>
        <w:snapToGrid w:val="0"/>
        <w:spacing w:line="400" w:lineRule="atLeast"/>
        <w:ind w:firstLine="482"/>
        <w:rPr>
          <w:rFonts w:hAnsi="宋体"/>
          <w:sz w:val="22"/>
          <w:szCs w:val="22"/>
        </w:rPr>
      </w:pPr>
      <w:r>
        <w:rPr>
          <w:rFonts w:hint="eastAsia" w:hAnsi="宋体"/>
          <w:sz w:val="22"/>
          <w:szCs w:val="22"/>
        </w:rPr>
        <w:t>地    址：                            地    址：</w:t>
      </w:r>
    </w:p>
    <w:p>
      <w:pPr>
        <w:pStyle w:val="13"/>
        <w:snapToGrid w:val="0"/>
        <w:spacing w:line="400" w:lineRule="atLeast"/>
        <w:ind w:firstLine="482"/>
        <w:rPr>
          <w:rFonts w:hAnsi="宋体"/>
          <w:sz w:val="22"/>
          <w:szCs w:val="22"/>
        </w:rPr>
      </w:pPr>
      <w:r>
        <w:rPr>
          <w:rFonts w:hint="eastAsia" w:hAnsi="宋体"/>
          <w:sz w:val="22"/>
          <w:szCs w:val="22"/>
        </w:rPr>
        <w:t>邮政编码：                            邮政编码：</w:t>
      </w:r>
    </w:p>
    <w:p>
      <w:pPr>
        <w:pStyle w:val="13"/>
        <w:snapToGrid w:val="0"/>
        <w:spacing w:line="400" w:lineRule="atLeast"/>
        <w:ind w:firstLine="482"/>
        <w:rPr>
          <w:rFonts w:hAnsi="宋体"/>
          <w:sz w:val="22"/>
          <w:szCs w:val="22"/>
        </w:rPr>
      </w:pPr>
      <w:r>
        <w:rPr>
          <w:rFonts w:hint="eastAsia" w:hAnsi="宋体"/>
          <w:sz w:val="22"/>
          <w:szCs w:val="22"/>
        </w:rPr>
        <w:t>电    话：                            电    话：</w:t>
      </w:r>
    </w:p>
    <w:p>
      <w:pPr>
        <w:pStyle w:val="13"/>
        <w:snapToGrid w:val="0"/>
        <w:spacing w:line="400" w:lineRule="atLeast"/>
        <w:ind w:firstLine="482"/>
        <w:rPr>
          <w:rFonts w:hAnsi="宋体"/>
          <w:sz w:val="22"/>
          <w:szCs w:val="22"/>
        </w:rPr>
      </w:pPr>
      <w:r>
        <w:rPr>
          <w:rFonts w:hint="eastAsia" w:hAnsi="宋体"/>
          <w:sz w:val="22"/>
          <w:szCs w:val="22"/>
        </w:rPr>
        <w:t>传    真：                            传    真：</w:t>
      </w:r>
    </w:p>
    <w:p>
      <w:pPr>
        <w:pStyle w:val="13"/>
        <w:snapToGrid w:val="0"/>
        <w:spacing w:line="400" w:lineRule="atLeast"/>
        <w:ind w:firstLine="482"/>
        <w:rPr>
          <w:rFonts w:hAnsi="宋体"/>
          <w:sz w:val="22"/>
          <w:szCs w:val="22"/>
        </w:rPr>
      </w:pPr>
      <w:r>
        <w:rPr>
          <w:rFonts w:hint="eastAsia" w:hAnsi="宋体"/>
          <w:sz w:val="22"/>
          <w:szCs w:val="22"/>
        </w:rPr>
        <w:t>开户银行：                            开户银行：</w:t>
      </w:r>
    </w:p>
    <w:p>
      <w:pPr>
        <w:pStyle w:val="13"/>
        <w:snapToGrid w:val="0"/>
        <w:spacing w:line="400" w:lineRule="atLeast"/>
        <w:ind w:firstLine="482"/>
        <w:rPr>
          <w:rFonts w:hAnsi="宋体"/>
          <w:sz w:val="22"/>
          <w:szCs w:val="22"/>
        </w:rPr>
      </w:pPr>
      <w:r>
        <w:rPr>
          <w:rFonts w:hint="eastAsia" w:hAnsi="宋体"/>
          <w:sz w:val="22"/>
          <w:szCs w:val="22"/>
        </w:rPr>
        <w:t>帐    号：                            帐    号：</w:t>
      </w:r>
    </w:p>
    <w:p>
      <w:pPr>
        <w:pStyle w:val="13"/>
        <w:snapToGrid w:val="0"/>
        <w:spacing w:line="400" w:lineRule="atLeast"/>
        <w:ind w:firstLine="482"/>
        <w:rPr>
          <w:rFonts w:hAnsi="宋体"/>
          <w:sz w:val="22"/>
          <w:szCs w:val="22"/>
        </w:rPr>
      </w:pPr>
      <w:r>
        <w:rPr>
          <w:rFonts w:hint="eastAsia" w:hAnsi="宋体"/>
          <w:sz w:val="22"/>
          <w:szCs w:val="22"/>
        </w:rPr>
        <w:t>时    间：                            时    间：</w:t>
      </w:r>
    </w:p>
    <w:p>
      <w:pPr>
        <w:spacing w:line="360" w:lineRule="auto"/>
        <w:ind w:firstLine="1215" w:firstLineChars="550"/>
        <w:rPr>
          <w:rFonts w:ascii="宋体" w:hAnsi="宋体" w:cs="宋体"/>
          <w:b/>
          <w:sz w:val="22"/>
          <w:szCs w:val="22"/>
        </w:rPr>
      </w:pPr>
    </w:p>
    <w:p>
      <w:pPr>
        <w:pStyle w:val="23"/>
        <w:rPr>
          <w:rFonts w:ascii="宋体" w:hAnsi="宋体" w:cs="宋体"/>
          <w:sz w:val="22"/>
          <w:szCs w:val="22"/>
        </w:rPr>
      </w:pPr>
      <w:r>
        <w:rPr>
          <w:rFonts w:hint="eastAsia" w:ascii="宋体" w:hAnsi="宋体" w:cs="宋体"/>
        </w:rPr>
        <w:br w:type="page"/>
      </w:r>
      <w:bookmarkEnd w:id="68"/>
      <w:bookmarkEnd w:id="71"/>
    </w:p>
    <w:p>
      <w:pPr>
        <w:pStyle w:val="23"/>
        <w:rPr>
          <w:rFonts w:ascii="宋体" w:hAnsi="宋体" w:cs="宋体"/>
          <w:b/>
          <w:bCs/>
          <w:sz w:val="32"/>
          <w:szCs w:val="32"/>
        </w:rPr>
      </w:pPr>
      <w:bookmarkStart w:id="75" w:name="_Toc496116263"/>
      <w:bookmarkStart w:id="76" w:name="_Toc293038721"/>
      <w:bookmarkStart w:id="77" w:name="_Toc73091440"/>
      <w:bookmarkStart w:id="78" w:name="_Toc498343172"/>
      <w:r>
        <w:rPr>
          <w:rFonts w:hint="eastAsia" w:ascii="宋体" w:hAnsi="宋体" w:cs="宋体"/>
          <w:sz w:val="30"/>
          <w:szCs w:val="30"/>
        </w:rPr>
        <w:t>第六部分 投标文件格式</w:t>
      </w:r>
      <w:bookmarkEnd w:id="75"/>
      <w:bookmarkEnd w:id="76"/>
      <w:bookmarkEnd w:id="77"/>
      <w:bookmarkEnd w:id="78"/>
      <w:bookmarkStart w:id="79" w:name="_Toc498343176"/>
      <w:bookmarkStart w:id="80" w:name="_Toc496116282"/>
      <w:bookmarkStart w:id="81" w:name="_Toc161563051"/>
      <w:bookmarkStart w:id="82" w:name="_Toc293038733"/>
    </w:p>
    <w:p>
      <w:pPr>
        <w:pStyle w:val="23"/>
        <w:rPr>
          <w:rFonts w:ascii="宋体" w:hAnsi="宋体" w:cs="宋体"/>
        </w:rPr>
      </w:pPr>
      <w:bookmarkStart w:id="83" w:name="_Toc73091441"/>
      <w:bookmarkStart w:id="84" w:name="_Toc42678689"/>
      <w:bookmarkStart w:id="85" w:name="_Toc301515381"/>
      <w:r>
        <w:rPr>
          <w:rFonts w:hint="eastAsia" w:ascii="宋体" w:hAnsi="宋体" w:cs="宋体"/>
        </w:rPr>
        <w:t>一、资格文件部分格式</w:t>
      </w:r>
      <w:bookmarkEnd w:id="83"/>
      <w:bookmarkEnd w:id="84"/>
    </w:p>
    <w:p>
      <w:pPr>
        <w:widowControl/>
        <w:spacing w:line="460" w:lineRule="atLeast"/>
        <w:jc w:val="left"/>
        <w:rPr>
          <w:rFonts w:ascii="宋体" w:hAnsi="宋体" w:cs="宋体"/>
          <w:b/>
          <w:bCs/>
          <w:sz w:val="22"/>
          <w:szCs w:val="22"/>
        </w:rPr>
      </w:pPr>
      <w:r>
        <w:rPr>
          <w:rFonts w:hint="eastAsia" w:ascii="宋体" w:hAnsi="宋体" w:cs="宋体"/>
          <w:b/>
          <w:bCs/>
          <w:sz w:val="22"/>
          <w:szCs w:val="22"/>
        </w:rPr>
        <w:t>附件一</w:t>
      </w:r>
    </w:p>
    <w:p>
      <w:pPr>
        <w:pStyle w:val="23"/>
        <w:rPr>
          <w:rFonts w:ascii="宋体" w:hAnsi="宋体" w:cs="宋体"/>
          <w:lang w:val="zh-CN"/>
        </w:rPr>
      </w:pPr>
      <w:bookmarkStart w:id="86" w:name="_Toc42678690"/>
      <w:bookmarkStart w:id="87" w:name="_Toc42243282"/>
      <w:bookmarkStart w:id="88" w:name="_Toc73091442"/>
      <w:bookmarkStart w:id="89" w:name="_Toc42678024"/>
      <w:bookmarkStart w:id="90" w:name="_Toc42678179"/>
      <w:bookmarkStart w:id="91" w:name="_Toc61444210"/>
      <w:r>
        <w:rPr>
          <w:rFonts w:hint="eastAsia" w:ascii="宋体" w:hAnsi="宋体" w:cs="宋体"/>
          <w:lang w:val="zh-CN"/>
        </w:rPr>
        <w:t>具有履行合同所必需的设备和专业技术能力的承诺函</w:t>
      </w:r>
      <w:bookmarkEnd w:id="86"/>
      <w:bookmarkEnd w:id="87"/>
      <w:bookmarkEnd w:id="88"/>
      <w:bookmarkEnd w:id="89"/>
      <w:bookmarkEnd w:id="90"/>
      <w:bookmarkEnd w:id="91"/>
    </w:p>
    <w:p>
      <w:pPr>
        <w:spacing w:line="460" w:lineRule="exact"/>
        <w:rPr>
          <w:rFonts w:ascii="宋体" w:hAnsi="宋体" w:cs="宋体"/>
          <w:b/>
          <w:sz w:val="22"/>
          <w:szCs w:val="22"/>
          <w:u w:val="single"/>
        </w:rPr>
      </w:pPr>
    </w:p>
    <w:p>
      <w:pPr>
        <w:spacing w:line="460" w:lineRule="exact"/>
        <w:rPr>
          <w:rFonts w:ascii="宋体" w:hAnsi="宋体" w:cs="宋体"/>
          <w:sz w:val="22"/>
          <w:szCs w:val="22"/>
          <w:u w:val="single"/>
        </w:rPr>
      </w:pPr>
      <w:r>
        <w:rPr>
          <w:rFonts w:hint="eastAsia" w:ascii="宋体" w:hAnsi="宋体" w:cs="宋体"/>
          <w:sz w:val="22"/>
          <w:szCs w:val="22"/>
          <w:u w:val="single"/>
        </w:rPr>
        <w:t>永嘉县综合行政执法局：</w:t>
      </w:r>
    </w:p>
    <w:p>
      <w:pPr>
        <w:spacing w:line="460" w:lineRule="exact"/>
        <w:rPr>
          <w:rFonts w:ascii="宋体" w:hAnsi="宋体" w:cs="宋体"/>
          <w:sz w:val="22"/>
          <w:szCs w:val="22"/>
          <w:u w:val="single"/>
        </w:rPr>
      </w:pPr>
      <w:r>
        <w:rPr>
          <w:rFonts w:hint="eastAsia" w:ascii="宋体" w:hAnsi="宋体" w:cs="宋体"/>
          <w:sz w:val="22"/>
          <w:szCs w:val="22"/>
          <w:u w:val="single"/>
        </w:rPr>
        <w:t>浙江至诚工程咨询有限责任公司：</w:t>
      </w:r>
    </w:p>
    <w:p>
      <w:pPr>
        <w:widowControl/>
        <w:snapToGrid w:val="0"/>
        <w:spacing w:line="460" w:lineRule="exact"/>
        <w:ind w:firstLine="440" w:firstLineChars="200"/>
        <w:jc w:val="left"/>
        <w:rPr>
          <w:rFonts w:ascii="宋体" w:hAnsi="宋体" w:cs="宋体"/>
          <w:sz w:val="22"/>
          <w:szCs w:val="22"/>
        </w:rPr>
      </w:pPr>
    </w:p>
    <w:p>
      <w:pPr>
        <w:widowControl/>
        <w:snapToGrid w:val="0"/>
        <w:spacing w:line="460" w:lineRule="exact"/>
        <w:ind w:firstLine="440" w:firstLineChars="200"/>
        <w:jc w:val="left"/>
        <w:rPr>
          <w:rFonts w:ascii="宋体" w:hAnsi="宋体" w:cs="宋体"/>
          <w:sz w:val="22"/>
          <w:szCs w:val="22"/>
        </w:rPr>
      </w:pPr>
      <w:r>
        <w:rPr>
          <w:rFonts w:hint="eastAsia" w:ascii="宋体" w:hAnsi="宋体" w:cs="宋体"/>
          <w:sz w:val="22"/>
          <w:szCs w:val="22"/>
        </w:rPr>
        <w:t>我方</w:t>
      </w:r>
      <w:r>
        <w:rPr>
          <w:rFonts w:hint="eastAsia" w:ascii="宋体" w:hAnsi="宋体" w:cs="宋体"/>
          <w:sz w:val="22"/>
          <w:szCs w:val="22"/>
          <w:u w:val="single"/>
        </w:rPr>
        <w:t xml:space="preserve"> （供应商）</w:t>
      </w:r>
      <w:r>
        <w:rPr>
          <w:rFonts w:hint="eastAsia" w:ascii="宋体" w:hAnsi="宋体" w:cs="宋体"/>
          <w:sz w:val="22"/>
          <w:szCs w:val="22"/>
        </w:rPr>
        <w:t>承诺具有履行合同所必需的设备和专业技术能力。如有虚假，采购人可取消我方任何资格（投标/中标/签订合同），我方对此无任何异议。</w:t>
      </w:r>
    </w:p>
    <w:p>
      <w:pPr>
        <w:widowControl/>
        <w:snapToGrid w:val="0"/>
        <w:spacing w:line="460" w:lineRule="exact"/>
        <w:ind w:firstLine="440" w:firstLineChars="200"/>
        <w:jc w:val="left"/>
        <w:rPr>
          <w:rFonts w:ascii="宋体" w:hAnsi="宋体" w:cs="宋体"/>
          <w:sz w:val="22"/>
          <w:szCs w:val="22"/>
        </w:rPr>
      </w:pPr>
    </w:p>
    <w:p>
      <w:pPr>
        <w:widowControl/>
        <w:snapToGrid w:val="0"/>
        <w:spacing w:line="460" w:lineRule="exact"/>
        <w:ind w:firstLine="440" w:firstLineChars="200"/>
        <w:jc w:val="left"/>
        <w:rPr>
          <w:rFonts w:ascii="宋体" w:hAnsi="宋体" w:cs="宋体"/>
          <w:sz w:val="22"/>
          <w:szCs w:val="22"/>
        </w:rPr>
      </w:pPr>
      <w:r>
        <w:rPr>
          <w:rFonts w:hint="eastAsia" w:ascii="宋体" w:hAnsi="宋体" w:cs="宋体"/>
          <w:sz w:val="22"/>
          <w:szCs w:val="22"/>
        </w:rPr>
        <w:t>特此承诺！</w:t>
      </w:r>
    </w:p>
    <w:p>
      <w:pPr>
        <w:widowControl/>
        <w:snapToGrid w:val="0"/>
        <w:spacing w:line="460" w:lineRule="exact"/>
        <w:ind w:firstLine="440" w:firstLineChars="200"/>
        <w:jc w:val="left"/>
        <w:rPr>
          <w:rFonts w:ascii="宋体" w:hAnsi="宋体" w:cs="宋体"/>
          <w:sz w:val="22"/>
          <w:szCs w:val="22"/>
        </w:rPr>
      </w:pPr>
    </w:p>
    <w:p>
      <w:pPr>
        <w:widowControl/>
        <w:snapToGrid w:val="0"/>
        <w:spacing w:line="460" w:lineRule="exact"/>
        <w:ind w:firstLine="440" w:firstLineChars="200"/>
        <w:jc w:val="left"/>
        <w:rPr>
          <w:rFonts w:ascii="宋体" w:hAnsi="宋体" w:cs="宋体"/>
          <w:sz w:val="22"/>
          <w:szCs w:val="22"/>
        </w:rPr>
      </w:pPr>
      <w:r>
        <w:rPr>
          <w:rFonts w:hint="eastAsia" w:ascii="宋体" w:hAnsi="宋体" w:cs="宋体"/>
          <w:sz w:val="22"/>
          <w:szCs w:val="22"/>
        </w:rPr>
        <w:t>供应商全称（盖章） ：</w:t>
      </w:r>
    </w:p>
    <w:p>
      <w:pPr>
        <w:widowControl/>
        <w:snapToGrid w:val="0"/>
        <w:spacing w:line="460" w:lineRule="exact"/>
        <w:ind w:firstLine="420" w:firstLineChars="200"/>
        <w:jc w:val="left"/>
        <w:rPr>
          <w:rFonts w:ascii="宋体" w:hAnsi="宋体" w:cs="宋体"/>
          <w:sz w:val="22"/>
          <w:szCs w:val="22"/>
        </w:rPr>
      </w:pPr>
      <w:r>
        <w:rPr>
          <w:rFonts w:hint="eastAsia" w:ascii="宋体" w:hAnsi="宋体" w:cs="宋体"/>
          <w:bCs/>
        </w:rPr>
        <w:t>法定代表人或授权代表（签字或盖章）：</w:t>
      </w:r>
    </w:p>
    <w:p>
      <w:pPr>
        <w:widowControl/>
        <w:snapToGrid w:val="0"/>
        <w:spacing w:line="460" w:lineRule="exact"/>
        <w:ind w:firstLine="440" w:firstLineChars="200"/>
        <w:jc w:val="left"/>
        <w:rPr>
          <w:rFonts w:ascii="宋体" w:hAnsi="宋体" w:cs="宋体"/>
          <w:sz w:val="22"/>
          <w:szCs w:val="22"/>
        </w:rPr>
      </w:pPr>
      <w:r>
        <w:rPr>
          <w:rFonts w:hint="eastAsia" w:ascii="宋体" w:hAnsi="宋体" w:cs="宋体"/>
          <w:sz w:val="22"/>
          <w:szCs w:val="22"/>
        </w:rPr>
        <w:t>日期：</w:t>
      </w:r>
    </w:p>
    <w:p>
      <w:pPr>
        <w:widowControl/>
        <w:spacing w:line="460" w:lineRule="atLeast"/>
        <w:jc w:val="left"/>
        <w:rPr>
          <w:rFonts w:ascii="宋体" w:hAnsi="宋体" w:cs="宋体"/>
          <w:b/>
          <w:lang w:val="zh-CN"/>
        </w:rPr>
      </w:pPr>
      <w:r>
        <w:rPr>
          <w:rFonts w:hint="eastAsia" w:ascii="宋体" w:hAnsi="宋体" w:cs="宋体"/>
          <w:sz w:val="36"/>
          <w:szCs w:val="32"/>
        </w:rPr>
        <w:br w:type="page"/>
      </w:r>
      <w:bookmarkStart w:id="92" w:name="_Toc38543882"/>
      <w:bookmarkStart w:id="93" w:name="_Toc30615"/>
      <w:r>
        <w:rPr>
          <w:rFonts w:hint="eastAsia" w:ascii="宋体" w:hAnsi="宋体" w:cs="宋体"/>
          <w:b/>
          <w:bCs/>
          <w:sz w:val="22"/>
          <w:szCs w:val="22"/>
        </w:rPr>
        <w:t>附件二</w:t>
      </w:r>
    </w:p>
    <w:p>
      <w:pPr>
        <w:pStyle w:val="23"/>
        <w:rPr>
          <w:rFonts w:ascii="宋体" w:hAnsi="宋体" w:cs="宋体"/>
          <w:lang w:val="zh-CN"/>
        </w:rPr>
      </w:pPr>
      <w:r>
        <w:rPr>
          <w:rFonts w:hint="eastAsia" w:ascii="宋体" w:hAnsi="宋体" w:cs="宋体"/>
        </w:rPr>
        <w:t xml:space="preserve"> </w:t>
      </w:r>
      <w:bookmarkStart w:id="94" w:name="_Toc42678025"/>
      <w:bookmarkStart w:id="95" w:name="_Toc61444211"/>
      <w:bookmarkStart w:id="96" w:name="_Toc42678180"/>
      <w:bookmarkStart w:id="97" w:name="_Toc73091443"/>
      <w:bookmarkStart w:id="98" w:name="_Toc42243283"/>
      <w:bookmarkStart w:id="99" w:name="_Toc42678691"/>
      <w:r>
        <w:rPr>
          <w:rFonts w:hint="eastAsia" w:ascii="宋体" w:hAnsi="宋体" w:cs="宋体"/>
          <w:lang w:val="zh-CN"/>
        </w:rPr>
        <w:t>依法缴纳税收和社会保障资金的承诺函</w:t>
      </w:r>
      <w:bookmarkEnd w:id="92"/>
      <w:bookmarkEnd w:id="93"/>
      <w:bookmarkEnd w:id="94"/>
      <w:bookmarkEnd w:id="95"/>
      <w:bookmarkEnd w:id="96"/>
      <w:bookmarkEnd w:id="97"/>
      <w:bookmarkEnd w:id="98"/>
      <w:bookmarkEnd w:id="99"/>
    </w:p>
    <w:p>
      <w:pPr>
        <w:spacing w:line="460" w:lineRule="exact"/>
        <w:rPr>
          <w:rFonts w:ascii="宋体" w:hAnsi="宋体" w:cs="宋体"/>
          <w:sz w:val="22"/>
          <w:szCs w:val="22"/>
          <w:u w:val="single"/>
        </w:rPr>
      </w:pPr>
      <w:r>
        <w:rPr>
          <w:rFonts w:hint="eastAsia" w:ascii="宋体" w:hAnsi="宋体" w:cs="宋体"/>
          <w:sz w:val="22"/>
          <w:szCs w:val="22"/>
          <w:u w:val="single"/>
        </w:rPr>
        <w:t>永嘉县综合行政执法局：</w:t>
      </w:r>
    </w:p>
    <w:p>
      <w:pPr>
        <w:spacing w:line="460" w:lineRule="exact"/>
        <w:rPr>
          <w:rFonts w:ascii="宋体" w:hAnsi="宋体" w:cs="宋体"/>
          <w:sz w:val="22"/>
          <w:szCs w:val="22"/>
          <w:u w:val="single"/>
        </w:rPr>
      </w:pPr>
      <w:r>
        <w:rPr>
          <w:rFonts w:hint="eastAsia" w:ascii="宋体" w:hAnsi="宋体" w:cs="宋体"/>
          <w:sz w:val="22"/>
          <w:szCs w:val="22"/>
          <w:u w:val="single"/>
        </w:rPr>
        <w:t>浙江至诚工程咨询有限责任公司：</w:t>
      </w:r>
    </w:p>
    <w:p>
      <w:pPr>
        <w:spacing w:line="460" w:lineRule="exact"/>
        <w:ind w:firstLine="440" w:firstLineChars="200"/>
        <w:rPr>
          <w:rFonts w:ascii="宋体" w:hAnsi="宋体" w:cs="宋体"/>
          <w:sz w:val="22"/>
          <w:szCs w:val="22"/>
        </w:rPr>
      </w:pPr>
    </w:p>
    <w:p>
      <w:pPr>
        <w:spacing w:line="460" w:lineRule="exact"/>
        <w:ind w:firstLine="440" w:firstLineChars="200"/>
        <w:rPr>
          <w:rFonts w:ascii="宋体" w:hAnsi="宋体" w:cs="宋体"/>
          <w:sz w:val="22"/>
          <w:szCs w:val="22"/>
        </w:rPr>
      </w:pPr>
      <w:r>
        <w:rPr>
          <w:rFonts w:hint="eastAsia" w:ascii="宋体" w:hAnsi="宋体" w:cs="宋体"/>
          <w:sz w:val="22"/>
          <w:szCs w:val="22"/>
        </w:rPr>
        <w:t>我公司郑重声明，我公司严格依法缴纳税收和社会保障资金，本文件中所提供的相关材料均真实有效，不存在虚假、造假行为。如有违反，愿承担一切责任。</w:t>
      </w:r>
    </w:p>
    <w:p>
      <w:pPr>
        <w:spacing w:line="460" w:lineRule="exact"/>
        <w:ind w:firstLine="440" w:firstLineChars="200"/>
        <w:rPr>
          <w:rFonts w:ascii="宋体" w:hAnsi="宋体" w:cs="宋体"/>
          <w:sz w:val="22"/>
          <w:szCs w:val="22"/>
        </w:rPr>
      </w:pPr>
    </w:p>
    <w:p>
      <w:pPr>
        <w:spacing w:line="460" w:lineRule="exact"/>
        <w:ind w:firstLine="440" w:firstLineChars="200"/>
        <w:rPr>
          <w:rFonts w:ascii="宋体" w:hAnsi="宋体" w:cs="宋体"/>
          <w:sz w:val="22"/>
          <w:szCs w:val="22"/>
        </w:rPr>
      </w:pPr>
      <w:r>
        <w:rPr>
          <w:rFonts w:hint="eastAsia" w:ascii="宋体" w:hAnsi="宋体" w:cs="宋体"/>
          <w:sz w:val="22"/>
          <w:szCs w:val="22"/>
        </w:rPr>
        <w:t>特此承诺！</w:t>
      </w:r>
    </w:p>
    <w:p>
      <w:pPr>
        <w:widowControl/>
        <w:snapToGrid w:val="0"/>
        <w:spacing w:line="460" w:lineRule="exact"/>
        <w:ind w:firstLine="440" w:firstLineChars="200"/>
        <w:jc w:val="left"/>
        <w:rPr>
          <w:rFonts w:ascii="宋体" w:hAnsi="宋体" w:cs="宋体"/>
          <w:sz w:val="22"/>
          <w:szCs w:val="22"/>
        </w:rPr>
      </w:pPr>
    </w:p>
    <w:p>
      <w:pPr>
        <w:widowControl/>
        <w:snapToGrid w:val="0"/>
        <w:spacing w:line="460" w:lineRule="exact"/>
        <w:ind w:firstLine="440" w:firstLineChars="200"/>
        <w:jc w:val="left"/>
        <w:rPr>
          <w:rFonts w:ascii="宋体" w:hAnsi="宋体" w:cs="宋体"/>
          <w:sz w:val="22"/>
          <w:szCs w:val="22"/>
        </w:rPr>
      </w:pPr>
      <w:r>
        <w:rPr>
          <w:rFonts w:hint="eastAsia" w:ascii="宋体" w:hAnsi="宋体" w:cs="宋体"/>
          <w:sz w:val="22"/>
          <w:szCs w:val="22"/>
        </w:rPr>
        <w:t>供应商全称（盖章） ：</w:t>
      </w:r>
    </w:p>
    <w:p>
      <w:pPr>
        <w:widowControl/>
        <w:snapToGrid w:val="0"/>
        <w:spacing w:line="460" w:lineRule="exact"/>
        <w:ind w:firstLine="420" w:firstLineChars="200"/>
        <w:jc w:val="left"/>
        <w:rPr>
          <w:rFonts w:ascii="宋体" w:hAnsi="宋体" w:cs="宋体"/>
          <w:sz w:val="22"/>
          <w:szCs w:val="22"/>
        </w:rPr>
      </w:pPr>
      <w:r>
        <w:rPr>
          <w:rFonts w:hint="eastAsia" w:ascii="宋体" w:hAnsi="宋体" w:cs="宋体"/>
          <w:bCs/>
        </w:rPr>
        <w:t>法定代表人或授权代表（签字或盖章）：</w:t>
      </w:r>
    </w:p>
    <w:p>
      <w:pPr>
        <w:widowControl/>
        <w:snapToGrid w:val="0"/>
        <w:spacing w:line="460" w:lineRule="exact"/>
        <w:ind w:firstLine="440" w:firstLineChars="200"/>
        <w:jc w:val="left"/>
        <w:rPr>
          <w:rFonts w:ascii="宋体" w:hAnsi="宋体" w:cs="宋体"/>
          <w:sz w:val="22"/>
          <w:szCs w:val="22"/>
        </w:rPr>
      </w:pPr>
      <w:r>
        <w:rPr>
          <w:rFonts w:hint="eastAsia" w:ascii="宋体" w:hAnsi="宋体" w:cs="宋体"/>
          <w:sz w:val="22"/>
          <w:szCs w:val="22"/>
        </w:rPr>
        <w:t xml:space="preserve">日期： </w:t>
      </w:r>
    </w:p>
    <w:p>
      <w:pPr>
        <w:widowControl/>
        <w:snapToGrid w:val="0"/>
        <w:spacing w:line="460" w:lineRule="exact"/>
        <w:ind w:firstLine="440" w:firstLineChars="200"/>
        <w:jc w:val="left"/>
        <w:rPr>
          <w:rFonts w:ascii="宋体" w:hAnsi="宋体" w:cs="宋体"/>
          <w:sz w:val="22"/>
          <w:szCs w:val="22"/>
        </w:rPr>
      </w:pPr>
    </w:p>
    <w:p>
      <w:pPr>
        <w:widowControl/>
        <w:spacing w:line="460" w:lineRule="atLeast"/>
        <w:jc w:val="left"/>
        <w:rPr>
          <w:rFonts w:ascii="宋体" w:hAnsi="宋体" w:cs="宋体"/>
          <w:b/>
        </w:rPr>
      </w:pPr>
      <w:r>
        <w:rPr>
          <w:rFonts w:hint="eastAsia" w:ascii="宋体" w:hAnsi="宋体" w:cs="宋体"/>
          <w:sz w:val="30"/>
          <w:szCs w:val="32"/>
          <w:lang w:val="zh-CN"/>
        </w:rPr>
        <w:br w:type="page"/>
      </w:r>
      <w:bookmarkStart w:id="100" w:name="_Toc13669"/>
      <w:bookmarkStart w:id="101" w:name="_Toc14988"/>
      <w:bookmarkStart w:id="102" w:name="_Toc10630"/>
      <w:bookmarkStart w:id="103" w:name="_Toc38543883"/>
      <w:bookmarkStart w:id="104" w:name="_Toc28957"/>
      <w:bookmarkStart w:id="105" w:name="_Toc11360"/>
      <w:bookmarkStart w:id="106" w:name="_Toc6606"/>
      <w:bookmarkStart w:id="107" w:name="_Toc31784"/>
      <w:bookmarkStart w:id="108" w:name="_Toc18304"/>
      <w:bookmarkStart w:id="109" w:name="_Toc14589"/>
      <w:bookmarkStart w:id="110" w:name="_Toc33194406"/>
      <w:bookmarkStart w:id="111" w:name="_Toc16491"/>
      <w:bookmarkStart w:id="112" w:name="_Toc31544"/>
      <w:bookmarkStart w:id="113" w:name="_Toc27119255"/>
      <w:r>
        <w:rPr>
          <w:rFonts w:hint="eastAsia" w:ascii="宋体" w:hAnsi="宋体" w:cs="宋体"/>
          <w:b/>
          <w:bCs/>
          <w:sz w:val="22"/>
          <w:szCs w:val="22"/>
        </w:rPr>
        <w:t xml:space="preserve">附件三 </w:t>
      </w:r>
    </w:p>
    <w:p>
      <w:pPr>
        <w:pStyle w:val="23"/>
        <w:rPr>
          <w:rFonts w:ascii="宋体" w:hAnsi="宋体" w:cs="宋体"/>
          <w:lang w:val="zh-CN"/>
        </w:rPr>
      </w:pPr>
      <w:bookmarkStart w:id="114" w:name="_Toc61444212"/>
      <w:bookmarkStart w:id="115" w:name="_Toc42678026"/>
      <w:bookmarkStart w:id="116" w:name="_Toc42678181"/>
      <w:bookmarkStart w:id="117" w:name="_Toc42243284"/>
      <w:bookmarkStart w:id="118" w:name="_Toc42678692"/>
      <w:bookmarkStart w:id="119" w:name="_Toc73091444"/>
      <w:r>
        <w:rPr>
          <w:rFonts w:hint="eastAsia" w:ascii="宋体" w:hAnsi="宋体" w:cs="宋体"/>
          <w:lang w:val="zh-CN"/>
        </w:rPr>
        <w:t>参加政府采购活动前3年内在经营活动中没有重大违法记录的声明函</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spacing w:line="460" w:lineRule="exact"/>
        <w:jc w:val="left"/>
        <w:rPr>
          <w:rFonts w:ascii="宋体" w:hAnsi="宋体" w:cs="宋体"/>
          <w:sz w:val="22"/>
          <w:szCs w:val="22"/>
          <w:u w:val="single"/>
        </w:rPr>
      </w:pPr>
      <w:r>
        <w:rPr>
          <w:rFonts w:hint="eastAsia" w:ascii="宋体" w:hAnsi="宋体" w:cs="宋体"/>
          <w:sz w:val="22"/>
          <w:szCs w:val="22"/>
          <w:u w:val="single"/>
        </w:rPr>
        <w:t>永嘉县综合行政执法局：</w:t>
      </w:r>
    </w:p>
    <w:p>
      <w:pPr>
        <w:spacing w:line="460" w:lineRule="exact"/>
        <w:jc w:val="left"/>
        <w:rPr>
          <w:rFonts w:ascii="宋体" w:hAnsi="宋体" w:cs="宋体"/>
          <w:sz w:val="22"/>
          <w:szCs w:val="22"/>
          <w:u w:val="single"/>
        </w:rPr>
      </w:pPr>
      <w:r>
        <w:rPr>
          <w:rFonts w:hint="eastAsia" w:ascii="宋体" w:hAnsi="宋体" w:cs="宋体"/>
          <w:sz w:val="22"/>
          <w:szCs w:val="22"/>
          <w:u w:val="single"/>
        </w:rPr>
        <w:t>浙江至诚工程咨询有限责任公司：</w:t>
      </w:r>
    </w:p>
    <w:p>
      <w:pPr>
        <w:widowControl/>
        <w:snapToGrid w:val="0"/>
        <w:spacing w:line="460" w:lineRule="exact"/>
        <w:ind w:firstLine="440" w:firstLineChars="200"/>
        <w:jc w:val="left"/>
        <w:rPr>
          <w:rFonts w:ascii="宋体" w:hAnsi="宋体" w:cs="宋体"/>
          <w:sz w:val="22"/>
          <w:szCs w:val="22"/>
        </w:rPr>
      </w:pPr>
      <w:r>
        <w:rPr>
          <w:rFonts w:hint="eastAsia" w:ascii="宋体" w:hAnsi="宋体" w:cs="宋体"/>
          <w:sz w:val="22"/>
          <w:szCs w:val="22"/>
        </w:rPr>
        <w:t>我方</w:t>
      </w:r>
      <w:r>
        <w:rPr>
          <w:rFonts w:hint="eastAsia" w:ascii="宋体" w:hAnsi="宋体" w:cs="宋体"/>
          <w:sz w:val="22"/>
          <w:szCs w:val="22"/>
          <w:u w:val="single"/>
        </w:rPr>
        <w:t xml:space="preserve"> （供应商）</w:t>
      </w:r>
      <w:r>
        <w:rPr>
          <w:rFonts w:hint="eastAsia" w:ascii="宋体" w:hAnsi="宋体" w:cs="宋体"/>
          <w:sz w:val="22"/>
          <w:szCs w:val="22"/>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460" w:lineRule="exact"/>
        <w:ind w:firstLine="440" w:firstLineChars="200"/>
        <w:jc w:val="left"/>
        <w:rPr>
          <w:rFonts w:ascii="宋体" w:hAnsi="宋体" w:cs="宋体"/>
          <w:sz w:val="22"/>
          <w:szCs w:val="22"/>
        </w:rPr>
      </w:pPr>
    </w:p>
    <w:p>
      <w:pPr>
        <w:widowControl/>
        <w:snapToGrid w:val="0"/>
        <w:spacing w:line="460" w:lineRule="exact"/>
        <w:ind w:firstLine="440" w:firstLineChars="200"/>
        <w:jc w:val="left"/>
        <w:rPr>
          <w:rFonts w:ascii="宋体" w:hAnsi="宋体" w:cs="宋体"/>
          <w:sz w:val="22"/>
          <w:szCs w:val="22"/>
        </w:rPr>
      </w:pPr>
      <w:r>
        <w:rPr>
          <w:rFonts w:hint="eastAsia" w:ascii="宋体" w:hAnsi="宋体" w:cs="宋体"/>
          <w:sz w:val="22"/>
          <w:szCs w:val="22"/>
        </w:rPr>
        <w:t>特此承诺！</w:t>
      </w:r>
    </w:p>
    <w:p>
      <w:pPr>
        <w:widowControl/>
        <w:snapToGrid w:val="0"/>
        <w:spacing w:line="460" w:lineRule="exact"/>
        <w:ind w:firstLine="440" w:firstLineChars="200"/>
        <w:jc w:val="left"/>
        <w:rPr>
          <w:rFonts w:ascii="宋体" w:hAnsi="宋体" w:cs="宋体"/>
          <w:sz w:val="22"/>
          <w:szCs w:val="22"/>
        </w:rPr>
      </w:pPr>
    </w:p>
    <w:p>
      <w:pPr>
        <w:widowControl/>
        <w:snapToGrid w:val="0"/>
        <w:spacing w:line="460" w:lineRule="exact"/>
        <w:ind w:firstLine="440" w:firstLineChars="200"/>
        <w:jc w:val="left"/>
        <w:rPr>
          <w:rFonts w:ascii="宋体" w:hAnsi="宋体" w:cs="宋体"/>
          <w:sz w:val="22"/>
          <w:szCs w:val="22"/>
        </w:rPr>
      </w:pPr>
      <w:r>
        <w:rPr>
          <w:rFonts w:hint="eastAsia" w:ascii="宋体" w:hAnsi="宋体" w:cs="宋体"/>
          <w:sz w:val="22"/>
          <w:szCs w:val="22"/>
        </w:rPr>
        <w:t>供应商全称（盖章） ：</w:t>
      </w:r>
    </w:p>
    <w:p>
      <w:pPr>
        <w:widowControl/>
        <w:snapToGrid w:val="0"/>
        <w:spacing w:line="460" w:lineRule="exact"/>
        <w:ind w:firstLine="420" w:firstLineChars="200"/>
        <w:jc w:val="left"/>
        <w:rPr>
          <w:rFonts w:ascii="宋体" w:hAnsi="宋体" w:cs="宋体"/>
          <w:sz w:val="22"/>
          <w:szCs w:val="22"/>
        </w:rPr>
      </w:pPr>
      <w:r>
        <w:rPr>
          <w:rFonts w:hint="eastAsia" w:ascii="宋体" w:hAnsi="宋体" w:cs="宋体"/>
          <w:bCs/>
        </w:rPr>
        <w:t>法定代表人或授权代表（签字或盖章）：</w:t>
      </w:r>
    </w:p>
    <w:p>
      <w:pPr>
        <w:widowControl/>
        <w:snapToGrid w:val="0"/>
        <w:spacing w:line="460" w:lineRule="exact"/>
        <w:ind w:firstLine="440" w:firstLineChars="200"/>
        <w:jc w:val="left"/>
        <w:rPr>
          <w:rFonts w:ascii="宋体" w:hAnsi="宋体" w:cs="宋体"/>
          <w:sz w:val="22"/>
          <w:szCs w:val="22"/>
        </w:rPr>
      </w:pPr>
      <w:r>
        <w:rPr>
          <w:rFonts w:hint="eastAsia" w:ascii="宋体" w:hAnsi="宋体" w:cs="宋体"/>
          <w:sz w:val="22"/>
          <w:szCs w:val="22"/>
        </w:rPr>
        <w:t xml:space="preserve">日期：  </w:t>
      </w:r>
    </w:p>
    <w:p>
      <w:pPr>
        <w:widowControl/>
        <w:spacing w:line="460" w:lineRule="atLeast"/>
        <w:jc w:val="left"/>
        <w:rPr>
          <w:rFonts w:ascii="宋体" w:hAnsi="宋体" w:cs="宋体"/>
          <w:b/>
          <w:sz w:val="32"/>
          <w:szCs w:val="32"/>
        </w:rPr>
      </w:pPr>
      <w:bookmarkStart w:id="120" w:name="_Toc56004404"/>
      <w:r>
        <w:rPr>
          <w:rFonts w:hint="eastAsia" w:ascii="宋体" w:hAnsi="宋体" w:cs="宋体"/>
          <w:sz w:val="32"/>
          <w:szCs w:val="32"/>
          <w:lang w:val="zh-CN"/>
        </w:rPr>
        <w:br w:type="page"/>
      </w:r>
      <w:r>
        <w:rPr>
          <w:rFonts w:hint="eastAsia" w:ascii="宋体" w:hAnsi="宋体" w:cs="宋体"/>
          <w:b/>
          <w:bCs/>
          <w:sz w:val="22"/>
          <w:szCs w:val="22"/>
        </w:rPr>
        <w:t xml:space="preserve">附件四 </w:t>
      </w:r>
    </w:p>
    <w:p>
      <w:pPr>
        <w:pStyle w:val="8"/>
        <w:spacing w:before="240" w:after="60"/>
        <w:jc w:val="center"/>
        <w:outlineLvl w:val="0"/>
        <w:rPr>
          <w:rFonts w:ascii="宋体" w:hAnsi="宋体" w:eastAsia="宋体" w:cs="宋体"/>
          <w:b/>
          <w:color w:val="auto"/>
          <w:kern w:val="0"/>
          <w:sz w:val="32"/>
          <w:szCs w:val="32"/>
          <w:lang w:val="zh-CN"/>
        </w:rPr>
      </w:pPr>
      <w:bookmarkStart w:id="121" w:name="_Toc61444213"/>
      <w:bookmarkStart w:id="122" w:name="_Toc73091445"/>
      <w:r>
        <w:rPr>
          <w:rFonts w:hint="eastAsia" w:ascii="宋体" w:hAnsi="宋体" w:eastAsia="宋体" w:cs="宋体"/>
          <w:b/>
          <w:color w:val="auto"/>
          <w:kern w:val="0"/>
          <w:sz w:val="32"/>
          <w:szCs w:val="32"/>
          <w:lang w:val="zh-CN"/>
        </w:rPr>
        <w:t>与参加本次项目同一合同项下政府采购活动的其他供应商不存在单位负责人为同一人或者直接控股、管理关系的承诺函</w:t>
      </w:r>
      <w:bookmarkEnd w:id="120"/>
      <w:bookmarkEnd w:id="121"/>
      <w:bookmarkEnd w:id="122"/>
    </w:p>
    <w:p>
      <w:pPr>
        <w:spacing w:line="460" w:lineRule="exact"/>
        <w:rPr>
          <w:rFonts w:ascii="宋体" w:hAnsi="宋体" w:cs="宋体"/>
          <w:b/>
          <w:sz w:val="22"/>
          <w:szCs w:val="22"/>
          <w:u w:val="single"/>
        </w:rPr>
      </w:pPr>
    </w:p>
    <w:p>
      <w:pPr>
        <w:spacing w:line="460" w:lineRule="exact"/>
        <w:jc w:val="left"/>
        <w:rPr>
          <w:rFonts w:ascii="宋体" w:hAnsi="宋体" w:cs="宋体"/>
          <w:sz w:val="22"/>
          <w:szCs w:val="22"/>
          <w:u w:val="single"/>
        </w:rPr>
      </w:pPr>
      <w:r>
        <w:rPr>
          <w:rFonts w:hint="eastAsia" w:ascii="宋体" w:hAnsi="宋体" w:cs="宋体"/>
          <w:sz w:val="22"/>
          <w:szCs w:val="22"/>
          <w:u w:val="single"/>
        </w:rPr>
        <w:t>永嘉县综合行政执法局：</w:t>
      </w:r>
    </w:p>
    <w:p>
      <w:pPr>
        <w:spacing w:line="460" w:lineRule="exact"/>
        <w:jc w:val="left"/>
        <w:rPr>
          <w:rFonts w:ascii="宋体" w:hAnsi="宋体" w:cs="宋体"/>
          <w:sz w:val="22"/>
          <w:szCs w:val="22"/>
          <w:u w:val="single"/>
        </w:rPr>
      </w:pPr>
      <w:r>
        <w:rPr>
          <w:rFonts w:hint="eastAsia" w:ascii="宋体" w:hAnsi="宋体" w:cs="宋体"/>
          <w:sz w:val="22"/>
          <w:szCs w:val="22"/>
          <w:u w:val="single"/>
        </w:rPr>
        <w:t>浙江至诚工程咨询有限责任公司：</w:t>
      </w:r>
    </w:p>
    <w:p>
      <w:pPr>
        <w:widowControl/>
        <w:spacing w:line="460" w:lineRule="exact"/>
        <w:ind w:firstLine="440"/>
        <w:jc w:val="left"/>
        <w:rPr>
          <w:rFonts w:ascii="宋体" w:hAnsi="宋体" w:cs="宋体"/>
          <w:sz w:val="22"/>
          <w:szCs w:val="22"/>
        </w:rPr>
      </w:pPr>
      <w:r>
        <w:rPr>
          <w:rFonts w:hint="eastAsia" w:ascii="宋体" w:hAnsi="宋体" w:cs="宋体"/>
          <w:sz w:val="22"/>
          <w:szCs w:val="22"/>
        </w:rPr>
        <w:t>我方郑重承诺，我方此次参加本项目的投标，与参加本次项目同一合同项下政府采购活动的其他供应商不存在单位负责人为同一人或者直接控股、管理关系。如有虚假或隐瞒，愿意承担一切后果。</w:t>
      </w:r>
    </w:p>
    <w:p>
      <w:pPr>
        <w:pStyle w:val="11"/>
        <w:ind w:firstLine="210"/>
        <w:rPr>
          <w:rFonts w:ascii="宋体" w:hAnsi="宋体" w:cs="宋体"/>
        </w:rPr>
      </w:pPr>
    </w:p>
    <w:p>
      <w:pPr>
        <w:widowControl/>
        <w:spacing w:line="460" w:lineRule="exact"/>
        <w:ind w:firstLine="440"/>
        <w:jc w:val="left"/>
        <w:rPr>
          <w:rFonts w:ascii="宋体" w:hAnsi="宋体" w:cs="宋体"/>
          <w:sz w:val="22"/>
          <w:szCs w:val="22"/>
        </w:rPr>
      </w:pPr>
      <w:r>
        <w:rPr>
          <w:rFonts w:hint="eastAsia" w:ascii="宋体" w:hAnsi="宋体" w:cs="宋体"/>
          <w:sz w:val="22"/>
          <w:szCs w:val="22"/>
        </w:rPr>
        <w:t>特此承诺！</w:t>
      </w:r>
    </w:p>
    <w:p>
      <w:pPr>
        <w:widowControl/>
        <w:spacing w:line="460" w:lineRule="exact"/>
        <w:ind w:firstLine="440"/>
        <w:jc w:val="left"/>
        <w:rPr>
          <w:rFonts w:ascii="宋体" w:hAnsi="宋体" w:cs="宋体"/>
          <w:sz w:val="22"/>
          <w:szCs w:val="22"/>
        </w:rPr>
      </w:pPr>
    </w:p>
    <w:p>
      <w:pPr>
        <w:widowControl/>
        <w:spacing w:line="460" w:lineRule="exact"/>
        <w:ind w:firstLine="440"/>
        <w:jc w:val="left"/>
        <w:rPr>
          <w:rFonts w:ascii="宋体" w:hAnsi="宋体" w:cs="宋体"/>
          <w:sz w:val="22"/>
          <w:szCs w:val="22"/>
        </w:rPr>
      </w:pPr>
      <w:r>
        <w:rPr>
          <w:rFonts w:hint="eastAsia" w:ascii="宋体" w:hAnsi="宋体" w:cs="宋体"/>
          <w:sz w:val="22"/>
          <w:szCs w:val="22"/>
        </w:rPr>
        <w:t>供应商全称（盖章） ：</w:t>
      </w:r>
    </w:p>
    <w:p>
      <w:pPr>
        <w:widowControl/>
        <w:spacing w:line="460" w:lineRule="exact"/>
        <w:ind w:firstLine="440"/>
        <w:jc w:val="left"/>
        <w:rPr>
          <w:rFonts w:ascii="宋体" w:hAnsi="宋体" w:cs="宋体"/>
          <w:sz w:val="22"/>
          <w:szCs w:val="22"/>
        </w:rPr>
      </w:pPr>
      <w:r>
        <w:rPr>
          <w:rFonts w:hint="eastAsia" w:ascii="宋体" w:hAnsi="宋体" w:cs="宋体"/>
          <w:bCs/>
        </w:rPr>
        <w:t>法定代表人或授权代表（签字或盖章）：</w:t>
      </w:r>
    </w:p>
    <w:p>
      <w:pPr>
        <w:spacing w:line="460" w:lineRule="atLeast"/>
        <w:ind w:firstLine="440"/>
        <w:rPr>
          <w:rFonts w:ascii="宋体" w:hAnsi="宋体" w:cs="宋体"/>
          <w:sz w:val="36"/>
        </w:rPr>
      </w:pPr>
      <w:r>
        <w:rPr>
          <w:rFonts w:hint="eastAsia" w:ascii="宋体" w:hAnsi="宋体" w:cs="宋体"/>
          <w:sz w:val="22"/>
          <w:szCs w:val="22"/>
        </w:rPr>
        <w:t>日期：</w:t>
      </w:r>
    </w:p>
    <w:p>
      <w:pPr>
        <w:widowControl/>
        <w:snapToGrid w:val="0"/>
        <w:spacing w:line="460" w:lineRule="exact"/>
        <w:ind w:firstLine="440" w:firstLineChars="200"/>
        <w:jc w:val="left"/>
        <w:rPr>
          <w:rFonts w:ascii="宋体" w:hAnsi="宋体" w:cs="宋体"/>
          <w:sz w:val="22"/>
          <w:szCs w:val="22"/>
        </w:rPr>
      </w:pPr>
    </w:p>
    <w:p>
      <w:pPr>
        <w:widowControl/>
        <w:spacing w:line="460" w:lineRule="atLeast"/>
        <w:jc w:val="left"/>
        <w:rPr>
          <w:rFonts w:ascii="宋体" w:hAnsi="宋体" w:cs="宋体"/>
          <w:b/>
          <w:bCs/>
          <w:sz w:val="22"/>
          <w:szCs w:val="22"/>
        </w:rPr>
      </w:pPr>
      <w:bookmarkStart w:id="123" w:name="_Toc509485354"/>
      <w:r>
        <w:rPr>
          <w:rFonts w:hint="eastAsia" w:ascii="宋体" w:hAnsi="宋体" w:cs="宋体"/>
          <w:bCs/>
          <w:sz w:val="22"/>
          <w:szCs w:val="22"/>
        </w:rPr>
        <w:br w:type="page"/>
      </w:r>
      <w:r>
        <w:rPr>
          <w:rFonts w:hint="eastAsia" w:ascii="宋体" w:hAnsi="宋体" w:cs="宋体"/>
          <w:b/>
          <w:bCs/>
          <w:sz w:val="22"/>
          <w:szCs w:val="22"/>
        </w:rPr>
        <w:t xml:space="preserve">附件五 </w:t>
      </w:r>
      <w:bookmarkEnd w:id="123"/>
    </w:p>
    <w:p>
      <w:pPr>
        <w:tabs>
          <w:tab w:val="left" w:pos="1080"/>
        </w:tabs>
        <w:autoSpaceDE w:val="0"/>
        <w:autoSpaceDN w:val="0"/>
        <w:adjustRightInd w:val="0"/>
        <w:spacing w:line="440" w:lineRule="atLeast"/>
        <w:jc w:val="center"/>
        <w:rPr>
          <w:rFonts w:ascii="宋体" w:hAnsi="宋体" w:cs="宋体"/>
          <w:b/>
          <w:sz w:val="32"/>
          <w:lang w:val="zh-CN"/>
        </w:rPr>
      </w:pPr>
      <w:r>
        <w:rPr>
          <w:rFonts w:hint="eastAsia" w:ascii="宋体" w:hAnsi="宋体" w:cs="宋体"/>
          <w:b/>
          <w:sz w:val="32"/>
          <w:szCs w:val="32"/>
          <w:lang w:val="zh-CN"/>
        </w:rPr>
        <w:t>供应商参与政府采购活动投标资格声明函</w:t>
      </w:r>
    </w:p>
    <w:tbl>
      <w:tblPr>
        <w:tblStyle w:val="25"/>
        <w:tblW w:w="960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7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618" w:type="dxa"/>
          </w:tcPr>
          <w:p>
            <w:pPr>
              <w:pStyle w:val="13"/>
              <w:snapToGrid w:val="0"/>
              <w:spacing w:line="400" w:lineRule="exact"/>
              <w:rPr>
                <w:rFonts w:hAnsi="宋体"/>
                <w:bCs/>
              </w:rPr>
            </w:pPr>
            <w:r>
              <w:rPr>
                <w:rFonts w:hint="eastAsia" w:hAnsi="宋体"/>
                <w:bCs/>
              </w:rPr>
              <w:t>项目名称</w:t>
            </w:r>
          </w:p>
        </w:tc>
        <w:tc>
          <w:tcPr>
            <w:tcW w:w="7984" w:type="dxa"/>
          </w:tcPr>
          <w:p>
            <w:pPr>
              <w:pStyle w:val="13"/>
              <w:snapToGrid w:val="0"/>
              <w:spacing w:line="400" w:lineRule="exact"/>
              <w:ind w:left="422" w:firstLine="331"/>
              <w:rPr>
                <w:rFonts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618" w:type="dxa"/>
          </w:tcPr>
          <w:p>
            <w:pPr>
              <w:pStyle w:val="13"/>
              <w:snapToGrid w:val="0"/>
              <w:spacing w:line="400" w:lineRule="exact"/>
              <w:rPr>
                <w:rFonts w:hAnsi="宋体"/>
                <w:bCs/>
              </w:rPr>
            </w:pPr>
            <w:r>
              <w:rPr>
                <w:rFonts w:hint="eastAsia" w:hAnsi="宋体"/>
                <w:bCs/>
              </w:rPr>
              <w:t>项目采购编号</w:t>
            </w:r>
          </w:p>
        </w:tc>
        <w:tc>
          <w:tcPr>
            <w:tcW w:w="7984" w:type="dxa"/>
          </w:tcPr>
          <w:p>
            <w:pPr>
              <w:pStyle w:val="13"/>
              <w:snapToGrid w:val="0"/>
              <w:spacing w:line="400" w:lineRule="exact"/>
              <w:ind w:left="422" w:firstLine="361"/>
              <w:rPr>
                <w:rFonts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618" w:type="dxa"/>
          </w:tcPr>
          <w:p>
            <w:pPr>
              <w:pStyle w:val="13"/>
              <w:snapToGrid w:val="0"/>
              <w:spacing w:line="400" w:lineRule="exact"/>
              <w:rPr>
                <w:rFonts w:hAnsi="宋体"/>
                <w:bCs/>
              </w:rPr>
            </w:pPr>
            <w:r>
              <w:rPr>
                <w:rFonts w:hint="eastAsia" w:hAnsi="宋体"/>
                <w:bCs/>
              </w:rPr>
              <w:t>时    间</w:t>
            </w:r>
          </w:p>
        </w:tc>
        <w:tc>
          <w:tcPr>
            <w:tcW w:w="7984" w:type="dxa"/>
          </w:tcPr>
          <w:p>
            <w:pPr>
              <w:pStyle w:val="13"/>
              <w:snapToGrid w:val="0"/>
              <w:spacing w:line="400" w:lineRule="exact"/>
              <w:rPr>
                <w:rFonts w:hAnsi="宋体"/>
                <w:bCs/>
              </w:rPr>
            </w:pPr>
            <w:r>
              <w:rPr>
                <w:rFonts w:hint="eastAsia" w:hAnsi="宋体"/>
                <w:bCs/>
              </w:rPr>
              <w:t>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0" w:hRule="atLeast"/>
        </w:trPr>
        <w:tc>
          <w:tcPr>
            <w:tcW w:w="9602" w:type="dxa"/>
            <w:gridSpan w:val="2"/>
          </w:tcPr>
          <w:p>
            <w:pPr>
              <w:pStyle w:val="13"/>
              <w:snapToGrid w:val="0"/>
              <w:spacing w:line="400" w:lineRule="exact"/>
              <w:ind w:firstLine="450"/>
              <w:rPr>
                <w:rFonts w:hAnsi="宋体"/>
              </w:rPr>
            </w:pPr>
            <w:r>
              <w:rPr>
                <w:rFonts w:hint="eastAsia" w:hAnsi="宋体"/>
              </w:rPr>
              <w:t>1、根据政府采购法第二十二条规定，我单位满足以下条件，并已经在技术资信部分投标文件中提供了相应的证明材料：</w:t>
            </w:r>
          </w:p>
          <w:p>
            <w:pPr>
              <w:pStyle w:val="13"/>
              <w:snapToGrid w:val="0"/>
              <w:spacing w:line="400" w:lineRule="exact"/>
              <w:ind w:firstLine="450"/>
              <w:rPr>
                <w:rFonts w:hAnsi="宋体"/>
              </w:rPr>
            </w:pPr>
            <w:r>
              <w:rPr>
                <w:rFonts w:hint="eastAsia" w:hAnsi="宋体"/>
              </w:rPr>
              <w:t xml:space="preserve">（一）具有独立承担民事责任的能力； </w:t>
            </w:r>
          </w:p>
          <w:p>
            <w:pPr>
              <w:pStyle w:val="13"/>
              <w:snapToGrid w:val="0"/>
              <w:spacing w:line="400" w:lineRule="exact"/>
              <w:ind w:firstLine="450"/>
              <w:rPr>
                <w:rFonts w:hAnsi="宋体"/>
              </w:rPr>
            </w:pPr>
            <w:r>
              <w:rPr>
                <w:rFonts w:hint="eastAsia" w:hAnsi="宋体"/>
              </w:rPr>
              <w:t xml:space="preserve">　　（二）具有良好的商业信誉和健全的财务会计制度； </w:t>
            </w:r>
          </w:p>
          <w:p>
            <w:pPr>
              <w:pStyle w:val="13"/>
              <w:snapToGrid w:val="0"/>
              <w:spacing w:line="400" w:lineRule="exact"/>
              <w:ind w:firstLine="450"/>
              <w:rPr>
                <w:rFonts w:hAnsi="宋体"/>
              </w:rPr>
            </w:pPr>
            <w:r>
              <w:rPr>
                <w:rFonts w:hint="eastAsia" w:hAnsi="宋体"/>
              </w:rPr>
              <w:t xml:space="preserve">　　（三）具有履行合同所必需的设备和专业技术能力； </w:t>
            </w:r>
          </w:p>
          <w:p>
            <w:pPr>
              <w:pStyle w:val="13"/>
              <w:snapToGrid w:val="0"/>
              <w:spacing w:line="400" w:lineRule="exact"/>
              <w:ind w:firstLine="450"/>
              <w:rPr>
                <w:rFonts w:hAnsi="宋体"/>
              </w:rPr>
            </w:pPr>
            <w:r>
              <w:rPr>
                <w:rFonts w:hint="eastAsia" w:hAnsi="宋体"/>
              </w:rPr>
              <w:t xml:space="preserve">　　（四）有依法缴纳税收和社会保障资金的良好记录； </w:t>
            </w:r>
          </w:p>
          <w:p>
            <w:pPr>
              <w:pStyle w:val="13"/>
              <w:snapToGrid w:val="0"/>
              <w:spacing w:line="400" w:lineRule="exact"/>
              <w:ind w:firstLine="450"/>
              <w:rPr>
                <w:rFonts w:hAnsi="宋体"/>
              </w:rPr>
            </w:pPr>
            <w:r>
              <w:rPr>
                <w:rFonts w:hint="eastAsia" w:hAnsi="宋体"/>
              </w:rPr>
              <w:t xml:space="preserve">　　（五）参加政府采购活动前三年内，在经营活动中没有重大违法记录； </w:t>
            </w:r>
          </w:p>
          <w:p>
            <w:pPr>
              <w:pStyle w:val="13"/>
              <w:snapToGrid w:val="0"/>
              <w:spacing w:line="400" w:lineRule="exact"/>
              <w:ind w:firstLine="450"/>
              <w:rPr>
                <w:rFonts w:hAnsi="宋体"/>
              </w:rPr>
            </w:pPr>
            <w:r>
              <w:rPr>
                <w:rFonts w:hint="eastAsia" w:hAnsi="宋体"/>
              </w:rPr>
              <w:t xml:space="preserve">　　（六）法律、行政法规规定的其他条件。 </w:t>
            </w:r>
          </w:p>
          <w:p>
            <w:pPr>
              <w:pStyle w:val="13"/>
              <w:snapToGrid w:val="0"/>
              <w:spacing w:line="400" w:lineRule="exact"/>
              <w:ind w:firstLine="450"/>
              <w:rPr>
                <w:rFonts w:hAnsi="宋体"/>
              </w:rPr>
            </w:pPr>
            <w:r>
              <w:rPr>
                <w:rFonts w:hint="eastAsia" w:hAnsi="宋体"/>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 “中国政府采购网”查询网页截图（公告发布之日至投标截止时间）。</w:t>
            </w:r>
          </w:p>
          <w:p>
            <w:pPr>
              <w:pStyle w:val="13"/>
              <w:snapToGrid w:val="0"/>
              <w:spacing w:line="400" w:lineRule="exact"/>
              <w:ind w:firstLine="450"/>
              <w:rPr>
                <w:rFonts w:hAnsi="宋体"/>
                <w:b/>
                <w:bCs/>
              </w:rPr>
            </w:pPr>
            <w:r>
              <w:rPr>
                <w:rFonts w:hint="eastAsia" w:hAnsi="宋体"/>
                <w:b/>
              </w:rPr>
              <w:t>3、我单位没有被各地、各级财政部门限制参加政府采购活动，且在限制期内：</w:t>
            </w:r>
          </w:p>
          <w:p>
            <w:pPr>
              <w:tabs>
                <w:tab w:val="center" w:pos="4483"/>
              </w:tabs>
              <w:adjustRightInd w:val="0"/>
              <w:spacing w:line="360" w:lineRule="auto"/>
              <w:ind w:firstLine="400"/>
              <w:rPr>
                <w:rFonts w:ascii="宋体" w:hAnsi="宋体" w:cs="宋体"/>
                <w:b/>
                <w:bCs/>
              </w:rPr>
            </w:pPr>
            <w:r>
              <w:rPr>
                <w:rFonts w:hint="eastAsia" w:ascii="宋体" w:hAnsi="宋体" w:cs="宋体"/>
                <w:b/>
                <w:bCs/>
              </w:rPr>
              <w:t>4、清楚知道参加本项目采购活动的其他所有供应商名称，本单位与其他所有供应商之间均不存在利害关系。</w:t>
            </w:r>
          </w:p>
          <w:p>
            <w:pPr>
              <w:tabs>
                <w:tab w:val="center" w:pos="4483"/>
              </w:tabs>
              <w:adjustRightInd w:val="0"/>
              <w:spacing w:line="360" w:lineRule="auto"/>
              <w:ind w:firstLine="400"/>
              <w:rPr>
                <w:rFonts w:ascii="宋体" w:hAnsi="宋体" w:cs="宋体"/>
                <w:b/>
              </w:rPr>
            </w:pPr>
            <w:r>
              <w:rPr>
                <w:rFonts w:hint="eastAsia" w:ascii="宋体" w:hAnsi="宋体" w:cs="宋体"/>
                <w:b/>
                <w:bCs/>
              </w:rPr>
              <w:t>5、我单位</w:t>
            </w:r>
            <w:r>
              <w:rPr>
                <w:rFonts w:hint="eastAsia" w:ascii="宋体" w:hAnsi="宋体" w:cs="宋体"/>
                <w:b/>
              </w:rPr>
              <w:t>参与本项目政府采购活动3年内其它重大违法记录（重大违法记录，是指供应商因违法经营受到刑事处罚或者责令停产停业、吊销许可证或者执照、较大数额罚款等行政处罚）情况声明：</w:t>
            </w:r>
          </w:p>
          <w:p>
            <w:pPr>
              <w:tabs>
                <w:tab w:val="center" w:pos="4483"/>
              </w:tabs>
              <w:adjustRightInd w:val="0"/>
              <w:spacing w:line="360" w:lineRule="auto"/>
              <w:ind w:firstLine="400"/>
              <w:rPr>
                <w:rFonts w:ascii="宋体" w:hAnsi="宋体" w:cs="宋体"/>
                <w:u w:val="single"/>
              </w:rPr>
            </w:pPr>
            <w:r>
              <w:rPr>
                <w:rFonts w:hint="eastAsia" w:ascii="宋体" w:hAnsi="宋体" w:cs="宋体"/>
                <w:u w:val="single"/>
              </w:rPr>
              <w:t xml:space="preserve">                                                                               </w:t>
            </w:r>
          </w:p>
          <w:p>
            <w:pPr>
              <w:tabs>
                <w:tab w:val="center" w:pos="4483"/>
              </w:tabs>
              <w:adjustRightInd w:val="0"/>
              <w:spacing w:line="360" w:lineRule="auto"/>
              <w:ind w:firstLine="400"/>
              <w:rPr>
                <w:rFonts w:ascii="宋体" w:hAnsi="宋体" w:cs="宋体"/>
              </w:rPr>
            </w:pPr>
            <w:r>
              <w:rPr>
                <w:rFonts w:hint="eastAsia" w:ascii="宋体" w:hAnsi="宋体" w:cs="宋体"/>
                <w:u w:val="single"/>
              </w:rPr>
              <w:t>6、我单位符合本项目特定资格条件：                         的要求，并在</w:t>
            </w:r>
            <w:r>
              <w:rPr>
                <w:rFonts w:hint="eastAsia" w:ascii="宋体" w:hAnsi="宋体" w:cs="宋体"/>
              </w:rPr>
              <w:t>技术资信部分投标文件中提供了相应的证明材料</w:t>
            </w:r>
            <w:r>
              <w:rPr>
                <w:rFonts w:hint="eastAsia" w:ascii="宋体" w:hAnsi="宋体" w:cs="宋体"/>
                <w:u w:val="single"/>
              </w:rPr>
              <w:t>（招标文件没有要求特定资格条件的，本条款空格处可以空白）</w:t>
            </w:r>
          </w:p>
          <w:p>
            <w:pPr>
              <w:tabs>
                <w:tab w:val="center" w:pos="4483"/>
              </w:tabs>
              <w:adjustRightInd w:val="0"/>
              <w:spacing w:line="360" w:lineRule="auto"/>
              <w:ind w:firstLine="420" w:firstLineChars="200"/>
              <w:rPr>
                <w:rFonts w:ascii="宋体" w:hAnsi="宋体" w:cs="宋体"/>
                <w:bCs/>
              </w:rPr>
            </w:pPr>
            <w:r>
              <w:rPr>
                <w:rFonts w:hint="eastAsia" w:ascii="宋体" w:hAnsi="宋体" w:cs="宋体"/>
                <w:bCs/>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602" w:type="dxa"/>
            <w:gridSpan w:val="2"/>
            <w:vAlign w:val="center"/>
          </w:tcPr>
          <w:p>
            <w:pPr>
              <w:pStyle w:val="13"/>
              <w:snapToGrid w:val="0"/>
              <w:spacing w:line="400" w:lineRule="exact"/>
              <w:ind w:left="422" w:firstLine="331"/>
              <w:rPr>
                <w:rFonts w:hAnsi="宋体"/>
                <w:bCs/>
              </w:rPr>
            </w:pPr>
            <w:r>
              <w:rPr>
                <w:rFonts w:hint="eastAsia" w:hAnsi="宋体"/>
                <w:bCs/>
              </w:rPr>
              <w:t>供应商名称（加盖盖章）：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9602" w:type="dxa"/>
            <w:gridSpan w:val="2"/>
            <w:vAlign w:val="center"/>
          </w:tcPr>
          <w:p>
            <w:pPr>
              <w:pStyle w:val="13"/>
              <w:snapToGrid w:val="0"/>
              <w:spacing w:line="400" w:lineRule="exact"/>
              <w:ind w:left="422" w:firstLine="316"/>
              <w:rPr>
                <w:rFonts w:hAnsi="宋体"/>
                <w:bCs/>
              </w:rPr>
            </w:pPr>
            <w:r>
              <w:rPr>
                <w:rFonts w:hint="eastAsia" w:hAnsi="宋体"/>
                <w:bCs/>
              </w:rPr>
              <w:t>法定代表人或授权代表（签字或盖章）：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9602" w:type="dxa"/>
            <w:gridSpan w:val="2"/>
            <w:vAlign w:val="center"/>
          </w:tcPr>
          <w:p>
            <w:pPr>
              <w:pStyle w:val="13"/>
              <w:snapToGrid w:val="0"/>
              <w:spacing w:line="400" w:lineRule="exact"/>
              <w:ind w:left="422" w:firstLine="331"/>
              <w:rPr>
                <w:rFonts w:hAnsi="宋体"/>
                <w:bCs/>
              </w:rPr>
            </w:pPr>
            <w:r>
              <w:rPr>
                <w:rFonts w:hint="eastAsia" w:hAnsi="宋体"/>
                <w:bCs/>
              </w:rPr>
              <w:t>签署日期：</w:t>
            </w:r>
          </w:p>
        </w:tc>
      </w:tr>
    </w:tbl>
    <w:p>
      <w:pPr>
        <w:autoSpaceDE w:val="0"/>
        <w:autoSpaceDN w:val="0"/>
        <w:adjustRightInd w:val="0"/>
        <w:snapToGrid w:val="0"/>
        <w:spacing w:line="360" w:lineRule="auto"/>
        <w:textAlignment w:val="bottom"/>
        <w:rPr>
          <w:rFonts w:ascii="宋体" w:hAnsi="宋体" w:cs="宋体"/>
          <w:b/>
          <w:bCs/>
          <w:sz w:val="22"/>
          <w:u w:val="single"/>
        </w:rPr>
      </w:pPr>
      <w:r>
        <w:rPr>
          <w:rFonts w:hint="eastAsia" w:ascii="宋体" w:hAnsi="宋体" w:cs="宋体"/>
          <w:b/>
          <w:bCs/>
          <w:sz w:val="22"/>
          <w:u w:val="single"/>
        </w:rPr>
        <w:t>备注：▲投标供应商必须提供本声明，不提供按无效投标处理。</w:t>
      </w:r>
    </w:p>
    <w:p>
      <w:pPr>
        <w:pStyle w:val="23"/>
        <w:rPr>
          <w:rFonts w:ascii="宋体" w:hAnsi="宋体" w:cs="宋体"/>
        </w:rPr>
      </w:pPr>
      <w:r>
        <w:rPr>
          <w:rFonts w:hint="eastAsia" w:ascii="宋体" w:hAnsi="宋体" w:cs="宋体"/>
        </w:rPr>
        <w:br w:type="page"/>
      </w:r>
      <w:bookmarkStart w:id="124" w:name="_Toc42678693"/>
      <w:bookmarkStart w:id="125" w:name="_Toc73091446"/>
      <w:bookmarkStart w:id="126" w:name="_Toc42243285"/>
      <w:r>
        <w:rPr>
          <w:rFonts w:hint="eastAsia" w:ascii="宋体" w:hAnsi="宋体" w:cs="宋体"/>
        </w:rPr>
        <w:t>二、报价文件部分格式</w:t>
      </w:r>
      <w:bookmarkEnd w:id="124"/>
      <w:bookmarkEnd w:id="125"/>
      <w:bookmarkEnd w:id="126"/>
    </w:p>
    <w:p>
      <w:pPr>
        <w:widowControl/>
        <w:spacing w:line="460" w:lineRule="atLeast"/>
        <w:jc w:val="left"/>
        <w:rPr>
          <w:rFonts w:ascii="宋体" w:hAnsi="宋体" w:cs="宋体"/>
          <w:b/>
          <w:bCs/>
          <w:sz w:val="22"/>
          <w:szCs w:val="22"/>
        </w:rPr>
      </w:pPr>
      <w:bookmarkStart w:id="127" w:name="_Toc413747701"/>
      <w:r>
        <w:rPr>
          <w:rFonts w:hint="eastAsia" w:ascii="宋体" w:hAnsi="宋体" w:cs="宋体"/>
          <w:b/>
          <w:bCs/>
          <w:sz w:val="22"/>
          <w:szCs w:val="22"/>
        </w:rPr>
        <w:t>附件</w:t>
      </w:r>
      <w:bookmarkEnd w:id="127"/>
      <w:r>
        <w:rPr>
          <w:rFonts w:hint="eastAsia" w:ascii="宋体" w:hAnsi="宋体" w:cs="宋体"/>
          <w:b/>
          <w:bCs/>
          <w:sz w:val="22"/>
          <w:szCs w:val="22"/>
        </w:rPr>
        <w:t>六</w:t>
      </w:r>
    </w:p>
    <w:p>
      <w:pPr>
        <w:pStyle w:val="23"/>
        <w:rPr>
          <w:rFonts w:ascii="宋体" w:hAnsi="宋体" w:cs="宋体"/>
        </w:rPr>
      </w:pPr>
      <w:bookmarkStart w:id="128" w:name="_Toc511045476"/>
      <w:bookmarkStart w:id="129" w:name="_Toc73091447"/>
      <w:bookmarkStart w:id="130" w:name="_Toc522469114"/>
      <w:bookmarkStart w:id="131" w:name="_Toc42678183"/>
      <w:bookmarkStart w:id="132" w:name="_Toc42678615"/>
      <w:bookmarkStart w:id="133" w:name="_Toc42678694"/>
      <w:bookmarkStart w:id="134" w:name="_Toc61444215"/>
      <w:bookmarkStart w:id="135" w:name="_Toc19204519"/>
      <w:bookmarkStart w:id="136" w:name="_Toc518512529"/>
      <w:bookmarkStart w:id="137" w:name="_Toc9334945"/>
      <w:bookmarkStart w:id="138" w:name="_Toc42678028"/>
      <w:bookmarkStart w:id="139" w:name="_Toc496618930"/>
      <w:bookmarkStart w:id="140" w:name="_Toc42243286"/>
      <w:r>
        <w:rPr>
          <w:rFonts w:hint="eastAsia" w:ascii="宋体" w:cs="仿宋_GB2312"/>
        </w:rPr>
        <w:t xml:space="preserve"> </w:t>
      </w:r>
      <w:r>
        <w:rPr>
          <w:rFonts w:hint="eastAsia" w:ascii="宋体" w:hAnsi="宋体" w:cs="宋体"/>
        </w:rPr>
        <w:t>报价一览表</w:t>
      </w:r>
      <w:bookmarkEnd w:id="128"/>
      <w:bookmarkEnd w:id="129"/>
      <w:bookmarkEnd w:id="130"/>
      <w:bookmarkEnd w:id="131"/>
      <w:bookmarkEnd w:id="132"/>
      <w:bookmarkEnd w:id="133"/>
      <w:bookmarkEnd w:id="134"/>
      <w:bookmarkEnd w:id="135"/>
      <w:bookmarkEnd w:id="136"/>
      <w:bookmarkEnd w:id="137"/>
      <w:bookmarkEnd w:id="138"/>
      <w:bookmarkEnd w:id="139"/>
      <w:bookmarkEnd w:id="140"/>
    </w:p>
    <w:p>
      <w:pPr>
        <w:autoSpaceDE w:val="0"/>
        <w:autoSpaceDN w:val="0"/>
        <w:adjustRightInd w:val="0"/>
        <w:rPr>
          <w:rFonts w:ascii="宋体" w:hAnsi="宋体" w:cs="宋体"/>
          <w:sz w:val="22"/>
          <w:szCs w:val="22"/>
          <w:lang w:val="zh-CN"/>
        </w:rPr>
      </w:pPr>
      <w:r>
        <w:rPr>
          <w:rFonts w:hint="eastAsia" w:ascii="宋体" w:hAnsi="宋体" w:cs="宋体"/>
          <w:sz w:val="22"/>
          <w:szCs w:val="22"/>
          <w:lang w:val="zh-CN"/>
        </w:rPr>
        <w:t>投标人名称：</w:t>
      </w:r>
      <w:r>
        <w:rPr>
          <w:rFonts w:hint="eastAsia" w:ascii="宋体" w:hAnsi="宋体" w:cs="宋体"/>
          <w:sz w:val="22"/>
          <w:szCs w:val="22"/>
          <w:u w:val="single"/>
          <w:lang w:val="zh-CN"/>
        </w:rPr>
        <w:t xml:space="preserve">             </w:t>
      </w:r>
      <w:r>
        <w:rPr>
          <w:rFonts w:hint="eastAsia" w:ascii="宋体" w:hAnsi="宋体" w:cs="宋体"/>
          <w:sz w:val="22"/>
          <w:szCs w:val="22"/>
          <w:lang w:val="zh-CN"/>
        </w:rPr>
        <w:t xml:space="preserve">     采购编号：</w:t>
      </w:r>
      <w:r>
        <w:rPr>
          <w:rFonts w:hint="eastAsia" w:ascii="宋体" w:hAnsi="宋体" w:cs="宋体"/>
          <w:sz w:val="22"/>
          <w:szCs w:val="22"/>
          <w:u w:val="single"/>
          <w:lang w:val="zh-CN"/>
        </w:rPr>
        <w:t xml:space="preserve">         </w:t>
      </w:r>
      <w:r>
        <w:rPr>
          <w:rFonts w:hint="eastAsia" w:ascii="宋体" w:hAnsi="宋体" w:cs="宋体"/>
          <w:sz w:val="22"/>
          <w:szCs w:val="22"/>
          <w:lang w:val="zh-CN"/>
        </w:rPr>
        <w:t xml:space="preserve">    报价单位：</w:t>
      </w:r>
      <w:r>
        <w:rPr>
          <w:rFonts w:hint="eastAsia" w:ascii="宋体" w:hAnsi="宋体" w:cs="宋体"/>
          <w:sz w:val="22"/>
          <w:szCs w:val="22"/>
          <w:u w:val="single"/>
          <w:lang w:val="zh-CN"/>
        </w:rPr>
        <w:t>人民币元</w:t>
      </w:r>
    </w:p>
    <w:tbl>
      <w:tblPr>
        <w:tblStyle w:val="25"/>
        <w:tblW w:w="8599"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184"/>
        <w:gridCol w:w="3278"/>
        <w:gridCol w:w="213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97" w:hRule="atLeast"/>
        </w:trPr>
        <w:tc>
          <w:tcPr>
            <w:tcW w:w="3184" w:type="dxa"/>
            <w:tcBorders>
              <w:right w:val="single" w:color="auto" w:sz="4" w:space="0"/>
            </w:tcBorders>
            <w:vAlign w:val="center"/>
          </w:tcPr>
          <w:p>
            <w:pPr>
              <w:pStyle w:val="13"/>
              <w:snapToGrid w:val="0"/>
              <w:spacing w:line="460" w:lineRule="atLeast"/>
              <w:jc w:val="center"/>
              <w:rPr>
                <w:rFonts w:hAnsi="宋体"/>
                <w:sz w:val="22"/>
              </w:rPr>
            </w:pPr>
            <w:r>
              <w:rPr>
                <w:rFonts w:hint="eastAsia" w:hAnsi="宋体"/>
                <w:sz w:val="22"/>
                <w:szCs w:val="22"/>
              </w:rPr>
              <w:t>项目名称</w:t>
            </w:r>
          </w:p>
        </w:tc>
        <w:tc>
          <w:tcPr>
            <w:tcW w:w="3278" w:type="dxa"/>
            <w:tcBorders>
              <w:left w:val="single" w:color="auto" w:sz="4" w:space="0"/>
              <w:right w:val="single" w:color="auto" w:sz="4" w:space="0"/>
            </w:tcBorders>
            <w:vAlign w:val="center"/>
          </w:tcPr>
          <w:p>
            <w:pPr>
              <w:pStyle w:val="13"/>
              <w:snapToGrid w:val="0"/>
              <w:spacing w:line="460" w:lineRule="atLeast"/>
              <w:jc w:val="center"/>
              <w:rPr>
                <w:rFonts w:hAnsi="宋体"/>
                <w:sz w:val="22"/>
                <w:szCs w:val="22"/>
              </w:rPr>
            </w:pPr>
            <w:r>
              <w:rPr>
                <w:rFonts w:hint="eastAsia" w:hAnsi="宋体"/>
                <w:sz w:val="22"/>
                <w:szCs w:val="22"/>
              </w:rPr>
              <w:t>投标价</w:t>
            </w:r>
          </w:p>
          <w:p>
            <w:pPr>
              <w:pStyle w:val="13"/>
              <w:snapToGrid w:val="0"/>
              <w:spacing w:line="460" w:lineRule="atLeast"/>
              <w:jc w:val="center"/>
              <w:rPr>
                <w:rFonts w:hAnsi="宋体"/>
                <w:sz w:val="22"/>
              </w:rPr>
            </w:pPr>
            <w:r>
              <w:rPr>
                <w:rFonts w:hint="eastAsia" w:hAnsi="宋体"/>
                <w:sz w:val="22"/>
                <w:szCs w:val="22"/>
              </w:rPr>
              <w:t>（元人民币）</w:t>
            </w:r>
          </w:p>
        </w:tc>
        <w:tc>
          <w:tcPr>
            <w:tcW w:w="2137" w:type="dxa"/>
            <w:tcBorders>
              <w:left w:val="single" w:color="auto" w:sz="4" w:space="0"/>
            </w:tcBorders>
            <w:vAlign w:val="center"/>
          </w:tcPr>
          <w:p>
            <w:pPr>
              <w:pStyle w:val="13"/>
              <w:jc w:val="center"/>
              <w:rPr>
                <w:rFonts w:hAnsi="宋体"/>
                <w:sz w:val="22"/>
              </w:rPr>
            </w:pPr>
            <w:r>
              <w:rPr>
                <w:rFonts w:hint="eastAsia" w:hAnsi="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933" w:hRule="atLeast"/>
        </w:trPr>
        <w:tc>
          <w:tcPr>
            <w:tcW w:w="3184" w:type="dxa"/>
            <w:tcBorders>
              <w:right w:val="single" w:color="auto" w:sz="4" w:space="0"/>
            </w:tcBorders>
            <w:vAlign w:val="center"/>
          </w:tcPr>
          <w:p>
            <w:pPr>
              <w:pStyle w:val="13"/>
              <w:snapToGrid w:val="0"/>
              <w:spacing w:line="460" w:lineRule="atLeast"/>
              <w:jc w:val="center"/>
              <w:rPr>
                <w:rFonts w:hAnsi="宋体"/>
                <w:sz w:val="22"/>
              </w:rPr>
            </w:pPr>
            <w:r>
              <w:rPr>
                <w:rFonts w:hint="eastAsia"/>
                <w:sz w:val="22"/>
                <w:szCs w:val="22"/>
              </w:rPr>
              <w:t>永嘉县上塘城区园林绿化养护</w:t>
            </w:r>
          </w:p>
        </w:tc>
        <w:tc>
          <w:tcPr>
            <w:tcW w:w="3278" w:type="dxa"/>
            <w:tcBorders>
              <w:left w:val="single" w:color="auto" w:sz="4" w:space="0"/>
              <w:right w:val="single" w:color="auto" w:sz="4" w:space="0"/>
            </w:tcBorders>
            <w:vAlign w:val="center"/>
          </w:tcPr>
          <w:p>
            <w:pPr>
              <w:pStyle w:val="13"/>
              <w:spacing w:line="460" w:lineRule="atLeast"/>
              <w:rPr>
                <w:rFonts w:hAnsi="宋体"/>
                <w:sz w:val="22"/>
                <w:szCs w:val="22"/>
              </w:rPr>
            </w:pPr>
            <w:r>
              <w:rPr>
                <w:rFonts w:hint="eastAsia" w:hAnsi="宋体"/>
                <w:sz w:val="22"/>
                <w:szCs w:val="22"/>
              </w:rPr>
              <w:t>大写：</w:t>
            </w:r>
          </w:p>
          <w:p>
            <w:pPr>
              <w:pStyle w:val="13"/>
              <w:spacing w:line="460" w:lineRule="atLeast"/>
              <w:rPr>
                <w:rFonts w:hAnsi="宋体"/>
                <w:sz w:val="22"/>
              </w:rPr>
            </w:pPr>
            <w:r>
              <w:rPr>
                <w:rFonts w:hint="eastAsia" w:hAnsi="宋体"/>
                <w:sz w:val="22"/>
                <w:szCs w:val="22"/>
              </w:rPr>
              <w:t>小写：</w:t>
            </w:r>
          </w:p>
        </w:tc>
        <w:tc>
          <w:tcPr>
            <w:tcW w:w="2137" w:type="dxa"/>
            <w:tcBorders>
              <w:left w:val="single" w:color="auto" w:sz="4" w:space="0"/>
            </w:tcBorders>
            <w:vAlign w:val="center"/>
          </w:tcPr>
          <w:p>
            <w:pPr>
              <w:pStyle w:val="13"/>
              <w:jc w:val="center"/>
              <w:rPr>
                <w:rFonts w:hAnsi="宋体"/>
                <w:sz w:val="22"/>
              </w:rPr>
            </w:pPr>
            <w:r>
              <w:rPr>
                <w:rFonts w:hint="eastAsia" w:hAnsi="宋体"/>
                <w:sz w:val="22"/>
              </w:rPr>
              <w:t>本次服务期2年</w:t>
            </w:r>
          </w:p>
        </w:tc>
      </w:tr>
    </w:tbl>
    <w:p>
      <w:pPr>
        <w:pStyle w:val="13"/>
        <w:spacing w:line="460" w:lineRule="atLeast"/>
        <w:rPr>
          <w:rFonts w:hAnsi="宋体"/>
          <w:sz w:val="22"/>
          <w:szCs w:val="22"/>
        </w:rPr>
      </w:pPr>
      <w:r>
        <w:rPr>
          <w:rFonts w:hint="eastAsia" w:hAnsi="宋体"/>
          <w:sz w:val="22"/>
          <w:szCs w:val="22"/>
        </w:rPr>
        <w:t>★开标一览表中投标价为符合招标文件要求的总报价。</w:t>
      </w:r>
    </w:p>
    <w:p>
      <w:pPr>
        <w:pStyle w:val="13"/>
        <w:spacing w:line="460" w:lineRule="atLeast"/>
        <w:rPr>
          <w:rFonts w:hAnsi="宋体"/>
          <w:sz w:val="22"/>
          <w:szCs w:val="22"/>
        </w:rPr>
      </w:pPr>
      <w:r>
        <w:rPr>
          <w:rFonts w:hint="eastAsia" w:hAnsi="宋体"/>
          <w:sz w:val="22"/>
          <w:szCs w:val="22"/>
        </w:rPr>
        <w:t>★不提供此表格的将视为没有实质性响应招标文件。</w:t>
      </w:r>
    </w:p>
    <w:p>
      <w:pPr>
        <w:autoSpaceDE w:val="0"/>
        <w:autoSpaceDN w:val="0"/>
        <w:adjustRightInd w:val="0"/>
        <w:spacing w:line="500" w:lineRule="atLeast"/>
        <w:rPr>
          <w:rFonts w:ascii="宋体" w:hAnsi="宋体" w:cs="宋体"/>
          <w:sz w:val="30"/>
          <w:szCs w:val="30"/>
        </w:rPr>
      </w:pPr>
    </w:p>
    <w:p>
      <w:pPr>
        <w:spacing w:line="360" w:lineRule="auto"/>
        <w:ind w:left="359" w:leftChars="171"/>
        <w:rPr>
          <w:rFonts w:ascii="宋体" w:hAnsi="宋体" w:cs="宋体"/>
          <w:sz w:val="22"/>
          <w:szCs w:val="22"/>
        </w:rPr>
      </w:pPr>
      <w:r>
        <w:rPr>
          <w:rFonts w:hint="eastAsia" w:ascii="宋体" w:hAnsi="宋体" w:cs="宋体"/>
          <w:sz w:val="22"/>
          <w:szCs w:val="22"/>
        </w:rPr>
        <w:t>供应商全称（盖章）：</w:t>
      </w:r>
    </w:p>
    <w:p>
      <w:pPr>
        <w:spacing w:line="360" w:lineRule="auto"/>
        <w:ind w:left="359" w:leftChars="171"/>
        <w:rPr>
          <w:rFonts w:ascii="宋体" w:hAnsi="宋体" w:cs="宋体"/>
          <w:sz w:val="22"/>
          <w:szCs w:val="22"/>
        </w:rPr>
      </w:pPr>
      <w:r>
        <w:rPr>
          <w:rFonts w:hint="eastAsia" w:ascii="宋体" w:hAnsi="宋体" w:cs="宋体"/>
          <w:sz w:val="22"/>
          <w:szCs w:val="22"/>
        </w:rPr>
        <w:t>法定代表人或授权代表（签字或盖章）：</w:t>
      </w:r>
    </w:p>
    <w:p>
      <w:pPr>
        <w:spacing w:line="360" w:lineRule="auto"/>
        <w:ind w:firstLine="330" w:firstLineChars="150"/>
        <w:rPr>
          <w:rFonts w:ascii="宋体" w:hAnsi="宋体" w:cs="宋体"/>
          <w:sz w:val="22"/>
          <w:szCs w:val="22"/>
          <w:u w:val="single"/>
        </w:rPr>
      </w:pPr>
      <w:r>
        <w:rPr>
          <w:rFonts w:hint="eastAsia" w:ascii="宋体" w:hAnsi="宋体" w:cs="宋体"/>
          <w:sz w:val="22"/>
          <w:szCs w:val="22"/>
        </w:rPr>
        <w:t>日 期：       年      月     日</w:t>
      </w:r>
    </w:p>
    <w:p>
      <w:pPr>
        <w:autoSpaceDE w:val="0"/>
        <w:autoSpaceDN w:val="0"/>
        <w:adjustRightInd w:val="0"/>
        <w:spacing w:line="500" w:lineRule="atLeast"/>
        <w:rPr>
          <w:rFonts w:ascii="宋体" w:hAnsi="宋体" w:cs="宋体"/>
          <w:sz w:val="30"/>
          <w:szCs w:val="30"/>
          <w:lang w:val="zh-CN"/>
        </w:rPr>
      </w:pPr>
    </w:p>
    <w:p>
      <w:pPr>
        <w:autoSpaceDE w:val="0"/>
        <w:autoSpaceDN w:val="0"/>
        <w:adjustRightInd w:val="0"/>
        <w:spacing w:line="500" w:lineRule="atLeast"/>
        <w:rPr>
          <w:rFonts w:ascii="宋体" w:hAnsi="宋体" w:cs="宋体"/>
          <w:b/>
          <w:sz w:val="30"/>
          <w:szCs w:val="30"/>
          <w:lang w:val="zh-CN"/>
        </w:rPr>
      </w:pPr>
    </w:p>
    <w:p>
      <w:pPr>
        <w:snapToGrid w:val="0"/>
        <w:spacing w:line="500" w:lineRule="atLeast"/>
        <w:ind w:firstLine="4367" w:firstLineChars="1450"/>
        <w:rPr>
          <w:rFonts w:ascii="宋体" w:hAnsi="宋体" w:cs="宋体"/>
          <w:b/>
          <w:sz w:val="30"/>
        </w:rPr>
      </w:pPr>
    </w:p>
    <w:p>
      <w:pPr>
        <w:pStyle w:val="6"/>
        <w:rPr>
          <w:rFonts w:ascii="宋体" w:hAnsi="宋体" w:cs="宋体"/>
          <w:sz w:val="30"/>
        </w:rPr>
      </w:pPr>
    </w:p>
    <w:p>
      <w:pPr>
        <w:rPr>
          <w:rFonts w:ascii="宋体" w:hAnsi="宋体" w:cs="宋体"/>
          <w:b/>
          <w:sz w:val="30"/>
        </w:rPr>
      </w:pPr>
    </w:p>
    <w:p>
      <w:pPr>
        <w:pStyle w:val="6"/>
        <w:rPr>
          <w:rFonts w:ascii="宋体" w:hAnsi="宋体" w:cs="宋体"/>
          <w:sz w:val="30"/>
        </w:rPr>
      </w:pPr>
    </w:p>
    <w:p>
      <w:pPr>
        <w:rPr>
          <w:rFonts w:ascii="宋体" w:hAnsi="宋体" w:cs="宋体"/>
          <w:b/>
          <w:sz w:val="30"/>
        </w:rPr>
      </w:pPr>
    </w:p>
    <w:p>
      <w:pPr>
        <w:rPr>
          <w:rFonts w:ascii="宋体" w:hAnsi="宋体" w:cs="宋体"/>
          <w:b/>
          <w:sz w:val="30"/>
        </w:rPr>
      </w:pPr>
    </w:p>
    <w:p>
      <w:pPr>
        <w:autoSpaceDE w:val="0"/>
        <w:autoSpaceDN w:val="0"/>
        <w:adjustRightInd w:val="0"/>
        <w:jc w:val="left"/>
        <w:rPr>
          <w:rFonts w:hint="eastAsia" w:ascii="宋体" w:cs="仿宋_GB2312"/>
          <w:b/>
          <w:bCs/>
          <w:sz w:val="32"/>
          <w:szCs w:val="32"/>
        </w:rPr>
      </w:pPr>
      <w:r>
        <w:rPr>
          <w:rFonts w:hint="eastAsia" w:ascii="宋体" w:cs="仿宋_GB2312"/>
          <w:b/>
          <w:bCs/>
          <w:sz w:val="32"/>
          <w:szCs w:val="32"/>
        </w:rPr>
        <w:t xml:space="preserve"> </w:t>
      </w:r>
    </w:p>
    <w:p>
      <w:pPr>
        <w:autoSpaceDE w:val="0"/>
        <w:autoSpaceDN w:val="0"/>
        <w:adjustRightInd w:val="0"/>
        <w:jc w:val="left"/>
        <w:rPr>
          <w:rFonts w:ascii="宋体" w:cs="仿宋_GB2312"/>
          <w:b/>
          <w:bCs/>
          <w:sz w:val="22"/>
          <w:szCs w:val="22"/>
        </w:rPr>
      </w:pPr>
      <w:r>
        <w:rPr>
          <w:rFonts w:hint="eastAsia" w:ascii="宋体" w:cs="仿宋_GB2312"/>
          <w:b/>
          <w:bCs/>
          <w:sz w:val="22"/>
          <w:szCs w:val="22"/>
        </w:rPr>
        <w:t xml:space="preserve">附件七 </w:t>
      </w:r>
    </w:p>
    <w:p>
      <w:pPr>
        <w:autoSpaceDE w:val="0"/>
        <w:autoSpaceDN w:val="0"/>
        <w:adjustRightInd w:val="0"/>
        <w:jc w:val="center"/>
        <w:rPr>
          <w:rFonts w:ascii="宋体" w:cs="仿宋_GB2312"/>
          <w:b/>
          <w:bCs/>
          <w:sz w:val="32"/>
          <w:szCs w:val="32"/>
          <w:lang w:val="zh-CN"/>
        </w:rPr>
      </w:pPr>
      <w:r>
        <w:rPr>
          <w:rFonts w:hint="eastAsia" w:ascii="宋体" w:cs="仿宋_GB2312"/>
          <w:b/>
          <w:bCs/>
          <w:sz w:val="32"/>
          <w:szCs w:val="32"/>
        </w:rPr>
        <w:t xml:space="preserve"> </w:t>
      </w:r>
      <w:r>
        <w:rPr>
          <w:rFonts w:hint="eastAsia" w:ascii="宋体" w:cs="仿宋_GB2312"/>
          <w:b/>
          <w:bCs/>
          <w:sz w:val="32"/>
          <w:szCs w:val="32"/>
          <w:lang w:val="zh-CN"/>
        </w:rPr>
        <w:t>投标分项报价表</w:t>
      </w:r>
    </w:p>
    <w:p>
      <w:pPr>
        <w:pStyle w:val="10"/>
        <w:rPr>
          <w:lang w:val="zh-CN"/>
        </w:rPr>
      </w:pPr>
    </w:p>
    <w:p>
      <w:pPr>
        <w:rPr>
          <w:rFonts w:ascii="宋体" w:hAnsi="宋体" w:cs="宋体"/>
          <w:b/>
          <w:sz w:val="30"/>
        </w:rPr>
      </w:pPr>
      <w:r>
        <w:rPr>
          <w:rFonts w:hint="eastAsia" w:ascii="宋体"/>
          <w:sz w:val="22"/>
          <w:szCs w:val="22"/>
        </w:rPr>
        <w:t>项目名称：                        采购编号：           （价格单位：元）</w:t>
      </w:r>
    </w:p>
    <w:tbl>
      <w:tblPr>
        <w:tblStyle w:val="25"/>
        <w:tblW w:w="9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9"/>
        <w:gridCol w:w="1087"/>
        <w:gridCol w:w="1279"/>
        <w:gridCol w:w="1849"/>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4519" w:type="dxa"/>
            <w:tcBorders>
              <w:right w:val="single" w:color="auto" w:sz="4" w:space="0"/>
            </w:tcBorders>
            <w:vAlign w:val="center"/>
          </w:tcPr>
          <w:p>
            <w:pPr>
              <w:pStyle w:val="13"/>
              <w:snapToGrid w:val="0"/>
              <w:spacing w:line="460" w:lineRule="atLeast"/>
              <w:jc w:val="center"/>
              <w:rPr>
                <w:rFonts w:hAnsi="宋体"/>
                <w:sz w:val="22"/>
                <w:szCs w:val="22"/>
              </w:rPr>
            </w:pPr>
            <w:r>
              <w:rPr>
                <w:rFonts w:hint="eastAsia" w:hAnsi="宋体"/>
                <w:sz w:val="22"/>
                <w:szCs w:val="22"/>
              </w:rPr>
              <w:t>项目名称</w:t>
            </w:r>
          </w:p>
        </w:tc>
        <w:tc>
          <w:tcPr>
            <w:tcW w:w="1087" w:type="dxa"/>
            <w:vAlign w:val="center"/>
          </w:tcPr>
          <w:p>
            <w:pPr>
              <w:widowControl/>
              <w:jc w:val="center"/>
              <w:rPr>
                <w:rFonts w:ascii="宋体"/>
                <w:sz w:val="24"/>
                <w:szCs w:val="24"/>
              </w:rPr>
            </w:pPr>
            <w:r>
              <w:rPr>
                <w:rFonts w:hint="eastAsia" w:ascii="宋体"/>
                <w:sz w:val="24"/>
                <w:szCs w:val="24"/>
              </w:rPr>
              <w:t>单位</w:t>
            </w:r>
          </w:p>
        </w:tc>
        <w:tc>
          <w:tcPr>
            <w:tcW w:w="1279" w:type="dxa"/>
            <w:vAlign w:val="center"/>
          </w:tcPr>
          <w:p>
            <w:pPr>
              <w:widowControl/>
              <w:jc w:val="center"/>
              <w:rPr>
                <w:rFonts w:ascii="宋体"/>
                <w:sz w:val="24"/>
                <w:szCs w:val="24"/>
              </w:rPr>
            </w:pPr>
            <w:r>
              <w:rPr>
                <w:rFonts w:hint="eastAsia" w:ascii="宋体"/>
                <w:sz w:val="24"/>
                <w:szCs w:val="24"/>
              </w:rPr>
              <w:t>工程量</w:t>
            </w:r>
          </w:p>
        </w:tc>
        <w:tc>
          <w:tcPr>
            <w:tcW w:w="1849" w:type="dxa"/>
            <w:vAlign w:val="center"/>
          </w:tcPr>
          <w:p>
            <w:pPr>
              <w:pStyle w:val="13"/>
              <w:snapToGrid w:val="0"/>
              <w:spacing w:line="460" w:lineRule="atLeast"/>
              <w:jc w:val="center"/>
              <w:rPr>
                <w:rFonts w:hAnsi="宋体"/>
                <w:sz w:val="22"/>
                <w:szCs w:val="22"/>
              </w:rPr>
            </w:pPr>
            <w:r>
              <w:rPr>
                <w:rFonts w:hint="eastAsia" w:hAnsi="宋体"/>
                <w:sz w:val="22"/>
                <w:szCs w:val="22"/>
              </w:rPr>
              <w:t>投标价</w:t>
            </w:r>
          </w:p>
          <w:p>
            <w:pPr>
              <w:pStyle w:val="13"/>
              <w:snapToGrid w:val="0"/>
              <w:spacing w:line="460" w:lineRule="atLeast"/>
              <w:jc w:val="center"/>
              <w:rPr>
                <w:rFonts w:hAnsi="宋体"/>
                <w:sz w:val="22"/>
                <w:szCs w:val="22"/>
              </w:rPr>
            </w:pPr>
            <w:r>
              <w:rPr>
                <w:rFonts w:hint="eastAsia" w:hAnsi="宋体"/>
                <w:sz w:val="22"/>
                <w:szCs w:val="22"/>
              </w:rPr>
              <w:t>（元人民币）</w:t>
            </w:r>
          </w:p>
        </w:tc>
        <w:tc>
          <w:tcPr>
            <w:tcW w:w="703" w:type="dxa"/>
            <w:vAlign w:val="center"/>
          </w:tcPr>
          <w:p>
            <w:pPr>
              <w:pStyle w:val="13"/>
              <w:snapToGrid w:val="0"/>
              <w:spacing w:line="460" w:lineRule="atLeast"/>
              <w:jc w:val="center"/>
              <w:rPr>
                <w:rFonts w:hAnsi="宋体"/>
                <w:sz w:val="22"/>
                <w:szCs w:val="22"/>
              </w:rPr>
            </w:pPr>
            <w:r>
              <w:rPr>
                <w:rFonts w:hint="eastAsia" w:hAnsi="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19" w:type="dxa"/>
            <w:tcBorders>
              <w:right w:val="single" w:color="auto" w:sz="4" w:space="0"/>
            </w:tcBorders>
            <w:vAlign w:val="center"/>
          </w:tcPr>
          <w:p>
            <w:pPr>
              <w:widowControl/>
              <w:jc w:val="center"/>
              <w:rPr>
                <w:rFonts w:ascii="宋体"/>
                <w:sz w:val="22"/>
                <w:szCs w:val="22"/>
              </w:rPr>
            </w:pPr>
            <w:r>
              <w:rPr>
                <w:rFonts w:hint="eastAsia" w:ascii="宋体"/>
                <w:sz w:val="22"/>
                <w:szCs w:val="22"/>
              </w:rPr>
              <w:t>绿地</w:t>
            </w:r>
            <w:r>
              <w:rPr>
                <w:rFonts w:hint="eastAsia" w:ascii="宋体"/>
                <w:bCs/>
                <w:sz w:val="22"/>
                <w:szCs w:val="22"/>
              </w:rPr>
              <w:t>养护面积</w:t>
            </w:r>
          </w:p>
        </w:tc>
        <w:tc>
          <w:tcPr>
            <w:tcW w:w="1087" w:type="dxa"/>
            <w:tcBorders>
              <w:left w:val="single" w:color="000000" w:sz="6" w:space="0"/>
              <w:right w:val="single" w:color="auto" w:sz="4" w:space="0"/>
            </w:tcBorders>
            <w:vAlign w:val="center"/>
          </w:tcPr>
          <w:p>
            <w:pPr>
              <w:widowControl/>
              <w:jc w:val="center"/>
              <w:rPr>
                <w:rFonts w:ascii="宋体"/>
                <w:sz w:val="22"/>
                <w:szCs w:val="22"/>
              </w:rPr>
            </w:pPr>
            <w:r>
              <w:rPr>
                <w:rFonts w:hint="eastAsia" w:ascii="宋体"/>
                <w:sz w:val="22"/>
                <w:szCs w:val="22"/>
              </w:rPr>
              <w:t>平方米</w:t>
            </w:r>
          </w:p>
        </w:tc>
        <w:tc>
          <w:tcPr>
            <w:tcW w:w="1279" w:type="dxa"/>
            <w:tcBorders>
              <w:left w:val="single" w:color="auto" w:sz="4" w:space="0"/>
            </w:tcBorders>
            <w:vAlign w:val="center"/>
          </w:tcPr>
          <w:p>
            <w:pPr>
              <w:widowControl/>
              <w:jc w:val="center"/>
              <w:rPr>
                <w:rFonts w:ascii="宋体"/>
                <w:sz w:val="22"/>
                <w:szCs w:val="22"/>
              </w:rPr>
            </w:pPr>
            <w:r>
              <w:rPr>
                <w:rFonts w:hint="eastAsia" w:ascii="宋体"/>
                <w:sz w:val="22"/>
                <w:szCs w:val="22"/>
              </w:rPr>
              <w:t xml:space="preserve">468088.61 </w:t>
            </w:r>
          </w:p>
        </w:tc>
        <w:tc>
          <w:tcPr>
            <w:tcW w:w="1849" w:type="dxa"/>
            <w:tcBorders>
              <w:left w:val="single" w:color="auto" w:sz="4" w:space="0"/>
            </w:tcBorders>
            <w:vAlign w:val="center"/>
          </w:tcPr>
          <w:p>
            <w:pPr>
              <w:pStyle w:val="13"/>
              <w:snapToGrid w:val="0"/>
              <w:rPr>
                <w:rFonts w:hAnsi="宋体"/>
                <w:sz w:val="22"/>
                <w:szCs w:val="22"/>
              </w:rPr>
            </w:pPr>
          </w:p>
        </w:tc>
        <w:tc>
          <w:tcPr>
            <w:tcW w:w="703" w:type="dxa"/>
            <w:vAlign w:val="center"/>
          </w:tcPr>
          <w:p>
            <w:pPr>
              <w:pStyle w:val="13"/>
              <w:snapToGrid w:val="0"/>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19" w:type="dxa"/>
            <w:tcBorders>
              <w:right w:val="single" w:color="auto" w:sz="4" w:space="0"/>
            </w:tcBorders>
            <w:vAlign w:val="center"/>
          </w:tcPr>
          <w:p>
            <w:pPr>
              <w:widowControl/>
              <w:jc w:val="center"/>
              <w:rPr>
                <w:rFonts w:ascii="宋体"/>
                <w:sz w:val="22"/>
                <w:szCs w:val="22"/>
              </w:rPr>
            </w:pPr>
            <w:r>
              <w:rPr>
                <w:rFonts w:hint="eastAsia" w:ascii="宋体"/>
                <w:sz w:val="22"/>
                <w:szCs w:val="22"/>
              </w:rPr>
              <w:t>行道树</w:t>
            </w:r>
          </w:p>
        </w:tc>
        <w:tc>
          <w:tcPr>
            <w:tcW w:w="1087" w:type="dxa"/>
            <w:tcBorders>
              <w:left w:val="single" w:color="000000" w:sz="6" w:space="0"/>
              <w:right w:val="single" w:color="auto" w:sz="4" w:space="0"/>
            </w:tcBorders>
            <w:vAlign w:val="center"/>
          </w:tcPr>
          <w:p>
            <w:pPr>
              <w:widowControl/>
              <w:jc w:val="center"/>
              <w:rPr>
                <w:rFonts w:ascii="宋体"/>
                <w:sz w:val="22"/>
                <w:szCs w:val="22"/>
              </w:rPr>
            </w:pPr>
            <w:r>
              <w:rPr>
                <w:rFonts w:hint="eastAsia" w:ascii="宋体"/>
                <w:sz w:val="22"/>
                <w:szCs w:val="22"/>
              </w:rPr>
              <w:t>棵</w:t>
            </w:r>
          </w:p>
        </w:tc>
        <w:tc>
          <w:tcPr>
            <w:tcW w:w="1279" w:type="dxa"/>
            <w:tcBorders>
              <w:left w:val="single" w:color="auto" w:sz="4" w:space="0"/>
            </w:tcBorders>
            <w:vAlign w:val="center"/>
          </w:tcPr>
          <w:p>
            <w:pPr>
              <w:widowControl/>
              <w:jc w:val="center"/>
              <w:rPr>
                <w:rFonts w:ascii="宋体"/>
                <w:sz w:val="22"/>
                <w:szCs w:val="22"/>
              </w:rPr>
            </w:pPr>
            <w:r>
              <w:rPr>
                <w:rFonts w:ascii="宋体"/>
                <w:sz w:val="22"/>
                <w:szCs w:val="22"/>
              </w:rPr>
              <w:t>5151</w:t>
            </w:r>
          </w:p>
        </w:tc>
        <w:tc>
          <w:tcPr>
            <w:tcW w:w="1849" w:type="dxa"/>
            <w:tcBorders>
              <w:left w:val="single" w:color="auto" w:sz="4" w:space="0"/>
            </w:tcBorders>
            <w:vAlign w:val="center"/>
          </w:tcPr>
          <w:p>
            <w:pPr>
              <w:pStyle w:val="13"/>
              <w:snapToGrid w:val="0"/>
              <w:rPr>
                <w:rFonts w:hAnsi="宋体"/>
                <w:sz w:val="22"/>
                <w:szCs w:val="22"/>
              </w:rPr>
            </w:pPr>
          </w:p>
        </w:tc>
        <w:tc>
          <w:tcPr>
            <w:tcW w:w="703" w:type="dxa"/>
            <w:vAlign w:val="center"/>
          </w:tcPr>
          <w:p>
            <w:pPr>
              <w:pStyle w:val="13"/>
              <w:snapToGrid w:val="0"/>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4519" w:type="dxa"/>
            <w:tcBorders>
              <w:right w:val="single" w:color="auto" w:sz="4" w:space="0"/>
            </w:tcBorders>
            <w:vAlign w:val="center"/>
          </w:tcPr>
          <w:p>
            <w:pPr>
              <w:jc w:val="center"/>
              <w:rPr>
                <w:rFonts w:ascii="宋体"/>
                <w:sz w:val="22"/>
                <w:szCs w:val="22"/>
                <w:highlight w:val="none"/>
              </w:rPr>
            </w:pPr>
            <w:r>
              <w:rPr>
                <w:rFonts w:hint="eastAsia" w:cs="宋体" w:asciiTheme="minorEastAsia" w:hAnsiTheme="minorEastAsia"/>
                <w:kern w:val="0"/>
                <w:sz w:val="22"/>
                <w:highlight w:val="none"/>
              </w:rPr>
              <w:t>未列入清单的，但完成本项目并必须实施的工作，由投标人综合考虑报价，本项报价一次性包干。</w:t>
            </w:r>
          </w:p>
        </w:tc>
        <w:tc>
          <w:tcPr>
            <w:tcW w:w="1087" w:type="dxa"/>
            <w:tcBorders>
              <w:left w:val="single" w:color="000000" w:sz="6" w:space="0"/>
              <w:right w:val="single" w:color="auto" w:sz="4" w:space="0"/>
            </w:tcBorders>
            <w:vAlign w:val="center"/>
          </w:tcPr>
          <w:p>
            <w:pPr>
              <w:jc w:val="center"/>
              <w:rPr>
                <w:rFonts w:ascii="宋体"/>
                <w:sz w:val="22"/>
                <w:szCs w:val="22"/>
                <w:highlight w:val="none"/>
              </w:rPr>
            </w:pPr>
            <w:r>
              <w:rPr>
                <w:rFonts w:hint="eastAsia" w:ascii="宋体"/>
                <w:sz w:val="22"/>
                <w:szCs w:val="22"/>
                <w:highlight w:val="none"/>
              </w:rPr>
              <w:t>项</w:t>
            </w:r>
          </w:p>
        </w:tc>
        <w:tc>
          <w:tcPr>
            <w:tcW w:w="1279" w:type="dxa"/>
            <w:tcBorders>
              <w:left w:val="single" w:color="auto" w:sz="4" w:space="0"/>
            </w:tcBorders>
            <w:vAlign w:val="center"/>
          </w:tcPr>
          <w:p>
            <w:pPr>
              <w:jc w:val="center"/>
              <w:rPr>
                <w:rFonts w:ascii="宋体"/>
                <w:sz w:val="22"/>
                <w:szCs w:val="22"/>
                <w:highlight w:val="none"/>
              </w:rPr>
            </w:pPr>
            <w:r>
              <w:rPr>
                <w:rFonts w:hint="eastAsia" w:ascii="宋体"/>
                <w:sz w:val="22"/>
                <w:szCs w:val="22"/>
                <w:highlight w:val="none"/>
              </w:rPr>
              <w:t>1</w:t>
            </w:r>
          </w:p>
        </w:tc>
        <w:tc>
          <w:tcPr>
            <w:tcW w:w="1849" w:type="dxa"/>
            <w:tcBorders>
              <w:left w:val="single" w:color="auto" w:sz="4" w:space="0"/>
            </w:tcBorders>
            <w:vAlign w:val="center"/>
          </w:tcPr>
          <w:p>
            <w:pPr>
              <w:pStyle w:val="13"/>
              <w:snapToGrid w:val="0"/>
              <w:rPr>
                <w:rFonts w:hAnsi="宋体"/>
                <w:sz w:val="22"/>
                <w:szCs w:val="22"/>
              </w:rPr>
            </w:pPr>
          </w:p>
        </w:tc>
        <w:tc>
          <w:tcPr>
            <w:tcW w:w="703" w:type="dxa"/>
            <w:vAlign w:val="center"/>
          </w:tcPr>
          <w:p>
            <w:pPr>
              <w:pStyle w:val="13"/>
              <w:snapToGrid w:val="0"/>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19" w:type="dxa"/>
            <w:tcBorders>
              <w:right w:val="single" w:color="auto" w:sz="4" w:space="0"/>
            </w:tcBorders>
            <w:vAlign w:val="center"/>
          </w:tcPr>
          <w:p>
            <w:pPr>
              <w:jc w:val="center"/>
              <w:rPr>
                <w:rFonts w:ascii="宋体"/>
                <w:sz w:val="22"/>
                <w:szCs w:val="22"/>
              </w:rPr>
            </w:pPr>
            <w:r>
              <w:rPr>
                <w:rFonts w:hint="eastAsia" w:ascii="宋体"/>
                <w:sz w:val="22"/>
                <w:szCs w:val="22"/>
              </w:rPr>
              <w:t>绿地养护营业费用</w:t>
            </w:r>
          </w:p>
        </w:tc>
        <w:tc>
          <w:tcPr>
            <w:tcW w:w="1087" w:type="dxa"/>
            <w:tcBorders>
              <w:left w:val="single" w:color="000000" w:sz="6" w:space="0"/>
              <w:right w:val="single" w:color="auto" w:sz="4" w:space="0"/>
            </w:tcBorders>
            <w:vAlign w:val="center"/>
          </w:tcPr>
          <w:p>
            <w:pPr>
              <w:jc w:val="center"/>
              <w:rPr>
                <w:rFonts w:ascii="宋体"/>
                <w:sz w:val="22"/>
                <w:szCs w:val="22"/>
              </w:rPr>
            </w:pPr>
          </w:p>
        </w:tc>
        <w:tc>
          <w:tcPr>
            <w:tcW w:w="1279" w:type="dxa"/>
            <w:tcBorders>
              <w:left w:val="single" w:color="auto" w:sz="4" w:space="0"/>
            </w:tcBorders>
            <w:vAlign w:val="center"/>
          </w:tcPr>
          <w:p>
            <w:pPr>
              <w:jc w:val="center"/>
              <w:rPr>
                <w:rFonts w:ascii="宋体"/>
                <w:sz w:val="22"/>
                <w:szCs w:val="22"/>
              </w:rPr>
            </w:pPr>
          </w:p>
        </w:tc>
        <w:tc>
          <w:tcPr>
            <w:tcW w:w="1849" w:type="dxa"/>
            <w:tcBorders>
              <w:left w:val="single" w:color="auto" w:sz="4" w:space="0"/>
            </w:tcBorders>
            <w:vAlign w:val="center"/>
          </w:tcPr>
          <w:p>
            <w:pPr>
              <w:pStyle w:val="13"/>
              <w:snapToGrid w:val="0"/>
              <w:rPr>
                <w:rFonts w:hAnsi="宋体"/>
                <w:sz w:val="22"/>
                <w:szCs w:val="22"/>
              </w:rPr>
            </w:pPr>
          </w:p>
        </w:tc>
        <w:tc>
          <w:tcPr>
            <w:tcW w:w="703" w:type="dxa"/>
            <w:vAlign w:val="center"/>
          </w:tcPr>
          <w:p>
            <w:pPr>
              <w:pStyle w:val="13"/>
              <w:snapToGrid w:val="0"/>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19" w:type="dxa"/>
            <w:tcBorders>
              <w:right w:val="single" w:color="auto" w:sz="4" w:space="0"/>
            </w:tcBorders>
            <w:vAlign w:val="center"/>
          </w:tcPr>
          <w:p>
            <w:pPr>
              <w:jc w:val="center"/>
              <w:rPr>
                <w:rFonts w:ascii="宋体"/>
                <w:sz w:val="22"/>
                <w:szCs w:val="22"/>
              </w:rPr>
            </w:pPr>
            <w:r>
              <w:rPr>
                <w:rFonts w:hint="eastAsia" w:ascii="宋体"/>
                <w:sz w:val="22"/>
                <w:szCs w:val="22"/>
              </w:rPr>
              <w:t>办公费用</w:t>
            </w:r>
          </w:p>
        </w:tc>
        <w:tc>
          <w:tcPr>
            <w:tcW w:w="1087" w:type="dxa"/>
            <w:tcBorders>
              <w:left w:val="single" w:color="000000" w:sz="6" w:space="0"/>
              <w:right w:val="single" w:color="auto" w:sz="4" w:space="0"/>
            </w:tcBorders>
            <w:vAlign w:val="center"/>
          </w:tcPr>
          <w:p>
            <w:pPr>
              <w:jc w:val="center"/>
              <w:rPr>
                <w:rFonts w:ascii="宋体"/>
                <w:sz w:val="22"/>
                <w:szCs w:val="22"/>
              </w:rPr>
            </w:pPr>
          </w:p>
        </w:tc>
        <w:tc>
          <w:tcPr>
            <w:tcW w:w="1279" w:type="dxa"/>
            <w:tcBorders>
              <w:left w:val="single" w:color="auto" w:sz="4" w:space="0"/>
            </w:tcBorders>
            <w:vAlign w:val="center"/>
          </w:tcPr>
          <w:p>
            <w:pPr>
              <w:jc w:val="center"/>
              <w:rPr>
                <w:rFonts w:ascii="宋体"/>
                <w:sz w:val="22"/>
                <w:szCs w:val="22"/>
              </w:rPr>
            </w:pPr>
          </w:p>
        </w:tc>
        <w:tc>
          <w:tcPr>
            <w:tcW w:w="1849" w:type="dxa"/>
            <w:tcBorders>
              <w:left w:val="single" w:color="auto" w:sz="4" w:space="0"/>
            </w:tcBorders>
            <w:vAlign w:val="center"/>
          </w:tcPr>
          <w:p>
            <w:pPr>
              <w:pStyle w:val="13"/>
              <w:snapToGrid w:val="0"/>
              <w:rPr>
                <w:rFonts w:hAnsi="宋体"/>
                <w:sz w:val="22"/>
                <w:szCs w:val="22"/>
              </w:rPr>
            </w:pPr>
          </w:p>
        </w:tc>
        <w:tc>
          <w:tcPr>
            <w:tcW w:w="703" w:type="dxa"/>
            <w:vAlign w:val="center"/>
          </w:tcPr>
          <w:p>
            <w:pPr>
              <w:pStyle w:val="13"/>
              <w:snapToGrid w:val="0"/>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19" w:type="dxa"/>
            <w:tcBorders>
              <w:right w:val="single" w:color="auto" w:sz="4" w:space="0"/>
            </w:tcBorders>
            <w:vAlign w:val="center"/>
          </w:tcPr>
          <w:p>
            <w:pPr>
              <w:jc w:val="center"/>
              <w:rPr>
                <w:rFonts w:hint="eastAsia" w:ascii="宋体" w:eastAsia="宋体"/>
                <w:sz w:val="22"/>
                <w:szCs w:val="22"/>
                <w:lang w:eastAsia="zh-CN"/>
              </w:rPr>
            </w:pPr>
            <w:r>
              <w:rPr>
                <w:rFonts w:hint="eastAsia" w:ascii="宋体"/>
                <w:sz w:val="22"/>
                <w:szCs w:val="22"/>
              </w:rPr>
              <w:t>不可预见费</w:t>
            </w:r>
          </w:p>
        </w:tc>
        <w:tc>
          <w:tcPr>
            <w:tcW w:w="1087" w:type="dxa"/>
            <w:tcBorders>
              <w:left w:val="single" w:color="000000" w:sz="6" w:space="0"/>
              <w:right w:val="single" w:color="auto" w:sz="4" w:space="0"/>
            </w:tcBorders>
            <w:vAlign w:val="center"/>
          </w:tcPr>
          <w:p>
            <w:pPr>
              <w:jc w:val="center"/>
              <w:rPr>
                <w:rFonts w:ascii="宋体"/>
                <w:sz w:val="22"/>
                <w:szCs w:val="22"/>
              </w:rPr>
            </w:pPr>
          </w:p>
        </w:tc>
        <w:tc>
          <w:tcPr>
            <w:tcW w:w="1279" w:type="dxa"/>
            <w:tcBorders>
              <w:left w:val="single" w:color="auto" w:sz="4" w:space="0"/>
            </w:tcBorders>
            <w:vAlign w:val="center"/>
          </w:tcPr>
          <w:p>
            <w:pPr>
              <w:jc w:val="center"/>
              <w:rPr>
                <w:rFonts w:ascii="宋体"/>
                <w:sz w:val="22"/>
                <w:szCs w:val="22"/>
              </w:rPr>
            </w:pPr>
          </w:p>
        </w:tc>
        <w:tc>
          <w:tcPr>
            <w:tcW w:w="1849" w:type="dxa"/>
            <w:tcBorders>
              <w:left w:val="single" w:color="auto" w:sz="4" w:space="0"/>
            </w:tcBorders>
            <w:vAlign w:val="center"/>
          </w:tcPr>
          <w:p>
            <w:pPr>
              <w:pStyle w:val="13"/>
              <w:snapToGrid w:val="0"/>
              <w:rPr>
                <w:rFonts w:hint="eastAsia" w:hAnsi="宋体" w:eastAsia="宋体"/>
                <w:sz w:val="22"/>
                <w:szCs w:val="22"/>
                <w:lang w:eastAsia="zh-CN"/>
              </w:rPr>
            </w:pPr>
          </w:p>
        </w:tc>
        <w:tc>
          <w:tcPr>
            <w:tcW w:w="703" w:type="dxa"/>
            <w:vAlign w:val="center"/>
          </w:tcPr>
          <w:p>
            <w:pPr>
              <w:pStyle w:val="13"/>
              <w:snapToGrid w:val="0"/>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19" w:type="dxa"/>
            <w:tcBorders>
              <w:right w:val="single" w:color="auto" w:sz="4" w:space="0"/>
            </w:tcBorders>
            <w:vAlign w:val="center"/>
          </w:tcPr>
          <w:p>
            <w:pPr>
              <w:spacing w:line="360" w:lineRule="auto"/>
              <w:jc w:val="center"/>
              <w:rPr>
                <w:rFonts w:ascii="宋体"/>
                <w:sz w:val="22"/>
                <w:szCs w:val="22"/>
              </w:rPr>
            </w:pPr>
            <w:r>
              <w:rPr>
                <w:rFonts w:hint="eastAsia" w:ascii="新宋体" w:hAnsi="新宋体" w:eastAsia="新宋体"/>
                <w:sz w:val="22"/>
                <w:szCs w:val="22"/>
              </w:rPr>
              <w:t>经营管理费</w:t>
            </w:r>
          </w:p>
        </w:tc>
        <w:tc>
          <w:tcPr>
            <w:tcW w:w="1087" w:type="dxa"/>
            <w:tcBorders>
              <w:left w:val="single" w:color="000000" w:sz="6" w:space="0"/>
              <w:right w:val="single" w:color="auto" w:sz="4" w:space="0"/>
            </w:tcBorders>
            <w:vAlign w:val="center"/>
          </w:tcPr>
          <w:p>
            <w:pPr>
              <w:jc w:val="center"/>
              <w:rPr>
                <w:rFonts w:ascii="宋体"/>
                <w:sz w:val="22"/>
                <w:szCs w:val="22"/>
              </w:rPr>
            </w:pPr>
          </w:p>
        </w:tc>
        <w:tc>
          <w:tcPr>
            <w:tcW w:w="1279" w:type="dxa"/>
            <w:tcBorders>
              <w:left w:val="single" w:color="auto" w:sz="4" w:space="0"/>
            </w:tcBorders>
            <w:vAlign w:val="center"/>
          </w:tcPr>
          <w:p>
            <w:pPr>
              <w:jc w:val="center"/>
              <w:rPr>
                <w:rFonts w:ascii="宋体"/>
                <w:sz w:val="22"/>
                <w:szCs w:val="22"/>
              </w:rPr>
            </w:pPr>
          </w:p>
        </w:tc>
        <w:tc>
          <w:tcPr>
            <w:tcW w:w="1849" w:type="dxa"/>
            <w:tcBorders>
              <w:left w:val="single" w:color="auto" w:sz="4" w:space="0"/>
            </w:tcBorders>
            <w:vAlign w:val="center"/>
          </w:tcPr>
          <w:p>
            <w:pPr>
              <w:pStyle w:val="13"/>
              <w:snapToGrid w:val="0"/>
              <w:rPr>
                <w:rFonts w:hAnsi="宋体"/>
                <w:sz w:val="22"/>
                <w:szCs w:val="22"/>
              </w:rPr>
            </w:pPr>
          </w:p>
        </w:tc>
        <w:tc>
          <w:tcPr>
            <w:tcW w:w="703" w:type="dxa"/>
            <w:vAlign w:val="center"/>
          </w:tcPr>
          <w:p>
            <w:pPr>
              <w:pStyle w:val="13"/>
              <w:snapToGrid w:val="0"/>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19" w:type="dxa"/>
            <w:tcBorders>
              <w:right w:val="single" w:color="auto" w:sz="4" w:space="0"/>
            </w:tcBorders>
            <w:vAlign w:val="center"/>
          </w:tcPr>
          <w:p>
            <w:pPr>
              <w:spacing w:line="360" w:lineRule="auto"/>
              <w:jc w:val="center"/>
              <w:rPr>
                <w:rFonts w:ascii="宋体"/>
                <w:sz w:val="22"/>
                <w:szCs w:val="22"/>
              </w:rPr>
            </w:pPr>
            <w:r>
              <w:rPr>
                <w:rFonts w:hint="eastAsia" w:ascii="新宋体" w:hAnsi="新宋体" w:eastAsia="新宋体"/>
                <w:sz w:val="22"/>
                <w:szCs w:val="22"/>
              </w:rPr>
              <w:t>利润</w:t>
            </w:r>
          </w:p>
        </w:tc>
        <w:tc>
          <w:tcPr>
            <w:tcW w:w="1087" w:type="dxa"/>
            <w:tcBorders>
              <w:left w:val="single" w:color="000000" w:sz="6" w:space="0"/>
              <w:right w:val="single" w:color="auto" w:sz="4" w:space="0"/>
            </w:tcBorders>
            <w:vAlign w:val="center"/>
          </w:tcPr>
          <w:p>
            <w:pPr>
              <w:jc w:val="center"/>
              <w:rPr>
                <w:rFonts w:ascii="宋体"/>
                <w:sz w:val="22"/>
                <w:szCs w:val="22"/>
              </w:rPr>
            </w:pPr>
          </w:p>
        </w:tc>
        <w:tc>
          <w:tcPr>
            <w:tcW w:w="1279" w:type="dxa"/>
            <w:tcBorders>
              <w:left w:val="single" w:color="auto" w:sz="4" w:space="0"/>
            </w:tcBorders>
            <w:vAlign w:val="center"/>
          </w:tcPr>
          <w:p>
            <w:pPr>
              <w:jc w:val="center"/>
              <w:rPr>
                <w:rFonts w:ascii="宋体"/>
                <w:sz w:val="22"/>
                <w:szCs w:val="22"/>
              </w:rPr>
            </w:pPr>
          </w:p>
        </w:tc>
        <w:tc>
          <w:tcPr>
            <w:tcW w:w="1849" w:type="dxa"/>
            <w:tcBorders>
              <w:left w:val="single" w:color="auto" w:sz="4" w:space="0"/>
            </w:tcBorders>
            <w:vAlign w:val="center"/>
          </w:tcPr>
          <w:p>
            <w:pPr>
              <w:pStyle w:val="13"/>
              <w:snapToGrid w:val="0"/>
              <w:rPr>
                <w:rFonts w:hAnsi="宋体"/>
                <w:sz w:val="22"/>
                <w:szCs w:val="22"/>
              </w:rPr>
            </w:pPr>
          </w:p>
        </w:tc>
        <w:tc>
          <w:tcPr>
            <w:tcW w:w="703" w:type="dxa"/>
            <w:vAlign w:val="center"/>
          </w:tcPr>
          <w:p>
            <w:pPr>
              <w:pStyle w:val="13"/>
              <w:snapToGrid w:val="0"/>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19" w:type="dxa"/>
            <w:tcBorders>
              <w:right w:val="single" w:color="auto" w:sz="4" w:space="0"/>
            </w:tcBorders>
            <w:vAlign w:val="center"/>
          </w:tcPr>
          <w:p>
            <w:pPr>
              <w:spacing w:line="360" w:lineRule="auto"/>
              <w:jc w:val="center"/>
              <w:rPr>
                <w:rFonts w:ascii="宋体"/>
                <w:sz w:val="22"/>
                <w:szCs w:val="22"/>
              </w:rPr>
            </w:pPr>
            <w:r>
              <w:rPr>
                <w:rFonts w:hint="eastAsia" w:ascii="新宋体" w:hAnsi="新宋体" w:eastAsia="新宋体"/>
                <w:sz w:val="22"/>
                <w:szCs w:val="22"/>
              </w:rPr>
              <w:t>税金</w:t>
            </w:r>
          </w:p>
        </w:tc>
        <w:tc>
          <w:tcPr>
            <w:tcW w:w="1087" w:type="dxa"/>
            <w:tcBorders>
              <w:left w:val="single" w:color="000000" w:sz="6" w:space="0"/>
              <w:right w:val="single" w:color="auto" w:sz="4" w:space="0"/>
            </w:tcBorders>
            <w:vAlign w:val="center"/>
          </w:tcPr>
          <w:p>
            <w:pPr>
              <w:jc w:val="center"/>
              <w:rPr>
                <w:rFonts w:ascii="宋体"/>
                <w:sz w:val="22"/>
                <w:szCs w:val="22"/>
              </w:rPr>
            </w:pPr>
          </w:p>
        </w:tc>
        <w:tc>
          <w:tcPr>
            <w:tcW w:w="1279" w:type="dxa"/>
            <w:tcBorders>
              <w:left w:val="single" w:color="auto" w:sz="4" w:space="0"/>
            </w:tcBorders>
            <w:vAlign w:val="center"/>
          </w:tcPr>
          <w:p>
            <w:pPr>
              <w:jc w:val="center"/>
              <w:rPr>
                <w:rFonts w:ascii="宋体"/>
                <w:sz w:val="22"/>
                <w:szCs w:val="22"/>
              </w:rPr>
            </w:pPr>
          </w:p>
        </w:tc>
        <w:tc>
          <w:tcPr>
            <w:tcW w:w="1849" w:type="dxa"/>
            <w:tcBorders>
              <w:left w:val="single" w:color="auto" w:sz="4" w:space="0"/>
            </w:tcBorders>
            <w:vAlign w:val="center"/>
          </w:tcPr>
          <w:p>
            <w:pPr>
              <w:pStyle w:val="13"/>
              <w:snapToGrid w:val="0"/>
              <w:rPr>
                <w:rFonts w:hAnsi="宋体"/>
                <w:sz w:val="22"/>
                <w:szCs w:val="22"/>
              </w:rPr>
            </w:pPr>
          </w:p>
        </w:tc>
        <w:tc>
          <w:tcPr>
            <w:tcW w:w="703" w:type="dxa"/>
            <w:vAlign w:val="center"/>
          </w:tcPr>
          <w:p>
            <w:pPr>
              <w:pStyle w:val="13"/>
              <w:snapToGrid w:val="0"/>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19" w:type="dxa"/>
            <w:tcBorders>
              <w:right w:val="single" w:color="auto" w:sz="4" w:space="0"/>
            </w:tcBorders>
            <w:vAlign w:val="center"/>
          </w:tcPr>
          <w:p>
            <w:pPr>
              <w:spacing w:line="360" w:lineRule="auto"/>
              <w:jc w:val="center"/>
              <w:rPr>
                <w:rFonts w:hint="eastAsia" w:ascii="新宋体" w:hAnsi="新宋体" w:eastAsia="新宋体"/>
                <w:sz w:val="22"/>
                <w:szCs w:val="22"/>
                <w:lang w:eastAsia="zh-CN"/>
              </w:rPr>
            </w:pPr>
            <w:r>
              <w:rPr>
                <w:rFonts w:hint="default" w:ascii="新宋体" w:hAnsi="新宋体" w:eastAsia="新宋体"/>
                <w:sz w:val="22"/>
                <w:szCs w:val="22"/>
                <w:lang w:val="en-US"/>
              </w:rPr>
              <w:t>备用金</w:t>
            </w:r>
          </w:p>
        </w:tc>
        <w:tc>
          <w:tcPr>
            <w:tcW w:w="1087" w:type="dxa"/>
            <w:tcBorders>
              <w:left w:val="single" w:color="000000" w:sz="6" w:space="0"/>
              <w:right w:val="single" w:color="auto" w:sz="4" w:space="0"/>
            </w:tcBorders>
            <w:vAlign w:val="center"/>
          </w:tcPr>
          <w:p>
            <w:pPr>
              <w:jc w:val="center"/>
              <w:rPr>
                <w:rFonts w:ascii="宋体"/>
                <w:sz w:val="22"/>
                <w:szCs w:val="22"/>
              </w:rPr>
            </w:pPr>
            <w:r>
              <w:rPr>
                <w:rFonts w:hint="eastAsia" w:ascii="宋体"/>
                <w:sz w:val="22"/>
                <w:szCs w:val="22"/>
                <w:highlight w:val="none"/>
              </w:rPr>
              <w:t>项</w:t>
            </w:r>
          </w:p>
        </w:tc>
        <w:tc>
          <w:tcPr>
            <w:tcW w:w="1279" w:type="dxa"/>
            <w:tcBorders>
              <w:left w:val="single" w:color="auto" w:sz="4" w:space="0"/>
            </w:tcBorders>
            <w:vAlign w:val="center"/>
          </w:tcPr>
          <w:p>
            <w:pPr>
              <w:jc w:val="center"/>
              <w:rPr>
                <w:rFonts w:ascii="宋体"/>
                <w:sz w:val="22"/>
                <w:szCs w:val="22"/>
              </w:rPr>
            </w:pPr>
            <w:r>
              <w:rPr>
                <w:rFonts w:hint="eastAsia" w:ascii="宋体"/>
                <w:sz w:val="22"/>
                <w:szCs w:val="22"/>
                <w:highlight w:val="none"/>
              </w:rPr>
              <w:t>1</w:t>
            </w:r>
          </w:p>
        </w:tc>
        <w:tc>
          <w:tcPr>
            <w:tcW w:w="1849" w:type="dxa"/>
            <w:tcBorders>
              <w:left w:val="single" w:color="auto" w:sz="4" w:space="0"/>
            </w:tcBorders>
            <w:vAlign w:val="center"/>
          </w:tcPr>
          <w:p>
            <w:pPr>
              <w:pStyle w:val="13"/>
              <w:snapToGrid w:val="0"/>
              <w:jc w:val="center"/>
              <w:rPr>
                <w:rFonts w:hint="default" w:hAnsi="宋体" w:eastAsia="宋体"/>
                <w:sz w:val="22"/>
                <w:szCs w:val="22"/>
                <w:lang w:val="en-US" w:eastAsia="zh-CN"/>
              </w:rPr>
            </w:pPr>
            <w:r>
              <w:rPr>
                <w:rFonts w:hint="eastAsia" w:hAnsi="宋体"/>
                <w:sz w:val="22"/>
                <w:szCs w:val="22"/>
                <w:lang w:val="en-US" w:eastAsia="zh-CN"/>
              </w:rPr>
              <w:t>800000</w:t>
            </w:r>
          </w:p>
        </w:tc>
        <w:tc>
          <w:tcPr>
            <w:tcW w:w="703" w:type="dxa"/>
            <w:vAlign w:val="center"/>
          </w:tcPr>
          <w:p>
            <w:pPr>
              <w:pStyle w:val="13"/>
              <w:snapToGrid w:val="0"/>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19" w:type="dxa"/>
            <w:tcBorders>
              <w:right w:val="single" w:color="auto" w:sz="4" w:space="0"/>
            </w:tcBorders>
            <w:vAlign w:val="center"/>
          </w:tcPr>
          <w:p>
            <w:pPr>
              <w:spacing w:line="360" w:lineRule="auto"/>
              <w:jc w:val="center"/>
              <w:rPr>
                <w:rFonts w:hint="eastAsia" w:ascii="新宋体" w:hAnsi="新宋体" w:eastAsia="新宋体"/>
                <w:sz w:val="22"/>
                <w:szCs w:val="22"/>
                <w:lang w:val="en-US" w:eastAsia="zh-CN"/>
              </w:rPr>
            </w:pPr>
            <w:r>
              <w:rPr>
                <w:rFonts w:hint="eastAsia" w:ascii="新宋体" w:hAnsi="新宋体" w:eastAsia="新宋体"/>
                <w:sz w:val="22"/>
                <w:szCs w:val="22"/>
                <w:lang w:val="en-US" w:eastAsia="zh-CN"/>
              </w:rPr>
              <w:t>其他</w:t>
            </w:r>
          </w:p>
        </w:tc>
        <w:tc>
          <w:tcPr>
            <w:tcW w:w="1087" w:type="dxa"/>
            <w:tcBorders>
              <w:left w:val="single" w:color="000000" w:sz="6" w:space="0"/>
              <w:right w:val="single" w:color="auto" w:sz="4" w:space="0"/>
            </w:tcBorders>
            <w:vAlign w:val="center"/>
          </w:tcPr>
          <w:p>
            <w:pPr>
              <w:jc w:val="center"/>
              <w:rPr>
                <w:rFonts w:hint="eastAsia" w:ascii="宋体"/>
                <w:sz w:val="22"/>
                <w:szCs w:val="22"/>
                <w:highlight w:val="none"/>
              </w:rPr>
            </w:pPr>
          </w:p>
        </w:tc>
        <w:tc>
          <w:tcPr>
            <w:tcW w:w="1279" w:type="dxa"/>
            <w:tcBorders>
              <w:left w:val="single" w:color="auto" w:sz="4" w:space="0"/>
            </w:tcBorders>
            <w:vAlign w:val="center"/>
          </w:tcPr>
          <w:p>
            <w:pPr>
              <w:jc w:val="center"/>
              <w:rPr>
                <w:rFonts w:hint="eastAsia" w:ascii="宋体"/>
                <w:sz w:val="22"/>
                <w:szCs w:val="22"/>
                <w:highlight w:val="none"/>
              </w:rPr>
            </w:pPr>
          </w:p>
        </w:tc>
        <w:tc>
          <w:tcPr>
            <w:tcW w:w="1849" w:type="dxa"/>
            <w:tcBorders>
              <w:left w:val="single" w:color="auto" w:sz="4" w:space="0"/>
            </w:tcBorders>
            <w:vAlign w:val="center"/>
          </w:tcPr>
          <w:p>
            <w:pPr>
              <w:pStyle w:val="13"/>
              <w:snapToGrid w:val="0"/>
              <w:jc w:val="center"/>
              <w:rPr>
                <w:rFonts w:hint="eastAsia" w:hAnsi="宋体"/>
                <w:sz w:val="22"/>
                <w:szCs w:val="22"/>
                <w:lang w:val="en-US" w:eastAsia="zh-CN"/>
              </w:rPr>
            </w:pPr>
          </w:p>
        </w:tc>
        <w:tc>
          <w:tcPr>
            <w:tcW w:w="703" w:type="dxa"/>
            <w:vAlign w:val="center"/>
          </w:tcPr>
          <w:p>
            <w:pPr>
              <w:pStyle w:val="13"/>
              <w:snapToGrid w:val="0"/>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19" w:type="dxa"/>
            <w:tcBorders>
              <w:right w:val="single" w:color="auto" w:sz="4" w:space="0"/>
            </w:tcBorders>
            <w:vAlign w:val="center"/>
          </w:tcPr>
          <w:p>
            <w:pPr>
              <w:pStyle w:val="13"/>
              <w:snapToGrid w:val="0"/>
              <w:jc w:val="center"/>
              <w:rPr>
                <w:rFonts w:hint="eastAsia" w:hAnsi="宋体" w:eastAsia="宋体"/>
                <w:sz w:val="22"/>
                <w:szCs w:val="22"/>
                <w:lang w:eastAsia="zh-CN"/>
              </w:rPr>
            </w:pPr>
            <w:r>
              <w:rPr>
                <w:rFonts w:hint="eastAsia" w:hAnsi="宋体"/>
                <w:sz w:val="22"/>
                <w:szCs w:val="22"/>
              </w:rPr>
              <w:t>总计</w:t>
            </w:r>
          </w:p>
        </w:tc>
        <w:tc>
          <w:tcPr>
            <w:tcW w:w="1087" w:type="dxa"/>
            <w:tcBorders>
              <w:left w:val="single" w:color="000000" w:sz="6" w:space="0"/>
              <w:right w:val="single" w:color="auto" w:sz="4" w:space="0"/>
            </w:tcBorders>
            <w:vAlign w:val="center"/>
          </w:tcPr>
          <w:p>
            <w:pPr>
              <w:pStyle w:val="13"/>
              <w:snapToGrid w:val="0"/>
              <w:rPr>
                <w:rFonts w:hAnsi="宋体"/>
                <w:color w:val="FF0000"/>
                <w:sz w:val="22"/>
                <w:szCs w:val="22"/>
              </w:rPr>
            </w:pPr>
          </w:p>
        </w:tc>
        <w:tc>
          <w:tcPr>
            <w:tcW w:w="1279" w:type="dxa"/>
            <w:tcBorders>
              <w:left w:val="single" w:color="auto" w:sz="4" w:space="0"/>
            </w:tcBorders>
            <w:vAlign w:val="center"/>
          </w:tcPr>
          <w:p>
            <w:pPr>
              <w:pStyle w:val="13"/>
              <w:snapToGrid w:val="0"/>
              <w:rPr>
                <w:rFonts w:hAnsi="宋体"/>
                <w:color w:val="FF0000"/>
                <w:sz w:val="22"/>
                <w:szCs w:val="22"/>
              </w:rPr>
            </w:pPr>
          </w:p>
        </w:tc>
        <w:tc>
          <w:tcPr>
            <w:tcW w:w="1849" w:type="dxa"/>
            <w:tcBorders>
              <w:left w:val="single" w:color="auto" w:sz="4" w:space="0"/>
            </w:tcBorders>
            <w:vAlign w:val="center"/>
          </w:tcPr>
          <w:p>
            <w:pPr>
              <w:pStyle w:val="13"/>
              <w:snapToGrid w:val="0"/>
              <w:rPr>
                <w:rFonts w:hAnsi="宋体"/>
                <w:color w:val="FF0000"/>
                <w:sz w:val="22"/>
                <w:szCs w:val="22"/>
              </w:rPr>
            </w:pPr>
          </w:p>
        </w:tc>
        <w:tc>
          <w:tcPr>
            <w:tcW w:w="703" w:type="dxa"/>
            <w:vAlign w:val="center"/>
          </w:tcPr>
          <w:p>
            <w:pPr>
              <w:pStyle w:val="13"/>
              <w:snapToGrid w:val="0"/>
              <w:jc w:val="center"/>
              <w:rPr>
                <w:rFonts w:hAnsi="宋体"/>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19" w:type="dxa"/>
            <w:tcBorders>
              <w:right w:val="single" w:color="auto" w:sz="4" w:space="0"/>
            </w:tcBorders>
            <w:vAlign w:val="center"/>
          </w:tcPr>
          <w:p>
            <w:pPr>
              <w:pStyle w:val="13"/>
              <w:snapToGrid w:val="0"/>
              <w:jc w:val="center"/>
              <w:rPr>
                <w:rFonts w:hint="eastAsia" w:hAnsi="宋体" w:eastAsia="宋体"/>
                <w:sz w:val="22"/>
                <w:szCs w:val="22"/>
                <w:lang w:eastAsia="zh-CN"/>
              </w:rPr>
            </w:pPr>
            <w:r>
              <w:rPr>
                <w:rFonts w:hint="eastAsia" w:hAnsi="宋体"/>
                <w:sz w:val="22"/>
                <w:szCs w:val="22"/>
              </w:rPr>
              <w:t>总计价</w:t>
            </w:r>
            <w:r>
              <w:rPr>
                <w:rFonts w:hint="eastAsia" w:hAnsi="宋体"/>
                <w:sz w:val="22"/>
                <w:szCs w:val="22"/>
                <w:lang w:eastAsia="zh-CN"/>
              </w:rPr>
              <w:t>（</w:t>
            </w:r>
            <w:r>
              <w:rPr>
                <w:rFonts w:hint="eastAsia" w:hAnsi="宋体"/>
                <w:sz w:val="22"/>
                <w:szCs w:val="22"/>
                <w:lang w:val="en-US" w:eastAsia="zh-CN"/>
              </w:rPr>
              <w:t>两年</w:t>
            </w:r>
            <w:r>
              <w:rPr>
                <w:rFonts w:hint="eastAsia" w:hAnsi="宋体"/>
                <w:sz w:val="22"/>
                <w:szCs w:val="22"/>
                <w:lang w:eastAsia="zh-CN"/>
              </w:rPr>
              <w:t>）</w:t>
            </w:r>
          </w:p>
        </w:tc>
        <w:tc>
          <w:tcPr>
            <w:tcW w:w="4918" w:type="dxa"/>
            <w:gridSpan w:val="4"/>
            <w:tcBorders>
              <w:left w:val="single" w:color="000000" w:sz="6" w:space="0"/>
            </w:tcBorders>
            <w:vAlign w:val="center"/>
          </w:tcPr>
          <w:p>
            <w:pPr>
              <w:pStyle w:val="13"/>
              <w:snapToGrid w:val="0"/>
              <w:jc w:val="center"/>
              <w:rPr>
                <w:rFonts w:hAnsi="宋体"/>
                <w:color w:val="FF0000"/>
                <w:sz w:val="22"/>
                <w:szCs w:val="22"/>
              </w:rPr>
            </w:pPr>
            <w:r>
              <w:rPr>
                <w:rFonts w:hint="eastAsia" w:hAnsi="宋体"/>
                <w:color w:val="auto"/>
                <w:sz w:val="22"/>
                <w:szCs w:val="22"/>
              </w:rPr>
              <w:t>佰  拾  万  仟  佰  拾  元  角  分</w:t>
            </w:r>
          </w:p>
        </w:tc>
      </w:tr>
    </w:tbl>
    <w:p>
      <w:r>
        <w:t>注：1、以上核算需符合相关法律、法规及招标文件规定。</w:t>
      </w:r>
    </w:p>
    <w:p>
      <w:r>
        <w:t>2、总计价应与附件一“开标一览表”中投标价相一致。</w:t>
      </w:r>
    </w:p>
    <w:p>
      <w:r>
        <w:t>3、本表所列费用为本项目的全部费用，未列费用均为综合考虑。</w:t>
      </w:r>
    </w:p>
    <w:p>
      <w:r>
        <w:t>4、供应商须另外提供详细清单。</w:t>
      </w:r>
    </w:p>
    <w:p>
      <w:r>
        <w:t>5、不提供详细分项报价将视为没有实质性响应招标文件。</w:t>
      </w:r>
    </w:p>
    <w:p>
      <w:r>
        <w:t xml:space="preserve">6、本表可在不改变格式的情况下根据具体需要自行增减。 </w:t>
      </w:r>
    </w:p>
    <w:p>
      <w:r>
        <w:t xml:space="preserve">       </w:t>
      </w:r>
    </w:p>
    <w:p>
      <w:pPr>
        <w:spacing w:line="360" w:lineRule="auto"/>
        <w:rPr>
          <w:rFonts w:ascii="宋体" w:hAnsi="宋体" w:cs="宋体"/>
          <w:sz w:val="22"/>
          <w:szCs w:val="22"/>
        </w:rPr>
      </w:pPr>
      <w:r>
        <w:rPr>
          <w:rFonts w:hint="eastAsia" w:ascii="宋体" w:hAnsi="宋体" w:cs="宋体"/>
          <w:sz w:val="22"/>
          <w:szCs w:val="22"/>
        </w:rPr>
        <w:t>供应商全称（盖章）：               法定代表人或授权代表（签字或盖章）：</w:t>
      </w:r>
    </w:p>
    <w:p>
      <w:pPr>
        <w:spacing w:line="360" w:lineRule="auto"/>
        <w:rPr>
          <w:rFonts w:ascii="宋体" w:hAnsi="宋体" w:cs="宋体"/>
          <w:sz w:val="22"/>
          <w:szCs w:val="22"/>
          <w:u w:val="single"/>
        </w:rPr>
      </w:pPr>
      <w:r>
        <w:rPr>
          <w:rFonts w:hint="eastAsia" w:ascii="宋体" w:hAnsi="宋体" w:cs="宋体"/>
          <w:sz w:val="22"/>
          <w:szCs w:val="22"/>
        </w:rPr>
        <w:t>日 期：       年      月     日</w:t>
      </w:r>
    </w:p>
    <w:p>
      <w:pPr>
        <w:sectPr>
          <w:headerReference r:id="rId11" w:type="first"/>
          <w:headerReference r:id="rId10" w:type="default"/>
          <w:footerReference r:id="rId12" w:type="default"/>
          <w:pgSz w:w="11906" w:h="16838"/>
          <w:pgMar w:top="1134" w:right="1134" w:bottom="1134" w:left="1134" w:header="851" w:footer="992" w:gutter="0"/>
          <w:cols w:space="720" w:num="1"/>
          <w:docGrid w:linePitch="312" w:charSpace="0"/>
        </w:sectPr>
      </w:pPr>
    </w:p>
    <w:p>
      <w:pPr>
        <w:pStyle w:val="23"/>
        <w:rPr>
          <w:rFonts w:ascii="宋体" w:hAnsi="宋体" w:cs="宋体"/>
        </w:rPr>
      </w:pPr>
      <w:bookmarkStart w:id="141" w:name="_Toc73091448"/>
      <w:bookmarkStart w:id="142" w:name="_Toc42243287"/>
      <w:bookmarkStart w:id="143" w:name="_Toc42678695"/>
      <w:r>
        <w:rPr>
          <w:rFonts w:hint="eastAsia" w:ascii="宋体" w:hAnsi="宋体" w:cs="宋体"/>
        </w:rPr>
        <w:t>三、商务技术文件部分格式</w:t>
      </w:r>
      <w:bookmarkEnd w:id="141"/>
      <w:bookmarkEnd w:id="142"/>
      <w:bookmarkEnd w:id="143"/>
    </w:p>
    <w:p>
      <w:pPr>
        <w:pStyle w:val="23"/>
        <w:jc w:val="left"/>
        <w:rPr>
          <w:rFonts w:ascii="宋体" w:hAnsi="宋体"/>
        </w:rPr>
      </w:pPr>
      <w:bookmarkStart w:id="144" w:name="_Toc54782486"/>
      <w:r>
        <w:rPr>
          <w:rFonts w:hint="eastAsia" w:ascii="宋体" w:hAnsi="宋体"/>
          <w:sz w:val="24"/>
          <w:szCs w:val="24"/>
        </w:rPr>
        <w:t>附件八</w:t>
      </w:r>
      <w:r>
        <w:rPr>
          <w:rFonts w:hint="eastAsia" w:ascii="宋体" w:hAnsi="宋体"/>
        </w:rPr>
        <w:t xml:space="preserve">                  </w:t>
      </w:r>
    </w:p>
    <w:p>
      <w:pPr>
        <w:pStyle w:val="23"/>
        <w:rPr>
          <w:rFonts w:ascii="宋体" w:hAnsi="宋体"/>
        </w:rPr>
      </w:pPr>
      <w:r>
        <w:rPr>
          <w:rFonts w:hint="eastAsia" w:ascii="宋体" w:hAnsi="宋体"/>
          <w:sz w:val="36"/>
          <w:szCs w:val="36"/>
        </w:rPr>
        <w:t>投标函</w:t>
      </w:r>
      <w:bookmarkEnd w:id="144"/>
    </w:p>
    <w:p>
      <w:pPr>
        <w:autoSpaceDE w:val="0"/>
        <w:autoSpaceDN w:val="0"/>
        <w:adjustRightInd w:val="0"/>
        <w:spacing w:line="440" w:lineRule="atLeast"/>
        <w:rPr>
          <w:rFonts w:ascii="宋体"/>
          <w:sz w:val="22"/>
          <w:szCs w:val="22"/>
          <w:u w:val="single"/>
        </w:rPr>
      </w:pPr>
      <w:r>
        <w:rPr>
          <w:rFonts w:hint="eastAsia" w:ascii="宋体" w:cs="仿宋_GB2312"/>
          <w:sz w:val="22"/>
          <w:szCs w:val="22"/>
          <w:u w:val="single"/>
          <w:lang w:val="zh-CN"/>
        </w:rPr>
        <w:t xml:space="preserve">           ：</w:t>
      </w:r>
    </w:p>
    <w:p>
      <w:pPr>
        <w:autoSpaceDE w:val="0"/>
        <w:autoSpaceDN w:val="0"/>
        <w:adjustRightInd w:val="0"/>
        <w:spacing w:line="440" w:lineRule="atLeast"/>
        <w:rPr>
          <w:rFonts w:ascii="宋体" w:cs="仿宋_GB2312"/>
          <w:sz w:val="22"/>
          <w:szCs w:val="22"/>
          <w:lang w:val="zh-CN"/>
        </w:rPr>
      </w:pPr>
      <w:r>
        <w:rPr>
          <w:rFonts w:ascii="宋体" w:cs="仿宋_GB2312"/>
          <w:sz w:val="22"/>
          <w:szCs w:val="22"/>
          <w:lang w:val="zh-CN"/>
        </w:rPr>
        <w:t xml:space="preserve">    </w:t>
      </w:r>
      <w:r>
        <w:rPr>
          <w:rFonts w:ascii="宋体" w:cs="仿宋_GB2312"/>
          <w:sz w:val="22"/>
          <w:szCs w:val="22"/>
          <w:u w:val="single"/>
          <w:lang w:val="zh-CN"/>
        </w:rPr>
        <w:t xml:space="preserve">                    </w:t>
      </w:r>
      <w:r>
        <w:rPr>
          <w:rFonts w:hint="eastAsia" w:ascii="宋体" w:cs="仿宋_GB2312"/>
          <w:sz w:val="22"/>
          <w:szCs w:val="22"/>
          <w:lang w:val="zh-CN"/>
        </w:rPr>
        <w:t>（供应商全称）授权</w:t>
      </w:r>
      <w:r>
        <w:rPr>
          <w:rFonts w:ascii="宋体" w:cs="仿宋_GB2312"/>
          <w:sz w:val="22"/>
          <w:szCs w:val="22"/>
          <w:u w:val="single"/>
          <w:lang w:val="zh-CN"/>
        </w:rPr>
        <w:t xml:space="preserve">              </w:t>
      </w:r>
      <w:r>
        <w:rPr>
          <w:rFonts w:ascii="宋体" w:cs="仿宋_GB2312"/>
          <w:sz w:val="22"/>
          <w:szCs w:val="22"/>
          <w:lang w:val="zh-CN"/>
        </w:rPr>
        <w:t xml:space="preserve"> </w:t>
      </w:r>
      <w:r>
        <w:rPr>
          <w:rFonts w:hint="eastAsia" w:ascii="宋体" w:cs="仿宋_GB2312"/>
          <w:sz w:val="22"/>
          <w:szCs w:val="22"/>
          <w:lang w:val="zh-CN"/>
        </w:rPr>
        <w:t>（授权代表名称）</w:t>
      </w:r>
      <w:r>
        <w:rPr>
          <w:rFonts w:ascii="宋体" w:cs="仿宋_GB2312"/>
          <w:sz w:val="22"/>
          <w:szCs w:val="22"/>
          <w:u w:val="single"/>
          <w:lang w:val="zh-CN"/>
        </w:rPr>
        <w:t xml:space="preserve">         </w:t>
      </w:r>
      <w:r>
        <w:rPr>
          <w:rFonts w:hint="eastAsia" w:ascii="宋体" w:cs="仿宋_GB2312"/>
          <w:sz w:val="22"/>
          <w:szCs w:val="22"/>
          <w:lang w:val="zh-CN"/>
        </w:rPr>
        <w:t>（职务、职称）为授权代表，参加贵方组织的</w:t>
      </w:r>
      <w:r>
        <w:rPr>
          <w:rFonts w:ascii="宋体" w:cs="仿宋_GB2312"/>
          <w:sz w:val="22"/>
          <w:szCs w:val="22"/>
          <w:u w:val="single"/>
          <w:lang w:val="zh-CN"/>
        </w:rPr>
        <w:t xml:space="preserve">           </w:t>
      </w:r>
      <w:r>
        <w:rPr>
          <w:rFonts w:hint="eastAsia" w:ascii="宋体" w:cs="仿宋_GB2312"/>
          <w:sz w:val="22"/>
          <w:szCs w:val="22"/>
          <w:lang w:val="zh-CN"/>
        </w:rPr>
        <w:t>（招标项目名称）（括号内填投标编号）招标的有关活动，并对该项目进行投标。为此：</w:t>
      </w:r>
      <w:r>
        <w:rPr>
          <w:rFonts w:ascii="宋体" w:cs="仿宋_GB2312"/>
          <w:sz w:val="22"/>
          <w:szCs w:val="22"/>
          <w:lang w:val="zh-CN"/>
        </w:rPr>
        <w:t xml:space="preserve">    </w:t>
      </w:r>
    </w:p>
    <w:p>
      <w:pPr>
        <w:tabs>
          <w:tab w:val="left" w:pos="803"/>
        </w:tabs>
        <w:autoSpaceDE w:val="0"/>
        <w:autoSpaceDN w:val="0"/>
        <w:adjustRightInd w:val="0"/>
        <w:spacing w:line="440" w:lineRule="atLeast"/>
        <w:ind w:left="443"/>
        <w:rPr>
          <w:rFonts w:ascii="宋体" w:cs="仿宋_GB2312"/>
          <w:sz w:val="22"/>
          <w:szCs w:val="22"/>
          <w:lang w:val="zh-CN"/>
        </w:rPr>
      </w:pPr>
      <w:r>
        <w:rPr>
          <w:rFonts w:hint="eastAsia" w:ascii="宋体" w:cs="仿宋_GB2312"/>
          <w:sz w:val="22"/>
          <w:szCs w:val="22"/>
          <w:lang w:val="zh-CN"/>
        </w:rPr>
        <w:t>1、提供投标须知规定的全部投标文件：</w:t>
      </w:r>
    </w:p>
    <w:p>
      <w:pPr>
        <w:autoSpaceDE w:val="0"/>
        <w:autoSpaceDN w:val="0"/>
        <w:adjustRightInd w:val="0"/>
        <w:spacing w:line="440" w:lineRule="atLeast"/>
        <w:ind w:firstLine="450"/>
        <w:rPr>
          <w:rFonts w:ascii="宋体" w:cs="仿宋_GB2312"/>
          <w:sz w:val="22"/>
          <w:szCs w:val="22"/>
          <w:lang w:val="zh-CN"/>
        </w:rPr>
      </w:pPr>
      <w:r>
        <w:rPr>
          <w:rFonts w:hint="eastAsia" w:ascii="宋体" w:cs="仿宋_GB2312"/>
          <w:sz w:val="22"/>
          <w:szCs w:val="22"/>
          <w:lang w:val="zh-CN"/>
        </w:rPr>
        <w:t>2、保证遵守招标文件中的有关规定和收费标准。</w:t>
      </w:r>
    </w:p>
    <w:p>
      <w:pPr>
        <w:autoSpaceDE w:val="0"/>
        <w:autoSpaceDN w:val="0"/>
        <w:adjustRightInd w:val="0"/>
        <w:spacing w:line="440" w:lineRule="atLeast"/>
        <w:ind w:firstLine="465"/>
        <w:rPr>
          <w:rFonts w:ascii="宋体" w:cs="仿宋_GB2312"/>
          <w:sz w:val="22"/>
          <w:szCs w:val="22"/>
          <w:lang w:val="zh-CN"/>
        </w:rPr>
      </w:pPr>
      <w:r>
        <w:rPr>
          <w:rFonts w:hint="eastAsia" w:ascii="宋体" w:cs="仿宋_GB2312"/>
          <w:sz w:val="22"/>
          <w:szCs w:val="22"/>
          <w:lang w:val="zh-CN"/>
        </w:rPr>
        <w:t>3、保证忠实地执行采购人、中标供应商双方所签的合同，</w:t>
      </w:r>
      <w:r>
        <w:rPr>
          <w:rFonts w:ascii="宋体" w:cs="仿宋_GB2312"/>
          <w:sz w:val="22"/>
          <w:szCs w:val="22"/>
          <w:lang w:val="zh-CN"/>
        </w:rPr>
        <w:t xml:space="preserve"> </w:t>
      </w:r>
      <w:r>
        <w:rPr>
          <w:rFonts w:hint="eastAsia" w:ascii="宋体" w:cs="仿宋_GB2312"/>
          <w:sz w:val="22"/>
          <w:szCs w:val="22"/>
          <w:lang w:val="zh-CN"/>
        </w:rPr>
        <w:t>并承担合同规定的责任义务。</w:t>
      </w:r>
    </w:p>
    <w:p>
      <w:pPr>
        <w:autoSpaceDE w:val="0"/>
        <w:autoSpaceDN w:val="0"/>
        <w:adjustRightInd w:val="0"/>
        <w:spacing w:line="440" w:lineRule="atLeast"/>
        <w:ind w:firstLine="465"/>
        <w:rPr>
          <w:rFonts w:ascii="宋体" w:cs="仿宋_GB2312"/>
          <w:sz w:val="22"/>
          <w:szCs w:val="22"/>
          <w:lang w:val="zh-CN"/>
        </w:rPr>
      </w:pPr>
      <w:r>
        <w:rPr>
          <w:rFonts w:hint="eastAsia" w:ascii="宋体" w:cs="仿宋_GB2312"/>
          <w:sz w:val="22"/>
          <w:szCs w:val="22"/>
          <w:lang w:val="zh-CN"/>
        </w:rPr>
        <w:t>4、供应商已详细审查全部招标文件，包括招标文件补充文件（如果有的话）。我方完全理解并同意放弃对这方面有不明及误解的权力。如果招标文件有相互矛盾之处，我方同意按采购人的理解处理。</w:t>
      </w:r>
    </w:p>
    <w:p>
      <w:pPr>
        <w:autoSpaceDE w:val="0"/>
        <w:autoSpaceDN w:val="0"/>
        <w:adjustRightInd w:val="0"/>
        <w:spacing w:line="440" w:lineRule="atLeast"/>
        <w:ind w:firstLine="450"/>
        <w:rPr>
          <w:rFonts w:ascii="宋体" w:cs="仿宋_GB2312"/>
          <w:sz w:val="22"/>
          <w:szCs w:val="22"/>
          <w:lang w:val="zh-CN"/>
        </w:rPr>
      </w:pPr>
      <w:r>
        <w:rPr>
          <w:rFonts w:hint="eastAsia" w:ascii="宋体" w:cs="仿宋_GB2312"/>
          <w:sz w:val="22"/>
          <w:szCs w:val="22"/>
          <w:lang w:val="zh-CN"/>
        </w:rPr>
        <w:t>5、愿意向贵方提供任何与该项投标有关的数据、情况和技术资料，完全理解贵方不一定接受最低价的投标或收到的任何投标。</w:t>
      </w:r>
    </w:p>
    <w:p>
      <w:pPr>
        <w:autoSpaceDE w:val="0"/>
        <w:autoSpaceDN w:val="0"/>
        <w:adjustRightInd w:val="0"/>
        <w:spacing w:line="440" w:lineRule="atLeast"/>
        <w:ind w:firstLine="450"/>
        <w:rPr>
          <w:rFonts w:ascii="宋体" w:cs="仿宋_GB2312"/>
          <w:sz w:val="22"/>
          <w:szCs w:val="22"/>
          <w:lang w:val="zh-CN"/>
        </w:rPr>
      </w:pPr>
      <w:r>
        <w:rPr>
          <w:rFonts w:hint="eastAsia" w:ascii="宋体" w:cs="仿宋_GB2312"/>
          <w:sz w:val="22"/>
          <w:szCs w:val="22"/>
          <w:lang w:val="zh-CN"/>
        </w:rPr>
        <w:t>6、利益冲突：近三年内直至目前，我公司与本项目的采购人、采购代理机构没有任何的隶属关系。</w:t>
      </w:r>
    </w:p>
    <w:p>
      <w:pPr>
        <w:autoSpaceDE w:val="0"/>
        <w:autoSpaceDN w:val="0"/>
        <w:adjustRightInd w:val="0"/>
        <w:spacing w:line="440" w:lineRule="atLeast"/>
        <w:ind w:firstLine="450"/>
        <w:rPr>
          <w:rFonts w:ascii="宋体" w:cs="仿宋_GB2312"/>
          <w:sz w:val="22"/>
          <w:szCs w:val="22"/>
          <w:lang w:val="zh-CN"/>
        </w:rPr>
      </w:pPr>
      <w:r>
        <w:rPr>
          <w:rFonts w:hint="eastAsia" w:ascii="宋体" w:cs="仿宋_GB2312"/>
          <w:sz w:val="22"/>
          <w:szCs w:val="22"/>
          <w:lang w:val="zh-CN"/>
        </w:rPr>
        <w:t>7、我公司</w:t>
      </w:r>
      <w:r>
        <w:rPr>
          <w:rFonts w:ascii="宋体" w:cs="仿宋_GB2312"/>
          <w:sz w:val="22"/>
          <w:szCs w:val="22"/>
          <w:lang w:val="zh-CN"/>
        </w:rPr>
        <w:t>没有被</w:t>
      </w:r>
      <w:r>
        <w:rPr>
          <w:rFonts w:hint="eastAsia" w:ascii="宋体" w:cs="仿宋_GB2312"/>
          <w:sz w:val="22"/>
          <w:szCs w:val="22"/>
          <w:lang w:val="zh-CN"/>
        </w:rPr>
        <w:t>浙江省财政厅、温州市财政局及永嘉县财政局</w:t>
      </w:r>
      <w:r>
        <w:rPr>
          <w:rFonts w:ascii="宋体" w:cs="仿宋_GB2312"/>
          <w:sz w:val="22"/>
          <w:szCs w:val="22"/>
          <w:lang w:val="zh-CN"/>
        </w:rPr>
        <w:t>限制参加</w:t>
      </w:r>
      <w:r>
        <w:rPr>
          <w:rFonts w:hint="eastAsia" w:ascii="宋体" w:cs="仿宋_GB2312"/>
          <w:sz w:val="22"/>
          <w:szCs w:val="22"/>
          <w:lang w:val="zh-CN"/>
        </w:rPr>
        <w:t>政府采购活动。</w:t>
      </w:r>
    </w:p>
    <w:p>
      <w:pPr>
        <w:autoSpaceDE w:val="0"/>
        <w:autoSpaceDN w:val="0"/>
        <w:adjustRightInd w:val="0"/>
        <w:spacing w:line="440" w:lineRule="atLeast"/>
        <w:ind w:firstLine="450"/>
        <w:rPr>
          <w:rFonts w:ascii="宋体" w:cs="仿宋_GB2312"/>
          <w:sz w:val="22"/>
          <w:szCs w:val="22"/>
          <w:lang w:val="zh-CN"/>
        </w:rPr>
      </w:pPr>
      <w:r>
        <w:rPr>
          <w:rFonts w:hint="eastAsia" w:ascii="宋体" w:cs="仿宋_GB2312"/>
          <w:sz w:val="22"/>
          <w:szCs w:val="22"/>
          <w:lang w:val="zh-CN"/>
        </w:rPr>
        <w:t>8、本投标自开标之日起</w:t>
      </w:r>
      <w:r>
        <w:rPr>
          <w:rFonts w:ascii="宋体" w:cs="仿宋_GB2312"/>
          <w:sz w:val="22"/>
          <w:szCs w:val="22"/>
          <w:lang w:val="zh-CN"/>
        </w:rPr>
        <w:t>90</w:t>
      </w:r>
      <w:r>
        <w:rPr>
          <w:rFonts w:hint="eastAsia" w:ascii="宋体" w:cs="仿宋_GB2312"/>
          <w:sz w:val="22"/>
          <w:szCs w:val="22"/>
          <w:lang w:val="zh-CN"/>
        </w:rPr>
        <w:t>天内有效。</w:t>
      </w:r>
    </w:p>
    <w:p>
      <w:pPr>
        <w:autoSpaceDE w:val="0"/>
        <w:autoSpaceDN w:val="0"/>
        <w:adjustRightInd w:val="0"/>
        <w:spacing w:line="440" w:lineRule="atLeast"/>
        <w:ind w:firstLine="450"/>
        <w:rPr>
          <w:rFonts w:ascii="宋体" w:cs="仿宋_GB2312"/>
          <w:sz w:val="22"/>
          <w:szCs w:val="22"/>
          <w:lang w:val="zh-CN"/>
        </w:rPr>
      </w:pPr>
      <w:r>
        <w:rPr>
          <w:rFonts w:hint="eastAsia" w:ascii="宋体" w:cs="仿宋_GB2312"/>
          <w:sz w:val="22"/>
          <w:szCs w:val="22"/>
          <w:lang w:val="zh-CN"/>
        </w:rPr>
        <w:t>9、与本投标有关的一切往来通讯请寄：</w:t>
      </w:r>
    </w:p>
    <w:p>
      <w:pPr>
        <w:autoSpaceDE w:val="0"/>
        <w:autoSpaceDN w:val="0"/>
        <w:adjustRightInd w:val="0"/>
        <w:spacing w:line="440" w:lineRule="atLeast"/>
        <w:rPr>
          <w:rFonts w:ascii="宋体" w:cs="仿宋_GB2312"/>
          <w:sz w:val="22"/>
          <w:szCs w:val="22"/>
          <w:lang w:val="zh-CN"/>
        </w:rPr>
      </w:pPr>
    </w:p>
    <w:p>
      <w:pPr>
        <w:autoSpaceDE w:val="0"/>
        <w:autoSpaceDN w:val="0"/>
        <w:adjustRightInd w:val="0"/>
        <w:spacing w:line="440" w:lineRule="atLeast"/>
        <w:rPr>
          <w:rFonts w:ascii="宋体" w:cs="仿宋_GB2312"/>
          <w:sz w:val="22"/>
          <w:szCs w:val="22"/>
          <w:lang w:val="zh-CN"/>
        </w:rPr>
      </w:pPr>
      <w:r>
        <w:rPr>
          <w:rFonts w:hint="eastAsia" w:ascii="宋体" w:cs="仿宋_GB2312"/>
          <w:sz w:val="22"/>
          <w:szCs w:val="22"/>
          <w:lang w:val="zh-CN"/>
        </w:rPr>
        <w:t>地址：</w:t>
      </w:r>
      <w:r>
        <w:rPr>
          <w:rFonts w:ascii="宋体" w:cs="仿宋_GB2312"/>
          <w:sz w:val="22"/>
          <w:szCs w:val="22"/>
          <w:u w:val="single"/>
          <w:lang w:val="zh-CN"/>
        </w:rPr>
        <w:t xml:space="preserve">                                 </w:t>
      </w:r>
    </w:p>
    <w:p>
      <w:pPr>
        <w:autoSpaceDE w:val="0"/>
        <w:autoSpaceDN w:val="0"/>
        <w:adjustRightInd w:val="0"/>
        <w:spacing w:line="440" w:lineRule="atLeast"/>
        <w:rPr>
          <w:rFonts w:ascii="宋体" w:cs="仿宋_GB2312"/>
          <w:sz w:val="22"/>
          <w:szCs w:val="22"/>
          <w:lang w:val="zh-CN"/>
        </w:rPr>
      </w:pPr>
      <w:r>
        <w:rPr>
          <w:rFonts w:hint="eastAsia" w:ascii="宋体" w:cs="仿宋_GB2312"/>
          <w:sz w:val="22"/>
          <w:szCs w:val="22"/>
          <w:lang w:val="zh-CN"/>
        </w:rPr>
        <w:t>邮编：</w:t>
      </w:r>
      <w:r>
        <w:rPr>
          <w:rFonts w:ascii="宋体" w:cs="仿宋_GB2312"/>
          <w:sz w:val="22"/>
          <w:szCs w:val="22"/>
          <w:u w:val="single"/>
          <w:lang w:val="zh-CN"/>
        </w:rPr>
        <w:t xml:space="preserve">               </w:t>
      </w:r>
      <w:r>
        <w:rPr>
          <w:rFonts w:hint="eastAsia" w:ascii="宋体" w:cs="仿宋_GB2312"/>
          <w:sz w:val="22"/>
          <w:szCs w:val="22"/>
          <w:lang w:val="zh-CN"/>
        </w:rPr>
        <w:t>电话：</w:t>
      </w:r>
      <w:r>
        <w:rPr>
          <w:rFonts w:ascii="宋体" w:cs="仿宋_GB2312"/>
          <w:sz w:val="22"/>
          <w:szCs w:val="22"/>
          <w:u w:val="single"/>
          <w:lang w:val="zh-CN"/>
        </w:rPr>
        <w:t xml:space="preserve">                 </w:t>
      </w:r>
      <w:r>
        <w:rPr>
          <w:rFonts w:hint="eastAsia" w:ascii="宋体" w:cs="仿宋_GB2312"/>
          <w:sz w:val="22"/>
          <w:szCs w:val="22"/>
          <w:lang w:val="zh-CN"/>
        </w:rPr>
        <w:t>传真：</w:t>
      </w:r>
      <w:r>
        <w:rPr>
          <w:rFonts w:ascii="宋体" w:cs="仿宋_GB2312"/>
          <w:sz w:val="22"/>
          <w:szCs w:val="22"/>
          <w:u w:val="single"/>
          <w:lang w:val="zh-CN"/>
        </w:rPr>
        <w:t xml:space="preserve">                 </w:t>
      </w:r>
    </w:p>
    <w:p>
      <w:pPr>
        <w:autoSpaceDE w:val="0"/>
        <w:autoSpaceDN w:val="0"/>
        <w:adjustRightInd w:val="0"/>
        <w:spacing w:line="440" w:lineRule="atLeast"/>
        <w:ind w:firstLine="1980" w:firstLineChars="900"/>
        <w:rPr>
          <w:rFonts w:ascii="宋体" w:cs="仿宋_GB2312"/>
          <w:sz w:val="22"/>
          <w:szCs w:val="22"/>
          <w:lang w:val="zh-CN"/>
        </w:rPr>
      </w:pPr>
    </w:p>
    <w:p>
      <w:pPr>
        <w:autoSpaceDE w:val="0"/>
        <w:autoSpaceDN w:val="0"/>
        <w:adjustRightInd w:val="0"/>
        <w:spacing w:line="440" w:lineRule="atLeast"/>
        <w:jc w:val="left"/>
        <w:rPr>
          <w:rFonts w:ascii="宋体" w:cs="仿宋_GB2312"/>
          <w:sz w:val="22"/>
          <w:szCs w:val="22"/>
          <w:lang w:val="zh-CN"/>
        </w:rPr>
      </w:pPr>
      <w:r>
        <w:rPr>
          <w:rFonts w:hint="eastAsia" w:ascii="宋体" w:cs="仿宋_GB2312"/>
          <w:sz w:val="22"/>
          <w:szCs w:val="22"/>
          <w:lang w:val="zh-CN"/>
        </w:rPr>
        <w:t>供应商全称（盖章）：</w:t>
      </w:r>
    </w:p>
    <w:p>
      <w:pPr>
        <w:autoSpaceDE w:val="0"/>
        <w:autoSpaceDN w:val="0"/>
        <w:adjustRightInd w:val="0"/>
        <w:spacing w:line="440" w:lineRule="atLeast"/>
        <w:jc w:val="left"/>
        <w:rPr>
          <w:rFonts w:ascii="宋体" w:cs="仿宋_GB2312"/>
          <w:sz w:val="22"/>
          <w:szCs w:val="22"/>
          <w:lang w:val="zh-CN"/>
        </w:rPr>
      </w:pPr>
      <w:r>
        <w:rPr>
          <w:rFonts w:hint="eastAsia" w:ascii="宋体" w:cs="仿宋_GB2312"/>
          <w:sz w:val="22"/>
          <w:szCs w:val="22"/>
          <w:lang w:val="zh-CN"/>
        </w:rPr>
        <w:t>授权代表（签字）：</w:t>
      </w:r>
    </w:p>
    <w:p>
      <w:pPr>
        <w:autoSpaceDE w:val="0"/>
        <w:autoSpaceDN w:val="0"/>
        <w:adjustRightInd w:val="0"/>
        <w:spacing w:line="440" w:lineRule="atLeast"/>
        <w:jc w:val="left"/>
        <w:rPr>
          <w:rFonts w:ascii="宋体" w:cs="仿宋_GB2312"/>
          <w:sz w:val="22"/>
          <w:szCs w:val="22"/>
          <w:lang w:val="zh-CN"/>
        </w:rPr>
      </w:pPr>
      <w:r>
        <w:rPr>
          <w:rFonts w:hint="eastAsia" w:ascii="宋体" w:cs="仿宋_GB2312"/>
          <w:sz w:val="22"/>
          <w:szCs w:val="22"/>
          <w:lang w:val="zh-CN"/>
        </w:rPr>
        <w:t>日期：</w:t>
      </w:r>
    </w:p>
    <w:p>
      <w:pPr>
        <w:autoSpaceDE w:val="0"/>
        <w:autoSpaceDN w:val="0"/>
        <w:adjustRightInd w:val="0"/>
        <w:jc w:val="left"/>
        <w:rPr>
          <w:rFonts w:ascii="宋体" w:cs="仿宋_GB2312"/>
          <w:sz w:val="30"/>
          <w:szCs w:val="30"/>
          <w:lang w:val="zh-CN"/>
        </w:rPr>
      </w:pPr>
    </w:p>
    <w:p>
      <w:pPr>
        <w:autoSpaceDE w:val="0"/>
        <w:autoSpaceDN w:val="0"/>
        <w:adjustRightInd w:val="0"/>
        <w:jc w:val="left"/>
        <w:rPr>
          <w:rFonts w:ascii="宋体" w:cs="仿宋_GB2312"/>
          <w:sz w:val="30"/>
          <w:szCs w:val="30"/>
          <w:lang w:val="zh-CN"/>
        </w:rPr>
      </w:pPr>
    </w:p>
    <w:p>
      <w:pPr>
        <w:autoSpaceDE w:val="0"/>
        <w:autoSpaceDN w:val="0"/>
        <w:adjustRightInd w:val="0"/>
        <w:jc w:val="left"/>
        <w:rPr>
          <w:rFonts w:ascii="宋体" w:cs="仿宋_GB2312"/>
          <w:sz w:val="30"/>
          <w:szCs w:val="30"/>
          <w:lang w:val="zh-CN"/>
        </w:rPr>
      </w:pPr>
    </w:p>
    <w:p>
      <w:pPr>
        <w:autoSpaceDE w:val="0"/>
        <w:autoSpaceDN w:val="0"/>
        <w:adjustRightInd w:val="0"/>
        <w:jc w:val="left"/>
        <w:rPr>
          <w:rFonts w:ascii="宋体" w:cs="仿宋_GB2312"/>
          <w:b/>
          <w:bCs/>
          <w:sz w:val="32"/>
          <w:szCs w:val="32"/>
        </w:rPr>
      </w:pPr>
      <w:r>
        <w:rPr>
          <w:rFonts w:hint="eastAsia" w:ascii="宋体" w:hAnsi="宋体"/>
          <w:b/>
          <w:bCs/>
          <w:sz w:val="22"/>
          <w:szCs w:val="22"/>
        </w:rPr>
        <w:t>附件九</w:t>
      </w:r>
    </w:p>
    <w:p>
      <w:pPr>
        <w:pStyle w:val="23"/>
        <w:rPr>
          <w:rFonts w:ascii="宋体" w:hAnsi="宋体"/>
        </w:rPr>
      </w:pPr>
      <w:bookmarkStart w:id="145" w:name="_Toc54782487"/>
      <w:r>
        <w:rPr>
          <w:rFonts w:hint="eastAsia" w:ascii="宋体" w:hAnsi="宋体"/>
        </w:rPr>
        <w:t xml:space="preserve">   法定代表人授权书</w:t>
      </w:r>
      <w:bookmarkEnd w:id="145"/>
    </w:p>
    <w:p>
      <w:pPr>
        <w:spacing w:line="480" w:lineRule="auto"/>
        <w:rPr>
          <w:rFonts w:ascii="宋体"/>
          <w:sz w:val="22"/>
          <w:szCs w:val="22"/>
        </w:rPr>
      </w:pPr>
      <w:r>
        <w:rPr>
          <w:rFonts w:hint="eastAsia" w:ascii="宋体"/>
          <w:sz w:val="22"/>
          <w:szCs w:val="22"/>
          <w:u w:val="single"/>
        </w:rPr>
        <w:t>（采购人名称）</w:t>
      </w:r>
      <w:r>
        <w:rPr>
          <w:rFonts w:hint="eastAsia" w:ascii="宋体"/>
          <w:sz w:val="22"/>
          <w:szCs w:val="22"/>
          <w:lang w:val="zh-CN"/>
        </w:rPr>
        <w:t>：</w:t>
      </w:r>
    </w:p>
    <w:p>
      <w:pPr>
        <w:spacing w:line="480" w:lineRule="auto"/>
        <w:ind w:firstLine="440" w:firstLineChars="200"/>
        <w:rPr>
          <w:rFonts w:ascii="宋体"/>
          <w:sz w:val="22"/>
          <w:szCs w:val="22"/>
        </w:rPr>
      </w:pPr>
      <w:r>
        <w:rPr>
          <w:rFonts w:hint="eastAsia" w:ascii="宋体"/>
          <w:sz w:val="22"/>
          <w:szCs w:val="22"/>
        </w:rPr>
        <w:t>本授权委托书声明：我</w:t>
      </w:r>
      <w:r>
        <w:rPr>
          <w:rFonts w:hint="eastAsia" w:ascii="宋体"/>
          <w:sz w:val="22"/>
          <w:szCs w:val="22"/>
          <w:u w:val="single"/>
        </w:rPr>
        <w:t xml:space="preserve">   （法定代表人姓名）   </w:t>
      </w:r>
      <w:r>
        <w:rPr>
          <w:rFonts w:hint="eastAsia" w:ascii="宋体"/>
          <w:sz w:val="22"/>
          <w:szCs w:val="22"/>
        </w:rPr>
        <w:t>系</w:t>
      </w:r>
      <w:r>
        <w:rPr>
          <w:rFonts w:hint="eastAsia" w:ascii="宋体"/>
          <w:sz w:val="22"/>
          <w:szCs w:val="22"/>
          <w:u w:val="single"/>
        </w:rPr>
        <w:t xml:space="preserve">   （供 应 商 名 称）  </w:t>
      </w:r>
      <w:r>
        <w:rPr>
          <w:rFonts w:hint="eastAsia" w:ascii="宋体"/>
          <w:sz w:val="22"/>
          <w:szCs w:val="22"/>
        </w:rPr>
        <w:t>的法定代表人，现授权委托</w:t>
      </w:r>
      <w:r>
        <w:rPr>
          <w:rFonts w:hint="eastAsia" w:ascii="宋体"/>
          <w:sz w:val="22"/>
          <w:szCs w:val="22"/>
          <w:u w:val="single"/>
        </w:rPr>
        <w:t xml:space="preserve">  （单 位 名 称）   </w:t>
      </w:r>
      <w:r>
        <w:rPr>
          <w:rFonts w:hint="eastAsia" w:ascii="宋体"/>
          <w:sz w:val="22"/>
          <w:szCs w:val="22"/>
        </w:rPr>
        <w:t>的</w:t>
      </w:r>
      <w:r>
        <w:rPr>
          <w:rFonts w:hint="eastAsia" w:ascii="宋体"/>
          <w:sz w:val="22"/>
          <w:szCs w:val="22"/>
          <w:u w:val="single"/>
        </w:rPr>
        <w:t xml:space="preserve">  （授权代表姓名）  </w:t>
      </w:r>
      <w:r>
        <w:rPr>
          <w:rFonts w:hint="eastAsia" w:ascii="宋体"/>
          <w:sz w:val="22"/>
          <w:szCs w:val="22"/>
        </w:rPr>
        <w:t>为我公司法定代表人授权代表，参加贵处组织的</w:t>
      </w:r>
      <w:r>
        <w:rPr>
          <w:rFonts w:hint="eastAsia" w:ascii="宋体"/>
          <w:sz w:val="22"/>
          <w:szCs w:val="22"/>
          <w:u w:val="single"/>
        </w:rPr>
        <w:t xml:space="preserve">  （招标项目名称，括号中填写项目编号）  </w:t>
      </w:r>
      <w:r>
        <w:rPr>
          <w:rFonts w:hint="eastAsia" w:ascii="宋体"/>
          <w:sz w:val="22"/>
          <w:szCs w:val="22"/>
        </w:rPr>
        <w:t>项目投标，全权处理本次招投标活动中的一切事宜，我承认授权代表全权代表我所签署的本项目的投标文件的内容。</w:t>
      </w:r>
    </w:p>
    <w:p>
      <w:pPr>
        <w:spacing w:line="480" w:lineRule="auto"/>
        <w:ind w:firstLine="440" w:firstLineChars="200"/>
        <w:rPr>
          <w:rFonts w:ascii="宋体"/>
          <w:sz w:val="22"/>
          <w:szCs w:val="22"/>
        </w:rPr>
      </w:pPr>
      <w:r>
        <w:rPr>
          <w:rFonts w:hint="eastAsia" w:ascii="宋体"/>
          <w:sz w:val="22"/>
          <w:szCs w:val="22"/>
        </w:rPr>
        <w:t>授权代表无转授权，特此授权</w:t>
      </w:r>
    </w:p>
    <w:p>
      <w:pPr>
        <w:spacing w:line="360" w:lineRule="auto"/>
        <w:ind w:left="1260"/>
        <w:rPr>
          <w:rFonts w:ascii="宋体"/>
          <w:sz w:val="22"/>
          <w:szCs w:val="22"/>
        </w:rPr>
      </w:pPr>
    </w:p>
    <w:p>
      <w:pPr>
        <w:spacing w:line="480" w:lineRule="auto"/>
        <w:ind w:left="2100" w:leftChars="1000" w:firstLine="440" w:firstLineChars="200"/>
        <w:rPr>
          <w:rFonts w:ascii="宋体"/>
          <w:sz w:val="22"/>
          <w:szCs w:val="22"/>
          <w:u w:val="single"/>
        </w:rPr>
      </w:pPr>
      <w:r>
        <w:rPr>
          <w:rFonts w:hint="eastAsia" w:ascii="宋体"/>
          <w:sz w:val="22"/>
          <w:szCs w:val="22"/>
        </w:rPr>
        <w:t>授权代表：</w:t>
      </w:r>
      <w:r>
        <w:rPr>
          <w:rFonts w:hint="eastAsia" w:ascii="宋体"/>
          <w:sz w:val="22"/>
          <w:szCs w:val="22"/>
          <w:u w:val="single"/>
        </w:rPr>
        <w:t xml:space="preserve">   （签字）  </w:t>
      </w:r>
      <w:r>
        <w:rPr>
          <w:rFonts w:hint="eastAsia" w:ascii="宋体"/>
          <w:sz w:val="22"/>
          <w:szCs w:val="22"/>
        </w:rPr>
        <w:t xml:space="preserve"> 性别 ：</w:t>
      </w:r>
      <w:r>
        <w:rPr>
          <w:rFonts w:hint="eastAsia" w:ascii="宋体"/>
          <w:sz w:val="22"/>
          <w:szCs w:val="22"/>
          <w:u w:val="single"/>
        </w:rPr>
        <w:t xml:space="preserve">                       </w:t>
      </w:r>
      <w:r>
        <w:rPr>
          <w:rFonts w:hint="eastAsia" w:ascii="宋体"/>
          <w:sz w:val="22"/>
          <w:szCs w:val="22"/>
        </w:rPr>
        <w:t xml:space="preserve"> </w:t>
      </w:r>
    </w:p>
    <w:p>
      <w:pPr>
        <w:spacing w:line="480" w:lineRule="auto"/>
        <w:ind w:left="2100" w:leftChars="1000" w:firstLine="440" w:firstLineChars="200"/>
        <w:rPr>
          <w:rFonts w:ascii="宋体"/>
          <w:sz w:val="22"/>
          <w:szCs w:val="22"/>
          <w:u w:val="single"/>
        </w:rPr>
      </w:pPr>
      <w:r>
        <w:rPr>
          <w:rFonts w:hint="eastAsia" w:ascii="宋体"/>
          <w:sz w:val="22"/>
          <w:szCs w:val="22"/>
        </w:rPr>
        <w:t>职务：</w:t>
      </w:r>
      <w:r>
        <w:rPr>
          <w:rFonts w:hint="eastAsia" w:ascii="宋体"/>
          <w:sz w:val="22"/>
          <w:szCs w:val="22"/>
          <w:u w:val="single"/>
        </w:rPr>
        <w:t xml:space="preserve">                  </w:t>
      </w:r>
      <w:r>
        <w:rPr>
          <w:rFonts w:hint="eastAsia" w:ascii="宋体"/>
          <w:sz w:val="22"/>
          <w:szCs w:val="22"/>
        </w:rPr>
        <w:t>年龄：</w:t>
      </w:r>
      <w:r>
        <w:rPr>
          <w:rFonts w:hint="eastAsia" w:ascii="宋体"/>
          <w:sz w:val="22"/>
          <w:szCs w:val="22"/>
          <w:u w:val="single"/>
        </w:rPr>
        <w:t xml:space="preserve">                        </w:t>
      </w:r>
    </w:p>
    <w:p>
      <w:pPr>
        <w:spacing w:line="480" w:lineRule="auto"/>
        <w:ind w:left="2100" w:leftChars="1000" w:firstLine="440" w:firstLineChars="200"/>
        <w:rPr>
          <w:rFonts w:ascii="宋体"/>
          <w:sz w:val="22"/>
          <w:szCs w:val="22"/>
          <w:u w:val="single"/>
        </w:rPr>
      </w:pPr>
      <w:r>
        <w:rPr>
          <w:rFonts w:hint="eastAsia" w:ascii="宋体"/>
          <w:sz w:val="22"/>
          <w:szCs w:val="22"/>
        </w:rPr>
        <w:t>详细通讯地址：</w:t>
      </w:r>
      <w:r>
        <w:rPr>
          <w:rFonts w:hint="eastAsia" w:ascii="宋体"/>
          <w:sz w:val="22"/>
          <w:szCs w:val="22"/>
          <w:u w:val="single"/>
        </w:rPr>
        <w:t xml:space="preserve">                  </w:t>
      </w:r>
      <w:r>
        <w:rPr>
          <w:rFonts w:hint="eastAsia" w:ascii="宋体"/>
          <w:sz w:val="22"/>
          <w:szCs w:val="22"/>
        </w:rPr>
        <w:t xml:space="preserve"> 邮政编码：</w:t>
      </w:r>
      <w:r>
        <w:rPr>
          <w:rFonts w:hint="eastAsia" w:ascii="宋体"/>
          <w:sz w:val="22"/>
          <w:szCs w:val="22"/>
          <w:u w:val="single"/>
        </w:rPr>
        <w:t xml:space="preserve">           </w:t>
      </w:r>
    </w:p>
    <w:p>
      <w:pPr>
        <w:spacing w:line="480" w:lineRule="auto"/>
        <w:ind w:left="1" w:firstLine="2510" w:firstLineChars="1141"/>
        <w:rPr>
          <w:rFonts w:ascii="宋体"/>
          <w:sz w:val="22"/>
          <w:szCs w:val="22"/>
          <w:u w:val="single"/>
        </w:rPr>
      </w:pPr>
      <w:r>
        <w:rPr>
          <w:rFonts w:hint="eastAsia" w:ascii="宋体"/>
          <w:sz w:val="22"/>
          <w:szCs w:val="22"/>
        </w:rPr>
        <w:t>电话：</w:t>
      </w:r>
      <w:r>
        <w:rPr>
          <w:rFonts w:hint="eastAsia" w:ascii="宋体"/>
          <w:sz w:val="22"/>
          <w:szCs w:val="22"/>
          <w:u w:val="single"/>
        </w:rPr>
        <w:t xml:space="preserve">                   </w:t>
      </w:r>
      <w:r>
        <w:rPr>
          <w:rFonts w:hint="eastAsia" w:ascii="宋体"/>
          <w:sz w:val="22"/>
          <w:szCs w:val="22"/>
        </w:rPr>
        <w:t xml:space="preserve"> 传真：</w:t>
      </w:r>
      <w:r>
        <w:rPr>
          <w:rFonts w:hint="eastAsia" w:ascii="宋体"/>
          <w:sz w:val="22"/>
          <w:szCs w:val="22"/>
          <w:u w:val="single"/>
        </w:rPr>
        <w:t xml:space="preserve">                      </w:t>
      </w:r>
    </w:p>
    <w:p>
      <w:pPr>
        <w:spacing w:line="480" w:lineRule="auto"/>
        <w:ind w:left="1" w:firstLine="422" w:firstLineChars="192"/>
        <w:rPr>
          <w:rFonts w:ascii="宋体"/>
          <w:sz w:val="22"/>
          <w:szCs w:val="22"/>
        </w:rPr>
      </w:pPr>
      <w:r>
        <w:rPr>
          <w:rFonts w:hint="eastAsia" w:ascii="宋体"/>
          <w:sz w:val="22"/>
          <w:szCs w:val="22"/>
        </w:rPr>
        <w:t xml:space="preserve">                   供应商：</w:t>
      </w:r>
      <w:r>
        <w:rPr>
          <w:rFonts w:hint="eastAsia" w:ascii="宋体"/>
          <w:sz w:val="22"/>
          <w:szCs w:val="22"/>
          <w:u w:val="single"/>
        </w:rPr>
        <w:t xml:space="preserve">                                      （盖章）</w:t>
      </w:r>
    </w:p>
    <w:p>
      <w:pPr>
        <w:spacing w:line="480" w:lineRule="auto"/>
        <w:ind w:left="2100" w:right="440"/>
        <w:jc w:val="center"/>
        <w:rPr>
          <w:rFonts w:ascii="宋体"/>
          <w:sz w:val="22"/>
          <w:szCs w:val="22"/>
        </w:rPr>
      </w:pPr>
      <w:r>
        <w:rPr>
          <w:rFonts w:hint="eastAsia" w:ascii="宋体"/>
          <w:sz w:val="22"/>
          <w:szCs w:val="22"/>
        </w:rPr>
        <w:t xml:space="preserve">   法定代表人：</w:t>
      </w:r>
      <w:r>
        <w:rPr>
          <w:rFonts w:hint="eastAsia" w:ascii="宋体"/>
          <w:sz w:val="22"/>
          <w:szCs w:val="22"/>
          <w:u w:val="single"/>
        </w:rPr>
        <w:t xml:space="preserve">                            （签字或盖章）</w:t>
      </w:r>
    </w:p>
    <w:p>
      <w:pPr>
        <w:spacing w:line="480" w:lineRule="auto"/>
        <w:ind w:right="440" w:firstLine="3300" w:firstLineChars="1500"/>
        <w:jc w:val="right"/>
        <w:rPr>
          <w:rFonts w:ascii="宋体"/>
          <w:sz w:val="22"/>
          <w:szCs w:val="22"/>
        </w:rPr>
      </w:pPr>
      <w:r>
        <w:rPr>
          <w:rFonts w:hint="eastAsia" w:ascii="宋体"/>
          <w:sz w:val="22"/>
          <w:szCs w:val="22"/>
        </w:rPr>
        <w:t>授权委托日期：</w:t>
      </w:r>
      <w:r>
        <w:rPr>
          <w:rFonts w:hint="eastAsia" w:ascii="宋体"/>
          <w:sz w:val="22"/>
          <w:szCs w:val="22"/>
          <w:u w:val="single"/>
        </w:rPr>
        <w:t xml:space="preserve">     </w:t>
      </w:r>
      <w:r>
        <w:rPr>
          <w:rFonts w:hint="eastAsia" w:ascii="宋体"/>
          <w:sz w:val="22"/>
          <w:szCs w:val="22"/>
        </w:rPr>
        <w:t xml:space="preserve">年 </w:t>
      </w:r>
      <w:r>
        <w:rPr>
          <w:rFonts w:hint="eastAsia" w:ascii="宋体"/>
          <w:sz w:val="22"/>
          <w:szCs w:val="22"/>
          <w:u w:val="single"/>
        </w:rPr>
        <w:t xml:space="preserve">    </w:t>
      </w:r>
      <w:r>
        <w:rPr>
          <w:rFonts w:hint="eastAsia" w:ascii="宋体"/>
          <w:sz w:val="22"/>
          <w:szCs w:val="22"/>
        </w:rPr>
        <w:t>月</w:t>
      </w:r>
      <w:r>
        <w:rPr>
          <w:rFonts w:hint="eastAsia" w:ascii="宋体"/>
          <w:sz w:val="22"/>
          <w:szCs w:val="22"/>
          <w:u w:val="single"/>
        </w:rPr>
        <w:t xml:space="preserve">     </w:t>
      </w:r>
      <w:r>
        <w:rPr>
          <w:rFonts w:hint="eastAsia" w:ascii="宋体"/>
          <w:sz w:val="22"/>
          <w:szCs w:val="22"/>
        </w:rPr>
        <w:t>日</w:t>
      </w:r>
    </w:p>
    <w:tbl>
      <w:tblPr>
        <w:tblStyle w:val="25"/>
        <w:tblW w:w="6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7" w:hRule="atLeast"/>
          <w:jc w:val="center"/>
        </w:trPr>
        <w:tc>
          <w:tcPr>
            <w:tcW w:w="6167" w:type="dxa"/>
          </w:tcPr>
          <w:p>
            <w:pPr>
              <w:pStyle w:val="13"/>
              <w:spacing w:line="440" w:lineRule="atLeast"/>
              <w:rPr>
                <w:rFonts w:hAnsi="宋体"/>
                <w:sz w:val="36"/>
              </w:rPr>
            </w:pPr>
          </w:p>
          <w:p>
            <w:pPr>
              <w:pStyle w:val="13"/>
              <w:spacing w:line="440" w:lineRule="atLeast"/>
              <w:jc w:val="center"/>
              <w:rPr>
                <w:rFonts w:hAnsi="宋体"/>
                <w:sz w:val="36"/>
              </w:rPr>
            </w:pPr>
          </w:p>
          <w:p>
            <w:pPr>
              <w:pStyle w:val="13"/>
              <w:spacing w:line="440" w:lineRule="atLeast"/>
              <w:jc w:val="center"/>
              <w:rPr>
                <w:rFonts w:hAnsi="宋体"/>
                <w:sz w:val="36"/>
              </w:rPr>
            </w:pPr>
          </w:p>
          <w:p>
            <w:pPr>
              <w:pStyle w:val="13"/>
              <w:spacing w:line="440" w:lineRule="atLeast"/>
              <w:jc w:val="center"/>
              <w:rPr>
                <w:rFonts w:hAnsi="宋体"/>
                <w:sz w:val="36"/>
              </w:rPr>
            </w:pPr>
          </w:p>
          <w:p>
            <w:pPr>
              <w:pStyle w:val="13"/>
              <w:spacing w:line="440" w:lineRule="atLeast"/>
              <w:jc w:val="center"/>
              <w:rPr>
                <w:rFonts w:hAnsi="宋体"/>
                <w:sz w:val="36"/>
              </w:rPr>
            </w:pPr>
            <w:r>
              <w:rPr>
                <w:rFonts w:hint="eastAsia" w:hAnsi="宋体"/>
                <w:sz w:val="36"/>
              </w:rPr>
              <w:t>（身份证复印件或影印件）</w:t>
            </w:r>
          </w:p>
          <w:p>
            <w:pPr>
              <w:pStyle w:val="13"/>
              <w:spacing w:line="440" w:lineRule="atLeast"/>
              <w:ind w:left="5271" w:firstLine="1080" w:firstLineChars="300"/>
              <w:rPr>
                <w:rFonts w:hAnsi="宋体"/>
                <w:sz w:val="36"/>
              </w:rPr>
            </w:pPr>
          </w:p>
        </w:tc>
      </w:tr>
    </w:tbl>
    <w:p>
      <w:pPr>
        <w:widowControl/>
        <w:autoSpaceDE w:val="0"/>
        <w:autoSpaceDN w:val="0"/>
        <w:adjustRightInd w:val="0"/>
        <w:spacing w:line="460" w:lineRule="atLeast"/>
        <w:textAlignment w:val="bottom"/>
        <w:rPr>
          <w:rFonts w:ascii="宋体"/>
          <w:sz w:val="22"/>
          <w:szCs w:val="22"/>
        </w:rPr>
      </w:pPr>
    </w:p>
    <w:p>
      <w:pPr>
        <w:pStyle w:val="23"/>
        <w:jc w:val="left"/>
        <w:rPr>
          <w:rFonts w:ascii="宋体" w:hAnsi="宋体"/>
          <w:sz w:val="28"/>
          <w:szCs w:val="28"/>
        </w:rPr>
      </w:pPr>
      <w:bookmarkStart w:id="146" w:name="_Toc54782488"/>
      <w:r>
        <w:rPr>
          <w:rFonts w:hint="eastAsia" w:ascii="宋体" w:hAnsi="宋体"/>
          <w:sz w:val="22"/>
          <w:szCs w:val="22"/>
        </w:rPr>
        <w:t>附件十</w:t>
      </w:r>
      <w:r>
        <w:rPr>
          <w:rFonts w:hint="eastAsia" w:ascii="宋体" w:hAnsi="宋体"/>
          <w:sz w:val="28"/>
          <w:szCs w:val="28"/>
        </w:rPr>
        <w:t xml:space="preserve"> </w:t>
      </w:r>
    </w:p>
    <w:p>
      <w:pPr>
        <w:pStyle w:val="23"/>
        <w:rPr>
          <w:rFonts w:ascii="宋体" w:hAnsi="宋体"/>
        </w:rPr>
      </w:pPr>
      <w:r>
        <w:rPr>
          <w:rFonts w:hint="eastAsia" w:ascii="宋体" w:hAnsi="宋体"/>
        </w:rPr>
        <w:t xml:space="preserve">   法定代表人诚信投标承诺书</w:t>
      </w:r>
      <w:bookmarkEnd w:id="146"/>
    </w:p>
    <w:p>
      <w:pPr>
        <w:spacing w:line="360" w:lineRule="auto"/>
        <w:jc w:val="left"/>
        <w:rPr>
          <w:rFonts w:ascii="宋体"/>
          <w:sz w:val="24"/>
          <w:szCs w:val="24"/>
        </w:rPr>
      </w:pPr>
    </w:p>
    <w:p>
      <w:pPr>
        <w:spacing w:line="460" w:lineRule="atLeast"/>
        <w:jc w:val="left"/>
        <w:rPr>
          <w:rFonts w:ascii="宋体"/>
          <w:sz w:val="22"/>
          <w:szCs w:val="22"/>
        </w:rPr>
      </w:pPr>
      <w:r>
        <w:rPr>
          <w:rFonts w:hint="eastAsia" w:ascii="宋体"/>
          <w:sz w:val="22"/>
          <w:szCs w:val="22"/>
        </w:rPr>
        <w:t>本人以企业法定代表人的身份郑重承诺：</w:t>
      </w:r>
    </w:p>
    <w:p>
      <w:pPr>
        <w:spacing w:line="460" w:lineRule="atLeast"/>
        <w:ind w:firstLine="440" w:firstLineChars="200"/>
        <w:jc w:val="left"/>
        <w:rPr>
          <w:rFonts w:ascii="宋体"/>
          <w:sz w:val="22"/>
          <w:szCs w:val="22"/>
        </w:rPr>
      </w:pPr>
      <w:r>
        <w:rPr>
          <w:rFonts w:hint="eastAsia" w:ascii="宋体"/>
          <w:sz w:val="22"/>
          <w:szCs w:val="22"/>
        </w:rPr>
        <w:t>将遵循公开、公平、公正和诚信信用的原则参加</w:t>
      </w:r>
      <w:r>
        <w:rPr>
          <w:rFonts w:hint="eastAsia" w:ascii="宋体" w:cs="楷体_GB2312"/>
          <w:sz w:val="22"/>
          <w:szCs w:val="22"/>
          <w:u w:val="single"/>
        </w:rPr>
        <w:t xml:space="preserve">              项目（招标编号：   ）</w:t>
      </w:r>
      <w:r>
        <w:rPr>
          <w:rFonts w:hint="eastAsia" w:ascii="宋体"/>
          <w:sz w:val="22"/>
          <w:szCs w:val="22"/>
        </w:rPr>
        <w:t>的投标；</w:t>
      </w:r>
    </w:p>
    <w:p>
      <w:pPr>
        <w:spacing w:line="460" w:lineRule="atLeast"/>
        <w:ind w:firstLine="440" w:firstLineChars="200"/>
        <w:jc w:val="left"/>
        <w:rPr>
          <w:rFonts w:ascii="宋体"/>
          <w:sz w:val="22"/>
          <w:szCs w:val="22"/>
          <w:u w:val="single"/>
        </w:rPr>
      </w:pPr>
      <w:r>
        <w:rPr>
          <w:rFonts w:hint="eastAsia" w:ascii="宋体"/>
          <w:sz w:val="22"/>
          <w:szCs w:val="22"/>
        </w:rPr>
        <w:t>一、杜绝以收取管理费等形式的一切挂靠、违法转包、分包行为；并选派有丰富经验、无不良行为记录的在项目管理人员、技术人员，严格按招标文件、投标文件及合同等要求保证拟派人员的到岗率。</w:t>
      </w:r>
    </w:p>
    <w:p>
      <w:pPr>
        <w:spacing w:line="460" w:lineRule="atLeast"/>
        <w:ind w:firstLine="440" w:firstLineChars="200"/>
        <w:jc w:val="left"/>
        <w:rPr>
          <w:rFonts w:ascii="宋体"/>
          <w:sz w:val="22"/>
          <w:szCs w:val="22"/>
        </w:rPr>
      </w:pPr>
      <w:r>
        <w:rPr>
          <w:rFonts w:hint="eastAsia" w:ascii="宋体"/>
          <w:sz w:val="22"/>
          <w:szCs w:val="22"/>
        </w:rPr>
        <w:t>二、投标文件所提供的一切材料都是真实、有效、合法的。</w:t>
      </w:r>
    </w:p>
    <w:p>
      <w:pPr>
        <w:spacing w:line="460" w:lineRule="atLeast"/>
        <w:ind w:firstLine="440" w:firstLineChars="200"/>
        <w:jc w:val="left"/>
        <w:rPr>
          <w:rFonts w:ascii="宋体"/>
          <w:sz w:val="22"/>
          <w:szCs w:val="22"/>
        </w:rPr>
      </w:pPr>
      <w:r>
        <w:rPr>
          <w:rFonts w:hint="eastAsia" w:ascii="宋体"/>
          <w:sz w:val="22"/>
          <w:szCs w:val="22"/>
        </w:rPr>
        <w:t>三、不与其他投标人相互串通投标报价，不排挤其他投标人的公平竞争，不损害招标人或其他投标人的合法权益。</w:t>
      </w:r>
    </w:p>
    <w:p>
      <w:pPr>
        <w:spacing w:line="460" w:lineRule="atLeast"/>
        <w:ind w:firstLine="440" w:firstLineChars="200"/>
        <w:jc w:val="left"/>
        <w:rPr>
          <w:rFonts w:ascii="宋体"/>
          <w:sz w:val="22"/>
          <w:szCs w:val="22"/>
        </w:rPr>
      </w:pPr>
      <w:r>
        <w:rPr>
          <w:rFonts w:hint="eastAsia" w:ascii="宋体"/>
          <w:sz w:val="22"/>
          <w:szCs w:val="22"/>
        </w:rPr>
        <w:t>四、不与采购人或采购代理机构串通投标，不损害国家利益，社会公共利益或其他人的合法权益。</w:t>
      </w:r>
    </w:p>
    <w:p>
      <w:pPr>
        <w:spacing w:line="460" w:lineRule="atLeast"/>
        <w:ind w:firstLine="440" w:firstLineChars="200"/>
        <w:jc w:val="left"/>
        <w:rPr>
          <w:rFonts w:ascii="宋体"/>
          <w:sz w:val="22"/>
          <w:szCs w:val="22"/>
        </w:rPr>
      </w:pPr>
      <w:r>
        <w:rPr>
          <w:rFonts w:hint="eastAsia" w:ascii="宋体"/>
          <w:sz w:val="22"/>
          <w:szCs w:val="22"/>
        </w:rPr>
        <w:t>五、不向采购人或者评标委员会成员行贿以牟取中标。</w:t>
      </w:r>
    </w:p>
    <w:p>
      <w:pPr>
        <w:spacing w:line="460" w:lineRule="atLeast"/>
        <w:ind w:firstLine="440" w:firstLineChars="200"/>
        <w:jc w:val="left"/>
        <w:rPr>
          <w:rFonts w:ascii="宋体"/>
          <w:sz w:val="22"/>
          <w:szCs w:val="22"/>
        </w:rPr>
      </w:pPr>
      <w:r>
        <w:rPr>
          <w:rFonts w:hint="eastAsia" w:ascii="宋体"/>
          <w:sz w:val="22"/>
          <w:szCs w:val="22"/>
        </w:rPr>
        <w:t>六、不以其他人名义投标或者以其他方式弄虚作假，骗取中标。</w:t>
      </w:r>
    </w:p>
    <w:p>
      <w:pPr>
        <w:spacing w:line="460" w:lineRule="atLeast"/>
        <w:ind w:firstLine="440" w:firstLineChars="200"/>
        <w:jc w:val="left"/>
        <w:rPr>
          <w:rFonts w:ascii="宋体"/>
          <w:sz w:val="22"/>
          <w:szCs w:val="22"/>
        </w:rPr>
      </w:pPr>
      <w:r>
        <w:rPr>
          <w:rFonts w:hint="eastAsia" w:ascii="宋体"/>
          <w:sz w:val="22"/>
          <w:szCs w:val="22"/>
        </w:rPr>
        <w:t>七、不在开标后进行虚假恶意投诉。</w:t>
      </w:r>
    </w:p>
    <w:p>
      <w:pPr>
        <w:spacing w:line="460" w:lineRule="atLeast"/>
        <w:ind w:firstLine="440" w:firstLineChars="200"/>
        <w:jc w:val="left"/>
        <w:rPr>
          <w:rFonts w:ascii="宋体"/>
          <w:sz w:val="22"/>
          <w:szCs w:val="22"/>
        </w:rPr>
      </w:pPr>
      <w:r>
        <w:rPr>
          <w:rFonts w:hint="eastAsia" w:ascii="宋体"/>
          <w:sz w:val="22"/>
          <w:szCs w:val="22"/>
        </w:rPr>
        <w:t>八、我单位没有被政府机关</w:t>
      </w:r>
      <w:r>
        <w:rPr>
          <w:rFonts w:ascii="宋体"/>
          <w:sz w:val="22"/>
          <w:szCs w:val="22"/>
        </w:rPr>
        <w:t>列入失信被执行人</w:t>
      </w:r>
      <w:r>
        <w:rPr>
          <w:rFonts w:hint="eastAsia" w:ascii="宋体"/>
          <w:sz w:val="22"/>
          <w:szCs w:val="22"/>
        </w:rPr>
        <w:t>名单</w:t>
      </w:r>
      <w:r>
        <w:rPr>
          <w:rFonts w:ascii="宋体"/>
          <w:sz w:val="22"/>
          <w:szCs w:val="22"/>
        </w:rPr>
        <w:t>、重大税收违法案件当事人名单、政府采购严重违法失信行为记录名单及其他不符合《中华人民共和国政府采购法》第二十二条规定条件</w:t>
      </w:r>
      <w:r>
        <w:rPr>
          <w:rFonts w:hint="eastAsia" w:ascii="宋体"/>
          <w:sz w:val="22"/>
          <w:szCs w:val="22"/>
        </w:rPr>
        <w:t>的情形：</w:t>
      </w:r>
    </w:p>
    <w:p>
      <w:pPr>
        <w:spacing w:line="460" w:lineRule="atLeast"/>
        <w:ind w:firstLine="440" w:firstLineChars="200"/>
        <w:jc w:val="left"/>
        <w:rPr>
          <w:rFonts w:ascii="宋体"/>
          <w:sz w:val="22"/>
          <w:szCs w:val="22"/>
        </w:rPr>
      </w:pPr>
      <w:r>
        <w:rPr>
          <w:rFonts w:hint="eastAsia" w:ascii="宋体"/>
          <w:sz w:val="22"/>
          <w:szCs w:val="22"/>
        </w:rPr>
        <w:t>九、没有</w:t>
      </w:r>
      <w:r>
        <w:rPr>
          <w:rFonts w:ascii="宋体"/>
          <w:sz w:val="22"/>
          <w:szCs w:val="22"/>
        </w:rPr>
        <w:t>被</w:t>
      </w:r>
      <w:r>
        <w:rPr>
          <w:rFonts w:hint="eastAsia" w:ascii="宋体"/>
          <w:sz w:val="22"/>
          <w:szCs w:val="22"/>
        </w:rPr>
        <w:t>各地、</w:t>
      </w:r>
      <w:r>
        <w:rPr>
          <w:rFonts w:ascii="宋体"/>
          <w:sz w:val="22"/>
          <w:szCs w:val="22"/>
        </w:rPr>
        <w:t>各级财政部门禁止参加政府采购</w:t>
      </w:r>
      <w:r>
        <w:rPr>
          <w:rFonts w:hint="eastAsia" w:ascii="宋体"/>
          <w:sz w:val="22"/>
          <w:szCs w:val="22"/>
        </w:rPr>
        <w:t xml:space="preserve">活动，且在限制期限内：    </w:t>
      </w:r>
    </w:p>
    <w:p>
      <w:pPr>
        <w:spacing w:line="460" w:lineRule="atLeast"/>
        <w:ind w:firstLine="440" w:firstLineChars="200"/>
        <w:jc w:val="left"/>
        <w:rPr>
          <w:rFonts w:ascii="宋体"/>
          <w:sz w:val="22"/>
          <w:szCs w:val="22"/>
        </w:rPr>
      </w:pPr>
      <w:r>
        <w:rPr>
          <w:rFonts w:hint="eastAsia" w:ascii="宋体"/>
          <w:sz w:val="22"/>
          <w:szCs w:val="22"/>
        </w:rPr>
        <w:t>十、参与本项目政府采购活动3年内没有重大违法记录情况。</w:t>
      </w:r>
    </w:p>
    <w:p>
      <w:pPr>
        <w:spacing w:line="460" w:lineRule="atLeast"/>
        <w:ind w:firstLine="440" w:firstLineChars="200"/>
        <w:rPr>
          <w:rFonts w:ascii="宋体"/>
          <w:sz w:val="22"/>
          <w:szCs w:val="22"/>
        </w:rPr>
      </w:pPr>
      <w:r>
        <w:rPr>
          <w:rFonts w:hint="eastAsia" w:ascii="宋体"/>
          <w:sz w:val="22"/>
          <w:szCs w:val="22"/>
        </w:rPr>
        <w:t>本公司若有违反本承诺内容的行为，愿意承担法律责任，包括不限于：愿意接受相关行政主管部门作出的处罚；给采购人造成损失的，依法承担相应的赔偿责任。</w:t>
      </w:r>
    </w:p>
    <w:p>
      <w:pPr>
        <w:spacing w:line="460" w:lineRule="atLeast"/>
        <w:ind w:right="1120" w:firstLine="2970" w:firstLineChars="1350"/>
        <w:rPr>
          <w:rFonts w:ascii="宋体"/>
          <w:sz w:val="22"/>
          <w:szCs w:val="22"/>
        </w:rPr>
      </w:pPr>
      <w:r>
        <w:rPr>
          <w:rFonts w:hint="eastAsia" w:ascii="宋体"/>
          <w:sz w:val="22"/>
          <w:szCs w:val="22"/>
        </w:rPr>
        <w:t>法定代表人（签字或签章）：</w:t>
      </w:r>
    </w:p>
    <w:p>
      <w:pPr>
        <w:spacing w:line="460" w:lineRule="atLeast"/>
        <w:ind w:right="1120" w:firstLine="2970" w:firstLineChars="1350"/>
        <w:rPr>
          <w:rFonts w:ascii="宋体"/>
          <w:sz w:val="22"/>
          <w:szCs w:val="22"/>
        </w:rPr>
      </w:pPr>
      <w:r>
        <w:rPr>
          <w:rFonts w:hint="eastAsia" w:ascii="宋体"/>
          <w:sz w:val="22"/>
          <w:szCs w:val="22"/>
        </w:rPr>
        <w:t>投标供应商（盖章）</w:t>
      </w:r>
    </w:p>
    <w:p>
      <w:pPr>
        <w:spacing w:line="460" w:lineRule="atLeast"/>
        <w:ind w:right="1120" w:firstLine="2970" w:firstLineChars="1350"/>
        <w:rPr>
          <w:rFonts w:ascii="宋体"/>
        </w:rPr>
      </w:pPr>
      <w:r>
        <w:rPr>
          <w:rFonts w:hint="eastAsia" w:ascii="宋体"/>
          <w:sz w:val="22"/>
          <w:szCs w:val="22"/>
        </w:rPr>
        <w:t>承诺书签署日期：         年  月  日</w:t>
      </w:r>
    </w:p>
    <w:p>
      <w:pPr>
        <w:spacing w:line="360" w:lineRule="exact"/>
        <w:jc w:val="left"/>
        <w:rPr>
          <w:rFonts w:ascii="宋体"/>
          <w:sz w:val="22"/>
          <w:szCs w:val="22"/>
          <w:u w:val="single"/>
        </w:rPr>
      </w:pPr>
    </w:p>
    <w:p>
      <w:pPr>
        <w:spacing w:line="360" w:lineRule="exact"/>
        <w:jc w:val="left"/>
        <w:rPr>
          <w:rFonts w:ascii="宋体"/>
          <w:sz w:val="30"/>
        </w:rPr>
      </w:pPr>
      <w:r>
        <w:rPr>
          <w:rFonts w:hint="eastAsia" w:ascii="宋体"/>
          <w:sz w:val="22"/>
          <w:szCs w:val="22"/>
          <w:u w:val="single"/>
        </w:rPr>
        <w:t>备注：▲投标供应商必须提供本承诺书，不提供按无效投标处理。</w:t>
      </w:r>
    </w:p>
    <w:p>
      <w:pPr>
        <w:pStyle w:val="13"/>
        <w:spacing w:line="360" w:lineRule="exact"/>
        <w:jc w:val="center"/>
        <w:rPr>
          <w:rFonts w:hAnsi="宋体"/>
          <w:sz w:val="32"/>
        </w:rPr>
      </w:pPr>
    </w:p>
    <w:p>
      <w:pPr>
        <w:spacing w:line="360" w:lineRule="exact"/>
        <w:jc w:val="left"/>
        <w:rPr>
          <w:rFonts w:ascii="宋体" w:hAnsi="宋体"/>
        </w:rPr>
      </w:pPr>
      <w:r>
        <w:rPr>
          <w:rFonts w:hint="eastAsia" w:ascii="宋体" w:hAnsi="宋体"/>
          <w:b/>
          <w:bCs/>
          <w:sz w:val="24"/>
          <w:szCs w:val="24"/>
        </w:rPr>
        <w:t>附件十一</w:t>
      </w:r>
      <w:bookmarkStart w:id="147" w:name="_Toc54782489"/>
    </w:p>
    <w:p>
      <w:pPr>
        <w:pStyle w:val="23"/>
        <w:rPr>
          <w:rFonts w:ascii="宋体" w:hAnsi="宋体"/>
        </w:rPr>
      </w:pPr>
      <w:r>
        <w:rPr>
          <w:rFonts w:hint="eastAsia" w:ascii="宋体" w:hAnsi="宋体"/>
        </w:rPr>
        <w:t xml:space="preserve">  供应商2017年1月1日以来同类项目业绩清单</w:t>
      </w:r>
      <w:bookmarkEnd w:id="147"/>
    </w:p>
    <w:p>
      <w:pPr>
        <w:pStyle w:val="13"/>
        <w:spacing w:line="360" w:lineRule="exact"/>
        <w:jc w:val="center"/>
        <w:rPr>
          <w:rFonts w:hAnsi="宋体"/>
          <w:sz w:val="22"/>
          <w:szCs w:val="22"/>
        </w:rPr>
      </w:pPr>
    </w:p>
    <w:tbl>
      <w:tblPr>
        <w:tblStyle w:val="25"/>
        <w:tblW w:w="9603" w:type="dxa"/>
        <w:tblInd w:w="9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c>
          <w:tcPr>
            <w:tcW w:w="756" w:type="dxa"/>
          </w:tcPr>
          <w:p>
            <w:pPr>
              <w:tabs>
                <w:tab w:val="left" w:pos="4140"/>
              </w:tabs>
              <w:adjustRightInd w:val="0"/>
              <w:snapToGrid w:val="0"/>
              <w:spacing w:line="320" w:lineRule="atLeast"/>
              <w:jc w:val="center"/>
              <w:rPr>
                <w:rFonts w:ascii="宋体"/>
                <w:caps/>
                <w:spacing w:val="20"/>
                <w:sz w:val="22"/>
                <w:szCs w:val="22"/>
              </w:rPr>
            </w:pPr>
            <w:r>
              <w:rPr>
                <w:rFonts w:hint="eastAsia" w:ascii="宋体"/>
                <w:caps/>
                <w:spacing w:val="20"/>
                <w:sz w:val="22"/>
                <w:szCs w:val="22"/>
              </w:rPr>
              <w:t>序号</w:t>
            </w:r>
          </w:p>
        </w:tc>
        <w:tc>
          <w:tcPr>
            <w:tcW w:w="1153" w:type="dxa"/>
          </w:tcPr>
          <w:p>
            <w:pPr>
              <w:tabs>
                <w:tab w:val="left" w:pos="4140"/>
              </w:tabs>
              <w:adjustRightInd w:val="0"/>
              <w:snapToGrid w:val="0"/>
              <w:spacing w:line="320" w:lineRule="atLeast"/>
              <w:jc w:val="center"/>
              <w:rPr>
                <w:rFonts w:ascii="宋体"/>
                <w:spacing w:val="20"/>
                <w:sz w:val="22"/>
                <w:szCs w:val="22"/>
              </w:rPr>
            </w:pPr>
            <w:r>
              <w:rPr>
                <w:rFonts w:hint="eastAsia" w:ascii="宋体"/>
                <w:spacing w:val="20"/>
                <w:sz w:val="22"/>
                <w:szCs w:val="22"/>
              </w:rPr>
              <w:t>采购</w:t>
            </w:r>
          </w:p>
          <w:p>
            <w:pPr>
              <w:tabs>
                <w:tab w:val="left" w:pos="4140"/>
              </w:tabs>
              <w:adjustRightInd w:val="0"/>
              <w:snapToGrid w:val="0"/>
              <w:spacing w:line="320" w:lineRule="atLeast"/>
              <w:jc w:val="center"/>
              <w:rPr>
                <w:rFonts w:ascii="宋体"/>
                <w:caps/>
                <w:spacing w:val="20"/>
                <w:sz w:val="22"/>
                <w:szCs w:val="22"/>
              </w:rPr>
            </w:pPr>
            <w:r>
              <w:rPr>
                <w:rFonts w:hint="eastAsia" w:ascii="宋体"/>
                <w:spacing w:val="20"/>
                <w:sz w:val="22"/>
                <w:szCs w:val="22"/>
              </w:rPr>
              <w:t>单位</w:t>
            </w:r>
          </w:p>
        </w:tc>
        <w:tc>
          <w:tcPr>
            <w:tcW w:w="1154" w:type="dxa"/>
          </w:tcPr>
          <w:p>
            <w:pPr>
              <w:tabs>
                <w:tab w:val="left" w:pos="4140"/>
              </w:tabs>
              <w:adjustRightInd w:val="0"/>
              <w:snapToGrid w:val="0"/>
              <w:spacing w:line="320" w:lineRule="atLeast"/>
              <w:jc w:val="center"/>
              <w:rPr>
                <w:rFonts w:ascii="宋体"/>
                <w:caps/>
                <w:spacing w:val="20"/>
                <w:sz w:val="22"/>
                <w:szCs w:val="22"/>
              </w:rPr>
            </w:pPr>
            <w:r>
              <w:rPr>
                <w:rFonts w:hint="eastAsia" w:ascii="宋体"/>
                <w:caps/>
                <w:spacing w:val="20"/>
                <w:sz w:val="22"/>
                <w:szCs w:val="22"/>
              </w:rPr>
              <w:t>项目</w:t>
            </w:r>
          </w:p>
          <w:p>
            <w:pPr>
              <w:tabs>
                <w:tab w:val="left" w:pos="4140"/>
              </w:tabs>
              <w:adjustRightInd w:val="0"/>
              <w:snapToGrid w:val="0"/>
              <w:spacing w:line="320" w:lineRule="atLeast"/>
              <w:jc w:val="center"/>
              <w:rPr>
                <w:rFonts w:ascii="宋体"/>
                <w:caps/>
                <w:spacing w:val="20"/>
                <w:sz w:val="22"/>
                <w:szCs w:val="22"/>
              </w:rPr>
            </w:pPr>
            <w:r>
              <w:rPr>
                <w:rFonts w:hint="eastAsia" w:ascii="宋体"/>
                <w:caps/>
                <w:spacing w:val="20"/>
                <w:sz w:val="22"/>
                <w:szCs w:val="22"/>
              </w:rPr>
              <w:t>名称</w:t>
            </w:r>
          </w:p>
        </w:tc>
        <w:tc>
          <w:tcPr>
            <w:tcW w:w="1154" w:type="dxa"/>
          </w:tcPr>
          <w:p>
            <w:pPr>
              <w:tabs>
                <w:tab w:val="left" w:pos="4140"/>
              </w:tabs>
              <w:adjustRightInd w:val="0"/>
              <w:snapToGrid w:val="0"/>
              <w:spacing w:line="320" w:lineRule="atLeast"/>
              <w:jc w:val="center"/>
              <w:rPr>
                <w:rFonts w:ascii="宋体"/>
                <w:caps/>
                <w:spacing w:val="20"/>
                <w:sz w:val="22"/>
                <w:szCs w:val="22"/>
              </w:rPr>
            </w:pPr>
            <w:r>
              <w:rPr>
                <w:rFonts w:hint="eastAsia" w:ascii="宋体"/>
                <w:caps/>
                <w:spacing w:val="20"/>
                <w:sz w:val="22"/>
                <w:szCs w:val="22"/>
              </w:rPr>
              <w:t>数量</w:t>
            </w:r>
          </w:p>
        </w:tc>
        <w:tc>
          <w:tcPr>
            <w:tcW w:w="1154" w:type="dxa"/>
          </w:tcPr>
          <w:p>
            <w:pPr>
              <w:tabs>
                <w:tab w:val="left" w:pos="4140"/>
              </w:tabs>
              <w:adjustRightInd w:val="0"/>
              <w:snapToGrid w:val="0"/>
              <w:spacing w:line="320" w:lineRule="atLeast"/>
              <w:jc w:val="center"/>
              <w:rPr>
                <w:rFonts w:ascii="宋体"/>
                <w:caps/>
                <w:spacing w:val="20"/>
                <w:sz w:val="22"/>
                <w:szCs w:val="22"/>
              </w:rPr>
            </w:pPr>
            <w:r>
              <w:rPr>
                <w:rFonts w:hint="eastAsia" w:ascii="宋体"/>
                <w:caps/>
                <w:spacing w:val="20"/>
                <w:sz w:val="22"/>
                <w:szCs w:val="22"/>
              </w:rPr>
              <w:t>合同</w:t>
            </w:r>
          </w:p>
          <w:p>
            <w:pPr>
              <w:tabs>
                <w:tab w:val="left" w:pos="4140"/>
              </w:tabs>
              <w:adjustRightInd w:val="0"/>
              <w:snapToGrid w:val="0"/>
              <w:spacing w:line="320" w:lineRule="atLeast"/>
              <w:jc w:val="center"/>
              <w:rPr>
                <w:rFonts w:ascii="宋体"/>
                <w:caps/>
                <w:spacing w:val="20"/>
                <w:sz w:val="22"/>
                <w:szCs w:val="22"/>
              </w:rPr>
            </w:pPr>
            <w:r>
              <w:rPr>
                <w:rFonts w:hint="eastAsia" w:ascii="宋体"/>
                <w:caps/>
                <w:spacing w:val="20"/>
                <w:sz w:val="22"/>
                <w:szCs w:val="22"/>
              </w:rPr>
              <w:t>金额</w:t>
            </w:r>
          </w:p>
        </w:tc>
        <w:tc>
          <w:tcPr>
            <w:tcW w:w="1154" w:type="dxa"/>
          </w:tcPr>
          <w:p>
            <w:pPr>
              <w:tabs>
                <w:tab w:val="left" w:pos="4140"/>
              </w:tabs>
              <w:adjustRightInd w:val="0"/>
              <w:snapToGrid w:val="0"/>
              <w:spacing w:line="320" w:lineRule="atLeast"/>
              <w:jc w:val="center"/>
              <w:rPr>
                <w:rFonts w:ascii="宋体"/>
                <w:spacing w:val="20"/>
                <w:sz w:val="22"/>
                <w:szCs w:val="22"/>
              </w:rPr>
            </w:pPr>
            <w:r>
              <w:rPr>
                <w:rFonts w:hint="eastAsia" w:ascii="宋体"/>
                <w:spacing w:val="20"/>
                <w:sz w:val="22"/>
                <w:szCs w:val="22"/>
              </w:rPr>
              <w:t>签约</w:t>
            </w:r>
          </w:p>
          <w:p>
            <w:pPr>
              <w:tabs>
                <w:tab w:val="left" w:pos="4140"/>
              </w:tabs>
              <w:adjustRightInd w:val="0"/>
              <w:snapToGrid w:val="0"/>
              <w:spacing w:line="320" w:lineRule="atLeast"/>
              <w:jc w:val="center"/>
              <w:rPr>
                <w:rFonts w:ascii="宋体"/>
                <w:caps/>
                <w:spacing w:val="20"/>
                <w:sz w:val="22"/>
                <w:szCs w:val="22"/>
              </w:rPr>
            </w:pPr>
            <w:r>
              <w:rPr>
                <w:rFonts w:hint="eastAsia" w:ascii="宋体"/>
                <w:spacing w:val="20"/>
                <w:sz w:val="22"/>
                <w:szCs w:val="22"/>
              </w:rPr>
              <w:t>日期</w:t>
            </w:r>
          </w:p>
        </w:tc>
        <w:tc>
          <w:tcPr>
            <w:tcW w:w="1154" w:type="dxa"/>
          </w:tcPr>
          <w:p>
            <w:pPr>
              <w:tabs>
                <w:tab w:val="left" w:pos="4140"/>
              </w:tabs>
              <w:adjustRightInd w:val="0"/>
              <w:snapToGrid w:val="0"/>
              <w:spacing w:line="320" w:lineRule="atLeast"/>
              <w:jc w:val="center"/>
              <w:rPr>
                <w:rFonts w:ascii="宋体"/>
                <w:spacing w:val="20"/>
                <w:sz w:val="22"/>
                <w:szCs w:val="22"/>
              </w:rPr>
            </w:pPr>
            <w:r>
              <w:rPr>
                <w:rFonts w:hint="eastAsia" w:ascii="宋体"/>
                <w:spacing w:val="20"/>
                <w:sz w:val="22"/>
                <w:szCs w:val="22"/>
              </w:rPr>
              <w:t>联系人</w:t>
            </w:r>
          </w:p>
        </w:tc>
        <w:tc>
          <w:tcPr>
            <w:tcW w:w="1154" w:type="dxa"/>
          </w:tcPr>
          <w:p>
            <w:pPr>
              <w:tabs>
                <w:tab w:val="left" w:pos="4140"/>
              </w:tabs>
              <w:adjustRightInd w:val="0"/>
              <w:snapToGrid w:val="0"/>
              <w:spacing w:line="320" w:lineRule="atLeast"/>
              <w:jc w:val="center"/>
              <w:rPr>
                <w:rFonts w:ascii="宋体"/>
                <w:spacing w:val="20"/>
                <w:sz w:val="22"/>
                <w:szCs w:val="22"/>
              </w:rPr>
            </w:pPr>
            <w:r>
              <w:rPr>
                <w:rFonts w:hint="eastAsia" w:ascii="宋体"/>
                <w:spacing w:val="20"/>
                <w:sz w:val="22"/>
                <w:szCs w:val="22"/>
              </w:rPr>
              <w:t>联系</w:t>
            </w:r>
          </w:p>
          <w:p>
            <w:pPr>
              <w:tabs>
                <w:tab w:val="left" w:pos="4140"/>
              </w:tabs>
              <w:adjustRightInd w:val="0"/>
              <w:snapToGrid w:val="0"/>
              <w:spacing w:line="320" w:lineRule="atLeast"/>
              <w:jc w:val="center"/>
              <w:rPr>
                <w:rFonts w:ascii="宋体"/>
                <w:spacing w:val="20"/>
                <w:sz w:val="22"/>
                <w:szCs w:val="22"/>
              </w:rPr>
            </w:pPr>
            <w:r>
              <w:rPr>
                <w:rFonts w:hint="eastAsia" w:ascii="宋体"/>
                <w:spacing w:val="20"/>
                <w:sz w:val="22"/>
                <w:szCs w:val="22"/>
              </w:rPr>
              <w:t>电话</w:t>
            </w:r>
          </w:p>
        </w:tc>
        <w:tc>
          <w:tcPr>
            <w:tcW w:w="770" w:type="dxa"/>
          </w:tcPr>
          <w:p>
            <w:pPr>
              <w:tabs>
                <w:tab w:val="left" w:pos="4140"/>
              </w:tabs>
              <w:adjustRightInd w:val="0"/>
              <w:snapToGrid w:val="0"/>
              <w:spacing w:line="320" w:lineRule="atLeast"/>
              <w:jc w:val="center"/>
              <w:rPr>
                <w:rFonts w:ascii="宋体"/>
                <w:spacing w:val="20"/>
                <w:sz w:val="22"/>
                <w:szCs w:val="22"/>
              </w:rPr>
            </w:pPr>
            <w:r>
              <w:rPr>
                <w:rFonts w:hint="eastAsia" w:ascii="宋体"/>
                <w:spacing w:val="20"/>
                <w:sz w:val="22"/>
                <w:szCs w:val="22"/>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spacing w:val="20"/>
                <w:sz w:val="22"/>
                <w:szCs w:val="22"/>
              </w:rPr>
            </w:pPr>
          </w:p>
        </w:tc>
        <w:tc>
          <w:tcPr>
            <w:tcW w:w="1153"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770" w:type="dxa"/>
          </w:tcPr>
          <w:p>
            <w:pPr>
              <w:tabs>
                <w:tab w:val="left" w:pos="4140"/>
              </w:tabs>
              <w:adjustRightInd w:val="0"/>
              <w:snapToGrid w:val="0"/>
              <w:spacing w:line="320" w:lineRule="atLeast"/>
              <w:rPr>
                <w:rFonts w:ascii="宋体"/>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spacing w:val="20"/>
                <w:sz w:val="22"/>
                <w:szCs w:val="22"/>
              </w:rPr>
            </w:pPr>
          </w:p>
        </w:tc>
        <w:tc>
          <w:tcPr>
            <w:tcW w:w="1153"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770" w:type="dxa"/>
          </w:tcPr>
          <w:p>
            <w:pPr>
              <w:tabs>
                <w:tab w:val="left" w:pos="4140"/>
              </w:tabs>
              <w:adjustRightInd w:val="0"/>
              <w:snapToGrid w:val="0"/>
              <w:spacing w:line="320" w:lineRule="atLeast"/>
              <w:rPr>
                <w:rFonts w:ascii="宋体"/>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spacing w:val="20"/>
                <w:sz w:val="22"/>
                <w:szCs w:val="22"/>
              </w:rPr>
            </w:pPr>
          </w:p>
        </w:tc>
        <w:tc>
          <w:tcPr>
            <w:tcW w:w="1153"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770" w:type="dxa"/>
          </w:tcPr>
          <w:p>
            <w:pPr>
              <w:tabs>
                <w:tab w:val="left" w:pos="4140"/>
              </w:tabs>
              <w:adjustRightInd w:val="0"/>
              <w:snapToGrid w:val="0"/>
              <w:spacing w:line="320" w:lineRule="atLeast"/>
              <w:rPr>
                <w:rFonts w:ascii="宋体"/>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spacing w:val="20"/>
                <w:sz w:val="22"/>
                <w:szCs w:val="22"/>
              </w:rPr>
            </w:pPr>
          </w:p>
        </w:tc>
        <w:tc>
          <w:tcPr>
            <w:tcW w:w="1153"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770" w:type="dxa"/>
          </w:tcPr>
          <w:p>
            <w:pPr>
              <w:tabs>
                <w:tab w:val="left" w:pos="4140"/>
              </w:tabs>
              <w:adjustRightInd w:val="0"/>
              <w:snapToGrid w:val="0"/>
              <w:spacing w:line="320" w:lineRule="atLeast"/>
              <w:rPr>
                <w:rFonts w:ascii="宋体"/>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spacing w:val="20"/>
                <w:sz w:val="22"/>
                <w:szCs w:val="22"/>
              </w:rPr>
            </w:pPr>
          </w:p>
        </w:tc>
        <w:tc>
          <w:tcPr>
            <w:tcW w:w="1153"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770" w:type="dxa"/>
          </w:tcPr>
          <w:p>
            <w:pPr>
              <w:tabs>
                <w:tab w:val="left" w:pos="4140"/>
              </w:tabs>
              <w:adjustRightInd w:val="0"/>
              <w:snapToGrid w:val="0"/>
              <w:spacing w:line="320" w:lineRule="atLeast"/>
              <w:rPr>
                <w:rFonts w:ascii="宋体"/>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spacing w:val="20"/>
                <w:sz w:val="22"/>
                <w:szCs w:val="22"/>
              </w:rPr>
            </w:pPr>
          </w:p>
        </w:tc>
        <w:tc>
          <w:tcPr>
            <w:tcW w:w="1153"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770" w:type="dxa"/>
          </w:tcPr>
          <w:p>
            <w:pPr>
              <w:tabs>
                <w:tab w:val="left" w:pos="4140"/>
              </w:tabs>
              <w:adjustRightInd w:val="0"/>
              <w:snapToGrid w:val="0"/>
              <w:spacing w:line="320" w:lineRule="atLeast"/>
              <w:rPr>
                <w:rFonts w:ascii="宋体"/>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spacing w:val="20"/>
                <w:sz w:val="22"/>
                <w:szCs w:val="22"/>
              </w:rPr>
            </w:pPr>
          </w:p>
        </w:tc>
        <w:tc>
          <w:tcPr>
            <w:tcW w:w="1153"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770" w:type="dxa"/>
          </w:tcPr>
          <w:p>
            <w:pPr>
              <w:tabs>
                <w:tab w:val="left" w:pos="4140"/>
              </w:tabs>
              <w:adjustRightInd w:val="0"/>
              <w:snapToGrid w:val="0"/>
              <w:spacing w:line="320" w:lineRule="atLeast"/>
              <w:rPr>
                <w:rFonts w:ascii="宋体"/>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spacing w:val="20"/>
                <w:sz w:val="22"/>
                <w:szCs w:val="22"/>
              </w:rPr>
            </w:pPr>
          </w:p>
        </w:tc>
        <w:tc>
          <w:tcPr>
            <w:tcW w:w="1153"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770" w:type="dxa"/>
          </w:tcPr>
          <w:p>
            <w:pPr>
              <w:tabs>
                <w:tab w:val="left" w:pos="4140"/>
              </w:tabs>
              <w:adjustRightInd w:val="0"/>
              <w:snapToGrid w:val="0"/>
              <w:spacing w:line="320" w:lineRule="atLeast"/>
              <w:rPr>
                <w:rFonts w:ascii="宋体"/>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spacing w:val="20"/>
                <w:sz w:val="22"/>
                <w:szCs w:val="22"/>
              </w:rPr>
            </w:pPr>
          </w:p>
        </w:tc>
        <w:tc>
          <w:tcPr>
            <w:tcW w:w="1153"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770" w:type="dxa"/>
          </w:tcPr>
          <w:p>
            <w:pPr>
              <w:tabs>
                <w:tab w:val="left" w:pos="4140"/>
              </w:tabs>
              <w:adjustRightInd w:val="0"/>
              <w:snapToGrid w:val="0"/>
              <w:spacing w:line="320" w:lineRule="atLeast"/>
              <w:rPr>
                <w:rFonts w:ascii="宋体"/>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spacing w:val="20"/>
                <w:sz w:val="22"/>
                <w:szCs w:val="22"/>
              </w:rPr>
            </w:pPr>
          </w:p>
        </w:tc>
        <w:tc>
          <w:tcPr>
            <w:tcW w:w="1153"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770" w:type="dxa"/>
          </w:tcPr>
          <w:p>
            <w:pPr>
              <w:tabs>
                <w:tab w:val="left" w:pos="4140"/>
              </w:tabs>
              <w:adjustRightInd w:val="0"/>
              <w:snapToGrid w:val="0"/>
              <w:spacing w:line="320" w:lineRule="atLeast"/>
              <w:rPr>
                <w:rFonts w:ascii="宋体"/>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spacing w:val="20"/>
                <w:sz w:val="22"/>
                <w:szCs w:val="22"/>
              </w:rPr>
            </w:pPr>
          </w:p>
        </w:tc>
        <w:tc>
          <w:tcPr>
            <w:tcW w:w="1153"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770" w:type="dxa"/>
          </w:tcPr>
          <w:p>
            <w:pPr>
              <w:tabs>
                <w:tab w:val="left" w:pos="4140"/>
              </w:tabs>
              <w:adjustRightInd w:val="0"/>
              <w:snapToGrid w:val="0"/>
              <w:spacing w:line="320" w:lineRule="atLeast"/>
              <w:rPr>
                <w:rFonts w:ascii="宋体"/>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spacing w:val="20"/>
                <w:sz w:val="22"/>
                <w:szCs w:val="22"/>
              </w:rPr>
            </w:pPr>
          </w:p>
        </w:tc>
        <w:tc>
          <w:tcPr>
            <w:tcW w:w="1153"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770" w:type="dxa"/>
          </w:tcPr>
          <w:p>
            <w:pPr>
              <w:tabs>
                <w:tab w:val="left" w:pos="4140"/>
              </w:tabs>
              <w:adjustRightInd w:val="0"/>
              <w:snapToGrid w:val="0"/>
              <w:spacing w:line="320" w:lineRule="atLeast"/>
              <w:rPr>
                <w:rFonts w:ascii="宋体"/>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spacing w:val="20"/>
                <w:sz w:val="22"/>
                <w:szCs w:val="22"/>
              </w:rPr>
            </w:pPr>
          </w:p>
        </w:tc>
        <w:tc>
          <w:tcPr>
            <w:tcW w:w="1153"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770" w:type="dxa"/>
          </w:tcPr>
          <w:p>
            <w:pPr>
              <w:tabs>
                <w:tab w:val="left" w:pos="4140"/>
              </w:tabs>
              <w:adjustRightInd w:val="0"/>
              <w:snapToGrid w:val="0"/>
              <w:spacing w:line="320" w:lineRule="atLeast"/>
              <w:rPr>
                <w:rFonts w:ascii="宋体"/>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spacing w:val="20"/>
                <w:sz w:val="22"/>
                <w:szCs w:val="22"/>
              </w:rPr>
            </w:pPr>
          </w:p>
        </w:tc>
        <w:tc>
          <w:tcPr>
            <w:tcW w:w="1153"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770" w:type="dxa"/>
          </w:tcPr>
          <w:p>
            <w:pPr>
              <w:tabs>
                <w:tab w:val="left" w:pos="4140"/>
              </w:tabs>
              <w:adjustRightInd w:val="0"/>
              <w:snapToGrid w:val="0"/>
              <w:spacing w:line="320" w:lineRule="atLeast"/>
              <w:rPr>
                <w:rFonts w:ascii="宋体"/>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spacing w:val="20"/>
                <w:sz w:val="22"/>
                <w:szCs w:val="22"/>
              </w:rPr>
            </w:pPr>
          </w:p>
        </w:tc>
        <w:tc>
          <w:tcPr>
            <w:tcW w:w="1153"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770" w:type="dxa"/>
          </w:tcPr>
          <w:p>
            <w:pPr>
              <w:tabs>
                <w:tab w:val="left" w:pos="4140"/>
              </w:tabs>
              <w:adjustRightInd w:val="0"/>
              <w:snapToGrid w:val="0"/>
              <w:spacing w:line="320" w:lineRule="atLeast"/>
              <w:rPr>
                <w:rFonts w:ascii="宋体"/>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spacing w:val="20"/>
                <w:sz w:val="22"/>
                <w:szCs w:val="22"/>
              </w:rPr>
            </w:pPr>
          </w:p>
        </w:tc>
        <w:tc>
          <w:tcPr>
            <w:tcW w:w="1153"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770" w:type="dxa"/>
          </w:tcPr>
          <w:p>
            <w:pPr>
              <w:tabs>
                <w:tab w:val="left" w:pos="4140"/>
              </w:tabs>
              <w:adjustRightInd w:val="0"/>
              <w:snapToGrid w:val="0"/>
              <w:spacing w:line="320" w:lineRule="atLeast"/>
              <w:rPr>
                <w:rFonts w:ascii="宋体"/>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spacing w:val="20"/>
                <w:sz w:val="22"/>
                <w:szCs w:val="22"/>
              </w:rPr>
            </w:pPr>
          </w:p>
        </w:tc>
        <w:tc>
          <w:tcPr>
            <w:tcW w:w="1153"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770" w:type="dxa"/>
          </w:tcPr>
          <w:p>
            <w:pPr>
              <w:tabs>
                <w:tab w:val="left" w:pos="4140"/>
              </w:tabs>
              <w:adjustRightInd w:val="0"/>
              <w:snapToGrid w:val="0"/>
              <w:spacing w:line="320" w:lineRule="atLeast"/>
              <w:rPr>
                <w:rFonts w:ascii="宋体"/>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spacing w:val="20"/>
                <w:sz w:val="22"/>
                <w:szCs w:val="22"/>
              </w:rPr>
            </w:pPr>
          </w:p>
        </w:tc>
        <w:tc>
          <w:tcPr>
            <w:tcW w:w="1153"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770" w:type="dxa"/>
          </w:tcPr>
          <w:p>
            <w:pPr>
              <w:tabs>
                <w:tab w:val="left" w:pos="4140"/>
              </w:tabs>
              <w:adjustRightInd w:val="0"/>
              <w:snapToGrid w:val="0"/>
              <w:spacing w:line="320" w:lineRule="atLeast"/>
              <w:rPr>
                <w:rFonts w:ascii="宋体"/>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spacing w:val="20"/>
                <w:sz w:val="22"/>
                <w:szCs w:val="22"/>
              </w:rPr>
            </w:pPr>
          </w:p>
        </w:tc>
        <w:tc>
          <w:tcPr>
            <w:tcW w:w="1153"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770" w:type="dxa"/>
          </w:tcPr>
          <w:p>
            <w:pPr>
              <w:tabs>
                <w:tab w:val="left" w:pos="4140"/>
              </w:tabs>
              <w:adjustRightInd w:val="0"/>
              <w:snapToGrid w:val="0"/>
              <w:spacing w:line="320" w:lineRule="atLeast"/>
              <w:rPr>
                <w:rFonts w:ascii="宋体"/>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spacing w:val="20"/>
                <w:sz w:val="22"/>
                <w:szCs w:val="22"/>
              </w:rPr>
            </w:pPr>
          </w:p>
        </w:tc>
        <w:tc>
          <w:tcPr>
            <w:tcW w:w="1153"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770" w:type="dxa"/>
          </w:tcPr>
          <w:p>
            <w:pPr>
              <w:tabs>
                <w:tab w:val="left" w:pos="4140"/>
              </w:tabs>
              <w:adjustRightInd w:val="0"/>
              <w:snapToGrid w:val="0"/>
              <w:spacing w:line="320" w:lineRule="atLeast"/>
              <w:rPr>
                <w:rFonts w:ascii="宋体"/>
                <w:spacing w:val="20"/>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宋体"/>
                <w:spacing w:val="20"/>
                <w:sz w:val="22"/>
                <w:szCs w:val="22"/>
              </w:rPr>
            </w:pPr>
          </w:p>
        </w:tc>
        <w:tc>
          <w:tcPr>
            <w:tcW w:w="1153"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1154" w:type="dxa"/>
          </w:tcPr>
          <w:p>
            <w:pPr>
              <w:tabs>
                <w:tab w:val="left" w:pos="4140"/>
              </w:tabs>
              <w:adjustRightInd w:val="0"/>
              <w:snapToGrid w:val="0"/>
              <w:spacing w:line="320" w:lineRule="atLeast"/>
              <w:rPr>
                <w:rFonts w:ascii="宋体"/>
                <w:spacing w:val="20"/>
                <w:sz w:val="22"/>
                <w:szCs w:val="22"/>
              </w:rPr>
            </w:pPr>
          </w:p>
        </w:tc>
        <w:tc>
          <w:tcPr>
            <w:tcW w:w="770" w:type="dxa"/>
          </w:tcPr>
          <w:p>
            <w:pPr>
              <w:tabs>
                <w:tab w:val="left" w:pos="4140"/>
              </w:tabs>
              <w:adjustRightInd w:val="0"/>
              <w:snapToGrid w:val="0"/>
              <w:spacing w:line="320" w:lineRule="atLeast"/>
              <w:rPr>
                <w:rFonts w:ascii="宋体"/>
                <w:spacing w:val="20"/>
                <w:sz w:val="22"/>
                <w:szCs w:val="22"/>
              </w:rPr>
            </w:pPr>
          </w:p>
        </w:tc>
      </w:tr>
    </w:tbl>
    <w:p>
      <w:pPr>
        <w:pStyle w:val="13"/>
        <w:spacing w:line="360" w:lineRule="exact"/>
        <w:rPr>
          <w:rFonts w:hAnsi="宋体"/>
          <w:sz w:val="32"/>
        </w:rPr>
      </w:pPr>
      <w:r>
        <w:rPr>
          <w:rFonts w:hint="eastAsia" w:hAnsi="宋体"/>
          <w:sz w:val="22"/>
          <w:szCs w:val="22"/>
        </w:rPr>
        <w:t>本表后附加盖有效公章的中标通知书、合同及履约评价书，具体以评分细则要求为准。</w:t>
      </w:r>
    </w:p>
    <w:p>
      <w:pPr>
        <w:rPr>
          <w:rFonts w:ascii="宋体"/>
          <w:spacing w:val="20"/>
          <w:sz w:val="22"/>
          <w:szCs w:val="22"/>
        </w:rPr>
      </w:pPr>
    </w:p>
    <w:p>
      <w:pPr>
        <w:rPr>
          <w:sz w:val="36"/>
          <w:szCs w:val="36"/>
        </w:rPr>
      </w:pPr>
      <w:r>
        <w:rPr>
          <w:rFonts w:hint="eastAsia" w:ascii="宋体"/>
          <w:spacing w:val="20"/>
          <w:sz w:val="22"/>
          <w:szCs w:val="22"/>
        </w:rPr>
        <w:t>供应商盖章：</w:t>
      </w:r>
      <w:r>
        <w:rPr>
          <w:rFonts w:hint="eastAsia" w:ascii="宋体"/>
          <w:spacing w:val="20"/>
          <w:sz w:val="22"/>
          <w:szCs w:val="22"/>
          <w:u w:val="single"/>
        </w:rPr>
        <w:t xml:space="preserve">           </w:t>
      </w:r>
    </w:p>
    <w:p>
      <w:pPr>
        <w:widowControl/>
        <w:autoSpaceDE w:val="0"/>
        <w:autoSpaceDN w:val="0"/>
        <w:adjustRightInd w:val="0"/>
        <w:spacing w:line="460" w:lineRule="atLeast"/>
        <w:textAlignment w:val="bottom"/>
        <w:rPr>
          <w:rFonts w:ascii="宋体"/>
          <w:sz w:val="22"/>
          <w:szCs w:val="22"/>
        </w:rPr>
      </w:pPr>
    </w:p>
    <w:p>
      <w:pPr>
        <w:widowControl/>
        <w:autoSpaceDE w:val="0"/>
        <w:autoSpaceDN w:val="0"/>
        <w:adjustRightInd w:val="0"/>
        <w:spacing w:line="460" w:lineRule="atLeast"/>
        <w:textAlignment w:val="bottom"/>
        <w:rPr>
          <w:rFonts w:ascii="宋体" w:hAnsi="宋体"/>
          <w:b/>
          <w:bCs/>
          <w:sz w:val="22"/>
          <w:szCs w:val="22"/>
        </w:rPr>
      </w:pPr>
    </w:p>
    <w:p>
      <w:pPr>
        <w:widowControl/>
        <w:autoSpaceDE w:val="0"/>
        <w:autoSpaceDN w:val="0"/>
        <w:adjustRightInd w:val="0"/>
        <w:spacing w:line="460" w:lineRule="atLeast"/>
        <w:textAlignment w:val="bottom"/>
        <w:rPr>
          <w:rFonts w:hint="eastAsia" w:ascii="宋体" w:hAnsi="宋体"/>
          <w:b/>
          <w:bCs/>
          <w:sz w:val="24"/>
          <w:szCs w:val="24"/>
        </w:rPr>
      </w:pPr>
    </w:p>
    <w:p>
      <w:pPr>
        <w:widowControl/>
        <w:autoSpaceDE w:val="0"/>
        <w:autoSpaceDN w:val="0"/>
        <w:adjustRightInd w:val="0"/>
        <w:spacing w:line="460" w:lineRule="atLeast"/>
        <w:textAlignment w:val="bottom"/>
        <w:rPr>
          <w:rFonts w:hint="eastAsia" w:ascii="宋体" w:hAnsi="宋体"/>
          <w:b/>
          <w:bCs/>
          <w:sz w:val="24"/>
          <w:szCs w:val="24"/>
        </w:rPr>
      </w:pPr>
    </w:p>
    <w:p>
      <w:pPr>
        <w:widowControl/>
        <w:autoSpaceDE w:val="0"/>
        <w:autoSpaceDN w:val="0"/>
        <w:adjustRightInd w:val="0"/>
        <w:spacing w:line="460" w:lineRule="atLeast"/>
        <w:textAlignment w:val="bottom"/>
        <w:rPr>
          <w:rFonts w:ascii="宋体"/>
          <w:sz w:val="24"/>
          <w:szCs w:val="24"/>
        </w:rPr>
      </w:pPr>
      <w:r>
        <w:rPr>
          <w:rFonts w:hint="eastAsia" w:ascii="宋体" w:hAnsi="宋体"/>
          <w:b/>
          <w:bCs/>
          <w:sz w:val="24"/>
          <w:szCs w:val="24"/>
        </w:rPr>
        <w:t>附件十二</w:t>
      </w:r>
    </w:p>
    <w:p>
      <w:pPr>
        <w:pStyle w:val="23"/>
        <w:rPr>
          <w:rFonts w:ascii="宋体" w:hAnsi="宋体"/>
        </w:rPr>
      </w:pPr>
      <w:bookmarkStart w:id="148" w:name="_Toc54782490"/>
      <w:r>
        <w:rPr>
          <w:rFonts w:hint="eastAsia" w:ascii="宋体" w:hAnsi="宋体"/>
        </w:rPr>
        <w:t xml:space="preserve"> （一）  商务偏离表</w:t>
      </w:r>
      <w:bookmarkEnd w:id="148"/>
    </w:p>
    <w:tbl>
      <w:tblPr>
        <w:tblStyle w:val="25"/>
        <w:tblW w:w="9620" w:type="dxa"/>
        <w:tblInd w:w="0" w:type="dxa"/>
        <w:tblLayout w:type="fixed"/>
        <w:tblCellMar>
          <w:top w:w="0" w:type="dxa"/>
          <w:left w:w="108" w:type="dxa"/>
          <w:bottom w:w="0" w:type="dxa"/>
          <w:right w:w="108" w:type="dxa"/>
        </w:tblCellMar>
      </w:tblPr>
      <w:tblGrid>
        <w:gridCol w:w="902"/>
        <w:gridCol w:w="1803"/>
        <w:gridCol w:w="2669"/>
        <w:gridCol w:w="2115"/>
        <w:gridCol w:w="2131"/>
      </w:tblGrid>
      <w:tr>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cs="仿宋_GB2312"/>
                <w:sz w:val="22"/>
                <w:szCs w:val="22"/>
                <w:lang w:val="zh-CN"/>
              </w:rPr>
            </w:pPr>
            <w:r>
              <w:rPr>
                <w:rFonts w:hint="eastAsia" w:ascii="宋体" w:cs="仿宋_GB2312"/>
                <w:sz w:val="22"/>
                <w:szCs w:val="22"/>
                <w:lang w:val="zh-CN"/>
              </w:rPr>
              <w:t>序</w:t>
            </w:r>
            <w:r>
              <w:rPr>
                <w:rFonts w:ascii="宋体" w:cs="仿宋_GB2312"/>
                <w:sz w:val="22"/>
                <w:szCs w:val="22"/>
                <w:lang w:val="zh-CN"/>
              </w:rPr>
              <w:t xml:space="preserve"> </w:t>
            </w:r>
            <w:r>
              <w:rPr>
                <w:rFonts w:hint="eastAsia" w:ascii="宋体" w:cs="仿宋_GB2312"/>
                <w:sz w:val="22"/>
                <w:szCs w:val="22"/>
                <w:lang w:val="zh-CN"/>
              </w:rPr>
              <w:t>号</w:t>
            </w:r>
          </w:p>
        </w:tc>
        <w:tc>
          <w:tcPr>
            <w:tcW w:w="18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cs="仿宋_GB2312"/>
                <w:sz w:val="22"/>
                <w:szCs w:val="22"/>
                <w:lang w:val="zh-CN"/>
              </w:rPr>
            </w:pPr>
            <w:r>
              <w:rPr>
                <w:rFonts w:hint="eastAsia" w:ascii="宋体" w:cs="仿宋_GB2312"/>
                <w:sz w:val="22"/>
                <w:szCs w:val="22"/>
                <w:lang w:val="zh-CN"/>
              </w:rPr>
              <w:t>内容</w:t>
            </w:r>
          </w:p>
        </w:tc>
        <w:tc>
          <w:tcPr>
            <w:tcW w:w="266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cs="仿宋_GB2312"/>
                <w:sz w:val="22"/>
                <w:szCs w:val="22"/>
                <w:lang w:val="zh-CN"/>
              </w:rPr>
            </w:pPr>
            <w:r>
              <w:rPr>
                <w:rFonts w:hint="eastAsia" w:ascii="宋体" w:cs="仿宋_GB2312"/>
                <w:sz w:val="22"/>
                <w:szCs w:val="22"/>
                <w:lang w:val="zh-CN"/>
              </w:rPr>
              <w:t>招标文件要求</w:t>
            </w:r>
          </w:p>
        </w:tc>
        <w:tc>
          <w:tcPr>
            <w:tcW w:w="21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cs="仿宋_GB2312"/>
                <w:sz w:val="22"/>
                <w:szCs w:val="22"/>
                <w:lang w:val="zh-CN"/>
              </w:rPr>
            </w:pPr>
            <w:r>
              <w:rPr>
                <w:rFonts w:hint="eastAsia" w:ascii="宋体" w:cs="仿宋_GB2312"/>
                <w:sz w:val="22"/>
                <w:szCs w:val="22"/>
                <w:lang w:val="zh-CN"/>
              </w:rPr>
              <w:t>投标文件</w:t>
            </w:r>
          </w:p>
          <w:p>
            <w:pPr>
              <w:autoSpaceDE w:val="0"/>
              <w:autoSpaceDN w:val="0"/>
              <w:adjustRightInd w:val="0"/>
              <w:spacing w:line="440" w:lineRule="atLeast"/>
              <w:jc w:val="center"/>
              <w:rPr>
                <w:rFonts w:ascii="宋体" w:cs="仿宋_GB2312"/>
                <w:sz w:val="22"/>
                <w:szCs w:val="22"/>
                <w:lang w:val="zh-CN"/>
              </w:rPr>
            </w:pPr>
            <w:r>
              <w:rPr>
                <w:rFonts w:hint="eastAsia" w:ascii="宋体" w:cs="仿宋_GB2312"/>
                <w:sz w:val="22"/>
                <w:szCs w:val="22"/>
                <w:lang w:val="zh-CN"/>
              </w:rPr>
              <w:t>对应</w:t>
            </w:r>
          </w:p>
        </w:tc>
        <w:tc>
          <w:tcPr>
            <w:tcW w:w="21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cs="仿宋_GB2312"/>
                <w:sz w:val="22"/>
                <w:szCs w:val="22"/>
                <w:lang w:val="zh-CN"/>
              </w:rPr>
            </w:pPr>
            <w:r>
              <w:rPr>
                <w:rFonts w:hint="eastAsia" w:ascii="宋体" w:cs="仿宋_GB2312"/>
                <w:sz w:val="22"/>
                <w:szCs w:val="22"/>
                <w:lang w:val="zh-CN"/>
              </w:rPr>
              <w:t>备</w:t>
            </w:r>
            <w:r>
              <w:rPr>
                <w:rFonts w:ascii="宋体" w:cs="仿宋_GB2312"/>
                <w:sz w:val="22"/>
                <w:szCs w:val="22"/>
                <w:lang w:val="zh-CN"/>
              </w:rPr>
              <w:t xml:space="preserve"> </w:t>
            </w:r>
            <w:r>
              <w:rPr>
                <w:rFonts w:hint="eastAsia" w:ascii="宋体" w:cs="仿宋_GB2312"/>
                <w:sz w:val="22"/>
                <w:szCs w:val="22"/>
                <w:lang w:val="zh-CN"/>
              </w:rPr>
              <w:t>注</w:t>
            </w:r>
          </w:p>
        </w:tc>
      </w:tr>
      <w:tr>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2"/>
                <w:szCs w:val="22"/>
                <w:lang w:val="zh-CN"/>
              </w:rPr>
            </w:pPr>
          </w:p>
        </w:tc>
        <w:tc>
          <w:tcPr>
            <w:tcW w:w="1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2"/>
                <w:szCs w:val="22"/>
                <w:lang w:val="zh-CN"/>
              </w:rPr>
            </w:pPr>
          </w:p>
        </w:tc>
        <w:tc>
          <w:tcPr>
            <w:tcW w:w="26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2"/>
                <w:szCs w:val="22"/>
                <w:lang w:val="zh-CN"/>
              </w:rPr>
            </w:pPr>
          </w:p>
        </w:tc>
        <w:tc>
          <w:tcPr>
            <w:tcW w:w="21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2"/>
                <w:szCs w:val="22"/>
                <w:lang w:val="zh-CN"/>
              </w:rPr>
            </w:pPr>
          </w:p>
        </w:tc>
        <w:tc>
          <w:tcPr>
            <w:tcW w:w="21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2"/>
                <w:szCs w:val="22"/>
                <w:lang w:val="zh-CN"/>
              </w:rPr>
            </w:pPr>
          </w:p>
        </w:tc>
      </w:tr>
      <w:tr>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4"/>
                <w:lang w:val="zh-CN"/>
              </w:rPr>
            </w:pPr>
          </w:p>
        </w:tc>
        <w:tc>
          <w:tcPr>
            <w:tcW w:w="1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4"/>
                <w:lang w:val="zh-CN"/>
              </w:rPr>
            </w:pPr>
          </w:p>
        </w:tc>
        <w:tc>
          <w:tcPr>
            <w:tcW w:w="26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4"/>
                <w:lang w:val="zh-CN"/>
              </w:rPr>
            </w:pPr>
          </w:p>
        </w:tc>
        <w:tc>
          <w:tcPr>
            <w:tcW w:w="21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4"/>
                <w:lang w:val="zh-CN"/>
              </w:rPr>
            </w:pPr>
          </w:p>
        </w:tc>
        <w:tc>
          <w:tcPr>
            <w:tcW w:w="21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4"/>
                <w:lang w:val="zh-CN"/>
              </w:rPr>
            </w:pPr>
          </w:p>
        </w:tc>
      </w:tr>
      <w:tr>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4"/>
                <w:lang w:val="zh-CN"/>
              </w:rPr>
            </w:pPr>
          </w:p>
        </w:tc>
        <w:tc>
          <w:tcPr>
            <w:tcW w:w="1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4"/>
                <w:lang w:val="zh-CN"/>
              </w:rPr>
            </w:pPr>
          </w:p>
        </w:tc>
        <w:tc>
          <w:tcPr>
            <w:tcW w:w="26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4"/>
                <w:lang w:val="zh-CN"/>
              </w:rPr>
            </w:pPr>
          </w:p>
        </w:tc>
        <w:tc>
          <w:tcPr>
            <w:tcW w:w="21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4"/>
                <w:lang w:val="zh-CN"/>
              </w:rPr>
            </w:pPr>
          </w:p>
        </w:tc>
        <w:tc>
          <w:tcPr>
            <w:tcW w:w="21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4"/>
                <w:lang w:val="zh-CN"/>
              </w:rPr>
            </w:pPr>
          </w:p>
        </w:tc>
      </w:tr>
      <w:tr>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4"/>
                <w:lang w:val="zh-CN"/>
              </w:rPr>
            </w:pPr>
          </w:p>
        </w:tc>
        <w:tc>
          <w:tcPr>
            <w:tcW w:w="1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4"/>
                <w:lang w:val="zh-CN"/>
              </w:rPr>
            </w:pPr>
          </w:p>
        </w:tc>
        <w:tc>
          <w:tcPr>
            <w:tcW w:w="26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4"/>
                <w:lang w:val="zh-CN"/>
              </w:rPr>
            </w:pPr>
          </w:p>
        </w:tc>
        <w:tc>
          <w:tcPr>
            <w:tcW w:w="21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4"/>
                <w:lang w:val="zh-CN"/>
              </w:rPr>
            </w:pPr>
          </w:p>
        </w:tc>
        <w:tc>
          <w:tcPr>
            <w:tcW w:w="21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4"/>
                <w:lang w:val="zh-CN"/>
              </w:rPr>
            </w:pPr>
          </w:p>
        </w:tc>
      </w:tr>
      <w:tr>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4"/>
                <w:lang w:val="zh-CN"/>
              </w:rPr>
            </w:pPr>
          </w:p>
        </w:tc>
        <w:tc>
          <w:tcPr>
            <w:tcW w:w="1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4"/>
                <w:lang w:val="zh-CN"/>
              </w:rPr>
            </w:pPr>
          </w:p>
        </w:tc>
        <w:tc>
          <w:tcPr>
            <w:tcW w:w="26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4"/>
                <w:lang w:val="zh-CN"/>
              </w:rPr>
            </w:pPr>
          </w:p>
        </w:tc>
        <w:tc>
          <w:tcPr>
            <w:tcW w:w="21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4"/>
                <w:lang w:val="zh-CN"/>
              </w:rPr>
            </w:pPr>
          </w:p>
        </w:tc>
        <w:tc>
          <w:tcPr>
            <w:tcW w:w="21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4"/>
                <w:lang w:val="zh-CN"/>
              </w:rPr>
            </w:pPr>
          </w:p>
        </w:tc>
      </w:tr>
      <w:tr>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4"/>
                <w:lang w:val="zh-CN"/>
              </w:rPr>
            </w:pPr>
          </w:p>
        </w:tc>
        <w:tc>
          <w:tcPr>
            <w:tcW w:w="1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4"/>
                <w:lang w:val="zh-CN"/>
              </w:rPr>
            </w:pPr>
          </w:p>
        </w:tc>
        <w:tc>
          <w:tcPr>
            <w:tcW w:w="26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4"/>
                <w:lang w:val="zh-CN"/>
              </w:rPr>
            </w:pPr>
          </w:p>
        </w:tc>
        <w:tc>
          <w:tcPr>
            <w:tcW w:w="21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4"/>
                <w:lang w:val="zh-CN"/>
              </w:rPr>
            </w:pPr>
          </w:p>
        </w:tc>
        <w:tc>
          <w:tcPr>
            <w:tcW w:w="21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4"/>
                <w:lang w:val="zh-CN"/>
              </w:rPr>
            </w:pPr>
          </w:p>
        </w:tc>
      </w:tr>
      <w:tr>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4"/>
                <w:lang w:val="zh-CN"/>
              </w:rPr>
            </w:pPr>
          </w:p>
        </w:tc>
        <w:tc>
          <w:tcPr>
            <w:tcW w:w="1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4"/>
                <w:lang w:val="zh-CN"/>
              </w:rPr>
            </w:pPr>
          </w:p>
        </w:tc>
        <w:tc>
          <w:tcPr>
            <w:tcW w:w="26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4"/>
                <w:lang w:val="zh-CN"/>
              </w:rPr>
            </w:pPr>
          </w:p>
        </w:tc>
        <w:tc>
          <w:tcPr>
            <w:tcW w:w="21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4"/>
                <w:lang w:val="zh-CN"/>
              </w:rPr>
            </w:pPr>
          </w:p>
        </w:tc>
        <w:tc>
          <w:tcPr>
            <w:tcW w:w="21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4"/>
                <w:lang w:val="zh-CN"/>
              </w:rPr>
            </w:pPr>
          </w:p>
        </w:tc>
      </w:tr>
    </w:tbl>
    <w:p>
      <w:pPr>
        <w:autoSpaceDE w:val="0"/>
        <w:autoSpaceDN w:val="0"/>
        <w:adjustRightInd w:val="0"/>
        <w:spacing w:line="440" w:lineRule="atLeast"/>
        <w:rPr>
          <w:rFonts w:ascii="宋体" w:cs="仿宋_GB2312"/>
          <w:sz w:val="22"/>
          <w:szCs w:val="22"/>
          <w:lang w:val="zh-CN"/>
        </w:rPr>
      </w:pPr>
      <w:r>
        <w:rPr>
          <w:rFonts w:hint="eastAsia" w:ascii="宋体" w:cs="仿宋_GB2312"/>
          <w:sz w:val="22"/>
          <w:szCs w:val="22"/>
          <w:lang w:val="zh-CN"/>
        </w:rPr>
        <w:t>供应商盖章：</w:t>
      </w:r>
    </w:p>
    <w:p>
      <w:pPr>
        <w:pStyle w:val="23"/>
        <w:rPr>
          <w:rFonts w:ascii="宋体" w:hAnsi="宋体"/>
        </w:rPr>
      </w:pPr>
    </w:p>
    <w:p>
      <w:pPr>
        <w:pStyle w:val="23"/>
        <w:rPr>
          <w:rFonts w:ascii="宋体" w:hAnsi="宋体"/>
        </w:rPr>
      </w:pPr>
      <w:bookmarkStart w:id="149" w:name="_Toc54782491"/>
      <w:r>
        <w:rPr>
          <w:rFonts w:hint="eastAsia" w:ascii="宋体" w:hAnsi="宋体"/>
        </w:rPr>
        <w:t xml:space="preserve"> （二） 技术偏离表</w:t>
      </w:r>
      <w:bookmarkEnd w:id="149"/>
    </w:p>
    <w:tbl>
      <w:tblPr>
        <w:tblStyle w:val="25"/>
        <w:tblW w:w="9811" w:type="dxa"/>
        <w:tblInd w:w="-192" w:type="dxa"/>
        <w:tblLayout w:type="fixed"/>
        <w:tblCellMar>
          <w:top w:w="0" w:type="dxa"/>
          <w:left w:w="108" w:type="dxa"/>
          <w:bottom w:w="0" w:type="dxa"/>
          <w:right w:w="108" w:type="dxa"/>
        </w:tblCellMar>
      </w:tblPr>
      <w:tblGrid>
        <w:gridCol w:w="901"/>
        <w:gridCol w:w="1802"/>
        <w:gridCol w:w="2303"/>
        <w:gridCol w:w="2002"/>
        <w:gridCol w:w="2803"/>
      </w:tblGrid>
      <w:tr>
        <w:trPr>
          <w:trHeight w:val="680" w:hRule="atLeast"/>
        </w:trPr>
        <w:tc>
          <w:tcPr>
            <w:tcW w:w="9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cs="仿宋_GB2312"/>
                <w:sz w:val="22"/>
                <w:szCs w:val="22"/>
                <w:lang w:val="zh-CN"/>
              </w:rPr>
            </w:pPr>
            <w:r>
              <w:rPr>
                <w:rFonts w:hint="eastAsia" w:ascii="宋体" w:cs="仿宋_GB2312"/>
                <w:sz w:val="22"/>
                <w:szCs w:val="22"/>
                <w:lang w:val="zh-CN"/>
              </w:rPr>
              <w:t>序</w:t>
            </w:r>
            <w:r>
              <w:rPr>
                <w:rFonts w:ascii="宋体" w:cs="仿宋_GB2312"/>
                <w:sz w:val="22"/>
                <w:szCs w:val="22"/>
                <w:lang w:val="zh-CN"/>
              </w:rPr>
              <w:t xml:space="preserve"> </w:t>
            </w:r>
            <w:r>
              <w:rPr>
                <w:rFonts w:hint="eastAsia" w:ascii="宋体" w:cs="仿宋_GB2312"/>
                <w:sz w:val="22"/>
                <w:szCs w:val="22"/>
                <w:lang w:val="zh-CN"/>
              </w:rPr>
              <w:t>号</w:t>
            </w:r>
          </w:p>
        </w:tc>
        <w:tc>
          <w:tcPr>
            <w:tcW w:w="18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cs="仿宋_GB2312"/>
                <w:sz w:val="22"/>
                <w:szCs w:val="22"/>
                <w:lang w:val="zh-CN"/>
              </w:rPr>
            </w:pPr>
            <w:r>
              <w:rPr>
                <w:rFonts w:hint="eastAsia" w:ascii="宋体" w:cs="仿宋_GB2312"/>
                <w:sz w:val="22"/>
                <w:szCs w:val="22"/>
                <w:lang w:val="zh-CN"/>
              </w:rPr>
              <w:t>内容</w:t>
            </w:r>
          </w:p>
        </w:tc>
        <w:tc>
          <w:tcPr>
            <w:tcW w:w="23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cs="仿宋_GB2312"/>
                <w:sz w:val="22"/>
                <w:szCs w:val="22"/>
                <w:lang w:val="zh-CN"/>
              </w:rPr>
            </w:pPr>
            <w:r>
              <w:rPr>
                <w:rFonts w:hint="eastAsia" w:ascii="宋体" w:cs="仿宋_GB2312"/>
                <w:sz w:val="22"/>
                <w:szCs w:val="22"/>
                <w:lang w:val="zh-CN"/>
              </w:rPr>
              <w:t>招标文件要求</w:t>
            </w:r>
          </w:p>
        </w:tc>
        <w:tc>
          <w:tcPr>
            <w:tcW w:w="20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cs="仿宋_GB2312"/>
                <w:sz w:val="22"/>
                <w:szCs w:val="22"/>
                <w:lang w:val="zh-CN"/>
              </w:rPr>
            </w:pPr>
            <w:r>
              <w:rPr>
                <w:rFonts w:hint="eastAsia" w:ascii="宋体" w:cs="仿宋_GB2312"/>
                <w:sz w:val="22"/>
                <w:szCs w:val="22"/>
                <w:lang w:val="zh-CN"/>
              </w:rPr>
              <w:t>投标文件</w:t>
            </w:r>
          </w:p>
          <w:p>
            <w:pPr>
              <w:autoSpaceDE w:val="0"/>
              <w:autoSpaceDN w:val="0"/>
              <w:adjustRightInd w:val="0"/>
              <w:spacing w:line="440" w:lineRule="atLeast"/>
              <w:jc w:val="center"/>
              <w:rPr>
                <w:rFonts w:ascii="宋体" w:cs="仿宋_GB2312"/>
                <w:sz w:val="22"/>
                <w:szCs w:val="22"/>
                <w:lang w:val="zh-CN"/>
              </w:rPr>
            </w:pPr>
            <w:r>
              <w:rPr>
                <w:rFonts w:hint="eastAsia" w:ascii="宋体" w:cs="仿宋_GB2312"/>
                <w:sz w:val="22"/>
                <w:szCs w:val="22"/>
                <w:lang w:val="zh-CN"/>
              </w:rPr>
              <w:t>对应</w:t>
            </w:r>
          </w:p>
        </w:tc>
        <w:tc>
          <w:tcPr>
            <w:tcW w:w="28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cs="仿宋_GB2312"/>
                <w:sz w:val="22"/>
                <w:szCs w:val="22"/>
                <w:lang w:val="zh-CN"/>
              </w:rPr>
            </w:pPr>
            <w:r>
              <w:rPr>
                <w:rFonts w:hint="eastAsia" w:ascii="宋体" w:cs="仿宋_GB2312"/>
                <w:sz w:val="22"/>
                <w:szCs w:val="22"/>
                <w:lang w:val="zh-CN"/>
              </w:rPr>
              <w:t>备</w:t>
            </w:r>
            <w:r>
              <w:rPr>
                <w:rFonts w:ascii="宋体" w:cs="仿宋_GB2312"/>
                <w:sz w:val="22"/>
                <w:szCs w:val="22"/>
                <w:lang w:val="zh-CN"/>
              </w:rPr>
              <w:t xml:space="preserve"> </w:t>
            </w:r>
            <w:r>
              <w:rPr>
                <w:rFonts w:hint="eastAsia" w:ascii="宋体" w:cs="仿宋_GB2312"/>
                <w:sz w:val="22"/>
                <w:szCs w:val="22"/>
                <w:lang w:val="zh-CN"/>
              </w:rPr>
              <w:t>注</w:t>
            </w: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2"/>
                <w:szCs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2"/>
                <w:szCs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2"/>
                <w:szCs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2"/>
                <w:szCs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2"/>
                <w:szCs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仿宋_GB2312"/>
                <w:sz w:val="22"/>
                <w:szCs w:val="22"/>
                <w:lang w:val="zh-CN"/>
              </w:rPr>
            </w:pPr>
          </w:p>
        </w:tc>
      </w:tr>
    </w:tbl>
    <w:p>
      <w:pPr>
        <w:autoSpaceDE w:val="0"/>
        <w:autoSpaceDN w:val="0"/>
        <w:adjustRightInd w:val="0"/>
        <w:spacing w:line="440" w:lineRule="atLeast"/>
        <w:rPr>
          <w:rFonts w:ascii="宋体" w:cs="仿宋_GB2312"/>
          <w:sz w:val="22"/>
          <w:szCs w:val="22"/>
          <w:lang w:val="zh-CN"/>
        </w:rPr>
      </w:pPr>
      <w:r>
        <w:rPr>
          <w:rFonts w:hint="eastAsia" w:ascii="宋体" w:cs="仿宋_GB2312"/>
          <w:sz w:val="22"/>
          <w:szCs w:val="22"/>
          <w:lang w:val="zh-CN"/>
        </w:rPr>
        <w:t>供应商盖章：</w:t>
      </w:r>
      <w:r>
        <w:rPr>
          <w:rFonts w:ascii="宋体" w:cs="仿宋_GB2312"/>
          <w:sz w:val="22"/>
          <w:szCs w:val="22"/>
          <w:u w:val="single"/>
          <w:lang w:val="zh-CN"/>
        </w:rPr>
        <w:t xml:space="preserve">               </w:t>
      </w:r>
    </w:p>
    <w:p>
      <w:pPr>
        <w:widowControl/>
        <w:autoSpaceDE w:val="0"/>
        <w:autoSpaceDN w:val="0"/>
        <w:adjustRightInd w:val="0"/>
        <w:spacing w:line="460" w:lineRule="atLeast"/>
        <w:textAlignment w:val="bottom"/>
        <w:rPr>
          <w:rFonts w:ascii="宋体"/>
          <w:sz w:val="22"/>
          <w:szCs w:val="22"/>
        </w:rPr>
        <w:sectPr>
          <w:headerReference r:id="rId13" w:type="default"/>
          <w:footerReference r:id="rId14" w:type="default"/>
          <w:pgSz w:w="11906" w:h="16838"/>
          <w:pgMar w:top="1344" w:right="1276" w:bottom="1440" w:left="1287" w:header="720" w:footer="720" w:gutter="0"/>
          <w:cols w:space="720" w:num="1"/>
          <w:docGrid w:linePitch="272" w:charSpace="-3831"/>
        </w:sectPr>
      </w:pPr>
    </w:p>
    <w:p>
      <w:pPr>
        <w:widowControl/>
        <w:autoSpaceDE w:val="0"/>
        <w:autoSpaceDN w:val="0"/>
        <w:adjustRightInd w:val="0"/>
        <w:spacing w:line="460" w:lineRule="atLeast"/>
        <w:textAlignment w:val="bottom"/>
        <w:rPr>
          <w:rFonts w:ascii="宋体"/>
          <w:sz w:val="24"/>
          <w:szCs w:val="24"/>
        </w:rPr>
      </w:pPr>
      <w:bookmarkStart w:id="150" w:name="_Toc21703036"/>
      <w:bookmarkStart w:id="151" w:name="_Toc14956503"/>
      <w:bookmarkStart w:id="152" w:name="_Toc54782492"/>
      <w:bookmarkStart w:id="153" w:name="_Toc493530223"/>
      <w:bookmarkStart w:id="154" w:name="_Toc439685565"/>
      <w:r>
        <w:rPr>
          <w:rFonts w:hint="eastAsia" w:ascii="宋体" w:hAnsi="宋体"/>
          <w:b/>
          <w:bCs/>
          <w:sz w:val="24"/>
          <w:szCs w:val="24"/>
        </w:rPr>
        <w:t>附件十三</w:t>
      </w:r>
    </w:p>
    <w:p>
      <w:pPr>
        <w:pStyle w:val="23"/>
        <w:rPr>
          <w:rFonts w:ascii="宋体" w:hAnsi="宋体"/>
        </w:rPr>
      </w:pPr>
      <w:r>
        <w:rPr>
          <w:rFonts w:hint="eastAsia" w:ascii="宋体" w:hAnsi="宋体"/>
        </w:rPr>
        <w:t xml:space="preserve">  项目实施方案</w:t>
      </w:r>
      <w:bookmarkEnd w:id="150"/>
      <w:bookmarkEnd w:id="151"/>
      <w:bookmarkEnd w:id="152"/>
    </w:p>
    <w:bookmarkEnd w:id="153"/>
    <w:bookmarkEnd w:id="154"/>
    <w:p>
      <w:pPr>
        <w:spacing w:line="460" w:lineRule="atLeast"/>
        <w:rPr>
          <w:rFonts w:ascii="宋体"/>
          <w:sz w:val="22"/>
          <w:szCs w:val="22"/>
        </w:rPr>
      </w:pPr>
      <w:r>
        <w:rPr>
          <w:rFonts w:hint="eastAsia" w:ascii="宋体"/>
          <w:sz w:val="22"/>
          <w:szCs w:val="22"/>
        </w:rPr>
        <w:t>供应商应按照招标要求提交以下投标技术方案</w:t>
      </w:r>
    </w:p>
    <w:p>
      <w:pPr>
        <w:tabs>
          <w:tab w:val="left" w:pos="630"/>
        </w:tabs>
        <w:spacing w:line="460" w:lineRule="atLeast"/>
        <w:ind w:left="574" w:leftChars="1" w:hanging="572" w:hangingChars="260"/>
        <w:rPr>
          <w:rFonts w:ascii="宋体"/>
          <w:sz w:val="22"/>
          <w:szCs w:val="22"/>
        </w:rPr>
      </w:pPr>
      <w:r>
        <w:rPr>
          <w:rFonts w:hint="eastAsia" w:ascii="宋体"/>
          <w:sz w:val="22"/>
          <w:szCs w:val="22"/>
        </w:rPr>
        <w:t>一、项目管理服务机构设置方案、运作流程、管理方式及计划</w:t>
      </w:r>
    </w:p>
    <w:p>
      <w:pPr>
        <w:spacing w:line="460" w:lineRule="atLeast"/>
        <w:ind w:firstLine="440" w:firstLineChars="200"/>
        <w:jc w:val="left"/>
        <w:rPr>
          <w:rFonts w:ascii="宋体"/>
          <w:sz w:val="22"/>
          <w:szCs w:val="22"/>
        </w:rPr>
      </w:pPr>
      <w:r>
        <w:rPr>
          <w:rFonts w:hint="eastAsia" w:ascii="宋体"/>
          <w:sz w:val="22"/>
          <w:szCs w:val="22"/>
        </w:rPr>
        <w:t>包括本项目设立的组织机构设置（附组织机构图）、运作流程（附运作流程图）、激励机制、监督机制自我约束机制和信息反馈渠道及处理机制及应对突发事情的响应及处理方案等。</w:t>
      </w:r>
    </w:p>
    <w:p>
      <w:pPr>
        <w:spacing w:line="460" w:lineRule="atLeast"/>
        <w:ind w:left="2"/>
        <w:jc w:val="left"/>
        <w:rPr>
          <w:rFonts w:ascii="宋体"/>
          <w:sz w:val="22"/>
          <w:szCs w:val="22"/>
        </w:rPr>
      </w:pPr>
      <w:r>
        <w:rPr>
          <w:rFonts w:hint="eastAsia" w:ascii="宋体"/>
          <w:sz w:val="22"/>
          <w:szCs w:val="22"/>
        </w:rPr>
        <w:t>二、作业人员配备及管理培训方案</w:t>
      </w:r>
    </w:p>
    <w:p>
      <w:pPr>
        <w:spacing w:line="460" w:lineRule="atLeast"/>
        <w:ind w:left="522" w:leftChars="52" w:hanging="413" w:hangingChars="188"/>
        <w:jc w:val="left"/>
        <w:rPr>
          <w:rFonts w:ascii="宋体"/>
          <w:sz w:val="22"/>
          <w:szCs w:val="22"/>
        </w:rPr>
      </w:pPr>
      <w:r>
        <w:rPr>
          <w:rFonts w:hint="eastAsia" w:ascii="宋体"/>
          <w:sz w:val="22"/>
          <w:szCs w:val="22"/>
        </w:rPr>
        <w:t>1、包括本项目配置的主管人员、作业人员概况、数量和专业素质，各部门，各岗位人员配置等；</w:t>
      </w:r>
    </w:p>
    <w:p>
      <w:pPr>
        <w:tabs>
          <w:tab w:val="left" w:pos="720"/>
        </w:tabs>
        <w:spacing w:line="460" w:lineRule="atLeast"/>
        <w:ind w:left="545" w:leftChars="50" w:hanging="440" w:hangingChars="200"/>
        <w:rPr>
          <w:rFonts w:ascii="宋体"/>
          <w:sz w:val="22"/>
          <w:szCs w:val="22"/>
        </w:rPr>
      </w:pPr>
      <w:r>
        <w:rPr>
          <w:rFonts w:hint="eastAsia" w:ascii="宋体"/>
          <w:sz w:val="22"/>
          <w:szCs w:val="22"/>
        </w:rPr>
        <w:t>2、人员培训：包括对各类人员的培训计划、方式、目标及言行规范、仪容仪表、公众形象等；</w:t>
      </w:r>
    </w:p>
    <w:p>
      <w:pPr>
        <w:spacing w:line="460" w:lineRule="atLeast"/>
        <w:ind w:firstLine="110" w:firstLineChars="50"/>
        <w:jc w:val="left"/>
        <w:rPr>
          <w:rFonts w:ascii="宋体"/>
          <w:sz w:val="22"/>
          <w:szCs w:val="22"/>
        </w:rPr>
      </w:pPr>
      <w:r>
        <w:rPr>
          <w:rFonts w:hint="eastAsia" w:ascii="宋体"/>
          <w:sz w:val="22"/>
          <w:szCs w:val="22"/>
        </w:rPr>
        <w:t>3、人员管理：包括录用与考核、竞争机制、协调关系、服务意识、量化管理及标准化运作等。</w:t>
      </w:r>
    </w:p>
    <w:p>
      <w:pPr>
        <w:spacing w:line="460" w:lineRule="atLeast"/>
        <w:jc w:val="left"/>
        <w:rPr>
          <w:rFonts w:ascii="宋体"/>
          <w:sz w:val="22"/>
          <w:szCs w:val="22"/>
        </w:rPr>
      </w:pPr>
      <w:r>
        <w:rPr>
          <w:rFonts w:hint="eastAsia" w:ascii="宋体"/>
          <w:sz w:val="22"/>
          <w:szCs w:val="22"/>
        </w:rPr>
        <w:t>三、拟设立的各项管理规章制度及档案资料的建立与管理</w:t>
      </w:r>
    </w:p>
    <w:p>
      <w:pPr>
        <w:spacing w:line="460" w:lineRule="atLeast"/>
        <w:ind w:firstLine="323" w:firstLineChars="147"/>
        <w:jc w:val="left"/>
        <w:rPr>
          <w:rFonts w:ascii="宋体"/>
          <w:sz w:val="22"/>
          <w:szCs w:val="22"/>
        </w:rPr>
      </w:pPr>
      <w:r>
        <w:rPr>
          <w:rFonts w:hint="eastAsia" w:ascii="宋体"/>
          <w:sz w:val="22"/>
          <w:szCs w:val="22"/>
        </w:rPr>
        <w:t>1、各项公众制度、内部岗位责任制度、管理运作制度、管理人员考核制度及标准，要求符合</w:t>
      </w:r>
      <w:r>
        <w:rPr>
          <w:rFonts w:hint="eastAsia" w:ascii="宋体"/>
          <w:sz w:val="22"/>
          <w:szCs w:val="22"/>
          <w:u w:val="single"/>
        </w:rPr>
        <w:t xml:space="preserve">   </w:t>
      </w:r>
      <w:r>
        <w:rPr>
          <w:rFonts w:hint="eastAsia" w:ascii="宋体"/>
          <w:sz w:val="22"/>
          <w:szCs w:val="22"/>
        </w:rPr>
        <w:t>规范，体现高标准、高档次、科学合理、详细完备；</w:t>
      </w:r>
    </w:p>
    <w:p>
      <w:pPr>
        <w:spacing w:line="460" w:lineRule="atLeast"/>
        <w:ind w:firstLine="330" w:firstLineChars="150"/>
        <w:jc w:val="left"/>
        <w:rPr>
          <w:rFonts w:ascii="宋体"/>
          <w:sz w:val="22"/>
          <w:szCs w:val="22"/>
        </w:rPr>
      </w:pPr>
      <w:r>
        <w:rPr>
          <w:rFonts w:hint="eastAsia" w:ascii="宋体"/>
          <w:sz w:val="22"/>
          <w:szCs w:val="22"/>
        </w:rPr>
        <w:t>2、人员、设施、设备管理服务、业主方反馈资料、行政文件资料等档案的建立与管理。</w:t>
      </w:r>
    </w:p>
    <w:p>
      <w:pPr>
        <w:spacing w:line="460" w:lineRule="atLeast"/>
        <w:jc w:val="left"/>
        <w:rPr>
          <w:rFonts w:ascii="宋体"/>
          <w:sz w:val="22"/>
          <w:szCs w:val="22"/>
        </w:rPr>
      </w:pPr>
      <w:r>
        <w:rPr>
          <w:rFonts w:hint="eastAsia" w:ascii="宋体"/>
          <w:sz w:val="22"/>
          <w:szCs w:val="22"/>
        </w:rPr>
        <w:t>四、作业机具及物资装备配置方案</w:t>
      </w:r>
    </w:p>
    <w:p>
      <w:pPr>
        <w:spacing w:line="460" w:lineRule="atLeast"/>
        <w:ind w:firstLine="330" w:firstLineChars="150"/>
        <w:jc w:val="left"/>
        <w:rPr>
          <w:rFonts w:ascii="宋体"/>
          <w:sz w:val="22"/>
          <w:szCs w:val="22"/>
        </w:rPr>
      </w:pPr>
      <w:r>
        <w:rPr>
          <w:rFonts w:hint="eastAsia" w:ascii="宋体"/>
          <w:sz w:val="22"/>
          <w:szCs w:val="22"/>
        </w:rPr>
        <w:t>包括管理用房使用方案，各类人员着装配置，为满足招标文件要求拟配置的机具设备、作业工具等。</w:t>
      </w:r>
    </w:p>
    <w:p>
      <w:pPr>
        <w:spacing w:line="460" w:lineRule="atLeast"/>
        <w:jc w:val="left"/>
        <w:rPr>
          <w:rFonts w:ascii="宋体"/>
          <w:sz w:val="22"/>
          <w:szCs w:val="22"/>
        </w:rPr>
      </w:pPr>
      <w:r>
        <w:rPr>
          <w:rFonts w:hint="eastAsia" w:ascii="宋体"/>
          <w:sz w:val="22"/>
          <w:szCs w:val="22"/>
        </w:rPr>
        <w:t>五、各项工作的操作规程、标准、承诺，具体实施计划和方案</w:t>
      </w:r>
    </w:p>
    <w:p>
      <w:pPr>
        <w:spacing w:line="460" w:lineRule="atLeast"/>
        <w:ind w:firstLine="330" w:firstLineChars="150"/>
        <w:jc w:val="left"/>
        <w:rPr>
          <w:rFonts w:ascii="宋体"/>
          <w:sz w:val="22"/>
          <w:szCs w:val="22"/>
        </w:rPr>
      </w:pPr>
      <w:r>
        <w:rPr>
          <w:rFonts w:hint="eastAsia" w:ascii="宋体"/>
          <w:sz w:val="22"/>
          <w:szCs w:val="22"/>
        </w:rPr>
        <w:t>根据招标文件及国家、省、市对本项目招标服务质量指标的要求，供应商对各项工作要求作出具体承诺及所采用的操作规程、标准、具体实施计划和方案。包括作业人员数量及配置，养护、维修的排班计划，以及其他的人员时间安排等。</w:t>
      </w:r>
    </w:p>
    <w:p>
      <w:pPr>
        <w:spacing w:line="460" w:lineRule="atLeast"/>
        <w:jc w:val="left"/>
        <w:rPr>
          <w:rFonts w:ascii="宋体"/>
          <w:sz w:val="22"/>
          <w:szCs w:val="22"/>
        </w:rPr>
      </w:pPr>
      <w:r>
        <w:rPr>
          <w:rFonts w:hint="eastAsia" w:ascii="宋体"/>
          <w:sz w:val="22"/>
          <w:szCs w:val="22"/>
        </w:rPr>
        <w:t>六、服务质量、安全保证措施</w:t>
      </w:r>
    </w:p>
    <w:p>
      <w:pPr>
        <w:spacing w:line="520" w:lineRule="exact"/>
        <w:ind w:left="-174" w:leftChars="-83" w:right="-153" w:rightChars="-73" w:firstLine="173" w:firstLineChars="79"/>
        <w:rPr>
          <w:rFonts w:ascii="宋体"/>
          <w:sz w:val="22"/>
          <w:szCs w:val="22"/>
        </w:rPr>
      </w:pPr>
    </w:p>
    <w:p>
      <w:pPr>
        <w:widowControl/>
        <w:spacing w:line="460" w:lineRule="atLeast"/>
        <w:jc w:val="left"/>
        <w:rPr>
          <w:rFonts w:ascii="宋体"/>
          <w:sz w:val="22"/>
          <w:szCs w:val="22"/>
        </w:rPr>
      </w:pPr>
      <w:bookmarkStart w:id="155" w:name="_Toc301961276"/>
    </w:p>
    <w:bookmarkEnd w:id="155"/>
    <w:p>
      <w:pPr>
        <w:pStyle w:val="23"/>
        <w:rPr>
          <w:rFonts w:ascii="宋体" w:hAnsi="宋体"/>
        </w:rPr>
      </w:pPr>
    </w:p>
    <w:p>
      <w:pPr>
        <w:pStyle w:val="23"/>
        <w:jc w:val="both"/>
        <w:rPr>
          <w:rFonts w:ascii="宋体" w:hAnsi="宋体"/>
        </w:rPr>
      </w:pPr>
      <w:bookmarkStart w:id="156" w:name="_Toc21703037"/>
      <w:bookmarkStart w:id="157" w:name="_Toc408310336"/>
      <w:bookmarkStart w:id="158" w:name="_Toc14956504"/>
    </w:p>
    <w:p>
      <w:pPr>
        <w:widowControl/>
        <w:autoSpaceDE w:val="0"/>
        <w:autoSpaceDN w:val="0"/>
        <w:adjustRightInd w:val="0"/>
        <w:spacing w:line="460" w:lineRule="atLeast"/>
        <w:textAlignment w:val="bottom"/>
        <w:rPr>
          <w:rFonts w:ascii="宋体" w:hAnsi="宋体"/>
          <w:b/>
          <w:bCs/>
          <w:sz w:val="24"/>
          <w:szCs w:val="24"/>
        </w:rPr>
      </w:pPr>
      <w:bookmarkStart w:id="159" w:name="_Toc54782493"/>
    </w:p>
    <w:p>
      <w:pPr>
        <w:widowControl/>
        <w:autoSpaceDE w:val="0"/>
        <w:autoSpaceDN w:val="0"/>
        <w:adjustRightInd w:val="0"/>
        <w:spacing w:line="460" w:lineRule="atLeast"/>
        <w:textAlignment w:val="bottom"/>
        <w:rPr>
          <w:rFonts w:ascii="宋体" w:hAnsi="宋体"/>
          <w:b/>
          <w:bCs/>
          <w:sz w:val="24"/>
          <w:szCs w:val="24"/>
        </w:rPr>
      </w:pPr>
    </w:p>
    <w:p>
      <w:pPr>
        <w:widowControl/>
        <w:autoSpaceDE w:val="0"/>
        <w:autoSpaceDN w:val="0"/>
        <w:adjustRightInd w:val="0"/>
        <w:spacing w:line="460" w:lineRule="atLeast"/>
        <w:textAlignment w:val="bottom"/>
        <w:rPr>
          <w:rFonts w:ascii="宋体"/>
          <w:sz w:val="24"/>
          <w:szCs w:val="24"/>
        </w:rPr>
      </w:pPr>
      <w:r>
        <w:rPr>
          <w:rFonts w:hint="eastAsia" w:ascii="宋体" w:hAnsi="宋体"/>
          <w:b/>
          <w:bCs/>
          <w:sz w:val="24"/>
          <w:szCs w:val="24"/>
        </w:rPr>
        <w:t>附件十四</w:t>
      </w:r>
    </w:p>
    <w:p>
      <w:pPr>
        <w:pStyle w:val="23"/>
        <w:rPr>
          <w:rFonts w:ascii="宋体" w:hAnsi="宋体"/>
        </w:rPr>
      </w:pPr>
      <w:r>
        <w:rPr>
          <w:rFonts w:hint="eastAsia" w:ascii="宋体" w:hAnsi="宋体"/>
        </w:rPr>
        <w:t xml:space="preserve"> 进场车辆、机具、设备明细表</w:t>
      </w:r>
      <w:bookmarkEnd w:id="156"/>
      <w:bookmarkEnd w:id="157"/>
      <w:bookmarkEnd w:id="158"/>
      <w:bookmarkEnd w:id="159"/>
    </w:p>
    <w:tbl>
      <w:tblPr>
        <w:tblStyle w:val="25"/>
        <w:tblpPr w:leftFromText="180" w:rightFromText="180" w:vertAnchor="text" w:horzAnchor="margin" w:tblpX="108" w:tblpY="533"/>
        <w:tblW w:w="90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183"/>
        <w:gridCol w:w="1260"/>
        <w:gridCol w:w="1455"/>
        <w:gridCol w:w="1247"/>
        <w:gridCol w:w="1247"/>
        <w:gridCol w:w="831"/>
        <w:gridCol w:w="12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vAlign w:val="center"/>
          </w:tcPr>
          <w:p>
            <w:pPr>
              <w:jc w:val="center"/>
              <w:rPr>
                <w:rFonts w:ascii="宋体"/>
                <w:sz w:val="22"/>
                <w:szCs w:val="22"/>
              </w:rPr>
            </w:pPr>
            <w:r>
              <w:rPr>
                <w:rFonts w:hint="eastAsia" w:ascii="宋体"/>
                <w:sz w:val="22"/>
                <w:szCs w:val="22"/>
              </w:rPr>
              <w:t>序号</w:t>
            </w:r>
          </w:p>
        </w:tc>
        <w:tc>
          <w:tcPr>
            <w:tcW w:w="1183" w:type="dxa"/>
            <w:vAlign w:val="center"/>
          </w:tcPr>
          <w:p>
            <w:pPr>
              <w:spacing w:line="280" w:lineRule="exact"/>
              <w:jc w:val="center"/>
              <w:rPr>
                <w:rFonts w:ascii="宋体"/>
                <w:sz w:val="22"/>
                <w:szCs w:val="22"/>
              </w:rPr>
            </w:pPr>
            <w:r>
              <w:rPr>
                <w:rFonts w:hint="eastAsia" w:ascii="宋体"/>
                <w:sz w:val="22"/>
                <w:szCs w:val="22"/>
              </w:rPr>
              <w:t>设备名称</w:t>
            </w:r>
          </w:p>
        </w:tc>
        <w:tc>
          <w:tcPr>
            <w:tcW w:w="1260" w:type="dxa"/>
            <w:vAlign w:val="center"/>
          </w:tcPr>
          <w:p>
            <w:pPr>
              <w:spacing w:line="280" w:lineRule="exact"/>
              <w:jc w:val="center"/>
              <w:rPr>
                <w:rFonts w:ascii="宋体"/>
                <w:sz w:val="22"/>
                <w:szCs w:val="22"/>
              </w:rPr>
            </w:pPr>
            <w:r>
              <w:rPr>
                <w:rFonts w:hint="eastAsia" w:ascii="宋体"/>
                <w:sz w:val="22"/>
                <w:szCs w:val="22"/>
              </w:rPr>
              <w:t>规格型号</w:t>
            </w:r>
          </w:p>
        </w:tc>
        <w:tc>
          <w:tcPr>
            <w:tcW w:w="1455" w:type="dxa"/>
            <w:vAlign w:val="center"/>
          </w:tcPr>
          <w:p>
            <w:pPr>
              <w:spacing w:line="280" w:lineRule="exact"/>
              <w:jc w:val="center"/>
              <w:rPr>
                <w:rFonts w:ascii="宋体"/>
                <w:sz w:val="22"/>
                <w:szCs w:val="22"/>
              </w:rPr>
            </w:pPr>
            <w:r>
              <w:rPr>
                <w:rFonts w:hint="eastAsia" w:ascii="宋体"/>
                <w:sz w:val="22"/>
                <w:szCs w:val="22"/>
              </w:rPr>
              <w:t>品牌/产地</w:t>
            </w:r>
          </w:p>
        </w:tc>
        <w:tc>
          <w:tcPr>
            <w:tcW w:w="1247" w:type="dxa"/>
            <w:vAlign w:val="center"/>
          </w:tcPr>
          <w:p>
            <w:pPr>
              <w:spacing w:line="280" w:lineRule="exact"/>
              <w:jc w:val="center"/>
              <w:rPr>
                <w:rFonts w:ascii="宋体"/>
                <w:sz w:val="22"/>
                <w:szCs w:val="22"/>
              </w:rPr>
            </w:pPr>
            <w:r>
              <w:rPr>
                <w:rFonts w:hint="eastAsia" w:ascii="宋体"/>
                <w:sz w:val="22"/>
                <w:szCs w:val="22"/>
              </w:rPr>
              <w:t>已使用</w:t>
            </w:r>
          </w:p>
          <w:p>
            <w:pPr>
              <w:spacing w:line="280" w:lineRule="exact"/>
              <w:jc w:val="center"/>
              <w:rPr>
                <w:rFonts w:ascii="宋体"/>
                <w:sz w:val="22"/>
                <w:szCs w:val="22"/>
              </w:rPr>
            </w:pPr>
            <w:r>
              <w:rPr>
                <w:rFonts w:hint="eastAsia" w:ascii="宋体"/>
                <w:sz w:val="22"/>
                <w:szCs w:val="22"/>
              </w:rPr>
              <w:t>年限</w:t>
            </w:r>
          </w:p>
        </w:tc>
        <w:tc>
          <w:tcPr>
            <w:tcW w:w="1247" w:type="dxa"/>
          </w:tcPr>
          <w:p>
            <w:pPr>
              <w:spacing w:line="280" w:lineRule="exact"/>
              <w:jc w:val="center"/>
              <w:rPr>
                <w:rFonts w:ascii="宋体"/>
                <w:sz w:val="22"/>
                <w:szCs w:val="22"/>
              </w:rPr>
            </w:pPr>
            <w:r>
              <w:rPr>
                <w:rFonts w:hint="eastAsia" w:ascii="宋体"/>
                <w:sz w:val="22"/>
                <w:szCs w:val="22"/>
              </w:rPr>
              <w:t>核定载重量（kg）</w:t>
            </w:r>
          </w:p>
        </w:tc>
        <w:tc>
          <w:tcPr>
            <w:tcW w:w="831" w:type="dxa"/>
            <w:vAlign w:val="center"/>
          </w:tcPr>
          <w:p>
            <w:pPr>
              <w:spacing w:line="280" w:lineRule="exact"/>
              <w:jc w:val="center"/>
              <w:rPr>
                <w:rFonts w:ascii="宋体"/>
                <w:sz w:val="22"/>
                <w:szCs w:val="22"/>
              </w:rPr>
            </w:pPr>
            <w:r>
              <w:rPr>
                <w:rFonts w:hint="eastAsia" w:ascii="宋体"/>
                <w:sz w:val="22"/>
                <w:szCs w:val="22"/>
              </w:rPr>
              <w:t>数量（台）</w:t>
            </w:r>
          </w:p>
        </w:tc>
        <w:tc>
          <w:tcPr>
            <w:tcW w:w="1200" w:type="dxa"/>
            <w:vAlign w:val="center"/>
          </w:tcPr>
          <w:p>
            <w:pPr>
              <w:spacing w:line="280" w:lineRule="exact"/>
              <w:jc w:val="center"/>
              <w:rPr>
                <w:rFonts w:ascii="宋体"/>
                <w:sz w:val="22"/>
                <w:szCs w:val="22"/>
              </w:rPr>
            </w:pPr>
            <w:r>
              <w:rPr>
                <w:rFonts w:hint="eastAsia" w:ascii="宋体"/>
                <w:sz w:val="22"/>
                <w:szCs w:val="22"/>
              </w:rPr>
              <w:t xml:space="preserve"> 价格(元)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vAlign w:val="center"/>
          </w:tcPr>
          <w:p>
            <w:pPr>
              <w:spacing w:line="360" w:lineRule="auto"/>
              <w:jc w:val="center"/>
              <w:rPr>
                <w:rFonts w:ascii="宋体"/>
                <w:sz w:val="22"/>
                <w:szCs w:val="22"/>
              </w:rPr>
            </w:pPr>
          </w:p>
        </w:tc>
        <w:tc>
          <w:tcPr>
            <w:tcW w:w="1183" w:type="dxa"/>
            <w:vAlign w:val="center"/>
          </w:tcPr>
          <w:p>
            <w:pPr>
              <w:spacing w:line="360" w:lineRule="auto"/>
              <w:jc w:val="center"/>
              <w:rPr>
                <w:rFonts w:ascii="宋体"/>
                <w:sz w:val="22"/>
                <w:szCs w:val="22"/>
              </w:rPr>
            </w:pPr>
          </w:p>
        </w:tc>
        <w:tc>
          <w:tcPr>
            <w:tcW w:w="1260" w:type="dxa"/>
          </w:tcPr>
          <w:p>
            <w:pPr>
              <w:spacing w:line="360" w:lineRule="auto"/>
              <w:jc w:val="center"/>
              <w:rPr>
                <w:rFonts w:ascii="宋体"/>
                <w:sz w:val="22"/>
                <w:szCs w:val="22"/>
              </w:rPr>
            </w:pPr>
          </w:p>
        </w:tc>
        <w:tc>
          <w:tcPr>
            <w:tcW w:w="1455" w:type="dxa"/>
            <w:vAlign w:val="center"/>
          </w:tcPr>
          <w:p>
            <w:pPr>
              <w:spacing w:line="360" w:lineRule="auto"/>
              <w:jc w:val="center"/>
              <w:rPr>
                <w:rFonts w:ascii="宋体"/>
                <w:sz w:val="22"/>
                <w:szCs w:val="22"/>
              </w:rPr>
            </w:pPr>
          </w:p>
        </w:tc>
        <w:tc>
          <w:tcPr>
            <w:tcW w:w="1247" w:type="dxa"/>
            <w:vAlign w:val="center"/>
          </w:tcPr>
          <w:p>
            <w:pPr>
              <w:spacing w:line="360" w:lineRule="auto"/>
              <w:jc w:val="center"/>
              <w:rPr>
                <w:rFonts w:ascii="宋体"/>
                <w:sz w:val="22"/>
                <w:szCs w:val="22"/>
              </w:rPr>
            </w:pPr>
          </w:p>
        </w:tc>
        <w:tc>
          <w:tcPr>
            <w:tcW w:w="1247" w:type="dxa"/>
          </w:tcPr>
          <w:p>
            <w:pPr>
              <w:spacing w:line="360" w:lineRule="auto"/>
              <w:jc w:val="center"/>
              <w:rPr>
                <w:rFonts w:ascii="宋体"/>
                <w:sz w:val="22"/>
                <w:szCs w:val="22"/>
              </w:rPr>
            </w:pPr>
          </w:p>
        </w:tc>
        <w:tc>
          <w:tcPr>
            <w:tcW w:w="831" w:type="dxa"/>
          </w:tcPr>
          <w:p>
            <w:pPr>
              <w:spacing w:line="360" w:lineRule="auto"/>
              <w:jc w:val="center"/>
              <w:rPr>
                <w:rFonts w:ascii="宋体"/>
                <w:sz w:val="22"/>
                <w:szCs w:val="22"/>
              </w:rPr>
            </w:pPr>
          </w:p>
        </w:tc>
        <w:tc>
          <w:tcPr>
            <w:tcW w:w="1200" w:type="dxa"/>
            <w:vAlign w:val="center"/>
          </w:tcPr>
          <w:p>
            <w:pPr>
              <w:spacing w:line="360" w:lineRule="auto"/>
              <w:jc w:val="center"/>
              <w:rPr>
                <w:rFonts w:asci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vAlign w:val="center"/>
          </w:tcPr>
          <w:p>
            <w:pPr>
              <w:spacing w:line="360" w:lineRule="auto"/>
              <w:jc w:val="center"/>
              <w:rPr>
                <w:rFonts w:ascii="宋体"/>
                <w:sz w:val="22"/>
                <w:szCs w:val="22"/>
              </w:rPr>
            </w:pPr>
          </w:p>
        </w:tc>
        <w:tc>
          <w:tcPr>
            <w:tcW w:w="1183" w:type="dxa"/>
            <w:vAlign w:val="center"/>
          </w:tcPr>
          <w:p>
            <w:pPr>
              <w:spacing w:line="360" w:lineRule="auto"/>
              <w:jc w:val="center"/>
              <w:rPr>
                <w:rFonts w:ascii="宋体"/>
                <w:sz w:val="22"/>
                <w:szCs w:val="22"/>
              </w:rPr>
            </w:pPr>
          </w:p>
        </w:tc>
        <w:tc>
          <w:tcPr>
            <w:tcW w:w="1260" w:type="dxa"/>
          </w:tcPr>
          <w:p>
            <w:pPr>
              <w:spacing w:line="360" w:lineRule="auto"/>
              <w:jc w:val="center"/>
              <w:rPr>
                <w:rFonts w:ascii="宋体"/>
                <w:sz w:val="22"/>
                <w:szCs w:val="22"/>
              </w:rPr>
            </w:pPr>
          </w:p>
        </w:tc>
        <w:tc>
          <w:tcPr>
            <w:tcW w:w="1455" w:type="dxa"/>
            <w:vAlign w:val="center"/>
          </w:tcPr>
          <w:p>
            <w:pPr>
              <w:spacing w:line="360" w:lineRule="auto"/>
              <w:jc w:val="center"/>
              <w:rPr>
                <w:rFonts w:ascii="宋体"/>
                <w:sz w:val="22"/>
                <w:szCs w:val="22"/>
              </w:rPr>
            </w:pPr>
          </w:p>
        </w:tc>
        <w:tc>
          <w:tcPr>
            <w:tcW w:w="1247" w:type="dxa"/>
            <w:vAlign w:val="center"/>
          </w:tcPr>
          <w:p>
            <w:pPr>
              <w:spacing w:line="360" w:lineRule="auto"/>
              <w:jc w:val="center"/>
              <w:rPr>
                <w:rFonts w:ascii="宋体"/>
                <w:sz w:val="22"/>
                <w:szCs w:val="22"/>
              </w:rPr>
            </w:pPr>
          </w:p>
        </w:tc>
        <w:tc>
          <w:tcPr>
            <w:tcW w:w="1247" w:type="dxa"/>
          </w:tcPr>
          <w:p>
            <w:pPr>
              <w:spacing w:line="360" w:lineRule="auto"/>
              <w:jc w:val="center"/>
              <w:rPr>
                <w:rFonts w:ascii="宋体"/>
                <w:sz w:val="22"/>
                <w:szCs w:val="22"/>
              </w:rPr>
            </w:pPr>
          </w:p>
        </w:tc>
        <w:tc>
          <w:tcPr>
            <w:tcW w:w="831" w:type="dxa"/>
          </w:tcPr>
          <w:p>
            <w:pPr>
              <w:spacing w:line="360" w:lineRule="auto"/>
              <w:jc w:val="center"/>
              <w:rPr>
                <w:rFonts w:ascii="宋体"/>
                <w:sz w:val="22"/>
                <w:szCs w:val="22"/>
              </w:rPr>
            </w:pPr>
          </w:p>
        </w:tc>
        <w:tc>
          <w:tcPr>
            <w:tcW w:w="1200" w:type="dxa"/>
            <w:vAlign w:val="center"/>
          </w:tcPr>
          <w:p>
            <w:pPr>
              <w:spacing w:line="360" w:lineRule="auto"/>
              <w:jc w:val="center"/>
              <w:rPr>
                <w:rFonts w:asci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vAlign w:val="center"/>
          </w:tcPr>
          <w:p>
            <w:pPr>
              <w:spacing w:line="360" w:lineRule="auto"/>
              <w:jc w:val="center"/>
              <w:rPr>
                <w:rFonts w:ascii="宋体"/>
                <w:sz w:val="22"/>
                <w:szCs w:val="22"/>
              </w:rPr>
            </w:pPr>
          </w:p>
        </w:tc>
        <w:tc>
          <w:tcPr>
            <w:tcW w:w="1183" w:type="dxa"/>
            <w:vAlign w:val="center"/>
          </w:tcPr>
          <w:p>
            <w:pPr>
              <w:spacing w:line="360" w:lineRule="auto"/>
              <w:jc w:val="center"/>
              <w:rPr>
                <w:rFonts w:ascii="宋体"/>
                <w:sz w:val="22"/>
                <w:szCs w:val="22"/>
              </w:rPr>
            </w:pPr>
          </w:p>
        </w:tc>
        <w:tc>
          <w:tcPr>
            <w:tcW w:w="1260" w:type="dxa"/>
          </w:tcPr>
          <w:p>
            <w:pPr>
              <w:spacing w:line="360" w:lineRule="auto"/>
              <w:jc w:val="center"/>
              <w:rPr>
                <w:rFonts w:ascii="宋体"/>
                <w:sz w:val="22"/>
                <w:szCs w:val="22"/>
              </w:rPr>
            </w:pPr>
          </w:p>
        </w:tc>
        <w:tc>
          <w:tcPr>
            <w:tcW w:w="1455" w:type="dxa"/>
            <w:vAlign w:val="center"/>
          </w:tcPr>
          <w:p>
            <w:pPr>
              <w:spacing w:line="360" w:lineRule="auto"/>
              <w:jc w:val="center"/>
              <w:rPr>
                <w:rFonts w:ascii="宋体"/>
                <w:sz w:val="22"/>
                <w:szCs w:val="22"/>
              </w:rPr>
            </w:pPr>
          </w:p>
        </w:tc>
        <w:tc>
          <w:tcPr>
            <w:tcW w:w="1247" w:type="dxa"/>
            <w:vAlign w:val="center"/>
          </w:tcPr>
          <w:p>
            <w:pPr>
              <w:spacing w:line="360" w:lineRule="auto"/>
              <w:jc w:val="center"/>
              <w:rPr>
                <w:rFonts w:ascii="宋体"/>
                <w:sz w:val="22"/>
                <w:szCs w:val="22"/>
              </w:rPr>
            </w:pPr>
          </w:p>
        </w:tc>
        <w:tc>
          <w:tcPr>
            <w:tcW w:w="1247" w:type="dxa"/>
          </w:tcPr>
          <w:p>
            <w:pPr>
              <w:spacing w:line="360" w:lineRule="auto"/>
              <w:jc w:val="center"/>
              <w:rPr>
                <w:rFonts w:ascii="宋体"/>
                <w:sz w:val="22"/>
                <w:szCs w:val="22"/>
              </w:rPr>
            </w:pPr>
          </w:p>
        </w:tc>
        <w:tc>
          <w:tcPr>
            <w:tcW w:w="831" w:type="dxa"/>
          </w:tcPr>
          <w:p>
            <w:pPr>
              <w:spacing w:line="360" w:lineRule="auto"/>
              <w:jc w:val="center"/>
              <w:rPr>
                <w:rFonts w:ascii="宋体"/>
                <w:sz w:val="22"/>
                <w:szCs w:val="22"/>
              </w:rPr>
            </w:pPr>
          </w:p>
        </w:tc>
        <w:tc>
          <w:tcPr>
            <w:tcW w:w="1200" w:type="dxa"/>
            <w:vAlign w:val="center"/>
          </w:tcPr>
          <w:p>
            <w:pPr>
              <w:spacing w:line="360" w:lineRule="auto"/>
              <w:jc w:val="center"/>
              <w:rPr>
                <w:rFonts w:asci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vAlign w:val="center"/>
          </w:tcPr>
          <w:p>
            <w:pPr>
              <w:spacing w:line="360" w:lineRule="auto"/>
              <w:jc w:val="center"/>
              <w:rPr>
                <w:rFonts w:ascii="宋体"/>
                <w:sz w:val="22"/>
                <w:szCs w:val="22"/>
              </w:rPr>
            </w:pPr>
          </w:p>
        </w:tc>
        <w:tc>
          <w:tcPr>
            <w:tcW w:w="1183" w:type="dxa"/>
            <w:vAlign w:val="center"/>
          </w:tcPr>
          <w:p>
            <w:pPr>
              <w:spacing w:line="360" w:lineRule="auto"/>
              <w:jc w:val="center"/>
              <w:rPr>
                <w:rFonts w:ascii="宋体"/>
                <w:sz w:val="22"/>
                <w:szCs w:val="22"/>
              </w:rPr>
            </w:pPr>
          </w:p>
        </w:tc>
        <w:tc>
          <w:tcPr>
            <w:tcW w:w="1260" w:type="dxa"/>
          </w:tcPr>
          <w:p>
            <w:pPr>
              <w:spacing w:line="360" w:lineRule="auto"/>
              <w:jc w:val="center"/>
              <w:rPr>
                <w:rFonts w:ascii="宋体"/>
                <w:sz w:val="22"/>
                <w:szCs w:val="22"/>
              </w:rPr>
            </w:pPr>
          </w:p>
        </w:tc>
        <w:tc>
          <w:tcPr>
            <w:tcW w:w="1455" w:type="dxa"/>
            <w:vAlign w:val="center"/>
          </w:tcPr>
          <w:p>
            <w:pPr>
              <w:spacing w:line="360" w:lineRule="auto"/>
              <w:jc w:val="center"/>
              <w:rPr>
                <w:rFonts w:ascii="宋体"/>
                <w:sz w:val="22"/>
                <w:szCs w:val="22"/>
              </w:rPr>
            </w:pPr>
          </w:p>
        </w:tc>
        <w:tc>
          <w:tcPr>
            <w:tcW w:w="1247" w:type="dxa"/>
            <w:vAlign w:val="center"/>
          </w:tcPr>
          <w:p>
            <w:pPr>
              <w:spacing w:line="360" w:lineRule="auto"/>
              <w:jc w:val="center"/>
              <w:rPr>
                <w:rFonts w:ascii="宋体"/>
                <w:sz w:val="22"/>
                <w:szCs w:val="22"/>
              </w:rPr>
            </w:pPr>
          </w:p>
        </w:tc>
        <w:tc>
          <w:tcPr>
            <w:tcW w:w="1247" w:type="dxa"/>
          </w:tcPr>
          <w:p>
            <w:pPr>
              <w:spacing w:line="360" w:lineRule="auto"/>
              <w:jc w:val="center"/>
              <w:rPr>
                <w:rFonts w:ascii="宋体"/>
                <w:sz w:val="22"/>
                <w:szCs w:val="22"/>
              </w:rPr>
            </w:pPr>
          </w:p>
        </w:tc>
        <w:tc>
          <w:tcPr>
            <w:tcW w:w="831" w:type="dxa"/>
          </w:tcPr>
          <w:p>
            <w:pPr>
              <w:spacing w:line="360" w:lineRule="auto"/>
              <w:jc w:val="center"/>
              <w:rPr>
                <w:rFonts w:ascii="宋体"/>
                <w:sz w:val="22"/>
                <w:szCs w:val="22"/>
              </w:rPr>
            </w:pPr>
          </w:p>
        </w:tc>
        <w:tc>
          <w:tcPr>
            <w:tcW w:w="1200" w:type="dxa"/>
            <w:vAlign w:val="center"/>
          </w:tcPr>
          <w:p>
            <w:pPr>
              <w:spacing w:line="360" w:lineRule="auto"/>
              <w:jc w:val="center"/>
              <w:rPr>
                <w:rFonts w:asci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vAlign w:val="center"/>
          </w:tcPr>
          <w:p>
            <w:pPr>
              <w:spacing w:line="360" w:lineRule="auto"/>
              <w:jc w:val="center"/>
              <w:rPr>
                <w:rFonts w:ascii="宋体"/>
                <w:sz w:val="22"/>
                <w:szCs w:val="22"/>
              </w:rPr>
            </w:pPr>
          </w:p>
        </w:tc>
        <w:tc>
          <w:tcPr>
            <w:tcW w:w="1183" w:type="dxa"/>
            <w:vAlign w:val="center"/>
          </w:tcPr>
          <w:p>
            <w:pPr>
              <w:spacing w:line="360" w:lineRule="auto"/>
              <w:jc w:val="center"/>
              <w:rPr>
                <w:rFonts w:ascii="宋体"/>
                <w:sz w:val="22"/>
                <w:szCs w:val="22"/>
              </w:rPr>
            </w:pPr>
          </w:p>
        </w:tc>
        <w:tc>
          <w:tcPr>
            <w:tcW w:w="1260" w:type="dxa"/>
          </w:tcPr>
          <w:p>
            <w:pPr>
              <w:spacing w:line="360" w:lineRule="auto"/>
              <w:jc w:val="center"/>
              <w:rPr>
                <w:rFonts w:ascii="宋体"/>
                <w:sz w:val="22"/>
                <w:szCs w:val="22"/>
              </w:rPr>
            </w:pPr>
          </w:p>
        </w:tc>
        <w:tc>
          <w:tcPr>
            <w:tcW w:w="1455" w:type="dxa"/>
            <w:vAlign w:val="center"/>
          </w:tcPr>
          <w:p>
            <w:pPr>
              <w:spacing w:line="360" w:lineRule="auto"/>
              <w:jc w:val="center"/>
              <w:rPr>
                <w:rFonts w:ascii="宋体"/>
                <w:sz w:val="22"/>
                <w:szCs w:val="22"/>
              </w:rPr>
            </w:pPr>
          </w:p>
        </w:tc>
        <w:tc>
          <w:tcPr>
            <w:tcW w:w="1247" w:type="dxa"/>
            <w:vAlign w:val="center"/>
          </w:tcPr>
          <w:p>
            <w:pPr>
              <w:spacing w:line="360" w:lineRule="auto"/>
              <w:jc w:val="center"/>
              <w:rPr>
                <w:rFonts w:ascii="宋体"/>
                <w:sz w:val="22"/>
                <w:szCs w:val="22"/>
              </w:rPr>
            </w:pPr>
          </w:p>
        </w:tc>
        <w:tc>
          <w:tcPr>
            <w:tcW w:w="1247" w:type="dxa"/>
          </w:tcPr>
          <w:p>
            <w:pPr>
              <w:spacing w:line="360" w:lineRule="auto"/>
              <w:jc w:val="center"/>
              <w:rPr>
                <w:rFonts w:ascii="宋体"/>
                <w:sz w:val="22"/>
                <w:szCs w:val="22"/>
              </w:rPr>
            </w:pPr>
          </w:p>
        </w:tc>
        <w:tc>
          <w:tcPr>
            <w:tcW w:w="831" w:type="dxa"/>
          </w:tcPr>
          <w:p>
            <w:pPr>
              <w:spacing w:line="360" w:lineRule="auto"/>
              <w:jc w:val="center"/>
              <w:rPr>
                <w:rFonts w:ascii="宋体"/>
                <w:sz w:val="22"/>
                <w:szCs w:val="22"/>
              </w:rPr>
            </w:pPr>
          </w:p>
        </w:tc>
        <w:tc>
          <w:tcPr>
            <w:tcW w:w="1200" w:type="dxa"/>
            <w:vAlign w:val="center"/>
          </w:tcPr>
          <w:p>
            <w:pPr>
              <w:spacing w:line="360" w:lineRule="auto"/>
              <w:jc w:val="center"/>
              <w:rPr>
                <w:rFonts w:asci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4" w:hRule="exact"/>
        </w:trPr>
        <w:tc>
          <w:tcPr>
            <w:tcW w:w="675" w:type="dxa"/>
            <w:vAlign w:val="center"/>
          </w:tcPr>
          <w:p>
            <w:pPr>
              <w:spacing w:line="360" w:lineRule="auto"/>
              <w:jc w:val="center"/>
              <w:rPr>
                <w:rFonts w:ascii="宋体"/>
                <w:sz w:val="22"/>
                <w:szCs w:val="22"/>
              </w:rPr>
            </w:pPr>
          </w:p>
        </w:tc>
        <w:tc>
          <w:tcPr>
            <w:tcW w:w="1183" w:type="dxa"/>
            <w:vAlign w:val="center"/>
          </w:tcPr>
          <w:p>
            <w:pPr>
              <w:spacing w:line="360" w:lineRule="auto"/>
              <w:jc w:val="center"/>
              <w:rPr>
                <w:rFonts w:ascii="宋体"/>
                <w:sz w:val="22"/>
                <w:szCs w:val="22"/>
              </w:rPr>
            </w:pPr>
          </w:p>
        </w:tc>
        <w:tc>
          <w:tcPr>
            <w:tcW w:w="1260" w:type="dxa"/>
          </w:tcPr>
          <w:p>
            <w:pPr>
              <w:spacing w:line="360" w:lineRule="auto"/>
              <w:jc w:val="center"/>
              <w:rPr>
                <w:rFonts w:ascii="宋体"/>
                <w:sz w:val="22"/>
                <w:szCs w:val="22"/>
              </w:rPr>
            </w:pPr>
          </w:p>
        </w:tc>
        <w:tc>
          <w:tcPr>
            <w:tcW w:w="1455" w:type="dxa"/>
            <w:vAlign w:val="center"/>
          </w:tcPr>
          <w:p>
            <w:pPr>
              <w:spacing w:line="360" w:lineRule="auto"/>
              <w:jc w:val="center"/>
              <w:rPr>
                <w:rFonts w:ascii="宋体"/>
                <w:sz w:val="22"/>
                <w:szCs w:val="22"/>
              </w:rPr>
            </w:pPr>
          </w:p>
        </w:tc>
        <w:tc>
          <w:tcPr>
            <w:tcW w:w="1247" w:type="dxa"/>
            <w:vAlign w:val="center"/>
          </w:tcPr>
          <w:p>
            <w:pPr>
              <w:spacing w:line="360" w:lineRule="auto"/>
              <w:jc w:val="center"/>
              <w:rPr>
                <w:rFonts w:ascii="宋体"/>
                <w:sz w:val="22"/>
                <w:szCs w:val="22"/>
              </w:rPr>
            </w:pPr>
          </w:p>
        </w:tc>
        <w:tc>
          <w:tcPr>
            <w:tcW w:w="1247" w:type="dxa"/>
          </w:tcPr>
          <w:p>
            <w:pPr>
              <w:spacing w:line="360" w:lineRule="auto"/>
              <w:jc w:val="center"/>
              <w:rPr>
                <w:rFonts w:ascii="宋体"/>
                <w:sz w:val="22"/>
                <w:szCs w:val="22"/>
              </w:rPr>
            </w:pPr>
          </w:p>
        </w:tc>
        <w:tc>
          <w:tcPr>
            <w:tcW w:w="831" w:type="dxa"/>
          </w:tcPr>
          <w:p>
            <w:pPr>
              <w:spacing w:line="360" w:lineRule="auto"/>
              <w:jc w:val="center"/>
              <w:rPr>
                <w:rFonts w:ascii="宋体"/>
                <w:sz w:val="22"/>
                <w:szCs w:val="22"/>
              </w:rPr>
            </w:pPr>
          </w:p>
        </w:tc>
        <w:tc>
          <w:tcPr>
            <w:tcW w:w="1200" w:type="dxa"/>
            <w:vAlign w:val="center"/>
          </w:tcPr>
          <w:p>
            <w:pPr>
              <w:spacing w:line="360" w:lineRule="auto"/>
              <w:jc w:val="center"/>
              <w:rPr>
                <w:rFonts w:ascii="宋体"/>
                <w:sz w:val="22"/>
                <w:szCs w:val="22"/>
              </w:rPr>
            </w:pPr>
          </w:p>
        </w:tc>
      </w:tr>
    </w:tbl>
    <w:p>
      <w:pPr>
        <w:spacing w:line="400" w:lineRule="exact"/>
        <w:rPr>
          <w:rFonts w:ascii="宋体"/>
          <w:sz w:val="22"/>
          <w:szCs w:val="22"/>
        </w:rPr>
      </w:pPr>
      <w:r>
        <w:rPr>
          <w:rFonts w:hint="eastAsia" w:ascii="宋体"/>
          <w:sz w:val="22"/>
          <w:szCs w:val="22"/>
        </w:rPr>
        <w:t>项目名称：                                          招标编号：</w:t>
      </w:r>
    </w:p>
    <w:p>
      <w:pPr>
        <w:pStyle w:val="13"/>
        <w:spacing w:line="440" w:lineRule="exact"/>
        <w:rPr>
          <w:rFonts w:hAnsi="宋体"/>
          <w:sz w:val="22"/>
          <w:szCs w:val="22"/>
        </w:rPr>
      </w:pPr>
      <w:r>
        <w:rPr>
          <w:rFonts w:hint="eastAsia" w:hAnsi="宋体"/>
          <w:sz w:val="22"/>
          <w:szCs w:val="22"/>
        </w:rPr>
        <w:t>注：1、本表所列工作车辆应随表提交机动车行驶证（包括整车实物照片）、购置发票（扫描件加盖电子签章）、出具为永嘉县上塘城区园林绿化养护项目专用车辆的承诺证明。</w:t>
      </w:r>
    </w:p>
    <w:p>
      <w:pPr>
        <w:pStyle w:val="13"/>
        <w:spacing w:line="440" w:lineRule="exact"/>
        <w:ind w:left="437" w:leftChars="208"/>
        <w:rPr>
          <w:rFonts w:hAnsi="宋体"/>
          <w:sz w:val="22"/>
          <w:szCs w:val="22"/>
        </w:rPr>
      </w:pPr>
      <w:r>
        <w:rPr>
          <w:rFonts w:hint="eastAsia" w:hAnsi="宋体"/>
          <w:sz w:val="22"/>
          <w:szCs w:val="22"/>
        </w:rPr>
        <w:t>2、本表所列设备价格不计入投标总价，但应在投标价格中考虑机具、设备的损耗、折旧及有关费用。</w:t>
      </w:r>
    </w:p>
    <w:p>
      <w:pPr>
        <w:pStyle w:val="13"/>
        <w:spacing w:line="440" w:lineRule="exact"/>
        <w:ind w:firstLine="440" w:firstLineChars="200"/>
        <w:rPr>
          <w:rFonts w:hAnsi="宋体"/>
          <w:sz w:val="22"/>
          <w:szCs w:val="22"/>
        </w:rPr>
      </w:pPr>
      <w:r>
        <w:rPr>
          <w:rFonts w:hint="eastAsia" w:hAnsi="宋体"/>
          <w:sz w:val="22"/>
          <w:szCs w:val="22"/>
        </w:rPr>
        <w:t>3、此表仅提供了表格形式，供应商可按此表格编制。</w:t>
      </w:r>
    </w:p>
    <w:p>
      <w:pPr>
        <w:pStyle w:val="13"/>
        <w:spacing w:line="440" w:lineRule="exact"/>
        <w:ind w:left="657" w:leftChars="313"/>
        <w:rPr>
          <w:rFonts w:hAnsi="宋体"/>
          <w:sz w:val="22"/>
          <w:szCs w:val="22"/>
        </w:rPr>
      </w:pPr>
    </w:p>
    <w:p>
      <w:pPr>
        <w:pStyle w:val="13"/>
        <w:spacing w:line="440" w:lineRule="exact"/>
        <w:ind w:firstLine="440" w:firstLineChars="200"/>
        <w:rPr>
          <w:rFonts w:hAnsi="宋体"/>
          <w:sz w:val="22"/>
          <w:szCs w:val="22"/>
        </w:rPr>
      </w:pPr>
      <w:r>
        <w:rPr>
          <w:rFonts w:hint="eastAsia" w:hAnsi="宋体"/>
          <w:sz w:val="22"/>
          <w:szCs w:val="22"/>
        </w:rPr>
        <w:t>供应商名称（盖章）：</w:t>
      </w:r>
    </w:p>
    <w:p>
      <w:pPr>
        <w:pStyle w:val="13"/>
        <w:spacing w:line="440" w:lineRule="exact"/>
        <w:ind w:firstLine="440" w:firstLineChars="200"/>
        <w:rPr>
          <w:rFonts w:hAnsi="宋体"/>
          <w:sz w:val="22"/>
          <w:szCs w:val="22"/>
        </w:rPr>
      </w:pPr>
      <w:r>
        <w:rPr>
          <w:rFonts w:hint="eastAsia" w:hAnsi="宋体"/>
          <w:sz w:val="22"/>
          <w:szCs w:val="22"/>
        </w:rPr>
        <w:t>授权代表（签字）：</w:t>
      </w:r>
    </w:p>
    <w:p>
      <w:pPr>
        <w:pStyle w:val="13"/>
        <w:spacing w:line="440" w:lineRule="exact"/>
        <w:ind w:firstLine="440" w:firstLineChars="200"/>
        <w:rPr>
          <w:rFonts w:hAnsi="宋体"/>
          <w:sz w:val="22"/>
          <w:szCs w:val="22"/>
        </w:rPr>
      </w:pPr>
      <w:r>
        <w:rPr>
          <w:rFonts w:hint="eastAsia" w:hAnsi="宋体"/>
          <w:sz w:val="22"/>
          <w:szCs w:val="22"/>
        </w:rPr>
        <w:t xml:space="preserve">日    期：   </w:t>
      </w:r>
    </w:p>
    <w:p>
      <w:pPr>
        <w:widowControl/>
        <w:autoSpaceDE w:val="0"/>
        <w:autoSpaceDN w:val="0"/>
        <w:adjustRightInd w:val="0"/>
        <w:spacing w:line="460" w:lineRule="atLeast"/>
        <w:textAlignment w:val="bottom"/>
        <w:rPr>
          <w:rFonts w:ascii="宋体"/>
          <w:sz w:val="22"/>
          <w:szCs w:val="22"/>
        </w:rPr>
      </w:pPr>
    </w:p>
    <w:p>
      <w:pPr>
        <w:widowControl/>
        <w:autoSpaceDE w:val="0"/>
        <w:autoSpaceDN w:val="0"/>
        <w:adjustRightInd w:val="0"/>
        <w:spacing w:line="460" w:lineRule="atLeast"/>
        <w:textAlignment w:val="bottom"/>
        <w:rPr>
          <w:rFonts w:ascii="宋体"/>
          <w:sz w:val="22"/>
          <w:szCs w:val="22"/>
        </w:rPr>
      </w:pPr>
    </w:p>
    <w:p>
      <w:pPr>
        <w:widowControl/>
        <w:autoSpaceDE w:val="0"/>
        <w:autoSpaceDN w:val="0"/>
        <w:adjustRightInd w:val="0"/>
        <w:spacing w:line="460" w:lineRule="atLeast"/>
        <w:textAlignment w:val="bottom"/>
        <w:rPr>
          <w:rFonts w:ascii="宋体"/>
          <w:sz w:val="22"/>
          <w:szCs w:val="22"/>
        </w:rPr>
      </w:pPr>
    </w:p>
    <w:p>
      <w:pPr>
        <w:widowControl/>
        <w:autoSpaceDE w:val="0"/>
        <w:autoSpaceDN w:val="0"/>
        <w:adjustRightInd w:val="0"/>
        <w:spacing w:line="460" w:lineRule="atLeast"/>
        <w:textAlignment w:val="bottom"/>
        <w:rPr>
          <w:rFonts w:ascii="宋体"/>
          <w:sz w:val="22"/>
          <w:szCs w:val="22"/>
        </w:rPr>
      </w:pPr>
    </w:p>
    <w:p>
      <w:pPr>
        <w:widowControl/>
        <w:autoSpaceDE w:val="0"/>
        <w:autoSpaceDN w:val="0"/>
        <w:adjustRightInd w:val="0"/>
        <w:spacing w:line="460" w:lineRule="atLeast"/>
        <w:textAlignment w:val="bottom"/>
        <w:rPr>
          <w:rFonts w:ascii="宋体"/>
          <w:sz w:val="22"/>
          <w:szCs w:val="22"/>
        </w:rPr>
      </w:pPr>
    </w:p>
    <w:p>
      <w:pPr>
        <w:widowControl/>
        <w:autoSpaceDE w:val="0"/>
        <w:autoSpaceDN w:val="0"/>
        <w:adjustRightInd w:val="0"/>
        <w:spacing w:line="460" w:lineRule="atLeast"/>
        <w:textAlignment w:val="bottom"/>
        <w:rPr>
          <w:rFonts w:ascii="宋体" w:hAnsi="宋体"/>
          <w:b/>
          <w:bCs/>
          <w:sz w:val="24"/>
          <w:szCs w:val="24"/>
        </w:rPr>
      </w:pPr>
      <w:bookmarkStart w:id="160" w:name="_Toc408310337"/>
      <w:bookmarkStart w:id="161" w:name="_Toc14956505"/>
      <w:bookmarkStart w:id="162" w:name="_Toc54782494"/>
      <w:bookmarkStart w:id="163" w:name="_Toc21703038"/>
    </w:p>
    <w:p>
      <w:pPr>
        <w:widowControl/>
        <w:autoSpaceDE w:val="0"/>
        <w:autoSpaceDN w:val="0"/>
        <w:adjustRightInd w:val="0"/>
        <w:spacing w:line="460" w:lineRule="atLeast"/>
        <w:textAlignment w:val="bottom"/>
        <w:rPr>
          <w:rFonts w:ascii="宋体"/>
          <w:sz w:val="24"/>
          <w:szCs w:val="24"/>
        </w:rPr>
      </w:pPr>
      <w:r>
        <w:rPr>
          <w:rFonts w:hint="eastAsia" w:ascii="宋体" w:hAnsi="宋体"/>
          <w:b/>
          <w:bCs/>
          <w:sz w:val="24"/>
          <w:szCs w:val="24"/>
        </w:rPr>
        <w:t>附件十五</w:t>
      </w:r>
    </w:p>
    <w:p>
      <w:pPr>
        <w:pStyle w:val="23"/>
        <w:ind w:firstLine="321" w:firstLineChars="100"/>
        <w:rPr>
          <w:rFonts w:ascii="宋体" w:hAnsi="宋体"/>
        </w:rPr>
      </w:pPr>
      <w:r>
        <w:rPr>
          <w:rFonts w:hint="eastAsia" w:ascii="宋体" w:hAnsi="宋体"/>
        </w:rPr>
        <w:t>耗材配备明细表</w:t>
      </w:r>
      <w:bookmarkEnd w:id="160"/>
      <w:bookmarkEnd w:id="161"/>
      <w:bookmarkEnd w:id="162"/>
      <w:bookmarkEnd w:id="163"/>
    </w:p>
    <w:tbl>
      <w:tblPr>
        <w:tblStyle w:val="25"/>
        <w:tblpPr w:leftFromText="180" w:rightFromText="180" w:vertAnchor="text" w:horzAnchor="margin" w:tblpXSpec="center" w:tblpY="533"/>
        <w:tblW w:w="98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0"/>
        <w:gridCol w:w="1502"/>
        <w:gridCol w:w="1680"/>
        <w:gridCol w:w="1892"/>
        <w:gridCol w:w="1050"/>
        <w:gridCol w:w="1293"/>
        <w:gridCol w:w="16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atLeast"/>
        </w:trPr>
        <w:tc>
          <w:tcPr>
            <w:tcW w:w="820" w:type="dxa"/>
            <w:vAlign w:val="center"/>
          </w:tcPr>
          <w:p>
            <w:pPr>
              <w:jc w:val="center"/>
              <w:rPr>
                <w:rFonts w:ascii="宋体"/>
                <w:sz w:val="22"/>
              </w:rPr>
            </w:pPr>
            <w:r>
              <w:rPr>
                <w:rFonts w:hint="eastAsia" w:ascii="宋体"/>
                <w:sz w:val="22"/>
              </w:rPr>
              <w:t>序号</w:t>
            </w:r>
          </w:p>
        </w:tc>
        <w:tc>
          <w:tcPr>
            <w:tcW w:w="1502" w:type="dxa"/>
            <w:vAlign w:val="center"/>
          </w:tcPr>
          <w:p>
            <w:pPr>
              <w:jc w:val="center"/>
              <w:rPr>
                <w:rFonts w:ascii="宋体"/>
                <w:sz w:val="22"/>
              </w:rPr>
            </w:pPr>
            <w:r>
              <w:rPr>
                <w:rFonts w:hint="eastAsia" w:ascii="宋体"/>
                <w:sz w:val="22"/>
              </w:rPr>
              <w:t>耗材名称</w:t>
            </w:r>
          </w:p>
        </w:tc>
        <w:tc>
          <w:tcPr>
            <w:tcW w:w="1680" w:type="dxa"/>
            <w:vAlign w:val="center"/>
          </w:tcPr>
          <w:p>
            <w:pPr>
              <w:jc w:val="center"/>
              <w:rPr>
                <w:rFonts w:ascii="宋体"/>
                <w:sz w:val="22"/>
              </w:rPr>
            </w:pPr>
            <w:r>
              <w:rPr>
                <w:rFonts w:hint="eastAsia" w:ascii="宋体"/>
                <w:sz w:val="22"/>
              </w:rPr>
              <w:t>规格型号</w:t>
            </w:r>
          </w:p>
        </w:tc>
        <w:tc>
          <w:tcPr>
            <w:tcW w:w="1892" w:type="dxa"/>
            <w:vAlign w:val="center"/>
          </w:tcPr>
          <w:p>
            <w:pPr>
              <w:jc w:val="center"/>
              <w:rPr>
                <w:rFonts w:ascii="宋体"/>
                <w:sz w:val="22"/>
              </w:rPr>
            </w:pPr>
            <w:r>
              <w:rPr>
                <w:rFonts w:hint="eastAsia" w:ascii="宋体"/>
                <w:sz w:val="22"/>
              </w:rPr>
              <w:t>品牌/产地</w:t>
            </w:r>
          </w:p>
        </w:tc>
        <w:tc>
          <w:tcPr>
            <w:tcW w:w="1050" w:type="dxa"/>
            <w:vAlign w:val="center"/>
          </w:tcPr>
          <w:p>
            <w:pPr>
              <w:spacing w:line="280" w:lineRule="exact"/>
              <w:jc w:val="center"/>
              <w:rPr>
                <w:rFonts w:ascii="宋体"/>
                <w:sz w:val="22"/>
              </w:rPr>
            </w:pPr>
            <w:r>
              <w:rPr>
                <w:rFonts w:hint="eastAsia" w:ascii="宋体"/>
                <w:sz w:val="22"/>
              </w:rPr>
              <w:t>数量</w:t>
            </w:r>
          </w:p>
        </w:tc>
        <w:tc>
          <w:tcPr>
            <w:tcW w:w="1293" w:type="dxa"/>
            <w:vAlign w:val="center"/>
          </w:tcPr>
          <w:p>
            <w:pPr>
              <w:spacing w:line="280" w:lineRule="exact"/>
              <w:jc w:val="center"/>
              <w:rPr>
                <w:rFonts w:ascii="宋体"/>
                <w:sz w:val="22"/>
              </w:rPr>
            </w:pPr>
            <w:r>
              <w:rPr>
                <w:rFonts w:hint="eastAsia" w:ascii="宋体"/>
                <w:sz w:val="22"/>
              </w:rPr>
              <w:t xml:space="preserve"> 价格(元)</w:t>
            </w:r>
          </w:p>
        </w:tc>
        <w:tc>
          <w:tcPr>
            <w:tcW w:w="1603" w:type="dxa"/>
            <w:vAlign w:val="center"/>
          </w:tcPr>
          <w:p>
            <w:pPr>
              <w:jc w:val="center"/>
              <w:rPr>
                <w:rFonts w:ascii="宋体"/>
                <w:sz w:val="22"/>
              </w:rPr>
            </w:pPr>
            <w:r>
              <w:rPr>
                <w:rFonts w:hint="eastAsia" w:ascii="宋体"/>
                <w:sz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vAlign w:val="center"/>
          </w:tcPr>
          <w:p>
            <w:pPr>
              <w:spacing w:line="360" w:lineRule="auto"/>
              <w:jc w:val="center"/>
              <w:rPr>
                <w:rFonts w:ascii="宋体"/>
                <w:sz w:val="22"/>
              </w:rPr>
            </w:pPr>
          </w:p>
        </w:tc>
        <w:tc>
          <w:tcPr>
            <w:tcW w:w="1502" w:type="dxa"/>
            <w:vAlign w:val="center"/>
          </w:tcPr>
          <w:p>
            <w:pPr>
              <w:spacing w:line="360" w:lineRule="auto"/>
              <w:jc w:val="center"/>
              <w:rPr>
                <w:rFonts w:ascii="宋体"/>
                <w:sz w:val="22"/>
              </w:rPr>
            </w:pPr>
          </w:p>
        </w:tc>
        <w:tc>
          <w:tcPr>
            <w:tcW w:w="1680" w:type="dxa"/>
          </w:tcPr>
          <w:p>
            <w:pPr>
              <w:spacing w:line="360" w:lineRule="auto"/>
              <w:jc w:val="center"/>
              <w:rPr>
                <w:rFonts w:ascii="宋体"/>
                <w:sz w:val="22"/>
              </w:rPr>
            </w:pPr>
          </w:p>
        </w:tc>
        <w:tc>
          <w:tcPr>
            <w:tcW w:w="1892" w:type="dxa"/>
            <w:vAlign w:val="center"/>
          </w:tcPr>
          <w:p>
            <w:pPr>
              <w:spacing w:line="360" w:lineRule="auto"/>
              <w:jc w:val="center"/>
              <w:rPr>
                <w:rFonts w:ascii="宋体"/>
                <w:sz w:val="22"/>
              </w:rPr>
            </w:pPr>
          </w:p>
        </w:tc>
        <w:tc>
          <w:tcPr>
            <w:tcW w:w="1050" w:type="dxa"/>
          </w:tcPr>
          <w:p>
            <w:pPr>
              <w:spacing w:line="360" w:lineRule="auto"/>
              <w:jc w:val="center"/>
              <w:rPr>
                <w:rFonts w:ascii="宋体"/>
                <w:sz w:val="22"/>
              </w:rPr>
            </w:pPr>
          </w:p>
        </w:tc>
        <w:tc>
          <w:tcPr>
            <w:tcW w:w="1293" w:type="dxa"/>
            <w:vAlign w:val="center"/>
          </w:tcPr>
          <w:p>
            <w:pPr>
              <w:spacing w:line="360" w:lineRule="auto"/>
              <w:jc w:val="center"/>
              <w:rPr>
                <w:rFonts w:ascii="宋体"/>
                <w:sz w:val="22"/>
              </w:rPr>
            </w:pPr>
          </w:p>
        </w:tc>
        <w:tc>
          <w:tcPr>
            <w:tcW w:w="1603" w:type="dxa"/>
          </w:tcPr>
          <w:p>
            <w:pPr>
              <w:rPr>
                <w:rFonts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vAlign w:val="center"/>
          </w:tcPr>
          <w:p>
            <w:pPr>
              <w:spacing w:line="360" w:lineRule="auto"/>
              <w:jc w:val="center"/>
              <w:rPr>
                <w:rFonts w:ascii="宋体"/>
                <w:sz w:val="22"/>
              </w:rPr>
            </w:pPr>
          </w:p>
        </w:tc>
        <w:tc>
          <w:tcPr>
            <w:tcW w:w="1502" w:type="dxa"/>
            <w:vAlign w:val="center"/>
          </w:tcPr>
          <w:p>
            <w:pPr>
              <w:spacing w:line="360" w:lineRule="auto"/>
              <w:jc w:val="center"/>
              <w:rPr>
                <w:rFonts w:ascii="宋体"/>
                <w:sz w:val="22"/>
              </w:rPr>
            </w:pPr>
          </w:p>
        </w:tc>
        <w:tc>
          <w:tcPr>
            <w:tcW w:w="1680" w:type="dxa"/>
          </w:tcPr>
          <w:p>
            <w:pPr>
              <w:spacing w:line="360" w:lineRule="auto"/>
              <w:jc w:val="center"/>
              <w:rPr>
                <w:rFonts w:ascii="宋体"/>
                <w:sz w:val="22"/>
              </w:rPr>
            </w:pPr>
          </w:p>
        </w:tc>
        <w:tc>
          <w:tcPr>
            <w:tcW w:w="1892" w:type="dxa"/>
            <w:vAlign w:val="center"/>
          </w:tcPr>
          <w:p>
            <w:pPr>
              <w:spacing w:line="360" w:lineRule="auto"/>
              <w:jc w:val="center"/>
              <w:rPr>
                <w:rFonts w:ascii="宋体"/>
                <w:sz w:val="22"/>
              </w:rPr>
            </w:pPr>
          </w:p>
        </w:tc>
        <w:tc>
          <w:tcPr>
            <w:tcW w:w="1050" w:type="dxa"/>
          </w:tcPr>
          <w:p>
            <w:pPr>
              <w:spacing w:line="360" w:lineRule="auto"/>
              <w:jc w:val="center"/>
              <w:rPr>
                <w:rFonts w:ascii="宋体"/>
                <w:sz w:val="22"/>
              </w:rPr>
            </w:pPr>
          </w:p>
        </w:tc>
        <w:tc>
          <w:tcPr>
            <w:tcW w:w="1293" w:type="dxa"/>
            <w:vAlign w:val="center"/>
          </w:tcPr>
          <w:p>
            <w:pPr>
              <w:spacing w:line="360" w:lineRule="auto"/>
              <w:jc w:val="center"/>
              <w:rPr>
                <w:rFonts w:ascii="宋体"/>
                <w:sz w:val="22"/>
              </w:rPr>
            </w:pPr>
          </w:p>
        </w:tc>
        <w:tc>
          <w:tcPr>
            <w:tcW w:w="1603" w:type="dxa"/>
          </w:tcPr>
          <w:p>
            <w:pPr>
              <w:rPr>
                <w:rFonts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vAlign w:val="center"/>
          </w:tcPr>
          <w:p>
            <w:pPr>
              <w:spacing w:line="360" w:lineRule="auto"/>
              <w:jc w:val="center"/>
              <w:rPr>
                <w:rFonts w:ascii="宋体"/>
                <w:sz w:val="22"/>
              </w:rPr>
            </w:pPr>
          </w:p>
        </w:tc>
        <w:tc>
          <w:tcPr>
            <w:tcW w:w="1502" w:type="dxa"/>
            <w:vAlign w:val="center"/>
          </w:tcPr>
          <w:p>
            <w:pPr>
              <w:spacing w:line="360" w:lineRule="auto"/>
              <w:jc w:val="center"/>
              <w:rPr>
                <w:rFonts w:ascii="宋体"/>
                <w:sz w:val="22"/>
              </w:rPr>
            </w:pPr>
          </w:p>
        </w:tc>
        <w:tc>
          <w:tcPr>
            <w:tcW w:w="1680" w:type="dxa"/>
          </w:tcPr>
          <w:p>
            <w:pPr>
              <w:spacing w:line="360" w:lineRule="auto"/>
              <w:jc w:val="center"/>
              <w:rPr>
                <w:rFonts w:ascii="宋体"/>
                <w:sz w:val="22"/>
              </w:rPr>
            </w:pPr>
          </w:p>
        </w:tc>
        <w:tc>
          <w:tcPr>
            <w:tcW w:w="1892" w:type="dxa"/>
            <w:vAlign w:val="center"/>
          </w:tcPr>
          <w:p>
            <w:pPr>
              <w:spacing w:line="360" w:lineRule="auto"/>
              <w:jc w:val="center"/>
              <w:rPr>
                <w:rFonts w:ascii="宋体"/>
                <w:sz w:val="22"/>
              </w:rPr>
            </w:pPr>
          </w:p>
        </w:tc>
        <w:tc>
          <w:tcPr>
            <w:tcW w:w="1050" w:type="dxa"/>
          </w:tcPr>
          <w:p>
            <w:pPr>
              <w:spacing w:line="360" w:lineRule="auto"/>
              <w:jc w:val="center"/>
              <w:rPr>
                <w:rFonts w:ascii="宋体"/>
                <w:sz w:val="22"/>
              </w:rPr>
            </w:pPr>
          </w:p>
        </w:tc>
        <w:tc>
          <w:tcPr>
            <w:tcW w:w="1293" w:type="dxa"/>
            <w:vAlign w:val="center"/>
          </w:tcPr>
          <w:p>
            <w:pPr>
              <w:spacing w:line="360" w:lineRule="auto"/>
              <w:jc w:val="center"/>
              <w:rPr>
                <w:rFonts w:ascii="宋体"/>
                <w:sz w:val="22"/>
              </w:rPr>
            </w:pPr>
          </w:p>
        </w:tc>
        <w:tc>
          <w:tcPr>
            <w:tcW w:w="1603" w:type="dxa"/>
          </w:tcPr>
          <w:p>
            <w:pPr>
              <w:rPr>
                <w:rFonts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vAlign w:val="center"/>
          </w:tcPr>
          <w:p>
            <w:pPr>
              <w:spacing w:line="360" w:lineRule="auto"/>
              <w:jc w:val="center"/>
              <w:rPr>
                <w:rFonts w:ascii="宋体"/>
                <w:sz w:val="22"/>
              </w:rPr>
            </w:pPr>
          </w:p>
        </w:tc>
        <w:tc>
          <w:tcPr>
            <w:tcW w:w="1502" w:type="dxa"/>
            <w:vAlign w:val="center"/>
          </w:tcPr>
          <w:p>
            <w:pPr>
              <w:spacing w:line="360" w:lineRule="auto"/>
              <w:jc w:val="center"/>
              <w:rPr>
                <w:rFonts w:ascii="宋体"/>
                <w:sz w:val="22"/>
              </w:rPr>
            </w:pPr>
          </w:p>
        </w:tc>
        <w:tc>
          <w:tcPr>
            <w:tcW w:w="1680" w:type="dxa"/>
          </w:tcPr>
          <w:p>
            <w:pPr>
              <w:spacing w:line="360" w:lineRule="auto"/>
              <w:jc w:val="center"/>
              <w:rPr>
                <w:rFonts w:ascii="宋体"/>
                <w:sz w:val="22"/>
              </w:rPr>
            </w:pPr>
          </w:p>
        </w:tc>
        <w:tc>
          <w:tcPr>
            <w:tcW w:w="1892" w:type="dxa"/>
            <w:vAlign w:val="center"/>
          </w:tcPr>
          <w:p>
            <w:pPr>
              <w:spacing w:line="360" w:lineRule="auto"/>
              <w:jc w:val="center"/>
              <w:rPr>
                <w:rFonts w:ascii="宋体"/>
                <w:sz w:val="22"/>
              </w:rPr>
            </w:pPr>
          </w:p>
        </w:tc>
        <w:tc>
          <w:tcPr>
            <w:tcW w:w="1050" w:type="dxa"/>
          </w:tcPr>
          <w:p>
            <w:pPr>
              <w:spacing w:line="360" w:lineRule="auto"/>
              <w:jc w:val="center"/>
              <w:rPr>
                <w:rFonts w:ascii="宋体"/>
                <w:sz w:val="22"/>
              </w:rPr>
            </w:pPr>
          </w:p>
        </w:tc>
        <w:tc>
          <w:tcPr>
            <w:tcW w:w="1293" w:type="dxa"/>
            <w:vAlign w:val="center"/>
          </w:tcPr>
          <w:p>
            <w:pPr>
              <w:spacing w:line="360" w:lineRule="auto"/>
              <w:jc w:val="center"/>
              <w:rPr>
                <w:rFonts w:ascii="宋体"/>
                <w:sz w:val="22"/>
              </w:rPr>
            </w:pPr>
          </w:p>
        </w:tc>
        <w:tc>
          <w:tcPr>
            <w:tcW w:w="1603" w:type="dxa"/>
          </w:tcPr>
          <w:p>
            <w:pPr>
              <w:rPr>
                <w:rFonts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vAlign w:val="center"/>
          </w:tcPr>
          <w:p>
            <w:pPr>
              <w:spacing w:line="360" w:lineRule="auto"/>
              <w:jc w:val="center"/>
              <w:rPr>
                <w:rFonts w:ascii="宋体"/>
                <w:sz w:val="22"/>
              </w:rPr>
            </w:pPr>
          </w:p>
        </w:tc>
        <w:tc>
          <w:tcPr>
            <w:tcW w:w="1502" w:type="dxa"/>
            <w:vAlign w:val="center"/>
          </w:tcPr>
          <w:p>
            <w:pPr>
              <w:spacing w:line="360" w:lineRule="auto"/>
              <w:jc w:val="center"/>
              <w:rPr>
                <w:rFonts w:ascii="宋体"/>
                <w:sz w:val="22"/>
              </w:rPr>
            </w:pPr>
          </w:p>
        </w:tc>
        <w:tc>
          <w:tcPr>
            <w:tcW w:w="1680" w:type="dxa"/>
          </w:tcPr>
          <w:p>
            <w:pPr>
              <w:spacing w:line="360" w:lineRule="auto"/>
              <w:jc w:val="center"/>
              <w:rPr>
                <w:rFonts w:ascii="宋体"/>
                <w:sz w:val="22"/>
              </w:rPr>
            </w:pPr>
          </w:p>
        </w:tc>
        <w:tc>
          <w:tcPr>
            <w:tcW w:w="1892" w:type="dxa"/>
            <w:vAlign w:val="center"/>
          </w:tcPr>
          <w:p>
            <w:pPr>
              <w:spacing w:line="360" w:lineRule="auto"/>
              <w:jc w:val="center"/>
              <w:rPr>
                <w:rFonts w:ascii="宋体"/>
                <w:sz w:val="22"/>
              </w:rPr>
            </w:pPr>
          </w:p>
        </w:tc>
        <w:tc>
          <w:tcPr>
            <w:tcW w:w="1050" w:type="dxa"/>
          </w:tcPr>
          <w:p>
            <w:pPr>
              <w:spacing w:line="360" w:lineRule="auto"/>
              <w:jc w:val="center"/>
              <w:rPr>
                <w:rFonts w:ascii="宋体"/>
                <w:sz w:val="22"/>
              </w:rPr>
            </w:pPr>
          </w:p>
        </w:tc>
        <w:tc>
          <w:tcPr>
            <w:tcW w:w="1293" w:type="dxa"/>
            <w:vAlign w:val="center"/>
          </w:tcPr>
          <w:p>
            <w:pPr>
              <w:spacing w:line="360" w:lineRule="auto"/>
              <w:jc w:val="center"/>
              <w:rPr>
                <w:rFonts w:ascii="宋体"/>
                <w:sz w:val="22"/>
              </w:rPr>
            </w:pPr>
          </w:p>
        </w:tc>
        <w:tc>
          <w:tcPr>
            <w:tcW w:w="1603" w:type="dxa"/>
          </w:tcPr>
          <w:p>
            <w:pPr>
              <w:rPr>
                <w:rFonts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vAlign w:val="center"/>
          </w:tcPr>
          <w:p>
            <w:pPr>
              <w:spacing w:line="360" w:lineRule="auto"/>
              <w:jc w:val="center"/>
              <w:rPr>
                <w:rFonts w:ascii="宋体"/>
                <w:sz w:val="22"/>
              </w:rPr>
            </w:pPr>
          </w:p>
        </w:tc>
        <w:tc>
          <w:tcPr>
            <w:tcW w:w="1502" w:type="dxa"/>
            <w:vAlign w:val="center"/>
          </w:tcPr>
          <w:p>
            <w:pPr>
              <w:spacing w:line="360" w:lineRule="auto"/>
              <w:jc w:val="center"/>
              <w:rPr>
                <w:rFonts w:ascii="宋体"/>
                <w:sz w:val="22"/>
              </w:rPr>
            </w:pPr>
          </w:p>
        </w:tc>
        <w:tc>
          <w:tcPr>
            <w:tcW w:w="1680" w:type="dxa"/>
          </w:tcPr>
          <w:p>
            <w:pPr>
              <w:spacing w:line="360" w:lineRule="auto"/>
              <w:jc w:val="center"/>
              <w:rPr>
                <w:rFonts w:ascii="宋体"/>
                <w:sz w:val="22"/>
              </w:rPr>
            </w:pPr>
          </w:p>
        </w:tc>
        <w:tc>
          <w:tcPr>
            <w:tcW w:w="1892" w:type="dxa"/>
            <w:vAlign w:val="center"/>
          </w:tcPr>
          <w:p>
            <w:pPr>
              <w:spacing w:line="360" w:lineRule="auto"/>
              <w:jc w:val="center"/>
              <w:rPr>
                <w:rFonts w:ascii="宋体"/>
                <w:sz w:val="22"/>
              </w:rPr>
            </w:pPr>
          </w:p>
        </w:tc>
        <w:tc>
          <w:tcPr>
            <w:tcW w:w="1050" w:type="dxa"/>
          </w:tcPr>
          <w:p>
            <w:pPr>
              <w:spacing w:line="360" w:lineRule="auto"/>
              <w:jc w:val="center"/>
              <w:rPr>
                <w:rFonts w:ascii="宋体"/>
                <w:sz w:val="22"/>
              </w:rPr>
            </w:pPr>
          </w:p>
        </w:tc>
        <w:tc>
          <w:tcPr>
            <w:tcW w:w="1293" w:type="dxa"/>
            <w:vAlign w:val="center"/>
          </w:tcPr>
          <w:p>
            <w:pPr>
              <w:spacing w:line="360" w:lineRule="auto"/>
              <w:jc w:val="center"/>
              <w:rPr>
                <w:rFonts w:ascii="宋体"/>
                <w:sz w:val="22"/>
              </w:rPr>
            </w:pPr>
          </w:p>
        </w:tc>
        <w:tc>
          <w:tcPr>
            <w:tcW w:w="1603" w:type="dxa"/>
          </w:tcPr>
          <w:p>
            <w:pPr>
              <w:rPr>
                <w:rFonts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vAlign w:val="center"/>
          </w:tcPr>
          <w:p>
            <w:pPr>
              <w:spacing w:line="360" w:lineRule="auto"/>
              <w:jc w:val="center"/>
              <w:rPr>
                <w:rFonts w:ascii="宋体"/>
                <w:sz w:val="22"/>
              </w:rPr>
            </w:pPr>
          </w:p>
        </w:tc>
        <w:tc>
          <w:tcPr>
            <w:tcW w:w="1502" w:type="dxa"/>
            <w:vAlign w:val="center"/>
          </w:tcPr>
          <w:p>
            <w:pPr>
              <w:spacing w:line="360" w:lineRule="auto"/>
              <w:jc w:val="center"/>
              <w:rPr>
                <w:rFonts w:ascii="宋体"/>
                <w:sz w:val="22"/>
              </w:rPr>
            </w:pPr>
          </w:p>
        </w:tc>
        <w:tc>
          <w:tcPr>
            <w:tcW w:w="1680" w:type="dxa"/>
          </w:tcPr>
          <w:p>
            <w:pPr>
              <w:spacing w:line="360" w:lineRule="auto"/>
              <w:jc w:val="center"/>
              <w:rPr>
                <w:rFonts w:ascii="宋体"/>
                <w:sz w:val="22"/>
              </w:rPr>
            </w:pPr>
          </w:p>
        </w:tc>
        <w:tc>
          <w:tcPr>
            <w:tcW w:w="1892" w:type="dxa"/>
            <w:vAlign w:val="center"/>
          </w:tcPr>
          <w:p>
            <w:pPr>
              <w:spacing w:line="360" w:lineRule="auto"/>
              <w:jc w:val="center"/>
              <w:rPr>
                <w:rFonts w:ascii="宋体"/>
                <w:sz w:val="22"/>
              </w:rPr>
            </w:pPr>
          </w:p>
        </w:tc>
        <w:tc>
          <w:tcPr>
            <w:tcW w:w="1050" w:type="dxa"/>
          </w:tcPr>
          <w:p>
            <w:pPr>
              <w:spacing w:line="360" w:lineRule="auto"/>
              <w:jc w:val="center"/>
              <w:rPr>
                <w:rFonts w:ascii="宋体"/>
                <w:sz w:val="22"/>
              </w:rPr>
            </w:pPr>
          </w:p>
        </w:tc>
        <w:tc>
          <w:tcPr>
            <w:tcW w:w="1293" w:type="dxa"/>
            <w:vAlign w:val="center"/>
          </w:tcPr>
          <w:p>
            <w:pPr>
              <w:spacing w:line="360" w:lineRule="auto"/>
              <w:jc w:val="center"/>
              <w:rPr>
                <w:rFonts w:ascii="宋体"/>
                <w:sz w:val="22"/>
              </w:rPr>
            </w:pPr>
          </w:p>
        </w:tc>
        <w:tc>
          <w:tcPr>
            <w:tcW w:w="1603" w:type="dxa"/>
          </w:tcPr>
          <w:p>
            <w:pPr>
              <w:rPr>
                <w:rFonts w:ascii="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exact"/>
        </w:trPr>
        <w:tc>
          <w:tcPr>
            <w:tcW w:w="820" w:type="dxa"/>
            <w:vAlign w:val="center"/>
          </w:tcPr>
          <w:p>
            <w:pPr>
              <w:spacing w:line="360" w:lineRule="auto"/>
              <w:jc w:val="center"/>
              <w:rPr>
                <w:rFonts w:ascii="宋体"/>
                <w:sz w:val="22"/>
              </w:rPr>
            </w:pPr>
          </w:p>
        </w:tc>
        <w:tc>
          <w:tcPr>
            <w:tcW w:w="1502" w:type="dxa"/>
            <w:vAlign w:val="center"/>
          </w:tcPr>
          <w:p>
            <w:pPr>
              <w:spacing w:line="360" w:lineRule="auto"/>
              <w:jc w:val="center"/>
              <w:rPr>
                <w:rFonts w:ascii="宋体"/>
                <w:sz w:val="22"/>
              </w:rPr>
            </w:pPr>
          </w:p>
        </w:tc>
        <w:tc>
          <w:tcPr>
            <w:tcW w:w="1680" w:type="dxa"/>
          </w:tcPr>
          <w:p>
            <w:pPr>
              <w:spacing w:line="360" w:lineRule="auto"/>
              <w:jc w:val="center"/>
              <w:rPr>
                <w:rFonts w:ascii="宋体"/>
                <w:sz w:val="22"/>
              </w:rPr>
            </w:pPr>
          </w:p>
        </w:tc>
        <w:tc>
          <w:tcPr>
            <w:tcW w:w="1892" w:type="dxa"/>
            <w:vAlign w:val="center"/>
          </w:tcPr>
          <w:p>
            <w:pPr>
              <w:spacing w:line="360" w:lineRule="auto"/>
              <w:jc w:val="center"/>
              <w:rPr>
                <w:rFonts w:ascii="宋体"/>
                <w:sz w:val="22"/>
              </w:rPr>
            </w:pPr>
          </w:p>
        </w:tc>
        <w:tc>
          <w:tcPr>
            <w:tcW w:w="1050" w:type="dxa"/>
          </w:tcPr>
          <w:p>
            <w:pPr>
              <w:spacing w:line="360" w:lineRule="auto"/>
              <w:jc w:val="center"/>
              <w:rPr>
                <w:rFonts w:ascii="宋体"/>
                <w:sz w:val="22"/>
              </w:rPr>
            </w:pPr>
          </w:p>
        </w:tc>
        <w:tc>
          <w:tcPr>
            <w:tcW w:w="1293" w:type="dxa"/>
            <w:vAlign w:val="center"/>
          </w:tcPr>
          <w:p>
            <w:pPr>
              <w:spacing w:line="360" w:lineRule="auto"/>
              <w:jc w:val="center"/>
              <w:rPr>
                <w:rFonts w:ascii="宋体"/>
                <w:sz w:val="22"/>
              </w:rPr>
            </w:pPr>
          </w:p>
        </w:tc>
        <w:tc>
          <w:tcPr>
            <w:tcW w:w="1603" w:type="dxa"/>
          </w:tcPr>
          <w:p>
            <w:pPr>
              <w:rPr>
                <w:rFonts w:ascii="宋体"/>
                <w:sz w:val="22"/>
              </w:rPr>
            </w:pPr>
          </w:p>
        </w:tc>
      </w:tr>
    </w:tbl>
    <w:p>
      <w:pPr>
        <w:spacing w:line="400" w:lineRule="exact"/>
        <w:rPr>
          <w:rFonts w:ascii="宋体"/>
          <w:sz w:val="22"/>
          <w:szCs w:val="22"/>
        </w:rPr>
      </w:pPr>
      <w:r>
        <w:rPr>
          <w:rFonts w:hint="eastAsia" w:ascii="宋体"/>
          <w:sz w:val="22"/>
          <w:szCs w:val="22"/>
        </w:rPr>
        <w:t>项目名称：                                          招标编号：</w:t>
      </w:r>
    </w:p>
    <w:p>
      <w:pPr>
        <w:pStyle w:val="13"/>
        <w:spacing w:line="320" w:lineRule="exact"/>
        <w:ind w:left="658" w:leftChars="104" w:hanging="440" w:hangingChars="200"/>
        <w:rPr>
          <w:rFonts w:hAnsi="宋体"/>
          <w:sz w:val="22"/>
        </w:rPr>
      </w:pPr>
      <w:r>
        <w:rPr>
          <w:rFonts w:hint="eastAsia" w:hAnsi="宋体"/>
          <w:sz w:val="22"/>
        </w:rPr>
        <w:t>注：1、本表所列为投标供应商拟投入的消耗材料清单。</w:t>
      </w:r>
    </w:p>
    <w:p>
      <w:pPr>
        <w:pStyle w:val="13"/>
        <w:spacing w:line="320" w:lineRule="exact"/>
        <w:ind w:left="987" w:leftChars="313" w:hanging="330" w:hangingChars="150"/>
        <w:rPr>
          <w:rFonts w:hAnsi="宋体"/>
          <w:sz w:val="22"/>
        </w:rPr>
      </w:pPr>
      <w:r>
        <w:rPr>
          <w:rFonts w:hint="eastAsia" w:hAnsi="宋体"/>
          <w:sz w:val="22"/>
        </w:rPr>
        <w:t>2、本表所列耗材价格应计入投标总价。</w:t>
      </w:r>
    </w:p>
    <w:p>
      <w:pPr>
        <w:pStyle w:val="13"/>
        <w:spacing w:line="320" w:lineRule="exact"/>
        <w:ind w:left="657" w:leftChars="313"/>
        <w:rPr>
          <w:rFonts w:hAnsi="宋体"/>
          <w:sz w:val="22"/>
        </w:rPr>
      </w:pPr>
      <w:r>
        <w:rPr>
          <w:rFonts w:hint="eastAsia" w:hAnsi="宋体"/>
          <w:sz w:val="22"/>
        </w:rPr>
        <w:t>3、此表仅提供了表格形式，供应商可按此表格编制。</w:t>
      </w:r>
    </w:p>
    <w:p>
      <w:pPr>
        <w:pStyle w:val="13"/>
        <w:spacing w:line="320" w:lineRule="exact"/>
        <w:ind w:left="657" w:leftChars="313"/>
        <w:rPr>
          <w:rFonts w:hAnsi="宋体"/>
          <w:sz w:val="22"/>
        </w:rPr>
      </w:pPr>
    </w:p>
    <w:p>
      <w:pPr>
        <w:pStyle w:val="13"/>
        <w:spacing w:line="360" w:lineRule="exact"/>
        <w:ind w:left="655" w:leftChars="312"/>
        <w:rPr>
          <w:rFonts w:hAnsi="宋体"/>
          <w:sz w:val="22"/>
        </w:rPr>
      </w:pPr>
      <w:r>
        <w:rPr>
          <w:rFonts w:hint="eastAsia" w:hAnsi="宋体"/>
          <w:sz w:val="22"/>
        </w:rPr>
        <w:t>供应商名称（盖章）：</w:t>
      </w:r>
    </w:p>
    <w:p>
      <w:pPr>
        <w:pStyle w:val="13"/>
        <w:spacing w:line="360" w:lineRule="exact"/>
        <w:ind w:left="655" w:leftChars="312"/>
        <w:rPr>
          <w:rFonts w:hAnsi="宋体"/>
          <w:sz w:val="22"/>
        </w:rPr>
      </w:pPr>
      <w:r>
        <w:rPr>
          <w:rFonts w:hint="eastAsia" w:hAnsi="宋体"/>
          <w:sz w:val="22"/>
        </w:rPr>
        <w:t>授权代表（签字）：</w:t>
      </w:r>
    </w:p>
    <w:p>
      <w:pPr>
        <w:pStyle w:val="13"/>
        <w:spacing w:line="360" w:lineRule="exact"/>
        <w:ind w:left="660" w:hanging="660" w:hangingChars="300"/>
        <w:rPr>
          <w:rFonts w:hAnsi="宋体"/>
          <w:sz w:val="22"/>
        </w:rPr>
      </w:pPr>
      <w:r>
        <w:rPr>
          <w:rFonts w:hint="eastAsia"/>
          <w:sz w:val="22"/>
        </w:rPr>
        <w:t xml:space="preserve">      </w:t>
      </w:r>
      <w:r>
        <w:rPr>
          <w:rFonts w:hint="eastAsia" w:hAnsi="宋体"/>
          <w:sz w:val="22"/>
        </w:rPr>
        <w:t xml:space="preserve">日    期：    </w:t>
      </w:r>
    </w:p>
    <w:p>
      <w:pPr>
        <w:pStyle w:val="23"/>
        <w:jc w:val="both"/>
        <w:rPr>
          <w:rFonts w:ascii="宋体" w:hAnsi="宋体"/>
        </w:rPr>
      </w:pPr>
    </w:p>
    <w:p>
      <w:pPr>
        <w:widowControl/>
        <w:autoSpaceDE w:val="0"/>
        <w:autoSpaceDN w:val="0"/>
        <w:adjustRightInd w:val="0"/>
        <w:spacing w:line="460" w:lineRule="atLeast"/>
        <w:textAlignment w:val="bottom"/>
        <w:rPr>
          <w:rFonts w:ascii="宋体" w:hAnsi="宋体"/>
          <w:b/>
          <w:bCs/>
          <w:sz w:val="24"/>
          <w:szCs w:val="24"/>
        </w:rPr>
      </w:pPr>
    </w:p>
    <w:p>
      <w:pPr>
        <w:widowControl/>
        <w:autoSpaceDE w:val="0"/>
        <w:autoSpaceDN w:val="0"/>
        <w:adjustRightInd w:val="0"/>
        <w:spacing w:line="460" w:lineRule="atLeast"/>
        <w:textAlignment w:val="bottom"/>
        <w:rPr>
          <w:rFonts w:ascii="宋体" w:hAnsi="宋体"/>
          <w:b/>
          <w:bCs/>
          <w:sz w:val="24"/>
          <w:szCs w:val="24"/>
        </w:rPr>
      </w:pPr>
    </w:p>
    <w:p>
      <w:pPr>
        <w:widowControl/>
        <w:autoSpaceDE w:val="0"/>
        <w:autoSpaceDN w:val="0"/>
        <w:adjustRightInd w:val="0"/>
        <w:spacing w:line="460" w:lineRule="atLeast"/>
        <w:textAlignment w:val="bottom"/>
        <w:rPr>
          <w:rFonts w:ascii="宋体" w:hAnsi="宋体"/>
          <w:b/>
          <w:bCs/>
          <w:sz w:val="24"/>
          <w:szCs w:val="24"/>
        </w:rPr>
      </w:pPr>
    </w:p>
    <w:p>
      <w:pPr>
        <w:widowControl/>
        <w:autoSpaceDE w:val="0"/>
        <w:autoSpaceDN w:val="0"/>
        <w:adjustRightInd w:val="0"/>
        <w:spacing w:line="460" w:lineRule="atLeast"/>
        <w:textAlignment w:val="bottom"/>
        <w:rPr>
          <w:rFonts w:ascii="宋体" w:hAnsi="宋体"/>
          <w:b/>
          <w:bCs/>
          <w:sz w:val="24"/>
          <w:szCs w:val="24"/>
        </w:rPr>
      </w:pPr>
    </w:p>
    <w:p>
      <w:pPr>
        <w:widowControl/>
        <w:autoSpaceDE w:val="0"/>
        <w:autoSpaceDN w:val="0"/>
        <w:adjustRightInd w:val="0"/>
        <w:spacing w:line="460" w:lineRule="atLeast"/>
        <w:textAlignment w:val="bottom"/>
        <w:rPr>
          <w:rFonts w:ascii="宋体" w:hAnsi="宋体"/>
          <w:b/>
          <w:bCs/>
          <w:sz w:val="24"/>
          <w:szCs w:val="24"/>
        </w:rPr>
      </w:pPr>
    </w:p>
    <w:p>
      <w:pPr>
        <w:widowControl/>
        <w:autoSpaceDE w:val="0"/>
        <w:autoSpaceDN w:val="0"/>
        <w:adjustRightInd w:val="0"/>
        <w:spacing w:line="460" w:lineRule="atLeast"/>
        <w:textAlignment w:val="bottom"/>
        <w:rPr>
          <w:rFonts w:ascii="宋体" w:hAnsi="宋体"/>
          <w:b/>
          <w:bCs/>
          <w:sz w:val="24"/>
          <w:szCs w:val="24"/>
        </w:rPr>
      </w:pPr>
    </w:p>
    <w:p>
      <w:pPr>
        <w:widowControl/>
        <w:autoSpaceDE w:val="0"/>
        <w:autoSpaceDN w:val="0"/>
        <w:adjustRightInd w:val="0"/>
        <w:spacing w:line="460" w:lineRule="atLeast"/>
        <w:textAlignment w:val="bottom"/>
        <w:rPr>
          <w:rFonts w:ascii="宋体" w:hAnsi="宋体"/>
          <w:sz w:val="22"/>
          <w:szCs w:val="22"/>
        </w:rPr>
      </w:pPr>
      <w:r>
        <w:rPr>
          <w:rFonts w:hint="eastAsia" w:ascii="宋体" w:hAnsi="宋体"/>
          <w:b/>
          <w:bCs/>
          <w:sz w:val="24"/>
          <w:szCs w:val="24"/>
        </w:rPr>
        <w:t>附件十六</w:t>
      </w:r>
    </w:p>
    <w:p>
      <w:pPr>
        <w:pStyle w:val="23"/>
        <w:rPr>
          <w:rFonts w:ascii="宋体" w:hAnsi="宋体"/>
        </w:rPr>
      </w:pPr>
      <w:bookmarkStart w:id="164" w:name="_Toc54782495"/>
      <w:bookmarkStart w:id="165" w:name="_Toc21703039"/>
      <w:bookmarkStart w:id="166" w:name="_Toc14956506"/>
      <w:bookmarkStart w:id="167" w:name="_Toc408310338"/>
      <w:r>
        <w:rPr>
          <w:rFonts w:hint="eastAsia" w:ascii="宋体" w:hAnsi="宋体"/>
        </w:rPr>
        <w:t xml:space="preserve"> （一） 人员配置</w:t>
      </w:r>
      <w:bookmarkEnd w:id="164"/>
      <w:bookmarkEnd w:id="165"/>
      <w:bookmarkEnd w:id="166"/>
      <w:bookmarkEnd w:id="167"/>
    </w:p>
    <w:p>
      <w:pPr>
        <w:rPr>
          <w:rFonts w:ascii="宋体"/>
          <w:sz w:val="22"/>
          <w:szCs w:val="22"/>
        </w:rPr>
      </w:pPr>
      <w:r>
        <w:rPr>
          <w:rFonts w:hint="eastAsia" w:ascii="宋体"/>
          <w:sz w:val="22"/>
          <w:szCs w:val="22"/>
        </w:rPr>
        <w:t xml:space="preserve">项目名称：                                          招标编号： </w:t>
      </w:r>
    </w:p>
    <w:tbl>
      <w:tblPr>
        <w:tblStyle w:val="25"/>
        <w:tblW w:w="9197"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2"/>
        <w:gridCol w:w="768"/>
        <w:gridCol w:w="900"/>
        <w:gridCol w:w="720"/>
        <w:gridCol w:w="720"/>
        <w:gridCol w:w="1080"/>
        <w:gridCol w:w="720"/>
        <w:gridCol w:w="2189"/>
        <w:gridCol w:w="14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672" w:type="dxa"/>
            <w:vAlign w:val="center"/>
          </w:tcPr>
          <w:p>
            <w:pPr>
              <w:spacing w:line="360" w:lineRule="auto"/>
              <w:jc w:val="center"/>
              <w:rPr>
                <w:rFonts w:ascii="宋体"/>
                <w:sz w:val="22"/>
                <w:szCs w:val="22"/>
              </w:rPr>
            </w:pPr>
            <w:r>
              <w:rPr>
                <w:rFonts w:hint="eastAsia" w:ascii="宋体"/>
                <w:sz w:val="22"/>
                <w:szCs w:val="22"/>
              </w:rPr>
              <w:t>序号</w:t>
            </w:r>
          </w:p>
        </w:tc>
        <w:tc>
          <w:tcPr>
            <w:tcW w:w="768" w:type="dxa"/>
            <w:vAlign w:val="center"/>
          </w:tcPr>
          <w:p>
            <w:pPr>
              <w:spacing w:line="360" w:lineRule="auto"/>
              <w:jc w:val="center"/>
              <w:rPr>
                <w:rFonts w:ascii="宋体"/>
                <w:sz w:val="22"/>
                <w:szCs w:val="22"/>
              </w:rPr>
            </w:pPr>
            <w:r>
              <w:rPr>
                <w:rFonts w:hint="eastAsia" w:ascii="宋体"/>
                <w:sz w:val="22"/>
                <w:szCs w:val="22"/>
              </w:rPr>
              <w:t>姓名</w:t>
            </w:r>
          </w:p>
        </w:tc>
        <w:tc>
          <w:tcPr>
            <w:tcW w:w="900" w:type="dxa"/>
            <w:vAlign w:val="center"/>
          </w:tcPr>
          <w:p>
            <w:pPr>
              <w:spacing w:line="360" w:lineRule="auto"/>
              <w:jc w:val="center"/>
              <w:rPr>
                <w:rFonts w:ascii="宋体"/>
                <w:sz w:val="22"/>
                <w:szCs w:val="22"/>
              </w:rPr>
            </w:pPr>
            <w:r>
              <w:rPr>
                <w:rFonts w:hint="eastAsia" w:ascii="宋体"/>
                <w:sz w:val="22"/>
                <w:szCs w:val="22"/>
              </w:rPr>
              <w:t>性别</w:t>
            </w:r>
          </w:p>
        </w:tc>
        <w:tc>
          <w:tcPr>
            <w:tcW w:w="720" w:type="dxa"/>
            <w:vAlign w:val="center"/>
          </w:tcPr>
          <w:p>
            <w:pPr>
              <w:spacing w:line="360" w:lineRule="auto"/>
              <w:jc w:val="center"/>
              <w:rPr>
                <w:rFonts w:ascii="宋体"/>
                <w:sz w:val="22"/>
                <w:szCs w:val="22"/>
              </w:rPr>
            </w:pPr>
            <w:r>
              <w:rPr>
                <w:rFonts w:hint="eastAsia" w:ascii="宋体"/>
                <w:sz w:val="22"/>
                <w:szCs w:val="22"/>
              </w:rPr>
              <w:t>年龄</w:t>
            </w:r>
          </w:p>
        </w:tc>
        <w:tc>
          <w:tcPr>
            <w:tcW w:w="720" w:type="dxa"/>
            <w:vAlign w:val="center"/>
          </w:tcPr>
          <w:p>
            <w:pPr>
              <w:spacing w:line="360" w:lineRule="auto"/>
              <w:jc w:val="center"/>
              <w:rPr>
                <w:rFonts w:ascii="宋体"/>
                <w:sz w:val="22"/>
                <w:szCs w:val="22"/>
              </w:rPr>
            </w:pPr>
            <w:r>
              <w:rPr>
                <w:rFonts w:hint="eastAsia" w:ascii="宋体"/>
                <w:sz w:val="22"/>
                <w:szCs w:val="22"/>
              </w:rPr>
              <w:t>学历</w:t>
            </w:r>
          </w:p>
        </w:tc>
        <w:tc>
          <w:tcPr>
            <w:tcW w:w="1080" w:type="dxa"/>
            <w:vAlign w:val="center"/>
          </w:tcPr>
          <w:p>
            <w:pPr>
              <w:spacing w:line="280" w:lineRule="exact"/>
              <w:jc w:val="center"/>
              <w:rPr>
                <w:rFonts w:ascii="宋体"/>
                <w:sz w:val="22"/>
                <w:szCs w:val="22"/>
              </w:rPr>
            </w:pPr>
            <w:r>
              <w:rPr>
                <w:rFonts w:hint="eastAsia" w:ascii="宋体"/>
                <w:sz w:val="22"/>
                <w:szCs w:val="22"/>
              </w:rPr>
              <w:t>资格</w:t>
            </w:r>
          </w:p>
          <w:p>
            <w:pPr>
              <w:spacing w:line="280" w:lineRule="exact"/>
              <w:jc w:val="center"/>
              <w:rPr>
                <w:rFonts w:ascii="宋体"/>
                <w:sz w:val="22"/>
                <w:szCs w:val="22"/>
              </w:rPr>
            </w:pPr>
            <w:r>
              <w:rPr>
                <w:rFonts w:hint="eastAsia" w:ascii="宋体"/>
                <w:sz w:val="22"/>
                <w:szCs w:val="22"/>
              </w:rPr>
              <w:t>证书</w:t>
            </w:r>
          </w:p>
        </w:tc>
        <w:tc>
          <w:tcPr>
            <w:tcW w:w="720" w:type="dxa"/>
            <w:vAlign w:val="center"/>
          </w:tcPr>
          <w:p>
            <w:pPr>
              <w:spacing w:line="280" w:lineRule="exact"/>
              <w:jc w:val="center"/>
              <w:rPr>
                <w:rFonts w:ascii="宋体"/>
                <w:sz w:val="22"/>
                <w:szCs w:val="22"/>
              </w:rPr>
            </w:pPr>
            <w:r>
              <w:rPr>
                <w:rFonts w:hint="eastAsia" w:ascii="宋体"/>
                <w:sz w:val="22"/>
                <w:szCs w:val="22"/>
              </w:rPr>
              <w:t>现任职务</w:t>
            </w:r>
          </w:p>
        </w:tc>
        <w:tc>
          <w:tcPr>
            <w:tcW w:w="2189" w:type="dxa"/>
            <w:vAlign w:val="center"/>
          </w:tcPr>
          <w:p>
            <w:pPr>
              <w:spacing w:line="280" w:lineRule="exact"/>
              <w:jc w:val="center"/>
              <w:rPr>
                <w:rFonts w:ascii="宋体"/>
                <w:sz w:val="22"/>
                <w:szCs w:val="22"/>
              </w:rPr>
            </w:pPr>
            <w:r>
              <w:rPr>
                <w:rFonts w:hint="eastAsia" w:ascii="宋体"/>
                <w:sz w:val="22"/>
                <w:szCs w:val="22"/>
              </w:rPr>
              <w:t>从事绿化养护服务简历、年限</w:t>
            </w:r>
          </w:p>
        </w:tc>
        <w:tc>
          <w:tcPr>
            <w:tcW w:w="1428" w:type="dxa"/>
            <w:vAlign w:val="center"/>
          </w:tcPr>
          <w:p>
            <w:pPr>
              <w:spacing w:line="360" w:lineRule="auto"/>
              <w:jc w:val="center"/>
              <w:rPr>
                <w:rFonts w:ascii="宋体"/>
                <w:sz w:val="22"/>
                <w:szCs w:val="22"/>
              </w:rPr>
            </w:pPr>
            <w:r>
              <w:rPr>
                <w:rFonts w:hint="eastAsia" w:ascii="宋体"/>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ascii="宋体"/>
                <w:sz w:val="22"/>
                <w:szCs w:val="22"/>
              </w:rPr>
            </w:pPr>
          </w:p>
        </w:tc>
        <w:tc>
          <w:tcPr>
            <w:tcW w:w="768" w:type="dxa"/>
            <w:vAlign w:val="center"/>
          </w:tcPr>
          <w:p>
            <w:pPr>
              <w:spacing w:line="360" w:lineRule="auto"/>
              <w:jc w:val="center"/>
              <w:rPr>
                <w:rFonts w:ascii="宋体"/>
                <w:sz w:val="22"/>
                <w:szCs w:val="22"/>
              </w:rPr>
            </w:pPr>
          </w:p>
        </w:tc>
        <w:tc>
          <w:tcPr>
            <w:tcW w:w="90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108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2189" w:type="dxa"/>
          </w:tcPr>
          <w:p>
            <w:pPr>
              <w:spacing w:line="360" w:lineRule="auto"/>
              <w:jc w:val="center"/>
              <w:rPr>
                <w:rFonts w:ascii="宋体"/>
                <w:sz w:val="22"/>
                <w:szCs w:val="22"/>
              </w:rPr>
            </w:pPr>
          </w:p>
        </w:tc>
        <w:tc>
          <w:tcPr>
            <w:tcW w:w="1428" w:type="dxa"/>
            <w:vAlign w:val="center"/>
          </w:tcPr>
          <w:p>
            <w:pPr>
              <w:spacing w:line="360" w:lineRule="auto"/>
              <w:jc w:val="center"/>
              <w:rPr>
                <w:rFonts w:asci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ascii="宋体"/>
                <w:sz w:val="22"/>
                <w:szCs w:val="22"/>
              </w:rPr>
            </w:pPr>
          </w:p>
        </w:tc>
        <w:tc>
          <w:tcPr>
            <w:tcW w:w="768" w:type="dxa"/>
            <w:vAlign w:val="center"/>
          </w:tcPr>
          <w:p>
            <w:pPr>
              <w:spacing w:line="360" w:lineRule="auto"/>
              <w:jc w:val="center"/>
              <w:rPr>
                <w:rFonts w:ascii="宋体"/>
                <w:sz w:val="22"/>
                <w:szCs w:val="22"/>
              </w:rPr>
            </w:pPr>
          </w:p>
        </w:tc>
        <w:tc>
          <w:tcPr>
            <w:tcW w:w="90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108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2189" w:type="dxa"/>
          </w:tcPr>
          <w:p>
            <w:pPr>
              <w:spacing w:line="360" w:lineRule="auto"/>
              <w:jc w:val="center"/>
              <w:rPr>
                <w:rFonts w:ascii="宋体"/>
                <w:sz w:val="22"/>
                <w:szCs w:val="22"/>
              </w:rPr>
            </w:pPr>
          </w:p>
        </w:tc>
        <w:tc>
          <w:tcPr>
            <w:tcW w:w="1428" w:type="dxa"/>
            <w:vAlign w:val="center"/>
          </w:tcPr>
          <w:p>
            <w:pPr>
              <w:spacing w:line="360" w:lineRule="auto"/>
              <w:jc w:val="center"/>
              <w:rPr>
                <w:rFonts w:asci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ascii="宋体"/>
                <w:sz w:val="22"/>
                <w:szCs w:val="22"/>
              </w:rPr>
            </w:pPr>
          </w:p>
        </w:tc>
        <w:tc>
          <w:tcPr>
            <w:tcW w:w="768" w:type="dxa"/>
            <w:vAlign w:val="center"/>
          </w:tcPr>
          <w:p>
            <w:pPr>
              <w:spacing w:line="360" w:lineRule="auto"/>
              <w:jc w:val="center"/>
              <w:rPr>
                <w:rFonts w:ascii="宋体"/>
                <w:sz w:val="22"/>
                <w:szCs w:val="22"/>
              </w:rPr>
            </w:pPr>
          </w:p>
        </w:tc>
        <w:tc>
          <w:tcPr>
            <w:tcW w:w="90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108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2189" w:type="dxa"/>
          </w:tcPr>
          <w:p>
            <w:pPr>
              <w:spacing w:line="360" w:lineRule="auto"/>
              <w:jc w:val="center"/>
              <w:rPr>
                <w:rFonts w:ascii="宋体"/>
                <w:sz w:val="22"/>
                <w:szCs w:val="22"/>
              </w:rPr>
            </w:pPr>
          </w:p>
        </w:tc>
        <w:tc>
          <w:tcPr>
            <w:tcW w:w="1428" w:type="dxa"/>
            <w:vAlign w:val="center"/>
          </w:tcPr>
          <w:p>
            <w:pPr>
              <w:spacing w:line="360" w:lineRule="auto"/>
              <w:jc w:val="center"/>
              <w:rPr>
                <w:rFonts w:asci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ascii="宋体"/>
                <w:sz w:val="22"/>
                <w:szCs w:val="22"/>
              </w:rPr>
            </w:pPr>
          </w:p>
        </w:tc>
        <w:tc>
          <w:tcPr>
            <w:tcW w:w="768" w:type="dxa"/>
            <w:vAlign w:val="center"/>
          </w:tcPr>
          <w:p>
            <w:pPr>
              <w:spacing w:line="360" w:lineRule="auto"/>
              <w:jc w:val="center"/>
              <w:rPr>
                <w:rFonts w:ascii="宋体"/>
                <w:sz w:val="22"/>
                <w:szCs w:val="22"/>
              </w:rPr>
            </w:pPr>
          </w:p>
        </w:tc>
        <w:tc>
          <w:tcPr>
            <w:tcW w:w="90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108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2189" w:type="dxa"/>
          </w:tcPr>
          <w:p>
            <w:pPr>
              <w:spacing w:line="360" w:lineRule="auto"/>
              <w:jc w:val="center"/>
              <w:rPr>
                <w:rFonts w:ascii="宋体"/>
                <w:sz w:val="22"/>
                <w:szCs w:val="22"/>
              </w:rPr>
            </w:pPr>
          </w:p>
        </w:tc>
        <w:tc>
          <w:tcPr>
            <w:tcW w:w="1428" w:type="dxa"/>
            <w:vAlign w:val="center"/>
          </w:tcPr>
          <w:p>
            <w:pPr>
              <w:spacing w:line="360" w:lineRule="auto"/>
              <w:jc w:val="center"/>
              <w:rPr>
                <w:rFonts w:asci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ascii="宋体"/>
                <w:sz w:val="22"/>
                <w:szCs w:val="22"/>
              </w:rPr>
            </w:pPr>
          </w:p>
        </w:tc>
        <w:tc>
          <w:tcPr>
            <w:tcW w:w="768" w:type="dxa"/>
            <w:vAlign w:val="center"/>
          </w:tcPr>
          <w:p>
            <w:pPr>
              <w:spacing w:line="360" w:lineRule="auto"/>
              <w:jc w:val="center"/>
              <w:rPr>
                <w:rFonts w:ascii="宋体"/>
                <w:sz w:val="22"/>
                <w:szCs w:val="22"/>
              </w:rPr>
            </w:pPr>
          </w:p>
        </w:tc>
        <w:tc>
          <w:tcPr>
            <w:tcW w:w="90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108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2189" w:type="dxa"/>
          </w:tcPr>
          <w:p>
            <w:pPr>
              <w:spacing w:line="360" w:lineRule="auto"/>
              <w:jc w:val="center"/>
              <w:rPr>
                <w:rFonts w:ascii="宋体"/>
                <w:sz w:val="22"/>
                <w:szCs w:val="22"/>
              </w:rPr>
            </w:pPr>
          </w:p>
        </w:tc>
        <w:tc>
          <w:tcPr>
            <w:tcW w:w="1428" w:type="dxa"/>
            <w:vAlign w:val="center"/>
          </w:tcPr>
          <w:p>
            <w:pPr>
              <w:spacing w:line="360" w:lineRule="auto"/>
              <w:jc w:val="center"/>
              <w:rPr>
                <w:rFonts w:asci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ascii="宋体"/>
                <w:sz w:val="22"/>
                <w:szCs w:val="22"/>
              </w:rPr>
            </w:pPr>
          </w:p>
        </w:tc>
        <w:tc>
          <w:tcPr>
            <w:tcW w:w="768" w:type="dxa"/>
            <w:vAlign w:val="center"/>
          </w:tcPr>
          <w:p>
            <w:pPr>
              <w:spacing w:line="360" w:lineRule="auto"/>
              <w:jc w:val="center"/>
              <w:rPr>
                <w:rFonts w:ascii="宋体"/>
                <w:sz w:val="22"/>
                <w:szCs w:val="22"/>
              </w:rPr>
            </w:pPr>
          </w:p>
        </w:tc>
        <w:tc>
          <w:tcPr>
            <w:tcW w:w="90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108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2189" w:type="dxa"/>
          </w:tcPr>
          <w:p>
            <w:pPr>
              <w:spacing w:line="360" w:lineRule="auto"/>
              <w:jc w:val="center"/>
              <w:rPr>
                <w:rFonts w:ascii="宋体"/>
                <w:sz w:val="22"/>
                <w:szCs w:val="22"/>
              </w:rPr>
            </w:pPr>
          </w:p>
        </w:tc>
        <w:tc>
          <w:tcPr>
            <w:tcW w:w="1428" w:type="dxa"/>
            <w:vAlign w:val="center"/>
          </w:tcPr>
          <w:p>
            <w:pPr>
              <w:spacing w:line="360" w:lineRule="auto"/>
              <w:jc w:val="center"/>
              <w:rPr>
                <w:rFonts w:asci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ascii="宋体"/>
                <w:sz w:val="22"/>
                <w:szCs w:val="22"/>
              </w:rPr>
            </w:pPr>
          </w:p>
        </w:tc>
        <w:tc>
          <w:tcPr>
            <w:tcW w:w="768" w:type="dxa"/>
            <w:vAlign w:val="center"/>
          </w:tcPr>
          <w:p>
            <w:pPr>
              <w:spacing w:line="360" w:lineRule="auto"/>
              <w:jc w:val="center"/>
              <w:rPr>
                <w:rFonts w:ascii="宋体"/>
                <w:sz w:val="22"/>
                <w:szCs w:val="22"/>
              </w:rPr>
            </w:pPr>
          </w:p>
        </w:tc>
        <w:tc>
          <w:tcPr>
            <w:tcW w:w="90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108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2189" w:type="dxa"/>
          </w:tcPr>
          <w:p>
            <w:pPr>
              <w:spacing w:line="360" w:lineRule="auto"/>
              <w:jc w:val="center"/>
              <w:rPr>
                <w:rFonts w:ascii="宋体"/>
                <w:sz w:val="22"/>
                <w:szCs w:val="22"/>
              </w:rPr>
            </w:pPr>
          </w:p>
        </w:tc>
        <w:tc>
          <w:tcPr>
            <w:tcW w:w="1428" w:type="dxa"/>
            <w:vAlign w:val="center"/>
          </w:tcPr>
          <w:p>
            <w:pPr>
              <w:spacing w:line="360" w:lineRule="auto"/>
              <w:jc w:val="center"/>
              <w:rPr>
                <w:rFonts w:asci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ascii="宋体"/>
                <w:sz w:val="22"/>
                <w:szCs w:val="22"/>
              </w:rPr>
            </w:pPr>
          </w:p>
        </w:tc>
        <w:tc>
          <w:tcPr>
            <w:tcW w:w="768" w:type="dxa"/>
            <w:vAlign w:val="center"/>
          </w:tcPr>
          <w:p>
            <w:pPr>
              <w:spacing w:line="360" w:lineRule="auto"/>
              <w:jc w:val="center"/>
              <w:rPr>
                <w:rFonts w:ascii="宋体"/>
                <w:sz w:val="22"/>
                <w:szCs w:val="22"/>
              </w:rPr>
            </w:pPr>
          </w:p>
        </w:tc>
        <w:tc>
          <w:tcPr>
            <w:tcW w:w="90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108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2189" w:type="dxa"/>
          </w:tcPr>
          <w:p>
            <w:pPr>
              <w:spacing w:line="360" w:lineRule="auto"/>
              <w:jc w:val="center"/>
              <w:rPr>
                <w:rFonts w:ascii="宋体"/>
                <w:sz w:val="22"/>
                <w:szCs w:val="22"/>
              </w:rPr>
            </w:pPr>
          </w:p>
        </w:tc>
        <w:tc>
          <w:tcPr>
            <w:tcW w:w="1428" w:type="dxa"/>
            <w:vAlign w:val="center"/>
          </w:tcPr>
          <w:p>
            <w:pPr>
              <w:spacing w:line="360" w:lineRule="auto"/>
              <w:jc w:val="center"/>
              <w:rPr>
                <w:rFonts w:asci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ascii="宋体"/>
                <w:sz w:val="22"/>
                <w:szCs w:val="22"/>
              </w:rPr>
            </w:pPr>
          </w:p>
        </w:tc>
        <w:tc>
          <w:tcPr>
            <w:tcW w:w="768" w:type="dxa"/>
            <w:vAlign w:val="center"/>
          </w:tcPr>
          <w:p>
            <w:pPr>
              <w:spacing w:line="360" w:lineRule="auto"/>
              <w:jc w:val="center"/>
              <w:rPr>
                <w:rFonts w:ascii="宋体"/>
                <w:sz w:val="22"/>
                <w:szCs w:val="22"/>
              </w:rPr>
            </w:pPr>
          </w:p>
        </w:tc>
        <w:tc>
          <w:tcPr>
            <w:tcW w:w="90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108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2189" w:type="dxa"/>
          </w:tcPr>
          <w:p>
            <w:pPr>
              <w:spacing w:line="360" w:lineRule="auto"/>
              <w:jc w:val="center"/>
              <w:rPr>
                <w:rFonts w:ascii="宋体"/>
                <w:sz w:val="22"/>
                <w:szCs w:val="22"/>
              </w:rPr>
            </w:pPr>
          </w:p>
        </w:tc>
        <w:tc>
          <w:tcPr>
            <w:tcW w:w="1428" w:type="dxa"/>
            <w:vAlign w:val="center"/>
          </w:tcPr>
          <w:p>
            <w:pPr>
              <w:spacing w:line="360" w:lineRule="auto"/>
              <w:jc w:val="center"/>
              <w:rPr>
                <w:rFonts w:asci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ascii="宋体"/>
                <w:sz w:val="22"/>
                <w:szCs w:val="22"/>
              </w:rPr>
            </w:pPr>
          </w:p>
        </w:tc>
        <w:tc>
          <w:tcPr>
            <w:tcW w:w="768" w:type="dxa"/>
            <w:vAlign w:val="center"/>
          </w:tcPr>
          <w:p>
            <w:pPr>
              <w:spacing w:line="360" w:lineRule="auto"/>
              <w:jc w:val="center"/>
              <w:rPr>
                <w:rFonts w:ascii="宋体"/>
                <w:sz w:val="22"/>
                <w:szCs w:val="22"/>
              </w:rPr>
            </w:pPr>
          </w:p>
        </w:tc>
        <w:tc>
          <w:tcPr>
            <w:tcW w:w="90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108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2189" w:type="dxa"/>
          </w:tcPr>
          <w:p>
            <w:pPr>
              <w:spacing w:line="360" w:lineRule="auto"/>
              <w:jc w:val="center"/>
              <w:rPr>
                <w:rFonts w:ascii="宋体"/>
                <w:sz w:val="22"/>
                <w:szCs w:val="22"/>
              </w:rPr>
            </w:pPr>
          </w:p>
        </w:tc>
        <w:tc>
          <w:tcPr>
            <w:tcW w:w="1428" w:type="dxa"/>
            <w:vAlign w:val="center"/>
          </w:tcPr>
          <w:p>
            <w:pPr>
              <w:spacing w:line="360" w:lineRule="auto"/>
              <w:jc w:val="center"/>
              <w:rPr>
                <w:rFonts w:asci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ascii="宋体"/>
                <w:sz w:val="22"/>
                <w:szCs w:val="22"/>
              </w:rPr>
            </w:pPr>
          </w:p>
        </w:tc>
        <w:tc>
          <w:tcPr>
            <w:tcW w:w="768" w:type="dxa"/>
            <w:vAlign w:val="center"/>
          </w:tcPr>
          <w:p>
            <w:pPr>
              <w:spacing w:line="360" w:lineRule="auto"/>
              <w:jc w:val="center"/>
              <w:rPr>
                <w:rFonts w:ascii="宋体"/>
                <w:sz w:val="22"/>
                <w:szCs w:val="22"/>
              </w:rPr>
            </w:pPr>
          </w:p>
        </w:tc>
        <w:tc>
          <w:tcPr>
            <w:tcW w:w="90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108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2189" w:type="dxa"/>
          </w:tcPr>
          <w:p>
            <w:pPr>
              <w:spacing w:line="360" w:lineRule="auto"/>
              <w:jc w:val="center"/>
              <w:rPr>
                <w:rFonts w:ascii="宋体"/>
                <w:sz w:val="22"/>
                <w:szCs w:val="22"/>
              </w:rPr>
            </w:pPr>
          </w:p>
        </w:tc>
        <w:tc>
          <w:tcPr>
            <w:tcW w:w="1428" w:type="dxa"/>
            <w:vAlign w:val="center"/>
          </w:tcPr>
          <w:p>
            <w:pPr>
              <w:spacing w:line="360" w:lineRule="auto"/>
              <w:jc w:val="center"/>
              <w:rPr>
                <w:rFonts w:asci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ascii="宋体"/>
                <w:sz w:val="22"/>
                <w:szCs w:val="22"/>
              </w:rPr>
            </w:pPr>
          </w:p>
        </w:tc>
        <w:tc>
          <w:tcPr>
            <w:tcW w:w="768" w:type="dxa"/>
            <w:vAlign w:val="center"/>
          </w:tcPr>
          <w:p>
            <w:pPr>
              <w:spacing w:line="360" w:lineRule="auto"/>
              <w:jc w:val="center"/>
              <w:rPr>
                <w:rFonts w:ascii="宋体"/>
                <w:sz w:val="22"/>
                <w:szCs w:val="22"/>
              </w:rPr>
            </w:pPr>
          </w:p>
        </w:tc>
        <w:tc>
          <w:tcPr>
            <w:tcW w:w="90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108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2189" w:type="dxa"/>
          </w:tcPr>
          <w:p>
            <w:pPr>
              <w:spacing w:line="360" w:lineRule="auto"/>
              <w:jc w:val="center"/>
              <w:rPr>
                <w:rFonts w:ascii="宋体"/>
                <w:sz w:val="22"/>
                <w:szCs w:val="22"/>
              </w:rPr>
            </w:pPr>
          </w:p>
        </w:tc>
        <w:tc>
          <w:tcPr>
            <w:tcW w:w="1428" w:type="dxa"/>
            <w:vAlign w:val="center"/>
          </w:tcPr>
          <w:p>
            <w:pPr>
              <w:spacing w:line="360" w:lineRule="auto"/>
              <w:jc w:val="center"/>
              <w:rPr>
                <w:rFonts w:asci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ascii="宋体"/>
                <w:sz w:val="22"/>
                <w:szCs w:val="22"/>
              </w:rPr>
            </w:pPr>
          </w:p>
        </w:tc>
        <w:tc>
          <w:tcPr>
            <w:tcW w:w="768" w:type="dxa"/>
            <w:vAlign w:val="center"/>
          </w:tcPr>
          <w:p>
            <w:pPr>
              <w:spacing w:line="360" w:lineRule="auto"/>
              <w:jc w:val="center"/>
              <w:rPr>
                <w:rFonts w:ascii="宋体"/>
                <w:sz w:val="22"/>
                <w:szCs w:val="22"/>
              </w:rPr>
            </w:pPr>
          </w:p>
        </w:tc>
        <w:tc>
          <w:tcPr>
            <w:tcW w:w="90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108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2189" w:type="dxa"/>
          </w:tcPr>
          <w:p>
            <w:pPr>
              <w:spacing w:line="360" w:lineRule="auto"/>
              <w:jc w:val="center"/>
              <w:rPr>
                <w:rFonts w:ascii="宋体"/>
                <w:sz w:val="22"/>
                <w:szCs w:val="22"/>
              </w:rPr>
            </w:pPr>
          </w:p>
        </w:tc>
        <w:tc>
          <w:tcPr>
            <w:tcW w:w="1428" w:type="dxa"/>
            <w:vAlign w:val="center"/>
          </w:tcPr>
          <w:p>
            <w:pPr>
              <w:spacing w:line="360" w:lineRule="auto"/>
              <w:jc w:val="center"/>
              <w:rPr>
                <w:rFonts w:asci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ascii="宋体"/>
                <w:sz w:val="22"/>
                <w:szCs w:val="22"/>
              </w:rPr>
            </w:pPr>
          </w:p>
        </w:tc>
        <w:tc>
          <w:tcPr>
            <w:tcW w:w="768" w:type="dxa"/>
            <w:vAlign w:val="center"/>
          </w:tcPr>
          <w:p>
            <w:pPr>
              <w:spacing w:line="360" w:lineRule="auto"/>
              <w:jc w:val="center"/>
              <w:rPr>
                <w:rFonts w:ascii="宋体"/>
                <w:sz w:val="22"/>
                <w:szCs w:val="22"/>
              </w:rPr>
            </w:pPr>
          </w:p>
        </w:tc>
        <w:tc>
          <w:tcPr>
            <w:tcW w:w="90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108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2189" w:type="dxa"/>
          </w:tcPr>
          <w:p>
            <w:pPr>
              <w:spacing w:line="360" w:lineRule="auto"/>
              <w:jc w:val="center"/>
              <w:rPr>
                <w:rFonts w:ascii="宋体"/>
                <w:sz w:val="22"/>
                <w:szCs w:val="22"/>
              </w:rPr>
            </w:pPr>
          </w:p>
        </w:tc>
        <w:tc>
          <w:tcPr>
            <w:tcW w:w="1428" w:type="dxa"/>
            <w:vAlign w:val="center"/>
          </w:tcPr>
          <w:p>
            <w:pPr>
              <w:spacing w:line="360" w:lineRule="auto"/>
              <w:jc w:val="center"/>
              <w:rPr>
                <w:rFonts w:asci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ascii="宋体"/>
                <w:sz w:val="22"/>
                <w:szCs w:val="22"/>
              </w:rPr>
            </w:pPr>
          </w:p>
        </w:tc>
        <w:tc>
          <w:tcPr>
            <w:tcW w:w="768" w:type="dxa"/>
            <w:vAlign w:val="center"/>
          </w:tcPr>
          <w:p>
            <w:pPr>
              <w:spacing w:line="360" w:lineRule="auto"/>
              <w:jc w:val="center"/>
              <w:rPr>
                <w:rFonts w:ascii="宋体"/>
                <w:sz w:val="22"/>
                <w:szCs w:val="22"/>
              </w:rPr>
            </w:pPr>
          </w:p>
        </w:tc>
        <w:tc>
          <w:tcPr>
            <w:tcW w:w="90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108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2189" w:type="dxa"/>
          </w:tcPr>
          <w:p>
            <w:pPr>
              <w:spacing w:line="360" w:lineRule="auto"/>
              <w:jc w:val="center"/>
              <w:rPr>
                <w:rFonts w:ascii="宋体"/>
                <w:sz w:val="22"/>
                <w:szCs w:val="22"/>
              </w:rPr>
            </w:pPr>
          </w:p>
        </w:tc>
        <w:tc>
          <w:tcPr>
            <w:tcW w:w="1428" w:type="dxa"/>
            <w:vAlign w:val="center"/>
          </w:tcPr>
          <w:p>
            <w:pPr>
              <w:spacing w:line="360" w:lineRule="auto"/>
              <w:jc w:val="center"/>
              <w:rPr>
                <w:rFonts w:asci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ascii="宋体"/>
                <w:sz w:val="22"/>
                <w:szCs w:val="22"/>
              </w:rPr>
            </w:pPr>
          </w:p>
        </w:tc>
        <w:tc>
          <w:tcPr>
            <w:tcW w:w="768" w:type="dxa"/>
            <w:vAlign w:val="center"/>
          </w:tcPr>
          <w:p>
            <w:pPr>
              <w:spacing w:line="360" w:lineRule="auto"/>
              <w:jc w:val="center"/>
              <w:rPr>
                <w:rFonts w:ascii="宋体"/>
                <w:sz w:val="22"/>
                <w:szCs w:val="22"/>
              </w:rPr>
            </w:pPr>
          </w:p>
        </w:tc>
        <w:tc>
          <w:tcPr>
            <w:tcW w:w="90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108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2189" w:type="dxa"/>
          </w:tcPr>
          <w:p>
            <w:pPr>
              <w:spacing w:line="360" w:lineRule="auto"/>
              <w:jc w:val="center"/>
              <w:rPr>
                <w:rFonts w:ascii="宋体"/>
                <w:sz w:val="22"/>
                <w:szCs w:val="22"/>
              </w:rPr>
            </w:pPr>
          </w:p>
        </w:tc>
        <w:tc>
          <w:tcPr>
            <w:tcW w:w="1428" w:type="dxa"/>
            <w:vAlign w:val="center"/>
          </w:tcPr>
          <w:p>
            <w:pPr>
              <w:spacing w:line="360" w:lineRule="auto"/>
              <w:jc w:val="center"/>
              <w:rPr>
                <w:rFonts w:asci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ascii="宋体"/>
                <w:sz w:val="22"/>
                <w:szCs w:val="22"/>
              </w:rPr>
            </w:pPr>
          </w:p>
        </w:tc>
        <w:tc>
          <w:tcPr>
            <w:tcW w:w="768" w:type="dxa"/>
            <w:vAlign w:val="center"/>
          </w:tcPr>
          <w:p>
            <w:pPr>
              <w:spacing w:line="360" w:lineRule="auto"/>
              <w:jc w:val="center"/>
              <w:rPr>
                <w:rFonts w:ascii="宋体"/>
                <w:sz w:val="22"/>
                <w:szCs w:val="22"/>
              </w:rPr>
            </w:pPr>
          </w:p>
        </w:tc>
        <w:tc>
          <w:tcPr>
            <w:tcW w:w="90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108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2189" w:type="dxa"/>
          </w:tcPr>
          <w:p>
            <w:pPr>
              <w:spacing w:line="360" w:lineRule="auto"/>
              <w:jc w:val="center"/>
              <w:rPr>
                <w:rFonts w:ascii="宋体"/>
                <w:sz w:val="22"/>
                <w:szCs w:val="22"/>
              </w:rPr>
            </w:pPr>
          </w:p>
        </w:tc>
        <w:tc>
          <w:tcPr>
            <w:tcW w:w="1428" w:type="dxa"/>
            <w:vAlign w:val="center"/>
          </w:tcPr>
          <w:p>
            <w:pPr>
              <w:spacing w:line="360" w:lineRule="auto"/>
              <w:jc w:val="center"/>
              <w:rPr>
                <w:rFonts w:asci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pPr>
              <w:spacing w:line="360" w:lineRule="auto"/>
              <w:jc w:val="center"/>
              <w:rPr>
                <w:rFonts w:ascii="宋体"/>
                <w:sz w:val="22"/>
                <w:szCs w:val="22"/>
              </w:rPr>
            </w:pPr>
          </w:p>
        </w:tc>
        <w:tc>
          <w:tcPr>
            <w:tcW w:w="768" w:type="dxa"/>
            <w:vAlign w:val="center"/>
          </w:tcPr>
          <w:p>
            <w:pPr>
              <w:spacing w:line="360" w:lineRule="auto"/>
              <w:jc w:val="center"/>
              <w:rPr>
                <w:rFonts w:ascii="宋体"/>
                <w:sz w:val="22"/>
                <w:szCs w:val="22"/>
              </w:rPr>
            </w:pPr>
          </w:p>
        </w:tc>
        <w:tc>
          <w:tcPr>
            <w:tcW w:w="90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1080" w:type="dxa"/>
            <w:vAlign w:val="center"/>
          </w:tcPr>
          <w:p>
            <w:pPr>
              <w:spacing w:line="360" w:lineRule="auto"/>
              <w:jc w:val="center"/>
              <w:rPr>
                <w:rFonts w:ascii="宋体"/>
                <w:sz w:val="22"/>
                <w:szCs w:val="22"/>
              </w:rPr>
            </w:pPr>
          </w:p>
        </w:tc>
        <w:tc>
          <w:tcPr>
            <w:tcW w:w="720" w:type="dxa"/>
            <w:vAlign w:val="center"/>
          </w:tcPr>
          <w:p>
            <w:pPr>
              <w:spacing w:line="360" w:lineRule="auto"/>
              <w:jc w:val="center"/>
              <w:rPr>
                <w:rFonts w:ascii="宋体"/>
                <w:sz w:val="22"/>
                <w:szCs w:val="22"/>
              </w:rPr>
            </w:pPr>
          </w:p>
        </w:tc>
        <w:tc>
          <w:tcPr>
            <w:tcW w:w="2189" w:type="dxa"/>
          </w:tcPr>
          <w:p>
            <w:pPr>
              <w:spacing w:line="360" w:lineRule="auto"/>
              <w:jc w:val="center"/>
              <w:rPr>
                <w:rFonts w:ascii="宋体"/>
                <w:sz w:val="22"/>
                <w:szCs w:val="22"/>
              </w:rPr>
            </w:pPr>
          </w:p>
        </w:tc>
        <w:tc>
          <w:tcPr>
            <w:tcW w:w="1428" w:type="dxa"/>
            <w:vAlign w:val="center"/>
          </w:tcPr>
          <w:p>
            <w:pPr>
              <w:spacing w:line="360" w:lineRule="auto"/>
              <w:jc w:val="center"/>
              <w:rPr>
                <w:rFonts w:ascii="宋体"/>
                <w:sz w:val="22"/>
                <w:szCs w:val="22"/>
              </w:rPr>
            </w:pPr>
          </w:p>
        </w:tc>
      </w:tr>
    </w:tbl>
    <w:p>
      <w:pPr>
        <w:pStyle w:val="13"/>
        <w:tabs>
          <w:tab w:val="left" w:pos="0"/>
          <w:tab w:val="left" w:pos="540"/>
        </w:tabs>
        <w:spacing w:line="300" w:lineRule="auto"/>
        <w:rPr>
          <w:rFonts w:hAnsi="宋体"/>
          <w:sz w:val="22"/>
          <w:szCs w:val="22"/>
        </w:rPr>
      </w:pPr>
      <w:r>
        <w:rPr>
          <w:rFonts w:hint="eastAsia" w:hAnsi="宋体"/>
          <w:sz w:val="22"/>
          <w:szCs w:val="22"/>
        </w:rPr>
        <w:t>注：1、本表人员</w:t>
      </w:r>
      <w:r>
        <w:rPr>
          <w:rFonts w:hint="eastAsia" w:hAnsi="宋体"/>
          <w:b/>
          <w:bCs/>
          <w:sz w:val="22"/>
          <w:szCs w:val="22"/>
          <w:lang w:eastAsia="zh-CN"/>
        </w:rPr>
        <w:t>（</w:t>
      </w:r>
      <w:r>
        <w:rPr>
          <w:rFonts w:hint="eastAsia" w:hAnsi="宋体"/>
          <w:b/>
          <w:bCs/>
          <w:sz w:val="22"/>
          <w:szCs w:val="22"/>
          <w:lang w:val="en-US" w:eastAsia="zh-CN"/>
        </w:rPr>
        <w:t>含本项目所需的所有人员包括养护、保洁、保安等</w:t>
      </w:r>
      <w:r>
        <w:rPr>
          <w:rFonts w:hint="eastAsia" w:hAnsi="宋体"/>
          <w:b/>
          <w:bCs/>
          <w:sz w:val="22"/>
          <w:szCs w:val="22"/>
          <w:lang w:eastAsia="zh-CN"/>
        </w:rPr>
        <w:t>）</w:t>
      </w:r>
      <w:r>
        <w:rPr>
          <w:rFonts w:hint="eastAsia" w:hAnsi="宋体"/>
          <w:sz w:val="22"/>
          <w:szCs w:val="22"/>
        </w:rPr>
        <w:t>有职称、资格证书</w:t>
      </w:r>
      <w:r>
        <w:rPr>
          <w:rFonts w:hint="eastAsia" w:hAnsi="宋体"/>
          <w:sz w:val="22"/>
          <w:szCs w:val="22"/>
          <w:lang w:eastAsia="zh-CN"/>
        </w:rPr>
        <w:t>、</w:t>
      </w:r>
      <w:r>
        <w:rPr>
          <w:rFonts w:hint="eastAsia" w:hAnsi="宋体"/>
          <w:sz w:val="22"/>
          <w:szCs w:val="22"/>
          <w:lang w:val="en-US" w:eastAsia="zh-CN"/>
        </w:rPr>
        <w:t>社保</w:t>
      </w:r>
      <w:r>
        <w:rPr>
          <w:rFonts w:hint="eastAsia" w:hAnsi="宋体"/>
          <w:sz w:val="22"/>
          <w:szCs w:val="22"/>
        </w:rPr>
        <w:t>的应随表提交职称、资格证书</w:t>
      </w:r>
      <w:r>
        <w:rPr>
          <w:rFonts w:hint="eastAsia" w:hAnsi="宋体"/>
          <w:sz w:val="22"/>
          <w:szCs w:val="22"/>
          <w:lang w:eastAsia="zh-CN"/>
        </w:rPr>
        <w:t>、</w:t>
      </w:r>
      <w:r>
        <w:rPr>
          <w:rFonts w:hint="eastAsia" w:hAnsi="宋体"/>
          <w:sz w:val="22"/>
          <w:szCs w:val="22"/>
          <w:lang w:val="en-US" w:eastAsia="zh-CN"/>
        </w:rPr>
        <w:t>社保</w:t>
      </w:r>
      <w:r>
        <w:rPr>
          <w:rFonts w:hint="eastAsia" w:hAnsi="宋体"/>
          <w:sz w:val="22"/>
          <w:szCs w:val="22"/>
        </w:rPr>
        <w:t>（扫描件加盖电子签章）。</w:t>
      </w:r>
    </w:p>
    <w:p>
      <w:pPr>
        <w:pStyle w:val="13"/>
        <w:tabs>
          <w:tab w:val="left" w:pos="0"/>
          <w:tab w:val="left" w:pos="540"/>
        </w:tabs>
        <w:spacing w:line="300" w:lineRule="auto"/>
        <w:rPr>
          <w:rFonts w:hAnsi="宋体"/>
          <w:sz w:val="22"/>
          <w:szCs w:val="22"/>
        </w:rPr>
      </w:pPr>
      <w:r>
        <w:rPr>
          <w:rFonts w:hint="eastAsia" w:hAnsi="宋体"/>
          <w:sz w:val="22"/>
          <w:szCs w:val="22"/>
        </w:rPr>
        <w:t>2、▲列入本表人员如要更换，需经采购人同意；擅自更换或不到位属违约行为。</w:t>
      </w:r>
    </w:p>
    <w:p>
      <w:pPr>
        <w:pStyle w:val="13"/>
        <w:spacing w:line="400" w:lineRule="atLeast"/>
        <w:rPr>
          <w:rFonts w:hAnsi="宋体"/>
          <w:sz w:val="22"/>
          <w:szCs w:val="22"/>
        </w:rPr>
      </w:pPr>
      <w:r>
        <w:rPr>
          <w:rFonts w:hint="eastAsia" w:hAnsi="宋体"/>
          <w:sz w:val="22"/>
          <w:szCs w:val="22"/>
        </w:rPr>
        <w:t>3、此表仅提供了表格形式，供应商可按此表格复制。</w:t>
      </w:r>
    </w:p>
    <w:p>
      <w:pPr>
        <w:pStyle w:val="13"/>
        <w:spacing w:line="360" w:lineRule="exact"/>
        <w:ind w:left="660" w:hanging="660" w:hangingChars="300"/>
        <w:rPr>
          <w:rFonts w:hAnsi="宋体"/>
          <w:sz w:val="22"/>
          <w:szCs w:val="22"/>
        </w:rPr>
      </w:pPr>
      <w:r>
        <w:rPr>
          <w:rFonts w:hint="eastAsia" w:hAnsi="宋体"/>
          <w:sz w:val="22"/>
          <w:szCs w:val="22"/>
        </w:rPr>
        <w:t xml:space="preserve">                                        </w:t>
      </w:r>
    </w:p>
    <w:p>
      <w:pPr>
        <w:pStyle w:val="13"/>
        <w:spacing w:line="360" w:lineRule="exact"/>
        <w:ind w:left="660" w:hanging="660" w:hangingChars="300"/>
        <w:rPr>
          <w:rFonts w:hAnsi="宋体"/>
          <w:sz w:val="22"/>
        </w:rPr>
      </w:pPr>
      <w:r>
        <w:rPr>
          <w:rFonts w:hint="eastAsia" w:hAnsi="宋体"/>
          <w:sz w:val="22"/>
        </w:rPr>
        <w:t xml:space="preserve">供应商名称（盖章）：                   </w:t>
      </w:r>
    </w:p>
    <w:p>
      <w:pPr>
        <w:pStyle w:val="13"/>
        <w:spacing w:line="360" w:lineRule="exact"/>
        <w:rPr>
          <w:rFonts w:hAnsi="宋体"/>
          <w:sz w:val="22"/>
        </w:rPr>
      </w:pPr>
      <w:r>
        <w:rPr>
          <w:rFonts w:hint="eastAsia" w:hAnsi="宋体"/>
          <w:sz w:val="22"/>
        </w:rPr>
        <w:t>授权代表（签字）：</w:t>
      </w:r>
    </w:p>
    <w:p>
      <w:pPr>
        <w:pStyle w:val="13"/>
        <w:tabs>
          <w:tab w:val="left" w:pos="0"/>
          <w:tab w:val="left" w:pos="540"/>
        </w:tabs>
        <w:spacing w:line="360" w:lineRule="exact"/>
        <w:rPr>
          <w:rFonts w:ascii="宋体" w:hAnsi="宋体"/>
        </w:rPr>
      </w:pPr>
      <w:r>
        <w:rPr>
          <w:rFonts w:hint="eastAsia" w:hAnsi="宋体"/>
          <w:sz w:val="22"/>
        </w:rPr>
        <w:t>日    期：</w:t>
      </w:r>
      <w:bookmarkStart w:id="168" w:name="_Toc14956507"/>
      <w:bookmarkStart w:id="169" w:name="_Toc54782496"/>
      <w:bookmarkStart w:id="170" w:name="_Toc408310339"/>
      <w:bookmarkStart w:id="171" w:name="_Toc21703040"/>
    </w:p>
    <w:p>
      <w:pPr>
        <w:pStyle w:val="23"/>
        <w:rPr>
          <w:rFonts w:ascii="宋体" w:hAnsi="宋体"/>
        </w:rPr>
      </w:pPr>
      <w:r>
        <w:rPr>
          <w:rFonts w:hint="eastAsia" w:ascii="宋体" w:hAnsi="宋体"/>
        </w:rPr>
        <w:t>（二） 项目主要负责人简历表</w:t>
      </w:r>
      <w:bookmarkEnd w:id="168"/>
      <w:bookmarkEnd w:id="169"/>
      <w:bookmarkEnd w:id="170"/>
      <w:bookmarkEnd w:id="171"/>
    </w:p>
    <w:p>
      <w:pPr>
        <w:pStyle w:val="13"/>
        <w:spacing w:line="400" w:lineRule="atLeast"/>
        <w:ind w:left="660" w:hanging="660" w:hangingChars="300"/>
        <w:rPr>
          <w:rFonts w:hAnsi="宋体"/>
          <w:sz w:val="22"/>
        </w:rPr>
      </w:pPr>
      <w:r>
        <w:rPr>
          <w:rFonts w:hint="eastAsia" w:hAnsi="宋体"/>
          <w:sz w:val="22"/>
        </w:rPr>
        <w:t xml:space="preserve">项目名称：                                            </w:t>
      </w:r>
      <w:r>
        <w:rPr>
          <w:rFonts w:hint="eastAsia"/>
          <w:sz w:val="22"/>
          <w:szCs w:val="22"/>
        </w:rPr>
        <w:t>招标</w:t>
      </w:r>
      <w:r>
        <w:rPr>
          <w:rFonts w:hint="eastAsia" w:hAnsi="宋体"/>
          <w:sz w:val="22"/>
        </w:rPr>
        <w:t>编号：</w:t>
      </w:r>
    </w:p>
    <w:tbl>
      <w:tblPr>
        <w:tblStyle w:val="25"/>
        <w:tblW w:w="9673"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654"/>
        <w:gridCol w:w="1650"/>
        <w:gridCol w:w="1764"/>
        <w:gridCol w:w="1648"/>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12" w:space="0"/>
              <w:left w:val="single" w:color="auto" w:sz="12" w:space="0"/>
              <w:bottom w:val="single" w:color="auto" w:sz="6" w:space="0"/>
              <w:right w:val="single" w:color="auto" w:sz="6" w:space="0"/>
            </w:tcBorders>
            <w:vAlign w:val="center"/>
          </w:tcPr>
          <w:p>
            <w:pPr>
              <w:pStyle w:val="13"/>
              <w:spacing w:line="400" w:lineRule="atLeast"/>
              <w:ind w:left="660" w:hanging="660" w:hangingChars="300"/>
              <w:rPr>
                <w:rFonts w:hAnsi="宋体"/>
                <w:sz w:val="22"/>
              </w:rPr>
            </w:pPr>
            <w:r>
              <w:rPr>
                <w:rFonts w:hint="eastAsia" w:hAnsi="宋体"/>
                <w:sz w:val="22"/>
              </w:rPr>
              <w:t>姓 名</w:t>
            </w:r>
          </w:p>
        </w:tc>
        <w:tc>
          <w:tcPr>
            <w:tcW w:w="1654" w:type="dxa"/>
            <w:tcBorders>
              <w:top w:val="single" w:color="auto" w:sz="12" w:space="0"/>
              <w:left w:val="single" w:color="auto" w:sz="6" w:space="0"/>
              <w:bottom w:val="single" w:color="auto" w:sz="6" w:space="0"/>
              <w:right w:val="single" w:color="auto" w:sz="6" w:space="0"/>
            </w:tcBorders>
            <w:vAlign w:val="center"/>
          </w:tcPr>
          <w:p>
            <w:pPr>
              <w:pStyle w:val="13"/>
              <w:spacing w:line="400" w:lineRule="atLeast"/>
              <w:ind w:left="660" w:hanging="660" w:hangingChars="300"/>
              <w:rPr>
                <w:rFonts w:hAnsi="宋体"/>
                <w:sz w:val="22"/>
              </w:rPr>
            </w:pPr>
          </w:p>
        </w:tc>
        <w:tc>
          <w:tcPr>
            <w:tcW w:w="1650" w:type="dxa"/>
            <w:tcBorders>
              <w:top w:val="single" w:color="auto" w:sz="12" w:space="0"/>
              <w:left w:val="single" w:color="auto" w:sz="6" w:space="0"/>
              <w:bottom w:val="single" w:color="auto" w:sz="6" w:space="0"/>
              <w:right w:val="single" w:color="auto" w:sz="6" w:space="0"/>
            </w:tcBorders>
            <w:vAlign w:val="center"/>
          </w:tcPr>
          <w:p>
            <w:pPr>
              <w:pStyle w:val="13"/>
              <w:spacing w:line="400" w:lineRule="atLeast"/>
              <w:ind w:left="660" w:hanging="660" w:hangingChars="300"/>
              <w:rPr>
                <w:rFonts w:hAnsi="宋体"/>
                <w:sz w:val="22"/>
              </w:rPr>
            </w:pPr>
            <w:r>
              <w:rPr>
                <w:rFonts w:hint="eastAsia" w:hAnsi="宋体"/>
                <w:sz w:val="22"/>
              </w:rPr>
              <w:t>性 别</w:t>
            </w:r>
          </w:p>
        </w:tc>
        <w:tc>
          <w:tcPr>
            <w:tcW w:w="1764" w:type="dxa"/>
            <w:tcBorders>
              <w:top w:val="single" w:color="auto" w:sz="12" w:space="0"/>
              <w:left w:val="single" w:color="auto" w:sz="6" w:space="0"/>
              <w:bottom w:val="single" w:color="auto" w:sz="6" w:space="0"/>
              <w:right w:val="single" w:color="auto" w:sz="6" w:space="0"/>
            </w:tcBorders>
            <w:vAlign w:val="center"/>
          </w:tcPr>
          <w:p>
            <w:pPr>
              <w:pStyle w:val="13"/>
              <w:spacing w:line="400" w:lineRule="atLeast"/>
              <w:ind w:left="660" w:hanging="660" w:hangingChars="300"/>
              <w:rPr>
                <w:rFonts w:hAnsi="宋体"/>
                <w:sz w:val="22"/>
              </w:rPr>
            </w:pPr>
          </w:p>
        </w:tc>
        <w:tc>
          <w:tcPr>
            <w:tcW w:w="1648" w:type="dxa"/>
            <w:tcBorders>
              <w:top w:val="single" w:color="auto" w:sz="12" w:space="0"/>
              <w:left w:val="single" w:color="auto" w:sz="6" w:space="0"/>
              <w:bottom w:val="single" w:color="auto" w:sz="6" w:space="0"/>
              <w:right w:val="single" w:color="auto" w:sz="6" w:space="0"/>
            </w:tcBorders>
            <w:vAlign w:val="center"/>
          </w:tcPr>
          <w:p>
            <w:pPr>
              <w:pStyle w:val="13"/>
              <w:spacing w:line="400" w:lineRule="atLeast"/>
              <w:ind w:left="660" w:hanging="660" w:hangingChars="300"/>
              <w:rPr>
                <w:rFonts w:hAnsi="宋体"/>
                <w:sz w:val="22"/>
              </w:rPr>
            </w:pPr>
            <w:r>
              <w:rPr>
                <w:rFonts w:hint="eastAsia" w:hAnsi="宋体"/>
                <w:sz w:val="22"/>
              </w:rPr>
              <w:t>年 龄</w:t>
            </w:r>
          </w:p>
        </w:tc>
        <w:tc>
          <w:tcPr>
            <w:tcW w:w="1526" w:type="dxa"/>
            <w:tcBorders>
              <w:top w:val="single" w:color="auto" w:sz="12" w:space="0"/>
              <w:left w:val="single" w:color="auto" w:sz="6" w:space="0"/>
              <w:bottom w:val="single" w:color="auto" w:sz="6" w:space="0"/>
              <w:right w:val="single" w:color="auto" w:sz="12" w:space="0"/>
            </w:tcBorders>
            <w:vAlign w:val="center"/>
          </w:tcPr>
          <w:p>
            <w:pPr>
              <w:pStyle w:val="13"/>
              <w:spacing w:line="400" w:lineRule="atLeast"/>
              <w:ind w:left="660" w:hanging="660" w:hangingChars="300"/>
              <w:rPr>
                <w:rFonts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6" w:space="0"/>
              <w:left w:val="single" w:color="auto" w:sz="12" w:space="0"/>
              <w:bottom w:val="single" w:color="auto" w:sz="6" w:space="0"/>
              <w:right w:val="single" w:color="auto" w:sz="6" w:space="0"/>
            </w:tcBorders>
            <w:vAlign w:val="center"/>
          </w:tcPr>
          <w:p>
            <w:pPr>
              <w:pStyle w:val="13"/>
              <w:spacing w:line="400" w:lineRule="atLeast"/>
              <w:ind w:left="660" w:hanging="660" w:hangingChars="300"/>
              <w:rPr>
                <w:rFonts w:hAnsi="宋体"/>
                <w:sz w:val="22"/>
              </w:rPr>
            </w:pPr>
            <w:r>
              <w:rPr>
                <w:rFonts w:hint="eastAsia" w:hAnsi="宋体"/>
                <w:sz w:val="22"/>
              </w:rPr>
              <w:t>学 历</w:t>
            </w:r>
          </w:p>
        </w:tc>
        <w:tc>
          <w:tcPr>
            <w:tcW w:w="1654" w:type="dxa"/>
            <w:tcBorders>
              <w:top w:val="single" w:color="auto" w:sz="6" w:space="0"/>
              <w:left w:val="single" w:color="auto" w:sz="6" w:space="0"/>
              <w:bottom w:val="single" w:color="auto" w:sz="6" w:space="0"/>
              <w:right w:val="single" w:color="auto" w:sz="6" w:space="0"/>
            </w:tcBorders>
            <w:vAlign w:val="center"/>
          </w:tcPr>
          <w:p>
            <w:pPr>
              <w:pStyle w:val="13"/>
              <w:spacing w:line="400" w:lineRule="atLeast"/>
              <w:ind w:left="660" w:hanging="660" w:hangingChars="300"/>
              <w:rPr>
                <w:rFonts w:hAnsi="宋体"/>
                <w:sz w:val="22"/>
              </w:rPr>
            </w:pPr>
          </w:p>
        </w:tc>
        <w:tc>
          <w:tcPr>
            <w:tcW w:w="1650" w:type="dxa"/>
            <w:tcBorders>
              <w:top w:val="single" w:color="auto" w:sz="6" w:space="0"/>
              <w:left w:val="single" w:color="auto" w:sz="6" w:space="0"/>
              <w:bottom w:val="single" w:color="auto" w:sz="6" w:space="0"/>
              <w:right w:val="single" w:color="auto" w:sz="6" w:space="0"/>
            </w:tcBorders>
            <w:vAlign w:val="center"/>
          </w:tcPr>
          <w:p>
            <w:pPr>
              <w:pStyle w:val="13"/>
              <w:spacing w:line="400" w:lineRule="atLeast"/>
              <w:ind w:left="660" w:hanging="660" w:hangingChars="300"/>
              <w:rPr>
                <w:rFonts w:hAnsi="宋体"/>
                <w:sz w:val="22"/>
              </w:rPr>
            </w:pPr>
            <w:r>
              <w:rPr>
                <w:rFonts w:hint="eastAsia" w:hAnsi="宋体"/>
                <w:sz w:val="22"/>
              </w:rPr>
              <w:t>职 称</w:t>
            </w:r>
          </w:p>
        </w:tc>
        <w:tc>
          <w:tcPr>
            <w:tcW w:w="1764" w:type="dxa"/>
            <w:tcBorders>
              <w:top w:val="single" w:color="auto" w:sz="6" w:space="0"/>
              <w:left w:val="single" w:color="auto" w:sz="6" w:space="0"/>
              <w:bottom w:val="single" w:color="auto" w:sz="6" w:space="0"/>
              <w:right w:val="single" w:color="auto" w:sz="6" w:space="0"/>
            </w:tcBorders>
            <w:vAlign w:val="center"/>
          </w:tcPr>
          <w:p>
            <w:pPr>
              <w:pStyle w:val="13"/>
              <w:spacing w:line="400" w:lineRule="atLeast"/>
              <w:ind w:left="660" w:hanging="660" w:hangingChars="300"/>
              <w:rPr>
                <w:rFonts w:hAnsi="宋体"/>
                <w:sz w:val="22"/>
              </w:rPr>
            </w:pPr>
          </w:p>
        </w:tc>
        <w:tc>
          <w:tcPr>
            <w:tcW w:w="1648" w:type="dxa"/>
            <w:tcBorders>
              <w:top w:val="single" w:color="auto" w:sz="6" w:space="0"/>
              <w:left w:val="single" w:color="auto" w:sz="6" w:space="0"/>
              <w:bottom w:val="single" w:color="auto" w:sz="6" w:space="0"/>
              <w:right w:val="single" w:color="auto" w:sz="6" w:space="0"/>
            </w:tcBorders>
            <w:vAlign w:val="center"/>
          </w:tcPr>
          <w:p>
            <w:pPr>
              <w:pStyle w:val="13"/>
              <w:spacing w:line="400" w:lineRule="atLeast"/>
              <w:ind w:left="660" w:hanging="660" w:hangingChars="300"/>
              <w:rPr>
                <w:rFonts w:hAnsi="宋体"/>
                <w:sz w:val="22"/>
              </w:rPr>
            </w:pPr>
            <w:r>
              <w:rPr>
                <w:rFonts w:hint="eastAsia" w:hAnsi="宋体"/>
                <w:sz w:val="22"/>
              </w:rPr>
              <w:t>职 务</w:t>
            </w:r>
          </w:p>
        </w:tc>
        <w:tc>
          <w:tcPr>
            <w:tcW w:w="1526" w:type="dxa"/>
            <w:tcBorders>
              <w:top w:val="single" w:color="auto" w:sz="6" w:space="0"/>
              <w:left w:val="single" w:color="auto" w:sz="6" w:space="0"/>
              <w:bottom w:val="single" w:color="auto" w:sz="6" w:space="0"/>
              <w:right w:val="single" w:color="auto" w:sz="12" w:space="0"/>
            </w:tcBorders>
            <w:vAlign w:val="center"/>
          </w:tcPr>
          <w:p>
            <w:pPr>
              <w:pStyle w:val="13"/>
              <w:spacing w:line="400" w:lineRule="atLeast"/>
              <w:ind w:left="660" w:hanging="660" w:hangingChars="300"/>
              <w:rPr>
                <w:rFonts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6" w:space="0"/>
              <w:left w:val="single" w:color="auto" w:sz="12" w:space="0"/>
              <w:bottom w:val="single" w:color="auto" w:sz="6" w:space="0"/>
              <w:right w:val="single" w:color="auto" w:sz="6" w:space="0"/>
            </w:tcBorders>
            <w:vAlign w:val="center"/>
          </w:tcPr>
          <w:p>
            <w:pPr>
              <w:pStyle w:val="13"/>
              <w:spacing w:line="400" w:lineRule="atLeast"/>
              <w:ind w:left="660" w:hanging="660" w:hangingChars="300"/>
              <w:rPr>
                <w:rFonts w:hAnsi="宋体"/>
                <w:sz w:val="22"/>
              </w:rPr>
            </w:pPr>
            <w:r>
              <w:rPr>
                <w:rFonts w:hint="eastAsia" w:hAnsi="宋体"/>
                <w:sz w:val="22"/>
              </w:rPr>
              <w:t>联系电话</w:t>
            </w:r>
          </w:p>
        </w:tc>
        <w:tc>
          <w:tcPr>
            <w:tcW w:w="3304" w:type="dxa"/>
            <w:gridSpan w:val="2"/>
            <w:tcBorders>
              <w:top w:val="single" w:color="auto" w:sz="6" w:space="0"/>
              <w:left w:val="single" w:color="auto" w:sz="6" w:space="0"/>
              <w:bottom w:val="single" w:color="auto" w:sz="6" w:space="0"/>
              <w:right w:val="single" w:color="auto" w:sz="6" w:space="0"/>
            </w:tcBorders>
            <w:vAlign w:val="center"/>
          </w:tcPr>
          <w:p>
            <w:pPr>
              <w:pStyle w:val="13"/>
              <w:spacing w:line="400" w:lineRule="atLeast"/>
              <w:ind w:left="660" w:hanging="660" w:hangingChars="300"/>
              <w:rPr>
                <w:rFonts w:hAnsi="宋体"/>
                <w:sz w:val="22"/>
              </w:rPr>
            </w:pPr>
          </w:p>
        </w:tc>
        <w:tc>
          <w:tcPr>
            <w:tcW w:w="1764" w:type="dxa"/>
            <w:tcBorders>
              <w:top w:val="single" w:color="auto" w:sz="6" w:space="0"/>
              <w:left w:val="single" w:color="auto" w:sz="6" w:space="0"/>
              <w:bottom w:val="single" w:color="auto" w:sz="6" w:space="0"/>
              <w:right w:val="single" w:color="auto" w:sz="6" w:space="0"/>
            </w:tcBorders>
            <w:vAlign w:val="center"/>
          </w:tcPr>
          <w:p>
            <w:pPr>
              <w:pStyle w:val="13"/>
              <w:spacing w:line="400" w:lineRule="atLeast"/>
              <w:ind w:left="660" w:hanging="660" w:hangingChars="300"/>
              <w:rPr>
                <w:rFonts w:hAnsi="宋体"/>
                <w:sz w:val="22"/>
              </w:rPr>
            </w:pPr>
            <w:r>
              <w:rPr>
                <w:rFonts w:hint="eastAsia" w:hAnsi="宋体"/>
                <w:sz w:val="22"/>
              </w:rPr>
              <w:t>手 机</w:t>
            </w:r>
          </w:p>
        </w:tc>
        <w:tc>
          <w:tcPr>
            <w:tcW w:w="3174" w:type="dxa"/>
            <w:gridSpan w:val="2"/>
            <w:tcBorders>
              <w:top w:val="single" w:color="auto" w:sz="6" w:space="0"/>
              <w:left w:val="single" w:color="auto" w:sz="6" w:space="0"/>
              <w:bottom w:val="single" w:color="auto" w:sz="6" w:space="0"/>
              <w:right w:val="single" w:color="auto" w:sz="12" w:space="0"/>
            </w:tcBorders>
            <w:vAlign w:val="center"/>
          </w:tcPr>
          <w:p>
            <w:pPr>
              <w:pStyle w:val="13"/>
              <w:spacing w:line="400" w:lineRule="atLeast"/>
              <w:ind w:left="660" w:hanging="660" w:hangingChars="300"/>
              <w:rPr>
                <w:rFonts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9673" w:type="dxa"/>
            <w:gridSpan w:val="6"/>
            <w:tcBorders>
              <w:top w:val="single" w:color="auto" w:sz="6" w:space="0"/>
              <w:left w:val="single" w:color="auto" w:sz="12" w:space="0"/>
              <w:bottom w:val="single" w:color="auto" w:sz="12" w:space="0"/>
              <w:right w:val="single" w:color="auto" w:sz="12" w:space="0"/>
            </w:tcBorders>
          </w:tcPr>
          <w:p>
            <w:pPr>
              <w:pStyle w:val="13"/>
              <w:spacing w:line="400" w:lineRule="atLeast"/>
              <w:ind w:left="660" w:hanging="660" w:hangingChars="300"/>
              <w:rPr>
                <w:rFonts w:hAnsi="宋体"/>
                <w:sz w:val="22"/>
              </w:rPr>
            </w:pPr>
            <w:r>
              <w:rPr>
                <w:rFonts w:hint="eastAsia" w:hAnsi="宋体"/>
                <w:sz w:val="22"/>
              </w:rPr>
              <w:t>从事相关工作经历、证书、身份证及近三个月连续的社保证明扫描件：</w:t>
            </w:r>
          </w:p>
        </w:tc>
      </w:tr>
    </w:tbl>
    <w:p>
      <w:pPr>
        <w:pStyle w:val="13"/>
        <w:spacing w:line="360" w:lineRule="exact"/>
        <w:rPr>
          <w:rFonts w:hAnsi="宋体"/>
          <w:sz w:val="22"/>
        </w:rPr>
      </w:pPr>
    </w:p>
    <w:p>
      <w:pPr>
        <w:pStyle w:val="13"/>
        <w:spacing w:line="360" w:lineRule="exact"/>
        <w:rPr>
          <w:rFonts w:hAnsi="宋体"/>
          <w:sz w:val="22"/>
        </w:rPr>
      </w:pPr>
      <w:r>
        <w:rPr>
          <w:rFonts w:hint="eastAsia" w:hAnsi="宋体"/>
          <w:sz w:val="22"/>
        </w:rPr>
        <w:t>供应商名称（盖章）：</w:t>
      </w:r>
    </w:p>
    <w:p>
      <w:pPr>
        <w:pStyle w:val="13"/>
        <w:spacing w:line="360" w:lineRule="exact"/>
        <w:ind w:left="660" w:hanging="660" w:hangingChars="300"/>
        <w:rPr>
          <w:rFonts w:hAnsi="宋体"/>
          <w:sz w:val="22"/>
        </w:rPr>
      </w:pPr>
      <w:r>
        <w:rPr>
          <w:rFonts w:hint="eastAsia" w:hAnsi="宋体"/>
          <w:sz w:val="22"/>
        </w:rPr>
        <w:t>授权代表（签字）：</w:t>
      </w:r>
    </w:p>
    <w:p>
      <w:pPr>
        <w:pStyle w:val="13"/>
        <w:tabs>
          <w:tab w:val="left" w:pos="0"/>
          <w:tab w:val="left" w:pos="540"/>
        </w:tabs>
        <w:spacing w:line="360" w:lineRule="exact"/>
        <w:rPr>
          <w:rFonts w:hAnsi="宋体"/>
        </w:rPr>
      </w:pPr>
      <w:r>
        <w:rPr>
          <w:rFonts w:hint="eastAsia" w:hAnsi="宋体"/>
          <w:sz w:val="22"/>
        </w:rPr>
        <w:t xml:space="preserve">日    期：    </w:t>
      </w:r>
      <w:bookmarkStart w:id="172" w:name="_Toc14956508"/>
      <w:bookmarkStart w:id="173" w:name="_Toc21703041"/>
    </w:p>
    <w:p>
      <w:pPr>
        <w:pStyle w:val="23"/>
        <w:rPr>
          <w:rFonts w:ascii="宋体" w:hAnsi="宋体"/>
        </w:rPr>
      </w:pPr>
      <w:bookmarkStart w:id="174" w:name="_Toc54782497"/>
      <w:r>
        <w:rPr>
          <w:rFonts w:hint="eastAsia" w:ascii="宋体" w:hAnsi="宋体"/>
        </w:rPr>
        <w:t xml:space="preserve"> </w:t>
      </w:r>
    </w:p>
    <w:p>
      <w:pPr>
        <w:pStyle w:val="23"/>
        <w:rPr>
          <w:rFonts w:hint="eastAsia" w:ascii="宋体" w:hAnsi="宋体"/>
        </w:rPr>
        <w:sectPr>
          <w:pgSz w:w="11906" w:h="16838"/>
          <w:pgMar w:top="1134" w:right="1134" w:bottom="1134" w:left="1134" w:header="851" w:footer="850" w:gutter="0"/>
          <w:cols w:space="720" w:num="1"/>
          <w:titlePg/>
          <w:docGrid w:type="lines" w:linePitch="312" w:charSpace="0"/>
        </w:sectPr>
      </w:pPr>
    </w:p>
    <w:p>
      <w:pPr>
        <w:pStyle w:val="23"/>
        <w:rPr>
          <w:rFonts w:ascii="宋体" w:hAnsi="宋体"/>
        </w:rPr>
      </w:pPr>
      <w:r>
        <w:rPr>
          <w:rFonts w:hint="eastAsia" w:ascii="宋体" w:hAnsi="宋体"/>
        </w:rPr>
        <w:t>（三） 岗位员工配置计划表</w:t>
      </w:r>
      <w:bookmarkEnd w:id="172"/>
      <w:bookmarkEnd w:id="173"/>
      <w:bookmarkEnd w:id="174"/>
    </w:p>
    <w:tbl>
      <w:tblPr>
        <w:tblStyle w:val="25"/>
        <w:tblW w:w="9211"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6"/>
        <w:gridCol w:w="2049"/>
        <w:gridCol w:w="2917"/>
        <w:gridCol w:w="22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vAlign w:val="center"/>
          </w:tcPr>
          <w:p>
            <w:pPr>
              <w:jc w:val="center"/>
              <w:rPr>
                <w:rFonts w:ascii="宋体"/>
                <w:sz w:val="22"/>
                <w:szCs w:val="22"/>
              </w:rPr>
            </w:pPr>
            <w:r>
              <w:rPr>
                <w:rFonts w:hint="eastAsia" w:ascii="宋体"/>
                <w:sz w:val="22"/>
                <w:szCs w:val="22"/>
              </w:rPr>
              <w:t>岗位</w:t>
            </w:r>
          </w:p>
        </w:tc>
        <w:tc>
          <w:tcPr>
            <w:tcW w:w="2049" w:type="dxa"/>
            <w:vAlign w:val="center"/>
          </w:tcPr>
          <w:p>
            <w:pPr>
              <w:jc w:val="center"/>
              <w:rPr>
                <w:rFonts w:ascii="宋体"/>
                <w:sz w:val="22"/>
                <w:szCs w:val="22"/>
              </w:rPr>
            </w:pPr>
            <w:r>
              <w:rPr>
                <w:rFonts w:hint="eastAsia" w:ascii="宋体"/>
                <w:sz w:val="22"/>
                <w:szCs w:val="22"/>
              </w:rPr>
              <w:t>人数</w:t>
            </w:r>
          </w:p>
        </w:tc>
        <w:tc>
          <w:tcPr>
            <w:tcW w:w="2917" w:type="dxa"/>
            <w:vAlign w:val="center"/>
          </w:tcPr>
          <w:p>
            <w:pPr>
              <w:jc w:val="center"/>
              <w:rPr>
                <w:rFonts w:ascii="宋体"/>
                <w:sz w:val="22"/>
                <w:szCs w:val="22"/>
              </w:rPr>
            </w:pPr>
            <w:r>
              <w:rPr>
                <w:rFonts w:hint="eastAsia" w:ascii="宋体"/>
                <w:sz w:val="22"/>
                <w:szCs w:val="22"/>
              </w:rPr>
              <w:t>现 场 承 担 工 作</w:t>
            </w:r>
          </w:p>
        </w:tc>
        <w:tc>
          <w:tcPr>
            <w:tcW w:w="2299" w:type="dxa"/>
            <w:vAlign w:val="center"/>
          </w:tcPr>
          <w:p>
            <w:pPr>
              <w:jc w:val="center"/>
              <w:rPr>
                <w:rFonts w:ascii="宋体"/>
                <w:sz w:val="22"/>
                <w:szCs w:val="22"/>
              </w:rPr>
            </w:pPr>
            <w:r>
              <w:rPr>
                <w:rFonts w:hint="eastAsia" w:ascii="宋体"/>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sz w:val="24"/>
              </w:rPr>
            </w:pPr>
          </w:p>
        </w:tc>
        <w:tc>
          <w:tcPr>
            <w:tcW w:w="2049" w:type="dxa"/>
          </w:tcPr>
          <w:p>
            <w:pPr>
              <w:spacing w:line="480" w:lineRule="auto"/>
              <w:rPr>
                <w:rFonts w:ascii="宋体"/>
                <w:sz w:val="24"/>
              </w:rPr>
            </w:pPr>
          </w:p>
        </w:tc>
        <w:tc>
          <w:tcPr>
            <w:tcW w:w="2917" w:type="dxa"/>
          </w:tcPr>
          <w:p>
            <w:pPr>
              <w:spacing w:line="480" w:lineRule="auto"/>
              <w:rPr>
                <w:rFonts w:ascii="宋体"/>
                <w:sz w:val="24"/>
              </w:rPr>
            </w:pPr>
          </w:p>
        </w:tc>
        <w:tc>
          <w:tcPr>
            <w:tcW w:w="2299" w:type="dxa"/>
          </w:tcPr>
          <w:p>
            <w:pPr>
              <w:spacing w:line="480" w:lineRule="auto"/>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sz w:val="24"/>
              </w:rPr>
            </w:pPr>
          </w:p>
        </w:tc>
        <w:tc>
          <w:tcPr>
            <w:tcW w:w="2049" w:type="dxa"/>
          </w:tcPr>
          <w:p>
            <w:pPr>
              <w:spacing w:line="480" w:lineRule="auto"/>
              <w:rPr>
                <w:rFonts w:ascii="宋体"/>
                <w:sz w:val="24"/>
              </w:rPr>
            </w:pPr>
          </w:p>
        </w:tc>
        <w:tc>
          <w:tcPr>
            <w:tcW w:w="2917" w:type="dxa"/>
          </w:tcPr>
          <w:p>
            <w:pPr>
              <w:spacing w:line="480" w:lineRule="auto"/>
              <w:rPr>
                <w:rFonts w:ascii="宋体"/>
                <w:sz w:val="24"/>
              </w:rPr>
            </w:pPr>
          </w:p>
        </w:tc>
        <w:tc>
          <w:tcPr>
            <w:tcW w:w="2299" w:type="dxa"/>
          </w:tcPr>
          <w:p>
            <w:pPr>
              <w:spacing w:line="480" w:lineRule="auto"/>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sz w:val="24"/>
              </w:rPr>
            </w:pPr>
          </w:p>
        </w:tc>
        <w:tc>
          <w:tcPr>
            <w:tcW w:w="2049" w:type="dxa"/>
          </w:tcPr>
          <w:p>
            <w:pPr>
              <w:spacing w:line="480" w:lineRule="auto"/>
              <w:rPr>
                <w:rFonts w:ascii="宋体"/>
                <w:sz w:val="24"/>
              </w:rPr>
            </w:pPr>
          </w:p>
        </w:tc>
        <w:tc>
          <w:tcPr>
            <w:tcW w:w="2917" w:type="dxa"/>
          </w:tcPr>
          <w:p>
            <w:pPr>
              <w:spacing w:line="480" w:lineRule="auto"/>
              <w:rPr>
                <w:rFonts w:ascii="宋体"/>
                <w:sz w:val="24"/>
              </w:rPr>
            </w:pPr>
          </w:p>
        </w:tc>
        <w:tc>
          <w:tcPr>
            <w:tcW w:w="2299" w:type="dxa"/>
          </w:tcPr>
          <w:p>
            <w:pPr>
              <w:spacing w:line="480" w:lineRule="auto"/>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sz w:val="24"/>
              </w:rPr>
            </w:pPr>
          </w:p>
        </w:tc>
        <w:tc>
          <w:tcPr>
            <w:tcW w:w="2049" w:type="dxa"/>
          </w:tcPr>
          <w:p>
            <w:pPr>
              <w:spacing w:line="480" w:lineRule="auto"/>
              <w:rPr>
                <w:rFonts w:ascii="宋体"/>
                <w:sz w:val="24"/>
              </w:rPr>
            </w:pPr>
          </w:p>
        </w:tc>
        <w:tc>
          <w:tcPr>
            <w:tcW w:w="2917" w:type="dxa"/>
          </w:tcPr>
          <w:p>
            <w:pPr>
              <w:spacing w:line="480" w:lineRule="auto"/>
              <w:rPr>
                <w:rFonts w:ascii="宋体"/>
                <w:sz w:val="24"/>
              </w:rPr>
            </w:pPr>
          </w:p>
        </w:tc>
        <w:tc>
          <w:tcPr>
            <w:tcW w:w="2299" w:type="dxa"/>
          </w:tcPr>
          <w:p>
            <w:pPr>
              <w:spacing w:line="480" w:lineRule="auto"/>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sz w:val="24"/>
              </w:rPr>
            </w:pPr>
          </w:p>
        </w:tc>
        <w:tc>
          <w:tcPr>
            <w:tcW w:w="2049" w:type="dxa"/>
          </w:tcPr>
          <w:p>
            <w:pPr>
              <w:spacing w:line="480" w:lineRule="auto"/>
              <w:rPr>
                <w:rFonts w:ascii="宋体"/>
                <w:sz w:val="24"/>
              </w:rPr>
            </w:pPr>
          </w:p>
        </w:tc>
        <w:tc>
          <w:tcPr>
            <w:tcW w:w="2917" w:type="dxa"/>
          </w:tcPr>
          <w:p>
            <w:pPr>
              <w:spacing w:line="480" w:lineRule="auto"/>
              <w:rPr>
                <w:rFonts w:ascii="宋体"/>
                <w:sz w:val="24"/>
              </w:rPr>
            </w:pPr>
          </w:p>
        </w:tc>
        <w:tc>
          <w:tcPr>
            <w:tcW w:w="2299" w:type="dxa"/>
          </w:tcPr>
          <w:p>
            <w:pPr>
              <w:spacing w:line="480" w:lineRule="auto"/>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sz w:val="24"/>
              </w:rPr>
            </w:pPr>
          </w:p>
        </w:tc>
        <w:tc>
          <w:tcPr>
            <w:tcW w:w="2049" w:type="dxa"/>
          </w:tcPr>
          <w:p>
            <w:pPr>
              <w:spacing w:line="480" w:lineRule="auto"/>
              <w:rPr>
                <w:rFonts w:ascii="宋体"/>
                <w:sz w:val="24"/>
              </w:rPr>
            </w:pPr>
          </w:p>
        </w:tc>
        <w:tc>
          <w:tcPr>
            <w:tcW w:w="2917" w:type="dxa"/>
          </w:tcPr>
          <w:p>
            <w:pPr>
              <w:spacing w:line="480" w:lineRule="auto"/>
              <w:rPr>
                <w:rFonts w:ascii="宋体"/>
                <w:sz w:val="24"/>
              </w:rPr>
            </w:pPr>
          </w:p>
        </w:tc>
        <w:tc>
          <w:tcPr>
            <w:tcW w:w="2299" w:type="dxa"/>
          </w:tcPr>
          <w:p>
            <w:pPr>
              <w:spacing w:line="480" w:lineRule="auto"/>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sz w:val="24"/>
              </w:rPr>
            </w:pPr>
          </w:p>
        </w:tc>
        <w:tc>
          <w:tcPr>
            <w:tcW w:w="2049" w:type="dxa"/>
          </w:tcPr>
          <w:p>
            <w:pPr>
              <w:spacing w:line="480" w:lineRule="auto"/>
              <w:rPr>
                <w:rFonts w:ascii="宋体"/>
                <w:sz w:val="24"/>
              </w:rPr>
            </w:pPr>
          </w:p>
        </w:tc>
        <w:tc>
          <w:tcPr>
            <w:tcW w:w="2917" w:type="dxa"/>
          </w:tcPr>
          <w:p>
            <w:pPr>
              <w:spacing w:line="480" w:lineRule="auto"/>
              <w:rPr>
                <w:rFonts w:ascii="宋体"/>
                <w:sz w:val="24"/>
              </w:rPr>
            </w:pPr>
          </w:p>
        </w:tc>
        <w:tc>
          <w:tcPr>
            <w:tcW w:w="2299" w:type="dxa"/>
          </w:tcPr>
          <w:p>
            <w:pPr>
              <w:spacing w:line="480" w:lineRule="auto"/>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sz w:val="24"/>
              </w:rPr>
            </w:pPr>
          </w:p>
        </w:tc>
        <w:tc>
          <w:tcPr>
            <w:tcW w:w="2049" w:type="dxa"/>
          </w:tcPr>
          <w:p>
            <w:pPr>
              <w:spacing w:line="480" w:lineRule="auto"/>
              <w:rPr>
                <w:rFonts w:ascii="宋体"/>
                <w:sz w:val="24"/>
              </w:rPr>
            </w:pPr>
          </w:p>
        </w:tc>
        <w:tc>
          <w:tcPr>
            <w:tcW w:w="2917" w:type="dxa"/>
          </w:tcPr>
          <w:p>
            <w:pPr>
              <w:spacing w:line="480" w:lineRule="auto"/>
              <w:rPr>
                <w:rFonts w:ascii="宋体"/>
                <w:sz w:val="24"/>
              </w:rPr>
            </w:pPr>
          </w:p>
        </w:tc>
        <w:tc>
          <w:tcPr>
            <w:tcW w:w="2299" w:type="dxa"/>
          </w:tcPr>
          <w:p>
            <w:pPr>
              <w:spacing w:line="480" w:lineRule="auto"/>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sz w:val="24"/>
              </w:rPr>
            </w:pPr>
          </w:p>
        </w:tc>
        <w:tc>
          <w:tcPr>
            <w:tcW w:w="2049" w:type="dxa"/>
          </w:tcPr>
          <w:p>
            <w:pPr>
              <w:spacing w:line="480" w:lineRule="auto"/>
              <w:rPr>
                <w:rFonts w:ascii="宋体"/>
                <w:sz w:val="24"/>
              </w:rPr>
            </w:pPr>
          </w:p>
        </w:tc>
        <w:tc>
          <w:tcPr>
            <w:tcW w:w="2917" w:type="dxa"/>
          </w:tcPr>
          <w:p>
            <w:pPr>
              <w:spacing w:line="480" w:lineRule="auto"/>
              <w:rPr>
                <w:rFonts w:ascii="宋体"/>
                <w:sz w:val="24"/>
              </w:rPr>
            </w:pPr>
          </w:p>
        </w:tc>
        <w:tc>
          <w:tcPr>
            <w:tcW w:w="2299" w:type="dxa"/>
          </w:tcPr>
          <w:p>
            <w:pPr>
              <w:spacing w:line="480" w:lineRule="auto"/>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sz w:val="24"/>
              </w:rPr>
            </w:pPr>
          </w:p>
        </w:tc>
        <w:tc>
          <w:tcPr>
            <w:tcW w:w="2049" w:type="dxa"/>
          </w:tcPr>
          <w:p>
            <w:pPr>
              <w:spacing w:line="480" w:lineRule="auto"/>
              <w:rPr>
                <w:rFonts w:ascii="宋体"/>
                <w:sz w:val="24"/>
              </w:rPr>
            </w:pPr>
          </w:p>
        </w:tc>
        <w:tc>
          <w:tcPr>
            <w:tcW w:w="2917" w:type="dxa"/>
          </w:tcPr>
          <w:p>
            <w:pPr>
              <w:spacing w:line="480" w:lineRule="auto"/>
              <w:rPr>
                <w:rFonts w:ascii="宋体"/>
                <w:sz w:val="24"/>
              </w:rPr>
            </w:pPr>
          </w:p>
        </w:tc>
        <w:tc>
          <w:tcPr>
            <w:tcW w:w="2299" w:type="dxa"/>
          </w:tcPr>
          <w:p>
            <w:pPr>
              <w:spacing w:line="480" w:lineRule="auto"/>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sz w:val="24"/>
              </w:rPr>
            </w:pPr>
          </w:p>
        </w:tc>
        <w:tc>
          <w:tcPr>
            <w:tcW w:w="2049" w:type="dxa"/>
          </w:tcPr>
          <w:p>
            <w:pPr>
              <w:spacing w:line="480" w:lineRule="auto"/>
              <w:rPr>
                <w:rFonts w:ascii="宋体"/>
                <w:sz w:val="24"/>
              </w:rPr>
            </w:pPr>
          </w:p>
        </w:tc>
        <w:tc>
          <w:tcPr>
            <w:tcW w:w="2917" w:type="dxa"/>
          </w:tcPr>
          <w:p>
            <w:pPr>
              <w:spacing w:line="480" w:lineRule="auto"/>
              <w:rPr>
                <w:rFonts w:ascii="宋体"/>
                <w:sz w:val="24"/>
              </w:rPr>
            </w:pPr>
          </w:p>
        </w:tc>
        <w:tc>
          <w:tcPr>
            <w:tcW w:w="2299" w:type="dxa"/>
          </w:tcPr>
          <w:p>
            <w:pPr>
              <w:spacing w:line="480" w:lineRule="auto"/>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sz w:val="24"/>
              </w:rPr>
            </w:pPr>
          </w:p>
        </w:tc>
        <w:tc>
          <w:tcPr>
            <w:tcW w:w="2049" w:type="dxa"/>
          </w:tcPr>
          <w:p>
            <w:pPr>
              <w:spacing w:line="480" w:lineRule="auto"/>
              <w:rPr>
                <w:rFonts w:ascii="宋体"/>
                <w:sz w:val="24"/>
              </w:rPr>
            </w:pPr>
          </w:p>
        </w:tc>
        <w:tc>
          <w:tcPr>
            <w:tcW w:w="2917" w:type="dxa"/>
          </w:tcPr>
          <w:p>
            <w:pPr>
              <w:spacing w:line="480" w:lineRule="auto"/>
              <w:rPr>
                <w:rFonts w:ascii="宋体"/>
                <w:sz w:val="24"/>
              </w:rPr>
            </w:pPr>
          </w:p>
        </w:tc>
        <w:tc>
          <w:tcPr>
            <w:tcW w:w="2299" w:type="dxa"/>
          </w:tcPr>
          <w:p>
            <w:pPr>
              <w:spacing w:line="480" w:lineRule="auto"/>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sz w:val="24"/>
              </w:rPr>
            </w:pPr>
          </w:p>
        </w:tc>
        <w:tc>
          <w:tcPr>
            <w:tcW w:w="2049" w:type="dxa"/>
          </w:tcPr>
          <w:p>
            <w:pPr>
              <w:spacing w:line="480" w:lineRule="auto"/>
              <w:rPr>
                <w:rFonts w:ascii="宋体"/>
                <w:sz w:val="24"/>
              </w:rPr>
            </w:pPr>
          </w:p>
        </w:tc>
        <w:tc>
          <w:tcPr>
            <w:tcW w:w="2917" w:type="dxa"/>
          </w:tcPr>
          <w:p>
            <w:pPr>
              <w:spacing w:line="480" w:lineRule="auto"/>
              <w:rPr>
                <w:rFonts w:ascii="宋体"/>
                <w:sz w:val="24"/>
              </w:rPr>
            </w:pPr>
          </w:p>
        </w:tc>
        <w:tc>
          <w:tcPr>
            <w:tcW w:w="2299" w:type="dxa"/>
          </w:tcPr>
          <w:p>
            <w:pPr>
              <w:spacing w:line="480" w:lineRule="auto"/>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sz w:val="24"/>
              </w:rPr>
            </w:pPr>
          </w:p>
        </w:tc>
        <w:tc>
          <w:tcPr>
            <w:tcW w:w="2049" w:type="dxa"/>
          </w:tcPr>
          <w:p>
            <w:pPr>
              <w:spacing w:line="480" w:lineRule="auto"/>
              <w:rPr>
                <w:rFonts w:ascii="宋体"/>
                <w:sz w:val="24"/>
              </w:rPr>
            </w:pPr>
          </w:p>
        </w:tc>
        <w:tc>
          <w:tcPr>
            <w:tcW w:w="2917" w:type="dxa"/>
          </w:tcPr>
          <w:p>
            <w:pPr>
              <w:spacing w:line="480" w:lineRule="auto"/>
              <w:rPr>
                <w:rFonts w:ascii="宋体"/>
                <w:sz w:val="24"/>
              </w:rPr>
            </w:pPr>
          </w:p>
        </w:tc>
        <w:tc>
          <w:tcPr>
            <w:tcW w:w="2299" w:type="dxa"/>
          </w:tcPr>
          <w:p>
            <w:pPr>
              <w:spacing w:line="480" w:lineRule="auto"/>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sz w:val="24"/>
              </w:rPr>
            </w:pPr>
          </w:p>
        </w:tc>
        <w:tc>
          <w:tcPr>
            <w:tcW w:w="2049" w:type="dxa"/>
          </w:tcPr>
          <w:p>
            <w:pPr>
              <w:spacing w:line="480" w:lineRule="auto"/>
              <w:rPr>
                <w:rFonts w:ascii="宋体"/>
                <w:sz w:val="24"/>
              </w:rPr>
            </w:pPr>
          </w:p>
        </w:tc>
        <w:tc>
          <w:tcPr>
            <w:tcW w:w="2917" w:type="dxa"/>
          </w:tcPr>
          <w:p>
            <w:pPr>
              <w:spacing w:line="480" w:lineRule="auto"/>
              <w:rPr>
                <w:rFonts w:ascii="宋体"/>
                <w:sz w:val="24"/>
              </w:rPr>
            </w:pPr>
          </w:p>
        </w:tc>
        <w:tc>
          <w:tcPr>
            <w:tcW w:w="2299" w:type="dxa"/>
          </w:tcPr>
          <w:p>
            <w:pPr>
              <w:spacing w:line="480" w:lineRule="auto"/>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sz w:val="24"/>
              </w:rPr>
            </w:pPr>
          </w:p>
        </w:tc>
        <w:tc>
          <w:tcPr>
            <w:tcW w:w="2049" w:type="dxa"/>
          </w:tcPr>
          <w:p>
            <w:pPr>
              <w:spacing w:line="480" w:lineRule="auto"/>
              <w:rPr>
                <w:rFonts w:ascii="宋体"/>
                <w:sz w:val="24"/>
              </w:rPr>
            </w:pPr>
          </w:p>
        </w:tc>
        <w:tc>
          <w:tcPr>
            <w:tcW w:w="2917" w:type="dxa"/>
          </w:tcPr>
          <w:p>
            <w:pPr>
              <w:spacing w:line="480" w:lineRule="auto"/>
              <w:rPr>
                <w:rFonts w:ascii="宋体"/>
                <w:sz w:val="24"/>
              </w:rPr>
            </w:pPr>
          </w:p>
        </w:tc>
        <w:tc>
          <w:tcPr>
            <w:tcW w:w="2299" w:type="dxa"/>
          </w:tcPr>
          <w:p>
            <w:pPr>
              <w:spacing w:line="480" w:lineRule="auto"/>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sz w:val="24"/>
              </w:rPr>
            </w:pPr>
          </w:p>
        </w:tc>
        <w:tc>
          <w:tcPr>
            <w:tcW w:w="2049" w:type="dxa"/>
          </w:tcPr>
          <w:p>
            <w:pPr>
              <w:spacing w:line="480" w:lineRule="auto"/>
              <w:rPr>
                <w:rFonts w:ascii="宋体"/>
                <w:sz w:val="24"/>
              </w:rPr>
            </w:pPr>
          </w:p>
        </w:tc>
        <w:tc>
          <w:tcPr>
            <w:tcW w:w="2917" w:type="dxa"/>
          </w:tcPr>
          <w:p>
            <w:pPr>
              <w:spacing w:line="480" w:lineRule="auto"/>
              <w:rPr>
                <w:rFonts w:ascii="宋体"/>
                <w:sz w:val="24"/>
              </w:rPr>
            </w:pPr>
          </w:p>
        </w:tc>
        <w:tc>
          <w:tcPr>
            <w:tcW w:w="2299" w:type="dxa"/>
          </w:tcPr>
          <w:p>
            <w:pPr>
              <w:spacing w:line="480" w:lineRule="auto"/>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pPr>
              <w:spacing w:line="480" w:lineRule="auto"/>
              <w:rPr>
                <w:rFonts w:ascii="宋体"/>
                <w:sz w:val="24"/>
              </w:rPr>
            </w:pPr>
          </w:p>
        </w:tc>
        <w:tc>
          <w:tcPr>
            <w:tcW w:w="2049" w:type="dxa"/>
          </w:tcPr>
          <w:p>
            <w:pPr>
              <w:spacing w:line="480" w:lineRule="auto"/>
              <w:rPr>
                <w:rFonts w:ascii="宋体"/>
                <w:sz w:val="24"/>
              </w:rPr>
            </w:pPr>
          </w:p>
        </w:tc>
        <w:tc>
          <w:tcPr>
            <w:tcW w:w="2917" w:type="dxa"/>
          </w:tcPr>
          <w:p>
            <w:pPr>
              <w:spacing w:line="480" w:lineRule="auto"/>
              <w:rPr>
                <w:rFonts w:ascii="宋体"/>
                <w:sz w:val="24"/>
              </w:rPr>
            </w:pPr>
          </w:p>
        </w:tc>
        <w:tc>
          <w:tcPr>
            <w:tcW w:w="2299" w:type="dxa"/>
          </w:tcPr>
          <w:p>
            <w:pPr>
              <w:spacing w:line="480" w:lineRule="auto"/>
              <w:rPr>
                <w:rFonts w:ascii="宋体"/>
                <w:sz w:val="24"/>
              </w:rPr>
            </w:pPr>
          </w:p>
        </w:tc>
      </w:tr>
    </w:tbl>
    <w:p>
      <w:pPr>
        <w:pStyle w:val="13"/>
        <w:tabs>
          <w:tab w:val="left" w:pos="0"/>
          <w:tab w:val="left" w:pos="540"/>
        </w:tabs>
        <w:spacing w:line="300" w:lineRule="auto"/>
        <w:rPr>
          <w:rFonts w:hAnsi="宋体"/>
          <w:sz w:val="28"/>
          <w:szCs w:val="28"/>
        </w:rPr>
      </w:pPr>
      <w:r>
        <w:rPr>
          <w:rFonts w:hint="eastAsia" w:hAnsi="宋体"/>
          <w:sz w:val="22"/>
          <w:szCs w:val="22"/>
        </w:rPr>
        <w:t>注：此表仅提供了表格形式，供应商可按此表格复制。</w:t>
      </w:r>
    </w:p>
    <w:p>
      <w:pPr>
        <w:pStyle w:val="13"/>
        <w:spacing w:line="400" w:lineRule="atLeast"/>
        <w:rPr>
          <w:rFonts w:hAnsi="宋体"/>
          <w:sz w:val="22"/>
        </w:rPr>
      </w:pPr>
      <w:r>
        <w:rPr>
          <w:rFonts w:hint="eastAsia" w:hAnsi="宋体"/>
          <w:sz w:val="22"/>
        </w:rPr>
        <w:t>供应商名称（盖章）：</w:t>
      </w:r>
    </w:p>
    <w:p>
      <w:pPr>
        <w:pStyle w:val="13"/>
        <w:spacing w:line="400" w:lineRule="atLeast"/>
        <w:rPr>
          <w:rFonts w:hAnsi="宋体"/>
          <w:sz w:val="22"/>
        </w:rPr>
      </w:pPr>
      <w:r>
        <w:rPr>
          <w:rFonts w:hint="eastAsia" w:hAnsi="宋体"/>
          <w:sz w:val="22"/>
        </w:rPr>
        <w:t>授权代表（签字）：</w:t>
      </w:r>
    </w:p>
    <w:p>
      <w:pPr>
        <w:pStyle w:val="13"/>
        <w:spacing w:line="400" w:lineRule="atLeast"/>
        <w:rPr>
          <w:rFonts w:ascii="Cambria" w:hAnsi="Cambria"/>
          <w:b/>
          <w:bCs/>
          <w:sz w:val="28"/>
          <w:szCs w:val="32"/>
        </w:rPr>
      </w:pPr>
      <w:r>
        <w:rPr>
          <w:rFonts w:hint="eastAsia"/>
          <w:sz w:val="22"/>
        </w:rPr>
        <w:t>日期：</w:t>
      </w:r>
    </w:p>
    <w:p>
      <w:pPr>
        <w:spacing w:after="312" w:afterLines="100" w:line="400" w:lineRule="exact"/>
        <w:outlineLvl w:val="1"/>
        <w:rPr>
          <w:rFonts w:ascii="Cambria" w:hAnsi="Cambria"/>
          <w:b/>
          <w:bCs/>
          <w:sz w:val="28"/>
          <w:szCs w:val="32"/>
        </w:rPr>
      </w:pPr>
    </w:p>
    <w:p>
      <w:pPr>
        <w:spacing w:after="312" w:afterLines="100" w:line="400" w:lineRule="exact"/>
        <w:outlineLvl w:val="1"/>
        <w:rPr>
          <w:rFonts w:ascii="Cambria" w:hAnsi="Cambria"/>
          <w:b/>
          <w:bCs/>
          <w:sz w:val="28"/>
          <w:szCs w:val="32"/>
        </w:rPr>
      </w:pPr>
    </w:p>
    <w:p>
      <w:pPr>
        <w:spacing w:after="312" w:afterLines="100" w:line="400" w:lineRule="exact"/>
        <w:outlineLvl w:val="1"/>
        <w:rPr>
          <w:rFonts w:ascii="Cambria" w:hAnsi="Cambria"/>
          <w:b/>
          <w:bCs/>
          <w:sz w:val="28"/>
          <w:szCs w:val="32"/>
        </w:rPr>
      </w:pPr>
    </w:p>
    <w:p>
      <w:pPr>
        <w:spacing w:after="312" w:afterLines="100" w:line="400" w:lineRule="exact"/>
        <w:outlineLvl w:val="1"/>
        <w:rPr>
          <w:rFonts w:ascii="Cambria" w:hAnsi="Cambria"/>
          <w:b/>
          <w:bCs/>
          <w:sz w:val="22"/>
          <w:szCs w:val="22"/>
        </w:rPr>
      </w:pPr>
      <w:r>
        <w:rPr>
          <w:rFonts w:hint="eastAsia" w:ascii="Cambria" w:hAnsi="Cambria"/>
          <w:b/>
          <w:bCs/>
          <w:sz w:val="22"/>
          <w:szCs w:val="22"/>
        </w:rPr>
        <w:t>附件十七</w:t>
      </w:r>
    </w:p>
    <w:p>
      <w:pPr>
        <w:spacing w:after="312" w:afterLines="100" w:line="400" w:lineRule="exact"/>
        <w:jc w:val="center"/>
        <w:outlineLvl w:val="1"/>
        <w:rPr>
          <w:rFonts w:ascii="Cambria" w:hAnsi="Cambria"/>
          <w:b/>
          <w:bCs/>
          <w:sz w:val="28"/>
          <w:szCs w:val="32"/>
        </w:rPr>
      </w:pPr>
      <w:r>
        <w:rPr>
          <w:rFonts w:hint="eastAsia" w:ascii="Cambria" w:hAnsi="Cambria"/>
          <w:b/>
          <w:bCs/>
          <w:sz w:val="28"/>
          <w:szCs w:val="32"/>
        </w:rPr>
        <w:t>（</w:t>
      </w:r>
      <w:r>
        <w:rPr>
          <w:rFonts w:hint="eastAsia" w:ascii="Cambria" w:hAnsi="Cambria"/>
          <w:b/>
          <w:bCs/>
          <w:sz w:val="28"/>
          <w:szCs w:val="32"/>
          <w:lang w:val="en-US" w:eastAsia="zh-CN"/>
        </w:rPr>
        <w:t>一</w:t>
      </w:r>
      <w:r>
        <w:rPr>
          <w:rFonts w:hint="eastAsia" w:ascii="Cambria" w:hAnsi="Cambria"/>
          <w:b/>
          <w:bCs/>
          <w:sz w:val="28"/>
          <w:szCs w:val="32"/>
        </w:rPr>
        <w:t>） 承诺书</w:t>
      </w:r>
    </w:p>
    <w:p>
      <w:pPr>
        <w:spacing w:before="78" w:beforeLines="25" w:after="312" w:afterLines="100" w:line="700" w:lineRule="exact"/>
        <w:rPr>
          <w:rFonts w:ascii="宋体" w:hAnsi="宋体"/>
          <w:u w:val="single"/>
        </w:rPr>
      </w:pPr>
      <w:r>
        <w:rPr>
          <w:rFonts w:hint="eastAsia" w:ascii="宋体" w:hAnsi="宋体"/>
        </w:rPr>
        <w:t>致：</w:t>
      </w:r>
      <w:r>
        <w:rPr>
          <w:rFonts w:hint="eastAsia" w:ascii="宋体" w:hAnsi="宋体"/>
          <w:u w:val="single"/>
        </w:rPr>
        <w:t xml:space="preserve">  （采购人全称）  </w:t>
      </w:r>
    </w:p>
    <w:p>
      <w:pPr>
        <w:spacing w:line="600" w:lineRule="exact"/>
        <w:ind w:firstLine="420"/>
        <w:rPr>
          <w:rFonts w:ascii="宋体" w:hAnsi="宋体"/>
        </w:rPr>
      </w:pPr>
      <w:r>
        <w:rPr>
          <w:rFonts w:hint="eastAsia" w:ascii="宋体" w:hAnsi="宋体"/>
        </w:rPr>
        <w:t>我单位承诺为</w:t>
      </w:r>
      <w:r>
        <w:rPr>
          <w:rFonts w:hint="eastAsia" w:ascii="宋体" w:hAnsi="宋体"/>
          <w:u w:val="single"/>
        </w:rPr>
        <w:t xml:space="preserve">               </w:t>
      </w:r>
      <w:r>
        <w:rPr>
          <w:rFonts w:hint="eastAsia" w:ascii="宋体" w:hAnsi="宋体"/>
        </w:rPr>
        <w:t>项目，按</w:t>
      </w:r>
      <w:r>
        <w:rPr>
          <w:rFonts w:hint="eastAsia" w:ascii="宋体" w:hAnsi="宋体"/>
          <w:lang w:val="en-US" w:eastAsia="zh-CN"/>
        </w:rPr>
        <w:t>采购</w:t>
      </w:r>
      <w:r>
        <w:rPr>
          <w:rFonts w:hint="eastAsia" w:ascii="宋体" w:hAnsi="宋体"/>
        </w:rPr>
        <w:t>文件要求提供本次所需绿化养护技工30人，</w:t>
      </w:r>
      <w:r>
        <w:rPr>
          <w:rFonts w:hint="eastAsia" w:ascii="宋体" w:hAnsi="宋体"/>
          <w:lang w:val="en-US" w:eastAsia="zh-CN"/>
        </w:rPr>
        <w:t>1辆</w:t>
      </w:r>
      <w:r>
        <w:rPr>
          <w:rFonts w:hint="eastAsia" w:ascii="宋体" w:hAnsi="宋体"/>
        </w:rPr>
        <w:t>洒水车总质量≥</w:t>
      </w:r>
      <w:r>
        <w:rPr>
          <w:rFonts w:hint="eastAsia" w:ascii="宋体" w:hAnsi="宋体"/>
          <w:highlight w:val="none"/>
          <w:lang w:val="en-US" w:eastAsia="zh-CN"/>
        </w:rPr>
        <w:t>1600</w:t>
      </w:r>
      <w:r>
        <w:rPr>
          <w:rFonts w:hint="eastAsia" w:ascii="宋体" w:hAnsi="宋体"/>
          <w:highlight w:val="none"/>
        </w:rPr>
        <w:t>0kg</w:t>
      </w:r>
      <w:r>
        <w:rPr>
          <w:rFonts w:hint="eastAsia" w:ascii="宋体" w:hAnsi="宋体"/>
        </w:rPr>
        <w:t>，将保证在采购单位确定中标候选人7日内，提供人员近三个月的社保缴纳证明及车辆行驶证，根据&lt;采购法&gt;第三十六条第（二）项招标采购过程中出现影响采购公正的违法、违规行为的予以废标，按提供虚假承诺的情况向财政部门汇报。并承担因此引起的一切法律后果。</w:t>
      </w:r>
    </w:p>
    <w:p>
      <w:pPr>
        <w:spacing w:before="78" w:beforeLines="25" w:after="312" w:afterLines="100" w:line="700" w:lineRule="exact"/>
        <w:ind w:firstLine="420"/>
        <w:rPr>
          <w:rFonts w:ascii="宋体" w:hAnsi="宋体"/>
        </w:rPr>
      </w:pPr>
      <w:r>
        <w:rPr>
          <w:rFonts w:hint="eastAsia" w:ascii="宋体" w:hAnsi="宋体"/>
        </w:rPr>
        <w:t>特此承诺。</w:t>
      </w:r>
    </w:p>
    <w:p>
      <w:pPr>
        <w:spacing w:before="78" w:beforeLines="25" w:after="312" w:afterLines="100"/>
        <w:ind w:firstLine="420"/>
        <w:rPr>
          <w:rFonts w:ascii="宋体" w:hAnsi="宋体"/>
          <w:u w:val="single"/>
        </w:rPr>
      </w:pPr>
    </w:p>
    <w:p>
      <w:pPr>
        <w:spacing w:before="78" w:beforeLines="25" w:after="312" w:afterLines="100"/>
        <w:ind w:firstLine="420"/>
        <w:rPr>
          <w:rFonts w:ascii="宋体" w:hAnsi="宋体"/>
          <w:u w:val="single"/>
        </w:rPr>
      </w:pPr>
    </w:p>
    <w:p>
      <w:pPr>
        <w:widowControl/>
        <w:spacing w:line="460" w:lineRule="atLeast"/>
        <w:jc w:val="left"/>
        <w:rPr>
          <w:rFonts w:ascii="宋体"/>
          <w:sz w:val="22"/>
          <w:szCs w:val="22"/>
        </w:rPr>
      </w:pPr>
      <w:r>
        <w:rPr>
          <w:rFonts w:hint="eastAsia" w:ascii="宋体"/>
          <w:sz w:val="22"/>
          <w:szCs w:val="22"/>
        </w:rPr>
        <w:t xml:space="preserve">供应商全称（盖章）：                          </w:t>
      </w:r>
    </w:p>
    <w:p>
      <w:pPr>
        <w:pStyle w:val="13"/>
        <w:spacing w:line="400" w:lineRule="atLeast"/>
        <w:rPr>
          <w:rFonts w:hAnsi="宋体"/>
          <w:sz w:val="22"/>
        </w:rPr>
      </w:pPr>
      <w:r>
        <w:rPr>
          <w:rFonts w:hint="eastAsia" w:hAnsi="宋体"/>
          <w:sz w:val="22"/>
        </w:rPr>
        <w:t>授权代表（签字）：</w:t>
      </w:r>
    </w:p>
    <w:p>
      <w:pPr>
        <w:widowControl/>
        <w:spacing w:line="460" w:lineRule="atLeast"/>
        <w:jc w:val="left"/>
        <w:rPr>
          <w:rFonts w:hint="eastAsia" w:ascii="宋体"/>
          <w:sz w:val="22"/>
          <w:szCs w:val="22"/>
        </w:rPr>
      </w:pPr>
      <w:r>
        <w:rPr>
          <w:rFonts w:hint="eastAsia" w:ascii="宋体"/>
          <w:sz w:val="22"/>
          <w:szCs w:val="22"/>
        </w:rPr>
        <w:t>日期：  年  月  日</w:t>
      </w:r>
    </w:p>
    <w:p>
      <w:pPr>
        <w:pStyle w:val="10"/>
        <w:rPr>
          <w:rFonts w:hint="eastAsia" w:ascii="宋体"/>
          <w:sz w:val="22"/>
          <w:szCs w:val="22"/>
        </w:rPr>
      </w:pPr>
    </w:p>
    <w:p>
      <w:pPr>
        <w:rPr>
          <w:rFonts w:hint="eastAsia" w:ascii="宋体"/>
          <w:sz w:val="22"/>
          <w:szCs w:val="22"/>
        </w:rPr>
      </w:pPr>
    </w:p>
    <w:p>
      <w:pPr>
        <w:pStyle w:val="10"/>
        <w:rPr>
          <w:rFonts w:hint="eastAsia" w:ascii="宋体"/>
          <w:sz w:val="22"/>
          <w:szCs w:val="22"/>
        </w:rPr>
      </w:pPr>
    </w:p>
    <w:p>
      <w:pPr>
        <w:rPr>
          <w:rFonts w:hint="eastAsia" w:ascii="宋体"/>
          <w:sz w:val="22"/>
          <w:szCs w:val="22"/>
        </w:rPr>
      </w:pPr>
    </w:p>
    <w:p>
      <w:pPr>
        <w:pStyle w:val="10"/>
        <w:rPr>
          <w:rFonts w:hint="eastAsia" w:ascii="宋体"/>
          <w:sz w:val="22"/>
          <w:szCs w:val="22"/>
        </w:rPr>
      </w:pPr>
    </w:p>
    <w:p>
      <w:pPr>
        <w:rPr>
          <w:rFonts w:hint="eastAsia" w:ascii="宋体"/>
          <w:sz w:val="22"/>
          <w:szCs w:val="22"/>
        </w:rPr>
      </w:pPr>
    </w:p>
    <w:p>
      <w:pPr>
        <w:pStyle w:val="10"/>
        <w:rPr>
          <w:rFonts w:hint="eastAsia" w:ascii="宋体"/>
          <w:sz w:val="22"/>
          <w:szCs w:val="22"/>
        </w:rPr>
      </w:pPr>
    </w:p>
    <w:p>
      <w:pPr>
        <w:rPr>
          <w:rFonts w:hint="eastAsia" w:ascii="宋体"/>
          <w:sz w:val="22"/>
          <w:szCs w:val="22"/>
        </w:rPr>
      </w:pPr>
    </w:p>
    <w:p>
      <w:pPr>
        <w:pStyle w:val="10"/>
        <w:rPr>
          <w:rFonts w:hint="eastAsia" w:ascii="宋体"/>
          <w:sz w:val="22"/>
          <w:szCs w:val="22"/>
        </w:rPr>
      </w:pPr>
    </w:p>
    <w:p>
      <w:pPr>
        <w:rPr>
          <w:rFonts w:hint="eastAsia" w:ascii="宋体"/>
          <w:sz w:val="22"/>
          <w:szCs w:val="22"/>
        </w:rPr>
      </w:pPr>
    </w:p>
    <w:p>
      <w:pPr>
        <w:spacing w:after="312" w:afterLines="100" w:line="400" w:lineRule="exact"/>
        <w:jc w:val="center"/>
        <w:outlineLvl w:val="1"/>
        <w:rPr>
          <w:rFonts w:hint="eastAsia" w:ascii="Cambria" w:hAnsi="Cambria"/>
          <w:b/>
          <w:bCs/>
          <w:sz w:val="28"/>
          <w:szCs w:val="32"/>
        </w:rPr>
        <w:sectPr>
          <w:pgSz w:w="11906" w:h="16838"/>
          <w:pgMar w:top="1134" w:right="1134" w:bottom="1134" w:left="1134" w:header="851" w:footer="850" w:gutter="0"/>
          <w:cols w:space="720" w:num="1"/>
          <w:titlePg/>
          <w:docGrid w:type="lines" w:linePitch="312" w:charSpace="0"/>
        </w:sectPr>
      </w:pPr>
    </w:p>
    <w:p>
      <w:pPr>
        <w:spacing w:after="312" w:afterLines="100" w:line="400" w:lineRule="exact"/>
        <w:jc w:val="center"/>
        <w:outlineLvl w:val="1"/>
        <w:rPr>
          <w:rFonts w:hint="eastAsia" w:ascii="Cambria" w:hAnsi="Cambria"/>
          <w:b/>
          <w:bCs/>
          <w:sz w:val="28"/>
          <w:szCs w:val="32"/>
        </w:rPr>
      </w:pPr>
    </w:p>
    <w:p>
      <w:pPr>
        <w:spacing w:after="312" w:afterLines="100" w:line="400" w:lineRule="exact"/>
        <w:jc w:val="center"/>
        <w:outlineLvl w:val="1"/>
        <w:rPr>
          <w:rFonts w:ascii="Cambria" w:hAnsi="Cambria"/>
          <w:b/>
          <w:bCs/>
          <w:sz w:val="28"/>
          <w:szCs w:val="32"/>
        </w:rPr>
      </w:pPr>
      <w:r>
        <w:rPr>
          <w:rFonts w:hint="eastAsia" w:ascii="Cambria" w:hAnsi="Cambria"/>
          <w:b/>
          <w:bCs/>
          <w:sz w:val="28"/>
          <w:szCs w:val="32"/>
        </w:rPr>
        <w:t>（</w:t>
      </w:r>
      <w:r>
        <w:rPr>
          <w:rFonts w:hint="eastAsia" w:ascii="Cambria" w:hAnsi="Cambria"/>
          <w:b/>
          <w:bCs/>
          <w:sz w:val="28"/>
          <w:szCs w:val="32"/>
          <w:lang w:val="en-US" w:eastAsia="zh-CN"/>
        </w:rPr>
        <w:t>二</w:t>
      </w:r>
      <w:r>
        <w:rPr>
          <w:rFonts w:hint="eastAsia" w:ascii="Cambria" w:hAnsi="Cambria"/>
          <w:b/>
          <w:bCs/>
          <w:sz w:val="28"/>
          <w:szCs w:val="32"/>
        </w:rPr>
        <w:t>） 投入本项目的车辆承诺书</w:t>
      </w:r>
    </w:p>
    <w:p>
      <w:pPr>
        <w:spacing w:before="78" w:beforeLines="25" w:after="312" w:afterLines="100" w:line="700" w:lineRule="exact"/>
        <w:rPr>
          <w:rFonts w:ascii="宋体" w:hAnsi="宋体"/>
          <w:u w:val="single"/>
        </w:rPr>
      </w:pPr>
      <w:r>
        <w:rPr>
          <w:rFonts w:hint="eastAsia" w:ascii="宋体" w:hAnsi="宋体"/>
        </w:rPr>
        <w:t>致：</w:t>
      </w:r>
      <w:r>
        <w:rPr>
          <w:rFonts w:hint="eastAsia" w:ascii="宋体" w:hAnsi="宋体"/>
          <w:u w:val="single"/>
        </w:rPr>
        <w:t xml:space="preserve">  （采购人全称）  </w:t>
      </w:r>
    </w:p>
    <w:p>
      <w:pPr>
        <w:spacing w:line="600" w:lineRule="exact"/>
        <w:ind w:firstLine="420"/>
        <w:rPr>
          <w:rFonts w:hint="eastAsia" w:ascii="宋体" w:hAnsi="宋体"/>
          <w:u w:val="single"/>
          <w:lang w:val="en-US" w:eastAsia="zh-CN"/>
        </w:rPr>
      </w:pPr>
      <w:r>
        <w:rPr>
          <w:rFonts w:hint="eastAsia" w:ascii="宋体" w:hAnsi="宋体"/>
        </w:rPr>
        <w:t>我单位承诺为</w:t>
      </w:r>
      <w:r>
        <w:rPr>
          <w:rFonts w:hint="eastAsia" w:ascii="宋体" w:hAnsi="宋体"/>
          <w:u w:val="single"/>
        </w:rPr>
        <w:t xml:space="preserve">               </w:t>
      </w:r>
      <w:r>
        <w:rPr>
          <w:rFonts w:hint="eastAsia" w:ascii="宋体" w:hAnsi="宋体"/>
        </w:rPr>
        <w:t>项目，按</w:t>
      </w:r>
      <w:r>
        <w:rPr>
          <w:rFonts w:hint="eastAsia" w:ascii="宋体" w:hAnsi="宋体"/>
          <w:lang w:val="en-US" w:eastAsia="zh-CN"/>
        </w:rPr>
        <w:t>采购</w:t>
      </w:r>
      <w:r>
        <w:rPr>
          <w:rFonts w:hint="eastAsia" w:ascii="宋体" w:hAnsi="宋体"/>
        </w:rPr>
        <w:t>文件</w:t>
      </w:r>
      <w:r>
        <w:rPr>
          <w:rFonts w:hint="eastAsia" w:ascii="宋体" w:hAnsi="宋体"/>
          <w:lang w:val="en-US" w:eastAsia="zh-CN"/>
        </w:rPr>
        <w:t>评标办法</w:t>
      </w:r>
      <w:r>
        <w:rPr>
          <w:rFonts w:hint="eastAsia" w:ascii="宋体" w:hAnsi="宋体"/>
        </w:rPr>
        <w:t>要求提供</w:t>
      </w:r>
      <w:r>
        <w:rPr>
          <w:rFonts w:hint="eastAsia" w:ascii="宋体" w:hAnsi="宋体"/>
          <w:lang w:eastAsia="zh-CN"/>
        </w:rPr>
        <w:t>（</w:t>
      </w:r>
      <w:r>
        <w:rPr>
          <w:rFonts w:hint="eastAsia" w:ascii="宋体" w:hAnsi="宋体"/>
          <w:u w:val="single"/>
          <w:lang w:val="en-US" w:eastAsia="zh-CN"/>
        </w:rPr>
        <w:t xml:space="preserve">   </w:t>
      </w:r>
      <w:r>
        <w:rPr>
          <w:rFonts w:hint="eastAsia" w:ascii="宋体" w:hAnsi="宋体"/>
          <w:lang w:val="en-US" w:eastAsia="zh-CN"/>
        </w:rPr>
        <w:t>辆</w:t>
      </w:r>
      <w:r>
        <w:rPr>
          <w:rFonts w:hint="eastAsia" w:ascii="宋体" w:hAnsi="宋体"/>
        </w:rPr>
        <w:t>洒水车总质量≥</w:t>
      </w:r>
      <w:r>
        <w:rPr>
          <w:rFonts w:hint="eastAsia" w:ascii="宋体" w:hAnsi="宋体"/>
          <w:highlight w:val="none"/>
          <w:lang w:val="en-US" w:eastAsia="zh-CN"/>
        </w:rPr>
        <w:t>1600</w:t>
      </w:r>
      <w:r>
        <w:rPr>
          <w:rFonts w:hint="eastAsia" w:ascii="宋体" w:hAnsi="宋体"/>
          <w:highlight w:val="none"/>
        </w:rPr>
        <w:t>0kg</w:t>
      </w:r>
      <w:r>
        <w:rPr>
          <w:rFonts w:hint="eastAsia" w:ascii="宋体" w:hAnsi="宋体"/>
          <w:lang w:eastAsia="zh-CN"/>
        </w:rPr>
        <w:t>、</w:t>
      </w:r>
      <w:r>
        <w:rPr>
          <w:rFonts w:hint="eastAsia" w:ascii="宋体" w:hAnsi="宋体"/>
          <w:u w:val="single"/>
          <w:lang w:val="en-US" w:eastAsia="zh-CN"/>
        </w:rPr>
        <w:t xml:space="preserve"> </w:t>
      </w:r>
    </w:p>
    <w:p>
      <w:pPr>
        <w:spacing w:line="600" w:lineRule="exact"/>
        <w:ind w:firstLine="0" w:firstLineChars="0"/>
        <w:rPr>
          <w:rFonts w:ascii="宋体" w:hAnsi="宋体"/>
        </w:rPr>
      </w:pPr>
      <w:r>
        <w:rPr>
          <w:rFonts w:hint="eastAsia" w:ascii="宋体" w:hAnsi="宋体"/>
          <w:u w:val="single"/>
          <w:lang w:val="en-US" w:eastAsia="zh-CN"/>
        </w:rPr>
        <w:t xml:space="preserve">   </w:t>
      </w:r>
      <w:r>
        <w:rPr>
          <w:rFonts w:hint="eastAsia" w:ascii="宋体" w:hAnsi="宋体"/>
          <w:lang w:val="en-US" w:eastAsia="zh-CN"/>
        </w:rPr>
        <w:t>辆</w:t>
      </w:r>
      <w:r>
        <w:rPr>
          <w:rFonts w:hint="eastAsia" w:ascii="宋体" w:hAnsi="宋体"/>
          <w:lang w:eastAsia="zh-CN"/>
        </w:rPr>
        <w:t>封闭式垃圾运输车总质量≥</w:t>
      </w:r>
      <w:r>
        <w:rPr>
          <w:rFonts w:hint="eastAsia" w:ascii="宋体" w:hAnsi="宋体"/>
          <w:lang w:val="en-US" w:eastAsia="zh-CN"/>
        </w:rPr>
        <w:t>4000kg、</w:t>
      </w:r>
      <w:r>
        <w:rPr>
          <w:rFonts w:hint="eastAsia" w:ascii="宋体" w:hAnsi="宋体"/>
          <w:u w:val="single"/>
          <w:lang w:val="en-US" w:eastAsia="zh-CN"/>
        </w:rPr>
        <w:t xml:space="preserve">    </w:t>
      </w:r>
      <w:r>
        <w:rPr>
          <w:rFonts w:hint="eastAsia" w:ascii="宋体" w:hAnsi="宋体"/>
          <w:u w:val="none"/>
          <w:lang w:val="en-US" w:eastAsia="zh-CN"/>
        </w:rPr>
        <w:t>辆</w:t>
      </w:r>
      <w:r>
        <w:rPr>
          <w:rFonts w:hint="eastAsia" w:ascii="宋体" w:hAnsi="宋体"/>
          <w:lang w:val="en-US" w:eastAsia="zh-CN"/>
        </w:rPr>
        <w:t>登高车、</w:t>
      </w:r>
      <w:r>
        <w:rPr>
          <w:rFonts w:hint="eastAsia" w:ascii="宋体" w:hAnsi="宋体"/>
          <w:u w:val="single"/>
          <w:lang w:val="en-US" w:eastAsia="zh-CN"/>
        </w:rPr>
        <w:t xml:space="preserve">    </w:t>
      </w:r>
      <w:r>
        <w:rPr>
          <w:rFonts w:hint="eastAsia" w:ascii="宋体" w:hAnsi="宋体"/>
          <w:u w:val="none"/>
          <w:lang w:val="en-US" w:eastAsia="zh-CN"/>
        </w:rPr>
        <w:t>辆</w:t>
      </w:r>
      <w:r>
        <w:rPr>
          <w:rFonts w:hint="eastAsia" w:ascii="宋体" w:hAnsi="宋体"/>
          <w:lang w:val="en-US" w:eastAsia="zh-CN"/>
        </w:rPr>
        <w:t>工程车（轻型自卸货车）</w:t>
      </w:r>
      <w:r>
        <w:rPr>
          <w:rFonts w:hint="eastAsia" w:ascii="宋体" w:hAnsi="宋体"/>
          <w:color w:val="auto"/>
          <w:lang w:eastAsia="zh-CN"/>
        </w:rPr>
        <w:t>）</w:t>
      </w:r>
      <w:r>
        <w:rPr>
          <w:rFonts w:hint="eastAsia" w:ascii="宋体" w:hAnsi="宋体"/>
        </w:rPr>
        <w:t>，将保证在采购单位确定中标候选人7日内，</w:t>
      </w:r>
      <w:r>
        <w:rPr>
          <w:rFonts w:hint="eastAsia" w:ascii="宋体" w:hAnsi="宋体"/>
          <w:lang w:val="en-US" w:eastAsia="zh-CN"/>
        </w:rPr>
        <w:t>提供以上</w:t>
      </w:r>
      <w:r>
        <w:rPr>
          <w:rFonts w:hint="eastAsia" w:ascii="宋体" w:hAnsi="宋体"/>
        </w:rPr>
        <w:t>车辆行驶证</w:t>
      </w:r>
      <w:r>
        <w:rPr>
          <w:rFonts w:hint="eastAsia" w:ascii="宋体" w:hAnsi="宋体"/>
          <w:lang w:eastAsia="zh-CN"/>
        </w:rPr>
        <w:t>（车辆年限不得大于</w:t>
      </w:r>
      <w:r>
        <w:rPr>
          <w:rFonts w:hint="eastAsia" w:ascii="宋体" w:hAnsi="宋体"/>
          <w:lang w:val="en-US" w:eastAsia="zh-CN"/>
        </w:rPr>
        <w:t>5年）</w:t>
      </w:r>
      <w:r>
        <w:rPr>
          <w:rFonts w:hint="eastAsia" w:ascii="宋体" w:hAnsi="宋体"/>
        </w:rPr>
        <w:t>，根据&lt;采购法&gt;第三十六条第（二）项招标采购过程中出现影响采购公正的违法、违规行为的予以废标，按提供虚假承诺的情况向财政部门汇报。并承担因此引起的一切法律后果。</w:t>
      </w:r>
    </w:p>
    <w:p>
      <w:pPr>
        <w:spacing w:before="78" w:beforeLines="25" w:after="312" w:afterLines="100" w:line="700" w:lineRule="exact"/>
        <w:ind w:firstLine="420"/>
        <w:rPr>
          <w:rFonts w:ascii="宋体" w:hAnsi="宋体"/>
        </w:rPr>
      </w:pPr>
      <w:r>
        <w:rPr>
          <w:rFonts w:hint="eastAsia" w:ascii="宋体" w:hAnsi="宋体"/>
        </w:rPr>
        <w:t>特此承诺。</w:t>
      </w:r>
    </w:p>
    <w:p>
      <w:pPr>
        <w:spacing w:before="78" w:beforeLines="25" w:after="312" w:afterLines="100"/>
        <w:ind w:firstLine="420"/>
        <w:rPr>
          <w:rFonts w:ascii="宋体" w:hAnsi="宋体"/>
          <w:u w:val="single"/>
        </w:rPr>
      </w:pPr>
    </w:p>
    <w:p>
      <w:pPr>
        <w:spacing w:before="78" w:beforeLines="25" w:after="312" w:afterLines="100"/>
        <w:ind w:firstLine="420"/>
        <w:rPr>
          <w:rFonts w:ascii="宋体" w:hAnsi="宋体"/>
          <w:u w:val="single"/>
        </w:rPr>
      </w:pPr>
    </w:p>
    <w:p>
      <w:pPr>
        <w:widowControl/>
        <w:spacing w:line="460" w:lineRule="atLeast"/>
        <w:jc w:val="left"/>
        <w:rPr>
          <w:rFonts w:ascii="宋体"/>
          <w:sz w:val="22"/>
          <w:szCs w:val="22"/>
        </w:rPr>
      </w:pPr>
      <w:r>
        <w:rPr>
          <w:rFonts w:hint="eastAsia" w:ascii="宋体"/>
          <w:sz w:val="22"/>
          <w:szCs w:val="22"/>
        </w:rPr>
        <w:t xml:space="preserve">供应商全称（盖章）：                          </w:t>
      </w:r>
    </w:p>
    <w:p>
      <w:pPr>
        <w:pStyle w:val="13"/>
        <w:spacing w:line="400" w:lineRule="atLeast"/>
        <w:rPr>
          <w:rFonts w:hAnsi="宋体"/>
          <w:sz w:val="22"/>
        </w:rPr>
      </w:pPr>
      <w:r>
        <w:rPr>
          <w:rFonts w:hint="eastAsia" w:hAnsi="宋体"/>
          <w:sz w:val="22"/>
        </w:rPr>
        <w:t>授权代表（签字）：</w:t>
      </w:r>
    </w:p>
    <w:p>
      <w:pPr>
        <w:widowControl/>
        <w:spacing w:line="460" w:lineRule="atLeast"/>
        <w:jc w:val="left"/>
        <w:sectPr>
          <w:pgSz w:w="11906" w:h="16838"/>
          <w:pgMar w:top="1134" w:right="1134" w:bottom="1134" w:left="1134" w:header="851" w:footer="850" w:gutter="0"/>
          <w:cols w:space="720" w:num="1"/>
          <w:titlePg/>
          <w:docGrid w:type="lines" w:linePitch="312" w:charSpace="0"/>
        </w:sectPr>
      </w:pPr>
      <w:r>
        <w:rPr>
          <w:rFonts w:hint="eastAsia" w:ascii="宋体"/>
          <w:sz w:val="22"/>
          <w:szCs w:val="22"/>
        </w:rPr>
        <w:t>日期：  年  月  日</w:t>
      </w:r>
    </w:p>
    <w:bookmarkEnd w:id="85"/>
    <w:p>
      <w:pPr>
        <w:pStyle w:val="23"/>
        <w:jc w:val="center"/>
        <w:rPr>
          <w:rFonts w:ascii="宋体" w:hAnsi="宋体" w:cs="宋体"/>
          <w:sz w:val="30"/>
          <w:szCs w:val="30"/>
        </w:rPr>
      </w:pPr>
      <w:bookmarkStart w:id="175" w:name="_Toc73091452"/>
      <w:r>
        <w:rPr>
          <w:rFonts w:hint="eastAsia" w:ascii="宋体" w:hAnsi="宋体" w:cs="宋体"/>
          <w:sz w:val="30"/>
          <w:szCs w:val="30"/>
        </w:rPr>
        <w:t>第七部分 评标定标办法</w:t>
      </w:r>
      <w:bookmarkEnd w:id="79"/>
      <w:bookmarkEnd w:id="80"/>
      <w:bookmarkEnd w:id="81"/>
      <w:bookmarkEnd w:id="175"/>
    </w:p>
    <w:p>
      <w:pPr>
        <w:tabs>
          <w:tab w:val="left" w:pos="8820"/>
        </w:tabs>
        <w:adjustRightInd w:val="0"/>
        <w:snapToGrid w:val="0"/>
        <w:spacing w:before="100" w:after="50" w:line="460" w:lineRule="atLeast"/>
        <w:ind w:firstLine="440" w:firstLineChars="200"/>
        <w:rPr>
          <w:rFonts w:ascii="宋体" w:hAnsi="宋体" w:cs="宋体"/>
          <w:sz w:val="22"/>
          <w:szCs w:val="22"/>
        </w:rPr>
      </w:pPr>
      <w:r>
        <w:rPr>
          <w:rFonts w:hint="eastAsia" w:ascii="宋体" w:hAnsi="宋体" w:cs="宋体"/>
          <w:sz w:val="22"/>
          <w:szCs w:val="22"/>
        </w:rPr>
        <w:t>根据《中华人民共和国政府采购法》等有关政府采购法规，结合本次所要采购服务的实际，按照公平、公正、科学、择优的原则选择中标供应商，特制定本评标办法。</w:t>
      </w:r>
    </w:p>
    <w:p>
      <w:pPr>
        <w:adjustRightInd w:val="0"/>
        <w:snapToGrid w:val="0"/>
        <w:spacing w:before="156" w:beforeLines="50" w:after="50" w:line="460" w:lineRule="atLeast"/>
        <w:jc w:val="center"/>
        <w:rPr>
          <w:rFonts w:ascii="宋体" w:hAnsi="宋体" w:cs="宋体"/>
          <w:sz w:val="22"/>
          <w:szCs w:val="22"/>
        </w:rPr>
      </w:pPr>
      <w:r>
        <w:rPr>
          <w:rFonts w:hint="eastAsia" w:ascii="宋体" w:hAnsi="宋体" w:cs="宋体"/>
          <w:sz w:val="22"/>
          <w:szCs w:val="22"/>
        </w:rPr>
        <w:t>一、总则</w:t>
      </w:r>
    </w:p>
    <w:p>
      <w:pPr>
        <w:pStyle w:val="14"/>
        <w:adjustRightInd w:val="0"/>
        <w:snapToGrid w:val="0"/>
        <w:spacing w:before="100" w:after="50" w:line="460" w:lineRule="atLeast"/>
        <w:rPr>
          <w:rFonts w:eastAsia="宋体"/>
          <w:b w:val="0"/>
          <w:bCs w:val="0"/>
          <w:color w:val="auto"/>
          <w:sz w:val="22"/>
          <w:szCs w:val="22"/>
        </w:rPr>
      </w:pPr>
      <w:r>
        <w:rPr>
          <w:rFonts w:hint="eastAsia" w:eastAsia="宋体"/>
          <w:b w:val="0"/>
          <w:bCs w:val="0"/>
          <w:color w:val="auto"/>
          <w:sz w:val="22"/>
          <w:szCs w:val="22"/>
        </w:rPr>
        <w:t>评标工作遵循公平、公正、民主、科学的原则和诚实、信誉、效率的服务原则。本着科学、严谨的态度，认真进行评标。择优选定服务供应商，确保服务质量，最大限度的保护当事人权益，严格按照招标文件的商务、技术要求，对投标文件进行综合评定，提出优选方案，编写评标报告。评标委员会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pPr>
        <w:adjustRightInd w:val="0"/>
        <w:snapToGrid w:val="0"/>
        <w:spacing w:before="156" w:beforeLines="50" w:after="50" w:line="460" w:lineRule="atLeast"/>
        <w:jc w:val="center"/>
        <w:rPr>
          <w:rFonts w:ascii="宋体" w:hAnsi="宋体" w:cs="宋体"/>
          <w:sz w:val="22"/>
          <w:szCs w:val="22"/>
        </w:rPr>
      </w:pPr>
      <w:r>
        <w:rPr>
          <w:rFonts w:hint="eastAsia" w:ascii="宋体" w:hAnsi="宋体" w:cs="宋体"/>
          <w:sz w:val="22"/>
          <w:szCs w:val="22"/>
        </w:rPr>
        <w:t>二、评标组织</w:t>
      </w:r>
    </w:p>
    <w:p>
      <w:pPr>
        <w:pStyle w:val="14"/>
        <w:adjustRightInd w:val="0"/>
        <w:snapToGrid w:val="0"/>
        <w:spacing w:before="100" w:after="50" w:line="460" w:lineRule="atLeast"/>
        <w:rPr>
          <w:rFonts w:eastAsia="宋体"/>
          <w:b w:val="0"/>
          <w:bCs w:val="0"/>
          <w:color w:val="auto"/>
          <w:sz w:val="22"/>
          <w:szCs w:val="22"/>
        </w:rPr>
      </w:pPr>
      <w:r>
        <w:rPr>
          <w:rFonts w:hint="eastAsia" w:eastAsia="宋体"/>
          <w:b w:val="0"/>
          <w:bCs w:val="0"/>
          <w:color w:val="auto"/>
          <w:sz w:val="22"/>
          <w:szCs w:val="22"/>
        </w:rPr>
        <w:t>评标工作由采购人依法组建的评标委员会负责，评标委员会由采购人代表以及评标专家库中随机抽取的有关技术、经济专家共同组成。评标全过程由采购管理部门监督整个开标、评标和定标过程。</w:t>
      </w:r>
    </w:p>
    <w:p>
      <w:pPr>
        <w:pStyle w:val="59"/>
        <w:widowControl w:val="0"/>
        <w:pBdr>
          <w:left w:val="none" w:color="auto" w:sz="0" w:space="0"/>
          <w:bottom w:val="none" w:color="auto" w:sz="0" w:space="0"/>
          <w:right w:val="none" w:color="auto" w:sz="0" w:space="0"/>
        </w:pBdr>
        <w:adjustRightInd w:val="0"/>
        <w:snapToGrid w:val="0"/>
        <w:spacing w:before="156" w:beforeLines="50" w:beforeAutospacing="0" w:after="50" w:afterAutospacing="0" w:line="460" w:lineRule="atLeast"/>
        <w:textAlignment w:val="auto"/>
        <w:rPr>
          <w:rFonts w:ascii="宋体" w:hAnsi="宋体" w:cs="宋体"/>
          <w:b w:val="0"/>
          <w:bCs w:val="0"/>
          <w:kern w:val="2"/>
          <w:sz w:val="22"/>
          <w:szCs w:val="22"/>
        </w:rPr>
      </w:pPr>
      <w:r>
        <w:rPr>
          <w:rFonts w:hint="eastAsia" w:ascii="宋体" w:hAnsi="宋体" w:cs="宋体"/>
          <w:b w:val="0"/>
          <w:bCs w:val="0"/>
          <w:kern w:val="2"/>
          <w:sz w:val="22"/>
          <w:szCs w:val="22"/>
        </w:rPr>
        <w:t>三、评标程序</w:t>
      </w:r>
    </w:p>
    <w:p>
      <w:pPr>
        <w:adjustRightInd w:val="0"/>
        <w:snapToGrid w:val="0"/>
        <w:spacing w:before="100" w:after="50" w:line="460" w:lineRule="atLeast"/>
        <w:ind w:firstLine="440" w:firstLineChars="200"/>
        <w:rPr>
          <w:rFonts w:ascii="宋体" w:hAnsi="宋体" w:cs="宋体"/>
          <w:sz w:val="22"/>
          <w:szCs w:val="22"/>
        </w:rPr>
      </w:pPr>
      <w:r>
        <w:rPr>
          <w:rFonts w:hint="eastAsia" w:ascii="宋体" w:hAnsi="宋体" w:cs="宋体"/>
          <w:sz w:val="22"/>
          <w:szCs w:val="22"/>
        </w:rPr>
        <w:t>1、开标后，采购人或采购代理机构对各投标人的资格进行审查；然后评标委员会对合格投标人进行符合性审查，按照招标文件中规定的评标方法和标准，对符合性审查合格的投标文件进行商务和技术评估，综合比较与评价。</w:t>
      </w:r>
    </w:p>
    <w:p>
      <w:pPr>
        <w:pStyle w:val="7"/>
        <w:adjustRightInd w:val="0"/>
        <w:snapToGrid w:val="0"/>
        <w:spacing w:before="156" w:beforeLines="50" w:after="50" w:line="460" w:lineRule="atLeast"/>
        <w:ind w:firstLine="440"/>
        <w:rPr>
          <w:rFonts w:ascii="宋体" w:eastAsia="宋体" w:cs="宋体"/>
          <w:b w:val="0"/>
          <w:bCs w:val="0"/>
          <w:color w:val="auto"/>
          <w:sz w:val="22"/>
          <w:szCs w:val="22"/>
        </w:rPr>
      </w:pPr>
      <w:r>
        <w:rPr>
          <w:rFonts w:hint="eastAsia" w:ascii="宋体" w:eastAsia="宋体" w:cs="宋体"/>
          <w:b w:val="0"/>
          <w:bCs w:val="0"/>
          <w:color w:val="auto"/>
          <w:sz w:val="22"/>
          <w:szCs w:val="22"/>
        </w:rPr>
        <w:t>2、由评标委员会根据评审报告推荐综合得分第一名的供应商为中标人。如果第一名得分相同，以报价低的优先；报价也相同，以抽签随机决定。</w:t>
      </w:r>
    </w:p>
    <w:p>
      <w:pPr>
        <w:pStyle w:val="7"/>
        <w:adjustRightInd w:val="0"/>
        <w:snapToGrid w:val="0"/>
        <w:spacing w:before="156" w:beforeLines="50" w:after="50" w:line="460" w:lineRule="atLeast"/>
        <w:ind w:firstLine="440"/>
        <w:rPr>
          <w:rFonts w:ascii="宋体" w:eastAsia="宋体" w:cs="宋体"/>
          <w:b w:val="0"/>
          <w:bCs w:val="0"/>
          <w:color w:val="auto"/>
          <w:sz w:val="22"/>
          <w:szCs w:val="22"/>
        </w:rPr>
      </w:pPr>
      <w:r>
        <w:rPr>
          <w:rFonts w:hint="eastAsia" w:ascii="宋体" w:eastAsia="宋体" w:cs="宋体"/>
          <w:b w:val="0"/>
          <w:bCs w:val="0"/>
          <w:color w:val="auto"/>
          <w:sz w:val="22"/>
          <w:szCs w:val="22"/>
        </w:rPr>
        <w:t xml:space="preserve">3、中标人放弃中标，或者因不可抗力提出不能履行合同，或者招标文件规定应当提交履约保证金、签订合同而在规定的期限内未能提交、签订合同的，采购人可以取消其中标资格。并按供应商评标排序从高到低排序依次确定新的中标人或重新组织采购。 </w:t>
      </w:r>
    </w:p>
    <w:p>
      <w:pPr>
        <w:pStyle w:val="7"/>
        <w:adjustRightInd w:val="0"/>
        <w:snapToGrid w:val="0"/>
        <w:spacing w:before="156" w:beforeLines="50" w:after="50" w:line="460" w:lineRule="atLeast"/>
        <w:ind w:firstLine="440"/>
        <w:rPr>
          <w:rFonts w:ascii="宋体" w:eastAsia="宋体" w:cs="宋体"/>
          <w:b w:val="0"/>
          <w:bCs w:val="0"/>
          <w:color w:val="auto"/>
          <w:sz w:val="22"/>
          <w:szCs w:val="22"/>
        </w:rPr>
      </w:pPr>
      <w:r>
        <w:rPr>
          <w:rFonts w:hint="eastAsia" w:ascii="宋体" w:eastAsia="宋体" w:cs="宋体"/>
          <w:b w:val="0"/>
          <w:bCs w:val="0"/>
          <w:color w:val="auto"/>
          <w:sz w:val="22"/>
          <w:szCs w:val="22"/>
        </w:rPr>
        <w:t>4、如果无候选供应商，或者侯选供应商因前款规定的同样原因不能签订合同的，本次采购失败，重新组织采购。</w:t>
      </w:r>
    </w:p>
    <w:p>
      <w:pPr>
        <w:pStyle w:val="7"/>
        <w:adjustRightInd w:val="0"/>
        <w:snapToGrid w:val="0"/>
        <w:spacing w:before="156" w:beforeLines="50" w:after="50" w:line="460" w:lineRule="atLeast"/>
        <w:ind w:firstLine="440"/>
        <w:rPr>
          <w:rFonts w:ascii="宋体" w:eastAsia="宋体" w:cs="宋体"/>
          <w:b w:val="0"/>
          <w:bCs w:val="0"/>
          <w:color w:val="auto"/>
          <w:sz w:val="22"/>
          <w:szCs w:val="22"/>
        </w:rPr>
      </w:pPr>
      <w:r>
        <w:rPr>
          <w:rFonts w:hint="eastAsia" w:ascii="宋体" w:eastAsia="宋体" w:cs="宋体"/>
          <w:b w:val="0"/>
          <w:bCs w:val="0"/>
          <w:color w:val="auto"/>
          <w:sz w:val="22"/>
          <w:szCs w:val="22"/>
        </w:rPr>
        <w:t>5、其它参见本采购文件第三部分：“供应商须知” 中的相关内容。</w:t>
      </w:r>
    </w:p>
    <w:bookmarkEnd w:id="82"/>
    <w:p>
      <w:pPr>
        <w:spacing w:line="400" w:lineRule="exact"/>
        <w:rPr>
          <w:rFonts w:ascii="宋体" w:hAnsi="宋体" w:cs="宋体"/>
        </w:rPr>
      </w:pPr>
    </w:p>
    <w:p>
      <w:pPr>
        <w:adjustRightInd w:val="0"/>
        <w:spacing w:before="100" w:after="50" w:line="460" w:lineRule="atLeast"/>
        <w:jc w:val="center"/>
        <w:rPr>
          <w:rFonts w:ascii="宋体" w:hAnsi="宋体" w:cs="宋体"/>
          <w:b/>
          <w:bCs/>
          <w:sz w:val="22"/>
          <w:szCs w:val="22"/>
        </w:rPr>
      </w:pPr>
    </w:p>
    <w:p>
      <w:pPr>
        <w:adjustRightInd w:val="0"/>
        <w:spacing w:before="100" w:after="50" w:line="460" w:lineRule="atLeast"/>
        <w:jc w:val="center"/>
        <w:rPr>
          <w:rFonts w:ascii="宋体" w:hAnsi="宋体" w:cs="宋体"/>
          <w:b/>
          <w:bCs/>
          <w:sz w:val="22"/>
          <w:szCs w:val="22"/>
        </w:rPr>
      </w:pPr>
      <w:r>
        <w:rPr>
          <w:rFonts w:hint="eastAsia" w:ascii="宋体" w:hAnsi="宋体" w:cs="宋体"/>
          <w:b/>
          <w:bCs/>
          <w:sz w:val="22"/>
          <w:szCs w:val="22"/>
        </w:rPr>
        <w:t>四、评分细则</w:t>
      </w:r>
    </w:p>
    <w:p>
      <w:pPr>
        <w:spacing w:line="460" w:lineRule="atLeast"/>
        <w:ind w:firstLine="440" w:firstLineChars="200"/>
        <w:rPr>
          <w:rFonts w:ascii="宋体" w:hAnsi="宋体" w:cs="宋体"/>
          <w:sz w:val="22"/>
          <w:szCs w:val="22"/>
        </w:rPr>
      </w:pPr>
      <w:r>
        <w:rPr>
          <w:rFonts w:hint="eastAsia" w:ascii="宋体" w:hAnsi="宋体" w:cs="宋体"/>
          <w:sz w:val="22"/>
          <w:szCs w:val="22"/>
        </w:rPr>
        <w:t>一、商务报价评分 20分</w:t>
      </w:r>
    </w:p>
    <w:p>
      <w:pPr>
        <w:spacing w:line="460" w:lineRule="atLeast"/>
        <w:ind w:firstLine="440" w:firstLineChars="200"/>
        <w:rPr>
          <w:rFonts w:ascii="宋体" w:hAnsi="宋体" w:cs="宋体"/>
          <w:sz w:val="22"/>
          <w:szCs w:val="22"/>
        </w:rPr>
      </w:pPr>
      <w:r>
        <w:rPr>
          <w:rFonts w:hint="eastAsia" w:ascii="宋体" w:hAnsi="宋体" w:cs="宋体"/>
          <w:sz w:val="22"/>
          <w:szCs w:val="22"/>
        </w:rPr>
        <w:t>1、以供应商有效评审价中的最低价为评标基准价，得满分20分。商务报价评分结算公式为:投标报价得分=(评标基准价／有效评审价)×20%×100。</w:t>
      </w:r>
    </w:p>
    <w:p>
      <w:pPr>
        <w:spacing w:line="460" w:lineRule="atLeast"/>
        <w:ind w:firstLine="440" w:firstLineChars="200"/>
        <w:rPr>
          <w:rFonts w:ascii="宋体" w:hAnsi="宋体" w:cs="宋体"/>
          <w:sz w:val="22"/>
          <w:szCs w:val="22"/>
        </w:rPr>
      </w:pPr>
      <w:r>
        <w:rPr>
          <w:rFonts w:hint="eastAsia" w:ascii="宋体" w:hAnsi="宋体" w:cs="宋体"/>
          <w:sz w:val="22"/>
          <w:szCs w:val="22"/>
        </w:rPr>
        <w:t>2、符合招标文件规定条件的小、微企业（或监狱企业、残疾人企业），给予评标价格折扣（6%）。</w:t>
      </w:r>
    </w:p>
    <w:p>
      <w:pPr>
        <w:spacing w:line="460" w:lineRule="atLeast"/>
        <w:ind w:firstLine="440" w:firstLineChars="200"/>
        <w:rPr>
          <w:rFonts w:ascii="宋体" w:hAnsi="宋体" w:cs="宋体"/>
          <w:sz w:val="22"/>
          <w:szCs w:val="22"/>
        </w:rPr>
      </w:pPr>
      <w:r>
        <w:rPr>
          <w:rFonts w:hint="eastAsia" w:ascii="宋体" w:hAnsi="宋体" w:cs="宋体"/>
          <w:sz w:val="22"/>
          <w:szCs w:val="22"/>
        </w:rPr>
        <w:t>二、技术、服务、资信业绩综合评分80分</w:t>
      </w:r>
    </w:p>
    <w:tbl>
      <w:tblPr>
        <w:tblStyle w:val="25"/>
        <w:tblW w:w="99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838"/>
        <w:gridCol w:w="1277"/>
        <w:gridCol w:w="6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16" w:type="dxa"/>
            <w:tcBorders>
              <w:top w:val="single" w:color="auto" w:sz="4" w:space="0"/>
              <w:left w:val="single" w:color="auto" w:sz="4" w:space="0"/>
              <w:bottom w:val="single" w:color="auto" w:sz="4" w:space="0"/>
              <w:right w:val="single" w:color="auto" w:sz="4" w:space="0"/>
            </w:tcBorders>
            <w:vAlign w:val="center"/>
          </w:tcPr>
          <w:p>
            <w:pPr>
              <w:spacing w:line="300" w:lineRule="exact"/>
              <w:ind w:left="-50"/>
              <w:jc w:val="center"/>
              <w:rPr>
                <w:rFonts w:hint="default" w:ascii="Times New Roman" w:hAnsi="Times New Roman" w:cs="Times New Roman"/>
                <w:sz w:val="22"/>
                <w:szCs w:val="22"/>
              </w:rPr>
            </w:pPr>
          </w:p>
          <w:p>
            <w:pPr>
              <w:spacing w:line="300" w:lineRule="exact"/>
              <w:ind w:left="-50"/>
              <w:jc w:val="center"/>
              <w:rPr>
                <w:rFonts w:ascii="Times New Roman"/>
                <w:sz w:val="22"/>
                <w:szCs w:val="22"/>
              </w:rPr>
            </w:pPr>
          </w:p>
        </w:tc>
        <w:tc>
          <w:tcPr>
            <w:tcW w:w="1838" w:type="dxa"/>
            <w:tcBorders>
              <w:top w:val="single" w:color="auto" w:sz="4" w:space="0"/>
              <w:left w:val="single" w:color="auto" w:sz="4" w:space="0"/>
              <w:bottom w:val="single" w:color="auto" w:sz="4" w:space="0"/>
              <w:right w:val="single" w:color="auto" w:sz="4" w:space="0"/>
            </w:tcBorders>
            <w:vAlign w:val="center"/>
          </w:tcPr>
          <w:p>
            <w:pPr>
              <w:spacing w:line="300" w:lineRule="exact"/>
              <w:ind w:left="-50"/>
              <w:jc w:val="center"/>
              <w:rPr>
                <w:rFonts w:ascii="Times New Roman"/>
                <w:sz w:val="22"/>
                <w:szCs w:val="22"/>
              </w:rPr>
            </w:pPr>
            <w:r>
              <w:rPr>
                <w:rFonts w:hint="default" w:ascii="Times New Roman"/>
                <w:sz w:val="22"/>
                <w:szCs w:val="22"/>
              </w:rPr>
              <w:t>评审内容</w:t>
            </w:r>
          </w:p>
        </w:tc>
        <w:tc>
          <w:tcPr>
            <w:tcW w:w="1277" w:type="dxa"/>
            <w:tcBorders>
              <w:top w:val="single" w:color="auto" w:sz="4" w:space="0"/>
              <w:left w:val="single" w:color="auto" w:sz="4" w:space="0"/>
              <w:bottom w:val="single" w:color="auto" w:sz="4" w:space="0"/>
              <w:right w:val="single" w:color="auto" w:sz="4" w:space="0"/>
            </w:tcBorders>
            <w:vAlign w:val="center"/>
          </w:tcPr>
          <w:p>
            <w:pPr>
              <w:spacing w:line="300" w:lineRule="exact"/>
              <w:ind w:left="-50"/>
              <w:jc w:val="center"/>
              <w:rPr>
                <w:rFonts w:ascii="Times New Roman"/>
                <w:sz w:val="22"/>
                <w:szCs w:val="22"/>
              </w:rPr>
            </w:pPr>
            <w:r>
              <w:rPr>
                <w:rFonts w:hint="default" w:ascii="Times New Roman"/>
                <w:sz w:val="22"/>
                <w:szCs w:val="22"/>
              </w:rPr>
              <w:t>分值范围</w:t>
            </w:r>
          </w:p>
        </w:tc>
        <w:tc>
          <w:tcPr>
            <w:tcW w:w="6099" w:type="dxa"/>
            <w:tcBorders>
              <w:top w:val="single" w:color="auto" w:sz="4" w:space="0"/>
              <w:left w:val="single" w:color="auto" w:sz="6" w:space="0"/>
              <w:bottom w:val="single" w:color="auto" w:sz="4" w:space="0"/>
              <w:right w:val="single" w:color="auto" w:sz="4" w:space="0"/>
            </w:tcBorders>
            <w:vAlign w:val="center"/>
          </w:tcPr>
          <w:p>
            <w:pPr>
              <w:spacing w:line="300" w:lineRule="exact"/>
              <w:ind w:left="-50"/>
              <w:jc w:val="center"/>
              <w:rPr>
                <w:rFonts w:ascii="Times New Roman"/>
                <w:sz w:val="22"/>
                <w:szCs w:val="22"/>
              </w:rPr>
            </w:pPr>
            <w:r>
              <w:rPr>
                <w:rFonts w:hint="default" w:ascii="Times New Roman"/>
                <w:sz w:val="22"/>
                <w:szCs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16" w:type="dxa"/>
            <w:tcBorders>
              <w:top w:val="single" w:color="auto" w:sz="4" w:space="0"/>
              <w:left w:val="single" w:color="auto" w:sz="4" w:space="0"/>
              <w:bottom w:val="single" w:color="auto" w:sz="4" w:space="0"/>
              <w:right w:val="single" w:color="auto" w:sz="4" w:space="0"/>
            </w:tcBorders>
            <w:vAlign w:val="center"/>
          </w:tcPr>
          <w:p>
            <w:pPr>
              <w:spacing w:line="300" w:lineRule="exact"/>
              <w:ind w:left="-50"/>
              <w:jc w:val="center"/>
              <w:rPr>
                <w:rFonts w:ascii="Times New Roman"/>
                <w:sz w:val="22"/>
                <w:szCs w:val="22"/>
              </w:rPr>
            </w:pPr>
            <w:r>
              <w:rPr>
                <w:rFonts w:hint="default" w:ascii="Times New Roman"/>
                <w:sz w:val="22"/>
                <w:szCs w:val="22"/>
              </w:rPr>
              <w:t>1</w:t>
            </w:r>
          </w:p>
        </w:tc>
        <w:tc>
          <w:tcPr>
            <w:tcW w:w="9214"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ind w:left="-50"/>
              <w:jc w:val="left"/>
              <w:rPr>
                <w:rFonts w:ascii="Times New Roman"/>
                <w:sz w:val="22"/>
                <w:szCs w:val="22"/>
              </w:rPr>
            </w:pPr>
            <w:r>
              <w:rPr>
                <w:rFonts w:hint="default" w:ascii="Times New Roman"/>
                <w:sz w:val="22"/>
                <w:szCs w:val="22"/>
              </w:rPr>
              <w:t>养护管理组织实施方案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16" w:type="dxa"/>
            <w:tcBorders>
              <w:top w:val="single" w:color="auto" w:sz="4" w:space="0"/>
              <w:left w:val="single" w:color="auto" w:sz="4" w:space="0"/>
              <w:bottom w:val="single" w:color="auto" w:sz="4" w:space="0"/>
              <w:right w:val="single" w:color="auto" w:sz="4" w:space="0"/>
            </w:tcBorders>
            <w:vAlign w:val="center"/>
          </w:tcPr>
          <w:p>
            <w:pPr>
              <w:spacing w:line="300" w:lineRule="exact"/>
              <w:ind w:left="-50"/>
              <w:jc w:val="center"/>
              <w:rPr>
                <w:rFonts w:ascii="Times New Roman"/>
                <w:sz w:val="22"/>
                <w:szCs w:val="22"/>
              </w:rPr>
            </w:pPr>
            <w:r>
              <w:rPr>
                <w:rFonts w:hint="default" w:ascii="Times New Roman"/>
                <w:sz w:val="22"/>
                <w:szCs w:val="22"/>
              </w:rPr>
              <w:t>1.1</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00" w:lineRule="exact"/>
              <w:ind w:left="-50"/>
              <w:jc w:val="center"/>
              <w:rPr>
                <w:rFonts w:ascii="Times New Roman"/>
                <w:sz w:val="22"/>
                <w:szCs w:val="22"/>
              </w:rPr>
            </w:pPr>
            <w:r>
              <w:rPr>
                <w:rFonts w:hint="default" w:ascii="Times New Roman"/>
                <w:sz w:val="22"/>
                <w:szCs w:val="22"/>
              </w:rPr>
              <w:t>项目管理服务机构设置方案、运作流程、管理方式及计划</w:t>
            </w:r>
          </w:p>
        </w:tc>
        <w:tc>
          <w:tcPr>
            <w:tcW w:w="1277" w:type="dxa"/>
            <w:tcBorders>
              <w:top w:val="single" w:color="auto" w:sz="4" w:space="0"/>
              <w:left w:val="single" w:color="auto" w:sz="4" w:space="0"/>
              <w:bottom w:val="single" w:color="auto" w:sz="4" w:space="0"/>
              <w:right w:val="single" w:color="auto" w:sz="4" w:space="0"/>
            </w:tcBorders>
            <w:vAlign w:val="center"/>
          </w:tcPr>
          <w:p>
            <w:pPr>
              <w:spacing w:line="300" w:lineRule="exact"/>
              <w:ind w:left="-50"/>
              <w:jc w:val="center"/>
              <w:rPr>
                <w:rFonts w:ascii="Times New Roman"/>
                <w:sz w:val="22"/>
                <w:szCs w:val="22"/>
              </w:rPr>
            </w:pPr>
            <w:r>
              <w:rPr>
                <w:rFonts w:hint="default" w:ascii="Times New Roman"/>
                <w:sz w:val="22"/>
                <w:szCs w:val="22"/>
              </w:rPr>
              <w:t>0-6</w:t>
            </w:r>
          </w:p>
          <w:p>
            <w:pPr>
              <w:spacing w:line="300" w:lineRule="exact"/>
              <w:ind w:left="-50"/>
              <w:jc w:val="center"/>
              <w:rPr>
                <w:rFonts w:ascii="Times New Roman"/>
                <w:sz w:val="22"/>
                <w:szCs w:val="22"/>
              </w:rPr>
            </w:pPr>
            <w:r>
              <w:rPr>
                <w:rFonts w:hint="default" w:ascii="Times New Roman"/>
                <w:sz w:val="22"/>
                <w:szCs w:val="22"/>
              </w:rPr>
              <w:t>分</w:t>
            </w:r>
          </w:p>
        </w:tc>
        <w:tc>
          <w:tcPr>
            <w:tcW w:w="6099" w:type="dxa"/>
            <w:tcBorders>
              <w:top w:val="single" w:color="auto" w:sz="4" w:space="0"/>
              <w:left w:val="single" w:color="auto" w:sz="6" w:space="0"/>
              <w:bottom w:val="single" w:color="auto" w:sz="4" w:space="0"/>
              <w:right w:val="single" w:color="auto" w:sz="4" w:space="0"/>
            </w:tcBorders>
            <w:vAlign w:val="center"/>
          </w:tcPr>
          <w:p>
            <w:pPr>
              <w:pStyle w:val="11"/>
              <w:ind w:firstLine="0" w:firstLineChars="0"/>
              <w:rPr>
                <w:rFonts w:ascii="Times New Roman"/>
                <w:sz w:val="22"/>
                <w:szCs w:val="22"/>
              </w:rPr>
            </w:pPr>
            <w:r>
              <w:rPr>
                <w:rFonts w:hint="default" w:ascii="Times New Roman"/>
                <w:sz w:val="22"/>
                <w:szCs w:val="22"/>
              </w:rPr>
              <w:t>根据投标供应商对本项目的管理服务组织机构设置（附组织机构图）、运作流程（附运作流程图）、激励机制、监督机制、自我约束机制和信息反馈渠道及处理机制、应对突发事情的响应及处理方案等等是否科学、合理、高效，</w:t>
            </w:r>
            <w:r>
              <w:rPr>
                <w:rFonts w:hint="default"/>
                <w:sz w:val="22"/>
                <w:szCs w:val="22"/>
              </w:rPr>
              <w:t>由评委酌情打分：</w:t>
            </w:r>
          </w:p>
          <w:p>
            <w:pPr>
              <w:pStyle w:val="11"/>
              <w:ind w:firstLine="0" w:firstLineChars="0"/>
              <w:rPr>
                <w:sz w:val="22"/>
                <w:szCs w:val="22"/>
              </w:rPr>
            </w:pPr>
            <w:r>
              <w:rPr>
                <w:rFonts w:hint="default"/>
                <w:sz w:val="22"/>
                <w:szCs w:val="22"/>
              </w:rPr>
              <w:t>一档4.1-6分：方案完善、合理，针对性、操作性强；</w:t>
            </w:r>
          </w:p>
          <w:p>
            <w:pPr>
              <w:pStyle w:val="11"/>
              <w:ind w:firstLine="0" w:firstLineChars="0"/>
              <w:rPr>
                <w:sz w:val="22"/>
                <w:szCs w:val="22"/>
              </w:rPr>
            </w:pPr>
            <w:r>
              <w:rPr>
                <w:rFonts w:hint="default"/>
                <w:sz w:val="22"/>
                <w:szCs w:val="22"/>
              </w:rPr>
              <w:t>二档2.1-4分：方案较完善、合理，有一定的可行性；</w:t>
            </w:r>
          </w:p>
          <w:p>
            <w:pPr>
              <w:spacing w:line="300" w:lineRule="exact"/>
              <w:ind w:left="-50"/>
              <w:jc w:val="left"/>
              <w:rPr>
                <w:rFonts w:ascii="Times New Roman"/>
                <w:sz w:val="22"/>
                <w:szCs w:val="22"/>
              </w:rPr>
            </w:pPr>
            <w:r>
              <w:rPr>
                <w:rFonts w:hint="default"/>
                <w:sz w:val="22"/>
                <w:szCs w:val="22"/>
              </w:rPr>
              <w:t>三档0-2分：方案不完善、通用，无可行性。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6"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ind w:left="-50"/>
              <w:jc w:val="center"/>
              <w:rPr>
                <w:rFonts w:ascii="Times New Roman"/>
                <w:sz w:val="22"/>
                <w:szCs w:val="22"/>
              </w:rPr>
            </w:pPr>
            <w:r>
              <w:rPr>
                <w:rFonts w:hint="default" w:ascii="Times New Roman"/>
                <w:sz w:val="22"/>
                <w:szCs w:val="22"/>
              </w:rPr>
              <w:t>1.2</w:t>
            </w:r>
          </w:p>
        </w:tc>
        <w:tc>
          <w:tcPr>
            <w:tcW w:w="183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sz w:val="22"/>
                <w:szCs w:val="22"/>
              </w:rPr>
            </w:pPr>
            <w:r>
              <w:rPr>
                <w:rFonts w:hint="default" w:ascii="Times New Roman"/>
                <w:sz w:val="22"/>
                <w:szCs w:val="22"/>
              </w:rPr>
              <w:t>绿化带养护作业人员配备及管理培训方案</w:t>
            </w:r>
          </w:p>
        </w:tc>
        <w:tc>
          <w:tcPr>
            <w:tcW w:w="127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sz w:val="22"/>
                <w:szCs w:val="22"/>
              </w:rPr>
            </w:pPr>
            <w:r>
              <w:rPr>
                <w:rFonts w:hint="default" w:ascii="Times New Roman"/>
                <w:sz w:val="22"/>
                <w:szCs w:val="22"/>
              </w:rPr>
              <w:t>0-</w:t>
            </w:r>
            <w:r>
              <w:rPr>
                <w:rFonts w:hint="default" w:ascii="Times New Roman"/>
                <w:sz w:val="22"/>
                <w:szCs w:val="22"/>
                <w:lang w:val="en-US" w:eastAsia="zh-CN"/>
              </w:rPr>
              <w:t>2</w:t>
            </w:r>
            <w:r>
              <w:rPr>
                <w:rFonts w:hint="default" w:ascii="Times New Roman"/>
                <w:sz w:val="22"/>
                <w:szCs w:val="22"/>
              </w:rPr>
              <w:t>分</w:t>
            </w:r>
          </w:p>
        </w:tc>
        <w:tc>
          <w:tcPr>
            <w:tcW w:w="6099" w:type="dxa"/>
            <w:tcBorders>
              <w:top w:val="single" w:color="auto" w:sz="4" w:space="0"/>
              <w:left w:val="single" w:color="auto" w:sz="6" w:space="0"/>
              <w:bottom w:val="single" w:color="auto" w:sz="4" w:space="0"/>
              <w:right w:val="single" w:color="auto" w:sz="4" w:space="0"/>
            </w:tcBorders>
            <w:vAlign w:val="center"/>
          </w:tcPr>
          <w:p>
            <w:pPr>
              <w:pStyle w:val="11"/>
              <w:spacing w:line="300" w:lineRule="exact"/>
              <w:ind w:firstLine="0" w:firstLineChars="0"/>
              <w:rPr>
                <w:sz w:val="22"/>
                <w:szCs w:val="22"/>
                <w:highlight w:val="none"/>
              </w:rPr>
            </w:pPr>
            <w:r>
              <w:rPr>
                <w:rFonts w:hint="default"/>
                <w:sz w:val="22"/>
                <w:szCs w:val="22"/>
                <w:highlight w:val="none"/>
              </w:rPr>
              <w:t>项目负责人：具备园林高级工程师证书得</w:t>
            </w:r>
            <w:r>
              <w:rPr>
                <w:rFonts w:hint="default"/>
                <w:sz w:val="22"/>
                <w:szCs w:val="22"/>
                <w:highlight w:val="none"/>
                <w:lang w:val="en-US" w:eastAsia="zh-CN"/>
              </w:rPr>
              <w:t>2</w:t>
            </w:r>
            <w:r>
              <w:rPr>
                <w:rFonts w:hint="default"/>
                <w:sz w:val="22"/>
                <w:szCs w:val="22"/>
                <w:highlight w:val="none"/>
              </w:rPr>
              <w:t>分。园林工程师证书得1分。</w:t>
            </w:r>
          </w:p>
          <w:p>
            <w:pPr>
              <w:rPr>
                <w:sz w:val="22"/>
                <w:szCs w:val="22"/>
                <w:highlight w:val="yellow"/>
              </w:rPr>
            </w:pPr>
            <w:r>
              <w:rPr>
                <w:rFonts w:hint="default"/>
                <w:sz w:val="22"/>
                <w:szCs w:val="22"/>
                <w:highlight w:val="none"/>
              </w:rPr>
              <w:t>注：以上人员需提供对应的资质资格证书及近三个月连续的社保缴纳证明，否则不得分。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sz w:val="22"/>
                <w:szCs w:val="22"/>
              </w:rPr>
            </w:pPr>
          </w:p>
        </w:tc>
        <w:tc>
          <w:tcPr>
            <w:tcW w:w="183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sz w:val="22"/>
                <w:szCs w:val="22"/>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sz w:val="22"/>
                <w:szCs w:val="22"/>
              </w:rPr>
            </w:pPr>
            <w:r>
              <w:rPr>
                <w:rFonts w:hint="default" w:ascii="Times New Roman"/>
                <w:sz w:val="22"/>
                <w:szCs w:val="22"/>
              </w:rPr>
              <w:t>0-</w:t>
            </w:r>
            <w:r>
              <w:rPr>
                <w:rFonts w:hint="default" w:ascii="Times New Roman"/>
                <w:sz w:val="22"/>
                <w:szCs w:val="22"/>
                <w:lang w:val="en-US" w:eastAsia="zh-CN"/>
              </w:rPr>
              <w:t>8</w:t>
            </w:r>
            <w:r>
              <w:rPr>
                <w:rFonts w:hint="default" w:ascii="Times New Roman"/>
                <w:sz w:val="22"/>
                <w:szCs w:val="22"/>
              </w:rPr>
              <w:t>分</w:t>
            </w:r>
          </w:p>
        </w:tc>
        <w:tc>
          <w:tcPr>
            <w:tcW w:w="6099" w:type="dxa"/>
            <w:tcBorders>
              <w:top w:val="single" w:color="auto" w:sz="4" w:space="0"/>
              <w:left w:val="single" w:color="auto" w:sz="6" w:space="0"/>
              <w:bottom w:val="single" w:color="auto" w:sz="4" w:space="0"/>
              <w:right w:val="single" w:color="auto" w:sz="4" w:space="0"/>
            </w:tcBorders>
            <w:vAlign w:val="center"/>
          </w:tcPr>
          <w:p>
            <w:pPr>
              <w:numPr>
                <w:ilvl w:val="255"/>
                <w:numId w:val="0"/>
              </w:numPr>
              <w:rPr>
                <w:rFonts w:hint="default" w:ascii="Times New Roman"/>
                <w:sz w:val="22"/>
                <w:szCs w:val="22"/>
                <w:highlight w:val="none"/>
              </w:rPr>
            </w:pPr>
            <w:r>
              <w:rPr>
                <w:rFonts w:hint="default" w:ascii="Times New Roman"/>
                <w:sz w:val="22"/>
                <w:szCs w:val="22"/>
                <w:highlight w:val="none"/>
                <w:lang w:val="en-US" w:eastAsia="zh-CN"/>
              </w:rPr>
              <w:t>在满足采购文件人员配置要求基础上:每增加一名</w:t>
            </w:r>
            <w:r>
              <w:rPr>
                <w:rFonts w:hint="default" w:ascii="Times New Roman"/>
                <w:sz w:val="22"/>
                <w:szCs w:val="22"/>
                <w:highlight w:val="none"/>
              </w:rPr>
              <w:t>现场养护作业人员</w:t>
            </w:r>
            <w:r>
              <w:rPr>
                <w:rFonts w:hint="default" w:ascii="Times New Roman"/>
                <w:sz w:val="22"/>
                <w:szCs w:val="22"/>
                <w:highlight w:val="none"/>
                <w:lang w:eastAsia="zh-CN"/>
              </w:rPr>
              <w:t>（</w:t>
            </w:r>
            <w:r>
              <w:rPr>
                <w:rFonts w:hint="default" w:ascii="Times New Roman"/>
                <w:sz w:val="22"/>
                <w:szCs w:val="22"/>
                <w:highlight w:val="none"/>
                <w:lang w:val="en-US" w:eastAsia="zh-CN"/>
              </w:rPr>
              <w:t>持有</w:t>
            </w:r>
            <w:r>
              <w:rPr>
                <w:rFonts w:hint="default" w:ascii="Times New Roman"/>
                <w:sz w:val="22"/>
                <w:szCs w:val="22"/>
                <w:highlight w:val="none"/>
              </w:rPr>
              <w:t>绿化工岗位证书</w:t>
            </w:r>
            <w:r>
              <w:rPr>
                <w:rFonts w:hint="default" w:ascii="Times New Roman"/>
                <w:sz w:val="22"/>
                <w:szCs w:val="22"/>
                <w:highlight w:val="none"/>
                <w:lang w:eastAsia="zh-CN"/>
              </w:rPr>
              <w:t>）</w:t>
            </w:r>
            <w:r>
              <w:rPr>
                <w:rFonts w:hint="default" w:ascii="Times New Roman"/>
                <w:sz w:val="22"/>
                <w:szCs w:val="22"/>
                <w:highlight w:val="none"/>
                <w:lang w:val="en-US" w:eastAsia="zh-CN"/>
              </w:rPr>
              <w:t>得0.5分，最高得5分。每增加现场行道树养护作业人员（持有</w:t>
            </w:r>
            <w:r>
              <w:rPr>
                <w:rFonts w:hint="default" w:ascii="Times New Roman"/>
                <w:sz w:val="22"/>
                <w:szCs w:val="22"/>
                <w:highlight w:val="none"/>
              </w:rPr>
              <w:t>高空作业岗位证书</w:t>
            </w:r>
            <w:r>
              <w:rPr>
                <w:rFonts w:hint="default" w:ascii="Times New Roman"/>
                <w:sz w:val="22"/>
                <w:szCs w:val="22"/>
                <w:highlight w:val="none"/>
                <w:lang w:val="en-US" w:eastAsia="zh-CN"/>
              </w:rPr>
              <w:t>）得0.5分，最高得2分。每增加一名</w:t>
            </w:r>
            <w:r>
              <w:rPr>
                <w:rFonts w:hint="default" w:ascii="Times New Roman"/>
                <w:sz w:val="22"/>
                <w:szCs w:val="22"/>
                <w:highlight w:val="none"/>
              </w:rPr>
              <w:t>现场作业人员</w:t>
            </w:r>
            <w:r>
              <w:rPr>
                <w:rFonts w:hint="default" w:ascii="Times New Roman"/>
                <w:sz w:val="22"/>
                <w:szCs w:val="22"/>
                <w:highlight w:val="none"/>
                <w:lang w:eastAsia="zh-CN"/>
              </w:rPr>
              <w:t>（</w:t>
            </w:r>
            <w:r>
              <w:rPr>
                <w:rFonts w:hint="default" w:ascii="Times New Roman"/>
                <w:sz w:val="22"/>
                <w:szCs w:val="22"/>
                <w:highlight w:val="none"/>
                <w:lang w:val="en-US" w:eastAsia="zh-CN"/>
              </w:rPr>
              <w:t>持有</w:t>
            </w:r>
            <w:r>
              <w:rPr>
                <w:rFonts w:hint="default" w:ascii="Times New Roman"/>
                <w:sz w:val="22"/>
                <w:szCs w:val="22"/>
                <w:highlight w:val="none"/>
              </w:rPr>
              <w:t>电工岗位证书</w:t>
            </w:r>
            <w:r>
              <w:rPr>
                <w:rFonts w:hint="default" w:ascii="Times New Roman"/>
                <w:sz w:val="22"/>
                <w:szCs w:val="22"/>
                <w:highlight w:val="none"/>
                <w:lang w:eastAsia="zh-CN"/>
              </w:rPr>
              <w:t>）</w:t>
            </w:r>
            <w:r>
              <w:rPr>
                <w:rFonts w:hint="default" w:ascii="Times New Roman"/>
                <w:sz w:val="22"/>
                <w:szCs w:val="22"/>
                <w:highlight w:val="none"/>
                <w:lang w:val="en-US" w:eastAsia="zh-CN"/>
              </w:rPr>
              <w:t>得0.5分，最高得1分。</w:t>
            </w:r>
          </w:p>
          <w:p>
            <w:pPr>
              <w:numPr>
                <w:ilvl w:val="255"/>
                <w:numId w:val="0"/>
              </w:numPr>
              <w:rPr>
                <w:rFonts w:ascii="Times New Roman"/>
                <w:sz w:val="22"/>
                <w:szCs w:val="22"/>
                <w:highlight w:val="yellow"/>
              </w:rPr>
            </w:pPr>
            <w:r>
              <w:rPr>
                <w:rFonts w:hint="default" w:ascii="Times New Roman"/>
                <w:sz w:val="22"/>
                <w:szCs w:val="22"/>
                <w:highlight w:val="none"/>
              </w:rPr>
              <w:t>注：以上人员需</w:t>
            </w:r>
            <w:r>
              <w:rPr>
                <w:rFonts w:hint="default"/>
                <w:sz w:val="22"/>
                <w:szCs w:val="22"/>
                <w:highlight w:val="none"/>
              </w:rPr>
              <w:t>提供对应的资质资格证书及</w:t>
            </w:r>
            <w:r>
              <w:rPr>
                <w:rFonts w:hint="default"/>
                <w:sz w:val="22"/>
                <w:szCs w:val="22"/>
                <w:highlight w:val="none"/>
                <w:lang w:val="en-US" w:eastAsia="zh-CN"/>
              </w:rPr>
              <w:t>投标截止前</w:t>
            </w:r>
            <w:r>
              <w:rPr>
                <w:rFonts w:hint="default"/>
                <w:sz w:val="22"/>
                <w:szCs w:val="22"/>
                <w:highlight w:val="none"/>
              </w:rPr>
              <w:t>近三个月</w:t>
            </w:r>
            <w:r>
              <w:rPr>
                <w:rFonts w:hint="default"/>
                <w:sz w:val="22"/>
                <w:szCs w:val="22"/>
                <w:highlight w:val="none"/>
                <w:lang w:val="en-US" w:eastAsia="zh-CN"/>
              </w:rPr>
              <w:t>任一月份</w:t>
            </w:r>
            <w:r>
              <w:rPr>
                <w:rFonts w:hint="default"/>
                <w:sz w:val="22"/>
                <w:szCs w:val="22"/>
                <w:highlight w:val="none"/>
              </w:rPr>
              <w:t>的社保缴纳证明</w:t>
            </w:r>
            <w:r>
              <w:rPr>
                <w:rFonts w:hint="default"/>
                <w:sz w:val="22"/>
                <w:szCs w:val="22"/>
                <w:highlight w:val="none"/>
                <w:lang w:eastAsia="zh-CN"/>
              </w:rPr>
              <w:t>，</w:t>
            </w:r>
            <w:r>
              <w:rPr>
                <w:rFonts w:hint="default"/>
                <w:sz w:val="22"/>
                <w:szCs w:val="22"/>
                <w:highlight w:val="none"/>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sz w:val="22"/>
                <w:szCs w:val="22"/>
              </w:rPr>
            </w:pPr>
          </w:p>
        </w:tc>
        <w:tc>
          <w:tcPr>
            <w:tcW w:w="183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sz w:val="22"/>
                <w:szCs w:val="22"/>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sz w:val="22"/>
                <w:szCs w:val="22"/>
              </w:rPr>
            </w:pPr>
            <w:r>
              <w:rPr>
                <w:rFonts w:hint="default" w:ascii="Times New Roman"/>
                <w:sz w:val="22"/>
                <w:szCs w:val="22"/>
              </w:rPr>
              <w:t>0-4分</w:t>
            </w:r>
          </w:p>
        </w:tc>
        <w:tc>
          <w:tcPr>
            <w:tcW w:w="6099" w:type="dxa"/>
            <w:tcBorders>
              <w:top w:val="single" w:color="auto" w:sz="4" w:space="0"/>
              <w:left w:val="single" w:color="auto" w:sz="6" w:space="0"/>
              <w:bottom w:val="single" w:color="auto" w:sz="4" w:space="0"/>
              <w:right w:val="single" w:color="auto" w:sz="4" w:space="0"/>
            </w:tcBorders>
            <w:vAlign w:val="center"/>
          </w:tcPr>
          <w:p>
            <w:pPr>
              <w:rPr>
                <w:rFonts w:ascii="Times New Roman"/>
                <w:sz w:val="22"/>
                <w:szCs w:val="22"/>
              </w:rPr>
            </w:pPr>
            <w:r>
              <w:rPr>
                <w:rFonts w:hint="default" w:ascii="Times New Roman"/>
                <w:sz w:val="22"/>
                <w:szCs w:val="22"/>
              </w:rPr>
              <w:t>人员数量的配备及结构是否合理（指管理人员、花卉工、绿化工、植保工等），</w:t>
            </w:r>
            <w:r>
              <w:rPr>
                <w:rFonts w:hint="default"/>
                <w:sz w:val="22"/>
                <w:szCs w:val="22"/>
              </w:rPr>
              <w:t>由评委酌情打分</w:t>
            </w:r>
            <w:r>
              <w:rPr>
                <w:rFonts w:hint="default" w:ascii="Times New Roman"/>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sz w:val="22"/>
                <w:szCs w:val="22"/>
              </w:rPr>
            </w:pPr>
          </w:p>
        </w:tc>
        <w:tc>
          <w:tcPr>
            <w:tcW w:w="183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sz w:val="22"/>
                <w:szCs w:val="22"/>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sz w:val="22"/>
                <w:szCs w:val="22"/>
              </w:rPr>
            </w:pPr>
            <w:r>
              <w:rPr>
                <w:rFonts w:hint="default" w:ascii="Times New Roman"/>
                <w:sz w:val="22"/>
                <w:szCs w:val="22"/>
              </w:rPr>
              <w:t>0-</w:t>
            </w:r>
            <w:r>
              <w:rPr>
                <w:rFonts w:hint="default" w:ascii="Times New Roman"/>
                <w:sz w:val="22"/>
                <w:szCs w:val="22"/>
                <w:lang w:val="en-US" w:eastAsia="zh-CN"/>
              </w:rPr>
              <w:t>2</w:t>
            </w:r>
            <w:r>
              <w:rPr>
                <w:rFonts w:hint="default" w:ascii="Times New Roman"/>
                <w:sz w:val="22"/>
                <w:szCs w:val="22"/>
              </w:rPr>
              <w:t>分</w:t>
            </w:r>
          </w:p>
        </w:tc>
        <w:tc>
          <w:tcPr>
            <w:tcW w:w="6099" w:type="dxa"/>
            <w:tcBorders>
              <w:top w:val="single" w:color="auto" w:sz="4" w:space="0"/>
              <w:left w:val="single" w:color="auto" w:sz="6" w:space="0"/>
              <w:bottom w:val="single" w:color="auto" w:sz="4" w:space="0"/>
              <w:right w:val="single" w:color="auto" w:sz="4" w:space="0"/>
            </w:tcBorders>
            <w:vAlign w:val="center"/>
          </w:tcPr>
          <w:p>
            <w:pPr>
              <w:snapToGrid w:val="0"/>
              <w:spacing w:line="300" w:lineRule="exact"/>
              <w:jc w:val="left"/>
              <w:rPr>
                <w:rFonts w:ascii="Times New Roman"/>
                <w:sz w:val="22"/>
                <w:szCs w:val="22"/>
              </w:rPr>
            </w:pPr>
            <w:r>
              <w:rPr>
                <w:rFonts w:hint="default" w:ascii="Times New Roman"/>
                <w:sz w:val="22"/>
                <w:szCs w:val="22"/>
              </w:rPr>
              <w:t>人员的选聘及管理、培训计划是否周全，</w:t>
            </w:r>
            <w:r>
              <w:rPr>
                <w:rFonts w:hint="default"/>
                <w:sz w:val="22"/>
                <w:szCs w:val="22"/>
              </w:rPr>
              <w:t>由评委酌情打分</w:t>
            </w:r>
            <w:r>
              <w:rPr>
                <w:rFonts w:hint="default" w:ascii="Times New Roman"/>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2"/>
                <w:szCs w:val="22"/>
              </w:rPr>
            </w:pPr>
            <w:r>
              <w:rPr>
                <w:rFonts w:hint="default" w:ascii="Times New Roman"/>
                <w:sz w:val="22"/>
                <w:szCs w:val="22"/>
              </w:rPr>
              <w:t>1.3</w:t>
            </w:r>
          </w:p>
        </w:tc>
        <w:tc>
          <w:tcPr>
            <w:tcW w:w="1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2"/>
                <w:szCs w:val="22"/>
              </w:rPr>
            </w:pPr>
            <w:r>
              <w:rPr>
                <w:rFonts w:hint="default" w:ascii="Times New Roman"/>
                <w:sz w:val="22"/>
                <w:szCs w:val="22"/>
              </w:rPr>
              <w:t>拟设立的各项管理规章制度及档案资料的建立与管理</w:t>
            </w:r>
          </w:p>
        </w:tc>
        <w:tc>
          <w:tcPr>
            <w:tcW w:w="12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22"/>
                <w:szCs w:val="22"/>
              </w:rPr>
            </w:pPr>
            <w:r>
              <w:rPr>
                <w:rFonts w:hint="default"/>
                <w:sz w:val="22"/>
                <w:szCs w:val="22"/>
              </w:rPr>
              <w:t>0-6分</w:t>
            </w:r>
          </w:p>
          <w:p>
            <w:pPr>
              <w:pStyle w:val="11"/>
              <w:ind w:firstLine="210"/>
              <w:rPr>
                <w:sz w:val="22"/>
                <w:szCs w:val="22"/>
              </w:rPr>
            </w:pPr>
          </w:p>
        </w:tc>
        <w:tc>
          <w:tcPr>
            <w:tcW w:w="6099" w:type="dxa"/>
            <w:tcBorders>
              <w:top w:val="single" w:color="auto" w:sz="4" w:space="0"/>
              <w:left w:val="single" w:color="auto" w:sz="6" w:space="0"/>
              <w:bottom w:val="single" w:color="auto" w:sz="4" w:space="0"/>
              <w:right w:val="single" w:color="auto" w:sz="4" w:space="0"/>
            </w:tcBorders>
            <w:vAlign w:val="center"/>
          </w:tcPr>
          <w:p>
            <w:pPr>
              <w:pStyle w:val="11"/>
              <w:ind w:firstLine="0" w:firstLineChars="0"/>
              <w:rPr>
                <w:rFonts w:ascii="Times New Roman"/>
                <w:sz w:val="22"/>
                <w:szCs w:val="22"/>
              </w:rPr>
            </w:pPr>
            <w:r>
              <w:rPr>
                <w:rFonts w:hint="default" w:ascii="Times New Roman"/>
                <w:sz w:val="22"/>
                <w:szCs w:val="22"/>
              </w:rPr>
              <w:t>投标供应商针对本项目设立的各项公众制度、内部岗位责任制度、管理运作制度、考核制度及标准等，要求是否符合规范，体现高标准、高档次、科学合理、详细完备（人员、设施、设备管理服务、业主方反馈资料、行政文件资料等档案的建立与管理），</w:t>
            </w:r>
            <w:r>
              <w:rPr>
                <w:rFonts w:hint="default"/>
                <w:sz w:val="22"/>
                <w:szCs w:val="22"/>
              </w:rPr>
              <w:t>由评委酌情打分：</w:t>
            </w:r>
          </w:p>
          <w:p>
            <w:pPr>
              <w:pStyle w:val="11"/>
              <w:ind w:firstLine="0" w:firstLineChars="0"/>
              <w:rPr>
                <w:sz w:val="22"/>
                <w:szCs w:val="22"/>
              </w:rPr>
            </w:pPr>
            <w:r>
              <w:rPr>
                <w:rFonts w:hint="default"/>
                <w:sz w:val="22"/>
                <w:szCs w:val="22"/>
              </w:rPr>
              <w:t>一档4.1-6分：方案完善、合理，针对性、操作性强；</w:t>
            </w:r>
          </w:p>
          <w:p>
            <w:pPr>
              <w:pStyle w:val="11"/>
              <w:ind w:firstLine="0" w:firstLineChars="0"/>
              <w:rPr>
                <w:sz w:val="22"/>
                <w:szCs w:val="22"/>
              </w:rPr>
            </w:pPr>
            <w:r>
              <w:rPr>
                <w:rFonts w:hint="default"/>
                <w:sz w:val="22"/>
                <w:szCs w:val="22"/>
              </w:rPr>
              <w:t>二档2.1-4分：方案较完善、合理，有一定的可行性；</w:t>
            </w:r>
          </w:p>
          <w:p>
            <w:pPr>
              <w:snapToGrid w:val="0"/>
              <w:spacing w:line="300" w:lineRule="exact"/>
              <w:jc w:val="left"/>
              <w:rPr>
                <w:rFonts w:ascii="Times New Roman"/>
                <w:sz w:val="22"/>
                <w:szCs w:val="22"/>
              </w:rPr>
            </w:pPr>
            <w:r>
              <w:rPr>
                <w:rFonts w:hint="default"/>
                <w:sz w:val="22"/>
                <w:szCs w:val="22"/>
              </w:rPr>
              <w:t>三档0-2分：方案不完善、通用，无可行性。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2"/>
                <w:szCs w:val="22"/>
              </w:rPr>
            </w:pPr>
            <w:r>
              <w:rPr>
                <w:rFonts w:hint="default" w:ascii="Times New Roman"/>
                <w:sz w:val="22"/>
                <w:szCs w:val="22"/>
              </w:rPr>
              <w:t>1.4</w:t>
            </w:r>
          </w:p>
        </w:tc>
        <w:tc>
          <w:tcPr>
            <w:tcW w:w="183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2"/>
                <w:szCs w:val="22"/>
              </w:rPr>
            </w:pPr>
            <w:r>
              <w:rPr>
                <w:rFonts w:hint="default" w:ascii="Times New Roman"/>
                <w:sz w:val="22"/>
                <w:szCs w:val="22"/>
              </w:rPr>
              <w:t>作业机具及物资装备配置方案</w:t>
            </w:r>
          </w:p>
        </w:tc>
        <w:tc>
          <w:tcPr>
            <w:tcW w:w="12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sz w:val="22"/>
                <w:szCs w:val="22"/>
              </w:rPr>
            </w:pPr>
            <w:r>
              <w:rPr>
                <w:rFonts w:hint="default" w:ascii="Times New Roman"/>
                <w:sz w:val="22"/>
                <w:szCs w:val="22"/>
              </w:rPr>
              <w:t>0-6分</w:t>
            </w:r>
          </w:p>
        </w:tc>
        <w:tc>
          <w:tcPr>
            <w:tcW w:w="6099" w:type="dxa"/>
            <w:tcBorders>
              <w:top w:val="single" w:color="auto" w:sz="4" w:space="0"/>
              <w:left w:val="single" w:color="auto" w:sz="6" w:space="0"/>
              <w:bottom w:val="single" w:color="auto" w:sz="4" w:space="0"/>
              <w:right w:val="single" w:color="auto" w:sz="4" w:space="0"/>
            </w:tcBorders>
            <w:vAlign w:val="center"/>
          </w:tcPr>
          <w:p>
            <w:pPr>
              <w:spacing w:line="300" w:lineRule="exact"/>
              <w:jc w:val="left"/>
              <w:rPr>
                <w:sz w:val="22"/>
                <w:szCs w:val="22"/>
              </w:rPr>
            </w:pPr>
            <w:r>
              <w:rPr>
                <w:rFonts w:hint="default"/>
                <w:sz w:val="22"/>
                <w:szCs w:val="22"/>
              </w:rPr>
              <w:t>根据供应商方案，各类管理人员着装配置，为满足招标文件要求拟配置的机具设备、作业工具等的选用档次及是否齐备、合理，是否满足本项目的质量要求等，由评委酌情打分：</w:t>
            </w:r>
          </w:p>
          <w:p>
            <w:pPr>
              <w:pStyle w:val="11"/>
              <w:ind w:firstLine="0" w:firstLineChars="0"/>
              <w:rPr>
                <w:sz w:val="22"/>
                <w:szCs w:val="22"/>
              </w:rPr>
            </w:pPr>
            <w:r>
              <w:rPr>
                <w:rFonts w:hint="default"/>
                <w:sz w:val="22"/>
                <w:szCs w:val="22"/>
              </w:rPr>
              <w:t>一档4.1-6分：方案完善、合理，针对性、操作性强；</w:t>
            </w:r>
          </w:p>
          <w:p>
            <w:pPr>
              <w:pStyle w:val="11"/>
              <w:ind w:firstLine="0" w:firstLineChars="0"/>
              <w:rPr>
                <w:sz w:val="22"/>
                <w:szCs w:val="22"/>
              </w:rPr>
            </w:pPr>
            <w:r>
              <w:rPr>
                <w:rFonts w:hint="default"/>
                <w:sz w:val="22"/>
                <w:szCs w:val="22"/>
              </w:rPr>
              <w:t>二档2.1-4分：方案较完善、合理，有一定的可行性；</w:t>
            </w:r>
          </w:p>
          <w:p>
            <w:pPr>
              <w:pStyle w:val="11"/>
              <w:ind w:firstLine="0" w:firstLineChars="0"/>
              <w:rPr>
                <w:sz w:val="22"/>
                <w:szCs w:val="22"/>
              </w:rPr>
            </w:pPr>
            <w:r>
              <w:rPr>
                <w:rFonts w:hint="default"/>
                <w:sz w:val="22"/>
                <w:szCs w:val="22"/>
              </w:rPr>
              <w:t>三档0-2分：方案不完善、通用，无可行性。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sz w:val="22"/>
                <w:szCs w:val="22"/>
              </w:rPr>
            </w:pPr>
          </w:p>
        </w:tc>
        <w:tc>
          <w:tcPr>
            <w:tcW w:w="183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sz w:val="22"/>
                <w:szCs w:val="22"/>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sz w:val="22"/>
                <w:szCs w:val="22"/>
                <w:highlight w:val="none"/>
              </w:rPr>
            </w:pPr>
            <w:r>
              <w:rPr>
                <w:rFonts w:hint="default" w:ascii="Times New Roman"/>
                <w:sz w:val="22"/>
                <w:szCs w:val="22"/>
                <w:highlight w:val="none"/>
              </w:rPr>
              <w:t>0-</w:t>
            </w:r>
            <w:r>
              <w:rPr>
                <w:rFonts w:hint="default" w:ascii="Times New Roman"/>
                <w:sz w:val="22"/>
                <w:szCs w:val="22"/>
                <w:highlight w:val="none"/>
                <w:lang w:val="en-US" w:eastAsia="zh-CN"/>
              </w:rPr>
              <w:t>8</w:t>
            </w:r>
            <w:r>
              <w:rPr>
                <w:rFonts w:hint="default" w:ascii="Times New Roman"/>
                <w:sz w:val="22"/>
                <w:szCs w:val="22"/>
                <w:highlight w:val="none"/>
              </w:rPr>
              <w:t>分</w:t>
            </w:r>
          </w:p>
        </w:tc>
        <w:tc>
          <w:tcPr>
            <w:tcW w:w="6099" w:type="dxa"/>
            <w:tcBorders>
              <w:top w:val="single" w:color="auto" w:sz="4" w:space="0"/>
              <w:left w:val="single" w:color="auto" w:sz="6" w:space="0"/>
              <w:bottom w:val="single" w:color="auto" w:sz="4" w:space="0"/>
              <w:right w:val="single" w:color="auto" w:sz="4" w:space="0"/>
            </w:tcBorders>
            <w:vAlign w:val="center"/>
          </w:tcPr>
          <w:p>
            <w:pPr>
              <w:numPr>
                <w:ilvl w:val="255"/>
                <w:numId w:val="0"/>
              </w:numPr>
              <w:spacing w:line="300" w:lineRule="exact"/>
              <w:ind w:firstLine="0" w:firstLineChars="0"/>
              <w:jc w:val="left"/>
              <w:rPr>
                <w:rFonts w:hint="default" w:ascii="Times New Roman"/>
                <w:sz w:val="22"/>
                <w:szCs w:val="22"/>
                <w:highlight w:val="none"/>
                <w:lang w:val="en-US" w:eastAsia="zh-CN"/>
              </w:rPr>
            </w:pPr>
            <w:r>
              <w:rPr>
                <w:rFonts w:hint="default" w:ascii="Times New Roman"/>
                <w:sz w:val="22"/>
                <w:szCs w:val="22"/>
                <w:highlight w:val="none"/>
                <w:lang w:val="en-US" w:eastAsia="zh-CN"/>
              </w:rPr>
              <w:t>在满足采购文件车辆配置要求的基础上：每增加1辆</w:t>
            </w:r>
            <w:r>
              <w:rPr>
                <w:rFonts w:hint="default" w:ascii="Times New Roman"/>
                <w:sz w:val="22"/>
                <w:szCs w:val="22"/>
                <w:highlight w:val="none"/>
              </w:rPr>
              <w:t>洒水车总质量≥</w:t>
            </w:r>
            <w:r>
              <w:rPr>
                <w:rFonts w:hint="eastAsia" w:ascii="Times New Roman" w:hAnsi="Times New Roman" w:cs="Times New Roman"/>
                <w:sz w:val="22"/>
                <w:szCs w:val="22"/>
                <w:highlight w:val="none"/>
                <w:lang w:val="en-US" w:eastAsia="zh-CN"/>
              </w:rPr>
              <w:t>160</w:t>
            </w:r>
            <w:r>
              <w:rPr>
                <w:rFonts w:hint="default" w:ascii="Times New Roman"/>
                <w:sz w:val="22"/>
                <w:szCs w:val="22"/>
                <w:highlight w:val="none"/>
              </w:rPr>
              <w:t>00kg</w:t>
            </w:r>
            <w:r>
              <w:rPr>
                <w:rFonts w:hint="default" w:ascii="Times New Roman"/>
                <w:sz w:val="22"/>
                <w:szCs w:val="22"/>
                <w:highlight w:val="none"/>
                <w:lang w:val="en-US" w:eastAsia="zh-CN"/>
              </w:rPr>
              <w:t>得2分，最多得2分；每增加1辆封闭式垃圾运输车总质量≥4000kg得2分，最多得2分；每增加一辆登高车得2分，最多得2分；每增加1辆</w:t>
            </w:r>
            <w:r>
              <w:rPr>
                <w:rFonts w:hint="default" w:ascii="Times New Roman"/>
                <w:sz w:val="22"/>
                <w:szCs w:val="22"/>
                <w:highlight w:val="none"/>
              </w:rPr>
              <w:t>工程车（轻型自卸货车）得1分，最多得2分</w:t>
            </w:r>
            <w:r>
              <w:rPr>
                <w:rFonts w:hint="default" w:ascii="Times New Roman"/>
                <w:sz w:val="22"/>
                <w:szCs w:val="22"/>
                <w:highlight w:val="none"/>
                <w:lang w:eastAsia="zh-CN"/>
              </w:rPr>
              <w:t>。</w:t>
            </w:r>
            <w:r>
              <w:rPr>
                <w:rFonts w:hint="default" w:ascii="Times New Roman"/>
                <w:sz w:val="22"/>
                <w:szCs w:val="22"/>
                <w:highlight w:val="none"/>
                <w:lang w:val="en-US" w:eastAsia="zh-CN"/>
              </w:rPr>
              <w:t>本项最高得8分。</w:t>
            </w:r>
          </w:p>
          <w:p>
            <w:pPr>
              <w:numPr>
                <w:ilvl w:val="255"/>
                <w:numId w:val="0"/>
              </w:numPr>
              <w:spacing w:line="300" w:lineRule="exact"/>
              <w:jc w:val="left"/>
              <w:rPr>
                <w:rFonts w:ascii="Times New Roman"/>
                <w:sz w:val="22"/>
                <w:szCs w:val="22"/>
                <w:highlight w:val="none"/>
              </w:rPr>
            </w:pPr>
            <w:r>
              <w:rPr>
                <w:rFonts w:hint="default" w:ascii="Times New Roman"/>
                <w:sz w:val="22"/>
                <w:szCs w:val="22"/>
                <w:highlight w:val="none"/>
              </w:rPr>
              <w:t>注：自有设备需提供与投标单位名称一致的购置车辆行驶证及发票核对</w:t>
            </w:r>
            <w:r>
              <w:rPr>
                <w:rFonts w:hint="default" w:ascii="Times New Roman"/>
                <w:sz w:val="22"/>
                <w:szCs w:val="22"/>
                <w:highlight w:val="none"/>
                <w:lang w:val="en-US" w:eastAsia="zh-CN"/>
              </w:rPr>
              <w:t>，或提供中标后配备的承诺书，承诺书内容需包含车辆清单。</w:t>
            </w:r>
            <w:r>
              <w:rPr>
                <w:rFonts w:hint="eastAsia" w:ascii="Times New Roman" w:hAnsi="Times New Roman" w:cs="Times New Roman"/>
                <w:sz w:val="22"/>
                <w:szCs w:val="22"/>
                <w:highlight w:val="none"/>
                <w:lang w:val="en-US" w:eastAsia="zh-CN"/>
              </w:rPr>
              <w:t>所有车辆均要求</w:t>
            </w:r>
            <w:r>
              <w:rPr>
                <w:rFonts w:hint="eastAsia" w:ascii="宋体"/>
                <w:b w:val="0"/>
                <w:bCs w:val="0"/>
                <w:color w:val="auto"/>
                <w:sz w:val="22"/>
                <w:szCs w:val="22"/>
                <w:highlight w:val="none"/>
                <w:lang w:val="en-US" w:eastAsia="zh-CN"/>
              </w:rPr>
              <w:t>2017年1月1日以后购置，</w:t>
            </w:r>
            <w:r>
              <w:rPr>
                <w:rFonts w:hint="default" w:ascii="Times New Roman"/>
                <w:sz w:val="22"/>
                <w:szCs w:val="22"/>
                <w:highlight w:val="none"/>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2"/>
                <w:szCs w:val="22"/>
              </w:rPr>
            </w:pPr>
            <w:r>
              <w:rPr>
                <w:rFonts w:hint="default" w:ascii="Times New Roman"/>
                <w:sz w:val="22"/>
                <w:szCs w:val="22"/>
              </w:rPr>
              <w:t>1.5</w:t>
            </w:r>
          </w:p>
        </w:tc>
        <w:tc>
          <w:tcPr>
            <w:tcW w:w="1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2"/>
                <w:szCs w:val="22"/>
              </w:rPr>
            </w:pPr>
            <w:r>
              <w:rPr>
                <w:rFonts w:hint="default" w:ascii="Times New Roman"/>
                <w:sz w:val="22"/>
                <w:szCs w:val="22"/>
              </w:rPr>
              <w:t>各项工作的操作规程、标准、承诺，具体实施计划和养护方案。</w:t>
            </w:r>
          </w:p>
        </w:tc>
        <w:tc>
          <w:tcPr>
            <w:tcW w:w="12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sz w:val="22"/>
                <w:szCs w:val="22"/>
              </w:rPr>
            </w:pPr>
            <w:r>
              <w:rPr>
                <w:rFonts w:hint="default" w:ascii="Times New Roman"/>
                <w:sz w:val="22"/>
                <w:szCs w:val="22"/>
              </w:rPr>
              <w:t>0-1</w:t>
            </w:r>
            <w:r>
              <w:rPr>
                <w:rFonts w:hint="default" w:ascii="Times New Roman"/>
                <w:sz w:val="22"/>
                <w:szCs w:val="22"/>
                <w:lang w:val="en-US" w:eastAsia="zh-CN"/>
              </w:rPr>
              <w:t>0</w:t>
            </w:r>
            <w:r>
              <w:rPr>
                <w:rFonts w:hint="default" w:ascii="Times New Roman"/>
                <w:sz w:val="22"/>
                <w:szCs w:val="22"/>
              </w:rPr>
              <w:t>分</w:t>
            </w:r>
          </w:p>
        </w:tc>
        <w:tc>
          <w:tcPr>
            <w:tcW w:w="6099" w:type="dxa"/>
            <w:tcBorders>
              <w:top w:val="single" w:color="auto" w:sz="4" w:space="0"/>
              <w:left w:val="single" w:color="auto" w:sz="6" w:space="0"/>
              <w:bottom w:val="single" w:color="auto" w:sz="4" w:space="0"/>
              <w:right w:val="single" w:color="auto" w:sz="4" w:space="0"/>
            </w:tcBorders>
            <w:vAlign w:val="center"/>
          </w:tcPr>
          <w:p>
            <w:pPr>
              <w:pStyle w:val="11"/>
              <w:ind w:firstLine="0" w:firstLineChars="0"/>
              <w:rPr>
                <w:rFonts w:ascii="Times New Roman"/>
                <w:sz w:val="22"/>
                <w:szCs w:val="22"/>
              </w:rPr>
            </w:pPr>
            <w:r>
              <w:rPr>
                <w:rFonts w:hint="default" w:ascii="Times New Roman"/>
                <w:sz w:val="22"/>
                <w:szCs w:val="22"/>
              </w:rPr>
              <w:t>根据投标供应商对各项工作要求作出具体承诺及所采用的操作规程、标准、具体实施计划和养护方案是否明确、科学、可行；质量的控制和检验手段是否科学、可靠，</w:t>
            </w:r>
            <w:r>
              <w:rPr>
                <w:rFonts w:hint="default" w:ascii="Times New Roman" w:hAnsi="Times New Roman" w:cs="Times New Roman"/>
                <w:color w:val="000000" w:themeColor="text1"/>
                <w:sz w:val="22"/>
                <w:szCs w:val="22"/>
                <w14:textFill>
                  <w14:solidFill>
                    <w14:schemeClr w14:val="tx1"/>
                  </w14:solidFill>
                </w14:textFill>
              </w:rPr>
              <w:t>由评委酌情打分</w:t>
            </w:r>
            <w:r>
              <w:rPr>
                <w:rFonts w:hint="default"/>
                <w:sz w:val="22"/>
                <w:szCs w:val="22"/>
              </w:rPr>
              <w:t>：</w:t>
            </w:r>
          </w:p>
          <w:p>
            <w:pPr>
              <w:pStyle w:val="11"/>
              <w:ind w:firstLine="0" w:firstLineChars="0"/>
              <w:rPr>
                <w:sz w:val="22"/>
                <w:szCs w:val="22"/>
              </w:rPr>
            </w:pPr>
            <w:r>
              <w:rPr>
                <w:rFonts w:hint="default"/>
                <w:sz w:val="22"/>
                <w:szCs w:val="22"/>
              </w:rPr>
              <w:t>一档</w:t>
            </w:r>
            <w:r>
              <w:rPr>
                <w:rFonts w:hint="default"/>
                <w:sz w:val="22"/>
                <w:szCs w:val="22"/>
                <w:lang w:val="en-US" w:eastAsia="zh-CN"/>
              </w:rPr>
              <w:t>7</w:t>
            </w:r>
            <w:r>
              <w:rPr>
                <w:rFonts w:hint="default"/>
                <w:sz w:val="22"/>
                <w:szCs w:val="22"/>
              </w:rPr>
              <w:t>.1-1</w:t>
            </w:r>
            <w:r>
              <w:rPr>
                <w:rFonts w:hint="default"/>
                <w:sz w:val="22"/>
                <w:szCs w:val="22"/>
                <w:lang w:val="en-US" w:eastAsia="zh-CN"/>
              </w:rPr>
              <w:t>0</w:t>
            </w:r>
            <w:r>
              <w:rPr>
                <w:rFonts w:hint="default"/>
                <w:sz w:val="22"/>
                <w:szCs w:val="22"/>
              </w:rPr>
              <w:t>分：方案完善、合理，针对性、操作性强；</w:t>
            </w:r>
          </w:p>
          <w:p>
            <w:pPr>
              <w:pStyle w:val="11"/>
              <w:ind w:firstLine="0" w:firstLineChars="0"/>
              <w:rPr>
                <w:sz w:val="22"/>
                <w:szCs w:val="22"/>
              </w:rPr>
            </w:pPr>
            <w:r>
              <w:rPr>
                <w:rFonts w:hint="default"/>
                <w:sz w:val="22"/>
                <w:szCs w:val="22"/>
              </w:rPr>
              <w:t>二档</w:t>
            </w:r>
            <w:r>
              <w:rPr>
                <w:rFonts w:hint="default"/>
                <w:sz w:val="22"/>
                <w:szCs w:val="22"/>
                <w:lang w:val="en-US" w:eastAsia="zh-CN"/>
              </w:rPr>
              <w:t>3</w:t>
            </w:r>
            <w:r>
              <w:rPr>
                <w:rFonts w:hint="default"/>
                <w:sz w:val="22"/>
                <w:szCs w:val="22"/>
              </w:rPr>
              <w:t>.1-</w:t>
            </w:r>
            <w:r>
              <w:rPr>
                <w:rFonts w:hint="default"/>
                <w:sz w:val="22"/>
                <w:szCs w:val="22"/>
                <w:lang w:val="en-US" w:eastAsia="zh-CN"/>
              </w:rPr>
              <w:t>7</w:t>
            </w:r>
            <w:r>
              <w:rPr>
                <w:rFonts w:hint="default"/>
                <w:sz w:val="22"/>
                <w:szCs w:val="22"/>
              </w:rPr>
              <w:t>分：方案较完善、合理，有一定的可行性；</w:t>
            </w:r>
          </w:p>
          <w:p>
            <w:pPr>
              <w:rPr>
                <w:rFonts w:ascii="Times New Roman"/>
                <w:sz w:val="22"/>
                <w:szCs w:val="22"/>
              </w:rPr>
            </w:pPr>
            <w:r>
              <w:rPr>
                <w:rFonts w:hint="default"/>
                <w:sz w:val="22"/>
                <w:szCs w:val="22"/>
              </w:rPr>
              <w:t>三档0-</w:t>
            </w:r>
            <w:r>
              <w:rPr>
                <w:rFonts w:hint="default"/>
                <w:sz w:val="22"/>
                <w:szCs w:val="22"/>
                <w:lang w:val="en-US" w:eastAsia="zh-CN"/>
              </w:rPr>
              <w:t>3</w:t>
            </w:r>
            <w:r>
              <w:rPr>
                <w:rFonts w:hint="default"/>
                <w:sz w:val="22"/>
                <w:szCs w:val="22"/>
              </w:rPr>
              <w:t>分：方案不完善、通用，无可行性。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2"/>
                <w:szCs w:val="22"/>
              </w:rPr>
            </w:pPr>
            <w:r>
              <w:rPr>
                <w:rFonts w:hint="default" w:ascii="Times New Roman"/>
                <w:sz w:val="22"/>
                <w:szCs w:val="22"/>
              </w:rPr>
              <w:t>1.6</w:t>
            </w:r>
          </w:p>
        </w:tc>
        <w:tc>
          <w:tcPr>
            <w:tcW w:w="18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2"/>
                <w:szCs w:val="22"/>
              </w:rPr>
            </w:pPr>
            <w:r>
              <w:rPr>
                <w:rFonts w:hint="default" w:ascii="Times New Roman"/>
                <w:sz w:val="22"/>
                <w:szCs w:val="22"/>
              </w:rPr>
              <w:t>对本项目现状的调查与问题剖析</w:t>
            </w:r>
          </w:p>
        </w:tc>
        <w:tc>
          <w:tcPr>
            <w:tcW w:w="12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sz w:val="22"/>
                <w:szCs w:val="22"/>
              </w:rPr>
            </w:pPr>
            <w:r>
              <w:rPr>
                <w:rFonts w:hint="default" w:ascii="Times New Roman"/>
                <w:sz w:val="22"/>
                <w:szCs w:val="22"/>
              </w:rPr>
              <w:t>0-6分</w:t>
            </w:r>
          </w:p>
        </w:tc>
        <w:tc>
          <w:tcPr>
            <w:tcW w:w="6099" w:type="dxa"/>
            <w:tcBorders>
              <w:top w:val="single" w:color="auto" w:sz="4" w:space="0"/>
              <w:left w:val="single" w:color="auto" w:sz="6" w:space="0"/>
              <w:bottom w:val="single" w:color="auto" w:sz="4" w:space="0"/>
              <w:right w:val="single" w:color="auto" w:sz="4" w:space="0"/>
            </w:tcBorders>
            <w:vAlign w:val="center"/>
          </w:tcPr>
          <w:p>
            <w:pPr>
              <w:rPr>
                <w:sz w:val="22"/>
                <w:szCs w:val="22"/>
              </w:rPr>
            </w:pPr>
            <w:r>
              <w:rPr>
                <w:rFonts w:hint="default"/>
                <w:sz w:val="22"/>
                <w:szCs w:val="22"/>
              </w:rPr>
              <w:t>根据投标人对现有绿地养护现状、存在问题和绿化养护难点、要点等问题进行调查剖析，并针对性的提出克服难点和要点技术措施，</w:t>
            </w:r>
            <w:r>
              <w:rPr>
                <w:rFonts w:hint="default" w:ascii="Times New Roman" w:hAnsi="Times New Roman" w:cs="Times New Roman"/>
                <w:color w:val="000000" w:themeColor="text1"/>
                <w:sz w:val="22"/>
                <w:szCs w:val="22"/>
                <w14:textFill>
                  <w14:solidFill>
                    <w14:schemeClr w14:val="tx1"/>
                  </w14:solidFill>
                </w14:textFill>
              </w:rPr>
              <w:t>由评委酌情打分</w:t>
            </w:r>
            <w:r>
              <w:rPr>
                <w:rFonts w:hint="default"/>
                <w:sz w:val="22"/>
                <w:szCs w:val="22"/>
              </w:rPr>
              <w:t>：</w:t>
            </w:r>
          </w:p>
          <w:p>
            <w:pPr>
              <w:pStyle w:val="11"/>
              <w:ind w:firstLine="0" w:firstLineChars="0"/>
              <w:rPr>
                <w:sz w:val="22"/>
                <w:szCs w:val="22"/>
              </w:rPr>
            </w:pPr>
            <w:r>
              <w:rPr>
                <w:rFonts w:hint="default"/>
                <w:sz w:val="22"/>
                <w:szCs w:val="22"/>
              </w:rPr>
              <w:t>一档4.1-6分：方案完善、合理，针对性、操作性强；</w:t>
            </w:r>
          </w:p>
          <w:p>
            <w:pPr>
              <w:pStyle w:val="11"/>
              <w:ind w:firstLine="0" w:firstLineChars="0"/>
              <w:rPr>
                <w:sz w:val="22"/>
                <w:szCs w:val="22"/>
              </w:rPr>
            </w:pPr>
            <w:r>
              <w:rPr>
                <w:rFonts w:hint="default"/>
                <w:sz w:val="22"/>
                <w:szCs w:val="22"/>
              </w:rPr>
              <w:t>二档2.1-4分：方案较完善、合理，有一定的可行性；</w:t>
            </w:r>
          </w:p>
          <w:p>
            <w:pPr>
              <w:pStyle w:val="11"/>
              <w:ind w:firstLine="0" w:firstLineChars="0"/>
              <w:rPr>
                <w:sz w:val="22"/>
                <w:szCs w:val="22"/>
              </w:rPr>
            </w:pPr>
            <w:r>
              <w:rPr>
                <w:rFonts w:hint="default"/>
                <w:sz w:val="22"/>
                <w:szCs w:val="22"/>
              </w:rPr>
              <w:t>三档0-2分：方案不完善、通用，无可行性。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eastAsia="宋体"/>
                <w:sz w:val="22"/>
                <w:szCs w:val="22"/>
                <w:lang w:val="en-US" w:eastAsia="zh-CN"/>
              </w:rPr>
            </w:pPr>
            <w:r>
              <w:rPr>
                <w:rFonts w:hint="default" w:ascii="Times New Roman"/>
                <w:sz w:val="22"/>
                <w:szCs w:val="22"/>
                <w:lang w:val="en-US" w:eastAsia="zh-CN"/>
              </w:rPr>
              <w:t>1.7</w:t>
            </w:r>
          </w:p>
        </w:tc>
        <w:tc>
          <w:tcPr>
            <w:tcW w:w="1838" w:type="dxa"/>
            <w:tcBorders>
              <w:top w:val="single" w:color="auto" w:sz="4" w:space="0"/>
              <w:left w:val="single" w:color="auto" w:sz="4" w:space="0"/>
              <w:bottom w:val="single" w:color="auto" w:sz="4" w:space="0"/>
              <w:right w:val="single" w:color="auto" w:sz="4" w:space="0"/>
            </w:tcBorders>
            <w:vAlign w:val="center"/>
          </w:tcPr>
          <w:p>
            <w:pPr>
              <w:snapToGrid/>
              <w:spacing w:line="300" w:lineRule="exact"/>
              <w:jc w:val="center"/>
              <w:rPr>
                <w:rFonts w:hint="default" w:ascii="Times New Roman"/>
                <w:sz w:val="22"/>
                <w:szCs w:val="22"/>
                <w:highlight w:val="none"/>
              </w:rPr>
            </w:pPr>
            <w:r>
              <w:rPr>
                <w:rFonts w:hint="default" w:ascii="Times New Roman" w:hAnsi="Times New Roman" w:cs="Times New Roman"/>
                <w:sz w:val="22"/>
                <w:szCs w:val="22"/>
                <w:highlight w:val="none"/>
              </w:rPr>
              <w:t>垃圾处置及消纳</w:t>
            </w:r>
          </w:p>
        </w:tc>
        <w:tc>
          <w:tcPr>
            <w:tcW w:w="12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eastAsia="宋体"/>
                <w:sz w:val="22"/>
                <w:szCs w:val="22"/>
                <w:highlight w:val="none"/>
                <w:lang w:val="en-US" w:eastAsia="zh-CN"/>
              </w:rPr>
            </w:pPr>
            <w:r>
              <w:rPr>
                <w:rFonts w:hint="default" w:ascii="Times New Roman"/>
                <w:sz w:val="22"/>
                <w:szCs w:val="22"/>
                <w:highlight w:val="none"/>
                <w:u w:val="none"/>
                <w:lang w:val="en-US" w:eastAsia="zh-CN"/>
              </w:rPr>
              <w:t>0-</w:t>
            </w:r>
            <w:r>
              <w:rPr>
                <w:rFonts w:hint="default" w:ascii="Times New Roman"/>
                <w:sz w:val="22"/>
                <w:szCs w:val="22"/>
                <w:highlight w:val="none"/>
                <w:u w:val="none"/>
              </w:rPr>
              <w:t>4</w:t>
            </w:r>
            <w:r>
              <w:rPr>
                <w:rFonts w:hint="default" w:ascii="Times New Roman"/>
                <w:sz w:val="22"/>
                <w:szCs w:val="22"/>
                <w:highlight w:val="none"/>
                <w:u w:val="none"/>
                <w:lang w:val="en-US" w:eastAsia="zh-CN"/>
              </w:rPr>
              <w:t>分</w:t>
            </w:r>
          </w:p>
        </w:tc>
        <w:tc>
          <w:tcPr>
            <w:tcW w:w="6099" w:type="dxa"/>
            <w:tcBorders>
              <w:top w:val="single" w:color="auto" w:sz="4" w:space="0"/>
              <w:left w:val="single" w:color="auto" w:sz="6" w:space="0"/>
              <w:bottom w:val="single" w:color="auto" w:sz="4" w:space="0"/>
              <w:right w:val="single" w:color="auto" w:sz="4" w:space="0"/>
            </w:tcBorders>
            <w:vAlign w:val="center"/>
          </w:tcPr>
          <w:p>
            <w:pPr>
              <w:snapToGrid/>
              <w:spacing w:line="300" w:lineRule="exact"/>
              <w:jc w:val="left"/>
              <w:rPr>
                <w:rFonts w:hint="default" w:ascii="Times New Roman" w:hAnsi="Times New Roman" w:cs="Times New Roman"/>
                <w:sz w:val="22"/>
                <w:szCs w:val="22"/>
                <w:highlight w:val="none"/>
                <w:lang w:eastAsia="zh-CN"/>
              </w:rPr>
            </w:pPr>
            <w:r>
              <w:rPr>
                <w:rFonts w:hint="default" w:ascii="Times New Roman" w:hAnsi="Times New Roman" w:cs="Times New Roman"/>
                <w:sz w:val="22"/>
                <w:szCs w:val="22"/>
                <w:highlight w:val="none"/>
              </w:rPr>
              <w:t>阐述园林绿化垃圾处置消纳方案</w:t>
            </w:r>
            <w:r>
              <w:rPr>
                <w:rFonts w:hint="default" w:ascii="Times New Roman" w:hAnsi="Times New Roman" w:cs="Times New Roman"/>
                <w:sz w:val="22"/>
                <w:szCs w:val="22"/>
                <w:highlight w:val="none"/>
                <w:lang w:eastAsia="zh-CN"/>
              </w:rPr>
              <w:t>。</w:t>
            </w:r>
            <w:r>
              <w:rPr>
                <w:rFonts w:hint="default" w:ascii="Times New Roman" w:hAnsi="Times New Roman" w:cs="Times New Roman"/>
                <w:sz w:val="22"/>
                <w:szCs w:val="22"/>
                <w:highlight w:val="none"/>
              </w:rPr>
              <w:t>由评委酌情打分</w:t>
            </w:r>
            <w:r>
              <w:rPr>
                <w:rFonts w:hint="default" w:ascii="Times New Roman" w:hAnsi="Times New Roman" w:cs="Times New Roman"/>
                <w:sz w:val="22"/>
                <w:szCs w:val="22"/>
                <w:highlight w:val="none"/>
                <w:lang w:eastAsia="zh-CN"/>
              </w:rPr>
              <w:t>：</w:t>
            </w:r>
          </w:p>
          <w:p>
            <w:pPr>
              <w:spacing w:line="300" w:lineRule="exact"/>
              <w:jc w:val="left"/>
              <w:rPr>
                <w:rFonts w:hint="default" w:ascii="Times New Roman"/>
                <w:sz w:val="22"/>
                <w:szCs w:val="22"/>
                <w:highlight w:val="none"/>
              </w:rPr>
            </w:pPr>
            <w:r>
              <w:rPr>
                <w:rFonts w:hint="default" w:ascii="Times New Roman"/>
                <w:sz w:val="22"/>
                <w:szCs w:val="22"/>
                <w:highlight w:val="none"/>
              </w:rPr>
              <w:t>一档</w:t>
            </w:r>
            <w:r>
              <w:rPr>
                <w:rFonts w:hint="default" w:ascii="Times New Roman"/>
                <w:sz w:val="22"/>
                <w:szCs w:val="22"/>
                <w:highlight w:val="none"/>
                <w:lang w:val="en-US" w:eastAsia="zh-CN"/>
              </w:rPr>
              <w:t>2.1</w:t>
            </w:r>
            <w:r>
              <w:rPr>
                <w:rFonts w:hint="default" w:ascii="Times New Roman"/>
                <w:sz w:val="22"/>
                <w:szCs w:val="22"/>
                <w:highlight w:val="none"/>
              </w:rPr>
              <w:t>-</w:t>
            </w:r>
            <w:r>
              <w:rPr>
                <w:rFonts w:hint="default" w:ascii="Times New Roman"/>
                <w:sz w:val="22"/>
                <w:szCs w:val="22"/>
                <w:highlight w:val="none"/>
                <w:lang w:val="en-US" w:eastAsia="zh-CN"/>
              </w:rPr>
              <w:t>4</w:t>
            </w:r>
            <w:r>
              <w:rPr>
                <w:rFonts w:hint="default" w:ascii="Times New Roman"/>
                <w:sz w:val="22"/>
                <w:szCs w:val="22"/>
                <w:highlight w:val="none"/>
              </w:rPr>
              <w:t>分：方案完善、合理，针对性、操作性强；</w:t>
            </w:r>
          </w:p>
          <w:p>
            <w:pPr>
              <w:spacing w:line="300" w:lineRule="exact"/>
              <w:jc w:val="left"/>
              <w:rPr>
                <w:rFonts w:hint="default" w:ascii="Times New Roman"/>
                <w:sz w:val="22"/>
                <w:szCs w:val="22"/>
                <w:highlight w:val="none"/>
              </w:rPr>
            </w:pPr>
            <w:r>
              <w:rPr>
                <w:rFonts w:hint="default" w:ascii="Times New Roman"/>
                <w:sz w:val="22"/>
                <w:szCs w:val="22"/>
                <w:highlight w:val="none"/>
              </w:rPr>
              <w:t>二档</w:t>
            </w:r>
            <w:r>
              <w:rPr>
                <w:rFonts w:hint="default" w:ascii="Times New Roman"/>
                <w:sz w:val="22"/>
                <w:szCs w:val="22"/>
                <w:highlight w:val="none"/>
                <w:lang w:val="en-US" w:eastAsia="zh-CN"/>
              </w:rPr>
              <w:t>1.1</w:t>
            </w:r>
            <w:r>
              <w:rPr>
                <w:rFonts w:hint="default" w:ascii="Times New Roman"/>
                <w:sz w:val="22"/>
                <w:szCs w:val="22"/>
                <w:highlight w:val="none"/>
              </w:rPr>
              <w:t>-</w:t>
            </w:r>
            <w:r>
              <w:rPr>
                <w:rFonts w:hint="default" w:ascii="Times New Roman"/>
                <w:sz w:val="22"/>
                <w:szCs w:val="22"/>
                <w:highlight w:val="none"/>
                <w:lang w:val="en-US" w:eastAsia="zh-CN"/>
              </w:rPr>
              <w:t>2.1</w:t>
            </w:r>
            <w:r>
              <w:rPr>
                <w:rFonts w:hint="default" w:ascii="Times New Roman"/>
                <w:sz w:val="22"/>
                <w:szCs w:val="22"/>
                <w:highlight w:val="none"/>
              </w:rPr>
              <w:t>分：方案较完善、合理，有一定的可行性；</w:t>
            </w:r>
          </w:p>
          <w:p>
            <w:pPr>
              <w:snapToGrid/>
              <w:spacing w:line="300" w:lineRule="exact"/>
              <w:jc w:val="left"/>
              <w:rPr>
                <w:rFonts w:hint="default" w:ascii="Times New Roman"/>
                <w:sz w:val="22"/>
                <w:szCs w:val="22"/>
                <w:highlight w:val="none"/>
              </w:rPr>
            </w:pPr>
            <w:r>
              <w:rPr>
                <w:rFonts w:hint="default" w:ascii="Times New Roman"/>
                <w:sz w:val="22"/>
                <w:szCs w:val="22"/>
                <w:highlight w:val="none"/>
              </w:rPr>
              <w:t>三档0-</w:t>
            </w:r>
            <w:r>
              <w:rPr>
                <w:rFonts w:hint="default" w:ascii="Times New Roman"/>
                <w:sz w:val="22"/>
                <w:szCs w:val="22"/>
                <w:highlight w:val="none"/>
                <w:lang w:val="en-US" w:eastAsia="zh-CN"/>
              </w:rPr>
              <w:t>1</w:t>
            </w:r>
            <w:r>
              <w:rPr>
                <w:rFonts w:hint="default" w:ascii="Times New Roman"/>
                <w:sz w:val="22"/>
                <w:szCs w:val="22"/>
                <w:highlight w:val="none"/>
              </w:rPr>
              <w:t>分：方案不完善、通用，无可行性。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2"/>
                <w:szCs w:val="22"/>
              </w:rPr>
            </w:pPr>
            <w:r>
              <w:rPr>
                <w:rFonts w:hint="default" w:ascii="Times New Roman"/>
                <w:sz w:val="22"/>
                <w:szCs w:val="22"/>
              </w:rPr>
              <w:t>2</w:t>
            </w:r>
          </w:p>
        </w:tc>
        <w:tc>
          <w:tcPr>
            <w:tcW w:w="183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sz w:val="22"/>
                <w:szCs w:val="22"/>
              </w:rPr>
            </w:pPr>
            <w:r>
              <w:rPr>
                <w:rFonts w:hint="default" w:ascii="Times New Roman"/>
                <w:sz w:val="22"/>
                <w:szCs w:val="22"/>
              </w:rPr>
              <w:t>供应商业绩</w:t>
            </w:r>
          </w:p>
        </w:tc>
        <w:tc>
          <w:tcPr>
            <w:tcW w:w="12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sz w:val="22"/>
                <w:szCs w:val="22"/>
              </w:rPr>
            </w:pPr>
            <w:r>
              <w:rPr>
                <w:rFonts w:hint="default" w:ascii="Times New Roman"/>
                <w:sz w:val="22"/>
                <w:szCs w:val="22"/>
              </w:rPr>
              <w:t>0-10分</w:t>
            </w:r>
          </w:p>
        </w:tc>
        <w:tc>
          <w:tcPr>
            <w:tcW w:w="6099" w:type="dxa"/>
            <w:tcBorders>
              <w:top w:val="single" w:color="auto" w:sz="4" w:space="0"/>
              <w:left w:val="single" w:color="auto" w:sz="6" w:space="0"/>
              <w:bottom w:val="single" w:color="auto" w:sz="4" w:space="0"/>
              <w:right w:val="single" w:color="auto" w:sz="4" w:space="0"/>
            </w:tcBorders>
            <w:vAlign w:val="center"/>
          </w:tcPr>
          <w:p>
            <w:pPr>
              <w:pStyle w:val="61"/>
              <w:spacing w:line="300" w:lineRule="exact"/>
              <w:ind w:firstLine="0" w:firstLineChars="0"/>
              <w:jc w:val="left"/>
              <w:rPr>
                <w:rFonts w:ascii="Times New Roman" w:hAnsi="Times New Roman"/>
                <w:sz w:val="22"/>
                <w:szCs w:val="22"/>
                <w:highlight w:val="none"/>
              </w:rPr>
            </w:pPr>
            <w:r>
              <w:rPr>
                <w:rFonts w:hint="default" w:ascii="Times New Roman" w:hAnsi="Times New Roman"/>
                <w:sz w:val="22"/>
                <w:szCs w:val="22"/>
                <w:highlight w:val="none"/>
              </w:rPr>
              <w:t>业绩标准：根据供应商201</w:t>
            </w:r>
            <w:r>
              <w:rPr>
                <w:rFonts w:hint="default" w:ascii="Times New Roman" w:hAnsi="Times New Roman"/>
                <w:sz w:val="22"/>
                <w:szCs w:val="22"/>
                <w:highlight w:val="none"/>
                <w:lang w:val="en-US" w:eastAsia="zh-CN"/>
              </w:rPr>
              <w:t>7</w:t>
            </w:r>
            <w:r>
              <w:rPr>
                <w:rFonts w:hint="default" w:ascii="Times New Roman" w:hAnsi="Times New Roman"/>
                <w:sz w:val="22"/>
                <w:szCs w:val="22"/>
                <w:highlight w:val="none"/>
              </w:rPr>
              <w:t>年</w:t>
            </w:r>
            <w:r>
              <w:rPr>
                <w:rFonts w:hint="default" w:ascii="Times New Roman" w:hAnsi="Times New Roman"/>
                <w:sz w:val="22"/>
                <w:szCs w:val="22"/>
                <w:highlight w:val="none"/>
                <w:lang w:val="en-US" w:eastAsia="zh-CN"/>
              </w:rPr>
              <w:t>1月1日</w:t>
            </w:r>
            <w:r>
              <w:rPr>
                <w:rFonts w:hint="default" w:ascii="Times New Roman" w:hAnsi="Times New Roman"/>
                <w:sz w:val="22"/>
                <w:szCs w:val="22"/>
                <w:highlight w:val="none"/>
              </w:rPr>
              <w:t>以来（中标通知书载明时间为准）已完成类似绿化养护项目业绩，具备1个得2分，最多得10分</w:t>
            </w:r>
          </w:p>
          <w:p>
            <w:pPr>
              <w:pStyle w:val="61"/>
              <w:spacing w:line="300" w:lineRule="exact"/>
              <w:ind w:firstLine="0" w:firstLineChars="0"/>
              <w:jc w:val="left"/>
              <w:rPr>
                <w:rFonts w:ascii="Times New Roman" w:hAnsi="Times New Roman"/>
                <w:sz w:val="22"/>
                <w:szCs w:val="22"/>
                <w:highlight w:val="none"/>
              </w:rPr>
            </w:pPr>
            <w:r>
              <w:rPr>
                <w:rFonts w:hint="default" w:ascii="Times New Roman" w:hAnsi="Times New Roman"/>
                <w:sz w:val="22"/>
                <w:szCs w:val="22"/>
                <w:highlight w:val="none"/>
              </w:rPr>
              <w:t>注：（1）同一业绩续签合同，不重复累计计分</w:t>
            </w:r>
          </w:p>
          <w:p>
            <w:pPr>
              <w:pStyle w:val="61"/>
              <w:spacing w:line="300" w:lineRule="exact"/>
              <w:ind w:firstLine="440"/>
              <w:jc w:val="left"/>
              <w:rPr>
                <w:rFonts w:ascii="Times New Roman" w:hAnsi="Times New Roman" w:cs="Times New Roman"/>
                <w:sz w:val="22"/>
                <w:szCs w:val="22"/>
              </w:rPr>
            </w:pPr>
            <w:r>
              <w:rPr>
                <w:rFonts w:hint="default" w:ascii="Times New Roman" w:hAnsi="Times New Roman"/>
                <w:sz w:val="22"/>
                <w:szCs w:val="22"/>
                <w:highlight w:val="none"/>
              </w:rPr>
              <w:t>（2）同时提供中标通知书、合同及履约评价书（评价须为良好及以上）的业绩为有效业绩，否则不予认可。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2"/>
                <w:szCs w:val="22"/>
              </w:rPr>
            </w:pPr>
            <w:r>
              <w:rPr>
                <w:rFonts w:hint="default" w:ascii="Times New Roman"/>
                <w:sz w:val="22"/>
                <w:szCs w:val="22"/>
              </w:rPr>
              <w:t>3</w:t>
            </w:r>
          </w:p>
        </w:tc>
        <w:tc>
          <w:tcPr>
            <w:tcW w:w="1838" w:type="dxa"/>
            <w:tcBorders>
              <w:top w:val="single" w:color="auto" w:sz="8" w:space="0"/>
              <w:left w:val="single" w:color="auto" w:sz="4" w:space="0"/>
              <w:bottom w:val="single" w:color="auto" w:sz="8" w:space="0"/>
              <w:right w:val="single" w:color="auto" w:sz="4" w:space="0"/>
            </w:tcBorders>
            <w:vAlign w:val="center"/>
          </w:tcPr>
          <w:p>
            <w:pPr>
              <w:spacing w:line="320" w:lineRule="exact"/>
              <w:jc w:val="center"/>
              <w:rPr>
                <w:rFonts w:ascii="Times New Roman"/>
                <w:sz w:val="22"/>
                <w:szCs w:val="22"/>
              </w:rPr>
            </w:pPr>
            <w:r>
              <w:rPr>
                <w:rFonts w:hint="default" w:ascii="Times New Roman" w:hAnsi="Times New Roman" w:cs="Times New Roman"/>
                <w:color w:val="000000" w:themeColor="text1"/>
                <w:sz w:val="22"/>
                <w:szCs w:val="22"/>
                <w:lang w:val="zh-TW"/>
                <w14:textFill>
                  <w14:solidFill>
                    <w14:schemeClr w14:val="tx1"/>
                  </w14:solidFill>
                </w14:textFill>
              </w:rPr>
              <w:t>体系认证</w:t>
            </w:r>
          </w:p>
        </w:tc>
        <w:tc>
          <w:tcPr>
            <w:tcW w:w="1277" w:type="dxa"/>
            <w:tcBorders>
              <w:top w:val="single" w:color="auto" w:sz="8" w:space="0"/>
              <w:left w:val="single" w:color="auto" w:sz="4" w:space="0"/>
              <w:bottom w:val="single" w:color="auto" w:sz="8" w:space="0"/>
              <w:right w:val="single" w:color="auto" w:sz="4" w:space="0"/>
            </w:tcBorders>
            <w:vAlign w:val="center"/>
          </w:tcPr>
          <w:p>
            <w:pPr>
              <w:spacing w:line="320" w:lineRule="exact"/>
              <w:jc w:val="center"/>
              <w:rPr>
                <w:rFonts w:ascii="Times New Roman"/>
                <w:sz w:val="22"/>
                <w:szCs w:val="22"/>
              </w:rPr>
            </w:pPr>
            <w:r>
              <w:rPr>
                <w:rFonts w:hint="default" w:ascii="Times New Roman" w:hAnsi="Times New Roman" w:cs="Times New Roman"/>
                <w:color w:val="000000" w:themeColor="text1"/>
                <w:sz w:val="22"/>
                <w:szCs w:val="22"/>
                <w:u w:color="000000"/>
                <w14:textFill>
                  <w14:solidFill>
                    <w14:schemeClr w14:val="tx1"/>
                  </w14:solidFill>
                </w14:textFill>
              </w:rPr>
              <w:t>0-3</w:t>
            </w:r>
            <w:r>
              <w:rPr>
                <w:rFonts w:hint="default" w:ascii="Times New Roman"/>
                <w:sz w:val="22"/>
                <w:szCs w:val="22"/>
              </w:rPr>
              <w:t>分</w:t>
            </w:r>
          </w:p>
        </w:tc>
        <w:tc>
          <w:tcPr>
            <w:tcW w:w="6099" w:type="dxa"/>
            <w:tcBorders>
              <w:top w:val="single" w:color="auto" w:sz="8" w:space="0"/>
              <w:left w:val="single" w:color="auto" w:sz="6" w:space="0"/>
              <w:bottom w:val="single" w:color="auto" w:sz="8" w:space="0"/>
              <w:right w:val="single" w:color="auto" w:sz="4" w:space="0"/>
            </w:tcBorders>
            <w:vAlign w:val="center"/>
          </w:tcPr>
          <w:p>
            <w:pPr>
              <w:spacing w:line="320" w:lineRule="exact"/>
              <w:rPr>
                <w:rFonts w:ascii="Times New Roman" w:hAnsi="Times New Roman" w:cs="Times New Roman"/>
                <w:color w:val="000000" w:themeColor="text1"/>
                <w:sz w:val="22"/>
                <w:szCs w:val="22"/>
                <w:highlight w:val="none"/>
                <w14:textFill>
                  <w14:solidFill>
                    <w14:schemeClr w14:val="tx1"/>
                  </w14:solidFill>
                </w14:textFill>
              </w:rPr>
            </w:pPr>
            <w:r>
              <w:rPr>
                <w:rFonts w:hint="default" w:ascii="Times New Roman" w:hAnsi="Times New Roman" w:cs="Times New Roman"/>
                <w:color w:val="000000" w:themeColor="text1"/>
                <w:sz w:val="22"/>
                <w:szCs w:val="22"/>
                <w:highlight w:val="none"/>
                <w14:textFill>
                  <w14:solidFill>
                    <w14:schemeClr w14:val="tx1"/>
                  </w14:solidFill>
                </w14:textFill>
              </w:rPr>
              <w:t>投标供应商具有质量管理体系认证证书、环境认证体系认证证书及职业健康安全管理体系认证证书的每项得1分，最高3分。提供证书复印件并加盖公章。</w:t>
            </w:r>
          </w:p>
          <w:p>
            <w:pPr>
              <w:tabs>
                <w:tab w:val="left" w:pos="1080"/>
              </w:tabs>
              <w:spacing w:line="320" w:lineRule="exact"/>
              <w:rPr>
                <w:rFonts w:ascii="Times New Roman"/>
                <w:sz w:val="22"/>
                <w:szCs w:val="22"/>
                <w:highlight w:val="none"/>
              </w:rPr>
            </w:pPr>
            <w:r>
              <w:rPr>
                <w:rFonts w:hint="default" w:ascii="Times New Roman" w:hAnsi="Times New Roman" w:cs="Times New Roman"/>
                <w:color w:val="000000" w:themeColor="text1"/>
                <w:sz w:val="22"/>
                <w:szCs w:val="22"/>
                <w:highlight w:val="none"/>
                <w14:textFill>
                  <w14:solidFill>
                    <w14:schemeClr w14:val="tx1"/>
                  </w14:solidFill>
                </w14:textFill>
              </w:rPr>
              <w:t>注：须提供的证书文件，认证范围须包含绿化养护</w:t>
            </w: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相关</w:t>
            </w:r>
            <w:r>
              <w:rPr>
                <w:rFonts w:hint="default" w:ascii="Times New Roman" w:hAnsi="Times New Roman" w:cs="Times New Roman"/>
                <w:color w:val="000000" w:themeColor="text1"/>
                <w:sz w:val="22"/>
                <w:szCs w:val="22"/>
                <w:highlight w:val="none"/>
                <w14:textFill>
                  <w14:solidFill>
                    <w14:schemeClr w14:val="tx1"/>
                  </w14:solidFill>
                </w14:textFill>
              </w:rPr>
              <w:t>、公厕保洁</w:t>
            </w: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相关的范围</w:t>
            </w:r>
            <w:r>
              <w:rPr>
                <w:rFonts w:hint="default" w:ascii="Times New Roman" w:hAnsi="Times New Roman" w:cs="Times New Roman"/>
                <w:color w:val="000000" w:themeColor="text1"/>
                <w:sz w:val="22"/>
                <w:szCs w:val="22"/>
                <w:highlight w:val="none"/>
                <w14:textFill>
                  <w14:solidFill>
                    <w14:schemeClr w14:val="tx1"/>
                  </w14:solidFill>
                </w14:textFill>
              </w:rPr>
              <w:t>，否则不予认可。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2"/>
                <w:szCs w:val="22"/>
              </w:rPr>
            </w:pPr>
            <w:r>
              <w:rPr>
                <w:rFonts w:hint="default" w:ascii="Times New Roman"/>
                <w:sz w:val="22"/>
                <w:szCs w:val="22"/>
              </w:rPr>
              <w:t>4</w:t>
            </w:r>
          </w:p>
        </w:tc>
        <w:tc>
          <w:tcPr>
            <w:tcW w:w="1838" w:type="dxa"/>
            <w:tcBorders>
              <w:top w:val="single" w:color="auto" w:sz="8" w:space="0"/>
              <w:left w:val="single" w:color="auto" w:sz="4" w:space="0"/>
              <w:bottom w:val="single" w:color="auto" w:sz="8" w:space="0"/>
              <w:right w:val="single" w:color="auto" w:sz="4" w:space="0"/>
            </w:tcBorders>
            <w:vAlign w:val="center"/>
          </w:tcPr>
          <w:p>
            <w:pPr>
              <w:spacing w:line="320" w:lineRule="exact"/>
              <w:jc w:val="center"/>
              <w:rPr>
                <w:rFonts w:ascii="Times New Roman" w:hAnsi="Times New Roman" w:cs="Times New Roman"/>
                <w:color w:val="000000" w:themeColor="text1"/>
                <w:sz w:val="22"/>
                <w:szCs w:val="22"/>
                <w:lang w:val="zh-TW"/>
                <w14:textFill>
                  <w14:solidFill>
                    <w14:schemeClr w14:val="tx1"/>
                  </w14:solidFill>
                </w14:textFill>
              </w:rPr>
            </w:pPr>
            <w:r>
              <w:rPr>
                <w:rFonts w:hint="default" w:ascii="Times New Roman" w:hAnsi="Times New Roman" w:cs="Times New Roman"/>
                <w:color w:val="000000" w:themeColor="text1"/>
                <w:sz w:val="22"/>
                <w:szCs w:val="22"/>
                <w:lang w:val="zh-TW"/>
                <w14:textFill>
                  <w14:solidFill>
                    <w14:schemeClr w14:val="tx1"/>
                  </w14:solidFill>
                </w14:textFill>
              </w:rPr>
              <w:t>供应商资信及荣誉</w:t>
            </w:r>
          </w:p>
        </w:tc>
        <w:tc>
          <w:tcPr>
            <w:tcW w:w="1277" w:type="dxa"/>
            <w:tcBorders>
              <w:top w:val="single" w:color="auto" w:sz="8" w:space="0"/>
              <w:left w:val="single" w:color="auto" w:sz="4" w:space="0"/>
              <w:bottom w:val="single" w:color="auto" w:sz="8" w:space="0"/>
              <w:right w:val="single" w:color="auto" w:sz="4" w:space="0"/>
            </w:tcBorders>
            <w:vAlign w:val="center"/>
          </w:tcPr>
          <w:p>
            <w:pPr>
              <w:spacing w:line="320" w:lineRule="exact"/>
              <w:jc w:val="center"/>
              <w:rPr>
                <w:rFonts w:ascii="Times New Roman" w:hAnsi="Times New Roman" w:cs="Times New Roman"/>
                <w:color w:val="000000" w:themeColor="text1"/>
                <w:sz w:val="22"/>
                <w:szCs w:val="22"/>
                <w:u w:color="000000"/>
                <w14:textFill>
                  <w14:solidFill>
                    <w14:schemeClr w14:val="tx1"/>
                  </w14:solidFill>
                </w14:textFill>
              </w:rPr>
            </w:pPr>
            <w:r>
              <w:rPr>
                <w:rFonts w:hint="default" w:ascii="Times New Roman" w:hAnsi="Times New Roman" w:cs="Times New Roman"/>
                <w:color w:val="000000" w:themeColor="text1"/>
                <w:sz w:val="22"/>
                <w:szCs w:val="22"/>
                <w:u w:color="000000"/>
                <w14:textFill>
                  <w14:solidFill>
                    <w14:schemeClr w14:val="tx1"/>
                  </w14:solidFill>
                </w14:textFill>
              </w:rPr>
              <w:t>0-</w:t>
            </w:r>
            <w:r>
              <w:rPr>
                <w:rFonts w:hint="default" w:ascii="Times New Roman" w:hAnsi="Times New Roman" w:cs="Times New Roman"/>
                <w:color w:val="000000" w:themeColor="text1"/>
                <w:sz w:val="22"/>
                <w:szCs w:val="22"/>
                <w:u w:color="000000"/>
                <w:lang w:val="en-US" w:eastAsia="zh-CN"/>
                <w14:textFill>
                  <w14:solidFill>
                    <w14:schemeClr w14:val="tx1"/>
                  </w14:solidFill>
                </w14:textFill>
              </w:rPr>
              <w:t>5</w:t>
            </w:r>
            <w:r>
              <w:rPr>
                <w:rFonts w:hint="default" w:ascii="Times New Roman" w:hAnsi="Times New Roman" w:cs="Times New Roman"/>
                <w:color w:val="000000" w:themeColor="text1"/>
                <w:sz w:val="22"/>
                <w:szCs w:val="22"/>
                <w:u w:color="000000"/>
                <w14:textFill>
                  <w14:solidFill>
                    <w14:schemeClr w14:val="tx1"/>
                  </w14:solidFill>
                </w14:textFill>
              </w:rPr>
              <w:t>分</w:t>
            </w:r>
          </w:p>
        </w:tc>
        <w:tc>
          <w:tcPr>
            <w:tcW w:w="6099" w:type="dxa"/>
            <w:tcBorders>
              <w:top w:val="single" w:color="auto" w:sz="8" w:space="0"/>
              <w:left w:val="single" w:color="auto" w:sz="6" w:space="0"/>
              <w:bottom w:val="single" w:color="auto" w:sz="8" w:space="0"/>
              <w:right w:val="single" w:color="auto" w:sz="4" w:space="0"/>
            </w:tcBorders>
            <w:vAlign w:val="center"/>
          </w:tcPr>
          <w:p>
            <w:pPr>
              <w:numPr>
                <w:ilvl w:val="255"/>
                <w:numId w:val="0"/>
              </w:numPr>
              <w:tabs>
                <w:tab w:val="left" w:pos="1080"/>
              </w:tabs>
              <w:spacing w:line="320" w:lineRule="exact"/>
              <w:ind w:firstLine="0" w:firstLineChars="0"/>
              <w:rPr>
                <w:sz w:val="22"/>
                <w:szCs w:val="22"/>
                <w:highlight w:val="none"/>
              </w:rPr>
            </w:pPr>
            <w:r>
              <w:rPr>
                <w:rFonts w:hint="default"/>
                <w:sz w:val="22"/>
                <w:szCs w:val="22"/>
                <w:highlight w:val="none"/>
              </w:rPr>
              <w:t>根据投标人的社会荣誉、行业荣誉、企业实力、苗圃管理能力进行综合打分。</w:t>
            </w:r>
            <w:r>
              <w:rPr>
                <w:rFonts w:hint="default"/>
                <w:sz w:val="22"/>
                <w:szCs w:val="22"/>
                <w:highlight w:val="none"/>
                <w:lang w:val="en-US" w:eastAsia="zh-CN"/>
              </w:rPr>
              <w:t>3.9</w:t>
            </w:r>
            <w:r>
              <w:rPr>
                <w:rFonts w:hint="default"/>
                <w:sz w:val="22"/>
                <w:szCs w:val="22"/>
                <w:highlight w:val="none"/>
              </w:rPr>
              <w:t>分&lt;优≤</w:t>
            </w:r>
            <w:r>
              <w:rPr>
                <w:rFonts w:hint="default"/>
                <w:sz w:val="22"/>
                <w:szCs w:val="22"/>
                <w:highlight w:val="none"/>
                <w:lang w:val="en-US" w:eastAsia="zh-CN"/>
              </w:rPr>
              <w:t>5</w:t>
            </w:r>
            <w:r>
              <w:rPr>
                <w:rFonts w:hint="default"/>
                <w:sz w:val="22"/>
                <w:szCs w:val="22"/>
                <w:highlight w:val="none"/>
              </w:rPr>
              <w:t>分；2分&lt;良≤3.9分；0分&lt;差≤1.9分。本项最高得</w:t>
            </w:r>
            <w:r>
              <w:rPr>
                <w:rFonts w:hint="default"/>
                <w:sz w:val="22"/>
                <w:szCs w:val="22"/>
                <w:highlight w:val="none"/>
                <w:lang w:val="en-US" w:eastAsia="zh-CN"/>
              </w:rPr>
              <w:t>5</w:t>
            </w:r>
            <w:r>
              <w:rPr>
                <w:rFonts w:hint="default"/>
                <w:sz w:val="22"/>
                <w:szCs w:val="22"/>
                <w:highlight w:val="none"/>
              </w:rPr>
              <w:t>分。</w:t>
            </w:r>
          </w:p>
        </w:tc>
      </w:tr>
    </w:tbl>
    <w:p>
      <w:pPr>
        <w:spacing w:line="460" w:lineRule="atLeast"/>
        <w:ind w:firstLine="440" w:firstLineChars="200"/>
        <w:rPr>
          <w:rFonts w:ascii="宋体" w:hAnsi="宋体" w:cs="宋体"/>
          <w:sz w:val="22"/>
          <w:szCs w:val="22"/>
        </w:rPr>
      </w:pPr>
      <w:r>
        <w:rPr>
          <w:rFonts w:hint="eastAsia" w:ascii="宋体" w:hAnsi="宋体" w:cs="宋体"/>
          <w:sz w:val="22"/>
          <w:szCs w:val="22"/>
        </w:rPr>
        <w:t>三、说明</w:t>
      </w:r>
    </w:p>
    <w:p>
      <w:pPr>
        <w:widowControl/>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1、每个供应商最终得分=技术资信部分分值（所有评标委员会成员打分的算术平均值）。</w:t>
      </w:r>
    </w:p>
    <w:p>
      <w:pPr>
        <w:widowControl/>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2、评标委员会推荐得分最高的供应商为中标供应商，如果得分相同则以抽签决定，并编写评标报告。</w:t>
      </w:r>
    </w:p>
    <w:p>
      <w:pPr>
        <w:widowControl/>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3、所有分值计算保留小数点后二位，小数点后三位四舍五入。</w:t>
      </w:r>
    </w:p>
    <w:p>
      <w:pPr>
        <w:widowControl/>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参见本招标文件第三部分：“供应商须知” 中的相关内容，未尽事宜按有关法律规定处理。</w:t>
      </w:r>
    </w:p>
    <w:p>
      <w:pPr>
        <w:widowControl/>
        <w:autoSpaceDE w:val="0"/>
        <w:autoSpaceDN w:val="0"/>
        <w:adjustRightInd w:val="0"/>
        <w:spacing w:line="460" w:lineRule="atLeast"/>
        <w:ind w:firstLine="420" w:firstLineChars="200"/>
        <w:textAlignment w:val="bottom"/>
        <w:rPr>
          <w:rFonts w:ascii="宋体" w:hAnsi="宋体" w:cs="宋体"/>
          <w:sz w:val="22"/>
          <w:szCs w:val="22"/>
        </w:rPr>
      </w:pPr>
      <w:r>
        <w:rPr>
          <w:rFonts w:hint="eastAsia" w:ascii="宋体" w:hAnsi="宋体" w:cs="宋体"/>
        </w:rPr>
        <w:t>四</w:t>
      </w:r>
      <w:r>
        <w:rPr>
          <w:rFonts w:hint="eastAsia" w:ascii="宋体" w:hAnsi="宋体" w:cs="宋体"/>
          <w:sz w:val="22"/>
          <w:szCs w:val="22"/>
        </w:rPr>
        <w:t>、注意事项</w:t>
      </w:r>
    </w:p>
    <w:p>
      <w:pPr>
        <w:widowControl/>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为确保评标工作的顺利进行，防止因泄密或其它意外而造成不良后果及影响，凡参加评标工作的人员都必须认真执行下面规定：</w:t>
      </w:r>
    </w:p>
    <w:p>
      <w:pPr>
        <w:widowControl/>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1． 在评标工作期间，所有分发的投标文件、资料等仅限于在评标场所中使用，不得带往其它地方。</w:t>
      </w:r>
    </w:p>
    <w:p>
      <w:pPr>
        <w:widowControl/>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2． 评标人员及工作人员不得在公共场合谈论有关评标内容。</w:t>
      </w:r>
    </w:p>
    <w:p>
      <w:pPr>
        <w:widowControl/>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3． 评标人员及工作人员不得以书信、电讯、口述等方式将有关评标内容（如资料、投标文件、报价、评标方式、评标委员会的决定、评标人员名单等）披露给未参加评标的任何无关人员，包括上级领导、同级和下级人员，任何与评标无关的人员（包括亲朋好友和同事）不得进入评标场所。</w:t>
      </w:r>
    </w:p>
    <w:p>
      <w:pPr>
        <w:widowControl/>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4． 任何需要向投标人进行询标的问题必须经评标委员会成员签字并由主询标人提出。在询标期间，对于涉及本规定保密范畴的所有内容，主询标人不得向投标人透露。</w:t>
      </w:r>
    </w:p>
    <w:p>
      <w:pPr>
        <w:widowControl/>
        <w:autoSpaceDE w:val="0"/>
        <w:autoSpaceDN w:val="0"/>
        <w:adjustRightInd w:val="0"/>
        <w:spacing w:line="460" w:lineRule="atLeast"/>
        <w:ind w:firstLine="440" w:firstLineChars="200"/>
        <w:textAlignment w:val="bottom"/>
        <w:rPr>
          <w:rFonts w:ascii="宋体" w:hAnsi="宋体" w:cs="宋体"/>
        </w:rPr>
      </w:pPr>
      <w:r>
        <w:rPr>
          <w:rFonts w:hint="eastAsia" w:ascii="宋体" w:hAnsi="宋体" w:cs="宋体"/>
          <w:sz w:val="22"/>
          <w:szCs w:val="22"/>
        </w:rPr>
        <w:t>5． 任何评标人员和工作人员不得对外公布评标的一切内容。</w:t>
      </w:r>
    </w:p>
    <w:sectPr>
      <w:pgSz w:w="11906" w:h="16838"/>
      <w:pgMar w:top="1134" w:right="1134" w:bottom="1134" w:left="1134" w:header="851"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w:rPr>
        <w:rFonts w:hint="eastAsia" w:cs="宋体"/>
      </w:rPr>
      <w:t>浙江至诚工程咨询有限责任公司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719" w:y="18"/>
      <w:rPr>
        <w:rStyle w:val="29"/>
        <w:rFonts w:ascii="宋体"/>
      </w:rPr>
    </w:pPr>
    <w:r>
      <w:rPr>
        <w:rStyle w:val="29"/>
        <w:rFonts w:ascii="宋体" w:cs="宋体"/>
      </w:rPr>
      <w:fldChar w:fldCharType="begin"/>
    </w:r>
    <w:r>
      <w:rPr>
        <w:rStyle w:val="29"/>
        <w:rFonts w:ascii="宋体" w:cs="宋体"/>
      </w:rPr>
      <w:instrText xml:space="preserve">PAGE  </w:instrText>
    </w:r>
    <w:r>
      <w:rPr>
        <w:rStyle w:val="29"/>
        <w:rFonts w:ascii="宋体" w:cs="宋体"/>
      </w:rPr>
      <w:fldChar w:fldCharType="separate"/>
    </w:r>
    <w:r>
      <w:rPr>
        <w:rStyle w:val="29"/>
        <w:rFonts w:ascii="宋体" w:cs="宋体"/>
      </w:rPr>
      <w:t>82</w:t>
    </w:r>
    <w:r>
      <w:rPr>
        <w:rStyle w:val="29"/>
        <w:rFonts w:ascii="宋体" w:cs="宋体"/>
      </w:rPr>
      <w:fldChar w:fldCharType="end"/>
    </w:r>
  </w:p>
  <w:p>
    <w:pPr>
      <w:pStyle w:val="16"/>
      <w:jc w:val="right"/>
      <w:rPr>
        <w:rFonts w:ascii="宋体"/>
      </w:rPr>
    </w:pPr>
    <w:r>
      <w:rPr>
        <w:rFonts w:hint="eastAsia" w:ascii="宋体" w:cs="宋体"/>
      </w:rPr>
      <w:t>浙江至诚工程咨询有限责任公司</w:t>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62</w:t>
    </w:r>
    <w:r>
      <w:rPr>
        <w:rStyle w:val="29"/>
      </w:rPr>
      <w:fldChar w:fldCharType="end"/>
    </w:r>
  </w:p>
  <w:p>
    <w:pPr>
      <w:pStyle w:val="16"/>
      <w:tabs>
        <w:tab w:val="left" w:pos="5820"/>
        <w:tab w:val="clear" w:pos="4153"/>
        <w:tab w:val="clear" w:pos="8306"/>
      </w:tabs>
    </w:pPr>
  </w:p>
  <w:p>
    <w:pPr>
      <w:pStyle w:val="16"/>
      <w:tabs>
        <w:tab w:val="left" w:pos="5820"/>
        <w:tab w:val="clear" w:pos="4153"/>
        <w:tab w:val="clear" w:pos="8306"/>
      </w:tabs>
    </w:pPr>
    <w:r>
      <w:rPr>
        <w:u w:val="single"/>
      </w:rPr>
      <w:t xml:space="preserve">                                                                                                                                                   </w:t>
    </w:r>
  </w:p>
  <w:p>
    <w:pPr>
      <w:pStyle w:val="16"/>
      <w:tabs>
        <w:tab w:val="left" w:pos="5820"/>
        <w:tab w:val="clear" w:pos="4153"/>
        <w:tab w:val="clear" w:pos="8306"/>
      </w:tabs>
      <w:ind w:right="270"/>
      <w:jc w:val="right"/>
    </w:pPr>
    <w:r>
      <w:rPr>
        <w:rFonts w:hint="eastAsia" w:cs="宋体"/>
      </w:rPr>
      <w:t>浙江至诚工程咨询有限责任公司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719" w:y="18"/>
      <w:rPr>
        <w:rStyle w:val="29"/>
        <w:rFonts w:ascii="宋体"/>
      </w:rPr>
    </w:pPr>
    <w:r>
      <w:rPr>
        <w:rFonts w:ascii="宋体"/>
      </w:rPr>
      <w:fldChar w:fldCharType="begin"/>
    </w:r>
    <w:r>
      <w:rPr>
        <w:rStyle w:val="29"/>
        <w:rFonts w:ascii="宋体"/>
      </w:rPr>
      <w:instrText xml:space="preserve">PAGE  </w:instrText>
    </w:r>
    <w:r>
      <w:rPr>
        <w:rFonts w:ascii="宋体"/>
      </w:rPr>
      <w:fldChar w:fldCharType="separate"/>
    </w:r>
    <w:r>
      <w:rPr>
        <w:rStyle w:val="29"/>
        <w:rFonts w:ascii="宋体"/>
      </w:rPr>
      <w:t>69</w:t>
    </w:r>
    <w:r>
      <w:rPr>
        <w:rFonts w:ascii="宋体"/>
      </w:rPr>
      <w:fldChar w:fldCharType="end"/>
    </w:r>
  </w:p>
  <w:p>
    <w:pPr>
      <w:pStyle w:val="16"/>
      <w:jc w:val="right"/>
      <w:rPr>
        <w:rFonts w:ascii="宋体"/>
      </w:rPr>
    </w:pPr>
    <w:r>
      <w:rPr>
        <w:rFonts w:hint="eastAsia" w:ascii="宋体"/>
      </w:rPr>
      <w:t>浙江至诚工程咨询有限责任公司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jc w:val="center"/>
      <w:rPr>
        <w:rStyle w:val="29"/>
        <w:rFonts w:ascii="宋体"/>
      </w:rPr>
    </w:pPr>
    <w:r>
      <w:rPr>
        <w:rFonts w:ascii="宋体"/>
      </w:rPr>
      <w:fldChar w:fldCharType="begin"/>
    </w:r>
    <w:r>
      <w:rPr>
        <w:rStyle w:val="29"/>
        <w:rFonts w:ascii="宋体"/>
      </w:rPr>
      <w:instrText xml:space="preserve">PAGE  </w:instrText>
    </w:r>
    <w:r>
      <w:rPr>
        <w:rFonts w:ascii="宋体"/>
      </w:rPr>
      <w:fldChar w:fldCharType="separate"/>
    </w:r>
    <w:r>
      <w:rPr>
        <w:rStyle w:val="29"/>
        <w:rFonts w:ascii="宋体"/>
      </w:rPr>
      <w:t>83</w:t>
    </w:r>
    <w:r>
      <w:rPr>
        <w:rFonts w:ascii="宋体"/>
      </w:rPr>
      <w:fldChar w:fldCharType="end"/>
    </w:r>
  </w:p>
  <w:p>
    <w:pPr>
      <w:pStyle w:val="16"/>
      <w:jc w:val="right"/>
    </w:pPr>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w:rPr>
        <w:rFonts w:hint="eastAsia" w:cs="宋体"/>
      </w:rPr>
      <w:t>政府采购文件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w:rPr>
        <w:rFonts w:hint="eastAsia" w:cs="宋体"/>
      </w:rPr>
      <w:t>政府采购文件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ascii="宋体"/>
        <w:b/>
      </w:rPr>
    </w:pPr>
    <w:r>
      <w:rPr>
        <w:rFonts w:hint="eastAsia" w:ascii="宋体"/>
        <w:b/>
      </w:rPr>
      <w:t>政府采购招标文件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ascii="宋体"/>
        <w:b/>
      </w:rPr>
    </w:pPr>
    <w:r>
      <w:rPr>
        <w:rFonts w:hint="eastAsia" w:ascii="宋体"/>
        <w:b/>
      </w:rPr>
      <w:t>政府采购招标文件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ascii="宋体"/>
      </w:rPr>
    </w:pPr>
    <w:r>
      <w:rPr>
        <w:rFonts w:hint="eastAsia" w:ascii="宋体"/>
      </w:rPr>
      <w:t>永嘉县政府采购招标文件</w:t>
    </w:r>
  </w:p>
  <w:p>
    <w:pPr>
      <w:rPr>
        <w:rFonts w:ascii="宋体"/>
      </w:rPr>
    </w:pPr>
  </w:p>
  <w:p>
    <w:pPr>
      <w:rPr>
        <w:rFonts w:asci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48C43F"/>
    <w:multiLevelType w:val="singleLevel"/>
    <w:tmpl w:val="D748C43F"/>
    <w:lvl w:ilvl="0" w:tentative="0">
      <w:start w:val="1"/>
      <w:numFmt w:val="decimal"/>
      <w:suff w:val="space"/>
      <w:lvlText w:val="（%1）"/>
      <w:lvlJc w:val="left"/>
    </w:lvl>
  </w:abstractNum>
  <w:abstractNum w:abstractNumId="1">
    <w:nsid w:val="E20F5DEC"/>
    <w:multiLevelType w:val="singleLevel"/>
    <w:tmpl w:val="E20F5DEC"/>
    <w:lvl w:ilvl="0" w:tentative="0">
      <w:start w:val="3"/>
      <w:numFmt w:val="decimal"/>
      <w:suff w:val="nothing"/>
      <w:lvlText w:val="%1、"/>
      <w:lvlJc w:val="left"/>
    </w:lvl>
  </w:abstractNum>
  <w:abstractNum w:abstractNumId="2">
    <w:nsid w:val="0D1875C4"/>
    <w:multiLevelType w:val="multilevel"/>
    <w:tmpl w:val="0D1875C4"/>
    <w:lvl w:ilvl="0" w:tentative="0">
      <w:start w:val="1"/>
      <w:numFmt w:val="decimalEnclosedCircleChinese"/>
      <w:lvlText w:val="%1　"/>
      <w:lvlJc w:val="left"/>
      <w:pPr>
        <w:ind w:left="420" w:hanging="420"/>
      </w:pPr>
    </w:lvl>
    <w:lvl w:ilvl="1" w:tentative="0">
      <w:start w:val="1"/>
      <w:numFmt w:val="decimal"/>
      <w:lvlText w:val="%2."/>
      <w:lvlJc w:val="left"/>
      <w:pPr>
        <w:tabs>
          <w:tab w:val="left" w:pos="1440"/>
        </w:tabs>
        <w:ind w:left="1440" w:hanging="360"/>
      </w:pPr>
    </w:lvl>
    <w:lvl w:ilvl="2" w:tentative="0">
      <w:start w:val="1"/>
      <w:numFmt w:val="decimalEnclosedCircleChinese"/>
      <w:lvlText w:val="%3　"/>
      <w:lvlJc w:val="left"/>
      <w:pPr>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C9782AA"/>
    <w:multiLevelType w:val="singleLevel"/>
    <w:tmpl w:val="1C9782AA"/>
    <w:lvl w:ilvl="0" w:tentative="0">
      <w:start w:val="15"/>
      <w:numFmt w:val="chineseCounting"/>
      <w:suff w:val="space"/>
      <w:lvlText w:val="第%1条"/>
      <w:lvlJc w:val="left"/>
      <w:rPr>
        <w:rFonts w:hint="eastAsia"/>
      </w:rPr>
    </w:lvl>
  </w:abstractNum>
  <w:abstractNum w:abstractNumId="4">
    <w:nsid w:val="27B919D6"/>
    <w:multiLevelType w:val="multilevel"/>
    <w:tmpl w:val="27B919D6"/>
    <w:lvl w:ilvl="0" w:tentative="0">
      <w:start w:val="1"/>
      <w:numFmt w:val="decimal"/>
      <w:lvlText w:val="（%1）"/>
      <w:lvlJc w:val="left"/>
      <w:pPr>
        <w:ind w:left="860" w:hanging="4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5">
    <w:nsid w:val="57EB736D"/>
    <w:multiLevelType w:val="singleLevel"/>
    <w:tmpl w:val="57EB736D"/>
    <w:lvl w:ilvl="0" w:tentative="0">
      <w:start w:val="1"/>
      <w:numFmt w:val="chineseCounting"/>
      <w:suff w:val="nothing"/>
      <w:lvlText w:val="（%1）"/>
      <w:lvlJc w:val="left"/>
    </w:lvl>
  </w:abstractNum>
  <w:abstractNum w:abstractNumId="6">
    <w:nsid w:val="58BD20B9"/>
    <w:multiLevelType w:val="singleLevel"/>
    <w:tmpl w:val="58BD20B9"/>
    <w:lvl w:ilvl="0" w:tentative="0">
      <w:start w:val="1"/>
      <w:numFmt w:val="decimal"/>
      <w:suff w:val="nothing"/>
      <w:lvlText w:val="%1."/>
      <w:lvlJc w:val="left"/>
    </w:lvl>
  </w:abstractNum>
  <w:abstractNum w:abstractNumId="7">
    <w:nsid w:val="71D2DC2E"/>
    <w:multiLevelType w:val="singleLevel"/>
    <w:tmpl w:val="71D2DC2E"/>
    <w:lvl w:ilvl="0" w:tentative="0">
      <w:start w:val="1"/>
      <w:numFmt w:val="decimal"/>
      <w:suff w:val="nothing"/>
      <w:lvlText w:val="%1、"/>
      <w:lvlJc w:val="left"/>
      <w:pPr>
        <w:ind w:left="990" w:firstLine="0"/>
      </w:pPr>
    </w:lvl>
  </w:abstractNum>
  <w:abstractNum w:abstractNumId="8">
    <w:nsid w:val="7DE95B5D"/>
    <w:multiLevelType w:val="singleLevel"/>
    <w:tmpl w:val="7DE95B5D"/>
    <w:lvl w:ilvl="0" w:tentative="0">
      <w:start w:val="2"/>
      <w:numFmt w:val="chineseCounting"/>
      <w:suff w:val="nothing"/>
      <w:lvlText w:val="%1、"/>
      <w:lvlJc w:val="left"/>
      <w:rPr>
        <w:rFonts w:hint="eastAsia"/>
      </w:rPr>
    </w:lvl>
  </w:abstractNum>
  <w:num w:numId="1">
    <w:abstractNumId w:val="8"/>
  </w:num>
  <w:num w:numId="2">
    <w:abstractNumId w:val="6"/>
  </w:num>
  <w:num w:numId="3">
    <w:abstractNumId w:val="0"/>
  </w:num>
  <w:num w:numId="4">
    <w:abstractNumId w:val="4"/>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trackRevisions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227"/>
    <w:rsid w:val="0000005C"/>
    <w:rsid w:val="00002061"/>
    <w:rsid w:val="000020A8"/>
    <w:rsid w:val="000025D0"/>
    <w:rsid w:val="00005A48"/>
    <w:rsid w:val="00006A42"/>
    <w:rsid w:val="00007907"/>
    <w:rsid w:val="00007A30"/>
    <w:rsid w:val="0001039F"/>
    <w:rsid w:val="00011410"/>
    <w:rsid w:val="000115DC"/>
    <w:rsid w:val="0001323D"/>
    <w:rsid w:val="000144E5"/>
    <w:rsid w:val="000163FB"/>
    <w:rsid w:val="00016412"/>
    <w:rsid w:val="00017269"/>
    <w:rsid w:val="00017C20"/>
    <w:rsid w:val="00021D1D"/>
    <w:rsid w:val="00024C7A"/>
    <w:rsid w:val="00025079"/>
    <w:rsid w:val="00025AC0"/>
    <w:rsid w:val="00027072"/>
    <w:rsid w:val="00027A5C"/>
    <w:rsid w:val="00030435"/>
    <w:rsid w:val="00030C19"/>
    <w:rsid w:val="00030C61"/>
    <w:rsid w:val="0003197C"/>
    <w:rsid w:val="000352D7"/>
    <w:rsid w:val="000356EA"/>
    <w:rsid w:val="00037F27"/>
    <w:rsid w:val="000410B8"/>
    <w:rsid w:val="00041F1F"/>
    <w:rsid w:val="00042A65"/>
    <w:rsid w:val="000430D7"/>
    <w:rsid w:val="0004325C"/>
    <w:rsid w:val="00044563"/>
    <w:rsid w:val="00044A09"/>
    <w:rsid w:val="0004559B"/>
    <w:rsid w:val="00046E9A"/>
    <w:rsid w:val="00051F29"/>
    <w:rsid w:val="0005220E"/>
    <w:rsid w:val="00053D63"/>
    <w:rsid w:val="00054613"/>
    <w:rsid w:val="00054A1A"/>
    <w:rsid w:val="00054CDE"/>
    <w:rsid w:val="0005503E"/>
    <w:rsid w:val="0005556E"/>
    <w:rsid w:val="00060FB3"/>
    <w:rsid w:val="00062A47"/>
    <w:rsid w:val="0006310B"/>
    <w:rsid w:val="000634EC"/>
    <w:rsid w:val="0006355C"/>
    <w:rsid w:val="00064C44"/>
    <w:rsid w:val="00064C6E"/>
    <w:rsid w:val="00065845"/>
    <w:rsid w:val="0007127B"/>
    <w:rsid w:val="00073DCC"/>
    <w:rsid w:val="00074EF5"/>
    <w:rsid w:val="00075082"/>
    <w:rsid w:val="000776B7"/>
    <w:rsid w:val="00077E2F"/>
    <w:rsid w:val="00080672"/>
    <w:rsid w:val="00081438"/>
    <w:rsid w:val="0008321E"/>
    <w:rsid w:val="000836EA"/>
    <w:rsid w:val="000842D2"/>
    <w:rsid w:val="00084586"/>
    <w:rsid w:val="00084844"/>
    <w:rsid w:val="00085C2F"/>
    <w:rsid w:val="00085E61"/>
    <w:rsid w:val="00086538"/>
    <w:rsid w:val="00086C22"/>
    <w:rsid w:val="00086C2A"/>
    <w:rsid w:val="00087389"/>
    <w:rsid w:val="00087781"/>
    <w:rsid w:val="00091BE1"/>
    <w:rsid w:val="00093339"/>
    <w:rsid w:val="000938BC"/>
    <w:rsid w:val="00093AE4"/>
    <w:rsid w:val="000944AD"/>
    <w:rsid w:val="000945AF"/>
    <w:rsid w:val="00094AAF"/>
    <w:rsid w:val="000953C4"/>
    <w:rsid w:val="00095548"/>
    <w:rsid w:val="00095570"/>
    <w:rsid w:val="000956DF"/>
    <w:rsid w:val="00095E6A"/>
    <w:rsid w:val="0009608E"/>
    <w:rsid w:val="00096711"/>
    <w:rsid w:val="000A0293"/>
    <w:rsid w:val="000A1491"/>
    <w:rsid w:val="000A1E95"/>
    <w:rsid w:val="000A24D9"/>
    <w:rsid w:val="000A26E7"/>
    <w:rsid w:val="000A3745"/>
    <w:rsid w:val="000A4FB6"/>
    <w:rsid w:val="000A533B"/>
    <w:rsid w:val="000A5EBC"/>
    <w:rsid w:val="000A7AB5"/>
    <w:rsid w:val="000B02A3"/>
    <w:rsid w:val="000B0393"/>
    <w:rsid w:val="000B0648"/>
    <w:rsid w:val="000B3313"/>
    <w:rsid w:val="000B5045"/>
    <w:rsid w:val="000B52ED"/>
    <w:rsid w:val="000B6938"/>
    <w:rsid w:val="000B7114"/>
    <w:rsid w:val="000B7352"/>
    <w:rsid w:val="000B7A57"/>
    <w:rsid w:val="000C0973"/>
    <w:rsid w:val="000C139D"/>
    <w:rsid w:val="000C1A09"/>
    <w:rsid w:val="000C2165"/>
    <w:rsid w:val="000C2BB1"/>
    <w:rsid w:val="000C2ED9"/>
    <w:rsid w:val="000C3605"/>
    <w:rsid w:val="000C3B9F"/>
    <w:rsid w:val="000C3F83"/>
    <w:rsid w:val="000C5181"/>
    <w:rsid w:val="000C59AC"/>
    <w:rsid w:val="000C5C41"/>
    <w:rsid w:val="000C783C"/>
    <w:rsid w:val="000D0CE1"/>
    <w:rsid w:val="000D1234"/>
    <w:rsid w:val="000D12CD"/>
    <w:rsid w:val="000D139B"/>
    <w:rsid w:val="000D1D8D"/>
    <w:rsid w:val="000D1E63"/>
    <w:rsid w:val="000D26C8"/>
    <w:rsid w:val="000D3866"/>
    <w:rsid w:val="000D4569"/>
    <w:rsid w:val="000D4B9A"/>
    <w:rsid w:val="000D6053"/>
    <w:rsid w:val="000D64E5"/>
    <w:rsid w:val="000E024B"/>
    <w:rsid w:val="000E118B"/>
    <w:rsid w:val="000E1253"/>
    <w:rsid w:val="000E21CE"/>
    <w:rsid w:val="000E24CD"/>
    <w:rsid w:val="000E3B25"/>
    <w:rsid w:val="000E4034"/>
    <w:rsid w:val="000E4481"/>
    <w:rsid w:val="000E4776"/>
    <w:rsid w:val="000E4C02"/>
    <w:rsid w:val="000E4EF2"/>
    <w:rsid w:val="000E63BA"/>
    <w:rsid w:val="000E6A7B"/>
    <w:rsid w:val="000F115A"/>
    <w:rsid w:val="000F1695"/>
    <w:rsid w:val="000F188F"/>
    <w:rsid w:val="000F2200"/>
    <w:rsid w:val="000F35E2"/>
    <w:rsid w:val="000F39AA"/>
    <w:rsid w:val="000F4740"/>
    <w:rsid w:val="000F61EC"/>
    <w:rsid w:val="0010035B"/>
    <w:rsid w:val="0010063E"/>
    <w:rsid w:val="001014AF"/>
    <w:rsid w:val="0010229C"/>
    <w:rsid w:val="0010279A"/>
    <w:rsid w:val="00107410"/>
    <w:rsid w:val="001108DE"/>
    <w:rsid w:val="00110F7D"/>
    <w:rsid w:val="00111825"/>
    <w:rsid w:val="001124B3"/>
    <w:rsid w:val="00112BF0"/>
    <w:rsid w:val="00112E48"/>
    <w:rsid w:val="00113862"/>
    <w:rsid w:val="00113DEA"/>
    <w:rsid w:val="00115FCC"/>
    <w:rsid w:val="001166B0"/>
    <w:rsid w:val="00116893"/>
    <w:rsid w:val="001178CF"/>
    <w:rsid w:val="00123D6A"/>
    <w:rsid w:val="00125555"/>
    <w:rsid w:val="00126530"/>
    <w:rsid w:val="00127130"/>
    <w:rsid w:val="00127AB3"/>
    <w:rsid w:val="00130065"/>
    <w:rsid w:val="00133381"/>
    <w:rsid w:val="0013430F"/>
    <w:rsid w:val="001361BD"/>
    <w:rsid w:val="00140B8B"/>
    <w:rsid w:val="0014129F"/>
    <w:rsid w:val="00141F27"/>
    <w:rsid w:val="0014214B"/>
    <w:rsid w:val="00143C54"/>
    <w:rsid w:val="001444BE"/>
    <w:rsid w:val="00144918"/>
    <w:rsid w:val="00145A19"/>
    <w:rsid w:val="001463A9"/>
    <w:rsid w:val="00146555"/>
    <w:rsid w:val="00146D9B"/>
    <w:rsid w:val="00146EE0"/>
    <w:rsid w:val="001502BC"/>
    <w:rsid w:val="00151F6C"/>
    <w:rsid w:val="001522F2"/>
    <w:rsid w:val="001542FA"/>
    <w:rsid w:val="0015469B"/>
    <w:rsid w:val="001550AC"/>
    <w:rsid w:val="00155860"/>
    <w:rsid w:val="00155E47"/>
    <w:rsid w:val="00155F48"/>
    <w:rsid w:val="00156EEE"/>
    <w:rsid w:val="001579B6"/>
    <w:rsid w:val="00161E2A"/>
    <w:rsid w:val="0016216C"/>
    <w:rsid w:val="00163794"/>
    <w:rsid w:val="00163D03"/>
    <w:rsid w:val="00164B0D"/>
    <w:rsid w:val="001655BA"/>
    <w:rsid w:val="00166201"/>
    <w:rsid w:val="00166F8C"/>
    <w:rsid w:val="001673E0"/>
    <w:rsid w:val="00167C28"/>
    <w:rsid w:val="001705F9"/>
    <w:rsid w:val="00171516"/>
    <w:rsid w:val="00171FCC"/>
    <w:rsid w:val="001727E7"/>
    <w:rsid w:val="00173674"/>
    <w:rsid w:val="001748DC"/>
    <w:rsid w:val="001758C8"/>
    <w:rsid w:val="00175D42"/>
    <w:rsid w:val="00175DAB"/>
    <w:rsid w:val="00175FBB"/>
    <w:rsid w:val="00176D09"/>
    <w:rsid w:val="00177B64"/>
    <w:rsid w:val="00180A3A"/>
    <w:rsid w:val="00183061"/>
    <w:rsid w:val="001832A3"/>
    <w:rsid w:val="00184681"/>
    <w:rsid w:val="001848B8"/>
    <w:rsid w:val="001851AB"/>
    <w:rsid w:val="0018525E"/>
    <w:rsid w:val="00185503"/>
    <w:rsid w:val="00185510"/>
    <w:rsid w:val="00185DDD"/>
    <w:rsid w:val="00185E0D"/>
    <w:rsid w:val="0018678B"/>
    <w:rsid w:val="00190D79"/>
    <w:rsid w:val="001910E8"/>
    <w:rsid w:val="0019112F"/>
    <w:rsid w:val="00191910"/>
    <w:rsid w:val="0019298D"/>
    <w:rsid w:val="00192EA7"/>
    <w:rsid w:val="001931EF"/>
    <w:rsid w:val="0019325A"/>
    <w:rsid w:val="00193BBC"/>
    <w:rsid w:val="00194130"/>
    <w:rsid w:val="00194588"/>
    <w:rsid w:val="00194D56"/>
    <w:rsid w:val="00194DEA"/>
    <w:rsid w:val="00196A61"/>
    <w:rsid w:val="001970B6"/>
    <w:rsid w:val="00197329"/>
    <w:rsid w:val="001974F3"/>
    <w:rsid w:val="001976DD"/>
    <w:rsid w:val="001A0831"/>
    <w:rsid w:val="001A0ADC"/>
    <w:rsid w:val="001A25E3"/>
    <w:rsid w:val="001A3847"/>
    <w:rsid w:val="001A3AD5"/>
    <w:rsid w:val="001A3B9E"/>
    <w:rsid w:val="001A3DEA"/>
    <w:rsid w:val="001A4DC0"/>
    <w:rsid w:val="001A6700"/>
    <w:rsid w:val="001A77A5"/>
    <w:rsid w:val="001B0428"/>
    <w:rsid w:val="001B0C6B"/>
    <w:rsid w:val="001B13D3"/>
    <w:rsid w:val="001B1E03"/>
    <w:rsid w:val="001B2DC1"/>
    <w:rsid w:val="001B3A4C"/>
    <w:rsid w:val="001B3DF5"/>
    <w:rsid w:val="001B41FD"/>
    <w:rsid w:val="001B4216"/>
    <w:rsid w:val="001B4971"/>
    <w:rsid w:val="001B4AC5"/>
    <w:rsid w:val="001B515D"/>
    <w:rsid w:val="001B66E0"/>
    <w:rsid w:val="001B7574"/>
    <w:rsid w:val="001B75D2"/>
    <w:rsid w:val="001B7FBF"/>
    <w:rsid w:val="001C0E2E"/>
    <w:rsid w:val="001C13F5"/>
    <w:rsid w:val="001C1D62"/>
    <w:rsid w:val="001C29CC"/>
    <w:rsid w:val="001C2B4B"/>
    <w:rsid w:val="001C3F18"/>
    <w:rsid w:val="001C4B16"/>
    <w:rsid w:val="001C6427"/>
    <w:rsid w:val="001C7031"/>
    <w:rsid w:val="001C70BB"/>
    <w:rsid w:val="001C7C9F"/>
    <w:rsid w:val="001D1380"/>
    <w:rsid w:val="001D4502"/>
    <w:rsid w:val="001D50BA"/>
    <w:rsid w:val="001D5518"/>
    <w:rsid w:val="001D563E"/>
    <w:rsid w:val="001D7588"/>
    <w:rsid w:val="001D75F5"/>
    <w:rsid w:val="001D7EF1"/>
    <w:rsid w:val="001E0EEA"/>
    <w:rsid w:val="001E131D"/>
    <w:rsid w:val="001E1A7A"/>
    <w:rsid w:val="001E2150"/>
    <w:rsid w:val="001E26AE"/>
    <w:rsid w:val="001E2C3D"/>
    <w:rsid w:val="001E4BEE"/>
    <w:rsid w:val="001E6581"/>
    <w:rsid w:val="001E6FEE"/>
    <w:rsid w:val="001F064C"/>
    <w:rsid w:val="001F1178"/>
    <w:rsid w:val="001F1850"/>
    <w:rsid w:val="001F3285"/>
    <w:rsid w:val="001F3595"/>
    <w:rsid w:val="001F38AA"/>
    <w:rsid w:val="001F3CFB"/>
    <w:rsid w:val="001F40CC"/>
    <w:rsid w:val="001F5246"/>
    <w:rsid w:val="001F5456"/>
    <w:rsid w:val="001F6574"/>
    <w:rsid w:val="001F6BE3"/>
    <w:rsid w:val="001F6C53"/>
    <w:rsid w:val="001F795D"/>
    <w:rsid w:val="00200A92"/>
    <w:rsid w:val="002039DA"/>
    <w:rsid w:val="00203D45"/>
    <w:rsid w:val="0020400F"/>
    <w:rsid w:val="002044FE"/>
    <w:rsid w:val="002048BB"/>
    <w:rsid w:val="00205404"/>
    <w:rsid w:val="0020556E"/>
    <w:rsid w:val="00206249"/>
    <w:rsid w:val="002118CB"/>
    <w:rsid w:val="00211B42"/>
    <w:rsid w:val="0021379B"/>
    <w:rsid w:val="0021441F"/>
    <w:rsid w:val="002152D0"/>
    <w:rsid w:val="00215318"/>
    <w:rsid w:val="00215A0E"/>
    <w:rsid w:val="00216EDF"/>
    <w:rsid w:val="0022107C"/>
    <w:rsid w:val="00222052"/>
    <w:rsid w:val="0022246D"/>
    <w:rsid w:val="0022377D"/>
    <w:rsid w:val="00224E41"/>
    <w:rsid w:val="0022580B"/>
    <w:rsid w:val="00226D48"/>
    <w:rsid w:val="00226D76"/>
    <w:rsid w:val="0022799E"/>
    <w:rsid w:val="00227F94"/>
    <w:rsid w:val="002343C2"/>
    <w:rsid w:val="002348CF"/>
    <w:rsid w:val="00234FB0"/>
    <w:rsid w:val="0023544B"/>
    <w:rsid w:val="002357FE"/>
    <w:rsid w:val="00235F5D"/>
    <w:rsid w:val="00236429"/>
    <w:rsid w:val="00236A21"/>
    <w:rsid w:val="00236DD9"/>
    <w:rsid w:val="00237FDB"/>
    <w:rsid w:val="00241202"/>
    <w:rsid w:val="002418CB"/>
    <w:rsid w:val="002419B0"/>
    <w:rsid w:val="00241C9A"/>
    <w:rsid w:val="00241EBD"/>
    <w:rsid w:val="00242B92"/>
    <w:rsid w:val="00244B1A"/>
    <w:rsid w:val="00245A31"/>
    <w:rsid w:val="00245D4A"/>
    <w:rsid w:val="002462DE"/>
    <w:rsid w:val="0025102F"/>
    <w:rsid w:val="002510AD"/>
    <w:rsid w:val="00251C81"/>
    <w:rsid w:val="00254AFB"/>
    <w:rsid w:val="00254DCA"/>
    <w:rsid w:val="0025508A"/>
    <w:rsid w:val="002552B5"/>
    <w:rsid w:val="00255F2D"/>
    <w:rsid w:val="0026190B"/>
    <w:rsid w:val="0026209E"/>
    <w:rsid w:val="00263FCC"/>
    <w:rsid w:val="00264182"/>
    <w:rsid w:val="002649EE"/>
    <w:rsid w:val="00264A2C"/>
    <w:rsid w:val="002652A5"/>
    <w:rsid w:val="002654EC"/>
    <w:rsid w:val="002658CC"/>
    <w:rsid w:val="00265F89"/>
    <w:rsid w:val="002715F0"/>
    <w:rsid w:val="00272FFF"/>
    <w:rsid w:val="00273952"/>
    <w:rsid w:val="00274171"/>
    <w:rsid w:val="002747E3"/>
    <w:rsid w:val="002752AA"/>
    <w:rsid w:val="002757B8"/>
    <w:rsid w:val="00277D43"/>
    <w:rsid w:val="002803EA"/>
    <w:rsid w:val="00280C3F"/>
    <w:rsid w:val="00280F86"/>
    <w:rsid w:val="0028162F"/>
    <w:rsid w:val="002817C5"/>
    <w:rsid w:val="002821F9"/>
    <w:rsid w:val="00282DFA"/>
    <w:rsid w:val="00282F30"/>
    <w:rsid w:val="002833A3"/>
    <w:rsid w:val="00283984"/>
    <w:rsid w:val="002839D9"/>
    <w:rsid w:val="002854D7"/>
    <w:rsid w:val="002868E1"/>
    <w:rsid w:val="00286AA5"/>
    <w:rsid w:val="00286D89"/>
    <w:rsid w:val="00287140"/>
    <w:rsid w:val="0029108F"/>
    <w:rsid w:val="002913B3"/>
    <w:rsid w:val="00292E14"/>
    <w:rsid w:val="00293E4F"/>
    <w:rsid w:val="002964E2"/>
    <w:rsid w:val="00296A1F"/>
    <w:rsid w:val="00296F17"/>
    <w:rsid w:val="00297482"/>
    <w:rsid w:val="002A0F48"/>
    <w:rsid w:val="002A1279"/>
    <w:rsid w:val="002A2269"/>
    <w:rsid w:val="002A288B"/>
    <w:rsid w:val="002A2C24"/>
    <w:rsid w:val="002A3871"/>
    <w:rsid w:val="002A3E40"/>
    <w:rsid w:val="002A475E"/>
    <w:rsid w:val="002B0164"/>
    <w:rsid w:val="002B0AE9"/>
    <w:rsid w:val="002B0ECA"/>
    <w:rsid w:val="002B1114"/>
    <w:rsid w:val="002B1E6E"/>
    <w:rsid w:val="002B2F4B"/>
    <w:rsid w:val="002B52F8"/>
    <w:rsid w:val="002B66AB"/>
    <w:rsid w:val="002B6BF9"/>
    <w:rsid w:val="002C10E0"/>
    <w:rsid w:val="002C2865"/>
    <w:rsid w:val="002C3114"/>
    <w:rsid w:val="002C3C04"/>
    <w:rsid w:val="002C6660"/>
    <w:rsid w:val="002C6AEB"/>
    <w:rsid w:val="002C7435"/>
    <w:rsid w:val="002D0CE0"/>
    <w:rsid w:val="002D1361"/>
    <w:rsid w:val="002D1B96"/>
    <w:rsid w:val="002D2822"/>
    <w:rsid w:val="002D3325"/>
    <w:rsid w:val="002D3756"/>
    <w:rsid w:val="002D4143"/>
    <w:rsid w:val="002D422C"/>
    <w:rsid w:val="002D6BA2"/>
    <w:rsid w:val="002E10CB"/>
    <w:rsid w:val="002E41C8"/>
    <w:rsid w:val="002E5C2C"/>
    <w:rsid w:val="002E5C70"/>
    <w:rsid w:val="002E6B46"/>
    <w:rsid w:val="002E7A62"/>
    <w:rsid w:val="002E7C35"/>
    <w:rsid w:val="002F1F75"/>
    <w:rsid w:val="002F1FF4"/>
    <w:rsid w:val="002F2DE3"/>
    <w:rsid w:val="002F3270"/>
    <w:rsid w:val="002F3831"/>
    <w:rsid w:val="002F3A07"/>
    <w:rsid w:val="002F4334"/>
    <w:rsid w:val="002F5525"/>
    <w:rsid w:val="002F658E"/>
    <w:rsid w:val="002F7003"/>
    <w:rsid w:val="00303B36"/>
    <w:rsid w:val="00303C5B"/>
    <w:rsid w:val="00305BD3"/>
    <w:rsid w:val="00306B04"/>
    <w:rsid w:val="0030757E"/>
    <w:rsid w:val="003075D2"/>
    <w:rsid w:val="0031039B"/>
    <w:rsid w:val="00310FF5"/>
    <w:rsid w:val="00311692"/>
    <w:rsid w:val="00311FAA"/>
    <w:rsid w:val="003121BE"/>
    <w:rsid w:val="003130D6"/>
    <w:rsid w:val="003138EA"/>
    <w:rsid w:val="00313ED0"/>
    <w:rsid w:val="003141E7"/>
    <w:rsid w:val="003156AC"/>
    <w:rsid w:val="003168A3"/>
    <w:rsid w:val="00317845"/>
    <w:rsid w:val="00317A4E"/>
    <w:rsid w:val="003200B5"/>
    <w:rsid w:val="00322AC4"/>
    <w:rsid w:val="00323034"/>
    <w:rsid w:val="00323ABA"/>
    <w:rsid w:val="00325622"/>
    <w:rsid w:val="00325FD8"/>
    <w:rsid w:val="003268FA"/>
    <w:rsid w:val="00326E13"/>
    <w:rsid w:val="00334E12"/>
    <w:rsid w:val="00334FA2"/>
    <w:rsid w:val="0033578E"/>
    <w:rsid w:val="00335F8B"/>
    <w:rsid w:val="0033688B"/>
    <w:rsid w:val="00340F8B"/>
    <w:rsid w:val="003436F0"/>
    <w:rsid w:val="003439E0"/>
    <w:rsid w:val="00344703"/>
    <w:rsid w:val="003467E9"/>
    <w:rsid w:val="003474A7"/>
    <w:rsid w:val="00350476"/>
    <w:rsid w:val="0035198D"/>
    <w:rsid w:val="00351CC3"/>
    <w:rsid w:val="00351F6A"/>
    <w:rsid w:val="00352953"/>
    <w:rsid w:val="0035342E"/>
    <w:rsid w:val="00354A41"/>
    <w:rsid w:val="0035533C"/>
    <w:rsid w:val="00355384"/>
    <w:rsid w:val="003558A4"/>
    <w:rsid w:val="00356F95"/>
    <w:rsid w:val="003575E6"/>
    <w:rsid w:val="00360B48"/>
    <w:rsid w:val="00360D82"/>
    <w:rsid w:val="003612FE"/>
    <w:rsid w:val="00361CB9"/>
    <w:rsid w:val="003623B6"/>
    <w:rsid w:val="003638C6"/>
    <w:rsid w:val="00363DE7"/>
    <w:rsid w:val="00364BED"/>
    <w:rsid w:val="00364C9D"/>
    <w:rsid w:val="0036606D"/>
    <w:rsid w:val="003663CE"/>
    <w:rsid w:val="00366A4D"/>
    <w:rsid w:val="00366DBC"/>
    <w:rsid w:val="00367D64"/>
    <w:rsid w:val="003712C1"/>
    <w:rsid w:val="0037282B"/>
    <w:rsid w:val="00376C1A"/>
    <w:rsid w:val="00377DD3"/>
    <w:rsid w:val="00380332"/>
    <w:rsid w:val="003809C8"/>
    <w:rsid w:val="00382AC2"/>
    <w:rsid w:val="003841DF"/>
    <w:rsid w:val="00384245"/>
    <w:rsid w:val="0038439F"/>
    <w:rsid w:val="0038453E"/>
    <w:rsid w:val="003851F7"/>
    <w:rsid w:val="003862ED"/>
    <w:rsid w:val="00386C5E"/>
    <w:rsid w:val="003875EB"/>
    <w:rsid w:val="00387CAB"/>
    <w:rsid w:val="0039054A"/>
    <w:rsid w:val="00390FB3"/>
    <w:rsid w:val="00392FD4"/>
    <w:rsid w:val="00393019"/>
    <w:rsid w:val="00394173"/>
    <w:rsid w:val="0039451A"/>
    <w:rsid w:val="00394CFD"/>
    <w:rsid w:val="003954D8"/>
    <w:rsid w:val="00395916"/>
    <w:rsid w:val="00395A2F"/>
    <w:rsid w:val="0039656D"/>
    <w:rsid w:val="00396E09"/>
    <w:rsid w:val="00397EB8"/>
    <w:rsid w:val="003A0B8B"/>
    <w:rsid w:val="003A1709"/>
    <w:rsid w:val="003A22C0"/>
    <w:rsid w:val="003A4855"/>
    <w:rsid w:val="003A54FF"/>
    <w:rsid w:val="003A5529"/>
    <w:rsid w:val="003A555A"/>
    <w:rsid w:val="003A5FBE"/>
    <w:rsid w:val="003A6911"/>
    <w:rsid w:val="003A7276"/>
    <w:rsid w:val="003A772B"/>
    <w:rsid w:val="003A7B32"/>
    <w:rsid w:val="003B012F"/>
    <w:rsid w:val="003B0131"/>
    <w:rsid w:val="003B064A"/>
    <w:rsid w:val="003B0D42"/>
    <w:rsid w:val="003B2124"/>
    <w:rsid w:val="003B5167"/>
    <w:rsid w:val="003B5953"/>
    <w:rsid w:val="003B5A30"/>
    <w:rsid w:val="003B5D5A"/>
    <w:rsid w:val="003C088F"/>
    <w:rsid w:val="003C0D38"/>
    <w:rsid w:val="003C114A"/>
    <w:rsid w:val="003C1736"/>
    <w:rsid w:val="003C198E"/>
    <w:rsid w:val="003C1D34"/>
    <w:rsid w:val="003C2743"/>
    <w:rsid w:val="003C3387"/>
    <w:rsid w:val="003C363F"/>
    <w:rsid w:val="003C6925"/>
    <w:rsid w:val="003D114D"/>
    <w:rsid w:val="003D1BA8"/>
    <w:rsid w:val="003D2060"/>
    <w:rsid w:val="003D2A01"/>
    <w:rsid w:val="003D5A9F"/>
    <w:rsid w:val="003D5F9E"/>
    <w:rsid w:val="003D6E96"/>
    <w:rsid w:val="003D6F6E"/>
    <w:rsid w:val="003D70D7"/>
    <w:rsid w:val="003D7DCB"/>
    <w:rsid w:val="003E07DA"/>
    <w:rsid w:val="003E3046"/>
    <w:rsid w:val="003E4957"/>
    <w:rsid w:val="003E4C4B"/>
    <w:rsid w:val="003E5300"/>
    <w:rsid w:val="003E6165"/>
    <w:rsid w:val="003E7070"/>
    <w:rsid w:val="003E7798"/>
    <w:rsid w:val="003E7A0A"/>
    <w:rsid w:val="003E7B27"/>
    <w:rsid w:val="003F084E"/>
    <w:rsid w:val="003F08CE"/>
    <w:rsid w:val="003F17E1"/>
    <w:rsid w:val="003F25F9"/>
    <w:rsid w:val="003F3EFC"/>
    <w:rsid w:val="003F4043"/>
    <w:rsid w:val="003F724B"/>
    <w:rsid w:val="004007EE"/>
    <w:rsid w:val="00402C80"/>
    <w:rsid w:val="00402D26"/>
    <w:rsid w:val="00402DBC"/>
    <w:rsid w:val="00403FC1"/>
    <w:rsid w:val="00404429"/>
    <w:rsid w:val="00404591"/>
    <w:rsid w:val="00404AB1"/>
    <w:rsid w:val="004052C7"/>
    <w:rsid w:val="00405CA0"/>
    <w:rsid w:val="004061DE"/>
    <w:rsid w:val="00407CB8"/>
    <w:rsid w:val="004101A6"/>
    <w:rsid w:val="004103A5"/>
    <w:rsid w:val="004109E6"/>
    <w:rsid w:val="00411175"/>
    <w:rsid w:val="00413181"/>
    <w:rsid w:val="004139E1"/>
    <w:rsid w:val="00413F04"/>
    <w:rsid w:val="00421264"/>
    <w:rsid w:val="00421E01"/>
    <w:rsid w:val="004222DB"/>
    <w:rsid w:val="004234C0"/>
    <w:rsid w:val="00424125"/>
    <w:rsid w:val="00424E11"/>
    <w:rsid w:val="0042736A"/>
    <w:rsid w:val="00427AA3"/>
    <w:rsid w:val="0043028B"/>
    <w:rsid w:val="00430841"/>
    <w:rsid w:val="004314CE"/>
    <w:rsid w:val="004318B4"/>
    <w:rsid w:val="00431C5E"/>
    <w:rsid w:val="00432ADD"/>
    <w:rsid w:val="004330F7"/>
    <w:rsid w:val="004341D5"/>
    <w:rsid w:val="0043437F"/>
    <w:rsid w:val="004348F1"/>
    <w:rsid w:val="0043629F"/>
    <w:rsid w:val="004367CC"/>
    <w:rsid w:val="00436F17"/>
    <w:rsid w:val="0044125C"/>
    <w:rsid w:val="004422A7"/>
    <w:rsid w:val="00442D1D"/>
    <w:rsid w:val="00443261"/>
    <w:rsid w:val="00450AEB"/>
    <w:rsid w:val="00452B9A"/>
    <w:rsid w:val="00454701"/>
    <w:rsid w:val="0045477E"/>
    <w:rsid w:val="0045479B"/>
    <w:rsid w:val="00454CE9"/>
    <w:rsid w:val="00454E63"/>
    <w:rsid w:val="00455FBB"/>
    <w:rsid w:val="00456139"/>
    <w:rsid w:val="00456594"/>
    <w:rsid w:val="00456840"/>
    <w:rsid w:val="004571E4"/>
    <w:rsid w:val="00462FA8"/>
    <w:rsid w:val="00463024"/>
    <w:rsid w:val="004633BC"/>
    <w:rsid w:val="00463A7A"/>
    <w:rsid w:val="00464D73"/>
    <w:rsid w:val="00465919"/>
    <w:rsid w:val="00466BDD"/>
    <w:rsid w:val="00467203"/>
    <w:rsid w:val="004674D6"/>
    <w:rsid w:val="00467EC9"/>
    <w:rsid w:val="00467FC0"/>
    <w:rsid w:val="00470525"/>
    <w:rsid w:val="0047193E"/>
    <w:rsid w:val="004725D1"/>
    <w:rsid w:val="00472FBD"/>
    <w:rsid w:val="004732A8"/>
    <w:rsid w:val="00473DAB"/>
    <w:rsid w:val="004746E4"/>
    <w:rsid w:val="00475035"/>
    <w:rsid w:val="00476152"/>
    <w:rsid w:val="00477296"/>
    <w:rsid w:val="004779BF"/>
    <w:rsid w:val="004802E9"/>
    <w:rsid w:val="0048033F"/>
    <w:rsid w:val="0048062E"/>
    <w:rsid w:val="00480A31"/>
    <w:rsid w:val="00487C38"/>
    <w:rsid w:val="004902D0"/>
    <w:rsid w:val="00490F10"/>
    <w:rsid w:val="004913B0"/>
    <w:rsid w:val="00492644"/>
    <w:rsid w:val="0049418F"/>
    <w:rsid w:val="0049467D"/>
    <w:rsid w:val="004969C5"/>
    <w:rsid w:val="004A07EB"/>
    <w:rsid w:val="004A1E94"/>
    <w:rsid w:val="004A21DB"/>
    <w:rsid w:val="004A6B85"/>
    <w:rsid w:val="004A7A2B"/>
    <w:rsid w:val="004B15FC"/>
    <w:rsid w:val="004B18D5"/>
    <w:rsid w:val="004B1D36"/>
    <w:rsid w:val="004B3624"/>
    <w:rsid w:val="004B40DA"/>
    <w:rsid w:val="004B4654"/>
    <w:rsid w:val="004B5676"/>
    <w:rsid w:val="004B5A55"/>
    <w:rsid w:val="004B63EF"/>
    <w:rsid w:val="004B686D"/>
    <w:rsid w:val="004B6EA1"/>
    <w:rsid w:val="004B73D5"/>
    <w:rsid w:val="004B7615"/>
    <w:rsid w:val="004B7EA1"/>
    <w:rsid w:val="004C0E12"/>
    <w:rsid w:val="004C2F2D"/>
    <w:rsid w:val="004C3F1A"/>
    <w:rsid w:val="004C4438"/>
    <w:rsid w:val="004C48B6"/>
    <w:rsid w:val="004C49C1"/>
    <w:rsid w:val="004C4DC0"/>
    <w:rsid w:val="004C51E6"/>
    <w:rsid w:val="004C55AD"/>
    <w:rsid w:val="004C60C0"/>
    <w:rsid w:val="004C78AD"/>
    <w:rsid w:val="004D0999"/>
    <w:rsid w:val="004D0AFC"/>
    <w:rsid w:val="004D162E"/>
    <w:rsid w:val="004D1FE2"/>
    <w:rsid w:val="004D2067"/>
    <w:rsid w:val="004D2ED1"/>
    <w:rsid w:val="004D35BE"/>
    <w:rsid w:val="004D3C71"/>
    <w:rsid w:val="004D3CD2"/>
    <w:rsid w:val="004D3E8C"/>
    <w:rsid w:val="004D489A"/>
    <w:rsid w:val="004D4F35"/>
    <w:rsid w:val="004D601B"/>
    <w:rsid w:val="004D60A9"/>
    <w:rsid w:val="004D651B"/>
    <w:rsid w:val="004D69A0"/>
    <w:rsid w:val="004E0F73"/>
    <w:rsid w:val="004E13A8"/>
    <w:rsid w:val="004E3AF3"/>
    <w:rsid w:val="004E524B"/>
    <w:rsid w:val="004E6919"/>
    <w:rsid w:val="004E6EB1"/>
    <w:rsid w:val="004F0318"/>
    <w:rsid w:val="004F044B"/>
    <w:rsid w:val="004F0D46"/>
    <w:rsid w:val="004F133F"/>
    <w:rsid w:val="004F19E3"/>
    <w:rsid w:val="004F2445"/>
    <w:rsid w:val="004F2978"/>
    <w:rsid w:val="004F2A83"/>
    <w:rsid w:val="004F44D5"/>
    <w:rsid w:val="004F465A"/>
    <w:rsid w:val="004F480A"/>
    <w:rsid w:val="004F4A10"/>
    <w:rsid w:val="004F5617"/>
    <w:rsid w:val="004F666B"/>
    <w:rsid w:val="005003B5"/>
    <w:rsid w:val="00503096"/>
    <w:rsid w:val="00504588"/>
    <w:rsid w:val="00504FB2"/>
    <w:rsid w:val="005053F4"/>
    <w:rsid w:val="00505E13"/>
    <w:rsid w:val="00506E80"/>
    <w:rsid w:val="005072EE"/>
    <w:rsid w:val="00507AF2"/>
    <w:rsid w:val="0051027B"/>
    <w:rsid w:val="00510EA8"/>
    <w:rsid w:val="00511360"/>
    <w:rsid w:val="00511EE1"/>
    <w:rsid w:val="00512721"/>
    <w:rsid w:val="00513303"/>
    <w:rsid w:val="00514491"/>
    <w:rsid w:val="00516410"/>
    <w:rsid w:val="00516A40"/>
    <w:rsid w:val="005172F3"/>
    <w:rsid w:val="005203DA"/>
    <w:rsid w:val="0052049C"/>
    <w:rsid w:val="0052112B"/>
    <w:rsid w:val="00521283"/>
    <w:rsid w:val="00521796"/>
    <w:rsid w:val="005217F0"/>
    <w:rsid w:val="005219BD"/>
    <w:rsid w:val="005231C2"/>
    <w:rsid w:val="0052346C"/>
    <w:rsid w:val="0052383A"/>
    <w:rsid w:val="005238FD"/>
    <w:rsid w:val="00523F0C"/>
    <w:rsid w:val="00525079"/>
    <w:rsid w:val="00526185"/>
    <w:rsid w:val="00526B3D"/>
    <w:rsid w:val="0052731C"/>
    <w:rsid w:val="00527770"/>
    <w:rsid w:val="00530FCA"/>
    <w:rsid w:val="005311D7"/>
    <w:rsid w:val="00531F98"/>
    <w:rsid w:val="00533ECD"/>
    <w:rsid w:val="00533F42"/>
    <w:rsid w:val="005347F8"/>
    <w:rsid w:val="005348DA"/>
    <w:rsid w:val="00534FAA"/>
    <w:rsid w:val="00535285"/>
    <w:rsid w:val="00535628"/>
    <w:rsid w:val="005358A0"/>
    <w:rsid w:val="00535DEE"/>
    <w:rsid w:val="0054037A"/>
    <w:rsid w:val="00540537"/>
    <w:rsid w:val="00540690"/>
    <w:rsid w:val="00540DB0"/>
    <w:rsid w:val="00541BEB"/>
    <w:rsid w:val="005426DF"/>
    <w:rsid w:val="005439BE"/>
    <w:rsid w:val="00543B1F"/>
    <w:rsid w:val="00543DEA"/>
    <w:rsid w:val="005457A5"/>
    <w:rsid w:val="00546C38"/>
    <w:rsid w:val="00546D55"/>
    <w:rsid w:val="00546FAB"/>
    <w:rsid w:val="00550A00"/>
    <w:rsid w:val="005510B0"/>
    <w:rsid w:val="00551E0D"/>
    <w:rsid w:val="00554418"/>
    <w:rsid w:val="005547E9"/>
    <w:rsid w:val="00554A7A"/>
    <w:rsid w:val="005554B9"/>
    <w:rsid w:val="00555822"/>
    <w:rsid w:val="00556479"/>
    <w:rsid w:val="00556B66"/>
    <w:rsid w:val="00556E29"/>
    <w:rsid w:val="005577F1"/>
    <w:rsid w:val="005605A7"/>
    <w:rsid w:val="00560D19"/>
    <w:rsid w:val="00561119"/>
    <w:rsid w:val="005615D6"/>
    <w:rsid w:val="00561CD5"/>
    <w:rsid w:val="005622BB"/>
    <w:rsid w:val="0056304C"/>
    <w:rsid w:val="00564871"/>
    <w:rsid w:val="0057003B"/>
    <w:rsid w:val="0057059B"/>
    <w:rsid w:val="00571844"/>
    <w:rsid w:val="00571BF4"/>
    <w:rsid w:val="00571FD7"/>
    <w:rsid w:val="0057267E"/>
    <w:rsid w:val="00573536"/>
    <w:rsid w:val="00573CC5"/>
    <w:rsid w:val="00574B59"/>
    <w:rsid w:val="00576444"/>
    <w:rsid w:val="00576BB8"/>
    <w:rsid w:val="00577193"/>
    <w:rsid w:val="00577587"/>
    <w:rsid w:val="005775C8"/>
    <w:rsid w:val="00581DD5"/>
    <w:rsid w:val="0058356C"/>
    <w:rsid w:val="00583E5F"/>
    <w:rsid w:val="005868AB"/>
    <w:rsid w:val="00586AE2"/>
    <w:rsid w:val="00587712"/>
    <w:rsid w:val="00590A35"/>
    <w:rsid w:val="005920D4"/>
    <w:rsid w:val="005930AA"/>
    <w:rsid w:val="00593577"/>
    <w:rsid w:val="00594458"/>
    <w:rsid w:val="00595FA4"/>
    <w:rsid w:val="005A1A49"/>
    <w:rsid w:val="005A2236"/>
    <w:rsid w:val="005A3537"/>
    <w:rsid w:val="005A3AD8"/>
    <w:rsid w:val="005A3E93"/>
    <w:rsid w:val="005A6BC8"/>
    <w:rsid w:val="005A6D9F"/>
    <w:rsid w:val="005A72DF"/>
    <w:rsid w:val="005B050D"/>
    <w:rsid w:val="005B05AA"/>
    <w:rsid w:val="005B1182"/>
    <w:rsid w:val="005B1E4A"/>
    <w:rsid w:val="005B2421"/>
    <w:rsid w:val="005B2A71"/>
    <w:rsid w:val="005B565E"/>
    <w:rsid w:val="005B6858"/>
    <w:rsid w:val="005B7482"/>
    <w:rsid w:val="005B7C6F"/>
    <w:rsid w:val="005C0056"/>
    <w:rsid w:val="005C0777"/>
    <w:rsid w:val="005C0D41"/>
    <w:rsid w:val="005C1B1A"/>
    <w:rsid w:val="005C2775"/>
    <w:rsid w:val="005C5462"/>
    <w:rsid w:val="005C6106"/>
    <w:rsid w:val="005C683A"/>
    <w:rsid w:val="005C73CC"/>
    <w:rsid w:val="005D0522"/>
    <w:rsid w:val="005D1524"/>
    <w:rsid w:val="005D31F1"/>
    <w:rsid w:val="005D36A0"/>
    <w:rsid w:val="005D469F"/>
    <w:rsid w:val="005D475C"/>
    <w:rsid w:val="005D47F7"/>
    <w:rsid w:val="005D483E"/>
    <w:rsid w:val="005D4B41"/>
    <w:rsid w:val="005D70B2"/>
    <w:rsid w:val="005D7334"/>
    <w:rsid w:val="005D77E0"/>
    <w:rsid w:val="005E0836"/>
    <w:rsid w:val="005E0B9F"/>
    <w:rsid w:val="005E0EF5"/>
    <w:rsid w:val="005E0F5D"/>
    <w:rsid w:val="005E1A33"/>
    <w:rsid w:val="005E1C3B"/>
    <w:rsid w:val="005E2BD3"/>
    <w:rsid w:val="005E31A3"/>
    <w:rsid w:val="005E3D0B"/>
    <w:rsid w:val="005E5B1C"/>
    <w:rsid w:val="005F229D"/>
    <w:rsid w:val="005F2724"/>
    <w:rsid w:val="005F293F"/>
    <w:rsid w:val="005F2E07"/>
    <w:rsid w:val="005F325B"/>
    <w:rsid w:val="005F35C2"/>
    <w:rsid w:val="005F3EE7"/>
    <w:rsid w:val="005F4EE2"/>
    <w:rsid w:val="005F54C9"/>
    <w:rsid w:val="005F56A2"/>
    <w:rsid w:val="005F65CB"/>
    <w:rsid w:val="005F6FB6"/>
    <w:rsid w:val="005F774A"/>
    <w:rsid w:val="00600D7A"/>
    <w:rsid w:val="006013E3"/>
    <w:rsid w:val="006026AF"/>
    <w:rsid w:val="00602815"/>
    <w:rsid w:val="00602CE6"/>
    <w:rsid w:val="00603292"/>
    <w:rsid w:val="006039A7"/>
    <w:rsid w:val="0060440E"/>
    <w:rsid w:val="00604BB0"/>
    <w:rsid w:val="00605D26"/>
    <w:rsid w:val="006064E3"/>
    <w:rsid w:val="00607AB9"/>
    <w:rsid w:val="00607E5B"/>
    <w:rsid w:val="00611267"/>
    <w:rsid w:val="00611F8B"/>
    <w:rsid w:val="0061295E"/>
    <w:rsid w:val="00612C74"/>
    <w:rsid w:val="00612CE7"/>
    <w:rsid w:val="00612F99"/>
    <w:rsid w:val="0061320B"/>
    <w:rsid w:val="006135D5"/>
    <w:rsid w:val="00613729"/>
    <w:rsid w:val="006156E6"/>
    <w:rsid w:val="006165BB"/>
    <w:rsid w:val="00616E90"/>
    <w:rsid w:val="00617C71"/>
    <w:rsid w:val="0062088B"/>
    <w:rsid w:val="006209E1"/>
    <w:rsid w:val="00620CF0"/>
    <w:rsid w:val="0062273F"/>
    <w:rsid w:val="0062286E"/>
    <w:rsid w:val="00622E40"/>
    <w:rsid w:val="00622FEE"/>
    <w:rsid w:val="00623172"/>
    <w:rsid w:val="006234AE"/>
    <w:rsid w:val="00624889"/>
    <w:rsid w:val="00626864"/>
    <w:rsid w:val="00630570"/>
    <w:rsid w:val="00630786"/>
    <w:rsid w:val="00631B80"/>
    <w:rsid w:val="006322F9"/>
    <w:rsid w:val="006327EB"/>
    <w:rsid w:val="006338CB"/>
    <w:rsid w:val="00634B93"/>
    <w:rsid w:val="00634C5A"/>
    <w:rsid w:val="006400E7"/>
    <w:rsid w:val="00640A10"/>
    <w:rsid w:val="00641242"/>
    <w:rsid w:val="00643B1D"/>
    <w:rsid w:val="00645629"/>
    <w:rsid w:val="006458E1"/>
    <w:rsid w:val="00645EBF"/>
    <w:rsid w:val="0064611C"/>
    <w:rsid w:val="006461A0"/>
    <w:rsid w:val="00647DC3"/>
    <w:rsid w:val="0065112C"/>
    <w:rsid w:val="00651E01"/>
    <w:rsid w:val="0065248B"/>
    <w:rsid w:val="00652CE6"/>
    <w:rsid w:val="00655EED"/>
    <w:rsid w:val="006567CE"/>
    <w:rsid w:val="00660785"/>
    <w:rsid w:val="00660859"/>
    <w:rsid w:val="00660863"/>
    <w:rsid w:val="00661102"/>
    <w:rsid w:val="006611C4"/>
    <w:rsid w:val="00661304"/>
    <w:rsid w:val="00662108"/>
    <w:rsid w:val="00662983"/>
    <w:rsid w:val="00662E05"/>
    <w:rsid w:val="006648F7"/>
    <w:rsid w:val="006651C8"/>
    <w:rsid w:val="00665835"/>
    <w:rsid w:val="00665B86"/>
    <w:rsid w:val="00666143"/>
    <w:rsid w:val="00666149"/>
    <w:rsid w:val="006661B8"/>
    <w:rsid w:val="00666B10"/>
    <w:rsid w:val="00666CC0"/>
    <w:rsid w:val="0066738A"/>
    <w:rsid w:val="006675A7"/>
    <w:rsid w:val="0066797C"/>
    <w:rsid w:val="006706D8"/>
    <w:rsid w:val="006711FF"/>
    <w:rsid w:val="00671AA6"/>
    <w:rsid w:val="00672858"/>
    <w:rsid w:val="00674409"/>
    <w:rsid w:val="00677617"/>
    <w:rsid w:val="00680BAF"/>
    <w:rsid w:val="00681466"/>
    <w:rsid w:val="006818D2"/>
    <w:rsid w:val="00684EA0"/>
    <w:rsid w:val="006853A5"/>
    <w:rsid w:val="00685992"/>
    <w:rsid w:val="00685AFF"/>
    <w:rsid w:val="00686237"/>
    <w:rsid w:val="0069237A"/>
    <w:rsid w:val="0069256A"/>
    <w:rsid w:val="006925BB"/>
    <w:rsid w:val="00692D45"/>
    <w:rsid w:val="00693623"/>
    <w:rsid w:val="00693C64"/>
    <w:rsid w:val="00693FA7"/>
    <w:rsid w:val="00694488"/>
    <w:rsid w:val="006960E0"/>
    <w:rsid w:val="0069659B"/>
    <w:rsid w:val="00696B03"/>
    <w:rsid w:val="006973AE"/>
    <w:rsid w:val="00697B29"/>
    <w:rsid w:val="00697F9F"/>
    <w:rsid w:val="006A094E"/>
    <w:rsid w:val="006A0D2E"/>
    <w:rsid w:val="006A1E72"/>
    <w:rsid w:val="006A2060"/>
    <w:rsid w:val="006A233F"/>
    <w:rsid w:val="006A27C9"/>
    <w:rsid w:val="006A2DF1"/>
    <w:rsid w:val="006A3151"/>
    <w:rsid w:val="006A3C61"/>
    <w:rsid w:val="006A3F9D"/>
    <w:rsid w:val="006A4DBB"/>
    <w:rsid w:val="006A688A"/>
    <w:rsid w:val="006A6FA0"/>
    <w:rsid w:val="006B1054"/>
    <w:rsid w:val="006B1368"/>
    <w:rsid w:val="006B3C23"/>
    <w:rsid w:val="006B3E6C"/>
    <w:rsid w:val="006B3E74"/>
    <w:rsid w:val="006B4DBB"/>
    <w:rsid w:val="006B6371"/>
    <w:rsid w:val="006B6ADD"/>
    <w:rsid w:val="006B78EB"/>
    <w:rsid w:val="006C0553"/>
    <w:rsid w:val="006C0A48"/>
    <w:rsid w:val="006C141F"/>
    <w:rsid w:val="006C1796"/>
    <w:rsid w:val="006C1CE3"/>
    <w:rsid w:val="006C4655"/>
    <w:rsid w:val="006C5007"/>
    <w:rsid w:val="006C5253"/>
    <w:rsid w:val="006C673C"/>
    <w:rsid w:val="006C703E"/>
    <w:rsid w:val="006C793B"/>
    <w:rsid w:val="006D0C35"/>
    <w:rsid w:val="006D252E"/>
    <w:rsid w:val="006D4EA8"/>
    <w:rsid w:val="006D50B9"/>
    <w:rsid w:val="006D5334"/>
    <w:rsid w:val="006D59EC"/>
    <w:rsid w:val="006D69A8"/>
    <w:rsid w:val="006D6A05"/>
    <w:rsid w:val="006D7A89"/>
    <w:rsid w:val="006D7BB3"/>
    <w:rsid w:val="006E0F48"/>
    <w:rsid w:val="006E110F"/>
    <w:rsid w:val="006E30B4"/>
    <w:rsid w:val="006E3686"/>
    <w:rsid w:val="006E3F96"/>
    <w:rsid w:val="006E66CC"/>
    <w:rsid w:val="006E789E"/>
    <w:rsid w:val="006F0536"/>
    <w:rsid w:val="006F165C"/>
    <w:rsid w:val="006F2FE2"/>
    <w:rsid w:val="006F32F5"/>
    <w:rsid w:val="006F3EB5"/>
    <w:rsid w:val="006F498F"/>
    <w:rsid w:val="006F4A6A"/>
    <w:rsid w:val="006F5185"/>
    <w:rsid w:val="006F5A65"/>
    <w:rsid w:val="006F66B1"/>
    <w:rsid w:val="006F7816"/>
    <w:rsid w:val="00701088"/>
    <w:rsid w:val="0070188F"/>
    <w:rsid w:val="007029C1"/>
    <w:rsid w:val="00702CC6"/>
    <w:rsid w:val="0070357B"/>
    <w:rsid w:val="00703D3E"/>
    <w:rsid w:val="00705036"/>
    <w:rsid w:val="00705B4D"/>
    <w:rsid w:val="00705B9C"/>
    <w:rsid w:val="00706276"/>
    <w:rsid w:val="007104CA"/>
    <w:rsid w:val="007106F9"/>
    <w:rsid w:val="0071185F"/>
    <w:rsid w:val="00711B5B"/>
    <w:rsid w:val="00711C7B"/>
    <w:rsid w:val="0071332E"/>
    <w:rsid w:val="00714F03"/>
    <w:rsid w:val="0071501F"/>
    <w:rsid w:val="0071688F"/>
    <w:rsid w:val="00717901"/>
    <w:rsid w:val="00717A1F"/>
    <w:rsid w:val="007209A0"/>
    <w:rsid w:val="00720B87"/>
    <w:rsid w:val="00721422"/>
    <w:rsid w:val="00721BB0"/>
    <w:rsid w:val="00721EB4"/>
    <w:rsid w:val="00722110"/>
    <w:rsid w:val="00722DCF"/>
    <w:rsid w:val="007240EE"/>
    <w:rsid w:val="007241E2"/>
    <w:rsid w:val="00725EBD"/>
    <w:rsid w:val="007262F0"/>
    <w:rsid w:val="007264D5"/>
    <w:rsid w:val="007267CA"/>
    <w:rsid w:val="00726F62"/>
    <w:rsid w:val="00727244"/>
    <w:rsid w:val="007278C4"/>
    <w:rsid w:val="00730B41"/>
    <w:rsid w:val="007314DB"/>
    <w:rsid w:val="00732BDD"/>
    <w:rsid w:val="007340FE"/>
    <w:rsid w:val="007348F8"/>
    <w:rsid w:val="00735238"/>
    <w:rsid w:val="007365B7"/>
    <w:rsid w:val="00737A25"/>
    <w:rsid w:val="007401A4"/>
    <w:rsid w:val="00741685"/>
    <w:rsid w:val="00742A2F"/>
    <w:rsid w:val="00744978"/>
    <w:rsid w:val="00744E6E"/>
    <w:rsid w:val="00745021"/>
    <w:rsid w:val="007456E0"/>
    <w:rsid w:val="00746B41"/>
    <w:rsid w:val="007478C0"/>
    <w:rsid w:val="00750080"/>
    <w:rsid w:val="00750DB0"/>
    <w:rsid w:val="00751970"/>
    <w:rsid w:val="00752FE3"/>
    <w:rsid w:val="00753212"/>
    <w:rsid w:val="00753B55"/>
    <w:rsid w:val="00753FAC"/>
    <w:rsid w:val="007553A2"/>
    <w:rsid w:val="0075549C"/>
    <w:rsid w:val="00755B5F"/>
    <w:rsid w:val="00755CCF"/>
    <w:rsid w:val="00757B46"/>
    <w:rsid w:val="00760322"/>
    <w:rsid w:val="00760D19"/>
    <w:rsid w:val="00761B12"/>
    <w:rsid w:val="00763BCF"/>
    <w:rsid w:val="00764D34"/>
    <w:rsid w:val="00765652"/>
    <w:rsid w:val="00765A19"/>
    <w:rsid w:val="00765D05"/>
    <w:rsid w:val="007661F3"/>
    <w:rsid w:val="007700DA"/>
    <w:rsid w:val="00770330"/>
    <w:rsid w:val="0077252E"/>
    <w:rsid w:val="00774030"/>
    <w:rsid w:val="007749A2"/>
    <w:rsid w:val="00774C4F"/>
    <w:rsid w:val="00775167"/>
    <w:rsid w:val="00775CCD"/>
    <w:rsid w:val="00780161"/>
    <w:rsid w:val="00780939"/>
    <w:rsid w:val="007816A5"/>
    <w:rsid w:val="00781C33"/>
    <w:rsid w:val="00781E62"/>
    <w:rsid w:val="00782722"/>
    <w:rsid w:val="00782E75"/>
    <w:rsid w:val="00784E62"/>
    <w:rsid w:val="00784F0C"/>
    <w:rsid w:val="00786833"/>
    <w:rsid w:val="00790B41"/>
    <w:rsid w:val="00790D40"/>
    <w:rsid w:val="00790E39"/>
    <w:rsid w:val="00790F4E"/>
    <w:rsid w:val="00791483"/>
    <w:rsid w:val="00791954"/>
    <w:rsid w:val="0079411F"/>
    <w:rsid w:val="00794181"/>
    <w:rsid w:val="007948C0"/>
    <w:rsid w:val="00795E13"/>
    <w:rsid w:val="0079699C"/>
    <w:rsid w:val="007A278E"/>
    <w:rsid w:val="007A2C42"/>
    <w:rsid w:val="007A2D7F"/>
    <w:rsid w:val="007A3D24"/>
    <w:rsid w:val="007A4E10"/>
    <w:rsid w:val="007A58DC"/>
    <w:rsid w:val="007A5B63"/>
    <w:rsid w:val="007A638E"/>
    <w:rsid w:val="007B19FC"/>
    <w:rsid w:val="007B3FB6"/>
    <w:rsid w:val="007B3FC6"/>
    <w:rsid w:val="007B5A59"/>
    <w:rsid w:val="007B5D96"/>
    <w:rsid w:val="007B5F02"/>
    <w:rsid w:val="007B6C90"/>
    <w:rsid w:val="007B76A1"/>
    <w:rsid w:val="007C00B7"/>
    <w:rsid w:val="007C0A8E"/>
    <w:rsid w:val="007C0C17"/>
    <w:rsid w:val="007C0D41"/>
    <w:rsid w:val="007C0FE0"/>
    <w:rsid w:val="007C1B1F"/>
    <w:rsid w:val="007C2BAC"/>
    <w:rsid w:val="007C2BF3"/>
    <w:rsid w:val="007C32B1"/>
    <w:rsid w:val="007C38F2"/>
    <w:rsid w:val="007C418C"/>
    <w:rsid w:val="007C4DAC"/>
    <w:rsid w:val="007C573F"/>
    <w:rsid w:val="007C5D12"/>
    <w:rsid w:val="007C655E"/>
    <w:rsid w:val="007C6AC9"/>
    <w:rsid w:val="007C7043"/>
    <w:rsid w:val="007C79A1"/>
    <w:rsid w:val="007C7A15"/>
    <w:rsid w:val="007D0D81"/>
    <w:rsid w:val="007D15CB"/>
    <w:rsid w:val="007D17E7"/>
    <w:rsid w:val="007D30E0"/>
    <w:rsid w:val="007D3B6B"/>
    <w:rsid w:val="007D4F98"/>
    <w:rsid w:val="007D5B19"/>
    <w:rsid w:val="007D5D84"/>
    <w:rsid w:val="007D6CD7"/>
    <w:rsid w:val="007D6F0F"/>
    <w:rsid w:val="007E0BCC"/>
    <w:rsid w:val="007E19FB"/>
    <w:rsid w:val="007E1FB8"/>
    <w:rsid w:val="007E27EA"/>
    <w:rsid w:val="007E2ED5"/>
    <w:rsid w:val="007E45D3"/>
    <w:rsid w:val="007E4B62"/>
    <w:rsid w:val="007E4BE8"/>
    <w:rsid w:val="007E5B06"/>
    <w:rsid w:val="007E657B"/>
    <w:rsid w:val="007F2D71"/>
    <w:rsid w:val="007F3B11"/>
    <w:rsid w:val="007F4274"/>
    <w:rsid w:val="007F4A5D"/>
    <w:rsid w:val="007F5651"/>
    <w:rsid w:val="007F7D14"/>
    <w:rsid w:val="00800183"/>
    <w:rsid w:val="00800BCF"/>
    <w:rsid w:val="00801D88"/>
    <w:rsid w:val="00803F1D"/>
    <w:rsid w:val="00804658"/>
    <w:rsid w:val="008050C1"/>
    <w:rsid w:val="00805EC4"/>
    <w:rsid w:val="00806B0D"/>
    <w:rsid w:val="00810321"/>
    <w:rsid w:val="008108EF"/>
    <w:rsid w:val="0081157E"/>
    <w:rsid w:val="008120C6"/>
    <w:rsid w:val="00813E27"/>
    <w:rsid w:val="0081426D"/>
    <w:rsid w:val="00814385"/>
    <w:rsid w:val="00815927"/>
    <w:rsid w:val="00815AA4"/>
    <w:rsid w:val="00816A02"/>
    <w:rsid w:val="00816BE7"/>
    <w:rsid w:val="00816F54"/>
    <w:rsid w:val="00817574"/>
    <w:rsid w:val="00821AE1"/>
    <w:rsid w:val="00822402"/>
    <w:rsid w:val="00822A64"/>
    <w:rsid w:val="00822CCA"/>
    <w:rsid w:val="008236E5"/>
    <w:rsid w:val="008239F0"/>
    <w:rsid w:val="008252C2"/>
    <w:rsid w:val="0082578E"/>
    <w:rsid w:val="008275F3"/>
    <w:rsid w:val="00827B3E"/>
    <w:rsid w:val="00830B95"/>
    <w:rsid w:val="008316A5"/>
    <w:rsid w:val="008317D1"/>
    <w:rsid w:val="0083262E"/>
    <w:rsid w:val="00833762"/>
    <w:rsid w:val="0083454A"/>
    <w:rsid w:val="008346F6"/>
    <w:rsid w:val="00834A29"/>
    <w:rsid w:val="00834EB5"/>
    <w:rsid w:val="008350D3"/>
    <w:rsid w:val="00835327"/>
    <w:rsid w:val="00835723"/>
    <w:rsid w:val="00841213"/>
    <w:rsid w:val="00841F8B"/>
    <w:rsid w:val="00842CB6"/>
    <w:rsid w:val="0084336E"/>
    <w:rsid w:val="00845656"/>
    <w:rsid w:val="008457B4"/>
    <w:rsid w:val="0085007C"/>
    <w:rsid w:val="00850218"/>
    <w:rsid w:val="00850544"/>
    <w:rsid w:val="008527A7"/>
    <w:rsid w:val="008530D9"/>
    <w:rsid w:val="008530DA"/>
    <w:rsid w:val="008533C7"/>
    <w:rsid w:val="0085366F"/>
    <w:rsid w:val="0085474F"/>
    <w:rsid w:val="008548C6"/>
    <w:rsid w:val="00856798"/>
    <w:rsid w:val="00860FBA"/>
    <w:rsid w:val="008611DC"/>
    <w:rsid w:val="00861F28"/>
    <w:rsid w:val="00862288"/>
    <w:rsid w:val="00863097"/>
    <w:rsid w:val="00863547"/>
    <w:rsid w:val="0086354E"/>
    <w:rsid w:val="00863596"/>
    <w:rsid w:val="008648A5"/>
    <w:rsid w:val="0086604D"/>
    <w:rsid w:val="00866487"/>
    <w:rsid w:val="008664F7"/>
    <w:rsid w:val="00866FB2"/>
    <w:rsid w:val="008710D3"/>
    <w:rsid w:val="00871209"/>
    <w:rsid w:val="008754BC"/>
    <w:rsid w:val="00876489"/>
    <w:rsid w:val="00876E3B"/>
    <w:rsid w:val="00880325"/>
    <w:rsid w:val="00880669"/>
    <w:rsid w:val="008818DD"/>
    <w:rsid w:val="008820F9"/>
    <w:rsid w:val="008821F9"/>
    <w:rsid w:val="008838D5"/>
    <w:rsid w:val="00883C52"/>
    <w:rsid w:val="00885A1C"/>
    <w:rsid w:val="0088685B"/>
    <w:rsid w:val="00890ED3"/>
    <w:rsid w:val="00891881"/>
    <w:rsid w:val="0089204E"/>
    <w:rsid w:val="0089230F"/>
    <w:rsid w:val="0089248E"/>
    <w:rsid w:val="008925C6"/>
    <w:rsid w:val="00893398"/>
    <w:rsid w:val="008938CA"/>
    <w:rsid w:val="00893B43"/>
    <w:rsid w:val="00893D30"/>
    <w:rsid w:val="00895B6A"/>
    <w:rsid w:val="00896A1B"/>
    <w:rsid w:val="00896FE9"/>
    <w:rsid w:val="00897521"/>
    <w:rsid w:val="00897CAF"/>
    <w:rsid w:val="008A02E5"/>
    <w:rsid w:val="008A119A"/>
    <w:rsid w:val="008A1E19"/>
    <w:rsid w:val="008A3DC3"/>
    <w:rsid w:val="008A4E24"/>
    <w:rsid w:val="008A5EAE"/>
    <w:rsid w:val="008A7675"/>
    <w:rsid w:val="008A7D2B"/>
    <w:rsid w:val="008B1A7F"/>
    <w:rsid w:val="008B21A9"/>
    <w:rsid w:val="008B256C"/>
    <w:rsid w:val="008B31CC"/>
    <w:rsid w:val="008B3E35"/>
    <w:rsid w:val="008B4159"/>
    <w:rsid w:val="008B4857"/>
    <w:rsid w:val="008B4AE6"/>
    <w:rsid w:val="008B4C8D"/>
    <w:rsid w:val="008B53BA"/>
    <w:rsid w:val="008B62E8"/>
    <w:rsid w:val="008B663A"/>
    <w:rsid w:val="008B70AD"/>
    <w:rsid w:val="008C03DE"/>
    <w:rsid w:val="008C04D9"/>
    <w:rsid w:val="008C12C5"/>
    <w:rsid w:val="008C157C"/>
    <w:rsid w:val="008C16FD"/>
    <w:rsid w:val="008C1C4F"/>
    <w:rsid w:val="008C3025"/>
    <w:rsid w:val="008C3672"/>
    <w:rsid w:val="008C3A73"/>
    <w:rsid w:val="008C3AF8"/>
    <w:rsid w:val="008C5926"/>
    <w:rsid w:val="008C66CD"/>
    <w:rsid w:val="008C788F"/>
    <w:rsid w:val="008C797D"/>
    <w:rsid w:val="008D09DF"/>
    <w:rsid w:val="008D1FE9"/>
    <w:rsid w:val="008D2B77"/>
    <w:rsid w:val="008D42BD"/>
    <w:rsid w:val="008D52B7"/>
    <w:rsid w:val="008D55ED"/>
    <w:rsid w:val="008E019C"/>
    <w:rsid w:val="008E0621"/>
    <w:rsid w:val="008E1A32"/>
    <w:rsid w:val="008E1E5B"/>
    <w:rsid w:val="008E2057"/>
    <w:rsid w:val="008E20E9"/>
    <w:rsid w:val="008E2B30"/>
    <w:rsid w:val="008E2E44"/>
    <w:rsid w:val="008E3783"/>
    <w:rsid w:val="008E37E7"/>
    <w:rsid w:val="008E46F9"/>
    <w:rsid w:val="008E5FE3"/>
    <w:rsid w:val="008E70F6"/>
    <w:rsid w:val="008E7904"/>
    <w:rsid w:val="008E79C1"/>
    <w:rsid w:val="008F0A3D"/>
    <w:rsid w:val="008F103F"/>
    <w:rsid w:val="008F1CFA"/>
    <w:rsid w:val="008F254B"/>
    <w:rsid w:val="008F30B8"/>
    <w:rsid w:val="008F464C"/>
    <w:rsid w:val="008F5CE6"/>
    <w:rsid w:val="008F71A8"/>
    <w:rsid w:val="008F73EB"/>
    <w:rsid w:val="00901B8F"/>
    <w:rsid w:val="00901E73"/>
    <w:rsid w:val="00902CA7"/>
    <w:rsid w:val="00902E1E"/>
    <w:rsid w:val="00903400"/>
    <w:rsid w:val="0090496B"/>
    <w:rsid w:val="00904AD4"/>
    <w:rsid w:val="00905C08"/>
    <w:rsid w:val="009061E8"/>
    <w:rsid w:val="00906448"/>
    <w:rsid w:val="00906EB3"/>
    <w:rsid w:val="009129AF"/>
    <w:rsid w:val="00912ACF"/>
    <w:rsid w:val="00912D61"/>
    <w:rsid w:val="009152E6"/>
    <w:rsid w:val="009152F8"/>
    <w:rsid w:val="00915D2A"/>
    <w:rsid w:val="009160D9"/>
    <w:rsid w:val="009164DA"/>
    <w:rsid w:val="00920141"/>
    <w:rsid w:val="009208FB"/>
    <w:rsid w:val="0092197F"/>
    <w:rsid w:val="00922206"/>
    <w:rsid w:val="00922A08"/>
    <w:rsid w:val="00923A92"/>
    <w:rsid w:val="00933606"/>
    <w:rsid w:val="009338B1"/>
    <w:rsid w:val="00934809"/>
    <w:rsid w:val="0093524E"/>
    <w:rsid w:val="00936664"/>
    <w:rsid w:val="00937A41"/>
    <w:rsid w:val="00940315"/>
    <w:rsid w:val="00942307"/>
    <w:rsid w:val="00943202"/>
    <w:rsid w:val="00943DCB"/>
    <w:rsid w:val="0094577A"/>
    <w:rsid w:val="00946087"/>
    <w:rsid w:val="00946122"/>
    <w:rsid w:val="00947034"/>
    <w:rsid w:val="00947F3A"/>
    <w:rsid w:val="00951CB2"/>
    <w:rsid w:val="00952AB7"/>
    <w:rsid w:val="00952EF7"/>
    <w:rsid w:val="00952F2B"/>
    <w:rsid w:val="00954FAE"/>
    <w:rsid w:val="009558D4"/>
    <w:rsid w:val="00955D64"/>
    <w:rsid w:val="00955FE6"/>
    <w:rsid w:val="009608EF"/>
    <w:rsid w:val="00960C90"/>
    <w:rsid w:val="009612CB"/>
    <w:rsid w:val="0096281D"/>
    <w:rsid w:val="00963F09"/>
    <w:rsid w:val="0096517D"/>
    <w:rsid w:val="0096590B"/>
    <w:rsid w:val="009676B8"/>
    <w:rsid w:val="00970D1F"/>
    <w:rsid w:val="00971386"/>
    <w:rsid w:val="00971513"/>
    <w:rsid w:val="0097170E"/>
    <w:rsid w:val="00972D96"/>
    <w:rsid w:val="0097421B"/>
    <w:rsid w:val="00975597"/>
    <w:rsid w:val="00981846"/>
    <w:rsid w:val="00981AD9"/>
    <w:rsid w:val="00982518"/>
    <w:rsid w:val="009836BB"/>
    <w:rsid w:val="0098578A"/>
    <w:rsid w:val="00985834"/>
    <w:rsid w:val="00985D00"/>
    <w:rsid w:val="00985E27"/>
    <w:rsid w:val="0098680E"/>
    <w:rsid w:val="009903CD"/>
    <w:rsid w:val="009905C9"/>
    <w:rsid w:val="00991A1B"/>
    <w:rsid w:val="00992193"/>
    <w:rsid w:val="00992431"/>
    <w:rsid w:val="00993D19"/>
    <w:rsid w:val="009948E2"/>
    <w:rsid w:val="0099494C"/>
    <w:rsid w:val="009949ED"/>
    <w:rsid w:val="00994D84"/>
    <w:rsid w:val="00995876"/>
    <w:rsid w:val="009959EB"/>
    <w:rsid w:val="009961EC"/>
    <w:rsid w:val="009964D6"/>
    <w:rsid w:val="009A2324"/>
    <w:rsid w:val="009A245D"/>
    <w:rsid w:val="009A4265"/>
    <w:rsid w:val="009A4295"/>
    <w:rsid w:val="009A42A3"/>
    <w:rsid w:val="009A5EB4"/>
    <w:rsid w:val="009A66DC"/>
    <w:rsid w:val="009A6E23"/>
    <w:rsid w:val="009B17F7"/>
    <w:rsid w:val="009B1FD4"/>
    <w:rsid w:val="009B2177"/>
    <w:rsid w:val="009B38F7"/>
    <w:rsid w:val="009B4422"/>
    <w:rsid w:val="009B4694"/>
    <w:rsid w:val="009B4790"/>
    <w:rsid w:val="009B4D03"/>
    <w:rsid w:val="009B550D"/>
    <w:rsid w:val="009B633B"/>
    <w:rsid w:val="009B66B7"/>
    <w:rsid w:val="009C0280"/>
    <w:rsid w:val="009C09FC"/>
    <w:rsid w:val="009C0D90"/>
    <w:rsid w:val="009C0FDF"/>
    <w:rsid w:val="009C2466"/>
    <w:rsid w:val="009C33CC"/>
    <w:rsid w:val="009C4D33"/>
    <w:rsid w:val="009C6B9F"/>
    <w:rsid w:val="009C74DE"/>
    <w:rsid w:val="009C7790"/>
    <w:rsid w:val="009C7A40"/>
    <w:rsid w:val="009C7F13"/>
    <w:rsid w:val="009D0392"/>
    <w:rsid w:val="009D1886"/>
    <w:rsid w:val="009D1BA8"/>
    <w:rsid w:val="009D2489"/>
    <w:rsid w:val="009D29D7"/>
    <w:rsid w:val="009D3049"/>
    <w:rsid w:val="009D3EB4"/>
    <w:rsid w:val="009D5B57"/>
    <w:rsid w:val="009D5C0C"/>
    <w:rsid w:val="009D6A38"/>
    <w:rsid w:val="009D73EF"/>
    <w:rsid w:val="009E016A"/>
    <w:rsid w:val="009E0EBA"/>
    <w:rsid w:val="009E266E"/>
    <w:rsid w:val="009E3F9E"/>
    <w:rsid w:val="009E40F8"/>
    <w:rsid w:val="009E559C"/>
    <w:rsid w:val="009E69A9"/>
    <w:rsid w:val="009F19AF"/>
    <w:rsid w:val="009F20AD"/>
    <w:rsid w:val="009F32F8"/>
    <w:rsid w:val="009F5116"/>
    <w:rsid w:val="009F6C2B"/>
    <w:rsid w:val="009F6F03"/>
    <w:rsid w:val="00A002A5"/>
    <w:rsid w:val="00A00631"/>
    <w:rsid w:val="00A01B03"/>
    <w:rsid w:val="00A01BDE"/>
    <w:rsid w:val="00A03578"/>
    <w:rsid w:val="00A048B1"/>
    <w:rsid w:val="00A057FB"/>
    <w:rsid w:val="00A05DEF"/>
    <w:rsid w:val="00A0728C"/>
    <w:rsid w:val="00A07DE8"/>
    <w:rsid w:val="00A10611"/>
    <w:rsid w:val="00A111B8"/>
    <w:rsid w:val="00A1123D"/>
    <w:rsid w:val="00A13120"/>
    <w:rsid w:val="00A138C5"/>
    <w:rsid w:val="00A13DF3"/>
    <w:rsid w:val="00A15144"/>
    <w:rsid w:val="00A15426"/>
    <w:rsid w:val="00A15828"/>
    <w:rsid w:val="00A16734"/>
    <w:rsid w:val="00A1741B"/>
    <w:rsid w:val="00A17668"/>
    <w:rsid w:val="00A24D9C"/>
    <w:rsid w:val="00A257CF"/>
    <w:rsid w:val="00A25C99"/>
    <w:rsid w:val="00A26293"/>
    <w:rsid w:val="00A27BDC"/>
    <w:rsid w:val="00A307C7"/>
    <w:rsid w:val="00A31003"/>
    <w:rsid w:val="00A32C9D"/>
    <w:rsid w:val="00A33278"/>
    <w:rsid w:val="00A37418"/>
    <w:rsid w:val="00A4005F"/>
    <w:rsid w:val="00A4017E"/>
    <w:rsid w:val="00A420BC"/>
    <w:rsid w:val="00A42526"/>
    <w:rsid w:val="00A44DC2"/>
    <w:rsid w:val="00A45C92"/>
    <w:rsid w:val="00A463AE"/>
    <w:rsid w:val="00A47587"/>
    <w:rsid w:val="00A47A2A"/>
    <w:rsid w:val="00A47DA5"/>
    <w:rsid w:val="00A528F0"/>
    <w:rsid w:val="00A52CA9"/>
    <w:rsid w:val="00A546E0"/>
    <w:rsid w:val="00A5559F"/>
    <w:rsid w:val="00A56AC8"/>
    <w:rsid w:val="00A57101"/>
    <w:rsid w:val="00A57152"/>
    <w:rsid w:val="00A57AFC"/>
    <w:rsid w:val="00A615F9"/>
    <w:rsid w:val="00A62E98"/>
    <w:rsid w:val="00A637F0"/>
    <w:rsid w:val="00A64FCF"/>
    <w:rsid w:val="00A65D59"/>
    <w:rsid w:val="00A65E4B"/>
    <w:rsid w:val="00A667FF"/>
    <w:rsid w:val="00A66B6F"/>
    <w:rsid w:val="00A66D69"/>
    <w:rsid w:val="00A70904"/>
    <w:rsid w:val="00A71601"/>
    <w:rsid w:val="00A71EFC"/>
    <w:rsid w:val="00A72EF1"/>
    <w:rsid w:val="00A7392A"/>
    <w:rsid w:val="00A74927"/>
    <w:rsid w:val="00A74963"/>
    <w:rsid w:val="00A7498D"/>
    <w:rsid w:val="00A7507D"/>
    <w:rsid w:val="00A757CD"/>
    <w:rsid w:val="00A76081"/>
    <w:rsid w:val="00A77189"/>
    <w:rsid w:val="00A777C1"/>
    <w:rsid w:val="00A77A04"/>
    <w:rsid w:val="00A82D74"/>
    <w:rsid w:val="00A83F6D"/>
    <w:rsid w:val="00A84339"/>
    <w:rsid w:val="00A84C69"/>
    <w:rsid w:val="00A85A26"/>
    <w:rsid w:val="00A85C7B"/>
    <w:rsid w:val="00A86143"/>
    <w:rsid w:val="00A86154"/>
    <w:rsid w:val="00A8696A"/>
    <w:rsid w:val="00A86A3F"/>
    <w:rsid w:val="00A86F4B"/>
    <w:rsid w:val="00A8790C"/>
    <w:rsid w:val="00A91764"/>
    <w:rsid w:val="00A93C5F"/>
    <w:rsid w:val="00A95744"/>
    <w:rsid w:val="00A96127"/>
    <w:rsid w:val="00A96BB9"/>
    <w:rsid w:val="00AA1E0B"/>
    <w:rsid w:val="00AA3659"/>
    <w:rsid w:val="00AA37BA"/>
    <w:rsid w:val="00AA494E"/>
    <w:rsid w:val="00AA544C"/>
    <w:rsid w:val="00AA749D"/>
    <w:rsid w:val="00AA7988"/>
    <w:rsid w:val="00AA79FF"/>
    <w:rsid w:val="00AB0147"/>
    <w:rsid w:val="00AB21C4"/>
    <w:rsid w:val="00AB522E"/>
    <w:rsid w:val="00AB54F7"/>
    <w:rsid w:val="00AB6291"/>
    <w:rsid w:val="00AB7663"/>
    <w:rsid w:val="00AC07E9"/>
    <w:rsid w:val="00AC0DC5"/>
    <w:rsid w:val="00AC23FD"/>
    <w:rsid w:val="00AC2EA8"/>
    <w:rsid w:val="00AC340C"/>
    <w:rsid w:val="00AC470D"/>
    <w:rsid w:val="00AC4D2F"/>
    <w:rsid w:val="00AC5404"/>
    <w:rsid w:val="00AC55B5"/>
    <w:rsid w:val="00AC5639"/>
    <w:rsid w:val="00AC67EE"/>
    <w:rsid w:val="00AC6966"/>
    <w:rsid w:val="00AC7887"/>
    <w:rsid w:val="00AD0397"/>
    <w:rsid w:val="00AD0976"/>
    <w:rsid w:val="00AD0EF1"/>
    <w:rsid w:val="00AD10BA"/>
    <w:rsid w:val="00AD175A"/>
    <w:rsid w:val="00AD2CF2"/>
    <w:rsid w:val="00AD2EF1"/>
    <w:rsid w:val="00AD5B85"/>
    <w:rsid w:val="00AD6027"/>
    <w:rsid w:val="00AD693E"/>
    <w:rsid w:val="00AD7FEF"/>
    <w:rsid w:val="00AE032B"/>
    <w:rsid w:val="00AE0378"/>
    <w:rsid w:val="00AE0784"/>
    <w:rsid w:val="00AE0A80"/>
    <w:rsid w:val="00AE1810"/>
    <w:rsid w:val="00AE1DE8"/>
    <w:rsid w:val="00AE21C1"/>
    <w:rsid w:val="00AE39F6"/>
    <w:rsid w:val="00AE3C67"/>
    <w:rsid w:val="00AE4205"/>
    <w:rsid w:val="00AE4826"/>
    <w:rsid w:val="00AE4F93"/>
    <w:rsid w:val="00AE7561"/>
    <w:rsid w:val="00AE768F"/>
    <w:rsid w:val="00AE79B4"/>
    <w:rsid w:val="00AE7CE4"/>
    <w:rsid w:val="00AF047D"/>
    <w:rsid w:val="00AF0836"/>
    <w:rsid w:val="00AF0C81"/>
    <w:rsid w:val="00AF188B"/>
    <w:rsid w:val="00AF1E04"/>
    <w:rsid w:val="00AF1E22"/>
    <w:rsid w:val="00AF24DE"/>
    <w:rsid w:val="00AF3B18"/>
    <w:rsid w:val="00AF4516"/>
    <w:rsid w:val="00AF474C"/>
    <w:rsid w:val="00AF4B84"/>
    <w:rsid w:val="00AF4E75"/>
    <w:rsid w:val="00AF4E85"/>
    <w:rsid w:val="00AF6227"/>
    <w:rsid w:val="00AF688A"/>
    <w:rsid w:val="00AF6A0E"/>
    <w:rsid w:val="00B00ED4"/>
    <w:rsid w:val="00B012AA"/>
    <w:rsid w:val="00B01524"/>
    <w:rsid w:val="00B01B3D"/>
    <w:rsid w:val="00B02398"/>
    <w:rsid w:val="00B0246C"/>
    <w:rsid w:val="00B03C1F"/>
    <w:rsid w:val="00B0402C"/>
    <w:rsid w:val="00B04F80"/>
    <w:rsid w:val="00B0653E"/>
    <w:rsid w:val="00B06F29"/>
    <w:rsid w:val="00B07A9D"/>
    <w:rsid w:val="00B10CE1"/>
    <w:rsid w:val="00B114BB"/>
    <w:rsid w:val="00B11E24"/>
    <w:rsid w:val="00B135AA"/>
    <w:rsid w:val="00B14C61"/>
    <w:rsid w:val="00B14E9A"/>
    <w:rsid w:val="00B16707"/>
    <w:rsid w:val="00B17357"/>
    <w:rsid w:val="00B17B4B"/>
    <w:rsid w:val="00B17BA1"/>
    <w:rsid w:val="00B20AC0"/>
    <w:rsid w:val="00B21C60"/>
    <w:rsid w:val="00B21DC0"/>
    <w:rsid w:val="00B2286D"/>
    <w:rsid w:val="00B22C97"/>
    <w:rsid w:val="00B23AE5"/>
    <w:rsid w:val="00B242D9"/>
    <w:rsid w:val="00B24F6F"/>
    <w:rsid w:val="00B252F5"/>
    <w:rsid w:val="00B25717"/>
    <w:rsid w:val="00B25BE0"/>
    <w:rsid w:val="00B25DC8"/>
    <w:rsid w:val="00B2603B"/>
    <w:rsid w:val="00B268A6"/>
    <w:rsid w:val="00B277ED"/>
    <w:rsid w:val="00B278E2"/>
    <w:rsid w:val="00B30FEA"/>
    <w:rsid w:val="00B31110"/>
    <w:rsid w:val="00B33B31"/>
    <w:rsid w:val="00B35394"/>
    <w:rsid w:val="00B35563"/>
    <w:rsid w:val="00B35B92"/>
    <w:rsid w:val="00B36049"/>
    <w:rsid w:val="00B36320"/>
    <w:rsid w:val="00B36934"/>
    <w:rsid w:val="00B36D69"/>
    <w:rsid w:val="00B400BD"/>
    <w:rsid w:val="00B4079A"/>
    <w:rsid w:val="00B40833"/>
    <w:rsid w:val="00B40902"/>
    <w:rsid w:val="00B41EFC"/>
    <w:rsid w:val="00B42840"/>
    <w:rsid w:val="00B431E9"/>
    <w:rsid w:val="00B439F8"/>
    <w:rsid w:val="00B44DE8"/>
    <w:rsid w:val="00B459C2"/>
    <w:rsid w:val="00B51310"/>
    <w:rsid w:val="00B515AA"/>
    <w:rsid w:val="00B5199A"/>
    <w:rsid w:val="00B51EE1"/>
    <w:rsid w:val="00B540C1"/>
    <w:rsid w:val="00B540D4"/>
    <w:rsid w:val="00B54380"/>
    <w:rsid w:val="00B55638"/>
    <w:rsid w:val="00B5660D"/>
    <w:rsid w:val="00B5684E"/>
    <w:rsid w:val="00B57981"/>
    <w:rsid w:val="00B60A34"/>
    <w:rsid w:val="00B61175"/>
    <w:rsid w:val="00B614FB"/>
    <w:rsid w:val="00B618C2"/>
    <w:rsid w:val="00B6194E"/>
    <w:rsid w:val="00B61950"/>
    <w:rsid w:val="00B6295A"/>
    <w:rsid w:val="00B634E3"/>
    <w:rsid w:val="00B6419B"/>
    <w:rsid w:val="00B646C0"/>
    <w:rsid w:val="00B65941"/>
    <w:rsid w:val="00B65CFD"/>
    <w:rsid w:val="00B660F5"/>
    <w:rsid w:val="00B66986"/>
    <w:rsid w:val="00B708DC"/>
    <w:rsid w:val="00B72360"/>
    <w:rsid w:val="00B74426"/>
    <w:rsid w:val="00B7587A"/>
    <w:rsid w:val="00B76019"/>
    <w:rsid w:val="00B76445"/>
    <w:rsid w:val="00B765BA"/>
    <w:rsid w:val="00B76797"/>
    <w:rsid w:val="00B76D1B"/>
    <w:rsid w:val="00B800BA"/>
    <w:rsid w:val="00B80335"/>
    <w:rsid w:val="00B83E08"/>
    <w:rsid w:val="00B83EF7"/>
    <w:rsid w:val="00B84B66"/>
    <w:rsid w:val="00B85885"/>
    <w:rsid w:val="00B85BB8"/>
    <w:rsid w:val="00B8646B"/>
    <w:rsid w:val="00B872D2"/>
    <w:rsid w:val="00B901A4"/>
    <w:rsid w:val="00B9092A"/>
    <w:rsid w:val="00B91C8A"/>
    <w:rsid w:val="00B91DFB"/>
    <w:rsid w:val="00B920D1"/>
    <w:rsid w:val="00B925BE"/>
    <w:rsid w:val="00B93061"/>
    <w:rsid w:val="00B933CF"/>
    <w:rsid w:val="00B93A48"/>
    <w:rsid w:val="00B945F5"/>
    <w:rsid w:val="00B9681A"/>
    <w:rsid w:val="00B971E9"/>
    <w:rsid w:val="00BA0ED2"/>
    <w:rsid w:val="00BA11CB"/>
    <w:rsid w:val="00BA1AC3"/>
    <w:rsid w:val="00BA1C54"/>
    <w:rsid w:val="00BA2D33"/>
    <w:rsid w:val="00BA3F82"/>
    <w:rsid w:val="00BA4468"/>
    <w:rsid w:val="00BA5B14"/>
    <w:rsid w:val="00BA6BE4"/>
    <w:rsid w:val="00BA7461"/>
    <w:rsid w:val="00BB01B5"/>
    <w:rsid w:val="00BB08B2"/>
    <w:rsid w:val="00BB35DF"/>
    <w:rsid w:val="00BB3EC0"/>
    <w:rsid w:val="00BB4A0D"/>
    <w:rsid w:val="00BB4A5B"/>
    <w:rsid w:val="00BB5336"/>
    <w:rsid w:val="00BB5538"/>
    <w:rsid w:val="00BB554E"/>
    <w:rsid w:val="00BB5B81"/>
    <w:rsid w:val="00BB5E21"/>
    <w:rsid w:val="00BB611E"/>
    <w:rsid w:val="00BB62D4"/>
    <w:rsid w:val="00BB6D39"/>
    <w:rsid w:val="00BB71A8"/>
    <w:rsid w:val="00BB7792"/>
    <w:rsid w:val="00BB7A3C"/>
    <w:rsid w:val="00BB7C2D"/>
    <w:rsid w:val="00BC092A"/>
    <w:rsid w:val="00BC0BCA"/>
    <w:rsid w:val="00BC22D7"/>
    <w:rsid w:val="00BC2AD6"/>
    <w:rsid w:val="00BC3442"/>
    <w:rsid w:val="00BC3756"/>
    <w:rsid w:val="00BC4D9A"/>
    <w:rsid w:val="00BC52A0"/>
    <w:rsid w:val="00BC5602"/>
    <w:rsid w:val="00BC56FA"/>
    <w:rsid w:val="00BC719C"/>
    <w:rsid w:val="00BC7D17"/>
    <w:rsid w:val="00BD3603"/>
    <w:rsid w:val="00BD425A"/>
    <w:rsid w:val="00BD4B3A"/>
    <w:rsid w:val="00BD4DBD"/>
    <w:rsid w:val="00BD7328"/>
    <w:rsid w:val="00BD7498"/>
    <w:rsid w:val="00BD7EE7"/>
    <w:rsid w:val="00BE0212"/>
    <w:rsid w:val="00BE039B"/>
    <w:rsid w:val="00BE0BA8"/>
    <w:rsid w:val="00BE4793"/>
    <w:rsid w:val="00BE59EF"/>
    <w:rsid w:val="00BE6BD1"/>
    <w:rsid w:val="00BE7BA2"/>
    <w:rsid w:val="00BF1B16"/>
    <w:rsid w:val="00BF2FF1"/>
    <w:rsid w:val="00BF3697"/>
    <w:rsid w:val="00BF3DAB"/>
    <w:rsid w:val="00BF4ED4"/>
    <w:rsid w:val="00BF4FD6"/>
    <w:rsid w:val="00BF569C"/>
    <w:rsid w:val="00BF6563"/>
    <w:rsid w:val="00BF6A65"/>
    <w:rsid w:val="00BF6ACE"/>
    <w:rsid w:val="00BF7356"/>
    <w:rsid w:val="00BF7F1C"/>
    <w:rsid w:val="00C0177B"/>
    <w:rsid w:val="00C01827"/>
    <w:rsid w:val="00C0250D"/>
    <w:rsid w:val="00C04F0C"/>
    <w:rsid w:val="00C04FB6"/>
    <w:rsid w:val="00C0518A"/>
    <w:rsid w:val="00C05C58"/>
    <w:rsid w:val="00C0754D"/>
    <w:rsid w:val="00C07667"/>
    <w:rsid w:val="00C10295"/>
    <w:rsid w:val="00C10C4D"/>
    <w:rsid w:val="00C13A51"/>
    <w:rsid w:val="00C1476B"/>
    <w:rsid w:val="00C1746A"/>
    <w:rsid w:val="00C20039"/>
    <w:rsid w:val="00C20CD5"/>
    <w:rsid w:val="00C2110E"/>
    <w:rsid w:val="00C2119A"/>
    <w:rsid w:val="00C226E6"/>
    <w:rsid w:val="00C22E85"/>
    <w:rsid w:val="00C24CAC"/>
    <w:rsid w:val="00C2517F"/>
    <w:rsid w:val="00C26A45"/>
    <w:rsid w:val="00C273EB"/>
    <w:rsid w:val="00C31018"/>
    <w:rsid w:val="00C313BF"/>
    <w:rsid w:val="00C31432"/>
    <w:rsid w:val="00C31EAE"/>
    <w:rsid w:val="00C323A5"/>
    <w:rsid w:val="00C32750"/>
    <w:rsid w:val="00C32BBA"/>
    <w:rsid w:val="00C3342D"/>
    <w:rsid w:val="00C35CFB"/>
    <w:rsid w:val="00C36B6B"/>
    <w:rsid w:val="00C37071"/>
    <w:rsid w:val="00C37D32"/>
    <w:rsid w:val="00C37F3E"/>
    <w:rsid w:val="00C41586"/>
    <w:rsid w:val="00C42902"/>
    <w:rsid w:val="00C429CF"/>
    <w:rsid w:val="00C4353C"/>
    <w:rsid w:val="00C43C45"/>
    <w:rsid w:val="00C43FE2"/>
    <w:rsid w:val="00C44118"/>
    <w:rsid w:val="00C444CE"/>
    <w:rsid w:val="00C505E4"/>
    <w:rsid w:val="00C522E9"/>
    <w:rsid w:val="00C524A3"/>
    <w:rsid w:val="00C52681"/>
    <w:rsid w:val="00C53095"/>
    <w:rsid w:val="00C5317F"/>
    <w:rsid w:val="00C53680"/>
    <w:rsid w:val="00C55D51"/>
    <w:rsid w:val="00C57C43"/>
    <w:rsid w:val="00C617D4"/>
    <w:rsid w:val="00C61F61"/>
    <w:rsid w:val="00C62342"/>
    <w:rsid w:val="00C634A0"/>
    <w:rsid w:val="00C645F9"/>
    <w:rsid w:val="00C6482B"/>
    <w:rsid w:val="00C64967"/>
    <w:rsid w:val="00C65456"/>
    <w:rsid w:val="00C65AA3"/>
    <w:rsid w:val="00C679ED"/>
    <w:rsid w:val="00C71151"/>
    <w:rsid w:val="00C715E1"/>
    <w:rsid w:val="00C72544"/>
    <w:rsid w:val="00C734E9"/>
    <w:rsid w:val="00C7590D"/>
    <w:rsid w:val="00C76765"/>
    <w:rsid w:val="00C76BD3"/>
    <w:rsid w:val="00C76FBB"/>
    <w:rsid w:val="00C777A9"/>
    <w:rsid w:val="00C80455"/>
    <w:rsid w:val="00C8114F"/>
    <w:rsid w:val="00C86DAC"/>
    <w:rsid w:val="00C86EF2"/>
    <w:rsid w:val="00C87C55"/>
    <w:rsid w:val="00C92596"/>
    <w:rsid w:val="00C92FD1"/>
    <w:rsid w:val="00C93576"/>
    <w:rsid w:val="00C93BB7"/>
    <w:rsid w:val="00C954E6"/>
    <w:rsid w:val="00C955A6"/>
    <w:rsid w:val="00C96353"/>
    <w:rsid w:val="00C96E52"/>
    <w:rsid w:val="00C97369"/>
    <w:rsid w:val="00C97628"/>
    <w:rsid w:val="00C97F5E"/>
    <w:rsid w:val="00CA0D6F"/>
    <w:rsid w:val="00CA0D7D"/>
    <w:rsid w:val="00CA1147"/>
    <w:rsid w:val="00CA2ACA"/>
    <w:rsid w:val="00CA50E5"/>
    <w:rsid w:val="00CA6044"/>
    <w:rsid w:val="00CA645C"/>
    <w:rsid w:val="00CA650E"/>
    <w:rsid w:val="00CA6F45"/>
    <w:rsid w:val="00CA7473"/>
    <w:rsid w:val="00CB0D7D"/>
    <w:rsid w:val="00CB151B"/>
    <w:rsid w:val="00CB36C1"/>
    <w:rsid w:val="00CB4258"/>
    <w:rsid w:val="00CB42EF"/>
    <w:rsid w:val="00CB45BC"/>
    <w:rsid w:val="00CB4609"/>
    <w:rsid w:val="00CB4B74"/>
    <w:rsid w:val="00CC16ED"/>
    <w:rsid w:val="00CC262E"/>
    <w:rsid w:val="00CC2645"/>
    <w:rsid w:val="00CC29FD"/>
    <w:rsid w:val="00CC311F"/>
    <w:rsid w:val="00CC3BAB"/>
    <w:rsid w:val="00CC50E3"/>
    <w:rsid w:val="00CC5511"/>
    <w:rsid w:val="00CC66AF"/>
    <w:rsid w:val="00CC69B2"/>
    <w:rsid w:val="00CC6A11"/>
    <w:rsid w:val="00CC7AC1"/>
    <w:rsid w:val="00CD139A"/>
    <w:rsid w:val="00CD1789"/>
    <w:rsid w:val="00CD209F"/>
    <w:rsid w:val="00CD31CD"/>
    <w:rsid w:val="00CD35CA"/>
    <w:rsid w:val="00CD3CB8"/>
    <w:rsid w:val="00CD4F11"/>
    <w:rsid w:val="00CD592C"/>
    <w:rsid w:val="00CD5AD0"/>
    <w:rsid w:val="00CD6665"/>
    <w:rsid w:val="00CD70F8"/>
    <w:rsid w:val="00CE02D2"/>
    <w:rsid w:val="00CE32D5"/>
    <w:rsid w:val="00CE4537"/>
    <w:rsid w:val="00CE588D"/>
    <w:rsid w:val="00CE6528"/>
    <w:rsid w:val="00CE75EF"/>
    <w:rsid w:val="00CF0692"/>
    <w:rsid w:val="00CF17FD"/>
    <w:rsid w:val="00CF1B4B"/>
    <w:rsid w:val="00CF1C7F"/>
    <w:rsid w:val="00CF50E5"/>
    <w:rsid w:val="00CF62D6"/>
    <w:rsid w:val="00CF721B"/>
    <w:rsid w:val="00CF75F9"/>
    <w:rsid w:val="00D0122B"/>
    <w:rsid w:val="00D01FEC"/>
    <w:rsid w:val="00D027D9"/>
    <w:rsid w:val="00D03150"/>
    <w:rsid w:val="00D054E8"/>
    <w:rsid w:val="00D0715E"/>
    <w:rsid w:val="00D074E2"/>
    <w:rsid w:val="00D07950"/>
    <w:rsid w:val="00D11C1F"/>
    <w:rsid w:val="00D133FC"/>
    <w:rsid w:val="00D13A8F"/>
    <w:rsid w:val="00D15073"/>
    <w:rsid w:val="00D15407"/>
    <w:rsid w:val="00D166CB"/>
    <w:rsid w:val="00D178CE"/>
    <w:rsid w:val="00D20490"/>
    <w:rsid w:val="00D213D1"/>
    <w:rsid w:val="00D214EF"/>
    <w:rsid w:val="00D22F72"/>
    <w:rsid w:val="00D2371B"/>
    <w:rsid w:val="00D23E97"/>
    <w:rsid w:val="00D24F9D"/>
    <w:rsid w:val="00D25899"/>
    <w:rsid w:val="00D276A0"/>
    <w:rsid w:val="00D325B3"/>
    <w:rsid w:val="00D33370"/>
    <w:rsid w:val="00D33A16"/>
    <w:rsid w:val="00D33AAF"/>
    <w:rsid w:val="00D356F9"/>
    <w:rsid w:val="00D36426"/>
    <w:rsid w:val="00D367D9"/>
    <w:rsid w:val="00D36C4E"/>
    <w:rsid w:val="00D36D9A"/>
    <w:rsid w:val="00D402B0"/>
    <w:rsid w:val="00D402EB"/>
    <w:rsid w:val="00D4076E"/>
    <w:rsid w:val="00D41484"/>
    <w:rsid w:val="00D42135"/>
    <w:rsid w:val="00D45206"/>
    <w:rsid w:val="00D46A00"/>
    <w:rsid w:val="00D46F74"/>
    <w:rsid w:val="00D47132"/>
    <w:rsid w:val="00D50391"/>
    <w:rsid w:val="00D50839"/>
    <w:rsid w:val="00D5124C"/>
    <w:rsid w:val="00D512D2"/>
    <w:rsid w:val="00D517D4"/>
    <w:rsid w:val="00D55330"/>
    <w:rsid w:val="00D55558"/>
    <w:rsid w:val="00D566E1"/>
    <w:rsid w:val="00D56989"/>
    <w:rsid w:val="00D5740A"/>
    <w:rsid w:val="00D57410"/>
    <w:rsid w:val="00D57459"/>
    <w:rsid w:val="00D6095E"/>
    <w:rsid w:val="00D621E0"/>
    <w:rsid w:val="00D622DA"/>
    <w:rsid w:val="00D632B5"/>
    <w:rsid w:val="00D64301"/>
    <w:rsid w:val="00D64E03"/>
    <w:rsid w:val="00D64E04"/>
    <w:rsid w:val="00D652F2"/>
    <w:rsid w:val="00D66AF8"/>
    <w:rsid w:val="00D66CD0"/>
    <w:rsid w:val="00D70D04"/>
    <w:rsid w:val="00D70FD0"/>
    <w:rsid w:val="00D7100F"/>
    <w:rsid w:val="00D72429"/>
    <w:rsid w:val="00D73260"/>
    <w:rsid w:val="00D73F2A"/>
    <w:rsid w:val="00D750AD"/>
    <w:rsid w:val="00D7543F"/>
    <w:rsid w:val="00D756DA"/>
    <w:rsid w:val="00D7644F"/>
    <w:rsid w:val="00D76C5B"/>
    <w:rsid w:val="00D7730C"/>
    <w:rsid w:val="00D8068A"/>
    <w:rsid w:val="00D818FC"/>
    <w:rsid w:val="00D81B34"/>
    <w:rsid w:val="00D81E5D"/>
    <w:rsid w:val="00D8268A"/>
    <w:rsid w:val="00D844CC"/>
    <w:rsid w:val="00D8479E"/>
    <w:rsid w:val="00D848D0"/>
    <w:rsid w:val="00D84EF5"/>
    <w:rsid w:val="00D8617F"/>
    <w:rsid w:val="00D90081"/>
    <w:rsid w:val="00D91AA3"/>
    <w:rsid w:val="00D92C18"/>
    <w:rsid w:val="00D970D3"/>
    <w:rsid w:val="00D974D9"/>
    <w:rsid w:val="00D9784A"/>
    <w:rsid w:val="00D97F26"/>
    <w:rsid w:val="00DA1553"/>
    <w:rsid w:val="00DA2AE9"/>
    <w:rsid w:val="00DA4326"/>
    <w:rsid w:val="00DA6F73"/>
    <w:rsid w:val="00DA7112"/>
    <w:rsid w:val="00DB1531"/>
    <w:rsid w:val="00DB2067"/>
    <w:rsid w:val="00DB4212"/>
    <w:rsid w:val="00DB4C26"/>
    <w:rsid w:val="00DB4D1E"/>
    <w:rsid w:val="00DB516B"/>
    <w:rsid w:val="00DB5ED6"/>
    <w:rsid w:val="00DC56C0"/>
    <w:rsid w:val="00DC5938"/>
    <w:rsid w:val="00DC5A39"/>
    <w:rsid w:val="00DC6707"/>
    <w:rsid w:val="00DD0BF1"/>
    <w:rsid w:val="00DD364F"/>
    <w:rsid w:val="00DD3B77"/>
    <w:rsid w:val="00DD4069"/>
    <w:rsid w:val="00DD418A"/>
    <w:rsid w:val="00DD43CA"/>
    <w:rsid w:val="00DD494B"/>
    <w:rsid w:val="00DD514D"/>
    <w:rsid w:val="00DD59AB"/>
    <w:rsid w:val="00DD5AB8"/>
    <w:rsid w:val="00DD789E"/>
    <w:rsid w:val="00DE014E"/>
    <w:rsid w:val="00DE01D1"/>
    <w:rsid w:val="00DE0839"/>
    <w:rsid w:val="00DE14E5"/>
    <w:rsid w:val="00DE1BC4"/>
    <w:rsid w:val="00DE5C64"/>
    <w:rsid w:val="00DE6304"/>
    <w:rsid w:val="00DF01A1"/>
    <w:rsid w:val="00DF0F22"/>
    <w:rsid w:val="00DF17AE"/>
    <w:rsid w:val="00DF1C40"/>
    <w:rsid w:val="00DF359C"/>
    <w:rsid w:val="00DF3A46"/>
    <w:rsid w:val="00DF4163"/>
    <w:rsid w:val="00DF589D"/>
    <w:rsid w:val="00DF6411"/>
    <w:rsid w:val="00DF66B5"/>
    <w:rsid w:val="00DF6E0F"/>
    <w:rsid w:val="00DF724E"/>
    <w:rsid w:val="00DF75AF"/>
    <w:rsid w:val="00E00704"/>
    <w:rsid w:val="00E010F8"/>
    <w:rsid w:val="00E013F0"/>
    <w:rsid w:val="00E01EAB"/>
    <w:rsid w:val="00E025C3"/>
    <w:rsid w:val="00E02DF8"/>
    <w:rsid w:val="00E034E0"/>
    <w:rsid w:val="00E04CA7"/>
    <w:rsid w:val="00E05C89"/>
    <w:rsid w:val="00E066F3"/>
    <w:rsid w:val="00E075A5"/>
    <w:rsid w:val="00E075EF"/>
    <w:rsid w:val="00E07D2A"/>
    <w:rsid w:val="00E11270"/>
    <w:rsid w:val="00E115B4"/>
    <w:rsid w:val="00E11A15"/>
    <w:rsid w:val="00E12D5D"/>
    <w:rsid w:val="00E14BC1"/>
    <w:rsid w:val="00E15F47"/>
    <w:rsid w:val="00E162CD"/>
    <w:rsid w:val="00E167ED"/>
    <w:rsid w:val="00E171C2"/>
    <w:rsid w:val="00E20542"/>
    <w:rsid w:val="00E21914"/>
    <w:rsid w:val="00E234BE"/>
    <w:rsid w:val="00E24C40"/>
    <w:rsid w:val="00E2615F"/>
    <w:rsid w:val="00E26AE7"/>
    <w:rsid w:val="00E278F8"/>
    <w:rsid w:val="00E303F1"/>
    <w:rsid w:val="00E305AA"/>
    <w:rsid w:val="00E30C0D"/>
    <w:rsid w:val="00E31D2D"/>
    <w:rsid w:val="00E32A0A"/>
    <w:rsid w:val="00E35066"/>
    <w:rsid w:val="00E353D2"/>
    <w:rsid w:val="00E35A74"/>
    <w:rsid w:val="00E35E78"/>
    <w:rsid w:val="00E363BF"/>
    <w:rsid w:val="00E365C0"/>
    <w:rsid w:val="00E365FA"/>
    <w:rsid w:val="00E36F35"/>
    <w:rsid w:val="00E42736"/>
    <w:rsid w:val="00E43517"/>
    <w:rsid w:val="00E43C40"/>
    <w:rsid w:val="00E44630"/>
    <w:rsid w:val="00E44D75"/>
    <w:rsid w:val="00E44E70"/>
    <w:rsid w:val="00E46572"/>
    <w:rsid w:val="00E46635"/>
    <w:rsid w:val="00E4685E"/>
    <w:rsid w:val="00E47046"/>
    <w:rsid w:val="00E47E99"/>
    <w:rsid w:val="00E508D0"/>
    <w:rsid w:val="00E50A06"/>
    <w:rsid w:val="00E511BD"/>
    <w:rsid w:val="00E5207C"/>
    <w:rsid w:val="00E523B3"/>
    <w:rsid w:val="00E545CD"/>
    <w:rsid w:val="00E57340"/>
    <w:rsid w:val="00E57D9D"/>
    <w:rsid w:val="00E6017F"/>
    <w:rsid w:val="00E60A7B"/>
    <w:rsid w:val="00E611CC"/>
    <w:rsid w:val="00E6227E"/>
    <w:rsid w:val="00E626B6"/>
    <w:rsid w:val="00E6456B"/>
    <w:rsid w:val="00E64D54"/>
    <w:rsid w:val="00E64F29"/>
    <w:rsid w:val="00E663BA"/>
    <w:rsid w:val="00E66932"/>
    <w:rsid w:val="00E67881"/>
    <w:rsid w:val="00E70033"/>
    <w:rsid w:val="00E70135"/>
    <w:rsid w:val="00E70461"/>
    <w:rsid w:val="00E7069A"/>
    <w:rsid w:val="00E70A57"/>
    <w:rsid w:val="00E71351"/>
    <w:rsid w:val="00E714BE"/>
    <w:rsid w:val="00E740A7"/>
    <w:rsid w:val="00E748F1"/>
    <w:rsid w:val="00E75DF2"/>
    <w:rsid w:val="00E7702F"/>
    <w:rsid w:val="00E775D4"/>
    <w:rsid w:val="00E77ACA"/>
    <w:rsid w:val="00E77B8F"/>
    <w:rsid w:val="00E8141A"/>
    <w:rsid w:val="00E81EC5"/>
    <w:rsid w:val="00E825ED"/>
    <w:rsid w:val="00E82F28"/>
    <w:rsid w:val="00E835AC"/>
    <w:rsid w:val="00E839DB"/>
    <w:rsid w:val="00E84027"/>
    <w:rsid w:val="00E850B8"/>
    <w:rsid w:val="00E850FE"/>
    <w:rsid w:val="00E85D1F"/>
    <w:rsid w:val="00E86059"/>
    <w:rsid w:val="00E86F0B"/>
    <w:rsid w:val="00E87877"/>
    <w:rsid w:val="00E879C9"/>
    <w:rsid w:val="00E90016"/>
    <w:rsid w:val="00E905A4"/>
    <w:rsid w:val="00E90F10"/>
    <w:rsid w:val="00E914ED"/>
    <w:rsid w:val="00E928C6"/>
    <w:rsid w:val="00E9341F"/>
    <w:rsid w:val="00E94CA8"/>
    <w:rsid w:val="00E94F0B"/>
    <w:rsid w:val="00E956D4"/>
    <w:rsid w:val="00E95CB2"/>
    <w:rsid w:val="00E968D7"/>
    <w:rsid w:val="00E96C8A"/>
    <w:rsid w:val="00E96C9B"/>
    <w:rsid w:val="00EA08B1"/>
    <w:rsid w:val="00EA18AF"/>
    <w:rsid w:val="00EA30AA"/>
    <w:rsid w:val="00EA30F5"/>
    <w:rsid w:val="00EA4369"/>
    <w:rsid w:val="00EA5016"/>
    <w:rsid w:val="00EA5310"/>
    <w:rsid w:val="00EA5E0C"/>
    <w:rsid w:val="00EA5F60"/>
    <w:rsid w:val="00EA69A1"/>
    <w:rsid w:val="00EA6E93"/>
    <w:rsid w:val="00EA71FA"/>
    <w:rsid w:val="00EA7A2A"/>
    <w:rsid w:val="00EB091A"/>
    <w:rsid w:val="00EB1995"/>
    <w:rsid w:val="00EB27CC"/>
    <w:rsid w:val="00EB2EFD"/>
    <w:rsid w:val="00EB49DB"/>
    <w:rsid w:val="00EB6299"/>
    <w:rsid w:val="00EB6B8D"/>
    <w:rsid w:val="00EB6CF1"/>
    <w:rsid w:val="00EB6ED9"/>
    <w:rsid w:val="00EB6EFB"/>
    <w:rsid w:val="00EB78EA"/>
    <w:rsid w:val="00EB7BF1"/>
    <w:rsid w:val="00EC01D8"/>
    <w:rsid w:val="00EC17BB"/>
    <w:rsid w:val="00EC1977"/>
    <w:rsid w:val="00EC2088"/>
    <w:rsid w:val="00EC274D"/>
    <w:rsid w:val="00EC38FD"/>
    <w:rsid w:val="00EC3D3E"/>
    <w:rsid w:val="00EC40DE"/>
    <w:rsid w:val="00EC505D"/>
    <w:rsid w:val="00EC517B"/>
    <w:rsid w:val="00EC576A"/>
    <w:rsid w:val="00EC5816"/>
    <w:rsid w:val="00EC5838"/>
    <w:rsid w:val="00EC5BD1"/>
    <w:rsid w:val="00EC5BFC"/>
    <w:rsid w:val="00EC64A9"/>
    <w:rsid w:val="00EC6798"/>
    <w:rsid w:val="00EC6A81"/>
    <w:rsid w:val="00EC6B30"/>
    <w:rsid w:val="00EC6E05"/>
    <w:rsid w:val="00EC7929"/>
    <w:rsid w:val="00ED1A6D"/>
    <w:rsid w:val="00ED321E"/>
    <w:rsid w:val="00ED440A"/>
    <w:rsid w:val="00ED460F"/>
    <w:rsid w:val="00ED5E8C"/>
    <w:rsid w:val="00ED6831"/>
    <w:rsid w:val="00EE16D2"/>
    <w:rsid w:val="00EE2809"/>
    <w:rsid w:val="00EE2FB1"/>
    <w:rsid w:val="00EE3BBD"/>
    <w:rsid w:val="00EE4499"/>
    <w:rsid w:val="00EE4D99"/>
    <w:rsid w:val="00EE62DF"/>
    <w:rsid w:val="00EE65BC"/>
    <w:rsid w:val="00EE70D3"/>
    <w:rsid w:val="00EF00B8"/>
    <w:rsid w:val="00EF0E19"/>
    <w:rsid w:val="00EF16A3"/>
    <w:rsid w:val="00EF254D"/>
    <w:rsid w:val="00EF44F7"/>
    <w:rsid w:val="00EF471A"/>
    <w:rsid w:val="00EF692E"/>
    <w:rsid w:val="00F005AC"/>
    <w:rsid w:val="00F02EE3"/>
    <w:rsid w:val="00F0418B"/>
    <w:rsid w:val="00F04CA3"/>
    <w:rsid w:val="00F0673C"/>
    <w:rsid w:val="00F06C34"/>
    <w:rsid w:val="00F0740E"/>
    <w:rsid w:val="00F106A3"/>
    <w:rsid w:val="00F10DDE"/>
    <w:rsid w:val="00F10E4D"/>
    <w:rsid w:val="00F11B72"/>
    <w:rsid w:val="00F138A3"/>
    <w:rsid w:val="00F14554"/>
    <w:rsid w:val="00F14629"/>
    <w:rsid w:val="00F1615C"/>
    <w:rsid w:val="00F162CA"/>
    <w:rsid w:val="00F16327"/>
    <w:rsid w:val="00F16BE9"/>
    <w:rsid w:val="00F2049E"/>
    <w:rsid w:val="00F20DB1"/>
    <w:rsid w:val="00F21545"/>
    <w:rsid w:val="00F22060"/>
    <w:rsid w:val="00F22200"/>
    <w:rsid w:val="00F23A7E"/>
    <w:rsid w:val="00F2491D"/>
    <w:rsid w:val="00F25301"/>
    <w:rsid w:val="00F25480"/>
    <w:rsid w:val="00F26691"/>
    <w:rsid w:val="00F27430"/>
    <w:rsid w:val="00F30A19"/>
    <w:rsid w:val="00F323A9"/>
    <w:rsid w:val="00F34FD0"/>
    <w:rsid w:val="00F359B9"/>
    <w:rsid w:val="00F35CCB"/>
    <w:rsid w:val="00F35CD9"/>
    <w:rsid w:val="00F40605"/>
    <w:rsid w:val="00F41169"/>
    <w:rsid w:val="00F419E3"/>
    <w:rsid w:val="00F41AD9"/>
    <w:rsid w:val="00F41B9E"/>
    <w:rsid w:val="00F430C7"/>
    <w:rsid w:val="00F440E1"/>
    <w:rsid w:val="00F44B4E"/>
    <w:rsid w:val="00F457B3"/>
    <w:rsid w:val="00F45B8B"/>
    <w:rsid w:val="00F4620C"/>
    <w:rsid w:val="00F51C4C"/>
    <w:rsid w:val="00F53E6C"/>
    <w:rsid w:val="00F5446A"/>
    <w:rsid w:val="00F54C45"/>
    <w:rsid w:val="00F55248"/>
    <w:rsid w:val="00F55396"/>
    <w:rsid w:val="00F55587"/>
    <w:rsid w:val="00F55B70"/>
    <w:rsid w:val="00F578DE"/>
    <w:rsid w:val="00F605F5"/>
    <w:rsid w:val="00F62C41"/>
    <w:rsid w:val="00F64389"/>
    <w:rsid w:val="00F64891"/>
    <w:rsid w:val="00F64B64"/>
    <w:rsid w:val="00F64FDE"/>
    <w:rsid w:val="00F654EA"/>
    <w:rsid w:val="00F65BB8"/>
    <w:rsid w:val="00F65FFA"/>
    <w:rsid w:val="00F66B02"/>
    <w:rsid w:val="00F67102"/>
    <w:rsid w:val="00F67EDB"/>
    <w:rsid w:val="00F70758"/>
    <w:rsid w:val="00F7152E"/>
    <w:rsid w:val="00F75E9C"/>
    <w:rsid w:val="00F76393"/>
    <w:rsid w:val="00F76DA4"/>
    <w:rsid w:val="00F76F8A"/>
    <w:rsid w:val="00F8019B"/>
    <w:rsid w:val="00F80488"/>
    <w:rsid w:val="00F80843"/>
    <w:rsid w:val="00F80AD3"/>
    <w:rsid w:val="00F8144C"/>
    <w:rsid w:val="00F81F51"/>
    <w:rsid w:val="00F84851"/>
    <w:rsid w:val="00F84DE0"/>
    <w:rsid w:val="00F86697"/>
    <w:rsid w:val="00F86801"/>
    <w:rsid w:val="00F869F0"/>
    <w:rsid w:val="00F86AED"/>
    <w:rsid w:val="00F90224"/>
    <w:rsid w:val="00F9113D"/>
    <w:rsid w:val="00F912CC"/>
    <w:rsid w:val="00F92AD7"/>
    <w:rsid w:val="00F92CF0"/>
    <w:rsid w:val="00F94D61"/>
    <w:rsid w:val="00F95556"/>
    <w:rsid w:val="00F95C26"/>
    <w:rsid w:val="00F96D2A"/>
    <w:rsid w:val="00F97198"/>
    <w:rsid w:val="00F977B9"/>
    <w:rsid w:val="00F97DEF"/>
    <w:rsid w:val="00FA0350"/>
    <w:rsid w:val="00FA1C6A"/>
    <w:rsid w:val="00FA40B1"/>
    <w:rsid w:val="00FA46F8"/>
    <w:rsid w:val="00FA693F"/>
    <w:rsid w:val="00FA69EB"/>
    <w:rsid w:val="00FA75A9"/>
    <w:rsid w:val="00FA7600"/>
    <w:rsid w:val="00FA7745"/>
    <w:rsid w:val="00FB0896"/>
    <w:rsid w:val="00FB09F0"/>
    <w:rsid w:val="00FB0AC1"/>
    <w:rsid w:val="00FB41C7"/>
    <w:rsid w:val="00FB5274"/>
    <w:rsid w:val="00FB587C"/>
    <w:rsid w:val="00FB58A9"/>
    <w:rsid w:val="00FB5B7E"/>
    <w:rsid w:val="00FB681C"/>
    <w:rsid w:val="00FB71D2"/>
    <w:rsid w:val="00FB7C04"/>
    <w:rsid w:val="00FC11FC"/>
    <w:rsid w:val="00FC1E2D"/>
    <w:rsid w:val="00FC2B66"/>
    <w:rsid w:val="00FC352A"/>
    <w:rsid w:val="00FC359D"/>
    <w:rsid w:val="00FC40D8"/>
    <w:rsid w:val="00FC41BD"/>
    <w:rsid w:val="00FC487C"/>
    <w:rsid w:val="00FC4E69"/>
    <w:rsid w:val="00FC5C2A"/>
    <w:rsid w:val="00FC5F5D"/>
    <w:rsid w:val="00FC61F9"/>
    <w:rsid w:val="00FC622E"/>
    <w:rsid w:val="00FC66E0"/>
    <w:rsid w:val="00FD051E"/>
    <w:rsid w:val="00FD0BD6"/>
    <w:rsid w:val="00FD1309"/>
    <w:rsid w:val="00FD14DE"/>
    <w:rsid w:val="00FD28F1"/>
    <w:rsid w:val="00FD44C2"/>
    <w:rsid w:val="00FD452A"/>
    <w:rsid w:val="00FD4FFA"/>
    <w:rsid w:val="00FD705E"/>
    <w:rsid w:val="00FD76AA"/>
    <w:rsid w:val="00FE0A16"/>
    <w:rsid w:val="00FE0C04"/>
    <w:rsid w:val="00FE1437"/>
    <w:rsid w:val="00FE1529"/>
    <w:rsid w:val="00FE1A12"/>
    <w:rsid w:val="00FE2D54"/>
    <w:rsid w:val="00FE43BE"/>
    <w:rsid w:val="00FE4710"/>
    <w:rsid w:val="00FE4736"/>
    <w:rsid w:val="00FE5304"/>
    <w:rsid w:val="00FE740A"/>
    <w:rsid w:val="00FE7866"/>
    <w:rsid w:val="00FE7C19"/>
    <w:rsid w:val="00FF0849"/>
    <w:rsid w:val="00FF0A08"/>
    <w:rsid w:val="00FF1647"/>
    <w:rsid w:val="00FF2F76"/>
    <w:rsid w:val="00FF3F2D"/>
    <w:rsid w:val="00FF4F57"/>
    <w:rsid w:val="00FF54B8"/>
    <w:rsid w:val="00FF7497"/>
    <w:rsid w:val="00FF7835"/>
    <w:rsid w:val="00FF784D"/>
    <w:rsid w:val="014852A7"/>
    <w:rsid w:val="01623725"/>
    <w:rsid w:val="01D871D5"/>
    <w:rsid w:val="02E02F88"/>
    <w:rsid w:val="030A7035"/>
    <w:rsid w:val="036F7DCF"/>
    <w:rsid w:val="03C21539"/>
    <w:rsid w:val="03E11A71"/>
    <w:rsid w:val="04524171"/>
    <w:rsid w:val="049C39A8"/>
    <w:rsid w:val="0552039C"/>
    <w:rsid w:val="05886E77"/>
    <w:rsid w:val="067D1B0C"/>
    <w:rsid w:val="06B260A2"/>
    <w:rsid w:val="06FB20C1"/>
    <w:rsid w:val="070A349C"/>
    <w:rsid w:val="07E472F9"/>
    <w:rsid w:val="0889104E"/>
    <w:rsid w:val="08EB41E7"/>
    <w:rsid w:val="093811C5"/>
    <w:rsid w:val="094376D9"/>
    <w:rsid w:val="09E0399E"/>
    <w:rsid w:val="0A682CFA"/>
    <w:rsid w:val="0A994244"/>
    <w:rsid w:val="0A9F7DDF"/>
    <w:rsid w:val="0AAF72EA"/>
    <w:rsid w:val="0C5A2CE0"/>
    <w:rsid w:val="0D1A404E"/>
    <w:rsid w:val="0D25658E"/>
    <w:rsid w:val="0D71416F"/>
    <w:rsid w:val="0DBF4112"/>
    <w:rsid w:val="0E20163B"/>
    <w:rsid w:val="0E810880"/>
    <w:rsid w:val="0EC546D5"/>
    <w:rsid w:val="0F6743FD"/>
    <w:rsid w:val="0F9D353B"/>
    <w:rsid w:val="100A69F2"/>
    <w:rsid w:val="106473DB"/>
    <w:rsid w:val="11384743"/>
    <w:rsid w:val="11AA5671"/>
    <w:rsid w:val="124B0D48"/>
    <w:rsid w:val="127C0BC3"/>
    <w:rsid w:val="1329079F"/>
    <w:rsid w:val="133348AD"/>
    <w:rsid w:val="13397585"/>
    <w:rsid w:val="146244D2"/>
    <w:rsid w:val="146A6E8E"/>
    <w:rsid w:val="14BD0C88"/>
    <w:rsid w:val="14CF34BB"/>
    <w:rsid w:val="150B0721"/>
    <w:rsid w:val="151E6F20"/>
    <w:rsid w:val="15263142"/>
    <w:rsid w:val="15A96CA0"/>
    <w:rsid w:val="165038BB"/>
    <w:rsid w:val="165A5625"/>
    <w:rsid w:val="16AD26D3"/>
    <w:rsid w:val="17900F36"/>
    <w:rsid w:val="17F3299B"/>
    <w:rsid w:val="18217CBB"/>
    <w:rsid w:val="183744C0"/>
    <w:rsid w:val="18AC1E92"/>
    <w:rsid w:val="1A8E0B57"/>
    <w:rsid w:val="1B8B16C6"/>
    <w:rsid w:val="1BB13BC7"/>
    <w:rsid w:val="1E982F7E"/>
    <w:rsid w:val="1EBE5460"/>
    <w:rsid w:val="1F015B1D"/>
    <w:rsid w:val="202949FE"/>
    <w:rsid w:val="205934A8"/>
    <w:rsid w:val="20B229C0"/>
    <w:rsid w:val="21D64DB2"/>
    <w:rsid w:val="21D94230"/>
    <w:rsid w:val="21F55578"/>
    <w:rsid w:val="22234BE2"/>
    <w:rsid w:val="240E783E"/>
    <w:rsid w:val="25EE5ECD"/>
    <w:rsid w:val="25FF65CF"/>
    <w:rsid w:val="261129A3"/>
    <w:rsid w:val="268E3B95"/>
    <w:rsid w:val="273E6078"/>
    <w:rsid w:val="27573ABE"/>
    <w:rsid w:val="27E572EE"/>
    <w:rsid w:val="294A6207"/>
    <w:rsid w:val="2986768F"/>
    <w:rsid w:val="29A9712D"/>
    <w:rsid w:val="29B447B1"/>
    <w:rsid w:val="2A1B2EF8"/>
    <w:rsid w:val="2A2A11F4"/>
    <w:rsid w:val="2A3E581C"/>
    <w:rsid w:val="2A595D7B"/>
    <w:rsid w:val="2ABD73D4"/>
    <w:rsid w:val="2B203541"/>
    <w:rsid w:val="2C021E58"/>
    <w:rsid w:val="2CA8673A"/>
    <w:rsid w:val="2CF056C0"/>
    <w:rsid w:val="2D1C32B3"/>
    <w:rsid w:val="2D3A61AB"/>
    <w:rsid w:val="2F940FF5"/>
    <w:rsid w:val="30B72F54"/>
    <w:rsid w:val="31506ACE"/>
    <w:rsid w:val="32C63741"/>
    <w:rsid w:val="35795D8C"/>
    <w:rsid w:val="35B069A7"/>
    <w:rsid w:val="35FB5166"/>
    <w:rsid w:val="36A10979"/>
    <w:rsid w:val="36A80B5D"/>
    <w:rsid w:val="36E14E00"/>
    <w:rsid w:val="38115074"/>
    <w:rsid w:val="38215897"/>
    <w:rsid w:val="3886422A"/>
    <w:rsid w:val="38DB50E0"/>
    <w:rsid w:val="395A4BB4"/>
    <w:rsid w:val="396A5BEA"/>
    <w:rsid w:val="3A090F25"/>
    <w:rsid w:val="3A48496C"/>
    <w:rsid w:val="3AD0536F"/>
    <w:rsid w:val="3B1F132C"/>
    <w:rsid w:val="3B5533E2"/>
    <w:rsid w:val="3CBA041E"/>
    <w:rsid w:val="3DED5DFA"/>
    <w:rsid w:val="3E550B0B"/>
    <w:rsid w:val="3F2A7E68"/>
    <w:rsid w:val="3F591273"/>
    <w:rsid w:val="3F736860"/>
    <w:rsid w:val="3F976A07"/>
    <w:rsid w:val="3FCF3AFF"/>
    <w:rsid w:val="3FD23E4B"/>
    <w:rsid w:val="4132115D"/>
    <w:rsid w:val="416709FE"/>
    <w:rsid w:val="42626593"/>
    <w:rsid w:val="42E32C50"/>
    <w:rsid w:val="43976188"/>
    <w:rsid w:val="43F43652"/>
    <w:rsid w:val="442569DD"/>
    <w:rsid w:val="44BA69CB"/>
    <w:rsid w:val="4542049C"/>
    <w:rsid w:val="45D40FEA"/>
    <w:rsid w:val="46C37FD5"/>
    <w:rsid w:val="471D6E2E"/>
    <w:rsid w:val="493C2E6E"/>
    <w:rsid w:val="49EC46EC"/>
    <w:rsid w:val="4A31496B"/>
    <w:rsid w:val="4A86065C"/>
    <w:rsid w:val="4AFC12FE"/>
    <w:rsid w:val="4B1F4D12"/>
    <w:rsid w:val="4B67402F"/>
    <w:rsid w:val="4D1C71BF"/>
    <w:rsid w:val="4D4A2172"/>
    <w:rsid w:val="4D83633C"/>
    <w:rsid w:val="4DE960BC"/>
    <w:rsid w:val="4E32390B"/>
    <w:rsid w:val="4E7D6318"/>
    <w:rsid w:val="4E8574F4"/>
    <w:rsid w:val="4ECE3A2D"/>
    <w:rsid w:val="4F1B5737"/>
    <w:rsid w:val="4F23322B"/>
    <w:rsid w:val="4F9A08E3"/>
    <w:rsid w:val="50386A4A"/>
    <w:rsid w:val="51030F0C"/>
    <w:rsid w:val="51120433"/>
    <w:rsid w:val="511C32C6"/>
    <w:rsid w:val="511E50A6"/>
    <w:rsid w:val="51B7020C"/>
    <w:rsid w:val="52153A54"/>
    <w:rsid w:val="53241C21"/>
    <w:rsid w:val="54801B99"/>
    <w:rsid w:val="54F031D1"/>
    <w:rsid w:val="55416BB5"/>
    <w:rsid w:val="56D4417E"/>
    <w:rsid w:val="56F605A9"/>
    <w:rsid w:val="579B14F4"/>
    <w:rsid w:val="57AD47D9"/>
    <w:rsid w:val="57C74271"/>
    <w:rsid w:val="58160FDC"/>
    <w:rsid w:val="5877457A"/>
    <w:rsid w:val="588C0A3D"/>
    <w:rsid w:val="58C9671D"/>
    <w:rsid w:val="58EB709E"/>
    <w:rsid w:val="58EC1008"/>
    <w:rsid w:val="591B1510"/>
    <w:rsid w:val="5A0D79EF"/>
    <w:rsid w:val="5A4833AE"/>
    <w:rsid w:val="5A8D34CF"/>
    <w:rsid w:val="5ADC3594"/>
    <w:rsid w:val="5D490F3F"/>
    <w:rsid w:val="5D903079"/>
    <w:rsid w:val="5E2A3C0C"/>
    <w:rsid w:val="5E9859B4"/>
    <w:rsid w:val="5FB202E2"/>
    <w:rsid w:val="60494675"/>
    <w:rsid w:val="60F82686"/>
    <w:rsid w:val="61D60375"/>
    <w:rsid w:val="61E64E1E"/>
    <w:rsid w:val="62CD352B"/>
    <w:rsid w:val="638D6980"/>
    <w:rsid w:val="64433F49"/>
    <w:rsid w:val="64DD3BD7"/>
    <w:rsid w:val="65D846A2"/>
    <w:rsid w:val="66D7709B"/>
    <w:rsid w:val="67194B91"/>
    <w:rsid w:val="671A0D60"/>
    <w:rsid w:val="67C577CA"/>
    <w:rsid w:val="68195C76"/>
    <w:rsid w:val="68594A2A"/>
    <w:rsid w:val="688E41BF"/>
    <w:rsid w:val="69761B5A"/>
    <w:rsid w:val="69B01499"/>
    <w:rsid w:val="6ADF0EB6"/>
    <w:rsid w:val="6C437933"/>
    <w:rsid w:val="6D190BD2"/>
    <w:rsid w:val="6DE346FC"/>
    <w:rsid w:val="6DE44120"/>
    <w:rsid w:val="6DF94C12"/>
    <w:rsid w:val="6E34779E"/>
    <w:rsid w:val="6EEF494C"/>
    <w:rsid w:val="6EF670A7"/>
    <w:rsid w:val="714670E7"/>
    <w:rsid w:val="71A45DBD"/>
    <w:rsid w:val="729C1AE6"/>
    <w:rsid w:val="72CB03A1"/>
    <w:rsid w:val="73D36831"/>
    <w:rsid w:val="749543E7"/>
    <w:rsid w:val="74CC78E6"/>
    <w:rsid w:val="74D15A17"/>
    <w:rsid w:val="76C25126"/>
    <w:rsid w:val="76CA1386"/>
    <w:rsid w:val="770F0ED3"/>
    <w:rsid w:val="772D07CE"/>
    <w:rsid w:val="787015BC"/>
    <w:rsid w:val="7885053E"/>
    <w:rsid w:val="794362F6"/>
    <w:rsid w:val="79ED3875"/>
    <w:rsid w:val="7A7150FC"/>
    <w:rsid w:val="7B9361A0"/>
    <w:rsid w:val="7C2D7683"/>
    <w:rsid w:val="7C892598"/>
    <w:rsid w:val="7CA30A21"/>
    <w:rsid w:val="7CBA3703"/>
    <w:rsid w:val="7D5A3D9F"/>
    <w:rsid w:val="7D774975"/>
    <w:rsid w:val="7E092BAE"/>
    <w:rsid w:val="7E0A1944"/>
    <w:rsid w:val="7E504B94"/>
    <w:rsid w:val="7FAF2EB0"/>
    <w:rsid w:val="7FC75B5A"/>
    <w:rsid w:val="7FFD66FD"/>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99" w:name="toc 2"/>
    <w:lsdException w:qFormat="1" w:unhideWhenUsed="0" w:uiPriority="99" w:name="toc 3"/>
    <w:lsdException w:uiPriority="0" w:semiHidden="0" w:name="toc 4"/>
    <w:lsdException w:uiPriority="0" w:semiHidden="0" w:name="toc 5"/>
    <w:lsdException w:qFormat="1" w:unhideWhenUsed="0" w:uiPriority="0" w:semiHidden="0" w:name="toc 6"/>
    <w:lsdException w:uiPriority="0" w:semiHidden="0" w:name="toc 7"/>
    <w:lsdException w:uiPriority="0" w:semiHidden="0" w:name="toc 8"/>
    <w:lsdException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0" w:semiHidden="0" w:name="header"/>
    <w:lsdException w:qFormat="1" w:unhideWhenUsed="0" w:uiPriority="0" w:semiHidden="0" w:name="footer"/>
    <w:lsdException w:uiPriority="99" w:name="index heading" w:locked="1"/>
    <w:lsdException w:qFormat="1" w:unhideWhenUsed="0"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sdException w:uiPriority="99" w:name="endnote reference" w:locked="1"/>
    <w:lsdException w:uiPriority="99" w:name="endnote text" w:locked="1"/>
    <w:lsdException w:unhideWhenUsed="0" w:uiPriority="0" w:semiHidden="0" w:name="table of authorities"/>
    <w:lsdException w:uiPriority="99" w:name="macro" w:locked="1"/>
    <w:lsdException w:uiPriority="99" w:name="toa heading" w:locked="1"/>
    <w:lsdException w:unhideWhenUsed="0" w:uiPriority="0" w:semiHidden="0" w:name="List"/>
    <w:lsdException w:unhideWhenUsed="0" w:uiPriority="0" w:semiHidden="0" w:name="List Bullet"/>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99"/>
    <w:pPr>
      <w:keepNext/>
      <w:keepLines/>
      <w:spacing w:before="260" w:after="260" w:line="416" w:lineRule="auto"/>
      <w:outlineLvl w:val="1"/>
    </w:pPr>
    <w:rPr>
      <w:rFonts w:ascii="Arial" w:hAnsi="Arial" w:eastAsia="黑体" w:cs="Arial"/>
      <w:b/>
      <w:bCs/>
      <w:sz w:val="32"/>
      <w:szCs w:val="32"/>
    </w:rPr>
  </w:style>
  <w:style w:type="paragraph" w:styleId="6">
    <w:name w:val="heading 3"/>
    <w:basedOn w:val="1"/>
    <w:next w:val="1"/>
    <w:link w:val="74"/>
    <w:unhideWhenUsed/>
    <w:qFormat/>
    <w:uiPriority w:val="9"/>
    <w:pPr>
      <w:keepNext/>
      <w:keepLines/>
      <w:spacing w:before="260" w:after="260" w:line="416" w:lineRule="auto"/>
      <w:outlineLvl w:val="2"/>
    </w:pPr>
    <w:rPr>
      <w:rFonts w:ascii="Calibri" w:hAnsi="Calibri"/>
      <w:b/>
      <w:bCs/>
      <w:sz w:val="32"/>
      <w:szCs w:val="32"/>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locked/>
    <w:uiPriority w:val="99"/>
    <w:pPr>
      <w:ind w:firstLine="420" w:firstLineChars="200"/>
    </w:pPr>
  </w:style>
  <w:style w:type="paragraph" w:styleId="3">
    <w:name w:val="Body Text Indent"/>
    <w:basedOn w:val="1"/>
    <w:next w:val="2"/>
    <w:link w:val="43"/>
    <w:qFormat/>
    <w:uiPriority w:val="99"/>
    <w:pPr>
      <w:ind w:left="480" w:hanging="480" w:hangingChars="200"/>
    </w:pPr>
    <w:rPr>
      <w:sz w:val="24"/>
      <w:szCs w:val="24"/>
    </w:rPr>
  </w:style>
  <w:style w:type="paragraph" w:styleId="7">
    <w:name w:val="Normal Indent"/>
    <w:basedOn w:val="1"/>
    <w:link w:val="52"/>
    <w:qFormat/>
    <w:uiPriority w:val="99"/>
    <w:pPr>
      <w:ind w:firstLine="420" w:firstLineChars="200"/>
    </w:pPr>
    <w:rPr>
      <w:rFonts w:ascii="仿宋_GB2312" w:hAnsi="宋体" w:eastAsia="仿宋_GB2312" w:cs="仿宋_GB2312"/>
      <w:b/>
      <w:bCs/>
      <w:color w:val="000000"/>
      <w:kern w:val="0"/>
    </w:rPr>
  </w:style>
  <w:style w:type="paragraph" w:styleId="8">
    <w:name w:val="caption"/>
    <w:basedOn w:val="1"/>
    <w:next w:val="1"/>
    <w:qFormat/>
    <w:uiPriority w:val="0"/>
    <w:rPr>
      <w:rFonts w:ascii="Arial" w:hAnsi="Arial" w:eastAsia="黑体" w:cs="Arial"/>
      <w:color w:val="000000"/>
      <w:kern w:val="1"/>
      <w:sz w:val="20"/>
      <w:szCs w:val="20"/>
    </w:rPr>
  </w:style>
  <w:style w:type="paragraph" w:styleId="9">
    <w:name w:val="annotation text"/>
    <w:basedOn w:val="1"/>
    <w:link w:val="42"/>
    <w:semiHidden/>
    <w:qFormat/>
    <w:uiPriority w:val="99"/>
    <w:pPr>
      <w:jc w:val="left"/>
    </w:pPr>
  </w:style>
  <w:style w:type="paragraph" w:styleId="10">
    <w:name w:val="Body Text"/>
    <w:basedOn w:val="1"/>
    <w:next w:val="11"/>
    <w:link w:val="40"/>
    <w:qFormat/>
    <w:uiPriority w:val="99"/>
  </w:style>
  <w:style w:type="paragraph" w:styleId="11">
    <w:name w:val="Body Text First Indent"/>
    <w:basedOn w:val="10"/>
    <w:next w:val="1"/>
    <w:link w:val="41"/>
    <w:qFormat/>
    <w:uiPriority w:val="99"/>
    <w:pPr>
      <w:ind w:firstLine="420" w:firstLineChars="100"/>
    </w:pPr>
  </w:style>
  <w:style w:type="paragraph" w:styleId="12">
    <w:name w:val="toc 3"/>
    <w:basedOn w:val="1"/>
    <w:next w:val="1"/>
    <w:semiHidden/>
    <w:qFormat/>
    <w:uiPriority w:val="99"/>
    <w:pPr>
      <w:tabs>
        <w:tab w:val="right" w:leader="dot" w:pos="8777"/>
      </w:tabs>
      <w:spacing w:line="500" w:lineRule="atLeast"/>
      <w:ind w:left="540" w:leftChars="257"/>
    </w:pPr>
  </w:style>
  <w:style w:type="paragraph" w:styleId="13">
    <w:name w:val="Plain Text"/>
    <w:basedOn w:val="1"/>
    <w:next w:val="1"/>
    <w:link w:val="44"/>
    <w:qFormat/>
    <w:uiPriority w:val="99"/>
    <w:pPr>
      <w:widowControl/>
      <w:overflowPunct w:val="0"/>
      <w:autoSpaceDE w:val="0"/>
      <w:autoSpaceDN w:val="0"/>
      <w:adjustRightInd w:val="0"/>
      <w:jc w:val="left"/>
      <w:textAlignment w:val="baseline"/>
    </w:pPr>
    <w:rPr>
      <w:rFonts w:ascii="宋体" w:hAnsi="Courier New" w:cs="宋体"/>
      <w:kern w:val="0"/>
    </w:rPr>
  </w:style>
  <w:style w:type="paragraph" w:styleId="14">
    <w:name w:val="Body Text Indent 2"/>
    <w:basedOn w:val="1"/>
    <w:link w:val="45"/>
    <w:qFormat/>
    <w:uiPriority w:val="99"/>
    <w:pPr>
      <w:widowControl/>
      <w:spacing w:line="480" w:lineRule="atLeast"/>
      <w:ind w:firstLine="480"/>
    </w:pPr>
    <w:rPr>
      <w:rFonts w:ascii="宋体" w:hAnsi="宋体" w:eastAsia="仿宋_GB2312" w:cs="宋体"/>
      <w:b/>
      <w:bCs/>
      <w:color w:val="000000"/>
      <w:kern w:val="0"/>
      <w:sz w:val="24"/>
      <w:szCs w:val="24"/>
    </w:rPr>
  </w:style>
  <w:style w:type="paragraph" w:styleId="15">
    <w:name w:val="Balloon Text"/>
    <w:basedOn w:val="1"/>
    <w:link w:val="46"/>
    <w:semiHidden/>
    <w:qFormat/>
    <w:uiPriority w:val="99"/>
    <w:rPr>
      <w:sz w:val="18"/>
      <w:szCs w:val="18"/>
    </w:rPr>
  </w:style>
  <w:style w:type="paragraph" w:styleId="16">
    <w:name w:val="footer"/>
    <w:basedOn w:val="1"/>
    <w:link w:val="47"/>
    <w:qFormat/>
    <w:uiPriority w:val="0"/>
    <w:pPr>
      <w:tabs>
        <w:tab w:val="center" w:pos="4153"/>
        <w:tab w:val="right" w:pos="8306"/>
      </w:tabs>
      <w:snapToGrid w:val="0"/>
      <w:jc w:val="left"/>
    </w:pPr>
    <w:rPr>
      <w:sz w:val="18"/>
      <w:szCs w:val="18"/>
    </w:rPr>
  </w:style>
  <w:style w:type="paragraph" w:styleId="17">
    <w:name w:val="header"/>
    <w:basedOn w:val="1"/>
    <w:link w:val="48"/>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right" w:leader="dot" w:pos="8777"/>
      </w:tabs>
      <w:spacing w:line="500" w:lineRule="exact"/>
      <w:jc w:val="left"/>
    </w:pPr>
  </w:style>
  <w:style w:type="paragraph" w:styleId="19">
    <w:name w:val="Subtitle"/>
    <w:basedOn w:val="1"/>
    <w:next w:val="1"/>
    <w:link w:val="49"/>
    <w:qFormat/>
    <w:uiPriority w:val="99"/>
    <w:pPr>
      <w:spacing w:before="240" w:after="60" w:line="312" w:lineRule="auto"/>
      <w:jc w:val="center"/>
      <w:outlineLvl w:val="1"/>
    </w:pPr>
    <w:rPr>
      <w:rFonts w:ascii="Cambria" w:hAnsi="Cambria" w:cs="Cambria"/>
      <w:b/>
      <w:bCs/>
      <w:kern w:val="28"/>
      <w:sz w:val="32"/>
      <w:szCs w:val="32"/>
    </w:rPr>
  </w:style>
  <w:style w:type="paragraph" w:styleId="20">
    <w:name w:val="toc 6"/>
    <w:basedOn w:val="1"/>
    <w:next w:val="1"/>
    <w:qFormat/>
    <w:uiPriority w:val="0"/>
    <w:pPr>
      <w:ind w:left="1050"/>
      <w:jc w:val="left"/>
    </w:pPr>
    <w:rPr>
      <w:rFonts w:ascii="Century Gothic" w:hAnsi="Century Gothic"/>
      <w:sz w:val="18"/>
      <w:szCs w:val="18"/>
    </w:rPr>
  </w:style>
  <w:style w:type="paragraph" w:styleId="21">
    <w:name w:val="toc 2"/>
    <w:basedOn w:val="1"/>
    <w:next w:val="1"/>
    <w:semiHidden/>
    <w:qFormat/>
    <w:uiPriority w:val="99"/>
    <w:pPr>
      <w:tabs>
        <w:tab w:val="right" w:leader="dot" w:pos="8777"/>
      </w:tabs>
      <w:spacing w:line="500" w:lineRule="atLeast"/>
      <w:ind w:left="420" w:leftChars="200" w:firstLine="120" w:firstLineChars="50"/>
    </w:pPr>
  </w:style>
  <w:style w:type="paragraph" w:styleId="22">
    <w:name w:val="Normal (Web)"/>
    <w:basedOn w:val="1"/>
    <w:link w:val="80"/>
    <w:qFormat/>
    <w:uiPriority w:val="0"/>
    <w:pPr>
      <w:widowControl/>
      <w:spacing w:before="100" w:beforeAutospacing="1" w:after="100" w:afterAutospacing="1"/>
      <w:jc w:val="left"/>
    </w:pPr>
    <w:rPr>
      <w:rFonts w:ascii="宋体" w:hAnsi="宋体" w:cs="宋体"/>
      <w:kern w:val="0"/>
      <w:sz w:val="24"/>
      <w:szCs w:val="24"/>
    </w:rPr>
  </w:style>
  <w:style w:type="paragraph" w:styleId="23">
    <w:name w:val="Title"/>
    <w:basedOn w:val="1"/>
    <w:next w:val="1"/>
    <w:link w:val="50"/>
    <w:qFormat/>
    <w:uiPriority w:val="0"/>
    <w:pPr>
      <w:spacing w:before="240" w:after="60"/>
      <w:jc w:val="center"/>
      <w:outlineLvl w:val="0"/>
    </w:pPr>
    <w:rPr>
      <w:rFonts w:ascii="Cambria" w:hAnsi="Cambria" w:cs="Cambria"/>
      <w:b/>
      <w:bCs/>
      <w:sz w:val="32"/>
      <w:szCs w:val="32"/>
    </w:rPr>
  </w:style>
  <w:style w:type="paragraph" w:styleId="24">
    <w:name w:val="annotation subject"/>
    <w:basedOn w:val="9"/>
    <w:next w:val="9"/>
    <w:link w:val="51"/>
    <w:semiHidden/>
    <w:qFormat/>
    <w:uiPriority w:val="99"/>
    <w:rPr>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page number"/>
    <w:basedOn w:val="27"/>
    <w:qFormat/>
    <w:uiPriority w:val="0"/>
  </w:style>
  <w:style w:type="character" w:styleId="30">
    <w:name w:val="Emphasis"/>
    <w:basedOn w:val="27"/>
    <w:qFormat/>
    <w:uiPriority w:val="99"/>
    <w:rPr>
      <w:i/>
      <w:iCs/>
    </w:rPr>
  </w:style>
  <w:style w:type="character" w:styleId="31">
    <w:name w:val="Hyperlink"/>
    <w:basedOn w:val="27"/>
    <w:qFormat/>
    <w:uiPriority w:val="99"/>
    <w:rPr>
      <w:color w:val="0000FF"/>
      <w:u w:val="single"/>
    </w:rPr>
  </w:style>
  <w:style w:type="character" w:styleId="32">
    <w:name w:val="annotation reference"/>
    <w:basedOn w:val="27"/>
    <w:semiHidden/>
    <w:qFormat/>
    <w:uiPriority w:val="99"/>
    <w:rPr>
      <w:sz w:val="21"/>
      <w:szCs w:val="21"/>
    </w:rPr>
  </w:style>
  <w:style w:type="paragraph" w:customStyle="1" w:styleId="33">
    <w:name w:val="UserStyle_0"/>
    <w:basedOn w:val="34"/>
    <w:next w:val="35"/>
    <w:qFormat/>
    <w:uiPriority w:val="0"/>
    <w:pPr>
      <w:spacing w:line="420" w:lineRule="atLeast"/>
      <w:jc w:val="left"/>
      <w:textAlignment w:val="baseline"/>
    </w:pPr>
    <w:rPr>
      <w:rFonts w:ascii="Times New Roman" w:hAnsi="Times New Roman"/>
      <w:kern w:val="0"/>
      <w:szCs w:val="24"/>
    </w:rPr>
  </w:style>
  <w:style w:type="paragraph" w:customStyle="1" w:styleId="34">
    <w:name w:val="PlainText"/>
    <w:basedOn w:val="1"/>
    <w:next w:val="1"/>
    <w:qFormat/>
    <w:uiPriority w:val="99"/>
    <w:rPr>
      <w:rFonts w:ascii="宋体" w:hAnsi="Courier New"/>
    </w:rPr>
  </w:style>
  <w:style w:type="paragraph" w:customStyle="1" w:styleId="35">
    <w:name w:val="BodyText"/>
    <w:basedOn w:val="1"/>
    <w:next w:val="36"/>
    <w:qFormat/>
    <w:uiPriority w:val="0"/>
    <w:pPr>
      <w:textAlignment w:val="baseline"/>
    </w:pPr>
    <w:rPr>
      <w:kern w:val="0"/>
      <w:sz w:val="20"/>
      <w:szCs w:val="20"/>
    </w:rPr>
  </w:style>
  <w:style w:type="paragraph" w:customStyle="1" w:styleId="36">
    <w:name w:val="BodyText1I"/>
    <w:basedOn w:val="35"/>
    <w:next w:val="37"/>
    <w:qFormat/>
    <w:uiPriority w:val="0"/>
    <w:pPr>
      <w:spacing w:line="312" w:lineRule="auto"/>
      <w:ind w:firstLine="420"/>
    </w:pPr>
    <w:rPr>
      <w:szCs w:val="24"/>
    </w:rPr>
  </w:style>
  <w:style w:type="paragraph" w:customStyle="1" w:styleId="37">
    <w:name w:val="TOC6"/>
    <w:basedOn w:val="1"/>
    <w:next w:val="1"/>
    <w:qFormat/>
    <w:uiPriority w:val="0"/>
    <w:pPr>
      <w:ind w:left="1050"/>
      <w:jc w:val="left"/>
      <w:textAlignment w:val="baseline"/>
    </w:pPr>
    <w:rPr>
      <w:rFonts w:ascii="Century Gothic" w:hAnsi="Century Gothic"/>
      <w:sz w:val="18"/>
      <w:szCs w:val="18"/>
    </w:rPr>
  </w:style>
  <w:style w:type="character" w:customStyle="1" w:styleId="38">
    <w:name w:val="标题 1 Char"/>
    <w:basedOn w:val="27"/>
    <w:link w:val="4"/>
    <w:qFormat/>
    <w:locked/>
    <w:uiPriority w:val="0"/>
    <w:rPr>
      <w:b/>
      <w:bCs/>
      <w:kern w:val="44"/>
      <w:sz w:val="44"/>
      <w:szCs w:val="44"/>
    </w:rPr>
  </w:style>
  <w:style w:type="character" w:customStyle="1" w:styleId="39">
    <w:name w:val="标题 2 Char"/>
    <w:basedOn w:val="27"/>
    <w:link w:val="5"/>
    <w:qFormat/>
    <w:locked/>
    <w:uiPriority w:val="99"/>
    <w:rPr>
      <w:rFonts w:ascii="Arial" w:hAnsi="Arial" w:eastAsia="黑体" w:cs="Arial"/>
      <w:b/>
      <w:bCs/>
      <w:kern w:val="2"/>
      <w:sz w:val="32"/>
      <w:szCs w:val="32"/>
    </w:rPr>
  </w:style>
  <w:style w:type="character" w:customStyle="1" w:styleId="40">
    <w:name w:val="正文文本 Char"/>
    <w:basedOn w:val="27"/>
    <w:link w:val="10"/>
    <w:semiHidden/>
    <w:qFormat/>
    <w:locked/>
    <w:uiPriority w:val="99"/>
    <w:rPr>
      <w:sz w:val="21"/>
      <w:szCs w:val="21"/>
    </w:rPr>
  </w:style>
  <w:style w:type="character" w:customStyle="1" w:styleId="41">
    <w:name w:val="正文首行缩进 Char"/>
    <w:basedOn w:val="40"/>
    <w:link w:val="11"/>
    <w:semiHidden/>
    <w:qFormat/>
    <w:locked/>
    <w:uiPriority w:val="99"/>
    <w:rPr>
      <w:sz w:val="21"/>
      <w:szCs w:val="21"/>
    </w:rPr>
  </w:style>
  <w:style w:type="character" w:customStyle="1" w:styleId="42">
    <w:name w:val="批注文字 Char"/>
    <w:basedOn w:val="27"/>
    <w:link w:val="9"/>
    <w:semiHidden/>
    <w:qFormat/>
    <w:locked/>
    <w:uiPriority w:val="99"/>
    <w:rPr>
      <w:kern w:val="2"/>
      <w:sz w:val="24"/>
      <w:szCs w:val="24"/>
    </w:rPr>
  </w:style>
  <w:style w:type="character" w:customStyle="1" w:styleId="43">
    <w:name w:val="正文文本缩进 Char"/>
    <w:basedOn w:val="27"/>
    <w:link w:val="3"/>
    <w:semiHidden/>
    <w:qFormat/>
    <w:locked/>
    <w:uiPriority w:val="99"/>
    <w:rPr>
      <w:sz w:val="21"/>
      <w:szCs w:val="21"/>
    </w:rPr>
  </w:style>
  <w:style w:type="character" w:customStyle="1" w:styleId="44">
    <w:name w:val="纯文本 Char"/>
    <w:basedOn w:val="27"/>
    <w:link w:val="13"/>
    <w:qFormat/>
    <w:locked/>
    <w:uiPriority w:val="99"/>
    <w:rPr>
      <w:rFonts w:ascii="宋体" w:hAnsi="Courier New" w:eastAsia="宋体" w:cs="宋体"/>
      <w:sz w:val="21"/>
      <w:szCs w:val="21"/>
      <w:lang w:val="en-US" w:eastAsia="zh-CN"/>
    </w:rPr>
  </w:style>
  <w:style w:type="character" w:customStyle="1" w:styleId="45">
    <w:name w:val="正文文本缩进 2 Char"/>
    <w:basedOn w:val="27"/>
    <w:link w:val="14"/>
    <w:qFormat/>
    <w:locked/>
    <w:uiPriority w:val="99"/>
    <w:rPr>
      <w:rFonts w:ascii="宋体" w:hAnsi="宋体" w:eastAsia="仿宋_GB2312" w:cs="宋体"/>
      <w:b/>
      <w:bCs/>
      <w:color w:val="000000"/>
      <w:sz w:val="24"/>
      <w:szCs w:val="24"/>
    </w:rPr>
  </w:style>
  <w:style w:type="character" w:customStyle="1" w:styleId="46">
    <w:name w:val="批注框文本 Char"/>
    <w:basedOn w:val="27"/>
    <w:link w:val="15"/>
    <w:semiHidden/>
    <w:qFormat/>
    <w:locked/>
    <w:uiPriority w:val="99"/>
    <w:rPr>
      <w:sz w:val="2"/>
      <w:szCs w:val="2"/>
    </w:rPr>
  </w:style>
  <w:style w:type="character" w:customStyle="1" w:styleId="47">
    <w:name w:val="页脚 Char"/>
    <w:basedOn w:val="27"/>
    <w:link w:val="16"/>
    <w:qFormat/>
    <w:locked/>
    <w:uiPriority w:val="0"/>
    <w:rPr>
      <w:kern w:val="2"/>
      <w:sz w:val="18"/>
      <w:szCs w:val="18"/>
    </w:rPr>
  </w:style>
  <w:style w:type="character" w:customStyle="1" w:styleId="48">
    <w:name w:val="页眉 Char"/>
    <w:basedOn w:val="27"/>
    <w:link w:val="17"/>
    <w:qFormat/>
    <w:locked/>
    <w:uiPriority w:val="0"/>
    <w:rPr>
      <w:kern w:val="2"/>
      <w:sz w:val="18"/>
      <w:szCs w:val="18"/>
    </w:rPr>
  </w:style>
  <w:style w:type="character" w:customStyle="1" w:styleId="49">
    <w:name w:val="副标题 Char"/>
    <w:basedOn w:val="27"/>
    <w:link w:val="19"/>
    <w:qFormat/>
    <w:locked/>
    <w:uiPriority w:val="99"/>
    <w:rPr>
      <w:rFonts w:ascii="Cambria" w:hAnsi="Cambria" w:cs="Cambria"/>
      <w:b/>
      <w:bCs/>
      <w:kern w:val="28"/>
      <w:sz w:val="32"/>
      <w:szCs w:val="32"/>
    </w:rPr>
  </w:style>
  <w:style w:type="character" w:customStyle="1" w:styleId="50">
    <w:name w:val="标题 Char"/>
    <w:basedOn w:val="27"/>
    <w:link w:val="23"/>
    <w:qFormat/>
    <w:locked/>
    <w:uiPriority w:val="0"/>
    <w:rPr>
      <w:rFonts w:ascii="Cambria" w:hAnsi="Cambria" w:cs="Cambria"/>
      <w:b/>
      <w:bCs/>
      <w:kern w:val="2"/>
      <w:sz w:val="32"/>
      <w:szCs w:val="32"/>
    </w:rPr>
  </w:style>
  <w:style w:type="character" w:customStyle="1" w:styleId="51">
    <w:name w:val="批注主题 Char"/>
    <w:basedOn w:val="42"/>
    <w:link w:val="24"/>
    <w:semiHidden/>
    <w:qFormat/>
    <w:locked/>
    <w:uiPriority w:val="99"/>
    <w:rPr>
      <w:b/>
      <w:bCs/>
      <w:kern w:val="2"/>
      <w:sz w:val="24"/>
      <w:szCs w:val="24"/>
    </w:rPr>
  </w:style>
  <w:style w:type="character" w:customStyle="1" w:styleId="52">
    <w:name w:val="正文缩进 Char"/>
    <w:link w:val="7"/>
    <w:qFormat/>
    <w:locked/>
    <w:uiPriority w:val="99"/>
    <w:rPr>
      <w:rFonts w:ascii="仿宋_GB2312" w:hAnsi="宋体" w:eastAsia="仿宋_GB2312" w:cs="仿宋_GB2312"/>
      <w:b/>
      <w:bCs/>
      <w:color w:val="000000"/>
      <w:sz w:val="21"/>
      <w:szCs w:val="21"/>
      <w:lang w:val="en-US" w:eastAsia="zh-CN"/>
    </w:rPr>
  </w:style>
  <w:style w:type="character" w:customStyle="1" w:styleId="53">
    <w:name w:val="Char Char5"/>
    <w:qFormat/>
    <w:uiPriority w:val="99"/>
    <w:rPr>
      <w:rFonts w:ascii="Arial" w:hAnsi="Arial" w:eastAsia="宋体" w:cs="Arial"/>
      <w:b/>
      <w:bCs/>
      <w:color w:val="000000"/>
      <w:sz w:val="32"/>
      <w:szCs w:val="32"/>
      <w:lang w:val="en-US" w:eastAsia="zh-CN"/>
    </w:rPr>
  </w:style>
  <w:style w:type="paragraph" w:customStyle="1" w:styleId="54">
    <w:name w:val="p16"/>
    <w:basedOn w:val="1"/>
    <w:qFormat/>
    <w:uiPriority w:val="99"/>
    <w:pPr>
      <w:widowControl/>
    </w:pPr>
    <w:rPr>
      <w:rFonts w:ascii="Calibri" w:hAnsi="Calibri" w:cs="Calibri"/>
      <w:kern w:val="0"/>
    </w:rPr>
  </w:style>
  <w:style w:type="paragraph" w:customStyle="1" w:styleId="55">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6">
    <w:name w:val="Char Char Char Char Char Char Char"/>
    <w:basedOn w:val="1"/>
    <w:qFormat/>
    <w:uiPriority w:val="99"/>
    <w:rPr>
      <w:rFonts w:ascii="仿宋_GB2312" w:eastAsia="仿宋_GB2312" w:cs="仿宋_GB2312"/>
      <w:b/>
      <w:bCs/>
      <w:sz w:val="32"/>
      <w:szCs w:val="32"/>
    </w:rPr>
  </w:style>
  <w:style w:type="paragraph" w:customStyle="1" w:styleId="57">
    <w:name w:val="p15"/>
    <w:basedOn w:val="1"/>
    <w:qFormat/>
    <w:uiPriority w:val="99"/>
    <w:pPr>
      <w:widowControl/>
      <w:ind w:firstLine="420"/>
    </w:pPr>
    <w:rPr>
      <w:rFonts w:ascii="Calibri" w:hAnsi="Calibri" w:cs="Calibri"/>
      <w:kern w:val="0"/>
    </w:rPr>
  </w:style>
  <w:style w:type="paragraph" w:customStyle="1" w:styleId="58">
    <w:name w:val="Char Char"/>
    <w:basedOn w:val="1"/>
    <w:qFormat/>
    <w:uiPriority w:val="99"/>
    <w:pPr>
      <w:spacing w:line="360" w:lineRule="auto"/>
    </w:pPr>
    <w:rPr>
      <w:rFonts w:ascii="Tahoma" w:hAnsi="Tahoma" w:cs="Tahoma"/>
      <w:sz w:val="24"/>
      <w:szCs w:val="24"/>
    </w:rPr>
  </w:style>
  <w:style w:type="paragraph" w:customStyle="1" w:styleId="59">
    <w:name w:val="xl7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b/>
      <w:bCs/>
      <w:kern w:val="0"/>
      <w:sz w:val="28"/>
      <w:szCs w:val="28"/>
    </w:rPr>
  </w:style>
  <w:style w:type="paragraph" w:customStyle="1" w:styleId="60">
    <w:name w:val="[Normal]"/>
    <w:qFormat/>
    <w:uiPriority w:val="99"/>
    <w:rPr>
      <w:rFonts w:ascii="宋体" w:hAnsi="宋体" w:eastAsia="宋体" w:cs="宋体"/>
      <w:sz w:val="24"/>
      <w:szCs w:val="24"/>
      <w:lang w:val="zh-CN" w:eastAsia="zh-CN" w:bidi="ar-SA"/>
    </w:rPr>
  </w:style>
  <w:style w:type="paragraph" w:customStyle="1" w:styleId="61">
    <w:name w:val="列出段落1"/>
    <w:basedOn w:val="1"/>
    <w:qFormat/>
    <w:uiPriority w:val="0"/>
    <w:pPr>
      <w:ind w:firstLine="420" w:firstLineChars="200"/>
    </w:pPr>
  </w:style>
  <w:style w:type="paragraph" w:customStyle="1" w:styleId="62">
    <w:name w:val="纯文本2"/>
    <w:basedOn w:val="1"/>
    <w:qFormat/>
    <w:uiPriority w:val="99"/>
    <w:pPr>
      <w:adjustRightInd w:val="0"/>
      <w:snapToGrid w:val="0"/>
      <w:spacing w:line="288" w:lineRule="auto"/>
      <w:ind w:firstLine="200" w:firstLineChars="200"/>
    </w:pPr>
    <w:rPr>
      <w:rFonts w:ascii="宋体" w:hAnsi="Courier New" w:cs="宋体"/>
    </w:rPr>
  </w:style>
  <w:style w:type="paragraph" w:customStyle="1" w:styleId="63">
    <w:name w:val="正文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4">
    <w:name w:val="Table Paragraph"/>
    <w:basedOn w:val="1"/>
    <w:qFormat/>
    <w:uiPriority w:val="99"/>
    <w:pPr>
      <w:widowControl/>
      <w:autoSpaceDE w:val="0"/>
      <w:autoSpaceDN w:val="0"/>
      <w:spacing w:line="360" w:lineRule="auto"/>
      <w:jc w:val="left"/>
    </w:pPr>
    <w:rPr>
      <w:rFonts w:ascii="宋体" w:hAnsi="宋体" w:cs="宋体"/>
      <w:kern w:val="0"/>
      <w:sz w:val="22"/>
      <w:szCs w:val="22"/>
      <w:lang w:val="zh-CN"/>
    </w:rPr>
  </w:style>
  <w:style w:type="character" w:customStyle="1" w:styleId="65">
    <w:name w:val="纯文本 Char2"/>
    <w:qFormat/>
    <w:uiPriority w:val="0"/>
    <w:rPr>
      <w:rFonts w:ascii="宋体" w:hAnsi="Courier New" w:eastAsia="仿宋_GB2312" w:cs="宋体"/>
      <w:b/>
      <w:bCs/>
      <w:color w:val="000000"/>
      <w:sz w:val="21"/>
      <w:szCs w:val="21"/>
      <w:lang w:val="en-US" w:eastAsia="zh-CN"/>
    </w:rPr>
  </w:style>
  <w:style w:type="character" w:customStyle="1" w:styleId="66">
    <w:name w:val="NormalCharacter"/>
    <w:qFormat/>
    <w:uiPriority w:val="99"/>
  </w:style>
  <w:style w:type="paragraph" w:customStyle="1" w:styleId="67">
    <w:name w:val="列出段落3"/>
    <w:basedOn w:val="1"/>
    <w:qFormat/>
    <w:uiPriority w:val="99"/>
    <w:pPr>
      <w:spacing w:line="360" w:lineRule="auto"/>
      <w:ind w:firstLine="420" w:firstLineChars="200"/>
    </w:pPr>
    <w:rPr>
      <w:rFonts w:ascii="Calibri" w:hAnsi="Calibri" w:cs="Calibri"/>
      <w:sz w:val="24"/>
      <w:szCs w:val="24"/>
    </w:rPr>
  </w:style>
  <w:style w:type="character" w:customStyle="1" w:styleId="68">
    <w:name w:val="纯文本 Char1"/>
    <w:qFormat/>
    <w:uiPriority w:val="99"/>
    <w:rPr>
      <w:rFonts w:ascii="宋体" w:hAnsi="Courier New" w:eastAsia="仿宋_GB2312" w:cs="宋体"/>
      <w:b/>
      <w:bCs/>
      <w:color w:val="000000"/>
    </w:rPr>
  </w:style>
  <w:style w:type="character" w:customStyle="1" w:styleId="69">
    <w:name w:val="skancount"/>
    <w:basedOn w:val="27"/>
    <w:qFormat/>
    <w:uiPriority w:val="99"/>
  </w:style>
  <w:style w:type="character" w:customStyle="1" w:styleId="70">
    <w:name w:val="bookmark-item"/>
    <w:basedOn w:val="27"/>
    <w:qFormat/>
    <w:uiPriority w:val="0"/>
  </w:style>
  <w:style w:type="paragraph" w:customStyle="1" w:styleId="71">
    <w:name w:val="_Style 3"/>
    <w:basedOn w:val="1"/>
    <w:qFormat/>
    <w:uiPriority w:val="99"/>
    <w:pPr>
      <w:ind w:firstLine="420" w:firstLineChars="200"/>
    </w:pPr>
  </w:style>
  <w:style w:type="paragraph" w:customStyle="1" w:styleId="72">
    <w:name w:val="章正文"/>
    <w:basedOn w:val="1"/>
    <w:qFormat/>
    <w:uiPriority w:val="99"/>
    <w:pPr>
      <w:spacing w:beforeLines="50" w:after="120" w:line="300" w:lineRule="auto"/>
      <w:ind w:firstLine="480"/>
    </w:pPr>
    <w:rPr>
      <w:rFonts w:ascii="Helvetica" w:hAnsi="Helvetica" w:cs="Helvetica"/>
      <w:kern w:val="0"/>
      <w:sz w:val="24"/>
      <w:szCs w:val="24"/>
    </w:rPr>
  </w:style>
  <w:style w:type="paragraph" w:customStyle="1" w:styleId="73">
    <w:name w:val="Proposals body"/>
    <w:basedOn w:val="1"/>
    <w:next w:val="1"/>
    <w:qFormat/>
    <w:uiPriority w:val="0"/>
    <w:pPr>
      <w:widowControl/>
      <w:spacing w:line="360" w:lineRule="auto"/>
      <w:jc w:val="left"/>
    </w:pPr>
    <w:rPr>
      <w:rFonts w:ascii="宋体" w:cs="宋体"/>
      <w:color w:val="000000"/>
      <w:kern w:val="0"/>
      <w:sz w:val="24"/>
      <w:szCs w:val="24"/>
    </w:rPr>
  </w:style>
  <w:style w:type="character" w:customStyle="1" w:styleId="74">
    <w:name w:val="标题 3 Char"/>
    <w:basedOn w:val="27"/>
    <w:link w:val="6"/>
    <w:qFormat/>
    <w:uiPriority w:val="9"/>
    <w:rPr>
      <w:rFonts w:ascii="Calibri" w:hAnsi="Calibri"/>
      <w:b/>
      <w:bCs/>
      <w:sz w:val="32"/>
      <w:szCs w:val="32"/>
    </w:rPr>
  </w:style>
  <w:style w:type="paragraph" w:customStyle="1" w:styleId="75">
    <w:name w:val="列出段落11"/>
    <w:basedOn w:val="1"/>
    <w:qFormat/>
    <w:uiPriority w:val="0"/>
    <w:pPr>
      <w:ind w:firstLine="420" w:firstLineChars="200"/>
    </w:pPr>
    <w:rPr>
      <w:szCs w:val="24"/>
    </w:rPr>
  </w:style>
  <w:style w:type="character" w:customStyle="1" w:styleId="76">
    <w:name w:val="font01"/>
    <w:basedOn w:val="27"/>
    <w:qFormat/>
    <w:uiPriority w:val="0"/>
    <w:rPr>
      <w:rFonts w:hint="eastAsia" w:ascii="宋体" w:hAnsi="宋体" w:eastAsia="宋体" w:cs="宋体"/>
      <w:color w:val="000000"/>
      <w:sz w:val="18"/>
      <w:szCs w:val="18"/>
      <w:u w:val="none"/>
    </w:rPr>
  </w:style>
  <w:style w:type="character" w:customStyle="1" w:styleId="77">
    <w:name w:val="font41"/>
    <w:basedOn w:val="27"/>
    <w:qFormat/>
    <w:uiPriority w:val="0"/>
    <w:rPr>
      <w:rFonts w:hint="default" w:ascii="Times New Roman" w:hAnsi="Times New Roman" w:cs="Times New Roman"/>
      <w:color w:val="000000"/>
      <w:sz w:val="18"/>
      <w:szCs w:val="18"/>
      <w:u w:val="none"/>
    </w:rPr>
  </w:style>
  <w:style w:type="character" w:customStyle="1" w:styleId="78">
    <w:name w:val="font31"/>
    <w:basedOn w:val="27"/>
    <w:qFormat/>
    <w:uiPriority w:val="0"/>
    <w:rPr>
      <w:rFonts w:hint="default" w:ascii="Times New Roman" w:hAnsi="Times New Roman" w:cs="Times New Roman"/>
      <w:color w:val="000000"/>
      <w:sz w:val="18"/>
      <w:szCs w:val="18"/>
      <w:u w:val="none"/>
    </w:rPr>
  </w:style>
  <w:style w:type="character" w:customStyle="1" w:styleId="79">
    <w:name w:val="标题 字符"/>
    <w:qFormat/>
    <w:uiPriority w:val="0"/>
    <w:rPr>
      <w:rFonts w:ascii="Arial" w:hAnsi="Arial" w:cs="Arial"/>
      <w:b/>
      <w:bCs/>
      <w:color w:val="000000"/>
      <w:sz w:val="32"/>
      <w:szCs w:val="32"/>
    </w:rPr>
  </w:style>
  <w:style w:type="character" w:customStyle="1" w:styleId="80">
    <w:name w:val="普通(网站) Char"/>
    <w:link w:val="22"/>
    <w:qFormat/>
    <w:uiPriority w:val="0"/>
    <w:rPr>
      <w:rFonts w:ascii="宋体" w:hAnsi="宋体" w:cs="宋体"/>
      <w:kern w:val="0"/>
      <w:sz w:val="24"/>
      <w:szCs w:val="24"/>
    </w:rPr>
  </w:style>
  <w:style w:type="paragraph" w:customStyle="1" w:styleId="81">
    <w:name w:val="AnnotationText"/>
    <w:basedOn w:val="1"/>
    <w:qFormat/>
    <w:uiPriority w:val="0"/>
    <w:pPr>
      <w:jc w:val="left"/>
      <w:textAlignment w:val="baseline"/>
    </w:pPr>
  </w:style>
  <w:style w:type="paragraph" w:customStyle="1" w:styleId="82">
    <w:name w:val="Plain Text1"/>
    <w:basedOn w:val="1"/>
    <w:qFormat/>
    <w:uiPriority w:val="0"/>
    <w:rPr>
      <w:rFonts w:ascii="宋体" w:hAnsi="Courier New"/>
      <w:szCs w:val="20"/>
    </w:rPr>
  </w:style>
  <w:style w:type="paragraph" w:customStyle="1" w:styleId="83">
    <w:name w:val="表格文字"/>
    <w:basedOn w:val="13"/>
    <w:next w:val="10"/>
    <w:qFormat/>
    <w:uiPriority w:val="99"/>
    <w:pPr>
      <w:spacing w:line="420" w:lineRule="atLeast"/>
    </w:pPr>
    <w:rPr>
      <w:rFonts w:ascii="Times New Roman" w:hAnsi="Times New Roman"/>
      <w:szCs w:val="24"/>
    </w:rPr>
  </w:style>
  <w:style w:type="paragraph" w:customStyle="1" w:styleId="84">
    <w:name w:val="Normal Indent"/>
    <w:basedOn w:val="1"/>
    <w:qFormat/>
    <w:uiPriority w:val="0"/>
    <w:pPr>
      <w:widowControl/>
      <w:ind w:firstLine="420"/>
      <w:jc w:val="left"/>
    </w:pPr>
    <w:rPr>
      <w:rFonts w:ascii="Times New Roman" w:hAnsi="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wmf"/><Relationship Id="rId16" Type="http://schemas.openxmlformats.org/officeDocument/2006/relationships/image" Target="media/image1.wmf"/><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tuxin</Company>
  <Pages>86</Pages>
  <Words>9056</Words>
  <Characters>51621</Characters>
  <Lines>430</Lines>
  <Paragraphs>121</Paragraphs>
  <TotalTime>14</TotalTime>
  <ScaleCrop>false</ScaleCrop>
  <LinksUpToDate>false</LinksUpToDate>
  <CharactersWithSpaces>60556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2021-01-13T07:54:00Z</dcterms:created>
  <dc:creator>雨林木风</dc:creator>
  <cp:lastModifiedBy>陈陈</cp:lastModifiedBy>
  <cp:lastPrinted>2021-11-22T04:52:00Z</cp:lastPrinted>
  <dcterms:modified xsi:type="dcterms:W3CDTF">2021-12-02T08:25:02Z</dcterms:modified>
  <dc:title>投标须知前附表</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03B715DFF07D4FB1B707C5008109EEC3</vt:lpwstr>
  </property>
</Properties>
</file>