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钱塘区建设工程质量安全监督检测项目-起重机械检测</w:t>
      </w: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编号:QTCG-GK-2023-10</w:t>
      </w:r>
      <w:r>
        <w:rPr>
          <w:rFonts w:hint="eastAsia" w:ascii="仿宋" w:hAnsi="仿宋" w:eastAsia="仿宋" w:cs="仿宋"/>
          <w:color w:val="auto"/>
          <w:sz w:val="30"/>
          <w:szCs w:val="30"/>
          <w:highlight w:val="none"/>
          <w:lang w:val="en-US" w:eastAsia="zh-CN"/>
        </w:rPr>
        <w:t>7</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pStyle w:val="23"/>
        <w:rPr>
          <w:rFonts w:hint="eastAsia" w:ascii="仿宋" w:hAnsi="仿宋" w:eastAsia="仿宋" w:cs="仿宋"/>
          <w:b/>
          <w:color w:val="auto"/>
          <w:sz w:val="44"/>
          <w:szCs w:val="44"/>
          <w:highlight w:val="none"/>
        </w:rPr>
      </w:pPr>
    </w:p>
    <w:p>
      <w:pPr>
        <w:pStyle w:val="24"/>
        <w:rPr>
          <w:rFonts w:hint="eastAsia" w:ascii="仿宋" w:hAnsi="仿宋" w:eastAsia="仿宋" w:cs="仿宋"/>
          <w:b/>
          <w:color w:val="auto"/>
          <w:sz w:val="44"/>
          <w:szCs w:val="44"/>
          <w:highlight w:val="none"/>
        </w:rPr>
      </w:pPr>
    </w:p>
    <w:p>
      <w:pPr>
        <w:pStyle w:val="24"/>
        <w:rPr>
          <w:rFonts w:hint="eastAsia" w:ascii="仿宋" w:hAnsi="仿宋" w:eastAsia="仿宋" w:cs="仿宋"/>
          <w:b/>
          <w:color w:val="auto"/>
          <w:sz w:val="44"/>
          <w:szCs w:val="44"/>
          <w:highlight w:val="none"/>
        </w:rPr>
      </w:pPr>
    </w:p>
    <w:p>
      <w:pPr>
        <w:pStyle w:val="24"/>
        <w:rPr>
          <w:rFonts w:hint="eastAsia" w:ascii="仿宋" w:hAnsi="仿宋" w:eastAsia="仿宋" w:cs="仿宋"/>
          <w:b/>
          <w:color w:val="auto"/>
          <w:sz w:val="44"/>
          <w:szCs w:val="44"/>
          <w:highlight w:val="none"/>
        </w:rPr>
      </w:pPr>
    </w:p>
    <w:p>
      <w:pPr>
        <w:pStyle w:val="24"/>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杭州市钱塘区住房和城乡建设局</w:t>
      </w: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融华工程管理有限公司</w:t>
      </w:r>
    </w:p>
    <w:p>
      <w:pPr>
        <w:spacing w:line="360" w:lineRule="auto"/>
        <w:jc w:val="center"/>
        <w:rPr>
          <w:rFonts w:hint="eastAsia" w:ascii="仿宋" w:hAnsi="仿宋" w:eastAsia="仿宋" w:cs="仿宋"/>
          <w:color w:val="auto"/>
          <w:sz w:val="24"/>
          <w:highlight w:val="none"/>
          <w:lang w:val="en-US" w:eastAsia="zh-CN"/>
        </w:rPr>
        <w:sectPr>
          <w:headerReference r:id="rId4" w:type="first"/>
          <w:headerReference r:id="rId3" w:type="default"/>
          <w:footerReference r:id="rId5" w:type="even"/>
          <w:pgSz w:w="11906" w:h="16838"/>
          <w:pgMar w:top="1417" w:right="1418" w:bottom="1417" w:left="1418" w:header="851" w:footer="992" w:gutter="0"/>
          <w:pgNumType w:fmt="decimal"/>
          <w:cols w:space="720" w:num="1"/>
          <w:titlePg/>
          <w:docGrid w:linePitch="312" w:charSpace="0"/>
        </w:sect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四月</w:t>
      </w:r>
    </w:p>
    <w:p>
      <w:pPr>
        <w:pStyle w:val="24"/>
        <w:ind w:left="0" w:leftChars="0" w:firstLine="0" w:firstLineChars="0"/>
        <w:rPr>
          <w:rFonts w:hint="eastAsia"/>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1"/>
      <w:bookmarkStart w:id="2" w:name="_Hlt74728647"/>
      <w:bookmarkEnd w:id="2"/>
      <w:bookmarkStart w:id="3" w:name="_Hlt74649545"/>
      <w:bookmarkEnd w:id="3"/>
      <w:bookmarkStart w:id="4" w:name="_Hlt74707423"/>
      <w:bookmarkEnd w:id="4"/>
      <w:bookmarkStart w:id="5" w:name="_Hlt74729822"/>
      <w:bookmarkEnd w:id="5"/>
      <w:bookmarkStart w:id="6" w:name="_Toc91899870"/>
      <w:bookmarkStart w:id="7" w:name="_Toc91899871"/>
      <w:r>
        <w:rPr>
          <w:rFonts w:hint="eastAsia" w:ascii="仿宋" w:hAnsi="仿宋" w:eastAsia="仿宋" w:cs="仿宋"/>
          <w:b/>
          <w:color w:val="auto"/>
          <w:sz w:val="36"/>
          <w:szCs w:val="20"/>
          <w:highlight w:val="none"/>
        </w:rPr>
        <w:t>第一部分 招标公告</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Layout w:type="fixed"/>
        <w:tblCellMar>
          <w:top w:w="0" w:type="dxa"/>
          <w:left w:w="108" w:type="dxa"/>
          <w:bottom w:w="0" w:type="dxa"/>
          <w:right w:w="108" w:type="dxa"/>
        </w:tblCellMar>
      </w:tblPr>
      <w:tblGrid>
        <w:gridCol w:w="9684"/>
      </w:tblGrid>
      <w:tr>
        <w:tblPrEx>
          <w:tblBorders>
            <w:top w:val="single" w:color="auto" w:sz="12" w:space="0"/>
            <w:left w:val="single" w:color="auto" w:sz="12" w:space="0"/>
            <w:bottom w:val="single" w:color="auto" w:sz="12" w:space="0"/>
            <w:right w:val="single" w:color="auto" w:sz="12" w:space="0"/>
            <w:insideH w:val="single" w:color="auto" w:sz="36" w:space="0"/>
            <w:insideV w:val="none" w:color="auto" w:sz="0" w:space="0"/>
          </w:tblBorders>
          <w:tblCellMar>
            <w:top w:w="0" w:type="dxa"/>
            <w:left w:w="108" w:type="dxa"/>
            <w:bottom w:w="0" w:type="dxa"/>
            <w:right w:w="108" w:type="dxa"/>
          </w:tblCellMar>
        </w:tblPrEx>
        <w:trPr>
          <w:trHeight w:val="1413" w:hRule="atLeast"/>
        </w:trPr>
        <w:tc>
          <w:tcPr>
            <w:tcW w:w="9684" w:type="dxa"/>
            <w:noWrap w:val="0"/>
            <w:vAlign w:val="top"/>
          </w:tcPr>
          <w:p>
            <w:pPr>
              <w:pStyle w:val="784"/>
              <w:widowControl w:val="0"/>
              <w:spacing w:line="460" w:lineRule="exact"/>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pPr>
              <w:pStyle w:val="784"/>
              <w:widowControl w:val="0"/>
              <w:spacing w:line="460" w:lineRule="exact"/>
              <w:ind w:firstLine="482"/>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eastAsia="zh-CN"/>
              </w:rPr>
              <w:t>钱塘区建设工程质量安全监督检测项目-起重机械检测</w:t>
            </w:r>
            <w:r>
              <w:rPr>
                <w:rFonts w:hint="eastAsia" w:ascii="仿宋" w:hAnsi="仿宋" w:eastAsia="仿宋" w:cs="仿宋"/>
                <w:bCs/>
                <w:color w:val="auto"/>
                <w:sz w:val="24"/>
                <w:szCs w:val="24"/>
                <w:highlight w:val="none"/>
              </w:rPr>
              <w:t>的潜在投标人应在政采云平台（www.zcygov.cn）获取（下载）招标文件，并于</w:t>
            </w:r>
            <w:r>
              <w:rPr>
                <w:rFonts w:hint="eastAsia" w:ascii="仿宋" w:hAnsi="仿宋" w:eastAsia="仿宋" w:cs="仿宋"/>
                <w:bCs/>
                <w:color w:val="auto"/>
                <w:sz w:val="24"/>
                <w:szCs w:val="24"/>
                <w:highlight w:val="none"/>
                <w:lang w:val="en-US" w:eastAsia="zh-CN"/>
              </w:rPr>
              <w:t xml:space="preserve">2023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rPr>
              <w:t>日 0</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0（北京时间）前递交（上传）投标文件。</w:t>
            </w:r>
          </w:p>
        </w:tc>
      </w:tr>
    </w:tbl>
    <w:p>
      <w:pPr>
        <w:pStyle w:val="784"/>
        <w:widowControl w:val="0"/>
        <w:spacing w:line="360" w:lineRule="auto"/>
        <w:ind w:firstLine="482"/>
        <w:rPr>
          <w:rFonts w:hint="eastAsia" w:ascii="仿宋" w:hAnsi="仿宋" w:eastAsia="仿宋" w:cs="仿宋"/>
          <w:bCs/>
          <w:color w:val="auto"/>
          <w:sz w:val="24"/>
          <w:szCs w:val="24"/>
          <w:highlight w:val="none"/>
        </w:rPr>
      </w:pPr>
    </w:p>
    <w:p>
      <w:pPr>
        <w:pStyle w:val="784"/>
        <w:widowControl w:val="0"/>
        <w:spacing w:line="360" w:lineRule="auto"/>
        <w:rPr>
          <w:rFonts w:hint="eastAsia" w:ascii="仿宋" w:hAnsi="仿宋" w:eastAsia="仿宋" w:cs="仿宋"/>
          <w:b/>
          <w:bCs/>
          <w:color w:val="auto"/>
          <w:sz w:val="24"/>
          <w:szCs w:val="24"/>
          <w:highlight w:val="none"/>
        </w:rPr>
      </w:pPr>
      <w:bookmarkStart w:id="8" w:name="_Toc28359002"/>
      <w:bookmarkStart w:id="9" w:name="_Toc35393790"/>
      <w:bookmarkStart w:id="10" w:name="_Toc28359079"/>
      <w:bookmarkStart w:id="11" w:name="_Toc35393621"/>
      <w:bookmarkStart w:id="12" w:name="_Hlk24379207"/>
      <w:r>
        <w:rPr>
          <w:rFonts w:hint="eastAsia" w:ascii="仿宋" w:hAnsi="仿宋" w:eastAsia="仿宋" w:cs="仿宋"/>
          <w:b/>
          <w:bCs/>
          <w:color w:val="auto"/>
          <w:sz w:val="24"/>
          <w:szCs w:val="24"/>
          <w:highlight w:val="none"/>
        </w:rPr>
        <w:t>一、项目基本情况</w:t>
      </w:r>
      <w:bookmarkEnd w:id="8"/>
      <w:bookmarkEnd w:id="9"/>
      <w:bookmarkEnd w:id="10"/>
      <w:bookmarkEnd w:id="11"/>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项目编号：QTCG-GK-2023-10</w:t>
      </w:r>
      <w:r>
        <w:rPr>
          <w:rFonts w:hint="eastAsia" w:ascii="仿宋" w:hAnsi="仿宋" w:eastAsia="仿宋" w:cs="仿宋"/>
          <w:color w:val="auto"/>
          <w:sz w:val="24"/>
          <w:szCs w:val="24"/>
          <w:highlight w:val="none"/>
          <w:lang w:val="en-US" w:eastAsia="zh-CN"/>
        </w:rPr>
        <w:t>7</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12"/>
      <w:r>
        <w:rPr>
          <w:rFonts w:hint="eastAsia" w:ascii="仿宋" w:hAnsi="仿宋" w:eastAsia="仿宋" w:cs="仿宋"/>
          <w:color w:val="auto"/>
          <w:sz w:val="24"/>
          <w:szCs w:val="24"/>
          <w:highlight w:val="none"/>
          <w:lang w:eastAsia="zh-CN"/>
        </w:rPr>
        <w:t>钱塘区建设工程质量安全监督检测项目-起重机械检测</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500000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250000，250000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spacing w:line="360" w:lineRule="auto"/>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钱塘区建设工程质量安全监督检测项目</w:t>
      </w:r>
      <w:r>
        <w:rPr>
          <w:rFonts w:hint="eastAsia" w:ascii="仿宋" w:hAnsi="仿宋" w:eastAsia="仿宋" w:cs="仿宋"/>
          <w:color w:val="auto"/>
          <w:sz w:val="24"/>
          <w:szCs w:val="24"/>
          <w:highlight w:val="none"/>
          <w:lang w:val="en-US" w:eastAsia="zh-CN"/>
        </w:rPr>
        <w:t>-起重机械检测标项1</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250000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简要规格描述或项目基本概况介绍、用途：起重机械检测</w:t>
      </w:r>
      <w:r>
        <w:rPr>
          <w:rFonts w:hint="eastAsia" w:ascii="仿宋" w:hAnsi="仿宋" w:eastAsia="仿宋" w:cs="仿宋"/>
          <w:color w:val="auto"/>
          <w:sz w:val="24"/>
          <w:szCs w:val="24"/>
          <w:highlight w:val="none"/>
          <w:lang w:val="en-US" w:eastAsia="zh-CN"/>
        </w:rPr>
        <w:t>等，具体详见招标文件第三部分采购需求。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u w:val="none"/>
          <w:lang w:val="en-US" w:eastAsia="zh-CN"/>
        </w:rPr>
        <w:t>/</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钱塘区建设工程质量安全监督检测项目</w:t>
      </w:r>
      <w:r>
        <w:rPr>
          <w:rFonts w:hint="eastAsia" w:ascii="仿宋" w:hAnsi="仿宋" w:eastAsia="仿宋" w:cs="仿宋"/>
          <w:color w:val="auto"/>
          <w:sz w:val="24"/>
          <w:szCs w:val="24"/>
          <w:highlight w:val="none"/>
          <w:lang w:val="en-US" w:eastAsia="zh-CN"/>
        </w:rPr>
        <w:t>-起重机械检测标项2</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250000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简要规格描述或项目基本概况介绍、用途：起重机械检测</w:t>
      </w:r>
      <w:r>
        <w:rPr>
          <w:rFonts w:hint="eastAsia" w:ascii="仿宋" w:hAnsi="仿宋" w:eastAsia="仿宋" w:cs="仿宋"/>
          <w:color w:val="auto"/>
          <w:sz w:val="24"/>
          <w:szCs w:val="24"/>
          <w:highlight w:val="none"/>
          <w:lang w:val="en-US" w:eastAsia="zh-CN"/>
        </w:rPr>
        <w:t>等，具体详见招标文件第三部分采购需求。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r>
        <w:rPr>
          <w:rFonts w:hint="eastAsia" w:ascii="仿宋" w:hAnsi="仿宋" w:eastAsia="仿宋" w:cs="仿宋"/>
          <w:i w:val="0"/>
          <w:iCs w:val="0"/>
          <w:color w:val="auto"/>
          <w:sz w:val="24"/>
          <w:szCs w:val="24"/>
          <w:highlight w:val="none"/>
          <w:u w:val="none"/>
          <w:lang w:val="en-US" w:eastAsia="zh-CN"/>
        </w:rPr>
        <w:t>/</w:t>
      </w:r>
    </w:p>
    <w:p>
      <w:pPr>
        <w:spacing w:line="360" w:lineRule="auto"/>
        <w:ind w:firstLine="482" w:firstLineChars="200"/>
        <w:rPr>
          <w:rFonts w:hint="eastAsia" w:ascii="仿宋" w:hAnsi="仿宋" w:eastAsia="仿宋" w:cs="仿宋"/>
          <w:b/>
          <w:bCs/>
          <w:color w:val="auto"/>
          <w:sz w:val="24"/>
          <w:szCs w:val="24"/>
          <w:highlight w:val="none"/>
        </w:rPr>
      </w:pP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合同履行期限：标项 1、2，自合同签订之日起一年。</w:t>
      </w:r>
    </w:p>
    <w:p>
      <w:pPr>
        <w:spacing w:line="360" w:lineRule="auto"/>
        <w:ind w:firstLine="482" w:firstLineChars="200"/>
        <w:rPr>
          <w:rFonts w:hint="eastAsia" w:ascii="仿宋" w:hAnsi="仿宋" w:eastAsia="仿宋" w:cs="仿宋"/>
          <w:b/>
          <w:bCs/>
          <w:color w:val="auto"/>
          <w:sz w:val="24"/>
          <w:szCs w:val="24"/>
          <w:highlight w:val="none"/>
        </w:rPr>
      </w:pPr>
      <w:bookmarkStart w:id="13" w:name="_Toc35393622"/>
      <w:bookmarkStart w:id="14" w:name="_Toc28359080"/>
      <w:bookmarkStart w:id="15" w:name="_Toc35393791"/>
      <w:bookmarkStart w:id="16" w:name="_Toc28359003"/>
      <w:r>
        <w:rPr>
          <w:rFonts w:hint="eastAsia" w:ascii="仿宋" w:hAnsi="仿宋" w:eastAsia="仿宋" w:cs="仿宋"/>
          <w:b/>
          <w:bCs/>
          <w:color w:val="auto"/>
          <w:sz w:val="24"/>
          <w:szCs w:val="24"/>
          <w:highlight w:val="none"/>
        </w:rPr>
        <w:t>本项目接受联合体投标：</w:t>
      </w:r>
      <w:r>
        <w:rPr>
          <w:rFonts w:hint="eastAsia" w:ascii="仿宋" w:hAnsi="仿宋" w:eastAsia="仿宋" w:cs="仿宋"/>
          <w:b/>
          <w:bCs/>
          <w:color w:val="auto"/>
          <w:sz w:val="24"/>
          <w:szCs w:val="24"/>
          <w:highlight w:val="none"/>
        </w:rPr>
        <w:sym w:font="Wingdings 2" w:char="0052"/>
      </w:r>
      <w:r>
        <w:rPr>
          <w:rFonts w:hint="eastAsia" w:ascii="仿宋" w:hAnsi="仿宋" w:eastAsia="仿宋" w:cs="仿宋"/>
          <w:b/>
          <w:bCs/>
          <w:color w:val="auto"/>
          <w:sz w:val="24"/>
          <w:szCs w:val="24"/>
          <w:highlight w:val="none"/>
        </w:rPr>
        <w:t>是，</w:t>
      </w:r>
      <w:r>
        <w:rPr>
          <w:rFonts w:hint="eastAsia" w:ascii="仿宋" w:hAnsi="仿宋" w:eastAsia="仿宋" w:cs="仿宋"/>
          <w:b/>
          <w:bCs/>
          <w:color w:val="auto"/>
          <w:sz w:val="24"/>
          <w:szCs w:val="24"/>
          <w:highlight w:val="none"/>
        </w:rPr>
        <w:sym w:font="Wingdings 2" w:char="00A3"/>
      </w:r>
      <w:r>
        <w:rPr>
          <w:rFonts w:hint="eastAsia" w:ascii="仿宋" w:hAnsi="仿宋" w:eastAsia="仿宋" w:cs="仿宋"/>
          <w:b/>
          <w:bCs/>
          <w:color w:val="auto"/>
          <w:sz w:val="24"/>
          <w:szCs w:val="24"/>
          <w:highlight w:val="none"/>
        </w:rPr>
        <w:t>否。</w:t>
      </w:r>
    </w:p>
    <w:p>
      <w:pPr>
        <w:pStyle w:val="15"/>
        <w:snapToGrid/>
        <w:spacing w:line="360" w:lineRule="auto"/>
        <w:ind w:firstLine="480"/>
        <w:rPr>
          <w:rFonts w:hint="eastAsia" w:ascii="仿宋" w:hAnsi="仿宋" w:eastAsia="仿宋" w:cs="仿宋"/>
          <w:b/>
          <w:color w:val="auto"/>
          <w:sz w:val="24"/>
          <w:szCs w:val="24"/>
          <w:highlight w:val="none"/>
        </w:rPr>
      </w:pPr>
    </w:p>
    <w:p>
      <w:pPr>
        <w:pStyle w:val="784"/>
        <w:widowControl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bookmarkEnd w:id="13"/>
      <w:bookmarkEnd w:id="14"/>
      <w:bookmarkEnd w:id="15"/>
      <w:bookmarkEnd w:id="16"/>
    </w:p>
    <w:p>
      <w:pPr>
        <w:adjustRightInd w:val="0"/>
        <w:spacing w:line="360" w:lineRule="auto"/>
        <w:ind w:firstLine="480" w:firstLineChars="200"/>
        <w:rPr>
          <w:rFonts w:hint="eastAsia" w:ascii="仿宋" w:hAnsi="仿宋" w:eastAsia="仿宋" w:cs="仿宋"/>
          <w:color w:val="auto"/>
          <w:sz w:val="24"/>
          <w:szCs w:val="24"/>
          <w:highlight w:val="none"/>
        </w:rPr>
      </w:pPr>
      <w:bookmarkStart w:id="17" w:name="_Toc28359004"/>
      <w:bookmarkStart w:id="18" w:name="_Toc28359081"/>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.落实政府采购政策需满足的资格要求：</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00A3"/>
      </w:r>
      <w:r>
        <w:rPr>
          <w:rFonts w:hint="eastAsia" w:ascii="仿宋" w:hAnsi="仿宋" w:eastAsia="仿宋" w:cs="仿宋"/>
          <w:bCs/>
          <w:color w:val="auto"/>
          <w:sz w:val="24"/>
          <w:szCs w:val="24"/>
          <w:highlight w:val="none"/>
        </w:rPr>
        <w:t>无；</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0052"/>
      </w:r>
      <w:r>
        <w:rPr>
          <w:rFonts w:hint="eastAsia" w:ascii="仿宋" w:hAnsi="仿宋" w:eastAsia="仿宋" w:cs="仿宋"/>
          <w:bCs/>
          <w:color w:val="auto"/>
          <w:sz w:val="24"/>
          <w:szCs w:val="24"/>
          <w:highlight w:val="none"/>
        </w:rPr>
        <w:t>专门面向中小企业</w:t>
      </w:r>
    </w:p>
    <w:p>
      <w:pPr>
        <w:adjustRightInd w:val="0"/>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服务全部由符合政策要求的中小企业承接，提供中小企业声明函；</w:t>
      </w:r>
    </w:p>
    <w:p>
      <w:pPr>
        <w:adjustRightInd w:val="0"/>
        <w:spacing w:line="360" w:lineRule="auto"/>
        <w:ind w:firstLine="897" w:firstLineChars="3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服务全部由符合政策要求的小微企业承接，提供中小企业声明函；</w:t>
      </w:r>
    </w:p>
    <w:p>
      <w:pPr>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sym w:font="Wingdings 2" w:char="00A3"/>
      </w:r>
      <w:r>
        <w:rPr>
          <w:rFonts w:hint="eastAsia" w:ascii="仿宋" w:hAnsi="仿宋" w:eastAsia="仿宋" w:cs="仿宋"/>
          <w:bCs/>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，小微企业合同金额应当达到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☐要求合同分包，提供分包意向协议和中小企业声明函，分包意向协议中中小企业合同金额应当达到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，小微企业合同金额应当达到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；如果供应商本身提供所有标的均由中小企业制造、承建或</w:t>
      </w:r>
      <w:r>
        <w:rPr>
          <w:rFonts w:hint="eastAsia" w:ascii="仿宋" w:hAnsi="仿宋" w:eastAsia="仿宋" w:cs="仿宋"/>
          <w:color w:val="auto"/>
          <w:sz w:val="24"/>
          <w:szCs w:val="24"/>
          <w:highlight w:val="none"/>
        </w:rPr>
        <w:t>承接，视同符合了资格条件，无需再向中小企业分包，无需提供分包意向协议；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784"/>
        <w:widowControl w:val="0"/>
        <w:spacing w:line="360" w:lineRule="auto"/>
        <w:rPr>
          <w:rFonts w:hint="eastAsia" w:ascii="仿宋" w:hAnsi="仿宋" w:eastAsia="仿宋" w:cs="仿宋"/>
          <w:b/>
          <w:bCs/>
          <w:color w:val="auto"/>
          <w:sz w:val="24"/>
          <w:szCs w:val="24"/>
          <w:highlight w:val="none"/>
        </w:rPr>
      </w:pPr>
      <w:bookmarkStart w:id="19" w:name="_Toc35393792"/>
      <w:bookmarkStart w:id="20" w:name="_Toc35393623"/>
      <w:r>
        <w:rPr>
          <w:rFonts w:hint="eastAsia" w:ascii="仿宋" w:hAnsi="仿宋" w:eastAsia="仿宋" w:cs="仿宋"/>
          <w:b/>
          <w:bCs/>
          <w:color w:val="auto"/>
          <w:sz w:val="24"/>
          <w:szCs w:val="24"/>
          <w:highlight w:val="none"/>
        </w:rPr>
        <w:t>三、获取招标文件</w:t>
      </w:r>
      <w:bookmarkEnd w:id="17"/>
      <w:bookmarkEnd w:id="18"/>
      <w:bookmarkEnd w:id="19"/>
      <w:bookmarkEnd w:id="20"/>
    </w:p>
    <w:p>
      <w:pPr>
        <w:spacing w:line="360" w:lineRule="auto"/>
        <w:ind w:firstLine="480" w:firstLineChars="20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时间：/至</w:t>
      </w:r>
      <w:r>
        <w:rPr>
          <w:rFonts w:hint="eastAsia" w:ascii="仿宋" w:hAnsi="仿宋" w:eastAsia="仿宋" w:cs="仿宋"/>
          <w:color w:val="auto"/>
          <w:sz w:val="24"/>
          <w:szCs w:val="24"/>
          <w:highlight w:val="none"/>
          <w:u w:val="single"/>
          <w:lang w:val="en-US" w:eastAsia="zh-CN"/>
        </w:rPr>
        <w:t>2023</w:t>
      </w:r>
      <w:r>
        <w:rPr>
          <w:rFonts w:hint="eastAsia" w:ascii="仿宋" w:hAnsi="仿宋" w:eastAsia="仿宋" w:cs="仿宋"/>
          <w:color w:val="auto"/>
          <w:sz w:val="24"/>
          <w:szCs w:val="24"/>
          <w:highlight w:val="none"/>
          <w:u w:val="single"/>
          <w:lang w:val="zh-TW"/>
        </w:rPr>
        <w:t>年</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lang w:val="zh-TW"/>
        </w:rPr>
        <w:t>月</w:t>
      </w:r>
      <w:r>
        <w:rPr>
          <w:rFonts w:hint="eastAsia" w:ascii="仿宋" w:hAnsi="仿宋" w:eastAsia="仿宋" w:cs="仿宋"/>
          <w:color w:val="auto"/>
          <w:sz w:val="24"/>
          <w:szCs w:val="24"/>
          <w:highlight w:val="none"/>
          <w:u w:val="single"/>
          <w:lang w:val="en-US" w:eastAsia="zh-CN"/>
        </w:rPr>
        <w:t xml:space="preserve"> 18</w:t>
      </w:r>
      <w:r>
        <w:rPr>
          <w:rFonts w:hint="eastAsia" w:ascii="仿宋" w:hAnsi="仿宋" w:eastAsia="仿宋" w:cs="仿宋"/>
          <w:color w:val="auto"/>
          <w:sz w:val="24"/>
          <w:szCs w:val="24"/>
          <w:highlight w:val="none"/>
          <w:u w:val="single"/>
          <w:lang w:val="zh-TW"/>
        </w:rPr>
        <w:t>日</w:t>
      </w:r>
      <w:r>
        <w:rPr>
          <w:rFonts w:hint="eastAsia" w:ascii="仿宋" w:hAnsi="仿宋" w:eastAsia="仿宋" w:cs="仿宋"/>
          <w:color w:val="auto"/>
          <w:sz w:val="24"/>
          <w:szCs w:val="24"/>
          <w:highlight w:val="none"/>
          <w:lang w:val="zh-TW"/>
        </w:rPr>
        <w:t>，每天上午00:00至12:00，下午12:00至23:59（北京时间，线上获取法定节假日均可，线下获取文件法定节假日除外）</w:t>
      </w:r>
    </w:p>
    <w:p>
      <w:pPr>
        <w:spacing w:line="360" w:lineRule="auto"/>
        <w:ind w:firstLine="480" w:firstLineChars="20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地点（网址）：政采云平台（https://www.zcygov.cn/）</w:t>
      </w:r>
    </w:p>
    <w:p>
      <w:pPr>
        <w:spacing w:line="360" w:lineRule="auto"/>
        <w:ind w:firstLine="480" w:firstLineChars="200"/>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zh-TW"/>
        </w:rPr>
        <w:t>方式：供应商登录政采云平台https://www.zcygov.cn/在线申请获取采购文件（进入“项目采购”应用，在获取采购文件菜单中选择项目，申请获取采购文件）。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TW"/>
        </w:rPr>
        <w:t>售价（元）：0</w:t>
      </w:r>
    </w:p>
    <w:p>
      <w:pPr>
        <w:pStyle w:val="784"/>
        <w:widowControl w:val="0"/>
        <w:spacing w:line="360" w:lineRule="auto"/>
        <w:rPr>
          <w:rFonts w:hint="eastAsia" w:ascii="仿宋" w:hAnsi="仿宋" w:eastAsia="仿宋" w:cs="仿宋"/>
          <w:b/>
          <w:bCs/>
          <w:color w:val="auto"/>
          <w:sz w:val="24"/>
          <w:szCs w:val="24"/>
          <w:highlight w:val="none"/>
        </w:rPr>
      </w:pPr>
      <w:bookmarkStart w:id="21" w:name="_Toc28359082"/>
      <w:bookmarkStart w:id="22" w:name="_Toc28359005"/>
      <w:bookmarkStart w:id="23" w:name="_Toc35393793"/>
      <w:bookmarkStart w:id="24" w:name="_Toc35393624"/>
      <w:r>
        <w:rPr>
          <w:rFonts w:hint="eastAsia" w:ascii="仿宋" w:hAnsi="仿宋" w:eastAsia="仿宋" w:cs="仿宋"/>
          <w:b/>
          <w:bCs/>
          <w:color w:val="auto"/>
          <w:sz w:val="24"/>
          <w:szCs w:val="24"/>
          <w:highlight w:val="none"/>
        </w:rPr>
        <w:t>四、提交投标文件</w:t>
      </w:r>
      <w:bookmarkEnd w:id="21"/>
      <w:bookmarkEnd w:id="22"/>
      <w:r>
        <w:rPr>
          <w:rFonts w:hint="eastAsia" w:ascii="仿宋" w:hAnsi="仿宋" w:eastAsia="仿宋" w:cs="仿宋"/>
          <w:b/>
          <w:bCs/>
          <w:color w:val="auto"/>
          <w:sz w:val="24"/>
          <w:szCs w:val="24"/>
          <w:highlight w:val="none"/>
        </w:rPr>
        <w:t>截止时间、开标时间和地点</w:t>
      </w:r>
      <w:bookmarkEnd w:id="23"/>
      <w:bookmarkEnd w:id="24"/>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color w:val="auto"/>
          <w:sz w:val="24"/>
          <w:szCs w:val="24"/>
          <w:highlight w:val="none"/>
          <w:u w:val="single"/>
          <w:lang w:val="en-US" w:eastAsia="zh-CN"/>
        </w:rPr>
        <w:t>2023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rPr>
        <w:t>日 0</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（北京时间）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投标地点（网址）：</w:t>
      </w:r>
      <w:r>
        <w:rPr>
          <w:rFonts w:hint="eastAsia" w:ascii="仿宋" w:hAnsi="仿宋" w:eastAsia="仿宋" w:cs="仿宋"/>
          <w:color w:val="auto"/>
          <w:sz w:val="24"/>
          <w:szCs w:val="24"/>
          <w:highlight w:val="none"/>
        </w:rPr>
        <w:t>政采云平台（https://www.zcygov.cn/）</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开标时间：</w:t>
      </w:r>
      <w:r>
        <w:rPr>
          <w:rFonts w:hint="eastAsia" w:ascii="仿宋" w:hAnsi="仿宋" w:eastAsia="仿宋" w:cs="仿宋"/>
          <w:color w:val="auto"/>
          <w:sz w:val="24"/>
          <w:szCs w:val="24"/>
          <w:highlight w:val="none"/>
          <w:u w:val="single"/>
          <w:lang w:val="en-US" w:eastAsia="zh-CN"/>
        </w:rPr>
        <w:t xml:space="preserve">2023 </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18</w:t>
      </w:r>
      <w:r>
        <w:rPr>
          <w:rFonts w:hint="eastAsia" w:ascii="仿宋" w:hAnsi="仿宋" w:eastAsia="仿宋" w:cs="仿宋"/>
          <w:color w:val="auto"/>
          <w:sz w:val="24"/>
          <w:szCs w:val="24"/>
          <w:highlight w:val="none"/>
          <w:u w:val="single"/>
        </w:rPr>
        <w:t>日 0</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pPr>
        <w:pStyle w:val="784"/>
        <w:widowControl w:val="0"/>
        <w:numPr>
          <w:ilvl w:val="0"/>
          <w:numId w:val="1"/>
        </w:numPr>
        <w:spacing w:line="360" w:lineRule="auto"/>
        <w:rPr>
          <w:rFonts w:hint="eastAsia" w:ascii="仿宋" w:hAnsi="仿宋" w:eastAsia="仿宋" w:cs="仿宋"/>
          <w:b/>
          <w:bCs/>
          <w:color w:val="auto"/>
          <w:sz w:val="24"/>
          <w:szCs w:val="24"/>
          <w:highlight w:val="none"/>
        </w:rPr>
      </w:pPr>
      <w:bookmarkStart w:id="25" w:name="_Toc35393794"/>
      <w:bookmarkStart w:id="26" w:name="_Toc28359084"/>
      <w:bookmarkStart w:id="27" w:name="_Toc35393625"/>
      <w:bookmarkStart w:id="28" w:name="_Toc28359007"/>
      <w:r>
        <w:rPr>
          <w:rFonts w:hint="eastAsia" w:ascii="仿宋" w:hAnsi="仿宋" w:eastAsia="仿宋" w:cs="仿宋"/>
          <w:b/>
          <w:bCs/>
          <w:color w:val="auto"/>
          <w:sz w:val="24"/>
          <w:szCs w:val="24"/>
          <w:highlight w:val="none"/>
        </w:rPr>
        <w:t>采购意向公开链接</w:t>
      </w:r>
    </w:p>
    <w:p>
      <w:pPr>
        <w:pStyle w:val="784"/>
        <w:widowControl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val="en-US" w:eastAsia="zh-CN" w:bidi="ar-SA"/>
        </w:rPr>
        <w:t>https://zfcg.czt.zj.gov.cn/innerUsed_noticeDetails/index.html?noticeId=9254060&amp;utm=app-announcement-front.354d6ec3.0.0.3028df80e26611ed8366a3553c7168cc</w:t>
      </w:r>
    </w:p>
    <w:p>
      <w:pPr>
        <w:pStyle w:val="784"/>
        <w:widowControl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bookmarkEnd w:id="25"/>
      <w:bookmarkEnd w:id="26"/>
      <w:bookmarkEnd w:id="27"/>
      <w:bookmarkEnd w:id="28"/>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pPr>
        <w:pStyle w:val="784"/>
        <w:widowControl w:val="0"/>
        <w:spacing w:line="360" w:lineRule="auto"/>
        <w:rPr>
          <w:rFonts w:hint="eastAsia" w:ascii="仿宋" w:hAnsi="仿宋" w:eastAsia="仿宋" w:cs="仿宋"/>
          <w:b/>
          <w:bCs/>
          <w:color w:val="auto"/>
          <w:sz w:val="24"/>
          <w:szCs w:val="24"/>
          <w:highlight w:val="none"/>
        </w:rPr>
      </w:pPr>
      <w:bookmarkStart w:id="29" w:name="_Toc35393626"/>
      <w:bookmarkStart w:id="30" w:name="_Toc35393795"/>
      <w:r>
        <w:rPr>
          <w:rFonts w:hint="eastAsia" w:ascii="仿宋" w:hAnsi="仿宋" w:eastAsia="仿宋" w:cs="仿宋"/>
          <w:b/>
          <w:bCs/>
          <w:color w:val="auto"/>
          <w:sz w:val="24"/>
          <w:szCs w:val="24"/>
          <w:highlight w:val="none"/>
        </w:rPr>
        <w:t>七、其他补充事宜</w:t>
      </w:r>
      <w:bookmarkEnd w:id="29"/>
      <w:bookmarkEnd w:id="30"/>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2、其他事项：</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（1）需要落实的政府采购政策：</w:t>
      </w:r>
      <w:r>
        <w:rPr>
          <w:rFonts w:hint="eastAsia" w:ascii="仿宋" w:hAnsi="仿宋" w:eastAsia="仿宋" w:cs="仿宋"/>
          <w:color w:val="auto"/>
          <w:sz w:val="24"/>
          <w:szCs w:val="24"/>
          <w:highlight w:val="none"/>
        </w:rPr>
        <w:t>包括节约资源、保护环境、支持创新、促进中小企业发展等。钱塘区政府采购支持中小企业信用融资：为支持和促进中小企业发展，进一步发挥政府采购政策功能，根据《杭州市政府采购支持中小企业信用融资管理办法》《关于钱塘新区政府采购支持中小企业信用融资有关事项的通知》，现将相关事项通知如下：1.适用对象：在浙江“政采云”平台注册入库，并取得钱塘新区政府采购合同的中小企业供应商。2.相关信息获取方式：具体合作银行及联系方式详见采购文件。登陆杭州钱塘新区管理委员会官网（http://qt.hangzhou.gov.cn） “公告公示”专栏，可查看信用融资政策文件及各相关银行服务方案。3.申请方式和步骤：(1)供应商若有融资意向，需先与钱塘区财政局合作的银行对接，办理相关融资前期手续；(2)中标后，供应商应与采购单位或者采购代理机构及时联系，告知融资需求；(3)相关合作银行联系并审核供应商及相关中标信息，办理相关融资事宜；(4)采购单位或者采购代理机构在政府采购信息系统录入中标合同信息时，须标注合同为信用融资合同，并选择相应的信用融资合作银行，录入账号信息；(5)采购人应及时将信用融资合同提交财政金融局备案。4.注意事项请各采购单位和采购代理机构积极支持和配合政府采购信用融资工作，在合同备案环节务必请仔细核对收款银行、账号信息等内容，一旦录入将无法修改。详见招标文件的第二部分总则。</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（2）电子招投标的说明：</w:t>
      </w: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本项目1家供应商最多只能中</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个标项，按照评审从标项一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的顺序推荐，如1家供应商已在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个标项中推荐为第一中标候选人，在后续标项中该供应商总得分排名第一的话，本标项推荐排名第二的供应商为第一中标候选人。</w:t>
      </w:r>
    </w:p>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snapToGrid w:val="0"/>
          <w:color w:val="auto"/>
          <w:kern w:val="28"/>
          <w:sz w:val="24"/>
          <w:szCs w:val="24"/>
          <w:highlight w:val="none"/>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关于钱塘新区政府采购支持中小企业信用融资相关事项通知》，或登录杭州钱塘新区管理委员会官网查看信用融资相关政策及各相关银行服务方案、联系方式。</w:t>
      </w:r>
    </w:p>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snapToGrid w:val="0"/>
          <w:color w:val="auto"/>
          <w:kern w:val="28"/>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w:t>
      </w:r>
      <w:r>
        <w:rPr>
          <w:rFonts w:hint="eastAsia" w:ascii="仿宋" w:hAnsi="仿宋" w:eastAsia="仿宋" w:cs="仿宋"/>
          <w:snapToGrid w:val="0"/>
          <w:color w:val="auto"/>
          <w:kern w:val="28"/>
          <w:sz w:val="24"/>
          <w:szCs w:val="24"/>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784"/>
        <w:widowControl w:val="0"/>
        <w:spacing w:line="360" w:lineRule="auto"/>
        <w:rPr>
          <w:rFonts w:hint="eastAsia" w:ascii="仿宋" w:hAnsi="仿宋" w:eastAsia="仿宋" w:cs="仿宋"/>
          <w:b/>
          <w:bCs/>
          <w:color w:val="auto"/>
          <w:sz w:val="24"/>
          <w:szCs w:val="24"/>
          <w:highlight w:val="none"/>
        </w:rPr>
      </w:pPr>
      <w:bookmarkStart w:id="31" w:name="_Toc28359008"/>
      <w:bookmarkStart w:id="32" w:name="_Toc28359085"/>
      <w:bookmarkStart w:id="33" w:name="_Toc35393796"/>
      <w:bookmarkStart w:id="34" w:name="_Toc35393627"/>
      <w:r>
        <w:rPr>
          <w:rFonts w:hint="eastAsia" w:ascii="仿宋" w:hAnsi="仿宋" w:eastAsia="仿宋" w:cs="仿宋"/>
          <w:b/>
          <w:bCs/>
          <w:color w:val="auto"/>
          <w:sz w:val="24"/>
          <w:szCs w:val="24"/>
          <w:highlight w:val="none"/>
        </w:rPr>
        <w:t>八、对本次采购提出询问、质疑、投诉，请按以下方式联系</w:t>
      </w:r>
      <w:bookmarkEnd w:id="31"/>
      <w:bookmarkEnd w:id="32"/>
      <w:bookmarkEnd w:id="33"/>
      <w:bookmarkEnd w:id="34"/>
    </w:p>
    <w:p>
      <w:pPr>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1、采购人信息</w:t>
      </w:r>
    </w:p>
    <w:p>
      <w:pPr>
        <w:spacing w:line="360" w:lineRule="auto"/>
        <w:ind w:left="630" w:leftChars="3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杭州市钱塘区住房和城乡建设局</w:t>
      </w:r>
    </w:p>
    <w:p>
      <w:pPr>
        <w:spacing w:line="360" w:lineRule="auto"/>
        <w:ind w:left="630" w:left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址：杭州钱塘区青六北路499号钱塘中心4号楼 </w:t>
      </w:r>
    </w:p>
    <w:p>
      <w:pPr>
        <w:spacing w:line="360" w:lineRule="auto"/>
        <w:ind w:left="630" w:leftChars="3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pPr>
        <w:spacing w:line="360" w:lineRule="auto"/>
        <w:ind w:left="630" w:leftChars="300"/>
        <w:jc w:val="left"/>
        <w:rPr>
          <w:rFonts w:hint="eastAsia" w:ascii="仿宋" w:hAnsi="仿宋" w:eastAsia="仿宋" w:cs="仿宋"/>
          <w:color w:val="auto"/>
          <w:sz w:val="24"/>
          <w:szCs w:val="24"/>
          <w:highlight w:val="none"/>
          <w:lang w:val="en-US" w:eastAsia="zh-CN"/>
        </w:rPr>
      </w:pPr>
      <w:bookmarkStart w:id="35" w:name="_Toc28359086"/>
      <w:bookmarkStart w:id="36" w:name="_Toc28359009"/>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项立斌</w:t>
      </w:r>
    </w:p>
    <w:p>
      <w:pPr>
        <w:spacing w:line="360" w:lineRule="auto"/>
        <w:ind w:left="630" w:left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0571-89535619</w:t>
      </w:r>
    </w:p>
    <w:p>
      <w:pPr>
        <w:spacing w:line="360" w:lineRule="auto"/>
        <w:ind w:left="630" w:left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质疑联系人：唐志成</w:t>
      </w:r>
    </w:p>
    <w:p>
      <w:pPr>
        <w:spacing w:line="360" w:lineRule="auto"/>
        <w:ind w:left="630" w:left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质疑联系方式：0571-89535607</w:t>
      </w:r>
    </w:p>
    <w:p>
      <w:pPr>
        <w:spacing w:line="360" w:lineRule="auto"/>
        <w:ind w:left="630" w:leftChars="300"/>
        <w:jc w:val="left"/>
        <w:rPr>
          <w:rFonts w:hint="eastAsia" w:ascii="仿宋" w:hAnsi="仿宋" w:eastAsia="仿宋" w:cs="仿宋"/>
          <w:color w:val="auto"/>
          <w:sz w:val="24"/>
          <w:szCs w:val="24"/>
          <w:highlight w:val="none"/>
        </w:rPr>
      </w:pPr>
    </w:p>
    <w:p>
      <w:pPr>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2、采购代理机构信息</w:t>
      </w:r>
      <w:bookmarkEnd w:id="35"/>
      <w:bookmarkEnd w:id="36"/>
    </w:p>
    <w:p>
      <w:pPr>
        <w:spacing w:line="360" w:lineRule="auto"/>
        <w:ind w:left="630" w:leftChars="3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融华工程管理有限公司</w:t>
      </w:r>
    </w:p>
    <w:p>
      <w:pPr>
        <w:spacing w:line="360" w:lineRule="auto"/>
        <w:ind w:left="630" w:left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址：杭州市上城区天城路68号万事利科技大厦</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幢1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楼</w:t>
      </w:r>
    </w:p>
    <w:p>
      <w:pPr>
        <w:spacing w:line="360" w:lineRule="auto"/>
        <w:ind w:left="630" w:left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传    真：0571-8</w:t>
      </w:r>
      <w:r>
        <w:rPr>
          <w:rFonts w:hint="eastAsia" w:ascii="仿宋" w:hAnsi="仿宋" w:eastAsia="仿宋" w:cs="仿宋"/>
          <w:color w:val="auto"/>
          <w:sz w:val="24"/>
          <w:szCs w:val="24"/>
          <w:highlight w:val="none"/>
          <w:lang w:val="en-US" w:eastAsia="zh-CN"/>
        </w:rPr>
        <w:t>5126639</w:t>
      </w:r>
    </w:p>
    <w:p>
      <w:pPr>
        <w:spacing w:line="360" w:lineRule="auto"/>
        <w:ind w:left="630" w:left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李晓晨</w:t>
      </w:r>
    </w:p>
    <w:p>
      <w:pPr>
        <w:spacing w:line="360" w:lineRule="auto"/>
        <w:ind w:left="630" w:left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17376579009</w:t>
      </w:r>
    </w:p>
    <w:p>
      <w:pPr>
        <w:spacing w:line="360" w:lineRule="auto"/>
        <w:ind w:left="630" w:left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廖工</w:t>
      </w:r>
    </w:p>
    <w:p>
      <w:pPr>
        <w:spacing w:line="360" w:lineRule="auto"/>
        <w:ind w:left="630" w:left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val="en-US" w:eastAsia="zh-CN"/>
        </w:rPr>
        <w:t>15067162332</w:t>
      </w:r>
    </w:p>
    <w:p>
      <w:pPr>
        <w:spacing w:line="360" w:lineRule="auto"/>
        <w:ind w:left="630" w:leftChars="300"/>
        <w:rPr>
          <w:rFonts w:hint="eastAsia" w:ascii="仿宋" w:hAnsi="仿宋" w:eastAsia="仿宋" w:cs="仿宋"/>
          <w:color w:val="auto"/>
          <w:sz w:val="24"/>
          <w:szCs w:val="24"/>
          <w:highlight w:val="none"/>
        </w:rPr>
      </w:pPr>
    </w:p>
    <w:p>
      <w:pPr>
        <w:spacing w:line="360" w:lineRule="auto"/>
        <w:ind w:firstLine="482" w:firstLineChars="200"/>
        <w:rPr>
          <w:rFonts w:hint="eastAsia" w:ascii="仿宋" w:hAnsi="仿宋" w:eastAsia="仿宋" w:cs="仿宋"/>
          <w:b/>
          <w:bCs/>
          <w:color w:val="auto"/>
          <w:kern w:val="0"/>
          <w:sz w:val="24"/>
          <w:szCs w:val="24"/>
          <w:highlight w:val="none"/>
        </w:rPr>
      </w:pPr>
      <w:bookmarkStart w:id="37" w:name="_Toc28359010"/>
      <w:bookmarkStart w:id="38" w:name="_Toc28359087"/>
      <w:r>
        <w:rPr>
          <w:rFonts w:hint="eastAsia" w:ascii="仿宋" w:hAnsi="仿宋" w:eastAsia="仿宋" w:cs="仿宋"/>
          <w:b/>
          <w:bCs/>
          <w:color w:val="auto"/>
          <w:kern w:val="0"/>
          <w:sz w:val="24"/>
          <w:szCs w:val="24"/>
          <w:highlight w:val="none"/>
        </w:rPr>
        <w:t>3</w:t>
      </w:r>
      <w:bookmarkEnd w:id="37"/>
      <w:bookmarkEnd w:id="38"/>
      <w:r>
        <w:rPr>
          <w:rFonts w:hint="eastAsia" w:ascii="仿宋" w:hAnsi="仿宋" w:eastAsia="仿宋" w:cs="仿宋"/>
          <w:b/>
          <w:bCs/>
          <w:color w:val="auto"/>
          <w:kern w:val="0"/>
          <w:sz w:val="24"/>
          <w:szCs w:val="24"/>
          <w:highlight w:val="none"/>
        </w:rPr>
        <w:t>、同级财政监督管理部门信息</w:t>
      </w:r>
    </w:p>
    <w:p>
      <w:pPr>
        <w:spacing w:line="360" w:lineRule="auto"/>
        <w:ind w:left="630" w:left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称：杭州市钱塘区财政局</w:t>
      </w:r>
    </w:p>
    <w:p>
      <w:pPr>
        <w:spacing w:line="360" w:lineRule="auto"/>
        <w:ind w:left="630" w:left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址：杭州市钱塘区青六北路499号钱塘中心5号楼</w:t>
      </w:r>
    </w:p>
    <w:p>
      <w:pPr>
        <w:spacing w:line="360" w:lineRule="auto"/>
        <w:ind w:left="630" w:left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真：0571-895355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w:t>
      </w:r>
    </w:p>
    <w:p>
      <w:pPr>
        <w:spacing w:line="360" w:lineRule="auto"/>
        <w:ind w:left="630" w:left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联系人：任女士</w:t>
      </w:r>
    </w:p>
    <w:p>
      <w:pPr>
        <w:spacing w:line="360" w:lineRule="auto"/>
        <w:ind w:left="630" w:left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监督投诉电话：0571-89535530</w:t>
      </w:r>
    </w:p>
    <w:p>
      <w:pPr>
        <w:pStyle w:val="25"/>
        <w:ind w:firstLine="420"/>
        <w:rPr>
          <w:rFonts w:hint="eastAsia" w:ascii="仿宋" w:hAnsi="仿宋" w:eastAsia="仿宋" w:cs="仿宋"/>
          <w:color w:val="auto"/>
          <w:sz w:val="24"/>
          <w:szCs w:val="24"/>
          <w:highlight w:val="none"/>
        </w:rPr>
      </w:pPr>
    </w:p>
    <w:p>
      <w:pPr>
        <w:pStyle w:val="25"/>
        <w:ind w:firstLine="420"/>
        <w:rPr>
          <w:rFonts w:hint="eastAsia" w:ascii="仿宋" w:hAnsi="仿宋" w:eastAsia="仿宋" w:cs="仿宋"/>
          <w:color w:val="auto"/>
          <w:sz w:val="24"/>
          <w:szCs w:val="24"/>
          <w:highlight w:val="none"/>
        </w:rPr>
      </w:pPr>
    </w:p>
    <w:p>
      <w:pPr>
        <w:pStyle w:val="784"/>
        <w:widowControl w:val="0"/>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pStyle w:val="784"/>
        <w:widowControl w:val="0"/>
        <w:spacing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CA问题联系电话（人工）：汇信CA  400-888-4636；天谷CA  400-087-8198。</w:t>
      </w:r>
    </w:p>
    <w:p>
      <w:pPr>
        <w:rPr>
          <w:rFonts w:ascii="宋体" w:hAnsi="宋体" w:eastAsia="宋体" w:cs="宋体"/>
          <w:b/>
          <w:bCs/>
          <w:color w:val="auto"/>
          <w:sz w:val="21"/>
          <w:szCs w:val="21"/>
          <w:highlight w:val="none"/>
        </w:rPr>
      </w:pPr>
      <w:r>
        <w:rPr>
          <w:rFonts w:hint="eastAsia" w:ascii="仿宋" w:hAnsi="仿宋" w:eastAsia="仿宋" w:cs="仿宋"/>
          <w:b/>
          <w:bCs/>
          <w:color w:val="auto"/>
          <w:sz w:val="24"/>
          <w:szCs w:val="24"/>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投标人须知</w:t>
      </w:r>
      <w:bookmarkEnd w:id="6"/>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lang w:eastAsia="zh-CN"/>
              </w:rPr>
              <w:t>钱塘区建设工程质量安全监督检测项目-起重机械检测</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lang w:eastAsia="zh-CN"/>
              </w:rPr>
              <w:t>其他未列明</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both"/>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支持和促进中小企业发展，进一步发挥政府采购政策功能，根据《杭州市政府采购支持中小企业信用融资管理办法》和《关于钱塘新区政府采购支持中小企业信用融资有关事项的通知》，供应商若有融资意向，详见本采购文件尾页《关于钱塘新区政府采购支持中小企业信用融资有关事项的通知》，或登录杭州钱塘新区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备份投标文件送达地点：杭州市上城区天城路68号万事利科技大厦</w:t>
            </w:r>
            <w:r>
              <w:rPr>
                <w:rFonts w:hint="eastAsia" w:ascii="仿宋" w:hAnsi="仿宋" w:eastAsia="仿宋" w:cs="仿宋"/>
                <w:color w:val="auto"/>
                <w:kern w:val="28"/>
                <w:sz w:val="24"/>
                <w:szCs w:val="24"/>
                <w:highlight w:val="none"/>
                <w:lang w:val="en-US" w:eastAsia="zh-CN"/>
              </w:rPr>
              <w:t>A</w:t>
            </w:r>
            <w:r>
              <w:rPr>
                <w:rFonts w:hint="eastAsia" w:ascii="仿宋" w:hAnsi="仿宋" w:eastAsia="仿宋" w:cs="仿宋"/>
                <w:color w:val="auto"/>
                <w:kern w:val="28"/>
                <w:sz w:val="24"/>
                <w:szCs w:val="24"/>
                <w:highlight w:val="none"/>
              </w:rPr>
              <w:t>幢1</w:t>
            </w:r>
            <w:r>
              <w:rPr>
                <w:rFonts w:hint="eastAsia" w:ascii="仿宋" w:hAnsi="仿宋" w:eastAsia="仿宋" w:cs="仿宋"/>
                <w:color w:val="auto"/>
                <w:kern w:val="28"/>
                <w:sz w:val="24"/>
                <w:szCs w:val="24"/>
                <w:highlight w:val="none"/>
                <w:lang w:val="en-US" w:eastAsia="zh-CN"/>
              </w:rPr>
              <w:t>5</w:t>
            </w:r>
            <w:r>
              <w:rPr>
                <w:rFonts w:hint="eastAsia" w:ascii="仿宋" w:hAnsi="仿宋" w:eastAsia="仿宋" w:cs="仿宋"/>
                <w:color w:val="auto"/>
                <w:kern w:val="28"/>
                <w:sz w:val="24"/>
                <w:szCs w:val="24"/>
                <w:highlight w:val="none"/>
              </w:rPr>
              <w:t>楼；备份投标文件签收人员联系电话：</w:t>
            </w:r>
            <w:r>
              <w:rPr>
                <w:rFonts w:hint="eastAsia" w:ascii="仿宋" w:hAnsi="仿宋" w:eastAsia="仿宋" w:cs="仿宋"/>
                <w:color w:val="auto"/>
                <w:kern w:val="28"/>
                <w:sz w:val="24"/>
                <w:szCs w:val="24"/>
                <w:highlight w:val="none"/>
                <w:u w:val="single"/>
                <w:lang w:val="en-US" w:eastAsia="zh-CN"/>
              </w:rPr>
              <w:t>李晓晨</w:t>
            </w:r>
            <w:r>
              <w:rPr>
                <w:rFonts w:hint="eastAsia" w:ascii="仿宋" w:hAnsi="仿宋" w:eastAsia="仿宋" w:cs="仿宋"/>
                <w:color w:val="auto"/>
                <w:kern w:val="28"/>
                <w:sz w:val="24"/>
                <w:szCs w:val="24"/>
                <w:highlight w:val="none"/>
                <w:u w:val="single"/>
                <w:lang w:eastAsia="zh-CN"/>
              </w:rPr>
              <w:t>：1</w:t>
            </w:r>
            <w:r>
              <w:rPr>
                <w:rFonts w:hint="eastAsia" w:ascii="仿宋" w:hAnsi="仿宋" w:eastAsia="仿宋" w:cs="仿宋"/>
                <w:color w:val="auto"/>
                <w:kern w:val="28"/>
                <w:sz w:val="24"/>
                <w:szCs w:val="24"/>
                <w:highlight w:val="none"/>
                <w:u w:val="single"/>
                <w:lang w:val="en-US" w:eastAsia="zh-CN"/>
              </w:rPr>
              <w:t>7376579009</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采购代理机构代理费用由中标人在领取中标通知书时向采购代理机构支付；</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每标项</w:t>
            </w:r>
            <w:r>
              <w:rPr>
                <w:rFonts w:hint="eastAsia" w:ascii="仿宋" w:hAnsi="仿宋" w:eastAsia="仿宋" w:cs="仿宋"/>
                <w:snapToGrid w:val="0"/>
                <w:color w:val="auto"/>
                <w:kern w:val="28"/>
                <w:sz w:val="24"/>
                <w:highlight w:val="none"/>
              </w:rPr>
              <w:t>代理服务费的收取标准按《计价格［2002］1980号》及《发改办价格［2003］857号》规定的收费标准计取。</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请投标人在报价时自行考虑在投标报价内，不再单独列项。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lang w:val="en-US" w:eastAsia="zh-CN"/>
              </w:rPr>
              <w:t>1.</w:t>
            </w:r>
            <w:r>
              <w:rPr>
                <w:rFonts w:hint="eastAsia" w:ascii="仿宋" w:hAnsi="仿宋" w:eastAsia="仿宋" w:cs="仿宋"/>
                <w:snapToGrid w:val="0"/>
                <w:color w:val="auto"/>
                <w:kern w:val="28"/>
                <w:sz w:val="24"/>
                <w:highlight w:val="none"/>
              </w:rPr>
              <w:t>如中标，中标人需根据采购人要求提供纸质投标文件。</w:t>
            </w:r>
          </w:p>
        </w:tc>
      </w:tr>
    </w:tbl>
    <w:p>
      <w:pPr>
        <w:snapToGrid w:val="0"/>
        <w:spacing w:line="360" w:lineRule="auto"/>
        <w:jc w:val="center"/>
        <w:rPr>
          <w:rFonts w:hint="eastAsia" w:ascii="仿宋" w:hAnsi="仿宋" w:eastAsia="仿宋" w:cs="仿宋"/>
          <w:b/>
          <w:color w:val="auto"/>
          <w:sz w:val="32"/>
          <w:szCs w:val="20"/>
          <w:highlight w:val="none"/>
        </w:rPr>
      </w:pPr>
    </w:p>
    <w:bookmarkEnd w:id="7"/>
    <w:p>
      <w:pPr>
        <w:rPr>
          <w:rFonts w:hint="eastAsia" w:ascii="仿宋" w:hAnsi="仿宋" w:eastAsia="仿宋" w:cs="仿宋"/>
          <w:b/>
          <w:color w:val="auto"/>
          <w:sz w:val="32"/>
          <w:szCs w:val="20"/>
          <w:highlight w:val="none"/>
        </w:rPr>
      </w:pPr>
      <w:bookmarkStart w:id="39"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或通过政采云系统在线提疑方式向采购人或者采购代理机构提出质疑，否则，采购人或者采购代理机构不予受理：</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注：书面询问质疑：</w:t>
      </w:r>
      <w:r>
        <w:rPr>
          <w:rFonts w:hint="eastAsia" w:ascii="仿宋" w:hAnsi="仿宋" w:eastAsia="仿宋" w:cs="仿宋"/>
          <w:color w:val="auto"/>
          <w:sz w:val="24"/>
          <w:highlight w:val="none"/>
          <w:lang w:val="en-US" w:eastAsia="zh-CN"/>
        </w:rPr>
        <w:t>廖工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15067162332</w:t>
      </w:r>
      <w:r>
        <w:rPr>
          <w:rFonts w:hint="eastAsia" w:ascii="仿宋" w:hAnsi="仿宋" w:eastAsia="仿宋" w:cs="仿宋"/>
          <w:color w:val="auto"/>
          <w:sz w:val="24"/>
          <w:highlight w:val="none"/>
        </w:rPr>
        <w:t>，地址：杭州市上城区天城路68号万事利科技大厦</w:t>
      </w:r>
      <w:r>
        <w:rPr>
          <w:rFonts w:hint="eastAsia" w:ascii="仿宋" w:hAnsi="仿宋" w:eastAsia="仿宋" w:cs="仿宋"/>
          <w:color w:val="auto"/>
          <w:sz w:val="24"/>
          <w:highlight w:val="none"/>
          <w:lang w:val="en-US" w:eastAsia="zh-CN"/>
        </w:rPr>
        <w:t>A</w:t>
      </w:r>
      <w:r>
        <w:rPr>
          <w:rFonts w:hint="eastAsia" w:ascii="仿宋" w:hAnsi="仿宋" w:eastAsia="仿宋" w:cs="仿宋"/>
          <w:color w:val="auto"/>
          <w:sz w:val="24"/>
          <w:highlight w:val="none"/>
        </w:rPr>
        <w:t>幢1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楼。</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在线询问质疑菜单路径：应用中心-项目采购-询问质疑投诉-询问列表/质疑列表，具体操作详见“政府采购项目电子交易管理操作指南-供应商”的“2.9 询问质疑投诉” https://service.zcygov.cn/#/knowledges/CW1EtGwBFdiHxlNd6I3m/6IMVAG0BFdiHxlNdQ8Na。</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4.2.5询问或者质疑事项可能影响采购结果的，采购人应当暂停签订合同，已经签订合同的，应当中止履行合同。</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 xml:space="preserve"> 以联合体形式参加政府采购活动的，其投诉应当由组成联合体的所有供应商共同提出。</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pPr>
        <w:pStyle w:val="130"/>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仿宋" w:hAnsi="仿宋" w:eastAsia="仿宋" w:cs="仿宋"/>
          <w:b/>
          <w:color w:val="auto"/>
          <w:sz w:val="32"/>
          <w:highlight w:val="none"/>
        </w:rPr>
      </w:pPr>
    </w:p>
    <w:p>
      <w:pPr>
        <w:pStyle w:val="130"/>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7"/>
        <w:spacing w:before="0" w:line="360" w:lineRule="auto"/>
        <w:ind w:left="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7"/>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w:t>
      </w:r>
      <w:r>
        <w:rPr>
          <w:rFonts w:hint="eastAsia" w:ascii="仿宋" w:hAnsi="仿宋" w:eastAsia="仿宋" w:cs="仿宋"/>
          <w:b/>
          <w:bCs/>
          <w:color w:val="auto"/>
          <w:kern w:val="0"/>
          <w:szCs w:val="24"/>
          <w:highlight w:val="none"/>
        </w:rPr>
        <w:t>现场查询的投标人的信用记录、查询结果经确认后将与采购文件一起存档。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40"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23.1自中标人确定之日起2个工作日内，采购机构通过电子交易平台向中标人发出中标通知书，同时编制发布采购结果公告。采购机构也可以以纸质形式进行中标通知。</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pStyle w:val="130"/>
        <w:snapToGrid w:val="0"/>
        <w:spacing w:before="0"/>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25.1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eastAsia="zh-CN"/>
        </w:rPr>
        <w:t>2.5%</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 w:hAnsi="仿宋" w:eastAsia="仿宋" w:cs="仿宋"/>
          <w:color w:val="auto"/>
          <w:sz w:val="24"/>
          <w:szCs w:val="20"/>
          <w:highlight w:val="none"/>
          <w:lang w:eastAsia="zh-CN"/>
        </w:rPr>
        <w:t>2.5%</w:t>
      </w:r>
      <w:r>
        <w:rPr>
          <w:rFonts w:hint="eastAsia" w:ascii="仿宋" w:hAnsi="仿宋" w:eastAsia="仿宋" w:cs="仿宋"/>
          <w:color w:val="auto"/>
          <w:sz w:val="24"/>
          <w:szCs w:val="20"/>
          <w:highlight w:val="none"/>
        </w:rPr>
        <w:t>。</w:t>
      </w:r>
    </w:p>
    <w:p>
      <w:pPr>
        <w:pStyle w:val="2"/>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0" w:leftChars="0" w:firstLine="0" w:firstLineChars="0"/>
        <w:jc w:val="center"/>
        <w:rPr>
          <w:rFonts w:hint="eastAsia" w:ascii="仿宋" w:hAnsi="仿宋" w:eastAsia="仿宋" w:cs="仿宋"/>
          <w:b/>
          <w:color w:val="auto"/>
          <w:sz w:val="32"/>
          <w:highlight w:val="none"/>
        </w:rPr>
      </w:pPr>
      <w:bookmarkStart w:id="423" w:name="_GoBack"/>
      <w:bookmarkEnd w:id="423"/>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0"/>
    <w:p>
      <w:pPr>
        <w:tabs>
          <w:tab w:val="left" w:pos="0"/>
        </w:tabs>
        <w:spacing w:line="360" w:lineRule="auto"/>
        <w:ind w:firstLine="480"/>
        <w:rPr>
          <w:rFonts w:hint="eastAsia" w:ascii="仿宋" w:hAnsi="仿宋" w:eastAsia="仿宋" w:cs="仿宋"/>
          <w:color w:val="auto"/>
          <w:kern w:val="0"/>
          <w:sz w:val="24"/>
          <w:highlight w:val="none"/>
        </w:rPr>
        <w:sectPr>
          <w:headerReference r:id="rId7" w:type="first"/>
          <w:footerReference r:id="rId9" w:type="first"/>
          <w:headerReference r:id="rId6" w:type="default"/>
          <w:footerReference r:id="rId8" w:type="default"/>
          <w:pgSz w:w="11906" w:h="16838"/>
          <w:pgMar w:top="1417" w:right="1418" w:bottom="1417" w:left="1418" w:header="851" w:footer="992" w:gutter="0"/>
          <w:pgNumType w:fmt="decimal" w:start="1"/>
          <w:cols w:space="720" w:num="1"/>
          <w:titlePg/>
          <w:docGrid w:linePitch="312" w:charSpace="0"/>
        </w:sectPr>
      </w:pPr>
      <w:bookmarkStart w:id="41" w:name="_Hlt68057669"/>
      <w:bookmarkEnd w:id="41"/>
      <w:bookmarkStart w:id="42" w:name="_Hlt68073093"/>
      <w:bookmarkEnd w:id="42"/>
      <w:bookmarkStart w:id="43" w:name="_Hlt68403820"/>
      <w:bookmarkEnd w:id="43"/>
      <w:bookmarkStart w:id="44" w:name="_Hlt68072998"/>
      <w:bookmarkEnd w:id="44"/>
      <w:bookmarkStart w:id="45" w:name="_Hlt74707468"/>
      <w:bookmarkEnd w:id="45"/>
      <w:bookmarkStart w:id="46" w:name="_Hlt74729768"/>
      <w:bookmarkEnd w:id="46"/>
      <w:bookmarkStart w:id="47" w:name="_Hlt74730295"/>
      <w:bookmarkEnd w:id="47"/>
      <w:bookmarkStart w:id="48" w:name="_Hlt75236101"/>
      <w:bookmarkEnd w:id="48"/>
      <w:bookmarkStart w:id="49" w:name="_Hlt75236290"/>
      <w:bookmarkEnd w:id="49"/>
      <w:bookmarkStart w:id="50" w:name="_Hlt68072990"/>
      <w:bookmarkEnd w:id="50"/>
      <w:bookmarkStart w:id="51" w:name="_Hlt75236011"/>
      <w:bookmarkEnd w:id="51"/>
      <w:bookmarkStart w:id="52" w:name="_Hlt74714665"/>
      <w:bookmarkEnd w:id="52"/>
    </w:p>
    <w:bookmarkEnd w:id="39"/>
    <w:p>
      <w:pPr>
        <w:numPr>
          <w:ilvl w:val="0"/>
          <w:numId w:val="3"/>
        </w:num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pPr>
        <w:numPr>
          <w:ilvl w:val="0"/>
          <w:numId w:val="0"/>
        </w:numPr>
        <w:ind w:firstLine="480" w:firstLineChars="200"/>
        <w:jc w:val="center"/>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（标项一、标项二同时适用）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bCs/>
          <w:snapToGrid w:val="0"/>
          <w:color w:val="auto"/>
          <w:kern w:val="2"/>
          <w:sz w:val="24"/>
          <w:szCs w:val="21"/>
          <w:highlight w:val="none"/>
          <w:lang w:val="en-US" w:eastAsia="zh-CN" w:bidi="ar-SA"/>
        </w:rPr>
      </w:pPr>
      <w:r>
        <w:rPr>
          <w:rFonts w:hint="eastAsia" w:ascii="仿宋" w:hAnsi="仿宋" w:eastAsia="仿宋" w:cs="仿宋"/>
          <w:b/>
          <w:bCs/>
          <w:snapToGrid w:val="0"/>
          <w:color w:val="auto"/>
          <w:kern w:val="2"/>
          <w:sz w:val="24"/>
          <w:szCs w:val="21"/>
          <w:highlight w:val="none"/>
          <w:lang w:val="en-US" w:eastAsia="zh-CN" w:bidi="ar-SA"/>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1.招标内容：标项一、标项二主要是起重机械检测。</w:t>
      </w:r>
    </w:p>
    <w:p>
      <w:pPr>
        <w:numPr>
          <w:ilvl w:val="0"/>
          <w:numId w:val="0"/>
        </w:numPr>
        <w:adjustRightInd/>
        <w:snapToGrid/>
        <w:spacing w:line="360" w:lineRule="auto"/>
        <w:ind w:firstLine="480" w:firstLineChars="200"/>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2.说明：</w:t>
      </w:r>
    </w:p>
    <w:p>
      <w:pPr>
        <w:numPr>
          <w:ilvl w:val="0"/>
          <w:numId w:val="0"/>
        </w:numPr>
        <w:adjustRightInd/>
        <w:snapToGrid/>
        <w:spacing w:line="360" w:lineRule="auto"/>
        <w:ind w:firstLine="480" w:firstLineChars="200"/>
        <w:rPr>
          <w:rFonts w:hint="eastAsia" w:ascii="仿宋" w:hAnsi="仿宋" w:eastAsia="仿宋" w:cs="仿宋"/>
          <w:snapToGrid w:val="0"/>
          <w:color w:val="auto"/>
          <w:kern w:val="2"/>
          <w:sz w:val="24"/>
          <w:szCs w:val="21"/>
          <w:highlight w:val="none"/>
          <w:lang w:val="en-US"/>
        </w:rPr>
      </w:pPr>
      <w:r>
        <w:rPr>
          <w:rFonts w:hint="eastAsia" w:ascii="仿宋" w:hAnsi="仿宋" w:eastAsia="仿宋" w:cs="仿宋"/>
          <w:snapToGrid w:val="0"/>
          <w:color w:val="auto"/>
          <w:kern w:val="2"/>
          <w:sz w:val="24"/>
          <w:szCs w:val="21"/>
          <w:highlight w:val="none"/>
          <w:lang w:val="en-US" w:eastAsia="zh-CN"/>
        </w:rPr>
        <w:t>2.1</w:t>
      </w:r>
      <w:r>
        <w:rPr>
          <w:rFonts w:hint="eastAsia" w:ascii="仿宋" w:hAnsi="仿宋" w:eastAsia="仿宋" w:cs="仿宋"/>
          <w:snapToGrid w:val="0"/>
          <w:color w:val="auto"/>
          <w:kern w:val="2"/>
          <w:sz w:val="24"/>
          <w:szCs w:val="21"/>
          <w:highlight w:val="none"/>
          <w:lang w:val="en-US"/>
        </w:rPr>
        <w:t>本项目为</w:t>
      </w:r>
      <w:r>
        <w:rPr>
          <w:rFonts w:hint="eastAsia" w:ascii="仿宋" w:hAnsi="仿宋" w:eastAsia="仿宋" w:cs="仿宋"/>
          <w:snapToGrid w:val="0"/>
          <w:color w:val="auto"/>
          <w:kern w:val="2"/>
          <w:sz w:val="24"/>
          <w:szCs w:val="21"/>
          <w:highlight w:val="none"/>
          <w:lang w:val="en-US" w:eastAsia="zh-CN"/>
        </w:rPr>
        <w:t>报价费率</w:t>
      </w:r>
      <w:r>
        <w:rPr>
          <w:rFonts w:hint="eastAsia" w:ascii="仿宋" w:hAnsi="仿宋" w:eastAsia="仿宋" w:cs="仿宋"/>
          <w:snapToGrid w:val="0"/>
          <w:color w:val="auto"/>
          <w:kern w:val="2"/>
          <w:sz w:val="24"/>
          <w:szCs w:val="21"/>
          <w:highlight w:val="none"/>
          <w:lang w:val="en-US"/>
        </w:rPr>
        <w:t>包干，具体如下：</w:t>
      </w:r>
    </w:p>
    <w:p>
      <w:pPr>
        <w:numPr>
          <w:ilvl w:val="0"/>
          <w:numId w:val="0"/>
        </w:numPr>
        <w:adjustRightInd/>
        <w:snapToGrid/>
        <w:spacing w:line="360" w:lineRule="auto"/>
        <w:ind w:firstLine="638" w:firstLineChars="266"/>
        <w:rPr>
          <w:rFonts w:hint="eastAsia" w:ascii="仿宋" w:hAnsi="仿宋" w:eastAsia="仿宋" w:cs="仿宋"/>
          <w:snapToGrid w:val="0"/>
          <w:color w:val="auto"/>
          <w:kern w:val="2"/>
          <w:sz w:val="24"/>
          <w:szCs w:val="21"/>
          <w:highlight w:val="none"/>
          <w:lang w:val="en-US" w:eastAsia="zh-CN"/>
        </w:rPr>
      </w:pPr>
      <w:r>
        <w:rPr>
          <w:rFonts w:hint="eastAsia" w:ascii="仿宋" w:hAnsi="仿宋" w:eastAsia="仿宋" w:cs="仿宋"/>
          <w:snapToGrid w:val="0"/>
          <w:color w:val="auto"/>
          <w:kern w:val="2"/>
          <w:sz w:val="24"/>
          <w:szCs w:val="21"/>
          <w:highlight w:val="none"/>
          <w:lang w:val="en-US" w:eastAsia="zh-CN"/>
        </w:rPr>
        <w:t>2.1.1根据检测内容中，各指标综合单价的最高限价，统一按最高限价</w:t>
      </w:r>
      <w:r>
        <w:rPr>
          <w:rFonts w:hint="eastAsia" w:ascii="仿宋" w:hAnsi="仿宋" w:eastAsia="仿宋" w:cs="仿宋"/>
          <w:snapToGrid w:val="0"/>
          <w:color w:val="auto"/>
          <w:kern w:val="2"/>
          <w:sz w:val="24"/>
          <w:szCs w:val="21"/>
          <w:highlight w:val="none"/>
          <w:lang w:val="en-US"/>
        </w:rPr>
        <w:t>的</w:t>
      </w:r>
      <w:r>
        <w:rPr>
          <w:rFonts w:hint="eastAsia" w:ascii="仿宋" w:hAnsi="仿宋" w:eastAsia="仿宋" w:cs="仿宋"/>
          <w:snapToGrid w:val="0"/>
          <w:color w:val="auto"/>
          <w:kern w:val="2"/>
          <w:sz w:val="24"/>
          <w:szCs w:val="21"/>
          <w:highlight w:val="none"/>
          <w:u w:val="none"/>
          <w:lang w:val="en-US"/>
        </w:rPr>
        <w:t xml:space="preserve">   </w:t>
      </w:r>
      <w:r>
        <w:rPr>
          <w:rFonts w:hint="eastAsia" w:ascii="仿宋" w:hAnsi="仿宋" w:eastAsia="仿宋" w:cs="仿宋"/>
          <w:snapToGrid w:val="0"/>
          <w:color w:val="auto"/>
          <w:kern w:val="2"/>
          <w:sz w:val="24"/>
          <w:szCs w:val="21"/>
          <w:highlight w:val="none"/>
          <w:lang w:val="en-US"/>
        </w:rPr>
        <w:t xml:space="preserve"> %</w:t>
      </w:r>
      <w:r>
        <w:rPr>
          <w:rFonts w:hint="eastAsia" w:ascii="仿宋" w:hAnsi="仿宋" w:eastAsia="仿宋" w:cs="仿宋"/>
          <w:snapToGrid w:val="0"/>
          <w:color w:val="auto"/>
          <w:kern w:val="2"/>
          <w:sz w:val="24"/>
          <w:szCs w:val="21"/>
          <w:highlight w:val="none"/>
          <w:lang w:val="en-US" w:eastAsia="zh-CN"/>
        </w:rPr>
        <w:t>进行报价</w:t>
      </w:r>
      <w:r>
        <w:rPr>
          <w:rFonts w:hint="eastAsia" w:ascii="仿宋" w:hAnsi="仿宋" w:eastAsia="仿宋" w:cs="仿宋"/>
          <w:snapToGrid w:val="0"/>
          <w:color w:val="auto"/>
          <w:kern w:val="2"/>
          <w:sz w:val="24"/>
          <w:szCs w:val="21"/>
          <w:highlight w:val="none"/>
          <w:lang w:val="en-US"/>
        </w:rPr>
        <w:t>；</w:t>
      </w:r>
      <w:r>
        <w:rPr>
          <w:rFonts w:hint="eastAsia" w:ascii="仿宋" w:hAnsi="仿宋" w:eastAsia="仿宋" w:cs="仿宋"/>
          <w:snapToGrid w:val="0"/>
          <w:color w:val="auto"/>
          <w:kern w:val="2"/>
          <w:sz w:val="24"/>
          <w:szCs w:val="21"/>
          <w:highlight w:val="none"/>
          <w:lang w:val="en-US" w:eastAsia="zh-CN"/>
        </w:rPr>
        <w:t>各指标的报价费率应统一。</w:t>
      </w:r>
    </w:p>
    <w:p>
      <w:pPr>
        <w:numPr>
          <w:ilvl w:val="0"/>
          <w:numId w:val="0"/>
        </w:numPr>
        <w:adjustRightInd/>
        <w:snapToGrid/>
        <w:spacing w:line="360" w:lineRule="auto"/>
        <w:ind w:firstLine="638" w:firstLineChars="266"/>
        <w:rPr>
          <w:rFonts w:hint="eastAsia" w:ascii="仿宋" w:hAnsi="仿宋" w:eastAsia="仿宋" w:cs="仿宋"/>
          <w:snapToGrid w:val="0"/>
          <w:color w:val="auto"/>
          <w:kern w:val="2"/>
          <w:sz w:val="24"/>
          <w:szCs w:val="21"/>
          <w:highlight w:val="none"/>
          <w:lang w:val="en-US" w:eastAsia="zh-CN"/>
        </w:rPr>
      </w:pPr>
      <w:r>
        <w:rPr>
          <w:rFonts w:hint="eastAsia" w:ascii="仿宋" w:hAnsi="仿宋" w:eastAsia="仿宋" w:cs="仿宋"/>
          <w:snapToGrid w:val="0"/>
          <w:color w:val="auto"/>
          <w:kern w:val="2"/>
          <w:sz w:val="24"/>
          <w:szCs w:val="21"/>
          <w:highlight w:val="none"/>
          <w:lang w:val="en-US" w:eastAsia="zh-CN"/>
        </w:rPr>
        <w:t>2.1.2</w:t>
      </w:r>
      <w:r>
        <w:rPr>
          <w:rFonts w:hint="eastAsia" w:ascii="仿宋" w:hAnsi="仿宋" w:eastAsia="仿宋" w:cs="仿宋"/>
          <w:snapToGrid w:val="0"/>
          <w:color w:val="auto"/>
          <w:kern w:val="2"/>
          <w:sz w:val="24"/>
          <w:szCs w:val="21"/>
          <w:highlight w:val="none"/>
          <w:lang w:val="en-US"/>
        </w:rPr>
        <w:t>如报</w:t>
      </w:r>
      <w:r>
        <w:rPr>
          <w:rFonts w:hint="eastAsia" w:ascii="仿宋" w:hAnsi="仿宋" w:eastAsia="仿宋" w:cs="仿宋"/>
          <w:snapToGrid w:val="0"/>
          <w:color w:val="auto"/>
          <w:kern w:val="2"/>
          <w:sz w:val="24"/>
          <w:szCs w:val="21"/>
          <w:highlight w:val="none"/>
          <w:lang w:val="en-US" w:eastAsia="zh-CN"/>
        </w:rPr>
        <w:t>价为90%</w:t>
      </w:r>
      <w:r>
        <w:rPr>
          <w:rFonts w:hint="eastAsia" w:ascii="仿宋" w:hAnsi="仿宋" w:eastAsia="仿宋" w:cs="仿宋"/>
          <w:snapToGrid w:val="0"/>
          <w:color w:val="auto"/>
          <w:kern w:val="2"/>
          <w:sz w:val="24"/>
          <w:szCs w:val="21"/>
          <w:highlight w:val="none"/>
          <w:lang w:val="en-US"/>
        </w:rPr>
        <w:t>，则</w:t>
      </w:r>
      <w:r>
        <w:rPr>
          <w:rFonts w:hint="eastAsia" w:ascii="仿宋" w:hAnsi="仿宋" w:eastAsia="仿宋" w:cs="仿宋"/>
          <w:snapToGrid w:val="0"/>
          <w:color w:val="auto"/>
          <w:kern w:val="2"/>
          <w:sz w:val="24"/>
          <w:szCs w:val="21"/>
          <w:highlight w:val="none"/>
          <w:lang w:val="en-US" w:eastAsia="zh-CN"/>
        </w:rPr>
        <w:t>开标一览表中填报的报价为90%；如中标，指标的相应单价=90%×最高限价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638" w:firstLineChars="266"/>
        <w:jc w:val="both"/>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rPr>
        <w:t>▲</w:t>
      </w:r>
      <w:r>
        <w:rPr>
          <w:rFonts w:hint="eastAsia" w:ascii="仿宋" w:hAnsi="仿宋" w:eastAsia="仿宋" w:cs="仿宋"/>
          <w:snapToGrid w:val="0"/>
          <w:color w:val="auto"/>
          <w:kern w:val="2"/>
          <w:sz w:val="24"/>
          <w:szCs w:val="21"/>
          <w:highlight w:val="none"/>
          <w:lang w:val="en-US" w:eastAsia="zh-CN"/>
        </w:rPr>
        <w:t>2.1.3</w:t>
      </w:r>
      <w:r>
        <w:rPr>
          <w:rFonts w:hint="eastAsia" w:ascii="仿宋" w:hAnsi="仿宋" w:eastAsia="仿宋" w:cs="仿宋"/>
          <w:snapToGrid w:val="0"/>
          <w:color w:val="auto"/>
          <w:kern w:val="2"/>
          <w:sz w:val="24"/>
          <w:szCs w:val="21"/>
          <w:highlight w:val="none"/>
          <w:lang w:val="en-US"/>
        </w:rPr>
        <w:t>投标人填报的费率不得超过100%，否则作无效标处理。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2.2综合单价应包括完成全部检测内容所需的一切人工、工具、设备、保险、交通、利润、税金、其它需乙方承担的费用及潜在满足甲方监管要求可能涉及的一切费用。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bCs/>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2.3综合单价在合同执行期内固定不变，因各种原因而导致费用的增减，甲方均不考虑补偿，结算总价根据完成的检测项目数量按实结算，</w:t>
      </w:r>
      <w:r>
        <w:rPr>
          <w:rFonts w:hint="eastAsia" w:ascii="仿宋" w:hAnsi="仿宋" w:eastAsia="仿宋" w:cs="仿宋"/>
          <w:b/>
          <w:bCs/>
          <w:snapToGrid w:val="0"/>
          <w:color w:val="auto"/>
          <w:kern w:val="2"/>
          <w:sz w:val="24"/>
          <w:szCs w:val="21"/>
          <w:highlight w:val="none"/>
          <w:lang w:val="en-US" w:eastAsia="zh-CN" w:bidi="ar-SA"/>
        </w:rPr>
        <w:t>具体检测数量由采购人后期明确。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b w:val="0"/>
          <w:bCs w:val="0"/>
          <w:snapToGrid w:val="0"/>
          <w:color w:val="auto"/>
          <w:sz w:val="24"/>
          <w:szCs w:val="21"/>
          <w:highlight w:val="none"/>
          <w:lang w:val="en-US" w:eastAsia="zh-CN"/>
        </w:rPr>
        <w:t>2.4每个标项支付金额的上限为相应标项的预算金额。如累计工作量的应支付金额超过最高限价（即标项预算金额）10%（含）以内的，中标人应已在报价中充分考虑，采购人不再另行支付。中标人有义务提醒采购人项目总价的实时统计情况，以免累计合同金额超过相应标项的预算金额。</w:t>
      </w:r>
    </w:p>
    <w:p>
      <w:pPr>
        <w:pStyle w:val="25"/>
        <w:numPr>
          <w:ilvl w:val="0"/>
          <w:numId w:val="4"/>
        </w:numPr>
        <w:spacing w:line="360" w:lineRule="auto"/>
        <w:ind w:left="0" w:leftChars="0" w:firstLine="0" w:firstLineChars="0"/>
        <w:rPr>
          <w:rFonts w:hint="eastAsia" w:ascii="仿宋" w:hAnsi="仿宋" w:eastAsia="仿宋" w:cs="仿宋"/>
          <w:b/>
          <w:bCs/>
          <w:snapToGrid w:val="0"/>
          <w:color w:val="auto"/>
          <w:kern w:val="2"/>
          <w:sz w:val="24"/>
          <w:szCs w:val="21"/>
          <w:highlight w:val="none"/>
          <w:lang w:val="en-US" w:eastAsia="zh-CN" w:bidi="ar-SA"/>
        </w:rPr>
      </w:pPr>
      <w:r>
        <w:rPr>
          <w:rFonts w:hint="eastAsia" w:ascii="仿宋" w:hAnsi="仿宋" w:eastAsia="仿宋" w:cs="仿宋"/>
          <w:b/>
          <w:bCs/>
          <w:snapToGrid w:val="0"/>
          <w:color w:val="auto"/>
          <w:kern w:val="2"/>
          <w:sz w:val="24"/>
          <w:szCs w:val="21"/>
          <w:highlight w:val="none"/>
          <w:lang w:val="en-US" w:eastAsia="zh-CN" w:bidi="ar-SA"/>
        </w:rPr>
        <w:t>检测内容</w:t>
      </w:r>
    </w:p>
    <w:p>
      <w:pPr>
        <w:numPr>
          <w:ilvl w:val="0"/>
          <w:numId w:val="0"/>
        </w:numPr>
        <w:adjustRightInd/>
        <w:spacing w:line="360" w:lineRule="auto"/>
        <w:ind w:firstLine="480" w:firstLineChars="200"/>
        <w:rPr>
          <w:rFonts w:hint="eastAsia"/>
          <w:lang w:val="en-US" w:eastAsia="zh-CN"/>
        </w:rPr>
      </w:pPr>
      <w:r>
        <w:rPr>
          <w:rFonts w:hint="eastAsia" w:ascii="仿宋" w:hAnsi="仿宋" w:eastAsia="仿宋" w:cs="仿宋"/>
          <w:snapToGrid w:val="0"/>
          <w:color w:val="auto"/>
          <w:sz w:val="24"/>
          <w:szCs w:val="21"/>
          <w:highlight w:val="none"/>
          <w:lang w:val="en-US" w:eastAsia="zh-CN"/>
        </w:rPr>
        <w:t>标项一内容：</w:t>
      </w:r>
    </w:p>
    <w:tbl>
      <w:tblPr>
        <w:tblStyle w:val="63"/>
        <w:tblpPr w:leftFromText="180" w:rightFromText="180" w:vertAnchor="text" w:horzAnchor="page" w:tblpX="1948" w:tblpY="725"/>
        <w:tblOverlap w:val="never"/>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00"/>
        <w:gridCol w:w="3118"/>
        <w:gridCol w:w="1385"/>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blHeader/>
        </w:trPr>
        <w:tc>
          <w:tcPr>
            <w:tcW w:w="995" w:type="dxa"/>
            <w:noWrap w:val="0"/>
            <w:vAlign w:val="center"/>
          </w:tcPr>
          <w:p>
            <w:pPr>
              <w:adjustRightInd w:val="0"/>
              <w:snapToGrid w:val="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 号</w:t>
            </w:r>
          </w:p>
        </w:tc>
        <w:tc>
          <w:tcPr>
            <w:tcW w:w="900" w:type="dxa"/>
            <w:noWrap w:val="0"/>
            <w:vAlign w:val="center"/>
          </w:tcPr>
          <w:p>
            <w:pPr>
              <w:adjustRightInd w:val="0"/>
              <w:snapToGrid w:val="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代码</w:t>
            </w:r>
          </w:p>
        </w:tc>
        <w:tc>
          <w:tcPr>
            <w:tcW w:w="3118" w:type="dxa"/>
            <w:noWrap w:val="0"/>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主要检测项目</w:t>
            </w:r>
          </w:p>
        </w:tc>
        <w:tc>
          <w:tcPr>
            <w:tcW w:w="1385" w:type="dxa"/>
            <w:noWrap w:val="0"/>
            <w:vAlign w:val="center"/>
          </w:tcPr>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单位</w:t>
            </w:r>
          </w:p>
        </w:tc>
        <w:tc>
          <w:tcPr>
            <w:tcW w:w="1643" w:type="dxa"/>
            <w:noWrap w:val="0"/>
            <w:vAlign w:val="center"/>
          </w:tcPr>
          <w:p>
            <w:pPr>
              <w:spacing w:line="360" w:lineRule="auto"/>
              <w:jc w:val="cente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综合单价最高限价（元/项）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p>
        </w:tc>
        <w:tc>
          <w:tcPr>
            <w:tcW w:w="900"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Q01</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塔式起重机</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w:t>
            </w:r>
          </w:p>
        </w:tc>
        <w:tc>
          <w:tcPr>
            <w:tcW w:w="900"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Q02</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施工升降机（人货梯）</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w:t>
            </w:r>
          </w:p>
        </w:tc>
        <w:tc>
          <w:tcPr>
            <w:tcW w:w="900"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Q03</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施工升降机（货用）</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center"/>
          </w:tcPr>
          <w:p>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4</w:t>
            </w:r>
          </w:p>
        </w:tc>
        <w:tc>
          <w:tcPr>
            <w:tcW w:w="900"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Q0</w:t>
            </w:r>
            <w:r>
              <w:rPr>
                <w:rFonts w:hint="eastAsia" w:ascii="仿宋" w:hAnsi="仿宋" w:eastAsia="仿宋" w:cs="仿宋"/>
                <w:color w:val="auto"/>
                <w:szCs w:val="21"/>
                <w:highlight w:val="none"/>
                <w:lang w:val="en-US" w:eastAsia="zh-CN"/>
              </w:rPr>
              <w:t>4</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门式起重机</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center"/>
          </w:tcPr>
          <w:p>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5</w:t>
            </w:r>
          </w:p>
        </w:tc>
        <w:tc>
          <w:tcPr>
            <w:tcW w:w="900"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Q0</w:t>
            </w:r>
            <w:r>
              <w:rPr>
                <w:rFonts w:hint="eastAsia" w:ascii="仿宋" w:hAnsi="仿宋" w:eastAsia="仿宋" w:cs="仿宋"/>
                <w:color w:val="auto"/>
                <w:szCs w:val="21"/>
                <w:highlight w:val="none"/>
                <w:lang w:val="en-US" w:eastAsia="zh-CN"/>
              </w:rPr>
              <w:t>5</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高处作业吊蓝</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center"/>
          </w:tcPr>
          <w:p>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6</w:t>
            </w:r>
          </w:p>
        </w:tc>
        <w:tc>
          <w:tcPr>
            <w:tcW w:w="900"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Q0</w:t>
            </w:r>
            <w:r>
              <w:rPr>
                <w:rFonts w:hint="eastAsia" w:ascii="仿宋" w:hAnsi="仿宋" w:eastAsia="仿宋" w:cs="仿宋"/>
                <w:color w:val="auto"/>
                <w:szCs w:val="21"/>
                <w:highlight w:val="none"/>
                <w:lang w:val="en-US" w:eastAsia="zh-CN"/>
              </w:rPr>
              <w:t>6</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塔式起重机无损检测</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5" w:type="dxa"/>
            <w:noWrap w:val="0"/>
            <w:vAlign w:val="center"/>
          </w:tcPr>
          <w:p>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7</w:t>
            </w:r>
          </w:p>
        </w:tc>
        <w:tc>
          <w:tcPr>
            <w:tcW w:w="900"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Q</w:t>
            </w:r>
            <w:r>
              <w:rPr>
                <w:rFonts w:hint="eastAsia" w:ascii="仿宋" w:hAnsi="仿宋" w:eastAsia="仿宋" w:cs="仿宋"/>
                <w:color w:val="auto"/>
                <w:szCs w:val="21"/>
                <w:highlight w:val="none"/>
                <w:lang w:val="en-US" w:eastAsia="zh-CN"/>
              </w:rPr>
              <w:t>07</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施工升降机（人货梯）无损检测</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5" w:type="dxa"/>
            <w:noWrap w:val="0"/>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c>
          <w:tcPr>
            <w:tcW w:w="7046" w:type="dxa"/>
            <w:gridSpan w:val="4"/>
            <w:noWrap w:val="0"/>
            <w:vAlign w:val="center"/>
          </w:tcPr>
          <w:p>
            <w:pPr>
              <w:spacing w:line="0" w:lineRule="atLeas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未注明的应包含规范规定的所有检测项</w:t>
            </w:r>
          </w:p>
        </w:tc>
      </w:tr>
    </w:tbl>
    <w:p>
      <w:pPr>
        <w:ind w:firstLine="420" w:firstLineChars="175"/>
        <w:rPr>
          <w:rFonts w:hint="eastAsia" w:asciiTheme="majorEastAsia" w:hAnsiTheme="majorEastAsia" w:eastAsiaTheme="majorEastAsia" w:cstheme="majorEastAsia"/>
          <w:snapToGrid w:val="0"/>
          <w:color w:val="auto"/>
          <w:kern w:val="2"/>
          <w:sz w:val="24"/>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ajorEastAsia" w:hAnsiTheme="majorEastAsia" w:eastAsiaTheme="majorEastAsia" w:cstheme="majorEastAsia"/>
          <w:snapToGrid w:val="0"/>
          <w:color w:val="auto"/>
          <w:kern w:val="2"/>
          <w:sz w:val="24"/>
          <w:szCs w:val="21"/>
          <w:highlight w:val="none"/>
          <w:lang w:val="en-US" w:eastAsia="zh-CN" w:bidi="ar-SA"/>
        </w:rPr>
      </w:pPr>
    </w:p>
    <w:p>
      <w:pPr>
        <w:numPr>
          <w:ilvl w:val="0"/>
          <w:numId w:val="0"/>
        </w:numPr>
        <w:ind w:leftChars="200"/>
        <w:rPr>
          <w:rFonts w:hint="eastAsia" w:asciiTheme="majorEastAsia" w:hAnsiTheme="majorEastAsia" w:eastAsiaTheme="majorEastAsia" w:cstheme="majorEastAsia"/>
          <w:color w:val="auto"/>
          <w:highlight w:val="none"/>
          <w:lang w:val="en-US" w:eastAsia="zh-CN"/>
        </w:rPr>
      </w:pPr>
    </w:p>
    <w:p>
      <w:pPr>
        <w:spacing w:line="240" w:lineRule="auto"/>
        <w:rPr>
          <w:rFonts w:hint="eastAsia" w:asciiTheme="majorEastAsia" w:hAnsiTheme="majorEastAsia" w:eastAsiaTheme="majorEastAsia" w:cstheme="majorEastAsia"/>
          <w:b/>
          <w:bCs/>
          <w:snapToGrid w:val="0"/>
          <w:color w:val="auto"/>
          <w:szCs w:val="21"/>
          <w:highlight w:val="none"/>
        </w:rPr>
      </w:pPr>
    </w:p>
    <w:p>
      <w:pPr>
        <w:pStyle w:val="2"/>
        <w:ind w:left="0" w:firstLine="0"/>
        <w:rPr>
          <w:rFonts w:hint="eastAsia"/>
        </w:rPr>
      </w:pPr>
    </w:p>
    <w:p>
      <w:pPr>
        <w:numPr>
          <w:ilvl w:val="0"/>
          <w:numId w:val="0"/>
        </w:numPr>
        <w:adjustRightInd/>
        <w:spacing w:line="360" w:lineRule="auto"/>
        <w:ind w:firstLine="480" w:firstLineChars="200"/>
        <w:rPr>
          <w:rFonts w:hint="eastAsia"/>
          <w:lang w:val="en-US" w:eastAsia="zh-CN"/>
        </w:rPr>
      </w:pPr>
      <w:r>
        <w:rPr>
          <w:rFonts w:hint="eastAsia" w:ascii="仿宋" w:hAnsi="仿宋" w:eastAsia="仿宋" w:cs="仿宋"/>
          <w:snapToGrid w:val="0"/>
          <w:color w:val="auto"/>
          <w:sz w:val="24"/>
          <w:szCs w:val="21"/>
          <w:highlight w:val="none"/>
          <w:lang w:val="en-US" w:eastAsia="zh-CN"/>
        </w:rPr>
        <w:t>标项二内容：</w:t>
      </w:r>
    </w:p>
    <w:tbl>
      <w:tblPr>
        <w:tblStyle w:val="63"/>
        <w:tblpPr w:leftFromText="180" w:rightFromText="180" w:vertAnchor="text" w:horzAnchor="page" w:tblpX="1948" w:tblpY="725"/>
        <w:tblOverlap w:val="never"/>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00"/>
        <w:gridCol w:w="3118"/>
        <w:gridCol w:w="1385"/>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blHeader/>
        </w:trPr>
        <w:tc>
          <w:tcPr>
            <w:tcW w:w="995" w:type="dxa"/>
            <w:noWrap w:val="0"/>
            <w:vAlign w:val="center"/>
          </w:tcPr>
          <w:p>
            <w:pPr>
              <w:adjustRightInd w:val="0"/>
              <w:snapToGrid w:val="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 号</w:t>
            </w:r>
          </w:p>
        </w:tc>
        <w:tc>
          <w:tcPr>
            <w:tcW w:w="900" w:type="dxa"/>
            <w:noWrap w:val="0"/>
            <w:vAlign w:val="center"/>
          </w:tcPr>
          <w:p>
            <w:pPr>
              <w:adjustRightInd w:val="0"/>
              <w:snapToGrid w:val="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代码</w:t>
            </w:r>
          </w:p>
        </w:tc>
        <w:tc>
          <w:tcPr>
            <w:tcW w:w="3118" w:type="dxa"/>
            <w:noWrap w:val="0"/>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主要检测项目</w:t>
            </w:r>
          </w:p>
        </w:tc>
        <w:tc>
          <w:tcPr>
            <w:tcW w:w="1385" w:type="dxa"/>
            <w:noWrap w:val="0"/>
            <w:vAlign w:val="center"/>
          </w:tcPr>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单位</w:t>
            </w:r>
          </w:p>
        </w:tc>
        <w:tc>
          <w:tcPr>
            <w:tcW w:w="1643" w:type="dxa"/>
            <w:noWrap w:val="0"/>
            <w:vAlign w:val="center"/>
          </w:tcPr>
          <w:p>
            <w:pPr>
              <w:spacing w:line="360" w:lineRule="auto"/>
              <w:jc w:val="center"/>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综合单价最高限价（元/项）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p>
        </w:tc>
        <w:tc>
          <w:tcPr>
            <w:tcW w:w="900"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Q01</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塔式起重机</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w:t>
            </w:r>
          </w:p>
        </w:tc>
        <w:tc>
          <w:tcPr>
            <w:tcW w:w="900"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Q02</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施工升降机（人货梯）</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w:t>
            </w:r>
          </w:p>
        </w:tc>
        <w:tc>
          <w:tcPr>
            <w:tcW w:w="900"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Q03</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施工升降机（货用）</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4</w:t>
            </w:r>
          </w:p>
        </w:tc>
        <w:tc>
          <w:tcPr>
            <w:tcW w:w="900"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Q0</w:t>
            </w:r>
            <w:r>
              <w:rPr>
                <w:rFonts w:hint="eastAsia" w:ascii="仿宋" w:hAnsi="仿宋" w:eastAsia="仿宋" w:cs="仿宋"/>
                <w:color w:val="auto"/>
                <w:szCs w:val="21"/>
                <w:highlight w:val="none"/>
                <w:lang w:val="en-US" w:eastAsia="zh-CN"/>
              </w:rPr>
              <w:t>4</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高处作业吊蓝</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pPr>
              <w:spacing w:line="36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5</w:t>
            </w:r>
          </w:p>
        </w:tc>
        <w:tc>
          <w:tcPr>
            <w:tcW w:w="900" w:type="dxa"/>
            <w:noWrap w:val="0"/>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Q0</w:t>
            </w:r>
            <w:r>
              <w:rPr>
                <w:rFonts w:hint="eastAsia" w:ascii="仿宋" w:hAnsi="仿宋" w:eastAsia="仿宋" w:cs="仿宋"/>
                <w:color w:val="auto"/>
                <w:szCs w:val="21"/>
                <w:highlight w:val="none"/>
                <w:lang w:val="en-US" w:eastAsia="zh-CN"/>
              </w:rPr>
              <w:t>5</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附着式升降脚手架</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pPr>
              <w:spacing w:line="360"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6</w:t>
            </w:r>
          </w:p>
        </w:tc>
        <w:tc>
          <w:tcPr>
            <w:tcW w:w="900"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Q0</w:t>
            </w:r>
            <w:r>
              <w:rPr>
                <w:rFonts w:hint="eastAsia" w:ascii="仿宋" w:hAnsi="仿宋" w:eastAsia="仿宋" w:cs="仿宋"/>
                <w:color w:val="auto"/>
                <w:szCs w:val="21"/>
                <w:highlight w:val="none"/>
                <w:lang w:val="en-US" w:eastAsia="zh-CN"/>
              </w:rPr>
              <w:t>6</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塔式起重机无损检测</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noWrap w:val="0"/>
            <w:vAlign w:val="bottom"/>
          </w:tcPr>
          <w:p>
            <w:pPr>
              <w:spacing w:line="360" w:lineRule="auto"/>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7</w:t>
            </w:r>
          </w:p>
        </w:tc>
        <w:tc>
          <w:tcPr>
            <w:tcW w:w="900"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Q</w:t>
            </w:r>
            <w:r>
              <w:rPr>
                <w:rFonts w:hint="eastAsia" w:ascii="仿宋" w:hAnsi="仿宋" w:eastAsia="仿宋" w:cs="仿宋"/>
                <w:color w:val="auto"/>
                <w:szCs w:val="21"/>
                <w:highlight w:val="none"/>
                <w:lang w:val="en-US" w:eastAsia="zh-CN"/>
              </w:rPr>
              <w:t>07</w:t>
            </w:r>
          </w:p>
        </w:tc>
        <w:tc>
          <w:tcPr>
            <w:tcW w:w="3118"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施工升降机（人货梯）无损检测</w:t>
            </w:r>
          </w:p>
        </w:tc>
        <w:tc>
          <w:tcPr>
            <w:tcW w:w="1385"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1643"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5" w:type="dxa"/>
            <w:noWrap w:val="0"/>
            <w:vAlign w:val="center"/>
          </w:tcPr>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c>
          <w:tcPr>
            <w:tcW w:w="7046" w:type="dxa"/>
            <w:gridSpan w:val="4"/>
            <w:noWrap w:val="0"/>
            <w:vAlign w:val="center"/>
          </w:tcPr>
          <w:p>
            <w:pPr>
              <w:spacing w:line="0" w:lineRule="atLeas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未注明的应包含规范规定的所有检测项</w:t>
            </w:r>
          </w:p>
        </w:tc>
      </w:tr>
    </w:tbl>
    <w:p>
      <w:pPr>
        <w:ind w:firstLine="361"/>
        <w:rPr>
          <w:rFonts w:hint="eastAsia"/>
        </w:rPr>
      </w:pPr>
    </w:p>
    <w:p>
      <w:pPr>
        <w:spacing w:line="240" w:lineRule="auto"/>
        <w:rPr>
          <w:rFonts w:hint="eastAsia" w:asciiTheme="majorEastAsia" w:hAnsiTheme="majorEastAsia" w:eastAsiaTheme="majorEastAsia" w:cstheme="majorEastAsia"/>
          <w:b/>
          <w:bCs/>
          <w:snapToGrid w:val="0"/>
          <w:color w:val="auto"/>
          <w:szCs w:val="21"/>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b/>
          <w:bCs/>
          <w:snapToGrid w:val="0"/>
          <w:color w:val="auto"/>
          <w:sz w:val="24"/>
          <w:szCs w:val="24"/>
          <w:highlight w:val="none"/>
        </w:rPr>
      </w:pPr>
    </w:p>
    <w:p>
      <w:pPr>
        <w:spacing w:line="360" w:lineRule="auto"/>
        <w:ind w:firstLine="0" w:firstLineChars="0"/>
        <w:rPr>
          <w:rFonts w:hint="eastAsia" w:ascii="仿宋" w:hAnsi="仿宋" w:eastAsia="仿宋" w:cs="仿宋"/>
          <w:snapToGrid w:val="0"/>
          <w:color w:val="auto"/>
          <w:sz w:val="24"/>
          <w:szCs w:val="24"/>
          <w:highlight w:val="none"/>
        </w:rPr>
      </w:pPr>
      <w:r>
        <w:rPr>
          <w:rFonts w:hint="eastAsia" w:ascii="仿宋" w:hAnsi="仿宋" w:eastAsia="仿宋" w:cs="仿宋"/>
          <w:b/>
          <w:bCs/>
          <w:snapToGrid w:val="0"/>
          <w:color w:val="auto"/>
          <w:sz w:val="24"/>
          <w:szCs w:val="24"/>
          <w:highlight w:val="none"/>
        </w:rPr>
        <w:t>（三）服务期</w:t>
      </w:r>
    </w:p>
    <w:p>
      <w:pPr>
        <w:tabs>
          <w:tab w:val="left" w:pos="1080"/>
        </w:tabs>
        <w:adjustRightInd w:val="0"/>
        <w:snapToGrid w:val="0"/>
        <w:spacing w:line="360" w:lineRule="auto"/>
        <w:ind w:firstLine="482" w:firstLineChars="20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一年。</w:t>
      </w:r>
    </w:p>
    <w:p>
      <w:pPr>
        <w:spacing w:line="360" w:lineRule="auto"/>
        <w:ind w:firstLine="0" w:firstLineChars="0"/>
        <w:rPr>
          <w:rFonts w:hint="eastAsia" w:ascii="仿宋" w:hAnsi="仿宋" w:eastAsia="仿宋" w:cs="仿宋"/>
          <w:snapToGrid w:val="0"/>
          <w:color w:val="auto"/>
          <w:sz w:val="24"/>
          <w:szCs w:val="24"/>
          <w:highlight w:val="none"/>
        </w:rPr>
      </w:pPr>
      <w:r>
        <w:rPr>
          <w:rFonts w:hint="eastAsia" w:ascii="仿宋" w:hAnsi="仿宋" w:eastAsia="仿宋" w:cs="仿宋"/>
          <w:b/>
          <w:bCs/>
          <w:snapToGrid w:val="0"/>
          <w:color w:val="auto"/>
          <w:sz w:val="24"/>
          <w:szCs w:val="24"/>
          <w:highlight w:val="none"/>
        </w:rPr>
        <w:t>（四）实施地点</w:t>
      </w:r>
    </w:p>
    <w:p>
      <w:pPr>
        <w:tabs>
          <w:tab w:val="left" w:pos="1080"/>
        </w:tabs>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实施地点主要在杭州钱塘区。</w:t>
      </w:r>
    </w:p>
    <w:p>
      <w:pPr>
        <w:spacing w:line="360" w:lineRule="auto"/>
        <w:ind w:firstLine="0" w:firstLineChars="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（五）技术规范</w:t>
      </w:r>
    </w:p>
    <w:p>
      <w:pPr>
        <w:tabs>
          <w:tab w:val="left" w:pos="1080"/>
        </w:tabs>
        <w:adjustRightInd w:val="0"/>
        <w:snapToGrid w:val="0"/>
        <w:spacing w:line="360" w:lineRule="auto"/>
        <w:ind w:left="0" w:leftChars="0"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检测工作按照相关国家和省、市检测规范、标准执行。</w:t>
      </w:r>
    </w:p>
    <w:p>
      <w:pPr>
        <w:numPr>
          <w:ilvl w:val="0"/>
          <w:numId w:val="0"/>
        </w:numPr>
        <w:spacing w:line="360" w:lineRule="auto"/>
        <w:jc w:val="both"/>
        <w:rPr>
          <w:rFonts w:hint="eastAsia" w:ascii="仿宋" w:hAnsi="仿宋" w:eastAsia="仿宋" w:cs="仿宋"/>
          <w:b/>
          <w:bCs/>
          <w:color w:val="auto"/>
          <w:sz w:val="24"/>
          <w:szCs w:val="24"/>
          <w:highlight w:val="none"/>
          <w:lang w:val="en-US" w:eastAsia="zh-CN"/>
        </w:rPr>
      </w:pPr>
    </w:p>
    <w:p>
      <w:pPr>
        <w:rPr>
          <w:rFonts w:hint="eastAsia" w:asciiTheme="majorEastAsia" w:hAnsiTheme="majorEastAsia" w:eastAsiaTheme="majorEastAsia" w:cstheme="majorEastAsia"/>
          <w:snapToGrid w:val="0"/>
          <w:color w:val="auto"/>
          <w:kern w:val="2"/>
          <w:sz w:val="24"/>
          <w:szCs w:val="21"/>
          <w:highlight w:val="none"/>
          <w:lang w:val="en-US" w:eastAsia="zh-CN" w:bidi="ar-SA"/>
        </w:rPr>
      </w:pPr>
      <w:r>
        <w:rPr>
          <w:rFonts w:hint="eastAsia" w:asciiTheme="majorEastAsia" w:hAnsiTheme="majorEastAsia" w:eastAsiaTheme="majorEastAsia" w:cstheme="majorEastAsia"/>
          <w:snapToGrid w:val="0"/>
          <w:color w:val="auto"/>
          <w:kern w:val="2"/>
          <w:sz w:val="24"/>
          <w:szCs w:val="21"/>
          <w:highlight w:val="none"/>
          <w:lang w:val="en-US" w:eastAsia="zh-CN" w:bidi="ar-SA"/>
        </w:rPr>
        <w:br w:type="page"/>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53" w:name="_Toc184308037"/>
      <w:bookmarkEnd w:id="53"/>
      <w:bookmarkStart w:id="54" w:name="_Toc184313248"/>
      <w:bookmarkEnd w:id="54"/>
      <w:bookmarkStart w:id="55" w:name="_Toc184312075"/>
      <w:bookmarkEnd w:id="55"/>
      <w:bookmarkStart w:id="56" w:name="_Toc184312135"/>
      <w:bookmarkEnd w:id="56"/>
      <w:bookmarkStart w:id="57" w:name="_Toc184314440"/>
      <w:bookmarkEnd w:id="57"/>
      <w:bookmarkStart w:id="58" w:name="_Toc184313275"/>
      <w:bookmarkEnd w:id="58"/>
      <w:bookmarkStart w:id="59" w:name="_Toc184314471"/>
      <w:bookmarkEnd w:id="59"/>
      <w:bookmarkStart w:id="60" w:name="_Toc184308036"/>
      <w:bookmarkEnd w:id="60"/>
      <w:bookmarkStart w:id="61" w:name="_Toc184314469"/>
      <w:bookmarkEnd w:id="61"/>
      <w:bookmarkStart w:id="62" w:name="_Toc184308095"/>
      <w:bookmarkEnd w:id="62"/>
      <w:bookmarkStart w:id="63" w:name="_Toc184313252"/>
      <w:bookmarkEnd w:id="63"/>
      <w:bookmarkStart w:id="64" w:name="_Toc184314450"/>
      <w:bookmarkEnd w:id="64"/>
      <w:bookmarkStart w:id="65" w:name="_Toc184312134"/>
      <w:bookmarkEnd w:id="65"/>
      <w:bookmarkStart w:id="66" w:name="_Toc184310329"/>
      <w:bookmarkEnd w:id="66"/>
      <w:bookmarkStart w:id="67" w:name="_Toc184313276"/>
      <w:bookmarkEnd w:id="67"/>
      <w:bookmarkStart w:id="68" w:name="_Toc184310282"/>
      <w:bookmarkEnd w:id="68"/>
      <w:bookmarkStart w:id="69" w:name="_Toc184308108"/>
      <w:bookmarkEnd w:id="69"/>
      <w:bookmarkStart w:id="70" w:name="_Toc184314428"/>
      <w:bookmarkEnd w:id="70"/>
      <w:bookmarkStart w:id="71" w:name="_Toc184310328"/>
      <w:bookmarkEnd w:id="71"/>
      <w:bookmarkStart w:id="72" w:name="_Toc184310292"/>
      <w:bookmarkEnd w:id="72"/>
      <w:bookmarkStart w:id="73" w:name="_Toc184308081"/>
      <w:bookmarkEnd w:id="73"/>
      <w:bookmarkStart w:id="74" w:name="_Toc184312131"/>
      <w:bookmarkEnd w:id="74"/>
      <w:bookmarkStart w:id="75" w:name="_Toc184308101"/>
      <w:bookmarkEnd w:id="75"/>
      <w:bookmarkStart w:id="76" w:name="_Toc184308057"/>
      <w:bookmarkEnd w:id="76"/>
      <w:bookmarkStart w:id="77" w:name="_Toc184308042"/>
      <w:bookmarkEnd w:id="77"/>
      <w:bookmarkStart w:id="78" w:name="_Toc184313255"/>
      <w:bookmarkEnd w:id="78"/>
      <w:bookmarkStart w:id="79" w:name="_Toc184312074"/>
      <w:bookmarkEnd w:id="79"/>
      <w:bookmarkStart w:id="80" w:name="_Toc184310286"/>
      <w:bookmarkEnd w:id="80"/>
      <w:bookmarkStart w:id="81" w:name="_Toc184314461"/>
      <w:bookmarkEnd w:id="81"/>
      <w:bookmarkStart w:id="82" w:name="_Toc184310291"/>
      <w:bookmarkEnd w:id="82"/>
      <w:bookmarkStart w:id="83" w:name="_Toc184312079"/>
      <w:bookmarkEnd w:id="83"/>
      <w:bookmarkStart w:id="84" w:name="_Toc184312082"/>
      <w:bookmarkEnd w:id="84"/>
      <w:bookmarkStart w:id="85" w:name="_Toc184313310"/>
      <w:bookmarkEnd w:id="85"/>
      <w:bookmarkStart w:id="86" w:name="_Toc184310294"/>
      <w:bookmarkEnd w:id="86"/>
      <w:bookmarkStart w:id="87" w:name="_Toc184314429"/>
      <w:bookmarkEnd w:id="87"/>
      <w:bookmarkStart w:id="88" w:name="_Toc184313245"/>
      <w:bookmarkEnd w:id="88"/>
      <w:bookmarkStart w:id="89" w:name="_Toc184313303"/>
      <w:bookmarkEnd w:id="89"/>
      <w:bookmarkStart w:id="90" w:name="_Toc184312073"/>
      <w:bookmarkEnd w:id="90"/>
      <w:bookmarkStart w:id="91" w:name="_Toc184314456"/>
      <w:bookmarkEnd w:id="91"/>
      <w:bookmarkStart w:id="92" w:name="_Toc184313259"/>
      <w:bookmarkEnd w:id="92"/>
      <w:bookmarkStart w:id="93" w:name="_Toc184314453"/>
      <w:bookmarkEnd w:id="93"/>
      <w:bookmarkStart w:id="94" w:name="_Toc184312093"/>
      <w:bookmarkEnd w:id="94"/>
      <w:bookmarkStart w:id="95" w:name="_Toc184314433"/>
      <w:bookmarkEnd w:id="95"/>
      <w:bookmarkStart w:id="96" w:name="_Toc184314438"/>
      <w:bookmarkEnd w:id="96"/>
      <w:bookmarkStart w:id="97" w:name="_Toc184313249"/>
      <w:bookmarkEnd w:id="97"/>
      <w:bookmarkStart w:id="98" w:name="_Toc184310278"/>
      <w:bookmarkEnd w:id="98"/>
      <w:bookmarkStart w:id="99" w:name="_Toc184314419"/>
      <w:bookmarkEnd w:id="99"/>
      <w:bookmarkStart w:id="100" w:name="_Toc184310284"/>
      <w:bookmarkEnd w:id="100"/>
      <w:bookmarkStart w:id="101" w:name="_Toc184313286"/>
      <w:bookmarkEnd w:id="101"/>
      <w:bookmarkStart w:id="102" w:name="_Toc184314424"/>
      <w:bookmarkEnd w:id="102"/>
      <w:bookmarkStart w:id="103" w:name="_Toc184308103"/>
      <w:bookmarkEnd w:id="103"/>
      <w:bookmarkStart w:id="104" w:name="_Toc184313285"/>
      <w:bookmarkEnd w:id="104"/>
      <w:bookmarkStart w:id="105" w:name="_Toc184314432"/>
      <w:bookmarkEnd w:id="105"/>
      <w:bookmarkStart w:id="106" w:name="_Toc184310301"/>
      <w:bookmarkEnd w:id="106"/>
      <w:bookmarkStart w:id="107" w:name="_Toc184312127"/>
      <w:bookmarkEnd w:id="107"/>
      <w:bookmarkStart w:id="108" w:name="_Toc184310281"/>
      <w:bookmarkEnd w:id="108"/>
      <w:bookmarkStart w:id="109" w:name="_Toc184310289"/>
      <w:bookmarkEnd w:id="109"/>
      <w:bookmarkStart w:id="110" w:name="_Toc184312069"/>
      <w:bookmarkEnd w:id="110"/>
      <w:bookmarkStart w:id="111" w:name="_Toc184313294"/>
      <w:bookmarkEnd w:id="111"/>
      <w:bookmarkStart w:id="112" w:name="_Toc184310325"/>
      <w:bookmarkEnd w:id="112"/>
      <w:bookmarkStart w:id="113" w:name="_Toc184313301"/>
      <w:bookmarkEnd w:id="113"/>
      <w:bookmarkStart w:id="114" w:name="_Toc184312121"/>
      <w:bookmarkEnd w:id="114"/>
      <w:bookmarkStart w:id="115" w:name="_Toc184310279"/>
      <w:bookmarkEnd w:id="115"/>
      <w:bookmarkStart w:id="116" w:name="_Toc184314418"/>
      <w:bookmarkEnd w:id="116"/>
      <w:bookmarkStart w:id="117" w:name="_Toc184314446"/>
      <w:bookmarkEnd w:id="117"/>
      <w:bookmarkStart w:id="118" w:name="_Toc184308089"/>
      <w:bookmarkEnd w:id="118"/>
      <w:bookmarkStart w:id="119" w:name="_Toc184308047"/>
      <w:bookmarkEnd w:id="119"/>
      <w:bookmarkStart w:id="120" w:name="_Toc184308100"/>
      <w:bookmarkEnd w:id="120"/>
      <w:bookmarkStart w:id="121" w:name="_Toc184308070"/>
      <w:bookmarkEnd w:id="121"/>
      <w:bookmarkStart w:id="122" w:name="_Toc184312113"/>
      <w:bookmarkEnd w:id="122"/>
      <w:bookmarkStart w:id="123" w:name="_Toc184314466"/>
      <w:bookmarkEnd w:id="123"/>
      <w:bookmarkStart w:id="124" w:name="_Toc184313306"/>
      <w:bookmarkEnd w:id="124"/>
      <w:bookmarkStart w:id="125" w:name="_Toc184312118"/>
      <w:bookmarkEnd w:id="125"/>
      <w:bookmarkStart w:id="126" w:name="_Toc184310288"/>
      <w:bookmarkEnd w:id="126"/>
      <w:bookmarkStart w:id="127" w:name="_Toc184314421"/>
      <w:bookmarkEnd w:id="127"/>
      <w:bookmarkStart w:id="128" w:name="_Toc184312123"/>
      <w:bookmarkEnd w:id="128"/>
      <w:bookmarkStart w:id="129" w:name="_Toc184312103"/>
      <w:bookmarkEnd w:id="129"/>
      <w:bookmarkStart w:id="130" w:name="_Toc184313283"/>
      <w:bookmarkEnd w:id="130"/>
      <w:bookmarkStart w:id="131" w:name="_Toc184313279"/>
      <w:bookmarkEnd w:id="131"/>
      <w:bookmarkStart w:id="132" w:name="_Toc184308077"/>
      <w:bookmarkEnd w:id="132"/>
      <w:bookmarkStart w:id="133" w:name="_Toc184314473"/>
      <w:bookmarkEnd w:id="133"/>
      <w:bookmarkStart w:id="134" w:name="_Toc184310273"/>
      <w:bookmarkEnd w:id="134"/>
      <w:bookmarkStart w:id="135" w:name="_Toc184310298"/>
      <w:bookmarkEnd w:id="135"/>
      <w:bookmarkStart w:id="136" w:name="_Toc184314443"/>
      <w:bookmarkEnd w:id="136"/>
      <w:bookmarkStart w:id="137" w:name="_Toc184310320"/>
      <w:bookmarkEnd w:id="137"/>
      <w:bookmarkStart w:id="138" w:name="_Toc184312126"/>
      <w:bookmarkEnd w:id="138"/>
      <w:bookmarkStart w:id="139" w:name="_Toc184312099"/>
      <w:bookmarkEnd w:id="139"/>
      <w:bookmarkStart w:id="140" w:name="_Toc184312068"/>
      <w:bookmarkEnd w:id="140"/>
      <w:bookmarkStart w:id="141" w:name="_Toc184310323"/>
      <w:bookmarkEnd w:id="141"/>
      <w:bookmarkStart w:id="142" w:name="_Toc184310343"/>
      <w:bookmarkEnd w:id="142"/>
      <w:bookmarkStart w:id="143" w:name="_Toc184312108"/>
      <w:bookmarkEnd w:id="143"/>
      <w:bookmarkStart w:id="144" w:name="_Toc184310324"/>
      <w:bookmarkEnd w:id="144"/>
      <w:bookmarkStart w:id="145" w:name="_Toc184310333"/>
      <w:bookmarkEnd w:id="145"/>
      <w:bookmarkStart w:id="146" w:name="_Toc184308066"/>
      <w:bookmarkEnd w:id="146"/>
      <w:bookmarkStart w:id="147" w:name="_Toc184308064"/>
      <w:bookmarkEnd w:id="147"/>
      <w:bookmarkStart w:id="148" w:name="_Toc184312138"/>
      <w:bookmarkEnd w:id="148"/>
      <w:bookmarkStart w:id="149" w:name="_Toc184314468"/>
      <w:bookmarkEnd w:id="149"/>
      <w:bookmarkStart w:id="150" w:name="_Toc184312072"/>
      <w:bookmarkEnd w:id="150"/>
      <w:bookmarkStart w:id="151" w:name="_Toc184313302"/>
      <w:bookmarkEnd w:id="151"/>
      <w:bookmarkStart w:id="152" w:name="_Toc184313263"/>
      <w:bookmarkEnd w:id="152"/>
      <w:bookmarkStart w:id="153" w:name="_Toc184312119"/>
      <w:bookmarkEnd w:id="153"/>
      <w:bookmarkStart w:id="154" w:name="_Toc184310290"/>
      <w:bookmarkEnd w:id="154"/>
      <w:bookmarkStart w:id="155" w:name="_Toc184314414"/>
      <w:bookmarkEnd w:id="155"/>
      <w:bookmarkStart w:id="156" w:name="_Toc184313309"/>
      <w:bookmarkEnd w:id="156"/>
      <w:bookmarkStart w:id="157" w:name="_Toc184308093"/>
      <w:bookmarkEnd w:id="157"/>
      <w:bookmarkStart w:id="158" w:name="_Toc184314442"/>
      <w:bookmarkEnd w:id="158"/>
      <w:bookmarkStart w:id="159" w:name="_Toc184308039"/>
      <w:bookmarkEnd w:id="159"/>
      <w:bookmarkStart w:id="160" w:name="_Toc184312117"/>
      <w:bookmarkEnd w:id="160"/>
      <w:bookmarkStart w:id="161" w:name="_Toc184308045"/>
      <w:bookmarkEnd w:id="161"/>
      <w:bookmarkStart w:id="162" w:name="_Toc184310308"/>
      <w:bookmarkEnd w:id="162"/>
      <w:bookmarkStart w:id="163" w:name="_Toc184312129"/>
      <w:bookmarkEnd w:id="163"/>
      <w:bookmarkStart w:id="164" w:name="_Toc184308056"/>
      <w:bookmarkEnd w:id="164"/>
      <w:bookmarkStart w:id="165" w:name="_Toc184313266"/>
      <w:bookmarkEnd w:id="165"/>
      <w:bookmarkStart w:id="166" w:name="_Toc184308041"/>
      <w:bookmarkEnd w:id="166"/>
      <w:bookmarkStart w:id="167" w:name="_Toc184312104"/>
      <w:bookmarkEnd w:id="167"/>
      <w:bookmarkStart w:id="168" w:name="_Toc184312106"/>
      <w:bookmarkEnd w:id="168"/>
      <w:bookmarkStart w:id="169" w:name="_Toc184312120"/>
      <w:bookmarkEnd w:id="169"/>
      <w:bookmarkStart w:id="170" w:name="_Toc184314411"/>
      <w:bookmarkEnd w:id="170"/>
      <w:bookmarkStart w:id="171" w:name="_Toc184310330"/>
      <w:bookmarkEnd w:id="171"/>
      <w:bookmarkStart w:id="172" w:name="_Toc184310309"/>
      <w:bookmarkEnd w:id="172"/>
      <w:bookmarkStart w:id="173" w:name="_Toc184308084"/>
      <w:bookmarkEnd w:id="173"/>
      <w:bookmarkStart w:id="174" w:name="_Toc184312078"/>
      <w:bookmarkEnd w:id="174"/>
      <w:bookmarkStart w:id="175" w:name="_Toc184312102"/>
      <w:bookmarkEnd w:id="175"/>
      <w:bookmarkStart w:id="176" w:name="_Toc184310299"/>
      <w:bookmarkEnd w:id="176"/>
      <w:bookmarkStart w:id="177" w:name="_Toc184313304"/>
      <w:bookmarkEnd w:id="177"/>
      <w:bookmarkStart w:id="178" w:name="_Toc184312089"/>
      <w:bookmarkEnd w:id="178"/>
      <w:bookmarkStart w:id="179" w:name="_Toc184314422"/>
      <w:bookmarkEnd w:id="179"/>
      <w:bookmarkStart w:id="180" w:name="_Toc184314482"/>
      <w:bookmarkEnd w:id="180"/>
      <w:bookmarkStart w:id="181" w:name="_Toc184313280"/>
      <w:bookmarkEnd w:id="181"/>
      <w:bookmarkStart w:id="182" w:name="_Toc184312101"/>
      <w:bookmarkEnd w:id="182"/>
      <w:bookmarkStart w:id="183" w:name="_Toc184308048"/>
      <w:bookmarkEnd w:id="183"/>
      <w:bookmarkStart w:id="184" w:name="_Toc184313262"/>
      <w:bookmarkEnd w:id="184"/>
      <w:bookmarkStart w:id="185" w:name="_Toc184313293"/>
      <w:bookmarkEnd w:id="185"/>
      <w:bookmarkStart w:id="186" w:name="_Toc184308083"/>
      <w:bookmarkEnd w:id="186"/>
      <w:bookmarkStart w:id="187" w:name="_Toc184312080"/>
      <w:bookmarkEnd w:id="187"/>
      <w:bookmarkStart w:id="188" w:name="_Toc184314476"/>
      <w:bookmarkEnd w:id="188"/>
      <w:bookmarkStart w:id="189" w:name="_Toc184308055"/>
      <w:bookmarkEnd w:id="189"/>
      <w:bookmarkStart w:id="190" w:name="_Toc184308106"/>
      <w:bookmarkEnd w:id="190"/>
      <w:bookmarkStart w:id="191" w:name="_Toc184308082"/>
      <w:bookmarkEnd w:id="191"/>
      <w:bookmarkStart w:id="192" w:name="_Toc184314426"/>
      <w:bookmarkEnd w:id="192"/>
      <w:bookmarkStart w:id="193" w:name="_Toc184313238"/>
      <w:bookmarkEnd w:id="193"/>
      <w:bookmarkStart w:id="194" w:name="_Toc184312100"/>
      <w:bookmarkEnd w:id="194"/>
      <w:bookmarkStart w:id="195" w:name="_Toc184310285"/>
      <w:bookmarkEnd w:id="195"/>
      <w:bookmarkStart w:id="196" w:name="_Toc184313277"/>
      <w:bookmarkEnd w:id="196"/>
      <w:bookmarkStart w:id="197" w:name="_Toc184312107"/>
      <w:bookmarkEnd w:id="197"/>
      <w:bookmarkStart w:id="198" w:name="_Toc184312124"/>
      <w:bookmarkEnd w:id="198"/>
      <w:bookmarkStart w:id="199" w:name="_Toc184312070"/>
      <w:bookmarkEnd w:id="199"/>
      <w:bookmarkStart w:id="200" w:name="_Toc184314463"/>
      <w:bookmarkEnd w:id="200"/>
      <w:bookmarkStart w:id="201" w:name="_Toc184312071"/>
      <w:bookmarkEnd w:id="201"/>
      <w:bookmarkStart w:id="202" w:name="_Toc184308061"/>
      <w:bookmarkEnd w:id="202"/>
      <w:bookmarkStart w:id="203" w:name="_Toc184312114"/>
      <w:bookmarkEnd w:id="203"/>
      <w:bookmarkStart w:id="204" w:name="_Toc184314410"/>
      <w:bookmarkEnd w:id="204"/>
      <w:bookmarkStart w:id="205" w:name="_Toc184312136"/>
      <w:bookmarkEnd w:id="205"/>
      <w:bookmarkStart w:id="206" w:name="_Toc184310313"/>
      <w:bookmarkEnd w:id="206"/>
      <w:bookmarkStart w:id="207" w:name="_Toc184308080"/>
      <w:bookmarkEnd w:id="207"/>
      <w:bookmarkStart w:id="208" w:name="_Toc184312139"/>
      <w:bookmarkEnd w:id="208"/>
      <w:bookmarkStart w:id="209" w:name="_Toc184310311"/>
      <w:bookmarkEnd w:id="209"/>
      <w:bookmarkStart w:id="210" w:name="_Toc184313271"/>
      <w:bookmarkEnd w:id="210"/>
      <w:bookmarkStart w:id="211" w:name="_Toc184310293"/>
      <w:bookmarkEnd w:id="211"/>
      <w:bookmarkStart w:id="212" w:name="_Toc184310334"/>
      <w:bookmarkEnd w:id="212"/>
      <w:bookmarkStart w:id="213" w:name="_Toc184314459"/>
      <w:bookmarkEnd w:id="213"/>
      <w:bookmarkStart w:id="214" w:name="_Toc184310338"/>
      <w:bookmarkEnd w:id="214"/>
      <w:bookmarkStart w:id="215" w:name="_Toc184308107"/>
      <w:bookmarkEnd w:id="215"/>
      <w:bookmarkStart w:id="216" w:name="_Toc184312111"/>
      <w:bookmarkEnd w:id="216"/>
      <w:bookmarkStart w:id="217" w:name="_Toc184313256"/>
      <w:bookmarkEnd w:id="217"/>
      <w:bookmarkStart w:id="218" w:name="_Toc184308091"/>
      <w:bookmarkEnd w:id="218"/>
      <w:bookmarkStart w:id="219" w:name="_Toc184314465"/>
      <w:bookmarkEnd w:id="219"/>
      <w:bookmarkStart w:id="220" w:name="_Toc184312133"/>
      <w:bookmarkEnd w:id="220"/>
      <w:bookmarkStart w:id="221" w:name="_Toc184312116"/>
      <w:bookmarkEnd w:id="221"/>
      <w:bookmarkStart w:id="222" w:name="_Toc184313282"/>
      <w:bookmarkEnd w:id="222"/>
      <w:bookmarkStart w:id="223" w:name="_Toc184314479"/>
      <w:bookmarkEnd w:id="223"/>
      <w:bookmarkStart w:id="224" w:name="_Toc184310341"/>
      <w:bookmarkEnd w:id="224"/>
      <w:bookmarkStart w:id="225" w:name="_Toc184314413"/>
      <w:bookmarkEnd w:id="225"/>
      <w:bookmarkStart w:id="226" w:name="_Toc184308059"/>
      <w:bookmarkEnd w:id="226"/>
      <w:bookmarkStart w:id="227" w:name="_Toc184313258"/>
      <w:bookmarkEnd w:id="227"/>
      <w:bookmarkStart w:id="228" w:name="_Toc184314416"/>
      <w:bookmarkEnd w:id="228"/>
      <w:bookmarkStart w:id="229" w:name="_Toc184314431"/>
      <w:bookmarkEnd w:id="229"/>
      <w:bookmarkStart w:id="230" w:name="_Toc184312110"/>
      <w:bookmarkEnd w:id="230"/>
      <w:bookmarkStart w:id="231" w:name="_Toc184313264"/>
      <w:bookmarkEnd w:id="231"/>
      <w:bookmarkStart w:id="232" w:name="_Toc184313247"/>
      <w:bookmarkEnd w:id="232"/>
      <w:bookmarkStart w:id="233" w:name="_Toc184308040"/>
      <w:bookmarkEnd w:id="233"/>
      <w:bookmarkStart w:id="234" w:name="_Toc184310319"/>
      <w:bookmarkEnd w:id="234"/>
      <w:bookmarkStart w:id="235" w:name="_Toc184308102"/>
      <w:bookmarkEnd w:id="235"/>
      <w:bookmarkStart w:id="236" w:name="_Toc184313284"/>
      <w:bookmarkEnd w:id="236"/>
      <w:bookmarkStart w:id="237" w:name="_Toc184314467"/>
      <w:bookmarkEnd w:id="237"/>
      <w:bookmarkStart w:id="238" w:name="_Toc184312083"/>
      <w:bookmarkEnd w:id="238"/>
      <w:bookmarkStart w:id="239" w:name="_Toc184310326"/>
      <w:bookmarkEnd w:id="239"/>
      <w:bookmarkStart w:id="240" w:name="_Toc184313269"/>
      <w:bookmarkEnd w:id="240"/>
      <w:bookmarkStart w:id="241" w:name="_Toc184313239"/>
      <w:bookmarkEnd w:id="241"/>
      <w:bookmarkStart w:id="242" w:name="_Toc184308104"/>
      <w:bookmarkEnd w:id="242"/>
      <w:bookmarkStart w:id="243" w:name="_Toc184308060"/>
      <w:bookmarkEnd w:id="243"/>
      <w:bookmarkStart w:id="244" w:name="_Toc184308090"/>
      <w:bookmarkEnd w:id="244"/>
      <w:bookmarkStart w:id="245" w:name="_Toc184313260"/>
      <w:bookmarkEnd w:id="245"/>
      <w:bookmarkStart w:id="246" w:name="_Toc184308074"/>
      <w:bookmarkEnd w:id="246"/>
      <w:bookmarkStart w:id="247" w:name="_Toc184314439"/>
      <w:bookmarkEnd w:id="247"/>
      <w:bookmarkStart w:id="248" w:name="_Toc184310331"/>
      <w:bookmarkEnd w:id="248"/>
      <w:bookmarkStart w:id="249" w:name="_Toc184310307"/>
      <w:bookmarkEnd w:id="249"/>
      <w:bookmarkStart w:id="250" w:name="_Toc184313291"/>
      <w:bookmarkEnd w:id="250"/>
      <w:bookmarkStart w:id="251" w:name="_Toc184312109"/>
      <w:bookmarkEnd w:id="251"/>
      <w:bookmarkStart w:id="252" w:name="_Toc184313241"/>
      <w:bookmarkEnd w:id="252"/>
      <w:bookmarkStart w:id="253" w:name="_Toc184312077"/>
      <w:bookmarkEnd w:id="253"/>
      <w:bookmarkStart w:id="254" w:name="_Toc184314462"/>
      <w:bookmarkEnd w:id="254"/>
      <w:bookmarkStart w:id="255" w:name="_Toc184312086"/>
      <w:bookmarkEnd w:id="255"/>
      <w:bookmarkStart w:id="256" w:name="_Toc184312096"/>
      <w:bookmarkEnd w:id="256"/>
      <w:bookmarkStart w:id="257" w:name="_Toc184310274"/>
      <w:bookmarkEnd w:id="257"/>
      <w:bookmarkStart w:id="258" w:name="_Toc184308072"/>
      <w:bookmarkEnd w:id="258"/>
      <w:bookmarkStart w:id="259" w:name="_Toc184313274"/>
      <w:bookmarkEnd w:id="259"/>
      <w:bookmarkStart w:id="260" w:name="_Toc184314457"/>
      <w:bookmarkEnd w:id="260"/>
      <w:bookmarkStart w:id="261" w:name="_Toc184313254"/>
      <w:bookmarkEnd w:id="261"/>
      <w:bookmarkStart w:id="262" w:name="_Toc184313308"/>
      <w:bookmarkEnd w:id="262"/>
      <w:bookmarkStart w:id="263" w:name="_Toc184314481"/>
      <w:bookmarkEnd w:id="263"/>
      <w:bookmarkStart w:id="264" w:name="_Toc184314449"/>
      <w:bookmarkEnd w:id="264"/>
      <w:bookmarkStart w:id="265" w:name="_Toc184310297"/>
      <w:bookmarkEnd w:id="265"/>
      <w:bookmarkStart w:id="266" w:name="_Toc184314455"/>
      <w:bookmarkEnd w:id="266"/>
      <w:bookmarkStart w:id="267" w:name="_Toc184314470"/>
      <w:bookmarkEnd w:id="267"/>
      <w:bookmarkStart w:id="268" w:name="_Toc184312115"/>
      <w:bookmarkEnd w:id="268"/>
      <w:bookmarkStart w:id="269" w:name="_Toc184310321"/>
      <w:bookmarkEnd w:id="269"/>
      <w:bookmarkStart w:id="270" w:name="_Toc184313257"/>
      <w:bookmarkEnd w:id="270"/>
      <w:bookmarkStart w:id="271" w:name="_Toc184308078"/>
      <w:bookmarkEnd w:id="271"/>
      <w:bookmarkStart w:id="272" w:name="_Toc184313273"/>
      <w:bookmarkEnd w:id="272"/>
      <w:bookmarkStart w:id="273" w:name="_Toc184314477"/>
      <w:bookmarkEnd w:id="273"/>
      <w:bookmarkStart w:id="274" w:name="_Toc184314430"/>
      <w:bookmarkEnd w:id="274"/>
      <w:bookmarkStart w:id="275" w:name="_Toc184310336"/>
      <w:bookmarkEnd w:id="275"/>
      <w:bookmarkStart w:id="276" w:name="_Toc184314425"/>
      <w:bookmarkEnd w:id="276"/>
      <w:bookmarkStart w:id="277" w:name="_Toc184314452"/>
      <w:bookmarkEnd w:id="277"/>
      <w:bookmarkStart w:id="278" w:name="_Toc184308054"/>
      <w:bookmarkEnd w:id="278"/>
      <w:bookmarkStart w:id="279" w:name="_Toc184314472"/>
      <w:bookmarkEnd w:id="279"/>
      <w:bookmarkStart w:id="280" w:name="_Toc184314435"/>
      <w:bookmarkEnd w:id="280"/>
      <w:bookmarkStart w:id="281" w:name="_Toc184312090"/>
      <w:bookmarkEnd w:id="281"/>
      <w:bookmarkStart w:id="282" w:name="_Toc184313281"/>
      <w:bookmarkEnd w:id="282"/>
      <w:bookmarkStart w:id="283" w:name="_Toc184308069"/>
      <w:bookmarkEnd w:id="283"/>
      <w:bookmarkStart w:id="284" w:name="_Toc184312087"/>
      <w:bookmarkEnd w:id="284"/>
      <w:bookmarkStart w:id="285" w:name="_Toc184310340"/>
      <w:bookmarkEnd w:id="285"/>
      <w:bookmarkStart w:id="286" w:name="_Toc184308065"/>
      <w:bookmarkEnd w:id="286"/>
      <w:bookmarkStart w:id="287" w:name="_Toc184308086"/>
      <w:bookmarkEnd w:id="287"/>
      <w:bookmarkStart w:id="288" w:name="_Toc184314454"/>
      <w:bookmarkEnd w:id="288"/>
      <w:bookmarkStart w:id="289" w:name="_Toc184310314"/>
      <w:bookmarkEnd w:id="289"/>
      <w:bookmarkStart w:id="290" w:name="_Toc184313295"/>
      <w:bookmarkEnd w:id="290"/>
      <w:bookmarkStart w:id="291" w:name="_Toc184314460"/>
      <w:bookmarkEnd w:id="291"/>
      <w:bookmarkStart w:id="292" w:name="_Toc184308087"/>
      <w:bookmarkEnd w:id="292"/>
      <w:bookmarkStart w:id="293" w:name="_Toc184308063"/>
      <w:bookmarkEnd w:id="293"/>
      <w:bookmarkStart w:id="294" w:name="_Toc184308105"/>
      <w:bookmarkEnd w:id="294"/>
      <w:bookmarkStart w:id="295" w:name="_Toc184310277"/>
      <w:bookmarkEnd w:id="295"/>
      <w:bookmarkStart w:id="296" w:name="_Toc184314475"/>
      <w:bookmarkEnd w:id="296"/>
      <w:bookmarkStart w:id="297" w:name="_Toc184310306"/>
      <w:bookmarkEnd w:id="297"/>
      <w:bookmarkStart w:id="298" w:name="_Toc184308088"/>
      <w:bookmarkEnd w:id="298"/>
      <w:bookmarkStart w:id="299" w:name="_Toc184310276"/>
      <w:bookmarkEnd w:id="299"/>
      <w:bookmarkStart w:id="300" w:name="_Toc184314444"/>
      <w:bookmarkEnd w:id="300"/>
      <w:bookmarkStart w:id="301" w:name="_Toc184314436"/>
      <w:bookmarkEnd w:id="301"/>
      <w:bookmarkStart w:id="302" w:name="_Toc184308071"/>
      <w:bookmarkEnd w:id="302"/>
      <w:bookmarkStart w:id="303" w:name="_Toc184308058"/>
      <w:bookmarkEnd w:id="303"/>
      <w:bookmarkStart w:id="304" w:name="_Toc184308073"/>
      <w:bookmarkEnd w:id="304"/>
      <w:bookmarkStart w:id="305" w:name="_Toc184308097"/>
      <w:bookmarkEnd w:id="305"/>
      <w:bookmarkStart w:id="306" w:name="_Toc184313253"/>
      <w:bookmarkEnd w:id="306"/>
      <w:bookmarkStart w:id="307" w:name="_Toc184308096"/>
      <w:bookmarkEnd w:id="307"/>
      <w:bookmarkStart w:id="308" w:name="_Toc184312097"/>
      <w:bookmarkEnd w:id="308"/>
      <w:bookmarkStart w:id="309" w:name="_Toc184313261"/>
      <w:bookmarkEnd w:id="309"/>
      <w:bookmarkStart w:id="310" w:name="_Toc184310287"/>
      <w:bookmarkEnd w:id="310"/>
      <w:bookmarkStart w:id="311" w:name="_Toc184308068"/>
      <w:bookmarkEnd w:id="311"/>
      <w:bookmarkStart w:id="312" w:name="_Toc184308099"/>
      <w:bookmarkEnd w:id="312"/>
      <w:bookmarkStart w:id="313" w:name="_Toc184308038"/>
      <w:bookmarkEnd w:id="313"/>
      <w:bookmarkStart w:id="314" w:name="_Toc184313250"/>
      <w:bookmarkEnd w:id="314"/>
      <w:bookmarkStart w:id="315" w:name="_Toc184313299"/>
      <w:bookmarkEnd w:id="315"/>
      <w:bookmarkStart w:id="316" w:name="_Toc184308052"/>
      <w:bookmarkEnd w:id="316"/>
      <w:bookmarkStart w:id="317" w:name="_Toc184310305"/>
      <w:bookmarkEnd w:id="317"/>
      <w:bookmarkStart w:id="318" w:name="_Toc184310337"/>
      <w:bookmarkEnd w:id="318"/>
      <w:bookmarkStart w:id="319" w:name="_Toc184310335"/>
      <w:bookmarkEnd w:id="319"/>
      <w:bookmarkStart w:id="320" w:name="_Toc184310315"/>
      <w:bookmarkEnd w:id="320"/>
      <w:bookmarkStart w:id="321" w:name="_Toc184312067"/>
      <w:bookmarkEnd w:id="321"/>
      <w:bookmarkStart w:id="322" w:name="_Toc184314445"/>
      <w:bookmarkEnd w:id="322"/>
      <w:bookmarkStart w:id="323" w:name="_Toc184314478"/>
      <w:bookmarkEnd w:id="323"/>
      <w:bookmarkStart w:id="324" w:name="_Toc184313243"/>
      <w:bookmarkEnd w:id="324"/>
      <w:bookmarkStart w:id="325" w:name="_Toc184308098"/>
      <w:bookmarkEnd w:id="325"/>
      <w:bookmarkStart w:id="326" w:name="_Toc184308051"/>
      <w:bookmarkEnd w:id="326"/>
      <w:bookmarkStart w:id="327" w:name="_Toc184312092"/>
      <w:bookmarkEnd w:id="327"/>
      <w:bookmarkStart w:id="328" w:name="_Toc184308044"/>
      <w:bookmarkEnd w:id="328"/>
      <w:bookmarkStart w:id="329" w:name="_Toc184313292"/>
      <w:bookmarkEnd w:id="329"/>
      <w:bookmarkStart w:id="330" w:name="_Toc184313290"/>
      <w:bookmarkEnd w:id="330"/>
      <w:bookmarkStart w:id="331" w:name="_Toc184313246"/>
      <w:bookmarkEnd w:id="331"/>
      <w:bookmarkStart w:id="332" w:name="_Toc184312091"/>
      <w:bookmarkEnd w:id="332"/>
      <w:bookmarkStart w:id="333" w:name="_Toc184310342"/>
      <w:bookmarkEnd w:id="333"/>
      <w:bookmarkStart w:id="334" w:name="_Toc184312095"/>
      <w:bookmarkEnd w:id="334"/>
      <w:bookmarkStart w:id="335" w:name="_Toc184313278"/>
      <w:bookmarkEnd w:id="335"/>
      <w:bookmarkStart w:id="336" w:name="_Toc184313307"/>
      <w:bookmarkEnd w:id="336"/>
      <w:bookmarkStart w:id="337" w:name="_Toc184310332"/>
      <w:bookmarkEnd w:id="337"/>
      <w:bookmarkStart w:id="338" w:name="_Toc184313297"/>
      <w:bookmarkEnd w:id="338"/>
      <w:bookmarkStart w:id="339" w:name="_Toc184314437"/>
      <w:bookmarkEnd w:id="339"/>
      <w:bookmarkStart w:id="340" w:name="_Toc184308085"/>
      <w:bookmarkEnd w:id="340"/>
      <w:bookmarkStart w:id="341" w:name="_Toc184312137"/>
      <w:bookmarkEnd w:id="341"/>
      <w:bookmarkStart w:id="342" w:name="_Toc184314447"/>
      <w:bookmarkEnd w:id="342"/>
      <w:bookmarkStart w:id="343" w:name="_Toc184314412"/>
      <w:bookmarkEnd w:id="343"/>
      <w:bookmarkStart w:id="344" w:name="_Toc184308092"/>
      <w:bookmarkEnd w:id="344"/>
      <w:bookmarkStart w:id="345" w:name="_Toc184313289"/>
      <w:bookmarkEnd w:id="345"/>
      <w:bookmarkStart w:id="346" w:name="_Toc184308049"/>
      <w:bookmarkEnd w:id="346"/>
      <w:bookmarkStart w:id="347" w:name="_Toc184310302"/>
      <w:bookmarkEnd w:id="347"/>
      <w:bookmarkStart w:id="348" w:name="_Toc184314458"/>
      <w:bookmarkEnd w:id="348"/>
      <w:bookmarkStart w:id="349" w:name="_Toc184310272"/>
      <w:bookmarkEnd w:id="349"/>
      <w:bookmarkStart w:id="350" w:name="_Toc184313298"/>
      <w:bookmarkEnd w:id="350"/>
      <w:bookmarkStart w:id="351" w:name="_Toc184310327"/>
      <w:bookmarkEnd w:id="351"/>
      <w:bookmarkStart w:id="352" w:name="_Toc184313288"/>
      <w:bookmarkEnd w:id="352"/>
      <w:bookmarkStart w:id="353" w:name="_Toc184313287"/>
      <w:bookmarkEnd w:id="353"/>
      <w:bookmarkStart w:id="354" w:name="_Toc184313270"/>
      <w:bookmarkEnd w:id="354"/>
      <w:bookmarkStart w:id="355" w:name="_Toc184310280"/>
      <w:bookmarkEnd w:id="355"/>
      <w:bookmarkStart w:id="356" w:name="_Toc184312132"/>
      <w:bookmarkEnd w:id="356"/>
      <w:bookmarkStart w:id="357" w:name="_Toc184312125"/>
      <w:bookmarkEnd w:id="357"/>
      <w:bookmarkStart w:id="358" w:name="_Toc184310300"/>
      <w:bookmarkEnd w:id="358"/>
      <w:bookmarkStart w:id="359" w:name="_Toc184310275"/>
      <w:bookmarkEnd w:id="359"/>
      <w:bookmarkStart w:id="360" w:name="_Toc184310316"/>
      <w:bookmarkEnd w:id="360"/>
      <w:bookmarkStart w:id="361" w:name="_Toc184313265"/>
      <w:bookmarkEnd w:id="361"/>
      <w:bookmarkStart w:id="362" w:name="_Toc184312105"/>
      <w:bookmarkEnd w:id="362"/>
      <w:bookmarkStart w:id="363" w:name="_Toc184314474"/>
      <w:bookmarkEnd w:id="363"/>
      <w:bookmarkStart w:id="364" w:name="_Toc184314441"/>
      <w:bookmarkEnd w:id="364"/>
      <w:bookmarkStart w:id="365" w:name="_Toc184310322"/>
      <w:bookmarkEnd w:id="365"/>
      <w:bookmarkStart w:id="366" w:name="_Toc184308075"/>
      <w:bookmarkEnd w:id="366"/>
      <w:bookmarkStart w:id="367" w:name="_Toc184314480"/>
      <w:bookmarkEnd w:id="367"/>
      <w:bookmarkStart w:id="368" w:name="_Toc184310283"/>
      <w:bookmarkEnd w:id="368"/>
      <w:bookmarkStart w:id="369" w:name="_Toc184308079"/>
      <w:bookmarkEnd w:id="369"/>
      <w:bookmarkStart w:id="370" w:name="_Toc184312112"/>
      <w:bookmarkEnd w:id="370"/>
      <w:bookmarkStart w:id="371" w:name="_Toc184308076"/>
      <w:bookmarkEnd w:id="371"/>
      <w:bookmarkStart w:id="372" w:name="_Toc184308046"/>
      <w:bookmarkEnd w:id="372"/>
      <w:bookmarkStart w:id="373" w:name="_Toc184312130"/>
      <w:bookmarkEnd w:id="373"/>
      <w:bookmarkStart w:id="374" w:name="_Toc184312128"/>
      <w:bookmarkEnd w:id="374"/>
      <w:bookmarkStart w:id="375" w:name="_Toc184312084"/>
      <w:bookmarkEnd w:id="375"/>
      <w:bookmarkStart w:id="376" w:name="_Toc184312088"/>
      <w:bookmarkEnd w:id="376"/>
      <w:bookmarkStart w:id="377" w:name="_Toc184310310"/>
      <w:bookmarkEnd w:id="377"/>
      <w:bookmarkStart w:id="378" w:name="_Toc184314415"/>
      <w:bookmarkEnd w:id="378"/>
      <w:bookmarkStart w:id="379" w:name="_Toc184314448"/>
      <w:bookmarkEnd w:id="379"/>
      <w:bookmarkStart w:id="380" w:name="_Toc184310304"/>
      <w:bookmarkEnd w:id="380"/>
      <w:bookmarkStart w:id="381" w:name="_Toc184313240"/>
      <w:bookmarkEnd w:id="381"/>
      <w:bookmarkStart w:id="382" w:name="_Toc184312085"/>
      <w:bookmarkEnd w:id="382"/>
      <w:bookmarkStart w:id="383" w:name="_Toc184314451"/>
      <w:bookmarkEnd w:id="383"/>
      <w:bookmarkStart w:id="384" w:name="_Toc184313296"/>
      <w:bookmarkEnd w:id="384"/>
      <w:bookmarkStart w:id="385" w:name="_Toc184313251"/>
      <w:bookmarkEnd w:id="385"/>
      <w:bookmarkStart w:id="386" w:name="_Toc184313300"/>
      <w:bookmarkEnd w:id="386"/>
      <w:bookmarkStart w:id="387" w:name="_Toc184308043"/>
      <w:bookmarkEnd w:id="387"/>
      <w:bookmarkStart w:id="388" w:name="_Toc184308062"/>
      <w:bookmarkEnd w:id="388"/>
      <w:bookmarkStart w:id="389" w:name="_Toc184312098"/>
      <w:bookmarkEnd w:id="389"/>
      <w:bookmarkStart w:id="390" w:name="_Toc184310312"/>
      <w:bookmarkEnd w:id="390"/>
      <w:bookmarkStart w:id="391" w:name="_Toc184313268"/>
      <w:bookmarkEnd w:id="391"/>
      <w:bookmarkStart w:id="392" w:name="_Toc184308067"/>
      <w:bookmarkEnd w:id="392"/>
      <w:bookmarkStart w:id="393" w:name="_Toc184314417"/>
      <w:bookmarkEnd w:id="393"/>
      <w:bookmarkStart w:id="394" w:name="_Toc184313305"/>
      <w:bookmarkEnd w:id="394"/>
      <w:bookmarkStart w:id="395" w:name="_Toc184312094"/>
      <w:bookmarkEnd w:id="395"/>
      <w:bookmarkStart w:id="396" w:name="_Toc184310339"/>
      <w:bookmarkEnd w:id="396"/>
      <w:bookmarkStart w:id="397" w:name="_Toc184310317"/>
      <w:bookmarkEnd w:id="397"/>
      <w:bookmarkStart w:id="398" w:name="_Toc184313267"/>
      <w:bookmarkEnd w:id="398"/>
      <w:bookmarkStart w:id="399" w:name="_Toc184314420"/>
      <w:bookmarkEnd w:id="399"/>
      <w:bookmarkStart w:id="400" w:name="_Toc184310295"/>
      <w:bookmarkEnd w:id="400"/>
      <w:bookmarkStart w:id="401" w:name="_Toc184313242"/>
      <w:bookmarkEnd w:id="401"/>
      <w:bookmarkStart w:id="402" w:name="_Toc184314423"/>
      <w:bookmarkEnd w:id="402"/>
      <w:bookmarkStart w:id="403" w:name="_Toc184308050"/>
      <w:bookmarkEnd w:id="403"/>
      <w:bookmarkStart w:id="404" w:name="_Toc184314464"/>
      <w:bookmarkEnd w:id="404"/>
      <w:bookmarkStart w:id="405" w:name="_Toc184313244"/>
      <w:bookmarkEnd w:id="405"/>
      <w:bookmarkStart w:id="406" w:name="_Toc184313272"/>
      <w:bookmarkEnd w:id="406"/>
      <w:bookmarkStart w:id="407" w:name="_Toc184312122"/>
      <w:bookmarkEnd w:id="407"/>
      <w:bookmarkStart w:id="408" w:name="_Toc184308053"/>
      <w:bookmarkEnd w:id="408"/>
      <w:bookmarkStart w:id="409" w:name="_Toc184310296"/>
      <w:bookmarkEnd w:id="409"/>
      <w:bookmarkStart w:id="410" w:name="_Toc184310303"/>
      <w:bookmarkEnd w:id="410"/>
      <w:bookmarkStart w:id="411" w:name="_Toc184312076"/>
      <w:bookmarkEnd w:id="411"/>
      <w:bookmarkStart w:id="412" w:name="_Toc184308094"/>
      <w:bookmarkEnd w:id="412"/>
      <w:bookmarkStart w:id="413" w:name="_Toc184314434"/>
      <w:bookmarkEnd w:id="413"/>
      <w:bookmarkStart w:id="414" w:name="_Toc184310318"/>
      <w:bookmarkEnd w:id="414"/>
      <w:bookmarkStart w:id="415" w:name="_Toc184310344"/>
      <w:bookmarkEnd w:id="415"/>
      <w:bookmarkStart w:id="416" w:name="_Toc184312081"/>
      <w:bookmarkEnd w:id="416"/>
      <w:bookmarkStart w:id="417" w:name="_Toc184314427"/>
      <w:bookmarkEnd w:id="417"/>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24"/>
        <w:jc w:val="center"/>
        <w:rPr>
          <w:rFonts w:hint="eastAsia"/>
          <w:color w:val="auto"/>
          <w:highlight w:val="none"/>
        </w:rPr>
      </w:pPr>
      <w:r>
        <w:rPr>
          <w:rFonts w:hint="eastAsia"/>
          <w:color w:val="auto"/>
          <w:highlight w:val="none"/>
        </w:rPr>
        <w:t>（标项</w:t>
      </w:r>
      <w:r>
        <w:rPr>
          <w:rFonts w:hint="eastAsia"/>
          <w:color w:val="auto"/>
          <w:highlight w:val="none"/>
          <w:lang w:val="en-US" w:eastAsia="zh-CN"/>
        </w:rPr>
        <w:t>一、标项二</w:t>
      </w:r>
      <w:r>
        <w:rPr>
          <w:rFonts w:hint="eastAsia"/>
          <w:color w:val="auto"/>
          <w:highlight w:val="none"/>
        </w:rPr>
        <w:t>同时适用）</w:t>
      </w:r>
    </w:p>
    <w:tbl>
      <w:tblPr>
        <w:tblStyle w:val="63"/>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1"/>
        <w:gridCol w:w="79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027" w:type="pct"/>
            <w:vAlign w:val="center"/>
          </w:tcPr>
          <w:p>
            <w:pPr>
              <w:spacing w:line="360" w:lineRule="auto"/>
              <w:ind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407" w:type="pct"/>
            <w:vAlign w:val="center"/>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095" w:type="pct"/>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hd w:val="clear" w:color="auto" w:fill="auto"/>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p>
        </w:tc>
        <w:tc>
          <w:tcPr>
            <w:tcW w:w="3027" w:type="pct"/>
            <w:vAlign w:val="center"/>
          </w:tcPr>
          <w:p>
            <w:pPr>
              <w:shd w:val="clear" w:color="auto" w:fill="auto"/>
              <w:spacing w:line="360" w:lineRule="auto"/>
              <w:ind w:firstLine="0" w:firstLineChars="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投标人获得</w:t>
            </w:r>
            <w:r>
              <w:rPr>
                <w:rFonts w:hint="eastAsia" w:ascii="仿宋" w:hAnsi="仿宋" w:eastAsia="仿宋" w:cs="仿宋"/>
                <w:b/>
                <w:bCs/>
                <w:color w:val="auto"/>
                <w:sz w:val="24"/>
                <w:highlight w:val="none"/>
                <w:lang w:val="en-US" w:eastAsia="zh-CN"/>
              </w:rPr>
              <w:t>AAA</w:t>
            </w:r>
            <w:r>
              <w:rPr>
                <w:rFonts w:hint="eastAsia" w:ascii="仿宋" w:hAnsi="仿宋" w:eastAsia="仿宋" w:cs="仿宋"/>
                <w:b/>
                <w:bCs/>
                <w:color w:val="auto"/>
                <w:sz w:val="24"/>
                <w:highlight w:val="none"/>
              </w:rPr>
              <w:t>级</w:t>
            </w:r>
            <w:r>
              <w:rPr>
                <w:rFonts w:hint="eastAsia" w:ascii="仿宋" w:hAnsi="仿宋" w:eastAsia="仿宋" w:cs="仿宋"/>
                <w:color w:val="auto"/>
                <w:sz w:val="24"/>
                <w:highlight w:val="none"/>
              </w:rPr>
              <w:t>及以上“守合同重信用”企业且在有效期内的得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b/>
                <w:bCs/>
                <w:color w:val="auto"/>
                <w:sz w:val="24"/>
                <w:highlight w:val="none"/>
                <w:lang w:val="en-US" w:eastAsia="zh-CN"/>
              </w:rPr>
              <w:t>AA</w:t>
            </w:r>
            <w:r>
              <w:rPr>
                <w:rFonts w:hint="eastAsia" w:ascii="仿宋" w:hAnsi="仿宋" w:eastAsia="仿宋" w:cs="仿宋"/>
                <w:b/>
                <w:bCs/>
                <w:color w:val="auto"/>
                <w:sz w:val="24"/>
                <w:highlight w:val="none"/>
              </w:rPr>
              <w:t>级</w:t>
            </w:r>
            <w:r>
              <w:rPr>
                <w:rFonts w:hint="eastAsia" w:ascii="仿宋" w:hAnsi="仿宋" w:eastAsia="仿宋" w:cs="仿宋"/>
                <w:color w:val="auto"/>
                <w:sz w:val="24"/>
                <w:highlight w:val="none"/>
              </w:rPr>
              <w:t>“守合同重信用”企业且在有效期内的得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w:t>
            </w:r>
            <w:r>
              <w:rPr>
                <w:rFonts w:hint="eastAsia" w:ascii="仿宋" w:hAnsi="仿宋" w:eastAsia="仿宋" w:cs="仿宋"/>
                <w:b/>
                <w:bCs/>
                <w:color w:val="auto"/>
                <w:sz w:val="24"/>
                <w:highlight w:val="none"/>
                <w:lang w:val="en-US" w:eastAsia="zh-CN"/>
              </w:rPr>
              <w:t>A</w:t>
            </w:r>
            <w:r>
              <w:rPr>
                <w:rFonts w:hint="eastAsia" w:ascii="仿宋" w:hAnsi="仿宋" w:eastAsia="仿宋" w:cs="仿宋"/>
                <w:b/>
                <w:bCs/>
                <w:color w:val="auto"/>
                <w:sz w:val="24"/>
                <w:highlight w:val="none"/>
              </w:rPr>
              <w:t>级</w:t>
            </w:r>
            <w:r>
              <w:rPr>
                <w:rFonts w:hint="eastAsia" w:ascii="仿宋" w:hAnsi="仿宋" w:eastAsia="仿宋" w:cs="仿宋"/>
                <w:color w:val="auto"/>
                <w:sz w:val="24"/>
                <w:highlight w:val="none"/>
              </w:rPr>
              <w:t>“守合同重信用”企业且在有效期内的得</w:t>
            </w:r>
            <w:r>
              <w:rPr>
                <w:rFonts w:hint="eastAsia" w:ascii="仿宋" w:hAnsi="仿宋" w:eastAsia="仿宋" w:cs="仿宋"/>
                <w:color w:val="auto"/>
                <w:sz w:val="24"/>
                <w:highlight w:val="none"/>
                <w:lang w:val="en-US" w:eastAsia="zh-CN"/>
              </w:rPr>
              <w:t>0.25</w:t>
            </w:r>
            <w:r>
              <w:rPr>
                <w:rFonts w:hint="eastAsia" w:ascii="仿宋" w:hAnsi="仿宋" w:eastAsia="仿宋" w:cs="仿宋"/>
                <w:color w:val="auto"/>
                <w:sz w:val="24"/>
                <w:highlight w:val="none"/>
              </w:rPr>
              <w:t>分；不得累加。</w:t>
            </w:r>
          </w:p>
          <w:p>
            <w:pPr>
              <w:shd w:val="clear" w:color="auto" w:fill="auto"/>
              <w:spacing w:line="360" w:lineRule="auto"/>
              <w:jc w:val="left"/>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（有效证明材料为：市级及以上工商部门或市场监督管理部门颁发的企业信用等级证书扫描件）。</w:t>
            </w:r>
          </w:p>
        </w:tc>
        <w:tc>
          <w:tcPr>
            <w:tcW w:w="407" w:type="pct"/>
            <w:vAlign w:val="center"/>
          </w:tcPr>
          <w:p>
            <w:pPr>
              <w:shd w:val="clear" w:color="auto" w:fill="auto"/>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p>
        </w:tc>
        <w:tc>
          <w:tcPr>
            <w:tcW w:w="1095" w:type="pct"/>
            <w:vAlign w:val="center"/>
          </w:tcPr>
          <w:p>
            <w:pPr>
              <w:shd w:val="clear" w:color="auto" w:fill="auto"/>
              <w:spacing w:line="360" w:lineRule="auto"/>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3027" w:type="pct"/>
            <w:vAlign w:val="center"/>
          </w:tcPr>
          <w:p>
            <w:pPr>
              <w:spacing w:line="360" w:lineRule="auto"/>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企业综合实力：具有“特种设备检验检测机构核准证”证书或省级及以上技术监督局颁发的计量认证证书（CMA）的，得6分；（证明材料：资质证书复印件加盖公章）</w:t>
            </w:r>
          </w:p>
        </w:tc>
        <w:tc>
          <w:tcPr>
            <w:tcW w:w="407" w:type="pct"/>
            <w:vAlign w:val="center"/>
          </w:tcPr>
          <w:p>
            <w:pPr>
              <w:spacing w:line="360" w:lineRule="auto"/>
              <w:jc w:val="center"/>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6</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项目负责人能力：项目负责人为高级及以上职称得3分，中级职称得2分，初级职称不得分，最高得3分； （证明材料：职称证书复印件加盖公章）</w:t>
            </w:r>
          </w:p>
        </w:tc>
        <w:tc>
          <w:tcPr>
            <w:tcW w:w="407" w:type="pct"/>
            <w:vAlign w:val="center"/>
          </w:tcPr>
          <w:p>
            <w:pPr>
              <w:spacing w:line="360" w:lineRule="auto"/>
              <w:jc w:val="center"/>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3</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业绩：投标人自2018年1月1日至今</w:t>
            </w:r>
            <w:bookmarkStart w:id="418" w:name="_Hlk25050294"/>
            <w:r>
              <w:rPr>
                <w:rFonts w:hint="eastAsia" w:ascii="仿宋" w:hAnsi="仿宋" w:eastAsia="仿宋" w:cs="仿宋"/>
                <w:b w:val="0"/>
                <w:bCs/>
                <w:color w:val="auto"/>
                <w:kern w:val="0"/>
                <w:sz w:val="24"/>
                <w:szCs w:val="24"/>
                <w:highlight w:val="none"/>
                <w:shd w:val="clear" w:color="auto" w:fill="auto"/>
                <w:lang w:val="en-US" w:eastAsia="zh-CN"/>
              </w:rPr>
              <w:t>（以合同签订时间为准）</w:t>
            </w:r>
            <w:bookmarkEnd w:id="418"/>
            <w:r>
              <w:rPr>
                <w:rFonts w:hint="eastAsia" w:ascii="仿宋" w:hAnsi="仿宋" w:eastAsia="仿宋" w:cs="仿宋"/>
                <w:b w:val="0"/>
                <w:bCs/>
                <w:color w:val="auto"/>
                <w:kern w:val="0"/>
                <w:sz w:val="24"/>
                <w:szCs w:val="24"/>
                <w:highlight w:val="none"/>
                <w:shd w:val="clear" w:color="auto" w:fill="auto"/>
                <w:lang w:val="en-US" w:eastAsia="zh-CN"/>
              </w:rPr>
              <w:t>，承担过同类检测项目业绩的，有一项得0.5 分，最高得 1 分。</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证明材料：检测合同复印件。未按要求附证明材料或证明材料不完整的不得分。</w:t>
            </w:r>
          </w:p>
        </w:tc>
        <w:tc>
          <w:tcPr>
            <w:tcW w:w="407" w:type="pct"/>
            <w:vAlign w:val="center"/>
          </w:tcPr>
          <w:p>
            <w:pPr>
              <w:spacing w:line="360" w:lineRule="auto"/>
              <w:jc w:val="center"/>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拟派人员情况：所有检测人员均持有检测人员上岗证书，并在该检测单位工作满2年及以上，且提供相应的社保证明，1人得0.5分，最高得5分。（证明材料：上岗证书、社保证明复印件加盖公章）</w:t>
            </w:r>
          </w:p>
        </w:tc>
        <w:tc>
          <w:tcPr>
            <w:tcW w:w="407" w:type="pct"/>
            <w:vAlign w:val="center"/>
          </w:tcPr>
          <w:p>
            <w:pPr>
              <w:spacing w:line="360" w:lineRule="auto"/>
              <w:jc w:val="center"/>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5</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GB" w:eastAsia="zh-CN"/>
              </w:rPr>
            </w:pPr>
            <w:r>
              <w:rPr>
                <w:rFonts w:hint="eastAsia" w:ascii="仿宋" w:hAnsi="仿宋" w:eastAsia="仿宋" w:cs="仿宋"/>
                <w:b w:val="0"/>
                <w:bCs/>
                <w:color w:val="auto"/>
                <w:kern w:val="0"/>
                <w:sz w:val="24"/>
                <w:szCs w:val="24"/>
                <w:highlight w:val="none"/>
                <w:shd w:val="clear" w:color="auto" w:fill="auto"/>
                <w:lang w:val="en-US" w:eastAsia="zh-CN"/>
              </w:rPr>
              <w:t>对项目实施具体计划：</w:t>
            </w:r>
            <w:r>
              <w:rPr>
                <w:rFonts w:hint="eastAsia" w:ascii="仿宋" w:hAnsi="仿宋" w:eastAsia="仿宋" w:cs="仿宋"/>
                <w:b w:val="0"/>
                <w:bCs/>
                <w:color w:val="auto"/>
                <w:kern w:val="0"/>
                <w:sz w:val="24"/>
                <w:szCs w:val="24"/>
                <w:highlight w:val="none"/>
                <w:shd w:val="clear" w:color="auto" w:fill="auto"/>
                <w:lang w:val="en-GB" w:eastAsia="zh-CN"/>
              </w:rPr>
              <w:t>对项目实施的思路、原则、特点的理解情况；（</w:t>
            </w:r>
            <w:r>
              <w:rPr>
                <w:rFonts w:hint="eastAsia" w:ascii="仿宋" w:hAnsi="仿宋" w:eastAsia="仿宋" w:cs="仿宋"/>
                <w:b w:val="0"/>
                <w:bCs/>
                <w:color w:val="auto"/>
                <w:kern w:val="0"/>
                <w:sz w:val="24"/>
                <w:szCs w:val="24"/>
                <w:highlight w:val="none"/>
                <w:shd w:val="clear" w:color="auto" w:fill="auto"/>
                <w:lang w:val="en-US" w:eastAsia="zh-CN"/>
              </w:rPr>
              <w:t>0-4分）</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GB" w:eastAsia="zh-CN"/>
              </w:rPr>
              <w:t>对采购人具体需求的理解程度及承诺投入的服务力量是否详尽、明晰等进行评分；（</w:t>
            </w:r>
            <w:r>
              <w:rPr>
                <w:rFonts w:hint="eastAsia" w:ascii="仿宋" w:hAnsi="仿宋" w:eastAsia="仿宋" w:cs="仿宋"/>
                <w:b w:val="0"/>
                <w:bCs/>
                <w:color w:val="auto"/>
                <w:kern w:val="0"/>
                <w:sz w:val="24"/>
                <w:szCs w:val="24"/>
                <w:highlight w:val="none"/>
                <w:shd w:val="clear" w:color="auto" w:fill="auto"/>
                <w:lang w:val="en-US" w:eastAsia="zh-CN"/>
              </w:rPr>
              <w:t>0-4分）</w:t>
            </w:r>
          </w:p>
        </w:tc>
        <w:tc>
          <w:tcPr>
            <w:tcW w:w="407" w:type="pct"/>
            <w:vAlign w:val="center"/>
          </w:tcPr>
          <w:p>
            <w:pPr>
              <w:spacing w:line="360" w:lineRule="auto"/>
              <w:jc w:val="center"/>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8</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技术方案：</w:t>
            </w:r>
            <w:r>
              <w:rPr>
                <w:rFonts w:hint="eastAsia" w:ascii="仿宋" w:hAnsi="仿宋" w:eastAsia="仿宋" w:cs="仿宋"/>
                <w:b w:val="0"/>
                <w:bCs/>
                <w:color w:val="auto"/>
                <w:kern w:val="0"/>
                <w:sz w:val="24"/>
                <w:szCs w:val="24"/>
                <w:highlight w:val="none"/>
                <w:shd w:val="clear" w:color="auto" w:fill="auto"/>
                <w:lang w:val="en-GB" w:eastAsia="zh-CN"/>
              </w:rPr>
              <w:t>方案内容齐全、深度适当，思路清晰，检测说明表达清楚、图文清晰美观等进行评分；（按先进性、科学性和完整性，对实施方案进行整体评价，</w:t>
            </w:r>
            <w:r>
              <w:rPr>
                <w:rFonts w:hint="eastAsia" w:ascii="仿宋" w:hAnsi="仿宋" w:eastAsia="仿宋" w:cs="仿宋"/>
                <w:b w:val="0"/>
                <w:bCs/>
                <w:color w:val="auto"/>
                <w:kern w:val="0"/>
                <w:sz w:val="24"/>
                <w:szCs w:val="24"/>
                <w:highlight w:val="none"/>
                <w:shd w:val="clear" w:color="auto" w:fill="auto"/>
                <w:lang w:val="en-US" w:eastAsia="zh-CN"/>
              </w:rPr>
              <w:t>最高</w:t>
            </w:r>
            <w:r>
              <w:rPr>
                <w:rFonts w:hint="eastAsia" w:ascii="仿宋" w:hAnsi="仿宋" w:eastAsia="仿宋" w:cs="仿宋"/>
                <w:b w:val="0"/>
                <w:bCs/>
                <w:color w:val="auto"/>
                <w:kern w:val="0"/>
                <w:sz w:val="24"/>
                <w:szCs w:val="24"/>
                <w:highlight w:val="none"/>
                <w:shd w:val="clear" w:color="auto" w:fill="auto"/>
                <w:lang w:val="en-GB" w:eastAsia="zh-CN"/>
              </w:rPr>
              <w:t xml:space="preserve">得 </w:t>
            </w:r>
            <w:r>
              <w:rPr>
                <w:rFonts w:hint="eastAsia" w:ascii="仿宋" w:hAnsi="仿宋" w:eastAsia="仿宋" w:cs="仿宋"/>
                <w:b w:val="0"/>
                <w:bCs/>
                <w:color w:val="auto"/>
                <w:kern w:val="0"/>
                <w:sz w:val="24"/>
                <w:szCs w:val="24"/>
                <w:highlight w:val="none"/>
                <w:shd w:val="clear" w:color="auto" w:fill="auto"/>
                <w:lang w:val="en-US" w:eastAsia="zh-CN"/>
              </w:rPr>
              <w:t>10</w:t>
            </w:r>
            <w:r>
              <w:rPr>
                <w:rFonts w:hint="eastAsia" w:ascii="仿宋" w:hAnsi="仿宋" w:eastAsia="仿宋" w:cs="仿宋"/>
                <w:b w:val="0"/>
                <w:bCs/>
                <w:color w:val="auto"/>
                <w:kern w:val="0"/>
                <w:sz w:val="24"/>
                <w:szCs w:val="24"/>
                <w:highlight w:val="none"/>
                <w:shd w:val="clear" w:color="auto" w:fill="auto"/>
                <w:lang w:val="en-GB" w:eastAsia="zh-CN"/>
              </w:rPr>
              <w:t>分。</w:t>
            </w:r>
            <w:r>
              <w:rPr>
                <w:rFonts w:hint="eastAsia" w:ascii="仿宋" w:hAnsi="仿宋" w:eastAsia="仿宋" w:cs="仿宋"/>
                <w:b w:val="0"/>
                <w:bCs/>
                <w:color w:val="auto"/>
                <w:kern w:val="0"/>
                <w:sz w:val="24"/>
                <w:szCs w:val="24"/>
                <w:highlight w:val="none"/>
                <w:shd w:val="clear" w:color="auto" w:fill="auto"/>
                <w:lang w:val="en-US" w:eastAsia="zh-CN"/>
              </w:rPr>
              <w:t>）</w:t>
            </w:r>
          </w:p>
        </w:tc>
        <w:tc>
          <w:tcPr>
            <w:tcW w:w="407" w:type="pct"/>
            <w:vAlign w:val="center"/>
          </w:tcPr>
          <w:p>
            <w:pPr>
              <w:spacing w:line="360" w:lineRule="auto"/>
              <w:jc w:val="center"/>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10</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质量保证措施：检测方法符合规范要求</w:t>
            </w:r>
            <w:r>
              <w:rPr>
                <w:rFonts w:hint="eastAsia" w:ascii="仿宋" w:hAnsi="仿宋" w:eastAsia="仿宋" w:cs="仿宋"/>
                <w:b w:val="0"/>
                <w:bCs/>
                <w:color w:val="auto"/>
                <w:kern w:val="0"/>
                <w:sz w:val="24"/>
                <w:szCs w:val="24"/>
                <w:highlight w:val="none"/>
                <w:shd w:val="clear" w:color="auto" w:fill="auto"/>
                <w:lang w:val="en-GB" w:eastAsia="zh-CN"/>
              </w:rPr>
              <w:t>（</w:t>
            </w:r>
            <w:r>
              <w:rPr>
                <w:rFonts w:hint="eastAsia" w:ascii="仿宋" w:hAnsi="仿宋" w:eastAsia="仿宋" w:cs="仿宋"/>
                <w:b w:val="0"/>
                <w:bCs/>
                <w:color w:val="auto"/>
                <w:kern w:val="0"/>
                <w:sz w:val="24"/>
                <w:szCs w:val="24"/>
                <w:highlight w:val="none"/>
                <w:shd w:val="clear" w:color="auto" w:fill="auto"/>
                <w:lang w:val="en-US" w:eastAsia="zh-CN"/>
              </w:rPr>
              <w:t>0-5分</w:t>
            </w:r>
            <w:r>
              <w:rPr>
                <w:rFonts w:hint="eastAsia" w:ascii="仿宋" w:hAnsi="仿宋" w:eastAsia="仿宋" w:cs="仿宋"/>
                <w:b w:val="0"/>
                <w:bCs/>
                <w:color w:val="auto"/>
                <w:kern w:val="0"/>
                <w:sz w:val="24"/>
                <w:szCs w:val="24"/>
                <w:highlight w:val="none"/>
                <w:shd w:val="clear" w:color="auto" w:fill="auto"/>
                <w:lang w:val="en-GB" w:eastAsia="zh-CN"/>
              </w:rPr>
              <w:t>）</w:t>
            </w:r>
            <w:r>
              <w:rPr>
                <w:rFonts w:hint="eastAsia" w:ascii="仿宋" w:hAnsi="仿宋" w:eastAsia="仿宋" w:cs="仿宋"/>
                <w:b w:val="0"/>
                <w:bCs/>
                <w:color w:val="auto"/>
                <w:kern w:val="0"/>
                <w:sz w:val="24"/>
                <w:szCs w:val="24"/>
                <w:highlight w:val="none"/>
                <w:shd w:val="clear" w:color="auto" w:fill="auto"/>
                <w:lang w:val="en-US" w:eastAsia="zh-CN"/>
              </w:rPr>
              <w:t>；</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试验成果整理符合程序</w:t>
            </w:r>
            <w:r>
              <w:rPr>
                <w:rFonts w:hint="eastAsia" w:ascii="仿宋" w:hAnsi="仿宋" w:eastAsia="仿宋" w:cs="仿宋"/>
                <w:b w:val="0"/>
                <w:bCs/>
                <w:color w:val="auto"/>
                <w:kern w:val="0"/>
                <w:sz w:val="24"/>
                <w:szCs w:val="24"/>
                <w:highlight w:val="none"/>
                <w:shd w:val="clear" w:color="auto" w:fill="auto"/>
                <w:lang w:val="en-GB" w:eastAsia="zh-CN"/>
              </w:rPr>
              <w:t>（</w:t>
            </w:r>
            <w:r>
              <w:rPr>
                <w:rFonts w:hint="eastAsia" w:ascii="仿宋" w:hAnsi="仿宋" w:eastAsia="仿宋" w:cs="仿宋"/>
                <w:b w:val="0"/>
                <w:bCs/>
                <w:color w:val="auto"/>
                <w:kern w:val="0"/>
                <w:sz w:val="24"/>
                <w:szCs w:val="24"/>
                <w:highlight w:val="none"/>
                <w:shd w:val="clear" w:color="auto" w:fill="auto"/>
                <w:lang w:val="en-US" w:eastAsia="zh-CN"/>
              </w:rPr>
              <w:t>0-5分）；</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数据分析和结果判断正确</w:t>
            </w:r>
            <w:r>
              <w:rPr>
                <w:rFonts w:hint="eastAsia" w:ascii="仿宋" w:hAnsi="仿宋" w:eastAsia="仿宋" w:cs="仿宋"/>
                <w:b w:val="0"/>
                <w:bCs/>
                <w:color w:val="auto"/>
                <w:kern w:val="0"/>
                <w:sz w:val="24"/>
                <w:szCs w:val="24"/>
                <w:highlight w:val="none"/>
                <w:shd w:val="clear" w:color="auto" w:fill="auto"/>
                <w:lang w:val="en-GB" w:eastAsia="zh-CN"/>
              </w:rPr>
              <w:t>等进行评分（</w:t>
            </w:r>
            <w:r>
              <w:rPr>
                <w:rFonts w:hint="eastAsia" w:ascii="仿宋" w:hAnsi="仿宋" w:eastAsia="仿宋" w:cs="仿宋"/>
                <w:b w:val="0"/>
                <w:bCs/>
                <w:color w:val="auto"/>
                <w:kern w:val="0"/>
                <w:sz w:val="24"/>
                <w:szCs w:val="24"/>
                <w:highlight w:val="none"/>
                <w:shd w:val="clear" w:color="auto" w:fill="auto"/>
                <w:lang w:val="en-US" w:eastAsia="zh-CN"/>
              </w:rPr>
              <w:t>0-5分）</w:t>
            </w:r>
            <w:r>
              <w:rPr>
                <w:rFonts w:hint="eastAsia" w:ascii="仿宋" w:hAnsi="仿宋" w:eastAsia="仿宋" w:cs="仿宋"/>
                <w:b w:val="0"/>
                <w:bCs/>
                <w:color w:val="auto"/>
                <w:kern w:val="0"/>
                <w:sz w:val="24"/>
                <w:szCs w:val="24"/>
                <w:highlight w:val="none"/>
                <w:shd w:val="clear" w:color="auto" w:fill="auto"/>
                <w:lang w:val="en-GB" w:eastAsia="zh-CN"/>
              </w:rPr>
              <w:t>；</w:t>
            </w:r>
          </w:p>
        </w:tc>
        <w:tc>
          <w:tcPr>
            <w:tcW w:w="407" w:type="pct"/>
            <w:vAlign w:val="center"/>
          </w:tcPr>
          <w:p>
            <w:pPr>
              <w:spacing w:line="360" w:lineRule="auto"/>
              <w:jc w:val="center"/>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15</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主要设备情况：</w:t>
            </w:r>
            <w:r>
              <w:rPr>
                <w:rFonts w:hint="eastAsia" w:ascii="仿宋" w:hAnsi="仿宋" w:eastAsia="仿宋" w:cs="仿宋"/>
                <w:b w:val="0"/>
                <w:bCs/>
                <w:color w:val="auto"/>
                <w:kern w:val="0"/>
                <w:sz w:val="24"/>
                <w:szCs w:val="24"/>
                <w:highlight w:val="none"/>
                <w:shd w:val="clear" w:color="auto" w:fill="auto"/>
                <w:lang w:val="en-GB" w:eastAsia="zh-CN"/>
              </w:rPr>
              <w:t>仪器满足规范要求，精度满足规范要求等进行评分；（</w:t>
            </w:r>
            <w:r>
              <w:rPr>
                <w:rFonts w:hint="eastAsia" w:ascii="仿宋" w:hAnsi="仿宋" w:eastAsia="仿宋" w:cs="仿宋"/>
                <w:b w:val="0"/>
                <w:bCs/>
                <w:color w:val="auto"/>
                <w:kern w:val="0"/>
                <w:sz w:val="24"/>
                <w:szCs w:val="24"/>
                <w:highlight w:val="none"/>
                <w:shd w:val="clear" w:color="auto" w:fill="auto"/>
                <w:lang w:val="en-US" w:eastAsia="zh-CN"/>
              </w:rPr>
              <w:t>0-2分）</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投标设备的配件、附件、备品备件的准备和保障措施情况；</w:t>
            </w:r>
            <w:r>
              <w:rPr>
                <w:rFonts w:hint="eastAsia" w:ascii="仿宋" w:hAnsi="仿宋" w:eastAsia="仿宋" w:cs="仿宋"/>
                <w:b w:val="0"/>
                <w:bCs/>
                <w:color w:val="auto"/>
                <w:kern w:val="0"/>
                <w:sz w:val="24"/>
                <w:szCs w:val="24"/>
                <w:highlight w:val="none"/>
                <w:shd w:val="clear" w:color="auto" w:fill="auto"/>
                <w:lang w:val="en-GB" w:eastAsia="zh-CN"/>
              </w:rPr>
              <w:t>（</w:t>
            </w:r>
            <w:r>
              <w:rPr>
                <w:rFonts w:hint="eastAsia" w:ascii="仿宋" w:hAnsi="仿宋" w:eastAsia="仿宋" w:cs="仿宋"/>
                <w:b w:val="0"/>
                <w:bCs/>
                <w:color w:val="auto"/>
                <w:kern w:val="0"/>
                <w:sz w:val="24"/>
                <w:szCs w:val="24"/>
                <w:highlight w:val="none"/>
                <w:shd w:val="clear" w:color="auto" w:fill="auto"/>
                <w:lang w:val="en-US" w:eastAsia="zh-CN"/>
              </w:rPr>
              <w:t>0-3分</w:t>
            </w:r>
            <w:r>
              <w:rPr>
                <w:rFonts w:hint="eastAsia" w:ascii="仿宋" w:hAnsi="仿宋" w:eastAsia="仿宋" w:cs="仿宋"/>
                <w:b w:val="0"/>
                <w:bCs/>
                <w:color w:val="auto"/>
                <w:kern w:val="0"/>
                <w:sz w:val="24"/>
                <w:szCs w:val="24"/>
                <w:highlight w:val="none"/>
                <w:shd w:val="clear" w:color="auto" w:fill="auto"/>
                <w:lang w:val="en-GB" w:eastAsia="zh-CN"/>
              </w:rPr>
              <w:t>）</w:t>
            </w:r>
          </w:p>
        </w:tc>
        <w:tc>
          <w:tcPr>
            <w:tcW w:w="407" w:type="pct"/>
            <w:vAlign w:val="center"/>
          </w:tcPr>
          <w:p>
            <w:pPr>
              <w:spacing w:line="360" w:lineRule="auto"/>
              <w:jc w:val="center"/>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5</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GB" w:eastAsia="zh-CN"/>
              </w:rPr>
            </w:pPr>
            <w:r>
              <w:rPr>
                <w:rFonts w:hint="eastAsia" w:ascii="仿宋" w:hAnsi="仿宋" w:eastAsia="仿宋" w:cs="仿宋"/>
                <w:b w:val="0"/>
                <w:bCs/>
                <w:color w:val="auto"/>
                <w:kern w:val="0"/>
                <w:sz w:val="24"/>
                <w:szCs w:val="24"/>
                <w:highlight w:val="none"/>
                <w:shd w:val="clear" w:color="auto" w:fill="auto"/>
                <w:lang w:val="en-US" w:eastAsia="zh-CN"/>
              </w:rPr>
              <w:t>对项目特点难点的解决方案：</w:t>
            </w:r>
            <w:r>
              <w:rPr>
                <w:rFonts w:hint="eastAsia" w:ascii="仿宋" w:hAnsi="仿宋" w:eastAsia="仿宋" w:cs="仿宋"/>
                <w:b w:val="0"/>
                <w:bCs/>
                <w:color w:val="auto"/>
                <w:kern w:val="0"/>
                <w:sz w:val="24"/>
                <w:szCs w:val="24"/>
                <w:highlight w:val="none"/>
                <w:shd w:val="clear" w:color="auto" w:fill="auto"/>
                <w:lang w:val="en-GB" w:eastAsia="zh-CN"/>
              </w:rPr>
              <w:t>根据拟承揽检测项目的特点，检测专业人员的配置方案是否满足要求（</w:t>
            </w:r>
            <w:r>
              <w:rPr>
                <w:rFonts w:hint="eastAsia" w:ascii="仿宋" w:hAnsi="仿宋" w:eastAsia="仿宋" w:cs="仿宋"/>
                <w:b w:val="0"/>
                <w:bCs/>
                <w:color w:val="auto"/>
                <w:kern w:val="0"/>
                <w:sz w:val="24"/>
                <w:szCs w:val="24"/>
                <w:highlight w:val="none"/>
                <w:shd w:val="clear" w:color="auto" w:fill="auto"/>
                <w:lang w:val="en-US" w:eastAsia="zh-CN"/>
              </w:rPr>
              <w:t>0-4</w:t>
            </w:r>
            <w:r>
              <w:rPr>
                <w:rFonts w:hint="eastAsia" w:ascii="仿宋" w:hAnsi="仿宋" w:eastAsia="仿宋" w:cs="仿宋"/>
                <w:b w:val="0"/>
                <w:bCs/>
                <w:color w:val="auto"/>
                <w:kern w:val="0"/>
                <w:sz w:val="24"/>
                <w:szCs w:val="24"/>
                <w:highlight w:val="none"/>
                <w:shd w:val="clear" w:color="auto" w:fill="auto"/>
                <w:lang w:val="en-GB" w:eastAsia="zh-CN"/>
              </w:rPr>
              <w:t>）；</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GB" w:eastAsia="zh-CN"/>
              </w:rPr>
            </w:pPr>
            <w:r>
              <w:rPr>
                <w:rFonts w:hint="eastAsia" w:ascii="仿宋" w:hAnsi="仿宋" w:eastAsia="仿宋" w:cs="仿宋"/>
                <w:b w:val="0"/>
                <w:bCs/>
                <w:color w:val="auto"/>
                <w:kern w:val="0"/>
                <w:sz w:val="24"/>
                <w:szCs w:val="24"/>
                <w:highlight w:val="none"/>
                <w:shd w:val="clear" w:color="auto" w:fill="auto"/>
                <w:lang w:val="en-GB" w:eastAsia="zh-CN"/>
              </w:rPr>
              <w:t>人员搭配是否合理等进行评分；（</w:t>
            </w:r>
            <w:r>
              <w:rPr>
                <w:rFonts w:hint="eastAsia" w:ascii="仿宋" w:hAnsi="仿宋" w:eastAsia="仿宋" w:cs="仿宋"/>
                <w:b w:val="0"/>
                <w:bCs/>
                <w:color w:val="auto"/>
                <w:kern w:val="0"/>
                <w:sz w:val="24"/>
                <w:szCs w:val="24"/>
                <w:highlight w:val="none"/>
                <w:shd w:val="clear" w:color="auto" w:fill="auto"/>
                <w:lang w:val="en-US" w:eastAsia="zh-CN"/>
              </w:rPr>
              <w:t>0-4分</w:t>
            </w:r>
            <w:r>
              <w:rPr>
                <w:rFonts w:hint="eastAsia" w:ascii="仿宋" w:hAnsi="仿宋" w:eastAsia="仿宋" w:cs="仿宋"/>
                <w:b w:val="0"/>
                <w:bCs/>
                <w:color w:val="auto"/>
                <w:kern w:val="0"/>
                <w:sz w:val="24"/>
                <w:szCs w:val="24"/>
                <w:highlight w:val="none"/>
                <w:shd w:val="clear" w:color="auto" w:fill="auto"/>
                <w:lang w:val="en-GB" w:eastAsia="zh-CN"/>
              </w:rPr>
              <w:t>）</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GB" w:eastAsia="zh-CN"/>
              </w:rPr>
            </w:pPr>
            <w:r>
              <w:rPr>
                <w:rFonts w:hint="eastAsia" w:ascii="仿宋" w:hAnsi="仿宋" w:eastAsia="仿宋" w:cs="仿宋"/>
                <w:b w:val="0"/>
                <w:bCs/>
                <w:color w:val="auto"/>
                <w:kern w:val="0"/>
                <w:sz w:val="24"/>
                <w:szCs w:val="24"/>
                <w:highlight w:val="none"/>
                <w:shd w:val="clear" w:color="auto" w:fill="auto"/>
                <w:lang w:val="en-GB" w:eastAsia="zh-CN"/>
              </w:rPr>
              <w:t>相关专业是否齐全；（</w:t>
            </w:r>
            <w:r>
              <w:rPr>
                <w:rFonts w:hint="eastAsia" w:ascii="仿宋" w:hAnsi="仿宋" w:eastAsia="仿宋" w:cs="仿宋"/>
                <w:b w:val="0"/>
                <w:bCs/>
                <w:color w:val="auto"/>
                <w:kern w:val="0"/>
                <w:sz w:val="24"/>
                <w:szCs w:val="24"/>
                <w:highlight w:val="none"/>
                <w:shd w:val="clear" w:color="auto" w:fill="auto"/>
                <w:lang w:val="en-US" w:eastAsia="zh-CN"/>
              </w:rPr>
              <w:t>0-4</w:t>
            </w:r>
            <w:r>
              <w:rPr>
                <w:rFonts w:hint="eastAsia" w:ascii="仿宋" w:hAnsi="仿宋" w:eastAsia="仿宋" w:cs="仿宋"/>
                <w:b w:val="0"/>
                <w:bCs/>
                <w:color w:val="auto"/>
                <w:kern w:val="0"/>
                <w:sz w:val="24"/>
                <w:szCs w:val="24"/>
                <w:highlight w:val="none"/>
                <w:shd w:val="clear" w:color="auto" w:fill="auto"/>
                <w:lang w:val="en-GB" w:eastAsia="zh-CN"/>
              </w:rPr>
              <w:t>）</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GB" w:eastAsia="zh-CN"/>
              </w:rPr>
              <w:t>经验是否丰富、相关资格证书是否齐全、是否能满足本项目需求等进行评分；（</w:t>
            </w:r>
            <w:r>
              <w:rPr>
                <w:rFonts w:hint="eastAsia" w:ascii="仿宋" w:hAnsi="仿宋" w:eastAsia="仿宋" w:cs="仿宋"/>
                <w:b w:val="0"/>
                <w:bCs/>
                <w:color w:val="auto"/>
                <w:kern w:val="0"/>
                <w:sz w:val="24"/>
                <w:szCs w:val="24"/>
                <w:highlight w:val="none"/>
                <w:shd w:val="clear" w:color="auto" w:fill="auto"/>
                <w:lang w:val="en-US" w:eastAsia="zh-CN"/>
              </w:rPr>
              <w:t>0-4</w:t>
            </w:r>
            <w:r>
              <w:rPr>
                <w:rFonts w:hint="eastAsia" w:ascii="仿宋" w:hAnsi="仿宋" w:eastAsia="仿宋" w:cs="仿宋"/>
                <w:b w:val="0"/>
                <w:bCs/>
                <w:color w:val="auto"/>
                <w:kern w:val="0"/>
                <w:sz w:val="24"/>
                <w:szCs w:val="24"/>
                <w:highlight w:val="none"/>
                <w:shd w:val="clear" w:color="auto" w:fill="auto"/>
                <w:lang w:val="en-GB" w:eastAsia="zh-CN"/>
              </w:rPr>
              <w:t>）</w:t>
            </w:r>
          </w:p>
        </w:tc>
        <w:tc>
          <w:tcPr>
            <w:tcW w:w="407" w:type="pct"/>
            <w:vAlign w:val="center"/>
          </w:tcPr>
          <w:p>
            <w:pPr>
              <w:spacing w:line="360" w:lineRule="auto"/>
              <w:jc w:val="center"/>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16</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highlight w:val="none"/>
                <w:lang w:val="en-US" w:eastAsia="zh-CN"/>
              </w:rPr>
              <w:t>11</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管理制度：</w:t>
            </w:r>
            <w:r>
              <w:rPr>
                <w:rFonts w:hint="eastAsia" w:ascii="仿宋" w:hAnsi="仿宋" w:eastAsia="仿宋" w:cs="仿宋"/>
                <w:b w:val="0"/>
                <w:bCs/>
                <w:color w:val="auto"/>
                <w:kern w:val="0"/>
                <w:sz w:val="24"/>
                <w:szCs w:val="24"/>
                <w:highlight w:val="none"/>
                <w:shd w:val="clear" w:color="auto" w:fill="auto"/>
                <w:lang w:val="en-GB" w:eastAsia="zh-CN"/>
              </w:rPr>
              <w:t>内容符合相关要求，方法符合规范规定等进行评分；（</w:t>
            </w:r>
            <w:r>
              <w:rPr>
                <w:rFonts w:hint="eastAsia" w:ascii="仿宋" w:hAnsi="仿宋" w:eastAsia="仿宋" w:cs="仿宋"/>
                <w:b w:val="0"/>
                <w:bCs/>
                <w:color w:val="auto"/>
                <w:kern w:val="0"/>
                <w:sz w:val="24"/>
                <w:szCs w:val="24"/>
                <w:highlight w:val="none"/>
                <w:shd w:val="clear" w:color="auto" w:fill="auto"/>
                <w:lang w:val="en-US" w:eastAsia="zh-CN"/>
              </w:rPr>
              <w:t>0-5分</w:t>
            </w:r>
            <w:r>
              <w:rPr>
                <w:rFonts w:hint="eastAsia" w:ascii="仿宋" w:hAnsi="仿宋" w:eastAsia="仿宋" w:cs="仿宋"/>
                <w:b w:val="0"/>
                <w:bCs/>
                <w:color w:val="auto"/>
                <w:kern w:val="0"/>
                <w:sz w:val="24"/>
                <w:szCs w:val="24"/>
                <w:highlight w:val="none"/>
                <w:shd w:val="clear" w:color="auto" w:fill="auto"/>
                <w:lang w:val="en-GB" w:eastAsia="zh-CN"/>
              </w:rPr>
              <w:t>）</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检测项目档案资料管理制度是否完善；</w:t>
            </w:r>
            <w:r>
              <w:rPr>
                <w:rFonts w:hint="eastAsia" w:ascii="仿宋" w:hAnsi="仿宋" w:eastAsia="仿宋" w:cs="仿宋"/>
                <w:b w:val="0"/>
                <w:bCs/>
                <w:color w:val="auto"/>
                <w:kern w:val="0"/>
                <w:sz w:val="24"/>
                <w:szCs w:val="24"/>
                <w:highlight w:val="none"/>
                <w:shd w:val="clear" w:color="auto" w:fill="auto"/>
                <w:lang w:val="en-GB" w:eastAsia="zh-CN"/>
              </w:rPr>
              <w:t>（</w:t>
            </w:r>
            <w:r>
              <w:rPr>
                <w:rFonts w:hint="eastAsia" w:ascii="仿宋" w:hAnsi="仿宋" w:eastAsia="仿宋" w:cs="仿宋"/>
                <w:b w:val="0"/>
                <w:bCs/>
                <w:color w:val="auto"/>
                <w:kern w:val="0"/>
                <w:sz w:val="24"/>
                <w:szCs w:val="24"/>
                <w:highlight w:val="none"/>
                <w:shd w:val="clear" w:color="auto" w:fill="auto"/>
                <w:lang w:val="en-US" w:eastAsia="zh-CN"/>
              </w:rPr>
              <w:t>0-5分</w:t>
            </w:r>
            <w:r>
              <w:rPr>
                <w:rFonts w:hint="eastAsia" w:ascii="仿宋" w:hAnsi="仿宋" w:eastAsia="仿宋" w:cs="仿宋"/>
                <w:b w:val="0"/>
                <w:bCs/>
                <w:color w:val="auto"/>
                <w:kern w:val="0"/>
                <w:sz w:val="24"/>
                <w:szCs w:val="24"/>
                <w:highlight w:val="none"/>
                <w:shd w:val="clear" w:color="auto" w:fill="auto"/>
                <w:lang w:val="en-GB" w:eastAsia="zh-CN"/>
              </w:rPr>
              <w:t>）</w:t>
            </w:r>
          </w:p>
        </w:tc>
        <w:tc>
          <w:tcPr>
            <w:tcW w:w="407" w:type="pct"/>
            <w:vAlign w:val="center"/>
          </w:tcPr>
          <w:p>
            <w:pPr>
              <w:spacing w:line="360" w:lineRule="auto"/>
              <w:jc w:val="center"/>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10</w:t>
            </w:r>
          </w:p>
        </w:tc>
        <w:tc>
          <w:tcPr>
            <w:tcW w:w="1095" w:type="pct"/>
          </w:tcPr>
          <w:p>
            <w:pPr>
              <w:spacing w:line="360" w:lineRule="auto"/>
              <w:outlineLvl w:val="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3027" w:type="pct"/>
            <w:vAlign w:val="center"/>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履约能力：三年内被未被市区级及以上建设行政主管部门实施行政处罚的，得5分，每处罚一次扣1分，扣完为止。未被市区级及以上建设行政主管部门通报批评的，得5分，每通报一次扣0.5分，扣完为止。没有的单位需写承诺书。</w:t>
            </w:r>
          </w:p>
        </w:tc>
        <w:tc>
          <w:tcPr>
            <w:tcW w:w="407" w:type="pct"/>
            <w:vAlign w:val="center"/>
          </w:tcPr>
          <w:p>
            <w:pPr>
              <w:spacing w:line="360" w:lineRule="auto"/>
              <w:jc w:val="center"/>
              <w:outlineLvl w:val="0"/>
              <w:rPr>
                <w:rFonts w:hint="default"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10</w:t>
            </w:r>
          </w:p>
        </w:tc>
        <w:tc>
          <w:tcPr>
            <w:tcW w:w="1095" w:type="pct"/>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spacing w:line="36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3027" w:type="pct"/>
            <w:vAlign w:val="top"/>
          </w:tcPr>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有效投标报价的最低价作为评标基准价，其最低报价为满分；按［投标报价得分=（评标基准价/投标报价）*10］的计算公式计算。</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评标过程中，不得去掉报价中的最高报价和最低报价。</w:t>
            </w:r>
          </w:p>
          <w:p>
            <w:pPr>
              <w:spacing w:line="360" w:lineRule="auto"/>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因落实政府采购政策需要进行价格调整的，以调整后的价格计算评标基准价和投标报价。</w:t>
            </w:r>
          </w:p>
        </w:tc>
        <w:tc>
          <w:tcPr>
            <w:tcW w:w="407" w:type="pct"/>
            <w:vAlign w:val="center"/>
          </w:tcPr>
          <w:p>
            <w:pPr>
              <w:spacing w:line="360" w:lineRule="auto"/>
              <w:jc w:val="center"/>
              <w:outlineLvl w:val="0"/>
              <w:rPr>
                <w:rFonts w:hint="eastAsia" w:ascii="仿宋" w:hAnsi="仿宋" w:eastAsia="仿宋" w:cs="仿宋"/>
                <w:b w:val="0"/>
                <w:bCs/>
                <w:color w:val="auto"/>
                <w:kern w:val="0"/>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shd w:val="clear" w:color="auto" w:fill="auto"/>
                <w:lang w:val="en-US" w:eastAsia="zh-CN"/>
              </w:rPr>
              <w:t>10</w:t>
            </w:r>
          </w:p>
        </w:tc>
        <w:tc>
          <w:tcPr>
            <w:tcW w:w="1095" w:type="pct"/>
          </w:tcPr>
          <w:p>
            <w:pPr>
              <w:rPr>
                <w:rFonts w:hint="eastAsia" w:ascii="仿宋" w:hAnsi="仿宋" w:eastAsia="仿宋" w:cs="仿宋"/>
                <w:color w:val="auto"/>
                <w:highlight w:val="none"/>
              </w:rPr>
            </w:pPr>
          </w:p>
        </w:tc>
      </w:tr>
    </w:tbl>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内容）提供评标标准相应的商务技术资料。 </w:t>
      </w:r>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630" w:firstLineChars="196"/>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spacing w:line="360" w:lineRule="auto"/>
        <w:outlineLvl w:val="0"/>
        <w:rPr>
          <w:rFonts w:hint="eastAsia" w:ascii="仿宋" w:hAnsi="仿宋" w:eastAsia="仿宋" w:cs="仿宋"/>
          <w:b/>
          <w:color w:val="auto"/>
          <w:sz w:val="36"/>
          <w:szCs w:val="36"/>
          <w:highlight w:val="none"/>
        </w:rPr>
      </w:pPr>
      <w:bookmarkStart w:id="419" w:name="_Toc86217003"/>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bookmarkStart w:id="420" w:name="_Toc6228"/>
      <w:bookmarkStart w:id="421" w:name="_Toc497919884"/>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snapToGrid w:val="0"/>
        <w:spacing w:line="300" w:lineRule="auto"/>
        <w:jc w:val="center"/>
        <w:rPr>
          <w:rFonts w:hint="eastAsia" w:ascii="仿宋" w:hAnsi="仿宋" w:eastAsia="仿宋" w:cs="仿宋"/>
          <w:b/>
          <w:bCs/>
          <w:color w:val="auto"/>
          <w:kern w:val="44"/>
          <w:sz w:val="30"/>
          <w:szCs w:val="44"/>
          <w:highlight w:val="none"/>
          <w:lang w:val="en-US" w:eastAsia="zh-CN" w:bidi="ar-SA"/>
        </w:rPr>
      </w:pPr>
    </w:p>
    <w:p>
      <w:pPr>
        <w:rPr>
          <w:rFonts w:hint="eastAsia" w:ascii="仿宋" w:hAnsi="仿宋" w:eastAsia="仿宋" w:cs="仿宋"/>
          <w:b/>
          <w:bCs/>
          <w:color w:val="auto"/>
          <w:kern w:val="44"/>
          <w:sz w:val="30"/>
          <w:szCs w:val="44"/>
          <w:highlight w:val="none"/>
          <w:lang w:val="en-US" w:eastAsia="zh-CN" w:bidi="ar-SA"/>
        </w:rPr>
      </w:pPr>
      <w:r>
        <w:rPr>
          <w:rFonts w:hint="eastAsia" w:ascii="仿宋" w:hAnsi="仿宋" w:eastAsia="仿宋" w:cs="仿宋"/>
          <w:b/>
          <w:bCs/>
          <w:color w:val="auto"/>
          <w:kern w:val="44"/>
          <w:sz w:val="30"/>
          <w:szCs w:val="44"/>
          <w:highlight w:val="none"/>
          <w:lang w:val="en-US" w:eastAsia="zh-CN" w:bidi="ar-SA"/>
        </w:rPr>
        <w:br w:type="page"/>
      </w:r>
    </w:p>
    <w:p>
      <w:pPr>
        <w:snapToGrid w:val="0"/>
        <w:spacing w:line="300" w:lineRule="auto"/>
        <w:jc w:val="center"/>
        <w:rPr>
          <w:rFonts w:ascii="Arial" w:hAnsi="Arial" w:cs="Arial"/>
          <w:color w:val="auto"/>
          <w:highlight w:val="none"/>
        </w:rPr>
      </w:pPr>
      <w:r>
        <w:rPr>
          <w:rFonts w:hint="eastAsia" w:ascii="仿宋" w:hAnsi="仿宋" w:eastAsia="仿宋" w:cs="仿宋"/>
          <w:b/>
          <w:bCs/>
          <w:color w:val="auto"/>
          <w:kern w:val="44"/>
          <w:sz w:val="30"/>
          <w:szCs w:val="44"/>
          <w:highlight w:val="none"/>
          <w:lang w:val="en-US" w:eastAsia="zh-CN" w:bidi="ar-SA"/>
        </w:rPr>
        <w:t xml:space="preserve">第五部分  </w:t>
      </w:r>
      <w:bookmarkEnd w:id="420"/>
      <w:bookmarkEnd w:id="421"/>
    </w:p>
    <w:p>
      <w:pPr>
        <w:snapToGrid w:val="0"/>
        <w:spacing w:line="300" w:lineRule="auto"/>
        <w:jc w:val="center"/>
        <w:rPr>
          <w:rFonts w:ascii="Arial" w:hAnsi="Arial" w:cs="Arial"/>
          <w:color w:val="auto"/>
          <w:highlight w:val="none"/>
        </w:rPr>
      </w:pPr>
    </w:p>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 购 合 同</w:t>
      </w:r>
    </w:p>
    <w:p>
      <w:pPr>
        <w:snapToGrid w:val="0"/>
        <w:spacing w:line="300" w:lineRule="auto"/>
        <w:jc w:val="center"/>
        <w:rPr>
          <w:rFonts w:hint="eastAsia" w:ascii="仿宋" w:hAnsi="仿宋" w:eastAsia="仿宋" w:cs="仿宋"/>
          <w:color w:val="auto"/>
          <w:sz w:val="24"/>
          <w:szCs w:val="24"/>
          <w:highlight w:val="none"/>
        </w:rPr>
      </w:pPr>
    </w:p>
    <w:p>
      <w:pPr>
        <w:snapToGrid w:val="0"/>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（甲乙双方应按招标文件确定的事项及投标文件响应内容签订本合同，不得对招标文件确定的事项和中标人投标文件作实质性修改）</w:t>
      </w:r>
    </w:p>
    <w:p>
      <w:pPr>
        <w:snapToGrid w:val="0"/>
        <w:spacing w:line="300" w:lineRule="auto"/>
        <w:jc w:val="center"/>
        <w:rPr>
          <w:rFonts w:hint="eastAsia" w:ascii="仿宋" w:hAnsi="仿宋" w:eastAsia="仿宋" w:cs="仿宋"/>
          <w:color w:val="auto"/>
          <w:sz w:val="24"/>
          <w:szCs w:val="24"/>
          <w:highlight w:val="none"/>
        </w:rPr>
      </w:pPr>
    </w:p>
    <w:p>
      <w:pPr>
        <w:snapToGrid w:val="0"/>
        <w:spacing w:line="300" w:lineRule="auto"/>
        <w:jc w:val="center"/>
        <w:rPr>
          <w:rFonts w:hint="eastAsia" w:ascii="仿宋" w:hAnsi="仿宋" w:eastAsia="仿宋" w:cs="仿宋"/>
          <w:color w:val="auto"/>
          <w:sz w:val="24"/>
          <w:szCs w:val="24"/>
          <w:highlight w:val="none"/>
        </w:rPr>
      </w:pPr>
    </w:p>
    <w:p>
      <w:pPr>
        <w:snapToGrid w:val="0"/>
        <w:spacing w:line="300" w:lineRule="auto"/>
        <w:ind w:firstLine="3633" w:firstLineChars="1508"/>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合同编号：</w:t>
      </w:r>
      <w:r>
        <w:rPr>
          <w:rFonts w:hint="eastAsia" w:ascii="仿宋" w:hAnsi="仿宋" w:eastAsia="仿宋" w:cs="仿宋"/>
          <w:b/>
          <w:color w:val="auto"/>
          <w:sz w:val="24"/>
          <w:szCs w:val="24"/>
          <w:highlight w:val="none"/>
          <w:u w:val="single"/>
        </w:rPr>
        <w:t>【            】</w:t>
      </w: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ind w:firstLine="1560" w:firstLineChars="65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ind w:firstLine="1560" w:firstLineChars="6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snapToGrid w:val="0"/>
        <w:spacing w:line="300" w:lineRule="auto"/>
        <w:rPr>
          <w:rFonts w:hint="eastAsia" w:ascii="仿宋" w:hAnsi="仿宋" w:eastAsia="仿宋" w:cs="仿宋"/>
          <w:color w:val="auto"/>
          <w:sz w:val="24"/>
          <w:szCs w:val="24"/>
          <w:highlight w:val="none"/>
        </w:rPr>
      </w:pPr>
    </w:p>
    <w:p>
      <w:pPr>
        <w:snapToGrid w:val="0"/>
        <w:spacing w:line="300" w:lineRule="auto"/>
        <w:ind w:firstLine="1560" w:firstLineChars="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w:t>
      </w: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p>
    <w:p>
      <w:pPr>
        <w:snapToGrid w:val="0"/>
        <w:spacing w:line="300" w:lineRule="auto"/>
        <w:ind w:firstLine="1560" w:firstLineChars="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  月  日</w:t>
      </w:r>
    </w:p>
    <w:p>
      <w:pPr>
        <w:snapToGrid w:val="0"/>
        <w:spacing w:line="300" w:lineRule="auto"/>
        <w:rPr>
          <w:rFonts w:hint="eastAsia" w:ascii="仿宋" w:hAnsi="仿宋" w:eastAsia="仿宋" w:cs="仿宋"/>
          <w:color w:val="auto"/>
          <w:sz w:val="24"/>
          <w:szCs w:val="24"/>
          <w:highlight w:val="none"/>
        </w:rPr>
      </w:pPr>
    </w:p>
    <w:p>
      <w:pPr>
        <w:snapToGrid w:val="0"/>
        <w:spacing w:line="300" w:lineRule="auto"/>
        <w:rPr>
          <w:rFonts w:hint="eastAsia" w:ascii="仿宋" w:hAnsi="仿宋" w:eastAsia="仿宋" w:cs="仿宋"/>
          <w:b/>
          <w:color w:val="auto"/>
          <w:sz w:val="24"/>
          <w:szCs w:val="24"/>
          <w:highlight w:val="none"/>
        </w:rPr>
      </w:pPr>
    </w:p>
    <w:p>
      <w:pPr>
        <w:snapToGrid w:val="0"/>
        <w:spacing w:line="3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963"/>
        <w:adjustRightInd w:val="0"/>
        <w:snapToGrid w:val="0"/>
        <w:ind w:firstLine="0" w:firstLineChars="0"/>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（本合同为合同样稿，最终稿由双方协商后确定）</w:t>
      </w:r>
    </w:p>
    <w:p>
      <w:pPr>
        <w:adjustRightInd w:val="0"/>
        <w:snapToGrid w:val="0"/>
        <w:spacing w:line="360" w:lineRule="auto"/>
        <w:ind w:firstLine="480" w:firstLineChars="2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合同将由杭州</w:t>
      </w:r>
      <w:r>
        <w:rPr>
          <w:rFonts w:hint="eastAsia" w:ascii="仿宋" w:hAnsi="仿宋" w:eastAsia="仿宋" w:cs="仿宋"/>
          <w:bCs/>
          <w:snapToGrid w:val="0"/>
          <w:color w:val="auto"/>
          <w:sz w:val="24"/>
          <w:szCs w:val="24"/>
          <w:highlight w:val="none"/>
          <w:lang w:val="en-US" w:eastAsia="zh-CN"/>
        </w:rPr>
        <w:t>市</w:t>
      </w:r>
      <w:r>
        <w:rPr>
          <w:rFonts w:hint="eastAsia" w:ascii="仿宋" w:hAnsi="仿宋" w:eastAsia="仿宋" w:cs="仿宋"/>
          <w:bCs/>
          <w:snapToGrid w:val="0"/>
          <w:color w:val="auto"/>
          <w:sz w:val="24"/>
          <w:szCs w:val="24"/>
          <w:highlight w:val="none"/>
          <w:lang w:eastAsia="zh-CN"/>
        </w:rPr>
        <w:t>钱塘区住房和城乡建设局</w:t>
      </w:r>
      <w:r>
        <w:rPr>
          <w:rFonts w:hint="eastAsia" w:ascii="仿宋" w:hAnsi="仿宋" w:eastAsia="仿宋" w:cs="仿宋"/>
          <w:bCs/>
          <w:snapToGrid w:val="0"/>
          <w:color w:val="auto"/>
          <w:sz w:val="24"/>
          <w:szCs w:val="24"/>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修改要求的，采购人将视作认同。甲方以《任务单》的形式分配任务，乙方在接到通知后应及时安排检测工作，并在检测完毕后及时向甲方提交检测报告。</w:t>
      </w:r>
    </w:p>
    <w:p>
      <w:pPr>
        <w:adjustRightInd w:val="0"/>
        <w:snapToGrid w:val="0"/>
        <w:spacing w:line="360" w:lineRule="auto"/>
        <w:rPr>
          <w:rFonts w:hint="eastAsia" w:ascii="仿宋" w:hAnsi="仿宋" w:eastAsia="仿宋" w:cs="仿宋"/>
          <w:snapToGrid w:val="0"/>
          <w:color w:val="auto"/>
          <w:sz w:val="24"/>
          <w:szCs w:val="24"/>
          <w:highlight w:val="none"/>
          <w:u w:val="single"/>
        </w:rPr>
      </w:pPr>
      <w:r>
        <w:rPr>
          <w:rFonts w:hint="eastAsia" w:ascii="仿宋" w:hAnsi="仿宋" w:eastAsia="仿宋" w:cs="仿宋"/>
          <w:snapToGrid w:val="0"/>
          <w:color w:val="auto"/>
          <w:sz w:val="24"/>
          <w:szCs w:val="24"/>
          <w:highlight w:val="none"/>
        </w:rPr>
        <w:t xml:space="preserve">    委托方（以下简称甲方）：</w:t>
      </w:r>
      <w:r>
        <w:rPr>
          <w:rFonts w:hint="eastAsia" w:ascii="仿宋" w:hAnsi="仿宋" w:eastAsia="仿宋" w:cs="仿宋"/>
          <w:bCs/>
          <w:snapToGrid w:val="0"/>
          <w:color w:val="auto"/>
          <w:sz w:val="24"/>
          <w:szCs w:val="24"/>
          <w:highlight w:val="none"/>
          <w:u w:val="single"/>
        </w:rPr>
        <w:t>杭州</w:t>
      </w:r>
      <w:r>
        <w:rPr>
          <w:rFonts w:hint="eastAsia" w:ascii="仿宋" w:hAnsi="仿宋" w:eastAsia="仿宋" w:cs="仿宋"/>
          <w:bCs/>
          <w:snapToGrid w:val="0"/>
          <w:color w:val="auto"/>
          <w:sz w:val="24"/>
          <w:szCs w:val="24"/>
          <w:highlight w:val="none"/>
          <w:u w:val="single"/>
          <w:lang w:val="en-US" w:eastAsia="zh-CN"/>
        </w:rPr>
        <w:t>市</w:t>
      </w:r>
      <w:r>
        <w:rPr>
          <w:rFonts w:hint="eastAsia" w:ascii="仿宋" w:hAnsi="仿宋" w:eastAsia="仿宋" w:cs="仿宋"/>
          <w:bCs/>
          <w:snapToGrid w:val="0"/>
          <w:color w:val="auto"/>
          <w:sz w:val="24"/>
          <w:szCs w:val="24"/>
          <w:highlight w:val="none"/>
          <w:u w:val="single"/>
          <w:lang w:eastAsia="zh-CN"/>
        </w:rPr>
        <w:t>钱塘区住房和城乡建设局</w:t>
      </w:r>
      <w:r>
        <w:rPr>
          <w:rFonts w:hint="eastAsia" w:ascii="仿宋" w:hAnsi="仿宋" w:eastAsia="仿宋" w:cs="仿宋"/>
          <w:bCs/>
          <w:snapToGrid w:val="0"/>
          <w:color w:val="auto"/>
          <w:sz w:val="24"/>
          <w:szCs w:val="24"/>
          <w:highlight w:val="none"/>
          <w:u w:val="single"/>
        </w:rPr>
        <w:t xml:space="preserve"> </w:t>
      </w:r>
    </w:p>
    <w:p>
      <w:pPr>
        <w:adjustRightInd w:val="0"/>
        <w:snapToGrid w:val="0"/>
        <w:spacing w:line="360" w:lineRule="auto"/>
        <w:rPr>
          <w:rFonts w:hint="eastAsia" w:ascii="仿宋" w:hAnsi="仿宋" w:eastAsia="仿宋" w:cs="仿宋"/>
          <w:snapToGrid w:val="0"/>
          <w:color w:val="auto"/>
          <w:sz w:val="24"/>
          <w:szCs w:val="24"/>
          <w:highlight w:val="none"/>
          <w:u w:val="single"/>
        </w:rPr>
      </w:pPr>
      <w:r>
        <w:rPr>
          <w:rFonts w:hint="eastAsia" w:ascii="仿宋" w:hAnsi="仿宋" w:eastAsia="仿宋" w:cs="仿宋"/>
          <w:snapToGrid w:val="0"/>
          <w:color w:val="auto"/>
          <w:sz w:val="24"/>
          <w:szCs w:val="24"/>
          <w:highlight w:val="none"/>
        </w:rPr>
        <w:t xml:space="preserve">    受委托方（以下简称乙方）： </w:t>
      </w:r>
    </w:p>
    <w:p>
      <w:pPr>
        <w:spacing w:line="360" w:lineRule="auto"/>
        <w:ind w:firstLine="480" w:firstLineChars="200"/>
        <w:rPr>
          <w:rFonts w:hint="eastAsia" w:ascii="仿宋" w:hAnsi="仿宋" w:eastAsia="仿宋" w:cs="仿宋"/>
          <w:bCs/>
          <w:snapToGrid w:val="0"/>
          <w:color w:val="auto"/>
          <w:sz w:val="24"/>
          <w:szCs w:val="24"/>
          <w:highlight w:val="none"/>
        </w:rPr>
      </w:pPr>
      <w:r>
        <w:rPr>
          <w:rFonts w:hint="eastAsia" w:ascii="仿宋" w:hAnsi="仿宋" w:eastAsia="仿宋" w:cs="仿宋"/>
          <w:bCs/>
          <w:snapToGrid w:val="0"/>
          <w:color w:val="auto"/>
          <w:sz w:val="24"/>
          <w:szCs w:val="24"/>
          <w:highlight w:val="none"/>
        </w:rPr>
        <w:t>根据</w:t>
      </w:r>
      <w:r>
        <w:rPr>
          <w:rFonts w:hint="eastAsia" w:ascii="仿宋" w:hAnsi="仿宋" w:eastAsia="仿宋" w:cs="仿宋"/>
          <w:bCs/>
          <w:snapToGrid w:val="0"/>
          <w:color w:val="auto"/>
          <w:sz w:val="24"/>
          <w:szCs w:val="24"/>
          <w:highlight w:val="none"/>
          <w:lang w:val="en-US" w:eastAsia="zh-CN"/>
        </w:rPr>
        <w:t xml:space="preserve">20   </w:t>
      </w:r>
      <w:r>
        <w:rPr>
          <w:rFonts w:hint="eastAsia" w:ascii="仿宋" w:hAnsi="仿宋" w:eastAsia="仿宋" w:cs="仿宋"/>
          <w:bCs/>
          <w:snapToGrid w:val="0"/>
          <w:color w:val="auto"/>
          <w:sz w:val="24"/>
          <w:szCs w:val="24"/>
          <w:highlight w:val="none"/>
        </w:rPr>
        <w:t>年</w:t>
      </w:r>
      <w:r>
        <w:rPr>
          <w:rFonts w:hint="eastAsia" w:ascii="仿宋" w:hAnsi="仿宋" w:eastAsia="仿宋" w:cs="仿宋"/>
          <w:bCs/>
          <w:snapToGrid w:val="0"/>
          <w:color w:val="auto"/>
          <w:sz w:val="24"/>
          <w:szCs w:val="24"/>
          <w:highlight w:val="none"/>
          <w:lang w:val="en-US" w:eastAsia="zh-CN"/>
        </w:rPr>
        <w:t xml:space="preserve">   </w:t>
      </w:r>
      <w:r>
        <w:rPr>
          <w:rFonts w:hint="eastAsia" w:ascii="仿宋" w:hAnsi="仿宋" w:eastAsia="仿宋" w:cs="仿宋"/>
          <w:bCs/>
          <w:snapToGrid w:val="0"/>
          <w:color w:val="auto"/>
          <w:sz w:val="24"/>
          <w:szCs w:val="24"/>
          <w:highlight w:val="none"/>
        </w:rPr>
        <w:t>月</w:t>
      </w:r>
      <w:r>
        <w:rPr>
          <w:rFonts w:hint="eastAsia" w:ascii="仿宋" w:hAnsi="仿宋" w:eastAsia="仿宋" w:cs="仿宋"/>
          <w:bCs/>
          <w:snapToGrid w:val="0"/>
          <w:color w:val="auto"/>
          <w:sz w:val="24"/>
          <w:szCs w:val="24"/>
          <w:highlight w:val="none"/>
          <w:lang w:val="en-US" w:eastAsia="zh-CN"/>
        </w:rPr>
        <w:t xml:space="preserve">   </w:t>
      </w:r>
      <w:r>
        <w:rPr>
          <w:rFonts w:hint="eastAsia" w:ascii="仿宋" w:hAnsi="仿宋" w:eastAsia="仿宋" w:cs="仿宋"/>
          <w:bCs/>
          <w:snapToGrid w:val="0"/>
          <w:color w:val="auto"/>
          <w:sz w:val="24"/>
          <w:szCs w:val="24"/>
          <w:highlight w:val="none"/>
        </w:rPr>
        <w:t>日杭州</w:t>
      </w:r>
      <w:r>
        <w:rPr>
          <w:rFonts w:hint="eastAsia" w:ascii="仿宋" w:hAnsi="仿宋" w:eastAsia="仿宋" w:cs="仿宋"/>
          <w:bCs/>
          <w:snapToGrid w:val="0"/>
          <w:color w:val="auto"/>
          <w:sz w:val="24"/>
          <w:szCs w:val="24"/>
          <w:highlight w:val="none"/>
          <w:lang w:eastAsia="zh-CN"/>
        </w:rPr>
        <w:t>钱塘区住房和城乡建设局</w:t>
      </w:r>
      <w:r>
        <w:rPr>
          <w:rFonts w:hint="eastAsia" w:ascii="仿宋" w:hAnsi="仿宋" w:eastAsia="仿宋" w:cs="仿宋"/>
          <w:bCs/>
          <w:snapToGrid w:val="0"/>
          <w:color w:val="auto"/>
          <w:sz w:val="24"/>
          <w:szCs w:val="24"/>
          <w:highlight w:val="none"/>
          <w:u w:val="single"/>
        </w:rPr>
        <w:t xml:space="preserve"> </w:t>
      </w:r>
      <w:r>
        <w:rPr>
          <w:rFonts w:hint="eastAsia" w:ascii="仿宋" w:hAnsi="仿宋" w:eastAsia="仿宋" w:cs="仿宋"/>
          <w:bCs/>
          <w:snapToGrid w:val="0"/>
          <w:color w:val="auto"/>
          <w:sz w:val="24"/>
          <w:szCs w:val="24"/>
          <w:highlight w:val="none"/>
          <w:u w:val="single"/>
          <w:lang w:val="en-US" w:eastAsia="zh-CN"/>
        </w:rPr>
        <w:t xml:space="preserve">                          </w:t>
      </w:r>
      <w:r>
        <w:rPr>
          <w:rFonts w:hint="eastAsia" w:ascii="仿宋" w:hAnsi="仿宋" w:eastAsia="仿宋" w:cs="仿宋"/>
          <w:bCs/>
          <w:snapToGrid w:val="0"/>
          <w:color w:val="auto"/>
          <w:sz w:val="24"/>
          <w:szCs w:val="24"/>
          <w:highlight w:val="none"/>
        </w:rPr>
        <w:t>招标结果和采购文件的要求，并依照《中华人民共和国</w:t>
      </w:r>
      <w:r>
        <w:rPr>
          <w:rFonts w:hint="eastAsia" w:ascii="仿宋" w:hAnsi="仿宋" w:eastAsia="仿宋" w:cs="仿宋"/>
          <w:bCs/>
          <w:snapToGrid w:val="0"/>
          <w:color w:val="auto"/>
          <w:sz w:val="24"/>
          <w:szCs w:val="24"/>
          <w:highlight w:val="none"/>
          <w:lang w:val="en-US" w:eastAsia="zh-CN"/>
        </w:rPr>
        <w:t>民法典</w:t>
      </w:r>
      <w:r>
        <w:rPr>
          <w:rFonts w:hint="eastAsia" w:ascii="仿宋" w:hAnsi="仿宋" w:eastAsia="仿宋" w:cs="仿宋"/>
          <w:bCs/>
          <w:snapToGrid w:val="0"/>
          <w:color w:val="auto"/>
          <w:sz w:val="24"/>
          <w:szCs w:val="24"/>
          <w:highlight w:val="none"/>
        </w:rPr>
        <w:t>》等有关法律、行政法规的规定，同时在平等、公平、诚实和信用的原则下，经双方协商一致，订立本合同。</w:t>
      </w:r>
    </w:p>
    <w:p>
      <w:pPr>
        <w:adjustRightInd/>
        <w:snapToGrid/>
        <w:spacing w:beforeLines="-2147483648" w:after="100" w:afterLines="-2147483648" w:afterAutospacing="1" w:line="240" w:lineRule="auto"/>
        <w:ind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第一条 合同文件</w:t>
      </w:r>
    </w:p>
    <w:p>
      <w:pPr>
        <w:adjustRightInd w:val="0"/>
        <w:snapToGrid w:val="0"/>
        <w:spacing w:beforeLines="-2147483648" w:after="157" w:afterLines="5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采购文件、投标文件、招标答疑、技术澄清及询标答复的所有内容是构成合同不可分割的部分，与本合同具有同等法律效力，当文件有相矛盾之处，以时间在后者为准。</w:t>
      </w:r>
    </w:p>
    <w:p>
      <w:pPr>
        <w:adjustRightInd w:val="0"/>
        <w:snapToGrid w:val="0"/>
        <w:spacing w:beforeLines="-2147483648" w:after="157" w:afterLines="50" w:line="360" w:lineRule="auto"/>
        <w:ind w:left="0" w:leftChars="0"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 xml:space="preserve">第二条 服务内容、数量、价格及其它：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2147483648" w:after="157" w:afterLines="50" w:line="360" w:lineRule="auto"/>
        <w:ind w:leftChars="0"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lang w:val="en-US" w:eastAsia="zh-CN"/>
        </w:rPr>
        <w:t>合同价格：</w:t>
      </w:r>
      <w:r>
        <w:rPr>
          <w:rFonts w:hint="eastAsia" w:ascii="仿宋" w:hAnsi="仿宋" w:eastAsia="仿宋" w:cs="仿宋"/>
          <w:b/>
          <w:snapToGrid w:val="0"/>
          <w:color w:val="auto"/>
          <w:kern w:val="0"/>
          <w:sz w:val="24"/>
          <w:szCs w:val="24"/>
          <w:highlight w:val="none"/>
        </w:rPr>
        <w:t xml:space="preserve">乙方中标费率：                 ，根据该费率，具体报价如下：              </w:t>
      </w:r>
    </w:p>
    <w:tbl>
      <w:tblPr>
        <w:tblStyle w:val="6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80"/>
        <w:gridCol w:w="1633"/>
        <w:gridCol w:w="1242"/>
        <w:gridCol w:w="1167"/>
        <w:gridCol w:w="1067"/>
        <w:gridCol w:w="1107"/>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noWrap w:val="0"/>
            <w:vAlign w:val="center"/>
          </w:tcPr>
          <w:p>
            <w:pPr>
              <w:pStyle w:val="15"/>
              <w:ind w:firstLine="0"/>
              <w:jc w:val="center"/>
              <w:rPr>
                <w:rFonts w:hint="eastAsia" w:ascii="仿宋" w:hAnsi="仿宋" w:eastAsia="仿宋" w:cs="仿宋"/>
                <w:b w:val="0"/>
                <w:color w:val="auto"/>
                <w:kern w:val="2"/>
                <w:sz w:val="21"/>
                <w:szCs w:val="21"/>
                <w:highlight w:val="none"/>
              </w:rPr>
            </w:pPr>
            <w:r>
              <w:rPr>
                <w:rFonts w:hint="eastAsia" w:ascii="仿宋" w:hAnsi="仿宋" w:eastAsia="仿宋" w:cs="仿宋"/>
                <w:b w:val="0"/>
                <w:color w:val="auto"/>
                <w:kern w:val="2"/>
                <w:sz w:val="21"/>
                <w:szCs w:val="21"/>
                <w:highlight w:val="none"/>
              </w:rPr>
              <w:t>序号</w:t>
            </w:r>
          </w:p>
        </w:tc>
        <w:tc>
          <w:tcPr>
            <w:tcW w:w="780" w:type="dxa"/>
            <w:noWrap w:val="0"/>
            <w:vAlign w:val="center"/>
          </w:tcPr>
          <w:p>
            <w:pPr>
              <w:pStyle w:val="15"/>
              <w:ind w:firstLine="0"/>
              <w:jc w:val="center"/>
              <w:rPr>
                <w:rFonts w:hint="eastAsia" w:ascii="仿宋" w:hAnsi="仿宋" w:eastAsia="仿宋" w:cs="仿宋"/>
                <w:b w:val="0"/>
                <w:color w:val="auto"/>
                <w:kern w:val="2"/>
                <w:sz w:val="21"/>
                <w:szCs w:val="21"/>
                <w:highlight w:val="none"/>
              </w:rPr>
            </w:pPr>
            <w:r>
              <w:rPr>
                <w:rFonts w:hint="eastAsia" w:ascii="仿宋" w:hAnsi="仿宋" w:eastAsia="仿宋" w:cs="仿宋"/>
                <w:b w:val="0"/>
                <w:color w:val="auto"/>
                <w:kern w:val="2"/>
                <w:sz w:val="21"/>
                <w:szCs w:val="21"/>
                <w:highlight w:val="none"/>
              </w:rPr>
              <w:t>代码</w:t>
            </w:r>
          </w:p>
        </w:tc>
        <w:tc>
          <w:tcPr>
            <w:tcW w:w="1633" w:type="dxa"/>
            <w:noWrap w:val="0"/>
            <w:vAlign w:val="center"/>
          </w:tcPr>
          <w:p>
            <w:pPr>
              <w:pStyle w:val="15"/>
              <w:ind w:firstLine="0"/>
              <w:jc w:val="center"/>
              <w:rPr>
                <w:rFonts w:hint="eastAsia" w:ascii="仿宋" w:hAnsi="仿宋" w:eastAsia="仿宋" w:cs="仿宋"/>
                <w:b w:val="0"/>
                <w:color w:val="auto"/>
                <w:kern w:val="2"/>
                <w:sz w:val="21"/>
                <w:szCs w:val="21"/>
                <w:highlight w:val="none"/>
              </w:rPr>
            </w:pPr>
            <w:r>
              <w:rPr>
                <w:rFonts w:hint="eastAsia" w:ascii="仿宋" w:hAnsi="仿宋" w:eastAsia="仿宋" w:cs="仿宋"/>
                <w:b w:val="0"/>
                <w:color w:val="auto"/>
                <w:kern w:val="2"/>
                <w:sz w:val="21"/>
                <w:szCs w:val="21"/>
                <w:highlight w:val="none"/>
              </w:rPr>
              <w:t>检测项目</w:t>
            </w:r>
          </w:p>
        </w:tc>
        <w:tc>
          <w:tcPr>
            <w:tcW w:w="1242" w:type="dxa"/>
            <w:noWrap w:val="0"/>
            <w:vAlign w:val="center"/>
          </w:tcPr>
          <w:p>
            <w:pPr>
              <w:pStyle w:val="15"/>
              <w:ind w:firstLine="0"/>
              <w:jc w:val="center"/>
              <w:rPr>
                <w:rFonts w:hint="eastAsia" w:ascii="仿宋" w:hAnsi="仿宋" w:eastAsia="仿宋" w:cs="仿宋"/>
                <w:b w:val="0"/>
                <w:color w:val="auto"/>
                <w:kern w:val="2"/>
                <w:sz w:val="21"/>
                <w:szCs w:val="21"/>
                <w:highlight w:val="none"/>
              </w:rPr>
            </w:pPr>
            <w:r>
              <w:rPr>
                <w:rFonts w:hint="eastAsia" w:ascii="仿宋" w:hAnsi="仿宋" w:eastAsia="仿宋" w:cs="仿宋"/>
                <w:b w:val="0"/>
                <w:color w:val="auto"/>
                <w:kern w:val="2"/>
                <w:sz w:val="21"/>
                <w:szCs w:val="21"/>
                <w:highlight w:val="none"/>
              </w:rPr>
              <w:t>单位</w:t>
            </w:r>
          </w:p>
        </w:tc>
        <w:tc>
          <w:tcPr>
            <w:tcW w:w="1167" w:type="dxa"/>
            <w:noWrap w:val="0"/>
            <w:vAlign w:val="center"/>
          </w:tcPr>
          <w:p>
            <w:pPr>
              <w:pStyle w:val="15"/>
              <w:ind w:firstLine="0"/>
              <w:jc w:val="center"/>
              <w:rPr>
                <w:rFonts w:hint="eastAsia" w:ascii="仿宋" w:hAnsi="仿宋" w:eastAsia="仿宋" w:cs="仿宋"/>
                <w:b w:val="0"/>
                <w:color w:val="auto"/>
                <w:kern w:val="2"/>
                <w:sz w:val="21"/>
                <w:szCs w:val="21"/>
                <w:highlight w:val="none"/>
                <w:lang w:val="en-US" w:eastAsia="zh-CN"/>
              </w:rPr>
            </w:pPr>
            <w:r>
              <w:rPr>
                <w:rFonts w:hint="eastAsia" w:ascii="仿宋" w:hAnsi="仿宋" w:eastAsia="仿宋" w:cs="仿宋"/>
                <w:b w:val="0"/>
                <w:color w:val="auto"/>
                <w:kern w:val="2"/>
                <w:sz w:val="21"/>
                <w:szCs w:val="21"/>
                <w:highlight w:val="none"/>
                <w:lang w:val="en-US" w:eastAsia="zh-CN"/>
              </w:rPr>
              <w:t>最高限价</w:t>
            </w:r>
            <w:r>
              <w:rPr>
                <w:rFonts w:hint="eastAsia" w:ascii="仿宋" w:hAnsi="仿宋" w:eastAsia="仿宋" w:cs="仿宋"/>
                <w:b w:val="0"/>
                <w:color w:val="auto"/>
                <w:kern w:val="2"/>
                <w:sz w:val="21"/>
                <w:szCs w:val="21"/>
                <w:highlight w:val="none"/>
              </w:rPr>
              <w:t>（元/项）</w:t>
            </w:r>
          </w:p>
        </w:tc>
        <w:tc>
          <w:tcPr>
            <w:tcW w:w="1067" w:type="dxa"/>
            <w:noWrap w:val="0"/>
            <w:vAlign w:val="center"/>
          </w:tcPr>
          <w:p>
            <w:pPr>
              <w:pStyle w:val="15"/>
              <w:ind w:hanging="7"/>
              <w:jc w:val="center"/>
              <w:rPr>
                <w:rFonts w:hint="eastAsia" w:ascii="仿宋" w:hAnsi="仿宋" w:eastAsia="仿宋" w:cs="仿宋"/>
                <w:b w:val="0"/>
                <w:color w:val="auto"/>
                <w:kern w:val="2"/>
                <w:sz w:val="21"/>
                <w:szCs w:val="21"/>
                <w:highlight w:val="none"/>
                <w:lang w:val="en-US" w:eastAsia="zh-CN"/>
              </w:rPr>
            </w:pPr>
            <w:r>
              <w:rPr>
                <w:rFonts w:hint="eastAsia" w:ascii="仿宋" w:hAnsi="仿宋" w:eastAsia="仿宋" w:cs="仿宋"/>
                <w:b w:val="0"/>
                <w:color w:val="auto"/>
                <w:kern w:val="2"/>
                <w:sz w:val="21"/>
                <w:szCs w:val="21"/>
                <w:highlight w:val="none"/>
                <w:lang w:val="en-US" w:eastAsia="zh-CN"/>
              </w:rPr>
              <w:t>费率</w:t>
            </w:r>
          </w:p>
        </w:tc>
        <w:tc>
          <w:tcPr>
            <w:tcW w:w="1107" w:type="dxa"/>
            <w:noWrap w:val="0"/>
            <w:vAlign w:val="center"/>
          </w:tcPr>
          <w:p>
            <w:pPr>
              <w:pStyle w:val="15"/>
              <w:ind w:hanging="7"/>
              <w:jc w:val="center"/>
              <w:rPr>
                <w:rFonts w:hint="eastAsia" w:ascii="仿宋" w:hAnsi="仿宋" w:eastAsia="仿宋" w:cs="仿宋"/>
                <w:b w:val="0"/>
                <w:color w:val="auto"/>
                <w:kern w:val="2"/>
                <w:sz w:val="21"/>
                <w:szCs w:val="21"/>
                <w:highlight w:val="none"/>
                <w:lang w:eastAsia="zh-CN"/>
              </w:rPr>
            </w:pPr>
            <w:r>
              <w:rPr>
                <w:rFonts w:hint="eastAsia" w:ascii="仿宋" w:hAnsi="仿宋" w:eastAsia="仿宋" w:cs="仿宋"/>
                <w:b w:val="0"/>
                <w:color w:val="auto"/>
                <w:kern w:val="2"/>
                <w:sz w:val="21"/>
                <w:szCs w:val="21"/>
                <w:highlight w:val="none"/>
              </w:rPr>
              <w:t>综合单价（元/项）</w:t>
            </w:r>
          </w:p>
        </w:tc>
        <w:tc>
          <w:tcPr>
            <w:tcW w:w="572" w:type="dxa"/>
            <w:noWrap w:val="0"/>
            <w:vAlign w:val="center"/>
          </w:tcPr>
          <w:p>
            <w:pPr>
              <w:pStyle w:val="15"/>
              <w:ind w:firstLine="0"/>
              <w:jc w:val="center"/>
              <w:rPr>
                <w:rFonts w:hint="eastAsia" w:ascii="仿宋" w:hAnsi="仿宋" w:eastAsia="仿宋" w:cs="仿宋"/>
                <w:b w:val="0"/>
                <w:color w:val="auto"/>
                <w:kern w:val="2"/>
                <w:sz w:val="21"/>
                <w:szCs w:val="21"/>
                <w:highlight w:val="none"/>
              </w:rPr>
            </w:pPr>
            <w:r>
              <w:rPr>
                <w:rFonts w:hint="eastAsia" w:ascii="仿宋" w:hAnsi="仿宋" w:eastAsia="仿宋" w:cs="仿宋"/>
                <w:b w:val="0"/>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noWrap w:val="0"/>
            <w:vAlign w:val="center"/>
          </w:tcPr>
          <w:p>
            <w:pPr>
              <w:pStyle w:val="15"/>
              <w:ind w:firstLine="0"/>
              <w:jc w:val="center"/>
              <w:rPr>
                <w:rFonts w:hint="eastAsia" w:ascii="仿宋" w:hAnsi="仿宋" w:eastAsia="仿宋" w:cs="仿宋"/>
                <w:color w:val="auto"/>
                <w:kern w:val="2"/>
                <w:sz w:val="21"/>
                <w:szCs w:val="21"/>
                <w:highlight w:val="none"/>
              </w:rPr>
            </w:pPr>
          </w:p>
        </w:tc>
        <w:tc>
          <w:tcPr>
            <w:tcW w:w="780" w:type="dxa"/>
            <w:noWrap w:val="0"/>
            <w:vAlign w:val="center"/>
          </w:tcPr>
          <w:p>
            <w:pPr>
              <w:jc w:val="center"/>
              <w:rPr>
                <w:rFonts w:hint="eastAsia" w:ascii="仿宋" w:hAnsi="仿宋" w:eastAsia="仿宋" w:cs="仿宋"/>
                <w:snapToGrid w:val="0"/>
                <w:color w:val="auto"/>
                <w:sz w:val="21"/>
                <w:szCs w:val="21"/>
                <w:highlight w:val="none"/>
              </w:rPr>
            </w:pPr>
          </w:p>
        </w:tc>
        <w:tc>
          <w:tcPr>
            <w:tcW w:w="1633" w:type="dxa"/>
            <w:noWrap w:val="0"/>
            <w:vAlign w:val="center"/>
          </w:tcPr>
          <w:p>
            <w:pPr>
              <w:jc w:val="center"/>
              <w:rPr>
                <w:rFonts w:hint="eastAsia" w:ascii="仿宋" w:hAnsi="仿宋" w:eastAsia="仿宋" w:cs="仿宋"/>
                <w:snapToGrid w:val="0"/>
                <w:color w:val="auto"/>
                <w:sz w:val="21"/>
                <w:szCs w:val="21"/>
                <w:highlight w:val="none"/>
              </w:rPr>
            </w:pPr>
          </w:p>
        </w:tc>
        <w:tc>
          <w:tcPr>
            <w:tcW w:w="1242" w:type="dxa"/>
            <w:noWrap w:val="0"/>
            <w:vAlign w:val="center"/>
          </w:tcPr>
          <w:p>
            <w:pPr>
              <w:jc w:val="center"/>
              <w:rPr>
                <w:rFonts w:hint="eastAsia" w:ascii="仿宋" w:hAnsi="仿宋" w:eastAsia="仿宋" w:cs="仿宋"/>
                <w:snapToGrid w:val="0"/>
                <w:color w:val="auto"/>
                <w:sz w:val="21"/>
                <w:szCs w:val="21"/>
                <w:highlight w:val="none"/>
              </w:rPr>
            </w:pPr>
          </w:p>
        </w:tc>
        <w:tc>
          <w:tcPr>
            <w:tcW w:w="1167" w:type="dxa"/>
            <w:noWrap w:val="0"/>
            <w:vAlign w:val="center"/>
          </w:tcPr>
          <w:p>
            <w:pPr>
              <w:adjustRightInd w:val="0"/>
              <w:snapToGrid w:val="0"/>
              <w:spacing w:before="120" w:beforeLines="50" w:line="340" w:lineRule="exact"/>
              <w:jc w:val="center"/>
              <w:rPr>
                <w:rFonts w:hint="eastAsia" w:ascii="仿宋" w:hAnsi="仿宋" w:eastAsia="仿宋" w:cs="仿宋"/>
                <w:snapToGrid w:val="0"/>
                <w:color w:val="auto"/>
                <w:sz w:val="21"/>
                <w:szCs w:val="21"/>
                <w:highlight w:val="none"/>
              </w:rPr>
            </w:pPr>
          </w:p>
        </w:tc>
        <w:tc>
          <w:tcPr>
            <w:tcW w:w="1067" w:type="dxa"/>
            <w:noWrap w:val="0"/>
            <w:vAlign w:val="center"/>
          </w:tcPr>
          <w:p>
            <w:pPr>
              <w:adjustRightInd w:val="0"/>
              <w:snapToGrid w:val="0"/>
              <w:spacing w:before="120" w:beforeLines="50" w:line="340" w:lineRule="exact"/>
              <w:jc w:val="center"/>
              <w:rPr>
                <w:rFonts w:hint="eastAsia" w:ascii="仿宋" w:hAnsi="仿宋" w:eastAsia="仿宋" w:cs="仿宋"/>
                <w:snapToGrid w:val="0"/>
                <w:color w:val="auto"/>
                <w:sz w:val="21"/>
                <w:szCs w:val="21"/>
                <w:highlight w:val="none"/>
              </w:rPr>
            </w:pPr>
          </w:p>
        </w:tc>
        <w:tc>
          <w:tcPr>
            <w:tcW w:w="1107" w:type="dxa"/>
            <w:noWrap w:val="0"/>
            <w:vAlign w:val="top"/>
          </w:tcPr>
          <w:p>
            <w:pPr>
              <w:adjustRightInd w:val="0"/>
              <w:snapToGrid w:val="0"/>
              <w:spacing w:before="120" w:beforeLines="50" w:line="340" w:lineRule="exact"/>
              <w:rPr>
                <w:rFonts w:hint="eastAsia" w:ascii="仿宋" w:hAnsi="仿宋" w:eastAsia="仿宋" w:cs="仿宋"/>
                <w:snapToGrid w:val="0"/>
                <w:color w:val="auto"/>
                <w:sz w:val="21"/>
                <w:szCs w:val="21"/>
                <w:highlight w:val="none"/>
              </w:rPr>
            </w:pPr>
          </w:p>
        </w:tc>
        <w:tc>
          <w:tcPr>
            <w:tcW w:w="572" w:type="dxa"/>
            <w:noWrap w:val="0"/>
            <w:vAlign w:val="center"/>
          </w:tcPr>
          <w:p>
            <w:pPr>
              <w:rPr>
                <w:rFonts w:hint="eastAsia" w:ascii="仿宋" w:hAnsi="仿宋" w:eastAsia="仿宋" w:cs="仿宋"/>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noWrap w:val="0"/>
            <w:vAlign w:val="center"/>
          </w:tcPr>
          <w:p>
            <w:pPr>
              <w:pStyle w:val="15"/>
              <w:ind w:firstLine="0"/>
              <w:jc w:val="center"/>
              <w:rPr>
                <w:rFonts w:hint="eastAsia" w:ascii="仿宋" w:hAnsi="仿宋" w:eastAsia="仿宋" w:cs="仿宋"/>
                <w:color w:val="auto"/>
                <w:kern w:val="2"/>
                <w:sz w:val="21"/>
                <w:szCs w:val="21"/>
                <w:highlight w:val="none"/>
              </w:rPr>
            </w:pPr>
          </w:p>
        </w:tc>
        <w:tc>
          <w:tcPr>
            <w:tcW w:w="780" w:type="dxa"/>
            <w:noWrap w:val="0"/>
            <w:vAlign w:val="center"/>
          </w:tcPr>
          <w:p>
            <w:pPr>
              <w:jc w:val="center"/>
              <w:rPr>
                <w:rFonts w:hint="eastAsia" w:ascii="仿宋" w:hAnsi="仿宋" w:eastAsia="仿宋" w:cs="仿宋"/>
                <w:snapToGrid w:val="0"/>
                <w:color w:val="auto"/>
                <w:sz w:val="21"/>
                <w:szCs w:val="21"/>
                <w:highlight w:val="none"/>
              </w:rPr>
            </w:pPr>
          </w:p>
        </w:tc>
        <w:tc>
          <w:tcPr>
            <w:tcW w:w="1633" w:type="dxa"/>
            <w:noWrap w:val="0"/>
            <w:vAlign w:val="center"/>
          </w:tcPr>
          <w:p>
            <w:pPr>
              <w:jc w:val="center"/>
              <w:rPr>
                <w:rFonts w:hint="eastAsia" w:ascii="仿宋" w:hAnsi="仿宋" w:eastAsia="仿宋" w:cs="仿宋"/>
                <w:snapToGrid w:val="0"/>
                <w:color w:val="auto"/>
                <w:sz w:val="21"/>
                <w:szCs w:val="21"/>
                <w:highlight w:val="none"/>
              </w:rPr>
            </w:pPr>
          </w:p>
        </w:tc>
        <w:tc>
          <w:tcPr>
            <w:tcW w:w="1242" w:type="dxa"/>
            <w:noWrap w:val="0"/>
            <w:vAlign w:val="center"/>
          </w:tcPr>
          <w:p>
            <w:pPr>
              <w:jc w:val="center"/>
              <w:rPr>
                <w:rFonts w:hint="eastAsia" w:ascii="仿宋" w:hAnsi="仿宋" w:eastAsia="仿宋" w:cs="仿宋"/>
                <w:snapToGrid w:val="0"/>
                <w:color w:val="auto"/>
                <w:sz w:val="21"/>
                <w:szCs w:val="21"/>
                <w:highlight w:val="none"/>
              </w:rPr>
            </w:pPr>
          </w:p>
        </w:tc>
        <w:tc>
          <w:tcPr>
            <w:tcW w:w="1167" w:type="dxa"/>
            <w:noWrap w:val="0"/>
            <w:vAlign w:val="center"/>
          </w:tcPr>
          <w:p>
            <w:pPr>
              <w:adjustRightInd w:val="0"/>
              <w:snapToGrid w:val="0"/>
              <w:spacing w:before="120" w:beforeLines="50" w:line="340" w:lineRule="exact"/>
              <w:jc w:val="center"/>
              <w:rPr>
                <w:rFonts w:hint="eastAsia" w:ascii="仿宋" w:hAnsi="仿宋" w:eastAsia="仿宋" w:cs="仿宋"/>
                <w:snapToGrid w:val="0"/>
                <w:color w:val="auto"/>
                <w:sz w:val="21"/>
                <w:szCs w:val="21"/>
                <w:highlight w:val="none"/>
              </w:rPr>
            </w:pPr>
          </w:p>
        </w:tc>
        <w:tc>
          <w:tcPr>
            <w:tcW w:w="1067" w:type="dxa"/>
            <w:noWrap w:val="0"/>
            <w:vAlign w:val="center"/>
          </w:tcPr>
          <w:p>
            <w:pPr>
              <w:adjustRightInd w:val="0"/>
              <w:snapToGrid w:val="0"/>
              <w:spacing w:before="120" w:beforeLines="50" w:line="340" w:lineRule="exact"/>
              <w:jc w:val="center"/>
              <w:rPr>
                <w:rFonts w:hint="eastAsia" w:ascii="仿宋" w:hAnsi="仿宋" w:eastAsia="仿宋" w:cs="仿宋"/>
                <w:snapToGrid w:val="0"/>
                <w:color w:val="auto"/>
                <w:sz w:val="21"/>
                <w:szCs w:val="21"/>
                <w:highlight w:val="none"/>
              </w:rPr>
            </w:pPr>
          </w:p>
        </w:tc>
        <w:tc>
          <w:tcPr>
            <w:tcW w:w="1107" w:type="dxa"/>
            <w:noWrap w:val="0"/>
            <w:vAlign w:val="top"/>
          </w:tcPr>
          <w:p>
            <w:pPr>
              <w:adjustRightInd w:val="0"/>
              <w:snapToGrid w:val="0"/>
              <w:spacing w:before="120" w:beforeLines="50" w:line="340" w:lineRule="exact"/>
              <w:rPr>
                <w:rFonts w:hint="eastAsia" w:ascii="仿宋" w:hAnsi="仿宋" w:eastAsia="仿宋" w:cs="仿宋"/>
                <w:snapToGrid w:val="0"/>
                <w:color w:val="auto"/>
                <w:sz w:val="21"/>
                <w:szCs w:val="21"/>
                <w:highlight w:val="none"/>
              </w:rPr>
            </w:pPr>
          </w:p>
        </w:tc>
        <w:tc>
          <w:tcPr>
            <w:tcW w:w="572" w:type="dxa"/>
            <w:noWrap w:val="0"/>
            <w:vAlign w:val="center"/>
          </w:tcPr>
          <w:p>
            <w:pPr>
              <w:rPr>
                <w:rFonts w:hint="eastAsia" w:ascii="仿宋" w:hAnsi="仿宋" w:eastAsia="仿宋" w:cs="仿宋"/>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noWrap w:val="0"/>
            <w:vAlign w:val="center"/>
          </w:tcPr>
          <w:p>
            <w:pPr>
              <w:pStyle w:val="15"/>
              <w:ind w:firstLine="0"/>
              <w:jc w:val="center"/>
              <w:rPr>
                <w:rFonts w:hint="eastAsia" w:ascii="仿宋" w:hAnsi="仿宋" w:eastAsia="仿宋" w:cs="仿宋"/>
                <w:color w:val="auto"/>
                <w:kern w:val="2"/>
                <w:sz w:val="21"/>
                <w:szCs w:val="21"/>
                <w:highlight w:val="none"/>
              </w:rPr>
            </w:pPr>
          </w:p>
        </w:tc>
        <w:tc>
          <w:tcPr>
            <w:tcW w:w="780" w:type="dxa"/>
            <w:noWrap w:val="0"/>
            <w:vAlign w:val="center"/>
          </w:tcPr>
          <w:p>
            <w:pPr>
              <w:jc w:val="center"/>
              <w:rPr>
                <w:rFonts w:hint="eastAsia" w:ascii="仿宋" w:hAnsi="仿宋" w:eastAsia="仿宋" w:cs="仿宋"/>
                <w:snapToGrid w:val="0"/>
                <w:color w:val="auto"/>
                <w:sz w:val="21"/>
                <w:szCs w:val="21"/>
                <w:highlight w:val="none"/>
              </w:rPr>
            </w:pPr>
          </w:p>
        </w:tc>
        <w:tc>
          <w:tcPr>
            <w:tcW w:w="1633" w:type="dxa"/>
            <w:noWrap w:val="0"/>
            <w:vAlign w:val="center"/>
          </w:tcPr>
          <w:p>
            <w:pPr>
              <w:jc w:val="center"/>
              <w:rPr>
                <w:rFonts w:hint="eastAsia" w:ascii="仿宋" w:hAnsi="仿宋" w:eastAsia="仿宋" w:cs="仿宋"/>
                <w:snapToGrid w:val="0"/>
                <w:color w:val="auto"/>
                <w:sz w:val="21"/>
                <w:szCs w:val="21"/>
                <w:highlight w:val="none"/>
              </w:rPr>
            </w:pPr>
          </w:p>
        </w:tc>
        <w:tc>
          <w:tcPr>
            <w:tcW w:w="1242" w:type="dxa"/>
            <w:noWrap w:val="0"/>
            <w:vAlign w:val="center"/>
          </w:tcPr>
          <w:p>
            <w:pPr>
              <w:adjustRightInd w:val="0"/>
              <w:snapToGrid w:val="0"/>
              <w:spacing w:before="120" w:beforeLines="50" w:line="340" w:lineRule="exact"/>
              <w:jc w:val="center"/>
              <w:rPr>
                <w:rFonts w:hint="eastAsia" w:ascii="仿宋" w:hAnsi="仿宋" w:eastAsia="仿宋" w:cs="仿宋"/>
                <w:snapToGrid w:val="0"/>
                <w:color w:val="auto"/>
                <w:sz w:val="21"/>
                <w:szCs w:val="21"/>
                <w:highlight w:val="none"/>
              </w:rPr>
            </w:pPr>
          </w:p>
        </w:tc>
        <w:tc>
          <w:tcPr>
            <w:tcW w:w="1167" w:type="dxa"/>
            <w:noWrap w:val="0"/>
            <w:vAlign w:val="center"/>
          </w:tcPr>
          <w:p>
            <w:pPr>
              <w:adjustRightInd w:val="0"/>
              <w:snapToGrid w:val="0"/>
              <w:spacing w:before="120" w:beforeLines="50" w:line="340" w:lineRule="exact"/>
              <w:jc w:val="center"/>
              <w:rPr>
                <w:rFonts w:hint="eastAsia" w:ascii="仿宋" w:hAnsi="仿宋" w:eastAsia="仿宋" w:cs="仿宋"/>
                <w:snapToGrid w:val="0"/>
                <w:color w:val="auto"/>
                <w:sz w:val="21"/>
                <w:szCs w:val="21"/>
                <w:highlight w:val="none"/>
              </w:rPr>
            </w:pPr>
          </w:p>
        </w:tc>
        <w:tc>
          <w:tcPr>
            <w:tcW w:w="1067" w:type="dxa"/>
            <w:noWrap w:val="0"/>
            <w:vAlign w:val="center"/>
          </w:tcPr>
          <w:p>
            <w:pPr>
              <w:adjustRightInd w:val="0"/>
              <w:snapToGrid w:val="0"/>
              <w:spacing w:before="120" w:beforeLines="50" w:line="340" w:lineRule="exact"/>
              <w:jc w:val="center"/>
              <w:rPr>
                <w:rFonts w:hint="eastAsia" w:ascii="仿宋" w:hAnsi="仿宋" w:eastAsia="仿宋" w:cs="仿宋"/>
                <w:snapToGrid w:val="0"/>
                <w:color w:val="auto"/>
                <w:sz w:val="21"/>
                <w:szCs w:val="21"/>
                <w:highlight w:val="none"/>
              </w:rPr>
            </w:pPr>
          </w:p>
        </w:tc>
        <w:tc>
          <w:tcPr>
            <w:tcW w:w="1107" w:type="dxa"/>
            <w:noWrap w:val="0"/>
            <w:vAlign w:val="top"/>
          </w:tcPr>
          <w:p>
            <w:pPr>
              <w:adjustRightInd w:val="0"/>
              <w:snapToGrid w:val="0"/>
              <w:spacing w:before="120" w:beforeLines="50" w:line="340" w:lineRule="exact"/>
              <w:rPr>
                <w:rFonts w:hint="eastAsia" w:ascii="仿宋" w:hAnsi="仿宋" w:eastAsia="仿宋" w:cs="仿宋"/>
                <w:snapToGrid w:val="0"/>
                <w:color w:val="auto"/>
                <w:sz w:val="21"/>
                <w:szCs w:val="21"/>
                <w:highlight w:val="none"/>
              </w:rPr>
            </w:pPr>
          </w:p>
        </w:tc>
        <w:tc>
          <w:tcPr>
            <w:tcW w:w="572" w:type="dxa"/>
            <w:noWrap w:val="0"/>
            <w:vAlign w:val="center"/>
          </w:tcPr>
          <w:p>
            <w:pPr>
              <w:rPr>
                <w:rFonts w:hint="eastAsia" w:ascii="仿宋" w:hAnsi="仿宋" w:eastAsia="仿宋" w:cs="仿宋"/>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noWrap w:val="0"/>
            <w:vAlign w:val="center"/>
          </w:tcPr>
          <w:p>
            <w:pPr>
              <w:pStyle w:val="15"/>
              <w:ind w:firstLine="0"/>
              <w:jc w:val="center"/>
              <w:rPr>
                <w:rFonts w:hint="eastAsia" w:ascii="仿宋" w:hAnsi="仿宋" w:eastAsia="仿宋" w:cs="仿宋"/>
                <w:color w:val="auto"/>
                <w:kern w:val="2"/>
                <w:sz w:val="21"/>
                <w:szCs w:val="21"/>
                <w:highlight w:val="none"/>
              </w:rPr>
            </w:pPr>
          </w:p>
        </w:tc>
        <w:tc>
          <w:tcPr>
            <w:tcW w:w="780" w:type="dxa"/>
            <w:noWrap w:val="0"/>
            <w:vAlign w:val="center"/>
          </w:tcPr>
          <w:p>
            <w:pPr>
              <w:jc w:val="center"/>
              <w:rPr>
                <w:rFonts w:hint="eastAsia" w:ascii="仿宋" w:hAnsi="仿宋" w:eastAsia="仿宋" w:cs="仿宋"/>
                <w:snapToGrid w:val="0"/>
                <w:color w:val="auto"/>
                <w:sz w:val="21"/>
                <w:szCs w:val="21"/>
                <w:highlight w:val="none"/>
              </w:rPr>
            </w:pPr>
          </w:p>
        </w:tc>
        <w:tc>
          <w:tcPr>
            <w:tcW w:w="1633" w:type="dxa"/>
            <w:noWrap w:val="0"/>
            <w:vAlign w:val="center"/>
          </w:tcPr>
          <w:p>
            <w:pPr>
              <w:jc w:val="center"/>
              <w:rPr>
                <w:rFonts w:hint="eastAsia" w:ascii="仿宋" w:hAnsi="仿宋" w:eastAsia="仿宋" w:cs="仿宋"/>
                <w:snapToGrid w:val="0"/>
                <w:color w:val="auto"/>
                <w:sz w:val="21"/>
                <w:szCs w:val="21"/>
                <w:highlight w:val="none"/>
              </w:rPr>
            </w:pPr>
          </w:p>
        </w:tc>
        <w:tc>
          <w:tcPr>
            <w:tcW w:w="1242" w:type="dxa"/>
            <w:noWrap w:val="0"/>
            <w:vAlign w:val="center"/>
          </w:tcPr>
          <w:p>
            <w:pPr>
              <w:rPr>
                <w:rFonts w:hint="eastAsia" w:ascii="仿宋" w:hAnsi="仿宋" w:eastAsia="仿宋" w:cs="仿宋"/>
                <w:snapToGrid w:val="0"/>
                <w:color w:val="auto"/>
                <w:sz w:val="21"/>
                <w:szCs w:val="21"/>
                <w:highlight w:val="none"/>
              </w:rPr>
            </w:pPr>
          </w:p>
        </w:tc>
        <w:tc>
          <w:tcPr>
            <w:tcW w:w="1167" w:type="dxa"/>
            <w:noWrap w:val="0"/>
            <w:vAlign w:val="center"/>
          </w:tcPr>
          <w:p>
            <w:pPr>
              <w:pStyle w:val="15"/>
              <w:ind w:firstLine="0"/>
              <w:jc w:val="center"/>
              <w:rPr>
                <w:rFonts w:hint="eastAsia" w:ascii="仿宋" w:hAnsi="仿宋" w:eastAsia="仿宋" w:cs="仿宋"/>
                <w:color w:val="auto"/>
                <w:kern w:val="2"/>
                <w:sz w:val="21"/>
                <w:szCs w:val="21"/>
                <w:highlight w:val="none"/>
              </w:rPr>
            </w:pPr>
          </w:p>
        </w:tc>
        <w:tc>
          <w:tcPr>
            <w:tcW w:w="1067" w:type="dxa"/>
            <w:noWrap w:val="0"/>
            <w:vAlign w:val="center"/>
          </w:tcPr>
          <w:p>
            <w:pPr>
              <w:pStyle w:val="15"/>
              <w:ind w:firstLine="0"/>
              <w:jc w:val="center"/>
              <w:rPr>
                <w:rFonts w:hint="eastAsia" w:ascii="仿宋" w:hAnsi="仿宋" w:eastAsia="仿宋" w:cs="仿宋"/>
                <w:color w:val="auto"/>
                <w:kern w:val="2"/>
                <w:sz w:val="21"/>
                <w:szCs w:val="21"/>
                <w:highlight w:val="none"/>
              </w:rPr>
            </w:pPr>
          </w:p>
        </w:tc>
        <w:tc>
          <w:tcPr>
            <w:tcW w:w="1107" w:type="dxa"/>
            <w:noWrap w:val="0"/>
            <w:vAlign w:val="center"/>
          </w:tcPr>
          <w:p>
            <w:pPr>
              <w:pStyle w:val="15"/>
              <w:ind w:firstLine="0"/>
              <w:jc w:val="center"/>
              <w:rPr>
                <w:rFonts w:hint="eastAsia" w:ascii="仿宋" w:hAnsi="仿宋" w:eastAsia="仿宋" w:cs="仿宋"/>
                <w:color w:val="auto"/>
                <w:kern w:val="2"/>
                <w:sz w:val="21"/>
                <w:szCs w:val="21"/>
                <w:highlight w:val="none"/>
              </w:rPr>
            </w:pPr>
          </w:p>
        </w:tc>
        <w:tc>
          <w:tcPr>
            <w:tcW w:w="572" w:type="dxa"/>
            <w:noWrap w:val="0"/>
            <w:vAlign w:val="center"/>
          </w:tcPr>
          <w:p>
            <w:pPr>
              <w:pStyle w:val="15"/>
              <w:ind w:firstLine="0"/>
              <w:jc w:val="center"/>
              <w:rPr>
                <w:rFonts w:hint="eastAsia" w:ascii="仿宋" w:hAnsi="仿宋" w:eastAsia="仿宋" w:cs="仿宋"/>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172" w:type="dxa"/>
            <w:gridSpan w:val="3"/>
            <w:noWrap w:val="0"/>
            <w:vAlign w:val="center"/>
          </w:tcPr>
          <w:p>
            <w:pPr>
              <w:autoSpaceDE/>
              <w:autoSpaceDN/>
              <w:snapToGrid w:val="0"/>
              <w:spacing w:line="360" w:lineRule="auto"/>
              <w:ind w:firstLine="420" w:firstLineChars="200"/>
              <w:jc w:val="left"/>
              <w:rPr>
                <w:rFonts w:hint="eastAsia" w:ascii="仿宋" w:hAnsi="仿宋" w:eastAsia="仿宋" w:cs="仿宋"/>
                <w:snapToGrid w:val="0"/>
                <w:color w:val="auto"/>
                <w:sz w:val="21"/>
                <w:szCs w:val="21"/>
                <w:highlight w:val="none"/>
                <w:lang w:eastAsia="zh-CN"/>
              </w:rPr>
            </w:pPr>
            <w:r>
              <w:rPr>
                <w:rFonts w:hint="eastAsia" w:ascii="仿宋" w:hAnsi="仿宋" w:eastAsia="仿宋" w:cs="仿宋"/>
                <w:snapToGrid w:val="0"/>
                <w:color w:val="auto"/>
                <w:sz w:val="21"/>
                <w:szCs w:val="21"/>
                <w:highlight w:val="none"/>
                <w:lang w:val="en-US" w:eastAsia="zh-CN"/>
              </w:rPr>
              <w:t>说明</w:t>
            </w:r>
          </w:p>
        </w:tc>
        <w:tc>
          <w:tcPr>
            <w:tcW w:w="5155" w:type="dxa"/>
            <w:gridSpan w:val="5"/>
            <w:noWrap w:val="0"/>
            <w:vAlign w:val="center"/>
          </w:tcPr>
          <w:p>
            <w:pPr>
              <w:autoSpaceDE/>
              <w:autoSpaceDN/>
              <w:adjustRightInd w:val="0"/>
              <w:snapToGrid w:val="0"/>
              <w:spacing w:line="360" w:lineRule="auto"/>
              <w:ind w:firstLine="420" w:firstLineChars="200"/>
              <w:rPr>
                <w:rFonts w:hint="eastAsia" w:ascii="仿宋" w:hAnsi="仿宋" w:eastAsia="仿宋" w:cs="仿宋"/>
                <w:snapToGrid w:val="0"/>
                <w:color w:val="auto"/>
                <w:sz w:val="21"/>
                <w:szCs w:val="21"/>
                <w:highlight w:val="none"/>
                <w:u w:val="none"/>
                <w:lang w:val="en-US" w:eastAsia="zh-CN"/>
              </w:rPr>
            </w:pPr>
            <w:r>
              <w:rPr>
                <w:rFonts w:hint="eastAsia" w:ascii="仿宋" w:hAnsi="仿宋" w:eastAsia="仿宋" w:cs="仿宋"/>
                <w:snapToGrid w:val="0"/>
                <w:color w:val="auto"/>
                <w:sz w:val="21"/>
                <w:szCs w:val="21"/>
                <w:highlight w:val="none"/>
                <w:lang w:val="en-US" w:eastAsia="zh-CN"/>
              </w:rPr>
              <w:t>总价不超过相应标项的采购预算</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313" w:beforeLines="100" w:line="360" w:lineRule="auto"/>
        <w:ind w:left="0" w:leftChars="0" w:firstLine="480" w:firstLineChars="200"/>
        <w:textAlignment w:val="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1.</w:t>
      </w:r>
      <w:r>
        <w:rPr>
          <w:rFonts w:hint="eastAsia" w:ascii="仿宋" w:hAnsi="仿宋" w:eastAsia="仿宋" w:cs="仿宋"/>
          <w:b w:val="0"/>
          <w:bCs/>
          <w:snapToGrid w:val="0"/>
          <w:color w:val="auto"/>
          <w:kern w:val="0"/>
          <w:sz w:val="24"/>
          <w:highlight w:val="none"/>
        </w:rPr>
        <w:t>单价应包括</w:t>
      </w:r>
      <w:r>
        <w:rPr>
          <w:rFonts w:hint="eastAsia" w:ascii="仿宋" w:hAnsi="仿宋" w:eastAsia="仿宋" w:cs="仿宋"/>
          <w:b w:val="0"/>
          <w:bCs/>
          <w:snapToGrid w:val="0"/>
          <w:color w:val="auto"/>
          <w:kern w:val="0"/>
          <w:sz w:val="24"/>
          <w:szCs w:val="24"/>
          <w:highlight w:val="none"/>
        </w:rPr>
        <w:t>完成全部检测内容所需的一切人工、工具、设备、保险、交通、利润、税金、其它需乙方承担的费用及潜在满足甲方监管要求可能涉及的一切费用。</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2.</w:t>
      </w:r>
      <w:r>
        <w:rPr>
          <w:rFonts w:hint="eastAsia" w:ascii="仿宋" w:hAnsi="仿宋" w:eastAsia="仿宋" w:cs="仿宋"/>
          <w:b w:val="0"/>
          <w:bCs/>
          <w:snapToGrid w:val="0"/>
          <w:color w:val="auto"/>
          <w:kern w:val="0"/>
          <w:sz w:val="24"/>
          <w:szCs w:val="24"/>
          <w:highlight w:val="none"/>
        </w:rPr>
        <w:t>单价在合同执行期内固定不变，因各种原因而导致费用的增减，甲方均不考虑补偿，结算总价根据完成的</w:t>
      </w:r>
      <w:r>
        <w:rPr>
          <w:rFonts w:hint="eastAsia" w:ascii="仿宋" w:hAnsi="仿宋" w:eastAsia="仿宋" w:cs="仿宋"/>
          <w:b w:val="0"/>
          <w:bCs/>
          <w:snapToGrid w:val="0"/>
          <w:color w:val="auto"/>
          <w:kern w:val="0"/>
          <w:sz w:val="24"/>
          <w:szCs w:val="24"/>
          <w:highlight w:val="none"/>
          <w:lang w:val="en-US" w:eastAsia="zh-CN"/>
        </w:rPr>
        <w:t>检测面积</w:t>
      </w:r>
      <w:r>
        <w:rPr>
          <w:rFonts w:hint="eastAsia" w:ascii="仿宋" w:hAnsi="仿宋" w:eastAsia="仿宋" w:cs="仿宋"/>
          <w:b w:val="0"/>
          <w:bCs/>
          <w:snapToGrid w:val="0"/>
          <w:color w:val="auto"/>
          <w:kern w:val="0"/>
          <w:sz w:val="24"/>
          <w:szCs w:val="24"/>
          <w:highlight w:val="none"/>
        </w:rPr>
        <w:t>按实结算。</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3.每个标项支付金额的上限为相应标项的预算金额。</w:t>
      </w:r>
      <w:r>
        <w:rPr>
          <w:rFonts w:hint="eastAsia" w:ascii="仿宋" w:hAnsi="仿宋" w:eastAsia="仿宋" w:cs="仿宋"/>
          <w:bCs/>
          <w:snapToGrid w:val="0"/>
          <w:color w:val="auto"/>
          <w:kern w:val="0"/>
          <w:sz w:val="24"/>
          <w:highlight w:val="none"/>
          <w:lang w:val="en-US" w:eastAsia="zh-CN"/>
        </w:rPr>
        <w:t>如累计工作量的应支付金额超过最高限价（即标项预算金额）</w:t>
      </w:r>
      <w:r>
        <w:rPr>
          <w:rFonts w:hint="eastAsia" w:ascii="仿宋" w:hAnsi="仿宋" w:eastAsia="仿宋" w:cs="仿宋"/>
          <w:b w:val="0"/>
          <w:bCs/>
          <w:snapToGrid w:val="0"/>
          <w:color w:val="auto"/>
          <w:kern w:val="0"/>
          <w:sz w:val="24"/>
          <w:szCs w:val="24"/>
          <w:highlight w:val="none"/>
          <w:lang w:val="en-US" w:eastAsia="zh-CN"/>
        </w:rPr>
        <w:t>20%（含）以内的，乙方应已在报价中充分考虑，甲方不再另行支付。乙方有义务提醒甲方项目总价的实时统计情况，</w:t>
      </w:r>
      <w:r>
        <w:rPr>
          <w:rFonts w:hint="eastAsia" w:ascii="仿宋" w:hAnsi="仿宋" w:eastAsia="仿宋" w:cs="仿宋"/>
          <w:bCs/>
          <w:snapToGrid w:val="0"/>
          <w:color w:val="auto"/>
          <w:kern w:val="0"/>
          <w:sz w:val="24"/>
          <w:highlight w:val="none"/>
          <w:lang w:val="en-US" w:eastAsia="zh-CN"/>
        </w:rPr>
        <w:t>以免累计合同金额超过相应标项的预算金额</w:t>
      </w:r>
      <w:r>
        <w:rPr>
          <w:rFonts w:hint="eastAsia" w:ascii="仿宋" w:hAnsi="仿宋" w:eastAsia="仿宋" w:cs="仿宋"/>
          <w:b w:val="0"/>
          <w:bCs/>
          <w:snapToGrid w:val="0"/>
          <w:color w:val="auto"/>
          <w:kern w:val="0"/>
          <w:sz w:val="24"/>
          <w:szCs w:val="24"/>
          <w:highlight w:val="none"/>
          <w:lang w:val="en-US" w:eastAsia="zh-CN"/>
        </w:rPr>
        <w:t>。</w:t>
      </w:r>
    </w:p>
    <w:p>
      <w:pPr>
        <w:spacing w:line="360" w:lineRule="auto"/>
        <w:ind w:firstLine="638" w:firstLineChars="266"/>
        <w:rPr>
          <w:rFonts w:hint="eastAsia" w:ascii="仿宋" w:hAnsi="仿宋" w:eastAsia="仿宋" w:cs="仿宋"/>
          <w:color w:val="auto"/>
          <w:sz w:val="24"/>
          <w:highlight w:val="none"/>
        </w:rPr>
      </w:pPr>
    </w:p>
    <w:p>
      <w:pPr>
        <w:adjustRightInd w:val="0"/>
        <w:snapToGrid w:val="0"/>
        <w:spacing w:beforeLines="0" w:afterLines="50" w:line="360" w:lineRule="auto"/>
        <w:ind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第三条 服务期限</w:t>
      </w:r>
    </w:p>
    <w:p>
      <w:pPr>
        <w:spacing w:line="360" w:lineRule="auto"/>
        <w:ind w:firstLine="420" w:firstLineChars="17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年（具体以合同签订时间为准）。</w:t>
      </w:r>
    </w:p>
    <w:p>
      <w:pPr>
        <w:adjustRightInd w:val="0"/>
        <w:snapToGrid w:val="0"/>
        <w:spacing w:beforeLines="50" w:afterLines="50" w:line="360" w:lineRule="auto"/>
        <w:ind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第四条 服务内容</w:t>
      </w:r>
    </w:p>
    <w:p>
      <w:pPr>
        <w:spacing w:line="360" w:lineRule="auto"/>
        <w:ind w:right="25" w:rightChars="12"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1．技术服务的目标：</w:t>
      </w:r>
      <w:r>
        <w:rPr>
          <w:rFonts w:hint="eastAsia" w:ascii="仿宋" w:hAnsi="仿宋" w:eastAsia="仿宋" w:cs="仿宋"/>
          <w:color w:val="auto"/>
          <w:sz w:val="24"/>
          <w:szCs w:val="24"/>
          <w:highlight w:val="none"/>
          <w:u w:val="single"/>
        </w:rPr>
        <w:t>通过适合或先进的试验仪器设备检测获得相关的数据结果，判断工程中使用的材料、成品和半成品及实体质量等是否达到标准或设计要求</w:t>
      </w:r>
      <w:r>
        <w:rPr>
          <w:rFonts w:hint="eastAsia" w:ascii="仿宋" w:hAnsi="仿宋" w:eastAsia="仿宋" w:cs="仿宋"/>
          <w:color w:val="auto"/>
          <w:sz w:val="24"/>
          <w:szCs w:val="24"/>
          <w:highlight w:val="none"/>
        </w:rPr>
        <w:t>。</w:t>
      </w:r>
    </w:p>
    <w:p>
      <w:pPr>
        <w:adjustRightInd w:val="0"/>
        <w:snapToGrid w:val="0"/>
        <w:spacing w:line="360" w:lineRule="auto"/>
        <w:ind w:firstLine="420" w:firstLineChars="17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2．技术服务的内容：</w:t>
      </w:r>
      <w:r>
        <w:rPr>
          <w:rFonts w:hint="eastAsia" w:ascii="仿宋" w:hAnsi="仿宋" w:eastAsia="仿宋" w:cs="仿宋"/>
          <w:color w:val="auto"/>
          <w:sz w:val="24"/>
          <w:szCs w:val="24"/>
          <w:highlight w:val="none"/>
          <w:u w:val="single"/>
        </w:rPr>
        <w:t>乙方根据甲方提供的材料、成品和半成品或甲方委托的现场取样和检测等要求，按照国家和行业规范进行试验，获取相关的指标。</w:t>
      </w:r>
    </w:p>
    <w:p>
      <w:pPr>
        <w:adjustRightInd w:val="0"/>
        <w:snapToGrid w:val="0"/>
        <w:spacing w:before="157" w:beforeLines="50" w:after="157" w:afterLines="50" w:afterAutospacing="0" w:line="360" w:lineRule="auto"/>
        <w:ind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第五条 服务要求</w:t>
      </w:r>
    </w:p>
    <w:p>
      <w:pPr>
        <w:spacing w:line="360" w:lineRule="auto"/>
        <w:ind w:right="25" w:rightChars="12"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技术服务的方式：</w:t>
      </w:r>
      <w:r>
        <w:rPr>
          <w:rFonts w:hint="eastAsia" w:ascii="仿宋" w:hAnsi="仿宋" w:eastAsia="仿宋" w:cs="仿宋"/>
          <w:color w:val="auto"/>
          <w:sz w:val="24"/>
          <w:szCs w:val="24"/>
          <w:highlight w:val="none"/>
          <w:u w:val="single"/>
        </w:rPr>
        <w:t>　室内、外试验和室内计算分析　</w:t>
      </w:r>
      <w:r>
        <w:rPr>
          <w:rFonts w:hint="eastAsia" w:ascii="仿宋" w:hAnsi="仿宋" w:eastAsia="仿宋" w:cs="仿宋"/>
          <w:color w:val="auto"/>
          <w:sz w:val="24"/>
          <w:szCs w:val="24"/>
          <w:highlight w:val="none"/>
        </w:rPr>
        <w:t>；</w:t>
      </w:r>
    </w:p>
    <w:p>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技术服务进度：</w:t>
      </w:r>
      <w:r>
        <w:rPr>
          <w:rFonts w:hint="eastAsia" w:ascii="仿宋" w:hAnsi="仿宋" w:eastAsia="仿宋" w:cs="仿宋"/>
          <w:color w:val="auto"/>
          <w:sz w:val="24"/>
          <w:szCs w:val="24"/>
          <w:highlight w:val="none"/>
          <w:u w:val="single"/>
        </w:rPr>
        <w:t>　根据甲方工作要求　</w:t>
      </w:r>
      <w:r>
        <w:rPr>
          <w:rFonts w:hint="eastAsia" w:ascii="仿宋" w:hAnsi="仿宋" w:eastAsia="仿宋" w:cs="仿宋"/>
          <w:color w:val="auto"/>
          <w:sz w:val="24"/>
          <w:szCs w:val="24"/>
          <w:highlight w:val="none"/>
        </w:rPr>
        <w:t>；</w:t>
      </w:r>
    </w:p>
    <w:p>
      <w:pPr>
        <w:adjustRightInd w:val="0"/>
        <w:snapToGrid w:val="0"/>
        <w:spacing w:line="360" w:lineRule="auto"/>
        <w:ind w:firstLine="420" w:firstLineChars="175"/>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 技术服务质量要求：</w:t>
      </w:r>
      <w:r>
        <w:rPr>
          <w:rFonts w:hint="eastAsia" w:ascii="仿宋" w:hAnsi="仿宋" w:eastAsia="仿宋" w:cs="仿宋"/>
          <w:snapToGrid w:val="0"/>
          <w:color w:val="auto"/>
          <w:kern w:val="0"/>
          <w:sz w:val="24"/>
          <w:szCs w:val="24"/>
          <w:highlight w:val="none"/>
          <w:u w:val="single"/>
        </w:rPr>
        <w:t>　按相关技术标准　　</w:t>
      </w:r>
      <w:r>
        <w:rPr>
          <w:rFonts w:hint="eastAsia" w:ascii="仿宋" w:hAnsi="仿宋" w:eastAsia="仿宋" w:cs="仿宋"/>
          <w:snapToGrid w:val="0"/>
          <w:color w:val="auto"/>
          <w:kern w:val="0"/>
          <w:sz w:val="24"/>
          <w:szCs w:val="24"/>
          <w:highlight w:val="none"/>
        </w:rPr>
        <w:t>；</w:t>
      </w:r>
    </w:p>
    <w:p>
      <w:pPr>
        <w:spacing w:line="360" w:lineRule="auto"/>
        <w:ind w:right="25" w:rightChars="12" w:firstLine="420" w:firstLineChars="175"/>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4. </w:t>
      </w:r>
      <w:r>
        <w:rPr>
          <w:rFonts w:hint="eastAsia" w:ascii="仿宋" w:hAnsi="仿宋" w:eastAsia="仿宋" w:cs="仿宋"/>
          <w:color w:val="auto"/>
          <w:sz w:val="24"/>
          <w:szCs w:val="24"/>
          <w:highlight w:val="none"/>
        </w:rPr>
        <w:t>其它要求：</w:t>
      </w:r>
    </w:p>
    <w:p>
      <w:pPr>
        <w:spacing w:line="360" w:lineRule="auto"/>
        <w:ind w:right="25" w:rightChars="12" w:firstLine="482" w:firstLineChars="200"/>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（1）</w:t>
      </w:r>
      <w:r>
        <w:rPr>
          <w:rFonts w:hint="eastAsia" w:ascii="仿宋" w:hAnsi="仿宋" w:eastAsia="仿宋" w:cs="仿宋"/>
          <w:b/>
          <w:color w:val="auto"/>
          <w:sz w:val="24"/>
          <w:szCs w:val="24"/>
          <w:highlight w:val="none"/>
          <w:u w:val="single"/>
        </w:rPr>
        <w:t>乙方有义务配合甲方完成市级及以上建设行政主管部门和监督管理部门组织的建设工程质量专项检查工作；</w:t>
      </w:r>
    </w:p>
    <w:p>
      <w:pPr>
        <w:spacing w:line="360" w:lineRule="auto"/>
        <w:ind w:right="25" w:rightChars="12" w:firstLine="482" w:firstLineChars="2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u w:val="single"/>
        </w:rPr>
        <w:t>乙方有义务根据甲方要求对完成的检测项目定期进行工作总结；对检测工作存在的问题进行分析并提出改进的合理化建议。</w:t>
      </w:r>
    </w:p>
    <w:p>
      <w:pPr>
        <w:spacing w:before="157" w:beforeLines="50" w:after="157" w:afterLines="50" w:line="360" w:lineRule="auto"/>
        <w:ind w:right="25" w:rightChars="12" w:firstLine="0" w:firstLineChars="0"/>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第六条 检测报告的交付</w:t>
      </w:r>
    </w:p>
    <w:p>
      <w:pPr>
        <w:spacing w:before="157" w:beforeLines="50" w:after="157" w:afterLines="50" w:line="360" w:lineRule="auto"/>
        <w:ind w:right="25" w:rightChars="12"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（一）乙方交付检测报告时间为现场检测完毕后5日内（有检测异常的2日内将异常检测报告</w:t>
      </w:r>
      <w:r>
        <w:rPr>
          <w:rFonts w:hint="eastAsia" w:ascii="仿宋" w:hAnsi="仿宋" w:eastAsia="仿宋" w:cs="仿宋"/>
          <w:color w:val="auto"/>
          <w:kern w:val="0"/>
          <w:sz w:val="24"/>
          <w:szCs w:val="24"/>
          <w:highlight w:val="none"/>
          <w:lang w:val="en-US" w:eastAsia="zh-CN"/>
        </w:rPr>
        <w:t>告知</w:t>
      </w:r>
      <w:r>
        <w:rPr>
          <w:rFonts w:hint="eastAsia" w:ascii="仿宋" w:hAnsi="仿宋" w:eastAsia="仿宋" w:cs="仿宋"/>
          <w:color w:val="auto"/>
          <w:kern w:val="0"/>
          <w:sz w:val="24"/>
          <w:szCs w:val="24"/>
          <w:highlight w:val="none"/>
        </w:rPr>
        <w:t>甲方）。乙方交付检测报告一式</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u w:val="single"/>
          <w:lang w:val="en-US" w:eastAsia="zh-CN"/>
        </w:rPr>
        <w:t>二</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份，并对其准确性、真实性和可靠性负责</w:t>
      </w:r>
      <w:r>
        <w:rPr>
          <w:rFonts w:hint="eastAsia" w:ascii="仿宋" w:hAnsi="仿宋" w:eastAsia="仿宋" w:cs="仿宋"/>
          <w:color w:val="auto"/>
          <w:kern w:val="0"/>
          <w:sz w:val="24"/>
          <w:szCs w:val="24"/>
          <w:highlight w:val="none"/>
          <w:lang w:eastAsia="zh-CN"/>
        </w:rPr>
        <w:t>。</w:t>
      </w:r>
    </w:p>
    <w:p>
      <w:pPr>
        <w:spacing w:before="157" w:beforeLines="50" w:after="157" w:afterLines="50" w:line="360" w:lineRule="auto"/>
        <w:ind w:right="25" w:rightChars="12"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（二）双方约定按照下列第</w:t>
      </w:r>
      <w:r>
        <w:rPr>
          <w:rFonts w:hint="eastAsia" w:ascii="仿宋" w:hAnsi="仿宋" w:eastAsia="仿宋" w:cs="仿宋"/>
          <w:color w:val="auto"/>
          <w:kern w:val="0"/>
          <w:sz w:val="24"/>
          <w:szCs w:val="24"/>
          <w:highlight w:val="none"/>
          <w:u w:val="single"/>
        </w:rPr>
        <w:t xml:space="preserve">  2   </w:t>
      </w:r>
      <w:r>
        <w:rPr>
          <w:rFonts w:hint="eastAsia" w:ascii="仿宋" w:hAnsi="仿宋" w:eastAsia="仿宋" w:cs="仿宋"/>
          <w:color w:val="auto"/>
          <w:kern w:val="0"/>
          <w:sz w:val="24"/>
          <w:szCs w:val="24"/>
          <w:highlight w:val="none"/>
        </w:rPr>
        <w:t>种方式交付检测报告。</w:t>
      </w:r>
    </w:p>
    <w:p>
      <w:pPr>
        <w:spacing w:after="157" w:afterLines="50" w:line="360" w:lineRule="auto"/>
        <w:ind w:right="25" w:rightChars="12"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1．甲方上门提取检测报告。</w:t>
      </w:r>
    </w:p>
    <w:p>
      <w:pPr>
        <w:spacing w:after="157" w:afterLines="50" w:line="360" w:lineRule="auto"/>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2．乙方送检测报告给甲方。</w:t>
      </w:r>
    </w:p>
    <w:p>
      <w:pPr>
        <w:adjustRightInd/>
        <w:spacing w:after="157" w:afterLines="50" w:line="360" w:lineRule="auto"/>
        <w:ind w:right="0" w:rightChars="0" w:firstLine="0" w:firstLine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第七条 检测样品的运输</w:t>
      </w:r>
    </w:p>
    <w:p>
      <w:pPr>
        <w:adjustRightInd/>
        <w:spacing w:after="0" w:afterLines="0" w:line="360" w:lineRule="auto"/>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双方约定按以下第</w:t>
      </w:r>
      <w:r>
        <w:rPr>
          <w:rFonts w:hint="eastAsia" w:ascii="仿宋" w:hAnsi="仿宋" w:eastAsia="仿宋" w:cs="仿宋"/>
          <w:color w:val="auto"/>
          <w:kern w:val="0"/>
          <w:sz w:val="24"/>
          <w:szCs w:val="24"/>
          <w:highlight w:val="none"/>
          <w:u w:val="single"/>
        </w:rPr>
        <w:t xml:space="preserve">  2  </w:t>
      </w:r>
      <w:r>
        <w:rPr>
          <w:rFonts w:hint="eastAsia" w:ascii="仿宋" w:hAnsi="仿宋" w:eastAsia="仿宋" w:cs="仿宋"/>
          <w:color w:val="auto"/>
          <w:kern w:val="0"/>
          <w:sz w:val="24"/>
          <w:szCs w:val="24"/>
          <w:highlight w:val="none"/>
        </w:rPr>
        <w:t>种方式运输检测样品。乙方按有关规定对检测后的样品进行留样。</w:t>
      </w:r>
    </w:p>
    <w:p>
      <w:pPr>
        <w:adjustRightInd/>
        <w:spacing w:after="0" w:afterLines="0" w:line="360" w:lineRule="auto"/>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1．甲方负责将检测样品送至乙方检测场所，并承担相应运输费用。</w:t>
      </w:r>
    </w:p>
    <w:p>
      <w:pPr>
        <w:adjustRightInd/>
        <w:spacing w:after="0" w:afterLines="0" w:line="360" w:lineRule="auto"/>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2．乙方在甲方人员的带领下到工程现场收取检测样品，并承担相应运输费用。乙方不得私自到工程现场进行相关检测以及收取检测样品等工作。</w:t>
      </w:r>
    </w:p>
    <w:p>
      <w:pPr>
        <w:adjustRightInd/>
        <w:spacing w:after="0" w:afterLines="0" w:line="360" w:lineRule="auto"/>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3．乙方到工程现场收取检测样品，甲方承担相应抽样及运输费用。</w:t>
      </w:r>
    </w:p>
    <w:p>
      <w:pPr>
        <w:adjustRightInd/>
        <w:snapToGrid/>
        <w:spacing w:before="157" w:beforeLines="50" w:after="157" w:afterLines="50"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b/>
          <w:snapToGrid w:val="0"/>
          <w:color w:val="auto"/>
          <w:kern w:val="0"/>
          <w:sz w:val="24"/>
          <w:szCs w:val="24"/>
          <w:highlight w:val="none"/>
        </w:rPr>
        <w:t>第八条 履约保证金</w:t>
      </w:r>
    </w:p>
    <w:p>
      <w:pPr>
        <w:spacing w:line="360" w:lineRule="auto"/>
        <w:ind w:right="25" w:rightChars="12"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合同签定后15天内，中标方向采购方支付</w:t>
      </w:r>
      <w:r>
        <w:rPr>
          <w:rFonts w:hint="eastAsia" w:ascii="仿宋" w:hAnsi="仿宋" w:eastAsia="仿宋" w:cs="仿宋"/>
          <w:color w:val="auto"/>
          <w:kern w:val="0"/>
          <w:sz w:val="24"/>
          <w:szCs w:val="24"/>
          <w:highlight w:val="none"/>
        </w:rPr>
        <w:t>合同金额的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作为履约保证金。服务结束后，履约保证金无息退还（如有违约内容，则扣除相应违约款项后，无息退还）。</w:t>
      </w:r>
    </w:p>
    <w:p>
      <w:pPr>
        <w:spacing w:line="360" w:lineRule="auto"/>
        <w:ind w:right="25" w:rightChars="12"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供应商应当以支票、汇票、本票或者金融机构、担保机构出具的保函等非现金形式提交。鼓励和支持供应商以银行、保险公司出具的保函形式提供履约保证金。</w:t>
      </w:r>
    </w:p>
    <w:p>
      <w:pPr>
        <w:adjustRightInd w:val="0"/>
        <w:snapToGrid w:val="0"/>
        <w:spacing w:beforeLines="5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第九条 合同款的支付</w:t>
      </w:r>
    </w:p>
    <w:p>
      <w:pPr>
        <w:widowControl/>
        <w:shd w:val="clear" w:color="auto"/>
        <w:spacing w:line="500"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CN"/>
        </w:rPr>
        <w:t>合同生效以及具备实施条件后5个工作日内，甲方向乙方支付暂定合同总额的40%（以标项预算金额的40%计）作为预付款。（支付预付款的，服务费用将在预付款全部扣回后支付。在签订合同时，乙方明确表示无需预付款或者主动要求降低预付款比例的，可不适用预付款相关规定）。</w:t>
      </w:r>
    </w:p>
    <w:p>
      <w:pPr>
        <w:widowControl/>
        <w:shd w:val="clear" w:color="auto"/>
        <w:spacing w:line="50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.双方同意按照下列计算方式核算检测费用：</w:t>
      </w:r>
      <w:r>
        <w:rPr>
          <w:rFonts w:hint="eastAsia" w:ascii="仿宋" w:hAnsi="仿宋" w:eastAsia="仿宋" w:cs="仿宋"/>
          <w:color w:val="auto"/>
          <w:kern w:val="0"/>
          <w:sz w:val="24"/>
          <w:highlight w:val="none"/>
        </w:rPr>
        <w:t>按中标综合单价及实际完成数量进行结算</w:t>
      </w:r>
      <w:r>
        <w:rPr>
          <w:rFonts w:hint="eastAsia" w:ascii="仿宋" w:hAnsi="仿宋" w:eastAsia="仿宋" w:cs="仿宋"/>
          <w:color w:val="auto"/>
          <w:kern w:val="0"/>
          <w:sz w:val="24"/>
          <w:szCs w:val="24"/>
          <w:highlight w:val="none"/>
        </w:rPr>
        <w:t>。</w:t>
      </w:r>
    </w:p>
    <w:p>
      <w:pPr>
        <w:widowControl/>
        <w:shd w:val="clear" w:color="auto"/>
        <w:spacing w:line="5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3</w:t>
      </w:r>
      <w:r>
        <w:rPr>
          <w:rFonts w:hint="eastAsia" w:ascii="仿宋" w:hAnsi="仿宋" w:eastAsia="仿宋" w:cs="仿宋"/>
          <w:color w:val="auto"/>
          <w:kern w:val="0"/>
          <w:sz w:val="24"/>
          <w:szCs w:val="24"/>
          <w:highlight w:val="none"/>
        </w:rPr>
        <w:t>.双方同意按照下列方式支付检测费用：</w:t>
      </w:r>
      <w:r>
        <w:rPr>
          <w:rFonts w:hint="eastAsia" w:ascii="仿宋" w:hAnsi="仿宋" w:eastAsia="仿宋" w:cs="仿宋"/>
          <w:color w:val="auto"/>
          <w:kern w:val="0"/>
          <w:sz w:val="24"/>
          <w:highlight w:val="none"/>
        </w:rPr>
        <w:t>半年结算一次，合同期内结清，经双方共同确认检测数量无异议后30 个工作日内支付</w:t>
      </w:r>
      <w:r>
        <w:rPr>
          <w:rFonts w:hint="eastAsia" w:ascii="仿宋" w:hAnsi="仿宋" w:eastAsia="仿宋" w:cs="仿宋"/>
          <w:color w:val="auto"/>
          <w:kern w:val="0"/>
          <w:sz w:val="24"/>
          <w:szCs w:val="24"/>
          <w:highlight w:val="none"/>
        </w:rPr>
        <w:t>。</w:t>
      </w:r>
    </w:p>
    <w:p>
      <w:pPr>
        <w:shd w:val="clear"/>
        <w:adjustRightInd w:val="0"/>
        <w:snapToGrid w:val="0"/>
        <w:spacing w:beforeLines="50" w:afterLines="5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.甲方对检测项目费用有异议的，应及时与乙方进行协商，但不得拖延其他无异议项目检测费用的支付。</w:t>
      </w:r>
    </w:p>
    <w:p>
      <w:pPr>
        <w:adjustRightInd w:val="0"/>
        <w:snapToGrid w:val="0"/>
        <w:spacing w:beforeLines="50" w:afterLines="50" w:line="360" w:lineRule="auto"/>
        <w:ind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第十条 保密</w:t>
      </w:r>
    </w:p>
    <w:p>
      <w:pPr>
        <w:spacing w:line="360" w:lineRule="auto"/>
        <w:ind w:right="25" w:rightChars="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1．保密内容（包括技术信息和经营信息）：</w:t>
      </w:r>
      <w:r>
        <w:rPr>
          <w:rFonts w:hint="eastAsia" w:ascii="仿宋" w:hAnsi="仿宋" w:eastAsia="仿宋" w:cs="仿宋"/>
          <w:color w:val="auto"/>
          <w:sz w:val="24"/>
          <w:szCs w:val="24"/>
          <w:highlight w:val="none"/>
          <w:u w:val="single"/>
        </w:rPr>
        <w:t>　与项目相关的所有试验资料与结果　</w:t>
      </w:r>
      <w:r>
        <w:rPr>
          <w:rFonts w:hint="eastAsia" w:ascii="仿宋" w:hAnsi="仿宋" w:eastAsia="仿宋" w:cs="仿宋"/>
          <w:color w:val="auto"/>
          <w:sz w:val="24"/>
          <w:szCs w:val="24"/>
          <w:highlight w:val="none"/>
        </w:rPr>
        <w:t>。</w:t>
      </w:r>
    </w:p>
    <w:p>
      <w:pPr>
        <w:spacing w:line="360" w:lineRule="auto"/>
        <w:ind w:right="25" w:rightChars="12"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2．涉密人员范围：</w:t>
      </w:r>
      <w:r>
        <w:rPr>
          <w:rFonts w:hint="eastAsia" w:ascii="仿宋" w:hAnsi="仿宋" w:eastAsia="仿宋" w:cs="仿宋"/>
          <w:color w:val="auto"/>
          <w:sz w:val="24"/>
          <w:szCs w:val="24"/>
          <w:highlight w:val="none"/>
          <w:u w:val="single"/>
        </w:rPr>
        <w:t xml:space="preserve">　项目组全体人员 </w:t>
      </w:r>
      <w:r>
        <w:rPr>
          <w:rFonts w:hint="eastAsia" w:ascii="仿宋" w:hAnsi="仿宋" w:eastAsia="仿宋" w:cs="仿宋"/>
          <w:color w:val="auto"/>
          <w:sz w:val="24"/>
          <w:szCs w:val="24"/>
          <w:highlight w:val="none"/>
        </w:rPr>
        <w:t>。</w:t>
      </w:r>
    </w:p>
    <w:p>
      <w:pPr>
        <w:spacing w:line="360" w:lineRule="auto"/>
        <w:ind w:right="25" w:rightChars="12"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3．保密期限：</w:t>
      </w:r>
      <w:r>
        <w:rPr>
          <w:rFonts w:hint="eastAsia" w:ascii="仿宋" w:hAnsi="仿宋" w:eastAsia="仿宋" w:cs="仿宋"/>
          <w:color w:val="auto"/>
          <w:sz w:val="24"/>
          <w:szCs w:val="24"/>
          <w:highlight w:val="none"/>
          <w:u w:val="single"/>
        </w:rPr>
        <w:t>　依据《浙江省检验机构管理条例》的有关规定执行　</w:t>
      </w:r>
      <w:r>
        <w:rPr>
          <w:rFonts w:hint="eastAsia" w:ascii="仿宋" w:hAnsi="仿宋" w:eastAsia="仿宋" w:cs="仿宋"/>
          <w:color w:val="auto"/>
          <w:sz w:val="24"/>
          <w:szCs w:val="24"/>
          <w:highlight w:val="none"/>
        </w:rPr>
        <w:t>。</w:t>
      </w:r>
    </w:p>
    <w:p>
      <w:pPr>
        <w:spacing w:line="360" w:lineRule="auto"/>
        <w:ind w:right="25" w:rightChars="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4．泄密责任：</w:t>
      </w:r>
      <w:r>
        <w:rPr>
          <w:rFonts w:hint="eastAsia" w:ascii="仿宋" w:hAnsi="仿宋" w:eastAsia="仿宋" w:cs="仿宋"/>
          <w:color w:val="auto"/>
          <w:sz w:val="24"/>
          <w:szCs w:val="24"/>
          <w:highlight w:val="none"/>
          <w:u w:val="single"/>
        </w:rPr>
        <w:t>　按泄密导致的损失协商解决　</w:t>
      </w:r>
      <w:r>
        <w:rPr>
          <w:rFonts w:hint="eastAsia" w:ascii="仿宋" w:hAnsi="仿宋" w:eastAsia="仿宋" w:cs="仿宋"/>
          <w:color w:val="auto"/>
          <w:sz w:val="24"/>
          <w:szCs w:val="24"/>
          <w:highlight w:val="none"/>
        </w:rPr>
        <w:t>。</w:t>
      </w:r>
    </w:p>
    <w:p>
      <w:pPr>
        <w:adjustRightInd w:val="0"/>
        <w:snapToGrid w:val="0"/>
        <w:spacing w:beforeLines="5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第十一条 其他约定</w:t>
      </w:r>
    </w:p>
    <w:p>
      <w:pPr>
        <w:spacing w:line="360" w:lineRule="auto"/>
        <w:ind w:right="25" w:rightChars="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在本合同有效期内，甲方利用乙方提交的技术服务工作成果所完成的新的技术成果，归</w:t>
      </w:r>
      <w:r>
        <w:rPr>
          <w:rFonts w:hint="eastAsia" w:ascii="仿宋" w:hAnsi="仿宋" w:eastAsia="仿宋" w:cs="仿宋"/>
          <w:color w:val="auto"/>
          <w:sz w:val="24"/>
          <w:szCs w:val="24"/>
          <w:highlight w:val="none"/>
          <w:u w:val="single"/>
        </w:rPr>
        <w:t>　甲　</w:t>
      </w:r>
      <w:r>
        <w:rPr>
          <w:rFonts w:hint="eastAsia" w:ascii="仿宋" w:hAnsi="仿宋" w:eastAsia="仿宋" w:cs="仿宋"/>
          <w:color w:val="auto"/>
          <w:sz w:val="24"/>
          <w:szCs w:val="24"/>
          <w:highlight w:val="none"/>
        </w:rPr>
        <w:t>方所有。</w:t>
      </w:r>
    </w:p>
    <w:p>
      <w:pPr>
        <w:spacing w:line="360" w:lineRule="auto"/>
        <w:ind w:right="25" w:rightChars="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在本合同有效期内，乙方利用甲方提供的技术资料和工作条件所完成的新的技术成果，归</w:t>
      </w:r>
      <w:r>
        <w:rPr>
          <w:rFonts w:hint="eastAsia" w:ascii="仿宋" w:hAnsi="仿宋" w:eastAsia="仿宋" w:cs="仿宋"/>
          <w:color w:val="auto"/>
          <w:sz w:val="24"/>
          <w:szCs w:val="24"/>
          <w:highlight w:val="none"/>
          <w:u w:val="single"/>
        </w:rPr>
        <w:t xml:space="preserve">　甲、乙双 </w:t>
      </w:r>
      <w:r>
        <w:rPr>
          <w:rFonts w:hint="eastAsia" w:ascii="仿宋" w:hAnsi="仿宋" w:eastAsia="仿宋" w:cs="仿宋"/>
          <w:color w:val="auto"/>
          <w:sz w:val="24"/>
          <w:szCs w:val="24"/>
          <w:highlight w:val="none"/>
        </w:rPr>
        <w:t>方所有。</w:t>
      </w:r>
    </w:p>
    <w:p>
      <w:pPr>
        <w:spacing w:line="360" w:lineRule="auto"/>
        <w:ind w:right="25" w:rightChars="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双方确定，在本合同有效期内，甲方指定</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为甲方项目联系人，乙方指定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为乙方项目联系人。项目联系人承担以下责任：</w:t>
      </w:r>
      <w:r>
        <w:rPr>
          <w:rFonts w:hint="eastAsia" w:ascii="仿宋" w:hAnsi="仿宋" w:eastAsia="仿宋" w:cs="仿宋"/>
          <w:color w:val="auto"/>
          <w:sz w:val="24"/>
          <w:szCs w:val="24"/>
          <w:highlight w:val="none"/>
          <w:u w:val="single"/>
        </w:rPr>
        <w:t>确保在接到甲方通知后乙方及时安排检测工作，检测完毕后及时向甲方提交检测报告</w:t>
      </w:r>
      <w:r>
        <w:rPr>
          <w:rFonts w:hint="eastAsia" w:ascii="仿宋" w:hAnsi="仿宋" w:eastAsia="仿宋" w:cs="仿宋"/>
          <w:color w:val="auto"/>
          <w:sz w:val="24"/>
          <w:szCs w:val="24"/>
          <w:highlight w:val="none"/>
        </w:rPr>
        <w:t>。一方变更项目联系人的，应当及时以书面形式通知另一方。未及时通知并影响本合同履行或造成损失的，应承担相应的责任。</w:t>
      </w:r>
    </w:p>
    <w:p>
      <w:pPr>
        <w:widowControl/>
        <w:shd w:val="clear" w:color="auto" w:fill="FFFFFF"/>
        <w:spacing w:line="360" w:lineRule="auto"/>
        <w:ind w:left="0" w:leftChars="0" w:firstLine="482" w:firstLineChars="200"/>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第十二条 甲方的权利义务</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（一）甲方负责填写并提供《监督检测登记表》，一般情况代替委托任务单。</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（二）甲方应严格按照本协议规定向乙方支付检测费用。</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（三）甲方应当负责与本工程检测业务有关的第三人的协调，为乙方提供必要的外部工作条件。</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（四）甲方不得以任何方式要求乙方出具虚假检测报告。</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b/>
          <w:color w:val="auto"/>
          <w:kern w:val="0"/>
          <w:sz w:val="24"/>
          <w:szCs w:val="24"/>
          <w:highlight w:val="none"/>
        </w:rPr>
        <w:t>第十三条 乙方的权利义务</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1.乙方应向甲方提供与本工程检测业务有关的资料，包括建设工程检测资质证书、检测机构评估认可证书、计量认证证书及其附表的复印件。</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2.乙方应回避与本检测任务相关的设计单位、施工单位、监理单位有隶属关系或者其他利害关系。</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3.乙方按照甲方委托检测任务开展检测工作。检测项目属于专项质量安全大检查时检测的，乙方应事先按照甲方要求编制检测方案报送甲方。</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4.乙方应在甲方通知的日期进场开展检测活动。乙方应要求现场检测人员严格遵守职业道德和操守，严格执行建设工程质量检测标准和规范。</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5.乙方现场检测时应遵守工程安全管理及其他工程现场管理制度。</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6.对于已纳入本市建设工程检测信息管理系统内的检测项目，乙方应使用该系统实施检测和管理，对检测异常的要与检测信息管理系统联网上报。    </w:t>
      </w:r>
    </w:p>
    <w:p>
      <w:pPr>
        <w:widowControl/>
        <w:numPr>
          <w:ilvl w:val="0"/>
          <w:numId w:val="5"/>
        </w:numPr>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乙方对出具给甲方的检测报告真实性、准确性负责，不得向甲方出具未经检测或虚假的检测报告。</w:t>
      </w:r>
    </w:p>
    <w:p>
      <w:pPr>
        <w:widowControl/>
        <w:shd w:val="clear" w:color="auto" w:fill="FFFFFF"/>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8.检测结果不合格的，乙方应在获得检测结果后_</w:t>
      </w:r>
      <w:r>
        <w:rPr>
          <w:rFonts w:hint="eastAsia" w:ascii="仿宋" w:hAnsi="仿宋" w:eastAsia="仿宋" w:cs="仿宋"/>
          <w:color w:val="auto"/>
          <w:kern w:val="0"/>
          <w:sz w:val="24"/>
          <w:szCs w:val="24"/>
          <w:highlight w:val="none"/>
          <w:u w:val="single"/>
        </w:rPr>
        <w:t xml:space="preserve">2 </w:t>
      </w:r>
      <w:r>
        <w:rPr>
          <w:rFonts w:hint="eastAsia" w:ascii="仿宋" w:hAnsi="仿宋" w:eastAsia="仿宋" w:cs="仿宋"/>
          <w:color w:val="auto"/>
          <w:kern w:val="0"/>
          <w:sz w:val="24"/>
          <w:szCs w:val="24"/>
          <w:highlight w:val="none"/>
        </w:rPr>
        <w:t>日内书面将检测异常报告传真给甲方</w:t>
      </w:r>
    </w:p>
    <w:p>
      <w:pPr>
        <w:pStyle w:val="25"/>
        <w:spacing w:line="360" w:lineRule="auto"/>
        <w:ind w:left="0" w:leftChars="0" w:firstLine="482" w:firstLineChars="20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乙方有在钱塘区承接项目检测任务的不得同时参与该项目的监督检测任务。在接到乙方参与的检测项目的监督检测任务时，应主动和甲方报告调整检测安排，如未报告并影响正常检测工作的，记入检测工作事故，纳入检测考评。</w:t>
      </w:r>
    </w:p>
    <w:p>
      <w:pPr>
        <w:spacing w:before="157" w:beforeLines="50" w:after="157" w:afterLines="50" w:line="360" w:lineRule="auto"/>
        <w:ind w:firstLine="0" w:firstLine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第十四条 对检测结论异议的处理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甲方对检测结论有异议的，甲方有权利直接委托</w:t>
      </w:r>
      <w:r>
        <w:rPr>
          <w:rFonts w:hint="eastAsia" w:ascii="仿宋" w:hAnsi="仿宋" w:eastAsia="仿宋" w:cs="仿宋"/>
          <w:color w:val="auto"/>
          <w:kern w:val="0"/>
          <w:sz w:val="24"/>
          <w:szCs w:val="24"/>
          <w:highlight w:val="none"/>
          <w:lang w:val="en-US" w:eastAsia="zh-CN"/>
        </w:rPr>
        <w:t>有资质第三方</w:t>
      </w:r>
      <w:r>
        <w:rPr>
          <w:rFonts w:hint="eastAsia" w:ascii="仿宋" w:hAnsi="仿宋" w:eastAsia="仿宋" w:cs="仿宋"/>
          <w:color w:val="auto"/>
          <w:kern w:val="0"/>
          <w:sz w:val="24"/>
          <w:szCs w:val="24"/>
          <w:highlight w:val="none"/>
        </w:rPr>
        <w:t>的检测机构复检。复检结论与原检测结论相同，由甲方支付复检费用；反之，则由乙方承担复检费用。</w:t>
      </w:r>
    </w:p>
    <w:p>
      <w:pPr>
        <w:adjustRightInd/>
        <w:snapToGrid/>
        <w:spacing w:before="157" w:beforeLines="50" w:after="157" w:afterLines="50" w:line="360" w:lineRule="auto"/>
        <w:ind w:firstLine="0" w:firstLineChars="0"/>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第十五条 违约责任</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1．双方要严格按合同履约</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共同遵守，如有一方违约给对方造成损失，对方有权要求违约方根据合同相应条款承担违约责任。</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2．如乙方在合同生效后30天内未履行合同规定内容，甲方有权没收乙方缴纳的履约保证金。</w:t>
      </w:r>
    </w:p>
    <w:p>
      <w:pPr>
        <w:adjustRightInd w:val="0"/>
        <w:snapToGrid w:val="0"/>
        <w:spacing w:line="360" w:lineRule="auto"/>
        <w:ind w:left="-2" w:leftChars="-1"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3．出现下列情形，致使本合同的履行成为不必要或不可能的，甲方有权根据采购文件和相应的法律法规要求对乙方进行处罚，有权提前终止合同：</w:t>
      </w:r>
    </w:p>
    <w:p>
      <w:pPr>
        <w:adjustRightInd w:val="0"/>
        <w:snapToGrid w:val="0"/>
        <w:spacing w:line="360" w:lineRule="auto"/>
        <w:ind w:left="-2" w:leftChars="-1" w:firstLine="412" w:firstLineChars="17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（1）发生不可抗力；</w:t>
      </w:r>
    </w:p>
    <w:p>
      <w:pPr>
        <w:adjustRightInd w:val="0"/>
        <w:snapToGrid w:val="0"/>
        <w:spacing w:line="360" w:lineRule="auto"/>
        <w:ind w:left="-2" w:leftChars="-1" w:firstLine="412" w:firstLineChars="17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（2）在委托监督检测期间乙方发生检测质量责任事故造成严重损失的；</w:t>
      </w:r>
    </w:p>
    <w:p>
      <w:pPr>
        <w:adjustRightInd w:val="0"/>
        <w:snapToGrid w:val="0"/>
        <w:spacing w:line="360" w:lineRule="auto"/>
        <w:ind w:left="-2" w:leftChars="-1" w:firstLine="412" w:firstLineChars="17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（3）在委托监督检测期间乙方受到市级及以上的建设行政主管部门或监督管理部门通报批评、或因检测单位的过失而被媒体曝光或行政处罚等处理的；</w:t>
      </w:r>
    </w:p>
    <w:p>
      <w:pPr>
        <w:adjustRightInd w:val="0"/>
        <w:snapToGrid w:val="0"/>
        <w:spacing w:line="360" w:lineRule="auto"/>
        <w:ind w:left="-2" w:leftChars="-1" w:firstLine="412" w:firstLineChars="17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（4）在委托监督检测期间乙方被投诉存在出具虚假报告等违法违规行为，经调查属实的；</w:t>
      </w:r>
    </w:p>
    <w:p>
      <w:pPr>
        <w:adjustRightInd w:val="0"/>
        <w:snapToGrid w:val="0"/>
        <w:spacing w:line="360" w:lineRule="auto"/>
        <w:ind w:left="-2" w:leftChars="-1" w:firstLine="412" w:firstLineChars="17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（5）在委托监督检测期间乙方接到甲方通知后提供检测服务不及时或服务质量差超过三次（包括三次）的；</w:t>
      </w:r>
    </w:p>
    <w:p>
      <w:pPr>
        <w:adjustRightInd w:val="0"/>
        <w:snapToGrid w:val="0"/>
        <w:spacing w:line="360" w:lineRule="auto"/>
        <w:ind w:left="-2" w:leftChars="-1" w:firstLine="412" w:firstLineChars="172"/>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（6）在委托监督检测期间乙方检测人员有存在吃、拿、卡、要等违反廉政行为，经调查属实的。</w:t>
      </w:r>
    </w:p>
    <w:p>
      <w:pPr>
        <w:snapToGrid w:val="0"/>
        <w:spacing w:line="360" w:lineRule="auto"/>
        <w:ind w:left="-2" w:leftChars="-1" w:firstLine="412" w:firstLineChars="172"/>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w:t>
      </w:r>
      <w:r>
        <w:rPr>
          <w:rFonts w:hint="eastAsia" w:ascii="仿宋" w:hAnsi="仿宋" w:eastAsia="仿宋" w:cs="仿宋"/>
          <w:bCs w:val="0"/>
          <w:snapToGrid w:val="0"/>
          <w:color w:val="auto"/>
          <w:kern w:val="0"/>
          <w:sz w:val="24"/>
          <w:szCs w:val="24"/>
          <w:highlight w:val="none"/>
        </w:rPr>
        <w:t>7）在委托监督检测期间内，若甲方人员在日常监督检查中发现乙方承接的</w:t>
      </w:r>
      <w:r>
        <w:rPr>
          <w:rFonts w:hint="eastAsia" w:ascii="仿宋" w:hAnsi="仿宋" w:eastAsia="仿宋" w:cs="仿宋"/>
          <w:bCs w:val="0"/>
          <w:snapToGrid w:val="0"/>
          <w:color w:val="auto"/>
          <w:kern w:val="0"/>
          <w:sz w:val="24"/>
          <w:szCs w:val="24"/>
          <w:highlight w:val="none"/>
          <w:lang w:val="en-US" w:eastAsia="zh-CN"/>
        </w:rPr>
        <w:t>钱塘</w:t>
      </w:r>
      <w:r>
        <w:rPr>
          <w:rFonts w:hint="eastAsia" w:ascii="仿宋" w:hAnsi="仿宋" w:eastAsia="仿宋" w:cs="仿宋"/>
          <w:bCs w:val="0"/>
          <w:snapToGrid w:val="0"/>
          <w:color w:val="auto"/>
          <w:kern w:val="0"/>
          <w:sz w:val="24"/>
          <w:szCs w:val="24"/>
          <w:highlight w:val="none"/>
        </w:rPr>
        <w:t>区建设工程项目的检测报告存在明显违反有关规定、规范和标准3次（含）的。</w:t>
      </w:r>
    </w:p>
    <w:p>
      <w:pPr>
        <w:adjustRightInd w:val="0"/>
        <w:snapToGrid w:val="0"/>
        <w:spacing w:line="360" w:lineRule="auto"/>
        <w:ind w:left="-2" w:leftChars="-1" w:firstLine="412" w:firstLineChars="172"/>
        <w:rPr>
          <w:rFonts w:hint="eastAsia" w:ascii="仿宋" w:hAnsi="仿宋" w:eastAsia="仿宋" w:cs="仿宋"/>
          <w:bCs/>
          <w:snapToGrid w:val="0"/>
          <w:color w:val="auto"/>
          <w:kern w:val="0"/>
          <w:sz w:val="24"/>
          <w:szCs w:val="24"/>
          <w:highlight w:val="none"/>
        </w:rPr>
      </w:pPr>
      <w:r>
        <w:rPr>
          <w:rFonts w:hint="eastAsia" w:ascii="仿宋" w:hAnsi="仿宋" w:eastAsia="仿宋" w:cs="仿宋"/>
          <w:bCs/>
          <w:snapToGrid w:val="0"/>
          <w:color w:val="auto"/>
          <w:kern w:val="0"/>
          <w:sz w:val="24"/>
          <w:szCs w:val="24"/>
          <w:highlight w:val="none"/>
        </w:rPr>
        <w:t>（8）在委托监督检测期间，乙方派的检测人员不在合同、投标文件内或检测人员没有相应检测上岗证书的。</w:t>
      </w:r>
    </w:p>
    <w:p>
      <w:pPr>
        <w:adjustRightInd w:val="0"/>
        <w:snapToGrid w:val="0"/>
        <w:spacing w:beforeLines="5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第十六条 不可抗力</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不可抗力是指《中华人民共和国</w:t>
      </w:r>
      <w:r>
        <w:rPr>
          <w:rFonts w:hint="eastAsia" w:ascii="仿宋" w:hAnsi="仿宋" w:eastAsia="仿宋" w:cs="仿宋"/>
          <w:snapToGrid w:val="0"/>
          <w:color w:val="auto"/>
          <w:kern w:val="0"/>
          <w:sz w:val="24"/>
          <w:szCs w:val="24"/>
          <w:highlight w:val="none"/>
          <w:lang w:val="en-US" w:eastAsia="zh-CN"/>
        </w:rPr>
        <w:t>民法典</w:t>
      </w:r>
      <w:r>
        <w:rPr>
          <w:rFonts w:hint="eastAsia" w:ascii="仿宋" w:hAnsi="仿宋" w:eastAsia="仿宋" w:cs="仿宋"/>
          <w:snapToGrid w:val="0"/>
          <w:color w:val="auto"/>
          <w:kern w:val="0"/>
          <w:sz w:val="24"/>
          <w:szCs w:val="24"/>
          <w:highlight w:val="none"/>
        </w:rPr>
        <w:t>》所列举的不可抗力。不可抗力一旦发生，证明文件由法律规定部门签署，并由甲方、乙方协商合同逾期履行和继续履行的方法，在此情况下，任何一方不能要求损失赔偿。</w:t>
      </w:r>
    </w:p>
    <w:p>
      <w:pPr>
        <w:adjustRightInd w:val="0"/>
        <w:snapToGrid w:val="0"/>
        <w:spacing w:beforeLines="5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第十七条 争议解决</w:t>
      </w:r>
    </w:p>
    <w:p>
      <w:pPr>
        <w:numPr>
          <w:ilvl w:val="0"/>
          <w:numId w:val="6"/>
        </w:numPr>
        <w:tabs>
          <w:tab w:val="left" w:pos="720"/>
          <w:tab w:val="clear" w:pos="840"/>
        </w:tabs>
        <w:adjustRightInd w:val="0"/>
        <w:snapToGrid w:val="0"/>
        <w:spacing w:line="360" w:lineRule="auto"/>
        <w:ind w:left="0" w:firstLine="42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双方的招投标文件如与合同不一致，应以合同为准。</w:t>
      </w:r>
    </w:p>
    <w:p>
      <w:pPr>
        <w:numPr>
          <w:ilvl w:val="0"/>
          <w:numId w:val="6"/>
        </w:numPr>
        <w:tabs>
          <w:tab w:val="left" w:pos="720"/>
          <w:tab w:val="clear" w:pos="840"/>
        </w:tabs>
        <w:adjustRightInd w:val="0"/>
        <w:snapToGrid w:val="0"/>
        <w:spacing w:line="360" w:lineRule="auto"/>
        <w:ind w:left="0" w:firstLine="42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关于本合同争议，应双方友好协商解决，协商不一致，仲裁或诉讼按合同履行地原则。</w:t>
      </w:r>
    </w:p>
    <w:p>
      <w:pPr>
        <w:adjustRightInd w:val="0"/>
        <w:snapToGrid w:val="0"/>
        <w:spacing w:beforeLines="50" w:afterLines="50" w:line="360" w:lineRule="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第十八条 合同生效</w:t>
      </w:r>
    </w:p>
    <w:p>
      <w:pPr>
        <w:adjustRightInd w:val="0"/>
        <w:snapToGrid w:val="0"/>
        <w:spacing w:line="360" w:lineRule="auto"/>
        <w:ind w:left="-2" w:leftChars="-1" w:firstLine="360" w:firstLineChars="15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1．本合同经双方法定代表人或其委托人签字并加盖公章、乙方提交履约</w:t>
      </w:r>
      <w:r>
        <w:rPr>
          <w:rFonts w:hint="eastAsia" w:ascii="仿宋" w:hAnsi="仿宋" w:eastAsia="仿宋" w:cs="仿宋"/>
          <w:strike w:val="0"/>
          <w:dstrike w:val="0"/>
          <w:snapToGrid w:val="0"/>
          <w:color w:val="auto"/>
          <w:kern w:val="0"/>
          <w:sz w:val="24"/>
          <w:szCs w:val="24"/>
          <w:highlight w:val="none"/>
        </w:rPr>
        <w:t>保证金</w:t>
      </w:r>
      <w:r>
        <w:rPr>
          <w:rFonts w:hint="eastAsia" w:ascii="仿宋" w:hAnsi="仿宋" w:eastAsia="仿宋" w:cs="仿宋"/>
          <w:snapToGrid w:val="0"/>
          <w:color w:val="auto"/>
          <w:kern w:val="0"/>
          <w:sz w:val="24"/>
          <w:szCs w:val="24"/>
          <w:highlight w:val="none"/>
        </w:rPr>
        <w:t>之日起生效。</w:t>
      </w:r>
    </w:p>
    <w:p>
      <w:pPr>
        <w:adjustRightInd w:val="0"/>
        <w:snapToGrid w:val="0"/>
        <w:spacing w:line="360" w:lineRule="auto"/>
        <w:ind w:firstLine="360" w:firstLineChars="15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2．本合同一式</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u w:val="single"/>
          <w:lang w:val="en-US" w:eastAsia="zh-CN"/>
        </w:rPr>
        <w:t>陆</w:t>
      </w:r>
      <w:r>
        <w:rPr>
          <w:rFonts w:hint="eastAsia" w:ascii="仿宋" w:hAnsi="仿宋" w:eastAsia="仿宋" w:cs="仿宋"/>
          <w:snapToGrid w:val="0"/>
          <w:color w:val="auto"/>
          <w:kern w:val="0"/>
          <w:sz w:val="24"/>
          <w:szCs w:val="24"/>
          <w:highlight w:val="none"/>
          <w:u w:val="single"/>
        </w:rPr>
        <w:t xml:space="preserve"> </w:t>
      </w:r>
      <w:r>
        <w:rPr>
          <w:rFonts w:hint="eastAsia" w:ascii="仿宋" w:hAnsi="仿宋" w:eastAsia="仿宋" w:cs="仿宋"/>
          <w:snapToGrid w:val="0"/>
          <w:color w:val="auto"/>
          <w:kern w:val="0"/>
          <w:sz w:val="24"/>
          <w:szCs w:val="24"/>
          <w:highlight w:val="none"/>
        </w:rPr>
        <w:t>份，双方各执</w:t>
      </w:r>
      <w:r>
        <w:rPr>
          <w:rFonts w:hint="eastAsia" w:ascii="仿宋" w:hAnsi="仿宋" w:eastAsia="仿宋" w:cs="仿宋"/>
          <w:snapToGrid w:val="0"/>
          <w:color w:val="auto"/>
          <w:kern w:val="0"/>
          <w:sz w:val="24"/>
          <w:szCs w:val="24"/>
          <w:highlight w:val="none"/>
          <w:u w:val="single"/>
          <w:lang w:val="en-US" w:eastAsia="zh-CN"/>
        </w:rPr>
        <w:t xml:space="preserve"> 叁 </w:t>
      </w:r>
      <w:r>
        <w:rPr>
          <w:rFonts w:hint="eastAsia" w:ascii="仿宋" w:hAnsi="仿宋" w:eastAsia="仿宋" w:cs="仿宋"/>
          <w:snapToGrid w:val="0"/>
          <w:color w:val="auto"/>
          <w:kern w:val="0"/>
          <w:sz w:val="24"/>
          <w:szCs w:val="24"/>
          <w:highlight w:val="none"/>
        </w:rPr>
        <w:t>份。</w:t>
      </w:r>
    </w:p>
    <w:p>
      <w:pPr>
        <w:adjustRightInd w:val="0"/>
        <w:snapToGrid w:val="0"/>
        <w:spacing w:line="360" w:lineRule="auto"/>
        <w:ind w:firstLine="355" w:firstLineChars="14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3．合同履行期内甲乙双方均不得随意变更或解除合同。合同若有未尽事宜，需经双方共同协商，订立补充合同，补充合同与本合同有同等法律效力。</w:t>
      </w:r>
    </w:p>
    <w:p>
      <w:pPr>
        <w:adjustRightInd w:val="0"/>
        <w:snapToGrid w:val="0"/>
        <w:spacing w:line="360" w:lineRule="auto"/>
        <w:ind w:firstLine="355" w:firstLineChars="14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4. 采购文件、投标文件及评标过程中形成的文字资料、询标纪要、协议书均作为本合同的组成部分，具有同等效力。</w:t>
      </w:r>
    </w:p>
    <w:p>
      <w:pPr>
        <w:adjustRightInd w:val="0"/>
        <w:snapToGrid w:val="0"/>
        <w:spacing w:line="360" w:lineRule="auto"/>
        <w:rPr>
          <w:rFonts w:hint="eastAsia" w:ascii="仿宋" w:hAnsi="仿宋" w:eastAsia="仿宋" w:cs="仿宋"/>
          <w:snapToGrid w:val="0"/>
          <w:color w:val="auto"/>
          <w:kern w:val="0"/>
          <w:sz w:val="24"/>
          <w:szCs w:val="24"/>
          <w:highlight w:val="none"/>
        </w:rPr>
      </w:pPr>
    </w:p>
    <w:p>
      <w:pPr>
        <w:adjustRightInd w:val="0"/>
        <w:snapToGrid w:val="0"/>
        <w:spacing w:line="360" w:lineRule="auto"/>
        <w:rPr>
          <w:rFonts w:hint="eastAsia" w:ascii="仿宋" w:hAnsi="仿宋" w:eastAsia="仿宋" w:cs="仿宋"/>
          <w:b/>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甲方（公章）：</w:t>
      </w:r>
      <w:r>
        <w:rPr>
          <w:rFonts w:hint="eastAsia" w:ascii="仿宋" w:hAnsi="仿宋" w:eastAsia="仿宋" w:cs="仿宋"/>
          <w:b/>
          <w:bCs/>
          <w:snapToGrid w:val="0"/>
          <w:color w:val="auto"/>
          <w:kern w:val="0"/>
          <w:sz w:val="24"/>
          <w:szCs w:val="24"/>
          <w:highlight w:val="none"/>
        </w:rPr>
        <w:t>杭州</w:t>
      </w:r>
      <w:r>
        <w:rPr>
          <w:rFonts w:hint="eastAsia" w:ascii="仿宋" w:hAnsi="仿宋" w:eastAsia="仿宋" w:cs="仿宋"/>
          <w:b/>
          <w:bCs/>
          <w:snapToGrid w:val="0"/>
          <w:color w:val="auto"/>
          <w:kern w:val="0"/>
          <w:sz w:val="24"/>
          <w:szCs w:val="24"/>
          <w:highlight w:val="none"/>
          <w:lang w:val="en-US" w:eastAsia="zh-CN"/>
        </w:rPr>
        <w:t>市</w:t>
      </w:r>
      <w:r>
        <w:rPr>
          <w:rFonts w:hint="eastAsia" w:ascii="仿宋" w:hAnsi="仿宋" w:eastAsia="仿宋" w:cs="仿宋"/>
          <w:b/>
          <w:bCs/>
          <w:snapToGrid w:val="0"/>
          <w:color w:val="auto"/>
          <w:kern w:val="0"/>
          <w:sz w:val="24"/>
          <w:szCs w:val="24"/>
          <w:highlight w:val="none"/>
          <w:lang w:eastAsia="zh-CN"/>
        </w:rPr>
        <w:t>钱塘区住房和城乡建设局</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法定代表人或授权委托人：</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地址： </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邮编：</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联系人： </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电话：</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传真：</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乙方（公章）：</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法定代表人或授权委托人： </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地址：</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邮编：</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联系人：</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电话：</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手机：</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传真：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开户银行：</w:t>
      </w:r>
    </w:p>
    <w:p>
      <w:pPr>
        <w:adjustRightInd w:val="0"/>
        <w:snapToGrid w:val="0"/>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帐号：</w:t>
      </w:r>
    </w:p>
    <w:p>
      <w:pPr>
        <w:widowControl/>
        <w:shd w:val="clear" w:color="auto" w:fill="FFFFFF"/>
        <w:spacing w:line="480" w:lineRule="atLeas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合同订立时间：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p>
      <w:pPr>
        <w:widowControl/>
        <w:shd w:val="clear" w:color="auto" w:fill="FFFFFF"/>
        <w:spacing w:line="480" w:lineRule="atLeas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rPr>
        <w:t>合同订立地点</w:t>
      </w: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pStyle w:val="2"/>
        <w:rPr>
          <w:rFonts w:hint="eastAsia"/>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pStyle w:val="2"/>
        <w:rPr>
          <w:rFonts w:hint="eastAsia"/>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pStyle w:val="2"/>
        <w:rPr>
          <w:rFonts w:hint="eastAsia"/>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pStyle w:val="2"/>
        <w:rPr>
          <w:rFonts w:hint="eastAsia"/>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pStyle w:val="2"/>
        <w:rPr>
          <w:rFonts w:hint="eastAsia"/>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pStyle w:val="2"/>
        <w:rPr>
          <w:rFonts w:hint="eastAsia"/>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pStyle w:val="2"/>
        <w:rPr>
          <w:rFonts w:hint="eastAsia"/>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spacing w:line="360" w:lineRule="auto"/>
        <w:ind w:right="25" w:rightChars="12" w:firstLine="420" w:firstLineChars="200"/>
        <w:rPr>
          <w:rFonts w:hint="eastAsia" w:ascii="宋体" w:hAnsi="宋体" w:eastAsia="宋体" w:cs="宋体"/>
          <w:color w:val="auto"/>
          <w:kern w:val="0"/>
          <w:szCs w:val="21"/>
          <w:highlight w:val="none"/>
          <w:lang w:eastAsia="zh-CN"/>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第六部分 </w:t>
      </w:r>
      <w:bookmarkEnd w:id="419"/>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w:t>
      </w:r>
    </w:p>
    <w:p>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 xml:space="preserve">    </w:t>
      </w:r>
    </w:p>
    <w:p>
      <w:pPr>
        <w:widowControl/>
        <w:spacing w:line="360" w:lineRule="auto"/>
        <w:ind w:left="15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24"/>
        <w:ind w:left="0" w:leftChars="0" w:firstLine="0" w:firstLineChars="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sz w:val="24"/>
          <w:highlight w:val="none"/>
          <w:u w:val="single"/>
        </w:rPr>
      </w:pPr>
      <w:r>
        <w:rPr>
          <w:rFonts w:hint="eastAsia" w:ascii="仿宋_GB2312" w:hAnsi="仿宋" w:eastAsia="仿宋_GB2312" w:cs="仿宋_GB2312"/>
          <w:color w:val="auto"/>
          <w:sz w:val="24"/>
          <w:highlight w:val="none"/>
          <w:u w:val="single"/>
        </w:rPr>
        <w:t>（采购人）、（采购代理机构）</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24"/>
        <w:rPr>
          <w:rFonts w:hint="eastAsia"/>
          <w:color w:val="auto"/>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2"/>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pStyle w:val="24"/>
        <w:rPr>
          <w:rFonts w:hint="eastAsia"/>
          <w:color w:val="auto"/>
          <w:highlight w:val="none"/>
        </w:rPr>
      </w:pPr>
    </w:p>
    <w:p>
      <w:pPr>
        <w:ind w:firstLine="2891" w:firstLineChars="90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进行项目建设或其他经营活动，并通报区财政局。由此引起的相应损失均由我单位承担。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_GB2312" w:hAnsi="仿宋" w:eastAsia="仿宋_GB2312" w:cs="仿宋_GB2312"/>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3"/>
        <w:tblW w:w="14567" w:type="dxa"/>
        <w:tblInd w:w="2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2846" w:type="dxa"/>
          <w:wAfter w:w="2880" w:type="dxa"/>
          <w:trHeight w:val="920" w:hRule="atLeast"/>
        </w:trPr>
        <w:tc>
          <w:tcPr>
            <w:tcW w:w="5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内容</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2846" w:type="dxa"/>
          <w:wAfter w:w="2880" w:type="dxa"/>
          <w:trHeight w:val="920" w:hRule="atLeast"/>
        </w:trPr>
        <w:tc>
          <w:tcPr>
            <w:tcW w:w="59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报价费率</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2846" w:type="dxa"/>
          <w:wAfter w:w="2880" w:type="dxa"/>
          <w:trHeight w:val="987" w:hRule="atLeast"/>
        </w:trPr>
        <w:tc>
          <w:tcPr>
            <w:tcW w:w="88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说明：</w:t>
            </w:r>
          </w:p>
          <w:p>
            <w:pPr>
              <w:adjustRightInd w:val="0"/>
              <w:snapToGrid w:val="0"/>
              <w:spacing w:line="360" w:lineRule="auto"/>
              <w:jc w:val="left"/>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zh-CN"/>
              </w:rPr>
              <w:t>（1）</w:t>
            </w:r>
            <w:r>
              <w:rPr>
                <w:rFonts w:hint="eastAsia" w:ascii="仿宋" w:hAnsi="仿宋" w:eastAsia="仿宋" w:cs="仿宋"/>
                <w:snapToGrid w:val="0"/>
                <w:color w:val="auto"/>
                <w:kern w:val="0"/>
                <w:sz w:val="24"/>
                <w:highlight w:val="none"/>
                <w:lang w:val="en-US" w:eastAsia="zh-CN"/>
              </w:rPr>
              <w:t>根据检测内容中，各指标综合单价的最高限价，统一按最高限价</w:t>
            </w:r>
            <w:r>
              <w:rPr>
                <w:rFonts w:hint="eastAsia" w:ascii="仿宋" w:hAnsi="仿宋" w:eastAsia="仿宋" w:cs="仿宋"/>
                <w:snapToGrid w:val="0"/>
                <w:color w:val="auto"/>
                <w:kern w:val="0"/>
                <w:sz w:val="24"/>
                <w:highlight w:val="none"/>
                <w:lang w:val="zh-CN"/>
              </w:rPr>
              <w:t>的</w:t>
            </w:r>
            <w:r>
              <w:rPr>
                <w:rFonts w:hint="eastAsia" w:ascii="仿宋" w:hAnsi="仿宋" w:eastAsia="仿宋" w:cs="仿宋"/>
                <w:snapToGrid w:val="0"/>
                <w:color w:val="auto"/>
                <w:kern w:val="0"/>
                <w:sz w:val="24"/>
                <w:highlight w:val="none"/>
                <w:u w:val="single"/>
                <w:lang w:val="zh-CN"/>
              </w:rPr>
              <w:t xml:space="preserve">   </w:t>
            </w:r>
            <w:r>
              <w:rPr>
                <w:rFonts w:hint="eastAsia" w:ascii="仿宋" w:hAnsi="仿宋" w:eastAsia="仿宋" w:cs="仿宋"/>
                <w:snapToGrid w:val="0"/>
                <w:color w:val="auto"/>
                <w:kern w:val="0"/>
                <w:sz w:val="24"/>
                <w:highlight w:val="none"/>
                <w:lang w:val="zh-CN"/>
              </w:rPr>
              <w:t xml:space="preserve"> %</w:t>
            </w:r>
            <w:r>
              <w:rPr>
                <w:rFonts w:hint="eastAsia" w:ascii="仿宋" w:hAnsi="仿宋" w:eastAsia="仿宋" w:cs="仿宋"/>
                <w:snapToGrid w:val="0"/>
                <w:color w:val="auto"/>
                <w:kern w:val="0"/>
                <w:sz w:val="24"/>
                <w:highlight w:val="none"/>
                <w:lang w:val="en-US" w:eastAsia="zh-CN"/>
              </w:rPr>
              <w:t>进行报价</w:t>
            </w: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lang w:val="en-US" w:eastAsia="zh-CN"/>
              </w:rPr>
              <w:t>各指标的报价费率应统一。</w:t>
            </w:r>
          </w:p>
          <w:p>
            <w:pPr>
              <w:adjustRightInd w:val="0"/>
              <w:snapToGrid w:val="0"/>
              <w:spacing w:line="360" w:lineRule="auto"/>
              <w:jc w:val="left"/>
              <w:rPr>
                <w:rFonts w:hint="eastAsia" w:ascii="仿宋" w:hAnsi="仿宋" w:eastAsia="仿宋" w:cs="仿宋"/>
                <w:snapToGrid w:val="0"/>
                <w:color w:val="auto"/>
                <w:kern w:val="0"/>
                <w:sz w:val="24"/>
                <w:highlight w:val="none"/>
                <w:lang w:val="en-US"/>
              </w:rPr>
            </w:pPr>
            <w:r>
              <w:rPr>
                <w:rFonts w:hint="eastAsia" w:ascii="仿宋" w:hAnsi="仿宋" w:eastAsia="仿宋" w:cs="仿宋"/>
                <w:snapToGrid w:val="0"/>
                <w:color w:val="auto"/>
                <w:kern w:val="0"/>
                <w:sz w:val="24"/>
                <w:highlight w:val="none"/>
                <w:lang w:val="zh-CN"/>
              </w:rPr>
              <w:t>（2）如报</w:t>
            </w:r>
            <w:r>
              <w:rPr>
                <w:rFonts w:hint="eastAsia" w:ascii="仿宋" w:hAnsi="仿宋" w:eastAsia="仿宋" w:cs="仿宋"/>
                <w:snapToGrid w:val="0"/>
                <w:color w:val="auto"/>
                <w:kern w:val="0"/>
                <w:sz w:val="24"/>
                <w:highlight w:val="none"/>
                <w:lang w:val="en-US" w:eastAsia="zh-CN"/>
              </w:rPr>
              <w:t>价为90%</w:t>
            </w:r>
            <w:r>
              <w:rPr>
                <w:rFonts w:hint="eastAsia" w:ascii="仿宋" w:hAnsi="仿宋" w:eastAsia="仿宋" w:cs="仿宋"/>
                <w:snapToGrid w:val="0"/>
                <w:color w:val="auto"/>
                <w:kern w:val="0"/>
                <w:sz w:val="24"/>
                <w:highlight w:val="none"/>
                <w:lang w:val="zh-CN"/>
              </w:rPr>
              <w:t>，则</w:t>
            </w:r>
            <w:r>
              <w:rPr>
                <w:rFonts w:hint="eastAsia" w:ascii="仿宋" w:hAnsi="仿宋" w:eastAsia="仿宋" w:cs="仿宋"/>
                <w:snapToGrid w:val="0"/>
                <w:color w:val="auto"/>
                <w:kern w:val="0"/>
                <w:sz w:val="24"/>
                <w:highlight w:val="none"/>
                <w:lang w:val="en-US" w:eastAsia="zh-CN"/>
              </w:rPr>
              <w:t>开标一览表中填报的报价为90%；如中标，指标的相应单价=90%</w:t>
            </w:r>
            <w:r>
              <w:rPr>
                <w:rFonts w:hint="default" w:ascii="Arial" w:hAnsi="Arial" w:eastAsia="仿宋" w:cs="Arial"/>
                <w:snapToGrid w:val="0"/>
                <w:color w:val="auto"/>
                <w:kern w:val="0"/>
                <w:sz w:val="24"/>
                <w:highlight w:val="none"/>
                <w:lang w:val="en-US" w:eastAsia="zh-CN"/>
              </w:rPr>
              <w:t>×</w:t>
            </w:r>
            <w:r>
              <w:rPr>
                <w:rFonts w:hint="eastAsia" w:ascii="仿宋" w:hAnsi="仿宋" w:eastAsia="仿宋" w:cs="仿宋"/>
                <w:snapToGrid w:val="0"/>
                <w:color w:val="auto"/>
                <w:kern w:val="0"/>
                <w:sz w:val="24"/>
                <w:highlight w:val="none"/>
                <w:lang w:val="en-US" w:eastAsia="zh-CN"/>
              </w:rPr>
              <w:t>最高限价。</w:t>
            </w:r>
          </w:p>
          <w:p>
            <w:pPr>
              <w:adjustRightInd w:val="0"/>
              <w:snapToGrid w:val="0"/>
              <w:jc w:val="lef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zh-CN"/>
              </w:rPr>
              <w:t>）投标人填报的费率不得超过100%，否则作无效标处理。</w:t>
            </w: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2"/>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22" w:name="_Toc465665161"/>
      <w:r>
        <w:rPr>
          <w:rFonts w:hint="eastAsia" w:ascii="仿宋" w:hAnsi="仿宋" w:eastAsia="仿宋" w:cs="仿宋"/>
          <w:color w:val="auto"/>
          <w:highlight w:val="none"/>
        </w:rPr>
        <w:t>附件</w:t>
      </w:r>
      <w:bookmarkEnd w:id="422"/>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lang w:eastAsia="zh-CN"/>
        </w:rPr>
      </w:pPr>
      <w:r>
        <w:rPr>
          <w:rFonts w:hint="eastAsia" w:ascii="仿宋_GB2312" w:hAnsi="仿宋" w:eastAsia="仿宋_GB2312" w:cs="仿宋_GB2312"/>
          <w:color w:val="auto"/>
          <w:sz w:val="24"/>
          <w:highlight w:val="none"/>
          <w:u w:val="single"/>
        </w:rPr>
        <w:t>（采购人）、（采购代理机构）</w:t>
      </w:r>
      <w:r>
        <w:rPr>
          <w:rFonts w:hint="eastAsia" w:ascii="仿宋_GB2312" w:hAnsi="仿宋" w:eastAsia="仿宋_GB2312" w:cs="仿宋_GB2312"/>
          <w:color w:val="auto"/>
          <w:sz w:val="24"/>
          <w:highlight w:val="none"/>
          <w:u w:val="single"/>
          <w:lang w:eastAsia="zh-CN"/>
        </w:rPr>
        <w:t>：</w:t>
      </w:r>
      <w:r>
        <w:rPr>
          <w:rFonts w:hint="eastAsia" w:ascii="仿宋" w:hAnsi="仿宋" w:eastAsia="仿宋" w:cs="仿宋"/>
          <w:color w:val="auto"/>
          <w:sz w:val="24"/>
          <w:highlight w:val="none"/>
          <w:u w:val="single"/>
          <w:lang w:eastAsia="zh-CN"/>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w:t>
      </w:r>
      <w:r>
        <w:rPr>
          <w:rFonts w:hint="eastAsia" w:ascii="仿宋" w:hAnsi="仿宋" w:eastAsia="仿宋" w:cs="仿宋"/>
          <w:color w:val="auto"/>
          <w:sz w:val="24"/>
          <w:highlight w:val="none"/>
          <w:lang w:eastAsia="zh-CN"/>
        </w:rPr>
        <w:t>2022年度起重机械检测服务项目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ind w:firstLine="241" w:firstLineChars="100"/>
      <w:jc w:val="both"/>
      <w:rPr>
        <w:rFonts w:ascii="仿宋_GB2312" w:eastAsia="仿宋_GB2312"/>
        <w:b w:val="0"/>
        <w:i/>
        <w:sz w:val="18"/>
        <w:u w:val="single"/>
        <w:lang w:val="en-US"/>
      </w:rPr>
    </w:pPr>
    <w:r>
      <w:t></w:t>
    </w:r>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1"/>
        <w:right w:val="none" w:color="auto" w:sz="0" w:space="0"/>
        <w:between w:val="none" w:color="auto" w:sz="0" w:space="0"/>
      </w:pBdr>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1"/>
        <w:right w:val="none" w:color="auto" w:sz="0" w:space="0"/>
        <w:between w:val="none" w:color="auto" w:sz="0" w:space="0"/>
      </w:pBdr>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enter" w:pos="4535"/>
        <w:tab w:val="right" w:pos="9070"/>
      </w:tabs>
      <w:ind w:firstLine="241" w:firstLineChars="100"/>
      <w:jc w:val="both"/>
      <w:rPr>
        <w:rFonts w:ascii="仿宋_GB2312" w:eastAsia="仿宋_GB2312"/>
        <w:b w:val="0"/>
        <w:i/>
        <w:sz w:val="18"/>
        <w:u w:val="single"/>
        <w:lang w:val="en-US"/>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0"/>
        <w:right w:val="none" w:color="auto" w:sz="0" w:space="0"/>
        <w:between w:val="none" w:color="auto" w:sz="0" w:space="0"/>
      </w:pBdr>
      <w:rPr>
        <w:rFonts w:ascii="仿宋_GB2312" w:eastAsia="仿宋_GB2312"/>
        <w:b/>
        <w:i/>
        <w:u w:val="single"/>
      </w:rPr>
    </w:pPr>
    <w:r>
      <w:t></w:t>
    </w:r>
    <w:r>
      <w:rPr>
        <w:rFonts w:hint="eastAsia"/>
      </w:rPr>
      <w:t xml:space="preserve">                                               </w:t>
    </w:r>
  </w:p>
  <w:p>
    <w:pPr>
      <w:pBdr>
        <w:top w:val="none" w:color="auto" w:sz="0" w:space="0"/>
        <w:left w:val="none" w:color="auto" w:sz="0" w:space="0"/>
        <w:bottom w:val="none" w:color="auto" w:sz="0" w:space="0"/>
        <w:right w:val="none" w:color="auto" w:sz="0" w:space="0"/>
        <w:between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1"/>
        <w:right w:val="none" w:color="auto" w:sz="0" w:space="0"/>
        <w:between w:val="none" w:color="auto" w:sz="0" w:space="0"/>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0"/>
        <w:right w:val="none" w:color="auto" w:sz="0" w:space="0"/>
        <w:between w:val="none" w:color="auto" w:sz="0" w:space="0"/>
      </w:pBdr>
      <w:rPr>
        <w:rFonts w:ascii="仿宋_GB2312" w:eastAsia="仿宋_GB2312"/>
        <w:b/>
        <w:i/>
        <w:u w:val="single"/>
      </w:rPr>
    </w:pPr>
    <w:r>
      <w:t></w:t>
    </w:r>
    <w:r>
      <w:rPr>
        <w:rFonts w:hint="eastAsia"/>
      </w:rPr>
      <w:t xml:space="preserve">                                                  </w:t>
    </w:r>
  </w:p>
  <w:p>
    <w:pPr>
      <w:pBdr>
        <w:top w:val="none" w:color="auto" w:sz="0" w:space="0"/>
        <w:left w:val="none" w:color="auto" w:sz="0" w:space="0"/>
        <w:bottom w:val="none" w:color="auto" w:sz="0" w:space="0"/>
        <w:right w:val="none" w:color="auto" w:sz="0" w:space="0"/>
        <w:between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p>
    <w:pPr>
      <w:pStyle w:val="42"/>
      <w:pBdr>
        <w:top w:val="none" w:color="auto" w:sz="0" w:space="0"/>
        <w:left w:val="none" w:color="auto" w:sz="0" w:space="0"/>
        <w:bottom w:val="none" w:color="auto" w:sz="0" w:space="1"/>
        <w:right w:val="none" w:color="auto" w:sz="0" w:space="0"/>
        <w:between w:val="none" w:color="auto" w:sz="0" w:space="0"/>
      </w:pBd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67CDF"/>
    <w:multiLevelType w:val="singleLevel"/>
    <w:tmpl w:val="B9C67CDF"/>
    <w:lvl w:ilvl="0" w:tentative="0">
      <w:start w:val="5"/>
      <w:numFmt w:val="chineseCounting"/>
      <w:suff w:val="nothing"/>
      <w:lvlText w:val="%1、"/>
      <w:lvlJc w:val="left"/>
      <w:rPr>
        <w:rFonts w:hint="eastAsia"/>
      </w:rPr>
    </w:lvl>
  </w:abstractNum>
  <w:abstractNum w:abstractNumId="1">
    <w:nsid w:val="FCBA69F8"/>
    <w:multiLevelType w:val="singleLevel"/>
    <w:tmpl w:val="FCBA69F8"/>
    <w:lvl w:ilvl="0" w:tentative="0">
      <w:start w:val="7"/>
      <w:numFmt w:val="decimal"/>
      <w:lvlText w:val="%1."/>
      <w:lvlJc w:val="left"/>
      <w:pPr>
        <w:tabs>
          <w:tab w:val="left" w:pos="312"/>
        </w:tabs>
        <w:ind w:left="480" w:leftChars="0" w:firstLine="0" w:firstLineChars="0"/>
      </w:pPr>
    </w:lvl>
  </w:abstractNum>
  <w:abstractNum w:abstractNumId="2">
    <w:nsid w:val="0000000D"/>
    <w:multiLevelType w:val="multilevel"/>
    <w:tmpl w:val="0000000D"/>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560"/>
        </w:tabs>
        <w:ind w:left="1560" w:hanging="720"/>
      </w:pPr>
      <w:rPr>
        <w:rFonts w:hint="default"/>
      </w:rPr>
    </w:lvl>
    <w:lvl w:ilvl="2" w:tentative="0">
      <w:start w:val="1"/>
      <w:numFmt w:val="decimal"/>
      <w:lvlText w:val="%3)"/>
      <w:lvlJc w:val="left"/>
      <w:pPr>
        <w:tabs>
          <w:tab w:val="left" w:pos="1680"/>
        </w:tabs>
        <w:ind w:left="1680" w:hanging="4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4477E3F"/>
    <w:multiLevelType w:val="singleLevel"/>
    <w:tmpl w:val="24477E3F"/>
    <w:lvl w:ilvl="0" w:tentative="0">
      <w:start w:val="3"/>
      <w:numFmt w:val="chineseCounting"/>
      <w:suff w:val="space"/>
      <w:lvlText w:val="第%1部分"/>
      <w:lvlJc w:val="left"/>
      <w:rPr>
        <w:rFonts w:hint="eastAsia"/>
      </w:rPr>
    </w:lvl>
  </w:abstractNum>
  <w:abstractNum w:abstractNumId="4">
    <w:nsid w:val="27A8CFEA"/>
    <w:multiLevelType w:val="singleLevel"/>
    <w:tmpl w:val="27A8CFEA"/>
    <w:lvl w:ilvl="0" w:tentative="0">
      <w:start w:val="1"/>
      <w:numFmt w:val="chineseCounting"/>
      <w:suff w:val="nothing"/>
      <w:lvlText w:val="（%1）"/>
      <w:lvlJc w:val="left"/>
      <w:rPr>
        <w:rFonts w:hint="eastAsia"/>
      </w:rPr>
    </w:lvl>
  </w:abstractNum>
  <w:abstractNum w:abstractNumId="5">
    <w:nsid w:val="4F225863"/>
    <w:multiLevelType w:val="singleLevel"/>
    <w:tmpl w:val="4F225863"/>
    <w:lvl w:ilvl="0" w:tentative="0">
      <w:start w:val="1"/>
      <w:numFmt w:val="decimal"/>
      <w:suff w:val="nothing"/>
      <w:lvlText w:val="（%1）"/>
      <w:lvlJc w:val="left"/>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zJmOGQ1Zjc3M2FhNDliMzhkZGQ0NzhhZGFhZ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ED2"/>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537"/>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E3D37"/>
    <w:rsid w:val="011F6449"/>
    <w:rsid w:val="01236AFB"/>
    <w:rsid w:val="01400E94"/>
    <w:rsid w:val="015459DE"/>
    <w:rsid w:val="017843C9"/>
    <w:rsid w:val="019F7441"/>
    <w:rsid w:val="01B37585"/>
    <w:rsid w:val="01D55165"/>
    <w:rsid w:val="01DF6BF8"/>
    <w:rsid w:val="01EC2C57"/>
    <w:rsid w:val="026B2E25"/>
    <w:rsid w:val="02824D4D"/>
    <w:rsid w:val="02DC4B10"/>
    <w:rsid w:val="02DD76CE"/>
    <w:rsid w:val="02F36323"/>
    <w:rsid w:val="02F5619C"/>
    <w:rsid w:val="031848D7"/>
    <w:rsid w:val="03192A63"/>
    <w:rsid w:val="03222CFC"/>
    <w:rsid w:val="0326446A"/>
    <w:rsid w:val="032D5555"/>
    <w:rsid w:val="034B72AF"/>
    <w:rsid w:val="03615F01"/>
    <w:rsid w:val="036634D2"/>
    <w:rsid w:val="0370464D"/>
    <w:rsid w:val="03850F5A"/>
    <w:rsid w:val="03A37B69"/>
    <w:rsid w:val="03DD35E4"/>
    <w:rsid w:val="04076900"/>
    <w:rsid w:val="041A5A3B"/>
    <w:rsid w:val="042311BA"/>
    <w:rsid w:val="042B157A"/>
    <w:rsid w:val="048F763B"/>
    <w:rsid w:val="04992DA1"/>
    <w:rsid w:val="049F330E"/>
    <w:rsid w:val="04AA775C"/>
    <w:rsid w:val="04AF1889"/>
    <w:rsid w:val="04F66F48"/>
    <w:rsid w:val="050444E2"/>
    <w:rsid w:val="05251E14"/>
    <w:rsid w:val="053A3FA0"/>
    <w:rsid w:val="05A16594"/>
    <w:rsid w:val="05A7762D"/>
    <w:rsid w:val="05B33494"/>
    <w:rsid w:val="060E5941"/>
    <w:rsid w:val="06110FAF"/>
    <w:rsid w:val="06493CA7"/>
    <w:rsid w:val="06504D4B"/>
    <w:rsid w:val="065A6178"/>
    <w:rsid w:val="066F1CF3"/>
    <w:rsid w:val="067844D5"/>
    <w:rsid w:val="06930BB8"/>
    <w:rsid w:val="06940B9E"/>
    <w:rsid w:val="06AE3E0A"/>
    <w:rsid w:val="06B60FFE"/>
    <w:rsid w:val="07245D42"/>
    <w:rsid w:val="07264C62"/>
    <w:rsid w:val="075071C0"/>
    <w:rsid w:val="07736C48"/>
    <w:rsid w:val="0779354C"/>
    <w:rsid w:val="08061376"/>
    <w:rsid w:val="08317C32"/>
    <w:rsid w:val="08452D77"/>
    <w:rsid w:val="086401F8"/>
    <w:rsid w:val="08751CAA"/>
    <w:rsid w:val="087E4C40"/>
    <w:rsid w:val="088A4D38"/>
    <w:rsid w:val="08D663BE"/>
    <w:rsid w:val="08D66AD6"/>
    <w:rsid w:val="08DA33A3"/>
    <w:rsid w:val="08E80F13"/>
    <w:rsid w:val="090B50C1"/>
    <w:rsid w:val="092A6B5D"/>
    <w:rsid w:val="09335624"/>
    <w:rsid w:val="093A7D51"/>
    <w:rsid w:val="0944690F"/>
    <w:rsid w:val="09535675"/>
    <w:rsid w:val="095F057D"/>
    <w:rsid w:val="09642282"/>
    <w:rsid w:val="09733572"/>
    <w:rsid w:val="09772C16"/>
    <w:rsid w:val="098353B5"/>
    <w:rsid w:val="099B68C7"/>
    <w:rsid w:val="09A92330"/>
    <w:rsid w:val="09B06B87"/>
    <w:rsid w:val="09C13146"/>
    <w:rsid w:val="09D65B51"/>
    <w:rsid w:val="09E04166"/>
    <w:rsid w:val="0A0646E1"/>
    <w:rsid w:val="0A1C0718"/>
    <w:rsid w:val="0A3E7710"/>
    <w:rsid w:val="0A5B7E63"/>
    <w:rsid w:val="0AA318FB"/>
    <w:rsid w:val="0AA374A5"/>
    <w:rsid w:val="0AAB7649"/>
    <w:rsid w:val="0ABC5606"/>
    <w:rsid w:val="0B227A05"/>
    <w:rsid w:val="0B30404E"/>
    <w:rsid w:val="0B4C6C14"/>
    <w:rsid w:val="0B5036E2"/>
    <w:rsid w:val="0B631A88"/>
    <w:rsid w:val="0B683D45"/>
    <w:rsid w:val="0B7F3F11"/>
    <w:rsid w:val="0B884417"/>
    <w:rsid w:val="0BC463A3"/>
    <w:rsid w:val="0BE07151"/>
    <w:rsid w:val="0BE338B4"/>
    <w:rsid w:val="0BF6188C"/>
    <w:rsid w:val="0BF73C91"/>
    <w:rsid w:val="0C05627A"/>
    <w:rsid w:val="0C170175"/>
    <w:rsid w:val="0C256CF4"/>
    <w:rsid w:val="0C4E638E"/>
    <w:rsid w:val="0C564D28"/>
    <w:rsid w:val="0C571A41"/>
    <w:rsid w:val="0C5C1171"/>
    <w:rsid w:val="0C5E1CBC"/>
    <w:rsid w:val="0C615B50"/>
    <w:rsid w:val="0C8445DA"/>
    <w:rsid w:val="0C87121B"/>
    <w:rsid w:val="0CBB790E"/>
    <w:rsid w:val="0CC007F7"/>
    <w:rsid w:val="0CEE6FC9"/>
    <w:rsid w:val="0CFE707A"/>
    <w:rsid w:val="0D063BDA"/>
    <w:rsid w:val="0D08375F"/>
    <w:rsid w:val="0D184CFB"/>
    <w:rsid w:val="0D4A7419"/>
    <w:rsid w:val="0D5F32C5"/>
    <w:rsid w:val="0D6567CD"/>
    <w:rsid w:val="0D827401"/>
    <w:rsid w:val="0D84094E"/>
    <w:rsid w:val="0D8A00E9"/>
    <w:rsid w:val="0D8D589E"/>
    <w:rsid w:val="0DA01C73"/>
    <w:rsid w:val="0DB839AF"/>
    <w:rsid w:val="0DD63300"/>
    <w:rsid w:val="0DF50604"/>
    <w:rsid w:val="0DF702FE"/>
    <w:rsid w:val="0E060E51"/>
    <w:rsid w:val="0E5604B2"/>
    <w:rsid w:val="0E6D5D79"/>
    <w:rsid w:val="0E833DCE"/>
    <w:rsid w:val="0E8E4FDA"/>
    <w:rsid w:val="0E9D0089"/>
    <w:rsid w:val="0EB43F87"/>
    <w:rsid w:val="0EB803EE"/>
    <w:rsid w:val="0EC24678"/>
    <w:rsid w:val="0EF94D4B"/>
    <w:rsid w:val="0F4958DC"/>
    <w:rsid w:val="0F515DF7"/>
    <w:rsid w:val="0F596BA8"/>
    <w:rsid w:val="0F6248D2"/>
    <w:rsid w:val="0F693536"/>
    <w:rsid w:val="0F6A5E9E"/>
    <w:rsid w:val="0F7B0511"/>
    <w:rsid w:val="0F7B5BF2"/>
    <w:rsid w:val="0F7B76D9"/>
    <w:rsid w:val="0F816ACD"/>
    <w:rsid w:val="0F8F10B9"/>
    <w:rsid w:val="0F9832DB"/>
    <w:rsid w:val="0FBF3FD2"/>
    <w:rsid w:val="0FBF7FF3"/>
    <w:rsid w:val="0FCE07C3"/>
    <w:rsid w:val="0FE17A51"/>
    <w:rsid w:val="10646583"/>
    <w:rsid w:val="107D4B15"/>
    <w:rsid w:val="107E65FB"/>
    <w:rsid w:val="108A3C80"/>
    <w:rsid w:val="10AD0C8E"/>
    <w:rsid w:val="10C26171"/>
    <w:rsid w:val="10E737C5"/>
    <w:rsid w:val="10F33360"/>
    <w:rsid w:val="10FC16EA"/>
    <w:rsid w:val="10FD1C16"/>
    <w:rsid w:val="110F1D40"/>
    <w:rsid w:val="11266F33"/>
    <w:rsid w:val="118963A1"/>
    <w:rsid w:val="11C6522A"/>
    <w:rsid w:val="11C82FCD"/>
    <w:rsid w:val="11E104CC"/>
    <w:rsid w:val="11E20309"/>
    <w:rsid w:val="11FC1A38"/>
    <w:rsid w:val="12255233"/>
    <w:rsid w:val="123A187D"/>
    <w:rsid w:val="124F3562"/>
    <w:rsid w:val="12530213"/>
    <w:rsid w:val="127723A9"/>
    <w:rsid w:val="12862074"/>
    <w:rsid w:val="12883966"/>
    <w:rsid w:val="129E45B4"/>
    <w:rsid w:val="12D81596"/>
    <w:rsid w:val="13051255"/>
    <w:rsid w:val="13072A44"/>
    <w:rsid w:val="13160D6D"/>
    <w:rsid w:val="13453400"/>
    <w:rsid w:val="135F4BE2"/>
    <w:rsid w:val="13654549"/>
    <w:rsid w:val="138D2032"/>
    <w:rsid w:val="13937098"/>
    <w:rsid w:val="139B1A0A"/>
    <w:rsid w:val="139D25C7"/>
    <w:rsid w:val="13BF3CE4"/>
    <w:rsid w:val="13E23238"/>
    <w:rsid w:val="13E62E35"/>
    <w:rsid w:val="141008D8"/>
    <w:rsid w:val="14125FE6"/>
    <w:rsid w:val="14486D9E"/>
    <w:rsid w:val="146D271E"/>
    <w:rsid w:val="146D70B2"/>
    <w:rsid w:val="14982588"/>
    <w:rsid w:val="1499509C"/>
    <w:rsid w:val="149A5AD9"/>
    <w:rsid w:val="14A7619D"/>
    <w:rsid w:val="150536C3"/>
    <w:rsid w:val="150C1963"/>
    <w:rsid w:val="150C4852"/>
    <w:rsid w:val="151447A0"/>
    <w:rsid w:val="154A6454"/>
    <w:rsid w:val="15642208"/>
    <w:rsid w:val="156E7876"/>
    <w:rsid w:val="15762120"/>
    <w:rsid w:val="159F30B9"/>
    <w:rsid w:val="15A44835"/>
    <w:rsid w:val="161C2B3E"/>
    <w:rsid w:val="16842491"/>
    <w:rsid w:val="16A8729C"/>
    <w:rsid w:val="16AD3796"/>
    <w:rsid w:val="16B33777"/>
    <w:rsid w:val="16BC70A7"/>
    <w:rsid w:val="16C6339E"/>
    <w:rsid w:val="16E26327"/>
    <w:rsid w:val="16FC296F"/>
    <w:rsid w:val="172F2D79"/>
    <w:rsid w:val="17557BEF"/>
    <w:rsid w:val="177C13BA"/>
    <w:rsid w:val="17A902C1"/>
    <w:rsid w:val="17D349C1"/>
    <w:rsid w:val="1830729E"/>
    <w:rsid w:val="1870062C"/>
    <w:rsid w:val="18817102"/>
    <w:rsid w:val="18830A15"/>
    <w:rsid w:val="18846779"/>
    <w:rsid w:val="18852B28"/>
    <w:rsid w:val="188B5321"/>
    <w:rsid w:val="189B4221"/>
    <w:rsid w:val="191405E4"/>
    <w:rsid w:val="198C17FD"/>
    <w:rsid w:val="19932372"/>
    <w:rsid w:val="19A20DD5"/>
    <w:rsid w:val="19AE03F1"/>
    <w:rsid w:val="1A071A03"/>
    <w:rsid w:val="1A1F16AE"/>
    <w:rsid w:val="1A2D3D92"/>
    <w:rsid w:val="1A3B5C77"/>
    <w:rsid w:val="1A984BAD"/>
    <w:rsid w:val="1AB24A10"/>
    <w:rsid w:val="1AB8220E"/>
    <w:rsid w:val="1AE4166C"/>
    <w:rsid w:val="1AF06CFB"/>
    <w:rsid w:val="1AF11B8D"/>
    <w:rsid w:val="1B11359C"/>
    <w:rsid w:val="1B2A271F"/>
    <w:rsid w:val="1B52698A"/>
    <w:rsid w:val="1B530544"/>
    <w:rsid w:val="1B713184"/>
    <w:rsid w:val="1BA209CF"/>
    <w:rsid w:val="1BB4777D"/>
    <w:rsid w:val="1BD75AB8"/>
    <w:rsid w:val="1BDA03AA"/>
    <w:rsid w:val="1C0459C2"/>
    <w:rsid w:val="1C1B3B4A"/>
    <w:rsid w:val="1C88086E"/>
    <w:rsid w:val="1C9E1F03"/>
    <w:rsid w:val="1D187DD7"/>
    <w:rsid w:val="1D266CE1"/>
    <w:rsid w:val="1D3963AF"/>
    <w:rsid w:val="1D6A673C"/>
    <w:rsid w:val="1D8827D2"/>
    <w:rsid w:val="1D897DAD"/>
    <w:rsid w:val="1D9247AE"/>
    <w:rsid w:val="1DAD49C3"/>
    <w:rsid w:val="1DB567EC"/>
    <w:rsid w:val="1DD97567"/>
    <w:rsid w:val="1DF51A98"/>
    <w:rsid w:val="1E115A42"/>
    <w:rsid w:val="1E236A34"/>
    <w:rsid w:val="1E327D9A"/>
    <w:rsid w:val="1E3D060F"/>
    <w:rsid w:val="1E3F7D2E"/>
    <w:rsid w:val="1E4134E4"/>
    <w:rsid w:val="1E5062B3"/>
    <w:rsid w:val="1E523514"/>
    <w:rsid w:val="1E5F6AC6"/>
    <w:rsid w:val="1E714A66"/>
    <w:rsid w:val="1E802593"/>
    <w:rsid w:val="1EA703CC"/>
    <w:rsid w:val="1EB7330C"/>
    <w:rsid w:val="1F0A0FF3"/>
    <w:rsid w:val="1F5771FF"/>
    <w:rsid w:val="1F5D53A7"/>
    <w:rsid w:val="1F6410B2"/>
    <w:rsid w:val="1F7366B4"/>
    <w:rsid w:val="1F737547"/>
    <w:rsid w:val="1F7C289F"/>
    <w:rsid w:val="1FB742A8"/>
    <w:rsid w:val="1FBD7A85"/>
    <w:rsid w:val="1FE868A9"/>
    <w:rsid w:val="20034907"/>
    <w:rsid w:val="20173E4B"/>
    <w:rsid w:val="201A79C2"/>
    <w:rsid w:val="2036018E"/>
    <w:rsid w:val="204E48BC"/>
    <w:rsid w:val="208921B3"/>
    <w:rsid w:val="20973DEB"/>
    <w:rsid w:val="20B26522"/>
    <w:rsid w:val="20B44310"/>
    <w:rsid w:val="211116EB"/>
    <w:rsid w:val="213F401E"/>
    <w:rsid w:val="216133FC"/>
    <w:rsid w:val="21861B30"/>
    <w:rsid w:val="21D56769"/>
    <w:rsid w:val="21E52EF3"/>
    <w:rsid w:val="21FB5D7B"/>
    <w:rsid w:val="220B1C3D"/>
    <w:rsid w:val="221D1D20"/>
    <w:rsid w:val="22334A87"/>
    <w:rsid w:val="224A0A33"/>
    <w:rsid w:val="228D7859"/>
    <w:rsid w:val="22BC52D5"/>
    <w:rsid w:val="22BE6801"/>
    <w:rsid w:val="233500BF"/>
    <w:rsid w:val="23377FF7"/>
    <w:rsid w:val="236B425F"/>
    <w:rsid w:val="237F3F59"/>
    <w:rsid w:val="23836192"/>
    <w:rsid w:val="238D7327"/>
    <w:rsid w:val="23901F29"/>
    <w:rsid w:val="239C0061"/>
    <w:rsid w:val="23A9130A"/>
    <w:rsid w:val="23B908A4"/>
    <w:rsid w:val="23E95BEF"/>
    <w:rsid w:val="23FD0064"/>
    <w:rsid w:val="241A61E3"/>
    <w:rsid w:val="245375B0"/>
    <w:rsid w:val="24642C0A"/>
    <w:rsid w:val="24B22173"/>
    <w:rsid w:val="24B95AD9"/>
    <w:rsid w:val="24BE24DA"/>
    <w:rsid w:val="24CF5825"/>
    <w:rsid w:val="24D663E6"/>
    <w:rsid w:val="24D77F2B"/>
    <w:rsid w:val="24F627AC"/>
    <w:rsid w:val="25045E68"/>
    <w:rsid w:val="250C42C4"/>
    <w:rsid w:val="251B005E"/>
    <w:rsid w:val="252C2672"/>
    <w:rsid w:val="258B00E2"/>
    <w:rsid w:val="25A917A6"/>
    <w:rsid w:val="25B85CB3"/>
    <w:rsid w:val="25BE27CC"/>
    <w:rsid w:val="25CE6106"/>
    <w:rsid w:val="25EE73E6"/>
    <w:rsid w:val="25F74A5C"/>
    <w:rsid w:val="26013AFE"/>
    <w:rsid w:val="2628662C"/>
    <w:rsid w:val="262D45DE"/>
    <w:rsid w:val="26A302CB"/>
    <w:rsid w:val="26A53EF9"/>
    <w:rsid w:val="26A94201"/>
    <w:rsid w:val="26AC274F"/>
    <w:rsid w:val="26B75F6B"/>
    <w:rsid w:val="26C16DEA"/>
    <w:rsid w:val="27044A29"/>
    <w:rsid w:val="271D34C8"/>
    <w:rsid w:val="276142BF"/>
    <w:rsid w:val="27673E35"/>
    <w:rsid w:val="27783712"/>
    <w:rsid w:val="27907362"/>
    <w:rsid w:val="281F64BE"/>
    <w:rsid w:val="28333E1D"/>
    <w:rsid w:val="28454BD6"/>
    <w:rsid w:val="28455253"/>
    <w:rsid w:val="28551971"/>
    <w:rsid w:val="285B1C53"/>
    <w:rsid w:val="286202C5"/>
    <w:rsid w:val="28732366"/>
    <w:rsid w:val="28773424"/>
    <w:rsid w:val="289F7086"/>
    <w:rsid w:val="28AD57A0"/>
    <w:rsid w:val="28C32028"/>
    <w:rsid w:val="28CC490F"/>
    <w:rsid w:val="28D70B46"/>
    <w:rsid w:val="28DE40AA"/>
    <w:rsid w:val="28E072BE"/>
    <w:rsid w:val="28FD1ED9"/>
    <w:rsid w:val="29107DD5"/>
    <w:rsid w:val="292F1638"/>
    <w:rsid w:val="29345E77"/>
    <w:rsid w:val="294678D6"/>
    <w:rsid w:val="294C65AD"/>
    <w:rsid w:val="29806583"/>
    <w:rsid w:val="298B3C4C"/>
    <w:rsid w:val="29921F93"/>
    <w:rsid w:val="29AE18A7"/>
    <w:rsid w:val="29CC3C78"/>
    <w:rsid w:val="29F26D24"/>
    <w:rsid w:val="2A0616E3"/>
    <w:rsid w:val="2A0D18E3"/>
    <w:rsid w:val="2A1013AF"/>
    <w:rsid w:val="2A15033F"/>
    <w:rsid w:val="2A1662C1"/>
    <w:rsid w:val="2A1C7367"/>
    <w:rsid w:val="2A2815FA"/>
    <w:rsid w:val="2A6D6092"/>
    <w:rsid w:val="2A7D76B4"/>
    <w:rsid w:val="2AD245FB"/>
    <w:rsid w:val="2B0379D1"/>
    <w:rsid w:val="2B09744D"/>
    <w:rsid w:val="2B1319EB"/>
    <w:rsid w:val="2B437463"/>
    <w:rsid w:val="2B7807EE"/>
    <w:rsid w:val="2B9A7A83"/>
    <w:rsid w:val="2BBF00EC"/>
    <w:rsid w:val="2BC37CFD"/>
    <w:rsid w:val="2BD5237F"/>
    <w:rsid w:val="2BE536CE"/>
    <w:rsid w:val="2BE758D9"/>
    <w:rsid w:val="2C09049E"/>
    <w:rsid w:val="2C0A653C"/>
    <w:rsid w:val="2C191F85"/>
    <w:rsid w:val="2C23371E"/>
    <w:rsid w:val="2C5914D7"/>
    <w:rsid w:val="2CA3146B"/>
    <w:rsid w:val="2CB35767"/>
    <w:rsid w:val="2CE82D6F"/>
    <w:rsid w:val="2CF717B7"/>
    <w:rsid w:val="2D0C16C0"/>
    <w:rsid w:val="2D343236"/>
    <w:rsid w:val="2D5206DD"/>
    <w:rsid w:val="2DD15014"/>
    <w:rsid w:val="2DD243F2"/>
    <w:rsid w:val="2DF72DE4"/>
    <w:rsid w:val="2E0220AF"/>
    <w:rsid w:val="2E084008"/>
    <w:rsid w:val="2E400F3C"/>
    <w:rsid w:val="2E4B082A"/>
    <w:rsid w:val="2E563045"/>
    <w:rsid w:val="2E5D4E86"/>
    <w:rsid w:val="2E5D790B"/>
    <w:rsid w:val="2E72589A"/>
    <w:rsid w:val="2E9A3C18"/>
    <w:rsid w:val="2EBB0FEE"/>
    <w:rsid w:val="2EC63002"/>
    <w:rsid w:val="2EDC2A13"/>
    <w:rsid w:val="2EDE5874"/>
    <w:rsid w:val="2F0A6B38"/>
    <w:rsid w:val="2F19009D"/>
    <w:rsid w:val="2F946CCB"/>
    <w:rsid w:val="2FAB7B24"/>
    <w:rsid w:val="2FD25781"/>
    <w:rsid w:val="2FDA0DD2"/>
    <w:rsid w:val="2FFD7934"/>
    <w:rsid w:val="30162485"/>
    <w:rsid w:val="30676A96"/>
    <w:rsid w:val="30733ACD"/>
    <w:rsid w:val="308C3862"/>
    <w:rsid w:val="309379D8"/>
    <w:rsid w:val="30A270F7"/>
    <w:rsid w:val="30A532F0"/>
    <w:rsid w:val="30B87437"/>
    <w:rsid w:val="30DC319E"/>
    <w:rsid w:val="30DF1478"/>
    <w:rsid w:val="30EC586F"/>
    <w:rsid w:val="319C6071"/>
    <w:rsid w:val="31AC537E"/>
    <w:rsid w:val="31AD512E"/>
    <w:rsid w:val="31E3679B"/>
    <w:rsid w:val="31E71DFA"/>
    <w:rsid w:val="31E732FD"/>
    <w:rsid w:val="323D1A1A"/>
    <w:rsid w:val="32517576"/>
    <w:rsid w:val="32A52C3E"/>
    <w:rsid w:val="32BE5C2C"/>
    <w:rsid w:val="32FB6478"/>
    <w:rsid w:val="33044C2E"/>
    <w:rsid w:val="33240DDC"/>
    <w:rsid w:val="33263B3F"/>
    <w:rsid w:val="332E1CAB"/>
    <w:rsid w:val="336963EB"/>
    <w:rsid w:val="336A76D7"/>
    <w:rsid w:val="337C49BF"/>
    <w:rsid w:val="33816EEB"/>
    <w:rsid w:val="33E906D6"/>
    <w:rsid w:val="33EB55CD"/>
    <w:rsid w:val="33EC4C02"/>
    <w:rsid w:val="340D2360"/>
    <w:rsid w:val="3410665D"/>
    <w:rsid w:val="34211214"/>
    <w:rsid w:val="342E63AB"/>
    <w:rsid w:val="34950E68"/>
    <w:rsid w:val="34986E94"/>
    <w:rsid w:val="34AF62C9"/>
    <w:rsid w:val="34B32468"/>
    <w:rsid w:val="34B47F8E"/>
    <w:rsid w:val="34CB4388"/>
    <w:rsid w:val="34F6113C"/>
    <w:rsid w:val="34FA6E12"/>
    <w:rsid w:val="351D1192"/>
    <w:rsid w:val="352900CE"/>
    <w:rsid w:val="35436462"/>
    <w:rsid w:val="358D5588"/>
    <w:rsid w:val="361A6B19"/>
    <w:rsid w:val="363A3B40"/>
    <w:rsid w:val="365302AE"/>
    <w:rsid w:val="36607A0A"/>
    <w:rsid w:val="366E227C"/>
    <w:rsid w:val="366F2E0D"/>
    <w:rsid w:val="367B6A5C"/>
    <w:rsid w:val="369B1405"/>
    <w:rsid w:val="36A74ADA"/>
    <w:rsid w:val="36AD60D5"/>
    <w:rsid w:val="36B224F9"/>
    <w:rsid w:val="36C81608"/>
    <w:rsid w:val="36EC0CC9"/>
    <w:rsid w:val="37391204"/>
    <w:rsid w:val="373F410B"/>
    <w:rsid w:val="37BA3B0D"/>
    <w:rsid w:val="37EE7094"/>
    <w:rsid w:val="380F615C"/>
    <w:rsid w:val="38296C89"/>
    <w:rsid w:val="383002EB"/>
    <w:rsid w:val="384325F6"/>
    <w:rsid w:val="38586797"/>
    <w:rsid w:val="38BC0149"/>
    <w:rsid w:val="38CA0DD2"/>
    <w:rsid w:val="38D137B3"/>
    <w:rsid w:val="38D66725"/>
    <w:rsid w:val="38D87D1C"/>
    <w:rsid w:val="39010B76"/>
    <w:rsid w:val="39636459"/>
    <w:rsid w:val="396B7F6C"/>
    <w:rsid w:val="39A24443"/>
    <w:rsid w:val="39B417A9"/>
    <w:rsid w:val="39FC5695"/>
    <w:rsid w:val="3A006D8E"/>
    <w:rsid w:val="3A3651E5"/>
    <w:rsid w:val="3A744481"/>
    <w:rsid w:val="3A8276A2"/>
    <w:rsid w:val="3A8C7BEF"/>
    <w:rsid w:val="3A906246"/>
    <w:rsid w:val="3A914FF9"/>
    <w:rsid w:val="3AAE729E"/>
    <w:rsid w:val="3B1D688D"/>
    <w:rsid w:val="3B2349B7"/>
    <w:rsid w:val="3B26746A"/>
    <w:rsid w:val="3B5970BB"/>
    <w:rsid w:val="3B616CFF"/>
    <w:rsid w:val="3B6259F6"/>
    <w:rsid w:val="3B976654"/>
    <w:rsid w:val="3B9D79CE"/>
    <w:rsid w:val="3BB84807"/>
    <w:rsid w:val="3BC01EFC"/>
    <w:rsid w:val="3BCA786A"/>
    <w:rsid w:val="3BD31E2F"/>
    <w:rsid w:val="3BE51EA4"/>
    <w:rsid w:val="3BF15831"/>
    <w:rsid w:val="3C105946"/>
    <w:rsid w:val="3C2B6D87"/>
    <w:rsid w:val="3C4446EB"/>
    <w:rsid w:val="3C471448"/>
    <w:rsid w:val="3C4E2A76"/>
    <w:rsid w:val="3C5F759A"/>
    <w:rsid w:val="3C6C525A"/>
    <w:rsid w:val="3C916085"/>
    <w:rsid w:val="3CCE23CB"/>
    <w:rsid w:val="3CD17D17"/>
    <w:rsid w:val="3D3C7F39"/>
    <w:rsid w:val="3D440F09"/>
    <w:rsid w:val="3D4504A0"/>
    <w:rsid w:val="3D8734BB"/>
    <w:rsid w:val="3D9A11D4"/>
    <w:rsid w:val="3DA16D89"/>
    <w:rsid w:val="3DA364BE"/>
    <w:rsid w:val="3DE041CB"/>
    <w:rsid w:val="3E073D88"/>
    <w:rsid w:val="3E0D48F6"/>
    <w:rsid w:val="3E1868B4"/>
    <w:rsid w:val="3E377251"/>
    <w:rsid w:val="3E42524E"/>
    <w:rsid w:val="3E42664B"/>
    <w:rsid w:val="3E5A7334"/>
    <w:rsid w:val="3E7164C2"/>
    <w:rsid w:val="3E733748"/>
    <w:rsid w:val="3E7B5D6B"/>
    <w:rsid w:val="3E843E66"/>
    <w:rsid w:val="3E8F51FE"/>
    <w:rsid w:val="3E926F87"/>
    <w:rsid w:val="3E9A59DE"/>
    <w:rsid w:val="3EA55E65"/>
    <w:rsid w:val="3EAF4836"/>
    <w:rsid w:val="3EC315C2"/>
    <w:rsid w:val="3EC33DFA"/>
    <w:rsid w:val="3EE23E80"/>
    <w:rsid w:val="3F060E16"/>
    <w:rsid w:val="3F1D1096"/>
    <w:rsid w:val="3F2F0234"/>
    <w:rsid w:val="3F5605BF"/>
    <w:rsid w:val="3F6363FE"/>
    <w:rsid w:val="3F756B8F"/>
    <w:rsid w:val="3F760C61"/>
    <w:rsid w:val="3F95482B"/>
    <w:rsid w:val="3FFD5A8F"/>
    <w:rsid w:val="4019356B"/>
    <w:rsid w:val="402B2AEA"/>
    <w:rsid w:val="40416B7A"/>
    <w:rsid w:val="40592157"/>
    <w:rsid w:val="406E1CAE"/>
    <w:rsid w:val="40744A73"/>
    <w:rsid w:val="40A0133A"/>
    <w:rsid w:val="40C31A53"/>
    <w:rsid w:val="40FF545D"/>
    <w:rsid w:val="410067C8"/>
    <w:rsid w:val="411C3143"/>
    <w:rsid w:val="418F0D2A"/>
    <w:rsid w:val="41B26B42"/>
    <w:rsid w:val="41D01505"/>
    <w:rsid w:val="42474939"/>
    <w:rsid w:val="424C3C57"/>
    <w:rsid w:val="424E557E"/>
    <w:rsid w:val="42572A64"/>
    <w:rsid w:val="42613FF3"/>
    <w:rsid w:val="42660D96"/>
    <w:rsid w:val="428667D2"/>
    <w:rsid w:val="42992A03"/>
    <w:rsid w:val="42CD1CE0"/>
    <w:rsid w:val="42E1381E"/>
    <w:rsid w:val="42ED6459"/>
    <w:rsid w:val="42FE58DD"/>
    <w:rsid w:val="43174B3D"/>
    <w:rsid w:val="431A1285"/>
    <w:rsid w:val="434B790E"/>
    <w:rsid w:val="4360274F"/>
    <w:rsid w:val="437F0A2E"/>
    <w:rsid w:val="43977AB6"/>
    <w:rsid w:val="43985CFB"/>
    <w:rsid w:val="43A3342B"/>
    <w:rsid w:val="43C77C27"/>
    <w:rsid w:val="43DE09EE"/>
    <w:rsid w:val="44002FAD"/>
    <w:rsid w:val="443133A9"/>
    <w:rsid w:val="44551A7C"/>
    <w:rsid w:val="449101DD"/>
    <w:rsid w:val="44DE1391"/>
    <w:rsid w:val="4508235C"/>
    <w:rsid w:val="451B225C"/>
    <w:rsid w:val="452410C9"/>
    <w:rsid w:val="45317DFB"/>
    <w:rsid w:val="454861CF"/>
    <w:rsid w:val="456D3CE4"/>
    <w:rsid w:val="4579042C"/>
    <w:rsid w:val="457F0571"/>
    <w:rsid w:val="45851176"/>
    <w:rsid w:val="458E0916"/>
    <w:rsid w:val="45AD4CB1"/>
    <w:rsid w:val="45B9620E"/>
    <w:rsid w:val="45C63B94"/>
    <w:rsid w:val="45C7404C"/>
    <w:rsid w:val="45CA48D1"/>
    <w:rsid w:val="460E7DA5"/>
    <w:rsid w:val="4631143E"/>
    <w:rsid w:val="46422483"/>
    <w:rsid w:val="4659254A"/>
    <w:rsid w:val="465B0637"/>
    <w:rsid w:val="465E3F0D"/>
    <w:rsid w:val="466A16E6"/>
    <w:rsid w:val="46765A58"/>
    <w:rsid w:val="46893F2B"/>
    <w:rsid w:val="46C4686E"/>
    <w:rsid w:val="46D346D9"/>
    <w:rsid w:val="46DA5748"/>
    <w:rsid w:val="46EE37D3"/>
    <w:rsid w:val="47217705"/>
    <w:rsid w:val="477B778F"/>
    <w:rsid w:val="478203EC"/>
    <w:rsid w:val="47B025FA"/>
    <w:rsid w:val="4809698F"/>
    <w:rsid w:val="4811697D"/>
    <w:rsid w:val="487A3E25"/>
    <w:rsid w:val="488B5503"/>
    <w:rsid w:val="48937E21"/>
    <w:rsid w:val="489A0361"/>
    <w:rsid w:val="48B94FF3"/>
    <w:rsid w:val="48E37AAB"/>
    <w:rsid w:val="48EB6FAB"/>
    <w:rsid w:val="48FD4B4C"/>
    <w:rsid w:val="490A68E0"/>
    <w:rsid w:val="490C54C1"/>
    <w:rsid w:val="491055FE"/>
    <w:rsid w:val="49172BC0"/>
    <w:rsid w:val="49441489"/>
    <w:rsid w:val="494B3BEF"/>
    <w:rsid w:val="495F5B3E"/>
    <w:rsid w:val="496F77D7"/>
    <w:rsid w:val="497654FD"/>
    <w:rsid w:val="497833F8"/>
    <w:rsid w:val="498E1E42"/>
    <w:rsid w:val="49B64211"/>
    <w:rsid w:val="49DE6D6A"/>
    <w:rsid w:val="49E43AED"/>
    <w:rsid w:val="49F6167F"/>
    <w:rsid w:val="4A064FA0"/>
    <w:rsid w:val="4A16615C"/>
    <w:rsid w:val="4A28083C"/>
    <w:rsid w:val="4A282B58"/>
    <w:rsid w:val="4A4424D7"/>
    <w:rsid w:val="4A452501"/>
    <w:rsid w:val="4AB04931"/>
    <w:rsid w:val="4AB82D0F"/>
    <w:rsid w:val="4AD7474E"/>
    <w:rsid w:val="4AEB7664"/>
    <w:rsid w:val="4AFD7C19"/>
    <w:rsid w:val="4B0567D1"/>
    <w:rsid w:val="4B236AAE"/>
    <w:rsid w:val="4B707271"/>
    <w:rsid w:val="4B9739F7"/>
    <w:rsid w:val="4BBD23EA"/>
    <w:rsid w:val="4BD36C05"/>
    <w:rsid w:val="4BEE2503"/>
    <w:rsid w:val="4C026D5C"/>
    <w:rsid w:val="4C245A30"/>
    <w:rsid w:val="4CB6685F"/>
    <w:rsid w:val="4CC367FE"/>
    <w:rsid w:val="4CCC665A"/>
    <w:rsid w:val="4D077F3C"/>
    <w:rsid w:val="4D123355"/>
    <w:rsid w:val="4D2A3B31"/>
    <w:rsid w:val="4D312C52"/>
    <w:rsid w:val="4D4E4631"/>
    <w:rsid w:val="4D5C312F"/>
    <w:rsid w:val="4D905305"/>
    <w:rsid w:val="4D964A72"/>
    <w:rsid w:val="4D9C1254"/>
    <w:rsid w:val="4E0C4A37"/>
    <w:rsid w:val="4E793892"/>
    <w:rsid w:val="4E800872"/>
    <w:rsid w:val="4E8762E2"/>
    <w:rsid w:val="4E8E24B6"/>
    <w:rsid w:val="4EB15423"/>
    <w:rsid w:val="4EC569ED"/>
    <w:rsid w:val="4ED50EA1"/>
    <w:rsid w:val="4EEC050C"/>
    <w:rsid w:val="4F104EC3"/>
    <w:rsid w:val="4F47354A"/>
    <w:rsid w:val="4F513819"/>
    <w:rsid w:val="4F911C54"/>
    <w:rsid w:val="4FB66A52"/>
    <w:rsid w:val="4FE625E0"/>
    <w:rsid w:val="501B5B2E"/>
    <w:rsid w:val="5021480F"/>
    <w:rsid w:val="50361684"/>
    <w:rsid w:val="503B497D"/>
    <w:rsid w:val="50454464"/>
    <w:rsid w:val="50962ECB"/>
    <w:rsid w:val="50A42E38"/>
    <w:rsid w:val="50A4577F"/>
    <w:rsid w:val="50B73D1F"/>
    <w:rsid w:val="50BD5BC9"/>
    <w:rsid w:val="50C11EEE"/>
    <w:rsid w:val="50DF65AF"/>
    <w:rsid w:val="50E97CFC"/>
    <w:rsid w:val="50FA4028"/>
    <w:rsid w:val="510D65B7"/>
    <w:rsid w:val="511157AB"/>
    <w:rsid w:val="5142540C"/>
    <w:rsid w:val="518832C8"/>
    <w:rsid w:val="51A0432A"/>
    <w:rsid w:val="51A86090"/>
    <w:rsid w:val="51B7396D"/>
    <w:rsid w:val="51DF4444"/>
    <w:rsid w:val="521749D5"/>
    <w:rsid w:val="522400A9"/>
    <w:rsid w:val="522E4CC3"/>
    <w:rsid w:val="5244713B"/>
    <w:rsid w:val="525F5585"/>
    <w:rsid w:val="52615633"/>
    <w:rsid w:val="52665F1D"/>
    <w:rsid w:val="52977FD4"/>
    <w:rsid w:val="52A25790"/>
    <w:rsid w:val="52A96B6F"/>
    <w:rsid w:val="52B45975"/>
    <w:rsid w:val="52D4387D"/>
    <w:rsid w:val="52D94AA4"/>
    <w:rsid w:val="52EA3A62"/>
    <w:rsid w:val="52F50BB8"/>
    <w:rsid w:val="53097272"/>
    <w:rsid w:val="53544462"/>
    <w:rsid w:val="53644CE5"/>
    <w:rsid w:val="5397158E"/>
    <w:rsid w:val="53A1051E"/>
    <w:rsid w:val="53EB5087"/>
    <w:rsid w:val="53F32429"/>
    <w:rsid w:val="54013861"/>
    <w:rsid w:val="541B1080"/>
    <w:rsid w:val="542B571F"/>
    <w:rsid w:val="543D78E1"/>
    <w:rsid w:val="54487265"/>
    <w:rsid w:val="544D6070"/>
    <w:rsid w:val="54605E1E"/>
    <w:rsid w:val="546D5D37"/>
    <w:rsid w:val="54A3167A"/>
    <w:rsid w:val="54B206E9"/>
    <w:rsid w:val="54B223ED"/>
    <w:rsid w:val="54B3506A"/>
    <w:rsid w:val="54CA0D16"/>
    <w:rsid w:val="54DD4057"/>
    <w:rsid w:val="54E7490F"/>
    <w:rsid w:val="550764A4"/>
    <w:rsid w:val="550B2BF6"/>
    <w:rsid w:val="551B6D1C"/>
    <w:rsid w:val="55214EB5"/>
    <w:rsid w:val="55364EFD"/>
    <w:rsid w:val="555D4828"/>
    <w:rsid w:val="557A4C8B"/>
    <w:rsid w:val="558931E1"/>
    <w:rsid w:val="55923347"/>
    <w:rsid w:val="55925180"/>
    <w:rsid w:val="55983B1B"/>
    <w:rsid w:val="559C3D0E"/>
    <w:rsid w:val="55A8376B"/>
    <w:rsid w:val="55DC29B6"/>
    <w:rsid w:val="55DD4241"/>
    <w:rsid w:val="55F912CB"/>
    <w:rsid w:val="56423125"/>
    <w:rsid w:val="56612415"/>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13D6"/>
    <w:rsid w:val="585B059D"/>
    <w:rsid w:val="58917D2F"/>
    <w:rsid w:val="58930BE9"/>
    <w:rsid w:val="5894085C"/>
    <w:rsid w:val="58AE4F0C"/>
    <w:rsid w:val="58B85899"/>
    <w:rsid w:val="58CE33E8"/>
    <w:rsid w:val="58D40C71"/>
    <w:rsid w:val="58E363A9"/>
    <w:rsid w:val="59114ACE"/>
    <w:rsid w:val="59472CCC"/>
    <w:rsid w:val="595E1678"/>
    <w:rsid w:val="596D5BD4"/>
    <w:rsid w:val="597E3DD8"/>
    <w:rsid w:val="59D979CB"/>
    <w:rsid w:val="59F80043"/>
    <w:rsid w:val="5A09252F"/>
    <w:rsid w:val="5A0B2778"/>
    <w:rsid w:val="5A2A7C7B"/>
    <w:rsid w:val="5A3E2560"/>
    <w:rsid w:val="5A40671A"/>
    <w:rsid w:val="5A5D3B6E"/>
    <w:rsid w:val="5A637A76"/>
    <w:rsid w:val="5A6D33BA"/>
    <w:rsid w:val="5A792B1F"/>
    <w:rsid w:val="5A874767"/>
    <w:rsid w:val="5AAD6F28"/>
    <w:rsid w:val="5AD63A24"/>
    <w:rsid w:val="5B1870EA"/>
    <w:rsid w:val="5B1F2A03"/>
    <w:rsid w:val="5B2A49B5"/>
    <w:rsid w:val="5B2E1A1D"/>
    <w:rsid w:val="5B3E6680"/>
    <w:rsid w:val="5B7A1F69"/>
    <w:rsid w:val="5B843A1C"/>
    <w:rsid w:val="5B873E3F"/>
    <w:rsid w:val="5B8F4229"/>
    <w:rsid w:val="5C02690E"/>
    <w:rsid w:val="5C196DA7"/>
    <w:rsid w:val="5C2A048C"/>
    <w:rsid w:val="5C2E21D2"/>
    <w:rsid w:val="5C80234E"/>
    <w:rsid w:val="5C8A680C"/>
    <w:rsid w:val="5C9D73D6"/>
    <w:rsid w:val="5CEF1F4C"/>
    <w:rsid w:val="5D045AC9"/>
    <w:rsid w:val="5D0C4701"/>
    <w:rsid w:val="5D0F0395"/>
    <w:rsid w:val="5D221076"/>
    <w:rsid w:val="5D2D315D"/>
    <w:rsid w:val="5D397964"/>
    <w:rsid w:val="5D5A391C"/>
    <w:rsid w:val="5D5F10C0"/>
    <w:rsid w:val="5D6C60D7"/>
    <w:rsid w:val="5D891B7B"/>
    <w:rsid w:val="5DAD38EE"/>
    <w:rsid w:val="5DCE44A4"/>
    <w:rsid w:val="5DD62B9F"/>
    <w:rsid w:val="5DF70D68"/>
    <w:rsid w:val="5E006862"/>
    <w:rsid w:val="5E0207B9"/>
    <w:rsid w:val="5E1834A1"/>
    <w:rsid w:val="5E261785"/>
    <w:rsid w:val="5E4A7017"/>
    <w:rsid w:val="5E552BBA"/>
    <w:rsid w:val="5E611C10"/>
    <w:rsid w:val="5EB27265"/>
    <w:rsid w:val="5EB32CB5"/>
    <w:rsid w:val="5EDA11ED"/>
    <w:rsid w:val="5EDA2C27"/>
    <w:rsid w:val="5EFC7377"/>
    <w:rsid w:val="5F06174D"/>
    <w:rsid w:val="5F232286"/>
    <w:rsid w:val="5F3A3602"/>
    <w:rsid w:val="5F4955F3"/>
    <w:rsid w:val="5F6277C6"/>
    <w:rsid w:val="5F6D0B1D"/>
    <w:rsid w:val="5F8D0B82"/>
    <w:rsid w:val="5F8E1D58"/>
    <w:rsid w:val="5FBB632F"/>
    <w:rsid w:val="5FCC5339"/>
    <w:rsid w:val="5FE34A5B"/>
    <w:rsid w:val="5FFE1E36"/>
    <w:rsid w:val="60232584"/>
    <w:rsid w:val="606F72DB"/>
    <w:rsid w:val="607330CE"/>
    <w:rsid w:val="60825176"/>
    <w:rsid w:val="609F2AC4"/>
    <w:rsid w:val="60FA2EE8"/>
    <w:rsid w:val="61054A27"/>
    <w:rsid w:val="610A52BC"/>
    <w:rsid w:val="611D2366"/>
    <w:rsid w:val="61421856"/>
    <w:rsid w:val="615227C4"/>
    <w:rsid w:val="61654E3F"/>
    <w:rsid w:val="6182292A"/>
    <w:rsid w:val="619F7F92"/>
    <w:rsid w:val="61F112F4"/>
    <w:rsid w:val="61F94C26"/>
    <w:rsid w:val="62000E56"/>
    <w:rsid w:val="624F3E49"/>
    <w:rsid w:val="62632286"/>
    <w:rsid w:val="62884753"/>
    <w:rsid w:val="62885958"/>
    <w:rsid w:val="62B817F4"/>
    <w:rsid w:val="62CD3B87"/>
    <w:rsid w:val="62DF51BC"/>
    <w:rsid w:val="62F40B65"/>
    <w:rsid w:val="62FC2CFE"/>
    <w:rsid w:val="63024505"/>
    <w:rsid w:val="630930CF"/>
    <w:rsid w:val="635B1DB5"/>
    <w:rsid w:val="63677498"/>
    <w:rsid w:val="63711FED"/>
    <w:rsid w:val="63880DDC"/>
    <w:rsid w:val="638D750D"/>
    <w:rsid w:val="63AB297E"/>
    <w:rsid w:val="63AC6CC0"/>
    <w:rsid w:val="63CB64EF"/>
    <w:rsid w:val="64055776"/>
    <w:rsid w:val="64067FCA"/>
    <w:rsid w:val="6416019A"/>
    <w:rsid w:val="64240056"/>
    <w:rsid w:val="643E143A"/>
    <w:rsid w:val="648B6EEF"/>
    <w:rsid w:val="64BC7C95"/>
    <w:rsid w:val="64C158BF"/>
    <w:rsid w:val="64CE2EAA"/>
    <w:rsid w:val="64DE058B"/>
    <w:rsid w:val="64E0706E"/>
    <w:rsid w:val="65355AB5"/>
    <w:rsid w:val="653C3090"/>
    <w:rsid w:val="65854376"/>
    <w:rsid w:val="658767BE"/>
    <w:rsid w:val="65892531"/>
    <w:rsid w:val="65D91E76"/>
    <w:rsid w:val="65FC516D"/>
    <w:rsid w:val="66195831"/>
    <w:rsid w:val="662E75B1"/>
    <w:rsid w:val="66342C2E"/>
    <w:rsid w:val="663E784C"/>
    <w:rsid w:val="6679056C"/>
    <w:rsid w:val="667A72A3"/>
    <w:rsid w:val="668B6A45"/>
    <w:rsid w:val="671E27B9"/>
    <w:rsid w:val="672F3F24"/>
    <w:rsid w:val="673C01F4"/>
    <w:rsid w:val="673E055F"/>
    <w:rsid w:val="67551CE3"/>
    <w:rsid w:val="676C1E7F"/>
    <w:rsid w:val="67A22552"/>
    <w:rsid w:val="67AE429D"/>
    <w:rsid w:val="67B22DCC"/>
    <w:rsid w:val="67BE71AA"/>
    <w:rsid w:val="67D90273"/>
    <w:rsid w:val="67DB3CDF"/>
    <w:rsid w:val="67DE5875"/>
    <w:rsid w:val="67E55852"/>
    <w:rsid w:val="67EB1AB4"/>
    <w:rsid w:val="67F74630"/>
    <w:rsid w:val="67FA1285"/>
    <w:rsid w:val="680543FA"/>
    <w:rsid w:val="684F698E"/>
    <w:rsid w:val="68551F4F"/>
    <w:rsid w:val="687C10C9"/>
    <w:rsid w:val="68840C16"/>
    <w:rsid w:val="68876EFB"/>
    <w:rsid w:val="68884654"/>
    <w:rsid w:val="68995D8A"/>
    <w:rsid w:val="689F444F"/>
    <w:rsid w:val="68A613C0"/>
    <w:rsid w:val="68B96DBB"/>
    <w:rsid w:val="68BB03A8"/>
    <w:rsid w:val="68CA2805"/>
    <w:rsid w:val="68D038AA"/>
    <w:rsid w:val="68DC4456"/>
    <w:rsid w:val="68DF5223"/>
    <w:rsid w:val="68E937A3"/>
    <w:rsid w:val="691A1704"/>
    <w:rsid w:val="693E15D3"/>
    <w:rsid w:val="69627681"/>
    <w:rsid w:val="6977531D"/>
    <w:rsid w:val="69A00505"/>
    <w:rsid w:val="69B43982"/>
    <w:rsid w:val="69CC2BFF"/>
    <w:rsid w:val="69FD55B8"/>
    <w:rsid w:val="6A053D63"/>
    <w:rsid w:val="6A0B1C62"/>
    <w:rsid w:val="6A2406C8"/>
    <w:rsid w:val="6A5A773F"/>
    <w:rsid w:val="6AB24464"/>
    <w:rsid w:val="6AB27AB2"/>
    <w:rsid w:val="6AC00E5F"/>
    <w:rsid w:val="6ADE0BD1"/>
    <w:rsid w:val="6AE96859"/>
    <w:rsid w:val="6B147746"/>
    <w:rsid w:val="6B1807CA"/>
    <w:rsid w:val="6B244F7D"/>
    <w:rsid w:val="6B24787C"/>
    <w:rsid w:val="6B483F96"/>
    <w:rsid w:val="6B573233"/>
    <w:rsid w:val="6B5B6274"/>
    <w:rsid w:val="6B935D53"/>
    <w:rsid w:val="6BE25086"/>
    <w:rsid w:val="6BF45325"/>
    <w:rsid w:val="6BFB0768"/>
    <w:rsid w:val="6C196F71"/>
    <w:rsid w:val="6C226FCB"/>
    <w:rsid w:val="6C31226F"/>
    <w:rsid w:val="6C47110C"/>
    <w:rsid w:val="6C552F0B"/>
    <w:rsid w:val="6C8C67B7"/>
    <w:rsid w:val="6C9D744C"/>
    <w:rsid w:val="6CC45422"/>
    <w:rsid w:val="6CFB72C8"/>
    <w:rsid w:val="6D167928"/>
    <w:rsid w:val="6D26299B"/>
    <w:rsid w:val="6D342E3D"/>
    <w:rsid w:val="6D4772EC"/>
    <w:rsid w:val="6D9078AF"/>
    <w:rsid w:val="6DAA3FEF"/>
    <w:rsid w:val="6DC0172B"/>
    <w:rsid w:val="6DCB690C"/>
    <w:rsid w:val="6DD41A5B"/>
    <w:rsid w:val="6DF43C2E"/>
    <w:rsid w:val="6DF51CA3"/>
    <w:rsid w:val="6E803C4F"/>
    <w:rsid w:val="6E8335BD"/>
    <w:rsid w:val="6E894304"/>
    <w:rsid w:val="6E8E12EF"/>
    <w:rsid w:val="6E972936"/>
    <w:rsid w:val="6E992CCB"/>
    <w:rsid w:val="6EA445F4"/>
    <w:rsid w:val="6ED446C5"/>
    <w:rsid w:val="6ED924EF"/>
    <w:rsid w:val="6F2A7D94"/>
    <w:rsid w:val="6F8331F1"/>
    <w:rsid w:val="6F9E77E1"/>
    <w:rsid w:val="6FAE1A09"/>
    <w:rsid w:val="6FD75BF8"/>
    <w:rsid w:val="6FDB4577"/>
    <w:rsid w:val="6FFE7D34"/>
    <w:rsid w:val="701D465E"/>
    <w:rsid w:val="70294DB1"/>
    <w:rsid w:val="70724FB3"/>
    <w:rsid w:val="707723D0"/>
    <w:rsid w:val="70F5661B"/>
    <w:rsid w:val="71275AD1"/>
    <w:rsid w:val="712A401F"/>
    <w:rsid w:val="71360107"/>
    <w:rsid w:val="713B688E"/>
    <w:rsid w:val="71902C0D"/>
    <w:rsid w:val="71D43752"/>
    <w:rsid w:val="71E01A59"/>
    <w:rsid w:val="71EC253A"/>
    <w:rsid w:val="71F1796A"/>
    <w:rsid w:val="71F27B09"/>
    <w:rsid w:val="72154626"/>
    <w:rsid w:val="72262B5D"/>
    <w:rsid w:val="72283FF7"/>
    <w:rsid w:val="722E7212"/>
    <w:rsid w:val="723A0474"/>
    <w:rsid w:val="725923E4"/>
    <w:rsid w:val="727C2D7D"/>
    <w:rsid w:val="72864BF7"/>
    <w:rsid w:val="72874010"/>
    <w:rsid w:val="729023FC"/>
    <w:rsid w:val="730D7F28"/>
    <w:rsid w:val="734474B4"/>
    <w:rsid w:val="73635814"/>
    <w:rsid w:val="7386076C"/>
    <w:rsid w:val="73C0646E"/>
    <w:rsid w:val="73DB2866"/>
    <w:rsid w:val="742222F5"/>
    <w:rsid w:val="74476126"/>
    <w:rsid w:val="744A79EB"/>
    <w:rsid w:val="746A246A"/>
    <w:rsid w:val="74706664"/>
    <w:rsid w:val="74714F78"/>
    <w:rsid w:val="747F3682"/>
    <w:rsid w:val="749C4185"/>
    <w:rsid w:val="749F099D"/>
    <w:rsid w:val="74AF1D62"/>
    <w:rsid w:val="74B45C1A"/>
    <w:rsid w:val="75067759"/>
    <w:rsid w:val="752E6DCD"/>
    <w:rsid w:val="7551380D"/>
    <w:rsid w:val="75600BE5"/>
    <w:rsid w:val="7564475C"/>
    <w:rsid w:val="7583797F"/>
    <w:rsid w:val="75917318"/>
    <w:rsid w:val="75CE0AEC"/>
    <w:rsid w:val="75D20F1D"/>
    <w:rsid w:val="75DA2C18"/>
    <w:rsid w:val="75F54412"/>
    <w:rsid w:val="761D08E0"/>
    <w:rsid w:val="763D3EDE"/>
    <w:rsid w:val="764F3097"/>
    <w:rsid w:val="765D347C"/>
    <w:rsid w:val="76826699"/>
    <w:rsid w:val="76854D6F"/>
    <w:rsid w:val="7686317B"/>
    <w:rsid w:val="76B455F0"/>
    <w:rsid w:val="76B613BB"/>
    <w:rsid w:val="76C87133"/>
    <w:rsid w:val="76CD08D5"/>
    <w:rsid w:val="76DB4B92"/>
    <w:rsid w:val="77052AA4"/>
    <w:rsid w:val="77136511"/>
    <w:rsid w:val="77340A39"/>
    <w:rsid w:val="77351FD0"/>
    <w:rsid w:val="77472422"/>
    <w:rsid w:val="77514D46"/>
    <w:rsid w:val="777F31F2"/>
    <w:rsid w:val="778E37A5"/>
    <w:rsid w:val="77CE316B"/>
    <w:rsid w:val="77D1700D"/>
    <w:rsid w:val="77D57580"/>
    <w:rsid w:val="77DF044B"/>
    <w:rsid w:val="77EC04CC"/>
    <w:rsid w:val="78775729"/>
    <w:rsid w:val="789A3FB9"/>
    <w:rsid w:val="78A42DB0"/>
    <w:rsid w:val="78A656AB"/>
    <w:rsid w:val="78B2245C"/>
    <w:rsid w:val="78C17A7C"/>
    <w:rsid w:val="78E172CC"/>
    <w:rsid w:val="78EA1D1F"/>
    <w:rsid w:val="78F9378E"/>
    <w:rsid w:val="79011214"/>
    <w:rsid w:val="7904172F"/>
    <w:rsid w:val="790F7E27"/>
    <w:rsid w:val="7918257E"/>
    <w:rsid w:val="792A231A"/>
    <w:rsid w:val="792A3948"/>
    <w:rsid w:val="79316829"/>
    <w:rsid w:val="79684B2C"/>
    <w:rsid w:val="797E66A9"/>
    <w:rsid w:val="79A97383"/>
    <w:rsid w:val="79E27E8B"/>
    <w:rsid w:val="79ED50A1"/>
    <w:rsid w:val="79F850CE"/>
    <w:rsid w:val="79FD443C"/>
    <w:rsid w:val="7A1D1975"/>
    <w:rsid w:val="7A3E5150"/>
    <w:rsid w:val="7A4128EC"/>
    <w:rsid w:val="7A4670D6"/>
    <w:rsid w:val="7A534B63"/>
    <w:rsid w:val="7A615382"/>
    <w:rsid w:val="7A67303B"/>
    <w:rsid w:val="7AAB1D04"/>
    <w:rsid w:val="7ABA4368"/>
    <w:rsid w:val="7AD05746"/>
    <w:rsid w:val="7AD54924"/>
    <w:rsid w:val="7AF754EC"/>
    <w:rsid w:val="7B0B19FC"/>
    <w:rsid w:val="7B257FFD"/>
    <w:rsid w:val="7B343476"/>
    <w:rsid w:val="7B5A2978"/>
    <w:rsid w:val="7B5A7E4C"/>
    <w:rsid w:val="7B667AF9"/>
    <w:rsid w:val="7B7468F8"/>
    <w:rsid w:val="7BEE0103"/>
    <w:rsid w:val="7BF91E84"/>
    <w:rsid w:val="7C0A0FE4"/>
    <w:rsid w:val="7C254906"/>
    <w:rsid w:val="7C326647"/>
    <w:rsid w:val="7C590818"/>
    <w:rsid w:val="7C7C10F6"/>
    <w:rsid w:val="7C853BEA"/>
    <w:rsid w:val="7C881368"/>
    <w:rsid w:val="7CBA43F0"/>
    <w:rsid w:val="7CE27788"/>
    <w:rsid w:val="7CEA3B1A"/>
    <w:rsid w:val="7D0C32F1"/>
    <w:rsid w:val="7D0F408D"/>
    <w:rsid w:val="7D361B25"/>
    <w:rsid w:val="7D480840"/>
    <w:rsid w:val="7D491C6C"/>
    <w:rsid w:val="7D495F50"/>
    <w:rsid w:val="7D5429C0"/>
    <w:rsid w:val="7D6E6D43"/>
    <w:rsid w:val="7D7A6EE7"/>
    <w:rsid w:val="7DB57A34"/>
    <w:rsid w:val="7DC30D2F"/>
    <w:rsid w:val="7DE60973"/>
    <w:rsid w:val="7DEC2B76"/>
    <w:rsid w:val="7DEF0916"/>
    <w:rsid w:val="7E1E5218"/>
    <w:rsid w:val="7E274C4B"/>
    <w:rsid w:val="7E2B00DA"/>
    <w:rsid w:val="7E343534"/>
    <w:rsid w:val="7E7E5F89"/>
    <w:rsid w:val="7E9A4E1F"/>
    <w:rsid w:val="7EA7723A"/>
    <w:rsid w:val="7EF56FBB"/>
    <w:rsid w:val="7F0768EB"/>
    <w:rsid w:val="7F143BEC"/>
    <w:rsid w:val="7F572FBC"/>
    <w:rsid w:val="7F715AF2"/>
    <w:rsid w:val="7F886E69"/>
    <w:rsid w:val="7F8E6AA7"/>
    <w:rsid w:val="7F914720"/>
    <w:rsid w:val="7FA2692E"/>
    <w:rsid w:val="7FBC2E67"/>
    <w:rsid w:val="7FF81A0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eastAsia="宋体" w:cs="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Cite"/>
    <w:basedOn w:val="70"/>
    <w:qFormat/>
    <w:uiPriority w:val="0"/>
    <w:rPr>
      <w:color w:val="008000"/>
      <w:shd w:val="clear" w:fill="666666"/>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320"/>
    <w:next w:val="1"/>
    <w:link w:val="318"/>
    <w:qFormat/>
    <w:uiPriority w:val="0"/>
    <w:pPr>
      <w:tabs>
        <w:tab w:val="right" w:leader="dot" w:pos="8268"/>
      </w:tabs>
      <w:adjustRightInd/>
    </w:pPr>
    <w:rPr>
      <w:rFonts w:ascii="宋体" w:hAnsi="Courier New"/>
      <w:kern w:val="0"/>
      <w:sz w:val="20"/>
      <w:szCs w:val="20"/>
    </w:rPr>
  </w:style>
  <w:style w:type="paragraph" w:customStyle="1" w:styleId="320">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文章正文"/>
    <w:basedOn w:val="1"/>
    <w:qFormat/>
    <w:uiPriority w:val="0"/>
    <w:pPr>
      <w:spacing w:line="360" w:lineRule="auto"/>
      <w:ind w:firstLine="560" w:firstLineChars="200"/>
    </w:pPr>
    <w:rPr>
      <w:rFonts w:eastAsia="仿宋_GB2312"/>
      <w:kern w:val="0"/>
      <w:sz w:val="28"/>
    </w:rPr>
  </w:style>
  <w:style w:type="character" w:customStyle="1" w:styleId="964">
    <w:name w:val="c-icon30"/>
    <w:basedOn w:val="70"/>
    <w:qFormat/>
    <w:uiPriority w:val="0"/>
  </w:style>
  <w:style w:type="character" w:customStyle="1" w:styleId="965">
    <w:name w:val="hover24"/>
    <w:basedOn w:val="70"/>
    <w:qFormat/>
    <w:uiPriority w:val="0"/>
    <w:rPr>
      <w:color w:val="315EFB"/>
    </w:rPr>
  </w:style>
  <w:style w:type="character" w:customStyle="1" w:styleId="966">
    <w:name w:val="hover25"/>
    <w:basedOn w:val="70"/>
    <w:qFormat/>
    <w:uiPriority w:val="0"/>
  </w:style>
  <w:style w:type="character" w:customStyle="1" w:styleId="967">
    <w:name w:val="hover26"/>
    <w:basedOn w:val="70"/>
    <w:qFormat/>
    <w:uiPriority w:val="0"/>
    <w:rPr>
      <w:color w:val="315EFB"/>
      <w:shd w:val="clear" w:fill="F0F3FD"/>
    </w:rPr>
  </w:style>
  <w:style w:type="character" w:customStyle="1" w:styleId="968">
    <w:name w:val="c-icon29"/>
    <w:basedOn w:val="70"/>
    <w:qFormat/>
    <w:uiPriority w:val="0"/>
  </w:style>
  <w:style w:type="paragraph" w:customStyle="1" w:styleId="969">
    <w:name w:val="Body Text First Indent 2"/>
    <w:basedOn w:val="97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0">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31541</Words>
  <Characters>33403</Characters>
  <Lines>287</Lines>
  <Paragraphs>81</Paragraphs>
  <TotalTime>29</TotalTime>
  <ScaleCrop>false</ScaleCrop>
  <LinksUpToDate>false</LinksUpToDate>
  <CharactersWithSpaces>37492</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小羊</cp:lastModifiedBy>
  <cp:lastPrinted>2021-12-27T03:06:00Z</cp:lastPrinted>
  <dcterms:modified xsi:type="dcterms:W3CDTF">2023-04-25T05:53:18Z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DFB48143504342179CE53FC5FF6B2DB4_13</vt:lpwstr>
  </property>
</Properties>
</file>