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rPr>
      </w:pPr>
      <w:r>
        <w:rPr>
          <w:rFonts w:hint="eastAsia" w:ascii="宋体" w:hAnsi="宋体" w:cs="宋体"/>
          <w:b/>
          <w:color w:val="auto"/>
          <w:sz w:val="44"/>
          <w:szCs w:val="44"/>
        </w:rPr>
        <w:t xml:space="preserve"> </w:t>
      </w:r>
      <w:bookmarkStart w:id="0" w:name="_Toc12403_WPSOffice_Level1"/>
      <w:r>
        <w:rPr>
          <w:rFonts w:hint="eastAsia" w:ascii="宋体" w:hAnsi="宋体" w:cs="宋体"/>
          <w:b/>
          <w:color w:val="auto"/>
          <w:sz w:val="72"/>
          <w:szCs w:val="72"/>
        </w:rPr>
        <w:t>欧邦工程管理集团有限公司</w:t>
      </w:r>
    </w:p>
    <w:p>
      <w:pPr>
        <w:pStyle w:val="18"/>
        <w:rPr>
          <w:rFonts w:hAnsi="宋体" w:cs="宋体"/>
          <w:b/>
          <w:color w:val="auto"/>
          <w:spacing w:val="-18"/>
          <w:sz w:val="96"/>
        </w:rPr>
      </w:pPr>
      <w:r>
        <w:rPr>
          <w:b/>
          <w:color w:val="auto"/>
          <w:sz w:val="28"/>
          <w:szCs w:val="28"/>
        </w:rPr>
        <w:pict>
          <v:rect id="_x0000_i1025" o:spt="1" style="height:2pt;width:481.9pt;" fillcolor="#000000" filled="t" stroked="f" coordsize="21600,21600" o:hr="t" o:hrstd="t" o:hrnoshade="t" o:hralign="center">
            <v:path/>
            <v:fill on="t" focussize="0,0"/>
            <v:stroke on="f"/>
            <v:imagedata o:title=""/>
            <o:lock v:ext="edit"/>
            <w10:wrap type="none"/>
            <w10:anchorlock/>
          </v:rect>
        </w:pict>
      </w:r>
    </w:p>
    <w:p>
      <w:pPr>
        <w:pStyle w:val="18"/>
        <w:jc w:val="center"/>
        <w:rPr>
          <w:rFonts w:hAnsi="宋体" w:cs="宋体"/>
          <w:b/>
          <w:color w:val="auto"/>
          <w:sz w:val="84"/>
          <w:szCs w:val="84"/>
        </w:rPr>
      </w:pPr>
      <w:r>
        <w:rPr>
          <w:rFonts w:hint="eastAsia" w:hAnsi="宋体" w:cs="宋体"/>
          <w:b/>
          <w:color w:val="auto"/>
          <w:sz w:val="84"/>
          <w:szCs w:val="84"/>
        </w:rPr>
        <w:t xml:space="preserve">    </w:t>
      </w:r>
    </w:p>
    <w:p>
      <w:pPr>
        <w:pStyle w:val="18"/>
        <w:rPr>
          <w:rFonts w:hint="eastAsia" w:ascii="仿宋" w:hAnsi="仿宋" w:eastAsia="仿宋" w:cs="仿宋"/>
          <w:b/>
          <w:color w:val="auto"/>
          <w:sz w:val="84"/>
          <w:szCs w:val="84"/>
        </w:rPr>
      </w:pPr>
    </w:p>
    <w:p>
      <w:pPr>
        <w:pStyle w:val="18"/>
        <w:jc w:val="center"/>
        <w:rPr>
          <w:rFonts w:ascii="仿宋" w:hAnsi="仿宋" w:eastAsia="仿宋" w:cs="仿宋"/>
          <w:b/>
          <w:color w:val="auto"/>
          <w:spacing w:val="-18"/>
          <w:sz w:val="84"/>
          <w:szCs w:val="84"/>
        </w:rPr>
      </w:pPr>
      <w:r>
        <w:rPr>
          <w:rFonts w:hint="eastAsia" w:ascii="仿宋" w:hAnsi="仿宋" w:eastAsia="仿宋" w:cs="仿宋"/>
          <w:b/>
          <w:color w:val="auto"/>
          <w:sz w:val="84"/>
          <w:szCs w:val="84"/>
        </w:rPr>
        <w:t>竞争性</w:t>
      </w:r>
      <w:bookmarkStart w:id="40" w:name="_GoBack"/>
      <w:bookmarkEnd w:id="40"/>
      <w:r>
        <w:rPr>
          <w:rFonts w:hint="eastAsia" w:ascii="仿宋" w:hAnsi="仿宋" w:eastAsia="仿宋" w:cs="仿宋"/>
          <w:b/>
          <w:color w:val="auto"/>
          <w:sz w:val="84"/>
          <w:szCs w:val="84"/>
        </w:rPr>
        <w:t>磋商采购文件</w:t>
      </w:r>
    </w:p>
    <w:p>
      <w:pPr>
        <w:pStyle w:val="18"/>
        <w:rPr>
          <w:rFonts w:hAnsi="宋体" w:cs="宋体"/>
          <w:b/>
          <w:color w:val="auto"/>
        </w:rPr>
      </w:pPr>
    </w:p>
    <w:p>
      <w:pPr>
        <w:pStyle w:val="18"/>
        <w:rPr>
          <w:rFonts w:hAnsi="宋体" w:cs="宋体"/>
          <w:b/>
          <w:color w:val="auto"/>
        </w:rPr>
      </w:pPr>
    </w:p>
    <w:p>
      <w:pPr>
        <w:pStyle w:val="18"/>
        <w:rPr>
          <w:rFonts w:hAnsi="宋体" w:cs="宋体"/>
          <w:b/>
          <w:color w:val="auto"/>
        </w:rPr>
      </w:pPr>
    </w:p>
    <w:p>
      <w:pPr>
        <w:pStyle w:val="18"/>
        <w:rPr>
          <w:rFonts w:hAnsi="宋体" w:cs="宋体"/>
          <w:b/>
          <w:color w:val="auto"/>
        </w:rPr>
      </w:pPr>
    </w:p>
    <w:p>
      <w:pPr>
        <w:pStyle w:val="18"/>
        <w:rPr>
          <w:rFonts w:ascii="仿宋" w:hAnsi="仿宋" w:eastAsia="仿宋" w:cs="仿宋"/>
          <w:b/>
          <w:color w:val="auto"/>
        </w:rPr>
      </w:pPr>
    </w:p>
    <w:p>
      <w:pPr>
        <w:pStyle w:val="18"/>
        <w:ind w:left="2564" w:leftChars="456" w:hanging="1606" w:hangingChars="500"/>
        <w:rPr>
          <w:rFonts w:hint="eastAsia" w:ascii="仿宋" w:hAnsi="仿宋" w:eastAsia="仿宋" w:cs="仿宋"/>
          <w:b/>
          <w:color w:val="auto"/>
          <w:sz w:val="32"/>
          <w:szCs w:val="32"/>
        </w:rPr>
      </w:pPr>
      <w:r>
        <w:rPr>
          <w:rFonts w:hint="eastAsia" w:ascii="仿宋" w:hAnsi="仿宋" w:eastAsia="仿宋" w:cs="仿宋"/>
          <w:b/>
          <w:color w:val="auto"/>
          <w:sz w:val="32"/>
          <w:szCs w:val="32"/>
        </w:rPr>
        <w:t>项目名称：申报“中国长寿之乡”项目</w:t>
      </w:r>
    </w:p>
    <w:p>
      <w:pPr>
        <w:pStyle w:val="18"/>
        <w:ind w:firstLine="964" w:firstLineChars="3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项目编号：</w:t>
      </w:r>
      <w:r>
        <w:rPr>
          <w:rFonts w:hint="eastAsia" w:ascii="仿宋" w:hAnsi="仿宋" w:eastAsia="仿宋" w:cs="仿宋"/>
          <w:b/>
          <w:color w:val="auto"/>
          <w:sz w:val="32"/>
          <w:szCs w:val="32"/>
          <w:lang w:eastAsia="zh-CN"/>
        </w:rPr>
        <w:t>FCZC2020-C3-30012-OBZX</w:t>
      </w:r>
    </w:p>
    <w:p>
      <w:pPr>
        <w:pStyle w:val="18"/>
        <w:ind w:firstLine="964"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采购单位：防城港市防城区民政局</w:t>
      </w:r>
    </w:p>
    <w:p>
      <w:pPr>
        <w:pStyle w:val="18"/>
        <w:ind w:firstLine="964" w:firstLineChars="300"/>
        <w:rPr>
          <w:rFonts w:hint="eastAsia" w:ascii="仿宋" w:hAnsi="仿宋" w:eastAsia="仿宋" w:cs="仿宋"/>
          <w:b/>
          <w:color w:val="auto"/>
          <w:sz w:val="32"/>
          <w:szCs w:val="32"/>
        </w:rPr>
      </w:pPr>
      <w:r>
        <w:rPr>
          <w:rFonts w:hint="eastAsia" w:ascii="仿宋" w:hAnsi="仿宋" w:eastAsia="仿宋" w:cs="仿宋"/>
          <w:b/>
          <w:color w:val="auto"/>
          <w:sz w:val="32"/>
          <w:szCs w:val="32"/>
        </w:rPr>
        <w:t>采购代理机构：欧邦工程管理集团有限公司</w:t>
      </w:r>
    </w:p>
    <w:p>
      <w:pPr>
        <w:pStyle w:val="18"/>
        <w:rPr>
          <w:rFonts w:ascii="仿宋" w:hAnsi="仿宋" w:eastAsia="仿宋" w:cs="仿宋"/>
          <w:b/>
          <w:color w:val="auto"/>
        </w:rPr>
      </w:pPr>
    </w:p>
    <w:p>
      <w:pPr>
        <w:pStyle w:val="18"/>
        <w:rPr>
          <w:rFonts w:ascii="仿宋" w:hAnsi="仿宋" w:eastAsia="仿宋" w:cs="仿宋"/>
          <w:b/>
          <w:color w:val="auto"/>
        </w:rPr>
      </w:pPr>
    </w:p>
    <w:p>
      <w:pPr>
        <w:pStyle w:val="18"/>
        <w:rPr>
          <w:rFonts w:ascii="仿宋" w:hAnsi="仿宋" w:eastAsia="仿宋" w:cs="仿宋"/>
          <w:b/>
          <w:color w:val="auto"/>
        </w:rPr>
      </w:pPr>
    </w:p>
    <w:p>
      <w:pPr>
        <w:pStyle w:val="18"/>
        <w:rPr>
          <w:rFonts w:ascii="仿宋" w:hAnsi="仿宋" w:eastAsia="仿宋" w:cs="仿宋"/>
          <w:b/>
          <w:color w:val="auto"/>
        </w:rPr>
      </w:pPr>
    </w:p>
    <w:p>
      <w:pPr>
        <w:pStyle w:val="18"/>
        <w:rPr>
          <w:rFonts w:ascii="仿宋" w:hAnsi="仿宋" w:eastAsia="仿宋" w:cs="仿宋"/>
          <w:b/>
          <w:color w:val="auto"/>
        </w:rPr>
      </w:pPr>
    </w:p>
    <w:p>
      <w:pPr>
        <w:pStyle w:val="18"/>
        <w:rPr>
          <w:rFonts w:ascii="仿宋" w:hAnsi="仿宋" w:eastAsia="仿宋" w:cs="仿宋"/>
          <w:b/>
          <w:color w:val="auto"/>
          <w:sz w:val="28"/>
        </w:rPr>
      </w:pPr>
    </w:p>
    <w:p>
      <w:pPr>
        <w:spacing w:line="400" w:lineRule="exact"/>
        <w:jc w:val="center"/>
        <w:rPr>
          <w:rFonts w:hint="eastAsia" w:ascii="仿宋" w:hAnsi="仿宋" w:eastAsia="仿宋" w:cs="仿宋"/>
          <w:b/>
          <w:color w:val="auto"/>
          <w:sz w:val="32"/>
          <w:szCs w:val="32"/>
        </w:rPr>
      </w:pPr>
    </w:p>
    <w:p>
      <w:pPr>
        <w:spacing w:line="400" w:lineRule="exact"/>
        <w:jc w:val="center"/>
        <w:rPr>
          <w:rFonts w:hint="eastAsia" w:ascii="仿宋" w:hAnsi="仿宋" w:eastAsia="仿宋" w:cs="仿宋"/>
          <w:b/>
          <w:color w:val="auto"/>
          <w:sz w:val="32"/>
          <w:szCs w:val="32"/>
        </w:rPr>
      </w:pPr>
    </w:p>
    <w:p>
      <w:pPr>
        <w:spacing w:line="400" w:lineRule="exact"/>
        <w:jc w:val="center"/>
        <w:rPr>
          <w:rFonts w:ascii="宋体" w:hAnsi="宋体"/>
          <w:b/>
          <w:color w:val="auto"/>
          <w:sz w:val="32"/>
          <w:szCs w:val="32"/>
        </w:rPr>
      </w:pPr>
      <w:r>
        <w:rPr>
          <w:rFonts w:hint="eastAsia" w:ascii="仿宋" w:hAnsi="仿宋" w:eastAsia="仿宋" w:cs="仿宋"/>
          <w:b/>
          <w:color w:val="auto"/>
          <w:sz w:val="32"/>
          <w:szCs w:val="32"/>
        </w:rPr>
        <w:t>二○二○年十二月</w:t>
      </w:r>
    </w:p>
    <w:p>
      <w:pPr>
        <w:spacing w:line="400" w:lineRule="exact"/>
        <w:jc w:val="center"/>
        <w:rPr>
          <w:rFonts w:ascii="宋体" w:hAnsi="宋体"/>
          <w:b/>
          <w:color w:val="auto"/>
          <w:sz w:val="44"/>
          <w:szCs w:val="44"/>
        </w:rPr>
      </w:pPr>
    </w:p>
    <w:p>
      <w:pPr>
        <w:jc w:val="center"/>
        <w:rPr>
          <w:rFonts w:ascii="宋体" w:hAnsi="宋体"/>
          <w:color w:val="auto"/>
          <w:sz w:val="32"/>
          <w:szCs w:val="32"/>
        </w:rPr>
      </w:pPr>
    </w:p>
    <w:p>
      <w:pPr>
        <w:jc w:val="center"/>
        <w:rPr>
          <w:rFonts w:ascii="宋体" w:hAnsi="宋体"/>
          <w:color w:val="auto"/>
          <w:sz w:val="32"/>
          <w:szCs w:val="32"/>
        </w:rPr>
      </w:pPr>
    </w:p>
    <w:p>
      <w:pPr>
        <w:jc w:val="center"/>
        <w:rPr>
          <w:rFonts w:ascii="宋体" w:hAnsi="宋体"/>
          <w:color w:val="auto"/>
          <w:sz w:val="32"/>
          <w:szCs w:val="32"/>
        </w:rPr>
      </w:pPr>
    </w:p>
    <w:p>
      <w:pPr>
        <w:jc w:val="center"/>
        <w:rPr>
          <w:rFonts w:ascii="宋体" w:hAnsi="宋体"/>
          <w:color w:val="auto"/>
          <w:sz w:val="32"/>
          <w:szCs w:val="32"/>
        </w:rPr>
      </w:pPr>
      <w:r>
        <w:rPr>
          <w:rFonts w:ascii="宋体" w:hAnsi="宋体"/>
          <w:color w:val="auto"/>
          <w:sz w:val="32"/>
          <w:szCs w:val="32"/>
        </w:rPr>
        <w:t>目录</w:t>
      </w:r>
    </w:p>
    <w:p>
      <w:pPr>
        <w:pStyle w:val="20"/>
        <w:rPr>
          <w:color w:val="auto"/>
        </w:rPr>
      </w:pPr>
    </w:p>
    <w:p>
      <w:pPr>
        <w:pStyle w:val="165"/>
        <w:tabs>
          <w:tab w:val="right" w:leader="dot" w:pos="9412"/>
        </w:tabs>
        <w:spacing w:line="480" w:lineRule="auto"/>
        <w:rPr>
          <w:color w:val="auto"/>
          <w:sz w:val="28"/>
          <w:szCs w:val="28"/>
        </w:rPr>
      </w:pPr>
      <w:r>
        <w:rPr>
          <w:rFonts w:hint="eastAsia" w:ascii="宋体" w:hAnsi="宋体" w:cs="宋体"/>
          <w:b/>
          <w:color w:val="auto"/>
          <w:sz w:val="28"/>
          <w:szCs w:val="28"/>
        </w:rPr>
        <w:fldChar w:fldCharType="begin"/>
      </w:r>
      <w:r>
        <w:rPr>
          <w:rFonts w:hint="eastAsia" w:ascii="宋体" w:hAnsi="宋体" w:cs="宋体"/>
          <w:b/>
          <w:color w:val="auto"/>
          <w:sz w:val="28"/>
          <w:szCs w:val="28"/>
        </w:rPr>
        <w:instrText xml:space="preserve">TOC \o "1-1" \h \u </w:instrText>
      </w:r>
      <w:r>
        <w:rPr>
          <w:rFonts w:hint="eastAsia" w:ascii="宋体" w:hAnsi="宋体" w:cs="宋体"/>
          <w:b/>
          <w:color w:val="auto"/>
          <w:sz w:val="28"/>
          <w:szCs w:val="28"/>
        </w:rPr>
        <w:fldChar w:fldCharType="separate"/>
      </w:r>
      <w:r>
        <w:rPr>
          <w:color w:val="auto"/>
        </w:rPr>
        <w:fldChar w:fldCharType="begin"/>
      </w:r>
      <w:r>
        <w:rPr>
          <w:color w:val="auto"/>
        </w:rPr>
        <w:instrText xml:space="preserve"> HYPERLINK \l "_Toc19131" </w:instrText>
      </w:r>
      <w:r>
        <w:rPr>
          <w:color w:val="auto"/>
        </w:rPr>
        <w:fldChar w:fldCharType="separate"/>
      </w:r>
      <w:r>
        <w:rPr>
          <w:rFonts w:hint="eastAsia" w:ascii="宋体" w:hAnsi="宋体" w:cs="宋体"/>
          <w:color w:val="auto"/>
          <w:sz w:val="28"/>
          <w:szCs w:val="28"/>
        </w:rPr>
        <w:t>第一章 竞争性磋商公告</w:t>
      </w:r>
      <w:r>
        <w:rPr>
          <w:color w:val="auto"/>
          <w:sz w:val="28"/>
          <w:szCs w:val="28"/>
        </w:rPr>
        <w:tab/>
      </w:r>
      <w:r>
        <w:rPr>
          <w:color w:val="auto"/>
          <w:sz w:val="28"/>
          <w:szCs w:val="28"/>
        </w:rPr>
        <w:fldChar w:fldCharType="begin"/>
      </w:r>
      <w:r>
        <w:rPr>
          <w:color w:val="auto"/>
          <w:sz w:val="28"/>
          <w:szCs w:val="28"/>
        </w:rPr>
        <w:instrText xml:space="preserve"> PAGEREF _Toc19131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"_Toc15715" </w:instrText>
      </w:r>
      <w:r>
        <w:rPr>
          <w:color w:val="auto"/>
        </w:rPr>
        <w:fldChar w:fldCharType="separate"/>
      </w:r>
      <w:r>
        <w:rPr>
          <w:rFonts w:hint="eastAsia" w:ascii="宋体" w:hAnsi="宋体" w:cs="宋体"/>
          <w:color w:val="auto"/>
          <w:sz w:val="28"/>
          <w:szCs w:val="28"/>
        </w:rPr>
        <w:t>第二章 磋商供应商须知前附表</w:t>
      </w:r>
      <w:r>
        <w:rPr>
          <w:color w:val="auto"/>
          <w:sz w:val="28"/>
          <w:szCs w:val="28"/>
        </w:rPr>
        <w:tab/>
      </w:r>
      <w:r>
        <w:rPr>
          <w:color w:val="auto"/>
          <w:sz w:val="28"/>
          <w:szCs w:val="28"/>
        </w:rPr>
        <w:fldChar w:fldCharType="begin"/>
      </w:r>
      <w:r>
        <w:rPr>
          <w:color w:val="auto"/>
          <w:sz w:val="28"/>
          <w:szCs w:val="28"/>
        </w:rPr>
        <w:instrText xml:space="preserve"> PAGEREF _Toc15715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"_Toc10653" </w:instrText>
      </w:r>
      <w:r>
        <w:rPr>
          <w:color w:val="auto"/>
        </w:rPr>
        <w:fldChar w:fldCharType="separate"/>
      </w:r>
      <w:r>
        <w:rPr>
          <w:rFonts w:hint="eastAsia" w:hAnsi="宋体" w:cs="宋体"/>
          <w:color w:val="auto"/>
          <w:sz w:val="28"/>
          <w:szCs w:val="28"/>
        </w:rPr>
        <w:t>第三章 项目采购需求</w:t>
      </w:r>
      <w:r>
        <w:rPr>
          <w:color w:val="auto"/>
          <w:sz w:val="28"/>
          <w:szCs w:val="28"/>
        </w:rPr>
        <w:tab/>
      </w:r>
      <w:r>
        <w:rPr>
          <w:color w:val="auto"/>
          <w:sz w:val="28"/>
          <w:szCs w:val="28"/>
        </w:rPr>
        <w:fldChar w:fldCharType="begin"/>
      </w:r>
      <w:r>
        <w:rPr>
          <w:color w:val="auto"/>
          <w:sz w:val="28"/>
          <w:szCs w:val="28"/>
        </w:rPr>
        <w:instrText xml:space="preserve"> PAGEREF _Toc10653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"_Toc5260" </w:instrText>
      </w:r>
      <w:r>
        <w:rPr>
          <w:color w:val="auto"/>
        </w:rPr>
        <w:fldChar w:fldCharType="separate"/>
      </w:r>
      <w:r>
        <w:rPr>
          <w:rFonts w:hint="eastAsia" w:ascii="宋体" w:hAnsi="宋体" w:cs="宋体"/>
          <w:color w:val="auto"/>
          <w:sz w:val="28"/>
          <w:szCs w:val="28"/>
        </w:rPr>
        <w:t>第四章 评审方法</w:t>
      </w:r>
      <w:r>
        <w:rPr>
          <w:color w:val="auto"/>
          <w:sz w:val="28"/>
          <w:szCs w:val="28"/>
        </w:rPr>
        <w:tab/>
      </w:r>
      <w:r>
        <w:rPr>
          <w:color w:val="auto"/>
          <w:sz w:val="28"/>
          <w:szCs w:val="28"/>
        </w:rPr>
        <w:fldChar w:fldCharType="begin"/>
      </w:r>
      <w:r>
        <w:rPr>
          <w:color w:val="auto"/>
          <w:sz w:val="28"/>
          <w:szCs w:val="28"/>
        </w:rPr>
        <w:instrText xml:space="preserve"> PAGEREF _Toc5260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"_Toc4186" </w:instrText>
      </w:r>
      <w:r>
        <w:rPr>
          <w:color w:val="auto"/>
        </w:rPr>
        <w:fldChar w:fldCharType="separate"/>
      </w:r>
      <w:r>
        <w:rPr>
          <w:rFonts w:hint="eastAsia" w:hAnsi="宋体" w:cs="宋体"/>
          <w:color w:val="auto"/>
          <w:sz w:val="28"/>
          <w:szCs w:val="28"/>
        </w:rPr>
        <w:t>第五章 磋商响应文件格式</w:t>
      </w:r>
      <w:r>
        <w:rPr>
          <w:color w:val="auto"/>
          <w:sz w:val="28"/>
          <w:szCs w:val="28"/>
        </w:rPr>
        <w:tab/>
      </w:r>
      <w:r>
        <w:rPr>
          <w:color w:val="auto"/>
          <w:sz w:val="28"/>
          <w:szCs w:val="28"/>
        </w:rPr>
        <w:fldChar w:fldCharType="begin"/>
      </w:r>
      <w:r>
        <w:rPr>
          <w:color w:val="auto"/>
          <w:sz w:val="28"/>
          <w:szCs w:val="28"/>
        </w:rPr>
        <w:instrText xml:space="preserve"> PAGEREF _Toc4186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"_Toc17613" </w:instrText>
      </w:r>
      <w:r>
        <w:rPr>
          <w:color w:val="auto"/>
        </w:rPr>
        <w:fldChar w:fldCharType="separate"/>
      </w:r>
      <w:r>
        <w:rPr>
          <w:rFonts w:hint="eastAsia" w:ascii="宋体" w:hAnsi="宋体" w:cs="宋体"/>
          <w:color w:val="auto"/>
          <w:sz w:val="28"/>
          <w:szCs w:val="28"/>
        </w:rPr>
        <w:t>第六章 政府采购合同（格式）</w:t>
      </w:r>
      <w:r>
        <w:rPr>
          <w:color w:val="auto"/>
          <w:sz w:val="28"/>
          <w:szCs w:val="28"/>
        </w:rPr>
        <w:tab/>
      </w:r>
      <w:r>
        <w:rPr>
          <w:color w:val="auto"/>
          <w:sz w:val="28"/>
          <w:szCs w:val="28"/>
        </w:rPr>
        <w:fldChar w:fldCharType="begin"/>
      </w:r>
      <w:r>
        <w:rPr>
          <w:color w:val="auto"/>
          <w:sz w:val="28"/>
          <w:szCs w:val="28"/>
        </w:rPr>
        <w:instrText xml:space="preserve"> PAGEREF _Toc17613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pStyle w:val="165"/>
        <w:tabs>
          <w:tab w:val="right" w:leader="dot" w:pos="9412"/>
        </w:tabs>
        <w:spacing w:line="480" w:lineRule="auto"/>
        <w:rPr>
          <w:color w:val="auto"/>
          <w:sz w:val="28"/>
          <w:szCs w:val="28"/>
        </w:rPr>
      </w:pPr>
      <w:r>
        <w:rPr>
          <w:color w:val="auto"/>
        </w:rPr>
        <w:fldChar w:fldCharType="begin"/>
      </w:r>
      <w:r>
        <w:rPr>
          <w:color w:val="auto"/>
        </w:rPr>
        <w:instrText xml:space="preserve"> HYPERLINK \l "_Toc22221" </w:instrText>
      </w:r>
      <w:r>
        <w:rPr>
          <w:color w:val="auto"/>
        </w:rPr>
        <w:fldChar w:fldCharType="separate"/>
      </w:r>
      <w:r>
        <w:rPr>
          <w:rFonts w:hint="eastAsia" w:ascii="宋体" w:hAnsi="宋体" w:cs="宋体"/>
          <w:color w:val="auto"/>
          <w:sz w:val="28"/>
          <w:szCs w:val="28"/>
        </w:rPr>
        <w:t>合同主要条款</w:t>
      </w:r>
      <w:r>
        <w:rPr>
          <w:color w:val="auto"/>
          <w:sz w:val="28"/>
          <w:szCs w:val="28"/>
        </w:rPr>
        <w:tab/>
      </w:r>
      <w:r>
        <w:rPr>
          <w:color w:val="auto"/>
          <w:sz w:val="28"/>
          <w:szCs w:val="28"/>
        </w:rPr>
        <w:fldChar w:fldCharType="begin"/>
      </w:r>
      <w:r>
        <w:rPr>
          <w:color w:val="auto"/>
          <w:sz w:val="28"/>
          <w:szCs w:val="28"/>
        </w:rPr>
        <w:instrText xml:space="preserve"> PAGEREF _Toc22221 </w:instrText>
      </w:r>
      <w:r>
        <w:rPr>
          <w:color w:val="auto"/>
          <w:sz w:val="28"/>
          <w:szCs w:val="28"/>
        </w:rPr>
        <w:fldChar w:fldCharType="separate"/>
      </w:r>
      <w:r>
        <w:rPr>
          <w:color w:val="auto"/>
          <w:sz w:val="28"/>
          <w:szCs w:val="28"/>
        </w:rPr>
        <w:t>29</w:t>
      </w:r>
      <w:r>
        <w:rPr>
          <w:color w:val="auto"/>
          <w:sz w:val="28"/>
          <w:szCs w:val="28"/>
        </w:rPr>
        <w:fldChar w:fldCharType="end"/>
      </w:r>
      <w:r>
        <w:rPr>
          <w:color w:val="auto"/>
          <w:sz w:val="28"/>
          <w:szCs w:val="28"/>
        </w:rPr>
        <w:fldChar w:fldCharType="end"/>
      </w:r>
    </w:p>
    <w:p>
      <w:pPr>
        <w:spacing w:line="360" w:lineRule="auto"/>
        <w:jc w:val="center"/>
        <w:rPr>
          <w:rFonts w:hint="eastAsia" w:ascii="宋体" w:hAnsi="宋体" w:cs="宋体"/>
          <w:b/>
          <w:color w:val="auto"/>
          <w:sz w:val="28"/>
          <w:szCs w:val="28"/>
        </w:rPr>
      </w:pPr>
      <w:r>
        <w:rPr>
          <w:rFonts w:hint="eastAsia" w:ascii="宋体" w:hAnsi="宋体" w:cs="宋体"/>
          <w:color w:val="auto"/>
          <w:sz w:val="28"/>
          <w:szCs w:val="28"/>
        </w:rPr>
        <w:fldChar w:fldCharType="end"/>
      </w: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pStyle w:val="16"/>
        <w:rPr>
          <w:rFonts w:hint="eastAsia" w:hAnsi="宋体" w:cs="宋体"/>
          <w:color w:val="auto"/>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p>
    <w:bookmarkEnd w:id="0"/>
    <w:p>
      <w:pPr>
        <w:spacing w:line="400" w:lineRule="exact"/>
        <w:rPr>
          <w:rFonts w:hint="eastAsia" w:ascii="宋体" w:hAnsi="宋体" w:cs="宋体"/>
          <w:b/>
          <w:color w:val="auto"/>
          <w:sz w:val="32"/>
          <w:szCs w:val="32"/>
        </w:rPr>
        <w:sectPr>
          <w:headerReference r:id="rId3" w:type="default"/>
          <w:pgSz w:w="11906" w:h="16838"/>
          <w:pgMar w:top="1247" w:right="1247" w:bottom="1247" w:left="1247" w:header="851" w:footer="992" w:gutter="0"/>
          <w:cols w:space="720" w:num="1"/>
          <w:docGrid w:type="lines" w:linePitch="312" w:charSpace="0"/>
        </w:sectPr>
      </w:pPr>
    </w:p>
    <w:p>
      <w:pPr>
        <w:snapToGrid w:val="0"/>
        <w:spacing w:line="380" w:lineRule="exact"/>
        <w:jc w:val="center"/>
        <w:outlineLvl w:val="0"/>
        <w:rPr>
          <w:rFonts w:hint="eastAsia" w:ascii="宋体" w:hAnsi="宋体" w:cs="宋体"/>
          <w:b/>
          <w:color w:val="auto"/>
          <w:sz w:val="32"/>
          <w:szCs w:val="32"/>
        </w:rPr>
      </w:pPr>
      <w:bookmarkStart w:id="1" w:name="_Toc19131"/>
      <w:r>
        <w:rPr>
          <w:rFonts w:hint="eastAsia" w:ascii="宋体" w:hAnsi="宋体" w:cs="宋体"/>
          <w:b/>
          <w:color w:val="auto"/>
          <w:sz w:val="32"/>
          <w:szCs w:val="32"/>
        </w:rPr>
        <w:t>第一章 竞争性磋商公告</w:t>
      </w:r>
      <w:bookmarkEnd w:id="1"/>
    </w:p>
    <w:p>
      <w:pPr>
        <w:snapToGrid w:val="0"/>
        <w:spacing w:line="380" w:lineRule="exact"/>
        <w:rPr>
          <w:rFonts w:hint="eastAsia" w:ascii="宋体" w:hAnsi="宋体" w:cs="宋体"/>
          <w:b/>
          <w:color w:val="auto"/>
          <w:sz w:val="32"/>
          <w:szCs w:val="32"/>
        </w:rPr>
      </w:pPr>
    </w:p>
    <w:p>
      <w:pPr>
        <w:pBdr>
          <w:top w:val="single" w:color="auto" w:sz="4" w:space="1"/>
          <w:left w:val="single" w:color="auto" w:sz="4" w:space="4"/>
          <w:bottom w:val="single" w:color="auto" w:sz="4" w:space="1"/>
          <w:right w:val="single" w:color="auto" w:sz="4" w:space="4"/>
        </w:pBdr>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rPr>
      </w:pPr>
      <w:r>
        <w:rPr>
          <w:rFonts w:hint="eastAsia" w:ascii="宋体" w:hAnsi="宋体" w:cs="宋体"/>
          <w:color w:val="auto"/>
          <w:szCs w:val="21"/>
        </w:rPr>
        <w:t>申报“中国长寿之乡”项目的潜在供应商应</w:t>
      </w:r>
      <w:r>
        <w:rPr>
          <w:rFonts w:hint="eastAsia" w:ascii="宋体" w:hAnsi="宋体"/>
          <w:color w:val="auto"/>
          <w:szCs w:val="21"/>
        </w:rPr>
        <w:t>登录政采云平台</w:t>
      </w:r>
      <w:r>
        <w:rPr>
          <w:rFonts w:hint="eastAsia" w:ascii="宋体" w:hAnsi="宋体" w:cs="宋体"/>
          <w:color w:val="auto"/>
          <w:szCs w:val="21"/>
        </w:rPr>
        <w:t>获取采购文件，并于2020年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w:t>
      </w:r>
      <w:r>
        <w:rPr>
          <w:rFonts w:hint="eastAsia" w:ascii="宋体" w:hAnsi="宋体" w:cs="宋体"/>
          <w:bCs/>
          <w:color w:val="auto"/>
          <w:szCs w:val="21"/>
        </w:rPr>
        <w:t>（北京时间）前提交响应文件</w:t>
      </w:r>
      <w:r>
        <w:rPr>
          <w:rFonts w:hint="eastAsia" w:ascii="宋体" w:hAnsi="宋体" w:cs="宋体"/>
          <w:color w:val="auto"/>
          <w:szCs w:val="21"/>
        </w:rPr>
        <w:t>。</w:t>
      </w:r>
    </w:p>
    <w:p>
      <w:pPr>
        <w:snapToGrid w:val="0"/>
        <w:spacing w:line="360" w:lineRule="exact"/>
        <w:rPr>
          <w:rFonts w:ascii="宋体" w:hAnsi="宋体" w:cs="宋体"/>
          <w:color w:val="auto"/>
          <w:szCs w:val="21"/>
        </w:rPr>
      </w:pPr>
      <w:r>
        <w:rPr>
          <w:rFonts w:hint="eastAsia" w:ascii="宋体" w:hAnsi="宋体" w:cs="宋体"/>
          <w:color w:val="auto"/>
          <w:szCs w:val="21"/>
        </w:rPr>
        <w:t>一、项目基本情况</w:t>
      </w:r>
    </w:p>
    <w:p>
      <w:pPr>
        <w:snapToGrid w:val="0"/>
        <w:spacing w:line="3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FCZC2020-C3-30012-OBZX</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项目名称：申报“中国长寿之乡”项目</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采购方式：</w:t>
      </w:r>
      <w:r>
        <w:rPr>
          <w:rFonts w:hint="eastAsia" w:ascii="宋体" w:hAnsi="宋体" w:cs="宋体"/>
          <w:color w:val="auto"/>
          <w:szCs w:val="21"/>
        </w:rPr>
        <w:sym w:font="Wingdings 2" w:char="00A3"/>
      </w:r>
      <w:r>
        <w:rPr>
          <w:rFonts w:hint="eastAsia" w:ascii="宋体" w:hAnsi="宋体" w:cs="宋体"/>
          <w:color w:val="auto"/>
          <w:szCs w:val="21"/>
        </w:rPr>
        <w:t xml:space="preserve">竞争性谈判 </w:t>
      </w:r>
      <w:r>
        <w:rPr>
          <w:rFonts w:hint="eastAsia" w:ascii="宋体" w:hAnsi="宋体" w:cs="宋体"/>
          <w:color w:val="auto"/>
          <w:szCs w:val="21"/>
        </w:rPr>
        <w:sym w:font="Wingdings 2" w:char="0052"/>
      </w:r>
      <w:r>
        <w:rPr>
          <w:rFonts w:hint="eastAsia" w:ascii="宋体" w:hAnsi="宋体" w:cs="宋体"/>
          <w:color w:val="auto"/>
          <w:szCs w:val="21"/>
        </w:rPr>
        <w:t>竞争性磋商 □询价</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预算金额：肆拾叁万叁仟元整（￥433000.00）</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最高限价：无</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采购需求：申报中国长寿之乡4000字左右的申请报告、专家指导和工作人员开展工作的住宿、旅差费、项目宣传视频制作费、百岁老人名册和地图制作等。</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合同履行期限：</w:t>
      </w:r>
      <w:r>
        <w:rPr>
          <w:rFonts w:hint="eastAsia" w:ascii="宋体" w:hAnsi="宋体" w:cs="宋体"/>
          <w:color w:val="auto"/>
          <w:szCs w:val="21"/>
          <w:lang w:val="en-US" w:eastAsia="zh-CN"/>
        </w:rPr>
        <w:t>自</w:t>
      </w:r>
      <w:r>
        <w:rPr>
          <w:rFonts w:hint="eastAsia" w:ascii="宋体" w:hAnsi="宋体" w:cs="宋体"/>
          <w:color w:val="auto"/>
          <w:szCs w:val="21"/>
        </w:rPr>
        <w:t>签订合同</w:t>
      </w:r>
      <w:r>
        <w:rPr>
          <w:rFonts w:hint="eastAsia" w:ascii="宋体" w:hAnsi="宋体" w:cs="宋体"/>
          <w:color w:val="auto"/>
          <w:szCs w:val="21"/>
          <w:lang w:val="en-US" w:eastAsia="zh-CN"/>
        </w:rPr>
        <w:t>之日</w:t>
      </w:r>
      <w:r>
        <w:rPr>
          <w:rFonts w:hint="eastAsia" w:ascii="宋体" w:hAnsi="宋体" w:cs="宋体"/>
          <w:color w:val="auto"/>
          <w:szCs w:val="21"/>
        </w:rPr>
        <w:t>起1个月内。</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本项目不接受联合体。</w:t>
      </w:r>
    </w:p>
    <w:p>
      <w:pPr>
        <w:snapToGrid w:val="0"/>
        <w:spacing w:line="360" w:lineRule="exact"/>
        <w:rPr>
          <w:rFonts w:ascii="宋体" w:hAnsi="宋体" w:cs="宋体"/>
          <w:color w:val="auto"/>
          <w:szCs w:val="21"/>
        </w:rPr>
      </w:pPr>
      <w:r>
        <w:rPr>
          <w:rFonts w:hint="eastAsia" w:ascii="宋体" w:hAnsi="宋体" w:cs="宋体"/>
          <w:color w:val="auto"/>
          <w:szCs w:val="21"/>
        </w:rPr>
        <w:t>二、申请人的资格要求：</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1.满足《中华人民共和国政府采购法》第二十二条规定。</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2.落实政府采购政策需满足的资格要求：无。</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3.本项目的特定资格要求：无。</w:t>
      </w:r>
    </w:p>
    <w:p>
      <w:pPr>
        <w:snapToGrid w:val="0"/>
        <w:spacing w:line="360" w:lineRule="exact"/>
        <w:ind w:firstLine="420" w:firstLineChars="200"/>
        <w:rPr>
          <w:rFonts w:hint="eastAsia" w:ascii="宋体" w:hAnsi="宋体" w:cs="宋体"/>
          <w:color w:val="auto"/>
          <w:szCs w:val="21"/>
        </w:rPr>
      </w:pPr>
      <w:bookmarkStart w:id="2" w:name="_Hlk37428740"/>
      <w:r>
        <w:rPr>
          <w:rFonts w:hint="eastAsia" w:ascii="宋体" w:hAnsi="宋体" w:cs="宋体"/>
          <w:color w:val="auto"/>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5.对在“信用中国”网站、中国政府采购网被列入失信被执行人、重大税收违法案件当事人名单、政府采购严重违法失信行为记录名单及其他不符合《中华人民共和国政府采购法》第二十二条规定条件的供应商，不得参与政府采购活动。</w:t>
      </w:r>
      <w:bookmarkEnd w:id="2"/>
    </w:p>
    <w:p>
      <w:pPr>
        <w:snapToGrid w:val="0"/>
        <w:spacing w:line="360" w:lineRule="exact"/>
        <w:rPr>
          <w:rFonts w:ascii="宋体" w:hAnsi="宋体" w:cs="宋体"/>
          <w:color w:val="auto"/>
          <w:szCs w:val="21"/>
        </w:rPr>
      </w:pPr>
      <w:r>
        <w:rPr>
          <w:rFonts w:hint="eastAsia" w:ascii="宋体" w:hAnsi="宋体" w:cs="宋体"/>
          <w:color w:val="auto"/>
          <w:szCs w:val="21"/>
        </w:rPr>
        <w:t>三、获取采购文件</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11</w:t>
      </w:r>
      <w:r>
        <w:rPr>
          <w:rFonts w:hint="eastAsia" w:ascii="宋体" w:hAnsi="宋体" w:cs="宋体"/>
          <w:color w:val="auto"/>
          <w:szCs w:val="21"/>
        </w:rPr>
        <w:t>日至2020年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日，每天上午8:00至12:00，下午15:00至18:00（北京时间，法定节假日除外）</w:t>
      </w:r>
    </w:p>
    <w:p>
      <w:pPr>
        <w:snapToGrid w:val="0"/>
        <w:spacing w:line="340" w:lineRule="exact"/>
        <w:ind w:firstLine="420" w:firstLineChars="200"/>
        <w:rPr>
          <w:rFonts w:ascii="宋体" w:hAnsi="宋体" w:cs="宋体"/>
          <w:color w:val="auto"/>
          <w:szCs w:val="21"/>
        </w:rPr>
      </w:pPr>
      <w:r>
        <w:rPr>
          <w:rFonts w:hint="eastAsia" w:ascii="宋体" w:hAnsi="宋体" w:cs="宋体"/>
          <w:color w:val="auto"/>
          <w:szCs w:val="21"/>
        </w:rPr>
        <w:t>地点：政采云平台</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方式：潜在投标人自行登录政采云平台进行报名登记并下载招标文件电子版</w:t>
      </w:r>
    </w:p>
    <w:p>
      <w:pPr>
        <w:snapToGrid w:val="0"/>
        <w:spacing w:line="340" w:lineRule="exact"/>
        <w:ind w:firstLine="420" w:firstLineChars="200"/>
        <w:rPr>
          <w:rFonts w:ascii="宋体" w:hAnsi="宋体" w:cs="宋体"/>
          <w:color w:val="auto"/>
          <w:szCs w:val="21"/>
        </w:rPr>
      </w:pPr>
      <w:r>
        <w:rPr>
          <w:rFonts w:hint="eastAsia" w:ascii="宋体" w:hAnsi="宋体" w:cs="宋体"/>
          <w:color w:val="auto"/>
          <w:szCs w:val="21"/>
        </w:rPr>
        <w:t>售价：0元</w:t>
      </w:r>
    </w:p>
    <w:p>
      <w:pPr>
        <w:snapToGrid w:val="0"/>
        <w:spacing w:line="360" w:lineRule="exact"/>
        <w:rPr>
          <w:rFonts w:ascii="宋体" w:hAnsi="宋体" w:cs="宋体"/>
          <w:color w:val="auto"/>
          <w:szCs w:val="21"/>
        </w:rPr>
      </w:pPr>
      <w:r>
        <w:rPr>
          <w:rFonts w:hint="eastAsia" w:ascii="宋体" w:hAnsi="宋体" w:cs="宋体"/>
          <w:color w:val="auto"/>
          <w:szCs w:val="21"/>
        </w:rPr>
        <w:t>四、响应文件提交</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截止时间：2020年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分（北京时间）</w:t>
      </w:r>
    </w:p>
    <w:p>
      <w:pPr>
        <w:snapToGrid w:val="0"/>
        <w:spacing w:line="360" w:lineRule="exact"/>
        <w:ind w:firstLine="420" w:firstLineChars="200"/>
        <w:rPr>
          <w:rFonts w:ascii="宋体" w:hAnsi="宋体"/>
          <w:color w:val="auto"/>
          <w:szCs w:val="21"/>
        </w:rPr>
      </w:pPr>
      <w:r>
        <w:rPr>
          <w:rFonts w:hint="eastAsia" w:ascii="宋体" w:hAnsi="宋体"/>
          <w:color w:val="auto"/>
          <w:szCs w:val="21"/>
        </w:rPr>
        <w:t>地点：防城港市公共资源交易中心（防城港市迎宾路红树林大厦东塔，具体地点以防城港市公共资源交易中心六楼电子显示屏公布的开标室为准）</w:t>
      </w:r>
      <w:r>
        <w:rPr>
          <w:rFonts w:ascii="宋体" w:hAnsi="宋体"/>
          <w:color w:val="auto"/>
          <w:szCs w:val="21"/>
        </w:rPr>
        <w:t xml:space="preserve">      </w:t>
      </w:r>
    </w:p>
    <w:p>
      <w:pPr>
        <w:snapToGrid w:val="0"/>
        <w:spacing w:line="360" w:lineRule="exact"/>
        <w:rPr>
          <w:rFonts w:ascii="宋体" w:hAnsi="宋体" w:cs="宋体"/>
          <w:color w:val="auto"/>
          <w:szCs w:val="21"/>
        </w:rPr>
      </w:pPr>
      <w:r>
        <w:rPr>
          <w:rFonts w:hint="eastAsia" w:ascii="宋体" w:hAnsi="宋体" w:cs="宋体"/>
          <w:color w:val="auto"/>
          <w:szCs w:val="21"/>
        </w:rPr>
        <w:t>五、开启</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分截标后（北京时间）</w:t>
      </w:r>
    </w:p>
    <w:p>
      <w:pPr>
        <w:snapToGrid w:val="0"/>
        <w:spacing w:line="360" w:lineRule="exact"/>
        <w:ind w:firstLine="420" w:firstLineChars="200"/>
        <w:rPr>
          <w:rFonts w:ascii="宋体" w:hAnsi="宋体"/>
          <w:color w:val="auto"/>
          <w:szCs w:val="21"/>
        </w:rPr>
      </w:pPr>
      <w:r>
        <w:rPr>
          <w:rFonts w:hint="eastAsia" w:ascii="宋体" w:hAnsi="宋体" w:cs="宋体"/>
          <w:color w:val="auto"/>
          <w:szCs w:val="21"/>
        </w:rPr>
        <w:t>地点：</w:t>
      </w:r>
      <w:r>
        <w:rPr>
          <w:rFonts w:hint="eastAsia" w:ascii="宋体" w:hAnsi="宋体"/>
          <w:color w:val="auto"/>
          <w:szCs w:val="21"/>
        </w:rPr>
        <w:t>防城港市公共资源交易中心（防城港市迎宾路红树林大厦东塔）</w:t>
      </w:r>
    </w:p>
    <w:p>
      <w:pPr>
        <w:snapToGrid w:val="0"/>
        <w:spacing w:line="360" w:lineRule="exact"/>
        <w:ind w:firstLine="420" w:firstLineChars="200"/>
        <w:rPr>
          <w:rFonts w:ascii="宋体" w:hAnsi="宋体"/>
          <w:color w:val="auto"/>
          <w:szCs w:val="21"/>
        </w:rPr>
      </w:pPr>
      <w:r>
        <w:rPr>
          <w:rFonts w:hint="eastAsia" w:ascii="宋体" w:hAnsi="宋体"/>
          <w:color w:val="auto"/>
          <w:szCs w:val="21"/>
        </w:rPr>
        <w:t>参加磋商的供应商法定代表人或授权委托代理人必须持证件：法定代表人持资格证明书原件和本人身份证原件，委托代理人持授权委托书原件（如委托）和本人身份证原件。</w:t>
      </w:r>
    </w:p>
    <w:p>
      <w:pPr>
        <w:snapToGrid w:val="0"/>
        <w:spacing w:line="360" w:lineRule="exact"/>
        <w:rPr>
          <w:rFonts w:ascii="宋体" w:hAnsi="宋体" w:cs="宋体"/>
          <w:color w:val="auto"/>
          <w:szCs w:val="21"/>
        </w:rPr>
      </w:pPr>
      <w:r>
        <w:rPr>
          <w:rFonts w:hint="eastAsia" w:ascii="宋体" w:hAnsi="宋体" w:cs="宋体"/>
          <w:color w:val="auto"/>
          <w:szCs w:val="21"/>
        </w:rPr>
        <w:t>六、公告期限</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自本公告发布之日起5个工作日。</w:t>
      </w:r>
    </w:p>
    <w:p>
      <w:pPr>
        <w:numPr>
          <w:ilvl w:val="0"/>
          <w:numId w:val="3"/>
        </w:numPr>
        <w:snapToGrid w:val="0"/>
        <w:spacing w:line="360" w:lineRule="exact"/>
        <w:rPr>
          <w:rFonts w:ascii="宋体" w:hAnsi="宋体" w:cs="宋体"/>
          <w:color w:val="auto"/>
          <w:szCs w:val="21"/>
        </w:rPr>
      </w:pPr>
      <w:r>
        <w:rPr>
          <w:rFonts w:hint="eastAsia" w:ascii="宋体" w:hAnsi="宋体" w:cs="宋体"/>
          <w:color w:val="auto"/>
          <w:szCs w:val="21"/>
        </w:rPr>
        <w:t>其他补充事宜</w:t>
      </w:r>
    </w:p>
    <w:p>
      <w:pPr>
        <w:snapToGrid w:val="0"/>
        <w:spacing w:line="360" w:lineRule="exact"/>
        <w:ind w:firstLine="420" w:firstLineChars="200"/>
        <w:rPr>
          <w:rFonts w:ascii="宋体" w:hAnsi="宋体"/>
          <w:color w:val="auto"/>
          <w:szCs w:val="21"/>
        </w:rPr>
      </w:pPr>
      <w:r>
        <w:rPr>
          <w:rFonts w:hint="eastAsia" w:ascii="宋体" w:hAnsi="宋体"/>
          <w:color w:val="auto"/>
          <w:szCs w:val="21"/>
        </w:rPr>
        <w:t>1.本项目不收取磋商保证金。</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2.网上查询地址：中国政府采购网、广西壮族自治区政府采购网、防城港市公共资源交易中心网</w:t>
      </w:r>
      <w:r>
        <w:rPr>
          <w:rFonts w:hint="eastAsia" w:ascii="宋体" w:hAnsi="宋体" w:cs="宋体"/>
          <w:color w:val="auto"/>
          <w:szCs w:val="21"/>
          <w:lang w:eastAsia="zh-CN"/>
        </w:rPr>
        <w:t>、</w:t>
      </w:r>
      <w:r>
        <w:rPr>
          <w:rFonts w:hint="eastAsia" w:ascii="宋体" w:hAnsi="宋体" w:cs="宋体"/>
          <w:color w:val="auto"/>
          <w:szCs w:val="21"/>
        </w:rPr>
        <w:t>防城港市防城区政府门户网</w:t>
      </w:r>
      <w:r>
        <w:rPr>
          <w:rFonts w:hint="eastAsia" w:ascii="宋体" w:hAnsi="宋体" w:cs="宋体"/>
          <w:color w:val="auto"/>
          <w:szCs w:val="21"/>
        </w:rPr>
        <w:t>。</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3.本项目需要落实的政府采购政策：①政府采购促进中小企业发展②政府采购支持采用本国产品的政策③强制采购节能产品；优先采购节能产品、环境标志产品④政府采购促进残疾人就业政策⑤政府采购支持监狱企业发展。</w:t>
      </w:r>
    </w:p>
    <w:p>
      <w:pPr>
        <w:snapToGrid w:val="0"/>
        <w:spacing w:line="360" w:lineRule="exact"/>
        <w:rPr>
          <w:rFonts w:ascii="宋体" w:hAnsi="宋体" w:cs="宋体"/>
          <w:color w:val="auto"/>
          <w:szCs w:val="21"/>
        </w:rPr>
      </w:pPr>
      <w:r>
        <w:rPr>
          <w:rFonts w:hint="eastAsia" w:ascii="宋体" w:hAnsi="宋体" w:cs="宋体"/>
          <w:color w:val="auto"/>
          <w:szCs w:val="21"/>
        </w:rPr>
        <w:t>八、凡对本次采购提出询问，请按以下方式联系。</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1.采购人信息</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名   称：防城港市防城区民政局</w:t>
      </w:r>
    </w:p>
    <w:p>
      <w:pPr>
        <w:snapToGrid w:val="0"/>
        <w:spacing w:line="340" w:lineRule="exact"/>
        <w:ind w:firstLine="420" w:firstLineChars="200"/>
        <w:rPr>
          <w:rFonts w:ascii="宋体" w:hAnsi="宋体" w:cs="宋体"/>
          <w:color w:val="auto"/>
          <w:szCs w:val="21"/>
        </w:rPr>
      </w:pPr>
      <w:r>
        <w:rPr>
          <w:rFonts w:hint="eastAsia" w:ascii="宋体" w:hAnsi="宋体" w:cs="宋体"/>
          <w:color w:val="auto"/>
          <w:szCs w:val="21"/>
        </w:rPr>
        <w:t>地   址：防城区黄泥沟路一里一巷68号</w:t>
      </w:r>
    </w:p>
    <w:p>
      <w:pPr>
        <w:snapToGrid w:val="0"/>
        <w:spacing w:line="340" w:lineRule="exact"/>
        <w:ind w:firstLine="420" w:firstLineChars="200"/>
        <w:rPr>
          <w:rFonts w:ascii="宋体" w:hAnsi="宋体" w:cs="宋体"/>
          <w:color w:val="auto"/>
          <w:szCs w:val="21"/>
        </w:rPr>
      </w:pPr>
      <w:r>
        <w:rPr>
          <w:rFonts w:hint="eastAsia" w:ascii="宋体" w:hAnsi="宋体" w:cs="宋体"/>
          <w:color w:val="auto"/>
          <w:szCs w:val="21"/>
        </w:rPr>
        <w:t>联系方式：</w:t>
      </w:r>
      <w:bookmarkStart w:id="3" w:name="_Toc28359009"/>
      <w:bookmarkStart w:id="4" w:name="_Toc28359086"/>
      <w:r>
        <w:rPr>
          <w:rFonts w:hint="eastAsia" w:ascii="宋体" w:hAnsi="宋体" w:cs="宋体"/>
          <w:color w:val="auto"/>
          <w:szCs w:val="21"/>
          <w:lang w:val="en-US" w:eastAsia="zh-CN"/>
        </w:rPr>
        <w:t>刘成慧，</w:t>
      </w:r>
      <w:r>
        <w:rPr>
          <w:rFonts w:hint="eastAsia" w:ascii="宋体" w:hAnsi="宋体" w:cs="宋体"/>
          <w:color w:val="auto"/>
          <w:szCs w:val="21"/>
        </w:rPr>
        <w:t>0770-2216653</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2.采购代理机构信息</w:t>
      </w:r>
      <w:bookmarkEnd w:id="3"/>
      <w:bookmarkEnd w:id="4"/>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名   称：欧邦工程管理集团有限公司</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地   址：防城港市港口区紫荆小区D2栋</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联系方式：</w:t>
      </w:r>
      <w:bookmarkStart w:id="5" w:name="_Toc28359010"/>
      <w:bookmarkStart w:id="6" w:name="_Toc28359087"/>
      <w:r>
        <w:rPr>
          <w:rFonts w:hint="eastAsia" w:ascii="宋体" w:hAnsi="宋体" w:cs="宋体"/>
          <w:color w:val="auto"/>
          <w:szCs w:val="21"/>
        </w:rPr>
        <w:t>杜丽珊，0770-2811698　</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3.项目联系方式</w:t>
      </w:r>
      <w:bookmarkEnd w:id="5"/>
      <w:bookmarkEnd w:id="6"/>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项目联系人：杜丽珊</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电   话：18777039033</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4.监督部门</w:t>
      </w:r>
    </w:p>
    <w:p>
      <w:pPr>
        <w:snapToGrid w:val="0"/>
        <w:spacing w:line="340" w:lineRule="exact"/>
        <w:ind w:firstLine="420" w:firstLineChars="200"/>
        <w:rPr>
          <w:rFonts w:hint="eastAsia" w:ascii="宋体" w:hAnsi="宋体" w:cs="宋体"/>
          <w:color w:val="auto"/>
          <w:szCs w:val="21"/>
        </w:rPr>
      </w:pPr>
      <w:r>
        <w:rPr>
          <w:rFonts w:hint="eastAsia" w:ascii="宋体" w:hAnsi="宋体" w:cs="宋体"/>
          <w:color w:val="auto"/>
          <w:szCs w:val="21"/>
        </w:rPr>
        <w:t xml:space="preserve">名   称：防城港市防城区政府采购中心 </w:t>
      </w:r>
    </w:p>
    <w:p>
      <w:pPr>
        <w:snapToGrid w:val="0"/>
        <w:spacing w:line="340" w:lineRule="exact"/>
        <w:ind w:firstLine="420" w:firstLineChars="200"/>
        <w:rPr>
          <w:rFonts w:ascii="宋体" w:hAnsi="宋体" w:cs="宋体"/>
          <w:color w:val="auto"/>
          <w:szCs w:val="21"/>
        </w:rPr>
      </w:pPr>
      <w:r>
        <w:rPr>
          <w:rFonts w:hint="eastAsia" w:ascii="宋体" w:hAnsi="宋体" w:cs="宋体"/>
          <w:color w:val="auto"/>
          <w:szCs w:val="21"/>
        </w:rPr>
        <w:t xml:space="preserve">电   话：0770-2218602　　　　　　　　　　　　       </w:t>
      </w:r>
    </w:p>
    <w:p>
      <w:pPr>
        <w:pStyle w:val="31"/>
        <w:ind w:firstLine="210"/>
        <w:rPr>
          <w:color w:val="auto"/>
          <w:sz w:val="21"/>
          <w:szCs w:val="21"/>
        </w:rPr>
      </w:pPr>
    </w:p>
    <w:p>
      <w:pPr>
        <w:spacing w:line="440" w:lineRule="exact"/>
        <w:ind w:firstLine="493"/>
        <w:jc w:val="right"/>
        <w:rPr>
          <w:rFonts w:hint="eastAsia" w:ascii="宋体" w:hAnsi="宋体" w:cs="Arial"/>
          <w:color w:val="auto"/>
          <w:szCs w:val="21"/>
        </w:rPr>
      </w:pPr>
    </w:p>
    <w:p>
      <w:pPr>
        <w:spacing w:line="440" w:lineRule="exact"/>
        <w:ind w:firstLine="493"/>
        <w:jc w:val="right"/>
        <w:rPr>
          <w:rFonts w:hint="eastAsia" w:ascii="宋体" w:hAnsi="宋体" w:cs="Arial"/>
          <w:color w:val="auto"/>
          <w:szCs w:val="21"/>
        </w:rPr>
      </w:pPr>
    </w:p>
    <w:p>
      <w:pPr>
        <w:spacing w:line="440" w:lineRule="exact"/>
        <w:ind w:firstLine="493"/>
        <w:jc w:val="right"/>
        <w:rPr>
          <w:rFonts w:hint="eastAsia" w:ascii="宋体" w:hAnsi="宋体" w:cs="Arial"/>
          <w:color w:val="auto"/>
          <w:szCs w:val="21"/>
        </w:rPr>
      </w:pPr>
      <w:r>
        <w:rPr>
          <w:rFonts w:hint="eastAsia" w:ascii="宋体" w:hAnsi="宋体" w:cs="Arial"/>
          <w:color w:val="auto"/>
          <w:szCs w:val="21"/>
        </w:rPr>
        <w:t>采购单位：防城港市防城区民政局</w:t>
      </w:r>
    </w:p>
    <w:p>
      <w:pPr>
        <w:spacing w:line="440" w:lineRule="exact"/>
        <w:ind w:firstLine="493"/>
        <w:jc w:val="right"/>
        <w:rPr>
          <w:rFonts w:hint="eastAsia" w:ascii="宋体" w:hAnsi="宋体" w:cs="Arial"/>
          <w:color w:val="auto"/>
          <w:szCs w:val="21"/>
        </w:rPr>
      </w:pPr>
      <w:r>
        <w:rPr>
          <w:rFonts w:hint="eastAsia" w:ascii="宋体" w:hAnsi="宋体" w:cs="Arial"/>
          <w:color w:val="auto"/>
          <w:szCs w:val="21"/>
        </w:rPr>
        <w:t>采购代理机构：欧邦工程管理集团有限公司</w:t>
      </w:r>
    </w:p>
    <w:p>
      <w:pPr>
        <w:spacing w:line="360" w:lineRule="exact"/>
        <w:ind w:firstLine="495"/>
        <w:jc w:val="right"/>
        <w:rPr>
          <w:rFonts w:ascii="宋体" w:hAnsi="宋体"/>
          <w:color w:val="auto"/>
          <w:szCs w:val="21"/>
        </w:rPr>
      </w:pPr>
      <w:r>
        <w:rPr>
          <w:rFonts w:hint="eastAsia" w:ascii="宋体" w:hAnsi="宋体"/>
          <w:color w:val="auto"/>
          <w:szCs w:val="21"/>
        </w:rPr>
        <w:t xml:space="preserve">                                                       2020年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11</w:t>
      </w:r>
      <w:r>
        <w:rPr>
          <w:rFonts w:hint="eastAsia" w:ascii="宋体" w:hAnsi="宋体"/>
          <w:color w:val="auto"/>
          <w:szCs w:val="21"/>
        </w:rPr>
        <w:t>日</w:t>
      </w:r>
    </w:p>
    <w:p>
      <w:pPr>
        <w:rPr>
          <w:color w:val="auto"/>
        </w:rPr>
      </w:pPr>
    </w:p>
    <w:p>
      <w:pPr>
        <w:spacing w:afterLines="100"/>
        <w:jc w:val="center"/>
        <w:outlineLvl w:val="0"/>
        <w:rPr>
          <w:rFonts w:hint="eastAsia" w:ascii="宋体" w:hAnsi="宋体" w:cs="宋体"/>
          <w:b/>
          <w:color w:val="auto"/>
          <w:sz w:val="32"/>
        </w:rPr>
      </w:pPr>
      <w:r>
        <w:rPr>
          <w:rFonts w:hint="eastAsia" w:ascii="宋体" w:hAnsi="宋体" w:cs="宋体"/>
          <w:b/>
          <w:color w:val="auto"/>
          <w:sz w:val="32"/>
        </w:rPr>
        <w:br w:type="page"/>
      </w:r>
      <w:bookmarkStart w:id="7" w:name="_Toc15715"/>
      <w:r>
        <w:rPr>
          <w:rFonts w:hint="eastAsia" w:ascii="宋体" w:hAnsi="宋体" w:cs="宋体"/>
          <w:b/>
          <w:color w:val="auto"/>
          <w:sz w:val="32"/>
        </w:rPr>
        <w:t>第二章 磋商供应商须知前附表</w:t>
      </w:r>
      <w:bookmarkEnd w:id="7"/>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99" w:type="pct"/>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4600" w:type="pct"/>
            <w:vAlign w:val="center"/>
          </w:tcPr>
          <w:p>
            <w:pPr>
              <w:jc w:val="center"/>
              <w:rPr>
                <w:rFonts w:hint="eastAsia" w:ascii="宋体" w:hAnsi="宋体" w:cs="宋体"/>
                <w:color w:val="auto"/>
                <w:szCs w:val="21"/>
              </w:rPr>
            </w:pPr>
            <w:r>
              <w:rPr>
                <w:rFonts w:hint="eastAsia" w:ascii="宋体" w:hAnsi="宋体" w:cs="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w:t>
            </w:r>
          </w:p>
        </w:tc>
        <w:tc>
          <w:tcPr>
            <w:tcW w:w="4600" w:type="pct"/>
            <w:vAlign w:val="center"/>
          </w:tcPr>
          <w:p>
            <w:pPr>
              <w:spacing w:line="360" w:lineRule="exact"/>
              <w:rPr>
                <w:rFonts w:hint="eastAsia" w:ascii="宋体" w:hAnsi="宋体" w:cs="宋体"/>
                <w:color w:val="auto"/>
                <w:szCs w:val="21"/>
              </w:rPr>
            </w:pPr>
            <w:r>
              <w:rPr>
                <w:rFonts w:hint="eastAsia" w:ascii="宋体" w:hAnsi="宋体" w:cs="宋体"/>
                <w:color w:val="auto"/>
                <w:szCs w:val="21"/>
              </w:rPr>
              <w:t>项目名称：申报“中国长寿之乡”项目</w:t>
            </w:r>
          </w:p>
          <w:p>
            <w:pPr>
              <w:spacing w:line="360" w:lineRule="exact"/>
              <w:rPr>
                <w:rFonts w:hint="eastAsia" w:ascii="宋体" w:hAnsi="宋体" w:eastAsia="宋体" w:cs="宋体"/>
                <w:color w:val="auto"/>
                <w:szCs w:val="21"/>
                <w:u w:val="single"/>
                <w:lang w:eastAsia="zh-CN"/>
              </w:rPr>
            </w:pPr>
            <w:r>
              <w:rPr>
                <w:rFonts w:hint="eastAsia" w:ascii="宋体" w:hAnsi="宋体" w:cs="宋体"/>
                <w:color w:val="auto"/>
                <w:szCs w:val="21"/>
              </w:rPr>
              <w:t>项目编号：</w:t>
            </w:r>
            <w:r>
              <w:rPr>
                <w:rFonts w:hint="eastAsia" w:ascii="宋体" w:hAnsi="宋体" w:cs="宋体"/>
                <w:color w:val="auto"/>
                <w:szCs w:val="21"/>
                <w:lang w:eastAsia="zh-CN"/>
              </w:rPr>
              <w:t>FCZC2020-C3-30012-OBZX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2</w:t>
            </w:r>
          </w:p>
        </w:tc>
        <w:tc>
          <w:tcPr>
            <w:tcW w:w="4600" w:type="pct"/>
            <w:vAlign w:val="center"/>
          </w:tcPr>
          <w:p>
            <w:pPr>
              <w:spacing w:line="360" w:lineRule="exact"/>
              <w:rPr>
                <w:rFonts w:hint="eastAsia" w:ascii="宋体" w:hAnsi="宋体" w:cs="宋体"/>
                <w:b/>
                <w:bCs/>
                <w:color w:val="auto"/>
                <w:szCs w:val="21"/>
              </w:rPr>
            </w:pPr>
            <w:r>
              <w:rPr>
                <w:rFonts w:hint="eastAsia" w:ascii="宋体" w:hAnsi="宋体" w:cs="宋体"/>
                <w:b/>
                <w:color w:val="auto"/>
                <w:szCs w:val="21"/>
              </w:rPr>
              <w:t>磋商供应商资格</w:t>
            </w:r>
            <w:r>
              <w:rPr>
                <w:rFonts w:hint="eastAsia" w:ascii="宋体" w:hAnsi="宋体" w:cs="宋体"/>
                <w:b/>
                <w:bCs/>
                <w:color w:val="auto"/>
                <w:szCs w:val="21"/>
              </w:rPr>
              <w:t>：</w:t>
            </w:r>
          </w:p>
          <w:p>
            <w:pPr>
              <w:spacing w:line="400" w:lineRule="exact"/>
              <w:rPr>
                <w:rFonts w:hint="eastAsia" w:ascii="宋体" w:hAnsi="宋体" w:cs="宋体"/>
                <w:bCs/>
                <w:color w:val="auto"/>
                <w:szCs w:val="21"/>
              </w:rPr>
            </w:pPr>
            <w:r>
              <w:rPr>
                <w:rFonts w:hint="eastAsia" w:ascii="宋体" w:hAnsi="宋体" w:cs="宋体"/>
                <w:bCs/>
                <w:color w:val="auto"/>
                <w:szCs w:val="21"/>
              </w:rPr>
              <w:t>1.满足《中华人民共和国政府采购法》第二十二条规定。</w:t>
            </w:r>
          </w:p>
          <w:p>
            <w:pPr>
              <w:spacing w:line="400" w:lineRule="exact"/>
              <w:rPr>
                <w:rFonts w:hint="eastAsia" w:ascii="宋体" w:hAnsi="宋体" w:cs="宋体"/>
                <w:bCs/>
                <w:color w:val="auto"/>
                <w:szCs w:val="21"/>
              </w:rPr>
            </w:pPr>
            <w:r>
              <w:rPr>
                <w:rFonts w:hint="eastAsia" w:ascii="宋体" w:hAnsi="宋体" w:cs="宋体"/>
                <w:bCs/>
                <w:color w:val="auto"/>
                <w:szCs w:val="21"/>
              </w:rPr>
              <w:t>2.落实政府采购政策需满足的资格要求：无。</w:t>
            </w:r>
          </w:p>
          <w:p>
            <w:pPr>
              <w:spacing w:line="400" w:lineRule="exact"/>
              <w:rPr>
                <w:rFonts w:hint="eastAsia" w:ascii="宋体" w:hAnsi="宋体" w:cs="宋体"/>
                <w:bCs/>
                <w:color w:val="auto"/>
                <w:szCs w:val="21"/>
              </w:rPr>
            </w:pPr>
            <w:r>
              <w:rPr>
                <w:rFonts w:hint="eastAsia" w:ascii="宋体" w:hAnsi="宋体" w:cs="宋体"/>
                <w:bCs/>
                <w:color w:val="auto"/>
                <w:szCs w:val="21"/>
              </w:rPr>
              <w:t>3.本项目的特定资格要求：无。</w:t>
            </w:r>
          </w:p>
          <w:p>
            <w:pPr>
              <w:spacing w:line="400" w:lineRule="exact"/>
              <w:rPr>
                <w:rFonts w:hint="eastAsia" w:ascii="宋体" w:hAnsi="宋体" w:cs="宋体"/>
                <w:bCs/>
                <w:color w:val="auto"/>
                <w:szCs w:val="21"/>
              </w:rPr>
            </w:pPr>
            <w:r>
              <w:rPr>
                <w:rFonts w:hint="eastAsia" w:ascii="宋体" w:hAnsi="宋体" w:cs="宋体"/>
                <w:bCs/>
                <w:color w:val="auto"/>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rPr>
                <w:rFonts w:hint="eastAsia" w:ascii="宋体" w:hAnsi="宋体" w:cs="宋体"/>
                <w:bCs/>
                <w:color w:val="auto"/>
                <w:szCs w:val="21"/>
              </w:rPr>
            </w:pPr>
            <w:r>
              <w:rPr>
                <w:rFonts w:hint="eastAsia" w:ascii="宋体" w:hAnsi="宋体" w:cs="宋体"/>
                <w:bCs/>
                <w:color w:val="auto"/>
                <w:szCs w:val="21"/>
              </w:rPr>
              <w:t>5.对在“信用中国”网站、中国政府采购网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3</w:t>
            </w:r>
          </w:p>
        </w:tc>
        <w:tc>
          <w:tcPr>
            <w:tcW w:w="4600" w:type="pct"/>
            <w:vAlign w:val="center"/>
          </w:tcPr>
          <w:p>
            <w:pPr>
              <w:pStyle w:val="18"/>
              <w:spacing w:line="360" w:lineRule="exact"/>
              <w:rPr>
                <w:rFonts w:hint="eastAsia" w:hAnsi="宋体" w:cs="宋体"/>
                <w:color w:val="auto"/>
                <w:szCs w:val="21"/>
              </w:rPr>
            </w:pPr>
            <w:r>
              <w:rPr>
                <w:rFonts w:hint="eastAsia" w:hAnsi="宋体" w:cs="宋体"/>
                <w:b/>
                <w:bCs/>
                <w:color w:val="auto"/>
                <w:szCs w:val="21"/>
              </w:rPr>
              <w:t>磋商报价：</w:t>
            </w:r>
            <w:r>
              <w:rPr>
                <w:rFonts w:hint="eastAsia" w:hAnsi="宋体" w:cs="宋体"/>
                <w:color w:val="auto"/>
                <w:szCs w:val="21"/>
              </w:rPr>
              <w:t>磋商供应商必须就“项目采购需求”一览表中所有服务内容作完整有效唯一报价，否则磋商无效。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4</w:t>
            </w:r>
          </w:p>
        </w:tc>
        <w:tc>
          <w:tcPr>
            <w:tcW w:w="4600" w:type="pct"/>
            <w:vAlign w:val="center"/>
          </w:tcPr>
          <w:p>
            <w:pPr>
              <w:spacing w:line="360" w:lineRule="exact"/>
              <w:rPr>
                <w:rFonts w:hint="eastAsia" w:ascii="宋体" w:hAnsi="宋体" w:cs="宋体"/>
                <w:color w:val="auto"/>
                <w:szCs w:val="21"/>
              </w:rPr>
            </w:pPr>
            <w:r>
              <w:rPr>
                <w:rFonts w:hint="eastAsia" w:ascii="宋体" w:hAnsi="宋体" w:cs="宋体"/>
                <w:b/>
                <w:bCs/>
                <w:color w:val="auto"/>
                <w:szCs w:val="21"/>
              </w:rPr>
              <w:t>磋商响应文件份数：</w:t>
            </w:r>
            <w:r>
              <w:rPr>
                <w:rFonts w:hint="eastAsia" w:ascii="宋体" w:hAnsi="宋体" w:cs="宋体"/>
                <w:color w:val="auto"/>
                <w:szCs w:val="21"/>
              </w:rPr>
              <w:t>正本一份，副本四份。可编辑的响应文件电子版（U盘）一份。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5</w:t>
            </w:r>
          </w:p>
        </w:tc>
        <w:tc>
          <w:tcPr>
            <w:tcW w:w="4600" w:type="pct"/>
            <w:vAlign w:val="center"/>
          </w:tcPr>
          <w:p>
            <w:pPr>
              <w:spacing w:line="360" w:lineRule="exact"/>
              <w:rPr>
                <w:rFonts w:hint="eastAsia" w:ascii="宋体" w:hAnsi="宋体" w:cs="宋体"/>
                <w:color w:val="auto"/>
                <w:szCs w:val="21"/>
              </w:rPr>
            </w:pPr>
            <w:r>
              <w:rPr>
                <w:rFonts w:hint="eastAsia" w:ascii="宋体" w:hAnsi="宋体" w:cs="宋体"/>
                <w:color w:val="auto"/>
                <w:szCs w:val="21"/>
              </w:rPr>
              <w:t>磋商有效期：60天，自供应商提交响应文件之日起计算。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6</w:t>
            </w:r>
          </w:p>
        </w:tc>
        <w:tc>
          <w:tcPr>
            <w:tcW w:w="4600" w:type="pct"/>
            <w:vAlign w:val="center"/>
          </w:tcPr>
          <w:p>
            <w:pPr>
              <w:spacing w:line="360" w:lineRule="exact"/>
              <w:rPr>
                <w:rFonts w:hint="eastAsia" w:ascii="宋体" w:hAnsi="宋体" w:cs="宋体"/>
                <w:color w:val="auto"/>
                <w:szCs w:val="21"/>
              </w:rPr>
            </w:pPr>
            <w:r>
              <w:rPr>
                <w:rFonts w:hint="eastAsia" w:ascii="宋体" w:hAnsi="宋体" w:cs="宋体"/>
                <w:color w:val="auto"/>
                <w:szCs w:val="21"/>
              </w:rPr>
              <w:t>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7</w:t>
            </w:r>
          </w:p>
        </w:tc>
        <w:tc>
          <w:tcPr>
            <w:tcW w:w="4600" w:type="pct"/>
            <w:vAlign w:val="center"/>
          </w:tcPr>
          <w:p>
            <w:pPr>
              <w:pStyle w:val="18"/>
              <w:spacing w:line="360" w:lineRule="exact"/>
              <w:rPr>
                <w:rFonts w:hint="eastAsia" w:hAnsi="宋体" w:cs="宋体"/>
                <w:color w:val="auto"/>
                <w:szCs w:val="21"/>
              </w:rPr>
            </w:pPr>
            <w:r>
              <w:rPr>
                <w:rFonts w:hint="eastAsia" w:hAnsi="宋体" w:cs="宋体"/>
                <w:color w:val="auto"/>
                <w:szCs w:val="21"/>
              </w:rPr>
              <w:t>磋商响应文件递交截止时间及地点：详见竞争性磋商公告。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8</w:t>
            </w:r>
          </w:p>
        </w:tc>
        <w:tc>
          <w:tcPr>
            <w:tcW w:w="4600" w:type="pct"/>
            <w:vAlign w:val="center"/>
          </w:tcPr>
          <w:p>
            <w:pPr>
              <w:spacing w:line="360" w:lineRule="exact"/>
              <w:rPr>
                <w:rFonts w:hint="eastAsia" w:ascii="宋体" w:hAnsi="宋体" w:cs="宋体"/>
                <w:color w:val="auto"/>
                <w:szCs w:val="21"/>
              </w:rPr>
            </w:pPr>
            <w:r>
              <w:rPr>
                <w:rFonts w:hint="eastAsia" w:ascii="宋体" w:hAnsi="宋体" w:cs="宋体"/>
                <w:color w:val="auto"/>
                <w:szCs w:val="21"/>
              </w:rPr>
              <w:t>磋商时间及地点：</w:t>
            </w:r>
            <w:r>
              <w:rPr>
                <w:rFonts w:hint="eastAsia" w:hAnsi="宋体" w:cs="宋体"/>
                <w:color w:val="auto"/>
                <w:szCs w:val="21"/>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9</w:t>
            </w:r>
          </w:p>
        </w:tc>
        <w:tc>
          <w:tcPr>
            <w:tcW w:w="4600" w:type="pct"/>
            <w:vAlign w:val="center"/>
          </w:tcPr>
          <w:p>
            <w:pPr>
              <w:spacing w:line="360" w:lineRule="exact"/>
              <w:rPr>
                <w:rFonts w:hint="eastAsia" w:ascii="宋体" w:hAnsi="宋体" w:cs="宋体"/>
                <w:color w:val="auto"/>
                <w:szCs w:val="21"/>
              </w:rPr>
            </w:pPr>
            <w:r>
              <w:rPr>
                <w:rFonts w:hint="eastAsia" w:ascii="宋体" w:hAnsi="宋体" w:cs="宋体"/>
                <w:color w:val="auto"/>
                <w:szCs w:val="21"/>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399"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4600" w:type="pct"/>
            <w:vAlign w:val="center"/>
          </w:tcPr>
          <w:p>
            <w:pPr>
              <w:autoSpaceDE w:val="0"/>
              <w:autoSpaceDN w:val="0"/>
              <w:snapToGrid w:val="0"/>
              <w:spacing w:line="320" w:lineRule="exact"/>
              <w:textAlignment w:val="bottom"/>
              <w:rPr>
                <w:rFonts w:hint="eastAsia" w:hAnsi="宋体" w:cs="宋体"/>
                <w:b/>
                <w:color w:val="auto"/>
              </w:rPr>
            </w:pPr>
            <w:r>
              <w:rPr>
                <w:rFonts w:hint="eastAsia" w:hAnsi="宋体" w:cs="宋体"/>
                <w:b/>
                <w:color w:val="auto"/>
              </w:rPr>
              <w:t xml:space="preserve">签订合同携带的资格证件： </w:t>
            </w:r>
          </w:p>
          <w:p>
            <w:pPr>
              <w:autoSpaceDE w:val="0"/>
              <w:autoSpaceDN w:val="0"/>
              <w:snapToGrid w:val="0"/>
              <w:spacing w:line="320" w:lineRule="exact"/>
              <w:textAlignment w:val="bottom"/>
              <w:rPr>
                <w:rFonts w:hint="eastAsia" w:hAnsi="宋体" w:cs="宋体"/>
                <w:bCs/>
                <w:color w:val="auto"/>
              </w:rPr>
            </w:pPr>
            <w:r>
              <w:rPr>
                <w:rFonts w:hint="eastAsia" w:hAnsi="宋体" w:cs="宋体"/>
                <w:bCs/>
                <w:color w:val="auto"/>
              </w:rPr>
              <w:t>委托代理人负责签订合同的，须携带授权委托书及委托代理人身份证原件等其它资格证件。</w:t>
            </w:r>
          </w:p>
          <w:p>
            <w:pPr>
              <w:autoSpaceDE w:val="0"/>
              <w:autoSpaceDN w:val="0"/>
              <w:snapToGrid w:val="0"/>
              <w:spacing w:line="320" w:lineRule="exact"/>
              <w:textAlignment w:val="bottom"/>
              <w:rPr>
                <w:rFonts w:hint="eastAsia" w:hAnsi="宋体" w:cs="宋体"/>
                <w:bCs/>
                <w:color w:val="auto"/>
              </w:rPr>
            </w:pPr>
            <w:r>
              <w:rPr>
                <w:rFonts w:hint="eastAsia" w:hAnsi="宋体" w:cs="宋体"/>
                <w:bCs/>
                <w:color w:val="auto"/>
              </w:rPr>
              <w:t>法定代表人负责签订合同的，须携带法定代表人身份证明原件及身份证原件等其它资格证件。</w:t>
            </w:r>
          </w:p>
          <w:p>
            <w:pPr>
              <w:spacing w:line="360" w:lineRule="exact"/>
              <w:rPr>
                <w:rFonts w:hint="eastAsia" w:ascii="宋体" w:hAnsi="宋体" w:cs="宋体"/>
                <w:color w:val="auto"/>
                <w:szCs w:val="21"/>
              </w:rPr>
            </w:pPr>
            <w:r>
              <w:rPr>
                <w:rFonts w:hint="eastAsia" w:hAnsi="宋体" w:cs="宋体"/>
                <w:bCs/>
                <w:color w:val="auto"/>
              </w:rPr>
              <w:t>签订合同日期：采购人须在成交通知书发出之日起25日内和成交人签订政府采购合同。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99" w:type="pct"/>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11</w:t>
            </w:r>
          </w:p>
        </w:tc>
        <w:tc>
          <w:tcPr>
            <w:tcW w:w="4600" w:type="pct"/>
            <w:vAlign w:val="center"/>
          </w:tcPr>
          <w:p>
            <w:pPr>
              <w:spacing w:line="360" w:lineRule="exact"/>
              <w:rPr>
                <w:rFonts w:hint="eastAsia" w:ascii="宋体" w:hAnsi="宋体" w:cs="宋体"/>
                <w:color w:val="auto"/>
                <w:szCs w:val="21"/>
              </w:rPr>
            </w:pPr>
            <w:r>
              <w:rPr>
                <w:rFonts w:hint="eastAsia" w:ascii="宋体" w:hAnsi="宋体" w:cs="宋体"/>
                <w:b/>
                <w:bCs/>
                <w:color w:val="auto"/>
                <w:szCs w:val="21"/>
              </w:rPr>
              <w:t>代理服务费：</w:t>
            </w:r>
            <w:r>
              <w:rPr>
                <w:rFonts w:hint="eastAsia" w:ascii="宋体" w:hAnsi="宋体" w:cs="宋体"/>
                <w:color w:val="auto"/>
                <w:szCs w:val="21"/>
              </w:rPr>
              <w:t>本项目成交服务费参照桂价费〔2011〕55号文件规定按差额法计算收取，由成交人在领取成交通知书时一次性向采购代理机构支付。否则，采购代理机构将视之为违约。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99"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12</w:t>
            </w:r>
          </w:p>
        </w:tc>
        <w:tc>
          <w:tcPr>
            <w:tcW w:w="4600" w:type="pct"/>
            <w:vAlign w:val="center"/>
          </w:tcPr>
          <w:p>
            <w:pPr>
              <w:spacing w:line="360" w:lineRule="exact"/>
              <w:rPr>
                <w:rFonts w:hint="eastAsia" w:ascii="宋体" w:hAnsi="宋体" w:cs="宋体"/>
                <w:b/>
                <w:bCs/>
                <w:color w:val="auto"/>
                <w:szCs w:val="21"/>
              </w:rPr>
            </w:pPr>
            <w:r>
              <w:rPr>
                <w:rFonts w:hint="eastAsia" w:ascii="宋体" w:hAnsi="宋体" w:cs="宋体"/>
                <w:b/>
                <w:color w:val="auto"/>
              </w:rPr>
              <w:t>评标方法</w:t>
            </w:r>
            <w:r>
              <w:rPr>
                <w:rFonts w:hint="eastAsia" w:ascii="宋体" w:hAnsi="宋体" w:cs="宋体"/>
                <w:color w:val="auto"/>
              </w:rPr>
              <w:t>：</w:t>
            </w:r>
            <w:r>
              <w:rPr>
                <w:rFonts w:hint="eastAsia" w:hAnsi="宋体"/>
                <w:color w:val="auto"/>
              </w:rPr>
              <w:t>综合评分法</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99" w:type="pct"/>
            <w:vAlign w:val="center"/>
          </w:tcPr>
          <w:p>
            <w:pPr>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3</w:t>
            </w:r>
          </w:p>
        </w:tc>
        <w:tc>
          <w:tcPr>
            <w:tcW w:w="4600" w:type="pct"/>
            <w:vAlign w:val="center"/>
          </w:tcPr>
          <w:p>
            <w:pPr>
              <w:spacing w:line="400" w:lineRule="exact"/>
              <w:rPr>
                <w:rFonts w:hint="eastAsia" w:ascii="宋体" w:hAnsi="宋体" w:cs="宋体"/>
                <w:color w:val="auto"/>
                <w:szCs w:val="21"/>
              </w:rPr>
            </w:pPr>
            <w:r>
              <w:rPr>
                <w:rFonts w:hint="eastAsia" w:ascii="宋体" w:hAnsi="宋体" w:cs="宋体"/>
                <w:color w:val="auto"/>
                <w:szCs w:val="21"/>
              </w:rPr>
              <w:t>本项目采购文件解释权属于采购人和采购代理机构。</w:t>
            </w:r>
          </w:p>
        </w:tc>
      </w:tr>
    </w:tbl>
    <w:p>
      <w:pPr>
        <w:spacing w:line="400" w:lineRule="exact"/>
        <w:jc w:val="center"/>
        <w:rPr>
          <w:rFonts w:hint="eastAsia" w:ascii="宋体" w:hAnsi="宋体" w:cs="宋体"/>
          <w:b/>
          <w:color w:val="auto"/>
          <w:sz w:val="32"/>
          <w:szCs w:val="32"/>
          <w:highlight w:val="cyan"/>
        </w:rPr>
      </w:pPr>
      <w:r>
        <w:rPr>
          <w:rFonts w:hint="eastAsia" w:ascii="宋体" w:hAnsi="宋体" w:cs="宋体"/>
          <w:b/>
          <w:color w:val="auto"/>
          <w:sz w:val="32"/>
          <w:szCs w:val="32"/>
        </w:rPr>
        <w:br w:type="page"/>
      </w:r>
      <w:r>
        <w:rPr>
          <w:rFonts w:hint="eastAsia" w:ascii="宋体" w:hAnsi="宋体" w:cs="宋体"/>
          <w:b/>
          <w:color w:val="auto"/>
          <w:sz w:val="32"/>
          <w:szCs w:val="32"/>
        </w:rPr>
        <w:t>磋商供应商须知</w:t>
      </w:r>
    </w:p>
    <w:p>
      <w:pPr>
        <w:spacing w:line="400" w:lineRule="exact"/>
        <w:ind w:firstLine="482" w:firstLineChars="200"/>
        <w:rPr>
          <w:rFonts w:hint="eastAsia" w:ascii="宋体" w:hAnsi="宋体" w:cs="宋体"/>
          <w:b/>
          <w:color w:val="auto"/>
          <w:sz w:val="24"/>
        </w:rPr>
      </w:pPr>
    </w:p>
    <w:p>
      <w:pPr>
        <w:spacing w:line="420" w:lineRule="exact"/>
        <w:ind w:firstLine="482" w:firstLineChars="200"/>
        <w:jc w:val="center"/>
        <w:rPr>
          <w:rFonts w:hint="eastAsia" w:ascii="宋体" w:hAnsi="宋体" w:cs="宋体"/>
          <w:b/>
          <w:color w:val="auto"/>
          <w:sz w:val="24"/>
        </w:rPr>
      </w:pPr>
      <w:r>
        <w:rPr>
          <w:rFonts w:hint="eastAsia" w:ascii="宋体" w:hAnsi="宋体" w:cs="宋体"/>
          <w:b/>
          <w:color w:val="auto"/>
          <w:sz w:val="24"/>
        </w:rPr>
        <w:t>一、总　则</w:t>
      </w:r>
    </w:p>
    <w:p>
      <w:pPr>
        <w:spacing w:line="420" w:lineRule="exact"/>
        <w:ind w:firstLine="480" w:firstLineChars="200"/>
        <w:rPr>
          <w:rFonts w:hint="eastAsia" w:ascii="宋体" w:hAnsi="宋体" w:cs="宋体"/>
          <w:color w:val="auto"/>
          <w:sz w:val="24"/>
        </w:rPr>
      </w:pPr>
    </w:p>
    <w:p>
      <w:pPr>
        <w:spacing w:line="360" w:lineRule="exact"/>
        <w:ind w:firstLine="420" w:firstLineChars="200"/>
        <w:rPr>
          <w:rFonts w:hint="eastAsia" w:ascii="宋体" w:hAnsi="宋体" w:cs="宋体"/>
          <w:b/>
          <w:color w:val="auto"/>
          <w:szCs w:val="21"/>
        </w:rPr>
      </w:pPr>
      <w:r>
        <w:rPr>
          <w:rFonts w:hint="eastAsia" w:ascii="宋体" w:hAnsi="宋体" w:cs="宋体"/>
          <w:color w:val="auto"/>
          <w:szCs w:val="21"/>
        </w:rPr>
        <w:t>1.适用范围</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本文件仅适用于本文件中所叙述的服务类政府采购项目。</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 定义</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2.1“采购人”是指：防城港市防城区民政局。</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2.2“采购代理机构”是指：欧邦工程管理集团有限公司。</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2.3“磋商供应商”是指响应本文件要求，参加磋商的法人或者其他组织。如果该供应商在本次磋商中成交,即成为“成交供应商”。</w:t>
      </w:r>
    </w:p>
    <w:p>
      <w:pPr>
        <w:spacing w:line="360" w:lineRule="exact"/>
        <w:ind w:firstLine="420" w:firstLineChars="200"/>
        <w:rPr>
          <w:rFonts w:hint="eastAsia" w:ascii="宋体" w:hAnsi="宋体" w:cs="宋体"/>
          <w:snapToGrid w:val="0"/>
          <w:color w:val="auto"/>
          <w:kern w:val="0"/>
          <w:szCs w:val="21"/>
        </w:rPr>
      </w:pPr>
      <w:r>
        <w:rPr>
          <w:rFonts w:hint="eastAsia" w:ascii="宋体" w:hAnsi="宋体" w:cs="宋体"/>
          <w:snapToGrid w:val="0"/>
          <w:color w:val="auto"/>
          <w:kern w:val="0"/>
          <w:szCs w:val="21"/>
        </w:rPr>
        <w:t>2.4“货物”是指各种形态和种类的物品，包括原材料、燃料、设备、产品等。</w:t>
      </w:r>
    </w:p>
    <w:p>
      <w:pPr>
        <w:spacing w:line="360" w:lineRule="exact"/>
        <w:ind w:firstLine="420" w:firstLineChars="200"/>
        <w:rPr>
          <w:rFonts w:hint="eastAsia" w:ascii="宋体" w:hAnsi="宋体" w:cs="宋体"/>
          <w:snapToGrid w:val="0"/>
          <w:color w:val="auto"/>
          <w:kern w:val="0"/>
          <w:szCs w:val="21"/>
        </w:rPr>
      </w:pPr>
      <w:r>
        <w:rPr>
          <w:rFonts w:hint="eastAsia" w:ascii="宋体" w:hAnsi="宋体" w:cs="宋体"/>
          <w:snapToGrid w:val="0"/>
          <w:color w:val="auto"/>
          <w:kern w:val="0"/>
          <w:szCs w:val="21"/>
        </w:rPr>
        <w:t>2.5“服务”是指除货物和工程以外的其他政府采购对象。</w:t>
      </w:r>
    </w:p>
    <w:p>
      <w:pPr>
        <w:spacing w:line="360" w:lineRule="exact"/>
        <w:ind w:firstLine="420" w:firstLineChars="200"/>
        <w:rPr>
          <w:rFonts w:hint="eastAsia" w:ascii="宋体" w:hAnsi="宋体" w:cs="宋体"/>
          <w:snapToGrid w:val="0"/>
          <w:color w:val="auto"/>
          <w:kern w:val="0"/>
          <w:szCs w:val="21"/>
        </w:rPr>
      </w:pPr>
      <w:r>
        <w:rPr>
          <w:rFonts w:hint="eastAsia" w:ascii="宋体" w:hAnsi="宋体" w:cs="宋体"/>
          <w:snapToGrid w:val="0"/>
          <w:color w:val="auto"/>
          <w:kern w:val="0"/>
          <w:szCs w:val="21"/>
        </w:rPr>
        <w:t>2.6“竞争性磋商响应文件”是指：供应商根据本采购文件要求，编制包含报价、技术和服务等所有内容的文件，也称磋商文件。</w:t>
      </w:r>
    </w:p>
    <w:p>
      <w:pPr>
        <w:snapToGrid w:val="0"/>
        <w:spacing w:line="360" w:lineRule="exact"/>
        <w:ind w:firstLine="420" w:firstLineChars="200"/>
        <w:jc w:val="left"/>
        <w:rPr>
          <w:rFonts w:hint="eastAsia" w:ascii="宋体" w:hAnsi="宋体" w:cs="宋体"/>
          <w:snapToGrid w:val="0"/>
          <w:color w:val="auto"/>
          <w:kern w:val="0"/>
          <w:szCs w:val="21"/>
        </w:rPr>
      </w:pPr>
      <w:r>
        <w:rPr>
          <w:rFonts w:hint="eastAsia" w:ascii="宋体" w:hAnsi="宋体" w:cs="宋体"/>
          <w:snapToGrid w:val="0"/>
          <w:color w:val="auto"/>
          <w:kern w:val="0"/>
          <w:szCs w:val="21"/>
        </w:rPr>
        <w:t>2.7“ 磋商供应商公章”系指磋商供应商用自己法定主体名称制作的签名印章，不包含专用章。</w:t>
      </w:r>
    </w:p>
    <w:p>
      <w:pPr>
        <w:spacing w:line="360" w:lineRule="exact"/>
        <w:ind w:firstLine="420" w:firstLineChars="200"/>
        <w:rPr>
          <w:rFonts w:hint="eastAsia" w:ascii="宋体" w:hAnsi="宋体" w:cs="宋体"/>
          <w:b/>
          <w:color w:val="auto"/>
          <w:szCs w:val="21"/>
        </w:rPr>
      </w:pPr>
      <w:r>
        <w:rPr>
          <w:rFonts w:hint="eastAsia" w:ascii="宋体" w:hAnsi="宋体" w:cs="宋体"/>
          <w:snapToGrid w:val="0"/>
          <w:color w:val="auto"/>
          <w:kern w:val="0"/>
          <w:szCs w:val="21"/>
        </w:rPr>
        <w:t>2.8 “财政部门指定的政府采购信息发布媒体”系指</w:t>
      </w:r>
      <w:r>
        <w:rPr>
          <w:rFonts w:hint="eastAsia" w:ascii="宋体" w:hAnsi="宋体" w:cs="宋体"/>
          <w:bCs/>
          <w:color w:val="auto"/>
          <w:szCs w:val="21"/>
        </w:rPr>
        <w:t>中国政府采购网、广西壮族自治区政府采购网、防城港市公共资源交易中心</w:t>
      </w:r>
      <w:r>
        <w:rPr>
          <w:rFonts w:hint="eastAsia" w:ascii="宋体" w:hAnsi="宋体" w:cs="宋体"/>
          <w:bCs/>
          <w:color w:val="auto"/>
          <w:szCs w:val="21"/>
          <w:lang w:val="en-US" w:eastAsia="zh-CN"/>
        </w:rPr>
        <w:t>网、防城港市防城区政府门户网</w:t>
      </w:r>
      <w:r>
        <w:rPr>
          <w:rFonts w:hint="eastAsia" w:ascii="宋体" w:hAnsi="宋体" w:cs="宋体"/>
          <w:bCs/>
          <w:color w:val="auto"/>
          <w:szCs w:val="21"/>
        </w:rPr>
        <w:t>。</w:t>
      </w:r>
    </w:p>
    <w:p>
      <w:pPr>
        <w:spacing w:line="360" w:lineRule="exact"/>
        <w:ind w:firstLine="420" w:firstLineChars="200"/>
        <w:rPr>
          <w:rFonts w:hint="eastAsia" w:ascii="宋体" w:hAnsi="宋体" w:cs="宋体"/>
          <w:snapToGrid w:val="0"/>
          <w:color w:val="auto"/>
          <w:kern w:val="0"/>
          <w:szCs w:val="21"/>
        </w:rPr>
      </w:pPr>
      <w:r>
        <w:rPr>
          <w:rFonts w:hint="eastAsia" w:ascii="宋体" w:hAnsi="宋体" w:cs="宋体"/>
          <w:snapToGrid w:val="0"/>
          <w:color w:val="auto"/>
          <w:kern w:val="0"/>
          <w:szCs w:val="21"/>
        </w:rPr>
        <w:t>3磋商供应商资格及要求：</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3.1满足《中华人民共和国政府采购法》第二十二条规定。</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3.2落实政府采购政策需满足的资格要求：无。</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3.3本项目的特定资格要求：无。</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3.4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exact"/>
        <w:ind w:firstLine="420" w:firstLineChars="200"/>
        <w:rPr>
          <w:rFonts w:hint="eastAsia" w:ascii="宋体" w:hAnsi="宋体" w:cs="宋体"/>
          <w:color w:val="auto"/>
          <w:szCs w:val="21"/>
        </w:rPr>
      </w:pPr>
      <w:r>
        <w:rPr>
          <w:rFonts w:hint="eastAsia" w:ascii="宋体" w:hAnsi="宋体" w:cs="宋体"/>
          <w:bCs/>
          <w:color w:val="auto"/>
          <w:szCs w:val="21"/>
        </w:rPr>
        <w:t>3.5对在“信用中国”网站、中国政府采购网被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szCs w:val="21"/>
        </w:rPr>
        <w:t>4.磋商费用</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磋商供应商应自行承担所有与编写和提交竞争性磋商响应文件有关的费用，不论磋商结果如何，采购人和采购代理机构在任何情况下无义务和责任承担此类费用。</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5.联合体磋商</w:t>
      </w:r>
    </w:p>
    <w:p>
      <w:pPr>
        <w:spacing w:line="360" w:lineRule="exact"/>
        <w:ind w:firstLine="462" w:firstLineChars="220"/>
        <w:rPr>
          <w:rFonts w:hint="eastAsia" w:ascii="宋体" w:hAnsi="宋体" w:cs="宋体"/>
          <w:color w:val="auto"/>
          <w:szCs w:val="21"/>
        </w:rPr>
      </w:pPr>
      <w:r>
        <w:rPr>
          <w:rFonts w:hint="eastAsia" w:ascii="宋体" w:hAnsi="宋体" w:cs="宋体"/>
          <w:color w:val="auto"/>
          <w:szCs w:val="21"/>
        </w:rPr>
        <w:t>本项目不接受联合体磋商。</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 xml:space="preserve">6.转包与分包             </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6.1本项目不允许转包。</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6.2本项目不可以分包。</w:t>
      </w:r>
    </w:p>
    <w:p>
      <w:pPr>
        <w:pStyle w:val="18"/>
        <w:snapToGrid w:val="0"/>
        <w:spacing w:line="360" w:lineRule="exact"/>
        <w:ind w:firstLine="413" w:firstLineChars="196"/>
        <w:outlineLvl w:val="1"/>
        <w:rPr>
          <w:rFonts w:hint="eastAsia" w:hAnsi="宋体" w:cs="宋体"/>
          <w:b/>
          <w:bCs/>
          <w:color w:val="auto"/>
          <w:szCs w:val="21"/>
        </w:rPr>
      </w:pPr>
      <w:bookmarkStart w:id="8" w:name="_Toc254970674"/>
      <w:bookmarkStart w:id="9" w:name="_Toc254970533"/>
      <w:bookmarkStart w:id="10" w:name="_Toc4380"/>
      <w:r>
        <w:rPr>
          <w:rFonts w:hint="eastAsia" w:hAnsi="宋体" w:cs="宋体"/>
          <w:b/>
          <w:bCs/>
          <w:color w:val="auto"/>
          <w:szCs w:val="21"/>
        </w:rPr>
        <w:t>7.质疑和投诉</w:t>
      </w:r>
      <w:bookmarkEnd w:id="8"/>
      <w:bookmarkEnd w:id="9"/>
      <w:bookmarkEnd w:id="10"/>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7.1磋商供应商认为采购过程或成交结果使自己的合法权益受到损害的，应当在知道或者应知其权益受到损害之日起七个工作日内，以书面形式向采购代理机构提出质疑。</w:t>
      </w:r>
      <w:r>
        <w:rPr>
          <w:rFonts w:hint="eastAsia" w:hAnsi="宋体" w:cs="宋体"/>
          <w:color w:val="auto"/>
          <w:szCs w:val="21"/>
        </w:rPr>
        <w:t>磋商供应商对</w:t>
      </w:r>
      <w:r>
        <w:rPr>
          <w:rFonts w:hint="eastAsia" w:hAnsi="宋体" w:cs="宋体"/>
          <w:bCs/>
          <w:color w:val="auto"/>
          <w:szCs w:val="21"/>
        </w:rPr>
        <w:t>采购代理机构</w:t>
      </w:r>
      <w:r>
        <w:rPr>
          <w:rFonts w:hint="eastAsia" w:hAnsi="宋体" w:cs="宋体"/>
          <w:color w:val="auto"/>
          <w:szCs w:val="21"/>
        </w:rPr>
        <w:t>的质疑答复不满意或者</w:t>
      </w:r>
      <w:r>
        <w:rPr>
          <w:rFonts w:hint="eastAsia" w:hAnsi="宋体" w:cs="宋体"/>
          <w:bCs/>
          <w:color w:val="auto"/>
          <w:szCs w:val="21"/>
        </w:rPr>
        <w:t>采购代理机构</w:t>
      </w:r>
      <w:r>
        <w:rPr>
          <w:rFonts w:hint="eastAsia" w:hAnsi="宋体" w:cs="宋体"/>
          <w:color w:val="auto"/>
          <w:szCs w:val="21"/>
        </w:rPr>
        <w:t>未在规定时间内作出答复的，可以在答复期满后十五个工作日内向同级政府采购监督管理部门投诉。</w:t>
      </w:r>
    </w:p>
    <w:p>
      <w:pPr>
        <w:pStyle w:val="18"/>
        <w:snapToGrid w:val="0"/>
        <w:spacing w:line="360" w:lineRule="exact"/>
        <w:ind w:firstLine="420" w:firstLineChars="200"/>
        <w:rPr>
          <w:rFonts w:hint="eastAsia" w:hAnsi="宋体" w:cs="宋体"/>
          <w:color w:val="auto"/>
          <w:szCs w:val="21"/>
        </w:rPr>
      </w:pPr>
      <w:r>
        <w:rPr>
          <w:rFonts w:hint="eastAsia" w:hAnsi="宋体" w:cs="宋体"/>
          <w:color w:val="auto"/>
          <w:szCs w:val="21"/>
        </w:rPr>
        <w:t>7.2质疑、投诉应当采用书面形式，质疑书、投诉书均应明确阐述采购过程或成交结果使自己合法权益受到损害的实质性内容，并提供相关事实、依据和证据及其来源或线索，便于有关单位调查、答复和处理。</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7.3</w:t>
      </w:r>
      <w:r>
        <w:rPr>
          <w:rFonts w:hint="eastAsia" w:hAnsi="宋体" w:cs="宋体"/>
          <w:b/>
          <w:bCs/>
          <w:color w:val="auto"/>
          <w:szCs w:val="21"/>
        </w:rPr>
        <w:t xml:space="preserve"> 磋商供应商认为竞争性磋商采购文件使自己的合法权益受到损害的，按“10.1条款” 执行。</w:t>
      </w:r>
    </w:p>
    <w:p>
      <w:pPr>
        <w:snapToGrid w:val="0"/>
        <w:spacing w:beforeLines="50" w:line="360" w:lineRule="exact"/>
        <w:ind w:firstLine="411" w:firstLineChars="196"/>
        <w:jc w:val="left"/>
        <w:outlineLvl w:val="1"/>
        <w:rPr>
          <w:rFonts w:hint="eastAsia" w:ascii="宋体" w:hAnsi="宋体" w:cs="宋体"/>
          <w:bCs/>
          <w:color w:val="auto"/>
          <w:szCs w:val="21"/>
        </w:rPr>
      </w:pPr>
      <w:bookmarkStart w:id="11" w:name="_Toc254970532"/>
      <w:bookmarkStart w:id="12" w:name="_Toc254970673"/>
      <w:bookmarkStart w:id="13" w:name="_Toc9459"/>
      <w:r>
        <w:rPr>
          <w:rFonts w:hint="eastAsia" w:ascii="宋体" w:hAnsi="宋体" w:cs="宋体"/>
          <w:bCs/>
          <w:color w:val="auto"/>
          <w:szCs w:val="21"/>
        </w:rPr>
        <w:t>8.特别说明：</w:t>
      </w:r>
      <w:bookmarkEnd w:id="11"/>
      <w:bookmarkEnd w:id="12"/>
      <w:bookmarkEnd w:id="13"/>
    </w:p>
    <w:p>
      <w:pPr>
        <w:pStyle w:val="18"/>
        <w:snapToGrid w:val="0"/>
        <w:spacing w:line="360" w:lineRule="exact"/>
        <w:ind w:left="2" w:leftChars="1" w:firstLine="420" w:firstLineChars="200"/>
        <w:rPr>
          <w:rFonts w:hint="eastAsia" w:hAnsi="宋体" w:cs="宋体"/>
          <w:color w:val="auto"/>
          <w:szCs w:val="21"/>
        </w:rPr>
      </w:pPr>
      <w:r>
        <w:rPr>
          <w:rFonts w:hint="eastAsia" w:hAnsi="宋体" w:cs="宋体"/>
          <w:color w:val="auto"/>
          <w:szCs w:val="21"/>
        </w:rPr>
        <w:t>8.1磋商供应商磋商所使用的资格、信誉、荣誉、业绩与企业认证必须为本法人所拥有。磋商供应商投标所使用的采购项目实施人员必须为本法人员工（或必须为本法人或控股公司正式员工）。</w:t>
      </w:r>
    </w:p>
    <w:p>
      <w:pPr>
        <w:pStyle w:val="18"/>
        <w:snapToGrid w:val="0"/>
        <w:spacing w:line="360" w:lineRule="exact"/>
        <w:ind w:left="2" w:leftChars="1" w:firstLine="420" w:firstLineChars="200"/>
        <w:rPr>
          <w:rFonts w:hint="eastAsia" w:hAnsi="宋体" w:cs="宋体"/>
          <w:color w:val="auto"/>
          <w:szCs w:val="21"/>
        </w:rPr>
      </w:pPr>
      <w:r>
        <w:rPr>
          <w:rFonts w:hint="eastAsia" w:hAnsi="宋体" w:cs="宋体"/>
          <w:color w:val="auto"/>
          <w:szCs w:val="21"/>
        </w:rPr>
        <w:t>8.2磋商供应商应仔细阅读采购文件的所有内容，按照采购文件的要求提交响应文件，并对所提供的全部资料的真实性承担法律责任。</w:t>
      </w:r>
    </w:p>
    <w:p>
      <w:pPr>
        <w:pStyle w:val="18"/>
        <w:snapToGrid w:val="0"/>
        <w:spacing w:line="360" w:lineRule="exact"/>
        <w:ind w:left="2" w:leftChars="1" w:firstLine="420" w:firstLineChars="200"/>
        <w:rPr>
          <w:rFonts w:hint="eastAsia" w:hAnsi="宋体" w:cs="宋体"/>
          <w:color w:val="auto"/>
          <w:szCs w:val="21"/>
        </w:rPr>
      </w:pPr>
      <w:r>
        <w:rPr>
          <w:rFonts w:hint="eastAsia" w:hAnsi="宋体" w:cs="宋体"/>
          <w:color w:val="auto"/>
          <w:szCs w:val="21"/>
        </w:rPr>
        <w:t>8.3磋商供应商在参加磋商过程活动中提供任何虚假材料，其响应无效，并报监管部门处理；成交后发现的，采购人或采购代理机构有权终止竞争性磋商采购活动，重新开展采购活动，并要求该成交供应商以成交价格的30%向采购人赔偿损失，且民事赔偿并不免除违法磋商供应商的行政与刑事责任。</w:t>
      </w:r>
    </w:p>
    <w:p>
      <w:pPr>
        <w:pStyle w:val="18"/>
        <w:snapToGrid w:val="0"/>
        <w:spacing w:line="360" w:lineRule="exact"/>
        <w:ind w:firstLine="422" w:firstLineChars="200"/>
        <w:jc w:val="center"/>
        <w:rPr>
          <w:rFonts w:hint="eastAsia" w:hAnsi="宋体" w:cs="宋体"/>
          <w:b/>
          <w:color w:val="auto"/>
          <w:szCs w:val="21"/>
        </w:rPr>
      </w:pPr>
      <w:r>
        <w:rPr>
          <w:rFonts w:hint="eastAsia" w:hAnsi="宋体" w:cs="宋体"/>
          <w:b/>
          <w:color w:val="auto"/>
          <w:szCs w:val="21"/>
        </w:rPr>
        <w:t>二、竞争性磋商采购文件</w:t>
      </w:r>
    </w:p>
    <w:p>
      <w:pPr>
        <w:pStyle w:val="18"/>
        <w:snapToGrid w:val="0"/>
        <w:spacing w:line="360" w:lineRule="exact"/>
        <w:ind w:firstLine="422" w:firstLineChars="200"/>
        <w:jc w:val="center"/>
        <w:rPr>
          <w:rFonts w:hint="eastAsia" w:hAnsi="宋体" w:cs="宋体"/>
          <w:b/>
          <w:color w:val="auto"/>
          <w:szCs w:val="21"/>
        </w:rPr>
      </w:pPr>
    </w:p>
    <w:p>
      <w:pPr>
        <w:pStyle w:val="18"/>
        <w:snapToGrid w:val="0"/>
        <w:spacing w:line="360" w:lineRule="exact"/>
        <w:ind w:firstLine="422" w:firstLineChars="200"/>
        <w:rPr>
          <w:rFonts w:hint="eastAsia" w:hAnsi="宋体" w:cs="宋体"/>
          <w:b/>
          <w:color w:val="auto"/>
          <w:szCs w:val="21"/>
        </w:rPr>
      </w:pPr>
      <w:r>
        <w:rPr>
          <w:rFonts w:hint="eastAsia" w:hAnsi="宋体" w:cs="宋体"/>
          <w:b/>
          <w:color w:val="auto"/>
          <w:szCs w:val="21"/>
        </w:rPr>
        <w:t>9.竞争性磋商采购文件构成</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9.1竞争性磋商公告；</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9.2磋商须知；</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9.3项目需求；</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9.4评审办法；</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9.5 竞争性磋商响应文件格式；</w:t>
      </w:r>
    </w:p>
    <w:p>
      <w:pPr>
        <w:pStyle w:val="18"/>
        <w:snapToGrid w:val="0"/>
        <w:spacing w:line="360" w:lineRule="exact"/>
        <w:ind w:firstLine="420" w:firstLineChars="200"/>
        <w:rPr>
          <w:rFonts w:hint="eastAsia" w:hAnsi="宋体" w:cs="宋体"/>
          <w:bCs/>
          <w:color w:val="auto"/>
          <w:szCs w:val="21"/>
        </w:rPr>
      </w:pPr>
      <w:r>
        <w:rPr>
          <w:rFonts w:hint="eastAsia" w:hAnsi="宋体" w:cs="宋体"/>
          <w:bCs/>
          <w:color w:val="auto"/>
          <w:szCs w:val="21"/>
        </w:rPr>
        <w:t>9.6合同主要条款。</w:t>
      </w:r>
    </w:p>
    <w:p>
      <w:pPr>
        <w:pStyle w:val="18"/>
        <w:spacing w:line="360" w:lineRule="exact"/>
        <w:ind w:firstLine="411" w:firstLineChars="196"/>
        <w:rPr>
          <w:rFonts w:hint="eastAsia" w:hAnsi="宋体" w:cs="宋体"/>
          <w:color w:val="auto"/>
          <w:szCs w:val="21"/>
        </w:rPr>
      </w:pPr>
      <w:r>
        <w:rPr>
          <w:rFonts w:hint="eastAsia" w:hAnsi="宋体" w:cs="宋体"/>
          <w:color w:val="auto"/>
          <w:szCs w:val="21"/>
        </w:rPr>
        <w:t>10.竞争性磋商采购文件的澄清和修改</w:t>
      </w:r>
    </w:p>
    <w:p>
      <w:pPr>
        <w:pStyle w:val="18"/>
        <w:snapToGrid w:val="0"/>
        <w:spacing w:line="360" w:lineRule="exact"/>
        <w:ind w:firstLine="420" w:firstLineChars="200"/>
        <w:rPr>
          <w:rFonts w:hint="eastAsia" w:hAnsi="宋体" w:cs="宋体"/>
          <w:color w:val="auto"/>
          <w:szCs w:val="21"/>
        </w:rPr>
      </w:pPr>
      <w:r>
        <w:rPr>
          <w:rFonts w:hint="eastAsia" w:hAnsi="宋体" w:cs="宋体"/>
          <w:color w:val="auto"/>
          <w:szCs w:val="21"/>
        </w:rPr>
        <w:t>10.1磋商供应商要认真审核竞争性磋商采购文件中的所有内容，如发现其中有错误或要求不合理的，磋商供应商必须在规定的时间前要求澄清。如供应商未在规定时间内提出质疑或疑问的，视同供应商理解并接受本竞争性磋商采购文件所有内容，并自己承担由此引起的磋商损失。同时，不得在磋商结束后针对本竞争性磋商采购文件所有内容提出质疑事项。</w:t>
      </w:r>
    </w:p>
    <w:p>
      <w:pPr>
        <w:pStyle w:val="18"/>
        <w:spacing w:line="360" w:lineRule="exact"/>
        <w:ind w:firstLine="420"/>
        <w:rPr>
          <w:rFonts w:hint="eastAsia" w:hAnsi="宋体" w:cs="宋体"/>
          <w:color w:val="auto"/>
          <w:szCs w:val="21"/>
        </w:rPr>
      </w:pPr>
      <w:r>
        <w:rPr>
          <w:rFonts w:hint="eastAsia" w:hAnsi="宋体" w:cs="宋体"/>
          <w:color w:val="auto"/>
          <w:szCs w:val="21"/>
        </w:rPr>
        <w:t>10.2如果磋商供应商认为本竞争性磋商采购文件中存在有倾向性、排他性的内容或条款的，可以在磋商截止时间7天前，以书面形式并附上相关证明材料向本采购代理机构采购项目联系人反映。</w:t>
      </w:r>
    </w:p>
    <w:p>
      <w:pPr>
        <w:pStyle w:val="18"/>
        <w:spacing w:line="360" w:lineRule="exact"/>
        <w:ind w:firstLine="422"/>
        <w:rPr>
          <w:rFonts w:hint="eastAsia" w:hAnsi="宋体" w:cs="宋体"/>
          <w:color w:val="auto"/>
          <w:szCs w:val="21"/>
        </w:rPr>
      </w:pPr>
      <w:r>
        <w:rPr>
          <w:rFonts w:hint="eastAsia" w:hAnsi="宋体" w:cs="宋体"/>
          <w:color w:val="auto"/>
          <w:szCs w:val="21"/>
        </w:rPr>
        <w:t>10.3任何磋商供应商对本竞争性磋商采购文件的澄清要求，均应在磋商截止时间</w:t>
      </w:r>
      <w:r>
        <w:rPr>
          <w:rFonts w:hint="eastAsia" w:hAnsi="宋体" w:cs="宋体"/>
          <w:color w:val="auto"/>
          <w:szCs w:val="21"/>
          <w:u w:val="single"/>
        </w:rPr>
        <w:t>7</w:t>
      </w:r>
      <w:r>
        <w:rPr>
          <w:rFonts w:hint="eastAsia" w:hAnsi="宋体" w:cs="宋体"/>
          <w:color w:val="auto"/>
          <w:szCs w:val="21"/>
        </w:rPr>
        <w:t>天前的正常工作时间以传真或电报等书面形式通知采购代理机构，同时认定其他形式为无效。采购代理机构将以书面形式予以答复，但该答复不指明答复问题的来源，并以书面形式通知所有购买了竞争性磋商采购文件的磋商供应商，答复将同时在财政部门指定的政府采购信息发布媒体上发布。为确保采购项目的如期完成，采购代理机构将可能对磋商供应商在规定时间之后提出的澄清问题不予答复。</w:t>
      </w:r>
    </w:p>
    <w:p>
      <w:pPr>
        <w:pStyle w:val="18"/>
        <w:spacing w:line="360" w:lineRule="exact"/>
        <w:ind w:firstLine="420"/>
        <w:rPr>
          <w:rFonts w:hint="eastAsia" w:hAnsi="宋体" w:cs="宋体"/>
          <w:color w:val="auto"/>
          <w:szCs w:val="21"/>
        </w:rPr>
      </w:pPr>
      <w:r>
        <w:rPr>
          <w:rFonts w:hint="eastAsia" w:hAnsi="宋体" w:cs="宋体"/>
          <w:color w:val="auto"/>
          <w:szCs w:val="21"/>
        </w:rPr>
        <w:t>10.4采购代理机构对已发出的竞争性磋商采购文件进行必要修改的，在竞争性磋商采购文件要求提交竞争性磋商响应文件截止时间</w:t>
      </w:r>
      <w:r>
        <w:rPr>
          <w:rFonts w:hint="eastAsia" w:hAnsi="宋体" w:cs="宋体"/>
          <w:color w:val="auto"/>
          <w:szCs w:val="21"/>
          <w:u w:val="single"/>
        </w:rPr>
        <w:t>5</w:t>
      </w:r>
      <w:r>
        <w:rPr>
          <w:rFonts w:hint="eastAsia" w:hAnsi="宋体" w:cs="宋体"/>
          <w:color w:val="auto"/>
          <w:szCs w:val="21"/>
        </w:rPr>
        <w:t>天前，在财政部门指定的政府采购信息发布媒体上发布更正公告，同时以书面形式通知所有购买竞争性磋商采购文件的磋商供应商。</w:t>
      </w:r>
    </w:p>
    <w:p>
      <w:pPr>
        <w:pStyle w:val="18"/>
        <w:spacing w:line="360" w:lineRule="exact"/>
        <w:ind w:firstLine="420"/>
        <w:rPr>
          <w:rFonts w:hint="eastAsia" w:hAnsi="宋体" w:cs="宋体"/>
          <w:color w:val="auto"/>
          <w:szCs w:val="21"/>
        </w:rPr>
      </w:pPr>
      <w:r>
        <w:rPr>
          <w:rFonts w:hint="eastAsia" w:hAnsi="宋体" w:cs="宋体"/>
          <w:color w:val="auto"/>
          <w:szCs w:val="21"/>
        </w:rPr>
        <w:t>10.5请磋商供应商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竞争性磋商采购文件的组成部分。磋商供应商在每一次收到澄清答复或补充通知后应立即以书面形式通知采购代理机构，确认已收到该澄清答复或补充通知。否则，由此造成的一切后果由磋商供应商承担。</w:t>
      </w:r>
    </w:p>
    <w:p>
      <w:pPr>
        <w:pStyle w:val="18"/>
        <w:tabs>
          <w:tab w:val="left" w:pos="455"/>
        </w:tabs>
        <w:spacing w:line="360" w:lineRule="exact"/>
        <w:ind w:firstLine="420" w:firstLineChars="200"/>
        <w:rPr>
          <w:rFonts w:hint="eastAsia" w:hAnsi="宋体" w:cs="宋体"/>
          <w:color w:val="auto"/>
          <w:szCs w:val="21"/>
        </w:rPr>
      </w:pPr>
      <w:r>
        <w:rPr>
          <w:rFonts w:hint="eastAsia" w:hAnsi="宋体" w:cs="宋体"/>
          <w:color w:val="auto"/>
          <w:szCs w:val="21"/>
        </w:rPr>
        <w:t>10.6采购代理机构可视具体情况，延长磋商截止日期和开标时间，至少于磋商截止时间2天前以书面形式通知所有购买竞争性磋商采购文件的磋商供应商，同时在财政部门指定的政府采购信息发布媒体上发布公告。</w:t>
      </w:r>
    </w:p>
    <w:p>
      <w:pPr>
        <w:spacing w:line="360" w:lineRule="exact"/>
        <w:jc w:val="center"/>
        <w:rPr>
          <w:rFonts w:hint="eastAsia" w:ascii="宋体" w:hAnsi="宋体" w:cs="宋体"/>
          <w:b/>
          <w:color w:val="auto"/>
          <w:szCs w:val="21"/>
        </w:rPr>
      </w:pPr>
      <w:r>
        <w:rPr>
          <w:rFonts w:hint="eastAsia" w:ascii="宋体" w:hAnsi="宋体" w:cs="宋体"/>
          <w:b/>
          <w:color w:val="auto"/>
          <w:szCs w:val="21"/>
        </w:rPr>
        <w:t>三、竞争性磋商响应文件的编制</w:t>
      </w:r>
    </w:p>
    <w:p>
      <w:pPr>
        <w:spacing w:line="360" w:lineRule="exact"/>
        <w:jc w:val="center"/>
        <w:rPr>
          <w:rFonts w:hint="eastAsia" w:ascii="宋体" w:hAnsi="宋体" w:cs="宋体"/>
          <w:b/>
          <w:color w:val="auto"/>
          <w:szCs w:val="21"/>
        </w:rPr>
      </w:pPr>
    </w:p>
    <w:p>
      <w:pPr>
        <w:spacing w:line="360" w:lineRule="exact"/>
        <w:ind w:firstLine="422" w:firstLineChars="200"/>
        <w:rPr>
          <w:rFonts w:hint="eastAsia" w:ascii="宋体" w:hAnsi="宋体" w:cs="宋体"/>
          <w:b/>
          <w:bCs/>
          <w:color w:val="auto"/>
          <w:szCs w:val="21"/>
        </w:rPr>
      </w:pPr>
      <w:r>
        <w:rPr>
          <w:rFonts w:hint="eastAsia" w:ascii="宋体" w:hAnsi="宋体" w:cs="宋体"/>
          <w:b/>
          <w:bCs/>
          <w:color w:val="auto"/>
          <w:szCs w:val="21"/>
        </w:rPr>
        <w:t>11.竞争性磋商响应文件的组成</w:t>
      </w:r>
    </w:p>
    <w:p>
      <w:pPr>
        <w:spacing w:line="320" w:lineRule="exact"/>
        <w:ind w:firstLine="420" w:firstLineChars="200"/>
        <w:rPr>
          <w:rFonts w:hint="eastAsia" w:ascii="宋体" w:hAnsi="宋体" w:cs="宋体"/>
          <w:color w:val="auto"/>
          <w:szCs w:val="21"/>
        </w:rPr>
      </w:pPr>
      <w:r>
        <w:rPr>
          <w:rFonts w:hint="eastAsia" w:ascii="宋体" w:hAnsi="宋体"/>
          <w:color w:val="auto"/>
          <w:szCs w:val="21"/>
        </w:rPr>
        <w:t>竞争性磋商响应文件应并按竞争性磋商采购文件第六章格式的要求填写并装订，响应文件必须包边装订，使用活页夹、订书钉等可能导致小响应文件散落或脱页方式装订的将被视为无效响应文件。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（1）报价函</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（2）报价表</w:t>
      </w:r>
    </w:p>
    <w:p>
      <w:pPr>
        <w:pStyle w:val="18"/>
        <w:spacing w:line="360" w:lineRule="exact"/>
        <w:ind w:firstLine="420"/>
        <w:rPr>
          <w:rFonts w:hint="eastAsia" w:hAnsi="宋体" w:cs="宋体"/>
          <w:color w:val="auto"/>
          <w:szCs w:val="21"/>
        </w:rPr>
      </w:pPr>
      <w:r>
        <w:rPr>
          <w:rFonts w:hint="eastAsia" w:hAnsi="宋体" w:cs="宋体"/>
          <w:color w:val="auto"/>
          <w:szCs w:val="21"/>
        </w:rPr>
        <w:t>（3）磋商供应商资格证明文件</w:t>
      </w:r>
    </w:p>
    <w:p>
      <w:pPr>
        <w:pStyle w:val="18"/>
        <w:spacing w:line="360" w:lineRule="exact"/>
        <w:ind w:firstLine="420"/>
        <w:rPr>
          <w:rFonts w:hint="eastAsia" w:hAnsi="宋体" w:cs="宋体"/>
          <w:color w:val="auto"/>
          <w:szCs w:val="21"/>
        </w:rPr>
      </w:pPr>
      <w:r>
        <w:rPr>
          <w:rFonts w:hint="eastAsia" w:hAnsi="宋体" w:cs="宋体"/>
          <w:color w:val="auto"/>
          <w:szCs w:val="21"/>
        </w:rPr>
        <w:t>（4）实施方案</w:t>
      </w:r>
    </w:p>
    <w:p>
      <w:pPr>
        <w:pStyle w:val="18"/>
        <w:spacing w:line="360" w:lineRule="exact"/>
        <w:ind w:firstLine="420"/>
        <w:rPr>
          <w:rFonts w:hint="eastAsia" w:hAnsi="宋体" w:cs="宋体"/>
          <w:color w:val="auto"/>
          <w:szCs w:val="21"/>
        </w:rPr>
      </w:pPr>
      <w:r>
        <w:rPr>
          <w:rFonts w:hint="eastAsia" w:hAnsi="宋体" w:cs="宋体"/>
          <w:color w:val="auto"/>
          <w:szCs w:val="21"/>
        </w:rPr>
        <w:t>（5）服务承诺</w:t>
      </w:r>
    </w:p>
    <w:p>
      <w:pPr>
        <w:pStyle w:val="18"/>
        <w:spacing w:line="360" w:lineRule="exact"/>
        <w:ind w:firstLine="420"/>
        <w:rPr>
          <w:rFonts w:hint="eastAsia" w:hAnsi="宋体" w:cs="宋体"/>
          <w:color w:val="auto"/>
          <w:szCs w:val="21"/>
        </w:rPr>
      </w:pPr>
      <w:r>
        <w:rPr>
          <w:rFonts w:hint="eastAsia" w:hAnsi="宋体" w:cs="宋体"/>
          <w:color w:val="auto"/>
          <w:szCs w:val="21"/>
        </w:rPr>
        <w:t>（6）拟投入本项目人员及设备</w:t>
      </w:r>
    </w:p>
    <w:p>
      <w:pPr>
        <w:pStyle w:val="18"/>
        <w:spacing w:line="360" w:lineRule="exact"/>
        <w:ind w:firstLine="420"/>
        <w:rPr>
          <w:rFonts w:hint="eastAsia" w:hAnsi="宋体" w:cs="宋体"/>
          <w:color w:val="auto"/>
          <w:szCs w:val="21"/>
        </w:rPr>
      </w:pPr>
      <w:r>
        <w:rPr>
          <w:rFonts w:hint="eastAsia" w:hAnsi="宋体" w:cs="宋体"/>
          <w:color w:val="auto"/>
          <w:szCs w:val="21"/>
        </w:rPr>
        <w:t>（7）类似业绩一览表</w:t>
      </w:r>
    </w:p>
    <w:p>
      <w:pPr>
        <w:pStyle w:val="18"/>
        <w:spacing w:line="360" w:lineRule="exact"/>
        <w:ind w:firstLine="420"/>
        <w:rPr>
          <w:rFonts w:hint="eastAsia" w:hAnsi="宋体" w:cs="宋体"/>
          <w:color w:val="auto"/>
          <w:szCs w:val="21"/>
        </w:rPr>
      </w:pPr>
      <w:r>
        <w:rPr>
          <w:rFonts w:hint="eastAsia" w:hAnsi="宋体" w:cs="宋体"/>
          <w:color w:val="auto"/>
          <w:szCs w:val="21"/>
        </w:rPr>
        <w:t>（8）获奖荣誉一览表</w:t>
      </w:r>
    </w:p>
    <w:p>
      <w:pPr>
        <w:pStyle w:val="18"/>
        <w:spacing w:line="360" w:lineRule="exact"/>
        <w:ind w:firstLine="420"/>
        <w:rPr>
          <w:rFonts w:hint="eastAsia" w:hAnsi="宋体" w:cs="宋体"/>
          <w:color w:val="auto"/>
          <w:szCs w:val="21"/>
        </w:rPr>
      </w:pPr>
      <w:r>
        <w:rPr>
          <w:rFonts w:hint="eastAsia" w:hAnsi="宋体" w:cs="宋体"/>
          <w:color w:val="auto"/>
          <w:szCs w:val="21"/>
        </w:rPr>
        <w:t>（9）磋商供应商认为需要提供的有关资料</w:t>
      </w:r>
    </w:p>
    <w:p>
      <w:pPr>
        <w:pStyle w:val="18"/>
        <w:spacing w:line="360" w:lineRule="exact"/>
        <w:ind w:firstLine="420"/>
        <w:rPr>
          <w:rFonts w:hint="eastAsia" w:hAnsi="宋体" w:cs="宋体"/>
          <w:b/>
          <w:bCs/>
          <w:color w:val="auto"/>
          <w:szCs w:val="21"/>
        </w:rPr>
      </w:pPr>
      <w:r>
        <w:rPr>
          <w:rFonts w:hint="eastAsia" w:hAnsi="宋体" w:cs="宋体"/>
          <w:b/>
          <w:bCs/>
          <w:color w:val="auto"/>
          <w:szCs w:val="21"/>
        </w:rPr>
        <w:t>12. 磋商供应商资格证明文件</w:t>
      </w:r>
    </w:p>
    <w:p>
      <w:pPr>
        <w:spacing w:line="360" w:lineRule="exact"/>
        <w:rPr>
          <w:rFonts w:hint="eastAsia" w:ascii="宋体" w:hAnsi="宋体" w:cs="宋体"/>
          <w:color w:val="auto"/>
          <w:szCs w:val="21"/>
        </w:rPr>
      </w:pPr>
      <w:r>
        <w:rPr>
          <w:rFonts w:hint="eastAsia" w:ascii="宋体" w:hAnsi="宋体" w:cs="宋体"/>
          <w:color w:val="auto"/>
          <w:szCs w:val="21"/>
        </w:rPr>
        <w:t xml:space="preserve">    （1）有效的主体资格证明（如营业执照或事业单位法人证书等）副本复印件(必须提供)；</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（2）法定代表人完整有效的正反面身份证复印件（必须提供）；</w:t>
      </w:r>
    </w:p>
    <w:p>
      <w:pPr>
        <w:snapToGrid w:val="0"/>
        <w:spacing w:line="360" w:lineRule="exact"/>
        <w:ind w:firstLine="411" w:firstLineChars="196"/>
        <w:jc w:val="left"/>
        <w:rPr>
          <w:rFonts w:hint="eastAsia" w:ascii="宋体" w:hAnsi="宋体" w:cs="宋体"/>
          <w:color w:val="auto"/>
          <w:szCs w:val="21"/>
        </w:rPr>
      </w:pPr>
      <w:r>
        <w:rPr>
          <w:rFonts w:hint="eastAsia" w:ascii="宋体" w:hAnsi="宋体" w:cs="宋体"/>
          <w:color w:val="auto"/>
          <w:szCs w:val="21"/>
        </w:rPr>
        <w:t>（3）法定代表人授权委托书原件和委托代理人完整有效的正反面身份证复印件（委托代理时必须提供)；</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（4）磋商供应商认为必要提供的声明或文件资料（如中小企业声明函等，如有请提供）。</w:t>
      </w:r>
    </w:p>
    <w:p>
      <w:pPr>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13.竞争性磋商响应文件编制基本要求</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13.1磋商供应商对竞争性磋商响应文件的编制应按要求装订和封装。</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13.2磋商供应商提交的竞争性磋商响应文件以及磋商供应商与采购代理机构和采购人就有关磋商的所有来往函电均应使用中文。磋商供应商提交的支持文件和印刷的文献可以使用别的语言，但其相应内容必须附有中文翻译文本，在解释竞争性磋商响应文件时以中文翻译文本为主。</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13.3磋商供应商应认真阅读并充分理解本文件的全部内容（包括所有的补充通知和修改内容），承诺并履行本文件中各项条款的规定及要求。</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13.4竞争性磋商响应文件必须按本文件的全部内容，包括所有的补充通知、修改内容及附件进行编制。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13.5如因磋商供应商只填写和提供了本文件要求的部分内容和附件，而给评审造成困难，其可能导致的结果和责任由磋商供应商自行承担。</w:t>
      </w:r>
    </w:p>
    <w:p>
      <w:pPr>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14.竞争性磋商响应文件的语言及计量单位</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14.1竞争性磋商响应文件以及磋商供应商与采购代理机构和采购人就有关磋商事宜的所有往来函电，均应以中文书写。除签名、盖章、专用名称等特殊情形外，以中文以外的文字表述的竞争性磋商响应文件视同未提供。</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14.2除技术要求中另有规定外，本文件所要求使用的计量单位均应采用国家法定计量单位。</w:t>
      </w:r>
    </w:p>
    <w:p>
      <w:pPr>
        <w:spacing w:line="360" w:lineRule="exact"/>
        <w:ind w:firstLine="422" w:firstLineChars="200"/>
        <w:rPr>
          <w:rFonts w:hint="eastAsia" w:ascii="宋体" w:hAnsi="宋体" w:cs="宋体"/>
          <w:color w:val="auto"/>
          <w:szCs w:val="21"/>
        </w:rPr>
      </w:pPr>
      <w:r>
        <w:rPr>
          <w:rFonts w:hint="eastAsia" w:ascii="宋体" w:hAnsi="宋体" w:cs="宋体"/>
          <w:b/>
          <w:color w:val="auto"/>
          <w:szCs w:val="21"/>
        </w:rPr>
        <w:t>15.磋商报价</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15.1磋商供应商必须就“项目需求”中的货物及服务内容作完整唯一报价，否则，其磋商将被拒绝。</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15.2对于本文件中未列明，而磋商供应商认为必需的费用也需列入总报价。在合同实施时，采购人将不予支付成交供应商没有列入的项目费用，并认为此项目的费用已包括在总报价中。</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15.3磋商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如果因磋商供应商原因引起的报价失误，并在磋商时被接受，其后果由磋商供应商自负。</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15.4磋商供应商报价应包含货物、随配附件、备品备件、工具、货物运抵指定交货地点的各种费用和售后服务、税金及其它所有成本费用的总和。</w:t>
      </w:r>
    </w:p>
    <w:p>
      <w:pPr>
        <w:spacing w:line="360" w:lineRule="exact"/>
        <w:ind w:firstLine="422" w:firstLineChars="200"/>
        <w:rPr>
          <w:rFonts w:hint="eastAsia" w:ascii="宋体" w:hAnsi="宋体" w:cs="宋体"/>
          <w:color w:val="auto"/>
          <w:szCs w:val="21"/>
        </w:rPr>
      </w:pPr>
      <w:r>
        <w:rPr>
          <w:rFonts w:hint="eastAsia" w:ascii="宋体" w:hAnsi="宋体" w:cs="宋体"/>
          <w:b/>
          <w:color w:val="auto"/>
          <w:szCs w:val="21"/>
        </w:rPr>
        <w:t>16.磋商有效期</w:t>
      </w:r>
    </w:p>
    <w:p>
      <w:pPr>
        <w:pStyle w:val="18"/>
        <w:spacing w:line="360" w:lineRule="exact"/>
        <w:ind w:firstLine="420"/>
        <w:rPr>
          <w:rFonts w:hint="eastAsia" w:hAnsi="宋体" w:cs="宋体"/>
          <w:color w:val="auto"/>
          <w:szCs w:val="21"/>
        </w:rPr>
      </w:pPr>
      <w:r>
        <w:rPr>
          <w:rFonts w:hint="eastAsia" w:hAnsi="宋体" w:cs="宋体"/>
          <w:color w:val="auto"/>
          <w:szCs w:val="21"/>
        </w:rPr>
        <w:t>16.1竞争性磋商响应文件有效期详见本须知前附表第5项规定。</w:t>
      </w:r>
    </w:p>
    <w:p>
      <w:pPr>
        <w:pStyle w:val="18"/>
        <w:spacing w:line="360" w:lineRule="exact"/>
        <w:ind w:firstLine="420"/>
        <w:rPr>
          <w:rFonts w:hint="eastAsia" w:hAnsi="宋体" w:cs="宋体"/>
          <w:color w:val="auto"/>
          <w:szCs w:val="21"/>
        </w:rPr>
      </w:pPr>
      <w:r>
        <w:rPr>
          <w:rFonts w:hint="eastAsia" w:hAnsi="宋体" w:cs="宋体"/>
          <w:color w:val="auto"/>
          <w:szCs w:val="21"/>
        </w:rPr>
        <w:t xml:space="preserve">16.2在原定磋商有效期满之前，如果出现特殊情况，采购人或采购代理机构可以书面形式向磋商供应商提出延长磋商有效期的要求。磋商供应商须以书面形式予以答复，磋商供应商可以拒绝这种要求。  </w:t>
      </w:r>
    </w:p>
    <w:p>
      <w:pPr>
        <w:pStyle w:val="18"/>
        <w:spacing w:line="360" w:lineRule="exact"/>
        <w:ind w:firstLine="420"/>
        <w:rPr>
          <w:rFonts w:hint="eastAsia" w:hAnsi="宋体" w:cs="宋体"/>
          <w:color w:val="auto"/>
          <w:szCs w:val="21"/>
        </w:rPr>
      </w:pPr>
      <w:r>
        <w:rPr>
          <w:rFonts w:hint="eastAsia" w:hAnsi="宋体" w:cs="宋体"/>
          <w:b/>
          <w:color w:val="auto"/>
          <w:szCs w:val="21"/>
        </w:rPr>
        <w:t>17.磋商保证金：</w:t>
      </w:r>
      <w:r>
        <w:rPr>
          <w:rFonts w:hint="eastAsia" w:hAnsi="宋体" w:cs="宋体"/>
          <w:bCs/>
          <w:color w:val="auto"/>
          <w:szCs w:val="21"/>
        </w:rPr>
        <w:t>详见磋商供应商须知前附表。</w:t>
      </w:r>
    </w:p>
    <w:p>
      <w:pPr>
        <w:snapToGrid w:val="0"/>
        <w:spacing w:line="360" w:lineRule="exact"/>
        <w:ind w:firstLine="413" w:firstLineChars="196"/>
        <w:jc w:val="left"/>
        <w:rPr>
          <w:rFonts w:hint="eastAsia" w:ascii="宋体" w:hAnsi="宋体" w:cs="宋体"/>
          <w:b/>
          <w:color w:val="auto"/>
          <w:szCs w:val="21"/>
        </w:rPr>
      </w:pPr>
      <w:r>
        <w:rPr>
          <w:rFonts w:hint="eastAsia" w:ascii="宋体" w:hAnsi="宋体" w:cs="宋体"/>
          <w:b/>
          <w:color w:val="auto"/>
          <w:szCs w:val="21"/>
        </w:rPr>
        <w:t>17.1磋商供应商有下列情形之一的，将取消其成交决定：</w:t>
      </w:r>
    </w:p>
    <w:p>
      <w:pPr>
        <w:snapToGrid w:val="0"/>
        <w:spacing w:line="360" w:lineRule="exact"/>
        <w:ind w:firstLine="411" w:firstLineChars="196"/>
        <w:jc w:val="left"/>
        <w:rPr>
          <w:rFonts w:hint="eastAsia" w:ascii="宋体" w:hAnsi="宋体" w:cs="宋体"/>
          <w:color w:val="auto"/>
          <w:szCs w:val="21"/>
        </w:rPr>
      </w:pPr>
      <w:r>
        <w:rPr>
          <w:rFonts w:hint="eastAsia" w:ascii="宋体" w:hAnsi="宋体" w:cs="宋体"/>
          <w:color w:val="auto"/>
          <w:szCs w:val="21"/>
        </w:rPr>
        <w:t>（1）磋商供应商在磋商有效期内撤回竞争性磋商响应文件的；</w:t>
      </w:r>
    </w:p>
    <w:p>
      <w:pPr>
        <w:snapToGrid w:val="0"/>
        <w:spacing w:line="360" w:lineRule="exact"/>
        <w:ind w:firstLine="411" w:firstLineChars="196"/>
        <w:jc w:val="left"/>
        <w:rPr>
          <w:rFonts w:hint="eastAsia" w:ascii="宋体" w:hAnsi="宋体" w:cs="宋体"/>
          <w:color w:val="auto"/>
          <w:szCs w:val="21"/>
        </w:rPr>
      </w:pPr>
      <w:r>
        <w:rPr>
          <w:rFonts w:hint="eastAsia" w:ascii="宋体" w:hAnsi="宋体" w:cs="宋体"/>
          <w:color w:val="auto"/>
          <w:szCs w:val="21"/>
        </w:rPr>
        <w:t>（2）磋商供应商在磋商过程中弄虚作假，提供虚假材料的；</w:t>
      </w:r>
    </w:p>
    <w:p>
      <w:pPr>
        <w:snapToGrid w:val="0"/>
        <w:spacing w:line="360" w:lineRule="exact"/>
        <w:ind w:firstLine="411" w:firstLineChars="196"/>
        <w:rPr>
          <w:rFonts w:hint="eastAsia" w:ascii="宋体" w:hAnsi="宋体" w:cs="宋体"/>
          <w:color w:val="auto"/>
          <w:szCs w:val="21"/>
        </w:rPr>
      </w:pPr>
      <w:r>
        <w:rPr>
          <w:rFonts w:hint="eastAsia" w:ascii="宋体" w:hAnsi="宋体" w:cs="宋体"/>
          <w:color w:val="auto"/>
          <w:szCs w:val="21"/>
        </w:rPr>
        <w:t>（3）成交供应商无正当理由不与采购人签订合同的；</w:t>
      </w:r>
    </w:p>
    <w:p>
      <w:pPr>
        <w:snapToGrid w:val="0"/>
        <w:spacing w:line="360" w:lineRule="exact"/>
        <w:ind w:firstLine="411" w:firstLineChars="196"/>
        <w:rPr>
          <w:rFonts w:hint="eastAsia" w:ascii="宋体" w:hAnsi="宋体" w:cs="宋体"/>
          <w:b/>
          <w:color w:val="auto"/>
          <w:szCs w:val="21"/>
        </w:rPr>
      </w:pPr>
      <w:r>
        <w:rPr>
          <w:rFonts w:hint="eastAsia" w:ascii="宋体" w:hAnsi="宋体" w:cs="宋体"/>
          <w:color w:val="auto"/>
          <w:szCs w:val="21"/>
        </w:rPr>
        <w:t>（4）磋商供应商</w:t>
      </w:r>
      <w:r>
        <w:rPr>
          <w:rFonts w:hint="eastAsia" w:ascii="宋体" w:hAnsi="宋体" w:cs="宋体"/>
          <w:bCs/>
          <w:color w:val="auto"/>
          <w:szCs w:val="21"/>
        </w:rPr>
        <w:t>将成交项目转让给他人或者在</w:t>
      </w:r>
      <w:r>
        <w:rPr>
          <w:rFonts w:hint="eastAsia" w:ascii="宋体" w:hAnsi="宋体" w:cs="宋体"/>
          <w:color w:val="auto"/>
          <w:szCs w:val="21"/>
        </w:rPr>
        <w:t>竞争性磋商响应文件</w:t>
      </w:r>
      <w:r>
        <w:rPr>
          <w:rFonts w:hint="eastAsia" w:ascii="宋体" w:hAnsi="宋体" w:cs="宋体"/>
          <w:bCs/>
          <w:color w:val="auto"/>
          <w:szCs w:val="21"/>
        </w:rPr>
        <w:t>中未说明且未经采购人同意，将成交项目分包给他人的；</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（5）磋商供应商拒绝履行合同义务的；</w:t>
      </w:r>
    </w:p>
    <w:p>
      <w:pPr>
        <w:snapToGrid w:val="0"/>
        <w:spacing w:line="360" w:lineRule="exact"/>
        <w:ind w:firstLine="420" w:firstLineChars="200"/>
        <w:rPr>
          <w:rFonts w:hint="eastAsia" w:ascii="宋体" w:hAnsi="宋体" w:cs="宋体"/>
          <w:b/>
          <w:color w:val="auto"/>
          <w:szCs w:val="21"/>
        </w:rPr>
      </w:pPr>
      <w:r>
        <w:rPr>
          <w:rFonts w:hint="eastAsia" w:ascii="宋体" w:hAnsi="宋体" w:cs="宋体"/>
          <w:color w:val="auto"/>
          <w:szCs w:val="21"/>
        </w:rPr>
        <w:t>（6）磋商供应商有其他严重扰乱磋商程序的。</w:t>
      </w:r>
    </w:p>
    <w:p>
      <w:pPr>
        <w:spacing w:line="360" w:lineRule="exact"/>
        <w:jc w:val="center"/>
        <w:rPr>
          <w:rFonts w:hint="eastAsia" w:ascii="宋体" w:hAnsi="宋体" w:cs="宋体"/>
          <w:b/>
          <w:color w:val="auto"/>
          <w:szCs w:val="21"/>
        </w:rPr>
      </w:pPr>
      <w:r>
        <w:rPr>
          <w:rFonts w:hint="eastAsia" w:ascii="宋体" w:hAnsi="宋体" w:cs="宋体"/>
          <w:b/>
          <w:color w:val="auto"/>
          <w:szCs w:val="21"/>
        </w:rPr>
        <w:t>四、竞争性磋商响应文件的份数、封装和递交</w:t>
      </w:r>
    </w:p>
    <w:p>
      <w:pPr>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18.磋商响应文件的份数和封装</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18.1</w:t>
      </w:r>
      <w:r>
        <w:rPr>
          <w:rFonts w:hint="eastAsia" w:ascii="宋体" w:hAnsi="宋体"/>
          <w:color w:val="auto"/>
          <w:szCs w:val="21"/>
        </w:rPr>
        <w:t>谈判供应商应提供竞争性谈判响应文件正本一份，副本各四份。将响应文件密封在同一个外层信封袋中，外层密封处应加盖磋商供应商单位公章或由法定代表人或委托代理人签字。</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18.2竞争性磋商响应文件的信封上应写明：</w:t>
      </w:r>
    </w:p>
    <w:p>
      <w:pPr>
        <w:spacing w:line="360" w:lineRule="exact"/>
        <w:ind w:left="420"/>
        <w:rPr>
          <w:rFonts w:hint="eastAsia" w:ascii="宋体" w:hAnsi="宋体" w:cs="宋体"/>
          <w:color w:val="auto"/>
          <w:szCs w:val="21"/>
        </w:rPr>
      </w:pPr>
      <w:r>
        <w:rPr>
          <w:rFonts w:hint="eastAsia" w:ascii="宋体" w:hAnsi="宋体" w:cs="宋体"/>
          <w:color w:val="auto"/>
          <w:szCs w:val="21"/>
        </w:rPr>
        <w:t>（1）竞争性磋商项目编号：</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exact"/>
        <w:ind w:left="420"/>
        <w:rPr>
          <w:rFonts w:hint="eastAsia" w:ascii="宋体" w:hAnsi="宋体" w:cs="宋体"/>
          <w:color w:val="auto"/>
          <w:szCs w:val="21"/>
        </w:rPr>
      </w:pPr>
      <w:r>
        <w:rPr>
          <w:rFonts w:hint="eastAsia" w:ascii="宋体" w:hAnsi="宋体" w:cs="宋体"/>
          <w:color w:val="auto"/>
          <w:szCs w:val="21"/>
        </w:rPr>
        <w:t>（2）竞争性磋商项目名称：</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exact"/>
        <w:ind w:left="420"/>
        <w:rPr>
          <w:rFonts w:hint="eastAsia" w:ascii="宋体" w:hAnsi="宋体" w:cs="宋体"/>
          <w:color w:val="auto"/>
          <w:szCs w:val="21"/>
        </w:rPr>
      </w:pPr>
      <w:r>
        <w:rPr>
          <w:rFonts w:hint="eastAsia" w:ascii="宋体" w:hAnsi="宋体" w:cs="宋体"/>
          <w:color w:val="auto"/>
          <w:szCs w:val="21"/>
        </w:rPr>
        <w:t>（3）磋商供应商名称：</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exact"/>
        <w:ind w:firstLine="482"/>
        <w:rPr>
          <w:rFonts w:hint="eastAsia" w:ascii="宋体" w:hAnsi="宋体" w:cs="宋体"/>
          <w:color w:val="auto"/>
          <w:szCs w:val="21"/>
        </w:rPr>
      </w:pPr>
      <w:r>
        <w:rPr>
          <w:rFonts w:hint="eastAsia" w:ascii="宋体" w:hAnsi="宋体" w:cs="宋体"/>
          <w:color w:val="auto"/>
          <w:szCs w:val="21"/>
        </w:rPr>
        <w:t>（4）磋商供应商法定代表人姓名或委托代理人姓名：</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exact"/>
        <w:ind w:firstLine="482"/>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日北京时间</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rPr>
        <w:t>分开标，此时间以前不得开封。</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18.3磋商文件的正本需打印或用不褪色的墨水填写，磋商文件正本除本竞争性磋商采购文件中规定的可提供复印件外均须提供原件。副本可以是正本的复印件。</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18.4磋商文件须由磋商供应商在规定位置加盖单位公章并由法定代表人或法定代表人的授权委托人签署，磋商供应商应写单位全称。</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18.5磋商文件不得涂改，若有错漏需修改，须加盖单位公章及由法定代表人（或授权委托人）签字；磋商文件因字迹潦草或表达不清所引起的后果由磋商供应商负责。</w:t>
      </w:r>
    </w:p>
    <w:p>
      <w:pPr>
        <w:spacing w:line="360" w:lineRule="exact"/>
        <w:ind w:firstLine="422" w:firstLineChars="200"/>
        <w:rPr>
          <w:rFonts w:hint="eastAsia" w:ascii="宋体" w:hAnsi="宋体" w:cs="宋体"/>
          <w:b/>
          <w:color w:val="auto"/>
          <w:szCs w:val="21"/>
        </w:rPr>
      </w:pPr>
      <w:r>
        <w:rPr>
          <w:rFonts w:hint="eastAsia" w:ascii="宋体" w:hAnsi="宋体" w:cs="宋体"/>
          <w:b/>
          <w:color w:val="auto"/>
          <w:szCs w:val="21"/>
        </w:rPr>
        <w:t>19.竞争性磋商响应文件的递交</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19.1所有竞争性磋商响应文件须按本须知前附表第7项规定的时间前递交到指定地点。</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19.2若遇到磋商供应商过多造成部分磋商供应商在截止时间前已抵达开标现场但未能签到的情况，采购代理机构将按规定在磋商文件递交截止时间关闭大门，禁止迟到的磋商供应商进入递交磋商文件，磋商供应商递交磋商文件的时间应以其进入采购文件规定的到达开标场所的时间为准。</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20.迟交的竞争性磋商响应文件</w:t>
      </w:r>
    </w:p>
    <w:p>
      <w:pPr>
        <w:spacing w:line="360" w:lineRule="exact"/>
        <w:ind w:firstLine="420" w:firstLineChars="200"/>
        <w:rPr>
          <w:rFonts w:hint="eastAsia" w:ascii="宋体" w:hAnsi="宋体" w:cs="宋体"/>
          <w:b/>
          <w:color w:val="auto"/>
          <w:szCs w:val="21"/>
        </w:rPr>
      </w:pPr>
      <w:r>
        <w:rPr>
          <w:rFonts w:hint="eastAsia" w:ascii="宋体" w:hAnsi="宋体" w:cs="宋体"/>
          <w:color w:val="auto"/>
          <w:szCs w:val="21"/>
        </w:rPr>
        <w:t>20.1按《中华人民共和国政府采购法》的规定，采购代理机构将拒绝或原封退回在其规定的递交竞争性磋商响应文件截止时间之后收到的任何竞争性磋商响应文件。</w:t>
      </w:r>
    </w:p>
    <w:p>
      <w:pPr>
        <w:spacing w:line="360" w:lineRule="exact"/>
        <w:jc w:val="center"/>
        <w:rPr>
          <w:rFonts w:hint="eastAsia" w:ascii="宋体" w:hAnsi="宋体" w:cs="宋体"/>
          <w:b/>
          <w:color w:val="auto"/>
          <w:szCs w:val="21"/>
        </w:rPr>
      </w:pPr>
    </w:p>
    <w:p>
      <w:pPr>
        <w:spacing w:line="360" w:lineRule="exact"/>
        <w:jc w:val="center"/>
        <w:rPr>
          <w:rFonts w:hint="eastAsia" w:ascii="宋体" w:hAnsi="宋体" w:cs="宋体"/>
          <w:b/>
          <w:color w:val="auto"/>
          <w:szCs w:val="21"/>
        </w:rPr>
      </w:pPr>
      <w:r>
        <w:rPr>
          <w:rFonts w:hint="eastAsia" w:ascii="宋体" w:hAnsi="宋体" w:cs="宋体"/>
          <w:b/>
          <w:color w:val="auto"/>
          <w:szCs w:val="21"/>
        </w:rPr>
        <w:t>五、竞争性磋商（简称磋商）与评审</w:t>
      </w:r>
    </w:p>
    <w:p>
      <w:pPr>
        <w:pStyle w:val="4"/>
        <w:spacing w:line="360" w:lineRule="exact"/>
        <w:ind w:firstLine="358" w:firstLineChars="170"/>
        <w:rPr>
          <w:rFonts w:hint="eastAsia" w:ascii="宋体" w:hAnsi="宋体" w:eastAsia="宋体" w:cs="宋体"/>
          <w:color w:val="auto"/>
          <w:sz w:val="21"/>
          <w:szCs w:val="21"/>
        </w:rPr>
      </w:pPr>
      <w:bookmarkStart w:id="14" w:name="_Toc304876596"/>
      <w:bookmarkStart w:id="15" w:name="_Toc25484"/>
      <w:r>
        <w:rPr>
          <w:rFonts w:hint="eastAsia" w:ascii="宋体" w:hAnsi="宋体" w:eastAsia="宋体" w:cs="宋体"/>
          <w:color w:val="auto"/>
          <w:sz w:val="21"/>
          <w:szCs w:val="21"/>
        </w:rPr>
        <w:t>2</w:t>
      </w:r>
      <w:bookmarkEnd w:id="14"/>
      <w:bookmarkEnd w:id="15"/>
      <w:r>
        <w:rPr>
          <w:rFonts w:hint="eastAsia" w:ascii="宋体" w:hAnsi="宋体" w:eastAsia="宋体" w:cs="宋体"/>
          <w:color w:val="auto"/>
          <w:sz w:val="21"/>
          <w:szCs w:val="21"/>
        </w:rPr>
        <w:t>1截标</w:t>
      </w:r>
    </w:p>
    <w:p>
      <w:pPr>
        <w:spacing w:line="360" w:lineRule="exact"/>
        <w:rPr>
          <w:rFonts w:hint="eastAsia" w:ascii="宋体" w:hAnsi="宋体" w:cs="宋体"/>
          <w:color w:val="auto"/>
          <w:szCs w:val="21"/>
        </w:rPr>
      </w:pPr>
      <w:r>
        <w:rPr>
          <w:rFonts w:hint="eastAsia" w:ascii="宋体" w:hAnsi="宋体" w:cs="宋体"/>
          <w:color w:val="auto"/>
          <w:szCs w:val="21"/>
        </w:rPr>
        <w:t xml:space="preserve">    21.l 采购代理机构将于前附表第8项规定的时间和地点举行开标会议，逾期送达或者未按照招标文件要求密封的投标文件，其响应文件不予接收。</w:t>
      </w:r>
    </w:p>
    <w:p>
      <w:pPr>
        <w:spacing w:line="360" w:lineRule="exact"/>
        <w:ind w:firstLine="525" w:firstLineChars="250"/>
        <w:rPr>
          <w:rFonts w:hint="eastAsia" w:ascii="宋体" w:hAnsi="宋体" w:cs="宋体"/>
          <w:color w:val="auto"/>
          <w:szCs w:val="21"/>
        </w:rPr>
      </w:pPr>
      <w:r>
        <w:rPr>
          <w:rFonts w:hint="eastAsia" w:ascii="宋体" w:hAnsi="宋体" w:cs="宋体"/>
          <w:color w:val="auto"/>
          <w:szCs w:val="21"/>
        </w:rPr>
        <w:t>21.2 磋商活动在采购单位代表的现场监督下，由采购代理机构组织并主持，对磋商响应文件进行检查，确认它们是否按要求密封。但按规定提交了合格撤回通知的磋商文件不予启封。</w:t>
      </w:r>
    </w:p>
    <w:p>
      <w:pPr>
        <w:spacing w:line="360" w:lineRule="exact"/>
        <w:ind w:firstLine="480"/>
        <w:rPr>
          <w:rFonts w:hint="eastAsia" w:ascii="宋体" w:hAnsi="宋体" w:cs="宋体"/>
          <w:color w:val="auto"/>
          <w:szCs w:val="21"/>
        </w:rPr>
      </w:pPr>
      <w:r>
        <w:rPr>
          <w:rFonts w:hint="eastAsia" w:ascii="宋体" w:hAnsi="宋体" w:cs="宋体"/>
          <w:color w:val="auto"/>
          <w:szCs w:val="21"/>
        </w:rPr>
        <w:t>21.3 截标程序</w:t>
      </w:r>
    </w:p>
    <w:p>
      <w:pPr>
        <w:spacing w:line="360" w:lineRule="exact"/>
        <w:ind w:left="480"/>
        <w:rPr>
          <w:rFonts w:hint="eastAsia" w:ascii="宋体" w:hAnsi="宋体" w:cs="宋体"/>
          <w:color w:val="auto"/>
          <w:szCs w:val="21"/>
        </w:rPr>
      </w:pPr>
      <w:r>
        <w:rPr>
          <w:rFonts w:hint="eastAsia" w:ascii="宋体" w:hAnsi="宋体" w:cs="宋体"/>
          <w:color w:val="auto"/>
          <w:szCs w:val="21"/>
        </w:rPr>
        <w:t>（1）采购代理机构主持人宣布开标会议开始；</w:t>
      </w:r>
    </w:p>
    <w:p>
      <w:pPr>
        <w:spacing w:line="360" w:lineRule="exact"/>
        <w:ind w:left="480"/>
        <w:rPr>
          <w:rFonts w:hint="eastAsia" w:ascii="宋体" w:hAnsi="宋体" w:cs="宋体"/>
          <w:color w:val="auto"/>
          <w:szCs w:val="21"/>
        </w:rPr>
      </w:pPr>
      <w:r>
        <w:rPr>
          <w:rFonts w:hint="eastAsia" w:ascii="宋体" w:hAnsi="宋体" w:cs="宋体"/>
          <w:color w:val="auto"/>
          <w:szCs w:val="21"/>
        </w:rPr>
        <w:t>（2）公布在响应文件递交截止时间前递交磋商文件的磋商供应商数量；</w:t>
      </w:r>
    </w:p>
    <w:p>
      <w:pPr>
        <w:spacing w:line="360" w:lineRule="exact"/>
        <w:ind w:left="480"/>
        <w:rPr>
          <w:rFonts w:hint="eastAsia" w:ascii="宋体" w:hAnsi="宋体" w:cs="宋体"/>
          <w:color w:val="auto"/>
          <w:szCs w:val="21"/>
        </w:rPr>
      </w:pPr>
      <w:r>
        <w:rPr>
          <w:rFonts w:hint="eastAsia" w:ascii="宋体" w:hAnsi="宋体" w:cs="宋体"/>
          <w:color w:val="auto"/>
          <w:szCs w:val="21"/>
        </w:rPr>
        <w:t>（3）介绍参加磋商活动的人员名单（包括磋商供应商代表、采购单位代表、采购代理机构工作人员）；</w:t>
      </w:r>
    </w:p>
    <w:p>
      <w:pPr>
        <w:spacing w:line="360" w:lineRule="exact"/>
        <w:ind w:left="480"/>
        <w:rPr>
          <w:rFonts w:hint="eastAsia" w:ascii="宋体" w:hAnsi="宋体" w:cs="宋体"/>
          <w:color w:val="auto"/>
          <w:szCs w:val="21"/>
        </w:rPr>
      </w:pPr>
      <w:r>
        <w:rPr>
          <w:rFonts w:hint="eastAsia" w:ascii="宋体" w:hAnsi="宋体" w:cs="宋体"/>
          <w:color w:val="auto"/>
          <w:szCs w:val="21"/>
        </w:rPr>
        <w:t>（4）宣布评审纪律；</w:t>
      </w:r>
    </w:p>
    <w:p>
      <w:pPr>
        <w:spacing w:line="360" w:lineRule="exact"/>
        <w:ind w:left="480"/>
        <w:rPr>
          <w:rFonts w:hint="eastAsia" w:ascii="宋体" w:hAnsi="宋体" w:cs="宋体"/>
          <w:color w:val="auto"/>
          <w:szCs w:val="21"/>
        </w:rPr>
      </w:pPr>
      <w:r>
        <w:rPr>
          <w:rFonts w:hint="eastAsia" w:ascii="宋体" w:hAnsi="宋体" w:cs="宋体"/>
          <w:color w:val="auto"/>
          <w:szCs w:val="21"/>
        </w:rPr>
        <w:t>（5）由各磋商供应商的代表交叉检验各磋商文件密封的完整性并签字确认；</w:t>
      </w:r>
    </w:p>
    <w:p>
      <w:pPr>
        <w:spacing w:line="360" w:lineRule="exact"/>
        <w:ind w:left="480"/>
        <w:rPr>
          <w:rFonts w:hint="eastAsia" w:ascii="宋体" w:hAnsi="宋体" w:cs="宋体"/>
          <w:color w:val="auto"/>
          <w:szCs w:val="21"/>
        </w:rPr>
      </w:pPr>
      <w:r>
        <w:rPr>
          <w:rFonts w:hint="eastAsia" w:ascii="宋体" w:hAnsi="宋体" w:cs="宋体"/>
          <w:color w:val="auto"/>
          <w:szCs w:val="21"/>
        </w:rPr>
        <w:t xml:space="preserve"> (6) 宣读磋商和评审期间的有关事项；</w:t>
      </w:r>
    </w:p>
    <w:p>
      <w:pPr>
        <w:spacing w:line="360" w:lineRule="exact"/>
        <w:ind w:left="481" w:leftChars="229" w:firstLine="105" w:firstLineChars="50"/>
        <w:rPr>
          <w:rFonts w:hint="eastAsia" w:ascii="宋体" w:hAnsi="宋体" w:cs="宋体"/>
          <w:color w:val="auto"/>
          <w:szCs w:val="21"/>
        </w:rPr>
      </w:pPr>
      <w:r>
        <w:rPr>
          <w:rFonts w:hint="eastAsia" w:ascii="宋体" w:hAnsi="宋体" w:cs="宋体"/>
          <w:color w:val="auto"/>
          <w:szCs w:val="21"/>
        </w:rPr>
        <w:t>(7) 宣布截标会议结束。</w:t>
      </w:r>
    </w:p>
    <w:p>
      <w:pPr>
        <w:spacing w:line="360" w:lineRule="exact"/>
        <w:ind w:firstLine="422" w:firstLineChars="200"/>
        <w:rPr>
          <w:rFonts w:hint="eastAsia" w:ascii="宋体" w:hAnsi="宋体" w:cs="宋体"/>
          <w:color w:val="auto"/>
          <w:szCs w:val="21"/>
        </w:rPr>
      </w:pPr>
      <w:r>
        <w:rPr>
          <w:rFonts w:hint="eastAsia" w:ascii="宋体" w:hAnsi="宋体" w:cs="宋体"/>
          <w:b/>
          <w:color w:val="auto"/>
          <w:szCs w:val="21"/>
        </w:rPr>
        <w:t>22.磋商</w:t>
      </w:r>
    </w:p>
    <w:p>
      <w:pPr>
        <w:pStyle w:val="18"/>
        <w:spacing w:line="360" w:lineRule="exact"/>
        <w:ind w:firstLine="420"/>
        <w:rPr>
          <w:rFonts w:hint="eastAsia" w:hAnsi="宋体" w:cs="宋体"/>
          <w:color w:val="auto"/>
          <w:szCs w:val="21"/>
        </w:rPr>
      </w:pPr>
      <w:r>
        <w:rPr>
          <w:rFonts w:hint="eastAsia" w:hAnsi="宋体" w:cs="宋体"/>
          <w:color w:val="auto"/>
          <w:szCs w:val="21"/>
        </w:rPr>
        <w:t>22.1磋商时间及地点：按本须知前附表第8项规定，具体时间由采购代理机构另行通知。</w:t>
      </w:r>
    </w:p>
    <w:p>
      <w:pPr>
        <w:pStyle w:val="18"/>
        <w:spacing w:line="360" w:lineRule="exact"/>
        <w:ind w:firstLine="420"/>
        <w:rPr>
          <w:rFonts w:hint="eastAsia" w:hAnsi="宋体" w:cs="宋体"/>
          <w:color w:val="auto"/>
          <w:szCs w:val="21"/>
        </w:rPr>
      </w:pPr>
      <w:r>
        <w:rPr>
          <w:rFonts w:hint="eastAsia" w:hAnsi="宋体" w:cs="宋体"/>
          <w:color w:val="auto"/>
          <w:szCs w:val="21"/>
        </w:rPr>
        <w:t>22.2采购代理机构根据采购项目的特点组建由三人以上（含三人）的单数组成的磋商小组，磋商小组成员由从政采云评审专家库中随机抽取2名有关专家，和1名采购人代表组成，其中评审专家人数不得少于磋商小组成员总数的三分之二。在整个磋商过程中，磋商小组将负责对全部竞争性磋商响应文件格式进行审查、磋商及评标工作。</w:t>
      </w:r>
    </w:p>
    <w:p>
      <w:pPr>
        <w:pStyle w:val="18"/>
        <w:spacing w:line="360" w:lineRule="exact"/>
        <w:ind w:firstLine="420"/>
        <w:rPr>
          <w:rFonts w:hint="eastAsia" w:hAnsi="宋体" w:cs="宋体"/>
          <w:b/>
          <w:color w:val="auto"/>
          <w:szCs w:val="21"/>
        </w:rPr>
      </w:pPr>
      <w:r>
        <w:rPr>
          <w:rFonts w:hint="eastAsia" w:hAnsi="宋体" w:cs="宋体"/>
          <w:b/>
          <w:color w:val="auto"/>
          <w:szCs w:val="21"/>
        </w:rPr>
        <w:t>23.磋商的步骤</w:t>
      </w:r>
    </w:p>
    <w:p>
      <w:pPr>
        <w:pStyle w:val="18"/>
        <w:spacing w:line="360" w:lineRule="exact"/>
        <w:ind w:firstLine="420"/>
        <w:rPr>
          <w:rFonts w:hint="eastAsia" w:hAnsi="宋体" w:cs="宋体"/>
          <w:color w:val="auto"/>
          <w:szCs w:val="21"/>
        </w:rPr>
      </w:pPr>
      <w:r>
        <w:rPr>
          <w:rFonts w:hint="eastAsia" w:hAnsi="宋体" w:cs="宋体"/>
          <w:color w:val="auto"/>
          <w:szCs w:val="21"/>
        </w:rPr>
        <w:t>23.1第一轮磋商</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第一轮磋商：磋商小组按已确定的磋商顺序，分别与单一磋商供应商就符合采购需求、质量和服务等方面进行磋商，并了解其报价组成情况。</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在磋商过程中，磋商的任何一方不得透露与磋商有关的其他磋商供应商的技术资料、价格和其他信息。磋商文件有实质变动的，磋商小组应当以书面形式通知所有参加磋商的供应商。</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采购代理机构对磋商过程和重要磋商内容进行记录，磋商双方在记录上签字确认。</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磋商小组一致确定相应供应商符合磋商文件要求的，按照磋商文件设定的方法和标准确定成交候选人。在第一轮磋商中磋商小组未能确定成交候选人的，对磋商文件修正后进行第二轮磋商。</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23.2磋商文件修正</w:t>
      </w:r>
    </w:p>
    <w:p>
      <w:pPr>
        <w:widowControl/>
        <w:tabs>
          <w:tab w:val="left" w:pos="540"/>
        </w:tabs>
        <w:spacing w:line="36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 xml:space="preserve">⑴ </w:t>
      </w:r>
      <w:r>
        <w:rPr>
          <w:rFonts w:hint="eastAsia" w:ascii="宋体" w:hAnsi="宋体" w:cs="宋体"/>
          <w:color w:val="auto"/>
          <w:szCs w:val="21"/>
        </w:rPr>
        <w:t>第一轮磋商结束后，各磋商供应商退场等候，磋商小组进行合议。根据第一轮磋商掌握的情况，可以对磋商文件进行修改，确定采购内容的详细规格或具体要求，优化采购方案。</w:t>
      </w:r>
    </w:p>
    <w:p>
      <w:pPr>
        <w:widowControl/>
        <w:tabs>
          <w:tab w:val="left" w:pos="540"/>
        </w:tabs>
        <w:spacing w:line="360" w:lineRule="exact"/>
        <w:ind w:firstLine="420" w:firstLineChars="200"/>
        <w:jc w:val="left"/>
        <w:rPr>
          <w:rFonts w:hint="eastAsia" w:ascii="宋体" w:hAnsi="宋体" w:cs="宋体"/>
          <w:color w:val="auto"/>
          <w:kern w:val="0"/>
          <w:szCs w:val="21"/>
        </w:rPr>
      </w:pPr>
      <w:r>
        <w:rPr>
          <w:rFonts w:hint="eastAsia" w:ascii="宋体" w:hAnsi="宋体" w:cs="宋体"/>
          <w:color w:val="auto"/>
          <w:szCs w:val="21"/>
        </w:rPr>
        <w:t>⑵ 采购</w:t>
      </w:r>
      <w:r>
        <w:rPr>
          <w:rFonts w:hint="eastAsia" w:ascii="宋体" w:hAnsi="宋体" w:cs="宋体"/>
          <w:color w:val="auto"/>
          <w:kern w:val="0"/>
          <w:szCs w:val="21"/>
        </w:rPr>
        <w:t>代理机构</w:t>
      </w:r>
      <w:r>
        <w:rPr>
          <w:rFonts w:hint="eastAsia" w:ascii="宋体" w:hAnsi="宋体" w:cs="宋体"/>
          <w:color w:val="auto"/>
          <w:szCs w:val="21"/>
        </w:rPr>
        <w:t>通知磋商供应商集中，磋商小组强调调整后的采购要求，将磋商文件的修改结果以书面形式通知磋商供应商，向磋商供应商提供较充分的修正时间。</w:t>
      </w:r>
    </w:p>
    <w:p>
      <w:pPr>
        <w:widowControl/>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⑶ 磋商供应商根据第一轮磋商情况和磋商文件修改书面通知，对原响应文件进行修正，并将修正文件签字（盖章）后密封送交磋商小组。逾时不交的，视同放弃磋商。修正文件与响应文件同具法律效应。</w:t>
      </w:r>
    </w:p>
    <w:p>
      <w:pPr>
        <w:widowControl/>
        <w:spacing w:line="360" w:lineRule="exact"/>
        <w:ind w:firstLine="420" w:firstLineChars="200"/>
        <w:jc w:val="left"/>
        <w:rPr>
          <w:rFonts w:hint="eastAsia" w:ascii="宋体" w:hAnsi="宋体" w:cs="宋体"/>
          <w:color w:val="auto"/>
          <w:szCs w:val="21"/>
        </w:rPr>
      </w:pPr>
      <w:r>
        <w:rPr>
          <w:rFonts w:hint="eastAsia" w:ascii="宋体" w:hAnsi="宋体" w:cs="宋体"/>
          <w:color w:val="auto"/>
          <w:kern w:val="0"/>
          <w:szCs w:val="21"/>
        </w:rPr>
        <w:t>243.3第二轮磋商</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kern w:val="0"/>
          <w:szCs w:val="21"/>
        </w:rPr>
        <w:t>磋商小组就修正后的响应文件与磋商供应商分别进行磋商。采购</w:t>
      </w:r>
      <w:r>
        <w:rPr>
          <w:rFonts w:hint="eastAsia" w:ascii="宋体" w:hAnsi="宋体" w:cs="宋体"/>
          <w:color w:val="auto"/>
          <w:szCs w:val="21"/>
        </w:rPr>
        <w:t>代理机构对磋商过程和重要磋商内容进行记录，磋商双方在记录上签字确认。磋商小组按磋商文件设定的方法和标准确定成交候选人。</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第二轮磋商磋商小组未能确定成交候选人的，对磋商文件修正后进行第三轮磋商。以此类推。</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23.4最后报价</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23.4.1</w:t>
      </w:r>
      <w:r>
        <w:rPr>
          <w:rFonts w:hint="eastAsia" w:ascii="宋体" w:hAnsi="宋体" w:cs="宋体"/>
          <w:color w:val="auto"/>
          <w:kern w:val="0"/>
          <w:szCs w:val="21"/>
        </w:rPr>
        <w:t>磋商供应商</w:t>
      </w:r>
      <w:r>
        <w:rPr>
          <w:rFonts w:hint="eastAsia" w:ascii="宋体" w:hAnsi="宋体" w:cs="宋体"/>
          <w:color w:val="auto"/>
          <w:szCs w:val="21"/>
        </w:rPr>
        <w:t>作最后报价，密封递交磋商小组。</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23.4.2 最终报价不得高于或等于首次报价,应体现磋商报价的竞争性。</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23.5磋商供应商的报价均超过了政府采购预算，采购人不能支付的，磋商活动终止；终止后，采购人需要采取调整采购预算或项目配置标准等，或采取其他采购方式的，应当在采购活动开始前获得财政部门批准。</w:t>
      </w:r>
    </w:p>
    <w:p>
      <w:pPr>
        <w:widowControl/>
        <w:tabs>
          <w:tab w:val="left" w:pos="540"/>
        </w:tabs>
        <w:spacing w:line="360" w:lineRule="exact"/>
        <w:ind w:firstLine="422" w:firstLineChars="200"/>
        <w:jc w:val="left"/>
        <w:rPr>
          <w:rFonts w:hint="eastAsia" w:ascii="宋体" w:hAnsi="宋体" w:cs="宋体"/>
          <w:b/>
          <w:color w:val="auto"/>
          <w:szCs w:val="21"/>
        </w:rPr>
      </w:pPr>
      <w:r>
        <w:rPr>
          <w:rFonts w:hint="eastAsia" w:ascii="宋体" w:hAnsi="宋体" w:cs="宋体"/>
          <w:b/>
          <w:color w:val="auto"/>
          <w:szCs w:val="21"/>
        </w:rPr>
        <w:t>24.评审</w:t>
      </w:r>
    </w:p>
    <w:p>
      <w:pPr>
        <w:widowControl/>
        <w:tabs>
          <w:tab w:val="left" w:pos="540"/>
        </w:tabs>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24.1本采购项目是以政府采购预算价为最高限价，超出政府采购预算价的最终磋商报价，采购人不能支付时，磋商小组将不予以评审。</w:t>
      </w:r>
    </w:p>
    <w:p>
      <w:pPr>
        <w:pStyle w:val="18"/>
        <w:spacing w:line="360" w:lineRule="exact"/>
        <w:ind w:firstLine="420"/>
        <w:rPr>
          <w:rFonts w:hint="eastAsia" w:hAnsi="宋体" w:cs="宋体"/>
          <w:color w:val="auto"/>
          <w:szCs w:val="21"/>
        </w:rPr>
      </w:pPr>
      <w:r>
        <w:rPr>
          <w:rFonts w:hint="eastAsia" w:hAnsi="宋体" w:cs="宋体"/>
          <w:color w:val="auto"/>
          <w:szCs w:val="21"/>
        </w:rPr>
        <w:t>24.2本采购项目的评标依据为采购文件和磋商文件。</w:t>
      </w:r>
    </w:p>
    <w:p>
      <w:pPr>
        <w:pStyle w:val="18"/>
        <w:spacing w:line="360" w:lineRule="exact"/>
        <w:ind w:firstLine="420"/>
        <w:rPr>
          <w:rFonts w:hint="eastAsia" w:hAnsi="宋体" w:cs="宋体"/>
          <w:color w:val="auto"/>
          <w:szCs w:val="21"/>
        </w:rPr>
      </w:pPr>
      <w:r>
        <w:rPr>
          <w:rFonts w:hint="eastAsia" w:hAnsi="宋体" w:cs="宋体"/>
          <w:color w:val="auto"/>
          <w:szCs w:val="21"/>
        </w:rPr>
        <w:t>24.3本项目采用的评标方法按本须知前附表第11项规定执行，“磋商小组”成员、采购人代表、采购代理机构有关工作人员及其他知情人不得透露对磋商文件的评审、比较和成交候选供应商的推荐情况以及与评标有关的其他情况。</w:t>
      </w:r>
    </w:p>
    <w:p>
      <w:pPr>
        <w:pStyle w:val="18"/>
        <w:spacing w:line="360" w:lineRule="exact"/>
        <w:ind w:firstLine="420"/>
        <w:rPr>
          <w:rFonts w:hint="eastAsia" w:hAnsi="宋体" w:cs="宋体"/>
          <w:color w:val="auto"/>
          <w:szCs w:val="21"/>
        </w:rPr>
      </w:pPr>
      <w:r>
        <w:rPr>
          <w:rFonts w:hint="eastAsia" w:hAnsi="宋体" w:cs="宋体"/>
          <w:color w:val="auto"/>
          <w:szCs w:val="21"/>
        </w:rPr>
        <w:t>24.4磋商供应商在评标过程中，所进行的力图影响评标结果公正性的活动，将可能导致其成交资格被取消。</w:t>
      </w:r>
    </w:p>
    <w:p>
      <w:pPr>
        <w:widowControl/>
        <w:tabs>
          <w:tab w:val="left" w:pos="540"/>
        </w:tabs>
        <w:spacing w:line="360" w:lineRule="exact"/>
        <w:ind w:firstLine="422" w:firstLineChars="200"/>
        <w:jc w:val="left"/>
        <w:rPr>
          <w:rFonts w:hint="eastAsia" w:ascii="宋体" w:hAnsi="宋体" w:cs="宋体"/>
          <w:color w:val="auto"/>
          <w:szCs w:val="21"/>
        </w:rPr>
      </w:pPr>
      <w:r>
        <w:rPr>
          <w:rFonts w:hint="eastAsia" w:ascii="宋体" w:hAnsi="宋体" w:cs="宋体"/>
          <w:b/>
          <w:color w:val="auto"/>
          <w:szCs w:val="21"/>
        </w:rPr>
        <w:t>25.无效的竞争性磋商响应文件</w:t>
      </w:r>
    </w:p>
    <w:p>
      <w:pPr>
        <w:widowControl/>
        <w:spacing w:line="360" w:lineRule="exact"/>
        <w:ind w:firstLine="411" w:firstLineChars="195"/>
        <w:jc w:val="left"/>
        <w:rPr>
          <w:rFonts w:hint="eastAsia" w:ascii="宋体" w:hAnsi="宋体" w:cs="宋体"/>
          <w:b/>
          <w:bCs/>
          <w:color w:val="auto"/>
          <w:szCs w:val="21"/>
        </w:rPr>
      </w:pPr>
      <w:r>
        <w:rPr>
          <w:rFonts w:hint="eastAsia" w:ascii="宋体" w:hAnsi="宋体" w:cs="宋体"/>
          <w:b/>
          <w:bCs/>
          <w:color w:val="auto"/>
          <w:szCs w:val="21"/>
        </w:rPr>
        <w:t>25.1竞争性磋商响应文件或最终磋商报价如有下列情况之一者，将会在磋商过程中按照无效磋商处理：</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（1）磋商供应商所提供的材料不足以证明其具备本项目要求资格的；</w:t>
      </w:r>
    </w:p>
    <w:p>
      <w:pPr>
        <w:pStyle w:val="18"/>
        <w:spacing w:line="360" w:lineRule="exact"/>
        <w:ind w:firstLine="411" w:firstLineChars="195"/>
        <w:rPr>
          <w:rFonts w:hint="eastAsia" w:hAnsi="宋体" w:cs="宋体"/>
          <w:color w:val="auto"/>
          <w:szCs w:val="21"/>
        </w:rPr>
      </w:pPr>
      <w:r>
        <w:rPr>
          <w:rFonts w:hint="eastAsia" w:hAnsi="宋体" w:cs="宋体"/>
          <w:b/>
          <w:color w:val="auto"/>
          <w:szCs w:val="21"/>
        </w:rPr>
        <w:t>（2）磋商供应商未就所磋商的的所有货物和服务内容作完整唯一报价的；</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（3）磋商供应商未按竞争性磋商采购文件的要求密封、签署、盖章的；</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（4）磋商供应商</w:t>
      </w:r>
      <w:r>
        <w:rPr>
          <w:rFonts w:hint="eastAsia" w:hAnsi="宋体" w:cs="宋体"/>
          <w:b/>
          <w:bCs/>
          <w:color w:val="auto"/>
          <w:szCs w:val="21"/>
        </w:rPr>
        <w:t>最终</w:t>
      </w:r>
      <w:r>
        <w:rPr>
          <w:rFonts w:hint="eastAsia" w:hAnsi="宋体" w:cs="宋体"/>
          <w:b/>
          <w:color w:val="auto"/>
          <w:szCs w:val="21"/>
        </w:rPr>
        <w:t>磋商报价</w:t>
      </w:r>
      <w:r>
        <w:rPr>
          <w:rFonts w:hint="eastAsia" w:hAnsi="宋体" w:cs="宋体"/>
          <w:b/>
          <w:bCs/>
          <w:color w:val="auto"/>
          <w:szCs w:val="21"/>
        </w:rPr>
        <w:t>超出政府采购预算价的，采购人不能支付的</w:t>
      </w:r>
      <w:r>
        <w:rPr>
          <w:rFonts w:hint="eastAsia" w:hAnsi="宋体" w:cs="宋体"/>
          <w:b/>
          <w:color w:val="auto"/>
          <w:szCs w:val="21"/>
        </w:rPr>
        <w:t>；</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（5）磋商供应商不符合本须知第12、13条中规定的实质性要求并且在磋商规定的时间内无法说明和补充的；</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（6）磋商供应商无法在规定时间内提供资格证明材料进行核对的，或应磋商小组要求提供的有关材料原件与其在竞争性磋商响应文件中所提供的材料复印件不一致的；</w:t>
      </w:r>
    </w:p>
    <w:p>
      <w:pPr>
        <w:pStyle w:val="18"/>
        <w:spacing w:line="360" w:lineRule="exact"/>
        <w:ind w:firstLine="411" w:firstLineChars="195"/>
        <w:rPr>
          <w:rFonts w:hint="eastAsia" w:hAnsi="宋体" w:cs="宋体"/>
          <w:b/>
          <w:color w:val="auto"/>
          <w:szCs w:val="21"/>
        </w:rPr>
      </w:pPr>
      <w:r>
        <w:rPr>
          <w:rFonts w:hint="eastAsia" w:hAnsi="宋体" w:cs="宋体"/>
          <w:b/>
          <w:color w:val="auto"/>
          <w:szCs w:val="21"/>
        </w:rPr>
        <w:t>（7）磋商供应商递交两份或多份内容不同的竞争性磋商响应文件，或在一份竞争性磋商响应文件中对同一采购货物有两个或多个报价，且未声明哪一个为最终报价的，按竞争性磋商采购文件规定提交备选磋商方案的除外；</w:t>
      </w:r>
    </w:p>
    <w:p>
      <w:pPr>
        <w:pStyle w:val="18"/>
        <w:spacing w:line="360" w:lineRule="exact"/>
        <w:ind w:firstLine="411" w:firstLineChars="195"/>
        <w:rPr>
          <w:rFonts w:hint="eastAsia" w:hAnsi="宋体" w:cs="宋体"/>
          <w:color w:val="auto"/>
          <w:szCs w:val="21"/>
        </w:rPr>
      </w:pPr>
      <w:r>
        <w:rPr>
          <w:rFonts w:hint="eastAsia" w:hAnsi="宋体" w:cs="宋体"/>
          <w:b/>
          <w:color w:val="auto"/>
          <w:szCs w:val="21"/>
        </w:rPr>
        <w:t>（8）</w:t>
      </w:r>
      <w:r>
        <w:rPr>
          <w:rFonts w:hint="eastAsia" w:hAnsi="宋体" w:cs="宋体"/>
          <w:b/>
          <w:bCs/>
          <w:color w:val="auto"/>
          <w:szCs w:val="21"/>
        </w:rPr>
        <w:t>最终磋商报价高于磋商文件的磋商初始报价（即首次报价）的；</w:t>
      </w:r>
    </w:p>
    <w:p>
      <w:pPr>
        <w:widowControl/>
        <w:spacing w:line="360" w:lineRule="exact"/>
        <w:ind w:firstLine="411" w:firstLineChars="195"/>
        <w:jc w:val="left"/>
        <w:rPr>
          <w:rFonts w:hint="eastAsia" w:ascii="宋体" w:hAnsi="宋体" w:cs="宋体"/>
          <w:b/>
          <w:color w:val="auto"/>
          <w:szCs w:val="21"/>
        </w:rPr>
      </w:pPr>
      <w:r>
        <w:rPr>
          <w:rFonts w:hint="eastAsia" w:ascii="宋体" w:hAnsi="宋体" w:cs="宋体"/>
          <w:b/>
          <w:color w:val="auto"/>
          <w:szCs w:val="21"/>
        </w:rPr>
        <w:t>（9）磋商供应商不符合法律、法规和竞争性磋商采购文件规定的其他实质性要求和条件的。</w:t>
      </w:r>
    </w:p>
    <w:p>
      <w:pPr>
        <w:pStyle w:val="18"/>
        <w:spacing w:line="360" w:lineRule="exact"/>
        <w:ind w:firstLine="358" w:firstLineChars="170"/>
        <w:rPr>
          <w:rFonts w:hint="eastAsia" w:hAnsi="宋体" w:cs="宋体"/>
          <w:b/>
          <w:color w:val="auto"/>
          <w:szCs w:val="21"/>
        </w:rPr>
      </w:pPr>
      <w:r>
        <w:rPr>
          <w:rFonts w:hint="eastAsia" w:hAnsi="宋体" w:cs="宋体"/>
          <w:b/>
          <w:color w:val="auto"/>
          <w:szCs w:val="21"/>
        </w:rPr>
        <w:t>26．废标</w:t>
      </w:r>
    </w:p>
    <w:p>
      <w:pPr>
        <w:pStyle w:val="18"/>
        <w:spacing w:line="360" w:lineRule="exact"/>
        <w:ind w:firstLine="422" w:firstLineChars="200"/>
        <w:rPr>
          <w:rFonts w:hint="eastAsia" w:hAnsi="宋体" w:cs="宋体"/>
          <w:b/>
          <w:bCs/>
          <w:color w:val="auto"/>
          <w:szCs w:val="21"/>
        </w:rPr>
      </w:pPr>
      <w:r>
        <w:rPr>
          <w:rFonts w:hint="eastAsia" w:hAnsi="宋体" w:cs="宋体"/>
          <w:b/>
          <w:bCs/>
          <w:color w:val="auto"/>
          <w:szCs w:val="21"/>
        </w:rPr>
        <w:t>26.1</w:t>
      </w:r>
      <w:r>
        <w:rPr>
          <w:rFonts w:hint="eastAsia" w:hAnsi="宋体" w:cs="宋体"/>
          <w:b/>
          <w:color w:val="auto"/>
          <w:szCs w:val="21"/>
        </w:rPr>
        <w:t>磋商采购过程中出现下列情形之一的，将予以废标：</w:t>
      </w:r>
    </w:p>
    <w:p>
      <w:pPr>
        <w:pStyle w:val="18"/>
        <w:spacing w:line="360" w:lineRule="exact"/>
        <w:ind w:firstLine="422" w:firstLineChars="200"/>
        <w:rPr>
          <w:rFonts w:hint="eastAsia" w:hAnsi="宋体" w:cs="宋体"/>
          <w:b/>
          <w:color w:val="auto"/>
          <w:szCs w:val="21"/>
        </w:rPr>
      </w:pPr>
      <w:r>
        <w:rPr>
          <w:rFonts w:hint="eastAsia" w:hAnsi="宋体" w:cs="宋体"/>
          <w:b/>
          <w:color w:val="auto"/>
          <w:szCs w:val="21"/>
        </w:rPr>
        <w:t xml:space="preserve">⑴参与磋商的供应商或者符合专业条件的供应商或者对竞争性磋商采购文件作实质响应的供应商不足三家的； </w:t>
      </w:r>
    </w:p>
    <w:p>
      <w:pPr>
        <w:pStyle w:val="18"/>
        <w:spacing w:line="360" w:lineRule="exact"/>
        <w:ind w:firstLine="310" w:firstLineChars="147"/>
        <w:rPr>
          <w:rFonts w:hint="eastAsia" w:hAnsi="宋体" w:cs="宋体"/>
          <w:b/>
          <w:color w:val="auto"/>
          <w:szCs w:val="21"/>
        </w:rPr>
      </w:pPr>
      <w:r>
        <w:rPr>
          <w:rFonts w:hint="eastAsia" w:hAnsi="宋体" w:cs="宋体"/>
          <w:b/>
          <w:color w:val="auto"/>
          <w:szCs w:val="21"/>
        </w:rPr>
        <w:t xml:space="preserve"> ⑵ 出现影响采购公正的违法、违规行为的；</w:t>
      </w:r>
    </w:p>
    <w:p>
      <w:pPr>
        <w:pStyle w:val="18"/>
        <w:spacing w:line="360" w:lineRule="exact"/>
        <w:ind w:firstLine="422" w:firstLineChars="200"/>
        <w:rPr>
          <w:rFonts w:hint="eastAsia" w:hAnsi="宋体" w:cs="宋体"/>
          <w:b/>
          <w:color w:val="auto"/>
          <w:szCs w:val="21"/>
        </w:rPr>
      </w:pPr>
      <w:r>
        <w:rPr>
          <w:rFonts w:hint="eastAsia" w:hAnsi="宋体" w:cs="宋体"/>
          <w:b/>
          <w:color w:val="auto"/>
          <w:szCs w:val="21"/>
        </w:rPr>
        <w:t>⑶ 磋商供应商的最终报价均超过了采购预算，采购人不能支付的；</w:t>
      </w:r>
    </w:p>
    <w:p>
      <w:pPr>
        <w:pStyle w:val="18"/>
        <w:spacing w:line="360" w:lineRule="exact"/>
        <w:ind w:firstLine="422" w:firstLineChars="200"/>
        <w:rPr>
          <w:rFonts w:hint="eastAsia" w:hAnsi="宋体" w:cs="宋体"/>
          <w:color w:val="auto"/>
          <w:szCs w:val="21"/>
        </w:rPr>
      </w:pPr>
      <w:r>
        <w:rPr>
          <w:rFonts w:hint="eastAsia" w:hAnsi="宋体" w:cs="宋体"/>
          <w:b/>
          <w:color w:val="auto"/>
          <w:szCs w:val="21"/>
        </w:rPr>
        <w:t>⑷ 因重大变故，采购任务取消的。</w:t>
      </w:r>
      <w:r>
        <w:rPr>
          <w:rFonts w:hint="eastAsia" w:hAnsi="宋体" w:cs="宋体"/>
          <w:b/>
          <w:color w:val="auto"/>
          <w:szCs w:val="21"/>
        </w:rPr>
        <w:br w:type="textWrapping"/>
      </w:r>
      <w:r>
        <w:rPr>
          <w:rFonts w:hint="eastAsia" w:hAnsi="宋体" w:cs="宋体"/>
          <w:color w:val="auto"/>
          <w:szCs w:val="21"/>
        </w:rPr>
        <w:t xml:space="preserve">    27.2废标后，采购代理机构将废标理由通知所有磋商供应商。</w:t>
      </w:r>
    </w:p>
    <w:p>
      <w:pPr>
        <w:numPr>
          <w:ilvl w:val="0"/>
          <w:numId w:val="4"/>
        </w:numPr>
        <w:shd w:val="clear" w:color="auto" w:fill="FFFFFF"/>
        <w:spacing w:line="340" w:lineRule="exact"/>
        <w:ind w:firstLine="422" w:firstLineChars="200"/>
        <w:jc w:val="left"/>
        <w:rPr>
          <w:rFonts w:hint="eastAsia" w:hAnsi="宋体" w:cs="宋体"/>
          <w:b/>
          <w:color w:val="auto"/>
          <w:szCs w:val="21"/>
        </w:rPr>
      </w:pPr>
      <w:r>
        <w:rPr>
          <w:rFonts w:hint="eastAsia" w:hAnsi="宋体" w:cs="宋体"/>
          <w:b/>
          <w:color w:val="auto"/>
          <w:szCs w:val="21"/>
        </w:rPr>
        <w:t>确定成交供应商办法</w:t>
      </w:r>
    </w:p>
    <w:p>
      <w:pPr>
        <w:shd w:val="clear" w:color="auto" w:fill="FFFFFF"/>
        <w:spacing w:line="340" w:lineRule="exact"/>
        <w:ind w:firstLine="420" w:firstLineChars="200"/>
        <w:jc w:val="left"/>
        <w:rPr>
          <w:rFonts w:hint="eastAsia" w:hAnsi="宋体" w:cs="宋体"/>
          <w:color w:val="auto"/>
          <w:szCs w:val="21"/>
        </w:rPr>
      </w:pPr>
      <w:r>
        <w:rPr>
          <w:rFonts w:hint="eastAsia" w:ascii="宋体" w:hAnsi="宋体" w:cs="宋体"/>
          <w:color w:val="auto"/>
          <w:szCs w:val="21"/>
        </w:rPr>
        <w:t>磋商小组将根据综合得分由高到低排列次序（得分相同时，以投标报价由低到高顺序排列；得分相同且投标报价相同的，按实施方案分、服务承诺分、拟投入本项目人员及设备分、业绩分优劣顺序排列）并推荐排位前三名为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pStyle w:val="5"/>
        <w:spacing w:before="240" w:after="240" w:line="360" w:lineRule="exact"/>
        <w:jc w:val="center"/>
        <w:rPr>
          <w:rFonts w:hint="eastAsia" w:ascii="宋体" w:hAnsi="宋体" w:cs="宋体"/>
          <w:color w:val="auto"/>
          <w:sz w:val="21"/>
          <w:szCs w:val="21"/>
        </w:rPr>
      </w:pPr>
      <w:bookmarkStart w:id="16" w:name="_Toc29394"/>
      <w:bookmarkStart w:id="17" w:name="_Toc204135087"/>
      <w:r>
        <w:rPr>
          <w:rFonts w:hint="eastAsia" w:ascii="宋体" w:hAnsi="宋体" w:cs="宋体"/>
          <w:color w:val="auto"/>
          <w:sz w:val="21"/>
          <w:szCs w:val="21"/>
        </w:rPr>
        <w:t>六、签订合同</w:t>
      </w:r>
      <w:bookmarkEnd w:id="16"/>
      <w:bookmarkEnd w:id="17"/>
    </w:p>
    <w:p>
      <w:pPr>
        <w:pStyle w:val="18"/>
        <w:spacing w:line="360" w:lineRule="exact"/>
        <w:ind w:firstLine="422" w:firstLineChars="200"/>
        <w:rPr>
          <w:rFonts w:hint="eastAsia" w:hAnsi="宋体" w:cs="宋体"/>
          <w:b/>
          <w:color w:val="auto"/>
          <w:szCs w:val="21"/>
        </w:rPr>
      </w:pPr>
      <w:r>
        <w:rPr>
          <w:rFonts w:hint="eastAsia" w:hAnsi="宋体" w:cs="宋体"/>
          <w:b/>
          <w:color w:val="auto"/>
          <w:szCs w:val="21"/>
        </w:rPr>
        <w:t>28.成交结果及公告</w:t>
      </w:r>
    </w:p>
    <w:p>
      <w:pPr>
        <w:pStyle w:val="18"/>
        <w:spacing w:line="360" w:lineRule="exact"/>
        <w:ind w:firstLine="420"/>
        <w:rPr>
          <w:rFonts w:hint="eastAsia" w:hAnsi="宋体" w:cs="宋体"/>
          <w:color w:val="auto"/>
          <w:szCs w:val="21"/>
        </w:rPr>
      </w:pPr>
      <w:r>
        <w:rPr>
          <w:rFonts w:hint="eastAsia" w:hAnsi="宋体" w:cs="宋体"/>
          <w:color w:val="auto"/>
          <w:szCs w:val="21"/>
        </w:rPr>
        <w:t>28.1</w:t>
      </w:r>
      <w:r>
        <w:rPr>
          <w:rFonts w:hint="eastAsia" w:hAnsi="宋体"/>
          <w:color w:val="auto"/>
        </w:rPr>
        <w:t>采购代理机构在谈判工作完成后2个工作日内将谈判报告送采购人,采购人在收到评标报告之日起5个工作日内确认成交人，采购人或采购代理机构应自成交人确定之日起2个工作日内将成交结果在省级以上财政部门指定的媒体上发布</w:t>
      </w:r>
      <w:r>
        <w:rPr>
          <w:rFonts w:hint="eastAsia" w:hAnsi="宋体" w:cs="宋体"/>
          <w:color w:val="auto"/>
          <w:szCs w:val="21"/>
        </w:rPr>
        <w:t>。</w:t>
      </w:r>
    </w:p>
    <w:p>
      <w:pPr>
        <w:pStyle w:val="18"/>
        <w:spacing w:line="360" w:lineRule="exact"/>
        <w:ind w:firstLine="420"/>
        <w:rPr>
          <w:rFonts w:hint="eastAsia" w:hAnsi="宋体" w:cs="宋体"/>
          <w:color w:val="auto"/>
          <w:szCs w:val="21"/>
        </w:rPr>
      </w:pPr>
      <w:r>
        <w:rPr>
          <w:rFonts w:hint="eastAsia" w:hAnsi="宋体" w:cs="宋体"/>
          <w:color w:val="auto"/>
          <w:szCs w:val="21"/>
        </w:rPr>
        <w:t>28.2 在发布成交公告的同时,采购代理机构向成交人发出成交通知书。</w:t>
      </w:r>
    </w:p>
    <w:p>
      <w:pPr>
        <w:pStyle w:val="18"/>
        <w:spacing w:line="360" w:lineRule="exact"/>
        <w:ind w:firstLine="420"/>
        <w:rPr>
          <w:rFonts w:hint="eastAsia" w:hAnsi="宋体" w:cs="宋体"/>
          <w:color w:val="auto"/>
          <w:szCs w:val="21"/>
        </w:rPr>
      </w:pPr>
      <w:r>
        <w:rPr>
          <w:rFonts w:hint="eastAsia" w:hAnsi="宋体" w:cs="宋体"/>
          <w:color w:val="auto"/>
          <w:szCs w:val="21"/>
        </w:rPr>
        <w:t>28.3 采购代理机构无义务向未成交的磋商供应商解释未成交原因及退回磋商文件。</w:t>
      </w:r>
    </w:p>
    <w:p>
      <w:pPr>
        <w:pStyle w:val="18"/>
        <w:spacing w:line="360" w:lineRule="exact"/>
        <w:ind w:firstLine="420"/>
        <w:rPr>
          <w:rFonts w:hint="eastAsia" w:hAnsi="宋体" w:cs="宋体"/>
          <w:color w:val="auto"/>
          <w:szCs w:val="21"/>
        </w:rPr>
      </w:pPr>
      <w:r>
        <w:rPr>
          <w:rFonts w:hint="eastAsia" w:hAnsi="宋体" w:cs="宋体"/>
          <w:color w:val="auto"/>
          <w:szCs w:val="21"/>
        </w:rPr>
        <w:t>28.4磋商供应商如对成交公告有异议，可以在成交公告发布后七个工作日内以书面形式向采购代理机构提出质疑。采购代理机构将在收到磋商供应商的书面质疑后七个工作日内做出答复，但答复的内容不得涉及商业秘密。</w:t>
      </w:r>
    </w:p>
    <w:p>
      <w:pPr>
        <w:pStyle w:val="18"/>
        <w:spacing w:line="360" w:lineRule="exact"/>
        <w:ind w:firstLine="420"/>
        <w:rPr>
          <w:rFonts w:hint="eastAsia" w:hAnsi="宋体" w:cs="宋体"/>
          <w:color w:val="auto"/>
          <w:szCs w:val="21"/>
        </w:rPr>
      </w:pPr>
      <w:r>
        <w:rPr>
          <w:rFonts w:hint="eastAsia" w:hAnsi="宋体" w:cs="宋体"/>
          <w:color w:val="auto"/>
          <w:szCs w:val="21"/>
        </w:rPr>
        <w:t>28.5质疑磋商供应商必须首先经过质疑程序，质疑材料必须符合中华人民共和国财政部令第94号《政府采购质疑和投诉办法》的规定，在对采购代理机构的答复不满意或者采购代理机构未在规定的时间内做出答复的，可以在答复期满后十五个工作日内书面向同级人民政府财政部门投诉。</w:t>
      </w:r>
    </w:p>
    <w:p>
      <w:pPr>
        <w:pStyle w:val="18"/>
        <w:spacing w:line="360" w:lineRule="exact"/>
        <w:ind w:firstLine="420"/>
        <w:rPr>
          <w:rFonts w:hint="eastAsia" w:hAnsi="宋体" w:cs="宋体"/>
          <w:color w:val="auto"/>
          <w:szCs w:val="21"/>
        </w:rPr>
      </w:pPr>
      <w:r>
        <w:rPr>
          <w:rFonts w:hint="eastAsia" w:hAnsi="宋体" w:cs="宋体"/>
          <w:b/>
          <w:color w:val="auto"/>
          <w:szCs w:val="21"/>
        </w:rPr>
        <w:t>29.合同授予标准</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合同将授予被确定实质上相应磋商文件要求，具备履行合同能力，综合评审得分最高的磋商供应商。</w:t>
      </w:r>
    </w:p>
    <w:p>
      <w:pPr>
        <w:pStyle w:val="18"/>
        <w:snapToGrid w:val="0"/>
        <w:spacing w:line="360" w:lineRule="exact"/>
        <w:ind w:firstLine="413" w:firstLineChars="196"/>
        <w:rPr>
          <w:rFonts w:hint="eastAsia" w:hAnsi="宋体" w:cs="宋体"/>
          <w:b/>
          <w:color w:val="auto"/>
          <w:szCs w:val="21"/>
        </w:rPr>
      </w:pPr>
      <w:r>
        <w:rPr>
          <w:rFonts w:hint="eastAsia" w:hAnsi="宋体" w:cs="宋体"/>
          <w:b/>
          <w:color w:val="auto"/>
          <w:szCs w:val="21"/>
        </w:rPr>
        <w:t>30.签订合同</w:t>
      </w:r>
    </w:p>
    <w:p>
      <w:pPr>
        <w:pStyle w:val="18"/>
        <w:snapToGrid w:val="0"/>
        <w:spacing w:line="360" w:lineRule="exact"/>
        <w:ind w:firstLine="420" w:firstLineChars="200"/>
        <w:rPr>
          <w:rFonts w:hint="eastAsia" w:hAnsi="宋体" w:cs="宋体"/>
          <w:color w:val="auto"/>
          <w:szCs w:val="21"/>
        </w:rPr>
      </w:pPr>
      <w:r>
        <w:rPr>
          <w:rFonts w:hint="eastAsia" w:hAnsi="宋体" w:cs="宋体"/>
          <w:color w:val="auto"/>
          <w:szCs w:val="21"/>
        </w:rPr>
        <w:t>30.1成交供应商接到成交通知书后，应按成交通知书规定的时间、地点与采购人签订合同。</w:t>
      </w:r>
    </w:p>
    <w:p>
      <w:pPr>
        <w:pStyle w:val="18"/>
        <w:spacing w:line="360" w:lineRule="exact"/>
        <w:ind w:firstLine="420"/>
        <w:rPr>
          <w:rFonts w:hint="eastAsia" w:hAnsi="宋体" w:cs="宋体"/>
          <w:color w:val="auto"/>
          <w:szCs w:val="21"/>
        </w:rPr>
      </w:pPr>
      <w:r>
        <w:rPr>
          <w:rFonts w:hint="eastAsia" w:hAnsi="宋体" w:cs="宋体"/>
          <w:color w:val="auto"/>
          <w:szCs w:val="21"/>
        </w:rPr>
        <w:t>30.2如成交供应商不按成交通知书的规定签订合同（因不可抗力导致的情况除外），则按成交供应商违约处理，该违约将记入防城港市政府采购供应商诚信评价库。</w:t>
      </w:r>
    </w:p>
    <w:p>
      <w:pPr>
        <w:pStyle w:val="18"/>
        <w:spacing w:line="360" w:lineRule="exact"/>
        <w:ind w:firstLine="420"/>
        <w:rPr>
          <w:rFonts w:hint="eastAsia" w:hAnsi="宋体" w:cs="宋体"/>
          <w:color w:val="auto"/>
          <w:szCs w:val="21"/>
        </w:rPr>
      </w:pPr>
      <w:r>
        <w:rPr>
          <w:rFonts w:hint="eastAsia" w:hAnsi="宋体" w:cs="宋体"/>
          <w:color w:val="auto"/>
          <w:szCs w:val="21"/>
        </w:rPr>
        <w:t>30.3成交供应商因不可抗力或者自身原因不能履行采购合同的，采购人可以与成交供应商之后排名第一的成交候选供应商签订采购合同，以此类推，或重新组织采购。</w:t>
      </w:r>
    </w:p>
    <w:p>
      <w:pPr>
        <w:pStyle w:val="18"/>
        <w:spacing w:line="360" w:lineRule="exact"/>
        <w:ind w:firstLine="420"/>
        <w:rPr>
          <w:rFonts w:hint="eastAsia" w:hAnsi="宋体" w:cs="宋体"/>
          <w:color w:val="auto"/>
          <w:szCs w:val="21"/>
        </w:rPr>
      </w:pPr>
      <w:r>
        <w:rPr>
          <w:rFonts w:hint="eastAsia" w:hAnsi="宋体" w:cs="宋体"/>
          <w:color w:val="auto"/>
          <w:szCs w:val="21"/>
        </w:rPr>
        <w:t>30.4由于成交供应商放弃成交或未按规定签订合同（因不可抗力导致的情况除外），造成本项目的合同成交价提高（指采购人选择第二成交候选供应商或重新采购导致成交金额高于违约供应商的成交价），所超出违约供应商的成交价部分由违约供应商承担赔偿责任，并将赔偿金额上缴同级财政国库。若成交人拒绝交纳赔偿金，除按相关法规追收赔偿金外，列入不良行为记录名单，在一至三年内禁止其参加政府采购活动。</w:t>
      </w:r>
    </w:p>
    <w:p>
      <w:pPr>
        <w:pStyle w:val="18"/>
        <w:spacing w:line="360" w:lineRule="exact"/>
        <w:ind w:firstLine="420"/>
        <w:rPr>
          <w:rFonts w:hint="eastAsia" w:hAnsi="宋体" w:cs="宋体"/>
          <w:color w:val="auto"/>
          <w:szCs w:val="21"/>
        </w:rPr>
      </w:pPr>
      <w:r>
        <w:rPr>
          <w:rFonts w:hint="eastAsia" w:hAnsi="宋体" w:cs="宋体"/>
          <w:color w:val="auto"/>
          <w:szCs w:val="21"/>
        </w:rPr>
        <w:t>30.5合同签订必须按照《中华人民共和国政府采购法》和《中华人民共和国合同法》《政府采购竞争性磋商采购方式管理暂行办法</w:t>
      </w:r>
      <w:r>
        <w:rPr>
          <w:rFonts w:hint="eastAsia" w:hAnsi="宋体" w:cs="宋体"/>
          <w:color w:val="auto"/>
        </w:rPr>
        <w:t>》</w:t>
      </w:r>
      <w:r>
        <w:rPr>
          <w:rFonts w:hint="eastAsia" w:hAnsi="宋体" w:cs="宋体"/>
          <w:color w:val="auto"/>
          <w:szCs w:val="21"/>
        </w:rPr>
        <w:t>相关规定执行，且签订的合同必须与本项目磋商采购文件中的合同书格式(包括内容和结构)相一致，不能改变主要条款，否则由此造成的后果由采购人负责。</w:t>
      </w:r>
    </w:p>
    <w:p>
      <w:pPr>
        <w:pStyle w:val="18"/>
        <w:spacing w:line="360" w:lineRule="exact"/>
        <w:ind w:firstLine="420"/>
        <w:rPr>
          <w:rFonts w:hAnsi="宋体" w:cs="宋体"/>
          <w:color w:val="auto"/>
          <w:szCs w:val="21"/>
        </w:rPr>
      </w:pPr>
      <w:r>
        <w:rPr>
          <w:rFonts w:hint="eastAsia" w:hAnsi="宋体" w:cs="宋体"/>
          <w:b/>
          <w:color w:val="auto"/>
          <w:szCs w:val="21"/>
        </w:rPr>
        <w:t>31.履约保证金：不收取。</w:t>
      </w:r>
    </w:p>
    <w:p>
      <w:pPr>
        <w:pStyle w:val="5"/>
        <w:spacing w:before="240" w:after="240" w:line="360" w:lineRule="exact"/>
        <w:jc w:val="center"/>
        <w:rPr>
          <w:rFonts w:hint="eastAsia" w:ascii="宋体" w:hAnsi="宋体" w:cs="宋体"/>
          <w:color w:val="auto"/>
          <w:sz w:val="21"/>
          <w:szCs w:val="21"/>
        </w:rPr>
      </w:pPr>
      <w:bookmarkStart w:id="18" w:name="_Toc30591"/>
      <w:r>
        <w:rPr>
          <w:rFonts w:hint="eastAsia" w:ascii="宋体" w:hAnsi="宋体" w:cs="宋体"/>
          <w:color w:val="auto"/>
          <w:sz w:val="21"/>
          <w:szCs w:val="21"/>
        </w:rPr>
        <w:t>七、其他事项</w:t>
      </w:r>
      <w:bookmarkEnd w:id="18"/>
    </w:p>
    <w:p>
      <w:pPr>
        <w:pStyle w:val="18"/>
        <w:spacing w:line="360" w:lineRule="exact"/>
        <w:ind w:firstLine="420" w:firstLineChars="200"/>
        <w:rPr>
          <w:rFonts w:hint="eastAsia" w:hAnsi="宋体" w:cs="宋体"/>
          <w:b/>
          <w:color w:val="auto"/>
          <w:szCs w:val="21"/>
        </w:rPr>
      </w:pPr>
      <w:r>
        <w:rPr>
          <w:rFonts w:hint="eastAsia" w:hAnsi="宋体" w:cs="宋体"/>
          <w:color w:val="auto"/>
          <w:szCs w:val="21"/>
        </w:rPr>
        <w:t>32.</w:t>
      </w:r>
      <w:r>
        <w:rPr>
          <w:rFonts w:hint="eastAsia" w:hAnsi="宋体" w:cs="宋体"/>
          <w:b/>
          <w:color w:val="auto"/>
          <w:szCs w:val="21"/>
        </w:rPr>
        <w:t>委托代理服务费</w:t>
      </w:r>
    </w:p>
    <w:p>
      <w:pPr>
        <w:pStyle w:val="18"/>
        <w:spacing w:line="360" w:lineRule="exact"/>
        <w:ind w:firstLine="420"/>
        <w:rPr>
          <w:rFonts w:hint="eastAsia" w:hAnsi="宋体" w:cs="宋体"/>
          <w:color w:val="auto"/>
          <w:szCs w:val="21"/>
        </w:rPr>
      </w:pPr>
      <w:r>
        <w:rPr>
          <w:rFonts w:hint="eastAsia" w:hAnsi="宋体" w:cs="宋体"/>
          <w:color w:val="auto"/>
          <w:szCs w:val="21"/>
        </w:rPr>
        <w:t>32.1签订合同前，成交供应商向采购代理机构一次性付清委托代理服务费，其金额详见本须知前附表第10项规定。否则，采购代理机构将视之为违约。</w:t>
      </w:r>
    </w:p>
    <w:p>
      <w:pPr>
        <w:pStyle w:val="18"/>
        <w:spacing w:line="360" w:lineRule="exact"/>
        <w:ind w:firstLine="420"/>
        <w:rPr>
          <w:rFonts w:hint="eastAsia" w:hAnsi="宋体" w:cs="宋体"/>
          <w:b/>
          <w:color w:val="auto"/>
          <w:szCs w:val="21"/>
        </w:rPr>
      </w:pPr>
      <w:r>
        <w:rPr>
          <w:rFonts w:hint="eastAsia" w:hAnsi="宋体" w:cs="宋体"/>
          <w:b/>
          <w:color w:val="auto"/>
          <w:szCs w:val="21"/>
        </w:rPr>
        <w:t>33.适用法律</w:t>
      </w:r>
    </w:p>
    <w:p>
      <w:pPr>
        <w:pStyle w:val="18"/>
        <w:spacing w:line="360" w:lineRule="exact"/>
        <w:ind w:firstLine="420"/>
        <w:rPr>
          <w:rFonts w:hint="eastAsia" w:hAnsi="宋体" w:cs="宋体"/>
          <w:color w:val="auto"/>
          <w:szCs w:val="21"/>
        </w:rPr>
      </w:pPr>
      <w:r>
        <w:rPr>
          <w:rFonts w:hint="eastAsia" w:hAnsi="宋体" w:cs="宋体"/>
          <w:b/>
          <w:color w:val="auto"/>
          <w:szCs w:val="21"/>
        </w:rPr>
        <w:t>33.1</w:t>
      </w:r>
      <w:r>
        <w:rPr>
          <w:rFonts w:hint="eastAsia" w:hAnsi="宋体" w:cs="宋体"/>
          <w:color w:val="auto"/>
          <w:szCs w:val="21"/>
        </w:rPr>
        <w:t>采购当事人的一切活动均适用于《中华人民共和国政府采购法》、《中华人民共和国政府采购法实施条例》、《政府采购非招标采购方式管理办法》及相关规定。</w:t>
      </w:r>
    </w:p>
    <w:p>
      <w:pPr>
        <w:pStyle w:val="18"/>
        <w:spacing w:line="360" w:lineRule="exact"/>
        <w:ind w:firstLine="420"/>
        <w:rPr>
          <w:rFonts w:hint="eastAsia" w:hAnsi="宋体" w:cs="宋体"/>
          <w:color w:val="auto"/>
          <w:szCs w:val="21"/>
        </w:rPr>
      </w:pPr>
      <w:r>
        <w:rPr>
          <w:rFonts w:hint="eastAsia" w:hAnsi="宋体" w:cs="宋体"/>
          <w:color w:val="auto"/>
          <w:szCs w:val="21"/>
        </w:rPr>
        <w:t>33.2最终磋商结束后，磋商小组不得再与磋商供应商进行任何形式的商谈。</w:t>
      </w:r>
    </w:p>
    <w:p>
      <w:pPr>
        <w:pStyle w:val="18"/>
        <w:snapToGrid w:val="0"/>
        <w:spacing w:line="360" w:lineRule="exact"/>
        <w:ind w:firstLine="411" w:firstLineChars="196"/>
        <w:rPr>
          <w:rFonts w:hint="eastAsia" w:hAnsi="宋体" w:cs="宋体"/>
          <w:b/>
          <w:color w:val="auto"/>
          <w:szCs w:val="21"/>
        </w:rPr>
      </w:pPr>
      <w:r>
        <w:rPr>
          <w:rFonts w:hint="eastAsia" w:hAnsi="宋体" w:cs="宋体"/>
          <w:color w:val="auto"/>
          <w:szCs w:val="21"/>
        </w:rPr>
        <w:t>34.</w:t>
      </w:r>
      <w:r>
        <w:rPr>
          <w:rFonts w:hint="eastAsia" w:hAnsi="宋体" w:cs="宋体"/>
          <w:b/>
          <w:color w:val="auto"/>
          <w:szCs w:val="21"/>
        </w:rPr>
        <w:t xml:space="preserve"> 磋商过程的监控</w:t>
      </w:r>
    </w:p>
    <w:p>
      <w:pPr>
        <w:pStyle w:val="18"/>
        <w:snapToGrid w:val="0"/>
        <w:spacing w:line="360" w:lineRule="exact"/>
        <w:ind w:firstLine="420" w:firstLineChars="200"/>
        <w:rPr>
          <w:rFonts w:hint="eastAsia" w:hAnsi="宋体" w:cs="宋体"/>
          <w:color w:val="auto"/>
          <w:szCs w:val="21"/>
        </w:rPr>
      </w:pPr>
      <w:r>
        <w:rPr>
          <w:rFonts w:hint="eastAsia" w:hAnsi="宋体" w:cs="宋体"/>
          <w:color w:val="auto"/>
          <w:szCs w:val="21"/>
        </w:rPr>
        <w:t>本项目磋商过程实行全程录音、录像监控，磋商供应商在磋商过程中所进行的试图影响磋商结果的不公正活动，可能导致其磋商被拒绝。</w:t>
      </w:r>
    </w:p>
    <w:p>
      <w:pPr>
        <w:pStyle w:val="18"/>
        <w:numPr>
          <w:ilvl w:val="0"/>
          <w:numId w:val="5"/>
        </w:numPr>
        <w:spacing w:line="340" w:lineRule="exact"/>
        <w:jc w:val="center"/>
        <w:outlineLvl w:val="0"/>
        <w:rPr>
          <w:rFonts w:hint="eastAsia"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 xml:space="preserve"> </w:t>
      </w:r>
      <w:bookmarkStart w:id="19" w:name="_Toc10653"/>
      <w:r>
        <w:rPr>
          <w:rFonts w:hint="eastAsia" w:hAnsi="宋体" w:cs="宋体"/>
          <w:b/>
          <w:color w:val="auto"/>
          <w:sz w:val="32"/>
          <w:szCs w:val="32"/>
        </w:rPr>
        <w:t>项目采购需求</w:t>
      </w:r>
      <w:bookmarkEnd w:id="19"/>
    </w:p>
    <w:p>
      <w:pPr>
        <w:pStyle w:val="18"/>
        <w:spacing w:line="340" w:lineRule="exact"/>
        <w:rPr>
          <w:rFonts w:hint="eastAsia" w:hAnsi="宋体" w:cs="宋体"/>
          <w:b/>
          <w:color w:val="auto"/>
          <w:sz w:val="32"/>
          <w:szCs w:val="32"/>
        </w:rPr>
      </w:pPr>
    </w:p>
    <w:p>
      <w:pPr>
        <w:shd w:val="clear" w:color="auto" w:fill="FFFFFF"/>
        <w:spacing w:line="300" w:lineRule="exact"/>
        <w:ind w:firstLine="422" w:firstLineChars="200"/>
        <w:rPr>
          <w:rFonts w:hint="eastAsia" w:ascii="宋体" w:hAnsi="宋体" w:cs="宋体"/>
          <w:b/>
          <w:bCs/>
          <w:color w:val="auto"/>
          <w:szCs w:val="21"/>
        </w:rPr>
      </w:pPr>
    </w:p>
    <w:p>
      <w:pPr>
        <w:widowControl/>
        <w:spacing w:line="340" w:lineRule="exact"/>
        <w:jc w:val="left"/>
        <w:rPr>
          <w:rFonts w:hint="eastAsia" w:ascii="宋体" w:hAnsi="宋体" w:cs="宋体"/>
          <w:b/>
          <w:bCs/>
          <w:color w:val="auto"/>
          <w:szCs w:val="21"/>
        </w:rPr>
      </w:pPr>
      <w:r>
        <w:rPr>
          <w:rFonts w:hint="eastAsia" w:ascii="宋体" w:hAnsi="宋体" w:cs="宋体"/>
          <w:b/>
          <w:bCs/>
          <w:color w:val="auto"/>
          <w:szCs w:val="21"/>
        </w:rPr>
        <w:t>一、背景意义及指导思想</w:t>
      </w:r>
    </w:p>
    <w:p>
      <w:pPr>
        <w:widowControl/>
        <w:spacing w:line="340" w:lineRule="exact"/>
        <w:ind w:firstLine="422" w:firstLineChars="200"/>
        <w:jc w:val="left"/>
        <w:rPr>
          <w:rFonts w:hint="eastAsia" w:ascii="宋体" w:hAnsi="宋体" w:cs="宋体"/>
          <w:color w:val="auto"/>
          <w:kern w:val="0"/>
          <w:szCs w:val="21"/>
        </w:rPr>
      </w:pPr>
      <w:r>
        <w:rPr>
          <w:rFonts w:hint="eastAsia" w:ascii="宋体" w:hAnsi="宋体" w:cs="宋体"/>
          <w:b/>
          <w:bCs/>
          <w:color w:val="auto"/>
          <w:kern w:val="0"/>
          <w:szCs w:val="21"/>
        </w:rPr>
        <w:t xml:space="preserve"> 党的十九大报告指出，“建设生态文明是中华民族永续发展的千年大计。</w:t>
      </w:r>
      <w:r>
        <w:rPr>
          <w:rFonts w:hint="eastAsia" w:ascii="宋体" w:hAnsi="宋体" w:cs="宋体"/>
          <w:color w:val="auto"/>
          <w:kern w:val="0"/>
          <w:szCs w:val="21"/>
        </w:rPr>
        <w:t>必须树立和践行绿水青山就是金山银山的理念，实行最严格的生态环境保护制度，形成绿色发展方式和生活方式”。研究表明，长寿的影响因素是多方面的，绿水青山环境是一个无可替代的客观因素。寿命延长离不开生态环境和绿色发展，长寿和长寿之乡实际上是对生态文明和“绿水青山”的一种践行。</w:t>
      </w:r>
    </w:p>
    <w:p>
      <w:pPr>
        <w:widowControl/>
        <w:spacing w:line="340" w:lineRule="exact"/>
        <w:ind w:firstLine="422" w:firstLineChars="200"/>
        <w:jc w:val="left"/>
        <w:rPr>
          <w:rFonts w:hint="eastAsia" w:ascii="宋体" w:hAnsi="宋体" w:cs="宋体"/>
          <w:color w:val="auto"/>
          <w:kern w:val="0"/>
          <w:szCs w:val="21"/>
        </w:rPr>
      </w:pPr>
      <w:r>
        <w:rPr>
          <w:rFonts w:hint="eastAsia" w:ascii="宋体" w:hAnsi="宋体" w:cs="宋体"/>
          <w:b/>
          <w:bCs/>
          <w:color w:val="auto"/>
          <w:kern w:val="0"/>
          <w:szCs w:val="21"/>
        </w:rPr>
        <w:t>全球健康长寿时代来临，健康长寿产业成为朝阳产业，市场规模巨大。</w:t>
      </w:r>
      <w:r>
        <w:rPr>
          <w:rFonts w:hint="eastAsia" w:ascii="宋体" w:hAnsi="宋体" w:cs="宋体"/>
          <w:color w:val="auto"/>
          <w:kern w:val="0"/>
          <w:szCs w:val="21"/>
        </w:rPr>
        <w:t>由于食品、医疗卫生科技的进步，长寿将变得普遍。2019年，世界人口的期望寿命达到72.6岁，到2050年，生存环境的改善可能使人口期望寿命提升至77.1岁。从我国现实来看，生活水平的提高，大大增加了国人的寿命，现在中国人的人均寿命已经达到77岁；预计到2050年，中国老龄化将达到峰值，中国65岁以上人口将占到总人口的27.9%，进入超级老龄化社会。人类社会已经步入“全球长寿时代”。在中国即将步入深度老龄化社会的背景下，老年群体的巨大需求率先在大中型城市中被激活。据《中国老龄产业发展报告》，2014年-2050年间，我国老年人口的消费潜力将从4万亿增长到106万亿元左右，占GDP的比例将增长至33%，成为全球健康长寿产业产业市场潜力最大的国家。</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防城港市防城区生态环境良好，长寿养生资源丰富。发展“中国长寿之乡”是防城区践行国家“五位一体”和“健康中国”重要的战略选择，是防城区城市品质提升重要的软实力之一。“中国长寿之乡”是一张含金量很高的社会名片，将会成为防城港市城城区经济发展的新的方向和腾飞引擎。</w:t>
      </w:r>
    </w:p>
    <w:p>
      <w:pPr>
        <w:widowControl/>
        <w:numPr>
          <w:ilvl w:val="0"/>
          <w:numId w:val="6"/>
        </w:numPr>
        <w:spacing w:line="340" w:lineRule="exact"/>
        <w:jc w:val="left"/>
        <w:rPr>
          <w:rFonts w:hint="eastAsia" w:ascii="宋体" w:hAnsi="宋体" w:cs="宋体"/>
          <w:b/>
          <w:bCs/>
          <w:color w:val="auto"/>
          <w:kern w:val="0"/>
          <w:szCs w:val="21"/>
        </w:rPr>
      </w:pPr>
      <w:r>
        <w:rPr>
          <w:rFonts w:hint="eastAsia" w:ascii="宋体" w:hAnsi="宋体" w:cs="宋体"/>
          <w:b/>
          <w:bCs/>
          <w:color w:val="auto"/>
          <w:kern w:val="0"/>
          <w:szCs w:val="21"/>
        </w:rPr>
        <w:t>目的</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为有效提升防城区长寿产业经济高质量发展，为防城区认定申报中国长寿之乡工作提供基础资料支持，通过邀请专家对防城区发展长寿产业经济的现状研究，以中国长寿之乡认定标准体系的评估框架等为方法，结合防城区实际情况挖掘长寿基因及相关影响因素，给出专家意见，为防城区申报认定及发展中国长寿之乡指明方向。</w:t>
      </w:r>
    </w:p>
    <w:p>
      <w:pPr>
        <w:widowControl/>
        <w:numPr>
          <w:ilvl w:val="0"/>
          <w:numId w:val="6"/>
        </w:numPr>
        <w:spacing w:line="340" w:lineRule="exact"/>
        <w:jc w:val="left"/>
        <w:rPr>
          <w:rFonts w:hint="eastAsia" w:ascii="宋体" w:hAnsi="宋体" w:cs="宋体"/>
          <w:b/>
          <w:bCs/>
          <w:color w:val="auto"/>
          <w:kern w:val="0"/>
          <w:szCs w:val="21"/>
        </w:rPr>
      </w:pPr>
      <w:r>
        <w:rPr>
          <w:rFonts w:hint="eastAsia" w:ascii="宋体" w:hAnsi="宋体" w:cs="宋体"/>
          <w:b/>
          <w:bCs/>
          <w:color w:val="auto"/>
          <w:kern w:val="0"/>
          <w:szCs w:val="21"/>
        </w:rPr>
        <w:t>具体建议</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以下建议依照中国老年学和老年医学学会发布的《长寿之乡认定准则和方法》、《长寿之乡认定准则和方法实施细则》、长寿之乡认定程序具体要求、《助推长寿之乡发展计划》等标准，围绕申请、受理、认定、专家意见及发布四个认定程序展开具体工作及相关建议。</w:t>
      </w:r>
    </w:p>
    <w:p>
      <w:pPr>
        <w:widowControl/>
        <w:spacing w:line="340" w:lineRule="exact"/>
        <w:ind w:firstLine="422" w:firstLineChars="200"/>
        <w:jc w:val="left"/>
        <w:rPr>
          <w:rFonts w:hint="eastAsia" w:ascii="宋体" w:hAnsi="宋体" w:cs="宋体"/>
          <w:color w:val="auto"/>
          <w:kern w:val="0"/>
          <w:szCs w:val="21"/>
        </w:rPr>
      </w:pPr>
      <w:r>
        <w:rPr>
          <w:rFonts w:hint="eastAsia" w:ascii="宋体" w:hAnsi="宋体" w:cs="宋体"/>
          <w:b/>
          <w:bCs/>
          <w:color w:val="auto"/>
          <w:kern w:val="0"/>
          <w:szCs w:val="21"/>
        </w:rPr>
        <w:t xml:space="preserve"> 申报资料准备阶段。</w:t>
      </w:r>
      <w:r>
        <w:rPr>
          <w:rFonts w:hint="eastAsia" w:ascii="宋体" w:hAnsi="宋体" w:cs="宋体"/>
          <w:color w:val="auto"/>
          <w:kern w:val="0"/>
          <w:szCs w:val="21"/>
        </w:rPr>
        <w:t>防城区政府依照《长寿之乡认定准则和方法》，在满足三项前提条件且各项指标已达标的情况下，着手准备相关申报材料。申报材料基本分为以下几类：4000字左右的申请报告、达标情况及相应证明文件汇编、百岁老人名册以及上级主管人民政府对申报的批复意见等。在相应纸质材料准备齐全后，即可向中国老年学和老年医学学会提出申请，并提交长寿之乡认定申请表（加盖公章）、申请报告和相应统计资料。</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本阶段所需资料数据清单（详见下表）：</w:t>
      </w:r>
    </w:p>
    <w:tbl>
      <w:tblPr>
        <w:tblStyle w:val="33"/>
        <w:tblW w:w="5000" w:type="pct"/>
        <w:tblInd w:w="0" w:type="dxa"/>
        <w:tblLayout w:type="autofit"/>
        <w:tblCellMar>
          <w:top w:w="15" w:type="dxa"/>
          <w:left w:w="15" w:type="dxa"/>
          <w:bottom w:w="15" w:type="dxa"/>
          <w:right w:w="15" w:type="dxa"/>
        </w:tblCellMar>
      </w:tblPr>
      <w:tblGrid>
        <w:gridCol w:w="1428"/>
        <w:gridCol w:w="8014"/>
      </w:tblGrid>
      <w:tr>
        <w:tblPrEx>
          <w:tblCellMar>
            <w:top w:w="15" w:type="dxa"/>
            <w:left w:w="15" w:type="dxa"/>
            <w:bottom w:w="15" w:type="dxa"/>
            <w:right w:w="15" w:type="dxa"/>
          </w:tblCellMar>
        </w:tblPrEx>
        <w:trPr>
          <w:trHeight w:val="272" w:hRule="atLeast"/>
        </w:trPr>
        <w:tc>
          <w:tcPr>
            <w:tcW w:w="5000"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防城区申报长寿之乡所需提交资料数据清单</w:t>
            </w:r>
          </w:p>
        </w:tc>
      </w:tr>
      <w:tr>
        <w:tblPrEx>
          <w:tblCellMar>
            <w:top w:w="15" w:type="dxa"/>
            <w:left w:w="15" w:type="dxa"/>
            <w:bottom w:w="15" w:type="dxa"/>
            <w:right w:w="15" w:type="dxa"/>
          </w:tblCellMar>
        </w:tblPrEx>
        <w:trPr>
          <w:trHeight w:val="285"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名  称</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内  容</w:t>
            </w:r>
          </w:p>
        </w:tc>
      </w:tr>
      <w:tr>
        <w:tblPrEx>
          <w:tblCellMar>
            <w:top w:w="15" w:type="dxa"/>
            <w:left w:w="15" w:type="dxa"/>
            <w:bottom w:w="15" w:type="dxa"/>
            <w:right w:w="15" w:type="dxa"/>
          </w:tblCellMar>
        </w:tblPrEx>
        <w:trPr>
          <w:trHeight w:val="285" w:hRule="atLeast"/>
        </w:trPr>
        <w:tc>
          <w:tcPr>
            <w:tcW w:w="7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申请报告</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1.区域基本情况。本区域的人口、自然、地理、历史人文(区域沿革、风土人情)、社会经济发展、老龄事业和老龄产业发展基本状况等。</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2.长寿现状及其发展趋势。按照准则，用详实数据说明区域长寿现状及其发展趋势。</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3.区域长寿原因及其主要特点。结合区域情况简要说明区域长寿产生的基础，形成长寿的主要原因和反映本区域的其他优势。</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4.支持和保障条件。包括上级主管市(地)对申报“长寿之乡”的具体意见；对组织调查和专家认定调研的保证条件。</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5.对长寿之乡发展的基本思路和整体设计（有相关规划方案的可作为附件一并提交）。</w:t>
            </w:r>
          </w:p>
        </w:tc>
      </w:tr>
      <w:tr>
        <w:tblPrEx>
          <w:tblCellMar>
            <w:top w:w="15" w:type="dxa"/>
            <w:left w:w="15" w:type="dxa"/>
            <w:bottom w:w="15" w:type="dxa"/>
            <w:right w:w="15" w:type="dxa"/>
          </w:tblCellMar>
        </w:tblPrEx>
        <w:trPr>
          <w:trHeight w:val="285"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自检表</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长寿之乡认定指标自检表</w:t>
            </w:r>
          </w:p>
        </w:tc>
      </w:tr>
      <w:tr>
        <w:tblPrEx>
          <w:tblCellMar>
            <w:top w:w="15" w:type="dxa"/>
            <w:left w:w="15" w:type="dxa"/>
            <w:bottom w:w="15" w:type="dxa"/>
            <w:right w:w="15" w:type="dxa"/>
          </w:tblCellMar>
        </w:tblPrEx>
        <w:trPr>
          <w:trHeight w:val="285" w:hRule="atLeast"/>
        </w:trPr>
        <w:tc>
          <w:tcPr>
            <w:tcW w:w="7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核心数据</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1.人口平均预期寿命，相关资料及证明；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2.百岁老年人口占总人口的比例，相关资料及证明；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3.高龄人口比例，相关资料及证明；</w:t>
            </w:r>
          </w:p>
        </w:tc>
      </w:tr>
      <w:tr>
        <w:tblPrEx>
          <w:tblCellMar>
            <w:top w:w="15" w:type="dxa"/>
            <w:left w:w="15" w:type="dxa"/>
            <w:bottom w:w="15" w:type="dxa"/>
            <w:right w:w="15" w:type="dxa"/>
          </w:tblCellMar>
        </w:tblPrEx>
        <w:trPr>
          <w:trHeight w:val="285" w:hRule="atLeast"/>
        </w:trPr>
        <w:tc>
          <w:tcPr>
            <w:tcW w:w="7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支撑数据</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1.生态环境建设，相关资料及证明；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2.森林覆盖率，相关资料及证明；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3.环境空气质量，相关资料及证明；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4.地表水环境质量，相关资料及证明；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5.经济收入及收入公平性，相关资料及证明；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6.老年人优待和补贴制度，相关资料及证明；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7.老年人健康支持与养老服务，相关资料及证明；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8.养老孝老敬老社会环境，相关资料及证明；</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9.申请单位在省级的地理位置图；</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10.申请单位在市级的地理位置图。</w:t>
            </w:r>
          </w:p>
        </w:tc>
      </w:tr>
      <w:tr>
        <w:tblPrEx>
          <w:tblCellMar>
            <w:top w:w="15" w:type="dxa"/>
            <w:left w:w="15" w:type="dxa"/>
            <w:bottom w:w="15" w:type="dxa"/>
            <w:right w:w="15" w:type="dxa"/>
          </w:tblCellMar>
        </w:tblPrEx>
        <w:trPr>
          <w:trHeight w:val="285" w:hRule="atLeast"/>
        </w:trPr>
        <w:tc>
          <w:tcPr>
            <w:tcW w:w="7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cs="宋体"/>
                <w:b/>
                <w:color w:val="auto"/>
                <w:kern w:val="0"/>
                <w:szCs w:val="21"/>
              </w:rPr>
            </w:pPr>
            <w:r>
              <w:rPr>
                <w:rFonts w:hint="eastAsia" w:ascii="宋体" w:hAnsi="宋体" w:cs="宋体"/>
                <w:b/>
                <w:color w:val="auto"/>
                <w:kern w:val="0"/>
                <w:szCs w:val="21"/>
              </w:rPr>
              <w:t>百岁老人</w:t>
            </w:r>
          </w:p>
          <w:p>
            <w:pPr>
              <w:widowControl/>
              <w:spacing w:line="340" w:lineRule="exact"/>
              <w:jc w:val="center"/>
              <w:textAlignment w:val="center"/>
              <w:rPr>
                <w:rFonts w:hint="eastAsia" w:ascii="宋体" w:hAnsi="宋体" w:cs="宋体"/>
                <w:b/>
                <w:color w:val="auto"/>
                <w:szCs w:val="21"/>
              </w:rPr>
            </w:pPr>
            <w:r>
              <w:rPr>
                <w:rFonts w:hint="eastAsia" w:ascii="宋体" w:hAnsi="宋体" w:cs="宋体"/>
                <w:b/>
                <w:color w:val="auto"/>
                <w:kern w:val="0"/>
                <w:szCs w:val="21"/>
              </w:rPr>
              <w:t>数据</w:t>
            </w: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1.百岁老人花名册（须包含老人姓名、性别、出生年月、属相、家庭住址等详实资料）；</w:t>
            </w:r>
          </w:p>
        </w:tc>
      </w:tr>
      <w:tr>
        <w:tblPrEx>
          <w:tblCellMar>
            <w:top w:w="15" w:type="dxa"/>
            <w:left w:w="15" w:type="dxa"/>
            <w:bottom w:w="15" w:type="dxa"/>
            <w:right w:w="15" w:type="dxa"/>
          </w:tblCellMar>
        </w:tblPrEx>
        <w:trPr>
          <w:trHeight w:val="510"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2.百岁老人户口簿或原始户口本或底册（有年龄记载）复印件，并提供原件以备核对；身份证复印件双面，并提供原件以备核对；</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3.百岁老人属相（来源于百岁老人本人或其家庭主要成员的口述或记录，并与出生年份相一致）；</w:t>
            </w:r>
          </w:p>
        </w:tc>
      </w:tr>
      <w:tr>
        <w:tblPrEx>
          <w:tblCellMar>
            <w:top w:w="15" w:type="dxa"/>
            <w:left w:w="15" w:type="dxa"/>
            <w:bottom w:w="15" w:type="dxa"/>
            <w:right w:w="15" w:type="dxa"/>
          </w:tblCellMar>
        </w:tblPrEx>
        <w:trPr>
          <w:trHeight w:val="720"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4.百岁老人长子（女）年龄（提供有年龄记录材料的原件或复印件；长子女早期死亡的，应提供其说明材料，注明出生年、月及死亡原因，并有二人以上证明人签字）；</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5.百岁及以上老人家谱记载（应提供家谱中有年龄记载材料的原件或复印件）；</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6.百岁老人“生辰八字”（应有准确的年柱、月柱干支配对，能够与相应出生年月时间基本一致，并形成说明材料）；</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7.百岁老人宣传视频和图册；</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8.百岁老人分布图；</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9. 群众公认及同龄人反映其年龄、属相等情况的材料记录（应有二人以上能准确说明老人的出生年月、属相等与年龄相关情况的反映材料，并有反映人签字、盖章或手印）；</w:t>
            </w:r>
          </w:p>
        </w:tc>
      </w:tr>
      <w:tr>
        <w:tblPrEx>
          <w:tblCellMar>
            <w:top w:w="15" w:type="dxa"/>
            <w:left w:w="15" w:type="dxa"/>
            <w:bottom w:w="15" w:type="dxa"/>
            <w:right w:w="15" w:type="dxa"/>
          </w:tblCellMar>
        </w:tblPrEx>
        <w:trPr>
          <w:trHeight w:val="285" w:hRule="atLeast"/>
        </w:trPr>
        <w:tc>
          <w:tcPr>
            <w:tcW w:w="756" w:type="pct"/>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宋体" w:hAnsi="宋体" w:cs="宋体"/>
                <w:b/>
                <w:color w:val="auto"/>
                <w:szCs w:val="21"/>
              </w:rPr>
            </w:pPr>
          </w:p>
        </w:tc>
        <w:tc>
          <w:tcPr>
            <w:tcW w:w="4243"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hint="eastAsia" w:ascii="宋体" w:hAnsi="宋体" w:cs="宋体"/>
                <w:color w:val="auto"/>
                <w:szCs w:val="21"/>
              </w:rPr>
            </w:pPr>
            <w:r>
              <w:rPr>
                <w:rFonts w:hint="eastAsia" w:ascii="宋体" w:hAnsi="宋体" w:cs="宋体"/>
                <w:color w:val="auto"/>
                <w:kern w:val="0"/>
                <w:szCs w:val="21"/>
              </w:rPr>
              <w:t>10. 村委会证明。</w:t>
            </w:r>
          </w:p>
        </w:tc>
      </w:tr>
    </w:tbl>
    <w:p>
      <w:pPr>
        <w:widowControl/>
        <w:spacing w:line="340" w:lineRule="exact"/>
        <w:jc w:val="left"/>
        <w:rPr>
          <w:rFonts w:hint="eastAsia" w:ascii="宋体" w:hAnsi="宋体" w:cs="宋体"/>
          <w:b/>
          <w:bCs/>
          <w:color w:val="auto"/>
          <w:kern w:val="0"/>
          <w:szCs w:val="21"/>
        </w:rPr>
      </w:pPr>
      <w:r>
        <w:rPr>
          <w:rFonts w:hint="eastAsia" w:ascii="宋体" w:hAnsi="宋体" w:cs="宋体"/>
          <w:b/>
          <w:bCs/>
          <w:color w:val="auto"/>
          <w:kern w:val="0"/>
          <w:szCs w:val="21"/>
        </w:rPr>
        <w:t>建议：</w:t>
      </w:r>
    </w:p>
    <w:p>
      <w:pPr>
        <w:widowControl/>
        <w:numPr>
          <w:ilvl w:val="0"/>
          <w:numId w:val="7"/>
        </w:numPr>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申报工作专项机构组织，多部门联动。此阶段需收集整理的资料专业门类多种、工作量繁重，牵涉部门较多，建议成立“防城区政府申报中国长寿之乡”项目工作小组，方便各部门沟通协调。具体工作周期约30天。</w:t>
      </w:r>
    </w:p>
    <w:p>
      <w:pPr>
        <w:widowControl/>
        <w:numPr>
          <w:ilvl w:val="0"/>
          <w:numId w:val="7"/>
        </w:numPr>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申报工作专业性强、强度高。申报材料的准备涉及到人口学、环境学、统计学、地理学、经济学、营养学等多门学科，且工作任务繁重，为优化资源配置、合理安排申报工作节奏，提高工作效率，保证资料准备质量，获得整体最优，建议引入专业人员或机构具体落实相关材料的准备工作。</w:t>
      </w:r>
    </w:p>
    <w:p>
      <w:pPr>
        <w:widowControl/>
        <w:numPr>
          <w:ilvl w:val="0"/>
          <w:numId w:val="7"/>
        </w:numPr>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申报工作严谨合规。此阶段的申请报告及相关数据、文件等全部资料将直接影响认定程序，如后续审查不合格，中国老年学和老年医学学会长寿之乡认定专家委员会将回复，不再接受本次长寿之乡申请。建议防城区各行政单位认真准备，组织相关资料的完善和落实。</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综上，防城区借助长寿之乡品牌优势，乘着国家发展大健康产业的东风发展健康长寿产业，是提升人民群众健康水平和满足人民对美好生活向往的内在要求，是防城区补短板扩投资，激发内生发展动力，培育防城区经济增长新动能的最佳良机。</w:t>
      </w:r>
    </w:p>
    <w:p>
      <w:pPr>
        <w:widowControl/>
        <w:spacing w:line="34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防城区乘势而上，紧紧把握国势、产业、人才、资本、科技的东风和红利，尽快搭建现代健康长寿产业体系；聚焦健康医疗、健康养老的基础上融合健康管理、健康食品、康养旅游、健康运动等新产业、新业态，集聚防城区内外部资源，以健康长寿产业规划为指引，大项目为抓手，建设健康长寿产业生态圈，全力打造长寿康养品牌，在新时代必将有新作为。</w:t>
      </w:r>
    </w:p>
    <w:p>
      <w:pPr>
        <w:shd w:val="clear" w:color="auto" w:fill="FFFFFF"/>
        <w:spacing w:line="360" w:lineRule="auto"/>
        <w:ind w:firstLine="480" w:firstLineChars="200"/>
        <w:rPr>
          <w:rFonts w:hint="eastAsia" w:ascii="宋体" w:hAnsi="宋体" w:cs="宋体"/>
          <w:color w:val="auto"/>
          <w:sz w:val="24"/>
        </w:rPr>
      </w:pPr>
    </w:p>
    <w:p>
      <w:pPr>
        <w:spacing w:line="500" w:lineRule="exact"/>
        <w:jc w:val="center"/>
        <w:outlineLvl w:val="0"/>
        <w:rPr>
          <w:rFonts w:ascii="宋体" w:hAnsi="宋体" w:cs="宋体"/>
          <w:b/>
          <w:color w:val="auto"/>
          <w:sz w:val="32"/>
          <w:szCs w:val="32"/>
        </w:rPr>
        <w:sectPr>
          <w:footerReference r:id="rId4" w:type="default"/>
          <w:pgSz w:w="11906" w:h="16838"/>
          <w:pgMar w:top="1247" w:right="1247" w:bottom="1247" w:left="1247" w:header="851" w:footer="992" w:gutter="0"/>
          <w:pgNumType w:start="1"/>
          <w:cols w:space="720" w:num="1"/>
          <w:docGrid w:type="lines" w:linePitch="312" w:charSpace="0"/>
        </w:sectPr>
      </w:pPr>
      <w:bookmarkStart w:id="20" w:name="_Toc5260"/>
    </w:p>
    <w:p>
      <w:pPr>
        <w:spacing w:line="500" w:lineRule="exact"/>
        <w:jc w:val="center"/>
        <w:outlineLvl w:val="0"/>
        <w:rPr>
          <w:rFonts w:hint="eastAsia" w:ascii="宋体" w:hAnsi="宋体" w:cs="宋体"/>
          <w:b/>
          <w:color w:val="auto"/>
          <w:sz w:val="32"/>
          <w:szCs w:val="32"/>
        </w:rPr>
      </w:pPr>
      <w:r>
        <w:rPr>
          <w:rFonts w:hint="eastAsia" w:ascii="宋体" w:hAnsi="宋体" w:cs="宋体"/>
          <w:b/>
          <w:color w:val="auto"/>
          <w:sz w:val="32"/>
          <w:szCs w:val="32"/>
        </w:rPr>
        <w:t>第四章 评审方法</w:t>
      </w:r>
      <w:bookmarkEnd w:id="20"/>
    </w:p>
    <w:p>
      <w:pPr>
        <w:pStyle w:val="18"/>
        <w:spacing w:line="310" w:lineRule="atLeast"/>
        <w:rPr>
          <w:rFonts w:hint="eastAsia" w:hAnsi="宋体" w:cs="宋体"/>
          <w:b/>
          <w:bCs/>
          <w:color w:val="auto"/>
          <w:sz w:val="24"/>
          <w:szCs w:val="24"/>
        </w:rPr>
      </w:pPr>
    </w:p>
    <w:p>
      <w:pPr>
        <w:pStyle w:val="18"/>
        <w:shd w:val="clear" w:color="auto" w:fill="FFFFFF"/>
        <w:spacing w:line="360" w:lineRule="exact"/>
        <w:rPr>
          <w:rFonts w:hint="eastAsia" w:hAnsi="宋体" w:cs="宋体"/>
          <w:b/>
          <w:color w:val="auto"/>
          <w:sz w:val="24"/>
        </w:rPr>
      </w:pPr>
      <w:bookmarkStart w:id="21" w:name="_Toc322094434"/>
      <w:r>
        <w:rPr>
          <w:rFonts w:hint="eastAsia" w:hAnsi="宋体" w:cs="宋体"/>
          <w:b/>
          <w:color w:val="auto"/>
          <w:sz w:val="24"/>
        </w:rPr>
        <w:t>一、评标原则</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（一）磋商小组成：</w:t>
      </w:r>
      <w:r>
        <w:rPr>
          <w:rFonts w:hint="eastAsia" w:hAnsi="宋体" w:cs="宋体"/>
          <w:color w:val="auto"/>
          <w:szCs w:val="21"/>
        </w:rPr>
        <w:t>磋商小组成员由从政采云评审专家库中随机抽取2名有关专家，和1名采购人代表组成</w:t>
      </w:r>
      <w:r>
        <w:rPr>
          <w:rFonts w:hint="eastAsia" w:ascii="宋体" w:hAnsi="宋体" w:cs="宋体"/>
          <w:color w:val="auto"/>
          <w:szCs w:val="21"/>
        </w:rPr>
        <w:t>，其中评审专家人数不得少于磋商小组成员总数的三分之二。</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（二）评审依据：磋商小组将以磋商文件、响应文件为评标依据，对供应商的投标报价、实施方案、服务承诺、拟投入本项目人员及设备、业绩等五方面内容按百分制打分。</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（三）评标方式：以封闭方式进行。</w:t>
      </w:r>
    </w:p>
    <w:p>
      <w:pPr>
        <w:spacing w:line="380" w:lineRule="exact"/>
        <w:ind w:firstLine="420" w:firstLineChars="200"/>
        <w:rPr>
          <w:rFonts w:ascii="宋体" w:hAnsi="宋体" w:cs="宋体"/>
          <w:color w:val="auto"/>
          <w:szCs w:val="21"/>
        </w:rPr>
      </w:pPr>
      <w:r>
        <w:rPr>
          <w:rFonts w:hint="eastAsia" w:hAnsi="宋体" w:cs="宋体"/>
          <w:color w:val="auto"/>
        </w:rPr>
        <w:t>（四）</w:t>
      </w:r>
      <w:r>
        <w:rPr>
          <w:rFonts w:hint="eastAsia" w:ascii="宋体" w:hAnsi="宋体" w:cs="宋体"/>
          <w:color w:val="auto"/>
          <w:szCs w:val="21"/>
        </w:rPr>
        <w:t>①</w:t>
      </w:r>
      <w:r>
        <w:rPr>
          <w:rFonts w:hint="eastAsia" w:ascii="宋体" w:hAnsi="宋体"/>
          <w:color w:val="auto"/>
          <w:szCs w:val="21"/>
        </w:rPr>
        <w:t>按照《广西壮族自治区人民政府办公厅关于印发2020年广西优化营商环境百日攻坚行动方案的通知》（桂政办发[2020]59号）的规定，对参加政府采购活动并依法提供《中小企业声明函》的小微企业，对其产品价格给予10%的扣除，用扣除后的价格参与评审</w:t>
      </w:r>
      <w:r>
        <w:rPr>
          <w:rFonts w:hint="eastAsia" w:ascii="宋体" w:hAnsi="宋体" w:cs="宋体"/>
          <w:color w:val="auto"/>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②谈判单位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380" w:lineRule="exact"/>
        <w:ind w:firstLine="422" w:firstLineChars="200"/>
        <w:rPr>
          <w:rFonts w:ascii="宋体" w:hAnsi="宋体" w:cs="宋体"/>
          <w:b/>
          <w:bCs/>
          <w:color w:val="auto"/>
          <w:szCs w:val="21"/>
        </w:rPr>
      </w:pPr>
      <w:r>
        <w:rPr>
          <w:rFonts w:hint="eastAsia" w:ascii="宋体" w:hAnsi="宋体" w:cs="宋体"/>
          <w:b/>
          <w:bCs/>
          <w:color w:val="auto"/>
          <w:szCs w:val="21"/>
        </w:rPr>
        <w:t>除上述情况外，评审报价=最后报价。</w:t>
      </w:r>
    </w:p>
    <w:p>
      <w:pPr>
        <w:pStyle w:val="18"/>
        <w:shd w:val="clear" w:color="auto" w:fill="FFFFFF"/>
        <w:spacing w:line="340" w:lineRule="exact"/>
        <w:rPr>
          <w:rFonts w:hint="eastAsia" w:hAnsi="宋体" w:cs="宋体"/>
          <w:b/>
          <w:color w:val="auto"/>
          <w:sz w:val="24"/>
        </w:rPr>
      </w:pPr>
      <w:r>
        <w:rPr>
          <w:rFonts w:hint="eastAsia" w:hAnsi="宋体" w:cs="宋体"/>
          <w:b/>
          <w:color w:val="auto"/>
          <w:sz w:val="24"/>
        </w:rPr>
        <w:t>二、评审程序</w:t>
      </w:r>
    </w:p>
    <w:p>
      <w:pPr>
        <w:pStyle w:val="18"/>
        <w:spacing w:line="340" w:lineRule="exact"/>
        <w:ind w:firstLine="420" w:firstLineChars="200"/>
        <w:rPr>
          <w:rFonts w:hint="eastAsia" w:hAnsi="宋体" w:cs="宋体"/>
          <w:color w:val="auto"/>
        </w:rPr>
      </w:pPr>
      <w:r>
        <w:rPr>
          <w:rFonts w:hint="eastAsia" w:hAnsi="宋体" w:cs="宋体"/>
          <w:color w:val="auto"/>
        </w:rPr>
        <w:t>1.符合性审查</w:t>
      </w:r>
    </w:p>
    <w:p>
      <w:pPr>
        <w:pStyle w:val="18"/>
        <w:spacing w:line="340" w:lineRule="exact"/>
        <w:ind w:firstLine="420" w:firstLineChars="200"/>
        <w:rPr>
          <w:rFonts w:hint="eastAsia" w:hAnsi="宋体" w:cs="宋体"/>
          <w:color w:val="auto"/>
        </w:rPr>
      </w:pPr>
      <w:r>
        <w:rPr>
          <w:rFonts w:hint="eastAsia" w:hAnsi="宋体" w:cs="宋体"/>
          <w:color w:val="auto"/>
        </w:rPr>
        <w:t>评审小组应当对资格审查合格的供应商的响应文件进行投标报价、商务、技术等实质性要求进行符合性审查，以确定其是否满足采购文件的实质性要求。</w:t>
      </w:r>
    </w:p>
    <w:p>
      <w:pPr>
        <w:pStyle w:val="18"/>
        <w:spacing w:line="340" w:lineRule="exact"/>
        <w:ind w:firstLine="420" w:firstLineChars="200"/>
        <w:rPr>
          <w:rFonts w:hint="eastAsia" w:hAnsi="宋体" w:cs="宋体"/>
          <w:color w:val="auto"/>
        </w:rPr>
      </w:pPr>
      <w:r>
        <w:rPr>
          <w:rFonts w:hint="eastAsia" w:hAnsi="宋体" w:cs="宋体"/>
          <w:color w:val="auto"/>
        </w:rPr>
        <w:t>2.符合性审查不通过而导致投标无效的情形</w:t>
      </w:r>
    </w:p>
    <w:p>
      <w:pPr>
        <w:pStyle w:val="18"/>
        <w:spacing w:line="340" w:lineRule="exact"/>
        <w:ind w:firstLine="420" w:firstLineChars="200"/>
        <w:rPr>
          <w:rFonts w:hint="eastAsia" w:hAnsi="宋体" w:cs="宋体"/>
          <w:color w:val="auto"/>
        </w:rPr>
      </w:pPr>
      <w:r>
        <w:rPr>
          <w:rFonts w:hint="eastAsia" w:hAnsi="宋体" w:cs="宋体"/>
          <w:color w:val="auto"/>
        </w:rPr>
        <w:t>供应商的响应文件中存在对采购文件的任何实质性要求和条件的负偏离，其投标将被视为投标无效。</w:t>
      </w:r>
    </w:p>
    <w:p>
      <w:pPr>
        <w:pStyle w:val="18"/>
        <w:spacing w:line="340" w:lineRule="exact"/>
        <w:ind w:firstLine="420" w:firstLineChars="200"/>
        <w:rPr>
          <w:rFonts w:hint="eastAsia" w:hAnsi="宋体" w:cs="宋体"/>
          <w:color w:val="auto"/>
        </w:rPr>
      </w:pPr>
      <w:r>
        <w:rPr>
          <w:rFonts w:hint="eastAsia" w:hAnsi="宋体" w:cs="宋体"/>
          <w:color w:val="auto"/>
        </w:rPr>
        <w:t>2.1在报价评审时，如发现下列情形之一的，将被视为投标无效：</w:t>
      </w:r>
    </w:p>
    <w:p>
      <w:pPr>
        <w:pStyle w:val="18"/>
        <w:spacing w:line="340" w:lineRule="exact"/>
        <w:ind w:firstLine="420" w:firstLineChars="200"/>
        <w:rPr>
          <w:rFonts w:hint="eastAsia" w:hAnsi="宋体" w:cs="宋体"/>
          <w:color w:val="auto"/>
        </w:rPr>
      </w:pPr>
      <w:r>
        <w:rPr>
          <w:rFonts w:hint="eastAsia" w:hAnsi="宋体" w:cs="宋体"/>
          <w:color w:val="auto"/>
        </w:rPr>
        <w:t>（1）响应文件未提供“资格审查文件、商务技术文件、投标报价”规定必须提供的文件资料；</w:t>
      </w:r>
    </w:p>
    <w:p>
      <w:pPr>
        <w:pStyle w:val="18"/>
        <w:spacing w:line="340" w:lineRule="exact"/>
        <w:ind w:firstLine="420" w:firstLineChars="200"/>
        <w:rPr>
          <w:rFonts w:hint="eastAsia" w:hAnsi="宋体" w:cs="宋体"/>
          <w:color w:val="auto"/>
        </w:rPr>
      </w:pPr>
      <w:r>
        <w:rPr>
          <w:rFonts w:hint="eastAsia" w:hAnsi="宋体" w:cs="宋体"/>
          <w:color w:val="auto"/>
        </w:rPr>
        <w:t>（2）未采用人民币报价或者未按照采购文件标明的币种报价的；</w:t>
      </w:r>
    </w:p>
    <w:p>
      <w:pPr>
        <w:pStyle w:val="18"/>
        <w:spacing w:line="340" w:lineRule="exact"/>
        <w:ind w:firstLine="420" w:firstLineChars="200"/>
        <w:rPr>
          <w:rFonts w:hint="eastAsia" w:hAnsi="宋体" w:cs="宋体"/>
          <w:color w:val="auto"/>
        </w:rPr>
      </w:pPr>
      <w:r>
        <w:rPr>
          <w:rFonts w:hint="eastAsia" w:hAnsi="宋体" w:cs="宋体"/>
          <w:color w:val="auto"/>
        </w:rPr>
        <w:t>（3）报价超出采购文件规定最高限价，或者超出采购预算金额的；</w:t>
      </w:r>
    </w:p>
    <w:p>
      <w:pPr>
        <w:pStyle w:val="18"/>
        <w:spacing w:line="340" w:lineRule="exact"/>
        <w:ind w:firstLine="420" w:firstLineChars="200"/>
        <w:rPr>
          <w:rFonts w:hint="eastAsia" w:hAnsi="宋体" w:cs="宋体"/>
          <w:color w:val="auto"/>
        </w:rPr>
      </w:pPr>
      <w:r>
        <w:rPr>
          <w:rFonts w:hint="eastAsia" w:hAnsi="宋体" w:cs="宋体"/>
          <w:color w:val="auto"/>
        </w:rPr>
        <w:t>（4）供应商未就所投分标进行报价或存在漏项报价；供应商未就所投分标的单项内容作唯一报价；供应商未就所投分标的全部内容作唯一总价报价；存在有选择、有条件报价的（采购文件允许有备选方案或其他约定的除外）；</w:t>
      </w:r>
    </w:p>
    <w:p>
      <w:pPr>
        <w:pStyle w:val="18"/>
        <w:spacing w:line="340" w:lineRule="exact"/>
        <w:ind w:firstLine="420" w:firstLineChars="200"/>
        <w:rPr>
          <w:rFonts w:hint="eastAsia" w:hAnsi="宋体" w:cs="宋体"/>
          <w:color w:val="auto"/>
        </w:rPr>
      </w:pPr>
      <w:r>
        <w:rPr>
          <w:rFonts w:hint="eastAsia" w:hAnsi="宋体" w:cs="宋体"/>
          <w:color w:val="auto"/>
        </w:rPr>
        <w:t>（5）修正后的报价，供应商不确认的。</w:t>
      </w:r>
    </w:p>
    <w:p>
      <w:pPr>
        <w:pStyle w:val="18"/>
        <w:spacing w:line="340" w:lineRule="exact"/>
        <w:ind w:firstLine="420" w:firstLineChars="200"/>
        <w:rPr>
          <w:rFonts w:hint="eastAsia" w:hAnsi="宋体" w:cs="宋体"/>
          <w:color w:val="auto"/>
        </w:rPr>
      </w:pPr>
      <w:r>
        <w:rPr>
          <w:rFonts w:hint="eastAsia" w:hAnsi="宋体" w:cs="宋体"/>
          <w:color w:val="auto"/>
        </w:rPr>
        <w:t>2.2在商务评审时，如发现下列情形之一的，将被视为投标无效：</w:t>
      </w:r>
    </w:p>
    <w:p>
      <w:pPr>
        <w:pStyle w:val="18"/>
        <w:spacing w:line="340" w:lineRule="exact"/>
        <w:ind w:firstLine="420" w:firstLineChars="200"/>
        <w:rPr>
          <w:rFonts w:hint="eastAsia" w:hAnsi="宋体" w:cs="宋体"/>
          <w:color w:val="auto"/>
        </w:rPr>
      </w:pPr>
      <w:r>
        <w:rPr>
          <w:rFonts w:hint="eastAsia" w:hAnsi="宋体" w:cs="宋体"/>
          <w:color w:val="auto"/>
        </w:rPr>
        <w:t>（1）响应文件未按采购文件要求签署、盖章的；</w:t>
      </w:r>
    </w:p>
    <w:p>
      <w:pPr>
        <w:pStyle w:val="18"/>
        <w:spacing w:line="340" w:lineRule="exact"/>
        <w:ind w:firstLine="420" w:firstLineChars="200"/>
        <w:rPr>
          <w:rFonts w:hint="eastAsia" w:hAnsi="宋体" w:cs="宋体"/>
          <w:color w:val="auto"/>
        </w:rPr>
      </w:pPr>
      <w:r>
        <w:rPr>
          <w:rFonts w:hint="eastAsia" w:hAnsi="宋体" w:cs="宋体"/>
          <w:color w:val="auto"/>
        </w:rPr>
        <w:t xml:space="preserve">（2）委托代理人未能出具有效身份证明或出具的身份证明与授权委托书中的信息不符的； </w:t>
      </w:r>
    </w:p>
    <w:p>
      <w:pPr>
        <w:pStyle w:val="18"/>
        <w:spacing w:line="340" w:lineRule="exact"/>
        <w:ind w:firstLine="420" w:firstLineChars="200"/>
        <w:rPr>
          <w:rFonts w:hint="eastAsia" w:hAnsi="宋体" w:cs="宋体"/>
          <w:color w:val="auto"/>
        </w:rPr>
      </w:pPr>
      <w:r>
        <w:rPr>
          <w:rFonts w:hint="eastAsia" w:hAnsi="宋体" w:cs="宋体"/>
          <w:color w:val="auto"/>
        </w:rPr>
        <w:t>（3）投标有效期、项目完成时间、售后服务等商务条款发生负偏离的；</w:t>
      </w:r>
    </w:p>
    <w:p>
      <w:pPr>
        <w:pStyle w:val="18"/>
        <w:spacing w:line="340" w:lineRule="exact"/>
        <w:ind w:firstLine="420" w:firstLineChars="200"/>
        <w:rPr>
          <w:rFonts w:hint="eastAsia" w:hAnsi="宋体" w:cs="宋体"/>
          <w:color w:val="auto"/>
        </w:rPr>
      </w:pPr>
      <w:r>
        <w:rPr>
          <w:rFonts w:hint="eastAsia" w:hAnsi="宋体" w:cs="宋体"/>
          <w:color w:val="auto"/>
        </w:rPr>
        <w:t>（4）响应文件的实质性内容未使用中文表述、使用计量单位不符合采购文件要求的；</w:t>
      </w:r>
    </w:p>
    <w:p>
      <w:pPr>
        <w:pStyle w:val="18"/>
        <w:spacing w:line="340" w:lineRule="exact"/>
        <w:ind w:firstLine="420" w:firstLineChars="200"/>
        <w:rPr>
          <w:rFonts w:hint="eastAsia" w:hAnsi="宋体" w:cs="宋体"/>
          <w:color w:val="auto"/>
        </w:rPr>
      </w:pPr>
      <w:r>
        <w:rPr>
          <w:rFonts w:hint="eastAsia" w:hAnsi="宋体" w:cs="宋体"/>
          <w:color w:val="auto"/>
        </w:rPr>
        <w:t>（5）响应文件中的文件资料因填写不齐全或者内容虚假或者出现其他情形而导致被评审小组认定无效的；</w:t>
      </w:r>
    </w:p>
    <w:p>
      <w:pPr>
        <w:pStyle w:val="18"/>
        <w:spacing w:line="340" w:lineRule="exact"/>
        <w:ind w:firstLine="420" w:firstLineChars="200"/>
        <w:rPr>
          <w:rFonts w:hint="eastAsia" w:hAnsi="宋体" w:cs="宋体"/>
          <w:color w:val="auto"/>
        </w:rPr>
      </w:pPr>
      <w:r>
        <w:rPr>
          <w:rFonts w:hint="eastAsia" w:hAnsi="宋体" w:cs="宋体"/>
          <w:color w:val="auto"/>
        </w:rPr>
        <w:t>（6）投标方案不明确，采购文件未允许但存在一个或一个以上备选（替代）投标方案的。</w:t>
      </w:r>
    </w:p>
    <w:p>
      <w:pPr>
        <w:pStyle w:val="18"/>
        <w:spacing w:line="340" w:lineRule="exact"/>
        <w:ind w:firstLine="420" w:firstLineChars="200"/>
        <w:rPr>
          <w:rFonts w:hint="eastAsia" w:hAnsi="宋体" w:cs="宋体"/>
          <w:color w:val="auto"/>
        </w:rPr>
      </w:pPr>
      <w:r>
        <w:rPr>
          <w:rFonts w:hint="eastAsia" w:hAnsi="宋体" w:cs="宋体"/>
          <w:color w:val="auto"/>
        </w:rPr>
        <w:t>（7）响应文件含有采购人不能接受的附加条件的；</w:t>
      </w:r>
    </w:p>
    <w:p>
      <w:pPr>
        <w:pStyle w:val="18"/>
        <w:spacing w:line="340" w:lineRule="exact"/>
        <w:ind w:firstLine="420" w:firstLineChars="200"/>
        <w:rPr>
          <w:rFonts w:hint="eastAsia" w:hAnsi="宋体" w:cs="宋体"/>
          <w:color w:val="auto"/>
        </w:rPr>
      </w:pPr>
      <w:r>
        <w:rPr>
          <w:rFonts w:hint="eastAsia" w:hAnsi="宋体" w:cs="宋体"/>
          <w:color w:val="auto"/>
        </w:rPr>
        <w:t>（8）未响应采购文件实质性要求的；</w:t>
      </w:r>
    </w:p>
    <w:p>
      <w:pPr>
        <w:pStyle w:val="18"/>
        <w:spacing w:line="340" w:lineRule="exact"/>
        <w:ind w:firstLine="420" w:firstLineChars="200"/>
        <w:rPr>
          <w:rFonts w:hint="eastAsia" w:hAnsi="宋体" w:cs="宋体"/>
          <w:color w:val="auto"/>
        </w:rPr>
      </w:pPr>
      <w:r>
        <w:rPr>
          <w:rFonts w:hint="eastAsia" w:hAnsi="宋体" w:cs="宋体"/>
          <w:color w:val="auto"/>
        </w:rPr>
        <w:t>（9）法律、法规和采购文件规定的其他无效情形。</w:t>
      </w:r>
    </w:p>
    <w:p>
      <w:pPr>
        <w:pStyle w:val="18"/>
        <w:shd w:val="clear" w:color="auto" w:fill="FFFFFF"/>
        <w:spacing w:line="340" w:lineRule="exact"/>
        <w:rPr>
          <w:rFonts w:hint="eastAsia" w:hAnsi="宋体" w:cs="宋体"/>
          <w:b/>
          <w:color w:val="auto"/>
          <w:sz w:val="24"/>
        </w:rPr>
      </w:pPr>
      <w:r>
        <w:rPr>
          <w:rFonts w:hint="eastAsia" w:hAnsi="宋体" w:cs="宋体"/>
          <w:b/>
          <w:color w:val="auto"/>
          <w:sz w:val="24"/>
        </w:rPr>
        <w:t>二、评定方法</w:t>
      </w:r>
      <w:bookmarkEnd w:id="21"/>
    </w:p>
    <w:p>
      <w:pPr>
        <w:spacing w:line="340" w:lineRule="exact"/>
        <w:ind w:firstLine="420" w:firstLineChars="200"/>
        <w:rPr>
          <w:rFonts w:hint="eastAsia" w:ascii="宋体" w:hAnsi="宋体" w:cs="宋体"/>
          <w:color w:val="auto"/>
          <w:szCs w:val="21"/>
        </w:rPr>
      </w:pPr>
      <w:bookmarkStart w:id="22" w:name="_Toc322094435"/>
      <w:r>
        <w:rPr>
          <w:rFonts w:hint="eastAsia" w:ascii="宋体" w:hAnsi="宋体" w:cs="宋体"/>
          <w:color w:val="auto"/>
          <w:szCs w:val="21"/>
        </w:rPr>
        <w:t>（一）对进入详评的，采用百分制综合评分法。</w:t>
      </w:r>
      <w:bookmarkEnd w:id="22"/>
    </w:p>
    <w:p>
      <w:pPr>
        <w:spacing w:line="340" w:lineRule="exact"/>
        <w:ind w:firstLine="420" w:firstLineChars="200"/>
        <w:rPr>
          <w:rFonts w:hint="eastAsia" w:ascii="宋体" w:hAnsi="宋体" w:cs="宋体"/>
          <w:color w:val="auto"/>
          <w:szCs w:val="21"/>
        </w:rPr>
      </w:pPr>
      <w:bookmarkStart w:id="23" w:name="_Toc322094436"/>
      <w:r>
        <w:rPr>
          <w:rFonts w:hint="eastAsia" w:ascii="宋体" w:hAnsi="宋体" w:cs="宋体"/>
          <w:color w:val="auto"/>
          <w:szCs w:val="21"/>
        </w:rPr>
        <w:t>（二）计分办法（按四舍五入取至百分位）。</w:t>
      </w:r>
      <w:bookmarkEnd w:id="23"/>
    </w:p>
    <w:p>
      <w:pPr>
        <w:spacing w:line="340" w:lineRule="exact"/>
        <w:ind w:firstLine="422" w:firstLineChars="200"/>
        <w:rPr>
          <w:rFonts w:hint="eastAsia" w:ascii="宋体" w:hAnsi="宋体" w:cs="宋体"/>
          <w:b/>
          <w:color w:val="auto"/>
          <w:szCs w:val="21"/>
        </w:rPr>
      </w:pPr>
      <w:bookmarkStart w:id="24" w:name="_Toc472928261"/>
      <w:r>
        <w:rPr>
          <w:rFonts w:hint="eastAsia" w:ascii="宋体" w:hAnsi="宋体" w:cs="宋体"/>
          <w:b/>
          <w:color w:val="auto"/>
          <w:szCs w:val="21"/>
        </w:rPr>
        <w:t>1、价格分…………………………………………………………………………………………</w:t>
      </w:r>
      <w:r>
        <w:rPr>
          <w:rFonts w:hint="eastAsia" w:ascii="宋体" w:hAnsi="宋体" w:cs="宋体"/>
          <w:b/>
          <w:color w:val="auto"/>
          <w:kern w:val="0"/>
          <w:szCs w:val="21"/>
        </w:rPr>
        <w:t>…</w:t>
      </w:r>
      <w:r>
        <w:rPr>
          <w:rFonts w:hint="eastAsia" w:ascii="宋体" w:hAnsi="宋体" w:cs="宋体"/>
          <w:b/>
          <w:color w:val="auto"/>
          <w:szCs w:val="21"/>
        </w:rPr>
        <w:t>10分</w:t>
      </w:r>
      <w:bookmarkEnd w:id="24"/>
    </w:p>
    <w:p>
      <w:pPr>
        <w:shd w:val="clear" w:color="auto" w:fill="FFFFFF"/>
        <w:spacing w:line="340" w:lineRule="exact"/>
        <w:ind w:firstLine="420" w:firstLineChars="200"/>
        <w:rPr>
          <w:rFonts w:hint="eastAsia" w:ascii="宋体" w:hAnsi="宋体" w:cs="宋体"/>
          <w:color w:val="auto"/>
          <w:szCs w:val="21"/>
        </w:rPr>
      </w:pPr>
      <w:bookmarkStart w:id="25" w:name="_Toc322094438"/>
      <w:r>
        <w:rPr>
          <w:rFonts w:hint="eastAsia" w:ascii="宋体" w:hAnsi="宋体" w:cs="宋体"/>
          <w:color w:val="auto"/>
          <w:szCs w:val="21"/>
        </w:rPr>
        <w:t>（1）价格分统一采用低价优先法计算，即满足磋商文件要求且评审报价最低的供应商的评审报价为磋商基准价，其价格分为满分。</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（2）其他供应商的价格分统一按照下列公式计算：</w:t>
      </w:r>
    </w:p>
    <w:bookmarkEnd w:id="25"/>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 xml:space="preserve">                              磋商基准价</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某有效供应商价格分 =   --------------------- × 10分</w:t>
      </w:r>
    </w:p>
    <w:p>
      <w:pPr>
        <w:pStyle w:val="18"/>
        <w:shd w:val="clear" w:color="auto" w:fill="FFFFFF"/>
        <w:spacing w:line="340" w:lineRule="exact"/>
        <w:ind w:firstLine="420" w:firstLineChars="200"/>
        <w:rPr>
          <w:rFonts w:hint="eastAsia" w:hAnsi="宋体" w:cs="宋体"/>
          <w:color w:val="auto"/>
        </w:rPr>
      </w:pPr>
      <w:r>
        <w:rPr>
          <w:rFonts w:hint="eastAsia" w:hAnsi="宋体" w:cs="宋体"/>
          <w:color w:val="auto"/>
        </w:rPr>
        <w:t xml:space="preserve">                         某有效供应商评审报价</w:t>
      </w:r>
    </w:p>
    <w:p>
      <w:pPr>
        <w:shd w:val="clear" w:color="auto" w:fill="FFFFFF"/>
        <w:spacing w:line="340" w:lineRule="exact"/>
        <w:ind w:firstLine="422" w:firstLineChars="200"/>
        <w:rPr>
          <w:rFonts w:hint="eastAsia" w:ascii="宋体" w:hAnsi="宋体" w:cs="宋体"/>
          <w:b/>
          <w:color w:val="auto"/>
          <w:kern w:val="0"/>
          <w:szCs w:val="21"/>
        </w:rPr>
      </w:pPr>
      <w:r>
        <w:rPr>
          <w:rFonts w:hint="eastAsia" w:ascii="宋体" w:hAnsi="宋体" w:cs="宋体"/>
          <w:b/>
          <w:color w:val="auto"/>
          <w:kern w:val="0"/>
          <w:szCs w:val="21"/>
        </w:rPr>
        <w:t>2、实施方案分………………………………………………………………………………………45分</w:t>
      </w:r>
    </w:p>
    <w:p>
      <w:pPr>
        <w:shd w:val="clear" w:color="auto" w:fill="FFFFFF"/>
        <w:spacing w:line="340" w:lineRule="exact"/>
        <w:ind w:firstLine="420" w:firstLineChars="200"/>
        <w:rPr>
          <w:rFonts w:hint="eastAsia" w:ascii="宋体" w:hAnsi="宋体" w:cs="宋体"/>
          <w:color w:val="auto"/>
          <w:szCs w:val="21"/>
        </w:rPr>
      </w:pPr>
      <w:r>
        <w:rPr>
          <w:rFonts w:hint="eastAsia" w:ascii="宋体" w:hAnsi="宋体" w:cs="宋体"/>
          <w:color w:val="auto"/>
          <w:szCs w:val="21"/>
        </w:rPr>
        <w:t xml:space="preserve"> 由磋商小组成员根据各供应商提供的实施方案（方案包含但不限于申报命名的意义作用、申报命名条件优势、申报命名的工作步骤、各阶段工作内容及时间节点安排）进行比较，由各评委独立打分。</w:t>
      </w:r>
    </w:p>
    <w:p>
      <w:pPr>
        <w:shd w:val="clear" w:color="auto" w:fill="FFFFFF"/>
        <w:spacing w:line="340" w:lineRule="exact"/>
        <w:ind w:firstLine="420" w:firstLineChars="200"/>
        <w:rPr>
          <w:rFonts w:hint="eastAsia" w:ascii="宋体" w:hAnsi="宋体" w:cs="宋体"/>
          <w:bCs/>
          <w:color w:val="auto"/>
          <w:kern w:val="0"/>
          <w:szCs w:val="21"/>
        </w:rPr>
      </w:pPr>
      <w:r>
        <w:rPr>
          <w:rFonts w:hint="eastAsia" w:ascii="宋体" w:hAnsi="宋体" w:cs="宋体"/>
          <w:bCs/>
          <w:color w:val="auto"/>
          <w:kern w:val="0"/>
          <w:szCs w:val="21"/>
        </w:rPr>
        <w:t>一档15分：实施方案基本满足采购需求；</w:t>
      </w:r>
    </w:p>
    <w:p>
      <w:pPr>
        <w:shd w:val="clear" w:color="auto" w:fill="FFFFFF"/>
        <w:spacing w:line="340" w:lineRule="exact"/>
        <w:ind w:firstLine="420" w:firstLineChars="200"/>
        <w:rPr>
          <w:rFonts w:hint="eastAsia" w:ascii="宋体" w:hAnsi="宋体" w:cs="宋体"/>
          <w:bCs/>
          <w:color w:val="auto"/>
          <w:kern w:val="0"/>
          <w:szCs w:val="21"/>
        </w:rPr>
      </w:pPr>
      <w:r>
        <w:rPr>
          <w:rFonts w:hint="eastAsia" w:ascii="宋体" w:hAnsi="宋体" w:cs="宋体"/>
          <w:bCs/>
          <w:color w:val="auto"/>
          <w:kern w:val="0"/>
          <w:szCs w:val="21"/>
        </w:rPr>
        <w:t>二档30分：实施方案内容考虑完整，对项目实施要点表述完整；实施方案规范、结构完整、内容齐全，工作安排及计划比较合理，有详细的处理应急预案；</w:t>
      </w:r>
    </w:p>
    <w:p>
      <w:pPr>
        <w:shd w:val="clear" w:color="auto" w:fill="FFFFFF"/>
        <w:spacing w:line="340" w:lineRule="exact"/>
        <w:ind w:firstLine="420" w:firstLineChars="200"/>
        <w:rPr>
          <w:rFonts w:hint="eastAsia" w:ascii="宋体" w:hAnsi="宋体" w:cs="宋体"/>
          <w:bCs/>
          <w:color w:val="auto"/>
          <w:kern w:val="0"/>
          <w:szCs w:val="21"/>
        </w:rPr>
      </w:pPr>
      <w:r>
        <w:rPr>
          <w:rFonts w:hint="eastAsia" w:ascii="宋体" w:hAnsi="宋体" w:cs="宋体"/>
          <w:bCs/>
          <w:color w:val="auto"/>
          <w:kern w:val="0"/>
          <w:szCs w:val="21"/>
        </w:rPr>
        <w:t>三档45分：实施方案详尽具体，思路清晰、细致详尽、能够针对本项目特点进行表述，内容考虑全面、可行性强，对项目实施要点表述详尽、充分、条理性强；内容详细，措施得当，符合实际并有具体的相应的落实措施，操作性强。</w:t>
      </w:r>
    </w:p>
    <w:p>
      <w:pPr>
        <w:shd w:val="clear" w:color="auto" w:fill="FFFFFF"/>
        <w:spacing w:line="340" w:lineRule="exact"/>
        <w:ind w:firstLine="422" w:firstLineChars="200"/>
        <w:rPr>
          <w:rFonts w:hint="eastAsia" w:ascii="宋体" w:hAnsi="宋体" w:cs="宋体"/>
          <w:b/>
          <w:color w:val="auto"/>
          <w:kern w:val="0"/>
          <w:szCs w:val="21"/>
        </w:rPr>
      </w:pPr>
      <w:r>
        <w:rPr>
          <w:rFonts w:hint="eastAsia" w:ascii="宋体" w:hAnsi="宋体" w:cs="宋体"/>
          <w:b/>
          <w:color w:val="auto"/>
          <w:kern w:val="0"/>
          <w:szCs w:val="21"/>
        </w:rPr>
        <w:t>3、服务承诺分………………………………………………………………………………………15分</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一档5分：</w:t>
      </w:r>
      <w:r>
        <w:rPr>
          <w:rFonts w:hint="eastAsia" w:ascii="宋体" w:hAnsi="宋体" w:cs="宋体"/>
          <w:color w:val="auto"/>
          <w:szCs w:val="21"/>
        </w:rPr>
        <w:t>针对本项目的成果质量保障方案（质量保证及质量承诺，质量保证措施，质量保障体系）</w:t>
      </w:r>
      <w:r>
        <w:rPr>
          <w:rFonts w:hint="eastAsia" w:ascii="宋体" w:hAnsi="宋体" w:cs="宋体"/>
          <w:color w:val="auto"/>
          <w:kern w:val="0"/>
          <w:szCs w:val="21"/>
        </w:rPr>
        <w:t>有可靠的服务响应体系等内容综合考虑，整体一般的；</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二档10分：</w:t>
      </w:r>
      <w:r>
        <w:rPr>
          <w:rFonts w:hint="eastAsia" w:ascii="宋体" w:hAnsi="宋体" w:cs="宋体"/>
          <w:color w:val="auto"/>
          <w:szCs w:val="21"/>
        </w:rPr>
        <w:t>针对本项目的成果质量保障方案（质量保证及质量承诺，质量保证措施，质量保障体系）</w:t>
      </w:r>
      <w:r>
        <w:rPr>
          <w:rFonts w:hint="eastAsia" w:ascii="宋体" w:hAnsi="宋体" w:cs="宋体"/>
          <w:color w:val="auto"/>
          <w:kern w:val="0"/>
          <w:szCs w:val="21"/>
        </w:rPr>
        <w:t>有可靠的服务响应体系等内容综合考虑，整体良好的；</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三档15分：</w:t>
      </w:r>
      <w:r>
        <w:rPr>
          <w:rFonts w:hint="eastAsia" w:ascii="宋体" w:hAnsi="宋体" w:cs="宋体"/>
          <w:color w:val="auto"/>
          <w:szCs w:val="21"/>
        </w:rPr>
        <w:t>针对本项目的成果质量保障方案（质量保证及质量承诺，质量保证措施，质量保障体系）</w:t>
      </w:r>
      <w:r>
        <w:rPr>
          <w:rFonts w:hint="eastAsia" w:ascii="宋体" w:hAnsi="宋体" w:cs="宋体"/>
          <w:color w:val="auto"/>
          <w:kern w:val="0"/>
          <w:szCs w:val="21"/>
        </w:rPr>
        <w:t>有可靠的服务响应体系等内容综合考虑，整体优秀的。</w:t>
      </w:r>
    </w:p>
    <w:p>
      <w:pPr>
        <w:shd w:val="clear" w:color="auto" w:fill="FFFFFF"/>
        <w:spacing w:line="340" w:lineRule="exact"/>
        <w:ind w:firstLine="422" w:firstLineChars="200"/>
        <w:rPr>
          <w:rFonts w:hint="eastAsia" w:ascii="宋体" w:hAnsi="宋体" w:cs="宋体"/>
          <w:b/>
          <w:color w:val="auto"/>
          <w:kern w:val="0"/>
          <w:szCs w:val="21"/>
        </w:rPr>
      </w:pPr>
      <w:r>
        <w:rPr>
          <w:rFonts w:hint="eastAsia" w:ascii="宋体" w:hAnsi="宋体" w:cs="宋体"/>
          <w:b/>
          <w:color w:val="auto"/>
          <w:kern w:val="0"/>
          <w:szCs w:val="21"/>
        </w:rPr>
        <w:t>4、拟投入本项目人员及设备………………………………………………………………………………15分</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一档5分：人员配备少，岗位安排比较简单，基本合理、可行；</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二档10分：</w:t>
      </w:r>
      <w:r>
        <w:rPr>
          <w:rFonts w:hint="eastAsia" w:ascii="宋体" w:hAnsi="宋体" w:cs="宋体"/>
          <w:color w:val="auto"/>
          <w:szCs w:val="21"/>
        </w:rPr>
        <w:t>具备能基本满足采购需求的筹划及拍摄设备（包括高清晰度数字摄录一体机、硬盘记录单元等），人员设备安排进度及措施详细的；</w:t>
      </w:r>
    </w:p>
    <w:p>
      <w:pPr>
        <w:shd w:val="clear" w:color="auto" w:fill="FFFFFF"/>
        <w:spacing w:line="34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三档15分：</w:t>
      </w:r>
      <w:r>
        <w:rPr>
          <w:rFonts w:hint="eastAsia" w:hAnsi="宋体"/>
          <w:bCs/>
          <w:color w:val="auto"/>
        </w:rPr>
        <w:t>具备能完全满足采购需求的筹划及拍摄设备（包括高清晰度数字摄录一体机、硬盘记录单元、小型放像机、小型放像机及电脑等），人员设备安排</w:t>
      </w:r>
      <w:r>
        <w:rPr>
          <w:rFonts w:hint="eastAsia" w:ascii="宋体" w:hAnsi="宋体" w:cs="宋体"/>
          <w:color w:val="auto"/>
          <w:szCs w:val="21"/>
        </w:rPr>
        <w:t>进度及措施考虑周全有保证的。</w:t>
      </w:r>
    </w:p>
    <w:p>
      <w:pPr>
        <w:shd w:val="clear" w:color="auto" w:fill="FFFFFF"/>
        <w:spacing w:line="340" w:lineRule="exact"/>
        <w:ind w:firstLine="422" w:firstLineChars="200"/>
        <w:rPr>
          <w:rFonts w:hint="eastAsia" w:ascii="宋体" w:hAnsi="宋体" w:cs="宋体"/>
          <w:b/>
          <w:color w:val="auto"/>
          <w:kern w:val="0"/>
          <w:szCs w:val="21"/>
        </w:rPr>
      </w:pPr>
      <w:r>
        <w:rPr>
          <w:rFonts w:hint="eastAsia" w:ascii="宋体" w:hAnsi="宋体" w:cs="宋体"/>
          <w:b/>
          <w:color w:val="auto"/>
          <w:kern w:val="0"/>
          <w:szCs w:val="21"/>
        </w:rPr>
        <w:t>5、业绩分……………………………………………………………………………………………15分</w:t>
      </w:r>
    </w:p>
    <w:p>
      <w:pPr>
        <w:shd w:val="clear" w:color="auto" w:fill="FFFFFF"/>
        <w:spacing w:line="340" w:lineRule="exact"/>
        <w:ind w:firstLine="420" w:firstLineChars="200"/>
        <w:rPr>
          <w:rFonts w:hint="eastAsia" w:ascii="宋体" w:hAnsi="宋体" w:cs="宋体"/>
          <w:color w:val="auto"/>
          <w:kern w:val="0"/>
          <w:szCs w:val="21"/>
        </w:rPr>
      </w:pPr>
      <w:r>
        <w:rPr>
          <w:rFonts w:hint="eastAsia"/>
          <w:color w:val="auto"/>
          <w:kern w:val="0"/>
        </w:rPr>
        <w:t>供应商提供从2017年1月1日起至开标时间截止前，完成类似项目业绩的每个3分，满分15分。（在响应文件中提供合同复印件或中标通知书复印件并加盖单位公章，否则不予加分。）</w:t>
      </w:r>
    </w:p>
    <w:p>
      <w:pPr>
        <w:shd w:val="clear" w:color="auto" w:fill="FFFFFF"/>
        <w:spacing w:line="340" w:lineRule="exact"/>
        <w:ind w:firstLine="422" w:firstLineChars="200"/>
        <w:rPr>
          <w:rFonts w:ascii="宋体" w:hAnsi="宋体" w:cs="宋体"/>
          <w:b/>
          <w:color w:val="auto"/>
          <w:kern w:val="0"/>
          <w:szCs w:val="21"/>
        </w:rPr>
      </w:pPr>
      <w:r>
        <w:rPr>
          <w:rFonts w:hint="eastAsia" w:ascii="宋体" w:hAnsi="宋体" w:cs="宋体"/>
          <w:b/>
          <w:color w:val="auto"/>
          <w:kern w:val="0"/>
          <w:szCs w:val="21"/>
        </w:rPr>
        <w:t>6、总得分=1+2+3+4+5</w:t>
      </w:r>
    </w:p>
    <w:p>
      <w:pPr>
        <w:shd w:val="clear" w:color="auto" w:fill="FFFFFF"/>
        <w:spacing w:line="340" w:lineRule="exact"/>
        <w:jc w:val="left"/>
        <w:rPr>
          <w:rFonts w:hint="eastAsia" w:ascii="宋体" w:hAnsi="宋体" w:cs="宋体"/>
          <w:b/>
          <w:color w:val="auto"/>
          <w:kern w:val="0"/>
          <w:szCs w:val="21"/>
        </w:rPr>
      </w:pPr>
      <w:r>
        <w:rPr>
          <w:rFonts w:hint="eastAsia" w:ascii="宋体" w:hAnsi="宋体" w:cs="宋体"/>
          <w:b/>
          <w:color w:val="auto"/>
          <w:kern w:val="0"/>
          <w:szCs w:val="21"/>
        </w:rPr>
        <w:t>三、成交候选供应商推荐原则</w:t>
      </w:r>
    </w:p>
    <w:p>
      <w:pPr>
        <w:shd w:val="clear" w:color="auto" w:fill="FFFFFF"/>
        <w:spacing w:line="340" w:lineRule="exact"/>
        <w:ind w:firstLine="420" w:firstLineChars="200"/>
        <w:jc w:val="left"/>
        <w:rPr>
          <w:rFonts w:hint="eastAsia" w:ascii="宋体" w:hAnsi="宋体" w:cs="宋体"/>
          <w:color w:val="auto"/>
          <w:szCs w:val="21"/>
        </w:rPr>
      </w:pPr>
      <w:r>
        <w:rPr>
          <w:rFonts w:hint="eastAsia" w:ascii="宋体" w:hAnsi="宋体" w:cs="宋体"/>
          <w:color w:val="auto"/>
          <w:szCs w:val="21"/>
        </w:rPr>
        <w:t>磋商小组将根据综合得分由高到低排列次序（得分相同时，以投标报价由低到高顺序排列；得分相同且投标报价相同的，按实施方案分、服务承诺分、拟投入本项目人员及设备分、业绩分优劣顺序排列）并推荐排位前三名为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pStyle w:val="18"/>
        <w:spacing w:line="340" w:lineRule="exact"/>
        <w:ind w:firstLine="420" w:firstLineChars="200"/>
        <w:rPr>
          <w:rFonts w:hint="eastAsia" w:hAnsi="宋体" w:cs="宋体"/>
          <w:color w:val="auto"/>
        </w:rPr>
      </w:pPr>
      <w:r>
        <w:rPr>
          <w:rFonts w:hint="eastAsia" w:hAnsi="宋体" w:cs="宋体"/>
          <w:color w:val="auto"/>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pPr>
        <w:pStyle w:val="18"/>
        <w:spacing w:line="360" w:lineRule="exact"/>
        <w:rPr>
          <w:rFonts w:hint="eastAsia" w:hAnsi="宋体" w:cs="宋体"/>
          <w:color w:val="auto"/>
          <w:szCs w:val="21"/>
        </w:rPr>
      </w:pPr>
    </w:p>
    <w:p>
      <w:pPr>
        <w:pStyle w:val="16"/>
        <w:spacing w:line="360" w:lineRule="auto"/>
        <w:jc w:val="center"/>
        <w:outlineLvl w:val="0"/>
        <w:rPr>
          <w:rFonts w:hint="eastAsia" w:hAnsi="宋体" w:cs="宋体"/>
          <w:b/>
          <w:color w:val="auto"/>
          <w:sz w:val="32"/>
          <w:szCs w:val="32"/>
        </w:rPr>
      </w:pPr>
      <w:r>
        <w:rPr>
          <w:rFonts w:hint="eastAsia" w:hAnsi="宋体" w:cs="宋体"/>
          <w:b/>
          <w:color w:val="auto"/>
          <w:sz w:val="32"/>
          <w:szCs w:val="32"/>
        </w:rPr>
        <w:br w:type="page"/>
      </w:r>
      <w:bookmarkStart w:id="26" w:name="_Toc4186"/>
      <w:r>
        <w:rPr>
          <w:rFonts w:hint="eastAsia" w:hAnsi="宋体" w:cs="宋体"/>
          <w:b/>
          <w:color w:val="auto"/>
          <w:sz w:val="32"/>
          <w:szCs w:val="32"/>
        </w:rPr>
        <w:t>第五章  磋商响应文件格式</w:t>
      </w:r>
      <w:bookmarkEnd w:id="26"/>
    </w:p>
    <w:p>
      <w:pPr>
        <w:spacing w:line="500" w:lineRule="exact"/>
        <w:rPr>
          <w:rFonts w:hint="eastAsia" w:ascii="宋体" w:hAnsi="宋体" w:cs="宋体"/>
          <w:b/>
          <w:color w:val="auto"/>
          <w:sz w:val="32"/>
          <w:szCs w:val="32"/>
        </w:rPr>
      </w:pPr>
    </w:p>
    <w:p>
      <w:pPr>
        <w:spacing w:line="500" w:lineRule="exact"/>
        <w:jc w:val="center"/>
        <w:rPr>
          <w:rFonts w:hint="eastAsia" w:ascii="宋体" w:hAnsi="宋体" w:cs="宋体"/>
          <w:color w:val="auto"/>
          <w:sz w:val="28"/>
          <w:szCs w:val="28"/>
        </w:rPr>
      </w:pPr>
      <w:bookmarkStart w:id="27" w:name="_Toc28818_WPSOffice_Level1"/>
      <w:r>
        <w:rPr>
          <w:rFonts w:hint="eastAsia" w:ascii="宋体" w:hAnsi="宋体" w:cs="宋体"/>
          <w:b/>
          <w:color w:val="auto"/>
          <w:sz w:val="32"/>
          <w:szCs w:val="32"/>
        </w:rPr>
        <w:t>竞争性磋商响应文件</w:t>
      </w:r>
      <w:bookmarkEnd w:id="27"/>
      <w:r>
        <w:rPr>
          <w:rFonts w:hint="eastAsia" w:ascii="宋体" w:hAnsi="宋体" w:cs="宋体"/>
          <w:b/>
          <w:color w:val="auto"/>
          <w:sz w:val="32"/>
          <w:szCs w:val="32"/>
        </w:rPr>
        <w:t>（封面）</w:t>
      </w:r>
    </w:p>
    <w:p>
      <w:pPr>
        <w:spacing w:line="500" w:lineRule="exact"/>
        <w:jc w:val="center"/>
        <w:rPr>
          <w:rFonts w:hint="eastAsia" w:ascii="宋体" w:hAnsi="宋体" w:cs="宋体"/>
          <w:color w:val="auto"/>
          <w:sz w:val="28"/>
          <w:szCs w:val="28"/>
        </w:rPr>
      </w:pPr>
      <w:bookmarkStart w:id="28" w:name="_Toc30621_WPSOffice_Level1"/>
      <w:r>
        <w:rPr>
          <w:rFonts w:hint="eastAsia" w:ascii="宋体" w:hAnsi="宋体" w:cs="宋体"/>
          <w:color w:val="auto"/>
          <w:sz w:val="28"/>
          <w:szCs w:val="28"/>
        </w:rPr>
        <w:t>（正本/副本）</w:t>
      </w:r>
      <w:bookmarkEnd w:id="28"/>
    </w:p>
    <w:p>
      <w:pPr>
        <w:spacing w:line="500" w:lineRule="exact"/>
        <w:jc w:val="center"/>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p>
    <w:p>
      <w:pPr>
        <w:spacing w:line="500" w:lineRule="exact"/>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p>
    <w:p>
      <w:pPr>
        <w:spacing w:line="500" w:lineRule="exact"/>
        <w:rPr>
          <w:rFonts w:hint="eastAsia" w:ascii="宋体" w:hAnsi="宋体" w:cs="宋体"/>
          <w:color w:val="auto"/>
          <w:sz w:val="28"/>
          <w:szCs w:val="28"/>
          <w:u w:val="single"/>
        </w:rPr>
      </w:pPr>
      <w:r>
        <w:rPr>
          <w:rFonts w:hint="eastAsia" w:ascii="宋体" w:hAnsi="宋体" w:cs="宋体"/>
          <w:color w:val="auto"/>
          <w:sz w:val="28"/>
          <w:szCs w:val="28"/>
        </w:rPr>
        <w:t xml:space="preserve">          项目名称：</w:t>
      </w:r>
      <w:r>
        <w:rPr>
          <w:rFonts w:hint="eastAsia" w:ascii="宋体" w:hAnsi="宋体" w:cs="宋体"/>
          <w:color w:val="auto"/>
          <w:sz w:val="28"/>
          <w:szCs w:val="28"/>
          <w:u w:val="single"/>
        </w:rPr>
        <w:t xml:space="preserve">                                  </w:t>
      </w:r>
    </w:p>
    <w:p>
      <w:pPr>
        <w:tabs>
          <w:tab w:val="left" w:pos="3240"/>
        </w:tabs>
        <w:spacing w:line="500" w:lineRule="exact"/>
        <w:ind w:firstLine="1400" w:firstLineChars="500"/>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spacing w:line="500" w:lineRule="exact"/>
        <w:ind w:firstLine="1400" w:firstLineChars="500"/>
        <w:rPr>
          <w:rFonts w:hint="eastAsia" w:ascii="宋体" w:hAnsi="宋体" w:cs="宋体"/>
          <w:color w:val="auto"/>
          <w:sz w:val="28"/>
          <w:szCs w:val="28"/>
          <w:u w:val="single"/>
        </w:rPr>
      </w:pPr>
      <w:r>
        <w:rPr>
          <w:rFonts w:hint="eastAsia" w:ascii="宋体" w:hAnsi="宋体" w:cs="宋体"/>
          <w:color w:val="auto"/>
          <w:sz w:val="28"/>
          <w:szCs w:val="28"/>
        </w:rPr>
        <w:t>磋商内容：</w:t>
      </w:r>
      <w:r>
        <w:rPr>
          <w:rFonts w:hint="eastAsia" w:ascii="宋体" w:hAnsi="宋体" w:cs="宋体"/>
          <w:color w:val="auto"/>
          <w:sz w:val="28"/>
          <w:szCs w:val="28"/>
          <w:u w:val="single"/>
        </w:rPr>
        <w:t xml:space="preserve">     价格文件/</w:t>
      </w:r>
      <w:bookmarkStart w:id="29" w:name="_Toc18938_WPSOffice_Level1"/>
      <w:r>
        <w:rPr>
          <w:rFonts w:hint="eastAsia" w:ascii="宋体" w:hAnsi="宋体" w:cs="宋体"/>
          <w:color w:val="auto"/>
          <w:sz w:val="28"/>
          <w:szCs w:val="28"/>
          <w:u w:val="single"/>
        </w:rPr>
        <w:t>商务技术文件</w:t>
      </w:r>
      <w:bookmarkEnd w:id="29"/>
      <w:r>
        <w:rPr>
          <w:rFonts w:hint="eastAsia" w:ascii="宋体" w:hAnsi="宋体" w:cs="宋体"/>
          <w:color w:val="auto"/>
          <w:sz w:val="28"/>
          <w:szCs w:val="28"/>
          <w:u w:val="single"/>
        </w:rPr>
        <w:t xml:space="preserve">        </w:t>
      </w:r>
    </w:p>
    <w:p>
      <w:pPr>
        <w:spacing w:line="500" w:lineRule="exact"/>
        <w:rPr>
          <w:rFonts w:hint="eastAsia" w:ascii="宋体" w:hAnsi="宋体" w:cs="宋体"/>
          <w:color w:val="auto"/>
          <w:sz w:val="28"/>
          <w:szCs w:val="28"/>
          <w:u w:val="single"/>
        </w:rPr>
      </w:pPr>
      <w:r>
        <w:rPr>
          <w:rFonts w:hint="eastAsia" w:ascii="宋体" w:hAnsi="宋体" w:cs="宋体"/>
          <w:color w:val="auto"/>
          <w:sz w:val="28"/>
          <w:szCs w:val="28"/>
        </w:rPr>
        <w:t xml:space="preserve">          磋商供应商名称：</w:t>
      </w:r>
      <w:r>
        <w:rPr>
          <w:rFonts w:hint="eastAsia" w:ascii="宋体" w:hAnsi="宋体" w:cs="宋体"/>
          <w:color w:val="auto"/>
          <w:sz w:val="28"/>
          <w:szCs w:val="28"/>
          <w:u w:val="single"/>
        </w:rPr>
        <w:t xml:space="preserve">              （盖单位公章）</w:t>
      </w:r>
    </w:p>
    <w:p>
      <w:pPr>
        <w:spacing w:line="500" w:lineRule="exact"/>
        <w:ind w:firstLine="1400" w:firstLineChars="500"/>
        <w:rPr>
          <w:rFonts w:hint="eastAsia" w:ascii="宋体" w:hAnsi="宋体" w:cs="宋体"/>
          <w:color w:val="auto"/>
          <w:sz w:val="28"/>
          <w:szCs w:val="28"/>
          <w:u w:val="single"/>
        </w:rPr>
      </w:pPr>
      <w:r>
        <w:rPr>
          <w:rFonts w:hint="eastAsia" w:ascii="宋体" w:hAnsi="宋体" w:cs="宋体"/>
          <w:color w:val="auto"/>
          <w:sz w:val="28"/>
          <w:szCs w:val="28"/>
        </w:rPr>
        <w:t>磋商供应商地址：</w:t>
      </w:r>
      <w:r>
        <w:rPr>
          <w:rFonts w:hint="eastAsia" w:ascii="宋体" w:hAnsi="宋体" w:cs="宋体"/>
          <w:color w:val="auto"/>
          <w:sz w:val="28"/>
          <w:szCs w:val="28"/>
          <w:u w:val="single"/>
        </w:rPr>
        <w:t xml:space="preserve">                            </w:t>
      </w:r>
    </w:p>
    <w:p>
      <w:pPr>
        <w:spacing w:line="500" w:lineRule="exact"/>
        <w:rPr>
          <w:rFonts w:hint="eastAsia" w:ascii="宋体" w:hAnsi="宋体" w:cs="宋体"/>
          <w:color w:val="auto"/>
          <w:sz w:val="28"/>
          <w:szCs w:val="28"/>
        </w:rPr>
      </w:pPr>
    </w:p>
    <w:p>
      <w:pPr>
        <w:spacing w:line="500" w:lineRule="exact"/>
        <w:ind w:firstLine="6440" w:firstLineChars="2300"/>
        <w:rPr>
          <w:rFonts w:hint="eastAsia" w:ascii="宋体" w:hAnsi="宋体" w:cs="宋体"/>
          <w:color w:val="auto"/>
          <w:sz w:val="28"/>
          <w:szCs w:val="28"/>
        </w:rPr>
      </w:pPr>
    </w:p>
    <w:p>
      <w:pPr>
        <w:spacing w:line="500" w:lineRule="exact"/>
        <w:ind w:firstLine="6440" w:firstLineChars="2300"/>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bookmarkStart w:id="30" w:name="_Toc4344_WPSOffice_Level1"/>
    </w:p>
    <w:p>
      <w:pPr>
        <w:spacing w:line="500" w:lineRule="exact"/>
        <w:jc w:val="center"/>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p>
    <w:p>
      <w:pPr>
        <w:spacing w:line="500" w:lineRule="exact"/>
        <w:jc w:val="center"/>
        <w:rPr>
          <w:rFonts w:hint="eastAsia" w:ascii="宋体" w:hAnsi="宋体" w:cs="宋体"/>
          <w:color w:val="auto"/>
          <w:sz w:val="28"/>
          <w:szCs w:val="28"/>
        </w:rPr>
      </w:pPr>
      <w:r>
        <w:rPr>
          <w:rFonts w:hint="eastAsia" w:ascii="宋体" w:hAnsi="宋体" w:cs="宋体"/>
          <w:color w:val="auto"/>
          <w:sz w:val="28"/>
          <w:szCs w:val="28"/>
        </w:rPr>
        <w:t>年    月    日</w:t>
      </w:r>
      <w:bookmarkEnd w:id="30"/>
    </w:p>
    <w:p>
      <w:pPr>
        <w:spacing w:line="320" w:lineRule="exact"/>
        <w:rPr>
          <w:rFonts w:hint="eastAsia" w:ascii="宋体" w:hAnsi="宋体" w:cs="宋体"/>
          <w:color w:val="auto"/>
          <w:szCs w:val="21"/>
        </w:rPr>
      </w:pPr>
    </w:p>
    <w:p>
      <w:pPr>
        <w:spacing w:line="320" w:lineRule="exact"/>
        <w:rPr>
          <w:rFonts w:hint="eastAsia" w:ascii="宋体" w:hAnsi="宋体" w:cs="宋体"/>
          <w:color w:val="auto"/>
          <w:szCs w:val="21"/>
        </w:rPr>
      </w:pPr>
    </w:p>
    <w:p>
      <w:pPr>
        <w:spacing w:line="320" w:lineRule="exact"/>
        <w:rPr>
          <w:rFonts w:hint="eastAsia" w:ascii="宋体" w:hAnsi="宋体" w:cs="宋体"/>
          <w:color w:val="auto"/>
          <w:szCs w:val="21"/>
        </w:rPr>
      </w:pPr>
    </w:p>
    <w:p>
      <w:pPr>
        <w:spacing w:line="320" w:lineRule="exact"/>
        <w:rPr>
          <w:rFonts w:hint="eastAsia" w:ascii="宋体" w:hAnsi="宋体" w:cs="宋体"/>
          <w:color w:val="auto"/>
          <w:szCs w:val="21"/>
        </w:rPr>
      </w:pPr>
    </w:p>
    <w:p>
      <w:pPr>
        <w:spacing w:line="320" w:lineRule="exact"/>
        <w:rPr>
          <w:rFonts w:hint="eastAsia" w:ascii="宋体" w:hAnsi="宋体" w:cs="宋体"/>
          <w:color w:val="auto"/>
          <w:szCs w:val="21"/>
        </w:rPr>
      </w:pPr>
    </w:p>
    <w:p>
      <w:pPr>
        <w:pStyle w:val="2"/>
        <w:rPr>
          <w:rFonts w:hint="eastAsia" w:hAnsi="宋体" w:eastAsia="宋体" w:cs="宋体"/>
          <w:color w:val="auto"/>
        </w:rPr>
      </w:pPr>
    </w:p>
    <w:p>
      <w:pPr>
        <w:spacing w:line="320" w:lineRule="exact"/>
        <w:rPr>
          <w:rFonts w:hint="eastAsia" w:ascii="宋体" w:hAnsi="宋体" w:cs="宋体"/>
          <w:color w:val="auto"/>
          <w:szCs w:val="21"/>
        </w:rPr>
      </w:pPr>
    </w:p>
    <w:p>
      <w:pPr>
        <w:spacing w:line="320" w:lineRule="exact"/>
        <w:rPr>
          <w:rFonts w:hint="eastAsia" w:ascii="宋体" w:hAnsi="宋体" w:cs="宋体"/>
          <w:color w:val="auto"/>
          <w:szCs w:val="21"/>
        </w:rPr>
      </w:pPr>
    </w:p>
    <w:p>
      <w:pPr>
        <w:spacing w:line="360" w:lineRule="exact"/>
        <w:jc w:val="center"/>
        <w:rPr>
          <w:rFonts w:hint="eastAsia" w:ascii="宋体" w:hAnsi="宋体" w:cs="宋体"/>
          <w:b/>
          <w:color w:val="auto"/>
          <w:sz w:val="32"/>
          <w:szCs w:val="32"/>
        </w:rPr>
      </w:pPr>
      <w:r>
        <w:rPr>
          <w:rFonts w:hint="eastAsia" w:ascii="宋体" w:hAnsi="宋体" w:cs="宋体"/>
          <w:b/>
          <w:color w:val="auto"/>
          <w:sz w:val="32"/>
          <w:szCs w:val="32"/>
        </w:rPr>
        <w:t>第一部分 价格文件</w:t>
      </w:r>
    </w:p>
    <w:p>
      <w:pPr>
        <w:spacing w:line="360" w:lineRule="exact"/>
        <w:jc w:val="center"/>
        <w:rPr>
          <w:rFonts w:hint="eastAsia" w:ascii="宋体" w:hAnsi="宋体" w:cs="宋体"/>
          <w:b/>
          <w:color w:val="auto"/>
          <w:sz w:val="32"/>
          <w:szCs w:val="32"/>
        </w:rPr>
      </w:pPr>
    </w:p>
    <w:p>
      <w:pPr>
        <w:spacing w:line="360" w:lineRule="exact"/>
        <w:jc w:val="center"/>
        <w:rPr>
          <w:rFonts w:hint="eastAsia" w:ascii="宋体" w:hAnsi="宋体" w:cs="宋体"/>
          <w:b/>
          <w:color w:val="auto"/>
          <w:sz w:val="32"/>
          <w:szCs w:val="32"/>
        </w:rPr>
      </w:pPr>
    </w:p>
    <w:p>
      <w:pPr>
        <w:spacing w:line="360" w:lineRule="exact"/>
        <w:jc w:val="center"/>
        <w:rPr>
          <w:rFonts w:hint="eastAsia" w:ascii="宋体" w:hAnsi="宋体" w:cs="宋体"/>
          <w:b/>
          <w:color w:val="auto"/>
          <w:sz w:val="32"/>
          <w:szCs w:val="32"/>
        </w:rPr>
      </w:pPr>
      <w:r>
        <w:rPr>
          <w:rFonts w:hint="eastAsia" w:ascii="宋体" w:hAnsi="宋体" w:cs="宋体"/>
          <w:b/>
          <w:color w:val="auto"/>
          <w:sz w:val="32"/>
          <w:szCs w:val="32"/>
        </w:rPr>
        <w:t>目录</w:t>
      </w:r>
    </w:p>
    <w:p>
      <w:pPr>
        <w:spacing w:line="520" w:lineRule="exact"/>
        <w:jc w:val="center"/>
        <w:rPr>
          <w:rFonts w:hint="eastAsia" w:ascii="宋体" w:hAnsi="宋体" w:cs="宋体"/>
          <w:color w:val="auto"/>
          <w:sz w:val="24"/>
        </w:rPr>
      </w:pPr>
      <w:r>
        <w:rPr>
          <w:rFonts w:hint="eastAsia" w:ascii="宋体" w:hAnsi="宋体" w:cs="宋体"/>
          <w:color w:val="auto"/>
          <w:sz w:val="24"/>
        </w:rPr>
        <w:t>（必须附对应的页码）</w:t>
      </w:r>
    </w:p>
    <w:p>
      <w:pPr>
        <w:spacing w:line="520" w:lineRule="exact"/>
        <w:rPr>
          <w:rFonts w:hint="eastAsia" w:ascii="宋体" w:hAnsi="宋体" w:cs="宋体"/>
          <w:b/>
          <w:color w:val="auto"/>
          <w:sz w:val="24"/>
        </w:rPr>
      </w:pP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一、报价函</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二、报价表</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三、磋商供应商资格证明文件</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四、实施方案</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五、服务承诺</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六、拟投入本项目人员及设备</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七、类似业绩一览表</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八、获奖荣誉一览表</w:t>
      </w:r>
    </w:p>
    <w:p>
      <w:pPr>
        <w:spacing w:line="520" w:lineRule="exact"/>
        <w:jc w:val="left"/>
        <w:rPr>
          <w:rFonts w:hint="eastAsia" w:ascii="宋体" w:hAnsi="宋体" w:cs="宋体"/>
          <w:color w:val="auto"/>
          <w:sz w:val="28"/>
          <w:szCs w:val="28"/>
        </w:rPr>
      </w:pPr>
      <w:r>
        <w:rPr>
          <w:rFonts w:hint="eastAsia" w:ascii="宋体" w:hAnsi="宋体" w:cs="宋体"/>
          <w:color w:val="auto"/>
          <w:sz w:val="28"/>
          <w:szCs w:val="28"/>
        </w:rPr>
        <w:t>九、磋商供应商认为需要提供的有关资料</w:t>
      </w:r>
    </w:p>
    <w:p>
      <w:pPr>
        <w:spacing w:line="320" w:lineRule="exact"/>
        <w:jc w:val="center"/>
        <w:rPr>
          <w:rFonts w:hint="eastAsia" w:ascii="宋体" w:hAnsi="宋体" w:cs="宋体"/>
          <w:b/>
          <w:color w:val="auto"/>
          <w:sz w:val="32"/>
          <w:szCs w:val="32"/>
        </w:rPr>
      </w:pPr>
      <w:r>
        <w:rPr>
          <w:rFonts w:hint="eastAsia" w:ascii="宋体" w:hAnsi="宋体" w:cs="宋体"/>
          <w:color w:val="auto"/>
          <w:szCs w:val="21"/>
        </w:rPr>
        <w:br w:type="page"/>
      </w:r>
      <w:r>
        <w:rPr>
          <w:rFonts w:hint="eastAsia" w:ascii="宋体" w:hAnsi="宋体" w:cs="宋体"/>
          <w:b/>
          <w:color w:val="auto"/>
          <w:sz w:val="32"/>
          <w:szCs w:val="32"/>
        </w:rPr>
        <w:t>一、报价函</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u w:val="single"/>
        </w:rPr>
      </w:pPr>
      <w:r>
        <w:rPr>
          <w:rFonts w:hint="eastAsia" w:ascii="宋体" w:hAnsi="宋体" w:cs="宋体"/>
          <w:color w:val="auto"/>
          <w:szCs w:val="21"/>
        </w:rPr>
        <w:t>致</w:t>
      </w:r>
      <w:r>
        <w:rPr>
          <w:rFonts w:hint="eastAsia" w:ascii="宋体" w:hAnsi="宋体" w:cs="宋体"/>
          <w:color w:val="auto"/>
          <w:szCs w:val="21"/>
          <w:u w:val="single"/>
        </w:rPr>
        <w:t>欧邦工程管理集团有限公司</w:t>
      </w:r>
      <w:r>
        <w:rPr>
          <w:rFonts w:hint="eastAsia" w:ascii="宋体" w:hAnsi="宋体" w:cs="宋体"/>
          <w:color w:val="auto"/>
          <w:szCs w:val="21"/>
        </w:rPr>
        <w:t>：</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1.根据你方采购项目编号为</w:t>
      </w:r>
      <w:r>
        <w:rPr>
          <w:rFonts w:hint="eastAsia" w:ascii="宋体" w:hAnsi="宋体" w:cs="宋体"/>
          <w:color w:val="auto"/>
          <w:szCs w:val="21"/>
          <w:u w:val="single"/>
        </w:rPr>
        <w:t>（项目编号）</w:t>
      </w:r>
      <w:r>
        <w:rPr>
          <w:rFonts w:hint="eastAsia" w:ascii="宋体" w:hAnsi="宋体" w:cs="宋体"/>
          <w:color w:val="auto"/>
          <w:szCs w:val="21"/>
        </w:rPr>
        <w:t>的</w:t>
      </w:r>
      <w:r>
        <w:rPr>
          <w:rFonts w:hint="eastAsia" w:ascii="宋体" w:hAnsi="宋体" w:cs="宋体"/>
          <w:color w:val="auto"/>
          <w:szCs w:val="21"/>
          <w:u w:val="single"/>
        </w:rPr>
        <w:t>（项目名称）</w:t>
      </w:r>
      <w:r>
        <w:rPr>
          <w:rFonts w:hint="eastAsia" w:ascii="宋体" w:hAnsi="宋体" w:cs="宋体"/>
          <w:color w:val="auto"/>
          <w:szCs w:val="21"/>
        </w:rPr>
        <w:t>竞争性磋商采购文件，遵照《中华人民共和国政府采购法》等有关规定，经踏勘项目现场和研究上述竞争性磋商采购文件的磋商须知、合同条款、技术要求及其他有关文件后，我方愿以人民币(大写)元（</w:t>
      </w:r>
      <w:r>
        <w:rPr>
          <w:rFonts w:hint="eastAsia" w:ascii="宋体" w:hAnsi="宋体" w:cs="宋体"/>
          <w:color w:val="auto"/>
          <w:szCs w:val="21"/>
          <w:u w:val="single"/>
        </w:rPr>
        <w:t xml:space="preserve">￥     </w:t>
      </w:r>
      <w:r>
        <w:rPr>
          <w:rFonts w:hint="eastAsia" w:ascii="宋体" w:hAnsi="宋体" w:cs="宋体"/>
          <w:color w:val="auto"/>
          <w:szCs w:val="21"/>
        </w:rPr>
        <w:t>元）的磋商报价并按上述要求承包本项目的工作。我方保证质量达到</w:t>
      </w:r>
      <w:r>
        <w:rPr>
          <w:rFonts w:hint="eastAsia" w:ascii="宋体" w:hAnsi="宋体" w:cs="宋体"/>
          <w:color w:val="auto"/>
          <w:szCs w:val="21"/>
          <w:u w:val="single"/>
        </w:rPr>
        <w:t xml:space="preserve"> 合格 </w:t>
      </w:r>
      <w:r>
        <w:rPr>
          <w:rFonts w:hint="eastAsia" w:ascii="宋体" w:hAnsi="宋体" w:cs="宋体"/>
          <w:color w:val="auto"/>
          <w:szCs w:val="21"/>
        </w:rPr>
        <w:t>标准。</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2.我方已详细审核全部竞争性磋商采购文件，包括修改文件（如有时）及有关附件。</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3.我方承认磋商函附录是我方磋商函的组成部分。</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4.一旦我方成交，我方保证按合同协议书中规定在合同签订期限完成任务。</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5.我方同意所提交的磋商文件在竞争性磋商采购文件的磋商须知中第14条规定的磋商有效期内有效，在此期间内如果成交，我方将受此约束。</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6.除非另外达成协议并生效，你方的成交通知书和本磋商文件将成为约束双方的合同文件的组成部分。</w:t>
      </w:r>
    </w:p>
    <w:p>
      <w:pPr>
        <w:spacing w:line="360" w:lineRule="auto"/>
        <w:ind w:firstLine="490"/>
        <w:rPr>
          <w:rFonts w:hint="eastAsia" w:ascii="宋体" w:hAnsi="宋体" w:cs="宋体"/>
          <w:color w:val="auto"/>
          <w:szCs w:val="21"/>
        </w:rPr>
      </w:pPr>
    </w:p>
    <w:p>
      <w:pPr>
        <w:spacing w:line="360" w:lineRule="auto"/>
        <w:rPr>
          <w:rFonts w:hint="eastAsia" w:ascii="宋体" w:hAnsi="宋体" w:cs="宋体"/>
          <w:color w:val="auto"/>
          <w:szCs w:val="21"/>
        </w:rPr>
      </w:pPr>
    </w:p>
    <w:p>
      <w:pPr>
        <w:spacing w:line="400" w:lineRule="exact"/>
        <w:rPr>
          <w:rFonts w:hint="eastAsia" w:ascii="宋体" w:hAnsi="宋体" w:cs="宋体"/>
          <w:color w:val="auto"/>
          <w:szCs w:val="21"/>
          <w:u w:val="single"/>
        </w:rPr>
      </w:pPr>
      <w:r>
        <w:rPr>
          <w:rFonts w:hint="eastAsia" w:ascii="宋体" w:hAnsi="宋体" w:cs="宋体"/>
          <w:color w:val="auto"/>
          <w:szCs w:val="21"/>
        </w:rPr>
        <w:t>磋商单位：</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400" w:lineRule="exact"/>
        <w:rPr>
          <w:rFonts w:hint="eastAsia" w:ascii="宋体" w:hAnsi="宋体" w:cs="宋体"/>
          <w:color w:val="auto"/>
          <w:szCs w:val="21"/>
          <w:u w:val="single"/>
        </w:rPr>
      </w:pPr>
      <w:r>
        <w:rPr>
          <w:rFonts w:hint="eastAsia" w:ascii="宋体" w:hAnsi="宋体" w:cs="宋体"/>
          <w:color w:val="auto"/>
          <w:szCs w:val="21"/>
        </w:rPr>
        <w:t>单位地址：</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400" w:lineRule="exact"/>
        <w:rPr>
          <w:rFonts w:hint="eastAsia" w:ascii="宋体" w:hAnsi="宋体" w:cs="宋体"/>
          <w:color w:val="auto"/>
          <w:szCs w:val="21"/>
        </w:rPr>
      </w:pPr>
      <w:r>
        <w:rPr>
          <w:rFonts w:hint="eastAsia" w:ascii="宋体" w:hAnsi="宋体" w:cs="宋体"/>
          <w:color w:val="auto"/>
          <w:szCs w:val="21"/>
        </w:rPr>
        <w:t>邮政编码：</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rPr>
        <w:t>电话：</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rPr>
        <w:t>传真：</w:t>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开户银行名称：</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开户银行账号：</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pStyle w:val="18"/>
        <w:spacing w:line="400" w:lineRule="exact"/>
        <w:rPr>
          <w:rFonts w:hint="eastAsia" w:hAnsi="宋体" w:cs="宋体"/>
          <w:color w:val="auto"/>
          <w:szCs w:val="21"/>
        </w:rPr>
      </w:pPr>
      <w:r>
        <w:rPr>
          <w:rFonts w:hint="eastAsia" w:hAnsi="宋体" w:cs="宋体"/>
          <w:color w:val="auto"/>
          <w:szCs w:val="21"/>
        </w:rPr>
        <w:t>日期:</w:t>
      </w:r>
      <w:r>
        <w:rPr>
          <w:rFonts w:hint="eastAsia" w:hAnsi="宋体" w:cs="宋体"/>
          <w:color w:val="auto"/>
          <w:szCs w:val="21"/>
          <w:u w:val="single"/>
        </w:rPr>
        <w:t xml:space="preserve">     </w:t>
      </w:r>
      <w:r>
        <w:rPr>
          <w:rFonts w:hint="eastAsia" w:hAnsi="宋体" w:cs="宋体"/>
          <w:color w:val="auto"/>
          <w:szCs w:val="21"/>
        </w:rPr>
        <w:t>年</w:t>
      </w:r>
      <w:r>
        <w:rPr>
          <w:rFonts w:hint="eastAsia" w:hAnsi="宋体" w:cs="宋体"/>
          <w:color w:val="auto"/>
          <w:szCs w:val="21"/>
          <w:u w:val="single"/>
        </w:rPr>
        <w:t xml:space="preserve">     </w:t>
      </w:r>
      <w:r>
        <w:rPr>
          <w:rFonts w:hint="eastAsia" w:hAnsi="宋体" w:cs="宋体"/>
          <w:color w:val="auto"/>
          <w:szCs w:val="21"/>
        </w:rPr>
        <w:t>月</w:t>
      </w:r>
      <w:r>
        <w:rPr>
          <w:rFonts w:hint="eastAsia" w:hAnsi="宋体" w:cs="宋体"/>
          <w:color w:val="auto"/>
          <w:szCs w:val="21"/>
          <w:u w:val="single"/>
        </w:rPr>
        <w:t xml:space="preserve">    </w:t>
      </w:r>
      <w:r>
        <w:rPr>
          <w:rFonts w:hint="eastAsia" w:hAnsi="宋体" w:cs="宋体"/>
          <w:color w:val="auto"/>
          <w:szCs w:val="21"/>
        </w:rPr>
        <w:t>日</w:t>
      </w:r>
    </w:p>
    <w:p>
      <w:pPr>
        <w:spacing w:line="500" w:lineRule="exact"/>
        <w:jc w:val="center"/>
        <w:rPr>
          <w:rFonts w:hint="eastAsia" w:ascii="宋体" w:hAnsi="宋体" w:cs="宋体"/>
          <w:b/>
          <w:color w:val="auto"/>
          <w:sz w:val="32"/>
          <w:szCs w:val="32"/>
        </w:rPr>
      </w:pPr>
    </w:p>
    <w:p>
      <w:pPr>
        <w:pStyle w:val="2"/>
        <w:rPr>
          <w:rFonts w:hint="eastAsia" w:hAnsi="宋体" w:eastAsia="宋体" w:cs="宋体"/>
          <w:color w:val="auto"/>
        </w:rPr>
      </w:pPr>
    </w:p>
    <w:p>
      <w:pPr>
        <w:spacing w:line="500" w:lineRule="exact"/>
        <w:jc w:val="center"/>
        <w:rPr>
          <w:rFonts w:hint="eastAsia" w:ascii="宋体" w:hAnsi="宋体" w:cs="宋体"/>
          <w:b/>
          <w:color w:val="auto"/>
          <w:sz w:val="32"/>
          <w:szCs w:val="32"/>
        </w:rPr>
      </w:pPr>
    </w:p>
    <w:p>
      <w:pPr>
        <w:spacing w:line="500" w:lineRule="exact"/>
        <w:rPr>
          <w:rFonts w:hint="eastAsia" w:ascii="宋体" w:hAnsi="宋体" w:cs="宋体"/>
          <w:b/>
          <w:color w:val="auto"/>
          <w:sz w:val="32"/>
          <w:szCs w:val="32"/>
        </w:rPr>
      </w:pPr>
    </w:p>
    <w:p>
      <w:pPr>
        <w:spacing w:line="500" w:lineRule="exact"/>
        <w:jc w:val="center"/>
        <w:rPr>
          <w:rFonts w:hint="eastAsia" w:ascii="宋体" w:hAnsi="宋体" w:cs="宋体"/>
          <w:b/>
          <w:color w:val="auto"/>
          <w:sz w:val="32"/>
          <w:szCs w:val="32"/>
        </w:rPr>
      </w:pPr>
    </w:p>
    <w:p>
      <w:pPr>
        <w:spacing w:line="500" w:lineRule="exact"/>
        <w:jc w:val="center"/>
        <w:rPr>
          <w:rFonts w:hint="eastAsia" w:ascii="宋体" w:hAnsi="宋体" w:cs="宋体"/>
          <w:b/>
          <w:color w:val="auto"/>
          <w:sz w:val="32"/>
          <w:szCs w:val="32"/>
        </w:rPr>
      </w:pPr>
    </w:p>
    <w:p>
      <w:pPr>
        <w:pStyle w:val="20"/>
        <w:rPr>
          <w:rFonts w:hint="eastAsia"/>
          <w:color w:val="auto"/>
        </w:rPr>
      </w:pPr>
    </w:p>
    <w:p>
      <w:pPr>
        <w:spacing w:line="500" w:lineRule="exact"/>
        <w:jc w:val="center"/>
        <w:rPr>
          <w:rFonts w:hint="eastAsia" w:ascii="宋体" w:hAnsi="宋体" w:cs="宋体"/>
          <w:b/>
          <w:color w:val="auto"/>
          <w:sz w:val="32"/>
          <w:szCs w:val="32"/>
        </w:rPr>
      </w:pPr>
      <w:r>
        <w:rPr>
          <w:rFonts w:hint="eastAsia" w:ascii="宋体" w:hAnsi="宋体" w:cs="宋体"/>
          <w:b/>
          <w:color w:val="auto"/>
          <w:sz w:val="32"/>
          <w:szCs w:val="32"/>
        </w:rPr>
        <w:t>二、报价表（格式）</w:t>
      </w:r>
    </w:p>
    <w:p>
      <w:pPr>
        <w:spacing w:line="500" w:lineRule="exact"/>
        <w:jc w:val="center"/>
        <w:rPr>
          <w:rFonts w:hint="eastAsia" w:ascii="宋体" w:hAnsi="宋体" w:cs="宋体"/>
          <w:b/>
          <w:color w:val="auto"/>
          <w:sz w:val="24"/>
        </w:rPr>
      </w:pPr>
    </w:p>
    <w:p>
      <w:pPr>
        <w:spacing w:line="300" w:lineRule="auto"/>
        <w:rPr>
          <w:rFonts w:hint="eastAsia"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p>
    <w:p>
      <w:pPr>
        <w:spacing w:line="300" w:lineRule="auto"/>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00" w:lineRule="auto"/>
        <w:ind w:left="7875" w:hanging="7875" w:hangingChars="3750"/>
        <w:rPr>
          <w:rFonts w:hint="eastAsia" w:ascii="宋体" w:hAnsi="宋体" w:cs="宋体"/>
          <w:color w:val="auto"/>
          <w:szCs w:val="21"/>
        </w:rPr>
      </w:pPr>
      <w:r>
        <w:rPr>
          <w:rFonts w:hint="eastAsia" w:ascii="宋体" w:hAnsi="宋体" w:cs="宋体"/>
          <w:color w:val="auto"/>
          <w:szCs w:val="21"/>
        </w:rPr>
        <w:t xml:space="preserve">                                                         金额单位：人民币（元）</w:t>
      </w:r>
    </w:p>
    <w:tbl>
      <w:tblPr>
        <w:tblStyle w:val="33"/>
        <w:tblW w:w="97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104"/>
        <w:gridCol w:w="2525"/>
        <w:gridCol w:w="736"/>
        <w:gridCol w:w="1157"/>
        <w:gridCol w:w="157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631"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pacing w:val="-20"/>
                <w:szCs w:val="21"/>
              </w:rPr>
            </w:pPr>
            <w:r>
              <w:rPr>
                <w:rFonts w:hint="eastAsia" w:hAnsi="宋体"/>
                <w:color w:val="auto"/>
                <w:spacing w:val="-20"/>
                <w:szCs w:val="21"/>
              </w:rPr>
              <w:t>项号</w:t>
            </w:r>
          </w:p>
        </w:tc>
        <w:tc>
          <w:tcPr>
            <w:tcW w:w="2104"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pacing w:val="-20"/>
                <w:szCs w:val="21"/>
              </w:rPr>
            </w:pPr>
            <w:r>
              <w:rPr>
                <w:rFonts w:hint="eastAsia" w:hAnsi="宋体"/>
                <w:color w:val="auto"/>
                <w:spacing w:val="-20"/>
                <w:szCs w:val="21"/>
              </w:rPr>
              <w:t>服务名称</w:t>
            </w:r>
          </w:p>
        </w:tc>
        <w:tc>
          <w:tcPr>
            <w:tcW w:w="2525"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pacing w:val="-20"/>
                <w:szCs w:val="21"/>
              </w:rPr>
            </w:pPr>
            <w:r>
              <w:rPr>
                <w:rFonts w:hint="eastAsia" w:hAnsi="宋体"/>
                <w:color w:val="auto"/>
                <w:szCs w:val="21"/>
              </w:rPr>
              <w:t>服务内容及要求</w:t>
            </w:r>
          </w:p>
        </w:tc>
        <w:tc>
          <w:tcPr>
            <w:tcW w:w="736"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pacing w:val="-20"/>
                <w:szCs w:val="21"/>
              </w:rPr>
            </w:pPr>
            <w:r>
              <w:rPr>
                <w:rFonts w:hint="eastAsia" w:hAnsi="宋体"/>
                <w:color w:val="auto"/>
                <w:spacing w:val="-20"/>
                <w:szCs w:val="21"/>
              </w:rPr>
              <w:t>数量</w:t>
            </w:r>
          </w:p>
          <w:p>
            <w:pPr>
              <w:pStyle w:val="18"/>
              <w:jc w:val="center"/>
              <w:rPr>
                <w:rFonts w:hAnsi="宋体"/>
                <w:color w:val="auto"/>
                <w:spacing w:val="-20"/>
                <w:szCs w:val="21"/>
              </w:rPr>
            </w:pPr>
            <w:r>
              <w:rPr>
                <w:rFonts w:hint="eastAsia" w:hAnsi="宋体"/>
                <w:color w:val="auto"/>
                <w:spacing w:val="-20"/>
                <w:szCs w:val="21"/>
              </w:rPr>
              <w:t>①</w:t>
            </w:r>
          </w:p>
        </w:tc>
        <w:tc>
          <w:tcPr>
            <w:tcW w:w="1157"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zCs w:val="21"/>
              </w:rPr>
            </w:pPr>
            <w:r>
              <w:rPr>
                <w:rFonts w:hint="eastAsia" w:hAnsi="宋体"/>
                <w:color w:val="auto"/>
                <w:szCs w:val="21"/>
              </w:rPr>
              <w:t>单价(元)</w:t>
            </w:r>
          </w:p>
          <w:p>
            <w:pPr>
              <w:pStyle w:val="18"/>
              <w:jc w:val="center"/>
              <w:rPr>
                <w:rFonts w:hAnsi="宋体"/>
                <w:color w:val="auto"/>
                <w:szCs w:val="21"/>
              </w:rPr>
            </w:pPr>
            <w:r>
              <w:rPr>
                <w:rFonts w:hint="eastAsia" w:hAnsi="宋体"/>
                <w:color w:val="auto"/>
                <w:szCs w:val="21"/>
              </w:rPr>
              <w:t>②</w:t>
            </w:r>
          </w:p>
        </w:tc>
        <w:tc>
          <w:tcPr>
            <w:tcW w:w="1578"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zCs w:val="21"/>
              </w:rPr>
            </w:pPr>
            <w:r>
              <w:rPr>
                <w:rFonts w:hint="eastAsia" w:hAnsi="宋体"/>
                <w:color w:val="auto"/>
                <w:szCs w:val="21"/>
              </w:rPr>
              <w:t>单项合价（元）</w:t>
            </w:r>
          </w:p>
          <w:p>
            <w:pPr>
              <w:pStyle w:val="18"/>
              <w:jc w:val="center"/>
              <w:rPr>
                <w:rFonts w:hAnsi="宋体"/>
                <w:color w:val="auto"/>
                <w:szCs w:val="21"/>
              </w:rPr>
            </w:pPr>
            <w:r>
              <w:rPr>
                <w:rFonts w:hint="eastAsia" w:hAnsi="宋体"/>
                <w:color w:val="auto"/>
                <w:szCs w:val="21"/>
              </w:rPr>
              <w:t>③＝①×②</w:t>
            </w:r>
          </w:p>
        </w:tc>
        <w:tc>
          <w:tcPr>
            <w:tcW w:w="1007" w:type="dxa"/>
            <w:tcBorders>
              <w:top w:val="single" w:color="auto" w:sz="4" w:space="0"/>
              <w:left w:val="single" w:color="auto" w:sz="4" w:space="0"/>
              <w:bottom w:val="single" w:color="auto" w:sz="4" w:space="0"/>
              <w:right w:val="single" w:color="auto" w:sz="4" w:space="0"/>
            </w:tcBorders>
            <w:vAlign w:val="center"/>
          </w:tcPr>
          <w:p>
            <w:pPr>
              <w:pStyle w:val="18"/>
              <w:jc w:val="center"/>
              <w:rPr>
                <w:rFonts w:hAnsi="宋体"/>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w:t>
            </w:r>
          </w:p>
        </w:tc>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2</w:t>
            </w:r>
          </w:p>
        </w:tc>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3</w:t>
            </w:r>
          </w:p>
        </w:tc>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ascii="宋体" w:hAnsi="宋体"/>
                <w:color w:val="auto"/>
                <w:szCs w:val="21"/>
              </w:rPr>
              <w:t>…</w:t>
            </w:r>
          </w:p>
        </w:tc>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pStyle w:val="1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0" w:hRule="atLeast"/>
        </w:trPr>
        <w:tc>
          <w:tcPr>
            <w:tcW w:w="9738" w:type="dxa"/>
            <w:gridSpan w:val="7"/>
            <w:tcBorders>
              <w:top w:val="single" w:color="auto" w:sz="4" w:space="0"/>
              <w:left w:val="single" w:color="auto" w:sz="4" w:space="0"/>
              <w:bottom w:val="single" w:color="auto" w:sz="4" w:space="0"/>
              <w:right w:val="single" w:color="auto" w:sz="4" w:space="0"/>
            </w:tcBorders>
            <w:vAlign w:val="center"/>
          </w:tcPr>
          <w:p>
            <w:pPr>
              <w:pStyle w:val="18"/>
              <w:rPr>
                <w:rFonts w:hint="eastAsia" w:hAnsi="宋体"/>
                <w:color w:val="auto"/>
                <w:szCs w:val="21"/>
              </w:rPr>
            </w:pPr>
            <w:r>
              <w:rPr>
                <w:rFonts w:hint="eastAsia" w:hAnsi="宋体"/>
                <w:color w:val="auto"/>
                <w:spacing w:val="-6"/>
                <w:szCs w:val="21"/>
              </w:rPr>
              <w:t>报价：（大写）人民币</w:t>
            </w:r>
            <w:r>
              <w:rPr>
                <w:rFonts w:hint="eastAsia" w:hAnsi="宋体"/>
                <w:color w:val="auto"/>
                <w:szCs w:val="21"/>
                <w:u w:val="single"/>
              </w:rPr>
              <w:t xml:space="preserve">              </w:t>
            </w:r>
            <w:r>
              <w:rPr>
                <w:rFonts w:hint="eastAsia" w:hAnsi="宋体"/>
                <w:color w:val="auto"/>
                <w:szCs w:val="21"/>
              </w:rPr>
              <w:t>元 (¥</w:t>
            </w:r>
            <w:r>
              <w:rPr>
                <w:rFonts w:hint="eastAsia" w:hAnsi="宋体"/>
                <w:color w:val="auto"/>
                <w:szCs w:val="21"/>
                <w:u w:val="single"/>
              </w:rPr>
              <w:t xml:space="preserve">          </w:t>
            </w:r>
            <w:r>
              <w:rPr>
                <w:rFonts w:hint="eastAsia" w:hAnsi="宋体"/>
                <w:color w:val="auto"/>
                <w:szCs w:val="21"/>
              </w:rPr>
              <w:t>元)</w:t>
            </w:r>
          </w:p>
          <w:p>
            <w:pPr>
              <w:pStyle w:val="18"/>
              <w:rPr>
                <w:rFonts w:hAnsi="宋体"/>
                <w:color w:val="auto"/>
                <w:spacing w:val="-6"/>
                <w:szCs w:val="21"/>
              </w:rPr>
            </w:pPr>
            <w:r>
              <w:rPr>
                <w:rFonts w:hint="eastAsia" w:hAnsi="宋体"/>
                <w:color w:val="auto"/>
                <w:szCs w:val="21"/>
              </w:rPr>
              <w:t>服务期限：</w:t>
            </w:r>
            <w:r>
              <w:rPr>
                <w:rFonts w:hint="eastAsia" w:hAnsi="宋体"/>
                <w:color w:val="auto"/>
                <w:szCs w:val="21"/>
                <w:u w:val="single"/>
              </w:rPr>
              <w:t xml:space="preserve">          </w:t>
            </w:r>
          </w:p>
        </w:tc>
      </w:tr>
    </w:tbl>
    <w:p>
      <w:pPr>
        <w:spacing w:line="300" w:lineRule="auto"/>
        <w:rPr>
          <w:rFonts w:ascii="宋体" w:hAnsi="宋体" w:cs="宋体"/>
          <w:color w:val="auto"/>
          <w:szCs w:val="21"/>
        </w:rPr>
      </w:pPr>
      <w:r>
        <w:rPr>
          <w:rFonts w:hint="eastAsia" w:ascii="宋体" w:hAnsi="宋体" w:cs="宋体"/>
          <w:color w:val="auto"/>
          <w:szCs w:val="21"/>
        </w:rPr>
        <w:t>注：1.</w:t>
      </w:r>
      <w:r>
        <w:rPr>
          <w:color w:val="auto"/>
          <w:szCs w:val="21"/>
        </w:rPr>
        <w:t>报价一经涂改，应在涂改处加盖单位公章或者由法定代表人签字或盖章，否则其投标作无效标处理。</w:t>
      </w:r>
    </w:p>
    <w:p>
      <w:pPr>
        <w:spacing w:line="300" w:lineRule="auto"/>
        <w:ind w:firstLine="420" w:firstLineChars="200"/>
        <w:rPr>
          <w:rFonts w:hint="eastAsia" w:ascii="宋体" w:hAnsi="宋体" w:cs="宋体"/>
          <w:color w:val="auto"/>
          <w:szCs w:val="21"/>
        </w:rPr>
      </w:pPr>
      <w:r>
        <w:rPr>
          <w:rFonts w:hint="eastAsia" w:ascii="宋体" w:hAnsi="宋体" w:cs="宋体"/>
          <w:color w:val="auto"/>
          <w:szCs w:val="21"/>
        </w:rPr>
        <w:t>2、所有价格均用人民币表示，单位为元，精确到个数位。</w:t>
      </w:r>
    </w:p>
    <w:p>
      <w:pPr>
        <w:spacing w:line="300" w:lineRule="auto"/>
        <w:ind w:firstLine="420" w:firstLineChars="200"/>
        <w:rPr>
          <w:rFonts w:hint="eastAsia" w:ascii="宋体" w:hAnsi="宋体" w:cs="宋体"/>
          <w:color w:val="auto"/>
          <w:szCs w:val="21"/>
        </w:rPr>
      </w:pPr>
      <w:r>
        <w:rPr>
          <w:rFonts w:hint="eastAsia" w:ascii="宋体" w:hAnsi="宋体" w:cs="宋体"/>
          <w:color w:val="auto"/>
          <w:szCs w:val="21"/>
        </w:rPr>
        <w:t>3、报价表必须由法定代表人（负责人）或被授权人签字并加盖供应商公章。</w:t>
      </w:r>
    </w:p>
    <w:p>
      <w:pPr>
        <w:spacing w:line="300" w:lineRule="auto"/>
        <w:rPr>
          <w:rFonts w:hint="eastAsia" w:ascii="宋体" w:hAnsi="宋体" w:cs="宋体"/>
          <w:color w:val="auto"/>
          <w:szCs w:val="21"/>
        </w:rPr>
      </w:pPr>
    </w:p>
    <w:p>
      <w:pPr>
        <w:pStyle w:val="18"/>
        <w:spacing w:line="300" w:lineRule="auto"/>
        <w:rPr>
          <w:rFonts w:hint="eastAsia" w:hAnsi="宋体" w:cs="宋体"/>
          <w:color w:val="auto"/>
          <w:szCs w:val="21"/>
          <w:u w:val="single"/>
        </w:rPr>
      </w:pPr>
      <w:r>
        <w:rPr>
          <w:rFonts w:hint="eastAsia" w:hAnsi="宋体" w:cs="宋体"/>
          <w:color w:val="auto"/>
          <w:szCs w:val="21"/>
        </w:rPr>
        <w:t>法定代表人或委托代理人（签字或盖章）:</w:t>
      </w:r>
      <w:r>
        <w:rPr>
          <w:rFonts w:hint="eastAsia" w:hAnsi="宋体" w:cs="宋体"/>
          <w:color w:val="auto"/>
          <w:szCs w:val="21"/>
          <w:u w:val="single"/>
        </w:rPr>
        <w:t xml:space="preserve">              </w:t>
      </w:r>
    </w:p>
    <w:p>
      <w:pPr>
        <w:pStyle w:val="18"/>
        <w:spacing w:line="300" w:lineRule="auto"/>
        <w:rPr>
          <w:rFonts w:hint="eastAsia" w:hAnsi="宋体" w:cs="宋体"/>
          <w:color w:val="auto"/>
          <w:szCs w:val="21"/>
          <w:u w:val="single"/>
        </w:rPr>
      </w:pPr>
      <w:r>
        <w:rPr>
          <w:rFonts w:hint="eastAsia" w:hAnsi="宋体" w:cs="宋体"/>
          <w:color w:val="auto"/>
          <w:szCs w:val="21"/>
        </w:rPr>
        <w:t>供应商（公章）：</w:t>
      </w:r>
      <w:r>
        <w:rPr>
          <w:rFonts w:hint="eastAsia" w:hAnsi="宋体" w:cs="宋体"/>
          <w:color w:val="auto"/>
          <w:szCs w:val="21"/>
          <w:u w:val="single"/>
        </w:rPr>
        <w:t xml:space="preserve">       </w:t>
      </w:r>
    </w:p>
    <w:p>
      <w:pPr>
        <w:pStyle w:val="18"/>
        <w:rPr>
          <w:rFonts w:hint="eastAsia" w:hAnsi="宋体" w:cs="宋体"/>
          <w:color w:val="auto"/>
          <w:szCs w:val="21"/>
        </w:rPr>
      </w:pPr>
      <w:r>
        <w:rPr>
          <w:rFonts w:hint="eastAsia" w:hAnsi="宋体" w:cs="宋体"/>
          <w:color w:val="auto"/>
          <w:szCs w:val="21"/>
        </w:rPr>
        <w:t>日期:</w:t>
      </w:r>
      <w:r>
        <w:rPr>
          <w:rFonts w:hint="eastAsia" w:hAnsi="宋体" w:cs="宋体"/>
          <w:color w:val="auto"/>
          <w:szCs w:val="21"/>
          <w:u w:val="single"/>
        </w:rPr>
        <w:t xml:space="preserve">     </w:t>
      </w:r>
      <w:r>
        <w:rPr>
          <w:rFonts w:hint="eastAsia" w:hAnsi="宋体" w:cs="宋体"/>
          <w:color w:val="auto"/>
          <w:szCs w:val="21"/>
        </w:rPr>
        <w:t>年</w:t>
      </w:r>
      <w:r>
        <w:rPr>
          <w:rFonts w:hint="eastAsia" w:hAnsi="宋体" w:cs="宋体"/>
          <w:color w:val="auto"/>
          <w:szCs w:val="21"/>
          <w:u w:val="single"/>
        </w:rPr>
        <w:t xml:space="preserve">     </w:t>
      </w:r>
      <w:r>
        <w:rPr>
          <w:rFonts w:hint="eastAsia" w:hAnsi="宋体" w:cs="宋体"/>
          <w:color w:val="auto"/>
          <w:szCs w:val="21"/>
        </w:rPr>
        <w:t>月</w:t>
      </w:r>
      <w:r>
        <w:rPr>
          <w:rFonts w:hint="eastAsia" w:hAnsi="宋体" w:cs="宋体"/>
          <w:color w:val="auto"/>
          <w:szCs w:val="21"/>
          <w:u w:val="single"/>
        </w:rPr>
        <w:t xml:space="preserve">    </w:t>
      </w:r>
      <w:r>
        <w:rPr>
          <w:rFonts w:hint="eastAsia" w:hAnsi="宋体" w:cs="宋体"/>
          <w:color w:val="auto"/>
          <w:szCs w:val="21"/>
        </w:rPr>
        <w:t>日</w:t>
      </w:r>
    </w:p>
    <w:p>
      <w:pPr>
        <w:spacing w:line="300" w:lineRule="auto"/>
        <w:rPr>
          <w:rFonts w:hint="eastAsia" w:ascii="宋体" w:hAnsi="宋体" w:cs="宋体"/>
          <w:color w:val="auto"/>
          <w:sz w:val="28"/>
          <w:szCs w:val="28"/>
        </w:rPr>
      </w:pPr>
    </w:p>
    <w:p>
      <w:pPr>
        <w:pStyle w:val="164"/>
        <w:rPr>
          <w:rFonts w:hint="eastAsia" w:ascii="宋体" w:hAnsi="宋体" w:cs="宋体"/>
          <w:color w:val="auto"/>
          <w:sz w:val="28"/>
          <w:szCs w:val="28"/>
        </w:rPr>
      </w:pPr>
    </w:p>
    <w:p>
      <w:pPr>
        <w:pStyle w:val="164"/>
        <w:rPr>
          <w:rFonts w:hint="eastAsia" w:ascii="宋体" w:hAnsi="宋体" w:cs="宋体"/>
          <w:color w:val="auto"/>
          <w:sz w:val="28"/>
          <w:szCs w:val="28"/>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spacing w:line="300" w:lineRule="auto"/>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16"/>
        <w:rPr>
          <w:rFonts w:hint="eastAsia" w:hAnsi="宋体" w:cs="宋体"/>
          <w:color w:val="auto"/>
        </w:rPr>
      </w:pPr>
    </w:p>
    <w:p>
      <w:pPr>
        <w:spacing w:line="520" w:lineRule="exact"/>
        <w:rPr>
          <w:rFonts w:hint="eastAsia" w:ascii="宋体" w:hAnsi="宋体" w:cs="宋体"/>
          <w:b/>
          <w:bCs/>
          <w:color w:val="auto"/>
          <w:sz w:val="28"/>
          <w:szCs w:val="28"/>
        </w:rPr>
      </w:pPr>
      <w:r>
        <w:rPr>
          <w:rFonts w:hint="eastAsia" w:ascii="宋体" w:hAnsi="宋体" w:cs="宋体"/>
          <w:b/>
          <w:bCs/>
          <w:color w:val="auto"/>
          <w:sz w:val="28"/>
          <w:szCs w:val="28"/>
        </w:rPr>
        <w:t>三、磋商供应商资格证明文件（根据磋商供应商须知第12条提供）</w:t>
      </w:r>
    </w:p>
    <w:p>
      <w:pPr>
        <w:autoSpaceDE w:val="0"/>
        <w:autoSpaceDN w:val="0"/>
        <w:spacing w:line="300" w:lineRule="auto"/>
        <w:jc w:val="left"/>
        <w:rPr>
          <w:rFonts w:hint="eastAsia" w:ascii="宋体" w:hAnsi="宋体" w:cs="宋体"/>
          <w:b/>
          <w:bCs/>
          <w:color w:val="auto"/>
          <w:sz w:val="28"/>
          <w:szCs w:val="28"/>
        </w:rPr>
      </w:pPr>
    </w:p>
    <w:p>
      <w:pPr>
        <w:autoSpaceDE w:val="0"/>
        <w:autoSpaceDN w:val="0"/>
        <w:spacing w:line="300" w:lineRule="auto"/>
        <w:jc w:val="left"/>
        <w:rPr>
          <w:rFonts w:hint="eastAsia" w:ascii="宋体" w:hAnsi="宋体" w:cs="宋体"/>
          <w:b/>
          <w:color w:val="auto"/>
          <w:sz w:val="24"/>
        </w:rPr>
      </w:pPr>
      <w:r>
        <w:rPr>
          <w:rFonts w:hint="eastAsia" w:ascii="宋体" w:hAnsi="宋体" w:cs="宋体"/>
          <w:b/>
          <w:bCs/>
          <w:color w:val="auto"/>
          <w:sz w:val="28"/>
          <w:szCs w:val="28"/>
        </w:rPr>
        <w:t>1.</w:t>
      </w:r>
      <w:r>
        <w:rPr>
          <w:rFonts w:hint="eastAsia" w:ascii="宋体" w:hAnsi="宋体" w:cs="宋体"/>
          <w:b/>
          <w:color w:val="auto"/>
          <w:sz w:val="24"/>
        </w:rPr>
        <w:t>法定代表人身份证明书原件及法定代表人身份证正反面复印件格式</w:t>
      </w:r>
    </w:p>
    <w:p>
      <w:pPr>
        <w:spacing w:line="480" w:lineRule="auto"/>
        <w:ind w:firstLine="482" w:firstLineChars="200"/>
        <w:rPr>
          <w:rFonts w:hint="eastAsia" w:ascii="宋体" w:hAnsi="宋体" w:cs="宋体"/>
          <w:b/>
          <w:color w:val="auto"/>
          <w:sz w:val="24"/>
        </w:rPr>
      </w:pPr>
    </w:p>
    <w:p>
      <w:pPr>
        <w:spacing w:line="300" w:lineRule="auto"/>
        <w:jc w:val="center"/>
        <w:rPr>
          <w:rFonts w:hint="eastAsia" w:ascii="宋体" w:hAnsi="宋体" w:cs="宋体"/>
          <w:b/>
          <w:bCs/>
          <w:color w:val="auto"/>
          <w:sz w:val="24"/>
        </w:rPr>
      </w:pPr>
      <w:r>
        <w:rPr>
          <w:rFonts w:hint="eastAsia" w:ascii="宋体" w:hAnsi="宋体" w:cs="宋体"/>
          <w:b/>
          <w:color w:val="auto"/>
          <w:sz w:val="24"/>
        </w:rPr>
        <w:t>法定代表人身份证明书：</w:t>
      </w:r>
    </w:p>
    <w:p>
      <w:pPr>
        <w:spacing w:line="360" w:lineRule="auto"/>
        <w:ind w:firstLine="153" w:firstLineChars="64"/>
        <w:rPr>
          <w:rFonts w:hint="eastAsia" w:ascii="宋体" w:hAnsi="宋体" w:cs="宋体"/>
          <w:color w:val="auto"/>
          <w:sz w:val="24"/>
        </w:rPr>
      </w:pPr>
    </w:p>
    <w:p>
      <w:pPr>
        <w:spacing w:line="360" w:lineRule="auto"/>
        <w:ind w:firstLine="134" w:firstLineChars="64"/>
        <w:rPr>
          <w:rFonts w:hint="eastAsia" w:ascii="宋体" w:hAnsi="宋体" w:cs="宋体"/>
          <w:color w:val="auto"/>
          <w:szCs w:val="21"/>
        </w:rPr>
      </w:pPr>
      <w:r>
        <w:rPr>
          <w:rFonts w:hint="eastAsia" w:ascii="宋体" w:hAnsi="宋体" w:cs="宋体"/>
          <w:color w:val="auto"/>
          <w:szCs w:val="21"/>
        </w:rPr>
        <w:t>单位名称：</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firstLine="134" w:firstLineChars="64"/>
        <w:rPr>
          <w:rFonts w:hint="eastAsia" w:ascii="宋体" w:hAnsi="宋体" w:cs="宋体"/>
          <w:color w:val="auto"/>
          <w:szCs w:val="21"/>
        </w:rPr>
      </w:pPr>
    </w:p>
    <w:p>
      <w:pPr>
        <w:spacing w:line="360" w:lineRule="auto"/>
        <w:ind w:firstLine="134" w:firstLineChars="64"/>
        <w:rPr>
          <w:rFonts w:hint="eastAsia" w:ascii="宋体" w:hAnsi="宋体" w:cs="宋体"/>
          <w:color w:val="auto"/>
          <w:szCs w:val="21"/>
          <w:u w:val="single"/>
        </w:rPr>
      </w:pPr>
      <w:r>
        <w:rPr>
          <w:rFonts w:hint="eastAsia" w:ascii="宋体" w:hAnsi="宋体" w:cs="宋体"/>
          <w:color w:val="auto"/>
          <w:szCs w:val="21"/>
        </w:rPr>
        <w:t>地址：</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firstLine="134" w:firstLineChars="64"/>
        <w:rPr>
          <w:rFonts w:hint="eastAsia" w:ascii="宋体" w:hAnsi="宋体" w:cs="宋体"/>
          <w:color w:val="auto"/>
          <w:szCs w:val="21"/>
        </w:rPr>
      </w:pPr>
    </w:p>
    <w:p>
      <w:pPr>
        <w:spacing w:line="360" w:lineRule="auto"/>
        <w:ind w:firstLine="134" w:firstLineChars="64"/>
        <w:rPr>
          <w:rFonts w:hint="eastAsia"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 xml:space="preserve"> 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firstLine="134" w:firstLineChars="64"/>
        <w:rPr>
          <w:rFonts w:hint="eastAsia" w:ascii="宋体" w:hAnsi="宋体" w:cs="宋体"/>
          <w:color w:val="auto"/>
          <w:szCs w:val="21"/>
        </w:rPr>
      </w:pPr>
    </w:p>
    <w:p>
      <w:pPr>
        <w:spacing w:line="360" w:lineRule="auto"/>
        <w:ind w:firstLine="134" w:firstLineChars="64"/>
        <w:rPr>
          <w:rFonts w:hint="eastAsia" w:ascii="宋体" w:hAnsi="宋体" w:cs="宋体"/>
          <w:color w:val="auto"/>
          <w:szCs w:val="21"/>
          <w:u w:val="single"/>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firstLine="134" w:firstLineChars="64"/>
        <w:rPr>
          <w:rFonts w:hint="eastAsia" w:ascii="宋体" w:hAnsi="宋体" w:cs="宋体"/>
          <w:color w:val="auto"/>
          <w:szCs w:val="21"/>
        </w:rPr>
      </w:pPr>
    </w:p>
    <w:p>
      <w:pPr>
        <w:spacing w:line="360" w:lineRule="auto"/>
        <w:ind w:firstLine="134" w:firstLineChars="64"/>
        <w:rPr>
          <w:rFonts w:hint="eastAsia"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（磋商供应商名称）</w:t>
      </w:r>
      <w:r>
        <w:rPr>
          <w:rFonts w:hint="eastAsia" w:ascii="宋体" w:hAnsi="宋体" w:cs="宋体"/>
          <w:color w:val="auto"/>
          <w:szCs w:val="21"/>
        </w:rPr>
        <w:t>的法定代表人。</w:t>
      </w:r>
    </w:p>
    <w:p>
      <w:pPr>
        <w:spacing w:line="360" w:lineRule="auto"/>
        <w:ind w:firstLine="134" w:firstLineChars="64"/>
        <w:rPr>
          <w:rFonts w:hint="eastAsia" w:ascii="宋体" w:hAnsi="宋体" w:cs="宋体"/>
          <w:color w:val="auto"/>
          <w:szCs w:val="21"/>
        </w:rPr>
      </w:pPr>
    </w:p>
    <w:p>
      <w:pPr>
        <w:spacing w:line="360" w:lineRule="auto"/>
        <w:ind w:firstLine="134" w:firstLineChars="64"/>
        <w:rPr>
          <w:rFonts w:hint="eastAsia" w:ascii="宋体" w:hAnsi="宋体" w:cs="宋体"/>
          <w:color w:val="auto"/>
          <w:szCs w:val="21"/>
        </w:rPr>
      </w:pPr>
      <w:r>
        <w:rPr>
          <w:rFonts w:hint="eastAsia" w:ascii="宋体" w:hAnsi="宋体" w:cs="宋体"/>
          <w:color w:val="auto"/>
          <w:szCs w:val="21"/>
        </w:rPr>
        <w:t>特此证明。</w:t>
      </w:r>
    </w:p>
    <w:p>
      <w:pPr>
        <w:tabs>
          <w:tab w:val="left" w:pos="720"/>
          <w:tab w:val="left" w:pos="900"/>
        </w:tabs>
        <w:spacing w:line="360" w:lineRule="auto"/>
        <w:rPr>
          <w:rFonts w:hint="eastAsia" w:ascii="宋体" w:hAnsi="宋体" w:cs="宋体"/>
          <w:color w:val="auto"/>
          <w:szCs w:val="21"/>
        </w:rPr>
      </w:pPr>
    </w:p>
    <w:p>
      <w:pPr>
        <w:tabs>
          <w:tab w:val="left" w:pos="720"/>
          <w:tab w:val="left" w:pos="900"/>
        </w:tabs>
        <w:spacing w:line="360" w:lineRule="auto"/>
        <w:ind w:firstLine="4410" w:firstLineChars="2100"/>
        <w:rPr>
          <w:rFonts w:hint="eastAsia" w:ascii="宋体" w:hAnsi="宋体" w:cs="宋体"/>
          <w:color w:val="auto"/>
          <w:szCs w:val="21"/>
        </w:rPr>
      </w:pPr>
    </w:p>
    <w:p>
      <w:pPr>
        <w:tabs>
          <w:tab w:val="left" w:pos="720"/>
          <w:tab w:val="left" w:pos="900"/>
        </w:tabs>
        <w:spacing w:line="360" w:lineRule="auto"/>
        <w:ind w:firstLine="4410" w:firstLineChars="2100"/>
        <w:rPr>
          <w:rFonts w:hint="eastAsia" w:ascii="宋体" w:hAnsi="宋体" w:cs="宋体"/>
          <w:color w:val="auto"/>
          <w:szCs w:val="21"/>
        </w:rPr>
      </w:pPr>
      <w:r>
        <w:rPr>
          <w:rFonts w:hint="eastAsia" w:ascii="宋体" w:hAnsi="宋体" w:cs="宋体"/>
          <w:color w:val="auto"/>
          <w:szCs w:val="21"/>
        </w:rPr>
        <w:t>磋商供应商名称：</w:t>
      </w:r>
      <w:r>
        <w:rPr>
          <w:rFonts w:hint="eastAsia" w:ascii="宋体" w:hAnsi="宋体" w:cs="宋体"/>
          <w:color w:val="auto"/>
          <w:szCs w:val="21"/>
          <w:u w:val="single"/>
        </w:rPr>
        <w:t>（盖单位公章）</w:t>
      </w:r>
    </w:p>
    <w:p>
      <w:pPr>
        <w:ind w:firstLine="4410" w:firstLineChars="2100"/>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rPr>
          <w:rFonts w:hint="eastAsia" w:ascii="宋体" w:hAnsi="宋体" w:cs="宋体"/>
          <w:b/>
          <w:color w:val="auto"/>
          <w:sz w:val="24"/>
        </w:rPr>
      </w:pPr>
    </w:p>
    <w:p>
      <w:pPr>
        <w:spacing w:line="360" w:lineRule="auto"/>
        <w:rPr>
          <w:rFonts w:hint="eastAsia" w:ascii="宋体" w:hAnsi="宋体" w:cs="宋体"/>
          <w:b/>
          <w:color w:val="auto"/>
          <w:sz w:val="24"/>
        </w:rPr>
      </w:pPr>
    </w:p>
    <w:p>
      <w:pPr>
        <w:pStyle w:val="16"/>
        <w:rPr>
          <w:rFonts w:hint="eastAsia" w:hAnsi="宋体" w:cs="宋体"/>
          <w:b/>
          <w:color w:val="auto"/>
          <w:sz w:val="24"/>
        </w:rPr>
      </w:pPr>
    </w:p>
    <w:p>
      <w:pPr>
        <w:spacing w:line="360" w:lineRule="auto"/>
        <w:rPr>
          <w:rFonts w:hint="eastAsia" w:ascii="宋体" w:hAnsi="宋体" w:cs="宋体"/>
          <w:b/>
          <w:color w:val="auto"/>
          <w:sz w:val="24"/>
        </w:rPr>
      </w:pPr>
      <w:r>
        <w:rPr>
          <w:rFonts w:hint="eastAsia" w:ascii="宋体" w:hAnsi="宋体" w:cs="宋体"/>
          <w:b/>
          <w:color w:val="auto"/>
          <w:sz w:val="24"/>
        </w:rPr>
        <w:t>法定代表人完整有效的身份证正反面复印件：</w:t>
      </w:r>
    </w:p>
    <w:p>
      <w:pPr>
        <w:snapToGrid w:val="0"/>
        <w:spacing w:before="50" w:afterLines="50" w:line="440" w:lineRule="exact"/>
        <w:jc w:val="left"/>
        <w:rPr>
          <w:rFonts w:hint="eastAsia" w:ascii="宋体" w:hAnsi="宋体" w:cs="宋体"/>
          <w:b/>
          <w:color w:val="auto"/>
          <w:sz w:val="24"/>
        </w:rPr>
      </w:pPr>
    </w:p>
    <w:p>
      <w:pPr>
        <w:pStyle w:val="2"/>
        <w:rPr>
          <w:rFonts w:hint="eastAsia" w:hAnsi="宋体" w:eastAsia="宋体" w:cs="宋体"/>
          <w:color w:val="auto"/>
        </w:rPr>
      </w:pPr>
    </w:p>
    <w:p>
      <w:pPr>
        <w:rPr>
          <w:rFonts w:hint="eastAsia" w:ascii="宋体" w:hAnsi="宋体" w:cs="宋体"/>
          <w:color w:val="auto"/>
        </w:rPr>
      </w:pPr>
    </w:p>
    <w:p>
      <w:pPr>
        <w:pStyle w:val="164"/>
        <w:rPr>
          <w:rFonts w:hint="eastAsia" w:ascii="宋体" w:hAnsi="宋体" w:cs="宋体"/>
          <w:color w:val="auto"/>
        </w:rPr>
      </w:pPr>
    </w:p>
    <w:p>
      <w:pPr>
        <w:pStyle w:val="164"/>
        <w:rPr>
          <w:rFonts w:hint="eastAsia" w:ascii="宋体" w:hAnsi="宋体" w:cs="宋体"/>
          <w:color w:val="auto"/>
        </w:rPr>
      </w:pPr>
    </w:p>
    <w:p>
      <w:pPr>
        <w:snapToGrid w:val="0"/>
        <w:spacing w:before="50" w:afterLines="50" w:line="440" w:lineRule="exact"/>
        <w:jc w:val="left"/>
        <w:rPr>
          <w:rFonts w:hint="eastAsia" w:ascii="宋体" w:hAnsi="宋体" w:cs="宋体"/>
          <w:b/>
          <w:color w:val="auto"/>
          <w:sz w:val="24"/>
        </w:rPr>
      </w:pPr>
      <w:r>
        <w:rPr>
          <w:rFonts w:hint="eastAsia" w:ascii="宋体" w:hAnsi="宋体" w:cs="宋体"/>
          <w:b/>
          <w:color w:val="auto"/>
          <w:sz w:val="24"/>
        </w:rPr>
        <w:t>2.法定代表人授权委托书原件及委托代理人身份证正反面复印件（如委托）格式：</w:t>
      </w:r>
    </w:p>
    <w:p>
      <w:pPr>
        <w:snapToGrid w:val="0"/>
        <w:spacing w:beforeLines="50" w:after="50" w:line="440" w:lineRule="exact"/>
        <w:jc w:val="center"/>
        <w:rPr>
          <w:rFonts w:hint="eastAsia" w:ascii="宋体" w:hAnsi="宋体" w:cs="宋体"/>
          <w:b/>
          <w:color w:val="auto"/>
          <w:sz w:val="24"/>
        </w:rPr>
      </w:pPr>
    </w:p>
    <w:p>
      <w:pPr>
        <w:snapToGrid w:val="0"/>
        <w:spacing w:beforeLines="50" w:after="50" w:line="440" w:lineRule="exact"/>
        <w:jc w:val="center"/>
        <w:rPr>
          <w:rFonts w:hint="eastAsia" w:ascii="宋体" w:hAnsi="宋体" w:cs="宋体"/>
          <w:b/>
          <w:color w:val="auto"/>
          <w:sz w:val="24"/>
        </w:rPr>
      </w:pPr>
      <w:r>
        <w:rPr>
          <w:rFonts w:hint="eastAsia" w:ascii="宋体" w:hAnsi="宋体" w:cs="宋体"/>
          <w:b/>
          <w:color w:val="auto"/>
          <w:sz w:val="24"/>
        </w:rPr>
        <w:t>法定代表人授权委托书（如委托）</w:t>
      </w:r>
    </w:p>
    <w:p>
      <w:pPr>
        <w:snapToGrid w:val="0"/>
        <w:spacing w:beforeLines="50" w:after="50" w:line="440" w:lineRule="exact"/>
        <w:rPr>
          <w:rFonts w:hint="eastAsia" w:ascii="宋体" w:hAnsi="宋体" w:cs="宋体"/>
          <w:bCs/>
          <w:color w:val="auto"/>
          <w:sz w:val="24"/>
        </w:rPr>
      </w:pPr>
    </w:p>
    <w:p>
      <w:pPr>
        <w:snapToGrid w:val="0"/>
        <w:spacing w:beforeLines="50" w:after="50" w:line="440" w:lineRule="exact"/>
        <w:rPr>
          <w:rFonts w:hint="eastAsia" w:ascii="宋体" w:hAnsi="宋体" w:cs="宋体"/>
          <w:b/>
          <w:bCs/>
          <w:color w:val="auto"/>
          <w:szCs w:val="21"/>
        </w:rPr>
      </w:pPr>
      <w:r>
        <w:rPr>
          <w:rFonts w:hint="eastAsia" w:ascii="宋体" w:hAnsi="宋体" w:cs="宋体"/>
          <w:bCs/>
          <w:color w:val="auto"/>
          <w:szCs w:val="21"/>
        </w:rPr>
        <w:t>致：</w:t>
      </w:r>
      <w:r>
        <w:rPr>
          <w:rFonts w:hint="eastAsia" w:ascii="宋体" w:hAnsi="宋体" w:cs="宋体"/>
          <w:bCs/>
          <w:color w:val="auto"/>
          <w:szCs w:val="21"/>
          <w:u w:val="single"/>
        </w:rPr>
        <w:t>欧邦工程管理集团有限公司</w:t>
      </w:r>
      <w:r>
        <w:rPr>
          <w:rFonts w:hint="eastAsia" w:ascii="宋体" w:hAnsi="宋体" w:cs="宋体"/>
          <w:b/>
          <w:bCs/>
          <w:color w:val="auto"/>
          <w:szCs w:val="21"/>
        </w:rPr>
        <w:t xml:space="preserve"> </w:t>
      </w:r>
      <w:r>
        <w:rPr>
          <w:rFonts w:hint="eastAsia" w:ascii="宋体" w:hAnsi="宋体" w:cs="宋体"/>
          <w:color w:val="auto"/>
          <w:szCs w:val="21"/>
        </w:rPr>
        <w:t>：</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 xml:space="preserve">（磋商供应商名称）的法定代表人，现授权委托本单位在职职工 </w:t>
      </w:r>
      <w:r>
        <w:rPr>
          <w:rFonts w:hint="eastAsia" w:ascii="宋体" w:hAnsi="宋体" w:cs="宋体"/>
          <w:color w:val="auto"/>
          <w:szCs w:val="21"/>
          <w:u w:val="single"/>
        </w:rPr>
        <w:t xml:space="preserve">           </w:t>
      </w:r>
      <w:r>
        <w:rPr>
          <w:rFonts w:hint="eastAsia" w:ascii="宋体" w:hAnsi="宋体" w:cs="宋体"/>
          <w:color w:val="auto"/>
          <w:szCs w:val="21"/>
        </w:rPr>
        <w:t>（姓名）以我方的名义参加</w:t>
      </w:r>
      <w:r>
        <w:rPr>
          <w:rFonts w:hint="eastAsia" w:ascii="宋体" w:hAnsi="宋体" w:cs="宋体"/>
          <w:color w:val="auto"/>
          <w:szCs w:val="21"/>
          <w:u w:val="single"/>
        </w:rPr>
        <w:t xml:space="preserve">     （项目名称/编号） </w:t>
      </w:r>
      <w:r>
        <w:rPr>
          <w:rFonts w:hint="eastAsia" w:ascii="宋体" w:hAnsi="宋体" w:cs="宋体"/>
          <w:color w:val="auto"/>
          <w:szCs w:val="21"/>
        </w:rPr>
        <w:t>的投标活动，并代表我方全权办理针对上述项目的投标、开标、评标、签约等具体事务和签署相关文件。</w:t>
      </w:r>
    </w:p>
    <w:p>
      <w:pPr>
        <w:snapToGrid w:val="0"/>
        <w:spacing w:beforeLines="50" w:after="50" w:line="440" w:lineRule="exact"/>
        <w:rPr>
          <w:rFonts w:hint="eastAsia" w:ascii="宋体" w:hAnsi="宋体" w:cs="宋体"/>
          <w:color w:val="auto"/>
          <w:szCs w:val="21"/>
        </w:rPr>
      </w:pPr>
      <w:r>
        <w:rPr>
          <w:rFonts w:hint="eastAsia" w:ascii="宋体" w:hAnsi="宋体" w:cs="宋体"/>
          <w:color w:val="auto"/>
          <w:szCs w:val="21"/>
        </w:rPr>
        <w:t xml:space="preserve">    我方对委托代理人的签名事项负全部责任。</w:t>
      </w:r>
    </w:p>
    <w:p>
      <w:pPr>
        <w:snapToGrid w:val="0"/>
        <w:spacing w:beforeLines="50" w:after="50" w:line="440" w:lineRule="exact"/>
        <w:ind w:firstLine="480"/>
        <w:rPr>
          <w:rFonts w:hint="eastAsia" w:ascii="宋体" w:hAns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委托代理人在授权书有效期内签署的所有文件不因授权的撤销而失效。</w:t>
      </w:r>
    </w:p>
    <w:p>
      <w:pPr>
        <w:snapToGrid w:val="0"/>
        <w:spacing w:beforeLines="50" w:after="50" w:line="440" w:lineRule="exact"/>
        <w:ind w:firstLine="480"/>
        <w:rPr>
          <w:rFonts w:hint="eastAsia" w:ascii="宋体" w:hAnsi="宋体" w:cs="宋体"/>
          <w:color w:val="auto"/>
          <w:szCs w:val="21"/>
        </w:rPr>
      </w:pPr>
      <w:r>
        <w:rPr>
          <w:rFonts w:hint="eastAsia" w:ascii="宋体" w:hAnsi="宋体" w:cs="宋体"/>
          <w:color w:val="auto"/>
          <w:szCs w:val="21"/>
        </w:rPr>
        <w:t>委托代理人无转委托权，特此委托。</w:t>
      </w:r>
    </w:p>
    <w:p>
      <w:pPr>
        <w:snapToGrid w:val="0"/>
        <w:spacing w:beforeLines="50" w:after="50" w:line="440" w:lineRule="exact"/>
        <w:rPr>
          <w:rFonts w:hint="eastAsia" w:ascii="宋体" w:hAnsi="宋体" w:cs="宋体"/>
          <w:color w:val="auto"/>
          <w:szCs w:val="21"/>
          <w:u w:val="single"/>
        </w:rPr>
      </w:pPr>
      <w:r>
        <w:rPr>
          <w:rFonts w:hint="eastAsia" w:ascii="宋体" w:hAnsi="宋体" w:cs="宋体"/>
          <w:color w:val="auto"/>
          <w:szCs w:val="21"/>
        </w:rPr>
        <w:t>委托代理人签名：</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法定代表人签名：</w:t>
      </w:r>
      <w:r>
        <w:rPr>
          <w:rFonts w:hint="eastAsia" w:ascii="宋体" w:hAnsi="宋体" w:cs="宋体"/>
          <w:color w:val="auto"/>
          <w:szCs w:val="21"/>
          <w:u w:val="single"/>
        </w:rPr>
        <w:t xml:space="preserve">          </w:t>
      </w:r>
    </w:p>
    <w:p>
      <w:pPr>
        <w:snapToGrid w:val="0"/>
        <w:spacing w:beforeLines="50" w:after="50" w:line="440" w:lineRule="exact"/>
        <w:rPr>
          <w:rFonts w:hint="eastAsia" w:ascii="宋体" w:hAnsi="宋体" w:cs="宋体"/>
          <w:color w:val="auto"/>
          <w:szCs w:val="21"/>
        </w:rPr>
      </w:pPr>
      <w:r>
        <w:rPr>
          <w:rFonts w:hint="eastAsia" w:ascii="宋体" w:hAnsi="宋体" w:cs="宋体"/>
          <w:color w:val="auto"/>
          <w:szCs w:val="21"/>
        </w:rPr>
        <w:t>所在部门职务：</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napToGrid w:val="0"/>
        <w:spacing w:beforeLines="50" w:after="50" w:line="440" w:lineRule="exact"/>
        <w:rPr>
          <w:rFonts w:hint="eastAsia" w:ascii="宋体" w:hAnsi="宋体" w:cs="宋体"/>
          <w:color w:val="auto"/>
          <w:szCs w:val="21"/>
        </w:rPr>
      </w:pPr>
      <w:r>
        <w:rPr>
          <w:rFonts w:hint="eastAsia" w:ascii="宋体" w:hAnsi="宋体" w:cs="宋体"/>
          <w:color w:val="auto"/>
          <w:szCs w:val="21"/>
        </w:rPr>
        <w:t>委托代理人身份证号码：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beforeLines="50" w:after="50" w:line="440" w:lineRule="exact"/>
        <w:rPr>
          <w:rFonts w:hint="eastAsia" w:ascii="宋体" w:hAnsi="宋体" w:cs="宋体"/>
          <w:color w:val="auto"/>
          <w:szCs w:val="21"/>
        </w:rPr>
      </w:pPr>
      <w:r>
        <w:rPr>
          <w:rFonts w:hint="eastAsia" w:ascii="宋体" w:hAnsi="宋体" w:cs="宋体"/>
          <w:color w:val="auto"/>
          <w:szCs w:val="21"/>
        </w:rPr>
        <w:t xml:space="preserve">                                   </w:t>
      </w:r>
    </w:p>
    <w:p>
      <w:pPr>
        <w:tabs>
          <w:tab w:val="left" w:pos="720"/>
          <w:tab w:val="left" w:pos="900"/>
        </w:tabs>
        <w:spacing w:line="360" w:lineRule="auto"/>
        <w:ind w:firstLine="4410" w:firstLineChars="2100"/>
        <w:rPr>
          <w:rFonts w:hint="eastAsia" w:ascii="宋体" w:hAnsi="宋体" w:cs="宋体"/>
          <w:color w:val="auto"/>
          <w:szCs w:val="21"/>
        </w:rPr>
      </w:pPr>
      <w:r>
        <w:rPr>
          <w:rFonts w:hint="eastAsia" w:ascii="宋体" w:hAnsi="宋体" w:cs="宋体"/>
          <w:color w:val="auto"/>
          <w:szCs w:val="21"/>
        </w:rPr>
        <w:t xml:space="preserve">  磋商供应商名称：</w:t>
      </w:r>
      <w:r>
        <w:rPr>
          <w:rFonts w:hint="eastAsia" w:ascii="宋体" w:hAnsi="宋体" w:cs="宋体"/>
          <w:color w:val="auto"/>
          <w:szCs w:val="21"/>
          <w:u w:val="single"/>
        </w:rPr>
        <w:t>（盖单位公章）</w:t>
      </w:r>
    </w:p>
    <w:p>
      <w:pPr>
        <w:ind w:firstLine="5250" w:firstLineChars="2500"/>
        <w:rPr>
          <w:rFonts w:hint="eastAsia"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beforeLines="50" w:after="50" w:line="440" w:lineRule="exact"/>
        <w:jc w:val="center"/>
        <w:rPr>
          <w:rFonts w:hint="eastAsia" w:ascii="宋体" w:hAnsi="宋体" w:cs="宋体"/>
          <w:color w:val="auto"/>
          <w:sz w:val="24"/>
        </w:rPr>
      </w:pPr>
    </w:p>
    <w:p>
      <w:pPr>
        <w:pStyle w:val="16"/>
        <w:rPr>
          <w:rFonts w:hint="eastAsia" w:hAnsi="宋体" w:cs="宋体"/>
          <w:color w:val="auto"/>
          <w:sz w:val="24"/>
        </w:rPr>
      </w:pPr>
    </w:p>
    <w:p>
      <w:pPr>
        <w:snapToGrid w:val="0"/>
        <w:spacing w:beforeLines="50" w:after="50" w:line="440" w:lineRule="exact"/>
        <w:jc w:val="center"/>
        <w:rPr>
          <w:rFonts w:hint="eastAsia" w:ascii="宋体" w:hAnsi="宋体" w:cs="宋体"/>
          <w:color w:val="auto"/>
          <w:sz w:val="24"/>
        </w:rPr>
      </w:pPr>
    </w:p>
    <w:p>
      <w:pPr>
        <w:spacing w:line="360" w:lineRule="auto"/>
        <w:rPr>
          <w:rFonts w:hint="eastAsia" w:ascii="宋体" w:hAnsi="宋体" w:cs="宋体"/>
          <w:b/>
          <w:color w:val="auto"/>
          <w:sz w:val="24"/>
        </w:rPr>
      </w:pPr>
      <w:r>
        <w:rPr>
          <w:rFonts w:hint="eastAsia" w:ascii="宋体" w:hAnsi="宋体" w:cs="宋体"/>
          <w:b/>
          <w:color w:val="auto"/>
          <w:sz w:val="24"/>
        </w:rPr>
        <w:t>委托代理人身份证正反面复印件：</w:t>
      </w:r>
    </w:p>
    <w:p>
      <w:pPr>
        <w:snapToGrid w:val="0"/>
        <w:spacing w:beforeLines="50" w:after="50" w:line="440" w:lineRule="exact"/>
        <w:jc w:val="center"/>
        <w:rPr>
          <w:rFonts w:hint="eastAsia" w:ascii="宋体" w:hAnsi="宋体" w:cs="宋体"/>
          <w:color w:val="auto"/>
          <w:sz w:val="24"/>
        </w:rPr>
      </w:pPr>
    </w:p>
    <w:p>
      <w:pPr>
        <w:pStyle w:val="164"/>
        <w:rPr>
          <w:rFonts w:hint="eastAsia" w:ascii="宋体" w:hAnsi="宋体" w:cs="宋体"/>
          <w:color w:val="auto"/>
        </w:rPr>
      </w:pPr>
    </w:p>
    <w:p>
      <w:pPr>
        <w:pStyle w:val="164"/>
        <w:rPr>
          <w:rFonts w:hint="eastAsia" w:ascii="宋体" w:hAnsi="宋体" w:cs="宋体"/>
          <w:color w:val="auto"/>
        </w:rPr>
      </w:pPr>
    </w:p>
    <w:p>
      <w:pPr>
        <w:pStyle w:val="164"/>
        <w:rPr>
          <w:rFonts w:hint="eastAsia" w:ascii="宋体" w:hAnsi="宋体" w:cs="宋体"/>
          <w:color w:val="auto"/>
        </w:rPr>
      </w:pPr>
    </w:p>
    <w:p>
      <w:pPr>
        <w:pStyle w:val="164"/>
        <w:rPr>
          <w:rFonts w:hint="eastAsia" w:ascii="宋体" w:hAnsi="宋体" w:cs="宋体"/>
          <w:color w:val="auto"/>
        </w:rPr>
      </w:pPr>
    </w:p>
    <w:p>
      <w:pPr>
        <w:shd w:val="clear" w:color="auto" w:fill="FFFFFF"/>
        <w:spacing w:line="360" w:lineRule="atLeast"/>
        <w:jc w:val="left"/>
        <w:rPr>
          <w:rFonts w:hint="eastAsia" w:ascii="宋体" w:hAnsi="宋体" w:cs="宋体"/>
          <w:b/>
          <w:bCs/>
          <w:color w:val="auto"/>
          <w:sz w:val="28"/>
          <w:szCs w:val="28"/>
        </w:rPr>
      </w:pPr>
    </w:p>
    <w:p>
      <w:pPr>
        <w:shd w:val="clear" w:color="auto" w:fill="FFFFFF"/>
        <w:spacing w:line="360" w:lineRule="atLeast"/>
        <w:jc w:val="left"/>
        <w:rPr>
          <w:rFonts w:hint="eastAsia" w:ascii="宋体" w:hAnsi="宋体" w:cs="宋体"/>
          <w:b/>
          <w:bCs/>
          <w:color w:val="auto"/>
          <w:kern w:val="0"/>
          <w:sz w:val="28"/>
          <w:szCs w:val="28"/>
        </w:rPr>
      </w:pPr>
      <w:r>
        <w:rPr>
          <w:rFonts w:hint="eastAsia" w:ascii="宋体" w:hAnsi="宋体" w:cs="宋体"/>
          <w:b/>
          <w:bCs/>
          <w:color w:val="auto"/>
          <w:sz w:val="28"/>
          <w:szCs w:val="28"/>
        </w:rPr>
        <w:t>四、实施方案（格式自拟）</w:t>
      </w:r>
    </w:p>
    <w:p>
      <w:pPr>
        <w:spacing w:line="520" w:lineRule="exact"/>
        <w:jc w:val="left"/>
        <w:rPr>
          <w:rFonts w:hint="eastAsia" w:ascii="宋体" w:hAnsi="宋体" w:cs="宋体"/>
          <w:b/>
          <w:bCs/>
          <w:color w:val="auto"/>
          <w:sz w:val="28"/>
          <w:szCs w:val="28"/>
        </w:rPr>
      </w:pPr>
    </w:p>
    <w:p>
      <w:pPr>
        <w:spacing w:line="520" w:lineRule="exact"/>
        <w:jc w:val="left"/>
        <w:rPr>
          <w:rFonts w:hint="eastAsia" w:ascii="宋体" w:hAnsi="宋体" w:cs="宋体"/>
          <w:b/>
          <w:bCs/>
          <w:color w:val="auto"/>
          <w:sz w:val="28"/>
          <w:szCs w:val="28"/>
        </w:rPr>
      </w:pPr>
    </w:p>
    <w:p>
      <w:pPr>
        <w:spacing w:line="520" w:lineRule="exact"/>
        <w:jc w:val="left"/>
        <w:rPr>
          <w:rFonts w:hint="eastAsia" w:ascii="宋体" w:hAnsi="宋体" w:cs="宋体"/>
          <w:b/>
          <w:bCs/>
          <w:color w:val="auto"/>
          <w:sz w:val="28"/>
          <w:szCs w:val="28"/>
        </w:rPr>
      </w:pPr>
      <w:r>
        <w:rPr>
          <w:rFonts w:hint="eastAsia" w:ascii="宋体" w:hAnsi="宋体" w:cs="宋体"/>
          <w:b/>
          <w:bCs/>
          <w:color w:val="auto"/>
          <w:sz w:val="28"/>
          <w:szCs w:val="28"/>
        </w:rPr>
        <w:t>五、服务承诺（格式自拟）</w:t>
      </w:r>
    </w:p>
    <w:p>
      <w:pPr>
        <w:shd w:val="clear" w:color="auto" w:fill="FFFFFF"/>
        <w:spacing w:after="240" w:line="360" w:lineRule="atLeast"/>
        <w:rPr>
          <w:rFonts w:hint="eastAsia" w:ascii="宋体" w:hAnsi="宋体" w:cs="宋体"/>
          <w:b/>
          <w:bCs/>
          <w:color w:val="auto"/>
          <w:kern w:val="0"/>
          <w:sz w:val="28"/>
          <w:szCs w:val="28"/>
        </w:rPr>
      </w:pPr>
      <w:bookmarkStart w:id="31" w:name="_Toc9545_WPSOffice_Level1"/>
    </w:p>
    <w:p>
      <w:pPr>
        <w:pStyle w:val="20"/>
        <w:rPr>
          <w:rFonts w:hint="eastAsia"/>
          <w:color w:val="auto"/>
        </w:rPr>
      </w:pPr>
    </w:p>
    <w:p>
      <w:pPr>
        <w:shd w:val="clear" w:color="auto" w:fill="FFFFFF"/>
        <w:spacing w:after="240" w:line="360" w:lineRule="atLeast"/>
        <w:rPr>
          <w:rFonts w:hint="eastAsia" w:ascii="宋体" w:hAnsi="宋体" w:cs="宋体"/>
          <w:b/>
          <w:bCs/>
          <w:color w:val="auto"/>
          <w:kern w:val="0"/>
          <w:sz w:val="28"/>
          <w:szCs w:val="28"/>
        </w:rPr>
      </w:pPr>
      <w:r>
        <w:rPr>
          <w:rFonts w:hint="eastAsia" w:ascii="宋体" w:hAnsi="宋体" w:cs="宋体"/>
          <w:b/>
          <w:bCs/>
          <w:color w:val="auto"/>
          <w:kern w:val="0"/>
          <w:sz w:val="28"/>
          <w:szCs w:val="28"/>
        </w:rPr>
        <w:t>六、拟投入本项目人员及设备</w:t>
      </w:r>
      <w:r>
        <w:rPr>
          <w:rFonts w:hint="eastAsia" w:ascii="宋体" w:hAnsi="宋体" w:cs="宋体"/>
          <w:b/>
          <w:bCs/>
          <w:color w:val="auto"/>
          <w:sz w:val="28"/>
          <w:szCs w:val="28"/>
        </w:rPr>
        <w:t>（格式自拟）</w:t>
      </w:r>
    </w:p>
    <w:p>
      <w:pPr>
        <w:shd w:val="clear" w:color="auto" w:fill="FFFFFF"/>
        <w:spacing w:after="240" w:line="360" w:lineRule="atLeast"/>
        <w:rPr>
          <w:rFonts w:hint="eastAsia" w:ascii="宋体" w:hAnsi="宋体" w:cs="宋体"/>
          <w:b/>
          <w:bCs/>
          <w:color w:val="auto"/>
          <w:kern w:val="0"/>
          <w:sz w:val="28"/>
          <w:szCs w:val="28"/>
        </w:rPr>
      </w:pPr>
    </w:p>
    <w:p>
      <w:pPr>
        <w:shd w:val="clear" w:color="auto" w:fill="FFFFFF"/>
        <w:spacing w:after="240" w:line="360" w:lineRule="atLeast"/>
        <w:rPr>
          <w:rFonts w:hint="eastAsia" w:ascii="宋体" w:hAnsi="宋体" w:cs="宋体"/>
          <w:b/>
          <w:bCs/>
          <w:color w:val="auto"/>
          <w:kern w:val="0"/>
          <w:sz w:val="28"/>
          <w:szCs w:val="28"/>
        </w:rPr>
      </w:pPr>
      <w:r>
        <w:rPr>
          <w:rFonts w:hint="eastAsia" w:ascii="宋体" w:hAnsi="宋体" w:cs="宋体"/>
          <w:b/>
          <w:bCs/>
          <w:color w:val="auto"/>
          <w:kern w:val="0"/>
          <w:sz w:val="28"/>
          <w:szCs w:val="28"/>
        </w:rPr>
        <w:t>七、类似业绩一览表</w:t>
      </w:r>
      <w:r>
        <w:rPr>
          <w:rFonts w:hint="eastAsia" w:ascii="宋体" w:hAnsi="宋体" w:cs="宋体"/>
          <w:b/>
          <w:bCs/>
          <w:color w:val="auto"/>
          <w:sz w:val="28"/>
          <w:szCs w:val="28"/>
        </w:rPr>
        <w:t>（格式自拟）</w:t>
      </w:r>
    </w:p>
    <w:p>
      <w:pPr>
        <w:shd w:val="clear" w:color="auto" w:fill="FFFFFF"/>
        <w:spacing w:after="240" w:line="360" w:lineRule="atLeast"/>
        <w:rPr>
          <w:rFonts w:hint="eastAsia" w:ascii="宋体" w:hAnsi="宋体" w:cs="宋体"/>
          <w:b/>
          <w:bCs/>
          <w:color w:val="auto"/>
          <w:kern w:val="0"/>
          <w:sz w:val="28"/>
          <w:szCs w:val="28"/>
        </w:rPr>
      </w:pPr>
    </w:p>
    <w:p>
      <w:pPr>
        <w:shd w:val="clear" w:color="auto" w:fill="FFFFFF"/>
        <w:spacing w:after="240" w:line="360" w:lineRule="atLeast"/>
        <w:rPr>
          <w:rFonts w:hint="eastAsia" w:ascii="宋体" w:hAnsi="宋体" w:cs="宋体"/>
          <w:b/>
          <w:bCs/>
          <w:color w:val="auto"/>
          <w:kern w:val="0"/>
          <w:sz w:val="28"/>
          <w:szCs w:val="28"/>
        </w:rPr>
      </w:pPr>
      <w:r>
        <w:rPr>
          <w:rFonts w:hint="eastAsia" w:ascii="宋体" w:hAnsi="宋体" w:cs="宋体"/>
          <w:b/>
          <w:bCs/>
          <w:color w:val="auto"/>
          <w:kern w:val="0"/>
          <w:sz w:val="28"/>
          <w:szCs w:val="28"/>
        </w:rPr>
        <w:t>八、获奖荣誉一览表</w:t>
      </w:r>
      <w:r>
        <w:rPr>
          <w:rFonts w:hint="eastAsia" w:ascii="宋体" w:hAnsi="宋体" w:cs="宋体"/>
          <w:b/>
          <w:bCs/>
          <w:color w:val="auto"/>
          <w:sz w:val="28"/>
          <w:szCs w:val="28"/>
        </w:rPr>
        <w:t>（格式自拟）</w:t>
      </w:r>
    </w:p>
    <w:p>
      <w:pPr>
        <w:shd w:val="clear" w:color="auto" w:fill="FFFFFF"/>
        <w:spacing w:after="240" w:line="360" w:lineRule="atLeast"/>
        <w:rPr>
          <w:rFonts w:hint="eastAsia" w:ascii="宋体" w:hAnsi="宋体" w:cs="宋体"/>
          <w:b/>
          <w:bCs/>
          <w:color w:val="auto"/>
          <w:kern w:val="0"/>
          <w:sz w:val="28"/>
          <w:szCs w:val="28"/>
        </w:rPr>
      </w:pPr>
    </w:p>
    <w:p>
      <w:pPr>
        <w:shd w:val="clear" w:color="auto" w:fill="FFFFFF"/>
        <w:spacing w:after="240" w:line="360" w:lineRule="atLeast"/>
        <w:rPr>
          <w:rFonts w:hint="eastAsia" w:ascii="宋体" w:hAnsi="宋体" w:cs="宋体"/>
          <w:b/>
          <w:bCs/>
          <w:color w:val="auto"/>
          <w:kern w:val="0"/>
          <w:sz w:val="28"/>
          <w:szCs w:val="28"/>
        </w:rPr>
      </w:pPr>
      <w:r>
        <w:rPr>
          <w:rFonts w:hint="eastAsia" w:ascii="宋体" w:hAnsi="宋体" w:cs="宋体"/>
          <w:b/>
          <w:bCs/>
          <w:color w:val="auto"/>
          <w:kern w:val="0"/>
          <w:sz w:val="28"/>
          <w:szCs w:val="28"/>
        </w:rPr>
        <w:t>九、磋商供应商认为需要提供的有关资料</w:t>
      </w:r>
      <w:r>
        <w:rPr>
          <w:rFonts w:hint="eastAsia" w:ascii="宋体" w:hAnsi="宋体" w:cs="宋体"/>
          <w:b/>
          <w:bCs/>
          <w:color w:val="auto"/>
          <w:sz w:val="28"/>
          <w:szCs w:val="28"/>
        </w:rPr>
        <w:t>（格式自拟）</w:t>
      </w:r>
    </w:p>
    <w:p>
      <w:pPr>
        <w:shd w:val="clear" w:color="auto" w:fill="FFFFFF"/>
        <w:spacing w:after="240" w:line="360" w:lineRule="atLeast"/>
        <w:rPr>
          <w:rFonts w:hint="eastAsia" w:ascii="宋体" w:hAnsi="宋体" w:cs="宋体"/>
          <w:color w:val="auto"/>
          <w:kern w:val="0"/>
          <w:sz w:val="28"/>
          <w:szCs w:val="28"/>
        </w:rPr>
      </w:pPr>
    </w:p>
    <w:p>
      <w:pPr>
        <w:shd w:val="clear" w:color="auto" w:fill="FFFFFF"/>
        <w:spacing w:after="240" w:line="360" w:lineRule="atLeast"/>
        <w:rPr>
          <w:rFonts w:hint="eastAsia" w:ascii="宋体" w:hAnsi="宋体" w:cs="宋体"/>
          <w:color w:val="auto"/>
          <w:kern w:val="0"/>
          <w:sz w:val="28"/>
          <w:szCs w:val="28"/>
        </w:rPr>
      </w:pPr>
    </w:p>
    <w:p>
      <w:pPr>
        <w:shd w:val="clear" w:color="auto" w:fill="FFFFFF"/>
        <w:spacing w:after="240" w:line="360" w:lineRule="atLeast"/>
        <w:rPr>
          <w:rFonts w:hint="eastAsia" w:ascii="宋体" w:hAnsi="宋体" w:cs="宋体"/>
          <w:color w:val="auto"/>
          <w:kern w:val="0"/>
          <w:sz w:val="28"/>
          <w:szCs w:val="28"/>
        </w:rPr>
      </w:pPr>
    </w:p>
    <w:p>
      <w:pPr>
        <w:pStyle w:val="164"/>
        <w:rPr>
          <w:rFonts w:hint="eastAsia" w:ascii="宋体" w:hAnsi="宋体" w:cs="宋体"/>
          <w:color w:val="auto"/>
          <w:sz w:val="28"/>
          <w:szCs w:val="28"/>
        </w:rPr>
      </w:pPr>
    </w:p>
    <w:p>
      <w:pPr>
        <w:pStyle w:val="164"/>
        <w:rPr>
          <w:rFonts w:hint="eastAsia" w:ascii="宋体" w:hAnsi="宋体" w:cs="宋体"/>
          <w:color w:val="auto"/>
          <w:sz w:val="28"/>
          <w:szCs w:val="28"/>
        </w:rPr>
      </w:pPr>
    </w:p>
    <w:p>
      <w:pPr>
        <w:pStyle w:val="164"/>
        <w:rPr>
          <w:rFonts w:hint="eastAsia" w:ascii="宋体" w:hAnsi="宋体" w:cs="宋体"/>
          <w:color w:val="auto"/>
          <w:sz w:val="28"/>
          <w:szCs w:val="28"/>
        </w:rPr>
      </w:pPr>
    </w:p>
    <w:p>
      <w:pPr>
        <w:pStyle w:val="164"/>
        <w:rPr>
          <w:rFonts w:hint="eastAsia" w:ascii="宋体" w:hAnsi="宋体" w:cs="宋体"/>
          <w:color w:val="auto"/>
          <w:sz w:val="28"/>
          <w:szCs w:val="28"/>
        </w:rPr>
      </w:pPr>
    </w:p>
    <w:p>
      <w:pPr>
        <w:shd w:val="clear" w:color="auto" w:fill="FFFFFF"/>
        <w:spacing w:after="240" w:line="360" w:lineRule="atLeast"/>
        <w:ind w:firstLine="480"/>
        <w:jc w:val="center"/>
        <w:rPr>
          <w:rFonts w:hint="eastAsia" w:ascii="宋体" w:hAnsi="宋体" w:cs="宋体"/>
          <w:color w:val="auto"/>
          <w:kern w:val="0"/>
          <w:sz w:val="24"/>
        </w:rPr>
      </w:pPr>
      <w:r>
        <w:rPr>
          <w:rFonts w:hint="eastAsia" w:ascii="宋体" w:hAnsi="宋体" w:cs="宋体"/>
          <w:color w:val="auto"/>
          <w:kern w:val="0"/>
          <w:sz w:val="24"/>
        </w:rPr>
        <w:t>中小企业声明函（格式）</w:t>
      </w:r>
      <w:bookmarkEnd w:id="31"/>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本公司郑重声明，根据《政府采购促进中小企业发展暂行办法》（财库[2011]181号）的规定，本公司为</w:t>
      </w:r>
      <w:r>
        <w:rPr>
          <w:rFonts w:hint="eastAsia" w:ascii="宋体" w:hAnsi="宋体" w:cs="宋体"/>
          <w:color w:val="auto"/>
          <w:kern w:val="0"/>
          <w:szCs w:val="21"/>
          <w:u w:val="single"/>
        </w:rPr>
        <w:t xml:space="preserve">        </w:t>
      </w:r>
      <w:r>
        <w:rPr>
          <w:rFonts w:hint="eastAsia" w:ascii="宋体" w:hAnsi="宋体" w:cs="宋体"/>
          <w:color w:val="auto"/>
          <w:kern w:val="0"/>
          <w:szCs w:val="21"/>
        </w:rPr>
        <w:t>（请填写：中型、小型、微型）企业。即，本公司同时满足以下条件：</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kern w:val="0"/>
          <w:szCs w:val="21"/>
          <w:u w:val="single"/>
        </w:rPr>
        <w:t xml:space="preserve">        </w:t>
      </w:r>
      <w:r>
        <w:rPr>
          <w:rFonts w:hint="eastAsia" w:ascii="宋体" w:hAnsi="宋体" w:cs="宋体"/>
          <w:color w:val="auto"/>
          <w:kern w:val="0"/>
          <w:szCs w:val="21"/>
        </w:rPr>
        <w:t>（请填写：中型、小型、微型）企业。</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w:t>
      </w:r>
    </w:p>
    <w:p>
      <w:pPr>
        <w:widowControl/>
        <w:shd w:val="clear" w:color="auto" w:fill="FFFFFF"/>
        <w:spacing w:line="400" w:lineRule="atLeast"/>
        <w:ind w:firstLine="5304" w:firstLineChars="2526"/>
        <w:jc w:val="left"/>
        <w:rPr>
          <w:rFonts w:hint="eastAsia" w:ascii="宋体" w:hAnsi="宋体" w:cs="宋体"/>
          <w:color w:val="auto"/>
          <w:kern w:val="0"/>
          <w:szCs w:val="21"/>
        </w:rPr>
      </w:pPr>
      <w:r>
        <w:rPr>
          <w:rFonts w:hint="eastAsia" w:ascii="宋体" w:hAnsi="宋体" w:cs="宋体"/>
          <w:color w:val="auto"/>
          <w:kern w:val="0"/>
          <w:szCs w:val="21"/>
        </w:rPr>
        <w:t>企业名称（盖章）：</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日期：</w:t>
      </w:r>
    </w:p>
    <w:p>
      <w:pPr>
        <w:widowControl/>
        <w:shd w:val="clear" w:color="auto" w:fill="FFFFFF"/>
        <w:spacing w:line="400" w:lineRule="atLeast"/>
        <w:jc w:val="left"/>
        <w:rPr>
          <w:rFonts w:hint="eastAsia" w:ascii="宋体" w:hAnsi="宋体" w:cs="宋体"/>
          <w:color w:val="auto"/>
          <w:kern w:val="0"/>
          <w:szCs w:val="21"/>
        </w:rPr>
      </w:pPr>
    </w:p>
    <w:p>
      <w:pPr>
        <w:widowControl/>
        <w:shd w:val="clear" w:color="auto" w:fill="FFFFFF"/>
        <w:spacing w:line="400" w:lineRule="atLeast"/>
        <w:jc w:val="left"/>
        <w:rPr>
          <w:rFonts w:hint="eastAsia" w:ascii="宋体" w:hAnsi="宋体" w:cs="宋体"/>
          <w:color w:val="auto"/>
          <w:kern w:val="0"/>
          <w:szCs w:val="21"/>
        </w:rPr>
      </w:pPr>
    </w:p>
    <w:p>
      <w:pPr>
        <w:widowControl/>
        <w:shd w:val="clear" w:color="auto" w:fill="FFFFFF"/>
        <w:spacing w:line="400" w:lineRule="atLeast"/>
        <w:jc w:val="left"/>
        <w:rPr>
          <w:rFonts w:hint="eastAsia" w:ascii="宋体" w:hAnsi="宋体" w:cs="宋体"/>
          <w:color w:val="auto"/>
          <w:kern w:val="0"/>
          <w:szCs w:val="21"/>
        </w:rPr>
      </w:pPr>
    </w:p>
    <w:p>
      <w:pPr>
        <w:spacing w:line="460" w:lineRule="exact"/>
        <w:rPr>
          <w:rFonts w:hint="eastAsia" w:ascii="宋体" w:hAnsi="宋体" w:cs="宋体"/>
          <w:color w:val="auto"/>
          <w:kern w:val="0"/>
          <w:sz w:val="24"/>
        </w:rPr>
      </w:pPr>
      <w:r>
        <w:rPr>
          <w:rFonts w:hint="eastAsia" w:ascii="宋体" w:hAnsi="宋体" w:cs="宋体"/>
          <w:color w:val="auto"/>
          <w:szCs w:val="21"/>
        </w:rPr>
        <w:t>注：请根据自己的真实情况出具《中小企业声明函》，依法享受中小企业优惠政策的。</w:t>
      </w:r>
      <w:r>
        <w:rPr>
          <w:rFonts w:hint="eastAsia" w:ascii="宋体" w:hAnsi="宋体" w:cs="宋体"/>
          <w:color w:val="auto"/>
          <w:sz w:val="24"/>
        </w:rPr>
        <w:br w:type="page"/>
      </w:r>
      <w:bookmarkStart w:id="32" w:name="_Toc2371_WPSOffice_Level1"/>
    </w:p>
    <w:p>
      <w:pPr>
        <w:widowControl/>
        <w:shd w:val="clear" w:color="auto" w:fill="FFFFFF"/>
        <w:spacing w:after="240" w:line="360" w:lineRule="atLeast"/>
        <w:jc w:val="center"/>
        <w:rPr>
          <w:rFonts w:hint="eastAsia" w:ascii="宋体" w:hAnsi="宋体" w:cs="宋体"/>
          <w:color w:val="auto"/>
          <w:kern w:val="0"/>
          <w:sz w:val="24"/>
        </w:rPr>
      </w:pPr>
      <w:r>
        <w:rPr>
          <w:rFonts w:hint="eastAsia" w:ascii="宋体" w:hAnsi="宋体" w:cs="宋体"/>
          <w:color w:val="auto"/>
          <w:kern w:val="0"/>
          <w:sz w:val="24"/>
        </w:rPr>
        <w:t>残疾人福利性单位声明函（格式）</w:t>
      </w:r>
      <w:bookmarkEnd w:id="32"/>
    </w:p>
    <w:p>
      <w:pPr>
        <w:widowControl/>
        <w:shd w:val="clear" w:color="auto" w:fill="FFFFFF"/>
        <w:spacing w:after="240" w:line="520" w:lineRule="atLeas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widowControl/>
        <w:shd w:val="clear" w:color="auto" w:fill="FFFFFF"/>
        <w:spacing w:after="240" w:line="520" w:lineRule="atLeast"/>
        <w:jc w:val="left"/>
        <w:rPr>
          <w:rFonts w:hint="eastAsia" w:ascii="宋体" w:hAns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hd w:val="clear" w:color="auto" w:fill="FFFFFF"/>
        <w:spacing w:after="240" w:line="520" w:lineRule="atLeast"/>
        <w:jc w:val="left"/>
        <w:rPr>
          <w:rFonts w:hint="eastAsia" w:ascii="宋体" w:hAnsi="宋体" w:cs="宋体"/>
          <w:color w:val="auto"/>
          <w:kern w:val="0"/>
          <w:szCs w:val="21"/>
        </w:rPr>
      </w:pPr>
    </w:p>
    <w:p>
      <w:pPr>
        <w:widowControl/>
        <w:shd w:val="clear" w:color="auto" w:fill="FFFFFF"/>
        <w:spacing w:line="400" w:lineRule="atLeast"/>
        <w:ind w:firstLine="2100" w:firstLineChars="1000"/>
        <w:jc w:val="left"/>
        <w:rPr>
          <w:rFonts w:hint="eastAsia" w:ascii="宋体" w:hAnsi="宋体" w:cs="宋体"/>
          <w:color w:val="auto"/>
          <w:kern w:val="0"/>
          <w:szCs w:val="21"/>
        </w:rPr>
      </w:pPr>
      <w:r>
        <w:rPr>
          <w:rFonts w:hint="eastAsia" w:ascii="宋体" w:hAnsi="宋体" w:cs="宋体"/>
          <w:color w:val="auto"/>
          <w:kern w:val="0"/>
          <w:szCs w:val="21"/>
        </w:rPr>
        <w:t xml:space="preserve">                                 企业名称（盖章）：</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日期：</w:t>
      </w:r>
    </w:p>
    <w:p>
      <w:pPr>
        <w:widowControl/>
        <w:shd w:val="clear" w:color="auto" w:fill="FFFFFF"/>
        <w:spacing w:after="240" w:line="520" w:lineRule="atLeast"/>
        <w:jc w:val="left"/>
        <w:rPr>
          <w:rFonts w:hint="eastAsia" w:ascii="宋体" w:hAnsi="宋体" w:cs="宋体"/>
          <w:color w:val="auto"/>
          <w:kern w:val="0"/>
          <w:szCs w:val="21"/>
        </w:rPr>
      </w:pPr>
    </w:p>
    <w:p>
      <w:pPr>
        <w:rPr>
          <w:rFonts w:hint="eastAsia" w:ascii="宋体" w:hAnsi="宋体" w:cs="宋体"/>
          <w:color w:val="auto"/>
          <w:szCs w:val="21"/>
        </w:rPr>
      </w:pPr>
      <w:r>
        <w:rPr>
          <w:rFonts w:hint="eastAsia" w:ascii="宋体" w:hAnsi="宋体" w:cs="宋体"/>
          <w:color w:val="auto"/>
          <w:szCs w:val="21"/>
        </w:rPr>
        <w:t>注：请根据自己的真实情况出具《残疾人福利性单位声明函》，依法享受中小企业优惠政。</w:t>
      </w:r>
    </w:p>
    <w:p>
      <w:pPr>
        <w:spacing w:line="460" w:lineRule="exact"/>
        <w:rPr>
          <w:rFonts w:hint="eastAsia" w:ascii="宋体" w:hAnsi="宋体" w:cs="宋体"/>
          <w:color w:val="auto"/>
          <w:sz w:val="28"/>
          <w:szCs w:val="28"/>
        </w:rPr>
      </w:pPr>
    </w:p>
    <w:p>
      <w:pPr>
        <w:spacing w:line="460" w:lineRule="exact"/>
        <w:rPr>
          <w:rFonts w:hint="eastAsia" w:ascii="宋体" w:hAnsi="宋体" w:cs="宋体"/>
          <w:color w:val="auto"/>
          <w:sz w:val="28"/>
          <w:szCs w:val="28"/>
        </w:rPr>
      </w:pPr>
    </w:p>
    <w:p>
      <w:pPr>
        <w:spacing w:line="460" w:lineRule="exact"/>
        <w:rPr>
          <w:rFonts w:hint="eastAsia" w:ascii="宋体" w:hAnsi="宋体" w:cs="宋体"/>
          <w:color w:val="auto"/>
          <w:sz w:val="28"/>
          <w:szCs w:val="28"/>
        </w:rPr>
      </w:pPr>
    </w:p>
    <w:p>
      <w:pPr>
        <w:spacing w:line="460" w:lineRule="exact"/>
        <w:rPr>
          <w:rFonts w:hint="eastAsia" w:ascii="宋体" w:hAnsi="宋体" w:cs="宋体"/>
          <w:color w:val="auto"/>
          <w:sz w:val="28"/>
          <w:szCs w:val="28"/>
        </w:rPr>
      </w:pPr>
    </w:p>
    <w:p>
      <w:pPr>
        <w:spacing w:line="460" w:lineRule="exact"/>
        <w:rPr>
          <w:rFonts w:hint="eastAsia" w:ascii="宋体"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pStyle w:val="16"/>
        <w:rPr>
          <w:rFonts w:hint="eastAsia" w:hAnsi="宋体" w:cs="宋体"/>
          <w:color w:val="auto"/>
          <w:sz w:val="28"/>
          <w:szCs w:val="28"/>
        </w:rPr>
      </w:pPr>
    </w:p>
    <w:p>
      <w:pPr>
        <w:spacing w:line="460" w:lineRule="exact"/>
        <w:rPr>
          <w:rFonts w:hint="eastAsia" w:ascii="宋体" w:hAnsi="宋体" w:cs="宋体"/>
          <w:color w:val="auto"/>
          <w:sz w:val="28"/>
          <w:szCs w:val="28"/>
        </w:rPr>
      </w:pPr>
    </w:p>
    <w:p>
      <w:pPr>
        <w:numPr>
          <w:ilvl w:val="0"/>
          <w:numId w:val="8"/>
        </w:numPr>
        <w:spacing w:line="500" w:lineRule="exact"/>
        <w:jc w:val="center"/>
        <w:outlineLvl w:val="0"/>
        <w:rPr>
          <w:rFonts w:hint="eastAsia" w:ascii="宋体" w:hAnsi="宋体" w:cs="宋体"/>
          <w:b/>
          <w:color w:val="auto"/>
          <w:sz w:val="32"/>
          <w:szCs w:val="32"/>
        </w:rPr>
      </w:pPr>
      <w:bookmarkStart w:id="33" w:name="_Toc17613"/>
      <w:r>
        <w:rPr>
          <w:rFonts w:hint="eastAsia" w:ascii="宋体" w:hAnsi="宋体" w:cs="宋体"/>
          <w:b/>
          <w:color w:val="auto"/>
          <w:sz w:val="32"/>
          <w:szCs w:val="32"/>
        </w:rPr>
        <w:t>政府采购合同（格式）</w:t>
      </w:r>
      <w:bookmarkEnd w:id="33"/>
    </w:p>
    <w:p>
      <w:pPr>
        <w:rPr>
          <w:rFonts w:hint="eastAsia" w:ascii="宋体" w:hAnsi="宋体" w:cs="宋体"/>
          <w:color w:val="auto"/>
          <w:szCs w:val="21"/>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b/>
          <w:bCs/>
          <w:color w:val="auto"/>
          <w:sz w:val="32"/>
          <w:szCs w:val="32"/>
        </w:rPr>
      </w:pPr>
      <w:r>
        <w:rPr>
          <w:rFonts w:hint="eastAsia" w:hAnsi="宋体" w:cs="宋体"/>
          <w:b/>
          <w:bCs/>
          <w:color w:val="auto"/>
          <w:sz w:val="32"/>
          <w:szCs w:val="32"/>
        </w:rPr>
        <w:t>防城港市政府采购合同</w:t>
      </w: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360" w:lineRule="auto"/>
        <w:jc w:val="center"/>
        <w:rPr>
          <w:rFonts w:hint="eastAsia" w:hAnsi="宋体" w:cs="宋体"/>
          <w:color w:val="auto"/>
          <w:sz w:val="32"/>
          <w:szCs w:val="32"/>
        </w:rPr>
      </w:pPr>
    </w:p>
    <w:p>
      <w:pPr>
        <w:pStyle w:val="18"/>
        <w:spacing w:line="600" w:lineRule="auto"/>
        <w:rPr>
          <w:rFonts w:hint="eastAsia" w:hAnsi="宋体" w:cs="宋体"/>
          <w:b/>
          <w:bCs/>
          <w:color w:val="auto"/>
          <w:sz w:val="32"/>
          <w:szCs w:val="32"/>
          <w:u w:val="single"/>
        </w:rPr>
      </w:pPr>
      <w:r>
        <w:rPr>
          <w:rFonts w:hint="eastAsia" w:hAnsi="宋体" w:cs="宋体"/>
          <w:b/>
          <w:bCs/>
          <w:color w:val="auto"/>
          <w:sz w:val="32"/>
          <w:szCs w:val="32"/>
        </w:rPr>
        <w:t xml:space="preserve">     合同名称：</w:t>
      </w:r>
      <w:r>
        <w:rPr>
          <w:rFonts w:hint="eastAsia" w:hAnsi="宋体" w:cs="宋体"/>
          <w:b/>
          <w:bCs/>
          <w:color w:val="auto"/>
          <w:sz w:val="32"/>
          <w:szCs w:val="32"/>
          <w:u w:val="single"/>
        </w:rPr>
        <w:t xml:space="preserve">                      </w:t>
      </w:r>
    </w:p>
    <w:p>
      <w:pPr>
        <w:pStyle w:val="18"/>
        <w:spacing w:line="600" w:lineRule="auto"/>
        <w:rPr>
          <w:rFonts w:hint="eastAsia" w:hAnsi="宋体" w:cs="宋体"/>
          <w:b/>
          <w:bCs/>
          <w:color w:val="auto"/>
          <w:sz w:val="32"/>
          <w:szCs w:val="32"/>
        </w:rPr>
      </w:pPr>
      <w:r>
        <w:rPr>
          <w:rFonts w:hint="eastAsia" w:hAnsi="宋体" w:cs="宋体"/>
          <w:b/>
          <w:bCs/>
          <w:color w:val="auto"/>
          <w:sz w:val="32"/>
          <w:szCs w:val="32"/>
        </w:rPr>
        <w:t xml:space="preserve">     合同编号：</w:t>
      </w:r>
      <w:r>
        <w:rPr>
          <w:rFonts w:hint="eastAsia" w:hAnsi="宋体" w:cs="宋体"/>
          <w:b/>
          <w:color w:val="auto"/>
          <w:sz w:val="32"/>
          <w:szCs w:val="32"/>
          <w:u w:val="single"/>
        </w:rPr>
        <w:t xml:space="preserve">                 </w:t>
      </w:r>
    </w:p>
    <w:p>
      <w:pPr>
        <w:pStyle w:val="18"/>
        <w:spacing w:line="600" w:lineRule="auto"/>
        <w:rPr>
          <w:rFonts w:hint="eastAsia" w:hAnsi="宋体" w:cs="宋体"/>
          <w:b/>
          <w:bCs/>
          <w:color w:val="auto"/>
          <w:sz w:val="32"/>
          <w:szCs w:val="32"/>
        </w:rPr>
      </w:pPr>
      <w:r>
        <w:rPr>
          <w:rFonts w:hint="eastAsia" w:hAnsi="宋体" w:cs="宋体"/>
          <w:b/>
          <w:bCs/>
          <w:color w:val="auto"/>
          <w:sz w:val="32"/>
          <w:szCs w:val="32"/>
        </w:rPr>
        <w:t xml:space="preserve">     采购单位（甲方）：</w:t>
      </w:r>
      <w:r>
        <w:rPr>
          <w:rFonts w:hint="eastAsia" w:hAnsi="宋体" w:cs="宋体"/>
          <w:b/>
          <w:bCs/>
          <w:color w:val="auto"/>
          <w:sz w:val="32"/>
          <w:szCs w:val="32"/>
          <w:u w:val="single"/>
        </w:rPr>
        <w:t xml:space="preserve">   </w:t>
      </w:r>
      <w:r>
        <w:rPr>
          <w:rFonts w:hint="eastAsia" w:hAnsi="宋体" w:cs="宋体"/>
          <w:b/>
          <w:color w:val="auto"/>
          <w:sz w:val="32"/>
          <w:szCs w:val="32"/>
          <w:u w:val="single"/>
        </w:rPr>
        <w:t xml:space="preserve">                 </w:t>
      </w:r>
    </w:p>
    <w:p>
      <w:pPr>
        <w:pStyle w:val="18"/>
        <w:spacing w:line="600" w:lineRule="auto"/>
        <w:rPr>
          <w:rFonts w:hint="eastAsia" w:hAnsi="宋体" w:cs="宋体"/>
          <w:b/>
          <w:bCs/>
          <w:color w:val="auto"/>
          <w:sz w:val="32"/>
          <w:szCs w:val="32"/>
          <w:u w:val="single"/>
        </w:rPr>
      </w:pPr>
      <w:r>
        <w:rPr>
          <w:rFonts w:hint="eastAsia" w:hAnsi="宋体" w:cs="宋体"/>
          <w:b/>
          <w:bCs/>
          <w:color w:val="auto"/>
          <w:sz w:val="32"/>
          <w:szCs w:val="32"/>
        </w:rPr>
        <w:t xml:space="preserve">     供 应 商（乙方）：</w:t>
      </w:r>
      <w:r>
        <w:rPr>
          <w:rFonts w:hint="eastAsia" w:hAnsi="宋体" w:cs="宋体"/>
          <w:b/>
          <w:bCs/>
          <w:color w:val="auto"/>
          <w:sz w:val="32"/>
          <w:szCs w:val="32"/>
          <w:u w:val="single"/>
        </w:rPr>
        <w:t xml:space="preserve">                    </w:t>
      </w:r>
    </w:p>
    <w:p>
      <w:pPr>
        <w:pStyle w:val="18"/>
        <w:spacing w:line="600" w:lineRule="auto"/>
        <w:rPr>
          <w:rFonts w:hint="eastAsia" w:hAnsi="宋体" w:cs="宋体"/>
          <w:b/>
          <w:bCs/>
          <w:color w:val="auto"/>
          <w:sz w:val="32"/>
          <w:szCs w:val="32"/>
          <w:u w:val="single"/>
        </w:rPr>
      </w:pPr>
    </w:p>
    <w:p>
      <w:pPr>
        <w:pStyle w:val="18"/>
        <w:spacing w:line="600" w:lineRule="auto"/>
        <w:rPr>
          <w:rFonts w:hint="eastAsia" w:hAnsi="宋体" w:cs="宋体"/>
          <w:b/>
          <w:bCs/>
          <w:color w:val="auto"/>
          <w:sz w:val="32"/>
          <w:szCs w:val="32"/>
          <w:u w:val="single"/>
        </w:rPr>
      </w:pPr>
    </w:p>
    <w:p>
      <w:pPr>
        <w:pStyle w:val="18"/>
        <w:spacing w:line="600" w:lineRule="auto"/>
        <w:rPr>
          <w:rFonts w:hint="eastAsia" w:hAnsi="宋体" w:cs="宋体"/>
          <w:b/>
          <w:bCs/>
          <w:color w:val="auto"/>
          <w:sz w:val="32"/>
          <w:szCs w:val="32"/>
          <w:u w:val="single"/>
        </w:rPr>
      </w:pPr>
    </w:p>
    <w:p>
      <w:pPr>
        <w:pStyle w:val="18"/>
        <w:spacing w:line="600" w:lineRule="auto"/>
        <w:rPr>
          <w:rFonts w:hint="eastAsia" w:hAnsi="宋体" w:cs="宋体"/>
          <w:b/>
          <w:bCs/>
          <w:color w:val="auto"/>
          <w:sz w:val="32"/>
          <w:szCs w:val="32"/>
        </w:rPr>
        <w:sectPr>
          <w:pgSz w:w="11906" w:h="16838"/>
          <w:pgMar w:top="1247" w:right="1247" w:bottom="1247" w:left="1247" w:header="851" w:footer="992" w:gutter="0"/>
          <w:cols w:space="720" w:num="1"/>
          <w:docGrid w:type="lines" w:linePitch="312" w:charSpace="0"/>
        </w:sectPr>
      </w:pPr>
    </w:p>
    <w:p>
      <w:pPr>
        <w:pStyle w:val="3"/>
        <w:jc w:val="center"/>
        <w:rPr>
          <w:rFonts w:hint="eastAsia" w:ascii="宋体" w:hAnsi="宋体" w:cs="宋体"/>
          <w:color w:val="auto"/>
          <w:sz w:val="32"/>
          <w:szCs w:val="32"/>
        </w:rPr>
      </w:pPr>
      <w:bookmarkStart w:id="34" w:name="_Toc22221"/>
      <w:bookmarkStart w:id="35" w:name="_Toc12243"/>
      <w:bookmarkStart w:id="36" w:name="_Toc1984"/>
      <w:r>
        <w:rPr>
          <w:rFonts w:hint="eastAsia" w:ascii="宋体" w:hAnsi="宋体" w:cs="宋体"/>
          <w:color w:val="auto"/>
          <w:sz w:val="32"/>
          <w:szCs w:val="32"/>
        </w:rPr>
        <w:t>合同主要条款</w:t>
      </w:r>
      <w:bookmarkEnd w:id="34"/>
      <w:bookmarkEnd w:id="35"/>
      <w:bookmarkEnd w:id="36"/>
    </w:p>
    <w:p>
      <w:pPr>
        <w:snapToGrid w:val="0"/>
        <w:spacing w:line="360" w:lineRule="auto"/>
        <w:ind w:right="480"/>
        <w:jc w:val="center"/>
        <w:rPr>
          <w:rFonts w:hint="eastAsia" w:ascii="宋体" w:hAnsi="宋体" w:cs="宋体"/>
          <w:b/>
          <w:color w:val="auto"/>
          <w:szCs w:val="21"/>
          <w:u w:val="single"/>
        </w:rPr>
      </w:pPr>
      <w:r>
        <w:rPr>
          <w:rFonts w:hint="eastAsia" w:ascii="宋体" w:hAnsi="宋体" w:cs="宋体"/>
          <w:bCs/>
          <w:color w:val="auto"/>
          <w:sz w:val="32"/>
          <w:szCs w:val="32"/>
        </w:rPr>
        <w:t xml:space="preserve">             </w:t>
      </w:r>
    </w:p>
    <w:p>
      <w:pPr>
        <w:snapToGrid w:val="0"/>
        <w:spacing w:line="360" w:lineRule="atLeast"/>
        <w:rPr>
          <w:rFonts w:hint="eastAsia" w:ascii="宋体" w:hAnsi="宋体" w:cs="宋体"/>
          <w:color w:val="auto"/>
          <w:szCs w:val="21"/>
        </w:rPr>
      </w:pP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采购单位（甲方）</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供应商（乙方）</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rPr>
      </w:pPr>
      <w:r>
        <w:rPr>
          <w:rFonts w:hint="eastAsia" w:ascii="宋体" w:hAnsi="宋体" w:cs="宋体"/>
          <w:color w:val="auto"/>
          <w:szCs w:val="21"/>
        </w:rPr>
        <w:t xml:space="preserve">签订地点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签订时间</w:t>
      </w:r>
      <w:r>
        <w:rPr>
          <w:rFonts w:hint="eastAsia" w:ascii="宋体" w:hAnsi="宋体" w:cs="宋体"/>
          <w:color w:val="auto"/>
          <w:szCs w:val="21"/>
          <w:u w:val="single"/>
        </w:rPr>
        <w:t xml:space="preserve">             </w:t>
      </w:r>
    </w:p>
    <w:p>
      <w:pPr>
        <w:snapToGrid w:val="0"/>
        <w:spacing w:line="360" w:lineRule="atLeast"/>
        <w:ind w:firstLine="420" w:firstLineChars="200"/>
        <w:rPr>
          <w:rFonts w:hint="eastAsia" w:ascii="宋体" w:hAnsi="宋体" w:cs="宋体"/>
          <w:color w:val="auto"/>
          <w:szCs w:val="21"/>
        </w:rPr>
      </w:pP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根据《中华人民共和国政府采购法》、《中华人民共和国合同法》等法律、法规规定，按照采购文件规定条款和成交供应商承诺，甲乙双方签订本合同。</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第一条　合同标的</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1、服务项目一览表</w:t>
      </w:r>
    </w:p>
    <w:tbl>
      <w:tblPr>
        <w:tblStyle w:val="33"/>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0"/>
        <w:gridCol w:w="2149"/>
        <w:gridCol w:w="65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492"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zCs w:val="21"/>
              </w:rPr>
            </w:pPr>
            <w:r>
              <w:rPr>
                <w:rFonts w:hint="eastAsia" w:ascii="宋体" w:hAnsi="宋体" w:cs="宋体"/>
                <w:color w:val="auto"/>
                <w:szCs w:val="21"/>
              </w:rPr>
              <w:t>序号</w:t>
            </w:r>
          </w:p>
        </w:tc>
        <w:tc>
          <w:tcPr>
            <w:tcW w:w="1113"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zCs w:val="21"/>
              </w:rPr>
            </w:pPr>
            <w:r>
              <w:rPr>
                <w:rFonts w:hint="eastAsia" w:ascii="宋体" w:hAnsi="宋体" w:cs="宋体"/>
                <w:color w:val="auto"/>
                <w:szCs w:val="21"/>
              </w:rPr>
              <w:t>服务名称</w:t>
            </w:r>
          </w:p>
        </w:tc>
        <w:tc>
          <w:tcPr>
            <w:tcW w:w="339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zCs w:val="21"/>
              </w:rPr>
            </w:pPr>
            <w:r>
              <w:rPr>
                <w:rFonts w:hint="eastAsia" w:ascii="宋体" w:hAnsi="宋体" w:cs="宋体"/>
                <w:color w:val="auto"/>
                <w:szCs w:val="21"/>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color w:val="auto"/>
                <w:szCs w:val="21"/>
              </w:rPr>
            </w:pPr>
            <w:r>
              <w:rPr>
                <w:rFonts w:hint="eastAsia" w:ascii="宋体" w:hAnsi="宋体" w:cs="宋体"/>
                <w:color w:val="auto"/>
                <w:szCs w:val="21"/>
              </w:rPr>
              <w:t>一</w:t>
            </w:r>
          </w:p>
        </w:tc>
        <w:tc>
          <w:tcPr>
            <w:tcW w:w="1113" w:type="pct"/>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cs="宋体"/>
                <w:color w:val="auto"/>
                <w:kern w:val="0"/>
                <w:szCs w:val="21"/>
              </w:rPr>
            </w:pPr>
          </w:p>
        </w:tc>
        <w:tc>
          <w:tcPr>
            <w:tcW w:w="339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color w:val="auto"/>
                <w:szCs w:val="21"/>
              </w:rPr>
            </w:pPr>
            <w:r>
              <w:rPr>
                <w:rFonts w:hint="eastAsia" w:ascii="宋体" w:hAnsi="宋体" w:cs="宋体"/>
                <w:color w:val="auto"/>
                <w:szCs w:val="21"/>
              </w:rPr>
              <w:t>二</w:t>
            </w:r>
          </w:p>
        </w:tc>
        <w:tc>
          <w:tcPr>
            <w:tcW w:w="1113" w:type="pct"/>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cs="宋体"/>
                <w:color w:val="auto"/>
                <w:kern w:val="0"/>
                <w:szCs w:val="21"/>
              </w:rPr>
            </w:pPr>
          </w:p>
        </w:tc>
        <w:tc>
          <w:tcPr>
            <w:tcW w:w="339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cs="宋体"/>
                <w:color w:val="auto"/>
                <w:szCs w:val="21"/>
              </w:rPr>
            </w:pPr>
            <w:r>
              <w:rPr>
                <w:rFonts w:hint="eastAsia" w:ascii="宋体" w:hAnsi="宋体" w:cs="宋体"/>
                <w:color w:val="auto"/>
                <w:kern w:val="0"/>
                <w:szCs w:val="21"/>
              </w:rPr>
              <w:t>……</w:t>
            </w:r>
          </w:p>
        </w:tc>
        <w:tc>
          <w:tcPr>
            <w:tcW w:w="1113" w:type="pct"/>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cs="宋体"/>
                <w:color w:val="auto"/>
                <w:kern w:val="0"/>
                <w:szCs w:val="21"/>
              </w:rPr>
            </w:pPr>
          </w:p>
        </w:tc>
        <w:tc>
          <w:tcPr>
            <w:tcW w:w="339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tLeast"/>
              <w:jc w:val="center"/>
              <w:rPr>
                <w:rFonts w:hint="eastAsia"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000" w:type="pct"/>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tLeast"/>
              <w:rPr>
                <w:rFonts w:hint="eastAsia" w:ascii="宋体" w:hAnsi="宋体" w:cs="宋体"/>
                <w:color w:val="auto"/>
                <w:szCs w:val="21"/>
              </w:rPr>
            </w:pPr>
            <w:r>
              <w:rPr>
                <w:rFonts w:hint="eastAsia" w:ascii="宋体" w:hAnsi="宋体" w:cs="宋体"/>
                <w:color w:val="auto"/>
                <w:szCs w:val="21"/>
              </w:rPr>
              <w:t>服务期限:</w:t>
            </w:r>
          </w:p>
        </w:tc>
      </w:tr>
    </w:tbl>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详见响应文件服务清单。</w:t>
      </w:r>
    </w:p>
    <w:p>
      <w:pPr>
        <w:snapToGrid w:val="0"/>
        <w:spacing w:line="360" w:lineRule="atLeast"/>
        <w:ind w:right="420" w:firstLine="420" w:firstLineChars="200"/>
        <w:rPr>
          <w:rFonts w:hint="eastAsia" w:ascii="宋体" w:hAnsi="宋体" w:cs="宋体"/>
          <w:color w:val="auto"/>
          <w:szCs w:val="21"/>
        </w:rPr>
      </w:pPr>
      <w:r>
        <w:rPr>
          <w:rFonts w:hint="eastAsia" w:ascii="宋体" w:hAnsi="宋体" w:cs="宋体"/>
          <w:color w:val="auto"/>
          <w:szCs w:val="21"/>
        </w:rPr>
        <w:t>2、 根据《成交通知书》的成交内容，合同的总金额为：：人民币</w:t>
      </w:r>
      <w:r>
        <w:rPr>
          <w:rFonts w:hint="eastAsia" w:ascii="宋体" w:hAnsi="宋体" w:cs="宋体"/>
          <w:color w:val="auto"/>
          <w:szCs w:val="21"/>
          <w:u w:val="single"/>
        </w:rPr>
        <w:t xml:space="preserve">     </w:t>
      </w:r>
      <w:r>
        <w:rPr>
          <w:rFonts w:hint="eastAsia" w:ascii="宋体" w:hAnsi="宋体" w:cs="宋体"/>
          <w:color w:val="auto"/>
          <w:szCs w:val="21"/>
        </w:rPr>
        <w:t>元整（</w:t>
      </w:r>
      <w:r>
        <w:rPr>
          <w:rFonts w:hint="eastAsia" w:ascii="宋体" w:hAnsi="宋体" w:cs="宋体"/>
          <w:color w:val="auto"/>
          <w:szCs w:val="21"/>
          <w:u w:val="single"/>
        </w:rPr>
        <w:t>￥      元</w:t>
      </w:r>
      <w:r>
        <w:rPr>
          <w:rFonts w:hint="eastAsia" w:ascii="宋体" w:hAnsi="宋体" w:cs="宋体"/>
          <w:color w:val="auto"/>
          <w:szCs w:val="21"/>
        </w:rPr>
        <w:t xml:space="preserve"> ）。</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3、合同合计金额包括完成本项目采购要求、人员要求所产生的全部费用。如招响应文件对其另有规定的，从其规定。</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4、本合同所附下列文件是构成本合同不可分割的部分：</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（1）合同基本条款；</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（2）成交人提交的报价表和服务方案及承诺；</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（3）成交通知书；</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（4）本合同协议书及有关补充资料；</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（5）竞争性磋商采购文件的条款要求。</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第二条　质量保证</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1、乙方所提供的服务必须与招响应文件和承诺相一致。</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2、乙方所提供的服务质量应达到招响应文件要求和承诺的质量要求。</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第三条　权利保证</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乙方应保证所提供的服务不会侵犯任何第三方的专利权、商标权、工业设计权或其他权利。</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乙方应按采购文件规定的时间完成本项目。</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20"/>
        <w:spacing w:line="360" w:lineRule="atLeast"/>
        <w:rPr>
          <w:rFonts w:hint="eastAsia"/>
          <w:color w:val="auto"/>
          <w:sz w:val="21"/>
          <w:szCs w:val="21"/>
        </w:rPr>
      </w:pPr>
      <w:r>
        <w:rPr>
          <w:rFonts w:hint="eastAsia"/>
          <w:color w:val="auto"/>
          <w:sz w:val="21"/>
          <w:szCs w:val="21"/>
        </w:rPr>
        <w:t>甲方向乙方支付本项目编制费后，乙方向甲方提供的所有阶段性成果及最终成果的著作权归甲方所有。</w:t>
      </w:r>
    </w:p>
    <w:p>
      <w:pPr>
        <w:pStyle w:val="20"/>
        <w:spacing w:line="360" w:lineRule="atLeast"/>
        <w:rPr>
          <w:rFonts w:hint="eastAsia"/>
          <w:color w:val="auto"/>
        </w:rPr>
      </w:pPr>
      <w:r>
        <w:rPr>
          <w:rFonts w:hint="eastAsia"/>
          <w:color w:val="auto"/>
          <w:sz w:val="21"/>
          <w:szCs w:val="21"/>
        </w:rPr>
        <w:t>乙方应保证其提交的编制成果不侵犯第三人的著作权或其它合法权利，否则应由乙方承担责任，甲方不负连带责任。</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第四条　交付和验收</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1、服务期限：</w:t>
      </w:r>
      <w:r>
        <w:rPr>
          <w:rFonts w:hint="eastAsia" w:ascii="宋体" w:hAnsi="宋体" w:cs="宋体"/>
          <w:color w:val="auto"/>
          <w:szCs w:val="21"/>
          <w:u w:val="single"/>
        </w:rPr>
        <w:t xml:space="preserve">      </w:t>
      </w:r>
      <w:r>
        <w:rPr>
          <w:rFonts w:hint="eastAsia" w:ascii="宋体" w:hAnsi="宋体" w:cs="宋体"/>
          <w:color w:val="auto"/>
          <w:szCs w:val="21"/>
        </w:rPr>
        <w:t xml:space="preserve"> ，地点：</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2、乙方提供不符合招响应文件和本合同规定的服务，甲方有权拒绝接受。</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3、甲方应当在乙方完成项目并提供相关材料后10个工作日内进行验收。</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4、甲方对验收有异议的，在验收后五个工作日内以书面形式向乙方提出，乙方应自收到甲方书面异议后五日内及时予以解决。</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第五条　付款方式</w:t>
      </w:r>
    </w:p>
    <w:p>
      <w:pPr>
        <w:snapToGrid w:val="0"/>
        <w:spacing w:line="360" w:lineRule="atLeast"/>
        <w:ind w:right="33" w:firstLine="420" w:firstLineChars="200"/>
        <w:rPr>
          <w:rFonts w:hint="eastAsia"/>
          <w:color w:val="auto"/>
        </w:rPr>
      </w:pPr>
      <w:r>
        <w:rPr>
          <w:rFonts w:hint="eastAsia"/>
          <w:color w:val="auto"/>
        </w:rPr>
        <w:t>本项目在签订合同后10个工作日内支付预付款50%，成交供应商须在项目汇编资料全部完成交付至采购人审核验收合格后10个工作日支付剩余的50%。</w:t>
      </w:r>
    </w:p>
    <w:p>
      <w:pPr>
        <w:snapToGrid w:val="0"/>
        <w:spacing w:line="360" w:lineRule="atLeast"/>
        <w:ind w:right="33" w:firstLine="422" w:firstLineChars="200"/>
        <w:rPr>
          <w:rFonts w:hint="eastAsia" w:ascii="宋体" w:hAnsi="宋体" w:cs="宋体"/>
          <w:b/>
          <w:color w:val="auto"/>
          <w:szCs w:val="21"/>
        </w:rPr>
      </w:pPr>
      <w:r>
        <w:rPr>
          <w:rFonts w:hint="eastAsia" w:ascii="宋体" w:hAnsi="宋体" w:cs="宋体"/>
          <w:b/>
          <w:color w:val="auto"/>
          <w:szCs w:val="21"/>
        </w:rPr>
        <w:t>第六条　履约保证金：无。</w:t>
      </w:r>
    </w:p>
    <w:p>
      <w:pPr>
        <w:snapToGrid w:val="0"/>
        <w:spacing w:line="360" w:lineRule="atLeast"/>
        <w:ind w:firstLine="422" w:firstLineChars="200"/>
        <w:rPr>
          <w:rFonts w:hint="eastAsia" w:ascii="宋体" w:hAnsi="宋体" w:cs="宋体"/>
          <w:b/>
          <w:color w:val="auto"/>
          <w:szCs w:val="21"/>
        </w:rPr>
      </w:pPr>
      <w:r>
        <w:rPr>
          <w:rFonts w:hint="eastAsia" w:ascii="宋体" w:hAnsi="宋体" w:cs="宋体"/>
          <w:b/>
          <w:color w:val="auto"/>
          <w:szCs w:val="21"/>
        </w:rPr>
        <w:t>第七条　税费</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本合同执行中相关的一切税费均由乙方承担。</w:t>
      </w:r>
    </w:p>
    <w:p>
      <w:pPr>
        <w:snapToGrid w:val="0"/>
        <w:spacing w:line="360" w:lineRule="atLeast"/>
        <w:ind w:firstLine="422" w:firstLineChars="200"/>
        <w:rPr>
          <w:rFonts w:hint="eastAsia" w:ascii="宋体" w:hAnsi="宋体" w:cs="宋体"/>
          <w:b/>
          <w:color w:val="auto"/>
          <w:szCs w:val="21"/>
        </w:rPr>
      </w:pPr>
      <w:r>
        <w:rPr>
          <w:rFonts w:hint="eastAsia" w:ascii="宋体" w:hAnsi="宋体" w:cs="宋体"/>
          <w:b/>
          <w:color w:val="auto"/>
          <w:szCs w:val="21"/>
        </w:rPr>
        <w:t>第八条  不可抗力事件处理</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1、在合同有效期内，任何一方因不可抗力事件导致不能履行合同，则合同履行期可延长，其延长期与不可抗力影响期相同。</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2、不可抗力事件发生后，应立即通知对方，并寄送有关权威机构出具的证明。</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color w:val="auto"/>
          <w:szCs w:val="21"/>
        </w:rPr>
        <w:t>第九条  合同争议解决</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1、因服务质量问题发生争议的，应邀请国家认可的权威机构进行鉴定。服务符合标准的，鉴定费由甲方承担；服务不符合标准的，鉴定费由乙方承担。</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2、因履行本合同引起的或与本合同有关的争议，甲乙双方应首先通过友好协商解决，如果协商不能解决，向南宁仲裁委员会申请仲裁。</w:t>
      </w:r>
    </w:p>
    <w:p>
      <w:pPr>
        <w:snapToGrid w:val="0"/>
        <w:spacing w:line="360" w:lineRule="atLeast"/>
        <w:ind w:firstLine="422" w:firstLineChars="200"/>
        <w:rPr>
          <w:rFonts w:hint="eastAsia" w:ascii="宋体" w:hAnsi="宋体" w:cs="宋体"/>
          <w:b/>
          <w:color w:val="auto"/>
          <w:szCs w:val="21"/>
        </w:rPr>
      </w:pPr>
      <w:r>
        <w:rPr>
          <w:rFonts w:hint="eastAsia" w:ascii="宋体" w:hAnsi="宋体" w:cs="宋体"/>
          <w:b/>
          <w:color w:val="auto"/>
          <w:szCs w:val="21"/>
        </w:rPr>
        <w:t>第十条 诉讼</w:t>
      </w:r>
    </w:p>
    <w:p>
      <w:pPr>
        <w:spacing w:line="360" w:lineRule="atLeast"/>
        <w:ind w:firstLine="411" w:firstLineChars="196"/>
        <w:rPr>
          <w:rFonts w:hint="eastAsia" w:ascii="宋体" w:hAnsi="宋体" w:cs="宋体"/>
          <w:color w:val="auto"/>
          <w:szCs w:val="21"/>
        </w:rPr>
      </w:pPr>
      <w:r>
        <w:rPr>
          <w:rFonts w:hint="eastAsia" w:ascii="宋体" w:hAnsi="宋体" w:cs="宋体"/>
          <w:color w:val="auto"/>
          <w:szCs w:val="21"/>
        </w:rPr>
        <w:t>双方在执行合同中所发生的一切争议，应通过协商解决。如果协商不能解决，可向南宁仲裁委员会申请仲裁</w:t>
      </w:r>
      <w:r>
        <w:rPr>
          <w:rFonts w:hint="eastAsia" w:ascii="宋体" w:hAnsi="宋体" w:cs="宋体"/>
          <w:color w:val="auto"/>
          <w:kern w:val="0"/>
          <w:szCs w:val="21"/>
        </w:rPr>
        <w:t>或向甲方所在地人民法院提起诉讼</w:t>
      </w:r>
      <w:r>
        <w:rPr>
          <w:rFonts w:hint="eastAsia" w:ascii="宋体" w:hAnsi="宋体" w:cs="宋体"/>
          <w:color w:val="auto"/>
          <w:szCs w:val="21"/>
        </w:rPr>
        <w:t>。</w:t>
      </w:r>
    </w:p>
    <w:p>
      <w:pPr>
        <w:pStyle w:val="18"/>
        <w:snapToGrid w:val="0"/>
        <w:spacing w:line="360" w:lineRule="atLeast"/>
        <w:ind w:firstLine="413" w:firstLineChars="196"/>
        <w:rPr>
          <w:rFonts w:hint="eastAsia" w:hAnsi="宋体" w:cs="宋体"/>
          <w:b/>
          <w:color w:val="auto"/>
          <w:szCs w:val="21"/>
        </w:rPr>
      </w:pPr>
      <w:r>
        <w:rPr>
          <w:rFonts w:hint="eastAsia" w:hAnsi="宋体" w:cs="宋体"/>
          <w:b/>
          <w:color w:val="auto"/>
          <w:szCs w:val="21"/>
        </w:rPr>
        <w:t>第十一条  合同的变更、终止与转让</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1、除《中华人民共和国政府采购法》第五十条规定的情形外，本合同一经签订，甲乙双方不得擅自变更、中止或终止。</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2、乙方不得擅自转让其应履行的合同义务。</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3、合同经双方法定代表人或授权代表签字并加盖单位公章后生效。</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4、本合同未尽事宜，遵照《合同法》有关条文执行。</w:t>
      </w:r>
    </w:p>
    <w:p>
      <w:pPr>
        <w:pStyle w:val="18"/>
        <w:snapToGrid w:val="0"/>
        <w:spacing w:line="360" w:lineRule="atLeast"/>
        <w:ind w:firstLine="413" w:firstLineChars="196"/>
        <w:rPr>
          <w:rFonts w:hint="eastAsia" w:hAnsi="宋体" w:cs="宋体"/>
          <w:b/>
          <w:color w:val="auto"/>
          <w:szCs w:val="21"/>
        </w:rPr>
      </w:pPr>
      <w:r>
        <w:rPr>
          <w:rFonts w:hint="eastAsia" w:hAnsi="宋体" w:cs="宋体"/>
          <w:b/>
          <w:color w:val="auto"/>
          <w:szCs w:val="21"/>
        </w:rPr>
        <w:t>第十二条  签订本合同依据</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1、采购文件；</w:t>
      </w:r>
    </w:p>
    <w:p>
      <w:pPr>
        <w:pStyle w:val="18"/>
        <w:snapToGrid w:val="0"/>
        <w:spacing w:line="360" w:lineRule="atLeast"/>
        <w:ind w:firstLine="420" w:firstLineChars="200"/>
        <w:rPr>
          <w:rFonts w:hint="eastAsia" w:hAnsi="宋体" w:cs="宋体"/>
          <w:color w:val="auto"/>
          <w:szCs w:val="21"/>
        </w:rPr>
      </w:pPr>
      <w:r>
        <w:rPr>
          <w:rFonts w:hint="eastAsia" w:hAnsi="宋体" w:cs="宋体"/>
          <w:color w:val="auto"/>
          <w:szCs w:val="21"/>
        </w:rPr>
        <w:t>2、乙方提供的响应（或应答）文件；</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3、服务承诺书；</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4、成交通知书。</w:t>
      </w:r>
    </w:p>
    <w:p>
      <w:pPr>
        <w:snapToGrid w:val="0"/>
        <w:spacing w:line="360" w:lineRule="atLeast"/>
        <w:ind w:firstLine="422" w:firstLineChars="200"/>
        <w:rPr>
          <w:rFonts w:hint="eastAsia" w:ascii="宋体" w:hAnsi="宋体" w:cs="宋体"/>
          <w:color w:val="auto"/>
          <w:szCs w:val="21"/>
        </w:rPr>
      </w:pPr>
      <w:r>
        <w:rPr>
          <w:rFonts w:hint="eastAsia" w:ascii="宋体" w:hAnsi="宋体" w:cs="宋体"/>
          <w:b/>
          <w:bCs/>
          <w:color w:val="auto"/>
          <w:szCs w:val="21"/>
        </w:rPr>
        <w:t>第十三条</w:t>
      </w:r>
      <w:r>
        <w:rPr>
          <w:rFonts w:hint="eastAsia" w:ascii="宋体" w:hAnsi="宋体" w:cs="宋体"/>
          <w:color w:val="auto"/>
          <w:szCs w:val="21"/>
        </w:rPr>
        <w:t xml:space="preserve">  </w:t>
      </w:r>
      <w:r>
        <w:rPr>
          <w:rFonts w:hint="eastAsia" w:ascii="宋体" w:hAnsi="宋体" w:cs="宋体"/>
          <w:b/>
          <w:bCs/>
          <w:color w:val="auto"/>
          <w:szCs w:val="21"/>
        </w:rPr>
        <w:t>合同效力</w:t>
      </w:r>
    </w:p>
    <w:p>
      <w:pPr>
        <w:snapToGrid w:val="0"/>
        <w:spacing w:line="360" w:lineRule="atLeast"/>
        <w:ind w:firstLine="420" w:firstLineChars="200"/>
        <w:rPr>
          <w:rFonts w:hint="eastAsia" w:ascii="宋体" w:hAnsi="宋体" w:cs="宋体"/>
          <w:color w:val="auto"/>
          <w:szCs w:val="21"/>
        </w:rPr>
      </w:pPr>
      <w:r>
        <w:rPr>
          <w:rFonts w:hint="eastAsia" w:ascii="宋体" w:hAnsi="宋体" w:cs="宋体"/>
          <w:color w:val="auto"/>
          <w:szCs w:val="21"/>
        </w:rPr>
        <w:t>本合同一式六份，具有同等法律效力，财政部门（政府采购监管部门）一份、采购代理机构各一份，甲乙双方各两份（可根据需要增加）。</w:t>
      </w:r>
    </w:p>
    <w:p>
      <w:pPr>
        <w:snapToGrid w:val="0"/>
        <w:jc w:val="center"/>
        <w:rPr>
          <w:rFonts w:hint="eastAsia" w:ascii="宋体" w:hAnsi="宋体" w:cs="宋体"/>
          <w:b/>
          <w:color w:val="auto"/>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甲方（章）</w:t>
            </w:r>
            <w:r>
              <w:rPr>
                <w:rFonts w:hint="eastAsia" w:ascii="宋体" w:hAnsi="宋体" w:cs="宋体"/>
                <w:b/>
                <w:color w:val="auto"/>
                <w:szCs w:val="21"/>
              </w:rPr>
              <w:t xml:space="preserve"> </w:t>
            </w:r>
          </w:p>
          <w:p>
            <w:pPr>
              <w:snapToGrid w:val="0"/>
              <w:rPr>
                <w:rFonts w:hint="eastAsia" w:ascii="宋体" w:hAnsi="宋体" w:cs="宋体"/>
                <w:color w:val="auto"/>
                <w:szCs w:val="21"/>
              </w:rPr>
            </w:pPr>
          </w:p>
          <w:p>
            <w:pPr>
              <w:snapToGrid w:val="0"/>
              <w:ind w:firstLine="945" w:firstLineChars="450"/>
              <w:jc w:val="right"/>
              <w:rPr>
                <w:rFonts w:hint="eastAsia" w:ascii="宋体" w:hAnsi="宋体" w:cs="宋体"/>
                <w:color w:val="auto"/>
                <w:szCs w:val="21"/>
              </w:rPr>
            </w:pPr>
            <w:r>
              <w:rPr>
                <w:rFonts w:hint="eastAsia" w:ascii="宋体" w:hAnsi="宋体" w:cs="宋体"/>
                <w:color w:val="auto"/>
                <w:szCs w:val="21"/>
              </w:rPr>
              <w:t>年   月   日</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乙方（章）</w:t>
            </w:r>
            <w:r>
              <w:rPr>
                <w:rFonts w:hint="eastAsia" w:ascii="宋体" w:hAnsi="宋体" w:cs="宋体"/>
                <w:b/>
                <w:color w:val="auto"/>
                <w:szCs w:val="21"/>
              </w:rPr>
              <w:t xml:space="preserve">  </w:t>
            </w:r>
          </w:p>
          <w:p>
            <w:pPr>
              <w:snapToGrid w:val="0"/>
              <w:jc w:val="right"/>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单位地址： </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法定代表人：</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委托代理人：</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电  话： </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电子邮箱： </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电子邮箱：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开户银行：</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账  号：</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账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4629"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邮政编码： </w:t>
            </w:r>
          </w:p>
        </w:tc>
        <w:tc>
          <w:tcPr>
            <w:tcW w:w="4631" w:type="dxa"/>
            <w:vAlign w:val="center"/>
          </w:tcPr>
          <w:p>
            <w:pPr>
              <w:snapToGrid w:val="0"/>
              <w:rPr>
                <w:rFonts w:hint="eastAsia" w:ascii="宋体" w:hAnsi="宋体" w:cs="宋体"/>
                <w:color w:val="auto"/>
                <w:szCs w:val="21"/>
              </w:rPr>
            </w:pPr>
            <w:r>
              <w:rPr>
                <w:rFonts w:hint="eastAsia" w:ascii="宋体" w:hAnsi="宋体" w:cs="宋体"/>
                <w:color w:val="auto"/>
                <w:szCs w:val="21"/>
              </w:rPr>
              <w:t xml:space="preserve">邮政编码： </w:t>
            </w:r>
          </w:p>
        </w:tc>
      </w:tr>
    </w:tbl>
    <w:p>
      <w:pPr>
        <w:rPr>
          <w:rFonts w:hint="eastAsia" w:ascii="宋体" w:hAnsi="宋体" w:cs="宋体"/>
          <w:color w:val="auto"/>
          <w:szCs w:val="21"/>
        </w:rPr>
      </w:pPr>
      <w:bookmarkStart w:id="37" w:name="_Toc11203_WPSOffice_Level1"/>
      <w:bookmarkStart w:id="38" w:name="_Toc11567_WPSOffice_Level1"/>
      <w:bookmarkStart w:id="39" w:name="_Toc23552_WPSOffice_Level1"/>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p>
      <w:pPr>
        <w:pStyle w:val="16"/>
        <w:rPr>
          <w:rFonts w:hint="eastAsia" w:hAnsi="宋体" w:cs="宋体"/>
          <w:color w:val="auto"/>
          <w:sz w:val="21"/>
          <w:szCs w:val="21"/>
        </w:rPr>
      </w:pPr>
    </w:p>
    <w:bookmarkEnd w:id="37"/>
    <w:bookmarkEnd w:id="38"/>
    <w:bookmarkEnd w:id="39"/>
    <w:p>
      <w:pPr>
        <w:pStyle w:val="18"/>
        <w:spacing w:line="288" w:lineRule="auto"/>
        <w:rPr>
          <w:rFonts w:hint="eastAsia" w:hAnsi="宋体" w:cs="宋体"/>
          <w:color w:val="auto"/>
          <w:sz w:val="28"/>
          <w:szCs w:val="28"/>
        </w:rPr>
      </w:pPr>
    </w:p>
    <w:sectPr>
      <w:footerReference r:id="rId7" w:type="first"/>
      <w:headerReference r:id="rId5" w:type="default"/>
      <w:footerReference r:id="rId6" w:type="default"/>
      <w:pgSz w:w="11906" w:h="16838"/>
      <w:pgMar w:top="1418" w:right="1028" w:bottom="1418" w:left="1438"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3083" o:spid="_x0000_s308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3084" o:spid="_x0000_s308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3085" o:spid="_x0000_s308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tabs>
        <w:tab w:val="left" w:pos="700"/>
      </w:tabs>
      <w:wordWrap w:val="0"/>
      <w:ind w:right="360"/>
      <w:jc w:val="left"/>
      <w:rPr>
        <w:rFonts w:hint="eastAsia"/>
      </w:rPr>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2E93E"/>
    <w:multiLevelType w:val="singleLevel"/>
    <w:tmpl w:val="98E2E93E"/>
    <w:lvl w:ilvl="0" w:tentative="0">
      <w:start w:val="27"/>
      <w:numFmt w:val="decimal"/>
      <w:lvlText w:val="%1."/>
      <w:lvlJc w:val="left"/>
      <w:pPr>
        <w:tabs>
          <w:tab w:val="left" w:pos="312"/>
        </w:tabs>
      </w:pPr>
    </w:lvl>
  </w:abstractNum>
  <w:abstractNum w:abstractNumId="1">
    <w:nsid w:val="142170C9"/>
    <w:multiLevelType w:val="multilevel"/>
    <w:tmpl w:val="142170C9"/>
    <w:lvl w:ilvl="0" w:tentative="0">
      <w:start w:val="1"/>
      <w:numFmt w:val="lowerLetter"/>
      <w:pStyle w:val="139"/>
      <w:lvlText w:val="%1)"/>
      <w:lvlJc w:val="left"/>
      <w:pPr>
        <w:tabs>
          <w:tab w:val="left" w:pos="1440"/>
        </w:tabs>
        <w:ind w:left="1440" w:hanging="360"/>
      </w:pPr>
      <w:rPr>
        <w:rFonts w:hint="default" w:ascii="Arial" w:hAnsi="Arial" w:eastAsia="宋体" w:cs="Times New Roman"/>
        <w:b w:val="0"/>
        <w:i w:val="0"/>
        <w:color w:val="auto"/>
        <w:sz w:val="24"/>
        <w:szCs w:val="24"/>
      </w:rPr>
    </w:lvl>
    <w:lvl w:ilvl="1" w:tentative="0">
      <w:start w:val="1"/>
      <w:numFmt w:val="decimal"/>
      <w:lvlText w:val="%2)"/>
      <w:lvlJc w:val="left"/>
      <w:pPr>
        <w:tabs>
          <w:tab w:val="left" w:pos="1800"/>
        </w:tabs>
        <w:ind w:left="1800" w:hanging="360"/>
      </w:pPr>
      <w:rPr>
        <w:rFonts w:hint="default" w:ascii="Arial" w:hAnsi="Arial" w:eastAsia="宋体" w:cs="Times New Roman"/>
        <w:b w:val="0"/>
        <w:i w:val="0"/>
        <w:color w:val="auto"/>
        <w:sz w:val="24"/>
        <w:szCs w:val="24"/>
      </w:rPr>
    </w:lvl>
    <w:lvl w:ilvl="2" w:tentative="0">
      <w:start w:val="1"/>
      <w:numFmt w:val="lowerRoman"/>
      <w:lvlText w:val="%3)"/>
      <w:lvlJc w:val="left"/>
      <w:pPr>
        <w:tabs>
          <w:tab w:val="left" w:pos="2520"/>
        </w:tabs>
        <w:ind w:left="2520" w:hanging="720"/>
      </w:pPr>
      <w:rPr>
        <w:rFonts w:hint="default" w:ascii="Arial" w:hAnsi="Arial" w:eastAsia="宋体" w:cs="Times New Roman"/>
        <w:b w:val="0"/>
        <w:i w:val="0"/>
        <w:color w:val="auto"/>
        <w:sz w:val="24"/>
        <w:szCs w:val="24"/>
      </w:rPr>
    </w:lvl>
    <w:lvl w:ilvl="3" w:tentative="0">
      <w:start w:val="1"/>
      <w:numFmt w:val="upperRoman"/>
      <w:lvlText w:val="(%4)"/>
      <w:lvlJc w:val="left"/>
      <w:pPr>
        <w:tabs>
          <w:tab w:val="left" w:pos="3240"/>
        </w:tabs>
        <w:ind w:left="3240" w:hanging="720"/>
      </w:pPr>
      <w:rPr>
        <w:rFonts w:hint="default" w:ascii="Arial" w:hAnsi="Arial" w:eastAsia="宋体" w:cs="Times New Roman"/>
        <w:b w:val="0"/>
        <w:i w:val="0"/>
        <w:color w:val="auto"/>
        <w:sz w:val="22"/>
      </w:rPr>
    </w:lvl>
    <w:lvl w:ilvl="4" w:tentative="0">
      <w:start w:val="1"/>
      <w:numFmt w:val="bullet"/>
      <w:lvlText w:val=""/>
      <w:lvlJc w:val="left"/>
      <w:pPr>
        <w:tabs>
          <w:tab w:val="left" w:pos="3600"/>
        </w:tabs>
        <w:ind w:left="3600" w:hanging="360"/>
      </w:pPr>
      <w:rPr>
        <w:rFonts w:hint="default"/>
        <w:b w:val="0"/>
        <w:i w:val="0"/>
        <w:color w:val="auto"/>
        <w:sz w:val="22"/>
      </w:rPr>
    </w:lvl>
    <w:lvl w:ilvl="5" w:tentative="0">
      <w:start w:val="1"/>
      <w:numFmt w:val="bullet"/>
      <w:lvlText w:val=""/>
      <w:lvlJc w:val="left"/>
      <w:pPr>
        <w:tabs>
          <w:tab w:val="left" w:pos="3960"/>
        </w:tabs>
        <w:ind w:left="3960" w:hanging="360"/>
      </w:pPr>
      <w:rPr>
        <w:rFonts w:hint="default" w:ascii="Arial" w:hAnsi="Arial" w:eastAsia="宋体"/>
        <w:b w:val="0"/>
        <w:i w:val="0"/>
        <w:color w:val="auto"/>
        <w:sz w:val="22"/>
      </w:rPr>
    </w:lvl>
    <w:lvl w:ilvl="6" w:tentative="0">
      <w:start w:val="1"/>
      <w:numFmt w:val="decimal"/>
      <w:lvlText w:val="%7."/>
      <w:lvlJc w:val="left"/>
      <w:pPr>
        <w:tabs>
          <w:tab w:val="left" w:pos="4320"/>
        </w:tabs>
        <w:ind w:left="4320" w:hanging="360"/>
      </w:pPr>
      <w:rPr>
        <w:rFonts w:hint="eastAsia" w:cs="Times New Roman"/>
      </w:rPr>
    </w:lvl>
    <w:lvl w:ilvl="7" w:tentative="0">
      <w:start w:val="1"/>
      <w:numFmt w:val="lowerLetter"/>
      <w:lvlText w:val="%8."/>
      <w:lvlJc w:val="left"/>
      <w:pPr>
        <w:tabs>
          <w:tab w:val="left" w:pos="4680"/>
        </w:tabs>
        <w:ind w:left="4680" w:hanging="360"/>
      </w:pPr>
      <w:rPr>
        <w:rFonts w:hint="eastAsia" w:cs="Times New Roman"/>
      </w:rPr>
    </w:lvl>
    <w:lvl w:ilvl="8" w:tentative="0">
      <w:start w:val="1"/>
      <w:numFmt w:val="lowerRoman"/>
      <w:lvlText w:val="%9."/>
      <w:lvlJc w:val="left"/>
      <w:pPr>
        <w:tabs>
          <w:tab w:val="left" w:pos="5040"/>
        </w:tabs>
        <w:ind w:left="5040" w:hanging="360"/>
      </w:pPr>
      <w:rPr>
        <w:rFonts w:hint="eastAsia" w:cs="Times New Roman"/>
      </w:rPr>
    </w:lvl>
  </w:abstractNum>
  <w:abstractNum w:abstractNumId="2">
    <w:nsid w:val="394354FD"/>
    <w:multiLevelType w:val="singleLevel"/>
    <w:tmpl w:val="394354FD"/>
    <w:lvl w:ilvl="0" w:tentative="0">
      <w:start w:val="7"/>
      <w:numFmt w:val="chineseCounting"/>
      <w:suff w:val="nothing"/>
      <w:lvlText w:val="%1、"/>
      <w:lvlJc w:val="left"/>
      <w:rPr>
        <w:rFonts w:hint="eastAsia"/>
      </w:rPr>
    </w:lvl>
  </w:abstractNum>
  <w:abstractNum w:abstractNumId="3">
    <w:nsid w:val="5DE86A95"/>
    <w:multiLevelType w:val="singleLevel"/>
    <w:tmpl w:val="5DE86A95"/>
    <w:lvl w:ilvl="0" w:tentative="0">
      <w:start w:val="2"/>
      <w:numFmt w:val="chineseCounting"/>
      <w:suff w:val="nothing"/>
      <w:lvlText w:val="%1、"/>
      <w:lvlJc w:val="left"/>
    </w:lvl>
  </w:abstractNum>
  <w:abstractNum w:abstractNumId="4">
    <w:nsid w:val="5DE8772F"/>
    <w:multiLevelType w:val="singleLevel"/>
    <w:tmpl w:val="5DE8772F"/>
    <w:lvl w:ilvl="0" w:tentative="0">
      <w:start w:val="1"/>
      <w:numFmt w:val="decimal"/>
      <w:suff w:val="nothing"/>
      <w:lvlText w:val="%1."/>
      <w:lvlJc w:val="left"/>
    </w:lvl>
  </w:abstractNum>
  <w:abstractNum w:abstractNumId="5">
    <w:nsid w:val="63D7D470"/>
    <w:multiLevelType w:val="singleLevel"/>
    <w:tmpl w:val="63D7D470"/>
    <w:lvl w:ilvl="0" w:tentative="0">
      <w:start w:val="6"/>
      <w:numFmt w:val="chineseCounting"/>
      <w:suff w:val="space"/>
      <w:lvlText w:val="第%1章"/>
      <w:lvlJc w:val="left"/>
      <w:rPr>
        <w:rFonts w:hint="eastAsia"/>
      </w:rPr>
    </w:lvl>
  </w:abstractNum>
  <w:abstractNum w:abstractNumId="6">
    <w:nsid w:val="699011C3"/>
    <w:multiLevelType w:val="multilevel"/>
    <w:tmpl w:val="699011C3"/>
    <w:lvl w:ilvl="0" w:tentative="0">
      <w:start w:val="3"/>
      <w:numFmt w:val="chineseCountingThousand"/>
      <w:suff w:val="nothing"/>
      <w:lvlText w:val="第%1章"/>
      <w:lvlJc w:val="left"/>
      <w:rPr>
        <w:rFonts w:hint="eastAsia" w:cs="Times New Roman"/>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pStyle w:val="2"/>
      <w:suff w:val="nothing"/>
      <w:lvlText w:val=""/>
      <w:lvlJc w:val="left"/>
      <w:rPr>
        <w:rFonts w:hint="eastAsia" w:cs="Times New Roman"/>
      </w:rPr>
    </w:lvl>
    <w:lvl w:ilvl="4" w:tentative="0">
      <w:start w:val="1"/>
      <w:numFmt w:val="none"/>
      <w:pStyle w:val="6"/>
      <w:suff w:val="nothing"/>
      <w:lvlText w:val=""/>
      <w:lvlJc w:val="left"/>
      <w:rPr>
        <w:rFonts w:hint="eastAsia" w:cs="Times New Roman"/>
      </w:rPr>
    </w:lvl>
    <w:lvl w:ilvl="5" w:tentative="0">
      <w:start w:val="1"/>
      <w:numFmt w:val="none"/>
      <w:pStyle w:val="7"/>
      <w:suff w:val="nothing"/>
      <w:lvlText w:val=""/>
      <w:lvlJc w:val="left"/>
      <w:rPr>
        <w:rFonts w:hint="eastAsia" w:cs="Times New Roman"/>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7">
    <w:nsid w:val="7082F9E5"/>
    <w:multiLevelType w:val="singleLevel"/>
    <w:tmpl w:val="7082F9E5"/>
    <w:lvl w:ilvl="0" w:tentative="0">
      <w:start w:val="3"/>
      <w:numFmt w:val="chineseCounting"/>
      <w:suff w:val="space"/>
      <w:lvlText w:val="第%1章"/>
      <w:lvlJc w:val="left"/>
      <w:rPr>
        <w:rFonts w:hint="eastAsia"/>
      </w:r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0DD7"/>
    <w:rsid w:val="00000A20"/>
    <w:rsid w:val="00002008"/>
    <w:rsid w:val="00004110"/>
    <w:rsid w:val="000047E9"/>
    <w:rsid w:val="00004DF9"/>
    <w:rsid w:val="000074A6"/>
    <w:rsid w:val="00011CDA"/>
    <w:rsid w:val="00012215"/>
    <w:rsid w:val="00012D8C"/>
    <w:rsid w:val="00014617"/>
    <w:rsid w:val="00014FBE"/>
    <w:rsid w:val="0001515C"/>
    <w:rsid w:val="00015ADE"/>
    <w:rsid w:val="00017708"/>
    <w:rsid w:val="00017E2D"/>
    <w:rsid w:val="0002071F"/>
    <w:rsid w:val="00020DB0"/>
    <w:rsid w:val="00020FFE"/>
    <w:rsid w:val="000219B0"/>
    <w:rsid w:val="00021EE3"/>
    <w:rsid w:val="00022545"/>
    <w:rsid w:val="00022D34"/>
    <w:rsid w:val="000234CD"/>
    <w:rsid w:val="00023C95"/>
    <w:rsid w:val="00024D1D"/>
    <w:rsid w:val="00025E60"/>
    <w:rsid w:val="000301E6"/>
    <w:rsid w:val="0003138A"/>
    <w:rsid w:val="00031769"/>
    <w:rsid w:val="000318DD"/>
    <w:rsid w:val="00031B55"/>
    <w:rsid w:val="00033844"/>
    <w:rsid w:val="00033BB0"/>
    <w:rsid w:val="00036B2B"/>
    <w:rsid w:val="00036FDC"/>
    <w:rsid w:val="0003780E"/>
    <w:rsid w:val="00037AB3"/>
    <w:rsid w:val="00040A09"/>
    <w:rsid w:val="000426C5"/>
    <w:rsid w:val="000428B7"/>
    <w:rsid w:val="000449BD"/>
    <w:rsid w:val="0004517C"/>
    <w:rsid w:val="00046CFA"/>
    <w:rsid w:val="00050381"/>
    <w:rsid w:val="00050B60"/>
    <w:rsid w:val="00051881"/>
    <w:rsid w:val="00051D5A"/>
    <w:rsid w:val="00051E19"/>
    <w:rsid w:val="00051F17"/>
    <w:rsid w:val="00054169"/>
    <w:rsid w:val="000549A2"/>
    <w:rsid w:val="00054B65"/>
    <w:rsid w:val="00054F7E"/>
    <w:rsid w:val="00055EA0"/>
    <w:rsid w:val="00055F9B"/>
    <w:rsid w:val="00057CB6"/>
    <w:rsid w:val="00057D60"/>
    <w:rsid w:val="00060F2A"/>
    <w:rsid w:val="00062450"/>
    <w:rsid w:val="00063AAE"/>
    <w:rsid w:val="00064380"/>
    <w:rsid w:val="0006607E"/>
    <w:rsid w:val="000666E5"/>
    <w:rsid w:val="00066F7B"/>
    <w:rsid w:val="000674CF"/>
    <w:rsid w:val="000702E6"/>
    <w:rsid w:val="00070C70"/>
    <w:rsid w:val="00071158"/>
    <w:rsid w:val="00071364"/>
    <w:rsid w:val="00071ADB"/>
    <w:rsid w:val="00071C4E"/>
    <w:rsid w:val="00072400"/>
    <w:rsid w:val="00072DBD"/>
    <w:rsid w:val="00072F95"/>
    <w:rsid w:val="00073E70"/>
    <w:rsid w:val="00074B34"/>
    <w:rsid w:val="000760E0"/>
    <w:rsid w:val="000761AF"/>
    <w:rsid w:val="00076A45"/>
    <w:rsid w:val="00082525"/>
    <w:rsid w:val="00083DAA"/>
    <w:rsid w:val="0008447E"/>
    <w:rsid w:val="00084500"/>
    <w:rsid w:val="00084DB5"/>
    <w:rsid w:val="00084DDD"/>
    <w:rsid w:val="000851E5"/>
    <w:rsid w:val="0008568F"/>
    <w:rsid w:val="000856C9"/>
    <w:rsid w:val="000869F7"/>
    <w:rsid w:val="00086F41"/>
    <w:rsid w:val="00087CB5"/>
    <w:rsid w:val="00090E4A"/>
    <w:rsid w:val="000917F6"/>
    <w:rsid w:val="00091C74"/>
    <w:rsid w:val="00091CC8"/>
    <w:rsid w:val="0009201F"/>
    <w:rsid w:val="00092473"/>
    <w:rsid w:val="00092BA8"/>
    <w:rsid w:val="0009452D"/>
    <w:rsid w:val="000945DF"/>
    <w:rsid w:val="00094931"/>
    <w:rsid w:val="00095B0F"/>
    <w:rsid w:val="00095CD2"/>
    <w:rsid w:val="00096716"/>
    <w:rsid w:val="00097EAB"/>
    <w:rsid w:val="000A0C14"/>
    <w:rsid w:val="000A1B0C"/>
    <w:rsid w:val="000A2560"/>
    <w:rsid w:val="000A2D1F"/>
    <w:rsid w:val="000A4667"/>
    <w:rsid w:val="000A6B39"/>
    <w:rsid w:val="000A76CA"/>
    <w:rsid w:val="000A785E"/>
    <w:rsid w:val="000A7AF3"/>
    <w:rsid w:val="000B04F2"/>
    <w:rsid w:val="000B0BDE"/>
    <w:rsid w:val="000B1A9B"/>
    <w:rsid w:val="000B3FE3"/>
    <w:rsid w:val="000B52D8"/>
    <w:rsid w:val="000B6A77"/>
    <w:rsid w:val="000B7346"/>
    <w:rsid w:val="000C1809"/>
    <w:rsid w:val="000C2B9B"/>
    <w:rsid w:val="000C2C35"/>
    <w:rsid w:val="000C5A96"/>
    <w:rsid w:val="000D29DC"/>
    <w:rsid w:val="000D42EE"/>
    <w:rsid w:val="000D4669"/>
    <w:rsid w:val="000D4BF2"/>
    <w:rsid w:val="000D502E"/>
    <w:rsid w:val="000D5351"/>
    <w:rsid w:val="000D6803"/>
    <w:rsid w:val="000D6FF7"/>
    <w:rsid w:val="000D76B7"/>
    <w:rsid w:val="000D7FCA"/>
    <w:rsid w:val="000E0E85"/>
    <w:rsid w:val="000E574A"/>
    <w:rsid w:val="000E5FCD"/>
    <w:rsid w:val="000E7988"/>
    <w:rsid w:val="000E7D8D"/>
    <w:rsid w:val="000E7EC9"/>
    <w:rsid w:val="000F12D2"/>
    <w:rsid w:val="000F1931"/>
    <w:rsid w:val="000F2104"/>
    <w:rsid w:val="000F399E"/>
    <w:rsid w:val="000F4854"/>
    <w:rsid w:val="000F4FE8"/>
    <w:rsid w:val="000F6972"/>
    <w:rsid w:val="000F6AE7"/>
    <w:rsid w:val="000F7D06"/>
    <w:rsid w:val="00101054"/>
    <w:rsid w:val="001018EB"/>
    <w:rsid w:val="00101C74"/>
    <w:rsid w:val="00103A61"/>
    <w:rsid w:val="00103E40"/>
    <w:rsid w:val="001042A4"/>
    <w:rsid w:val="0010440E"/>
    <w:rsid w:val="00105CE9"/>
    <w:rsid w:val="00112B85"/>
    <w:rsid w:val="00112F82"/>
    <w:rsid w:val="00113231"/>
    <w:rsid w:val="001144A3"/>
    <w:rsid w:val="00115490"/>
    <w:rsid w:val="001160C0"/>
    <w:rsid w:val="00116857"/>
    <w:rsid w:val="001173E1"/>
    <w:rsid w:val="001210F4"/>
    <w:rsid w:val="00123B92"/>
    <w:rsid w:val="001243ED"/>
    <w:rsid w:val="00124F98"/>
    <w:rsid w:val="001257B9"/>
    <w:rsid w:val="0012599B"/>
    <w:rsid w:val="00125C95"/>
    <w:rsid w:val="001304B2"/>
    <w:rsid w:val="00130B25"/>
    <w:rsid w:val="00130E52"/>
    <w:rsid w:val="00134644"/>
    <w:rsid w:val="0013473C"/>
    <w:rsid w:val="00134FC0"/>
    <w:rsid w:val="0013531D"/>
    <w:rsid w:val="00136D70"/>
    <w:rsid w:val="00137264"/>
    <w:rsid w:val="00141250"/>
    <w:rsid w:val="00141306"/>
    <w:rsid w:val="0014206C"/>
    <w:rsid w:val="00143007"/>
    <w:rsid w:val="00146D30"/>
    <w:rsid w:val="00146F64"/>
    <w:rsid w:val="00147D30"/>
    <w:rsid w:val="001505A3"/>
    <w:rsid w:val="00150E56"/>
    <w:rsid w:val="0015285B"/>
    <w:rsid w:val="00153158"/>
    <w:rsid w:val="00153CC3"/>
    <w:rsid w:val="00155604"/>
    <w:rsid w:val="0015598A"/>
    <w:rsid w:val="00155E90"/>
    <w:rsid w:val="00157DFB"/>
    <w:rsid w:val="00160BB2"/>
    <w:rsid w:val="00160BBF"/>
    <w:rsid w:val="001631E8"/>
    <w:rsid w:val="001634AC"/>
    <w:rsid w:val="00164685"/>
    <w:rsid w:val="00164797"/>
    <w:rsid w:val="00164F53"/>
    <w:rsid w:val="001707D2"/>
    <w:rsid w:val="00170A8E"/>
    <w:rsid w:val="0017160E"/>
    <w:rsid w:val="00171D0E"/>
    <w:rsid w:val="00171EE0"/>
    <w:rsid w:val="001734F6"/>
    <w:rsid w:val="00174041"/>
    <w:rsid w:val="00174345"/>
    <w:rsid w:val="00174CCC"/>
    <w:rsid w:val="0017579F"/>
    <w:rsid w:val="00175F3A"/>
    <w:rsid w:val="001765DB"/>
    <w:rsid w:val="00180652"/>
    <w:rsid w:val="00180D33"/>
    <w:rsid w:val="00181C13"/>
    <w:rsid w:val="00182090"/>
    <w:rsid w:val="001843A4"/>
    <w:rsid w:val="00185A28"/>
    <w:rsid w:val="00185EF7"/>
    <w:rsid w:val="0018618B"/>
    <w:rsid w:val="001901D7"/>
    <w:rsid w:val="00190DC9"/>
    <w:rsid w:val="001917D9"/>
    <w:rsid w:val="00192041"/>
    <w:rsid w:val="00193E75"/>
    <w:rsid w:val="001947A3"/>
    <w:rsid w:val="00194A5B"/>
    <w:rsid w:val="001953A6"/>
    <w:rsid w:val="0019635D"/>
    <w:rsid w:val="00196CAD"/>
    <w:rsid w:val="00197AA0"/>
    <w:rsid w:val="001A10A3"/>
    <w:rsid w:val="001A2F71"/>
    <w:rsid w:val="001A41A7"/>
    <w:rsid w:val="001A48B4"/>
    <w:rsid w:val="001A5A52"/>
    <w:rsid w:val="001A628F"/>
    <w:rsid w:val="001A65F3"/>
    <w:rsid w:val="001A6AA7"/>
    <w:rsid w:val="001A70F2"/>
    <w:rsid w:val="001A77B5"/>
    <w:rsid w:val="001A7A6C"/>
    <w:rsid w:val="001B0CAA"/>
    <w:rsid w:val="001B10B2"/>
    <w:rsid w:val="001B257E"/>
    <w:rsid w:val="001B2C53"/>
    <w:rsid w:val="001B459E"/>
    <w:rsid w:val="001B4687"/>
    <w:rsid w:val="001B62B0"/>
    <w:rsid w:val="001B650F"/>
    <w:rsid w:val="001B7C82"/>
    <w:rsid w:val="001B7CCB"/>
    <w:rsid w:val="001C01B0"/>
    <w:rsid w:val="001C0600"/>
    <w:rsid w:val="001C21A4"/>
    <w:rsid w:val="001C2B77"/>
    <w:rsid w:val="001C514E"/>
    <w:rsid w:val="001C5772"/>
    <w:rsid w:val="001C5FD9"/>
    <w:rsid w:val="001C6573"/>
    <w:rsid w:val="001C6882"/>
    <w:rsid w:val="001C6C6C"/>
    <w:rsid w:val="001C7BE2"/>
    <w:rsid w:val="001D1F2F"/>
    <w:rsid w:val="001D2630"/>
    <w:rsid w:val="001D28C6"/>
    <w:rsid w:val="001D5D37"/>
    <w:rsid w:val="001D62EA"/>
    <w:rsid w:val="001D72B8"/>
    <w:rsid w:val="001D7E44"/>
    <w:rsid w:val="001E0A9D"/>
    <w:rsid w:val="001E1DAF"/>
    <w:rsid w:val="001E2352"/>
    <w:rsid w:val="001E29F6"/>
    <w:rsid w:val="001E5072"/>
    <w:rsid w:val="001E6356"/>
    <w:rsid w:val="001E68B9"/>
    <w:rsid w:val="001E736F"/>
    <w:rsid w:val="001E7FD6"/>
    <w:rsid w:val="001F1BC6"/>
    <w:rsid w:val="001F4ED7"/>
    <w:rsid w:val="001F5165"/>
    <w:rsid w:val="001F518C"/>
    <w:rsid w:val="001F542F"/>
    <w:rsid w:val="001F58A0"/>
    <w:rsid w:val="001F61AA"/>
    <w:rsid w:val="001F6751"/>
    <w:rsid w:val="001F7DCC"/>
    <w:rsid w:val="00200482"/>
    <w:rsid w:val="00201FED"/>
    <w:rsid w:val="002032A0"/>
    <w:rsid w:val="00205398"/>
    <w:rsid w:val="00205567"/>
    <w:rsid w:val="00205D65"/>
    <w:rsid w:val="0020747E"/>
    <w:rsid w:val="0020748C"/>
    <w:rsid w:val="00210EDE"/>
    <w:rsid w:val="00213B0B"/>
    <w:rsid w:val="00214054"/>
    <w:rsid w:val="00215B7E"/>
    <w:rsid w:val="00216D64"/>
    <w:rsid w:val="00216E6A"/>
    <w:rsid w:val="00217548"/>
    <w:rsid w:val="002204CB"/>
    <w:rsid w:val="0022374A"/>
    <w:rsid w:val="002237FD"/>
    <w:rsid w:val="00223BE2"/>
    <w:rsid w:val="00224E04"/>
    <w:rsid w:val="00225662"/>
    <w:rsid w:val="00225FD2"/>
    <w:rsid w:val="00226A17"/>
    <w:rsid w:val="002277FC"/>
    <w:rsid w:val="00227B56"/>
    <w:rsid w:val="002309E7"/>
    <w:rsid w:val="00230D66"/>
    <w:rsid w:val="0023108C"/>
    <w:rsid w:val="002327AB"/>
    <w:rsid w:val="00233DC3"/>
    <w:rsid w:val="00234A73"/>
    <w:rsid w:val="002360B1"/>
    <w:rsid w:val="002401B7"/>
    <w:rsid w:val="00240574"/>
    <w:rsid w:val="00241017"/>
    <w:rsid w:val="00242591"/>
    <w:rsid w:val="00243CC1"/>
    <w:rsid w:val="0024415B"/>
    <w:rsid w:val="0024416C"/>
    <w:rsid w:val="00244C02"/>
    <w:rsid w:val="002460C4"/>
    <w:rsid w:val="0024649C"/>
    <w:rsid w:val="002464E8"/>
    <w:rsid w:val="0024668F"/>
    <w:rsid w:val="0024763A"/>
    <w:rsid w:val="002478E1"/>
    <w:rsid w:val="00247EFA"/>
    <w:rsid w:val="00250EE2"/>
    <w:rsid w:val="002513D1"/>
    <w:rsid w:val="00253400"/>
    <w:rsid w:val="00254076"/>
    <w:rsid w:val="00254DDF"/>
    <w:rsid w:val="00255170"/>
    <w:rsid w:val="00255190"/>
    <w:rsid w:val="002553F1"/>
    <w:rsid w:val="0025741D"/>
    <w:rsid w:val="002577C7"/>
    <w:rsid w:val="002606C5"/>
    <w:rsid w:val="002611CD"/>
    <w:rsid w:val="0026199E"/>
    <w:rsid w:val="00261F33"/>
    <w:rsid w:val="00263B09"/>
    <w:rsid w:val="00263CD8"/>
    <w:rsid w:val="002640DD"/>
    <w:rsid w:val="0026517B"/>
    <w:rsid w:val="00267221"/>
    <w:rsid w:val="00267B47"/>
    <w:rsid w:val="00270CC6"/>
    <w:rsid w:val="0027113C"/>
    <w:rsid w:val="00271C5A"/>
    <w:rsid w:val="00272E33"/>
    <w:rsid w:val="0027439E"/>
    <w:rsid w:val="00280BE8"/>
    <w:rsid w:val="00281681"/>
    <w:rsid w:val="0028178A"/>
    <w:rsid w:val="00282E6C"/>
    <w:rsid w:val="002830C3"/>
    <w:rsid w:val="00283F54"/>
    <w:rsid w:val="00284646"/>
    <w:rsid w:val="00285426"/>
    <w:rsid w:val="00287104"/>
    <w:rsid w:val="002919D5"/>
    <w:rsid w:val="00291CF6"/>
    <w:rsid w:val="00293A02"/>
    <w:rsid w:val="00293E78"/>
    <w:rsid w:val="002940E2"/>
    <w:rsid w:val="0029552C"/>
    <w:rsid w:val="00296770"/>
    <w:rsid w:val="00296A8E"/>
    <w:rsid w:val="002971F2"/>
    <w:rsid w:val="002975C8"/>
    <w:rsid w:val="002A0F51"/>
    <w:rsid w:val="002A1310"/>
    <w:rsid w:val="002A16D1"/>
    <w:rsid w:val="002A2BEB"/>
    <w:rsid w:val="002A32FB"/>
    <w:rsid w:val="002A4383"/>
    <w:rsid w:val="002A46E6"/>
    <w:rsid w:val="002A6B23"/>
    <w:rsid w:val="002A6FCA"/>
    <w:rsid w:val="002A759C"/>
    <w:rsid w:val="002A7AF3"/>
    <w:rsid w:val="002B0EDD"/>
    <w:rsid w:val="002B0FA3"/>
    <w:rsid w:val="002B1F2A"/>
    <w:rsid w:val="002B2D4B"/>
    <w:rsid w:val="002B2FA8"/>
    <w:rsid w:val="002B406A"/>
    <w:rsid w:val="002B476B"/>
    <w:rsid w:val="002B533A"/>
    <w:rsid w:val="002B598B"/>
    <w:rsid w:val="002B747A"/>
    <w:rsid w:val="002B7781"/>
    <w:rsid w:val="002C1273"/>
    <w:rsid w:val="002C12BB"/>
    <w:rsid w:val="002C219D"/>
    <w:rsid w:val="002C39D3"/>
    <w:rsid w:val="002C437F"/>
    <w:rsid w:val="002C4EC9"/>
    <w:rsid w:val="002C64EB"/>
    <w:rsid w:val="002C69DC"/>
    <w:rsid w:val="002D00EB"/>
    <w:rsid w:val="002D014B"/>
    <w:rsid w:val="002D04D9"/>
    <w:rsid w:val="002D0AE7"/>
    <w:rsid w:val="002D0FC8"/>
    <w:rsid w:val="002D1069"/>
    <w:rsid w:val="002D12B8"/>
    <w:rsid w:val="002D41DA"/>
    <w:rsid w:val="002D4381"/>
    <w:rsid w:val="002D622E"/>
    <w:rsid w:val="002D6C40"/>
    <w:rsid w:val="002D7412"/>
    <w:rsid w:val="002D7741"/>
    <w:rsid w:val="002D7A0E"/>
    <w:rsid w:val="002E0441"/>
    <w:rsid w:val="002E0FCD"/>
    <w:rsid w:val="002E12CF"/>
    <w:rsid w:val="002E1427"/>
    <w:rsid w:val="002E1F1E"/>
    <w:rsid w:val="002E2F4A"/>
    <w:rsid w:val="002E3352"/>
    <w:rsid w:val="002E367A"/>
    <w:rsid w:val="002E3806"/>
    <w:rsid w:val="002E383F"/>
    <w:rsid w:val="002E38B0"/>
    <w:rsid w:val="002E3983"/>
    <w:rsid w:val="002E3AEC"/>
    <w:rsid w:val="002E4CD6"/>
    <w:rsid w:val="002E5462"/>
    <w:rsid w:val="002E639F"/>
    <w:rsid w:val="002E726A"/>
    <w:rsid w:val="002E74F0"/>
    <w:rsid w:val="002F04FC"/>
    <w:rsid w:val="002F0980"/>
    <w:rsid w:val="002F289F"/>
    <w:rsid w:val="002F292D"/>
    <w:rsid w:val="002F2EBD"/>
    <w:rsid w:val="002F3451"/>
    <w:rsid w:val="002F3D87"/>
    <w:rsid w:val="002F4CD7"/>
    <w:rsid w:val="002F5755"/>
    <w:rsid w:val="002F5BA0"/>
    <w:rsid w:val="002F6927"/>
    <w:rsid w:val="002F792B"/>
    <w:rsid w:val="002F7CA4"/>
    <w:rsid w:val="0030068A"/>
    <w:rsid w:val="00300B08"/>
    <w:rsid w:val="00300F75"/>
    <w:rsid w:val="00301E61"/>
    <w:rsid w:val="00302A74"/>
    <w:rsid w:val="00303CF1"/>
    <w:rsid w:val="00303FFE"/>
    <w:rsid w:val="00304182"/>
    <w:rsid w:val="003101F5"/>
    <w:rsid w:val="003123A1"/>
    <w:rsid w:val="00312D6C"/>
    <w:rsid w:val="00313732"/>
    <w:rsid w:val="00314235"/>
    <w:rsid w:val="003146FC"/>
    <w:rsid w:val="00314FE8"/>
    <w:rsid w:val="003152B7"/>
    <w:rsid w:val="00315EF4"/>
    <w:rsid w:val="0031749E"/>
    <w:rsid w:val="0032039D"/>
    <w:rsid w:val="003207A3"/>
    <w:rsid w:val="00321901"/>
    <w:rsid w:val="00321C73"/>
    <w:rsid w:val="00323185"/>
    <w:rsid w:val="00323492"/>
    <w:rsid w:val="00323F5D"/>
    <w:rsid w:val="003246D4"/>
    <w:rsid w:val="003249E4"/>
    <w:rsid w:val="00325B66"/>
    <w:rsid w:val="003263A2"/>
    <w:rsid w:val="0032654E"/>
    <w:rsid w:val="00326A96"/>
    <w:rsid w:val="003274B6"/>
    <w:rsid w:val="003311CB"/>
    <w:rsid w:val="003320E4"/>
    <w:rsid w:val="003329A7"/>
    <w:rsid w:val="00332AC6"/>
    <w:rsid w:val="0033375E"/>
    <w:rsid w:val="00333ED4"/>
    <w:rsid w:val="0033511F"/>
    <w:rsid w:val="00335803"/>
    <w:rsid w:val="00335C99"/>
    <w:rsid w:val="003361A8"/>
    <w:rsid w:val="00336AE5"/>
    <w:rsid w:val="00336DAF"/>
    <w:rsid w:val="003373C5"/>
    <w:rsid w:val="00337DF9"/>
    <w:rsid w:val="00337F46"/>
    <w:rsid w:val="0034463B"/>
    <w:rsid w:val="003446E7"/>
    <w:rsid w:val="003447AC"/>
    <w:rsid w:val="00344CCE"/>
    <w:rsid w:val="00344EF7"/>
    <w:rsid w:val="00345FDF"/>
    <w:rsid w:val="003475FC"/>
    <w:rsid w:val="0035184D"/>
    <w:rsid w:val="00351BC3"/>
    <w:rsid w:val="00352F74"/>
    <w:rsid w:val="00353656"/>
    <w:rsid w:val="003537FF"/>
    <w:rsid w:val="00354D44"/>
    <w:rsid w:val="00356130"/>
    <w:rsid w:val="003568F7"/>
    <w:rsid w:val="00356A0C"/>
    <w:rsid w:val="00357BE4"/>
    <w:rsid w:val="00360A69"/>
    <w:rsid w:val="00361E08"/>
    <w:rsid w:val="00362278"/>
    <w:rsid w:val="00363205"/>
    <w:rsid w:val="0036459A"/>
    <w:rsid w:val="003645A4"/>
    <w:rsid w:val="003655B6"/>
    <w:rsid w:val="0036607C"/>
    <w:rsid w:val="0036613D"/>
    <w:rsid w:val="0036749A"/>
    <w:rsid w:val="00367B5C"/>
    <w:rsid w:val="00370870"/>
    <w:rsid w:val="00371069"/>
    <w:rsid w:val="003711B7"/>
    <w:rsid w:val="003712B2"/>
    <w:rsid w:val="0037352D"/>
    <w:rsid w:val="0037392C"/>
    <w:rsid w:val="00373CC5"/>
    <w:rsid w:val="0037567D"/>
    <w:rsid w:val="003765DA"/>
    <w:rsid w:val="00376F16"/>
    <w:rsid w:val="0038017D"/>
    <w:rsid w:val="00380AC7"/>
    <w:rsid w:val="003811B5"/>
    <w:rsid w:val="00381BAD"/>
    <w:rsid w:val="00382432"/>
    <w:rsid w:val="00384390"/>
    <w:rsid w:val="00385C1A"/>
    <w:rsid w:val="00385D9E"/>
    <w:rsid w:val="003905F9"/>
    <w:rsid w:val="00390CFE"/>
    <w:rsid w:val="00391EC0"/>
    <w:rsid w:val="003926CA"/>
    <w:rsid w:val="003927CD"/>
    <w:rsid w:val="00393B4D"/>
    <w:rsid w:val="0039459E"/>
    <w:rsid w:val="00394D32"/>
    <w:rsid w:val="00397E82"/>
    <w:rsid w:val="003A22A1"/>
    <w:rsid w:val="003A25A0"/>
    <w:rsid w:val="003A28F2"/>
    <w:rsid w:val="003A36CF"/>
    <w:rsid w:val="003A3DDF"/>
    <w:rsid w:val="003A4E37"/>
    <w:rsid w:val="003A4E75"/>
    <w:rsid w:val="003A5E38"/>
    <w:rsid w:val="003A60BB"/>
    <w:rsid w:val="003B0180"/>
    <w:rsid w:val="003B0A34"/>
    <w:rsid w:val="003B0F16"/>
    <w:rsid w:val="003B239A"/>
    <w:rsid w:val="003B2D3D"/>
    <w:rsid w:val="003B3158"/>
    <w:rsid w:val="003B3896"/>
    <w:rsid w:val="003B4574"/>
    <w:rsid w:val="003B555F"/>
    <w:rsid w:val="003B7346"/>
    <w:rsid w:val="003B76EE"/>
    <w:rsid w:val="003B7A81"/>
    <w:rsid w:val="003B7D3D"/>
    <w:rsid w:val="003C0EE4"/>
    <w:rsid w:val="003C229E"/>
    <w:rsid w:val="003C3F35"/>
    <w:rsid w:val="003C41FE"/>
    <w:rsid w:val="003C6BFA"/>
    <w:rsid w:val="003C6D7F"/>
    <w:rsid w:val="003D3566"/>
    <w:rsid w:val="003D3D1F"/>
    <w:rsid w:val="003D433D"/>
    <w:rsid w:val="003D48E6"/>
    <w:rsid w:val="003D4D26"/>
    <w:rsid w:val="003D4ECE"/>
    <w:rsid w:val="003D64F4"/>
    <w:rsid w:val="003D6981"/>
    <w:rsid w:val="003D6F8A"/>
    <w:rsid w:val="003D7627"/>
    <w:rsid w:val="003D7F6D"/>
    <w:rsid w:val="003E075E"/>
    <w:rsid w:val="003E0A46"/>
    <w:rsid w:val="003E138E"/>
    <w:rsid w:val="003E2775"/>
    <w:rsid w:val="003E2DE8"/>
    <w:rsid w:val="003E4AAD"/>
    <w:rsid w:val="003E4B98"/>
    <w:rsid w:val="003E61D0"/>
    <w:rsid w:val="003E6D14"/>
    <w:rsid w:val="003E6F91"/>
    <w:rsid w:val="003E7471"/>
    <w:rsid w:val="003F22C3"/>
    <w:rsid w:val="003F2D76"/>
    <w:rsid w:val="003F3894"/>
    <w:rsid w:val="003F4A4D"/>
    <w:rsid w:val="003F531B"/>
    <w:rsid w:val="003F566F"/>
    <w:rsid w:val="003F6097"/>
    <w:rsid w:val="004004F3"/>
    <w:rsid w:val="00400BC8"/>
    <w:rsid w:val="004014A5"/>
    <w:rsid w:val="004015DB"/>
    <w:rsid w:val="004019E5"/>
    <w:rsid w:val="004024AF"/>
    <w:rsid w:val="00402DE5"/>
    <w:rsid w:val="004051BD"/>
    <w:rsid w:val="00407460"/>
    <w:rsid w:val="004109A2"/>
    <w:rsid w:val="00410C5E"/>
    <w:rsid w:val="00414663"/>
    <w:rsid w:val="00414A57"/>
    <w:rsid w:val="0041582E"/>
    <w:rsid w:val="004159BD"/>
    <w:rsid w:val="004175A7"/>
    <w:rsid w:val="004175D8"/>
    <w:rsid w:val="00420265"/>
    <w:rsid w:val="00423394"/>
    <w:rsid w:val="00423756"/>
    <w:rsid w:val="0042464E"/>
    <w:rsid w:val="00424794"/>
    <w:rsid w:val="004253D1"/>
    <w:rsid w:val="00427E1E"/>
    <w:rsid w:val="004301B3"/>
    <w:rsid w:val="0043091C"/>
    <w:rsid w:val="004309D1"/>
    <w:rsid w:val="00430CF9"/>
    <w:rsid w:val="00431B79"/>
    <w:rsid w:val="00433852"/>
    <w:rsid w:val="0043472A"/>
    <w:rsid w:val="0043492B"/>
    <w:rsid w:val="00435914"/>
    <w:rsid w:val="00435C68"/>
    <w:rsid w:val="004366BE"/>
    <w:rsid w:val="004372F1"/>
    <w:rsid w:val="004376C2"/>
    <w:rsid w:val="00437D76"/>
    <w:rsid w:val="00441B65"/>
    <w:rsid w:val="004438EA"/>
    <w:rsid w:val="00444528"/>
    <w:rsid w:val="0044477B"/>
    <w:rsid w:val="0044479A"/>
    <w:rsid w:val="004454E6"/>
    <w:rsid w:val="00445552"/>
    <w:rsid w:val="00446159"/>
    <w:rsid w:val="004478A1"/>
    <w:rsid w:val="00447EAF"/>
    <w:rsid w:val="00450BD3"/>
    <w:rsid w:val="00454496"/>
    <w:rsid w:val="004546F1"/>
    <w:rsid w:val="00455BB8"/>
    <w:rsid w:val="004570CC"/>
    <w:rsid w:val="00460C7F"/>
    <w:rsid w:val="00460CFB"/>
    <w:rsid w:val="00461305"/>
    <w:rsid w:val="00461352"/>
    <w:rsid w:val="00461C3F"/>
    <w:rsid w:val="00464731"/>
    <w:rsid w:val="004647FE"/>
    <w:rsid w:val="0046538B"/>
    <w:rsid w:val="004669BA"/>
    <w:rsid w:val="00466D60"/>
    <w:rsid w:val="00466E4D"/>
    <w:rsid w:val="00467C87"/>
    <w:rsid w:val="0047074F"/>
    <w:rsid w:val="00470D35"/>
    <w:rsid w:val="00471672"/>
    <w:rsid w:val="0047215F"/>
    <w:rsid w:val="00473EB0"/>
    <w:rsid w:val="00474517"/>
    <w:rsid w:val="00474690"/>
    <w:rsid w:val="00476416"/>
    <w:rsid w:val="00476B65"/>
    <w:rsid w:val="00480553"/>
    <w:rsid w:val="004838BE"/>
    <w:rsid w:val="00484E59"/>
    <w:rsid w:val="0048554F"/>
    <w:rsid w:val="004855F8"/>
    <w:rsid w:val="00485DF8"/>
    <w:rsid w:val="004874E1"/>
    <w:rsid w:val="00490299"/>
    <w:rsid w:val="004906A1"/>
    <w:rsid w:val="00491443"/>
    <w:rsid w:val="00491865"/>
    <w:rsid w:val="00492578"/>
    <w:rsid w:val="004938A1"/>
    <w:rsid w:val="004940E8"/>
    <w:rsid w:val="004942F5"/>
    <w:rsid w:val="00495465"/>
    <w:rsid w:val="00495EC9"/>
    <w:rsid w:val="00497288"/>
    <w:rsid w:val="004A0115"/>
    <w:rsid w:val="004A4C7D"/>
    <w:rsid w:val="004A59FA"/>
    <w:rsid w:val="004A69A1"/>
    <w:rsid w:val="004A6B35"/>
    <w:rsid w:val="004A70F4"/>
    <w:rsid w:val="004B0DF0"/>
    <w:rsid w:val="004B191D"/>
    <w:rsid w:val="004B231A"/>
    <w:rsid w:val="004B28FA"/>
    <w:rsid w:val="004B29FB"/>
    <w:rsid w:val="004B3921"/>
    <w:rsid w:val="004B43D1"/>
    <w:rsid w:val="004B5CD5"/>
    <w:rsid w:val="004B70C0"/>
    <w:rsid w:val="004C0BC2"/>
    <w:rsid w:val="004C0DE7"/>
    <w:rsid w:val="004C1AB6"/>
    <w:rsid w:val="004C1D11"/>
    <w:rsid w:val="004C1D2E"/>
    <w:rsid w:val="004C30EE"/>
    <w:rsid w:val="004C3303"/>
    <w:rsid w:val="004C372C"/>
    <w:rsid w:val="004C3E95"/>
    <w:rsid w:val="004C6261"/>
    <w:rsid w:val="004C73AA"/>
    <w:rsid w:val="004D0B6C"/>
    <w:rsid w:val="004D1274"/>
    <w:rsid w:val="004D2021"/>
    <w:rsid w:val="004D3086"/>
    <w:rsid w:val="004D30B3"/>
    <w:rsid w:val="004D3124"/>
    <w:rsid w:val="004D37BC"/>
    <w:rsid w:val="004D37D6"/>
    <w:rsid w:val="004D437B"/>
    <w:rsid w:val="004D4890"/>
    <w:rsid w:val="004D490C"/>
    <w:rsid w:val="004D4CE0"/>
    <w:rsid w:val="004D562F"/>
    <w:rsid w:val="004D5705"/>
    <w:rsid w:val="004D6F17"/>
    <w:rsid w:val="004D71C2"/>
    <w:rsid w:val="004D7F3A"/>
    <w:rsid w:val="004E16FF"/>
    <w:rsid w:val="004E19DC"/>
    <w:rsid w:val="004E22CD"/>
    <w:rsid w:val="004E288C"/>
    <w:rsid w:val="004E2D8B"/>
    <w:rsid w:val="004E364E"/>
    <w:rsid w:val="004E58C4"/>
    <w:rsid w:val="004E5AB8"/>
    <w:rsid w:val="004F0A77"/>
    <w:rsid w:val="004F12FF"/>
    <w:rsid w:val="004F17DE"/>
    <w:rsid w:val="004F1BC1"/>
    <w:rsid w:val="004F558F"/>
    <w:rsid w:val="004F5C32"/>
    <w:rsid w:val="004F5DB8"/>
    <w:rsid w:val="004F6057"/>
    <w:rsid w:val="00500C8E"/>
    <w:rsid w:val="00501658"/>
    <w:rsid w:val="00501F71"/>
    <w:rsid w:val="00502ED1"/>
    <w:rsid w:val="00503CCE"/>
    <w:rsid w:val="00504006"/>
    <w:rsid w:val="00504A43"/>
    <w:rsid w:val="00504CD8"/>
    <w:rsid w:val="0050533F"/>
    <w:rsid w:val="005053D6"/>
    <w:rsid w:val="00505B05"/>
    <w:rsid w:val="00506636"/>
    <w:rsid w:val="0050689E"/>
    <w:rsid w:val="005069A2"/>
    <w:rsid w:val="00506B57"/>
    <w:rsid w:val="00512391"/>
    <w:rsid w:val="0051299D"/>
    <w:rsid w:val="0051304A"/>
    <w:rsid w:val="00513DA7"/>
    <w:rsid w:val="00513E85"/>
    <w:rsid w:val="0051544E"/>
    <w:rsid w:val="00516F2A"/>
    <w:rsid w:val="00520A1F"/>
    <w:rsid w:val="00522588"/>
    <w:rsid w:val="00522ABD"/>
    <w:rsid w:val="00522CBD"/>
    <w:rsid w:val="00527229"/>
    <w:rsid w:val="005277C3"/>
    <w:rsid w:val="00530640"/>
    <w:rsid w:val="00530B43"/>
    <w:rsid w:val="00531143"/>
    <w:rsid w:val="00531470"/>
    <w:rsid w:val="00532680"/>
    <w:rsid w:val="00532B90"/>
    <w:rsid w:val="0053333D"/>
    <w:rsid w:val="00533BC3"/>
    <w:rsid w:val="00536073"/>
    <w:rsid w:val="00540DD4"/>
    <w:rsid w:val="00542118"/>
    <w:rsid w:val="0054230D"/>
    <w:rsid w:val="00543911"/>
    <w:rsid w:val="00544096"/>
    <w:rsid w:val="00544760"/>
    <w:rsid w:val="00546288"/>
    <w:rsid w:val="005464B8"/>
    <w:rsid w:val="005475F8"/>
    <w:rsid w:val="0055192F"/>
    <w:rsid w:val="00552E89"/>
    <w:rsid w:val="00553D08"/>
    <w:rsid w:val="00554136"/>
    <w:rsid w:val="005553F3"/>
    <w:rsid w:val="005554F0"/>
    <w:rsid w:val="00556A1C"/>
    <w:rsid w:val="00557728"/>
    <w:rsid w:val="00560A85"/>
    <w:rsid w:val="00560BA6"/>
    <w:rsid w:val="0056158F"/>
    <w:rsid w:val="00561EE2"/>
    <w:rsid w:val="00564249"/>
    <w:rsid w:val="005647EA"/>
    <w:rsid w:val="00567D17"/>
    <w:rsid w:val="005700F9"/>
    <w:rsid w:val="00570178"/>
    <w:rsid w:val="0057250D"/>
    <w:rsid w:val="00574BAD"/>
    <w:rsid w:val="005763C9"/>
    <w:rsid w:val="005779DB"/>
    <w:rsid w:val="00577A46"/>
    <w:rsid w:val="0058092D"/>
    <w:rsid w:val="00580B4B"/>
    <w:rsid w:val="00580C79"/>
    <w:rsid w:val="005810BA"/>
    <w:rsid w:val="00581C3F"/>
    <w:rsid w:val="00583AA5"/>
    <w:rsid w:val="00583BDE"/>
    <w:rsid w:val="005847AC"/>
    <w:rsid w:val="005853DD"/>
    <w:rsid w:val="00586388"/>
    <w:rsid w:val="005869BC"/>
    <w:rsid w:val="00586FD5"/>
    <w:rsid w:val="0058744F"/>
    <w:rsid w:val="00587920"/>
    <w:rsid w:val="005926A4"/>
    <w:rsid w:val="00592820"/>
    <w:rsid w:val="00592F51"/>
    <w:rsid w:val="005932B0"/>
    <w:rsid w:val="00594A20"/>
    <w:rsid w:val="0059516C"/>
    <w:rsid w:val="005955A3"/>
    <w:rsid w:val="00596CF2"/>
    <w:rsid w:val="005A04F4"/>
    <w:rsid w:val="005A08BC"/>
    <w:rsid w:val="005A0F6D"/>
    <w:rsid w:val="005A1884"/>
    <w:rsid w:val="005A24F3"/>
    <w:rsid w:val="005A3CE2"/>
    <w:rsid w:val="005A3E7A"/>
    <w:rsid w:val="005A4B78"/>
    <w:rsid w:val="005A4F4C"/>
    <w:rsid w:val="005A6A56"/>
    <w:rsid w:val="005A6B3F"/>
    <w:rsid w:val="005A76BC"/>
    <w:rsid w:val="005A7A75"/>
    <w:rsid w:val="005B01B1"/>
    <w:rsid w:val="005B04E2"/>
    <w:rsid w:val="005B0B54"/>
    <w:rsid w:val="005B0CD8"/>
    <w:rsid w:val="005B19CE"/>
    <w:rsid w:val="005B280A"/>
    <w:rsid w:val="005B7065"/>
    <w:rsid w:val="005B7C36"/>
    <w:rsid w:val="005C0F93"/>
    <w:rsid w:val="005C21BB"/>
    <w:rsid w:val="005C2489"/>
    <w:rsid w:val="005C2800"/>
    <w:rsid w:val="005C2869"/>
    <w:rsid w:val="005C2C5C"/>
    <w:rsid w:val="005C2E3B"/>
    <w:rsid w:val="005C3336"/>
    <w:rsid w:val="005C3C2B"/>
    <w:rsid w:val="005C5514"/>
    <w:rsid w:val="005C654D"/>
    <w:rsid w:val="005C7F60"/>
    <w:rsid w:val="005D03C8"/>
    <w:rsid w:val="005D0C6E"/>
    <w:rsid w:val="005D1142"/>
    <w:rsid w:val="005D16BA"/>
    <w:rsid w:val="005D24DE"/>
    <w:rsid w:val="005D254F"/>
    <w:rsid w:val="005D416D"/>
    <w:rsid w:val="005D4285"/>
    <w:rsid w:val="005D45A1"/>
    <w:rsid w:val="005D4644"/>
    <w:rsid w:val="005D4B3F"/>
    <w:rsid w:val="005D62A8"/>
    <w:rsid w:val="005D6EB4"/>
    <w:rsid w:val="005D7089"/>
    <w:rsid w:val="005D715B"/>
    <w:rsid w:val="005D7384"/>
    <w:rsid w:val="005D773A"/>
    <w:rsid w:val="005E099D"/>
    <w:rsid w:val="005E0B3B"/>
    <w:rsid w:val="005E0F2D"/>
    <w:rsid w:val="005E101F"/>
    <w:rsid w:val="005E1E68"/>
    <w:rsid w:val="005E2D33"/>
    <w:rsid w:val="005E3407"/>
    <w:rsid w:val="005E471C"/>
    <w:rsid w:val="005E4DF2"/>
    <w:rsid w:val="005E52BD"/>
    <w:rsid w:val="005E5480"/>
    <w:rsid w:val="005E5A21"/>
    <w:rsid w:val="005E5C63"/>
    <w:rsid w:val="005E5E7A"/>
    <w:rsid w:val="005E63E9"/>
    <w:rsid w:val="005E6DE9"/>
    <w:rsid w:val="005E7942"/>
    <w:rsid w:val="005E7B38"/>
    <w:rsid w:val="005E7CEA"/>
    <w:rsid w:val="005F0F49"/>
    <w:rsid w:val="005F13BF"/>
    <w:rsid w:val="005F15A2"/>
    <w:rsid w:val="005F191A"/>
    <w:rsid w:val="005F1E59"/>
    <w:rsid w:val="005F1F06"/>
    <w:rsid w:val="005F3E92"/>
    <w:rsid w:val="005F49DB"/>
    <w:rsid w:val="005F62A7"/>
    <w:rsid w:val="005F63F2"/>
    <w:rsid w:val="005F7331"/>
    <w:rsid w:val="0060235F"/>
    <w:rsid w:val="00602762"/>
    <w:rsid w:val="00602856"/>
    <w:rsid w:val="00606639"/>
    <w:rsid w:val="00610611"/>
    <w:rsid w:val="00610CDC"/>
    <w:rsid w:val="006119BD"/>
    <w:rsid w:val="00611A55"/>
    <w:rsid w:val="00615A29"/>
    <w:rsid w:val="00616C89"/>
    <w:rsid w:val="006175BE"/>
    <w:rsid w:val="00617718"/>
    <w:rsid w:val="00621862"/>
    <w:rsid w:val="006240DB"/>
    <w:rsid w:val="00624283"/>
    <w:rsid w:val="006253F2"/>
    <w:rsid w:val="00627DD0"/>
    <w:rsid w:val="00630C76"/>
    <w:rsid w:val="0063182F"/>
    <w:rsid w:val="00631C4F"/>
    <w:rsid w:val="00632C04"/>
    <w:rsid w:val="00632FFA"/>
    <w:rsid w:val="00633B5E"/>
    <w:rsid w:val="00634358"/>
    <w:rsid w:val="00634F78"/>
    <w:rsid w:val="0063530C"/>
    <w:rsid w:val="006357D6"/>
    <w:rsid w:val="00635AB8"/>
    <w:rsid w:val="00636E55"/>
    <w:rsid w:val="00637586"/>
    <w:rsid w:val="0063775C"/>
    <w:rsid w:val="0063788D"/>
    <w:rsid w:val="00640424"/>
    <w:rsid w:val="006407B9"/>
    <w:rsid w:val="00640FC8"/>
    <w:rsid w:val="00641317"/>
    <w:rsid w:val="00641868"/>
    <w:rsid w:val="00642C43"/>
    <w:rsid w:val="0064504D"/>
    <w:rsid w:val="006455F0"/>
    <w:rsid w:val="00645D97"/>
    <w:rsid w:val="0064664E"/>
    <w:rsid w:val="00646FC3"/>
    <w:rsid w:val="00647165"/>
    <w:rsid w:val="00647FEE"/>
    <w:rsid w:val="00650819"/>
    <w:rsid w:val="00650C23"/>
    <w:rsid w:val="00651515"/>
    <w:rsid w:val="006518D1"/>
    <w:rsid w:val="00653460"/>
    <w:rsid w:val="006534D4"/>
    <w:rsid w:val="00654F00"/>
    <w:rsid w:val="00655FE4"/>
    <w:rsid w:val="0065758B"/>
    <w:rsid w:val="006575BB"/>
    <w:rsid w:val="0065776D"/>
    <w:rsid w:val="00657934"/>
    <w:rsid w:val="0066010B"/>
    <w:rsid w:val="00660FE6"/>
    <w:rsid w:val="00661ABB"/>
    <w:rsid w:val="006628B0"/>
    <w:rsid w:val="00663023"/>
    <w:rsid w:val="006630D4"/>
    <w:rsid w:val="006631A4"/>
    <w:rsid w:val="00663817"/>
    <w:rsid w:val="006641C0"/>
    <w:rsid w:val="006642DA"/>
    <w:rsid w:val="0066457F"/>
    <w:rsid w:val="006660CF"/>
    <w:rsid w:val="00666426"/>
    <w:rsid w:val="00666D27"/>
    <w:rsid w:val="006711E7"/>
    <w:rsid w:val="00671315"/>
    <w:rsid w:val="00673245"/>
    <w:rsid w:val="006747ED"/>
    <w:rsid w:val="0067544F"/>
    <w:rsid w:val="006766DB"/>
    <w:rsid w:val="00676BAE"/>
    <w:rsid w:val="00677070"/>
    <w:rsid w:val="00677934"/>
    <w:rsid w:val="00677AE0"/>
    <w:rsid w:val="00680D84"/>
    <w:rsid w:val="006826D4"/>
    <w:rsid w:val="00682D55"/>
    <w:rsid w:val="006830EA"/>
    <w:rsid w:val="00686524"/>
    <w:rsid w:val="0068741C"/>
    <w:rsid w:val="00687DD5"/>
    <w:rsid w:val="00690450"/>
    <w:rsid w:val="00690508"/>
    <w:rsid w:val="00693D21"/>
    <w:rsid w:val="006942B8"/>
    <w:rsid w:val="006962E2"/>
    <w:rsid w:val="0069687B"/>
    <w:rsid w:val="00696D70"/>
    <w:rsid w:val="00697E19"/>
    <w:rsid w:val="006A0CA4"/>
    <w:rsid w:val="006A10CD"/>
    <w:rsid w:val="006A1CD3"/>
    <w:rsid w:val="006A31E2"/>
    <w:rsid w:val="006A5C17"/>
    <w:rsid w:val="006B2EC0"/>
    <w:rsid w:val="006B35A2"/>
    <w:rsid w:val="006B3EB2"/>
    <w:rsid w:val="006B4CBC"/>
    <w:rsid w:val="006B5A63"/>
    <w:rsid w:val="006B6F10"/>
    <w:rsid w:val="006B73C0"/>
    <w:rsid w:val="006B7908"/>
    <w:rsid w:val="006B797C"/>
    <w:rsid w:val="006C0F9A"/>
    <w:rsid w:val="006C1950"/>
    <w:rsid w:val="006C341D"/>
    <w:rsid w:val="006C4485"/>
    <w:rsid w:val="006C6823"/>
    <w:rsid w:val="006D071E"/>
    <w:rsid w:val="006D1009"/>
    <w:rsid w:val="006D1C47"/>
    <w:rsid w:val="006D24CD"/>
    <w:rsid w:val="006D258B"/>
    <w:rsid w:val="006D2871"/>
    <w:rsid w:val="006D3DC2"/>
    <w:rsid w:val="006D4260"/>
    <w:rsid w:val="006D443E"/>
    <w:rsid w:val="006D50ED"/>
    <w:rsid w:val="006D60A2"/>
    <w:rsid w:val="006D6680"/>
    <w:rsid w:val="006E03E5"/>
    <w:rsid w:val="006E1881"/>
    <w:rsid w:val="006E2459"/>
    <w:rsid w:val="006E2FBF"/>
    <w:rsid w:val="006E45C4"/>
    <w:rsid w:val="006E474C"/>
    <w:rsid w:val="006E493C"/>
    <w:rsid w:val="006E750B"/>
    <w:rsid w:val="006E7B12"/>
    <w:rsid w:val="006F14CD"/>
    <w:rsid w:val="006F170B"/>
    <w:rsid w:val="006F19AA"/>
    <w:rsid w:val="006F219A"/>
    <w:rsid w:val="006F2736"/>
    <w:rsid w:val="006F2937"/>
    <w:rsid w:val="006F2EC6"/>
    <w:rsid w:val="006F4B22"/>
    <w:rsid w:val="006F706A"/>
    <w:rsid w:val="006F7B44"/>
    <w:rsid w:val="006F7C18"/>
    <w:rsid w:val="00700042"/>
    <w:rsid w:val="00701319"/>
    <w:rsid w:val="00702A2D"/>
    <w:rsid w:val="00702C28"/>
    <w:rsid w:val="00703916"/>
    <w:rsid w:val="00703DAF"/>
    <w:rsid w:val="00703F41"/>
    <w:rsid w:val="00705CCB"/>
    <w:rsid w:val="007074A5"/>
    <w:rsid w:val="00710737"/>
    <w:rsid w:val="0071096F"/>
    <w:rsid w:val="007110F3"/>
    <w:rsid w:val="00715B91"/>
    <w:rsid w:val="00716756"/>
    <w:rsid w:val="007173EE"/>
    <w:rsid w:val="00717E8A"/>
    <w:rsid w:val="007206C0"/>
    <w:rsid w:val="0072095B"/>
    <w:rsid w:val="007210ED"/>
    <w:rsid w:val="00721801"/>
    <w:rsid w:val="0072310C"/>
    <w:rsid w:val="007249BF"/>
    <w:rsid w:val="007265D0"/>
    <w:rsid w:val="00727DD0"/>
    <w:rsid w:val="00730222"/>
    <w:rsid w:val="00730438"/>
    <w:rsid w:val="007310D2"/>
    <w:rsid w:val="00731318"/>
    <w:rsid w:val="007317E3"/>
    <w:rsid w:val="00731DB1"/>
    <w:rsid w:val="00733211"/>
    <w:rsid w:val="00733559"/>
    <w:rsid w:val="00733980"/>
    <w:rsid w:val="00733BBF"/>
    <w:rsid w:val="00733C35"/>
    <w:rsid w:val="00734053"/>
    <w:rsid w:val="00734078"/>
    <w:rsid w:val="007342F8"/>
    <w:rsid w:val="00734B48"/>
    <w:rsid w:val="00734C01"/>
    <w:rsid w:val="0073601A"/>
    <w:rsid w:val="00736ED1"/>
    <w:rsid w:val="00741E8A"/>
    <w:rsid w:val="007421CA"/>
    <w:rsid w:val="007423F6"/>
    <w:rsid w:val="00742F07"/>
    <w:rsid w:val="007434FC"/>
    <w:rsid w:val="00743D62"/>
    <w:rsid w:val="00745636"/>
    <w:rsid w:val="0074576D"/>
    <w:rsid w:val="00745972"/>
    <w:rsid w:val="007475B1"/>
    <w:rsid w:val="007507AC"/>
    <w:rsid w:val="0075343C"/>
    <w:rsid w:val="0075367E"/>
    <w:rsid w:val="00754492"/>
    <w:rsid w:val="00754767"/>
    <w:rsid w:val="0075487F"/>
    <w:rsid w:val="00755C50"/>
    <w:rsid w:val="007572CF"/>
    <w:rsid w:val="00757C08"/>
    <w:rsid w:val="007604BD"/>
    <w:rsid w:val="0076117B"/>
    <w:rsid w:val="00762A1D"/>
    <w:rsid w:val="00762F02"/>
    <w:rsid w:val="00763217"/>
    <w:rsid w:val="00763FD2"/>
    <w:rsid w:val="007657DD"/>
    <w:rsid w:val="00766E22"/>
    <w:rsid w:val="007673A5"/>
    <w:rsid w:val="00767DD7"/>
    <w:rsid w:val="00770F7C"/>
    <w:rsid w:val="00770FEF"/>
    <w:rsid w:val="007719D7"/>
    <w:rsid w:val="00772241"/>
    <w:rsid w:val="0077262C"/>
    <w:rsid w:val="0077533B"/>
    <w:rsid w:val="00777BCF"/>
    <w:rsid w:val="00777DED"/>
    <w:rsid w:val="007814C0"/>
    <w:rsid w:val="00781708"/>
    <w:rsid w:val="00782C61"/>
    <w:rsid w:val="007840E1"/>
    <w:rsid w:val="00784570"/>
    <w:rsid w:val="007845C6"/>
    <w:rsid w:val="00784C0D"/>
    <w:rsid w:val="00784D8F"/>
    <w:rsid w:val="00784D9A"/>
    <w:rsid w:val="007850F3"/>
    <w:rsid w:val="007851C5"/>
    <w:rsid w:val="00786C8C"/>
    <w:rsid w:val="00787DCC"/>
    <w:rsid w:val="00791D93"/>
    <w:rsid w:val="007934B6"/>
    <w:rsid w:val="007934CC"/>
    <w:rsid w:val="007939C3"/>
    <w:rsid w:val="00793CA2"/>
    <w:rsid w:val="0079432F"/>
    <w:rsid w:val="00794720"/>
    <w:rsid w:val="00795776"/>
    <w:rsid w:val="00796ED4"/>
    <w:rsid w:val="007A15CE"/>
    <w:rsid w:val="007A1ABD"/>
    <w:rsid w:val="007A24C2"/>
    <w:rsid w:val="007A3C92"/>
    <w:rsid w:val="007A3E15"/>
    <w:rsid w:val="007A3E19"/>
    <w:rsid w:val="007A4077"/>
    <w:rsid w:val="007A5251"/>
    <w:rsid w:val="007A55D3"/>
    <w:rsid w:val="007A5691"/>
    <w:rsid w:val="007A6888"/>
    <w:rsid w:val="007B0427"/>
    <w:rsid w:val="007B08FF"/>
    <w:rsid w:val="007B0920"/>
    <w:rsid w:val="007B093D"/>
    <w:rsid w:val="007B35AC"/>
    <w:rsid w:val="007B66E8"/>
    <w:rsid w:val="007B697A"/>
    <w:rsid w:val="007B7380"/>
    <w:rsid w:val="007B73FF"/>
    <w:rsid w:val="007C22EA"/>
    <w:rsid w:val="007C23CA"/>
    <w:rsid w:val="007C2F2D"/>
    <w:rsid w:val="007C3E60"/>
    <w:rsid w:val="007C444C"/>
    <w:rsid w:val="007C5131"/>
    <w:rsid w:val="007C51B7"/>
    <w:rsid w:val="007C5DF9"/>
    <w:rsid w:val="007C626C"/>
    <w:rsid w:val="007C7E30"/>
    <w:rsid w:val="007D1C40"/>
    <w:rsid w:val="007D2001"/>
    <w:rsid w:val="007D3A9B"/>
    <w:rsid w:val="007D45C1"/>
    <w:rsid w:val="007D5966"/>
    <w:rsid w:val="007D5AF1"/>
    <w:rsid w:val="007D7BB6"/>
    <w:rsid w:val="007D7C4D"/>
    <w:rsid w:val="007E04EE"/>
    <w:rsid w:val="007E0944"/>
    <w:rsid w:val="007E16AA"/>
    <w:rsid w:val="007E1F22"/>
    <w:rsid w:val="007E283E"/>
    <w:rsid w:val="007E2ADC"/>
    <w:rsid w:val="007E5674"/>
    <w:rsid w:val="007E56D1"/>
    <w:rsid w:val="007E7E81"/>
    <w:rsid w:val="007F0649"/>
    <w:rsid w:val="007F35E5"/>
    <w:rsid w:val="007F3BA6"/>
    <w:rsid w:val="007F3F18"/>
    <w:rsid w:val="007F4851"/>
    <w:rsid w:val="007F486E"/>
    <w:rsid w:val="007F5BD3"/>
    <w:rsid w:val="007F6CCE"/>
    <w:rsid w:val="0080219A"/>
    <w:rsid w:val="00802C42"/>
    <w:rsid w:val="00802D67"/>
    <w:rsid w:val="00803AA7"/>
    <w:rsid w:val="008046B4"/>
    <w:rsid w:val="00804B81"/>
    <w:rsid w:val="00805388"/>
    <w:rsid w:val="008058BF"/>
    <w:rsid w:val="008068D7"/>
    <w:rsid w:val="0080692B"/>
    <w:rsid w:val="008077C9"/>
    <w:rsid w:val="008117B5"/>
    <w:rsid w:val="00813693"/>
    <w:rsid w:val="00814F12"/>
    <w:rsid w:val="008152CD"/>
    <w:rsid w:val="0081557E"/>
    <w:rsid w:val="00816E53"/>
    <w:rsid w:val="00820277"/>
    <w:rsid w:val="00822564"/>
    <w:rsid w:val="00822C1F"/>
    <w:rsid w:val="008234F6"/>
    <w:rsid w:val="00824500"/>
    <w:rsid w:val="00825544"/>
    <w:rsid w:val="00825B23"/>
    <w:rsid w:val="00825C06"/>
    <w:rsid w:val="00826137"/>
    <w:rsid w:val="008269BA"/>
    <w:rsid w:val="008271F7"/>
    <w:rsid w:val="00833024"/>
    <w:rsid w:val="00833AFB"/>
    <w:rsid w:val="00833D58"/>
    <w:rsid w:val="00834490"/>
    <w:rsid w:val="0083498F"/>
    <w:rsid w:val="008349D7"/>
    <w:rsid w:val="00834FDD"/>
    <w:rsid w:val="00835A8F"/>
    <w:rsid w:val="00837CDE"/>
    <w:rsid w:val="00841453"/>
    <w:rsid w:val="00841814"/>
    <w:rsid w:val="00841B45"/>
    <w:rsid w:val="00841C30"/>
    <w:rsid w:val="008425F6"/>
    <w:rsid w:val="00843450"/>
    <w:rsid w:val="00843710"/>
    <w:rsid w:val="00843C19"/>
    <w:rsid w:val="008469C2"/>
    <w:rsid w:val="00850F20"/>
    <w:rsid w:val="00852AEF"/>
    <w:rsid w:val="00852BD3"/>
    <w:rsid w:val="00852E7E"/>
    <w:rsid w:val="008545A7"/>
    <w:rsid w:val="008561D1"/>
    <w:rsid w:val="008563E3"/>
    <w:rsid w:val="00856F03"/>
    <w:rsid w:val="00856F0E"/>
    <w:rsid w:val="0086125A"/>
    <w:rsid w:val="00861A64"/>
    <w:rsid w:val="00862023"/>
    <w:rsid w:val="00862757"/>
    <w:rsid w:val="00864132"/>
    <w:rsid w:val="00864AD1"/>
    <w:rsid w:val="0086500E"/>
    <w:rsid w:val="00865A10"/>
    <w:rsid w:val="00865B82"/>
    <w:rsid w:val="00866E5C"/>
    <w:rsid w:val="0086781B"/>
    <w:rsid w:val="00871D86"/>
    <w:rsid w:val="008729DD"/>
    <w:rsid w:val="0087357E"/>
    <w:rsid w:val="00873B2A"/>
    <w:rsid w:val="00873DE3"/>
    <w:rsid w:val="0087488E"/>
    <w:rsid w:val="0087550E"/>
    <w:rsid w:val="00875A17"/>
    <w:rsid w:val="00875D1E"/>
    <w:rsid w:val="00875DD0"/>
    <w:rsid w:val="00876218"/>
    <w:rsid w:val="008803DF"/>
    <w:rsid w:val="00881014"/>
    <w:rsid w:val="00883B97"/>
    <w:rsid w:val="008843E7"/>
    <w:rsid w:val="00884990"/>
    <w:rsid w:val="00885F80"/>
    <w:rsid w:val="008870BB"/>
    <w:rsid w:val="00887F18"/>
    <w:rsid w:val="00887F88"/>
    <w:rsid w:val="008912AE"/>
    <w:rsid w:val="00893889"/>
    <w:rsid w:val="00893D98"/>
    <w:rsid w:val="008950C4"/>
    <w:rsid w:val="00896631"/>
    <w:rsid w:val="00896C3E"/>
    <w:rsid w:val="00896DFA"/>
    <w:rsid w:val="0089762D"/>
    <w:rsid w:val="00897691"/>
    <w:rsid w:val="008A0072"/>
    <w:rsid w:val="008A007B"/>
    <w:rsid w:val="008A114A"/>
    <w:rsid w:val="008A1EF5"/>
    <w:rsid w:val="008A235E"/>
    <w:rsid w:val="008A2796"/>
    <w:rsid w:val="008A4775"/>
    <w:rsid w:val="008A5A18"/>
    <w:rsid w:val="008A5F15"/>
    <w:rsid w:val="008A6BB0"/>
    <w:rsid w:val="008A7AE1"/>
    <w:rsid w:val="008B16BB"/>
    <w:rsid w:val="008B379D"/>
    <w:rsid w:val="008B3BA8"/>
    <w:rsid w:val="008B4E46"/>
    <w:rsid w:val="008B4F26"/>
    <w:rsid w:val="008B655E"/>
    <w:rsid w:val="008B7036"/>
    <w:rsid w:val="008B735A"/>
    <w:rsid w:val="008B7495"/>
    <w:rsid w:val="008C0182"/>
    <w:rsid w:val="008C043B"/>
    <w:rsid w:val="008C127A"/>
    <w:rsid w:val="008C14F2"/>
    <w:rsid w:val="008C297C"/>
    <w:rsid w:val="008C48C1"/>
    <w:rsid w:val="008C4950"/>
    <w:rsid w:val="008C582E"/>
    <w:rsid w:val="008C6A0B"/>
    <w:rsid w:val="008C6A54"/>
    <w:rsid w:val="008C6F58"/>
    <w:rsid w:val="008C771B"/>
    <w:rsid w:val="008C796C"/>
    <w:rsid w:val="008C79F7"/>
    <w:rsid w:val="008D060A"/>
    <w:rsid w:val="008D1898"/>
    <w:rsid w:val="008D2E72"/>
    <w:rsid w:val="008D4F49"/>
    <w:rsid w:val="008D57B4"/>
    <w:rsid w:val="008D5A52"/>
    <w:rsid w:val="008D6E16"/>
    <w:rsid w:val="008D7223"/>
    <w:rsid w:val="008D7B01"/>
    <w:rsid w:val="008E0FE2"/>
    <w:rsid w:val="008E229F"/>
    <w:rsid w:val="008E2ED3"/>
    <w:rsid w:val="008E4731"/>
    <w:rsid w:val="008E65EE"/>
    <w:rsid w:val="008E75F1"/>
    <w:rsid w:val="008F1F9A"/>
    <w:rsid w:val="008F2DC5"/>
    <w:rsid w:val="008F3791"/>
    <w:rsid w:val="008F486C"/>
    <w:rsid w:val="008F4B5D"/>
    <w:rsid w:val="008F61D9"/>
    <w:rsid w:val="008F72CA"/>
    <w:rsid w:val="00901CF1"/>
    <w:rsid w:val="00902983"/>
    <w:rsid w:val="00902D00"/>
    <w:rsid w:val="00903C4E"/>
    <w:rsid w:val="0090402C"/>
    <w:rsid w:val="00904181"/>
    <w:rsid w:val="00904716"/>
    <w:rsid w:val="0090579F"/>
    <w:rsid w:val="00906436"/>
    <w:rsid w:val="0090657F"/>
    <w:rsid w:val="0090746B"/>
    <w:rsid w:val="009102A5"/>
    <w:rsid w:val="00910635"/>
    <w:rsid w:val="00910806"/>
    <w:rsid w:val="00910A29"/>
    <w:rsid w:val="009111B6"/>
    <w:rsid w:val="00911405"/>
    <w:rsid w:val="009126FE"/>
    <w:rsid w:val="00913F3E"/>
    <w:rsid w:val="00913FF1"/>
    <w:rsid w:val="009146DC"/>
    <w:rsid w:val="00914A2B"/>
    <w:rsid w:val="00917718"/>
    <w:rsid w:val="0092058E"/>
    <w:rsid w:val="00922577"/>
    <w:rsid w:val="00922CC1"/>
    <w:rsid w:val="00923721"/>
    <w:rsid w:val="00923DFB"/>
    <w:rsid w:val="0092524C"/>
    <w:rsid w:val="009257EB"/>
    <w:rsid w:val="009260D5"/>
    <w:rsid w:val="0092628C"/>
    <w:rsid w:val="00927460"/>
    <w:rsid w:val="0093009F"/>
    <w:rsid w:val="00930444"/>
    <w:rsid w:val="00930CAF"/>
    <w:rsid w:val="00934861"/>
    <w:rsid w:val="00934C50"/>
    <w:rsid w:val="00935501"/>
    <w:rsid w:val="00935C16"/>
    <w:rsid w:val="00940F87"/>
    <w:rsid w:val="0094141E"/>
    <w:rsid w:val="009419C7"/>
    <w:rsid w:val="00941A62"/>
    <w:rsid w:val="009426BE"/>
    <w:rsid w:val="00942B5F"/>
    <w:rsid w:val="00944B37"/>
    <w:rsid w:val="0094544D"/>
    <w:rsid w:val="00945656"/>
    <w:rsid w:val="009477EA"/>
    <w:rsid w:val="00950477"/>
    <w:rsid w:val="0095073B"/>
    <w:rsid w:val="00950AD6"/>
    <w:rsid w:val="00951525"/>
    <w:rsid w:val="00951671"/>
    <w:rsid w:val="009516E4"/>
    <w:rsid w:val="00951FC8"/>
    <w:rsid w:val="00952D20"/>
    <w:rsid w:val="009542E5"/>
    <w:rsid w:val="009544DC"/>
    <w:rsid w:val="00955E16"/>
    <w:rsid w:val="0095623D"/>
    <w:rsid w:val="00956710"/>
    <w:rsid w:val="00957B28"/>
    <w:rsid w:val="00957BC9"/>
    <w:rsid w:val="009605DA"/>
    <w:rsid w:val="00960753"/>
    <w:rsid w:val="00960E33"/>
    <w:rsid w:val="0096170E"/>
    <w:rsid w:val="00963C59"/>
    <w:rsid w:val="00963EFE"/>
    <w:rsid w:val="00965D88"/>
    <w:rsid w:val="00965EE6"/>
    <w:rsid w:val="00966478"/>
    <w:rsid w:val="00970249"/>
    <w:rsid w:val="0097096D"/>
    <w:rsid w:val="00970E77"/>
    <w:rsid w:val="00970FF0"/>
    <w:rsid w:val="00972090"/>
    <w:rsid w:val="00972B40"/>
    <w:rsid w:val="00975135"/>
    <w:rsid w:val="009755FF"/>
    <w:rsid w:val="00975C86"/>
    <w:rsid w:val="009762A9"/>
    <w:rsid w:val="00980568"/>
    <w:rsid w:val="009814D3"/>
    <w:rsid w:val="00981D70"/>
    <w:rsid w:val="00982D8A"/>
    <w:rsid w:val="0098303B"/>
    <w:rsid w:val="009834F8"/>
    <w:rsid w:val="00983CA8"/>
    <w:rsid w:val="0098786D"/>
    <w:rsid w:val="00991322"/>
    <w:rsid w:val="0099163E"/>
    <w:rsid w:val="00991F2C"/>
    <w:rsid w:val="00992D4E"/>
    <w:rsid w:val="009935C8"/>
    <w:rsid w:val="00994371"/>
    <w:rsid w:val="00994731"/>
    <w:rsid w:val="0099484B"/>
    <w:rsid w:val="00995EA0"/>
    <w:rsid w:val="009A0DD7"/>
    <w:rsid w:val="009A0E71"/>
    <w:rsid w:val="009A28C8"/>
    <w:rsid w:val="009A2CA9"/>
    <w:rsid w:val="009A3E0B"/>
    <w:rsid w:val="009A472E"/>
    <w:rsid w:val="009A4A26"/>
    <w:rsid w:val="009A6280"/>
    <w:rsid w:val="009A764F"/>
    <w:rsid w:val="009B0B88"/>
    <w:rsid w:val="009B0E4D"/>
    <w:rsid w:val="009B17DB"/>
    <w:rsid w:val="009B4042"/>
    <w:rsid w:val="009B5772"/>
    <w:rsid w:val="009B5981"/>
    <w:rsid w:val="009B5C3B"/>
    <w:rsid w:val="009B61E8"/>
    <w:rsid w:val="009B6635"/>
    <w:rsid w:val="009B763E"/>
    <w:rsid w:val="009B7E78"/>
    <w:rsid w:val="009C01C7"/>
    <w:rsid w:val="009C26FE"/>
    <w:rsid w:val="009C2807"/>
    <w:rsid w:val="009C498D"/>
    <w:rsid w:val="009C5109"/>
    <w:rsid w:val="009C6A8B"/>
    <w:rsid w:val="009C7A91"/>
    <w:rsid w:val="009D0458"/>
    <w:rsid w:val="009D4300"/>
    <w:rsid w:val="009D4C9F"/>
    <w:rsid w:val="009D54C8"/>
    <w:rsid w:val="009E08D5"/>
    <w:rsid w:val="009E0AE8"/>
    <w:rsid w:val="009E0B16"/>
    <w:rsid w:val="009E1427"/>
    <w:rsid w:val="009E3EF5"/>
    <w:rsid w:val="009E45AF"/>
    <w:rsid w:val="009E4A4E"/>
    <w:rsid w:val="009E74D9"/>
    <w:rsid w:val="009F0844"/>
    <w:rsid w:val="009F167C"/>
    <w:rsid w:val="009F2FED"/>
    <w:rsid w:val="009F32A8"/>
    <w:rsid w:val="009F37CA"/>
    <w:rsid w:val="009F5280"/>
    <w:rsid w:val="009F545C"/>
    <w:rsid w:val="00A00701"/>
    <w:rsid w:val="00A00BE1"/>
    <w:rsid w:val="00A02D28"/>
    <w:rsid w:val="00A04657"/>
    <w:rsid w:val="00A05CF7"/>
    <w:rsid w:val="00A06492"/>
    <w:rsid w:val="00A0729C"/>
    <w:rsid w:val="00A102A7"/>
    <w:rsid w:val="00A1094D"/>
    <w:rsid w:val="00A109A8"/>
    <w:rsid w:val="00A10A1A"/>
    <w:rsid w:val="00A10AA1"/>
    <w:rsid w:val="00A11099"/>
    <w:rsid w:val="00A1132A"/>
    <w:rsid w:val="00A11659"/>
    <w:rsid w:val="00A12503"/>
    <w:rsid w:val="00A13201"/>
    <w:rsid w:val="00A132C7"/>
    <w:rsid w:val="00A13B07"/>
    <w:rsid w:val="00A1788D"/>
    <w:rsid w:val="00A215CA"/>
    <w:rsid w:val="00A218E5"/>
    <w:rsid w:val="00A22A1C"/>
    <w:rsid w:val="00A22A25"/>
    <w:rsid w:val="00A25DD6"/>
    <w:rsid w:val="00A26408"/>
    <w:rsid w:val="00A271DC"/>
    <w:rsid w:val="00A272DB"/>
    <w:rsid w:val="00A27670"/>
    <w:rsid w:val="00A27CC8"/>
    <w:rsid w:val="00A3090A"/>
    <w:rsid w:val="00A31394"/>
    <w:rsid w:val="00A3296C"/>
    <w:rsid w:val="00A3402C"/>
    <w:rsid w:val="00A3439B"/>
    <w:rsid w:val="00A343EB"/>
    <w:rsid w:val="00A36681"/>
    <w:rsid w:val="00A3735E"/>
    <w:rsid w:val="00A406C7"/>
    <w:rsid w:val="00A41114"/>
    <w:rsid w:val="00A44651"/>
    <w:rsid w:val="00A50AFC"/>
    <w:rsid w:val="00A50B2C"/>
    <w:rsid w:val="00A50E49"/>
    <w:rsid w:val="00A5166F"/>
    <w:rsid w:val="00A51F10"/>
    <w:rsid w:val="00A51F89"/>
    <w:rsid w:val="00A52741"/>
    <w:rsid w:val="00A550F4"/>
    <w:rsid w:val="00A56772"/>
    <w:rsid w:val="00A5685A"/>
    <w:rsid w:val="00A56C3E"/>
    <w:rsid w:val="00A56E35"/>
    <w:rsid w:val="00A57125"/>
    <w:rsid w:val="00A60CBF"/>
    <w:rsid w:val="00A61624"/>
    <w:rsid w:val="00A61A8F"/>
    <w:rsid w:val="00A61B4C"/>
    <w:rsid w:val="00A63659"/>
    <w:rsid w:val="00A6467F"/>
    <w:rsid w:val="00A657C7"/>
    <w:rsid w:val="00A65E42"/>
    <w:rsid w:val="00A663D5"/>
    <w:rsid w:val="00A66AF4"/>
    <w:rsid w:val="00A6765B"/>
    <w:rsid w:val="00A67F87"/>
    <w:rsid w:val="00A7169A"/>
    <w:rsid w:val="00A71860"/>
    <w:rsid w:val="00A722E2"/>
    <w:rsid w:val="00A72505"/>
    <w:rsid w:val="00A73262"/>
    <w:rsid w:val="00A73400"/>
    <w:rsid w:val="00A737B5"/>
    <w:rsid w:val="00A73D6F"/>
    <w:rsid w:val="00A747AC"/>
    <w:rsid w:val="00A75DBA"/>
    <w:rsid w:val="00A76533"/>
    <w:rsid w:val="00A80161"/>
    <w:rsid w:val="00A81DC2"/>
    <w:rsid w:val="00A83BB1"/>
    <w:rsid w:val="00A85704"/>
    <w:rsid w:val="00A8633B"/>
    <w:rsid w:val="00A867C7"/>
    <w:rsid w:val="00A878A9"/>
    <w:rsid w:val="00A90D3F"/>
    <w:rsid w:val="00A91AEB"/>
    <w:rsid w:val="00A940EB"/>
    <w:rsid w:val="00A96028"/>
    <w:rsid w:val="00A96792"/>
    <w:rsid w:val="00A9702B"/>
    <w:rsid w:val="00A974B5"/>
    <w:rsid w:val="00A976F7"/>
    <w:rsid w:val="00A9778D"/>
    <w:rsid w:val="00A97EA8"/>
    <w:rsid w:val="00AA00A0"/>
    <w:rsid w:val="00AA0C1A"/>
    <w:rsid w:val="00AA153E"/>
    <w:rsid w:val="00AA381B"/>
    <w:rsid w:val="00AA3CF9"/>
    <w:rsid w:val="00AA4075"/>
    <w:rsid w:val="00AA42B6"/>
    <w:rsid w:val="00AA435E"/>
    <w:rsid w:val="00AA4806"/>
    <w:rsid w:val="00AA4CEE"/>
    <w:rsid w:val="00AA5637"/>
    <w:rsid w:val="00AA592B"/>
    <w:rsid w:val="00AA61FC"/>
    <w:rsid w:val="00AA6C56"/>
    <w:rsid w:val="00AB161D"/>
    <w:rsid w:val="00AB1866"/>
    <w:rsid w:val="00AB1886"/>
    <w:rsid w:val="00AB1DD1"/>
    <w:rsid w:val="00AB37C2"/>
    <w:rsid w:val="00AB5BF7"/>
    <w:rsid w:val="00AB5F9D"/>
    <w:rsid w:val="00AC0F5C"/>
    <w:rsid w:val="00AC258E"/>
    <w:rsid w:val="00AC35C4"/>
    <w:rsid w:val="00AC3EC7"/>
    <w:rsid w:val="00AC40B6"/>
    <w:rsid w:val="00AC46E9"/>
    <w:rsid w:val="00AC48FA"/>
    <w:rsid w:val="00AC4A36"/>
    <w:rsid w:val="00AC4BE0"/>
    <w:rsid w:val="00AC537B"/>
    <w:rsid w:val="00AC542D"/>
    <w:rsid w:val="00AC5773"/>
    <w:rsid w:val="00AC75DA"/>
    <w:rsid w:val="00AC79D9"/>
    <w:rsid w:val="00AD0160"/>
    <w:rsid w:val="00AD1CE5"/>
    <w:rsid w:val="00AD2265"/>
    <w:rsid w:val="00AD253A"/>
    <w:rsid w:val="00AD3E5E"/>
    <w:rsid w:val="00AD432F"/>
    <w:rsid w:val="00AD662F"/>
    <w:rsid w:val="00AD6BB3"/>
    <w:rsid w:val="00AD6BC3"/>
    <w:rsid w:val="00AD7783"/>
    <w:rsid w:val="00AD77CD"/>
    <w:rsid w:val="00AE23D5"/>
    <w:rsid w:val="00AE35BB"/>
    <w:rsid w:val="00AE3FBB"/>
    <w:rsid w:val="00AE5007"/>
    <w:rsid w:val="00AE5112"/>
    <w:rsid w:val="00AE5244"/>
    <w:rsid w:val="00AE5CEB"/>
    <w:rsid w:val="00AE5F79"/>
    <w:rsid w:val="00AE6FF8"/>
    <w:rsid w:val="00AF13C1"/>
    <w:rsid w:val="00AF13C4"/>
    <w:rsid w:val="00AF15C1"/>
    <w:rsid w:val="00AF1C16"/>
    <w:rsid w:val="00AF2272"/>
    <w:rsid w:val="00AF264A"/>
    <w:rsid w:val="00AF2688"/>
    <w:rsid w:val="00AF3559"/>
    <w:rsid w:val="00AF38EC"/>
    <w:rsid w:val="00AF3AD6"/>
    <w:rsid w:val="00AF431D"/>
    <w:rsid w:val="00AF5339"/>
    <w:rsid w:val="00AF7410"/>
    <w:rsid w:val="00B005E1"/>
    <w:rsid w:val="00B00EBB"/>
    <w:rsid w:val="00B0161F"/>
    <w:rsid w:val="00B04168"/>
    <w:rsid w:val="00B0440F"/>
    <w:rsid w:val="00B04514"/>
    <w:rsid w:val="00B07642"/>
    <w:rsid w:val="00B11938"/>
    <w:rsid w:val="00B13B12"/>
    <w:rsid w:val="00B13D8B"/>
    <w:rsid w:val="00B14A03"/>
    <w:rsid w:val="00B156B3"/>
    <w:rsid w:val="00B15ECD"/>
    <w:rsid w:val="00B1616F"/>
    <w:rsid w:val="00B17589"/>
    <w:rsid w:val="00B1782F"/>
    <w:rsid w:val="00B20A8B"/>
    <w:rsid w:val="00B20BC1"/>
    <w:rsid w:val="00B21A94"/>
    <w:rsid w:val="00B221A0"/>
    <w:rsid w:val="00B22B72"/>
    <w:rsid w:val="00B23841"/>
    <w:rsid w:val="00B239B1"/>
    <w:rsid w:val="00B23E40"/>
    <w:rsid w:val="00B23EAD"/>
    <w:rsid w:val="00B24F96"/>
    <w:rsid w:val="00B25085"/>
    <w:rsid w:val="00B2654C"/>
    <w:rsid w:val="00B2713A"/>
    <w:rsid w:val="00B27343"/>
    <w:rsid w:val="00B27442"/>
    <w:rsid w:val="00B27F3D"/>
    <w:rsid w:val="00B27F87"/>
    <w:rsid w:val="00B30496"/>
    <w:rsid w:val="00B30DAB"/>
    <w:rsid w:val="00B3143D"/>
    <w:rsid w:val="00B31962"/>
    <w:rsid w:val="00B321A9"/>
    <w:rsid w:val="00B32E48"/>
    <w:rsid w:val="00B33E92"/>
    <w:rsid w:val="00B355DB"/>
    <w:rsid w:val="00B35A54"/>
    <w:rsid w:val="00B37DC7"/>
    <w:rsid w:val="00B40D7A"/>
    <w:rsid w:val="00B410D1"/>
    <w:rsid w:val="00B4317D"/>
    <w:rsid w:val="00B450EB"/>
    <w:rsid w:val="00B455D5"/>
    <w:rsid w:val="00B45D98"/>
    <w:rsid w:val="00B45E05"/>
    <w:rsid w:val="00B47418"/>
    <w:rsid w:val="00B50668"/>
    <w:rsid w:val="00B5066A"/>
    <w:rsid w:val="00B50A94"/>
    <w:rsid w:val="00B513FC"/>
    <w:rsid w:val="00B52E3D"/>
    <w:rsid w:val="00B5393A"/>
    <w:rsid w:val="00B53B42"/>
    <w:rsid w:val="00B561F7"/>
    <w:rsid w:val="00B56427"/>
    <w:rsid w:val="00B56546"/>
    <w:rsid w:val="00B5776D"/>
    <w:rsid w:val="00B57834"/>
    <w:rsid w:val="00B57F4A"/>
    <w:rsid w:val="00B6060F"/>
    <w:rsid w:val="00B61281"/>
    <w:rsid w:val="00B61B84"/>
    <w:rsid w:val="00B6336D"/>
    <w:rsid w:val="00B644DC"/>
    <w:rsid w:val="00B649E2"/>
    <w:rsid w:val="00B66374"/>
    <w:rsid w:val="00B66B99"/>
    <w:rsid w:val="00B70DF2"/>
    <w:rsid w:val="00B70F62"/>
    <w:rsid w:val="00B70FA0"/>
    <w:rsid w:val="00B71249"/>
    <w:rsid w:val="00B71E1E"/>
    <w:rsid w:val="00B724B0"/>
    <w:rsid w:val="00B7368D"/>
    <w:rsid w:val="00B74832"/>
    <w:rsid w:val="00B7509B"/>
    <w:rsid w:val="00B75B0B"/>
    <w:rsid w:val="00B769C2"/>
    <w:rsid w:val="00B77599"/>
    <w:rsid w:val="00B81A4F"/>
    <w:rsid w:val="00B81DF8"/>
    <w:rsid w:val="00B828D7"/>
    <w:rsid w:val="00B82B87"/>
    <w:rsid w:val="00B83744"/>
    <w:rsid w:val="00B857C1"/>
    <w:rsid w:val="00B87991"/>
    <w:rsid w:val="00B92A4C"/>
    <w:rsid w:val="00B92C61"/>
    <w:rsid w:val="00B94A20"/>
    <w:rsid w:val="00B94C2B"/>
    <w:rsid w:val="00B95136"/>
    <w:rsid w:val="00B95253"/>
    <w:rsid w:val="00B9664E"/>
    <w:rsid w:val="00BA010A"/>
    <w:rsid w:val="00BA1CF3"/>
    <w:rsid w:val="00BA2146"/>
    <w:rsid w:val="00BA2416"/>
    <w:rsid w:val="00BA2602"/>
    <w:rsid w:val="00BA3ADA"/>
    <w:rsid w:val="00BA47AA"/>
    <w:rsid w:val="00BA4EE9"/>
    <w:rsid w:val="00BA511D"/>
    <w:rsid w:val="00BA5167"/>
    <w:rsid w:val="00BA5837"/>
    <w:rsid w:val="00BA5F86"/>
    <w:rsid w:val="00BA6162"/>
    <w:rsid w:val="00BA7587"/>
    <w:rsid w:val="00BB0107"/>
    <w:rsid w:val="00BB0EEC"/>
    <w:rsid w:val="00BB1B79"/>
    <w:rsid w:val="00BB2CFC"/>
    <w:rsid w:val="00BB2ECA"/>
    <w:rsid w:val="00BB2F3B"/>
    <w:rsid w:val="00BB3405"/>
    <w:rsid w:val="00BB467E"/>
    <w:rsid w:val="00BB472F"/>
    <w:rsid w:val="00BB631A"/>
    <w:rsid w:val="00BB7178"/>
    <w:rsid w:val="00BC0EDF"/>
    <w:rsid w:val="00BC29E7"/>
    <w:rsid w:val="00BC29FB"/>
    <w:rsid w:val="00BC2EFB"/>
    <w:rsid w:val="00BC321F"/>
    <w:rsid w:val="00BC37E1"/>
    <w:rsid w:val="00BC425D"/>
    <w:rsid w:val="00BC65F9"/>
    <w:rsid w:val="00BC6822"/>
    <w:rsid w:val="00BC76C1"/>
    <w:rsid w:val="00BC772C"/>
    <w:rsid w:val="00BD073D"/>
    <w:rsid w:val="00BD2582"/>
    <w:rsid w:val="00BD331B"/>
    <w:rsid w:val="00BD3B4E"/>
    <w:rsid w:val="00BD4737"/>
    <w:rsid w:val="00BD54BE"/>
    <w:rsid w:val="00BD6EF2"/>
    <w:rsid w:val="00BD75BE"/>
    <w:rsid w:val="00BE093D"/>
    <w:rsid w:val="00BE0D5E"/>
    <w:rsid w:val="00BE2671"/>
    <w:rsid w:val="00BE31CA"/>
    <w:rsid w:val="00BE38FC"/>
    <w:rsid w:val="00BE3A61"/>
    <w:rsid w:val="00BE48EA"/>
    <w:rsid w:val="00BE5D64"/>
    <w:rsid w:val="00BE6386"/>
    <w:rsid w:val="00BE6B83"/>
    <w:rsid w:val="00BE6CB0"/>
    <w:rsid w:val="00BF01E2"/>
    <w:rsid w:val="00BF0A6B"/>
    <w:rsid w:val="00BF172D"/>
    <w:rsid w:val="00BF17B7"/>
    <w:rsid w:val="00BF1EE5"/>
    <w:rsid w:val="00BF1F01"/>
    <w:rsid w:val="00BF2373"/>
    <w:rsid w:val="00BF2A0C"/>
    <w:rsid w:val="00BF38C2"/>
    <w:rsid w:val="00BF4E6C"/>
    <w:rsid w:val="00BF5691"/>
    <w:rsid w:val="00BF76B1"/>
    <w:rsid w:val="00C017A6"/>
    <w:rsid w:val="00C01898"/>
    <w:rsid w:val="00C021F9"/>
    <w:rsid w:val="00C027EF"/>
    <w:rsid w:val="00C03F82"/>
    <w:rsid w:val="00C04091"/>
    <w:rsid w:val="00C041B8"/>
    <w:rsid w:val="00C04246"/>
    <w:rsid w:val="00C04A90"/>
    <w:rsid w:val="00C05820"/>
    <w:rsid w:val="00C05E9A"/>
    <w:rsid w:val="00C05F3B"/>
    <w:rsid w:val="00C071F2"/>
    <w:rsid w:val="00C10A57"/>
    <w:rsid w:val="00C11E30"/>
    <w:rsid w:val="00C127CF"/>
    <w:rsid w:val="00C1372A"/>
    <w:rsid w:val="00C13FF7"/>
    <w:rsid w:val="00C15E14"/>
    <w:rsid w:val="00C1687C"/>
    <w:rsid w:val="00C20F5B"/>
    <w:rsid w:val="00C21163"/>
    <w:rsid w:val="00C213F6"/>
    <w:rsid w:val="00C21957"/>
    <w:rsid w:val="00C21A7F"/>
    <w:rsid w:val="00C23907"/>
    <w:rsid w:val="00C2502B"/>
    <w:rsid w:val="00C250A9"/>
    <w:rsid w:val="00C25E6F"/>
    <w:rsid w:val="00C2671E"/>
    <w:rsid w:val="00C3154A"/>
    <w:rsid w:val="00C31BA6"/>
    <w:rsid w:val="00C33A44"/>
    <w:rsid w:val="00C344A4"/>
    <w:rsid w:val="00C3466C"/>
    <w:rsid w:val="00C37113"/>
    <w:rsid w:val="00C402E3"/>
    <w:rsid w:val="00C40E79"/>
    <w:rsid w:val="00C4250E"/>
    <w:rsid w:val="00C42E13"/>
    <w:rsid w:val="00C44050"/>
    <w:rsid w:val="00C449B7"/>
    <w:rsid w:val="00C45852"/>
    <w:rsid w:val="00C45F0F"/>
    <w:rsid w:val="00C46130"/>
    <w:rsid w:val="00C4627B"/>
    <w:rsid w:val="00C47D9C"/>
    <w:rsid w:val="00C47F9F"/>
    <w:rsid w:val="00C5053C"/>
    <w:rsid w:val="00C50C64"/>
    <w:rsid w:val="00C50D77"/>
    <w:rsid w:val="00C511DF"/>
    <w:rsid w:val="00C529FF"/>
    <w:rsid w:val="00C5455E"/>
    <w:rsid w:val="00C55267"/>
    <w:rsid w:val="00C55661"/>
    <w:rsid w:val="00C55E31"/>
    <w:rsid w:val="00C56B76"/>
    <w:rsid w:val="00C56D3B"/>
    <w:rsid w:val="00C619EA"/>
    <w:rsid w:val="00C61F45"/>
    <w:rsid w:val="00C6468B"/>
    <w:rsid w:val="00C650F0"/>
    <w:rsid w:val="00C663A0"/>
    <w:rsid w:val="00C66E16"/>
    <w:rsid w:val="00C7051D"/>
    <w:rsid w:val="00C72C25"/>
    <w:rsid w:val="00C730BC"/>
    <w:rsid w:val="00C731C4"/>
    <w:rsid w:val="00C747AC"/>
    <w:rsid w:val="00C74A00"/>
    <w:rsid w:val="00C75410"/>
    <w:rsid w:val="00C75684"/>
    <w:rsid w:val="00C75F85"/>
    <w:rsid w:val="00C776A7"/>
    <w:rsid w:val="00C80373"/>
    <w:rsid w:val="00C8057D"/>
    <w:rsid w:val="00C80F61"/>
    <w:rsid w:val="00C8150F"/>
    <w:rsid w:val="00C83E51"/>
    <w:rsid w:val="00C84037"/>
    <w:rsid w:val="00C84306"/>
    <w:rsid w:val="00C84EA9"/>
    <w:rsid w:val="00C85F20"/>
    <w:rsid w:val="00C8728F"/>
    <w:rsid w:val="00C87BDC"/>
    <w:rsid w:val="00C91858"/>
    <w:rsid w:val="00C92D3F"/>
    <w:rsid w:val="00C92E2F"/>
    <w:rsid w:val="00C934E0"/>
    <w:rsid w:val="00C935D7"/>
    <w:rsid w:val="00C960CC"/>
    <w:rsid w:val="00C96563"/>
    <w:rsid w:val="00C975F8"/>
    <w:rsid w:val="00C979AC"/>
    <w:rsid w:val="00CA1DD4"/>
    <w:rsid w:val="00CA21CA"/>
    <w:rsid w:val="00CA2778"/>
    <w:rsid w:val="00CA295A"/>
    <w:rsid w:val="00CA3BC4"/>
    <w:rsid w:val="00CA4544"/>
    <w:rsid w:val="00CA4862"/>
    <w:rsid w:val="00CA57BB"/>
    <w:rsid w:val="00CA7815"/>
    <w:rsid w:val="00CA7FDB"/>
    <w:rsid w:val="00CB0DEB"/>
    <w:rsid w:val="00CB3C2C"/>
    <w:rsid w:val="00CB3F1B"/>
    <w:rsid w:val="00CB45E0"/>
    <w:rsid w:val="00CB4DA4"/>
    <w:rsid w:val="00CB5885"/>
    <w:rsid w:val="00CB5CD4"/>
    <w:rsid w:val="00CB63E6"/>
    <w:rsid w:val="00CB76C9"/>
    <w:rsid w:val="00CC0DE2"/>
    <w:rsid w:val="00CC1382"/>
    <w:rsid w:val="00CC1A7B"/>
    <w:rsid w:val="00CC1C27"/>
    <w:rsid w:val="00CC2098"/>
    <w:rsid w:val="00CC245E"/>
    <w:rsid w:val="00CC2D89"/>
    <w:rsid w:val="00CC3267"/>
    <w:rsid w:val="00CC3AF3"/>
    <w:rsid w:val="00CC5D59"/>
    <w:rsid w:val="00CC7A5C"/>
    <w:rsid w:val="00CD3273"/>
    <w:rsid w:val="00CD3DFF"/>
    <w:rsid w:val="00CD5815"/>
    <w:rsid w:val="00CD5B1E"/>
    <w:rsid w:val="00CD70CE"/>
    <w:rsid w:val="00CD778B"/>
    <w:rsid w:val="00CE0E76"/>
    <w:rsid w:val="00CE1F41"/>
    <w:rsid w:val="00CE203C"/>
    <w:rsid w:val="00CE2665"/>
    <w:rsid w:val="00CE2A1C"/>
    <w:rsid w:val="00CE3500"/>
    <w:rsid w:val="00CE41CC"/>
    <w:rsid w:val="00CE422F"/>
    <w:rsid w:val="00CE44AA"/>
    <w:rsid w:val="00CE485D"/>
    <w:rsid w:val="00CE4DBF"/>
    <w:rsid w:val="00CF0000"/>
    <w:rsid w:val="00CF0D87"/>
    <w:rsid w:val="00CF17AA"/>
    <w:rsid w:val="00CF17FF"/>
    <w:rsid w:val="00CF290D"/>
    <w:rsid w:val="00CF2B97"/>
    <w:rsid w:val="00CF2C71"/>
    <w:rsid w:val="00CF4781"/>
    <w:rsid w:val="00CF62BA"/>
    <w:rsid w:val="00CF72CB"/>
    <w:rsid w:val="00D01E90"/>
    <w:rsid w:val="00D01F22"/>
    <w:rsid w:val="00D021C1"/>
    <w:rsid w:val="00D0227D"/>
    <w:rsid w:val="00D026D4"/>
    <w:rsid w:val="00D0313E"/>
    <w:rsid w:val="00D0486B"/>
    <w:rsid w:val="00D054F1"/>
    <w:rsid w:val="00D06D32"/>
    <w:rsid w:val="00D102DA"/>
    <w:rsid w:val="00D118D3"/>
    <w:rsid w:val="00D1298D"/>
    <w:rsid w:val="00D12D9F"/>
    <w:rsid w:val="00D12E1C"/>
    <w:rsid w:val="00D13483"/>
    <w:rsid w:val="00D137AB"/>
    <w:rsid w:val="00D13F1F"/>
    <w:rsid w:val="00D14783"/>
    <w:rsid w:val="00D20849"/>
    <w:rsid w:val="00D21667"/>
    <w:rsid w:val="00D216F1"/>
    <w:rsid w:val="00D21B92"/>
    <w:rsid w:val="00D23D1B"/>
    <w:rsid w:val="00D2417E"/>
    <w:rsid w:val="00D24575"/>
    <w:rsid w:val="00D27DD7"/>
    <w:rsid w:val="00D303A3"/>
    <w:rsid w:val="00D30469"/>
    <w:rsid w:val="00D31993"/>
    <w:rsid w:val="00D31ADE"/>
    <w:rsid w:val="00D32884"/>
    <w:rsid w:val="00D33AAF"/>
    <w:rsid w:val="00D3733D"/>
    <w:rsid w:val="00D37B43"/>
    <w:rsid w:val="00D407F5"/>
    <w:rsid w:val="00D41092"/>
    <w:rsid w:val="00D428A4"/>
    <w:rsid w:val="00D429D3"/>
    <w:rsid w:val="00D42D3C"/>
    <w:rsid w:val="00D437E6"/>
    <w:rsid w:val="00D444B0"/>
    <w:rsid w:val="00D44ED2"/>
    <w:rsid w:val="00D45140"/>
    <w:rsid w:val="00D45AE6"/>
    <w:rsid w:val="00D461C0"/>
    <w:rsid w:val="00D462AF"/>
    <w:rsid w:val="00D518A1"/>
    <w:rsid w:val="00D519E0"/>
    <w:rsid w:val="00D51E6A"/>
    <w:rsid w:val="00D52415"/>
    <w:rsid w:val="00D541C3"/>
    <w:rsid w:val="00D5524B"/>
    <w:rsid w:val="00D5593D"/>
    <w:rsid w:val="00D55DC7"/>
    <w:rsid w:val="00D56DA1"/>
    <w:rsid w:val="00D6239A"/>
    <w:rsid w:val="00D630FF"/>
    <w:rsid w:val="00D64001"/>
    <w:rsid w:val="00D65035"/>
    <w:rsid w:val="00D65285"/>
    <w:rsid w:val="00D658D2"/>
    <w:rsid w:val="00D65C85"/>
    <w:rsid w:val="00D65D53"/>
    <w:rsid w:val="00D65EBC"/>
    <w:rsid w:val="00D668F7"/>
    <w:rsid w:val="00D67120"/>
    <w:rsid w:val="00D671E5"/>
    <w:rsid w:val="00D67340"/>
    <w:rsid w:val="00D70A2B"/>
    <w:rsid w:val="00D728FD"/>
    <w:rsid w:val="00D740A2"/>
    <w:rsid w:val="00D7516D"/>
    <w:rsid w:val="00D75C58"/>
    <w:rsid w:val="00D76BA5"/>
    <w:rsid w:val="00D76F86"/>
    <w:rsid w:val="00D774D3"/>
    <w:rsid w:val="00D77756"/>
    <w:rsid w:val="00D82B56"/>
    <w:rsid w:val="00D83018"/>
    <w:rsid w:val="00D8370F"/>
    <w:rsid w:val="00D837C9"/>
    <w:rsid w:val="00D83A04"/>
    <w:rsid w:val="00D84CA3"/>
    <w:rsid w:val="00D84F63"/>
    <w:rsid w:val="00D85EC6"/>
    <w:rsid w:val="00D86D77"/>
    <w:rsid w:val="00D86F61"/>
    <w:rsid w:val="00D90127"/>
    <w:rsid w:val="00D9080E"/>
    <w:rsid w:val="00D913BE"/>
    <w:rsid w:val="00D92F67"/>
    <w:rsid w:val="00D931FA"/>
    <w:rsid w:val="00D93D6F"/>
    <w:rsid w:val="00D942C3"/>
    <w:rsid w:val="00D954FA"/>
    <w:rsid w:val="00D957BD"/>
    <w:rsid w:val="00D95B54"/>
    <w:rsid w:val="00D97350"/>
    <w:rsid w:val="00D97766"/>
    <w:rsid w:val="00DA0884"/>
    <w:rsid w:val="00DA1B33"/>
    <w:rsid w:val="00DA21C2"/>
    <w:rsid w:val="00DA2776"/>
    <w:rsid w:val="00DA34D8"/>
    <w:rsid w:val="00DA3655"/>
    <w:rsid w:val="00DA5A57"/>
    <w:rsid w:val="00DA5B43"/>
    <w:rsid w:val="00DA6247"/>
    <w:rsid w:val="00DA7AEA"/>
    <w:rsid w:val="00DA7CA7"/>
    <w:rsid w:val="00DA7D97"/>
    <w:rsid w:val="00DB1253"/>
    <w:rsid w:val="00DB254A"/>
    <w:rsid w:val="00DB2B78"/>
    <w:rsid w:val="00DB2D72"/>
    <w:rsid w:val="00DB3B85"/>
    <w:rsid w:val="00DB404D"/>
    <w:rsid w:val="00DB5413"/>
    <w:rsid w:val="00DB590F"/>
    <w:rsid w:val="00DB6BE0"/>
    <w:rsid w:val="00DB7F02"/>
    <w:rsid w:val="00DB7FE0"/>
    <w:rsid w:val="00DC0F3C"/>
    <w:rsid w:val="00DC1C49"/>
    <w:rsid w:val="00DC25B8"/>
    <w:rsid w:val="00DC25E9"/>
    <w:rsid w:val="00DC2632"/>
    <w:rsid w:val="00DC2E97"/>
    <w:rsid w:val="00DC4204"/>
    <w:rsid w:val="00DC4D05"/>
    <w:rsid w:val="00DC602B"/>
    <w:rsid w:val="00DC6937"/>
    <w:rsid w:val="00DC6E86"/>
    <w:rsid w:val="00DC77BE"/>
    <w:rsid w:val="00DC7C22"/>
    <w:rsid w:val="00DD038F"/>
    <w:rsid w:val="00DD0DFD"/>
    <w:rsid w:val="00DD1AE6"/>
    <w:rsid w:val="00DD3F6F"/>
    <w:rsid w:val="00DD5529"/>
    <w:rsid w:val="00DD5A74"/>
    <w:rsid w:val="00DD5BCE"/>
    <w:rsid w:val="00DD6A70"/>
    <w:rsid w:val="00DD7CF0"/>
    <w:rsid w:val="00DE03E6"/>
    <w:rsid w:val="00DE0867"/>
    <w:rsid w:val="00DE135B"/>
    <w:rsid w:val="00DE1736"/>
    <w:rsid w:val="00DE2B05"/>
    <w:rsid w:val="00DE3497"/>
    <w:rsid w:val="00DE35A3"/>
    <w:rsid w:val="00DE3819"/>
    <w:rsid w:val="00DE487E"/>
    <w:rsid w:val="00DE6952"/>
    <w:rsid w:val="00DE70D5"/>
    <w:rsid w:val="00DE72CA"/>
    <w:rsid w:val="00DF0C7B"/>
    <w:rsid w:val="00DF26EA"/>
    <w:rsid w:val="00DF2A12"/>
    <w:rsid w:val="00DF3D2D"/>
    <w:rsid w:val="00DF4605"/>
    <w:rsid w:val="00DF5CD4"/>
    <w:rsid w:val="00DF605A"/>
    <w:rsid w:val="00DF7626"/>
    <w:rsid w:val="00E01CE5"/>
    <w:rsid w:val="00E021E0"/>
    <w:rsid w:val="00E023CE"/>
    <w:rsid w:val="00E026E7"/>
    <w:rsid w:val="00E02CC6"/>
    <w:rsid w:val="00E030B1"/>
    <w:rsid w:val="00E031C8"/>
    <w:rsid w:val="00E03C9A"/>
    <w:rsid w:val="00E0484E"/>
    <w:rsid w:val="00E04E29"/>
    <w:rsid w:val="00E050BC"/>
    <w:rsid w:val="00E05520"/>
    <w:rsid w:val="00E0666B"/>
    <w:rsid w:val="00E0692F"/>
    <w:rsid w:val="00E0763C"/>
    <w:rsid w:val="00E109A8"/>
    <w:rsid w:val="00E11B76"/>
    <w:rsid w:val="00E11E9A"/>
    <w:rsid w:val="00E1454B"/>
    <w:rsid w:val="00E14552"/>
    <w:rsid w:val="00E146BB"/>
    <w:rsid w:val="00E15785"/>
    <w:rsid w:val="00E15AEB"/>
    <w:rsid w:val="00E1627D"/>
    <w:rsid w:val="00E16AF4"/>
    <w:rsid w:val="00E16BD5"/>
    <w:rsid w:val="00E17D63"/>
    <w:rsid w:val="00E20736"/>
    <w:rsid w:val="00E20FF3"/>
    <w:rsid w:val="00E240B2"/>
    <w:rsid w:val="00E25353"/>
    <w:rsid w:val="00E27697"/>
    <w:rsid w:val="00E27E17"/>
    <w:rsid w:val="00E30AF6"/>
    <w:rsid w:val="00E30DBE"/>
    <w:rsid w:val="00E32B3F"/>
    <w:rsid w:val="00E3543C"/>
    <w:rsid w:val="00E36736"/>
    <w:rsid w:val="00E36785"/>
    <w:rsid w:val="00E4046D"/>
    <w:rsid w:val="00E4201E"/>
    <w:rsid w:val="00E46F02"/>
    <w:rsid w:val="00E47A42"/>
    <w:rsid w:val="00E5278A"/>
    <w:rsid w:val="00E53AD1"/>
    <w:rsid w:val="00E54C61"/>
    <w:rsid w:val="00E54DFB"/>
    <w:rsid w:val="00E5567E"/>
    <w:rsid w:val="00E55E45"/>
    <w:rsid w:val="00E56D95"/>
    <w:rsid w:val="00E571F7"/>
    <w:rsid w:val="00E5768E"/>
    <w:rsid w:val="00E601B9"/>
    <w:rsid w:val="00E6082E"/>
    <w:rsid w:val="00E614EA"/>
    <w:rsid w:val="00E62F05"/>
    <w:rsid w:val="00E63A9E"/>
    <w:rsid w:val="00E64E9F"/>
    <w:rsid w:val="00E651DF"/>
    <w:rsid w:val="00E656F8"/>
    <w:rsid w:val="00E65ED7"/>
    <w:rsid w:val="00E7096C"/>
    <w:rsid w:val="00E717A7"/>
    <w:rsid w:val="00E74A24"/>
    <w:rsid w:val="00E75676"/>
    <w:rsid w:val="00E76E11"/>
    <w:rsid w:val="00E82889"/>
    <w:rsid w:val="00E82FFF"/>
    <w:rsid w:val="00E836CC"/>
    <w:rsid w:val="00E847C7"/>
    <w:rsid w:val="00E86AE7"/>
    <w:rsid w:val="00E86B1C"/>
    <w:rsid w:val="00E86F27"/>
    <w:rsid w:val="00E87749"/>
    <w:rsid w:val="00E878C7"/>
    <w:rsid w:val="00E8798B"/>
    <w:rsid w:val="00E87DBD"/>
    <w:rsid w:val="00E9208C"/>
    <w:rsid w:val="00E92B29"/>
    <w:rsid w:val="00E946F2"/>
    <w:rsid w:val="00E94BE2"/>
    <w:rsid w:val="00E95E4E"/>
    <w:rsid w:val="00E97895"/>
    <w:rsid w:val="00EA0ED3"/>
    <w:rsid w:val="00EA107C"/>
    <w:rsid w:val="00EA342D"/>
    <w:rsid w:val="00EA6F01"/>
    <w:rsid w:val="00EA7DB0"/>
    <w:rsid w:val="00EA7EEE"/>
    <w:rsid w:val="00EB00DF"/>
    <w:rsid w:val="00EB248E"/>
    <w:rsid w:val="00EB32C0"/>
    <w:rsid w:val="00EB3E6C"/>
    <w:rsid w:val="00EB409D"/>
    <w:rsid w:val="00EB4DDA"/>
    <w:rsid w:val="00EB6414"/>
    <w:rsid w:val="00EB68C6"/>
    <w:rsid w:val="00EB7877"/>
    <w:rsid w:val="00EC09EA"/>
    <w:rsid w:val="00EC0B64"/>
    <w:rsid w:val="00EC2DC2"/>
    <w:rsid w:val="00EC3258"/>
    <w:rsid w:val="00EC380C"/>
    <w:rsid w:val="00EC3B49"/>
    <w:rsid w:val="00EC3FA7"/>
    <w:rsid w:val="00EC5420"/>
    <w:rsid w:val="00EC56C8"/>
    <w:rsid w:val="00EC75FD"/>
    <w:rsid w:val="00ED07A7"/>
    <w:rsid w:val="00ED0B62"/>
    <w:rsid w:val="00ED1747"/>
    <w:rsid w:val="00ED19DA"/>
    <w:rsid w:val="00ED2403"/>
    <w:rsid w:val="00ED2BF6"/>
    <w:rsid w:val="00ED3066"/>
    <w:rsid w:val="00ED310E"/>
    <w:rsid w:val="00ED3785"/>
    <w:rsid w:val="00ED379B"/>
    <w:rsid w:val="00ED3E1C"/>
    <w:rsid w:val="00ED40AB"/>
    <w:rsid w:val="00ED4D2E"/>
    <w:rsid w:val="00ED5010"/>
    <w:rsid w:val="00ED544F"/>
    <w:rsid w:val="00ED7599"/>
    <w:rsid w:val="00EE0356"/>
    <w:rsid w:val="00EE0D99"/>
    <w:rsid w:val="00EE222B"/>
    <w:rsid w:val="00EE4B06"/>
    <w:rsid w:val="00EE4BED"/>
    <w:rsid w:val="00EE538B"/>
    <w:rsid w:val="00EE7D0D"/>
    <w:rsid w:val="00EE7FDA"/>
    <w:rsid w:val="00EF0147"/>
    <w:rsid w:val="00EF0906"/>
    <w:rsid w:val="00EF10E2"/>
    <w:rsid w:val="00EF3A7A"/>
    <w:rsid w:val="00EF3B6E"/>
    <w:rsid w:val="00EF40E8"/>
    <w:rsid w:val="00EF5941"/>
    <w:rsid w:val="00EF67E1"/>
    <w:rsid w:val="00F00636"/>
    <w:rsid w:val="00F00B43"/>
    <w:rsid w:val="00F00CFB"/>
    <w:rsid w:val="00F0382B"/>
    <w:rsid w:val="00F03FCF"/>
    <w:rsid w:val="00F056D5"/>
    <w:rsid w:val="00F05F15"/>
    <w:rsid w:val="00F07A38"/>
    <w:rsid w:val="00F122AE"/>
    <w:rsid w:val="00F14051"/>
    <w:rsid w:val="00F1469E"/>
    <w:rsid w:val="00F14809"/>
    <w:rsid w:val="00F157A2"/>
    <w:rsid w:val="00F16590"/>
    <w:rsid w:val="00F171AC"/>
    <w:rsid w:val="00F1774E"/>
    <w:rsid w:val="00F178A5"/>
    <w:rsid w:val="00F20051"/>
    <w:rsid w:val="00F210E8"/>
    <w:rsid w:val="00F2113A"/>
    <w:rsid w:val="00F2114D"/>
    <w:rsid w:val="00F2313C"/>
    <w:rsid w:val="00F24020"/>
    <w:rsid w:val="00F259B9"/>
    <w:rsid w:val="00F25C6E"/>
    <w:rsid w:val="00F26470"/>
    <w:rsid w:val="00F26ED6"/>
    <w:rsid w:val="00F27CDA"/>
    <w:rsid w:val="00F30561"/>
    <w:rsid w:val="00F30BA7"/>
    <w:rsid w:val="00F30D3D"/>
    <w:rsid w:val="00F31673"/>
    <w:rsid w:val="00F31A93"/>
    <w:rsid w:val="00F325B0"/>
    <w:rsid w:val="00F34693"/>
    <w:rsid w:val="00F346AF"/>
    <w:rsid w:val="00F34710"/>
    <w:rsid w:val="00F37614"/>
    <w:rsid w:val="00F42287"/>
    <w:rsid w:val="00F46305"/>
    <w:rsid w:val="00F4758B"/>
    <w:rsid w:val="00F516FA"/>
    <w:rsid w:val="00F5177A"/>
    <w:rsid w:val="00F5179D"/>
    <w:rsid w:val="00F52705"/>
    <w:rsid w:val="00F528FC"/>
    <w:rsid w:val="00F5314B"/>
    <w:rsid w:val="00F53833"/>
    <w:rsid w:val="00F54583"/>
    <w:rsid w:val="00F54F67"/>
    <w:rsid w:val="00F56CE2"/>
    <w:rsid w:val="00F57B13"/>
    <w:rsid w:val="00F57BB5"/>
    <w:rsid w:val="00F62189"/>
    <w:rsid w:val="00F634BE"/>
    <w:rsid w:val="00F63FBC"/>
    <w:rsid w:val="00F6548E"/>
    <w:rsid w:val="00F66FFC"/>
    <w:rsid w:val="00F6794F"/>
    <w:rsid w:val="00F7308A"/>
    <w:rsid w:val="00F73CD0"/>
    <w:rsid w:val="00F74750"/>
    <w:rsid w:val="00F747ED"/>
    <w:rsid w:val="00F74E91"/>
    <w:rsid w:val="00F765EA"/>
    <w:rsid w:val="00F76B00"/>
    <w:rsid w:val="00F804B6"/>
    <w:rsid w:val="00F80622"/>
    <w:rsid w:val="00F81207"/>
    <w:rsid w:val="00F815D3"/>
    <w:rsid w:val="00F82D6B"/>
    <w:rsid w:val="00F8384A"/>
    <w:rsid w:val="00F85944"/>
    <w:rsid w:val="00F86240"/>
    <w:rsid w:val="00F871CD"/>
    <w:rsid w:val="00F877F8"/>
    <w:rsid w:val="00F87DBC"/>
    <w:rsid w:val="00F9061A"/>
    <w:rsid w:val="00F90BCB"/>
    <w:rsid w:val="00F91FB1"/>
    <w:rsid w:val="00F9266A"/>
    <w:rsid w:val="00F93EDE"/>
    <w:rsid w:val="00F972AE"/>
    <w:rsid w:val="00F974CB"/>
    <w:rsid w:val="00F9788E"/>
    <w:rsid w:val="00F97AEB"/>
    <w:rsid w:val="00FA047A"/>
    <w:rsid w:val="00FA08BB"/>
    <w:rsid w:val="00FA0B81"/>
    <w:rsid w:val="00FA1352"/>
    <w:rsid w:val="00FA2247"/>
    <w:rsid w:val="00FA42BF"/>
    <w:rsid w:val="00FA4672"/>
    <w:rsid w:val="00FA49A0"/>
    <w:rsid w:val="00FA79A4"/>
    <w:rsid w:val="00FA7D58"/>
    <w:rsid w:val="00FA7F65"/>
    <w:rsid w:val="00FB042D"/>
    <w:rsid w:val="00FB1E9E"/>
    <w:rsid w:val="00FB2758"/>
    <w:rsid w:val="00FB2EA6"/>
    <w:rsid w:val="00FB38CD"/>
    <w:rsid w:val="00FB41B3"/>
    <w:rsid w:val="00FB46AC"/>
    <w:rsid w:val="00FB5DD6"/>
    <w:rsid w:val="00FB60C5"/>
    <w:rsid w:val="00FB60D0"/>
    <w:rsid w:val="00FB6AEA"/>
    <w:rsid w:val="00FC032E"/>
    <w:rsid w:val="00FC0EFF"/>
    <w:rsid w:val="00FC11ED"/>
    <w:rsid w:val="00FC1593"/>
    <w:rsid w:val="00FC1BE5"/>
    <w:rsid w:val="00FC295B"/>
    <w:rsid w:val="00FC3647"/>
    <w:rsid w:val="00FC4514"/>
    <w:rsid w:val="00FC4922"/>
    <w:rsid w:val="00FC4C4D"/>
    <w:rsid w:val="00FC55C6"/>
    <w:rsid w:val="00FC55F2"/>
    <w:rsid w:val="00FC6230"/>
    <w:rsid w:val="00FC6E27"/>
    <w:rsid w:val="00FC74D0"/>
    <w:rsid w:val="00FD03DD"/>
    <w:rsid w:val="00FD1788"/>
    <w:rsid w:val="00FD52C9"/>
    <w:rsid w:val="00FD5C35"/>
    <w:rsid w:val="00FD5D1E"/>
    <w:rsid w:val="00FD5D23"/>
    <w:rsid w:val="00FD6776"/>
    <w:rsid w:val="00FD6F49"/>
    <w:rsid w:val="00FE027E"/>
    <w:rsid w:val="00FE098C"/>
    <w:rsid w:val="00FE24F2"/>
    <w:rsid w:val="00FE3533"/>
    <w:rsid w:val="00FE366A"/>
    <w:rsid w:val="00FE3972"/>
    <w:rsid w:val="00FE45D3"/>
    <w:rsid w:val="00FF01CB"/>
    <w:rsid w:val="00FF0519"/>
    <w:rsid w:val="00FF2DA1"/>
    <w:rsid w:val="00FF311C"/>
    <w:rsid w:val="00FF3B86"/>
    <w:rsid w:val="00FF5436"/>
    <w:rsid w:val="00FF54BF"/>
    <w:rsid w:val="00FF5784"/>
    <w:rsid w:val="00FF7A32"/>
    <w:rsid w:val="00FF7CB4"/>
    <w:rsid w:val="011D255B"/>
    <w:rsid w:val="019515D9"/>
    <w:rsid w:val="021A37E7"/>
    <w:rsid w:val="021D2D4D"/>
    <w:rsid w:val="02267819"/>
    <w:rsid w:val="022A7779"/>
    <w:rsid w:val="02741EED"/>
    <w:rsid w:val="02E00F65"/>
    <w:rsid w:val="031B29FC"/>
    <w:rsid w:val="03533764"/>
    <w:rsid w:val="0364645D"/>
    <w:rsid w:val="03B14A34"/>
    <w:rsid w:val="03C454AD"/>
    <w:rsid w:val="03F66B59"/>
    <w:rsid w:val="042C2A6C"/>
    <w:rsid w:val="0434104C"/>
    <w:rsid w:val="0457183D"/>
    <w:rsid w:val="04CA3CC3"/>
    <w:rsid w:val="04D966B1"/>
    <w:rsid w:val="05EE4E2F"/>
    <w:rsid w:val="0606539E"/>
    <w:rsid w:val="06A41733"/>
    <w:rsid w:val="06AD6405"/>
    <w:rsid w:val="07D322E1"/>
    <w:rsid w:val="08BF145B"/>
    <w:rsid w:val="093911C5"/>
    <w:rsid w:val="09462503"/>
    <w:rsid w:val="096F57F0"/>
    <w:rsid w:val="09A0108A"/>
    <w:rsid w:val="0AE64E55"/>
    <w:rsid w:val="0AEA1C9B"/>
    <w:rsid w:val="0B1F0B92"/>
    <w:rsid w:val="0B4A1E45"/>
    <w:rsid w:val="0B586CA2"/>
    <w:rsid w:val="0B680CA4"/>
    <w:rsid w:val="0BA45CAE"/>
    <w:rsid w:val="0BB72EAD"/>
    <w:rsid w:val="0BF370EB"/>
    <w:rsid w:val="0C2A34E5"/>
    <w:rsid w:val="0C3F55F8"/>
    <w:rsid w:val="0C8C05C0"/>
    <w:rsid w:val="0CC83751"/>
    <w:rsid w:val="0D0F2176"/>
    <w:rsid w:val="0DDB4B0F"/>
    <w:rsid w:val="0E066A13"/>
    <w:rsid w:val="0ED44972"/>
    <w:rsid w:val="0EDF4710"/>
    <w:rsid w:val="0FCA086F"/>
    <w:rsid w:val="1037325C"/>
    <w:rsid w:val="104D2390"/>
    <w:rsid w:val="10B0232F"/>
    <w:rsid w:val="11052B48"/>
    <w:rsid w:val="11183510"/>
    <w:rsid w:val="11435C9A"/>
    <w:rsid w:val="11591A47"/>
    <w:rsid w:val="119C7B06"/>
    <w:rsid w:val="11D103CE"/>
    <w:rsid w:val="11F829B8"/>
    <w:rsid w:val="124916AC"/>
    <w:rsid w:val="12947861"/>
    <w:rsid w:val="12984245"/>
    <w:rsid w:val="129C6C4D"/>
    <w:rsid w:val="13422434"/>
    <w:rsid w:val="13E472B7"/>
    <w:rsid w:val="143614F9"/>
    <w:rsid w:val="1511194A"/>
    <w:rsid w:val="15454D1A"/>
    <w:rsid w:val="160F2326"/>
    <w:rsid w:val="1646481C"/>
    <w:rsid w:val="164B068B"/>
    <w:rsid w:val="16AC6B7A"/>
    <w:rsid w:val="17782BA9"/>
    <w:rsid w:val="17DD23E6"/>
    <w:rsid w:val="182253B2"/>
    <w:rsid w:val="184F3E2F"/>
    <w:rsid w:val="190123A0"/>
    <w:rsid w:val="1938619B"/>
    <w:rsid w:val="19531685"/>
    <w:rsid w:val="19B72802"/>
    <w:rsid w:val="19D8323D"/>
    <w:rsid w:val="1A0701FF"/>
    <w:rsid w:val="1A963D40"/>
    <w:rsid w:val="1AF31838"/>
    <w:rsid w:val="1AF50D3F"/>
    <w:rsid w:val="1B307393"/>
    <w:rsid w:val="1B824DE1"/>
    <w:rsid w:val="1C9268B1"/>
    <w:rsid w:val="1CA93C24"/>
    <w:rsid w:val="1CF4599D"/>
    <w:rsid w:val="1CFE195E"/>
    <w:rsid w:val="1D43261D"/>
    <w:rsid w:val="1D7C3BFA"/>
    <w:rsid w:val="1E1F607E"/>
    <w:rsid w:val="1E5A5F7C"/>
    <w:rsid w:val="1F7A6A4C"/>
    <w:rsid w:val="1F896DF1"/>
    <w:rsid w:val="1FAC16EE"/>
    <w:rsid w:val="1FC025CE"/>
    <w:rsid w:val="20046699"/>
    <w:rsid w:val="20156ECE"/>
    <w:rsid w:val="212007AF"/>
    <w:rsid w:val="213C71AE"/>
    <w:rsid w:val="2150751B"/>
    <w:rsid w:val="21B46154"/>
    <w:rsid w:val="21E749F8"/>
    <w:rsid w:val="21F132FB"/>
    <w:rsid w:val="231638FD"/>
    <w:rsid w:val="234F1EB8"/>
    <w:rsid w:val="23503360"/>
    <w:rsid w:val="242C4E86"/>
    <w:rsid w:val="242F703D"/>
    <w:rsid w:val="243E19A8"/>
    <w:rsid w:val="24CB06D0"/>
    <w:rsid w:val="24E60A6B"/>
    <w:rsid w:val="24F33C33"/>
    <w:rsid w:val="24FF7E85"/>
    <w:rsid w:val="256F7A52"/>
    <w:rsid w:val="25902D22"/>
    <w:rsid w:val="25B0755F"/>
    <w:rsid w:val="25C12D1C"/>
    <w:rsid w:val="25EA1888"/>
    <w:rsid w:val="25FE4E9D"/>
    <w:rsid w:val="26DD0E3B"/>
    <w:rsid w:val="26E40BBF"/>
    <w:rsid w:val="27776C95"/>
    <w:rsid w:val="27C44105"/>
    <w:rsid w:val="27E57AC7"/>
    <w:rsid w:val="2848066F"/>
    <w:rsid w:val="28546790"/>
    <w:rsid w:val="285C7CA9"/>
    <w:rsid w:val="28A90A31"/>
    <w:rsid w:val="28D26E48"/>
    <w:rsid w:val="28FF2581"/>
    <w:rsid w:val="29B1519C"/>
    <w:rsid w:val="2AA6634A"/>
    <w:rsid w:val="2B067A14"/>
    <w:rsid w:val="2B836E7E"/>
    <w:rsid w:val="2B854FC1"/>
    <w:rsid w:val="2B860C86"/>
    <w:rsid w:val="2B986C0A"/>
    <w:rsid w:val="2BDF4419"/>
    <w:rsid w:val="2C8C17A5"/>
    <w:rsid w:val="2CF2166E"/>
    <w:rsid w:val="2D973517"/>
    <w:rsid w:val="2E247CD0"/>
    <w:rsid w:val="2E7179F7"/>
    <w:rsid w:val="2EF90CF6"/>
    <w:rsid w:val="2F93681A"/>
    <w:rsid w:val="2F9B25DB"/>
    <w:rsid w:val="2FC65CDF"/>
    <w:rsid w:val="2FEB00DC"/>
    <w:rsid w:val="309E3871"/>
    <w:rsid w:val="30C407EC"/>
    <w:rsid w:val="3103671E"/>
    <w:rsid w:val="31147D2B"/>
    <w:rsid w:val="318D434B"/>
    <w:rsid w:val="31A10EE6"/>
    <w:rsid w:val="31D444A7"/>
    <w:rsid w:val="321117BB"/>
    <w:rsid w:val="328E1E4A"/>
    <w:rsid w:val="333C6712"/>
    <w:rsid w:val="336D598E"/>
    <w:rsid w:val="339360E8"/>
    <w:rsid w:val="33E52541"/>
    <w:rsid w:val="340418D4"/>
    <w:rsid w:val="34495571"/>
    <w:rsid w:val="34A75779"/>
    <w:rsid w:val="34D33B6D"/>
    <w:rsid w:val="35200D44"/>
    <w:rsid w:val="35481746"/>
    <w:rsid w:val="356C141F"/>
    <w:rsid w:val="35BD7FD7"/>
    <w:rsid w:val="35FF1B49"/>
    <w:rsid w:val="36DD2E48"/>
    <w:rsid w:val="36EB1AA3"/>
    <w:rsid w:val="377D64B6"/>
    <w:rsid w:val="37F42B1B"/>
    <w:rsid w:val="38092A5C"/>
    <w:rsid w:val="3848590E"/>
    <w:rsid w:val="384D42B3"/>
    <w:rsid w:val="38905441"/>
    <w:rsid w:val="38C312F5"/>
    <w:rsid w:val="390330FE"/>
    <w:rsid w:val="3B812C05"/>
    <w:rsid w:val="3C086CF1"/>
    <w:rsid w:val="3C922B25"/>
    <w:rsid w:val="3CE15508"/>
    <w:rsid w:val="3CE55645"/>
    <w:rsid w:val="3CE62418"/>
    <w:rsid w:val="3D140D1D"/>
    <w:rsid w:val="3D462F4D"/>
    <w:rsid w:val="3DA30C3E"/>
    <w:rsid w:val="3E2F00D3"/>
    <w:rsid w:val="3E9B24F2"/>
    <w:rsid w:val="3ED13BE7"/>
    <w:rsid w:val="3EE80042"/>
    <w:rsid w:val="3F13466D"/>
    <w:rsid w:val="3F6B0D22"/>
    <w:rsid w:val="3F7D3D0D"/>
    <w:rsid w:val="3F8C2AF5"/>
    <w:rsid w:val="3F9D78C8"/>
    <w:rsid w:val="3FE86552"/>
    <w:rsid w:val="40272288"/>
    <w:rsid w:val="407265BB"/>
    <w:rsid w:val="40910950"/>
    <w:rsid w:val="412A470D"/>
    <w:rsid w:val="41522BDA"/>
    <w:rsid w:val="415F0359"/>
    <w:rsid w:val="420648FE"/>
    <w:rsid w:val="421642E6"/>
    <w:rsid w:val="423A3FF4"/>
    <w:rsid w:val="42401A02"/>
    <w:rsid w:val="42624206"/>
    <w:rsid w:val="428A22F5"/>
    <w:rsid w:val="42996CCA"/>
    <w:rsid w:val="42EB6F59"/>
    <w:rsid w:val="43460015"/>
    <w:rsid w:val="436F30E9"/>
    <w:rsid w:val="43B35634"/>
    <w:rsid w:val="43B41D7F"/>
    <w:rsid w:val="43BD3184"/>
    <w:rsid w:val="445832F8"/>
    <w:rsid w:val="4497292B"/>
    <w:rsid w:val="45130E36"/>
    <w:rsid w:val="451512D0"/>
    <w:rsid w:val="45960242"/>
    <w:rsid w:val="45F65FB1"/>
    <w:rsid w:val="45FC6EF7"/>
    <w:rsid w:val="4683228A"/>
    <w:rsid w:val="46E24602"/>
    <w:rsid w:val="46E36649"/>
    <w:rsid w:val="472E5D7E"/>
    <w:rsid w:val="47CB320B"/>
    <w:rsid w:val="48EC7635"/>
    <w:rsid w:val="48F562B8"/>
    <w:rsid w:val="492F16FB"/>
    <w:rsid w:val="49EA093A"/>
    <w:rsid w:val="4B1A273B"/>
    <w:rsid w:val="4B694CA0"/>
    <w:rsid w:val="4BBE190B"/>
    <w:rsid w:val="4BCB73A3"/>
    <w:rsid w:val="4C145977"/>
    <w:rsid w:val="4C4850C0"/>
    <w:rsid w:val="4C5B45EF"/>
    <w:rsid w:val="4C8B0F06"/>
    <w:rsid w:val="4D0962D1"/>
    <w:rsid w:val="4D8B69CA"/>
    <w:rsid w:val="4DFC422E"/>
    <w:rsid w:val="4DFC470C"/>
    <w:rsid w:val="4EDB613D"/>
    <w:rsid w:val="4FF5456E"/>
    <w:rsid w:val="501D69B7"/>
    <w:rsid w:val="507711D2"/>
    <w:rsid w:val="50C0413C"/>
    <w:rsid w:val="51141A59"/>
    <w:rsid w:val="511C41C7"/>
    <w:rsid w:val="517A1339"/>
    <w:rsid w:val="51BD6620"/>
    <w:rsid w:val="51C01B20"/>
    <w:rsid w:val="51E81BA9"/>
    <w:rsid w:val="52A86B9E"/>
    <w:rsid w:val="52AB7013"/>
    <w:rsid w:val="53286072"/>
    <w:rsid w:val="53480544"/>
    <w:rsid w:val="534F63CC"/>
    <w:rsid w:val="535D7C76"/>
    <w:rsid w:val="53CC704A"/>
    <w:rsid w:val="53E438C4"/>
    <w:rsid w:val="54024768"/>
    <w:rsid w:val="54B20AB6"/>
    <w:rsid w:val="551538B3"/>
    <w:rsid w:val="55436592"/>
    <w:rsid w:val="57084CD3"/>
    <w:rsid w:val="571669B6"/>
    <w:rsid w:val="571F2831"/>
    <w:rsid w:val="572A747F"/>
    <w:rsid w:val="57816AD4"/>
    <w:rsid w:val="581568FC"/>
    <w:rsid w:val="58B3577A"/>
    <w:rsid w:val="58F85CFA"/>
    <w:rsid w:val="58FF6D20"/>
    <w:rsid w:val="5940461A"/>
    <w:rsid w:val="59665634"/>
    <w:rsid w:val="59834BBE"/>
    <w:rsid w:val="59A23D4C"/>
    <w:rsid w:val="59AA0F4C"/>
    <w:rsid w:val="59BB1590"/>
    <w:rsid w:val="59C13F27"/>
    <w:rsid w:val="59E322AB"/>
    <w:rsid w:val="5A760F95"/>
    <w:rsid w:val="5A782834"/>
    <w:rsid w:val="5ABA4ED8"/>
    <w:rsid w:val="5AD21EF9"/>
    <w:rsid w:val="5AFF7CE2"/>
    <w:rsid w:val="5B5C56B9"/>
    <w:rsid w:val="5BF365A6"/>
    <w:rsid w:val="5C143756"/>
    <w:rsid w:val="5C245CEA"/>
    <w:rsid w:val="5C495A4A"/>
    <w:rsid w:val="5C882FA1"/>
    <w:rsid w:val="5CAC26C4"/>
    <w:rsid w:val="5CB6690D"/>
    <w:rsid w:val="5CFC5E2A"/>
    <w:rsid w:val="5D0025E9"/>
    <w:rsid w:val="5D2A5BBF"/>
    <w:rsid w:val="5D400DF7"/>
    <w:rsid w:val="5D62275B"/>
    <w:rsid w:val="5D677260"/>
    <w:rsid w:val="5D8D4CDA"/>
    <w:rsid w:val="5DA930D0"/>
    <w:rsid w:val="5DCA6DC9"/>
    <w:rsid w:val="5DE40E77"/>
    <w:rsid w:val="5E7250EB"/>
    <w:rsid w:val="5E9A6848"/>
    <w:rsid w:val="5F0B42E5"/>
    <w:rsid w:val="5F324471"/>
    <w:rsid w:val="5F463C8A"/>
    <w:rsid w:val="609F0D8B"/>
    <w:rsid w:val="60CB197A"/>
    <w:rsid w:val="612C5D1A"/>
    <w:rsid w:val="61C74F50"/>
    <w:rsid w:val="620401E0"/>
    <w:rsid w:val="623E11DC"/>
    <w:rsid w:val="634706A6"/>
    <w:rsid w:val="636F3ED5"/>
    <w:rsid w:val="63A24B1F"/>
    <w:rsid w:val="640C6097"/>
    <w:rsid w:val="644C2C30"/>
    <w:rsid w:val="647A5E6B"/>
    <w:rsid w:val="6497363C"/>
    <w:rsid w:val="64B37F50"/>
    <w:rsid w:val="64DA6E5C"/>
    <w:rsid w:val="652B1A05"/>
    <w:rsid w:val="659569E0"/>
    <w:rsid w:val="65FA09F2"/>
    <w:rsid w:val="669B7CEC"/>
    <w:rsid w:val="66DB341B"/>
    <w:rsid w:val="67A736D8"/>
    <w:rsid w:val="68251092"/>
    <w:rsid w:val="68416F53"/>
    <w:rsid w:val="68463BC3"/>
    <w:rsid w:val="68496AF9"/>
    <w:rsid w:val="686006AA"/>
    <w:rsid w:val="6898377D"/>
    <w:rsid w:val="68A62F77"/>
    <w:rsid w:val="694B587F"/>
    <w:rsid w:val="69F3416E"/>
    <w:rsid w:val="6A821BA7"/>
    <w:rsid w:val="6ACD6A84"/>
    <w:rsid w:val="6B200801"/>
    <w:rsid w:val="6B404320"/>
    <w:rsid w:val="6BBE5626"/>
    <w:rsid w:val="6C954BDF"/>
    <w:rsid w:val="6CCB772E"/>
    <w:rsid w:val="6D0B63AB"/>
    <w:rsid w:val="6D910E6F"/>
    <w:rsid w:val="6E0072D9"/>
    <w:rsid w:val="6E610436"/>
    <w:rsid w:val="6FA4015B"/>
    <w:rsid w:val="7042768D"/>
    <w:rsid w:val="7093152E"/>
    <w:rsid w:val="70B561EE"/>
    <w:rsid w:val="70D0031E"/>
    <w:rsid w:val="71013CB7"/>
    <w:rsid w:val="710258DA"/>
    <w:rsid w:val="710F1EEB"/>
    <w:rsid w:val="713C584E"/>
    <w:rsid w:val="721E3978"/>
    <w:rsid w:val="72282F61"/>
    <w:rsid w:val="72357031"/>
    <w:rsid w:val="729277FC"/>
    <w:rsid w:val="72C716C2"/>
    <w:rsid w:val="72E17595"/>
    <w:rsid w:val="73B12B65"/>
    <w:rsid w:val="740515A2"/>
    <w:rsid w:val="749E3BBB"/>
    <w:rsid w:val="75402997"/>
    <w:rsid w:val="755C45A5"/>
    <w:rsid w:val="75984C90"/>
    <w:rsid w:val="761A2BB9"/>
    <w:rsid w:val="76E3771A"/>
    <w:rsid w:val="772522CB"/>
    <w:rsid w:val="77B20905"/>
    <w:rsid w:val="77D17BD8"/>
    <w:rsid w:val="781D1DF9"/>
    <w:rsid w:val="79A66075"/>
    <w:rsid w:val="79AA1597"/>
    <w:rsid w:val="79D45E6E"/>
    <w:rsid w:val="7A6E2009"/>
    <w:rsid w:val="7AD254CB"/>
    <w:rsid w:val="7AF749C9"/>
    <w:rsid w:val="7B0F3498"/>
    <w:rsid w:val="7C5F50A6"/>
    <w:rsid w:val="7C6949F2"/>
    <w:rsid w:val="7C7245EE"/>
    <w:rsid w:val="7DA7082A"/>
    <w:rsid w:val="7DC66B5F"/>
    <w:rsid w:val="7DD27D82"/>
    <w:rsid w:val="7E662EE2"/>
    <w:rsid w:val="7E790ECF"/>
    <w:rsid w:val="7E884F41"/>
    <w:rsid w:val="7E9A2C8A"/>
    <w:rsid w:val="7F096A1B"/>
    <w:rsid w:val="7F4A6F30"/>
    <w:rsid w:val="7FFB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0"/>
    <w:qFormat/>
    <w:uiPriority w:val="99"/>
    <w:pPr>
      <w:keepNext/>
      <w:spacing w:line="340" w:lineRule="exact"/>
      <w:outlineLvl w:val="0"/>
    </w:pPr>
    <w:rPr>
      <w:b/>
      <w:sz w:val="24"/>
      <w:szCs w:val="20"/>
    </w:rPr>
  </w:style>
  <w:style w:type="paragraph" w:styleId="4">
    <w:name w:val="heading 2"/>
    <w:basedOn w:val="1"/>
    <w:next w:val="1"/>
    <w:link w:val="114"/>
    <w:qFormat/>
    <w:uiPriority w:val="99"/>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112"/>
    <w:qFormat/>
    <w:uiPriority w:val="99"/>
    <w:pPr>
      <w:keepNext/>
      <w:keepLines/>
      <w:spacing w:before="260" w:after="260" w:line="416" w:lineRule="auto"/>
      <w:outlineLvl w:val="2"/>
    </w:pPr>
    <w:rPr>
      <w:b/>
      <w:sz w:val="32"/>
      <w:szCs w:val="20"/>
    </w:rPr>
  </w:style>
  <w:style w:type="paragraph" w:styleId="2">
    <w:name w:val="heading 4"/>
    <w:basedOn w:val="1"/>
    <w:next w:val="1"/>
    <w:link w:val="70"/>
    <w:qFormat/>
    <w:uiPriority w:val="99"/>
    <w:pPr>
      <w:keepNext/>
      <w:keepLines/>
      <w:numPr>
        <w:ilvl w:val="3"/>
        <w:numId w:val="1"/>
      </w:numPr>
      <w:spacing w:before="280" w:after="290" w:line="376" w:lineRule="auto"/>
      <w:outlineLvl w:val="3"/>
    </w:pPr>
    <w:rPr>
      <w:rFonts w:ascii="宋体" w:hAnsi="Arial" w:eastAsia="黑体"/>
      <w:b/>
      <w:sz w:val="24"/>
      <w:szCs w:val="20"/>
    </w:rPr>
  </w:style>
  <w:style w:type="paragraph" w:styleId="6">
    <w:name w:val="heading 5"/>
    <w:basedOn w:val="1"/>
    <w:next w:val="1"/>
    <w:link w:val="100"/>
    <w:qFormat/>
    <w:uiPriority w:val="99"/>
    <w:pPr>
      <w:keepNext/>
      <w:keepLines/>
      <w:numPr>
        <w:ilvl w:val="4"/>
        <w:numId w:val="1"/>
      </w:numPr>
      <w:spacing w:before="280" w:after="290" w:line="376" w:lineRule="auto"/>
      <w:outlineLvl w:val="4"/>
    </w:pPr>
    <w:rPr>
      <w:b/>
      <w:sz w:val="28"/>
      <w:szCs w:val="20"/>
    </w:rPr>
  </w:style>
  <w:style w:type="paragraph" w:styleId="7">
    <w:name w:val="heading 6"/>
    <w:basedOn w:val="1"/>
    <w:next w:val="8"/>
    <w:link w:val="84"/>
    <w:qFormat/>
    <w:uiPriority w:val="99"/>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8"/>
    <w:link w:val="98"/>
    <w:qFormat/>
    <w:uiPriority w:val="99"/>
    <w:pPr>
      <w:keepNext/>
      <w:keepLines/>
      <w:numPr>
        <w:ilvl w:val="6"/>
        <w:numId w:val="1"/>
      </w:numPr>
      <w:spacing w:before="240" w:after="64" w:line="320" w:lineRule="auto"/>
      <w:outlineLvl w:val="6"/>
    </w:pPr>
    <w:rPr>
      <w:b/>
      <w:sz w:val="24"/>
      <w:szCs w:val="20"/>
    </w:rPr>
  </w:style>
  <w:style w:type="paragraph" w:styleId="10">
    <w:name w:val="heading 8"/>
    <w:basedOn w:val="1"/>
    <w:next w:val="8"/>
    <w:link w:val="86"/>
    <w:qFormat/>
    <w:uiPriority w:val="99"/>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8"/>
    <w:link w:val="108"/>
    <w:qFormat/>
    <w:uiPriority w:val="99"/>
    <w:pPr>
      <w:keepNext/>
      <w:keepLines/>
      <w:numPr>
        <w:ilvl w:val="8"/>
        <w:numId w:val="1"/>
      </w:numPr>
      <w:spacing w:before="240" w:after="64" w:line="320" w:lineRule="auto"/>
      <w:outlineLvl w:val="8"/>
    </w:pPr>
    <w:rPr>
      <w:rFonts w:ascii="Arial" w:hAnsi="Arial" w:eastAsia="黑体"/>
      <w:szCs w:val="20"/>
    </w:rPr>
  </w:style>
  <w:style w:type="character" w:default="1" w:styleId="35">
    <w:name w:val="Default Paragraph Font"/>
    <w:unhideWhenUsed/>
    <w:uiPriority w:val="1"/>
  </w:style>
  <w:style w:type="table" w:default="1" w:styleId="33">
    <w:name w:val="Normal Table"/>
    <w:unhideWhenUsed/>
    <w:uiPriority w:val="99"/>
    <w:tblPr>
      <w:tblCellMar>
        <w:top w:w="0" w:type="dxa"/>
        <w:left w:w="108" w:type="dxa"/>
        <w:bottom w:w="0" w:type="dxa"/>
        <w:right w:w="108" w:type="dxa"/>
      </w:tblCellMar>
    </w:tblPr>
  </w:style>
  <w:style w:type="paragraph" w:styleId="8">
    <w:name w:val="Normal Indent"/>
    <w:basedOn w:val="1"/>
    <w:link w:val="104"/>
    <w:uiPriority w:val="99"/>
    <w:pPr>
      <w:ind w:firstLine="420"/>
    </w:pPr>
    <w:rPr>
      <w:szCs w:val="20"/>
    </w:rPr>
  </w:style>
  <w:style w:type="paragraph" w:styleId="12">
    <w:name w:val="caption"/>
    <w:basedOn w:val="1"/>
    <w:next w:val="1"/>
    <w:qFormat/>
    <w:uiPriority w:val="99"/>
    <w:pPr>
      <w:spacing w:before="152" w:after="160"/>
    </w:pPr>
    <w:rPr>
      <w:rFonts w:ascii="Arial" w:hAnsi="Arial" w:eastAsia="黑体" w:cs="Arial"/>
      <w:sz w:val="20"/>
      <w:szCs w:val="20"/>
    </w:rPr>
  </w:style>
  <w:style w:type="paragraph" w:styleId="13">
    <w:name w:val="Document Map"/>
    <w:basedOn w:val="1"/>
    <w:link w:val="63"/>
    <w:semiHidden/>
    <w:uiPriority w:val="99"/>
    <w:pPr>
      <w:shd w:val="clear" w:color="auto" w:fill="000080"/>
    </w:pPr>
    <w:rPr>
      <w:sz w:val="24"/>
      <w:szCs w:val="20"/>
    </w:rPr>
  </w:style>
  <w:style w:type="paragraph" w:styleId="14">
    <w:name w:val="annotation text"/>
    <w:basedOn w:val="1"/>
    <w:link w:val="113"/>
    <w:semiHidden/>
    <w:uiPriority w:val="99"/>
    <w:pPr>
      <w:jc w:val="left"/>
    </w:pPr>
    <w:rPr>
      <w:sz w:val="24"/>
      <w:szCs w:val="20"/>
    </w:rPr>
  </w:style>
  <w:style w:type="paragraph" w:styleId="15">
    <w:name w:val="Body Text 3"/>
    <w:basedOn w:val="1"/>
    <w:link w:val="72"/>
    <w:qFormat/>
    <w:uiPriority w:val="99"/>
    <w:pPr>
      <w:spacing w:line="500" w:lineRule="exact"/>
    </w:pPr>
    <w:rPr>
      <w:b/>
      <w:kern w:val="0"/>
      <w:sz w:val="24"/>
      <w:szCs w:val="20"/>
    </w:rPr>
  </w:style>
  <w:style w:type="paragraph" w:styleId="16">
    <w:name w:val="Body Text"/>
    <w:basedOn w:val="1"/>
    <w:link w:val="52"/>
    <w:uiPriority w:val="99"/>
    <w:pPr>
      <w:autoSpaceDE w:val="0"/>
      <w:autoSpaceDN w:val="0"/>
      <w:adjustRightInd w:val="0"/>
      <w:spacing w:after="120"/>
      <w:jc w:val="left"/>
    </w:pPr>
    <w:rPr>
      <w:rFonts w:ascii="宋体"/>
      <w:kern w:val="0"/>
      <w:sz w:val="34"/>
      <w:szCs w:val="20"/>
    </w:rPr>
  </w:style>
  <w:style w:type="paragraph" w:styleId="17">
    <w:name w:val="Body Text Indent"/>
    <w:basedOn w:val="1"/>
    <w:link w:val="96"/>
    <w:qFormat/>
    <w:uiPriority w:val="99"/>
    <w:pPr>
      <w:spacing w:line="200" w:lineRule="exact"/>
      <w:ind w:firstLine="301"/>
    </w:pPr>
    <w:rPr>
      <w:rFonts w:ascii="宋体" w:hAnsi="Courier New"/>
      <w:spacing w:val="-4"/>
      <w:sz w:val="18"/>
      <w:szCs w:val="20"/>
    </w:rPr>
  </w:style>
  <w:style w:type="paragraph" w:styleId="18">
    <w:name w:val="Plain Text"/>
    <w:basedOn w:val="1"/>
    <w:link w:val="103"/>
    <w:uiPriority w:val="99"/>
    <w:rPr>
      <w:rFonts w:ascii="宋体" w:hAnsi="Courier New"/>
      <w:szCs w:val="20"/>
    </w:rPr>
  </w:style>
  <w:style w:type="paragraph" w:styleId="19">
    <w:name w:val="Date"/>
    <w:basedOn w:val="1"/>
    <w:next w:val="1"/>
    <w:link w:val="109"/>
    <w:uiPriority w:val="99"/>
    <w:pPr>
      <w:ind w:left="100" w:leftChars="2500"/>
    </w:pPr>
    <w:rPr>
      <w:spacing w:val="30"/>
      <w:sz w:val="24"/>
      <w:szCs w:val="20"/>
    </w:rPr>
  </w:style>
  <w:style w:type="paragraph" w:styleId="20">
    <w:name w:val="Body Text Indent 2"/>
    <w:basedOn w:val="1"/>
    <w:link w:val="48"/>
    <w:uiPriority w:val="99"/>
    <w:pPr>
      <w:spacing w:line="400" w:lineRule="exact"/>
      <w:ind w:firstLine="480"/>
    </w:pPr>
    <w:rPr>
      <w:sz w:val="24"/>
      <w:szCs w:val="20"/>
    </w:rPr>
  </w:style>
  <w:style w:type="paragraph" w:styleId="21">
    <w:name w:val="Balloon Text"/>
    <w:basedOn w:val="1"/>
    <w:link w:val="71"/>
    <w:semiHidden/>
    <w:uiPriority w:val="99"/>
    <w:rPr>
      <w:sz w:val="18"/>
      <w:szCs w:val="20"/>
    </w:rPr>
  </w:style>
  <w:style w:type="paragraph" w:styleId="22">
    <w:name w:val="footer"/>
    <w:basedOn w:val="1"/>
    <w:link w:val="66"/>
    <w:uiPriority w:val="99"/>
    <w:pPr>
      <w:tabs>
        <w:tab w:val="center" w:pos="4153"/>
        <w:tab w:val="right" w:pos="8306"/>
      </w:tabs>
      <w:snapToGrid w:val="0"/>
      <w:jc w:val="left"/>
    </w:pPr>
    <w:rPr>
      <w:rFonts w:ascii="宋体" w:hAnsi="Courier New"/>
      <w:sz w:val="18"/>
      <w:szCs w:val="20"/>
    </w:rPr>
  </w:style>
  <w:style w:type="paragraph" w:styleId="23">
    <w:name w:val="header"/>
    <w:basedOn w:val="1"/>
    <w:link w:val="88"/>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24">
    <w:name w:val="Body Text Indent 3"/>
    <w:basedOn w:val="1"/>
    <w:link w:val="121"/>
    <w:qFormat/>
    <w:uiPriority w:val="99"/>
    <w:pPr>
      <w:spacing w:line="360" w:lineRule="auto"/>
      <w:ind w:firstLine="359" w:firstLineChars="171"/>
    </w:pPr>
    <w:rPr>
      <w:sz w:val="24"/>
      <w:szCs w:val="20"/>
    </w:rPr>
  </w:style>
  <w:style w:type="paragraph" w:styleId="25">
    <w:name w:val="Body Text 2"/>
    <w:basedOn w:val="1"/>
    <w:link w:val="64"/>
    <w:qFormat/>
    <w:uiPriority w:val="99"/>
    <w:pPr>
      <w:spacing w:after="120" w:line="480" w:lineRule="auto"/>
    </w:pPr>
    <w:rPr>
      <w:kern w:val="0"/>
      <w:sz w:val="24"/>
      <w:szCs w:val="20"/>
    </w:rPr>
  </w:style>
  <w:style w:type="paragraph" w:styleId="26">
    <w:name w:val="HTML Preformatted"/>
    <w:basedOn w:val="1"/>
    <w:link w:val="7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index 1"/>
    <w:basedOn w:val="1"/>
    <w:next w:val="1"/>
    <w:semiHidden/>
    <w:qFormat/>
    <w:uiPriority w:val="99"/>
    <w:pPr>
      <w:spacing w:line="360" w:lineRule="exact"/>
      <w:ind w:firstLine="432" w:firstLineChars="240"/>
    </w:pPr>
    <w:rPr>
      <w:rFonts w:ascii="宋体" w:hAnsi="宋体"/>
      <w:bCs/>
      <w:sz w:val="18"/>
      <w:szCs w:val="18"/>
    </w:rPr>
  </w:style>
  <w:style w:type="paragraph" w:styleId="29">
    <w:name w:val="Title"/>
    <w:basedOn w:val="1"/>
    <w:link w:val="116"/>
    <w:qFormat/>
    <w:uiPriority w:val="99"/>
    <w:pPr>
      <w:spacing w:before="240" w:after="60"/>
      <w:jc w:val="center"/>
      <w:outlineLvl w:val="0"/>
    </w:pPr>
    <w:rPr>
      <w:rFonts w:ascii="Arial" w:hAnsi="Arial"/>
      <w:b/>
      <w:sz w:val="32"/>
      <w:szCs w:val="20"/>
    </w:rPr>
  </w:style>
  <w:style w:type="paragraph" w:styleId="30">
    <w:name w:val="annotation subject"/>
    <w:basedOn w:val="14"/>
    <w:next w:val="14"/>
    <w:link w:val="69"/>
    <w:qFormat/>
    <w:uiPriority w:val="99"/>
    <w:rPr>
      <w:rFonts w:ascii="Calibri" w:hAnsi="Calibri"/>
      <w:b/>
    </w:rPr>
  </w:style>
  <w:style w:type="paragraph" w:styleId="31">
    <w:name w:val="Body Text First Indent"/>
    <w:basedOn w:val="16"/>
    <w:qFormat/>
    <w:uiPriority w:val="99"/>
    <w:pPr>
      <w:ind w:firstLine="420" w:firstLineChars="100"/>
    </w:pPr>
  </w:style>
  <w:style w:type="paragraph" w:styleId="32">
    <w:name w:val="Body Text First Indent 2"/>
    <w:basedOn w:val="17"/>
    <w:link w:val="49"/>
    <w:qFormat/>
    <w:uiPriority w:val="99"/>
    <w:pPr>
      <w:spacing w:after="120" w:line="240" w:lineRule="auto"/>
      <w:ind w:left="420" w:leftChars="200" w:firstLine="420" w:firstLineChars="200"/>
    </w:pPr>
    <w:rPr>
      <w:sz w:val="24"/>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99"/>
    <w:rPr>
      <w:rFonts w:cs="Times New Roman"/>
      <w:b/>
    </w:rPr>
  </w:style>
  <w:style w:type="character" w:styleId="37">
    <w:name w:val="page number"/>
    <w:qFormat/>
    <w:uiPriority w:val="99"/>
    <w:rPr>
      <w:rFonts w:cs="Times New Roman"/>
    </w:rPr>
  </w:style>
  <w:style w:type="character" w:styleId="38">
    <w:name w:val="FollowedHyperlink"/>
    <w:qFormat/>
    <w:uiPriority w:val="99"/>
    <w:rPr>
      <w:rFonts w:cs="Times New Roman"/>
      <w:color w:val="800080"/>
      <w:u w:val="single"/>
    </w:rPr>
  </w:style>
  <w:style w:type="character" w:styleId="39">
    <w:name w:val="Emphasis"/>
    <w:qFormat/>
    <w:uiPriority w:val="99"/>
    <w:rPr>
      <w:rFonts w:cs="Times New Roman"/>
    </w:rPr>
  </w:style>
  <w:style w:type="character" w:styleId="40">
    <w:name w:val="HTML Definition"/>
    <w:unhideWhenUsed/>
    <w:qFormat/>
    <w:uiPriority w:val="99"/>
  </w:style>
  <w:style w:type="character" w:styleId="41">
    <w:name w:val="HTML Variable"/>
    <w:unhideWhenUsed/>
    <w:qFormat/>
    <w:uiPriority w:val="99"/>
  </w:style>
  <w:style w:type="character" w:styleId="42">
    <w:name w:val="Hyperlink"/>
    <w:qFormat/>
    <w:uiPriority w:val="99"/>
    <w:rPr>
      <w:rFonts w:cs="Times New Roman"/>
      <w:color w:val="0000FF"/>
      <w:u w:val="single"/>
    </w:rPr>
  </w:style>
  <w:style w:type="character" w:styleId="43">
    <w:name w:val="HTML Code"/>
    <w:unhideWhenUsed/>
    <w:qFormat/>
    <w:uiPriority w:val="99"/>
    <w:rPr>
      <w:rFonts w:ascii="Courier New" w:hAnsi="Courier New" w:eastAsia="Courier New" w:cs="Courier New"/>
      <w:sz w:val="20"/>
    </w:rPr>
  </w:style>
  <w:style w:type="character" w:styleId="44">
    <w:name w:val="annotation reference"/>
    <w:semiHidden/>
    <w:qFormat/>
    <w:uiPriority w:val="99"/>
    <w:rPr>
      <w:rFonts w:cs="Times New Roman"/>
      <w:sz w:val="21"/>
    </w:rPr>
  </w:style>
  <w:style w:type="character" w:styleId="45">
    <w:name w:val="HTML Cite"/>
    <w:unhideWhenUsed/>
    <w:qFormat/>
    <w:uiPriority w:val="99"/>
  </w:style>
  <w:style w:type="character" w:styleId="46">
    <w:name w:val="HTML Keyboard"/>
    <w:unhideWhenUsed/>
    <w:qFormat/>
    <w:uiPriority w:val="99"/>
    <w:rPr>
      <w:rFonts w:hint="default" w:ascii="Courier New" w:hAnsi="Courier New" w:eastAsia="Courier New" w:cs="Courier New"/>
      <w:sz w:val="20"/>
    </w:rPr>
  </w:style>
  <w:style w:type="character" w:styleId="47">
    <w:name w:val="HTML Sample"/>
    <w:unhideWhenUsed/>
    <w:qFormat/>
    <w:uiPriority w:val="99"/>
    <w:rPr>
      <w:rFonts w:hint="default" w:ascii="Courier New" w:hAnsi="Courier New" w:eastAsia="Courier New" w:cs="Courier New"/>
    </w:rPr>
  </w:style>
  <w:style w:type="character" w:customStyle="1" w:styleId="48">
    <w:name w:val="正文文本缩进 2 Char"/>
    <w:link w:val="20"/>
    <w:qFormat/>
    <w:locked/>
    <w:uiPriority w:val="99"/>
    <w:rPr>
      <w:rFonts w:eastAsia="宋体"/>
      <w:kern w:val="2"/>
      <w:sz w:val="24"/>
      <w:lang w:val="en-US" w:eastAsia="zh-CN"/>
    </w:rPr>
  </w:style>
  <w:style w:type="character" w:customStyle="1" w:styleId="49">
    <w:name w:val="正文首行缩进 2 Char"/>
    <w:link w:val="32"/>
    <w:qFormat/>
    <w:locked/>
    <w:uiPriority w:val="99"/>
    <w:rPr>
      <w:rFonts w:ascii="宋体" w:hAnsi="Courier New" w:eastAsia="宋体"/>
      <w:spacing w:val="-4"/>
      <w:kern w:val="2"/>
      <w:sz w:val="24"/>
      <w:lang w:val="en-US" w:eastAsia="zh-CN"/>
    </w:rPr>
  </w:style>
  <w:style w:type="character" w:customStyle="1" w:styleId="50">
    <w:name w:val="font01"/>
    <w:qFormat/>
    <w:uiPriority w:val="0"/>
    <w:rPr>
      <w:rFonts w:hint="default" w:ascii="Times New Roman" w:hAnsi="Times New Roman" w:cs="Times New Roman"/>
      <w:color w:val="000000"/>
      <w:sz w:val="20"/>
      <w:szCs w:val="20"/>
      <w:u w:val="none"/>
      <w:vertAlign w:val="superscript"/>
    </w:rPr>
  </w:style>
  <w:style w:type="character" w:customStyle="1" w:styleId="51">
    <w:name w:val="apple-style-span"/>
    <w:qFormat/>
    <w:uiPriority w:val="99"/>
    <w:rPr>
      <w:rFonts w:cs="Times New Roman"/>
    </w:rPr>
  </w:style>
  <w:style w:type="character" w:customStyle="1" w:styleId="52">
    <w:name w:val="正文文本 Char"/>
    <w:link w:val="16"/>
    <w:qFormat/>
    <w:locked/>
    <w:uiPriority w:val="99"/>
    <w:rPr>
      <w:rFonts w:ascii="宋体" w:eastAsia="宋体"/>
      <w:sz w:val="34"/>
      <w:lang w:val="en-US" w:eastAsia="zh-CN"/>
    </w:rPr>
  </w:style>
  <w:style w:type="character" w:customStyle="1" w:styleId="53">
    <w:name w:val="style54"/>
    <w:qFormat/>
    <w:uiPriority w:val="99"/>
    <w:rPr>
      <w:rFonts w:cs="Times New Roman"/>
    </w:rPr>
  </w:style>
  <w:style w:type="character" w:customStyle="1" w:styleId="54">
    <w:name w:val="qxdate"/>
    <w:basedOn w:val="35"/>
    <w:qFormat/>
    <w:uiPriority w:val="0"/>
    <w:rPr>
      <w:color w:val="333333"/>
      <w:sz w:val="18"/>
      <w:szCs w:val="18"/>
    </w:rPr>
  </w:style>
  <w:style w:type="character" w:customStyle="1" w:styleId="55">
    <w:name w:val="next2"/>
    <w:basedOn w:val="35"/>
    <w:qFormat/>
    <w:uiPriority w:val="0"/>
    <w:rPr>
      <w:rFonts w:hint="eastAsia" w:ascii="微软雅黑" w:hAnsi="微软雅黑" w:eastAsia="微软雅黑" w:cs="微软雅黑"/>
      <w:sz w:val="21"/>
      <w:szCs w:val="21"/>
    </w:rPr>
  </w:style>
  <w:style w:type="character" w:customStyle="1" w:styleId="56">
    <w:name w:val="style51"/>
    <w:qFormat/>
    <w:uiPriority w:val="99"/>
    <w:rPr>
      <w:rFonts w:cs="Times New Roman"/>
    </w:rPr>
  </w:style>
  <w:style w:type="character" w:customStyle="1" w:styleId="57">
    <w:name w:val="font81"/>
    <w:qFormat/>
    <w:uiPriority w:val="0"/>
    <w:rPr>
      <w:rFonts w:hint="default" w:ascii="Times New Roman" w:hAnsi="Times New Roman" w:cs="Times New Roman"/>
      <w:color w:val="000000"/>
      <w:sz w:val="20"/>
      <w:szCs w:val="20"/>
      <w:u w:val="none"/>
    </w:rPr>
  </w:style>
  <w:style w:type="character" w:customStyle="1" w:styleId="58">
    <w:name w:val="H1 Char"/>
    <w:qFormat/>
    <w:uiPriority w:val="99"/>
    <w:rPr>
      <w:rFonts w:ascii="Times New Roman" w:hAnsi="Times New Roman" w:eastAsia="宋体"/>
      <w:b/>
      <w:kern w:val="44"/>
      <w:sz w:val="44"/>
    </w:rPr>
  </w:style>
  <w:style w:type="character" w:customStyle="1" w:styleId="59">
    <w:name w:val="prev"/>
    <w:basedOn w:val="35"/>
    <w:qFormat/>
    <w:uiPriority w:val="0"/>
    <w:rPr>
      <w:rFonts w:hint="eastAsia" w:ascii="微软雅黑" w:hAnsi="微软雅黑" w:eastAsia="微软雅黑" w:cs="微软雅黑"/>
      <w:sz w:val="21"/>
      <w:szCs w:val="21"/>
    </w:rPr>
  </w:style>
  <w:style w:type="character" w:customStyle="1" w:styleId="60">
    <w:name w:val="1051"/>
    <w:qFormat/>
    <w:uiPriority w:val="99"/>
    <w:rPr>
      <w:sz w:val="21"/>
    </w:rPr>
  </w:style>
  <w:style w:type="character" w:customStyle="1" w:styleId="61">
    <w:name w:val="Title3 Char"/>
    <w:qFormat/>
    <w:uiPriority w:val="99"/>
    <w:rPr>
      <w:rFonts w:ascii="宋体" w:hAnsi="Courier New" w:eastAsia="宋体"/>
      <w:b/>
      <w:sz w:val="32"/>
    </w:rPr>
  </w:style>
  <w:style w:type="character" w:customStyle="1" w:styleId="62">
    <w:name w:val="redfilenumber"/>
    <w:basedOn w:val="35"/>
    <w:qFormat/>
    <w:uiPriority w:val="0"/>
    <w:rPr>
      <w:color w:val="BA2636"/>
      <w:sz w:val="18"/>
      <w:szCs w:val="18"/>
    </w:rPr>
  </w:style>
  <w:style w:type="character" w:customStyle="1" w:styleId="63">
    <w:name w:val="文档结构图 Char"/>
    <w:link w:val="13"/>
    <w:semiHidden/>
    <w:qFormat/>
    <w:locked/>
    <w:uiPriority w:val="99"/>
    <w:rPr>
      <w:rFonts w:eastAsia="宋体"/>
      <w:kern w:val="2"/>
      <w:sz w:val="24"/>
      <w:lang w:val="en-US" w:eastAsia="zh-CN"/>
    </w:rPr>
  </w:style>
  <w:style w:type="character" w:customStyle="1" w:styleId="64">
    <w:name w:val="正文文本 2 Char"/>
    <w:link w:val="25"/>
    <w:qFormat/>
    <w:locked/>
    <w:uiPriority w:val="99"/>
    <w:rPr>
      <w:sz w:val="24"/>
    </w:rPr>
  </w:style>
  <w:style w:type="character" w:customStyle="1" w:styleId="65">
    <w:name w:val="font41"/>
    <w:qFormat/>
    <w:uiPriority w:val="0"/>
    <w:rPr>
      <w:rFonts w:ascii="Calibri" w:hAnsi="Calibri" w:cs="Calibri"/>
      <w:color w:val="000000"/>
      <w:sz w:val="20"/>
      <w:szCs w:val="20"/>
      <w:u w:val="none"/>
    </w:rPr>
  </w:style>
  <w:style w:type="character" w:customStyle="1" w:styleId="66">
    <w:name w:val="页脚 Char"/>
    <w:link w:val="22"/>
    <w:qFormat/>
    <w:locked/>
    <w:uiPriority w:val="99"/>
    <w:rPr>
      <w:rFonts w:ascii="宋体" w:hAnsi="Courier New" w:eastAsia="宋体"/>
      <w:kern w:val="2"/>
      <w:sz w:val="18"/>
      <w:lang w:val="en-US" w:eastAsia="zh-CN"/>
    </w:rPr>
  </w:style>
  <w:style w:type="character" w:customStyle="1" w:styleId="67">
    <w:name w:val="prev3"/>
    <w:basedOn w:val="35"/>
    <w:qFormat/>
    <w:uiPriority w:val="0"/>
    <w:rPr>
      <w:rFonts w:hint="eastAsia" w:ascii="微软雅黑" w:hAnsi="微软雅黑" w:eastAsia="微软雅黑" w:cs="微软雅黑"/>
      <w:sz w:val="21"/>
      <w:szCs w:val="21"/>
    </w:rPr>
  </w:style>
  <w:style w:type="character" w:customStyle="1" w:styleId="68">
    <w:name w:val="gjfg"/>
    <w:basedOn w:val="35"/>
    <w:qFormat/>
    <w:uiPriority w:val="0"/>
  </w:style>
  <w:style w:type="character" w:customStyle="1" w:styleId="69">
    <w:name w:val="批注主题 Char"/>
    <w:link w:val="30"/>
    <w:semiHidden/>
    <w:qFormat/>
    <w:locked/>
    <w:uiPriority w:val="99"/>
    <w:rPr>
      <w:rFonts w:ascii="Calibri" w:hAnsi="Calibri" w:eastAsia="宋体"/>
      <w:b/>
      <w:kern w:val="2"/>
      <w:sz w:val="24"/>
      <w:lang w:val="en-US" w:eastAsia="zh-CN"/>
    </w:rPr>
  </w:style>
  <w:style w:type="character" w:customStyle="1" w:styleId="70">
    <w:name w:val="标题 4 Char"/>
    <w:link w:val="2"/>
    <w:qFormat/>
    <w:locked/>
    <w:uiPriority w:val="99"/>
    <w:rPr>
      <w:rFonts w:ascii="宋体" w:hAnsi="Arial" w:eastAsia="黑体"/>
      <w:b/>
      <w:kern w:val="2"/>
      <w:sz w:val="24"/>
      <w:lang w:val="en-US" w:eastAsia="zh-CN"/>
    </w:rPr>
  </w:style>
  <w:style w:type="character" w:customStyle="1" w:styleId="71">
    <w:name w:val="批注框文本 Char"/>
    <w:link w:val="21"/>
    <w:semiHidden/>
    <w:qFormat/>
    <w:locked/>
    <w:uiPriority w:val="99"/>
    <w:rPr>
      <w:rFonts w:eastAsia="宋体"/>
      <w:kern w:val="2"/>
      <w:sz w:val="18"/>
      <w:lang w:val="en-US" w:eastAsia="zh-CN"/>
    </w:rPr>
  </w:style>
  <w:style w:type="character" w:customStyle="1" w:styleId="72">
    <w:name w:val="正文文本 3 Char"/>
    <w:link w:val="15"/>
    <w:qFormat/>
    <w:locked/>
    <w:uiPriority w:val="99"/>
    <w:rPr>
      <w:b/>
      <w:sz w:val="24"/>
    </w:rPr>
  </w:style>
  <w:style w:type="character" w:customStyle="1" w:styleId="73">
    <w:name w:val="列出段落 Char"/>
    <w:link w:val="74"/>
    <w:qFormat/>
    <w:locked/>
    <w:uiPriority w:val="99"/>
    <w:rPr>
      <w:rFonts w:eastAsia="宋体"/>
      <w:kern w:val="2"/>
      <w:sz w:val="24"/>
      <w:lang w:val="en-US" w:eastAsia="zh-CN"/>
    </w:rPr>
  </w:style>
  <w:style w:type="paragraph" w:customStyle="1" w:styleId="74">
    <w:name w:val="列出段落1"/>
    <w:basedOn w:val="1"/>
    <w:link w:val="73"/>
    <w:qFormat/>
    <w:uiPriority w:val="99"/>
    <w:pPr>
      <w:ind w:firstLine="420" w:firstLineChars="200"/>
    </w:pPr>
    <w:rPr>
      <w:sz w:val="24"/>
      <w:szCs w:val="20"/>
    </w:rPr>
  </w:style>
  <w:style w:type="character" w:customStyle="1" w:styleId="75">
    <w:name w:val="HTML 预设格式 Char"/>
    <w:link w:val="26"/>
    <w:semiHidden/>
    <w:qFormat/>
    <w:locked/>
    <w:uiPriority w:val="99"/>
    <w:rPr>
      <w:rFonts w:ascii="黑体" w:hAnsi="Courier New" w:eastAsia="黑体"/>
      <w:lang w:val="en-US" w:eastAsia="zh-CN"/>
    </w:rPr>
  </w:style>
  <w:style w:type="character" w:customStyle="1" w:styleId="76">
    <w:name w:val="f141"/>
    <w:qFormat/>
    <w:uiPriority w:val="99"/>
    <w:rPr>
      <w:sz w:val="21"/>
    </w:rPr>
  </w:style>
  <w:style w:type="character" w:customStyle="1" w:styleId="77">
    <w:name w:val="font21"/>
    <w:qFormat/>
    <w:uiPriority w:val="0"/>
    <w:rPr>
      <w:rFonts w:hint="default" w:ascii="Times New Roman" w:hAnsi="Times New Roman" w:cs="Times New Roman"/>
      <w:color w:val="000000"/>
      <w:sz w:val="20"/>
      <w:szCs w:val="20"/>
      <w:u w:val="none"/>
    </w:rPr>
  </w:style>
  <w:style w:type="character" w:customStyle="1" w:styleId="78">
    <w:name w:val="font51"/>
    <w:qFormat/>
    <w:uiPriority w:val="0"/>
    <w:rPr>
      <w:rFonts w:hint="eastAsia" w:ascii="宋体" w:hAnsi="宋体" w:eastAsia="宋体" w:cs="宋体"/>
      <w:color w:val="000000"/>
      <w:sz w:val="20"/>
      <w:szCs w:val="20"/>
      <w:u w:val="none"/>
      <w:vertAlign w:val="subscript"/>
    </w:rPr>
  </w:style>
  <w:style w:type="character" w:customStyle="1" w:styleId="79">
    <w:name w:val="font101"/>
    <w:qFormat/>
    <w:uiPriority w:val="0"/>
    <w:rPr>
      <w:rFonts w:ascii="Arial" w:hAnsi="Arial" w:cs="Arial"/>
      <w:color w:val="000000"/>
      <w:sz w:val="20"/>
      <w:szCs w:val="20"/>
      <w:u w:val="none"/>
    </w:rPr>
  </w:style>
  <w:style w:type="character" w:customStyle="1" w:styleId="80">
    <w:name w:val="Report Text Char"/>
    <w:link w:val="81"/>
    <w:qFormat/>
    <w:locked/>
    <w:uiPriority w:val="99"/>
    <w:rPr>
      <w:rFonts w:ascii="Arial" w:hAnsi="Arial" w:eastAsia="宋体"/>
      <w:kern w:val="28"/>
      <w:sz w:val="22"/>
      <w:lang w:val="en-US" w:eastAsia="zh-CN"/>
    </w:rPr>
  </w:style>
  <w:style w:type="paragraph" w:customStyle="1" w:styleId="81">
    <w:name w:val="Report Text"/>
    <w:basedOn w:val="1"/>
    <w:link w:val="80"/>
    <w:qFormat/>
    <w:uiPriority w:val="99"/>
    <w:pPr>
      <w:widowControl/>
      <w:spacing w:before="240" w:after="120"/>
      <w:ind w:left="1080"/>
    </w:pPr>
    <w:rPr>
      <w:rFonts w:ascii="Arial" w:hAnsi="Arial"/>
      <w:kern w:val="28"/>
      <w:sz w:val="22"/>
      <w:szCs w:val="20"/>
    </w:rPr>
  </w:style>
  <w:style w:type="character" w:customStyle="1" w:styleId="82">
    <w:name w:val="文本正文[858D7CFB-ED40-4347-BF05-701D383B685F]"/>
    <w:link w:val="83"/>
    <w:qFormat/>
    <w:locked/>
    <w:uiPriority w:val="0"/>
    <w:rPr>
      <w:rFonts w:eastAsia="仿宋_GB2312"/>
      <w:kern w:val="2"/>
      <w:sz w:val="28"/>
      <w:szCs w:val="22"/>
    </w:rPr>
  </w:style>
  <w:style w:type="paragraph" w:customStyle="1" w:styleId="83">
    <w:name w:val="文本正文"/>
    <w:basedOn w:val="1"/>
    <w:link w:val="82"/>
    <w:qFormat/>
    <w:uiPriority w:val="0"/>
    <w:pPr>
      <w:widowControl/>
      <w:overflowPunct w:val="0"/>
      <w:adjustRightInd w:val="0"/>
      <w:snapToGrid w:val="0"/>
      <w:spacing w:line="300" w:lineRule="auto"/>
      <w:ind w:firstLine="640" w:firstLineChars="200"/>
      <w:jc w:val="left"/>
    </w:pPr>
    <w:rPr>
      <w:rFonts w:eastAsia="仿宋_GB2312"/>
      <w:sz w:val="28"/>
      <w:szCs w:val="22"/>
    </w:rPr>
  </w:style>
  <w:style w:type="character" w:customStyle="1" w:styleId="84">
    <w:name w:val="标题 6 Char"/>
    <w:link w:val="7"/>
    <w:qFormat/>
    <w:locked/>
    <w:uiPriority w:val="99"/>
    <w:rPr>
      <w:rFonts w:ascii="Arial" w:hAnsi="Arial" w:eastAsia="黑体"/>
      <w:b/>
      <w:kern w:val="2"/>
      <w:sz w:val="24"/>
      <w:lang w:val="en-US" w:eastAsia="zh-CN"/>
    </w:rPr>
  </w:style>
  <w:style w:type="character" w:customStyle="1" w:styleId="85">
    <w:name w:val="font31"/>
    <w:qFormat/>
    <w:uiPriority w:val="0"/>
    <w:rPr>
      <w:rFonts w:hint="eastAsia" w:ascii="宋体" w:hAnsi="宋体" w:eastAsia="宋体" w:cs="宋体"/>
      <w:color w:val="000000"/>
      <w:sz w:val="20"/>
      <w:szCs w:val="20"/>
      <w:u w:val="none"/>
    </w:rPr>
  </w:style>
  <w:style w:type="character" w:customStyle="1" w:styleId="86">
    <w:name w:val="标题 8 Char"/>
    <w:link w:val="10"/>
    <w:qFormat/>
    <w:locked/>
    <w:uiPriority w:val="99"/>
    <w:rPr>
      <w:rFonts w:ascii="Arial" w:hAnsi="Arial" w:eastAsia="黑体"/>
      <w:kern w:val="2"/>
      <w:sz w:val="24"/>
      <w:lang w:val="en-US" w:eastAsia="zh-CN"/>
    </w:rPr>
  </w:style>
  <w:style w:type="character" w:customStyle="1" w:styleId="87">
    <w:name w:val="style31"/>
    <w:qFormat/>
    <w:uiPriority w:val="99"/>
    <w:rPr>
      <w:sz w:val="18"/>
    </w:rPr>
  </w:style>
  <w:style w:type="character" w:customStyle="1" w:styleId="88">
    <w:name w:val="页眉 Char"/>
    <w:link w:val="23"/>
    <w:qFormat/>
    <w:locked/>
    <w:uiPriority w:val="99"/>
    <w:rPr>
      <w:rFonts w:ascii="宋体" w:hAnsi="Courier New" w:eastAsia="宋体"/>
      <w:kern w:val="2"/>
      <w:sz w:val="18"/>
      <w:lang w:val="en-US" w:eastAsia="zh-CN"/>
    </w:rPr>
  </w:style>
  <w:style w:type="character" w:customStyle="1" w:styleId="89">
    <w:name w:val="font11"/>
    <w:qFormat/>
    <w:uiPriority w:val="0"/>
    <w:rPr>
      <w:rFonts w:ascii="Arial" w:hAnsi="Arial" w:cs="Arial"/>
      <w:color w:val="000000"/>
      <w:sz w:val="20"/>
      <w:szCs w:val="20"/>
      <w:u w:val="none"/>
    </w:rPr>
  </w:style>
  <w:style w:type="character" w:customStyle="1" w:styleId="90">
    <w:name w:val="标题 1 Char"/>
    <w:link w:val="3"/>
    <w:qFormat/>
    <w:locked/>
    <w:uiPriority w:val="99"/>
    <w:rPr>
      <w:rFonts w:eastAsia="宋体"/>
      <w:b/>
      <w:kern w:val="2"/>
      <w:sz w:val="24"/>
      <w:lang w:val="en-US" w:eastAsia="zh-CN"/>
    </w:rPr>
  </w:style>
  <w:style w:type="character" w:customStyle="1" w:styleId="91">
    <w:name w:val="普通文字 Char Char1"/>
    <w:semiHidden/>
    <w:qFormat/>
    <w:uiPriority w:val="99"/>
    <w:rPr>
      <w:rFonts w:ascii="宋体" w:hAnsi="Courier New" w:eastAsia="宋体"/>
      <w:kern w:val="2"/>
      <w:sz w:val="21"/>
      <w:lang w:val="en-US" w:eastAsia="zh-CN"/>
    </w:rPr>
  </w:style>
  <w:style w:type="character" w:customStyle="1" w:styleId="92">
    <w:name w:val="1ji Char"/>
    <w:link w:val="93"/>
    <w:qFormat/>
    <w:locked/>
    <w:uiPriority w:val="99"/>
    <w:rPr>
      <w:rFonts w:ascii="宋体" w:hAnsi="宋体" w:eastAsia="宋体"/>
      <w:b/>
      <w:kern w:val="44"/>
      <w:sz w:val="44"/>
      <w:lang w:val="en-US" w:eastAsia="zh-CN"/>
    </w:rPr>
  </w:style>
  <w:style w:type="paragraph" w:customStyle="1" w:styleId="93">
    <w:name w:val="1ji"/>
    <w:basedOn w:val="3"/>
    <w:link w:val="92"/>
    <w:qFormat/>
    <w:uiPriority w:val="99"/>
    <w:pPr>
      <w:widowControl/>
      <w:spacing w:line="240" w:lineRule="auto"/>
      <w:jc w:val="center"/>
    </w:pPr>
    <w:rPr>
      <w:rFonts w:ascii="宋体" w:hAnsi="宋体"/>
      <w:kern w:val="44"/>
      <w:sz w:val="44"/>
    </w:rPr>
  </w:style>
  <w:style w:type="character" w:customStyle="1" w:styleId="94">
    <w:name w:val="next"/>
    <w:basedOn w:val="35"/>
    <w:qFormat/>
    <w:uiPriority w:val="0"/>
    <w:rPr>
      <w:rFonts w:ascii="微软雅黑" w:hAnsi="微软雅黑" w:eastAsia="微软雅黑" w:cs="微软雅黑"/>
      <w:sz w:val="21"/>
      <w:szCs w:val="21"/>
    </w:rPr>
  </w:style>
  <w:style w:type="character" w:customStyle="1" w:styleId="95">
    <w:name w:val="displayarti"/>
    <w:basedOn w:val="35"/>
    <w:qFormat/>
    <w:uiPriority w:val="0"/>
    <w:rPr>
      <w:color w:val="FFFFFF"/>
      <w:shd w:val="clear" w:color="auto" w:fill="A00000"/>
    </w:rPr>
  </w:style>
  <w:style w:type="character" w:customStyle="1" w:styleId="96">
    <w:name w:val="正文文本缩进 Char"/>
    <w:link w:val="17"/>
    <w:qFormat/>
    <w:locked/>
    <w:uiPriority w:val="99"/>
    <w:rPr>
      <w:rFonts w:ascii="宋体" w:hAnsi="Courier New" w:eastAsia="宋体"/>
      <w:spacing w:val="-4"/>
      <w:kern w:val="2"/>
      <w:sz w:val="18"/>
      <w:lang w:val="en-US" w:eastAsia="zh-CN"/>
    </w:rPr>
  </w:style>
  <w:style w:type="character" w:customStyle="1" w:styleId="97">
    <w:name w:val="unnamed21"/>
    <w:qFormat/>
    <w:uiPriority w:val="99"/>
    <w:rPr>
      <w:rFonts w:cs="Times New Roman"/>
    </w:rPr>
  </w:style>
  <w:style w:type="character" w:customStyle="1" w:styleId="98">
    <w:name w:val="标题 7 Char"/>
    <w:link w:val="9"/>
    <w:qFormat/>
    <w:locked/>
    <w:uiPriority w:val="99"/>
    <w:rPr>
      <w:rFonts w:eastAsia="宋体"/>
      <w:b/>
      <w:kern w:val="2"/>
      <w:sz w:val="24"/>
      <w:lang w:val="en-US" w:eastAsia="zh-CN"/>
    </w:rPr>
  </w:style>
  <w:style w:type="character" w:customStyle="1" w:styleId="99">
    <w:name w:val="font71"/>
    <w:qFormat/>
    <w:uiPriority w:val="0"/>
    <w:rPr>
      <w:rFonts w:hint="default" w:ascii="Times New Roman" w:hAnsi="Times New Roman" w:cs="Times New Roman"/>
      <w:color w:val="000000"/>
      <w:sz w:val="20"/>
      <w:szCs w:val="20"/>
      <w:u w:val="none"/>
    </w:rPr>
  </w:style>
  <w:style w:type="character" w:customStyle="1" w:styleId="100">
    <w:name w:val="标题 5 Char"/>
    <w:link w:val="6"/>
    <w:qFormat/>
    <w:locked/>
    <w:uiPriority w:val="99"/>
    <w:rPr>
      <w:rFonts w:eastAsia="宋体"/>
      <w:b/>
      <w:kern w:val="2"/>
      <w:sz w:val="28"/>
      <w:lang w:val="en-US" w:eastAsia="zh-CN"/>
    </w:rPr>
  </w:style>
  <w:style w:type="character" w:customStyle="1" w:styleId="101">
    <w:name w:val="redfilefwwh"/>
    <w:basedOn w:val="35"/>
    <w:qFormat/>
    <w:uiPriority w:val="0"/>
    <w:rPr>
      <w:color w:val="BA2636"/>
      <w:sz w:val="18"/>
      <w:szCs w:val="18"/>
    </w:rPr>
  </w:style>
  <w:style w:type="character" w:customStyle="1" w:styleId="102">
    <w:name w:val="next3"/>
    <w:basedOn w:val="35"/>
    <w:qFormat/>
    <w:uiPriority w:val="0"/>
    <w:rPr>
      <w:rFonts w:ascii="微软雅黑" w:hAnsi="微软雅黑" w:eastAsia="微软雅黑" w:cs="微软雅黑"/>
      <w:sz w:val="21"/>
      <w:szCs w:val="21"/>
    </w:rPr>
  </w:style>
  <w:style w:type="character" w:customStyle="1" w:styleId="103">
    <w:name w:val="纯文本 Char"/>
    <w:link w:val="18"/>
    <w:qFormat/>
    <w:locked/>
    <w:uiPriority w:val="99"/>
    <w:rPr>
      <w:rFonts w:ascii="宋体" w:hAnsi="Courier New" w:eastAsia="宋体"/>
      <w:kern w:val="2"/>
      <w:sz w:val="21"/>
      <w:lang w:val="en-US" w:eastAsia="zh-CN"/>
    </w:rPr>
  </w:style>
  <w:style w:type="character" w:customStyle="1" w:styleId="104">
    <w:name w:val="正文缩进 Char"/>
    <w:link w:val="8"/>
    <w:qFormat/>
    <w:locked/>
    <w:uiPriority w:val="99"/>
    <w:rPr>
      <w:rFonts w:eastAsia="宋体"/>
      <w:kern w:val="2"/>
      <w:sz w:val="21"/>
      <w:lang w:val="en-US" w:eastAsia="zh-CN"/>
    </w:rPr>
  </w:style>
  <w:style w:type="character" w:customStyle="1" w:styleId="105">
    <w:name w:val="Header Char"/>
    <w:qFormat/>
    <w:locked/>
    <w:uiPriority w:val="99"/>
    <w:rPr>
      <w:rFonts w:ascii="Times New Roman" w:hAnsi="Times New Roman" w:eastAsia="宋体" w:cs="Times New Roman"/>
      <w:sz w:val="18"/>
      <w:szCs w:val="18"/>
    </w:rPr>
  </w:style>
  <w:style w:type="character" w:customStyle="1" w:styleId="106">
    <w:name w:val="h Char"/>
    <w:qFormat/>
    <w:uiPriority w:val="99"/>
    <w:rPr>
      <w:rFonts w:eastAsia="宋体"/>
      <w:kern w:val="2"/>
      <w:sz w:val="18"/>
      <w:lang w:val="en-US" w:eastAsia="zh-CN"/>
    </w:rPr>
  </w:style>
  <w:style w:type="character" w:customStyle="1" w:styleId="107">
    <w:name w:val="font61"/>
    <w:qFormat/>
    <w:uiPriority w:val="0"/>
    <w:rPr>
      <w:rFonts w:hint="default" w:ascii="Times New Roman" w:hAnsi="Times New Roman" w:cs="Times New Roman"/>
      <w:color w:val="000000"/>
      <w:sz w:val="20"/>
      <w:szCs w:val="20"/>
      <w:u w:val="none"/>
      <w:vertAlign w:val="subscript"/>
    </w:rPr>
  </w:style>
  <w:style w:type="character" w:customStyle="1" w:styleId="108">
    <w:name w:val="标题 9 Char"/>
    <w:link w:val="11"/>
    <w:qFormat/>
    <w:locked/>
    <w:uiPriority w:val="99"/>
    <w:rPr>
      <w:rFonts w:ascii="Arial" w:hAnsi="Arial" w:eastAsia="黑体"/>
      <w:kern w:val="2"/>
      <w:sz w:val="21"/>
      <w:lang w:val="en-US" w:eastAsia="zh-CN"/>
    </w:rPr>
  </w:style>
  <w:style w:type="character" w:customStyle="1" w:styleId="109">
    <w:name w:val="日期 Char"/>
    <w:link w:val="19"/>
    <w:qFormat/>
    <w:locked/>
    <w:uiPriority w:val="99"/>
    <w:rPr>
      <w:rFonts w:eastAsia="宋体"/>
      <w:spacing w:val="30"/>
      <w:kern w:val="2"/>
      <w:sz w:val="24"/>
      <w:lang w:val="en-US" w:eastAsia="zh-CN"/>
    </w:rPr>
  </w:style>
  <w:style w:type="character" w:customStyle="1" w:styleId="110">
    <w:name w:val="prev1"/>
    <w:basedOn w:val="35"/>
    <w:qFormat/>
    <w:uiPriority w:val="0"/>
    <w:rPr>
      <w:color w:val="888888"/>
    </w:rPr>
  </w:style>
  <w:style w:type="character" w:customStyle="1" w:styleId="111">
    <w:name w:val="next1"/>
    <w:basedOn w:val="35"/>
    <w:qFormat/>
    <w:uiPriority w:val="0"/>
    <w:rPr>
      <w:color w:val="888888"/>
    </w:rPr>
  </w:style>
  <w:style w:type="character" w:customStyle="1" w:styleId="112">
    <w:name w:val="标题 3 Char"/>
    <w:link w:val="5"/>
    <w:qFormat/>
    <w:locked/>
    <w:uiPriority w:val="99"/>
    <w:rPr>
      <w:rFonts w:eastAsia="宋体"/>
      <w:b/>
      <w:kern w:val="2"/>
      <w:sz w:val="32"/>
      <w:lang w:val="en-US" w:eastAsia="zh-CN"/>
    </w:rPr>
  </w:style>
  <w:style w:type="character" w:customStyle="1" w:styleId="113">
    <w:name w:val="批注文字 Char"/>
    <w:link w:val="14"/>
    <w:semiHidden/>
    <w:qFormat/>
    <w:locked/>
    <w:uiPriority w:val="99"/>
    <w:rPr>
      <w:rFonts w:eastAsia="宋体"/>
      <w:kern w:val="2"/>
      <w:sz w:val="24"/>
      <w:lang w:val="en-US" w:eastAsia="zh-CN"/>
    </w:rPr>
  </w:style>
  <w:style w:type="character" w:customStyle="1" w:styleId="114">
    <w:name w:val="标题 2 Char"/>
    <w:link w:val="4"/>
    <w:semiHidden/>
    <w:qFormat/>
    <w:locked/>
    <w:uiPriority w:val="99"/>
    <w:rPr>
      <w:rFonts w:ascii="Arial" w:hAnsi="Arial" w:eastAsia="黑体"/>
      <w:b/>
      <w:kern w:val="2"/>
      <w:sz w:val="32"/>
      <w:lang w:val="en-US" w:eastAsia="zh-CN"/>
    </w:rPr>
  </w:style>
  <w:style w:type="character" w:customStyle="1" w:styleId="115">
    <w:name w:val="cfdate"/>
    <w:basedOn w:val="35"/>
    <w:qFormat/>
    <w:uiPriority w:val="0"/>
    <w:rPr>
      <w:color w:val="333333"/>
      <w:sz w:val="18"/>
      <w:szCs w:val="18"/>
    </w:rPr>
  </w:style>
  <w:style w:type="character" w:customStyle="1" w:styleId="116">
    <w:name w:val="标题 Char"/>
    <w:link w:val="29"/>
    <w:qFormat/>
    <w:locked/>
    <w:uiPriority w:val="99"/>
    <w:rPr>
      <w:rFonts w:ascii="Arial" w:hAnsi="Arial" w:eastAsia="宋体"/>
      <w:b/>
      <w:kern w:val="2"/>
      <w:sz w:val="32"/>
      <w:lang w:val="en-US" w:eastAsia="zh-CN"/>
    </w:rPr>
  </w:style>
  <w:style w:type="character" w:customStyle="1" w:styleId="117">
    <w:name w:val="Footer Char"/>
    <w:qFormat/>
    <w:locked/>
    <w:uiPriority w:val="99"/>
    <w:rPr>
      <w:rFonts w:ascii="Times New Roman" w:hAnsi="Times New Roman" w:eastAsia="宋体" w:cs="Times New Roman"/>
      <w:sz w:val="18"/>
      <w:szCs w:val="18"/>
    </w:rPr>
  </w:style>
  <w:style w:type="character" w:customStyle="1" w:styleId="118">
    <w:name w:val="prev2"/>
    <w:basedOn w:val="35"/>
    <w:qFormat/>
    <w:uiPriority w:val="0"/>
    <w:rPr>
      <w:color w:val="888888"/>
    </w:rPr>
  </w:style>
  <w:style w:type="character" w:customStyle="1" w:styleId="119">
    <w:name w:val="mark"/>
    <w:qFormat/>
    <w:uiPriority w:val="99"/>
    <w:rPr>
      <w:rFonts w:cs="Times New Roman"/>
    </w:rPr>
  </w:style>
  <w:style w:type="character" w:customStyle="1" w:styleId="120">
    <w:name w:val="Char Char2"/>
    <w:semiHidden/>
    <w:qFormat/>
    <w:uiPriority w:val="99"/>
    <w:rPr>
      <w:rFonts w:ascii="宋体" w:hAnsi="Courier New" w:eastAsia="宋体"/>
      <w:spacing w:val="-4"/>
      <w:kern w:val="2"/>
      <w:sz w:val="18"/>
      <w:lang w:val="en-US" w:eastAsia="zh-CN"/>
    </w:rPr>
  </w:style>
  <w:style w:type="character" w:customStyle="1" w:styleId="121">
    <w:name w:val="正文文本缩进 3 Char"/>
    <w:link w:val="24"/>
    <w:qFormat/>
    <w:locked/>
    <w:uiPriority w:val="99"/>
    <w:rPr>
      <w:rFonts w:eastAsia="宋体"/>
      <w:kern w:val="2"/>
      <w:sz w:val="24"/>
      <w:lang w:val="en-US" w:eastAsia="zh-CN"/>
    </w:rPr>
  </w:style>
  <w:style w:type="character" w:customStyle="1" w:styleId="122">
    <w:name w:val="H2 Char"/>
    <w:qFormat/>
    <w:uiPriority w:val="99"/>
    <w:rPr>
      <w:rFonts w:ascii="Arial" w:hAnsi="Arial" w:eastAsia="黑体"/>
      <w:b/>
      <w:sz w:val="32"/>
    </w:rPr>
  </w:style>
  <w:style w:type="paragraph" w:customStyle="1" w:styleId="123">
    <w:name w:val="默认段落字体 Para Char1"/>
    <w:next w:val="1"/>
    <w:qFormat/>
    <w:uiPriority w:val="99"/>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24">
    <w:name w:val="Char2"/>
    <w:basedOn w:val="1"/>
    <w:qFormat/>
    <w:uiPriority w:val="99"/>
    <w:pPr>
      <w:widowControl/>
      <w:spacing w:after="160" w:line="240" w:lineRule="exact"/>
      <w:jc w:val="left"/>
    </w:pPr>
    <w:rPr>
      <w:rFonts w:ascii="Verdana" w:hAnsi="Verdana"/>
      <w:kern w:val="0"/>
      <w:szCs w:val="20"/>
      <w:lang w:eastAsia="en-US"/>
    </w:rPr>
  </w:style>
  <w:style w:type="paragraph" w:customStyle="1" w:styleId="125">
    <w:name w:val="Char Char Char Char Char Char1 Char"/>
    <w:basedOn w:val="1"/>
    <w:qFormat/>
    <w:uiPriority w:val="99"/>
    <w:pPr>
      <w:widowControl/>
      <w:spacing w:after="160" w:line="240" w:lineRule="exact"/>
      <w:jc w:val="left"/>
    </w:pPr>
    <w:rPr>
      <w:rFonts w:ascii="Arial" w:hAnsi="Arial" w:eastAsia="楷体_GB2312" w:cs="Verdana"/>
      <w:b/>
      <w:kern w:val="0"/>
      <w:sz w:val="24"/>
      <w:lang w:eastAsia="en-US"/>
    </w:rPr>
  </w:style>
  <w:style w:type="paragraph" w:customStyle="1" w:styleId="126">
    <w:name w:val="Char Char Char Char"/>
    <w:basedOn w:val="13"/>
    <w:qFormat/>
    <w:uiPriority w:val="99"/>
    <w:rPr>
      <w:rFonts w:ascii="Tahoma" w:hAnsi="Tahoma"/>
    </w:rPr>
  </w:style>
  <w:style w:type="paragraph" w:customStyle="1" w:styleId="127">
    <w:name w:val="Char"/>
    <w:basedOn w:val="13"/>
    <w:qFormat/>
    <w:uiPriority w:val="99"/>
    <w:rPr>
      <w:rFonts w:ascii="Tahoma" w:hAnsi="Tahoma"/>
    </w:rPr>
  </w:style>
  <w:style w:type="paragraph" w:customStyle="1" w:styleId="128">
    <w:name w:val="Char Char Char Char Char Char Char1"/>
    <w:basedOn w:val="1"/>
    <w:qFormat/>
    <w:uiPriority w:val="99"/>
  </w:style>
  <w:style w:type="paragraph" w:customStyle="1" w:styleId="129">
    <w:name w:val="Char1 Char Char Char"/>
    <w:basedOn w:val="1"/>
    <w:qFormat/>
    <w:uiPriority w:val="99"/>
    <w:rPr>
      <w:rFonts w:ascii="Tahoma" w:hAnsi="Tahoma"/>
      <w:sz w:val="24"/>
      <w:szCs w:val="20"/>
    </w:rPr>
  </w:style>
  <w:style w:type="paragraph" w:customStyle="1" w:styleId="13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1">
    <w:name w:val="Char Char Char Char Char Char1 Char1"/>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132">
    <w:name w:val="WPSOffice手动目录 2"/>
    <w:qFormat/>
    <w:uiPriority w:val="0"/>
    <w:pPr>
      <w:ind w:leftChars="200"/>
    </w:pPr>
    <w:rPr>
      <w:rFonts w:ascii="Times New Roman" w:hAnsi="Times New Roman" w:eastAsia="宋体" w:cs="Times New Roman"/>
      <w:lang w:val="en-US" w:eastAsia="zh-CN" w:bidi="ar-SA"/>
    </w:rPr>
  </w:style>
  <w:style w:type="paragraph" w:customStyle="1" w:styleId="133">
    <w:name w:val="样式3"/>
    <w:basedOn w:val="16"/>
    <w:qFormat/>
    <w:uiPriority w:val="99"/>
    <w:pPr>
      <w:autoSpaceDE/>
      <w:autoSpaceDN/>
      <w:adjustRightInd/>
      <w:spacing w:line="360" w:lineRule="auto"/>
      <w:jc w:val="both"/>
    </w:pPr>
    <w:rPr>
      <w:kern w:val="2"/>
      <w:sz w:val="21"/>
      <w:szCs w:val="24"/>
    </w:rPr>
  </w:style>
  <w:style w:type="paragraph" w:customStyle="1" w:styleId="134">
    <w:name w:val="样式1"/>
    <w:basedOn w:val="1"/>
    <w:qFormat/>
    <w:uiPriority w:val="99"/>
  </w:style>
  <w:style w:type="paragraph" w:customStyle="1" w:styleId="135">
    <w:name w:val="HD正文1"/>
    <w:basedOn w:val="1"/>
    <w:qFormat/>
    <w:uiPriority w:val="0"/>
    <w:pPr>
      <w:spacing w:line="440" w:lineRule="atLeast"/>
      <w:ind w:firstLine="540"/>
    </w:pPr>
    <w:rPr>
      <w:rFonts w:ascii="Calibri" w:hAnsi="Calibri"/>
      <w:sz w:val="24"/>
    </w:rPr>
  </w:style>
  <w:style w:type="paragraph" w:customStyle="1" w:styleId="136">
    <w:name w:val="Char Char Char Char Char Char Char Char Char Char Char Char Char Char Char Char1"/>
    <w:basedOn w:val="1"/>
    <w:qFormat/>
    <w:uiPriority w:val="99"/>
    <w:pPr>
      <w:tabs>
        <w:tab w:val="left" w:pos="360"/>
      </w:tabs>
      <w:spacing w:line="360" w:lineRule="auto"/>
      <w:ind w:left="482" w:firstLine="200" w:firstLineChars="200"/>
    </w:pPr>
  </w:style>
  <w:style w:type="paragraph" w:customStyle="1" w:styleId="137">
    <w:name w:val="默认段落字体 Para Char"/>
    <w:basedOn w:val="1"/>
    <w:qFormat/>
    <w:uiPriority w:val="99"/>
    <w:pPr>
      <w:adjustRightInd w:val="0"/>
      <w:spacing w:line="360" w:lineRule="auto"/>
    </w:pPr>
    <w:rPr>
      <w:kern w:val="0"/>
      <w:sz w:val="24"/>
      <w:szCs w:val="20"/>
    </w:rPr>
  </w:style>
  <w:style w:type="paragraph" w:customStyle="1" w:styleId="13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39">
    <w:name w:val="Report List"/>
    <w:basedOn w:val="1"/>
    <w:qFormat/>
    <w:uiPriority w:val="99"/>
    <w:pPr>
      <w:widowControl/>
      <w:numPr>
        <w:ilvl w:val="0"/>
        <w:numId w:val="2"/>
      </w:numPr>
      <w:spacing w:before="120" w:after="120"/>
    </w:pPr>
    <w:rPr>
      <w:rFonts w:ascii="Arial" w:hAnsi="Arial" w:cs="Tahoma"/>
      <w:kern w:val="28"/>
      <w:sz w:val="22"/>
      <w:szCs w:val="20"/>
    </w:rPr>
  </w:style>
  <w:style w:type="paragraph" w:customStyle="1" w:styleId="140">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41">
    <w:name w:val="xl31"/>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42">
    <w:name w:val="样式 正文缩进 + 首行缩进:  2 字符 段前: 0.5 行"/>
    <w:basedOn w:val="1"/>
    <w:qFormat/>
    <w:uiPriority w:val="99"/>
    <w:pPr>
      <w:spacing w:beforeLines="50" w:line="300" w:lineRule="auto"/>
      <w:ind w:firstLine="480" w:firstLineChars="200"/>
    </w:pPr>
    <w:rPr>
      <w:rFonts w:cs="宋体"/>
      <w:szCs w:val="20"/>
    </w:rPr>
  </w:style>
  <w:style w:type="paragraph" w:customStyle="1" w:styleId="143">
    <w:name w:val="缺省文本"/>
    <w:basedOn w:val="1"/>
    <w:qFormat/>
    <w:uiPriority w:val="99"/>
    <w:pPr>
      <w:autoSpaceDE w:val="0"/>
      <w:autoSpaceDN w:val="0"/>
      <w:adjustRightInd w:val="0"/>
      <w:jc w:val="left"/>
    </w:pPr>
    <w:rPr>
      <w:rFonts w:ascii="仿宋_GB2312" w:eastAsia="仿宋_GB2312"/>
      <w:kern w:val="0"/>
      <w:sz w:val="24"/>
      <w:szCs w:val="20"/>
    </w:rPr>
  </w:style>
  <w:style w:type="paragraph" w:customStyle="1" w:styleId="144">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styleId="145">
    <w:name w:val="List Paragraph"/>
    <w:basedOn w:val="1"/>
    <w:qFormat/>
    <w:uiPriority w:val="1"/>
    <w:pPr>
      <w:spacing w:before="151"/>
      <w:ind w:left="212" w:firstLine="412"/>
    </w:pPr>
    <w:rPr>
      <w:rFonts w:ascii="宋体" w:hAnsi="宋体" w:cs="宋体"/>
      <w:lang w:val="zh-CN" w:bidi="zh-CN"/>
    </w:rPr>
  </w:style>
  <w:style w:type="paragraph" w:customStyle="1" w:styleId="146">
    <w:name w:val="Char Char Char Char1"/>
    <w:basedOn w:val="13"/>
    <w:qFormat/>
    <w:uiPriority w:val="99"/>
    <w:rPr>
      <w:rFonts w:ascii="Tahoma" w:hAnsi="Tahoma"/>
    </w:rPr>
  </w:style>
  <w:style w:type="paragraph" w:customStyle="1" w:styleId="147">
    <w:name w:val="Char Char4 Char Char"/>
    <w:basedOn w:val="1"/>
    <w:uiPriority w:val="99"/>
    <w:pPr>
      <w:widowControl/>
      <w:spacing w:after="160" w:line="240" w:lineRule="exact"/>
      <w:jc w:val="left"/>
    </w:pPr>
  </w:style>
  <w:style w:type="paragraph" w:customStyle="1" w:styleId="14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9">
    <w:name w:val="F2"/>
    <w:basedOn w:val="1"/>
    <w:uiPriority w:val="99"/>
    <w:pPr>
      <w:autoSpaceDE w:val="0"/>
      <w:autoSpaceDN w:val="0"/>
      <w:adjustRightInd w:val="0"/>
      <w:ind w:firstLine="601"/>
      <w:textAlignment w:val="baseline"/>
    </w:pPr>
    <w:rPr>
      <w:kern w:val="0"/>
      <w:sz w:val="24"/>
      <w:szCs w:val="20"/>
    </w:rPr>
  </w:style>
  <w:style w:type="paragraph" w:customStyle="1" w:styleId="150">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1">
    <w:name w:val="Char Char Char Char Char Char Char"/>
    <w:basedOn w:val="1"/>
    <w:qFormat/>
    <w:uiPriority w:val="99"/>
  </w:style>
  <w:style w:type="paragraph" w:customStyle="1" w:styleId="15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3">
    <w:name w:val="Char1 Char Char Char Char Char Char"/>
    <w:basedOn w:val="1"/>
    <w:qFormat/>
    <w:uiPriority w:val="99"/>
    <w:rPr>
      <w:rFonts w:ascii="Tahoma" w:hAnsi="Tahoma"/>
      <w:sz w:val="24"/>
      <w:szCs w:val="20"/>
    </w:rPr>
  </w:style>
  <w:style w:type="paragraph" w:customStyle="1" w:styleId="154">
    <w:name w:val="1"/>
    <w:basedOn w:val="1"/>
    <w:next w:val="18"/>
    <w:uiPriority w:val="99"/>
    <w:rPr>
      <w:rFonts w:ascii="宋体" w:hAnsi="Courier New"/>
      <w:szCs w:val="20"/>
    </w:rPr>
  </w:style>
  <w:style w:type="paragraph" w:customStyle="1" w:styleId="155">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56">
    <w:name w:val="正文段"/>
    <w:basedOn w:val="1"/>
    <w:qFormat/>
    <w:uiPriority w:val="99"/>
    <w:pPr>
      <w:widowControl/>
      <w:snapToGrid w:val="0"/>
      <w:spacing w:afterLines="50"/>
      <w:ind w:firstLine="200" w:firstLineChars="200"/>
    </w:pPr>
    <w:rPr>
      <w:kern w:val="0"/>
      <w:sz w:val="24"/>
      <w:szCs w:val="20"/>
    </w:rPr>
  </w:style>
  <w:style w:type="paragraph" w:customStyle="1" w:styleId="157">
    <w:name w:val="列出段落3"/>
    <w:basedOn w:val="1"/>
    <w:qFormat/>
    <w:uiPriority w:val="0"/>
    <w:pPr>
      <w:ind w:firstLine="420" w:firstLineChars="200"/>
    </w:pPr>
    <w:rPr>
      <w:szCs w:val="20"/>
    </w:rPr>
  </w:style>
  <w:style w:type="paragraph" w:customStyle="1" w:styleId="158">
    <w:name w:val="默认段落字体 Para Char Char Char Char Char Char Char Char Char Char"/>
    <w:basedOn w:val="1"/>
    <w:uiPriority w:val="99"/>
    <w:rPr>
      <w:kern w:val="0"/>
      <w:szCs w:val="20"/>
    </w:rPr>
  </w:style>
  <w:style w:type="paragraph" w:customStyle="1" w:styleId="159">
    <w:name w:val="xl2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60">
    <w:name w:val="修订1"/>
    <w:semiHidden/>
    <w:uiPriority w:val="99"/>
    <w:rPr>
      <w:rFonts w:ascii="Times New Roman" w:hAnsi="Times New Roman" w:eastAsia="宋体" w:cs="Times New Roman"/>
      <w:kern w:val="2"/>
      <w:sz w:val="21"/>
      <w:szCs w:val="24"/>
      <w:lang w:val="en-US" w:eastAsia="zh-CN" w:bidi="ar-SA"/>
    </w:rPr>
  </w:style>
  <w:style w:type="paragraph" w:customStyle="1" w:styleId="161">
    <w:name w:val="xl2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62">
    <w:name w:val="正文 A"/>
    <w:qFormat/>
    <w:uiPriority w:val="0"/>
    <w:pPr>
      <w:widowControl w:val="0"/>
      <w:jc w:val="both"/>
    </w:pPr>
    <w:rPr>
      <w:rFonts w:ascii="Arial Unicode MS" w:hAnsi="Arial Unicode MS" w:eastAsia="Arial Unicode MS" w:cs="Arial Unicode MS"/>
      <w:color w:val="000000"/>
      <w:kern w:val="2"/>
      <w:sz w:val="52"/>
      <w:szCs w:val="52"/>
      <w:lang w:val="en-US" w:eastAsia="zh-CN" w:bidi="ar-SA"/>
    </w:rPr>
  </w:style>
  <w:style w:type="paragraph" w:customStyle="1" w:styleId="163">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表格文字"/>
    <w:basedOn w:val="1"/>
    <w:qFormat/>
    <w:uiPriority w:val="99"/>
    <w:pPr>
      <w:spacing w:before="25" w:after="25"/>
      <w:jc w:val="left"/>
    </w:pPr>
    <w:rPr>
      <w:bCs/>
      <w:spacing w:val="10"/>
      <w:kern w:val="0"/>
      <w:sz w:val="24"/>
    </w:rPr>
  </w:style>
  <w:style w:type="paragraph" w:customStyle="1" w:styleId="165">
    <w:name w:val="WPSOffice手动目录 1"/>
    <w:qFormat/>
    <w:uiPriority w:val="0"/>
    <w:rPr>
      <w:rFonts w:ascii="Times New Roman" w:hAnsi="Times New Roman" w:eastAsia="宋体" w:cs="Times New Roman"/>
      <w:lang w:val="en-US" w:eastAsia="zh-CN" w:bidi="ar-SA"/>
    </w:rPr>
  </w:style>
  <w:style w:type="paragraph" w:customStyle="1" w:styleId="166">
    <w:name w:val="Char1"/>
    <w:basedOn w:val="13"/>
    <w:qFormat/>
    <w:uiPriority w:val="99"/>
    <w:rPr>
      <w:rFonts w:ascii="Tahoma" w:hAnsi="Tahoma"/>
    </w:rPr>
  </w:style>
  <w:style w:type="paragraph" w:customStyle="1" w:styleId="167">
    <w:name w:val="Char Char Char"/>
    <w:basedOn w:val="13"/>
    <w:qFormat/>
    <w:uiPriority w:val="99"/>
    <w:pPr>
      <w:shd w:val="clear" w:color="auto" w:fill="auto"/>
    </w:pPr>
    <w:rPr>
      <w:rFonts w:ascii="宋体"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83"/>
    <customShpInfo spid="_x0000_s3084"/>
    <customShpInfo spid="_x0000_s3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3407</Words>
  <Characters>19426</Characters>
  <Lines>161</Lines>
  <Paragraphs>45</Paragraphs>
  <TotalTime>2</TotalTime>
  <ScaleCrop>false</ScaleCrop>
  <LinksUpToDate>false</LinksUpToDate>
  <CharactersWithSpaces>22788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2020-12-09T09:16:00Z</dcterms:created>
  <dc:creator>LZH</dc:creator>
  <cp:lastModifiedBy>Lenovo</cp:lastModifiedBy>
  <cp:lastPrinted>2018-07-06T03:16:00Z</cp:lastPrinted>
  <dcterms:modified xsi:type="dcterms:W3CDTF">2020-12-10T08:12:02Z</dcterms:modified>
  <dc:title>广西科文招标有限公司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