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color w:val="auto"/>
          <w:sz w:val="36"/>
          <w:szCs w:val="36"/>
          <w:u w:val="none"/>
          <w:lang w:val="en-US" w:eastAsia="zh-CN"/>
        </w:rPr>
      </w:pPr>
      <w:r>
        <w:rPr>
          <w:rFonts w:hint="eastAsia" w:asciiTheme="majorEastAsia" w:hAnsiTheme="majorEastAsia" w:eastAsiaTheme="majorEastAsia" w:cstheme="majorEastAsia"/>
          <w:b/>
          <w:bCs/>
          <w:color w:val="auto"/>
          <w:sz w:val="36"/>
          <w:szCs w:val="36"/>
          <w:u w:val="none"/>
          <w:lang w:val="en-US" w:eastAsia="zh-CN"/>
        </w:rPr>
        <w:t>嵊州市金庭镇（撤并前金庭镇行政区域范围）生活垃圾上门收集、分类清运、大件垃圾清理、终端运行、</w:t>
      </w:r>
    </w:p>
    <w:p>
      <w:pPr>
        <w:numPr>
          <w:ilvl w:val="0"/>
          <w:numId w:val="0"/>
        </w:numPr>
        <w:jc w:val="center"/>
        <w:rPr>
          <w:rFonts w:hint="eastAsia" w:asciiTheme="majorEastAsia" w:hAnsiTheme="majorEastAsia" w:eastAsiaTheme="majorEastAsia" w:cstheme="majorEastAsia"/>
          <w:b/>
          <w:bCs/>
          <w:color w:val="auto"/>
          <w:sz w:val="36"/>
          <w:szCs w:val="36"/>
          <w:u w:val="none"/>
          <w:lang w:val="en-US" w:eastAsia="zh-CN"/>
        </w:rPr>
      </w:pPr>
      <w:r>
        <w:rPr>
          <w:rFonts w:hint="eastAsia" w:asciiTheme="majorEastAsia" w:hAnsiTheme="majorEastAsia" w:eastAsiaTheme="majorEastAsia" w:cstheme="majorEastAsia"/>
          <w:b/>
          <w:bCs/>
          <w:color w:val="auto"/>
          <w:sz w:val="36"/>
          <w:szCs w:val="36"/>
          <w:u w:val="none"/>
          <w:lang w:val="en-US" w:eastAsia="zh-CN"/>
        </w:rPr>
        <w:t>再生资源回收站点、嵊张线局部地段保洁项目</w:t>
      </w:r>
    </w:p>
    <w:p>
      <w:pPr>
        <w:keepNext w:val="0"/>
        <w:keepLines w:val="0"/>
        <w:pageBreakBefore w:val="0"/>
        <w:widowControl w:val="0"/>
        <w:kinsoku/>
        <w:wordWrap/>
        <w:overflowPunct/>
        <w:topLinePunct w:val="0"/>
        <w:autoSpaceDE/>
        <w:autoSpaceDN/>
        <w:bidi w:val="0"/>
        <w:adjustRightInd/>
        <w:snapToGrid/>
        <w:spacing w:before="0" w:beforeLines="100" w:line="360" w:lineRule="auto"/>
        <w:jc w:val="center"/>
        <w:textAlignment w:val="auto"/>
        <w:rPr>
          <w:rFonts w:ascii="宋体"/>
          <w:sz w:val="30"/>
          <w:szCs w:val="30"/>
        </w:rPr>
      </w:pPr>
      <w:r>
        <w:rPr>
          <w:rFonts w:hint="eastAsia" w:ascii="宋体" w:hAnsi="宋体"/>
          <w:color w:val="000000"/>
          <w:sz w:val="30"/>
          <w:szCs w:val="30"/>
        </w:rPr>
        <w:t>（</w:t>
      </w:r>
      <w:r>
        <w:rPr>
          <w:rFonts w:hint="eastAsia" w:ascii="宋体" w:hAnsi="宋体"/>
          <w:color w:val="000000"/>
          <w:sz w:val="30"/>
          <w:szCs w:val="30"/>
          <w:lang w:eastAsia="zh-CN"/>
        </w:rPr>
        <w:t>项目编号</w:t>
      </w:r>
      <w:r>
        <w:rPr>
          <w:rFonts w:hint="eastAsia" w:ascii="宋体" w:hAnsi="宋体"/>
          <w:color w:val="000000"/>
          <w:sz w:val="30"/>
          <w:szCs w:val="30"/>
        </w:rPr>
        <w:t>：</w:t>
      </w:r>
      <w:r>
        <w:rPr>
          <w:rFonts w:hint="eastAsia" w:ascii="宋体" w:hAnsi="宋体"/>
          <w:color w:val="000000"/>
          <w:sz w:val="30"/>
          <w:szCs w:val="30"/>
          <w:lang w:val="en-US" w:eastAsia="zh-CN"/>
        </w:rPr>
        <w:t>OB202102</w:t>
      </w:r>
      <w:r>
        <w:rPr>
          <w:rFonts w:hint="eastAsia" w:ascii="宋体" w:hAnsi="宋体"/>
          <w:sz w:val="30"/>
          <w:szCs w:val="30"/>
        </w:rPr>
        <w:t>）</w:t>
      </w:r>
    </w:p>
    <w:p>
      <w:pPr>
        <w:jc w:val="center"/>
        <w:rPr>
          <w:rFonts w:ascii="宋体"/>
          <w:b/>
          <w:color w:val="000000"/>
          <w:sz w:val="44"/>
          <w:szCs w:val="44"/>
        </w:rPr>
      </w:pPr>
    </w:p>
    <w:p>
      <w:pPr>
        <w:jc w:val="center"/>
        <w:rPr>
          <w:rFonts w:ascii="宋体"/>
          <w:color w:val="000000"/>
          <w:sz w:val="44"/>
          <w:szCs w:val="44"/>
        </w:rPr>
      </w:pPr>
    </w:p>
    <w:p>
      <w:pPr>
        <w:spacing w:line="240" w:lineRule="atLeast"/>
        <w:jc w:val="center"/>
        <w:rPr>
          <w:rFonts w:ascii="宋体"/>
          <w:b/>
          <w:color w:val="000000"/>
          <w:sz w:val="72"/>
          <w:szCs w:val="72"/>
        </w:rPr>
      </w:pPr>
      <w:r>
        <w:rPr>
          <w:rFonts w:hint="eastAsia" w:ascii="宋体" w:hAnsi="宋体"/>
          <w:b/>
          <w:color w:val="000000"/>
          <w:sz w:val="72"/>
          <w:szCs w:val="72"/>
        </w:rPr>
        <w:t>招</w:t>
      </w:r>
    </w:p>
    <w:p>
      <w:pPr>
        <w:spacing w:line="240" w:lineRule="atLeast"/>
        <w:ind w:firstLine="5696" w:firstLineChars="788"/>
        <w:jc w:val="center"/>
        <w:rPr>
          <w:rFonts w:ascii="宋体"/>
          <w:b/>
          <w:color w:val="000000"/>
          <w:sz w:val="72"/>
          <w:szCs w:val="72"/>
        </w:rPr>
      </w:pPr>
    </w:p>
    <w:p>
      <w:pPr>
        <w:spacing w:line="240" w:lineRule="atLeast"/>
        <w:jc w:val="center"/>
        <w:rPr>
          <w:rFonts w:ascii="宋体"/>
          <w:b/>
          <w:color w:val="000000"/>
          <w:sz w:val="72"/>
          <w:szCs w:val="72"/>
        </w:rPr>
      </w:pPr>
      <w:r>
        <w:rPr>
          <w:rFonts w:hint="eastAsia" w:ascii="宋体" w:hAnsi="宋体"/>
          <w:b/>
          <w:color w:val="000000"/>
          <w:sz w:val="72"/>
          <w:szCs w:val="72"/>
        </w:rPr>
        <w:t>标</w:t>
      </w:r>
    </w:p>
    <w:p>
      <w:pPr>
        <w:spacing w:line="240" w:lineRule="atLeast"/>
        <w:ind w:firstLine="5696" w:firstLineChars="788"/>
        <w:jc w:val="center"/>
        <w:rPr>
          <w:rFonts w:ascii="宋体"/>
          <w:b/>
          <w:color w:val="000000"/>
          <w:sz w:val="72"/>
          <w:szCs w:val="72"/>
        </w:rPr>
      </w:pPr>
    </w:p>
    <w:p>
      <w:pPr>
        <w:spacing w:line="240" w:lineRule="atLeast"/>
        <w:jc w:val="center"/>
        <w:rPr>
          <w:rFonts w:ascii="宋体"/>
          <w:b/>
          <w:color w:val="000000"/>
          <w:sz w:val="72"/>
          <w:szCs w:val="72"/>
        </w:rPr>
      </w:pPr>
      <w:r>
        <w:rPr>
          <w:rFonts w:hint="eastAsia" w:ascii="宋体" w:hAnsi="宋体"/>
          <w:b/>
          <w:color w:val="000000"/>
          <w:sz w:val="72"/>
          <w:szCs w:val="72"/>
        </w:rPr>
        <w:t>文</w:t>
      </w:r>
    </w:p>
    <w:p>
      <w:pPr>
        <w:spacing w:line="240" w:lineRule="atLeast"/>
        <w:ind w:firstLine="5696" w:firstLineChars="788"/>
        <w:jc w:val="center"/>
        <w:rPr>
          <w:rFonts w:ascii="宋体"/>
          <w:b/>
          <w:color w:val="000000"/>
          <w:sz w:val="72"/>
          <w:szCs w:val="72"/>
        </w:rPr>
      </w:pPr>
    </w:p>
    <w:p>
      <w:pPr>
        <w:spacing w:line="240" w:lineRule="atLeast"/>
        <w:jc w:val="center"/>
        <w:rPr>
          <w:rFonts w:ascii="宋体"/>
          <w:b/>
          <w:color w:val="000000"/>
          <w:sz w:val="72"/>
          <w:szCs w:val="72"/>
        </w:rPr>
      </w:pPr>
      <w:r>
        <w:rPr>
          <w:rFonts w:hint="eastAsia" w:ascii="宋体" w:hAnsi="宋体"/>
          <w:b/>
          <w:color w:val="000000"/>
          <w:sz w:val="72"/>
          <w:szCs w:val="72"/>
        </w:rPr>
        <w:t>件</w:t>
      </w:r>
    </w:p>
    <w:p>
      <w:pPr>
        <w:spacing w:line="360" w:lineRule="auto"/>
        <w:rPr>
          <w:rFonts w:ascii="宋体"/>
          <w:b/>
          <w:color w:val="000000"/>
          <w:sz w:val="48"/>
          <w:szCs w:val="48"/>
        </w:rPr>
      </w:pPr>
    </w:p>
    <w:p>
      <w:pPr>
        <w:spacing w:line="360" w:lineRule="auto"/>
        <w:rPr>
          <w:rFonts w:ascii="宋体"/>
          <w:b/>
          <w:color w:val="000000"/>
          <w:sz w:val="48"/>
          <w:szCs w:val="48"/>
        </w:rPr>
      </w:pPr>
    </w:p>
    <w:p>
      <w:pPr>
        <w:keepNext w:val="0"/>
        <w:keepLines w:val="0"/>
        <w:pageBreakBefore w:val="0"/>
        <w:widowControl w:val="0"/>
        <w:kinsoku/>
        <w:wordWrap/>
        <w:overflowPunct/>
        <w:topLinePunct w:val="0"/>
        <w:autoSpaceDE/>
        <w:autoSpaceDN/>
        <w:bidi w:val="0"/>
        <w:adjustRightInd/>
        <w:snapToGrid/>
        <w:spacing w:line="360" w:lineRule="auto"/>
        <w:ind w:left="1050" w:leftChars="500"/>
        <w:jc w:val="left"/>
        <w:textAlignment w:val="auto"/>
        <w:rPr>
          <w:rFonts w:ascii="宋体"/>
          <w:b/>
          <w:sz w:val="32"/>
          <w:szCs w:val="32"/>
          <w:u w:val="none"/>
        </w:rPr>
      </w:pPr>
      <w:r>
        <w:rPr>
          <w:rFonts w:hint="eastAsia" w:ascii="宋体" w:hAnsi="宋体"/>
          <w:b/>
          <w:sz w:val="32"/>
          <w:szCs w:val="32"/>
          <w:u w:val="none"/>
        </w:rPr>
        <w:t>采购人：</w:t>
      </w:r>
      <w:r>
        <w:rPr>
          <w:rFonts w:hint="eastAsia" w:ascii="宋体" w:hAnsi="宋体"/>
          <w:b/>
          <w:bCs/>
          <w:sz w:val="32"/>
          <w:szCs w:val="32"/>
          <w:u w:val="none"/>
        </w:rPr>
        <w:t>嵊州市</w:t>
      </w:r>
      <w:r>
        <w:rPr>
          <w:rFonts w:hint="eastAsia" w:ascii="宋体" w:hAnsi="宋体"/>
          <w:b/>
          <w:bCs/>
          <w:sz w:val="32"/>
          <w:szCs w:val="32"/>
          <w:u w:val="none"/>
          <w:lang w:val="en-US" w:eastAsia="zh-CN"/>
        </w:rPr>
        <w:t>金庭镇</w:t>
      </w:r>
      <w:r>
        <w:rPr>
          <w:rFonts w:hint="eastAsia" w:ascii="宋体" w:hAnsi="宋体"/>
          <w:b/>
          <w:bCs/>
          <w:sz w:val="32"/>
          <w:szCs w:val="32"/>
          <w:u w:val="none"/>
        </w:rPr>
        <w:t>人民政府</w:t>
      </w:r>
    </w:p>
    <w:p>
      <w:pPr>
        <w:tabs>
          <w:tab w:val="left" w:pos="1813"/>
        </w:tabs>
        <w:bidi w:val="0"/>
        <w:ind w:firstLine="964" w:firstLineChars="300"/>
        <w:jc w:val="both"/>
        <w:rPr>
          <w:rFonts w:ascii="宋体"/>
          <w:b/>
          <w:color w:val="000000"/>
          <w:sz w:val="32"/>
          <w:szCs w:val="32"/>
          <w:u w:val="none"/>
        </w:rPr>
      </w:pPr>
      <w:r>
        <w:rPr>
          <w:rFonts w:hint="eastAsia" w:ascii="宋体" w:hAnsi="宋体"/>
          <w:b/>
          <w:color w:val="000000"/>
          <w:sz w:val="32"/>
          <w:szCs w:val="32"/>
          <w:u w:val="none"/>
        </w:rPr>
        <w:t>采购代</w:t>
      </w:r>
      <w:r>
        <w:rPr>
          <w:rFonts w:hint="eastAsia" w:ascii="宋体" w:hAnsi="宋体"/>
          <w:b/>
          <w:sz w:val="32"/>
          <w:szCs w:val="32"/>
          <w:u w:val="none"/>
        </w:rPr>
        <w:t>理机构：</w:t>
      </w:r>
      <w:r>
        <w:rPr>
          <w:rFonts w:hint="eastAsia"/>
          <w:b/>
          <w:bCs/>
          <w:sz w:val="32"/>
          <w:szCs w:val="32"/>
          <w:lang w:val="en-US" w:eastAsia="zh-CN"/>
        </w:rPr>
        <w:t>欧邦工程管理集团有限公司</w:t>
      </w:r>
    </w:p>
    <w:p>
      <w:pPr>
        <w:keepNext w:val="0"/>
        <w:keepLines w:val="0"/>
        <w:pageBreakBefore w:val="0"/>
        <w:widowControl w:val="0"/>
        <w:kinsoku/>
        <w:wordWrap/>
        <w:overflowPunct/>
        <w:topLinePunct w:val="0"/>
        <w:autoSpaceDE/>
        <w:autoSpaceDN/>
        <w:bidi w:val="0"/>
        <w:adjustRightInd/>
        <w:snapToGrid/>
        <w:spacing w:line="360" w:lineRule="auto"/>
        <w:ind w:left="1050" w:leftChars="500"/>
        <w:jc w:val="left"/>
        <w:textAlignment w:val="auto"/>
        <w:rPr>
          <w:rFonts w:hint="eastAsia" w:ascii="宋体" w:hAnsi="宋体"/>
          <w:color w:val="000000"/>
          <w:sz w:val="44"/>
        </w:rPr>
      </w:pPr>
      <w:r>
        <w:rPr>
          <w:rFonts w:hint="eastAsia" w:ascii="宋体" w:hAnsi="宋体"/>
          <w:b/>
          <w:spacing w:val="91"/>
          <w:sz w:val="32"/>
          <w:szCs w:val="32"/>
          <w:u w:val="none"/>
          <w:lang w:eastAsia="zh-CN"/>
        </w:rPr>
        <w:t>日期：</w:t>
      </w:r>
      <w:r>
        <w:rPr>
          <w:rFonts w:hint="eastAsia" w:ascii="宋体" w:hAnsi="宋体"/>
          <w:b/>
          <w:spacing w:val="91"/>
          <w:sz w:val="32"/>
          <w:szCs w:val="32"/>
          <w:u w:val="none"/>
          <w:lang w:val="en-US" w:eastAsia="zh-CN"/>
        </w:rPr>
        <w:t>2021</w:t>
      </w:r>
      <w:r>
        <w:rPr>
          <w:rFonts w:hint="eastAsia" w:ascii="宋体" w:hAnsi="宋体"/>
          <w:b/>
          <w:spacing w:val="91"/>
          <w:sz w:val="32"/>
          <w:szCs w:val="32"/>
          <w:u w:val="none"/>
        </w:rPr>
        <w:t>年</w:t>
      </w:r>
      <w:r>
        <w:rPr>
          <w:rFonts w:hint="eastAsia" w:ascii="宋体" w:hAnsi="宋体"/>
          <w:b/>
          <w:spacing w:val="91"/>
          <w:sz w:val="32"/>
          <w:szCs w:val="32"/>
          <w:u w:val="none"/>
          <w:lang w:val="en-US" w:eastAsia="zh-CN"/>
        </w:rPr>
        <w:t>11</w:t>
      </w:r>
      <w:r>
        <w:rPr>
          <w:rFonts w:hint="eastAsia" w:ascii="宋体" w:hAnsi="宋体"/>
          <w:b/>
          <w:spacing w:val="91"/>
          <w:sz w:val="32"/>
          <w:szCs w:val="32"/>
          <w:u w:val="none"/>
        </w:rPr>
        <w:t>月</w:t>
      </w:r>
      <w:bookmarkStart w:id="0" w:name="_Toc432496499"/>
      <w:bookmarkStart w:id="1" w:name="_Toc64497178"/>
      <w:bookmarkStart w:id="2" w:name="_Toc433118745"/>
    </w:p>
    <w:p>
      <w:pPr>
        <w:pStyle w:val="35"/>
        <w:spacing w:line="440" w:lineRule="exact"/>
        <w:rPr>
          <w:rFonts w:hint="eastAsia" w:ascii="宋体" w:hAnsi="宋体"/>
          <w:color w:val="000000"/>
          <w:sz w:val="44"/>
        </w:rPr>
      </w:pPr>
    </w:p>
    <w:p>
      <w:pPr>
        <w:pStyle w:val="35"/>
        <w:spacing w:line="440" w:lineRule="exact"/>
        <w:rPr>
          <w:rFonts w:hint="eastAsia" w:ascii="宋体" w:hAnsi="宋体"/>
          <w:color w:val="000000"/>
          <w:sz w:val="44"/>
        </w:rPr>
      </w:pPr>
      <w:r>
        <w:rPr>
          <w:rFonts w:hint="eastAsia" w:ascii="宋体" w:hAnsi="宋体"/>
          <w:color w:val="000000"/>
          <w:sz w:val="44"/>
        </w:rPr>
        <w:t>目录</w:t>
      </w:r>
      <w:bookmarkEnd w:id="0"/>
      <w:bookmarkEnd w:id="1"/>
      <w:bookmarkEnd w:id="2"/>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_Toc10096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 分 公开招标采购公告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_Toc10096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_Toc13176 </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 分 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_Toc13176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_Toc25662 </w:instrText>
      </w:r>
      <w:r>
        <w:rPr>
          <w:rFonts w:hint="eastAsia" w:ascii="宋体" w:hAnsi="宋体" w:eastAsia="宋体" w:cs="宋体"/>
          <w:sz w:val="28"/>
          <w:szCs w:val="28"/>
        </w:rPr>
        <w:fldChar w:fldCharType="separate"/>
      </w:r>
      <w:r>
        <w:rPr>
          <w:rFonts w:hint="eastAsia" w:ascii="宋体" w:hAnsi="宋体" w:eastAsia="宋体" w:cs="宋体"/>
          <w:sz w:val="28"/>
          <w:szCs w:val="28"/>
        </w:rPr>
        <w:t>投标须知前附表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_Toc25662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_Toc4266 </w:instrText>
      </w:r>
      <w:r>
        <w:rPr>
          <w:rFonts w:hint="eastAsia" w:ascii="宋体" w:hAnsi="宋体" w:eastAsia="宋体" w:cs="宋体"/>
          <w:sz w:val="28"/>
          <w:szCs w:val="28"/>
        </w:rPr>
        <w:fldChar w:fldCharType="separate"/>
      </w:r>
      <w:r>
        <w:rPr>
          <w:rFonts w:hint="eastAsia" w:ascii="宋体" w:hAnsi="宋体" w:eastAsia="宋体" w:cs="宋体"/>
          <w:sz w:val="28"/>
          <w:szCs w:val="28"/>
        </w:rPr>
        <w:t>一、总  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_Toc4266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_Toc4131 </w:instrText>
      </w:r>
      <w:r>
        <w:rPr>
          <w:rFonts w:hint="eastAsia" w:ascii="宋体" w:hAnsi="宋体" w:eastAsia="宋体" w:cs="宋体"/>
          <w:sz w:val="28"/>
          <w:szCs w:val="28"/>
        </w:rPr>
        <w:fldChar w:fldCharType="separate"/>
      </w:r>
      <w:r>
        <w:rPr>
          <w:rFonts w:hint="eastAsia" w:ascii="宋体" w:hAnsi="宋体" w:eastAsia="宋体" w:cs="宋体"/>
          <w:sz w:val="28"/>
          <w:szCs w:val="28"/>
        </w:rPr>
        <w:t>二、 招标文件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_Toc4131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 </w:instrText>
      </w:r>
      <w:r>
        <w:rPr>
          <w:rFonts w:hint="eastAsia" w:ascii="宋体" w:hAnsi="宋体" w:eastAsia="宋体" w:cs="宋体"/>
          <w:sz w:val="28"/>
          <w:szCs w:val="28"/>
        </w:rPr>
        <w:fldChar w:fldCharType="separate"/>
      </w:r>
      <w:r>
        <w:rPr>
          <w:rFonts w:hint="eastAsia" w:ascii="宋体" w:hAnsi="宋体" w:eastAsia="宋体" w:cs="宋体"/>
          <w:sz w:val="28"/>
          <w:szCs w:val="28"/>
        </w:rPr>
        <w:t>三、投标文件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_Toc5299 </w:instrText>
      </w:r>
      <w:r>
        <w:rPr>
          <w:rFonts w:hint="eastAsia" w:ascii="宋体" w:hAnsi="宋体" w:eastAsia="宋体" w:cs="宋体"/>
          <w:sz w:val="28"/>
          <w:szCs w:val="28"/>
        </w:rPr>
        <w:fldChar w:fldCharType="separate"/>
      </w:r>
      <w:r>
        <w:rPr>
          <w:rFonts w:hint="eastAsia" w:ascii="宋体" w:hAnsi="宋体" w:eastAsia="宋体" w:cs="宋体"/>
          <w:sz w:val="28"/>
          <w:szCs w:val="28"/>
        </w:rPr>
        <w:t>四、开标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_Toc5299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_Toc25531 </w:instrText>
      </w:r>
      <w:r>
        <w:rPr>
          <w:rFonts w:hint="eastAsia" w:ascii="宋体" w:hAnsi="宋体" w:eastAsia="宋体" w:cs="宋体"/>
          <w:sz w:val="28"/>
          <w:szCs w:val="28"/>
        </w:rPr>
        <w:fldChar w:fldCharType="separate"/>
      </w:r>
      <w:r>
        <w:rPr>
          <w:rFonts w:hint="eastAsia" w:ascii="宋体" w:hAnsi="宋体" w:eastAsia="宋体" w:cs="宋体"/>
          <w:sz w:val="28"/>
          <w:szCs w:val="28"/>
        </w:rPr>
        <w:t>五、评标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_Toc25531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_Toc10024 </w:instrText>
      </w:r>
      <w:r>
        <w:rPr>
          <w:rFonts w:hint="eastAsia" w:ascii="宋体" w:hAnsi="宋体" w:eastAsia="宋体" w:cs="宋体"/>
          <w:sz w:val="28"/>
          <w:szCs w:val="28"/>
        </w:rPr>
        <w:fldChar w:fldCharType="separate"/>
      </w:r>
      <w:r>
        <w:rPr>
          <w:rFonts w:hint="eastAsia" w:ascii="宋体" w:hAnsi="宋体" w:eastAsia="宋体" w:cs="宋体"/>
          <w:sz w:val="28"/>
          <w:szCs w:val="28"/>
        </w:rPr>
        <w:t>六、定标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_Toc10024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_Toc4674 </w:instrText>
      </w:r>
      <w:r>
        <w:rPr>
          <w:rFonts w:hint="eastAsia" w:ascii="宋体" w:hAnsi="宋体" w:eastAsia="宋体" w:cs="宋体"/>
          <w:sz w:val="28"/>
          <w:szCs w:val="28"/>
        </w:rPr>
        <w:fldChar w:fldCharType="separate"/>
      </w:r>
      <w:r>
        <w:rPr>
          <w:rFonts w:hint="eastAsia" w:ascii="宋体" w:hAnsi="宋体" w:eastAsia="宋体" w:cs="宋体"/>
          <w:sz w:val="28"/>
          <w:szCs w:val="28"/>
        </w:rPr>
        <w:t>七、合同授予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_Toc4674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_Toc7168 </w:instrText>
      </w:r>
      <w:r>
        <w:rPr>
          <w:rFonts w:hint="eastAsia" w:ascii="宋体" w:hAnsi="宋体" w:eastAsia="宋体" w:cs="宋体"/>
          <w:sz w:val="28"/>
          <w:szCs w:val="28"/>
        </w:rPr>
        <w:fldChar w:fldCharType="separate"/>
      </w:r>
      <w:r>
        <w:rPr>
          <w:rFonts w:hint="eastAsia" w:ascii="宋体" w:hAnsi="宋体" w:eastAsia="宋体" w:cs="宋体"/>
          <w:sz w:val="28"/>
          <w:szCs w:val="28"/>
        </w:rPr>
        <w:t>八、款项的结算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_Toc7168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keepNext w:val="0"/>
        <w:keepLines w:val="0"/>
        <w:pageBreakBefore w:val="0"/>
        <w:tabs>
          <w:tab w:val="right" w:leader="dot" w:pos="9072"/>
        </w:tabs>
        <w:kinsoku/>
        <w:wordWrap/>
        <w:overflowPunct/>
        <w:topLinePunct w:val="0"/>
        <w:autoSpaceDE/>
        <w:autoSpaceDN/>
        <w:bidi w:val="0"/>
        <w:adjustRightInd/>
        <w:snapToGrid/>
        <w:spacing w:afterLines="0"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_Toc7184 </w:instrText>
      </w:r>
      <w:r>
        <w:rPr>
          <w:rFonts w:hint="eastAsia" w:ascii="宋体" w:hAnsi="宋体" w:eastAsia="宋体" w:cs="宋体"/>
          <w:sz w:val="28"/>
          <w:szCs w:val="28"/>
        </w:rPr>
        <w:fldChar w:fldCharType="separate"/>
      </w:r>
      <w:r>
        <w:rPr>
          <w:rFonts w:hint="eastAsia" w:ascii="宋体" w:hAnsi="宋体" w:eastAsia="宋体" w:cs="宋体"/>
          <w:bCs/>
          <w:sz w:val="28"/>
          <w:szCs w:val="28"/>
        </w:rPr>
        <w:t>九、落实的政府采购政策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_Toc7184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_Toc28217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_Toc28217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_Toc9601 </w:instrText>
      </w:r>
      <w:r>
        <w:rPr>
          <w:rFonts w:hint="eastAsia" w:ascii="宋体" w:hAnsi="宋体" w:eastAsia="宋体" w:cs="宋体"/>
          <w:sz w:val="28"/>
          <w:szCs w:val="28"/>
        </w:rPr>
        <w:fldChar w:fldCharType="separate"/>
      </w:r>
      <w:r>
        <w:rPr>
          <w:rFonts w:hint="eastAsia" w:ascii="宋体" w:hAnsi="宋体" w:eastAsia="宋体" w:cs="宋体"/>
          <w:caps/>
          <w:sz w:val="28"/>
          <w:szCs w:val="28"/>
        </w:rPr>
        <w:t>第四部分 评标办法及评分标准</w:t>
      </w:r>
      <w:r>
        <w:rPr>
          <w:rFonts w:hint="eastAsia" w:ascii="宋体" w:hAnsi="宋体" w:eastAsia="宋体" w:cs="宋体"/>
          <w:sz w:val="28"/>
          <w:szCs w:val="28"/>
        </w:rPr>
        <w:tab/>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0</w:t>
      </w:r>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_Toc13047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合同主要条款及合同签订方式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_Toc13047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_Toc6884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_Toc6884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9"/>
        <w:tabs>
          <w:tab w:val="right" w:leader="dot" w:pos="9072"/>
        </w:tabs>
      </w:pPr>
    </w:p>
    <w:p>
      <w:pPr>
        <w:pStyle w:val="35"/>
        <w:keepNext w:val="0"/>
        <w:keepLines w:val="0"/>
        <w:pageBreakBefore w:val="0"/>
        <w:tabs>
          <w:tab w:val="right" w:leader="dot" w:pos="9072"/>
          <w:tab w:val="clear" w:pos="8302"/>
        </w:tabs>
        <w:kinsoku/>
        <w:wordWrap/>
        <w:overflowPunct/>
        <w:topLinePunct w:val="0"/>
        <w:autoSpaceDE/>
        <w:autoSpaceDN/>
        <w:bidi w:val="0"/>
        <w:adjustRightInd/>
        <w:snapToGrid/>
        <w:spacing w:line="312" w:lineRule="auto"/>
        <w:textAlignment w:val="auto"/>
        <w:rPr>
          <w:rFonts w:hint="eastAsia" w:ascii="宋体" w:hAnsi="宋体" w:cs="宋体"/>
          <w:sz w:val="24"/>
          <w:szCs w:val="24"/>
        </w:rPr>
      </w:pPr>
      <w:r>
        <w:rPr>
          <w:rFonts w:hint="eastAsia" w:ascii="宋体" w:hAnsi="宋体" w:cs="宋体"/>
          <w:szCs w:val="24"/>
        </w:rPr>
        <w:fldChar w:fldCharType="end"/>
      </w:r>
    </w:p>
    <w:p>
      <w:pPr>
        <w:pStyle w:val="22"/>
        <w:spacing w:before="120" w:line="800" w:lineRule="exact"/>
        <w:jc w:val="center"/>
        <w:rPr>
          <w:rFonts w:ascii="宋体"/>
          <w:color w:val="auto"/>
          <w:spacing w:val="-16"/>
          <w:sz w:val="48"/>
          <w:szCs w:val="48"/>
          <w:u w:val="single"/>
        </w:rPr>
      </w:pPr>
    </w:p>
    <w:p>
      <w:pPr>
        <w:pStyle w:val="22"/>
        <w:spacing w:before="120" w:line="800" w:lineRule="exact"/>
        <w:rPr>
          <w:rFonts w:hint="eastAsia" w:ascii="宋体"/>
          <w:color w:val="auto"/>
          <w:spacing w:val="-16"/>
          <w:sz w:val="48"/>
          <w:szCs w:val="48"/>
          <w:u w:val="single"/>
        </w:rPr>
      </w:pPr>
    </w:p>
    <w:p>
      <w:pPr>
        <w:pStyle w:val="4"/>
        <w:numPr>
          <w:ilvl w:val="0"/>
          <w:numId w:val="0"/>
        </w:numPr>
        <w:tabs>
          <w:tab w:val="left" w:pos="358"/>
        </w:tabs>
        <w:spacing w:before="0"/>
        <w:ind w:leftChars="0"/>
        <w:jc w:val="center"/>
        <w:rPr>
          <w:rFonts w:hint="eastAsia" w:hAnsi="宋体" w:cs="宋体"/>
          <w:sz w:val="32"/>
          <w:szCs w:val="32"/>
        </w:rPr>
      </w:pPr>
      <w:bookmarkStart w:id="3" w:name="_Toc10096"/>
      <w:bookmarkStart w:id="4" w:name="_Toc9338"/>
      <w:bookmarkStart w:id="5" w:name="_Toc25503"/>
      <w:bookmarkStart w:id="6" w:name="_Toc514938669"/>
      <w:bookmarkStart w:id="7" w:name="_Toc64497179"/>
      <w:bookmarkStart w:id="8" w:name="_Toc11130"/>
      <w:r>
        <w:rPr>
          <w:rFonts w:hint="eastAsia" w:hAnsi="宋体" w:cs="宋体"/>
          <w:sz w:val="32"/>
          <w:szCs w:val="32"/>
          <w:lang w:eastAsia="zh-CN"/>
        </w:rPr>
        <w:t>第一部分</w:t>
      </w:r>
      <w:r>
        <w:rPr>
          <w:rFonts w:hint="eastAsia" w:hAnsi="宋体" w:cs="宋体"/>
          <w:sz w:val="32"/>
          <w:szCs w:val="32"/>
        </w:rPr>
        <w:t xml:space="preserve"> 公开招标采购公告</w:t>
      </w:r>
      <w:bookmarkEnd w:id="3"/>
      <w:bookmarkEnd w:id="4"/>
      <w:bookmarkEnd w:id="5"/>
      <w:bookmarkEnd w:id="6"/>
      <w:bookmarkEnd w:id="7"/>
      <w:bookmarkEnd w:id="8"/>
    </w:p>
    <w:p>
      <w:pPr>
        <w:rPr>
          <w:rFonts w:hint="default" w:eastAsia="宋体"/>
          <w:vertAlign w:val="baseline"/>
          <w:lang w:val="en-US" w:eastAsia="zh-CN"/>
        </w:rPr>
      </w:pPr>
      <w:r>
        <w:rPr>
          <w:rFonts w:hint="eastAsia"/>
          <w:lang w:val="en-US" w:eastAsia="zh-CN"/>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snapToGrid w:val="0"/>
              <w:spacing w:line="312" w:lineRule="auto"/>
              <w:rPr>
                <w:rFonts w:hint="eastAsia" w:ascii="宋体" w:hAnsi="宋体" w:cs="宋体"/>
                <w:color w:val="auto"/>
                <w:sz w:val="24"/>
                <w:lang w:val="en-US" w:eastAsia="zh-CN"/>
              </w:rPr>
            </w:pPr>
            <w:r>
              <w:rPr>
                <w:rFonts w:hint="eastAsia" w:ascii="宋体" w:hAnsi="宋体" w:cs="宋体"/>
                <w:color w:val="auto"/>
                <w:sz w:val="24"/>
                <w:lang w:val="en-US" w:eastAsia="zh-CN"/>
              </w:rPr>
              <w:t>项目概况：</w:t>
            </w:r>
          </w:p>
          <w:p>
            <w:pPr>
              <w:snapToGrid w:val="0"/>
              <w:spacing w:line="312"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嵊州市金庭镇（撤并前金庭镇行政区域范围）生活垃圾上门收集、分类清运、大件垃圾清理、终端运行、再生资源回收站点、嵊张线局部地段保洁项目招标项目的潜在投标人应在政采云平台（https://www.zcygov.cn/）获取（下载）招标文件，并于2021年12月7日9点00分（北京时间）前递交（上传）投标文件。</w:t>
            </w:r>
          </w:p>
          <w:p>
            <w:pPr>
              <w:pStyle w:val="7"/>
              <w:rPr>
                <w:rFonts w:hint="default"/>
                <w:lang w:val="en-US" w:eastAsia="zh-CN"/>
              </w:rPr>
            </w:pPr>
          </w:p>
        </w:tc>
      </w:tr>
    </w:tbl>
    <w:p>
      <w:pPr>
        <w:rPr>
          <w:rFonts w:hint="default" w:eastAsia="宋体"/>
          <w:lang w:val="en-US" w:eastAsia="zh-CN"/>
        </w:rPr>
      </w:pPr>
    </w:p>
    <w:p>
      <w:pPr>
        <w:spacing w:line="300" w:lineRule="exact"/>
        <w:ind w:firstLine="444"/>
        <w:jc w:val="center"/>
        <w:rPr>
          <w:rFonts w:hint="eastAsia" w:ascii="宋体" w:hAnsi="宋体" w:cs="宋体"/>
          <w:spacing w:val="6"/>
        </w:rPr>
      </w:pPr>
    </w:p>
    <w:p>
      <w:pPr>
        <w:numPr>
          <w:ilvl w:val="0"/>
          <w:numId w:val="1"/>
        </w:numPr>
        <w:spacing w:line="380" w:lineRule="exact"/>
        <w:ind w:firstLine="506" w:firstLineChars="200"/>
        <w:rPr>
          <w:rFonts w:hint="eastAsia" w:ascii="宋体" w:hAnsi="宋体" w:cs="宋体"/>
          <w:b/>
          <w:bCs/>
          <w:spacing w:val="6"/>
          <w:sz w:val="24"/>
        </w:rPr>
      </w:pPr>
      <w:bookmarkStart w:id="9" w:name="_Toc29837"/>
      <w:bookmarkStart w:id="10" w:name="_Toc11874"/>
      <w:bookmarkStart w:id="11" w:name="_Toc35393621"/>
      <w:bookmarkStart w:id="12" w:name="_Toc3495"/>
      <w:bookmarkStart w:id="13" w:name="_Toc35393790"/>
      <w:bookmarkStart w:id="14" w:name="_Toc28359002"/>
      <w:bookmarkStart w:id="15" w:name="_Toc28359079"/>
      <w:bookmarkStart w:id="16" w:name="_Toc26971"/>
      <w:bookmarkStart w:id="17" w:name="_Toc17912"/>
      <w:r>
        <w:rPr>
          <w:rFonts w:hint="eastAsia" w:ascii="宋体" w:hAnsi="宋体" w:cs="宋体"/>
          <w:b/>
          <w:bCs/>
          <w:spacing w:val="6"/>
          <w:sz w:val="24"/>
        </w:rPr>
        <w:t>项目基本情况</w:t>
      </w:r>
      <w:bookmarkEnd w:id="9"/>
      <w:bookmarkEnd w:id="10"/>
      <w:bookmarkEnd w:id="11"/>
      <w:bookmarkEnd w:id="12"/>
      <w:bookmarkEnd w:id="13"/>
      <w:bookmarkEnd w:id="14"/>
      <w:bookmarkEnd w:id="15"/>
      <w:bookmarkEnd w:id="16"/>
      <w:bookmarkEnd w:id="17"/>
    </w:p>
    <w:p>
      <w:pPr>
        <w:snapToGrid w:val="0"/>
        <w:spacing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1.项目编号：OB202101。</w:t>
      </w:r>
    </w:p>
    <w:p>
      <w:pPr>
        <w:snapToGrid w:val="0"/>
        <w:spacing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2.项目名称：嵊州市金庭镇（撤并前金庭镇行政区域范围）生活垃圾上门收集、分类清运、大件垃圾清理、终端运行、再生资源回收站点、嵊张线局部地段保洁项目</w:t>
      </w:r>
    </w:p>
    <w:p>
      <w:pPr>
        <w:snapToGrid w:val="0"/>
        <w:spacing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3.预算金额：11100288元。</w:t>
      </w:r>
    </w:p>
    <w:p>
      <w:pPr>
        <w:snapToGrid w:val="0"/>
        <w:spacing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4.最高限价：11100288元。</w:t>
      </w:r>
    </w:p>
    <w:p>
      <w:pPr>
        <w:snapToGrid w:val="0"/>
        <w:spacing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5.采购需求：</w:t>
      </w:r>
    </w:p>
    <w:p>
      <w:pPr>
        <w:spacing w:line="312" w:lineRule="auto"/>
        <w:ind w:firstLine="506"/>
        <w:outlineLvl w:val="1"/>
        <w:rPr>
          <w:rFonts w:hint="eastAsia" w:ascii="宋体" w:hAnsi="宋体" w:cs="宋体"/>
          <w:b/>
          <w:sz w:val="24"/>
          <w:vertAlign w:val="baseli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7"/>
        <w:gridCol w:w="4341"/>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0" w:type="dxa"/>
            <w:noWrap w:val="0"/>
            <w:vAlign w:val="center"/>
          </w:tcPr>
          <w:p>
            <w:pPr>
              <w:numPr>
                <w:ilvl w:val="0"/>
                <w:numId w:val="0"/>
              </w:numPr>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917" w:type="dxa"/>
            <w:noWrap w:val="0"/>
            <w:vAlign w:val="center"/>
          </w:tcPr>
          <w:p>
            <w:pPr>
              <w:numPr>
                <w:ilvl w:val="0"/>
                <w:numId w:val="0"/>
              </w:numPr>
              <w:jc w:val="center"/>
              <w:rPr>
                <w:rFonts w:hint="eastAsia" w:ascii="宋体" w:hAnsi="宋体" w:cs="宋体"/>
                <w:color w:val="auto"/>
                <w:sz w:val="24"/>
                <w:lang w:val="en-US" w:eastAsia="zh-CN"/>
              </w:rPr>
            </w:pPr>
            <w:r>
              <w:rPr>
                <w:rFonts w:hint="eastAsia" w:ascii="宋体" w:hAnsi="宋体" w:cs="宋体"/>
                <w:color w:val="auto"/>
                <w:sz w:val="24"/>
                <w:lang w:val="en-US" w:eastAsia="zh-CN"/>
              </w:rPr>
              <w:t>服务类别</w:t>
            </w:r>
          </w:p>
        </w:tc>
        <w:tc>
          <w:tcPr>
            <w:tcW w:w="4341" w:type="dxa"/>
            <w:noWrap w:val="0"/>
            <w:vAlign w:val="center"/>
          </w:tcPr>
          <w:p>
            <w:pPr>
              <w:numPr>
                <w:ilvl w:val="0"/>
                <w:numId w:val="0"/>
              </w:numPr>
              <w:jc w:val="center"/>
              <w:rPr>
                <w:rFonts w:hint="eastAsia" w:ascii="宋体" w:hAnsi="宋体" w:cs="宋体"/>
                <w:color w:val="auto"/>
                <w:sz w:val="24"/>
                <w:lang w:val="en-US" w:eastAsia="zh-CN"/>
              </w:rPr>
            </w:pPr>
            <w:r>
              <w:rPr>
                <w:rFonts w:hint="eastAsia" w:ascii="宋体" w:hAnsi="宋体" w:cs="宋体"/>
                <w:color w:val="auto"/>
                <w:sz w:val="24"/>
                <w:lang w:val="en-US" w:eastAsia="zh-CN"/>
              </w:rPr>
              <w:t>主要内容</w:t>
            </w:r>
          </w:p>
        </w:tc>
        <w:tc>
          <w:tcPr>
            <w:tcW w:w="2110" w:type="dxa"/>
            <w:noWrap w:val="0"/>
            <w:vAlign w:val="center"/>
          </w:tcPr>
          <w:p>
            <w:pPr>
              <w:numPr>
                <w:ilvl w:val="0"/>
                <w:numId w:val="0"/>
              </w:numPr>
              <w:jc w:val="center"/>
              <w:rPr>
                <w:rFonts w:hint="eastAsia" w:ascii="宋体" w:hAnsi="宋体" w:cs="宋体"/>
                <w:color w:val="auto"/>
                <w:sz w:val="24"/>
                <w:lang w:val="en-US" w:eastAsia="zh-CN"/>
              </w:rPr>
            </w:pPr>
            <w:r>
              <w:rPr>
                <w:rFonts w:hint="eastAsia" w:ascii="宋体" w:hAnsi="宋体" w:cs="宋体"/>
                <w:color w:val="auto"/>
                <w:sz w:val="24"/>
                <w:lang w:val="en-US" w:eastAsia="zh-CN"/>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70" w:type="dxa"/>
            <w:noWrap w:val="0"/>
            <w:vAlign w:val="center"/>
          </w:tcPr>
          <w:p>
            <w:pPr>
              <w:snapToGrid w:val="0"/>
              <w:spacing w:after="72" w:line="320" w:lineRule="exact"/>
              <w:jc w:val="center"/>
              <w:rPr>
                <w:rFonts w:hint="eastAsia" w:ascii="宋体" w:hAnsi="宋体" w:cs="宋体"/>
                <w:color w:val="auto"/>
                <w:sz w:val="21"/>
                <w:szCs w:val="21"/>
              </w:rPr>
            </w:pPr>
            <w:r>
              <w:rPr>
                <w:rFonts w:hint="eastAsia" w:ascii="宋体" w:hAnsi="宋体" w:cs="宋体"/>
                <w:color w:val="auto"/>
                <w:sz w:val="21"/>
                <w:szCs w:val="21"/>
              </w:rPr>
              <w:t>1</w:t>
            </w:r>
          </w:p>
        </w:tc>
        <w:tc>
          <w:tcPr>
            <w:tcW w:w="1917" w:type="dxa"/>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4"/>
                <w:lang w:val="en-US" w:eastAsia="zh-CN"/>
              </w:rPr>
              <w:t>项目名称</w:t>
            </w:r>
          </w:p>
        </w:tc>
        <w:tc>
          <w:tcPr>
            <w:tcW w:w="4341" w:type="dxa"/>
            <w:noWrap w:val="0"/>
            <w:vAlign w:val="center"/>
          </w:tcPr>
          <w:p>
            <w:pPr>
              <w:numPr>
                <w:ilvl w:val="0"/>
                <w:numId w:val="0"/>
              </w:numPr>
              <w:jc w:val="left"/>
              <w:rPr>
                <w:rFonts w:hint="eastAsia" w:ascii="宋体" w:hAnsi="宋体" w:cs="宋体"/>
                <w:color w:val="auto"/>
                <w:sz w:val="21"/>
                <w:szCs w:val="21"/>
              </w:rPr>
            </w:pPr>
            <w:r>
              <w:rPr>
                <w:rFonts w:hint="eastAsia" w:ascii="宋体" w:hAnsi="宋体" w:cs="宋体"/>
                <w:color w:val="auto"/>
                <w:sz w:val="24"/>
                <w:lang w:val="en-US" w:eastAsia="zh-CN"/>
              </w:rPr>
              <w:t>嵊州市金庭镇（撤并前金庭镇行政区域范围）生活垃圾上门收集、分类清运、大件垃圾清理、终端运行、再生资源回收站点、嵊张线局部地段保洁项目。</w:t>
            </w:r>
          </w:p>
        </w:tc>
        <w:tc>
          <w:tcPr>
            <w:tcW w:w="2110" w:type="dxa"/>
            <w:noWrap w:val="0"/>
            <w:vAlign w:val="center"/>
          </w:tcPr>
          <w:p>
            <w:pPr>
              <w:snapToGrid w:val="0"/>
              <w:spacing w:after="72" w:line="320" w:lineRule="exact"/>
              <w:ind w:right="-94" w:rightChars="-45" w:firstLine="14" w:firstLineChars="6"/>
              <w:jc w:val="center"/>
              <w:rPr>
                <w:rFonts w:ascii="宋体" w:hAnsi="宋体" w:cs="宋体"/>
                <w:color w:val="auto"/>
                <w:sz w:val="21"/>
                <w:szCs w:val="21"/>
              </w:rPr>
            </w:pPr>
            <w:r>
              <w:rPr>
                <w:rFonts w:hint="eastAsia"/>
                <w:b/>
                <w:bCs/>
                <w:sz w:val="24"/>
                <w:szCs w:val="24"/>
                <w:vertAlign w:val="baseline"/>
                <w:lang w:val="en-US" w:eastAsia="zh-CN"/>
              </w:rPr>
              <w:t>3700096元/年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28" w:type="dxa"/>
            <w:gridSpan w:val="3"/>
            <w:noWrap w:val="0"/>
            <w:vAlign w:val="center"/>
          </w:tcPr>
          <w:p>
            <w:pPr>
              <w:spacing w:before="156" w:beforeLines="50" w:after="156" w:afterLines="50" w:line="320" w:lineRule="exact"/>
              <w:jc w:val="center"/>
              <w:rPr>
                <w:rFonts w:hint="eastAsia" w:ascii="黑体" w:hAnsi="黑体" w:eastAsia="黑体" w:cs="黑体"/>
                <w:color w:val="auto"/>
                <w:sz w:val="21"/>
                <w:szCs w:val="21"/>
              </w:rPr>
            </w:pPr>
            <w:r>
              <w:rPr>
                <w:rFonts w:hint="eastAsia" w:ascii="宋体" w:hAnsi="宋体" w:cs="宋体"/>
                <w:color w:val="auto"/>
                <w:sz w:val="24"/>
                <w:lang w:val="en-US" w:eastAsia="zh-CN"/>
              </w:rPr>
              <w:t>三年总预算价</w:t>
            </w:r>
          </w:p>
        </w:tc>
        <w:tc>
          <w:tcPr>
            <w:tcW w:w="2110" w:type="dxa"/>
            <w:noWrap w:val="0"/>
            <w:vAlign w:val="center"/>
          </w:tcPr>
          <w:p>
            <w:pPr>
              <w:snapToGrid w:val="0"/>
              <w:spacing w:after="72" w:line="320" w:lineRule="exact"/>
              <w:ind w:right="-94" w:rightChars="-45" w:firstLine="14" w:firstLineChars="6"/>
              <w:jc w:val="center"/>
              <w:rPr>
                <w:rFonts w:hint="eastAsia" w:ascii="宋体" w:hAnsi="宋体" w:cs="宋体"/>
                <w:color w:val="auto"/>
                <w:sz w:val="21"/>
                <w:szCs w:val="21"/>
              </w:rPr>
            </w:pPr>
            <w:r>
              <w:rPr>
                <w:rFonts w:hint="eastAsia" w:ascii="宋体" w:hAnsi="宋体" w:cs="宋体"/>
                <w:b/>
                <w:bCs/>
                <w:color w:val="auto"/>
                <w:sz w:val="24"/>
                <w:highlight w:val="none"/>
                <w:lang w:val="en-US" w:eastAsia="zh-CN"/>
              </w:rPr>
              <w:t>11100288元</w:t>
            </w:r>
          </w:p>
        </w:tc>
      </w:tr>
    </w:tbl>
    <w:p>
      <w:pPr>
        <w:spacing w:line="312" w:lineRule="auto"/>
        <w:ind w:firstLine="506"/>
        <w:outlineLvl w:val="1"/>
        <w:rPr>
          <w:rFonts w:hint="eastAsia" w:ascii="宋体" w:hAnsi="宋体" w:cs="宋体"/>
          <w:b/>
          <w:sz w:val="24"/>
        </w:rPr>
      </w:pPr>
    </w:p>
    <w:p>
      <w:pPr>
        <w:snapToGrid w:val="0"/>
        <w:spacing w:line="312" w:lineRule="auto"/>
        <w:rPr>
          <w:rFonts w:hint="eastAsia"/>
          <w:sz w:val="24"/>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lang w:val="en-US" w:eastAsia="zh-CN"/>
        </w:rPr>
        <w:t>简要规格描述或项目基本概况介绍、用途：金庭镇生活垃圾上门收集清运处置项目进行政府采购，项目主要内容为撤并前金庭镇行政区域范围生活垃圾上门收集、分类清运、大件垃圾清理、终端运行、再生资源回收站点、嵊张线局部地段日常保洁服务</w:t>
      </w:r>
      <w:r>
        <w:rPr>
          <w:rFonts w:hint="eastAsia"/>
          <w:color w:val="auto"/>
          <w:sz w:val="24"/>
        </w:rPr>
        <w:t>。</w:t>
      </w:r>
    </w:p>
    <w:p>
      <w:pPr>
        <w:snapToGrid w:val="0"/>
        <w:spacing w:line="312" w:lineRule="auto"/>
        <w:ind w:firstLine="480" w:firstLineChars="200"/>
        <w:rPr>
          <w:rFonts w:hint="eastAsia" w:ascii="宋体" w:hAnsi="宋体" w:cs="宋体"/>
          <w:kern w:val="0"/>
          <w:sz w:val="24"/>
        </w:rPr>
      </w:pPr>
      <w:r>
        <w:rPr>
          <w:rFonts w:hint="eastAsia" w:ascii="宋体" w:hAnsi="宋体" w:cs="宋体"/>
          <w:kern w:val="0"/>
          <w:sz w:val="24"/>
        </w:rPr>
        <w:t>合同履行期限：3年</w:t>
      </w:r>
      <w:r>
        <w:rPr>
          <w:rFonts w:hint="eastAsia" w:ascii="宋体" w:hAnsi="宋体" w:cs="Courier New"/>
          <w:kern w:val="0"/>
          <w:sz w:val="24"/>
        </w:rPr>
        <w:t>（合同签定之日起）</w:t>
      </w:r>
      <w:r>
        <w:rPr>
          <w:rFonts w:ascii="宋体" w:hAnsi="宋体" w:cs="宋体"/>
          <w:kern w:val="0"/>
          <w:sz w:val="24"/>
        </w:rPr>
        <w:t>,</w:t>
      </w:r>
      <w:r>
        <w:rPr>
          <w:rFonts w:hint="eastAsia" w:ascii="宋体" w:hAnsi="宋体" w:cs="宋体"/>
          <w:kern w:val="0"/>
          <w:sz w:val="24"/>
        </w:rPr>
        <w:t>合同一年一签。</w:t>
      </w:r>
    </w:p>
    <w:p>
      <w:pPr>
        <w:widowControl/>
        <w:spacing w:line="312" w:lineRule="auto"/>
        <w:ind w:firstLine="480"/>
        <w:jc w:val="left"/>
        <w:rPr>
          <w:rFonts w:hint="eastAsia" w:ascii="宋体" w:hAnsi="宋体" w:cs="宋体"/>
          <w:kern w:val="0"/>
          <w:sz w:val="24"/>
        </w:rPr>
      </w:pPr>
      <w:r>
        <w:rPr>
          <w:rFonts w:hint="eastAsia" w:ascii="宋体" w:hAnsi="宋体" w:cs="宋体"/>
          <w:kern w:val="0"/>
          <w:sz w:val="24"/>
        </w:rPr>
        <w:t>本项目</w:t>
      </w:r>
      <w:r>
        <w:rPr>
          <w:rFonts w:hint="eastAsia" w:ascii="宋体" w:hAnsi="宋体" w:cs="宋体"/>
          <w:kern w:val="0"/>
          <w:sz w:val="24"/>
          <w:lang w:eastAsia="zh-CN"/>
        </w:rPr>
        <w:t>不</w:t>
      </w:r>
      <w:r>
        <w:rPr>
          <w:rFonts w:hint="eastAsia" w:ascii="宋体" w:hAnsi="宋体" w:cs="宋体"/>
          <w:kern w:val="0"/>
          <w:sz w:val="24"/>
        </w:rPr>
        <w:t>接受联合体投标。</w:t>
      </w:r>
    </w:p>
    <w:p>
      <w:pPr>
        <w:widowControl/>
        <w:numPr>
          <w:ilvl w:val="0"/>
          <w:numId w:val="2"/>
        </w:numPr>
        <w:spacing w:line="312" w:lineRule="auto"/>
        <w:ind w:firstLine="482" w:firstLineChars="200"/>
        <w:jc w:val="left"/>
        <w:outlineLvl w:val="1"/>
        <w:rPr>
          <w:rFonts w:hint="eastAsia" w:ascii="宋体" w:hAnsi="宋体" w:cs="宋体"/>
          <w:b/>
          <w:bCs/>
          <w:kern w:val="0"/>
          <w:sz w:val="24"/>
        </w:rPr>
      </w:pPr>
      <w:bookmarkStart w:id="18" w:name="_Toc4212"/>
      <w:bookmarkStart w:id="19" w:name="_Toc3635"/>
      <w:bookmarkStart w:id="20" w:name="_Toc2854"/>
      <w:bookmarkStart w:id="21" w:name="_Toc23031"/>
      <w:bookmarkStart w:id="22" w:name="_Toc26334"/>
      <w:r>
        <w:rPr>
          <w:rFonts w:hint="eastAsia" w:ascii="宋体" w:hAnsi="宋体" w:cs="宋体"/>
          <w:b/>
          <w:bCs/>
          <w:kern w:val="0"/>
          <w:sz w:val="24"/>
        </w:rPr>
        <w:t>申请人的资格要求</w:t>
      </w:r>
      <w:bookmarkEnd w:id="18"/>
      <w:bookmarkEnd w:id="19"/>
      <w:bookmarkEnd w:id="20"/>
      <w:bookmarkEnd w:id="21"/>
      <w:bookmarkEnd w:id="22"/>
    </w:p>
    <w:p>
      <w:pPr>
        <w:widowControl/>
        <w:spacing w:line="312" w:lineRule="auto"/>
        <w:ind w:firstLine="480"/>
        <w:jc w:val="left"/>
        <w:rPr>
          <w:rFonts w:hint="eastAsia" w:ascii="宋体" w:hAnsi="宋体" w:cs="宋体"/>
          <w:kern w:val="0"/>
          <w:sz w:val="24"/>
        </w:rPr>
      </w:pPr>
      <w:bookmarkStart w:id="23" w:name="_Toc3659"/>
      <w:r>
        <w:rPr>
          <w:rFonts w:hint="eastAsia" w:ascii="宋体" w:hAnsi="宋体" w:cs="宋体"/>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12" w:lineRule="auto"/>
        <w:ind w:firstLine="480"/>
        <w:jc w:val="left"/>
        <w:rPr>
          <w:rFonts w:hint="eastAsia" w:ascii="宋体" w:hAnsi="宋体" w:cs="宋体"/>
          <w:kern w:val="0"/>
          <w:sz w:val="24"/>
        </w:rPr>
      </w:pPr>
      <w:r>
        <w:rPr>
          <w:rFonts w:hint="eastAsia" w:ascii="宋体" w:hAnsi="宋体" w:cs="宋体"/>
          <w:kern w:val="0"/>
          <w:sz w:val="24"/>
        </w:rPr>
        <w:t xml:space="preserve">2.落实政府采购政策需满足的资格要求：无 </w:t>
      </w:r>
    </w:p>
    <w:p>
      <w:pPr>
        <w:widowControl/>
        <w:spacing w:line="312" w:lineRule="auto"/>
        <w:ind w:firstLine="480"/>
        <w:jc w:val="left"/>
        <w:rPr>
          <w:rFonts w:hint="eastAsia" w:ascii="宋体" w:hAnsi="宋体" w:cs="宋体"/>
          <w:b/>
          <w:bCs/>
          <w:sz w:val="24"/>
        </w:rPr>
      </w:pPr>
      <w:r>
        <w:rPr>
          <w:rFonts w:hint="eastAsia" w:ascii="宋体" w:hAnsi="宋体" w:cs="宋体"/>
          <w:kern w:val="0"/>
          <w:sz w:val="24"/>
        </w:rPr>
        <w:t>3.本项目的特定资格要求：无。</w:t>
      </w:r>
      <w:r>
        <w:rPr>
          <w:rFonts w:hint="eastAsia" w:ascii="宋体" w:hAnsi="宋体" w:cs="宋体"/>
          <w:b/>
          <w:bCs/>
          <w:sz w:val="24"/>
        </w:rPr>
        <w:t xml:space="preserve"> </w:t>
      </w:r>
    </w:p>
    <w:p>
      <w:pPr>
        <w:widowControl/>
        <w:spacing w:line="312" w:lineRule="auto"/>
        <w:ind w:firstLine="482"/>
        <w:jc w:val="left"/>
        <w:rPr>
          <w:rFonts w:hint="eastAsia" w:ascii="宋体" w:hAnsi="宋体" w:cs="宋体"/>
          <w:b/>
          <w:bCs/>
          <w:sz w:val="24"/>
        </w:rPr>
      </w:pPr>
      <w:r>
        <w:rPr>
          <w:rFonts w:hint="eastAsia" w:ascii="宋体" w:hAnsi="宋体" w:cs="宋体"/>
          <w:b/>
          <w:bCs/>
          <w:sz w:val="24"/>
        </w:rPr>
        <w:t>三、获取招标文件</w:t>
      </w:r>
      <w:bookmarkEnd w:id="23"/>
    </w:p>
    <w:p>
      <w:pPr>
        <w:widowControl/>
        <w:spacing w:line="312" w:lineRule="auto"/>
        <w:jc w:val="left"/>
        <w:rPr>
          <w:rFonts w:hint="eastAsia" w:ascii="宋体" w:hAnsi="宋体" w:cs="宋体"/>
          <w:kern w:val="0"/>
          <w:sz w:val="24"/>
        </w:rPr>
      </w:pPr>
      <w:r>
        <w:rPr>
          <w:rFonts w:hint="eastAsia" w:ascii="宋体" w:hAnsi="宋体" w:cs="宋体"/>
          <w:kern w:val="0"/>
          <w:sz w:val="24"/>
        </w:rPr>
        <w:t>  时间：2021年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日至2021年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日，每天上午00:00至12:00，下午12:00至23:59（北京时间，线上获取法定节假日均可，线下获取文件法定节假日除外）</w:t>
      </w:r>
    </w:p>
    <w:p>
      <w:pPr>
        <w:widowControl/>
        <w:spacing w:line="312" w:lineRule="auto"/>
        <w:jc w:val="left"/>
        <w:rPr>
          <w:rFonts w:hint="eastAsia" w:ascii="宋体" w:hAnsi="宋体" w:cs="宋体"/>
          <w:kern w:val="0"/>
          <w:sz w:val="24"/>
        </w:rPr>
      </w:pPr>
      <w:r>
        <w:rPr>
          <w:rFonts w:hint="eastAsia" w:ascii="宋体" w:hAnsi="宋体" w:cs="宋体"/>
          <w:kern w:val="0"/>
          <w:sz w:val="24"/>
        </w:rPr>
        <w:t>   地点（网址）：政采云平台（https://www.zcygov.cn/） </w:t>
      </w:r>
    </w:p>
    <w:p>
      <w:pPr>
        <w:widowControl/>
        <w:spacing w:line="440" w:lineRule="exact"/>
        <w:jc w:val="left"/>
        <w:rPr>
          <w:rFonts w:hint="eastAsia" w:ascii="宋体" w:hAnsi="宋体" w:cs="宋体"/>
          <w:kern w:val="0"/>
          <w:sz w:val="24"/>
        </w:rPr>
      </w:pPr>
      <w:r>
        <w:rPr>
          <w:rFonts w:hint="eastAsia" w:ascii="宋体" w:hAnsi="宋体" w:cs="宋体"/>
          <w:kern w:val="0"/>
          <w:sz w:val="24"/>
        </w:rPr>
        <w:t>   方式：供应商登陆政采云平台https://www.zcygov.cn/，在线申请获取采购文件（进入“项目采购”应用，在获取采购文件菜单中选择项目，申请获取采购文件,仅需浏览采购文件的供应商可点击“游客，浏览采购文件”直接下载采购文件浏览）。  </w:t>
      </w:r>
    </w:p>
    <w:p>
      <w:pPr>
        <w:widowControl/>
        <w:spacing w:line="440" w:lineRule="exact"/>
        <w:jc w:val="left"/>
        <w:rPr>
          <w:rFonts w:hint="eastAsia" w:ascii="宋体" w:hAnsi="宋体" w:cs="宋体"/>
          <w:kern w:val="0"/>
          <w:sz w:val="24"/>
        </w:rPr>
      </w:pPr>
      <w:r>
        <w:rPr>
          <w:rFonts w:hint="eastAsia" w:ascii="宋体" w:hAnsi="宋体" w:cs="宋体"/>
          <w:kern w:val="0"/>
          <w:sz w:val="24"/>
        </w:rPr>
        <w:t>   售价（元）：0</w:t>
      </w:r>
    </w:p>
    <w:p>
      <w:pPr>
        <w:snapToGrid w:val="0"/>
        <w:spacing w:line="440" w:lineRule="exact"/>
        <w:ind w:firstLine="482"/>
        <w:outlineLvl w:val="1"/>
        <w:rPr>
          <w:rFonts w:hint="eastAsia" w:ascii="宋体" w:hAnsi="宋体" w:cs="宋体"/>
          <w:b/>
          <w:bCs/>
          <w:sz w:val="24"/>
        </w:rPr>
      </w:pPr>
      <w:bookmarkStart w:id="24" w:name="_Toc3947"/>
      <w:bookmarkStart w:id="25" w:name="_Toc16591"/>
      <w:bookmarkStart w:id="26" w:name="_Toc7627"/>
      <w:bookmarkStart w:id="27" w:name="_Toc8147"/>
      <w:bookmarkStart w:id="28" w:name="_Toc7293"/>
      <w:r>
        <w:rPr>
          <w:rFonts w:hint="eastAsia" w:ascii="宋体" w:hAnsi="宋体" w:cs="宋体"/>
          <w:b/>
          <w:bCs/>
          <w:sz w:val="24"/>
        </w:rPr>
        <w:t>四、提交投标文件截止时间、开标时间和地点</w:t>
      </w:r>
      <w:bookmarkEnd w:id="24"/>
      <w:bookmarkEnd w:id="25"/>
      <w:bookmarkEnd w:id="26"/>
      <w:bookmarkEnd w:id="27"/>
      <w:bookmarkEnd w:id="28"/>
    </w:p>
    <w:p>
      <w:pPr>
        <w:snapToGrid w:val="0"/>
        <w:spacing w:line="440" w:lineRule="exact"/>
        <w:ind w:firstLine="480"/>
        <w:jc w:val="left"/>
        <w:rPr>
          <w:rFonts w:hint="eastAsia" w:ascii="宋体" w:hAnsi="宋体" w:cs="宋体"/>
          <w:bCs/>
          <w:kern w:val="0"/>
          <w:sz w:val="24"/>
        </w:rPr>
      </w:pPr>
      <w:bookmarkStart w:id="29" w:name="_Toc6977"/>
      <w:r>
        <w:rPr>
          <w:rFonts w:hint="eastAsia" w:ascii="宋体" w:hAnsi="宋体" w:cs="宋体"/>
          <w:bCs/>
          <w:kern w:val="0"/>
          <w:sz w:val="24"/>
        </w:rPr>
        <w:t>提交投标文件截止时间：2021年</w:t>
      </w:r>
      <w:r>
        <w:rPr>
          <w:rFonts w:hint="eastAsia" w:ascii="宋体" w:hAnsi="宋体" w:cs="宋体"/>
          <w:bCs/>
          <w:kern w:val="0"/>
          <w:sz w:val="24"/>
          <w:lang w:val="en-US" w:eastAsia="zh-CN"/>
        </w:rPr>
        <w:t>12</w:t>
      </w:r>
      <w:r>
        <w:rPr>
          <w:rFonts w:hint="eastAsia" w:ascii="宋体" w:hAnsi="宋体" w:cs="宋体"/>
          <w:bCs/>
          <w:kern w:val="0"/>
          <w:sz w:val="24"/>
        </w:rPr>
        <w:t>月</w:t>
      </w:r>
      <w:r>
        <w:rPr>
          <w:rFonts w:hint="eastAsia" w:ascii="宋体" w:hAnsi="宋体" w:cs="宋体"/>
          <w:bCs/>
          <w:kern w:val="0"/>
          <w:sz w:val="24"/>
          <w:lang w:val="en-US" w:eastAsia="zh-CN"/>
        </w:rPr>
        <w:t>7</w:t>
      </w:r>
      <w:r>
        <w:rPr>
          <w:rFonts w:hint="eastAsia" w:ascii="宋体" w:hAnsi="宋体" w:cs="宋体"/>
          <w:bCs/>
          <w:kern w:val="0"/>
          <w:sz w:val="24"/>
        </w:rPr>
        <w:t>日 09:00（北京时间）</w:t>
      </w:r>
    </w:p>
    <w:p>
      <w:pPr>
        <w:snapToGrid w:val="0"/>
        <w:spacing w:line="440" w:lineRule="exact"/>
        <w:ind w:firstLine="480"/>
        <w:jc w:val="left"/>
        <w:rPr>
          <w:rFonts w:hint="eastAsia" w:ascii="宋体" w:hAnsi="宋体" w:cs="宋体"/>
          <w:bCs/>
          <w:kern w:val="0"/>
          <w:sz w:val="24"/>
        </w:rPr>
      </w:pPr>
      <w:r>
        <w:rPr>
          <w:rFonts w:hint="eastAsia" w:ascii="宋体" w:hAnsi="宋体" w:cs="宋体"/>
          <w:bCs/>
          <w:kern w:val="0"/>
          <w:sz w:val="24"/>
        </w:rPr>
        <w:t xml:space="preserve">投标地点（网址）：政采云平台（https://www.zcygov.cn/） </w:t>
      </w:r>
    </w:p>
    <w:p>
      <w:pPr>
        <w:snapToGrid w:val="0"/>
        <w:spacing w:line="440" w:lineRule="exact"/>
        <w:ind w:firstLine="480"/>
        <w:jc w:val="left"/>
        <w:rPr>
          <w:rFonts w:hint="eastAsia" w:ascii="宋体" w:hAnsi="宋体" w:cs="宋体"/>
          <w:bCs/>
          <w:kern w:val="0"/>
          <w:sz w:val="24"/>
        </w:rPr>
      </w:pPr>
      <w:r>
        <w:rPr>
          <w:rFonts w:hint="eastAsia" w:ascii="宋体" w:hAnsi="宋体" w:cs="宋体"/>
          <w:bCs/>
          <w:kern w:val="0"/>
          <w:sz w:val="24"/>
        </w:rPr>
        <w:t>开标时间：2021年</w:t>
      </w:r>
      <w:r>
        <w:rPr>
          <w:rFonts w:hint="eastAsia" w:ascii="宋体" w:hAnsi="宋体" w:cs="宋体"/>
          <w:bCs/>
          <w:kern w:val="0"/>
          <w:sz w:val="24"/>
          <w:lang w:val="en-US" w:eastAsia="zh-CN"/>
        </w:rPr>
        <w:t>12</w:t>
      </w:r>
      <w:r>
        <w:rPr>
          <w:rFonts w:hint="eastAsia" w:ascii="宋体" w:hAnsi="宋体" w:cs="宋体"/>
          <w:bCs/>
          <w:kern w:val="0"/>
          <w:sz w:val="24"/>
        </w:rPr>
        <w:t>月</w:t>
      </w:r>
      <w:r>
        <w:rPr>
          <w:rFonts w:hint="eastAsia" w:ascii="宋体" w:hAnsi="宋体" w:cs="宋体"/>
          <w:bCs/>
          <w:kern w:val="0"/>
          <w:sz w:val="24"/>
          <w:lang w:val="en-US" w:eastAsia="zh-CN"/>
        </w:rPr>
        <w:t>7</w:t>
      </w:r>
      <w:r>
        <w:rPr>
          <w:rFonts w:hint="eastAsia" w:ascii="宋体" w:hAnsi="宋体" w:cs="宋体"/>
          <w:bCs/>
          <w:kern w:val="0"/>
          <w:sz w:val="24"/>
        </w:rPr>
        <w:t>日 09:00（北京时间）</w:t>
      </w:r>
    </w:p>
    <w:p>
      <w:pPr>
        <w:snapToGrid w:val="0"/>
        <w:spacing w:line="440" w:lineRule="exact"/>
        <w:ind w:firstLine="480"/>
        <w:jc w:val="left"/>
        <w:rPr>
          <w:rFonts w:hint="eastAsia" w:ascii="宋体" w:hAnsi="宋体" w:cs="宋体"/>
          <w:bCs/>
          <w:kern w:val="0"/>
          <w:sz w:val="24"/>
        </w:rPr>
      </w:pPr>
      <w:r>
        <w:rPr>
          <w:rFonts w:hint="eastAsia" w:ascii="宋体" w:hAnsi="宋体" w:cs="宋体"/>
          <w:bCs/>
          <w:kern w:val="0"/>
          <w:sz w:val="24"/>
        </w:rPr>
        <w:t>开标地点（网址）：</w:t>
      </w:r>
      <w:r>
        <w:rPr>
          <w:rFonts w:hint="eastAsia" w:ascii="宋体" w:hAnsi="宋体" w:cs="宋体"/>
          <w:bCs/>
          <w:kern w:val="0"/>
          <w:sz w:val="24"/>
          <w:lang w:eastAsia="zh-CN"/>
        </w:rPr>
        <w:t>欧邦工程管理集团有限公司</w:t>
      </w:r>
      <w:r>
        <w:rPr>
          <w:rFonts w:hint="eastAsia" w:ascii="宋体" w:hAnsi="宋体" w:cs="宋体"/>
          <w:bCs/>
          <w:kern w:val="0"/>
          <w:sz w:val="24"/>
        </w:rPr>
        <w:t>（</w:t>
      </w:r>
      <w:r>
        <w:rPr>
          <w:rFonts w:hint="eastAsia" w:ascii="宋体" w:hAnsi="宋体" w:cs="宋体"/>
          <w:bCs/>
          <w:kern w:val="0"/>
          <w:sz w:val="24"/>
          <w:lang w:eastAsia="zh-CN"/>
        </w:rPr>
        <w:t>嵊州市经济开发区兴盛街</w:t>
      </w:r>
      <w:r>
        <w:rPr>
          <w:rFonts w:hint="eastAsia" w:ascii="宋体" w:hAnsi="宋体" w:cs="宋体"/>
          <w:bCs/>
          <w:kern w:val="0"/>
          <w:sz w:val="24"/>
          <w:lang w:val="en-US" w:eastAsia="zh-CN"/>
        </w:rPr>
        <w:t>2303号嵊州文创园2幢401室</w:t>
      </w:r>
      <w:r>
        <w:rPr>
          <w:rFonts w:hint="eastAsia" w:ascii="宋体" w:hAnsi="宋体" w:cs="宋体"/>
          <w:bCs/>
          <w:kern w:val="0"/>
          <w:sz w:val="24"/>
        </w:rPr>
        <w:t>）</w:t>
      </w:r>
    </w:p>
    <w:p>
      <w:pPr>
        <w:snapToGrid w:val="0"/>
        <w:spacing w:line="440" w:lineRule="exact"/>
        <w:ind w:firstLine="482"/>
        <w:jc w:val="left"/>
        <w:rPr>
          <w:rFonts w:hint="eastAsia" w:ascii="宋体" w:hAnsi="宋体" w:cs="宋体"/>
          <w:b/>
          <w:bCs/>
          <w:sz w:val="24"/>
        </w:rPr>
      </w:pPr>
      <w:r>
        <w:rPr>
          <w:rFonts w:hint="eastAsia" w:ascii="宋体" w:hAnsi="宋体" w:cs="宋体"/>
          <w:b/>
          <w:bCs/>
          <w:sz w:val="24"/>
        </w:rPr>
        <w:t>五、公告期限</w:t>
      </w:r>
      <w:bookmarkEnd w:id="29"/>
    </w:p>
    <w:p>
      <w:pPr>
        <w:snapToGrid w:val="0"/>
        <w:spacing w:line="440" w:lineRule="exact"/>
        <w:ind w:firstLine="480"/>
        <w:rPr>
          <w:rFonts w:hint="eastAsia" w:ascii="宋体" w:hAnsi="宋体" w:cs="宋体"/>
          <w:sz w:val="24"/>
        </w:rPr>
      </w:pPr>
      <w:r>
        <w:rPr>
          <w:rFonts w:hint="eastAsia" w:ascii="宋体" w:hAnsi="宋体" w:cs="宋体"/>
          <w:sz w:val="24"/>
        </w:rPr>
        <w:t>自本公告发布之日起5个工作日。</w:t>
      </w:r>
    </w:p>
    <w:p>
      <w:pPr>
        <w:snapToGrid w:val="0"/>
        <w:spacing w:line="440" w:lineRule="exact"/>
        <w:ind w:firstLine="482"/>
        <w:outlineLvl w:val="1"/>
        <w:rPr>
          <w:rFonts w:hint="eastAsia" w:ascii="宋体" w:hAnsi="宋体" w:cs="宋体"/>
          <w:b/>
          <w:bCs/>
          <w:sz w:val="24"/>
        </w:rPr>
      </w:pPr>
      <w:bookmarkStart w:id="30" w:name="_Toc6936"/>
      <w:bookmarkStart w:id="31" w:name="_Toc1375"/>
      <w:bookmarkStart w:id="32" w:name="_Toc19114"/>
      <w:bookmarkStart w:id="33" w:name="_Toc8513"/>
      <w:bookmarkStart w:id="34" w:name="_Toc4572"/>
      <w:r>
        <w:rPr>
          <w:rFonts w:hint="eastAsia" w:ascii="宋体" w:hAnsi="宋体" w:cs="宋体"/>
          <w:b/>
          <w:bCs/>
          <w:sz w:val="24"/>
        </w:rPr>
        <w:t>六、其他补充事宜</w:t>
      </w:r>
      <w:bookmarkEnd w:id="30"/>
      <w:bookmarkEnd w:id="31"/>
      <w:bookmarkEnd w:id="32"/>
      <w:bookmarkEnd w:id="33"/>
      <w:bookmarkEnd w:id="34"/>
    </w:p>
    <w:p>
      <w:pPr>
        <w:snapToGrid w:val="0"/>
        <w:spacing w:line="440" w:lineRule="exact"/>
        <w:ind w:firstLine="480"/>
        <w:rPr>
          <w:rFonts w:hint="eastAsia" w:ascii="宋体" w:hAnsi="宋体" w:cs="宋体"/>
          <w:kern w:val="0"/>
          <w:sz w:val="24"/>
        </w:rPr>
      </w:pPr>
      <w:r>
        <w:rPr>
          <w:rFonts w:hint="eastAsia" w:ascii="宋体" w:hAnsi="宋体" w:cs="宋体"/>
          <w:kern w:val="1"/>
          <w:sz w:val="24"/>
        </w:rPr>
        <w:t>1.</w:t>
      </w:r>
      <w:r>
        <w:rPr>
          <w:rFonts w:hint="eastAsia" w:ascii="宋体" w:hAnsi="宋体" w:cs="宋体"/>
          <w:kern w:val="0"/>
          <w:sz w:val="24"/>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pacing w:line="440" w:lineRule="exact"/>
        <w:ind w:firstLine="480"/>
        <w:rPr>
          <w:rFonts w:hint="eastAsia" w:ascii="宋体" w:hAnsi="宋体" w:cs="宋体"/>
          <w:kern w:val="1"/>
          <w:sz w:val="24"/>
        </w:rPr>
      </w:pPr>
      <w:r>
        <w:rPr>
          <w:rFonts w:hint="eastAsia" w:ascii="宋体" w:hAnsi="宋体" w:cs="宋体"/>
          <w:kern w:val="1"/>
          <w:sz w:val="24"/>
        </w:rPr>
        <w:t>2.其他事项:</w:t>
      </w:r>
    </w:p>
    <w:p>
      <w:pPr>
        <w:pStyle w:val="7"/>
        <w:spacing w:line="440" w:lineRule="exact"/>
        <w:ind w:firstLine="480"/>
        <w:rPr>
          <w:rFonts w:hint="eastAsia" w:ascii="宋体" w:hAnsi="宋体" w:cs="宋体"/>
          <w:bCs/>
          <w:kern w:val="0"/>
        </w:rPr>
      </w:pPr>
      <w:r>
        <w:rPr>
          <w:rFonts w:hint="eastAsia" w:ascii="宋体" w:hAnsi="宋体" w:cs="宋体"/>
          <w:bCs/>
          <w:kern w:val="0"/>
        </w:rPr>
        <w:t>（1）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pStyle w:val="7"/>
        <w:spacing w:line="440" w:lineRule="exact"/>
        <w:ind w:firstLine="480"/>
        <w:rPr>
          <w:rFonts w:hint="eastAsia" w:ascii="宋体" w:hAnsi="宋体" w:cs="宋体"/>
        </w:rPr>
      </w:pPr>
      <w:r>
        <w:rPr>
          <w:rFonts w:hint="eastAsia" w:ascii="宋体" w:hAnsi="宋体" w:cs="宋体"/>
          <w:bCs/>
          <w:kern w:val="0"/>
        </w:rPr>
        <w:t>（2）招标文件及更正补充公告请自行登录浙江政府采购网，在招标公告及更正公告页面中下载。</w:t>
      </w:r>
    </w:p>
    <w:p>
      <w:pPr>
        <w:snapToGrid w:val="0"/>
        <w:spacing w:line="440" w:lineRule="exact"/>
        <w:ind w:firstLine="482"/>
        <w:jc w:val="left"/>
        <w:outlineLvl w:val="1"/>
        <w:rPr>
          <w:rFonts w:hint="eastAsia" w:ascii="宋体" w:hAnsi="宋体" w:cs="宋体"/>
          <w:b/>
          <w:bCs/>
          <w:sz w:val="24"/>
        </w:rPr>
      </w:pPr>
      <w:bookmarkStart w:id="35" w:name="_Toc14394"/>
      <w:bookmarkStart w:id="36" w:name="_Toc30054"/>
      <w:bookmarkStart w:id="37" w:name="_Toc514"/>
      <w:bookmarkStart w:id="38" w:name="_Toc6928"/>
      <w:bookmarkStart w:id="39" w:name="_Toc3016"/>
      <w:r>
        <w:rPr>
          <w:rFonts w:hint="eastAsia" w:ascii="宋体" w:hAnsi="宋体" w:cs="宋体"/>
          <w:b/>
          <w:bCs/>
          <w:sz w:val="24"/>
        </w:rPr>
        <w:t>七、对本次招标提出询问，请按以下方式联系</w:t>
      </w:r>
      <w:bookmarkEnd w:id="35"/>
      <w:bookmarkEnd w:id="36"/>
      <w:bookmarkEnd w:id="37"/>
      <w:bookmarkEnd w:id="38"/>
      <w:bookmarkEnd w:id="39"/>
    </w:p>
    <w:p>
      <w:pPr>
        <w:pStyle w:val="7"/>
        <w:spacing w:line="440" w:lineRule="exact"/>
        <w:ind w:firstLine="473"/>
        <w:rPr>
          <w:rFonts w:hint="eastAsia" w:ascii="宋体" w:hAnsi="宋体" w:cs="宋体"/>
        </w:rPr>
      </w:pPr>
      <w:r>
        <w:rPr>
          <w:rFonts w:hint="eastAsia" w:ascii="宋体" w:hAnsi="宋体" w:cs="宋体"/>
        </w:rPr>
        <w:t>1.采购人信息</w:t>
      </w:r>
    </w:p>
    <w:p>
      <w:pPr>
        <w:pStyle w:val="7"/>
        <w:spacing w:line="440" w:lineRule="exact"/>
        <w:ind w:firstLine="473"/>
        <w:rPr>
          <w:rFonts w:hint="eastAsia" w:ascii="宋体" w:hAnsi="宋体" w:cs="宋体"/>
        </w:rPr>
      </w:pPr>
      <w:r>
        <w:rPr>
          <w:rFonts w:hint="eastAsia" w:ascii="宋体" w:hAnsi="宋体" w:cs="宋体"/>
        </w:rPr>
        <w:t>名称：嵊州市</w:t>
      </w:r>
      <w:r>
        <w:rPr>
          <w:rFonts w:hint="eastAsia" w:ascii="宋体" w:hAnsi="宋体" w:cs="宋体"/>
          <w:lang w:val="en-US" w:eastAsia="zh-CN"/>
        </w:rPr>
        <w:t>金庭</w:t>
      </w:r>
      <w:r>
        <w:rPr>
          <w:rFonts w:hint="eastAsia" w:ascii="宋体" w:hAnsi="宋体" w:cs="宋体"/>
        </w:rPr>
        <w:t>镇人民政府</w:t>
      </w:r>
    </w:p>
    <w:p>
      <w:pPr>
        <w:pStyle w:val="7"/>
        <w:spacing w:line="440" w:lineRule="exact"/>
        <w:ind w:firstLine="480"/>
        <w:rPr>
          <w:rFonts w:hint="eastAsia" w:ascii="宋体" w:hAnsi="宋体" w:cs="宋体"/>
        </w:rPr>
      </w:pPr>
      <w:r>
        <w:rPr>
          <w:rFonts w:hint="eastAsia" w:ascii="宋体" w:hAnsi="宋体" w:cs="宋体"/>
        </w:rPr>
        <w:t>地址：嵊州市</w:t>
      </w:r>
      <w:r>
        <w:rPr>
          <w:rFonts w:hint="eastAsia" w:ascii="宋体" w:hAnsi="宋体" w:cs="宋体"/>
          <w:lang w:val="en-US" w:eastAsia="zh-CN"/>
        </w:rPr>
        <w:t>金庭</w:t>
      </w:r>
      <w:r>
        <w:rPr>
          <w:rFonts w:hint="eastAsia" w:ascii="宋体" w:hAnsi="宋体" w:cs="宋体"/>
        </w:rPr>
        <w:t>镇</w:t>
      </w:r>
    </w:p>
    <w:p>
      <w:pPr>
        <w:pStyle w:val="7"/>
        <w:spacing w:line="440" w:lineRule="exact"/>
        <w:ind w:firstLine="480"/>
        <w:rPr>
          <w:rFonts w:hint="eastAsia" w:ascii="宋体" w:hAnsi="宋体" w:cs="宋体"/>
        </w:rPr>
      </w:pPr>
      <w:r>
        <w:rPr>
          <w:rFonts w:hint="eastAsia" w:ascii="宋体" w:hAnsi="宋体" w:cs="宋体"/>
        </w:rPr>
        <w:t>传真：/</w:t>
      </w:r>
    </w:p>
    <w:p>
      <w:pPr>
        <w:pStyle w:val="7"/>
        <w:spacing w:line="440" w:lineRule="exact"/>
        <w:ind w:firstLine="480"/>
        <w:rPr>
          <w:rFonts w:hint="eastAsia" w:ascii="宋体" w:hAnsi="宋体" w:eastAsia="宋体" w:cs="宋体"/>
          <w:color w:val="FF0000"/>
          <w:lang w:eastAsia="zh-CN"/>
        </w:rPr>
      </w:pPr>
      <w:r>
        <w:rPr>
          <w:rFonts w:hint="eastAsia" w:ascii="宋体" w:hAnsi="宋体" w:cs="宋体"/>
          <w:color w:val="FF0000"/>
        </w:rPr>
        <w:t>项目联系人（询问）：</w:t>
      </w:r>
      <w:r>
        <w:rPr>
          <w:rFonts w:hint="eastAsia" w:ascii="宋体" w:hAnsi="宋体" w:cs="宋体"/>
          <w:color w:val="FF0000"/>
          <w:lang w:eastAsia="zh-CN"/>
        </w:rPr>
        <w:t>尹伟亮</w:t>
      </w:r>
    </w:p>
    <w:p>
      <w:pPr>
        <w:pStyle w:val="7"/>
        <w:spacing w:line="440" w:lineRule="exact"/>
        <w:ind w:firstLine="480"/>
        <w:rPr>
          <w:rFonts w:hint="default" w:ascii="宋体" w:hAnsi="宋体" w:eastAsia="宋体" w:cs="宋体"/>
          <w:color w:val="FF0000"/>
          <w:lang w:val="en-US" w:eastAsia="zh-CN"/>
        </w:rPr>
      </w:pPr>
      <w:r>
        <w:rPr>
          <w:rFonts w:hint="eastAsia" w:ascii="宋体" w:hAnsi="宋体" w:cs="宋体"/>
          <w:color w:val="FF0000"/>
        </w:rPr>
        <w:t>项目联系方式（询问）：</w:t>
      </w:r>
      <w:r>
        <w:rPr>
          <w:rFonts w:hint="eastAsia" w:ascii="宋体" w:hAnsi="宋体" w:cs="宋体"/>
          <w:color w:val="FF0000"/>
          <w:lang w:val="en-US" w:eastAsia="zh-CN"/>
        </w:rPr>
        <w:t>13567593688</w:t>
      </w:r>
    </w:p>
    <w:p>
      <w:pPr>
        <w:pStyle w:val="7"/>
        <w:spacing w:line="440" w:lineRule="exact"/>
        <w:ind w:firstLine="480"/>
        <w:rPr>
          <w:rFonts w:hint="eastAsia" w:ascii="宋体" w:hAnsi="宋体" w:cs="宋体"/>
          <w:color w:val="FF0000"/>
        </w:rPr>
      </w:pPr>
      <w:r>
        <w:rPr>
          <w:rFonts w:hint="eastAsia" w:ascii="宋体" w:hAnsi="宋体" w:cs="宋体"/>
          <w:color w:val="FF0000"/>
        </w:rPr>
        <w:t>质疑联系人：</w:t>
      </w:r>
      <w:r>
        <w:rPr>
          <w:rFonts w:hint="eastAsia" w:ascii="宋体" w:hAnsi="宋体" w:cs="宋体"/>
          <w:color w:val="FF0000"/>
          <w:lang w:eastAsia="zh-CN"/>
        </w:rPr>
        <w:t>冯阿英</w:t>
      </w:r>
      <w:r>
        <w:rPr>
          <w:rFonts w:hint="eastAsia" w:ascii="宋体" w:hAnsi="宋体" w:cs="宋体"/>
          <w:color w:val="FF0000"/>
        </w:rPr>
        <w:t xml:space="preserve"> </w:t>
      </w:r>
    </w:p>
    <w:p>
      <w:pPr>
        <w:pStyle w:val="7"/>
        <w:spacing w:line="440" w:lineRule="exact"/>
        <w:ind w:firstLine="480"/>
        <w:rPr>
          <w:rFonts w:hint="eastAsia" w:ascii="宋体" w:hAnsi="宋体" w:cs="宋体"/>
        </w:rPr>
      </w:pPr>
      <w:r>
        <w:rPr>
          <w:rFonts w:hint="eastAsia" w:ascii="宋体" w:hAnsi="宋体" w:cs="宋体"/>
          <w:color w:val="FF0000"/>
        </w:rPr>
        <w:t>质疑联系方式：</w:t>
      </w:r>
      <w:r>
        <w:rPr>
          <w:rFonts w:hint="eastAsia" w:ascii="宋体" w:hAnsi="宋体" w:cs="宋体"/>
          <w:color w:val="FF0000"/>
          <w:lang w:val="en-US" w:eastAsia="zh-CN"/>
        </w:rPr>
        <w:t>13567508528</w:t>
      </w:r>
      <w:r>
        <w:rPr>
          <w:rFonts w:hint="eastAsia" w:ascii="宋体" w:hAnsi="宋体" w:cs="宋体"/>
          <w:color w:val="FF0000"/>
        </w:rPr>
        <w:t xml:space="preserve"> </w:t>
      </w:r>
      <w:r>
        <w:rPr>
          <w:rFonts w:hint="eastAsia" w:ascii="宋体" w:hAnsi="宋体" w:cs="宋体"/>
          <w:color w:val="FF0000"/>
        </w:rPr>
        <w:br w:type="textWrapping"/>
      </w:r>
      <w:r>
        <w:rPr>
          <w:rFonts w:hint="eastAsia" w:ascii="宋体" w:hAnsi="宋体" w:cs="宋体"/>
        </w:rPr>
        <w:t>   2.采购代理机构信息            </w:t>
      </w:r>
    </w:p>
    <w:p>
      <w:pPr>
        <w:pStyle w:val="7"/>
        <w:spacing w:line="440" w:lineRule="exact"/>
        <w:ind w:firstLine="480"/>
        <w:rPr>
          <w:rFonts w:hint="eastAsia" w:ascii="宋体" w:hAnsi="宋体" w:cs="宋体"/>
        </w:rPr>
      </w:pPr>
      <w:r>
        <w:rPr>
          <w:rFonts w:hint="eastAsia" w:ascii="宋体" w:hAnsi="宋体" w:cs="宋体"/>
        </w:rPr>
        <w:t>名称：</w:t>
      </w:r>
      <w:r>
        <w:rPr>
          <w:rFonts w:hint="eastAsia" w:ascii="宋体" w:hAnsi="宋体" w:cs="宋体"/>
          <w:bCs/>
          <w:kern w:val="0"/>
          <w:sz w:val="24"/>
          <w:lang w:eastAsia="zh-CN"/>
        </w:rPr>
        <w:t>欧邦工程管理集团有限公司</w:t>
      </w:r>
      <w:r>
        <w:rPr>
          <w:rFonts w:hint="eastAsia" w:ascii="宋体" w:hAnsi="宋体" w:cs="宋体"/>
        </w:rPr>
        <w:t>             </w:t>
      </w:r>
    </w:p>
    <w:p>
      <w:pPr>
        <w:pStyle w:val="7"/>
        <w:spacing w:line="440" w:lineRule="exact"/>
        <w:ind w:firstLine="480"/>
        <w:jc w:val="left"/>
        <w:rPr>
          <w:rFonts w:hint="eastAsia" w:ascii="宋体" w:hAnsi="宋体" w:cs="宋体"/>
        </w:rPr>
      </w:pPr>
      <w:r>
        <w:rPr>
          <w:rFonts w:hint="eastAsia" w:ascii="宋体" w:hAnsi="宋体" w:cs="宋体"/>
          <w:bCs/>
          <w:kern w:val="0"/>
        </w:rPr>
        <w:t>地址：</w:t>
      </w:r>
      <w:r>
        <w:rPr>
          <w:rFonts w:hint="eastAsia" w:ascii="宋体" w:hAnsi="宋体" w:cs="宋体"/>
          <w:bCs/>
          <w:kern w:val="0"/>
          <w:sz w:val="24"/>
          <w:lang w:eastAsia="zh-CN"/>
        </w:rPr>
        <w:t>嵊州市经济开发区兴盛街</w:t>
      </w:r>
      <w:r>
        <w:rPr>
          <w:rFonts w:hint="eastAsia" w:ascii="宋体" w:hAnsi="宋体" w:cs="宋体"/>
          <w:bCs/>
          <w:kern w:val="0"/>
          <w:sz w:val="24"/>
          <w:lang w:val="en-US" w:eastAsia="zh-CN"/>
        </w:rPr>
        <w:t>2303号嵊州文创园2幢401室</w:t>
      </w:r>
      <w:r>
        <w:rPr>
          <w:rFonts w:hint="eastAsia" w:ascii="宋体" w:hAnsi="宋体" w:cs="宋体"/>
        </w:rPr>
        <w:t>         </w:t>
      </w:r>
    </w:p>
    <w:p>
      <w:pPr>
        <w:pStyle w:val="7"/>
        <w:spacing w:line="440" w:lineRule="exact"/>
        <w:ind w:firstLine="480"/>
        <w:rPr>
          <w:rFonts w:hint="eastAsia" w:ascii="宋体" w:hAnsi="宋体" w:cs="宋体"/>
        </w:rPr>
      </w:pPr>
      <w:r>
        <w:rPr>
          <w:rFonts w:hint="eastAsia" w:ascii="宋体" w:hAnsi="宋体" w:cs="宋体"/>
        </w:rPr>
        <w:t>传真：             </w:t>
      </w:r>
    </w:p>
    <w:p>
      <w:pPr>
        <w:pStyle w:val="7"/>
        <w:spacing w:line="440" w:lineRule="exact"/>
        <w:ind w:firstLine="480"/>
        <w:rPr>
          <w:rFonts w:hint="eastAsia" w:ascii="宋体" w:hAnsi="宋体" w:cs="宋体"/>
        </w:rPr>
      </w:pPr>
      <w:r>
        <w:rPr>
          <w:rFonts w:hint="eastAsia" w:ascii="宋体" w:hAnsi="宋体" w:cs="宋体"/>
        </w:rPr>
        <w:t>项目联系人（询问）：</w:t>
      </w:r>
      <w:r>
        <w:rPr>
          <w:rFonts w:hint="eastAsia" w:ascii="宋体" w:hAnsi="宋体" w:cs="宋体"/>
          <w:lang w:eastAsia="zh-CN"/>
        </w:rPr>
        <w:t>张</w:t>
      </w:r>
      <w:r>
        <w:rPr>
          <w:rFonts w:hint="eastAsia" w:ascii="宋体" w:hAnsi="宋体" w:cs="宋体"/>
        </w:rPr>
        <w:t>工              </w:t>
      </w:r>
    </w:p>
    <w:p>
      <w:pPr>
        <w:pStyle w:val="7"/>
        <w:spacing w:line="440" w:lineRule="exact"/>
        <w:ind w:firstLine="480"/>
        <w:rPr>
          <w:rFonts w:hint="default" w:ascii="宋体" w:hAnsi="宋体" w:eastAsia="宋体" w:cs="宋体"/>
          <w:lang w:val="en-US" w:eastAsia="zh-CN"/>
        </w:rPr>
      </w:pPr>
      <w:r>
        <w:rPr>
          <w:rFonts w:hint="eastAsia" w:ascii="宋体" w:hAnsi="宋体" w:cs="宋体"/>
        </w:rPr>
        <w:t>项目联系方式（询问）：</w:t>
      </w:r>
      <w:r>
        <w:rPr>
          <w:rFonts w:hint="eastAsia" w:ascii="宋体" w:hAnsi="宋体" w:cs="宋体"/>
          <w:lang w:val="en-US" w:eastAsia="zh-CN"/>
        </w:rPr>
        <w:t>18258091702</w:t>
      </w:r>
    </w:p>
    <w:p>
      <w:pPr>
        <w:pStyle w:val="7"/>
        <w:spacing w:line="440" w:lineRule="exact"/>
        <w:ind w:firstLine="480"/>
        <w:rPr>
          <w:rFonts w:hint="eastAsia" w:ascii="宋体" w:hAnsi="宋体" w:cs="宋体"/>
        </w:rPr>
      </w:pPr>
      <w:r>
        <w:rPr>
          <w:rFonts w:hint="eastAsia" w:ascii="宋体" w:hAnsi="宋体" w:cs="宋体"/>
        </w:rPr>
        <w:t>质疑联系人：</w:t>
      </w:r>
      <w:r>
        <w:rPr>
          <w:rFonts w:hint="eastAsia" w:ascii="宋体" w:hAnsi="宋体" w:cs="宋体"/>
          <w:lang w:eastAsia="zh-CN"/>
        </w:rPr>
        <w:t>李</w:t>
      </w:r>
      <w:r>
        <w:rPr>
          <w:rFonts w:hint="eastAsia" w:ascii="宋体" w:hAnsi="宋体" w:cs="宋体"/>
        </w:rPr>
        <w:t>工            </w:t>
      </w:r>
    </w:p>
    <w:p>
      <w:pPr>
        <w:pStyle w:val="7"/>
        <w:spacing w:line="440" w:lineRule="exact"/>
        <w:ind w:firstLine="480"/>
        <w:rPr>
          <w:rFonts w:hint="eastAsia" w:ascii="宋体" w:hAnsi="宋体" w:cs="宋体"/>
        </w:rPr>
      </w:pPr>
      <w:r>
        <w:rPr>
          <w:rFonts w:hint="eastAsia" w:ascii="宋体" w:hAnsi="宋体" w:cs="宋体"/>
        </w:rPr>
        <w:t>质疑联系方式：</w:t>
      </w:r>
      <w:r>
        <w:rPr>
          <w:rFonts w:hint="eastAsia" w:ascii="宋体" w:hAnsi="宋体" w:cs="宋体"/>
          <w:lang w:val="en-US" w:eastAsia="zh-CN"/>
        </w:rPr>
        <w:t>13858555926</w:t>
      </w:r>
      <w:r>
        <w:rPr>
          <w:rFonts w:hint="eastAsia" w:ascii="宋体" w:hAnsi="宋体" w:cs="宋体"/>
        </w:rPr>
        <w:t>　　　　　     </w:t>
      </w:r>
    </w:p>
    <w:p>
      <w:pPr>
        <w:pStyle w:val="7"/>
        <w:spacing w:line="440" w:lineRule="exact"/>
        <w:ind w:firstLine="480"/>
        <w:rPr>
          <w:rFonts w:hint="eastAsia" w:ascii="宋体" w:hAnsi="宋体" w:cs="宋体"/>
        </w:rPr>
      </w:pPr>
      <w:r>
        <w:rPr>
          <w:rFonts w:hint="eastAsia" w:ascii="宋体" w:hAnsi="宋体" w:cs="宋体"/>
        </w:rPr>
        <w:t>3.同级政府采购监督管理部门            </w:t>
      </w:r>
    </w:p>
    <w:p>
      <w:pPr>
        <w:pStyle w:val="7"/>
        <w:spacing w:line="440" w:lineRule="exact"/>
        <w:ind w:firstLine="480"/>
        <w:rPr>
          <w:rFonts w:hint="eastAsia" w:ascii="宋体" w:hAnsi="宋体" w:cs="宋体"/>
        </w:rPr>
      </w:pPr>
      <w:r>
        <w:rPr>
          <w:rFonts w:hint="eastAsia" w:ascii="宋体" w:hAnsi="宋体" w:cs="宋体"/>
        </w:rPr>
        <w:t>名称：嵊州市采购监管             </w:t>
      </w:r>
    </w:p>
    <w:p>
      <w:pPr>
        <w:pStyle w:val="7"/>
        <w:spacing w:line="440" w:lineRule="exact"/>
        <w:ind w:firstLine="480"/>
        <w:rPr>
          <w:rFonts w:hint="eastAsia" w:ascii="宋体" w:hAnsi="宋体" w:cs="宋体"/>
        </w:rPr>
      </w:pPr>
      <w:r>
        <w:rPr>
          <w:rFonts w:hint="eastAsia" w:ascii="宋体" w:hAnsi="宋体" w:cs="宋体"/>
        </w:rPr>
        <w:t>地址：嵊州市领带一路403号国资大楼1楼</w:t>
      </w:r>
      <w:r>
        <w:rPr>
          <w:rFonts w:hint="eastAsia" w:ascii="宋体" w:hAnsi="宋体" w:cs="宋体"/>
          <w:b/>
          <w:bCs/>
        </w:rPr>
        <w:t> </w:t>
      </w:r>
      <w:r>
        <w:rPr>
          <w:rFonts w:hint="eastAsia" w:ascii="宋体" w:hAnsi="宋体" w:cs="宋体"/>
        </w:rPr>
        <w:t>            </w:t>
      </w:r>
    </w:p>
    <w:p>
      <w:pPr>
        <w:pStyle w:val="7"/>
        <w:spacing w:line="440" w:lineRule="exact"/>
        <w:ind w:firstLine="480"/>
        <w:rPr>
          <w:rFonts w:hint="eastAsia" w:ascii="宋体" w:hAnsi="宋体" w:cs="宋体"/>
        </w:rPr>
      </w:pPr>
      <w:r>
        <w:rPr>
          <w:rFonts w:hint="eastAsia" w:ascii="宋体" w:hAnsi="宋体" w:cs="宋体"/>
        </w:rPr>
        <w:t>传真：/             </w:t>
      </w:r>
    </w:p>
    <w:p>
      <w:pPr>
        <w:pStyle w:val="7"/>
        <w:spacing w:line="440" w:lineRule="exact"/>
        <w:ind w:firstLine="480"/>
        <w:rPr>
          <w:rFonts w:hint="eastAsia" w:ascii="宋体" w:hAnsi="宋体" w:cs="宋体"/>
        </w:rPr>
      </w:pPr>
      <w:r>
        <w:rPr>
          <w:rFonts w:hint="eastAsia" w:ascii="宋体" w:hAnsi="宋体" w:cs="宋体"/>
        </w:rPr>
        <w:t>联系人 ：</w:t>
      </w:r>
      <w:r>
        <w:rPr>
          <w:rFonts w:hint="eastAsia" w:ascii="宋体" w:hAnsi="宋体" w:cs="宋体"/>
          <w:lang w:eastAsia="zh-CN"/>
        </w:rPr>
        <w:t>王殊</w:t>
      </w:r>
      <w:r>
        <w:rPr>
          <w:rFonts w:hint="eastAsia" w:ascii="宋体" w:hAnsi="宋体" w:cs="宋体"/>
        </w:rPr>
        <w:t>             </w:t>
      </w:r>
    </w:p>
    <w:p>
      <w:pPr>
        <w:pStyle w:val="7"/>
        <w:spacing w:line="440" w:lineRule="exact"/>
        <w:ind w:firstLine="480"/>
        <w:rPr>
          <w:rFonts w:hint="eastAsia" w:ascii="宋体" w:hAnsi="宋体" w:cs="宋体"/>
        </w:rPr>
      </w:pPr>
      <w:r>
        <w:rPr>
          <w:rFonts w:hint="eastAsia" w:ascii="宋体" w:hAnsi="宋体" w:cs="宋体"/>
        </w:rPr>
        <w:t>监督投诉电话：0575-83032507</w:t>
      </w:r>
      <w:r>
        <w:rPr>
          <w:rFonts w:hint="eastAsia" w:ascii="宋体" w:hAnsi="宋体" w:cs="宋体"/>
          <w:shd w:val="clear" w:color="auto" w:fill="FFFFFF"/>
        </w:rPr>
        <w:t>      </w:t>
      </w:r>
    </w:p>
    <w:p>
      <w:pPr>
        <w:pStyle w:val="141"/>
        <w:spacing w:line="440" w:lineRule="exact"/>
        <w:ind w:firstLine="480" w:firstLineChars="200"/>
        <w:rPr>
          <w:rFonts w:hint="eastAsia" w:ascii="宋体" w:hAnsi="宋体" w:cs="宋体"/>
          <w:color w:val="000000"/>
          <w:sz w:val="24"/>
        </w:rPr>
      </w:pPr>
    </w:p>
    <w:p>
      <w:pPr>
        <w:pStyle w:val="141"/>
        <w:spacing w:line="440" w:lineRule="exact"/>
        <w:ind w:firstLine="420" w:firstLineChars="200"/>
        <w:rPr>
          <w:rFonts w:ascii="宋体" w:cs="宋体"/>
          <w:bCs/>
          <w:color w:val="00000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bCs/>
          <w:color w:val="000000"/>
          <w:sz w:val="24"/>
        </w:rPr>
      </w:pPr>
      <w:r>
        <w:rPr>
          <w:rFonts w:hint="eastAsia"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嵊州市</w:t>
      </w:r>
      <w:r>
        <w:rPr>
          <w:rFonts w:hint="eastAsia" w:ascii="宋体" w:hAnsi="宋体"/>
          <w:bCs/>
          <w:color w:val="000000"/>
          <w:sz w:val="24"/>
          <w:lang w:val="en-US" w:eastAsia="zh-CN"/>
        </w:rPr>
        <w:t>金庭</w:t>
      </w:r>
      <w:r>
        <w:rPr>
          <w:rFonts w:hint="eastAsia" w:ascii="宋体" w:hAnsi="宋体"/>
          <w:bCs/>
          <w:color w:val="000000"/>
          <w:sz w:val="24"/>
        </w:rPr>
        <w:t>镇人民政府</w:t>
      </w:r>
    </w:p>
    <w:p>
      <w:pPr>
        <w:keepNext w:val="0"/>
        <w:keepLines w:val="0"/>
        <w:pageBreakBefore w:val="0"/>
        <w:widowControl w:val="0"/>
        <w:tabs>
          <w:tab w:val="left" w:pos="1560"/>
        </w:tabs>
        <w:kinsoku/>
        <w:wordWrap/>
        <w:overflowPunct/>
        <w:topLinePunct w:val="0"/>
        <w:autoSpaceDE/>
        <w:autoSpaceDN/>
        <w:bidi w:val="0"/>
        <w:adjustRightInd/>
        <w:snapToGrid/>
        <w:spacing w:line="360" w:lineRule="auto"/>
        <w:ind w:left="-53" w:leftChars="-25" w:right="480"/>
        <w:jc w:val="center"/>
        <w:textAlignment w:val="auto"/>
        <w:rPr>
          <w:rFonts w:ascii="宋体"/>
          <w:bCs/>
          <w:color w:val="000000"/>
          <w:sz w:val="24"/>
        </w:rPr>
      </w:pPr>
      <w:r>
        <w:rPr>
          <w:rFonts w:hint="eastAsia" w:ascii="宋体" w:hAnsi="宋体"/>
          <w:bCs/>
          <w:color w:val="000000"/>
          <w:sz w:val="24"/>
        </w:rPr>
        <w:t xml:space="preserve">                                              </w:t>
      </w:r>
      <w:r>
        <w:rPr>
          <w:rFonts w:hint="eastAsia" w:ascii="宋体" w:hAnsi="宋体" w:cs="宋体"/>
          <w:bCs/>
          <w:kern w:val="0"/>
          <w:sz w:val="24"/>
          <w:lang w:eastAsia="zh-CN"/>
        </w:rPr>
        <w:t>欧邦工程管理集团有限公司</w:t>
      </w:r>
    </w:p>
    <w:p>
      <w:pPr>
        <w:spacing w:line="440" w:lineRule="exact"/>
        <w:ind w:firstLine="5654" w:firstLineChars="2356"/>
        <w:rPr>
          <w:rFonts w:ascii="宋体"/>
          <w:bCs/>
          <w:color w:val="000000"/>
          <w:sz w:val="24"/>
        </w:rPr>
      </w:pPr>
      <w:r>
        <w:rPr>
          <w:rFonts w:hint="eastAsia" w:ascii="宋体" w:hAnsi="宋体"/>
          <w:bCs/>
          <w:color w:val="000000"/>
          <w:sz w:val="24"/>
        </w:rPr>
        <w:t xml:space="preserve"> </w:t>
      </w:r>
      <w:r>
        <w:rPr>
          <w:rFonts w:ascii="宋体" w:hAnsi="宋体"/>
          <w:bCs/>
          <w:color w:val="000000"/>
          <w:sz w:val="24"/>
        </w:rPr>
        <w:t>2021</w:t>
      </w:r>
      <w:r>
        <w:rPr>
          <w:rFonts w:hint="eastAsia" w:ascii="宋体" w:hAnsi="宋体"/>
          <w:bCs/>
          <w:color w:val="000000"/>
          <w:sz w:val="24"/>
        </w:rPr>
        <w:t>年</w:t>
      </w:r>
      <w:r>
        <w:rPr>
          <w:rFonts w:hint="eastAsia" w:ascii="宋体" w:hAnsi="宋体"/>
          <w:bCs/>
          <w:color w:val="000000"/>
          <w:sz w:val="24"/>
          <w:lang w:val="en-US" w:eastAsia="zh-CN"/>
        </w:rPr>
        <w:t>11</w:t>
      </w:r>
      <w:r>
        <w:rPr>
          <w:rFonts w:hint="eastAsia" w:ascii="宋体" w:hAnsi="宋体"/>
          <w:bCs/>
          <w:color w:val="000000"/>
          <w:sz w:val="24"/>
        </w:rPr>
        <w:t>月</w:t>
      </w:r>
      <w:r>
        <w:rPr>
          <w:rFonts w:hint="eastAsia" w:ascii="宋体" w:hAnsi="宋体"/>
          <w:bCs/>
          <w:color w:val="000000"/>
          <w:sz w:val="24"/>
          <w:lang w:val="en-US" w:eastAsia="zh-CN"/>
        </w:rPr>
        <w:t>15</w:t>
      </w:r>
      <w:r>
        <w:rPr>
          <w:rFonts w:hint="eastAsia" w:ascii="宋体" w:hAnsi="宋体"/>
          <w:bCs/>
          <w:color w:val="000000"/>
          <w:sz w:val="24"/>
        </w:rPr>
        <w:t>日</w:t>
      </w:r>
    </w:p>
    <w:p>
      <w:pPr>
        <w:pStyle w:val="4"/>
        <w:numPr>
          <w:ilvl w:val="0"/>
          <w:numId w:val="0"/>
        </w:numPr>
        <w:tabs>
          <w:tab w:val="left" w:pos="478"/>
        </w:tabs>
        <w:spacing w:before="0" w:after="0" w:line="360" w:lineRule="auto"/>
        <w:ind w:leftChars="0"/>
        <w:jc w:val="center"/>
        <w:rPr>
          <w:rFonts w:hint="eastAsia" w:hAnsi="宋体" w:cs="宋体"/>
          <w:b/>
          <w:bCs/>
          <w:sz w:val="32"/>
          <w:szCs w:val="32"/>
          <w:lang w:eastAsia="zh-CN"/>
        </w:rPr>
      </w:pPr>
      <w:bookmarkStart w:id="40" w:name="_Toc27072"/>
      <w:bookmarkStart w:id="41" w:name="_Toc15361"/>
      <w:bookmarkStart w:id="42" w:name="_Toc64497180"/>
      <w:bookmarkStart w:id="43" w:name="_Toc13176"/>
    </w:p>
    <w:p>
      <w:pPr>
        <w:pStyle w:val="4"/>
        <w:numPr>
          <w:ilvl w:val="0"/>
          <w:numId w:val="0"/>
        </w:numPr>
        <w:tabs>
          <w:tab w:val="left" w:pos="478"/>
        </w:tabs>
        <w:spacing w:before="0" w:after="0" w:line="360" w:lineRule="auto"/>
        <w:ind w:leftChars="0"/>
        <w:jc w:val="center"/>
        <w:rPr>
          <w:rFonts w:hint="eastAsia" w:hAnsi="宋体" w:cs="宋体"/>
          <w:b/>
          <w:bCs/>
          <w:sz w:val="32"/>
          <w:szCs w:val="32"/>
        </w:rPr>
      </w:pPr>
      <w:r>
        <w:rPr>
          <w:rFonts w:hint="eastAsia" w:hAnsi="宋体" w:cs="宋体"/>
          <w:b/>
          <w:bCs/>
          <w:sz w:val="32"/>
          <w:szCs w:val="32"/>
          <w:lang w:eastAsia="zh-CN"/>
        </w:rPr>
        <w:t>第二部</w:t>
      </w:r>
      <w:r>
        <w:rPr>
          <w:rFonts w:hint="eastAsia" w:hAnsi="宋体" w:cs="宋体"/>
          <w:b/>
          <w:bCs/>
          <w:sz w:val="32"/>
          <w:szCs w:val="32"/>
        </w:rPr>
        <w:t>分 投标须知</w:t>
      </w:r>
      <w:bookmarkEnd w:id="40"/>
      <w:bookmarkEnd w:id="41"/>
      <w:bookmarkEnd w:id="42"/>
      <w:bookmarkEnd w:id="43"/>
    </w:p>
    <w:p>
      <w:pPr>
        <w:pStyle w:val="5"/>
        <w:tabs>
          <w:tab w:val="left" w:pos="358"/>
        </w:tabs>
        <w:spacing w:before="160" w:afterLines="50"/>
        <w:ind w:left="0" w:firstLine="0"/>
        <w:jc w:val="center"/>
        <w:rPr>
          <w:rFonts w:hint="eastAsia" w:ascii="宋体" w:hAnsi="宋体" w:cs="宋体"/>
          <w:szCs w:val="24"/>
        </w:rPr>
      </w:pPr>
      <w:bookmarkStart w:id="44" w:name="_Toc340322164"/>
      <w:bookmarkStart w:id="45" w:name="_Toc180555917"/>
      <w:bookmarkStart w:id="46" w:name="_Toc384363120"/>
      <w:bookmarkStart w:id="47" w:name="_Toc341768536"/>
      <w:bookmarkStart w:id="48" w:name="_Toc21523"/>
      <w:bookmarkStart w:id="49" w:name="_Toc348704823"/>
      <w:bookmarkStart w:id="50" w:name="_Toc340321909"/>
      <w:bookmarkStart w:id="51" w:name="_Toc529382340"/>
      <w:bookmarkStart w:id="52" w:name="_Toc226337758"/>
      <w:bookmarkStart w:id="53" w:name="_Toc383683531"/>
      <w:bookmarkStart w:id="54" w:name="_Toc348709929"/>
      <w:bookmarkStart w:id="55" w:name="_Toc7739"/>
      <w:bookmarkStart w:id="56" w:name="_Toc339302125"/>
      <w:bookmarkStart w:id="57" w:name="_Toc304551310"/>
      <w:bookmarkStart w:id="58" w:name="_Toc25662"/>
      <w:bookmarkStart w:id="59" w:name="_Toc10825"/>
      <w:bookmarkStart w:id="60" w:name="_Toc514938671"/>
      <w:bookmarkStart w:id="61" w:name="_Toc248065036"/>
      <w:r>
        <w:rPr>
          <w:rFonts w:hint="eastAsia" w:ascii="宋体" w:hAnsi="宋体" w:cs="宋体"/>
          <w:szCs w:val="24"/>
        </w:rPr>
        <w:t>投标须知前附表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Style w:val="46"/>
        <w:tblW w:w="96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351"/>
        <w:gridCol w:w="7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bookmarkStart w:id="62" w:name="_Toc16019"/>
            <w:bookmarkStart w:id="63" w:name="_Toc330212058"/>
            <w:bookmarkStart w:id="64" w:name="_Toc330215254"/>
            <w:bookmarkStart w:id="65" w:name="_Toc381971526"/>
            <w:bookmarkStart w:id="66" w:name="_Toc330214827"/>
            <w:bookmarkStart w:id="67" w:name="_Toc510614920"/>
            <w:bookmarkStart w:id="68" w:name="_Toc330215452"/>
            <w:bookmarkStart w:id="69" w:name="_Toc514938672"/>
            <w:bookmarkStart w:id="70" w:name="_Toc330214699"/>
            <w:bookmarkStart w:id="71" w:name="_Toc504504523"/>
            <w:r>
              <w:rPr>
                <w:rFonts w:hint="eastAsia" w:ascii="宋体" w:hAnsi="宋体" w:cs="宋体"/>
                <w:sz w:val="24"/>
              </w:rPr>
              <w:t>序号</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内容</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说明或要求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项目名称</w:t>
            </w:r>
          </w:p>
        </w:tc>
        <w:tc>
          <w:tcPr>
            <w:tcW w:w="7536"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bCs/>
                <w:sz w:val="24"/>
                <w:lang w:eastAsia="zh-CN"/>
              </w:rPr>
            </w:pPr>
            <w:r>
              <w:rPr>
                <w:rFonts w:hint="eastAsia" w:ascii="宋体" w:hAnsi="宋体" w:cs="宋体"/>
                <w:color w:val="auto"/>
                <w:sz w:val="24"/>
                <w:lang w:val="en-US" w:eastAsia="zh-CN"/>
              </w:rPr>
              <w:t>嵊州市金庭镇（撤并前金庭镇行政区域范围）生活垃圾上门收集、分类清运、大件垃圾清理、终端运行、再生资源回收站点、嵊张线局部地段保洁项目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lang w:val="zh-CN"/>
              </w:rPr>
              <w:t>项目编号</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lang w:val="zh-CN"/>
              </w:rPr>
            </w:pPr>
            <w:r>
              <w:rPr>
                <w:rFonts w:hint="eastAsia" w:ascii="宋体" w:hAnsi="宋体" w:cs="宋体"/>
                <w:color w:val="auto"/>
                <w:sz w:val="24"/>
                <w:lang w:val="en-US" w:eastAsia="zh-CN"/>
              </w:rPr>
              <w:t>OB202102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3</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采购内容</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bCs/>
                <w:sz w:val="24"/>
              </w:rPr>
              <w:t>详见第三部分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4</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投标报价</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5</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信用记录</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响应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6</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color w:val="auto"/>
                <w:sz w:val="21"/>
                <w:szCs w:val="21"/>
                <w:highlight w:val="none"/>
              </w:rPr>
              <w:t>支持中小企业财政扶持政策</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kern w:val="0"/>
                <w:sz w:val="24"/>
              </w:rPr>
            </w:pPr>
            <w:r>
              <w:rPr>
                <w:rFonts w:hint="eastAsia" w:ascii="宋体" w:hAnsi="宋体" w:cs="宋体"/>
                <w:kern w:val="0"/>
                <w:sz w:val="24"/>
              </w:rPr>
              <w:t>价格扣除：根据工信部等部委发布的《关于印发中小企业划型标准规定的通知》（工信部联企业〔2011〕300号）和《关于简化中小企业类别确认流程有关事项的通知》（浙财采监〔2018〕2号），根据具体品目确定相应标准。符合上述条件的中小微型企业按照采购文件附件的格式要求提供《中小企业声明函》。符合《关于促进残疾人就业政府采购政策的通知》（财库〔2017〕141号）规定的条件并提供提供《残疾人福利性单位声明函》（采购文件附件17）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exact"/>
              <w:rPr>
                <w:rFonts w:hint="eastAsia" w:ascii="宋体" w:hAnsi="宋体" w:cs="宋体"/>
                <w:sz w:val="24"/>
              </w:rPr>
            </w:pPr>
            <w:r>
              <w:rPr>
                <w:rFonts w:hint="eastAsia" w:ascii="宋体" w:hAnsi="宋体" w:cs="宋体"/>
                <w:kern w:val="0"/>
                <w:sz w:val="24"/>
              </w:rPr>
              <w:t>根据财政部发布的《政府采购促进中小企业发展</w:t>
            </w:r>
            <w:r>
              <w:rPr>
                <w:rFonts w:hint="eastAsia" w:ascii="宋体" w:hAnsi="宋体" w:cs="宋体"/>
                <w:kern w:val="0"/>
                <w:sz w:val="24"/>
                <w:lang w:val="en-US" w:eastAsia="zh-CN"/>
              </w:rPr>
              <w:t>管理</w:t>
            </w:r>
            <w:r>
              <w:rPr>
                <w:rFonts w:hint="eastAsia" w:ascii="宋体" w:hAnsi="宋体" w:cs="宋体"/>
                <w:kern w:val="0"/>
                <w:sz w:val="24"/>
              </w:rPr>
              <w:t>办法》</w:t>
            </w:r>
            <w:r>
              <w:rPr>
                <w:rFonts w:hint="eastAsia" w:ascii="宋体" w:hAnsi="宋体" w:cs="宋体"/>
                <w:kern w:val="0"/>
                <w:sz w:val="24"/>
                <w:lang w:val="en-US" w:eastAsia="zh-CN"/>
              </w:rPr>
              <w:t>财库【2020 】46号</w:t>
            </w:r>
            <w:r>
              <w:rPr>
                <w:rFonts w:hint="eastAsia" w:ascii="宋体" w:hAnsi="宋体" w:cs="宋体"/>
                <w:kern w:val="0"/>
                <w:sz w:val="24"/>
              </w:rPr>
              <w:t>规定，</w:t>
            </w:r>
            <w:r>
              <w:rPr>
                <w:rFonts w:hint="eastAsia" w:ascii="宋体" w:hAnsi="宋体" w:cs="宋体"/>
                <w:b/>
                <w:bCs/>
                <w:kern w:val="0"/>
                <w:sz w:val="24"/>
                <w:lang w:val="en-US" w:eastAsia="zh-CN"/>
              </w:rPr>
              <w:t>本项目</w:t>
            </w:r>
            <w:r>
              <w:rPr>
                <w:rFonts w:hint="eastAsia" w:ascii="宋体" w:hAnsi="宋体" w:cs="宋体"/>
                <w:b/>
                <w:bCs/>
                <w:kern w:val="0"/>
                <w:sz w:val="24"/>
              </w:rPr>
              <w:t>对小型和微型企业产品的投标价格给予6%的扣除，用扣除后的价格参与评审。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7</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答疑与澄清</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sz w:val="24"/>
              </w:rPr>
            </w:pPr>
            <w:r>
              <w:rPr>
                <w:rFonts w:hint="eastAsia" w:ascii="宋体" w:hAnsi="宋体" w:cs="宋体"/>
                <w:kern w:val="0"/>
                <w:sz w:val="24"/>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8</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bCs/>
                <w:sz w:val="24"/>
              </w:rPr>
              <w:t>投标文件的形式</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sz w:val="24"/>
              </w:rPr>
              <w:t>电子投标文件（包括“电子加密投标文件”和“备份投标文件”，在投标文件编制完成后同时生成）；</w:t>
            </w:r>
          </w:p>
          <w:p>
            <w:pPr>
              <w:spacing w:line="360" w:lineRule="exact"/>
              <w:rPr>
                <w:rFonts w:hint="eastAsia" w:ascii="宋体" w:hAnsi="宋体" w:cs="宋体"/>
                <w:sz w:val="24"/>
              </w:rPr>
            </w:pPr>
            <w:r>
              <w:rPr>
                <w:rFonts w:hint="eastAsia" w:ascii="宋体" w:hAnsi="宋体" w:cs="宋体"/>
                <w:sz w:val="24"/>
              </w:rPr>
              <w:t>（1）“电子加密投标文件”是指通过“</w:t>
            </w:r>
            <w:r>
              <w:rPr>
                <w:rFonts w:hint="eastAsia" w:ascii="宋体" w:hAnsi="宋体" w:cs="宋体"/>
                <w:b/>
                <w:bCs/>
                <w:sz w:val="24"/>
              </w:rPr>
              <w:t>政采云电子交易客户端</w:t>
            </w:r>
            <w:r>
              <w:rPr>
                <w:rFonts w:hint="eastAsia" w:ascii="宋体" w:hAnsi="宋体" w:cs="宋体"/>
                <w:sz w:val="24"/>
              </w:rPr>
              <w:t>”完成投标文件编制后</w:t>
            </w:r>
            <w:r>
              <w:rPr>
                <w:rFonts w:hint="eastAsia" w:ascii="宋体" w:hAnsi="宋体" w:cs="宋体"/>
                <w:b/>
                <w:bCs/>
                <w:sz w:val="24"/>
              </w:rPr>
              <w:t>生成并加密的数据电文形式的投标文件，文件格式“.jmbs”</w:t>
            </w:r>
            <w:r>
              <w:rPr>
                <w:rFonts w:hint="eastAsia" w:ascii="宋体" w:hAnsi="宋体" w:cs="宋体"/>
                <w:sz w:val="24"/>
              </w:rPr>
              <w:t>。</w:t>
            </w:r>
          </w:p>
          <w:p>
            <w:pPr>
              <w:snapToGrid w:val="0"/>
              <w:spacing w:line="360" w:lineRule="exact"/>
              <w:jc w:val="left"/>
              <w:rPr>
                <w:rFonts w:hint="eastAsia" w:ascii="宋体" w:hAnsi="宋体" w:cs="宋体"/>
                <w:sz w:val="24"/>
              </w:rPr>
            </w:pPr>
            <w:r>
              <w:rPr>
                <w:rFonts w:hint="eastAsia" w:ascii="宋体" w:hAnsi="宋体" w:cs="宋体"/>
                <w:sz w:val="24"/>
              </w:rPr>
              <w:t>（2）“备份投标文件”是指与“电子加密投标文件”同时生成的数据电文形式的电子文件（文件格式</w:t>
            </w:r>
            <w:r>
              <w:rPr>
                <w:rFonts w:hint="eastAsia" w:ascii="宋体" w:hAnsi="宋体" w:cs="宋体"/>
                <w:b/>
                <w:bCs/>
                <w:sz w:val="24"/>
              </w:rPr>
              <w:t>“.bfbs”</w:t>
            </w:r>
            <w:r>
              <w:rPr>
                <w:rFonts w:hint="eastAsia" w:ascii="宋体" w:hAnsi="宋体" w:cs="宋体"/>
                <w:sz w:val="24"/>
              </w:rPr>
              <w:t>），</w:t>
            </w:r>
            <w:r>
              <w:rPr>
                <w:rFonts w:hint="eastAsia" w:ascii="宋体" w:hAnsi="宋体" w:cs="宋体"/>
                <w:b/>
                <w:bCs/>
                <w:sz w:val="24"/>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9</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bCs/>
                <w:sz w:val="24"/>
              </w:rPr>
              <w:t>投标文件的组成</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24"/>
              </w:rPr>
            </w:pPr>
            <w:r>
              <w:rPr>
                <w:rFonts w:hint="eastAsia" w:ascii="宋体" w:hAnsi="宋体" w:cs="宋体"/>
                <w:sz w:val="24"/>
              </w:rPr>
              <w:t>投标文件由“资格文件”、“商务技术文件”和“报价文件”三个部分组成。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10</w:t>
            </w:r>
          </w:p>
        </w:tc>
        <w:tc>
          <w:tcPr>
            <w:tcW w:w="13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Cs/>
                <w:sz w:val="24"/>
              </w:rPr>
            </w:pPr>
            <w:r>
              <w:rPr>
                <w:rFonts w:hint="eastAsia" w:ascii="宋体" w:hAnsi="宋体" w:cs="宋体"/>
                <w:bCs/>
                <w:kern w:val="0"/>
                <w:sz w:val="24"/>
              </w:rPr>
              <w:t>投标文件的签章形式</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b/>
                <w:sz w:val="24"/>
              </w:rPr>
              <w:t>☑</w:t>
            </w:r>
            <w:r>
              <w:rPr>
                <w:rFonts w:hint="eastAsia" w:ascii="宋体" w:hAnsi="宋体" w:cs="宋体"/>
                <w:b/>
                <w:sz w:val="24"/>
                <w:u w:val="single"/>
              </w:rPr>
              <w:t>电子签章</w:t>
            </w:r>
            <w:r>
              <w:rPr>
                <w:rFonts w:hint="eastAsia" w:ascii="宋体" w:hAnsi="宋体" w:cs="宋体"/>
                <w:sz w:val="24"/>
              </w:rPr>
              <w:t>。按《第二部分 投标须知》和《第六部分 投标文件格式》标注的要求进行盖章、签署（电子签章）。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11</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Cs/>
                <w:sz w:val="24"/>
              </w:rPr>
            </w:pPr>
            <w:r>
              <w:rPr>
                <w:rFonts w:hint="eastAsia" w:ascii="宋体" w:hAnsi="宋体" w:cs="宋体"/>
                <w:bCs/>
                <w:sz w:val="24"/>
              </w:rPr>
              <w:t>投标文件</w:t>
            </w:r>
          </w:p>
          <w:p>
            <w:pPr>
              <w:snapToGrid w:val="0"/>
              <w:spacing w:line="360" w:lineRule="exact"/>
              <w:jc w:val="center"/>
              <w:rPr>
                <w:rFonts w:hint="eastAsia" w:ascii="宋体" w:hAnsi="宋体" w:cs="宋体"/>
                <w:bCs/>
                <w:sz w:val="24"/>
              </w:rPr>
            </w:pPr>
            <w:r>
              <w:rPr>
                <w:rFonts w:hint="eastAsia" w:ascii="宋体" w:hAnsi="宋体" w:cs="宋体"/>
                <w:bCs/>
                <w:sz w:val="24"/>
              </w:rPr>
              <w:t>份数</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sz w:val="24"/>
              </w:rPr>
              <w:t>（1）“电子加密投标文件”：在线上传递交（一份）。（2）“备份投标文件”：密封包装后（EMS、顺丰邮寄等形式）投标截止时间前（送达时间以采购组织机构实际签收时间为准）送达（一份）（</w:t>
            </w:r>
            <w:r>
              <w:rPr>
                <w:rFonts w:hint="eastAsia" w:ascii="宋体" w:hAnsi="宋体" w:cs="宋体"/>
                <w:color w:val="FF0000"/>
                <w:sz w:val="24"/>
              </w:rPr>
              <w:t>邮寄地址：</w:t>
            </w:r>
            <w:r>
              <w:rPr>
                <w:rFonts w:hint="eastAsia" w:ascii="宋体" w:hAnsi="宋体" w:cs="宋体"/>
                <w:bCs/>
                <w:kern w:val="0"/>
                <w:sz w:val="24"/>
                <w:lang w:eastAsia="zh-CN"/>
              </w:rPr>
              <w:t>嵊州市经济开发区兴盛街</w:t>
            </w:r>
            <w:r>
              <w:rPr>
                <w:rFonts w:hint="eastAsia" w:ascii="宋体" w:hAnsi="宋体" w:cs="宋体"/>
                <w:bCs/>
                <w:kern w:val="0"/>
                <w:sz w:val="24"/>
                <w:lang w:val="en-US" w:eastAsia="zh-CN"/>
              </w:rPr>
              <w:t>2303号嵊州文创园2幢401室</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12</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Cs/>
                <w:sz w:val="24"/>
              </w:rPr>
            </w:pPr>
            <w:r>
              <w:rPr>
                <w:rFonts w:hint="eastAsia" w:ascii="宋体" w:hAnsi="宋体" w:cs="宋体"/>
                <w:bCs/>
                <w:sz w:val="24"/>
              </w:rPr>
              <w:t>备份投标文件的约定</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sz w:val="24"/>
              </w:rPr>
              <w:t>投标人在“政府采购云平台”完成电子加密“投标文件”的在线传输递交后，还可以在投标截止时间前通过EMS、顺丰邮寄等形式送达以介质存储的数据电文形式的“备份投标文件”。“备份投标文件”由投标人自愿提交，采购文件不作强制性要求，但投标人仅递交了“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13</w:t>
            </w:r>
          </w:p>
        </w:tc>
        <w:tc>
          <w:tcPr>
            <w:tcW w:w="13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Cs/>
                <w:sz w:val="24"/>
              </w:rPr>
            </w:pPr>
            <w:r>
              <w:rPr>
                <w:rFonts w:hint="eastAsia" w:ascii="宋体" w:hAnsi="宋体" w:cs="宋体"/>
                <w:sz w:val="24"/>
              </w:rPr>
              <w:t>备份投标文件的编制</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sz w:val="24"/>
              </w:rPr>
              <w:t>投标人提交的备份投标文件应当是通过“政采云电子交易客户端”完成投标文件编制后，与电子加密“投标文件”同时生成的数据电文形式的未加密的备份投标文件，文件格式“.bfbs”。</w:t>
            </w:r>
            <w:r>
              <w:rPr>
                <w:rFonts w:hint="eastAsia" w:ascii="宋体" w:hAnsi="宋体" w:cs="宋体"/>
                <w:b/>
                <w:sz w:val="24"/>
              </w:rPr>
              <w:t>以其他方式编制的“备份投标文件”视为无效“备份投标文件”。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14</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bCs/>
                <w:sz w:val="24"/>
              </w:rPr>
            </w:pPr>
            <w:r>
              <w:rPr>
                <w:rFonts w:hint="eastAsia" w:ascii="宋体" w:hAnsi="宋体" w:cs="宋体"/>
                <w:sz w:val="24"/>
              </w:rPr>
              <w:t>投标文件的上传和递交</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sz w:val="24"/>
              </w:rPr>
              <w:t>（1）“电子加密投标文件”的上传、递交：</w:t>
            </w:r>
          </w:p>
          <w:p>
            <w:pPr>
              <w:spacing w:line="360" w:lineRule="exact"/>
              <w:rPr>
                <w:rFonts w:hint="eastAsia" w:ascii="宋体" w:hAnsi="宋体" w:cs="宋体"/>
                <w:sz w:val="24"/>
              </w:rPr>
            </w:pPr>
            <w:r>
              <w:rPr>
                <w:rFonts w:hint="eastAsia" w:ascii="宋体" w:hAnsi="宋体" w:cs="宋体"/>
                <w:sz w:val="24"/>
              </w:rPr>
              <w:t>a.投标人应在投标截止时间前将“电子加密投标文件”成功上传递交至“政府采购云平台”，否则投标无效。</w:t>
            </w:r>
          </w:p>
          <w:p>
            <w:pPr>
              <w:spacing w:line="360" w:lineRule="exact"/>
              <w:rPr>
                <w:rFonts w:hint="eastAsia" w:ascii="宋体" w:hAnsi="宋体" w:cs="宋体"/>
                <w:sz w:val="24"/>
              </w:rPr>
            </w:pPr>
            <w:r>
              <w:rPr>
                <w:rFonts w:hint="eastAsia" w:ascii="宋体" w:hAnsi="宋体" w:cs="宋体"/>
                <w:sz w:val="24"/>
              </w:rPr>
              <w:t>b.“电子加密投标文件”成功上传递交后，投标人可自行打印投标文件接收回执。</w:t>
            </w:r>
          </w:p>
          <w:p>
            <w:pPr>
              <w:spacing w:line="360" w:lineRule="exact"/>
              <w:rPr>
                <w:rFonts w:hint="eastAsia" w:ascii="宋体" w:hAnsi="宋体" w:cs="宋体"/>
                <w:sz w:val="24"/>
              </w:rPr>
            </w:pPr>
            <w:r>
              <w:rPr>
                <w:rFonts w:hint="eastAsia" w:ascii="宋体" w:hAnsi="宋体" w:cs="宋体"/>
                <w:sz w:val="24"/>
              </w:rPr>
              <w:t>c.投标截止时间前，除投标人补充、修改或者撤回投标文件外，任何单位和个人不得解密或提取投标文件。</w:t>
            </w:r>
          </w:p>
          <w:p>
            <w:pPr>
              <w:spacing w:line="360" w:lineRule="exact"/>
              <w:rPr>
                <w:rFonts w:hint="eastAsia" w:ascii="宋体" w:hAnsi="宋体" w:cs="宋体"/>
                <w:sz w:val="24"/>
              </w:rPr>
            </w:pPr>
            <w:r>
              <w:rPr>
                <w:rFonts w:hint="eastAsia" w:ascii="宋体" w:hAnsi="宋体" w:cs="宋体"/>
                <w:sz w:val="24"/>
              </w:rPr>
              <w:t>（2）“备份投标文件”的密封包装、递交：</w:t>
            </w:r>
          </w:p>
          <w:p>
            <w:pPr>
              <w:spacing w:line="360" w:lineRule="exact"/>
              <w:rPr>
                <w:rFonts w:hint="eastAsia" w:ascii="宋体" w:hAnsi="宋体" w:cs="宋体"/>
                <w:sz w:val="24"/>
              </w:rPr>
            </w:pPr>
            <w:r>
              <w:rPr>
                <w:rFonts w:hint="eastAsia" w:ascii="宋体" w:hAnsi="宋体" w:cs="宋体"/>
                <w:sz w:val="24"/>
              </w:rPr>
              <w:t>a.投标人在“政府采购云平台”完成“电子加密投标文件”的上传递交后以EMS、顺丰邮寄等形式在投标截止时间前送达以介质（U盘）存储的 “备份投标文件”（一份），</w:t>
            </w:r>
            <w:r>
              <w:rPr>
                <w:rFonts w:hint="eastAsia" w:ascii="宋体" w:hAnsi="宋体" w:cs="宋体"/>
                <w:b/>
                <w:bCs/>
                <w:sz w:val="24"/>
              </w:rPr>
              <w:t>送达时间以采购组织机构实际签收时间为准</w:t>
            </w:r>
            <w:r>
              <w:rPr>
                <w:rFonts w:hint="eastAsia" w:ascii="宋体" w:hAnsi="宋体" w:cs="宋体"/>
                <w:sz w:val="24"/>
              </w:rPr>
              <w:t>；</w:t>
            </w:r>
          </w:p>
          <w:p>
            <w:pPr>
              <w:spacing w:line="360" w:lineRule="exact"/>
              <w:rPr>
                <w:rFonts w:hint="eastAsia" w:ascii="宋体" w:hAnsi="宋体" w:cs="宋体"/>
                <w:b/>
                <w:bCs/>
                <w:sz w:val="24"/>
              </w:rPr>
            </w:pPr>
            <w:r>
              <w:rPr>
                <w:rFonts w:hint="eastAsia" w:ascii="宋体" w:hAnsi="宋体" w:cs="宋体"/>
                <w:b/>
                <w:bCs/>
                <w:sz w:val="24"/>
              </w:rPr>
              <w:t>b.“备份投标文件”应当密封包装，并在包装上标注投标项目名称、投标单位名称并加盖公章。没有密封包装或标识或盖章或逾期送达至投标地点的“备份投标文件”视为未递交；</w:t>
            </w:r>
          </w:p>
          <w:p>
            <w:pPr>
              <w:snapToGrid w:val="0"/>
              <w:spacing w:line="360" w:lineRule="exact"/>
              <w:rPr>
                <w:rFonts w:hint="eastAsia" w:ascii="宋体" w:hAnsi="宋体" w:cs="宋体"/>
                <w:sz w:val="24"/>
              </w:rPr>
            </w:pPr>
            <w:r>
              <w:rPr>
                <w:rFonts w:hint="eastAsia" w:ascii="宋体" w:hAnsi="宋体" w:cs="宋体"/>
                <w:sz w:val="24"/>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15</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投标截止</w:t>
            </w:r>
          </w:p>
          <w:p>
            <w:pPr>
              <w:snapToGrid w:val="0"/>
              <w:spacing w:line="360" w:lineRule="exact"/>
              <w:jc w:val="center"/>
              <w:rPr>
                <w:rFonts w:hint="eastAsia" w:ascii="宋体" w:hAnsi="宋体" w:cs="宋体"/>
                <w:sz w:val="24"/>
              </w:rPr>
            </w:pPr>
            <w:r>
              <w:rPr>
                <w:rFonts w:hint="eastAsia" w:ascii="宋体" w:hAnsi="宋体" w:cs="宋体"/>
                <w:sz w:val="24"/>
              </w:rPr>
              <w:t>时间和地点</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投标截止时间：2021年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日9时30分（北京时间）</w:t>
            </w:r>
          </w:p>
          <w:p>
            <w:pPr>
              <w:snapToGrid w:val="0"/>
              <w:spacing w:line="360" w:lineRule="exact"/>
              <w:jc w:val="left"/>
              <w:rPr>
                <w:rFonts w:hint="eastAsia" w:ascii="宋体" w:hAnsi="宋体" w:cs="宋体"/>
                <w:sz w:val="24"/>
              </w:rPr>
            </w:pPr>
            <w:r>
              <w:rPr>
                <w:rFonts w:hint="eastAsia" w:ascii="宋体" w:hAnsi="宋体" w:cs="宋体"/>
                <w:sz w:val="24"/>
              </w:rPr>
              <w:t>投标地点：</w:t>
            </w:r>
            <w:r>
              <w:rPr>
                <w:rFonts w:hint="eastAsia" w:ascii="宋体" w:hAnsi="宋体" w:cs="宋体"/>
                <w:bCs/>
                <w:kern w:val="0"/>
                <w:sz w:val="24"/>
                <w:lang w:eastAsia="zh-CN"/>
              </w:rPr>
              <w:t>欧邦工程管理集团有限公司</w:t>
            </w:r>
            <w:r>
              <w:rPr>
                <w:rFonts w:hint="eastAsia" w:ascii="宋体" w:hAnsi="宋体" w:cs="宋体"/>
                <w:bCs/>
                <w:kern w:val="0"/>
                <w:sz w:val="24"/>
                <w:lang w:val="en-US" w:eastAsia="zh-CN"/>
              </w:rPr>
              <w:t>开标室</w:t>
            </w:r>
            <w:r>
              <w:rPr>
                <w:rFonts w:hint="eastAsia" w:ascii="宋体" w:hAnsi="宋体" w:cs="宋体"/>
                <w:color w:val="auto"/>
                <w:sz w:val="24"/>
                <w:highlight w:val="none"/>
              </w:rPr>
              <w:t>(</w:t>
            </w:r>
            <w:r>
              <w:rPr>
                <w:rFonts w:hint="eastAsia" w:ascii="宋体" w:hAnsi="宋体" w:cs="宋体"/>
                <w:bCs/>
                <w:kern w:val="0"/>
                <w:sz w:val="24"/>
                <w:lang w:eastAsia="zh-CN"/>
              </w:rPr>
              <w:t>嵊州市经济开发区兴盛街</w:t>
            </w:r>
            <w:r>
              <w:rPr>
                <w:rFonts w:hint="eastAsia" w:ascii="宋体" w:hAnsi="宋体" w:cs="宋体"/>
                <w:bCs/>
                <w:kern w:val="0"/>
                <w:sz w:val="24"/>
                <w:lang w:val="en-US" w:eastAsia="zh-CN"/>
              </w:rPr>
              <w:t>2303号嵊州文创园2幢401室</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16</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开标时</w:t>
            </w:r>
          </w:p>
          <w:p>
            <w:pPr>
              <w:snapToGrid w:val="0"/>
              <w:spacing w:line="360" w:lineRule="exact"/>
              <w:jc w:val="center"/>
              <w:rPr>
                <w:rFonts w:hint="eastAsia" w:ascii="宋体" w:hAnsi="宋体" w:cs="宋体"/>
                <w:sz w:val="24"/>
              </w:rPr>
            </w:pPr>
            <w:r>
              <w:rPr>
                <w:rFonts w:hint="eastAsia" w:ascii="宋体" w:hAnsi="宋体" w:cs="宋体"/>
                <w:sz w:val="24"/>
              </w:rPr>
              <w:t>间和地点</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开标时间：2021年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 9时00分（北京时间）</w:t>
            </w:r>
          </w:p>
          <w:p>
            <w:pPr>
              <w:snapToGrid w:val="0"/>
              <w:spacing w:line="360" w:lineRule="exact"/>
              <w:jc w:val="left"/>
              <w:rPr>
                <w:rFonts w:hint="eastAsia" w:ascii="宋体" w:hAnsi="宋体" w:cs="宋体"/>
                <w:sz w:val="24"/>
              </w:rPr>
            </w:pPr>
            <w:r>
              <w:rPr>
                <w:rFonts w:hint="eastAsia" w:ascii="宋体" w:hAnsi="宋体" w:cs="宋体"/>
                <w:sz w:val="24"/>
              </w:rPr>
              <w:t>开标地点：</w:t>
            </w:r>
            <w:r>
              <w:rPr>
                <w:rFonts w:hint="eastAsia" w:ascii="宋体" w:hAnsi="宋体" w:cs="宋体"/>
                <w:bCs/>
                <w:kern w:val="0"/>
                <w:sz w:val="24"/>
                <w:lang w:eastAsia="zh-CN"/>
              </w:rPr>
              <w:t>欧邦工程管理集团有</w:t>
            </w:r>
            <w:bookmarkStart w:id="340" w:name="_GoBack"/>
            <w:bookmarkEnd w:id="340"/>
            <w:r>
              <w:rPr>
                <w:rFonts w:hint="eastAsia" w:ascii="宋体" w:hAnsi="宋体" w:cs="宋体"/>
                <w:bCs/>
                <w:kern w:val="0"/>
                <w:sz w:val="24"/>
                <w:lang w:eastAsia="zh-CN"/>
              </w:rPr>
              <w:t>限公司</w:t>
            </w:r>
            <w:r>
              <w:rPr>
                <w:rFonts w:hint="eastAsia" w:ascii="宋体" w:hAnsi="宋体" w:cs="宋体"/>
                <w:bCs/>
                <w:kern w:val="0"/>
                <w:sz w:val="24"/>
                <w:lang w:val="en-US" w:eastAsia="zh-CN"/>
              </w:rPr>
              <w:t>开标室</w:t>
            </w:r>
            <w:r>
              <w:rPr>
                <w:rFonts w:hint="eastAsia" w:ascii="宋体" w:hAnsi="宋体" w:cs="宋体"/>
                <w:color w:val="auto"/>
                <w:sz w:val="24"/>
                <w:highlight w:val="none"/>
              </w:rPr>
              <w:t>(</w:t>
            </w:r>
            <w:r>
              <w:rPr>
                <w:rFonts w:hint="eastAsia" w:ascii="宋体" w:hAnsi="宋体" w:cs="宋体"/>
                <w:bCs/>
                <w:kern w:val="0"/>
                <w:sz w:val="24"/>
                <w:lang w:eastAsia="zh-CN"/>
              </w:rPr>
              <w:t>嵊州市经济开发区兴盛街</w:t>
            </w:r>
            <w:r>
              <w:rPr>
                <w:rFonts w:hint="eastAsia" w:ascii="宋体" w:hAnsi="宋体" w:cs="宋体"/>
                <w:bCs/>
                <w:kern w:val="0"/>
                <w:sz w:val="24"/>
                <w:lang w:val="en-US" w:eastAsia="zh-CN"/>
              </w:rPr>
              <w:t>2303号嵊州文创园2幢401室</w:t>
            </w:r>
            <w:r>
              <w:rPr>
                <w:rFonts w:hint="eastAsia" w:ascii="宋体" w:hAnsi="宋体" w:cs="宋体"/>
                <w:color w:val="auto"/>
                <w:sz w:val="24"/>
                <w:highlight w:val="none"/>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17</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开标</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本项目采用电子交易，采购组织机构将按照采购文件规定的时间通过“政府采购云平台，网址：</w:t>
            </w:r>
            <w:r>
              <w:rPr>
                <w:rFonts w:hint="eastAsia" w:ascii="宋体" w:hAnsi="宋体" w:cs="宋体"/>
                <w:bCs/>
                <w:sz w:val="24"/>
              </w:rPr>
              <w:t>https://www.zcygov.cn</w:t>
            </w:r>
            <w:r>
              <w:rPr>
                <w:rFonts w:hint="eastAsia" w:ascii="宋体" w:hAnsi="宋体" w:cs="宋体"/>
                <w:sz w:val="24"/>
              </w:rPr>
              <w:t>”组织开标、开启投标响应文件，所有投标人均应当准时在线参加。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18</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投标文件的解密</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开标后，采购组织机构将通过政府采购云平台（电子交易平台）在线向各投标人远程发出电子加密“投标文件解密”通知，各投标人代表应当在解密通知发出后30分钟内自行完成投标文件的在线解密。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19</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投标文件解密异常情况处理办法</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投标人传输递交至“政府采购云平台”的电子加密“投标文件”无法按时解密时：</w:t>
            </w:r>
          </w:p>
          <w:p>
            <w:pPr>
              <w:snapToGrid w:val="0"/>
              <w:spacing w:line="360" w:lineRule="exact"/>
              <w:jc w:val="left"/>
              <w:rPr>
                <w:rFonts w:hint="eastAsia" w:ascii="宋体" w:hAnsi="宋体" w:cs="宋体"/>
                <w:sz w:val="24"/>
              </w:rPr>
            </w:pPr>
            <w:r>
              <w:rPr>
                <w:rFonts w:hint="eastAsia" w:ascii="宋体" w:hAnsi="宋体" w:cs="宋体"/>
                <w:sz w:val="24"/>
              </w:rPr>
              <w:t>（1）已按规定递交了合格的“备份投标文件”的，采购组织机构将拆封投标人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snapToGrid w:val="0"/>
              <w:spacing w:line="360" w:lineRule="exact"/>
              <w:jc w:val="left"/>
              <w:rPr>
                <w:rFonts w:hint="eastAsia" w:ascii="宋体" w:hAnsi="宋体" w:cs="宋体"/>
                <w:sz w:val="24"/>
              </w:rPr>
            </w:pPr>
            <w:r>
              <w:rPr>
                <w:rFonts w:hint="eastAsia" w:ascii="宋体" w:hAnsi="宋体" w:cs="宋体"/>
                <w:sz w:val="24"/>
              </w:rPr>
              <w:t>（2）未按规定递交合格“备份投标文件”的或递交的“备份投标文件”无法成功上传的，视为投标文件撤回。</w:t>
            </w:r>
          </w:p>
          <w:p>
            <w:pPr>
              <w:snapToGrid w:val="0"/>
              <w:spacing w:line="360" w:lineRule="exact"/>
              <w:jc w:val="left"/>
              <w:rPr>
                <w:rFonts w:hint="eastAsia" w:ascii="宋体" w:hAnsi="宋体" w:cs="宋体"/>
                <w:sz w:val="24"/>
              </w:rPr>
            </w:pPr>
            <w:r>
              <w:rPr>
                <w:rFonts w:hint="eastAsia" w:ascii="宋体" w:hAnsi="宋体" w:cs="宋体"/>
                <w:sz w:val="24"/>
              </w:rPr>
              <w:t>（3）备份投标文件上传成功后视为投标文件解密成功，投标人可以进入后续评审。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20</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评标办法</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21</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结果公告及《中标通知书》签发</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采购结果经采购人确认后2个工作日内，采购代理机构将在“浙江政府采购网”公告采购结果，同时向中标单位发出《中标通知书》。中标公告期限为1个工作日。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22</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有效期</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投标文件有效期：90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23</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color w:val="auto"/>
                <w:sz w:val="24"/>
              </w:rPr>
              <w:t>履约保证金</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签订合同前，中标人需向招标人缴纳</w:t>
            </w:r>
            <w:r>
              <w:rPr>
                <w:rFonts w:hint="eastAsia" w:ascii="宋体" w:hAnsi="宋体" w:cs="宋体"/>
                <w:sz w:val="24"/>
                <w:lang w:eastAsia="zh-CN"/>
              </w:rPr>
              <w:t>一年</w:t>
            </w:r>
            <w:r>
              <w:rPr>
                <w:rFonts w:hint="eastAsia" w:ascii="宋体" w:hAnsi="宋体" w:cs="宋体"/>
                <w:sz w:val="24"/>
              </w:rPr>
              <w:t>合同价的5%作为履约保证金。在承包期满后无违约的，在一个月后原额无息退还。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24</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sz w:val="24"/>
              </w:rPr>
            </w:pPr>
            <w:r>
              <w:rPr>
                <w:rFonts w:hint="eastAsia" w:ascii="宋体" w:hAnsi="宋体" w:cs="宋体"/>
                <w:color w:val="auto"/>
                <w:sz w:val="24"/>
              </w:rPr>
              <w:t>付款方式</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pacing w:val="6"/>
                <w:sz w:val="24"/>
              </w:rPr>
              <w:t>合同价款按月拨付，次月中旬根据考核情况拨付上一个月的保洁费用</w:t>
            </w:r>
            <w:r>
              <w:rPr>
                <w:rFonts w:hint="eastAsia" w:ascii="宋体" w:hAnsi="宋体" w:cs="宋体"/>
                <w:kern w:val="0"/>
                <w:sz w:val="24"/>
              </w:rPr>
              <w:t>，中标供应商提供符合招标人财务要求的正式发票。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25</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sz w:val="24"/>
              </w:rPr>
            </w:pPr>
            <w:r>
              <w:rPr>
                <w:rFonts w:hint="eastAsia" w:ascii="宋体" w:hAnsi="宋体" w:cs="宋体"/>
                <w:color w:val="auto"/>
                <w:sz w:val="24"/>
              </w:rPr>
              <w:t>代理服务费</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招标代理机构按照《招标代理服务收费管理暂行办法》规定的收费标准，其他费用按实支付，在招标成功后领取中标通知书时向中标人收取。</w:t>
            </w:r>
          </w:p>
          <w:p>
            <w:pPr>
              <w:snapToGrid w:val="0"/>
              <w:spacing w:line="360" w:lineRule="exact"/>
              <w:jc w:val="left"/>
              <w:rPr>
                <w:rFonts w:hint="eastAsia" w:ascii="宋体" w:hAnsi="宋体" w:cs="宋体"/>
                <w:sz w:val="24"/>
              </w:rPr>
            </w:pPr>
            <w:r>
              <w:rPr>
                <w:rFonts w:hint="eastAsia" w:ascii="宋体" w:hAnsi="宋体" w:cs="宋体"/>
                <w:sz w:val="24"/>
              </w:rPr>
              <w:t>②用银行支票、电汇、现金等付款方式直接交纳中标服务费。</w:t>
            </w:r>
          </w:p>
          <w:p>
            <w:pPr>
              <w:pStyle w:val="3"/>
              <w:spacing w:line="360" w:lineRule="exact"/>
              <w:ind w:firstLine="0"/>
              <w:rPr>
                <w:rFonts w:hint="eastAsia" w:cs="宋体"/>
              </w:rPr>
            </w:pPr>
            <w:r>
              <w:rPr>
                <w:rFonts w:hint="eastAsia" w:cs="宋体"/>
              </w:rPr>
              <w:t>收款单位（户名）：</w:t>
            </w:r>
            <w:r>
              <w:rPr>
                <w:rFonts w:hint="eastAsia" w:ascii="宋体" w:hAnsi="宋体" w:cs="宋体"/>
                <w:bCs/>
                <w:kern w:val="0"/>
                <w:sz w:val="24"/>
                <w:lang w:eastAsia="zh-CN"/>
              </w:rPr>
              <w:t>欧邦工程管理集团有限公司</w:t>
            </w:r>
          </w:p>
          <w:p>
            <w:pPr>
              <w:pStyle w:val="3"/>
              <w:spacing w:line="360" w:lineRule="exact"/>
              <w:ind w:firstLine="0"/>
              <w:rPr>
                <w:rFonts w:hint="eastAsia" w:eastAsia="宋体" w:cs="宋体"/>
                <w:lang w:eastAsia="zh-CN"/>
              </w:rPr>
            </w:pPr>
            <w:r>
              <w:rPr>
                <w:rFonts w:hint="eastAsia" w:cs="宋体"/>
              </w:rPr>
              <w:t>开户银行：</w:t>
            </w:r>
            <w:r>
              <w:rPr>
                <w:rFonts w:hint="eastAsia" w:cs="宋体"/>
                <w:lang w:eastAsia="zh-CN"/>
              </w:rPr>
              <w:t>工行嵊州东城支行</w:t>
            </w:r>
          </w:p>
          <w:p>
            <w:pPr>
              <w:pStyle w:val="3"/>
              <w:spacing w:line="360" w:lineRule="exact"/>
              <w:ind w:firstLine="0"/>
              <w:rPr>
                <w:rFonts w:hint="default" w:eastAsia="宋体" w:cs="宋体"/>
                <w:lang w:val="en-US" w:eastAsia="zh-CN"/>
              </w:rPr>
            </w:pPr>
            <w:r>
              <w:rPr>
                <w:rFonts w:hint="eastAsia" w:cs="宋体"/>
              </w:rPr>
              <w:t>银行账号：</w:t>
            </w:r>
            <w:r>
              <w:rPr>
                <w:rFonts w:hint="eastAsia" w:cs="宋体"/>
                <w:lang w:val="en-US" w:eastAsia="zh-CN"/>
              </w:rPr>
              <w:t>1211026109200133323</w:t>
            </w:r>
          </w:p>
          <w:p>
            <w:pPr>
              <w:snapToGrid w:val="0"/>
              <w:spacing w:line="360" w:lineRule="exact"/>
              <w:jc w:val="left"/>
              <w:rPr>
                <w:rFonts w:hint="eastAsia" w:ascii="宋体" w:hAnsi="宋体" w:cs="宋体"/>
                <w:sz w:val="24"/>
              </w:rPr>
            </w:pPr>
            <w:r>
              <w:rPr>
                <w:rFonts w:hint="eastAsia" w:ascii="宋体" w:hAnsi="宋体" w:cs="宋体"/>
                <w:sz w:val="24"/>
              </w:rPr>
              <w:t>③中标服务费的交纳时间: 领取中标通知书前交纳。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26</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投标人注册</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未注册加入“浙江省政府采购供应商库”的投标人，应当按照《浙江省政府采购投标人注册及诚信管理暂行办法》的规定进行注册登记（网址：http://www.zjzfcg.gov.cn/）。中标单位应在领取中标通知书前在浙江省政府采购网上进行登记注册，否则视为放弃中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27</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说明</w:t>
            </w:r>
          </w:p>
        </w:tc>
        <w:tc>
          <w:tcPr>
            <w:tcW w:w="753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176"/>
              <w:rPr>
                <w:rFonts w:hint="eastAsia" w:ascii="宋体" w:hAnsi="宋体" w:cs="宋体"/>
                <w:sz w:val="24"/>
              </w:rPr>
            </w:pPr>
            <w:r>
              <w:rPr>
                <w:rFonts w:hint="eastAsia" w:ascii="宋体" w:hAnsi="宋体" w:cs="宋体"/>
                <w:sz w:val="24"/>
              </w:rPr>
              <w:t>编制投标文件相关事宜：</w:t>
            </w:r>
          </w:p>
          <w:p>
            <w:pPr>
              <w:spacing w:line="360" w:lineRule="exact"/>
              <w:ind w:firstLine="480"/>
              <w:rPr>
                <w:rFonts w:hint="eastAsia" w:ascii="宋体" w:hAnsi="宋体" w:cs="宋体"/>
                <w:sz w:val="24"/>
              </w:rPr>
            </w:pPr>
            <w:r>
              <w:rPr>
                <w:rFonts w:hint="eastAsia" w:ascii="宋体" w:hAnsi="宋体" w:cs="宋体"/>
                <w:sz w:val="24"/>
              </w:rPr>
              <w:t>①本项目通过“政府采购云平台（</w:t>
            </w:r>
            <w:r>
              <w:rPr>
                <w:rFonts w:hint="eastAsia" w:ascii="宋体" w:hAnsi="宋体" w:cs="宋体"/>
                <w:bCs/>
                <w:sz w:val="24"/>
              </w:rPr>
              <w:t>https://www.zcygov.cn/</w:t>
            </w:r>
            <w:r>
              <w:rPr>
                <w:rFonts w:hint="eastAsia" w:ascii="宋体" w:hAnsi="宋体" w:cs="宋体"/>
                <w:sz w:val="24"/>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360" w:lineRule="exact"/>
              <w:ind w:firstLine="480"/>
              <w:rPr>
                <w:rFonts w:hint="eastAsia" w:ascii="宋体" w:hAnsi="宋体" w:cs="宋体"/>
                <w:sz w:val="24"/>
              </w:rPr>
            </w:pPr>
            <w:r>
              <w:rPr>
                <w:rFonts w:hint="eastAsia" w:ascii="宋体" w:hAnsi="宋体" w:cs="宋体"/>
                <w:bCs/>
                <w:sz w:val="24"/>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宋体"/>
                <w:sz w:val="24"/>
              </w:rPr>
              <w:t>通过“政府采购云平台”参与在线投标时如遇平台技术问题详询400-881-7190。</w:t>
            </w:r>
          </w:p>
          <w:p>
            <w:pPr>
              <w:spacing w:line="360" w:lineRule="exact"/>
              <w:ind w:firstLine="480"/>
              <w:rPr>
                <w:rFonts w:hint="eastAsia" w:ascii="宋体" w:hAnsi="宋体" w:cs="宋体"/>
                <w:bCs/>
                <w:sz w:val="24"/>
              </w:rPr>
            </w:pPr>
            <w:r>
              <w:rPr>
                <w:rFonts w:hint="eastAsia" w:ascii="宋体" w:hAnsi="宋体" w:cs="宋体"/>
                <w:sz w:val="24"/>
              </w:rPr>
              <w:t>②为确保网上操作合法、有效和安全，投标供应商应当在投标截止时间前完成在“政府采购云平台”的身份认证，确保在电子投标过程中能够对相关数据电文进行加密和使用电子签章。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bCs/>
                <w:sz w:val="24"/>
              </w:rPr>
              <w:t>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bCs/>
                <w:sz w:val="24"/>
              </w:rPr>
              <w:t>CA驱动和申领流程</w:t>
            </w:r>
            <w:r>
              <w:rPr>
                <w:rFonts w:hint="eastAsia" w:ascii="宋体" w:hAnsi="宋体" w:cs="宋体"/>
                <w:bCs/>
                <w:sz w:val="24"/>
              </w:rPr>
              <w:fldChar w:fldCharType="end"/>
            </w:r>
            <w:r>
              <w:rPr>
                <w:rFonts w:hint="eastAsia" w:ascii="宋体" w:hAnsi="宋体" w:cs="宋体"/>
                <w:bCs/>
                <w:sz w:val="24"/>
              </w:rPr>
              <w:t>”进行查阅；</w:t>
            </w:r>
          </w:p>
          <w:p>
            <w:pPr>
              <w:spacing w:line="360" w:lineRule="exact"/>
              <w:ind w:firstLine="480"/>
              <w:rPr>
                <w:rFonts w:hint="eastAsia" w:ascii="宋体" w:hAnsi="宋体" w:cs="宋体"/>
                <w:sz w:val="24"/>
              </w:rPr>
            </w:pPr>
            <w:r>
              <w:rPr>
                <w:rFonts w:hint="eastAsia" w:ascii="宋体" w:hAnsi="宋体" w:cs="宋体"/>
                <w:sz w:val="24"/>
              </w:rPr>
              <w:t>③投标供应商应当在投标截止时间前，将生成的“电子加密投标文件”上传递交至“政府采购云平台”。投标截止时间以后上传递交的投标文件将被“政府采购云平台”拒收。</w:t>
            </w:r>
          </w:p>
          <w:p>
            <w:pPr>
              <w:spacing w:line="360" w:lineRule="exact"/>
              <w:ind w:firstLine="480"/>
              <w:rPr>
                <w:rFonts w:hint="eastAsia" w:ascii="宋体" w:hAnsi="宋体" w:cs="宋体"/>
                <w:sz w:val="24"/>
              </w:rPr>
            </w:pPr>
            <w:r>
              <w:rPr>
                <w:rFonts w:hint="eastAsia" w:ascii="宋体" w:hAnsi="宋体" w:cs="宋体"/>
                <w:sz w:val="24"/>
              </w:rPr>
              <w:t>④投标供应商在“政府采购云平台”完成“电子加密投标文件”的上传递交后，以（EMS、顺丰邮寄形式）在投标截止时间前送达以介质（U盘）存储的数据电文形式的“备份投标文件”，“备份投标文件”应当密封包装并在包装上标注投标项目名称、投标单位名称并加盖公章。</w:t>
            </w:r>
          </w:p>
          <w:p>
            <w:pPr>
              <w:snapToGrid w:val="0"/>
              <w:spacing w:line="360" w:lineRule="exact"/>
              <w:ind w:firstLine="480"/>
              <w:jc w:val="left"/>
              <w:rPr>
                <w:rFonts w:hint="eastAsia" w:ascii="宋体" w:hAnsi="宋体" w:cs="宋体"/>
                <w:sz w:val="24"/>
              </w:rPr>
            </w:pPr>
            <w:r>
              <w:rPr>
                <w:rFonts w:hint="eastAsia" w:ascii="宋体" w:hAnsi="宋体" w:cs="宋体"/>
                <w:sz w:val="24"/>
              </w:rPr>
              <w:t>⑤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360" w:lineRule="exact"/>
              <w:ind w:firstLine="480"/>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 MERGEFORMAT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不接收未报名招标文件的投标人参加投标。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28</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sz w:val="24"/>
              </w:rPr>
            </w:pPr>
            <w:r>
              <w:rPr>
                <w:rFonts w:hint="eastAsia" w:ascii="宋体" w:hAnsi="宋体" w:cs="宋体"/>
                <w:sz w:val="24"/>
              </w:rPr>
              <w:t>解释权</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cs="宋体"/>
                <w:sz w:val="24"/>
              </w:rPr>
            </w:pPr>
            <w:r>
              <w:rPr>
                <w:rFonts w:hint="eastAsia" w:ascii="宋体" w:hAnsi="宋体" w:cs="宋体"/>
                <w:sz w:val="24"/>
              </w:rPr>
              <w:t>本招标文件的解释权属于采购人和采购代理机构。</w:t>
            </w:r>
          </w:p>
        </w:tc>
      </w:tr>
      <w:bookmarkEnd w:id="62"/>
      <w:bookmarkEnd w:id="63"/>
      <w:bookmarkEnd w:id="64"/>
      <w:bookmarkEnd w:id="65"/>
      <w:bookmarkEnd w:id="66"/>
      <w:bookmarkEnd w:id="67"/>
      <w:bookmarkEnd w:id="68"/>
      <w:bookmarkEnd w:id="69"/>
      <w:bookmarkEnd w:id="70"/>
      <w:bookmarkEnd w:id="71"/>
    </w:tbl>
    <w:p>
      <w:pPr>
        <w:pStyle w:val="27"/>
        <w:keepLines w:val="0"/>
        <w:pageBreakBefore w:val="0"/>
        <w:kinsoku/>
        <w:wordWrap/>
        <w:overflowPunct/>
        <w:topLinePunct w:val="0"/>
        <w:bidi w:val="0"/>
        <w:snapToGrid w:val="0"/>
        <w:spacing w:line="360" w:lineRule="auto"/>
        <w:ind w:firstLine="420" w:firstLineChars="200"/>
        <w:jc w:val="left"/>
        <w:textAlignment w:val="auto"/>
        <w:outlineLvl w:val="1"/>
        <w:rPr>
          <w:rFonts w:hint="eastAsia" w:asciiTheme="minorEastAsia" w:hAnsiTheme="minorEastAsia" w:eastAsiaTheme="minorEastAsia" w:cstheme="minorEastAsia"/>
          <w:b/>
          <w:sz w:val="24"/>
          <w:szCs w:val="24"/>
        </w:rPr>
      </w:pPr>
      <w:r>
        <w:rPr>
          <w:rFonts w:hAnsi="宋体"/>
        </w:rPr>
        <w:br w:type="page"/>
      </w:r>
      <w:bookmarkStart w:id="72" w:name="_Toc749"/>
      <w:bookmarkStart w:id="73" w:name="_Toc16594"/>
      <w:bookmarkStart w:id="74" w:name="_Toc4266"/>
      <w:bookmarkStart w:id="75" w:name="_Toc17114"/>
      <w:bookmarkStart w:id="76" w:name="_Toc330214840"/>
      <w:bookmarkStart w:id="77" w:name="_Toc330212071"/>
      <w:bookmarkStart w:id="78" w:name="_Toc330215465"/>
      <w:bookmarkStart w:id="79" w:name="_Toc330214712"/>
      <w:bookmarkStart w:id="80" w:name="_Toc381971539"/>
      <w:bookmarkStart w:id="81" w:name="_Toc330215267"/>
      <w:r>
        <w:rPr>
          <w:rFonts w:hint="eastAsia" w:asciiTheme="minorEastAsia" w:hAnsiTheme="minorEastAsia" w:eastAsiaTheme="minorEastAsia" w:cstheme="minorEastAsia"/>
          <w:b/>
          <w:sz w:val="24"/>
          <w:szCs w:val="24"/>
        </w:rPr>
        <w:t>一、总  则</w:t>
      </w:r>
      <w:bookmarkEnd w:id="72"/>
      <w:bookmarkEnd w:id="73"/>
      <w:bookmarkEnd w:id="74"/>
      <w:bookmarkEnd w:id="75"/>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82" w:name="_Toc330214828"/>
      <w:bookmarkStart w:id="83" w:name="_Toc381971527"/>
      <w:bookmarkStart w:id="84" w:name="_Toc330214700"/>
      <w:bookmarkStart w:id="85" w:name="_Toc504504524"/>
      <w:bookmarkStart w:id="86" w:name="_Toc330212059"/>
      <w:bookmarkStart w:id="87" w:name="_Toc330215453"/>
      <w:bookmarkStart w:id="88" w:name="_Toc330215255"/>
      <w:r>
        <w:rPr>
          <w:rFonts w:hint="eastAsia" w:asciiTheme="minorEastAsia" w:hAnsiTheme="minorEastAsia" w:eastAsiaTheme="minorEastAsia" w:cstheme="minorEastAsia"/>
          <w:b/>
          <w:sz w:val="24"/>
          <w:szCs w:val="24"/>
        </w:rPr>
        <w:t xml:space="preserve">（一） </w:t>
      </w:r>
      <w:bookmarkEnd w:id="82"/>
      <w:bookmarkEnd w:id="83"/>
      <w:bookmarkEnd w:id="84"/>
      <w:bookmarkEnd w:id="85"/>
      <w:bookmarkEnd w:id="86"/>
      <w:bookmarkEnd w:id="87"/>
      <w:bookmarkEnd w:id="88"/>
      <w:r>
        <w:rPr>
          <w:rFonts w:hint="eastAsia" w:asciiTheme="minorEastAsia" w:hAnsiTheme="minorEastAsia" w:eastAsiaTheme="minorEastAsia" w:cstheme="minorEastAsia"/>
          <w:b/>
          <w:sz w:val="24"/>
          <w:szCs w:val="24"/>
        </w:rPr>
        <w:t>实施依据及适用范围</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2.本招标文件适用于</w:t>
      </w:r>
      <w:r>
        <w:rPr>
          <w:rFonts w:hint="eastAsia" w:asciiTheme="minorEastAsia" w:hAnsiTheme="minorEastAsia" w:eastAsiaTheme="minorEastAsia" w:cstheme="minorEastAsia"/>
          <w:sz w:val="24"/>
          <w:szCs w:val="24"/>
          <w:lang w:val="en-US" w:eastAsia="zh-CN"/>
        </w:rPr>
        <w:t>嵊州市金庭镇（撤并前金庭镇行政区域范围）生活垃圾上门收集、分类清运、大件垃圾清理、终端运行、再生资源回收站点、嵊张线局部地段保洁项目</w:t>
      </w:r>
      <w:r>
        <w:rPr>
          <w:rFonts w:hint="eastAsia" w:asciiTheme="minorEastAsia" w:hAnsiTheme="minorEastAsia" w:eastAsiaTheme="minorEastAsia" w:cstheme="minorEastAsia"/>
          <w:sz w:val="24"/>
          <w:szCs w:val="24"/>
        </w:rPr>
        <w:t>（项目编号：）的招标、投标、评标、定标、验收、合同履约、付款等行为（法律、法规另有规定的，从其规定）。</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89" w:name="_Toc381971528"/>
      <w:bookmarkStart w:id="90" w:name="_Toc330215454"/>
      <w:bookmarkStart w:id="91" w:name="_Toc330214829"/>
      <w:bookmarkStart w:id="92" w:name="_Toc330215256"/>
      <w:bookmarkStart w:id="93" w:name="_Toc504504525"/>
      <w:bookmarkStart w:id="94" w:name="_Toc330212060"/>
      <w:bookmarkStart w:id="95" w:name="_Toc330214701"/>
      <w:r>
        <w:rPr>
          <w:rFonts w:hint="eastAsia" w:asciiTheme="minorEastAsia" w:hAnsiTheme="minorEastAsia" w:eastAsiaTheme="minorEastAsia" w:cstheme="minorEastAsia"/>
          <w:b/>
          <w:sz w:val="24"/>
          <w:szCs w:val="24"/>
        </w:rPr>
        <w:t>（二）定义</w:t>
      </w:r>
      <w:bookmarkEnd w:id="89"/>
      <w:bookmarkEnd w:id="90"/>
      <w:bookmarkEnd w:id="91"/>
      <w:bookmarkEnd w:id="92"/>
      <w:bookmarkEnd w:id="93"/>
      <w:bookmarkEnd w:id="94"/>
      <w:bookmarkEnd w:id="95"/>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1.“采购人”是指依法进行政府采购的国家机关、事业单位、团体组织，即政府采购合同中的“甲方”。</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2.“采购代理机构”是指受采购人委托，在委托的范围内办理采购事宜的机构（本项目的采购代理机构是指“</w:t>
      </w:r>
      <w:r>
        <w:rPr>
          <w:rFonts w:hint="eastAsia" w:ascii="宋体" w:hAnsi="宋体" w:cs="宋体"/>
          <w:bCs/>
          <w:kern w:val="0"/>
          <w:sz w:val="24"/>
          <w:lang w:eastAsia="zh-CN"/>
        </w:rPr>
        <w:t>欧邦工程管理集团有限公司</w:t>
      </w:r>
      <w:r>
        <w:rPr>
          <w:rFonts w:hint="eastAsia" w:asciiTheme="minorEastAsia" w:hAnsiTheme="minorEastAsia" w:eastAsiaTheme="minorEastAsia" w:cstheme="minorEastAsia"/>
          <w:sz w:val="24"/>
          <w:szCs w:val="24"/>
        </w:rPr>
        <w:t>”）；</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3.“采购组织机构”：是指采购人和受采购人委托的采购代理机构；</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4.“投标人”：是指响应招标、参加投标竞争的法人、其他组织或者自然人；</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5.“中标单位”：是指经评标委员会推荐并经采购人确认的中标成交单位，即政府采购合同中的“乙方”；</w:t>
      </w:r>
    </w:p>
    <w:p>
      <w:pPr>
        <w:keepLines w:val="0"/>
        <w:pageBreakBefore w:val="0"/>
        <w:kinsoku/>
        <w:wordWrap/>
        <w:overflowPunct/>
        <w:topLinePunct w:val="0"/>
        <w:bidi w:val="0"/>
        <w:snapToGrid w:val="0"/>
        <w:spacing w:line="360" w:lineRule="auto"/>
        <w:ind w:firstLine="480"/>
        <w:jc w:val="left"/>
        <w:textAlignment w:val="auto"/>
        <w:outlineLvl w:val="2"/>
        <w:rPr>
          <w:rFonts w:hint="eastAsia" w:asciiTheme="minorEastAsia" w:hAnsiTheme="minorEastAsia" w:eastAsiaTheme="minorEastAsia" w:cstheme="minorEastAsia"/>
          <w:bCs/>
          <w:sz w:val="24"/>
          <w:szCs w:val="24"/>
        </w:rPr>
      </w:pPr>
      <w:bookmarkStart w:id="96" w:name="_Toc504504526"/>
      <w:bookmarkStart w:id="97" w:name="_Toc330214704"/>
      <w:bookmarkStart w:id="98" w:name="_Toc381971531"/>
      <w:bookmarkStart w:id="99" w:name="_Toc330215259"/>
      <w:bookmarkStart w:id="100" w:name="_Toc330215457"/>
      <w:bookmarkStart w:id="101" w:name="_Toc330214832"/>
      <w:bookmarkStart w:id="102" w:name="_Toc330212063"/>
      <w:r>
        <w:rPr>
          <w:rFonts w:hint="eastAsia" w:asciiTheme="minorEastAsia" w:hAnsiTheme="minorEastAsia" w:eastAsiaTheme="minorEastAsia" w:cstheme="minorEastAsia"/>
          <w:bCs/>
          <w:sz w:val="24"/>
          <w:szCs w:val="24"/>
        </w:rPr>
        <w:t>6.“中小企业（含中型、小型、微型）”：是指符合中小企业划分标准（工信部联企业[2011]300号）的企业；</w:t>
      </w:r>
    </w:p>
    <w:p>
      <w:pPr>
        <w:keepLines w:val="0"/>
        <w:pageBreakBefore w:val="0"/>
        <w:kinsoku/>
        <w:wordWrap/>
        <w:overflowPunct/>
        <w:topLinePunct w:val="0"/>
        <w:bidi w:val="0"/>
        <w:snapToGrid w:val="0"/>
        <w:spacing w:line="360" w:lineRule="auto"/>
        <w:ind w:firstLine="480"/>
        <w:jc w:val="left"/>
        <w:textAlignment w:val="auto"/>
        <w:outlineLvl w:val="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Lines w:val="0"/>
        <w:pageBreakBefore w:val="0"/>
        <w:kinsoku/>
        <w:wordWrap/>
        <w:overflowPunct/>
        <w:topLinePunct w:val="0"/>
        <w:bidi w:val="0"/>
        <w:snapToGrid w:val="0"/>
        <w:spacing w:line="360" w:lineRule="auto"/>
        <w:ind w:firstLine="480"/>
        <w:jc w:val="left"/>
        <w:textAlignment w:val="auto"/>
        <w:outlineLvl w:val="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8.“残疾人福利性单位”：是指符合《财政部 民政部 中国残疾人联合会关于促进残疾人就业政府采购政策的通知》（财库〔2017〕141号）的规定单位；</w:t>
      </w:r>
    </w:p>
    <w:p>
      <w:pPr>
        <w:keepLines w:val="0"/>
        <w:pageBreakBefore w:val="0"/>
        <w:kinsoku/>
        <w:wordWrap/>
        <w:overflowPunct/>
        <w:topLinePunct w:val="0"/>
        <w:bidi w:val="0"/>
        <w:snapToGrid w:val="0"/>
        <w:spacing w:line="360" w:lineRule="auto"/>
        <w:ind w:firstLine="480"/>
        <w:jc w:val="left"/>
        <w:textAlignment w:val="auto"/>
        <w:outlineLvl w:val="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9.“项目”：是指投标人按采购文件规定向采购人提供的货物或服务或工程；</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w:t>
      </w:r>
      <w:bookmarkEnd w:id="96"/>
      <w:r>
        <w:rPr>
          <w:rFonts w:hint="eastAsia" w:asciiTheme="minorEastAsia" w:hAnsiTheme="minorEastAsia" w:eastAsiaTheme="minorEastAsia" w:cstheme="minorEastAsia"/>
          <w:b/>
          <w:sz w:val="24"/>
          <w:szCs w:val="24"/>
        </w:rPr>
        <w:t>采购方式和采购组织类型</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1.采购方式：本次招标采用公开招标方式进行。</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bookmarkStart w:id="103" w:name="_Toc504504527"/>
      <w:r>
        <w:rPr>
          <w:rFonts w:hint="eastAsia" w:asciiTheme="minorEastAsia" w:hAnsiTheme="minorEastAsia" w:eastAsiaTheme="minorEastAsia" w:cstheme="minorEastAsia"/>
          <w:sz w:val="24"/>
          <w:szCs w:val="24"/>
        </w:rPr>
        <w:t>2.采购组织类型：分散采购-分散委托中介。</w:t>
      </w:r>
    </w:p>
    <w:p>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（四）投标委托</w:t>
      </w:r>
      <w:bookmarkEnd w:id="103"/>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bookmarkStart w:id="104" w:name="_Toc504504528"/>
      <w:r>
        <w:rPr>
          <w:rFonts w:hint="eastAsia" w:asciiTheme="minorEastAsia" w:hAnsiTheme="minorEastAsia" w:eastAsiaTheme="minorEastAsia" w:cstheme="minorEastAsia"/>
          <w:sz w:val="24"/>
          <w:szCs w:val="24"/>
        </w:rPr>
        <w:t>投标人的法定代表人可以授权其单位的其他在职员工全权代表其处理与本次投标有关的事项，但其授权代表必须持有法定代表人出具的《法定代表人授权委托书》（格式见第六部分投标文件格式），《法定代表人授权委托书》必须经法定代表人签字（或盖章），否则视为无效授权（等同未提供）。</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（五）投标费用</w:t>
      </w:r>
      <w:bookmarkEnd w:id="104"/>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bookmarkStart w:id="105" w:name="_Toc504504529"/>
      <w:r>
        <w:rPr>
          <w:rFonts w:hint="eastAsia" w:asciiTheme="minorEastAsia" w:hAnsiTheme="minorEastAsia" w:eastAsiaTheme="minorEastAsia" w:cstheme="minorEastAsia"/>
          <w:sz w:val="24"/>
          <w:szCs w:val="24"/>
        </w:rPr>
        <w:t>1.不论投标结果如何，投标人均应自行承担所有与投标有关的全部费用，采购组织机构概不负责；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2.合同实施过程中，中标单位须与采购人积极配合。中标单位自行承担本次采购活动中所发生的全部费用。</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（六）联合体投标</w:t>
      </w:r>
      <w:bookmarkEnd w:id="105"/>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本项目不接受联合体投标。</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06" w:name="_Toc504504530"/>
      <w:r>
        <w:rPr>
          <w:rFonts w:hint="eastAsia" w:asciiTheme="minorEastAsia" w:hAnsiTheme="minorEastAsia" w:eastAsiaTheme="minorEastAsia" w:cstheme="minorEastAsia"/>
          <w:b/>
          <w:sz w:val="24"/>
          <w:szCs w:val="24"/>
        </w:rPr>
        <w:t>（七）转包与分包</w:t>
      </w:r>
      <w:bookmarkEnd w:id="106"/>
    </w:p>
    <w:p>
      <w:pPr>
        <w:keepLines w:val="0"/>
        <w:pageBreakBefore w:val="0"/>
        <w:kinsoku/>
        <w:wordWrap/>
        <w:overflowPunct/>
        <w:topLinePunct w:val="0"/>
        <w:bidi w:val="0"/>
        <w:snapToGrid w:val="0"/>
        <w:spacing w:line="360" w:lineRule="auto"/>
        <w:ind w:firstLine="720" w:firstLineChars="3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转包、分包：不允许；</w:t>
      </w:r>
    </w:p>
    <w:bookmarkEnd w:id="97"/>
    <w:bookmarkEnd w:id="98"/>
    <w:bookmarkEnd w:id="99"/>
    <w:bookmarkEnd w:id="100"/>
    <w:bookmarkEnd w:id="101"/>
    <w:bookmarkEnd w:id="102"/>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07" w:name="_Toc504504532"/>
      <w:bookmarkStart w:id="108" w:name="_Toc330215261"/>
      <w:bookmarkStart w:id="109" w:name="_Toc381971533"/>
      <w:bookmarkStart w:id="110" w:name="_Toc330215459"/>
      <w:bookmarkStart w:id="111" w:name="_Toc330212065"/>
      <w:bookmarkStart w:id="112" w:name="_Toc330214834"/>
      <w:bookmarkStart w:id="113" w:name="_Toc330214706"/>
      <w:r>
        <w:rPr>
          <w:rFonts w:hint="eastAsia" w:asciiTheme="minorEastAsia" w:hAnsiTheme="minorEastAsia" w:eastAsiaTheme="minorEastAsia" w:cstheme="minorEastAsia"/>
          <w:b/>
          <w:sz w:val="24"/>
          <w:szCs w:val="24"/>
        </w:rPr>
        <w:t>（九）特殊投标人投标规定</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（十）质疑和投诉</w:t>
      </w:r>
      <w:bookmarkEnd w:id="107"/>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1.投标人认为招标文件、招标过程或中标结果使自己的合法权益受到损害的，应当在知道或者应知其权益受到损害之日起七个工作日内，以书面形式向采购人、采购代理机构提出质疑。</w:t>
      </w:r>
      <w:r>
        <w:rPr>
          <w:rFonts w:hint="eastAsia" w:asciiTheme="minorEastAsia" w:hAnsiTheme="minorEastAsia" w:eastAsiaTheme="minorEastAsia" w:cstheme="minorEastAsia"/>
          <w:sz w:val="24"/>
          <w:szCs w:val="24"/>
        </w:rPr>
        <w:t>投标人对招标采购单位的质疑答复不满意或者招标采购单位未在规定时间内作出答复的，可以在答复期满后十五个工作日内向同级采购监管部门投诉。</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上述所指“投标人应知其权益受到损害之日”，是指：</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（1）对采购文件提出质疑的，为获取采购文件之日或者采购文件公告期限届满之日（采购文件公告期限届满后获取采购文件的，以采购文件公告期限届满之日为准）；</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（2）对采购过程提出质疑的，为各采购程序环节结束之日；</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（3）对中标或者成交结果提出质疑的，为中标或者成交结果公告期限届满之日。</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bookmarkStart w:id="114" w:name="_Toc504504533"/>
      <w:bookmarkStart w:id="115" w:name="_Toc510614921"/>
      <w:bookmarkStart w:id="116" w:name="_Toc514938673"/>
      <w:r>
        <w:rPr>
          <w:rFonts w:hint="eastAsia" w:asciiTheme="minorEastAsia" w:hAnsiTheme="minorEastAsia" w:eastAsiaTheme="minorEastAsia" w:cstheme="minorEastAsia"/>
          <w:spacing w:val="-4"/>
          <w:sz w:val="24"/>
          <w:szCs w:val="24"/>
        </w:rPr>
        <w:t>质疑函应当包括下列内容：</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（1）投标人的姓名或者名称、地址、邮编、联系人及联系电话；</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（2）质疑项目的名称、编号；</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（3）具体、明确的质疑事项和与质疑事项相关的请求；</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（4）事实依据；</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（5）必要的法律依据；</w:t>
      </w:r>
    </w:p>
    <w:p>
      <w:pPr>
        <w:keepLines w:val="0"/>
        <w:pageBreakBefore w:val="0"/>
        <w:kinsoku/>
        <w:wordWrap/>
        <w:overflowPunct/>
        <w:topLinePunct w:val="0"/>
        <w:bidi w:val="0"/>
        <w:spacing w:line="360" w:lineRule="auto"/>
        <w:ind w:firstLine="464"/>
        <w:jc w:val="lef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（6）提出质疑的日期。</w:t>
      </w:r>
    </w:p>
    <w:p>
      <w:pPr>
        <w:pStyle w:val="27"/>
        <w:keepLines w:val="0"/>
        <w:pageBreakBefore w:val="0"/>
        <w:kinsoku/>
        <w:wordWrap/>
        <w:overflowPunct/>
        <w:topLinePunct w:val="0"/>
        <w:bidi w:val="0"/>
        <w:snapToGrid w:val="0"/>
        <w:spacing w:line="360" w:lineRule="auto"/>
        <w:ind w:firstLine="482" w:firstLineChars="200"/>
        <w:jc w:val="left"/>
        <w:textAlignment w:val="auto"/>
        <w:outlineLvl w:val="2"/>
        <w:rPr>
          <w:rFonts w:hint="eastAsia" w:asciiTheme="minorEastAsia" w:hAnsiTheme="minorEastAsia" w:eastAsiaTheme="minorEastAsia" w:cstheme="minorEastAsia"/>
          <w:b/>
          <w:sz w:val="24"/>
          <w:szCs w:val="24"/>
        </w:rPr>
      </w:pPr>
      <w:bookmarkStart w:id="117" w:name="_Toc4522"/>
      <w:r>
        <w:rPr>
          <w:rFonts w:hint="eastAsia" w:asciiTheme="minorEastAsia" w:hAnsiTheme="minorEastAsia" w:eastAsiaTheme="minorEastAsia" w:cstheme="minorEastAsia"/>
          <w:b/>
          <w:sz w:val="24"/>
          <w:szCs w:val="24"/>
        </w:rPr>
        <w:t>（十一）其他说明</w:t>
      </w:r>
      <w:bookmarkEnd w:id="117"/>
    </w:p>
    <w:p>
      <w:pPr>
        <w:pStyle w:val="27"/>
        <w:keepLines w:val="0"/>
        <w:pageBreakBefore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投标人投标所使用的资格、信誉、荣誉、投标人业绩与企业认证必须为本法人所拥有。投标人投标所使用的项目实施人员可以为其控股公司的工作人员。在组织资格性审查、商务或技术评审时，属于投标人母公司（总机构）或者同一母公司下属的其他子公司（同一总机构下属的其他分支机构）的人员、业绩、荣誉、知识产权、项目案例等，不得作为该投标人的资信文件予以确认或审查通过。</w:t>
      </w:r>
    </w:p>
    <w:p>
      <w:pPr>
        <w:pStyle w:val="27"/>
        <w:keepLines w:val="0"/>
        <w:pageBreakBefore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投标人在投标活动中提供任何虚假材料或从事其他违法活动的，其投标无效，并报监管部门查处；中标后发现的，中标无效，并须依照相关规定双倍赔偿给采购人。且民事赔偿并不免除违法投标人的行政与刑事责任。</w:t>
      </w:r>
    </w:p>
    <w:p>
      <w:pPr>
        <w:pStyle w:val="27"/>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bookmarkStart w:id="118" w:name="_Toc6782"/>
      <w:bookmarkStart w:id="119" w:name="_Toc4131"/>
      <w:bookmarkStart w:id="120" w:name="_Toc19457"/>
      <w:bookmarkStart w:id="121" w:name="_Toc1891"/>
      <w:r>
        <w:rPr>
          <w:rFonts w:hint="eastAsia" w:asciiTheme="minorEastAsia" w:hAnsiTheme="minorEastAsia" w:eastAsiaTheme="minorEastAsia" w:cstheme="minorEastAsia"/>
          <w:b/>
          <w:sz w:val="24"/>
          <w:szCs w:val="24"/>
        </w:rPr>
        <w:t>二、 招标文件</w:t>
      </w:r>
      <w:bookmarkEnd w:id="108"/>
      <w:bookmarkEnd w:id="109"/>
      <w:bookmarkEnd w:id="110"/>
      <w:bookmarkEnd w:id="111"/>
      <w:bookmarkEnd w:id="112"/>
      <w:bookmarkEnd w:id="113"/>
      <w:bookmarkEnd w:id="114"/>
      <w:bookmarkEnd w:id="115"/>
      <w:bookmarkEnd w:id="116"/>
      <w:bookmarkEnd w:id="118"/>
      <w:bookmarkEnd w:id="119"/>
      <w:bookmarkEnd w:id="120"/>
      <w:bookmarkEnd w:id="121"/>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22" w:name="_Toc381971534"/>
      <w:bookmarkStart w:id="123" w:name="_Toc504504534"/>
      <w:bookmarkStart w:id="124" w:name="_Toc330212066"/>
      <w:bookmarkStart w:id="125" w:name="_Toc330214835"/>
      <w:bookmarkStart w:id="126" w:name="_Toc330214707"/>
      <w:bookmarkStart w:id="127" w:name="_Toc330215262"/>
      <w:bookmarkStart w:id="128" w:name="_Toc330215460"/>
      <w:r>
        <w:rPr>
          <w:rFonts w:hint="eastAsia" w:asciiTheme="minorEastAsia" w:hAnsiTheme="minorEastAsia" w:eastAsiaTheme="minorEastAsia" w:cstheme="minorEastAsia"/>
          <w:b/>
          <w:sz w:val="24"/>
          <w:szCs w:val="24"/>
        </w:rPr>
        <w:t>（一）招标文件的构成</w:t>
      </w:r>
      <w:bookmarkEnd w:id="122"/>
      <w:bookmarkEnd w:id="123"/>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本招标文件由以下部份组成：</w:t>
      </w:r>
      <w:bookmarkEnd w:id="124"/>
      <w:bookmarkEnd w:id="125"/>
      <w:bookmarkEnd w:id="126"/>
      <w:bookmarkEnd w:id="127"/>
      <w:bookmarkEnd w:id="128"/>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"_Toc443642941"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 公开招标采购公告</w:t>
      </w:r>
      <w:r>
        <w:rPr>
          <w:rFonts w:hint="eastAsia" w:asciiTheme="minorEastAsia" w:hAnsiTheme="minorEastAsia" w:eastAsiaTheme="minorEastAsia" w:cstheme="minorEastAsia"/>
          <w:sz w:val="24"/>
          <w:szCs w:val="24"/>
        </w:rPr>
        <w:fldChar w:fldCharType="end"/>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"_Toc443642942"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 投标须知</w:t>
      </w:r>
      <w:r>
        <w:rPr>
          <w:rFonts w:hint="eastAsia" w:asciiTheme="minorEastAsia" w:hAnsiTheme="minorEastAsia" w:eastAsiaTheme="minorEastAsia" w:cstheme="minorEastAsia"/>
          <w:sz w:val="24"/>
          <w:szCs w:val="24"/>
        </w:rPr>
        <w:fldChar w:fldCharType="end"/>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"_Toc443642950"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 采购需求</w:t>
      </w:r>
      <w:r>
        <w:rPr>
          <w:rFonts w:hint="eastAsia" w:asciiTheme="minorEastAsia" w:hAnsiTheme="minorEastAsia" w:eastAsiaTheme="minorEastAsia" w:cstheme="minorEastAsia"/>
          <w:sz w:val="24"/>
          <w:szCs w:val="24"/>
        </w:rPr>
        <w:fldChar w:fldCharType="end"/>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"_Toc443642961"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 评标办法及评分标准</w:t>
      </w:r>
      <w:r>
        <w:rPr>
          <w:rFonts w:hint="eastAsia" w:asciiTheme="minorEastAsia" w:hAnsiTheme="minorEastAsia" w:eastAsiaTheme="minorEastAsia" w:cstheme="minorEastAsia"/>
          <w:sz w:val="24"/>
          <w:szCs w:val="24"/>
        </w:rPr>
        <w:fldChar w:fldCharType="end"/>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"_Toc443642971"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 合同主要条款</w:t>
      </w:r>
      <w:r>
        <w:rPr>
          <w:rFonts w:hint="eastAsia" w:asciiTheme="minorEastAsia" w:hAnsiTheme="minorEastAsia" w:eastAsiaTheme="minorEastAsia" w:cstheme="minorEastAsia"/>
          <w:sz w:val="24"/>
          <w:szCs w:val="24"/>
        </w:rPr>
        <w:fldChar w:fldCharType="end"/>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投标文件格式</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bookmarkStart w:id="129" w:name="_Toc330215461"/>
      <w:bookmarkStart w:id="130" w:name="_Toc330214836"/>
      <w:bookmarkStart w:id="131" w:name="_Toc330214708"/>
      <w:bookmarkStart w:id="132" w:name="_Toc330215263"/>
      <w:bookmarkStart w:id="133" w:name="_Toc330212067"/>
      <w:bookmarkStart w:id="134" w:name="_Toc381971535"/>
      <w:bookmarkStart w:id="135" w:name="_Toc504504535"/>
      <w:r>
        <w:rPr>
          <w:rFonts w:hint="eastAsia" w:asciiTheme="minorEastAsia" w:hAnsiTheme="minorEastAsia" w:eastAsiaTheme="minorEastAsia" w:cstheme="minorEastAsia"/>
          <w:sz w:val="24"/>
          <w:szCs w:val="24"/>
        </w:rPr>
        <w:t>7.招标文件的澄清、修改文件（如有，另附）</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（二）投标人的风险</w:t>
      </w:r>
      <w:bookmarkEnd w:id="129"/>
      <w:bookmarkEnd w:id="130"/>
      <w:bookmarkEnd w:id="131"/>
      <w:bookmarkEnd w:id="132"/>
      <w:bookmarkEnd w:id="133"/>
      <w:bookmarkEnd w:id="134"/>
      <w:bookmarkEnd w:id="135"/>
    </w:p>
    <w:p>
      <w:pPr>
        <w:pStyle w:val="38"/>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投标人没有按照招标文件要求提供全部资料，或者投标人没有对招标文件在各方面作出实质性响应是投标人的风险，并可能导致其投标被拒绝。</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36" w:name="_Toc381971536"/>
      <w:bookmarkStart w:id="137" w:name="_Toc330214837"/>
      <w:bookmarkStart w:id="138" w:name="_Toc330214709"/>
      <w:bookmarkStart w:id="139" w:name="_Toc330215462"/>
      <w:bookmarkStart w:id="140" w:name="_Toc504504536"/>
      <w:bookmarkStart w:id="141" w:name="_Toc330215264"/>
      <w:bookmarkStart w:id="142" w:name="_Toc330212068"/>
      <w:r>
        <w:rPr>
          <w:rFonts w:hint="eastAsia" w:asciiTheme="minorEastAsia" w:hAnsiTheme="minorEastAsia" w:eastAsiaTheme="minorEastAsia" w:cstheme="minorEastAsia"/>
          <w:b/>
          <w:sz w:val="24"/>
          <w:szCs w:val="24"/>
        </w:rPr>
        <w:t>（三）招标文件的澄清与修改</w:t>
      </w:r>
      <w:bookmarkEnd w:id="136"/>
      <w:bookmarkEnd w:id="137"/>
      <w:bookmarkEnd w:id="138"/>
      <w:bookmarkEnd w:id="139"/>
      <w:bookmarkEnd w:id="140"/>
      <w:bookmarkEnd w:id="141"/>
      <w:bookmarkEnd w:id="142"/>
      <w:r>
        <w:rPr>
          <w:rFonts w:hint="eastAsia" w:asciiTheme="minorEastAsia" w:hAnsiTheme="minorEastAsia" w:eastAsiaTheme="minorEastAsia" w:cstheme="minorEastAsia"/>
          <w:b/>
          <w:sz w:val="24"/>
          <w:szCs w:val="24"/>
        </w:rPr>
        <w:t xml:space="preserve"> </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bookmarkStart w:id="143" w:name="_Toc381971537"/>
      <w:r>
        <w:rPr>
          <w:rFonts w:hint="eastAsia" w:asciiTheme="minorEastAsia" w:hAnsiTheme="minorEastAsia" w:eastAsiaTheme="minorEastAsia" w:cstheme="minorEastAsia"/>
          <w:sz w:val="24"/>
          <w:szCs w:val="24"/>
        </w:rPr>
        <w:t>1.投标人应认真阅读本招标文件，发现其中有误或有要求不合理的，投标人必须在投标须知前附表规定的招标文件答疑与澄清截止时间前以书面形式要求招标采购单位澄清。</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2.招标采购单位必须以书面形式答复投标人要求澄清的问题，并将不包含问题来源的答复书面通知所有购买招标文件的投标人。</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3.招标采购单位对已发出的招标文件进行必要澄清、答复、修改或补充的，应在招标文件要求提交投标文件截止时间3日前，在浙江政府采购网（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 </w:instrText>
      </w:r>
      <w:r>
        <w:rPr>
          <w:rFonts w:hint="eastAsia" w:asciiTheme="minorEastAsia" w:hAnsiTheme="minorEastAsia" w:eastAsiaTheme="minorEastAsia" w:cstheme="minorEastAsia"/>
          <w:sz w:val="24"/>
          <w:szCs w:val="24"/>
        </w:rPr>
        <w:fldChar w:fldCharType="separate"/>
      </w:r>
      <w:r>
        <w:rPr>
          <w:rStyle w:val="52"/>
          <w:rFonts w:hint="eastAsia" w:asciiTheme="minorEastAsia" w:hAnsiTheme="minorEastAsia" w:eastAsiaTheme="minorEastAsia" w:cstheme="minorEastAsia"/>
          <w:sz w:val="24"/>
          <w:szCs w:val="24"/>
        </w:rPr>
        <w:t>http://www.zjzfcg.gov.cn</w:t>
      </w:r>
      <w:r>
        <w:rPr>
          <w:rStyle w:val="52"/>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）上发布澄清或更正公告，并以传真或邮件（原文扫描件）或网上公告等形式告知所有已登记获取采购文件的投标人。</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保证投标人有足够的时间按修改、补充后的招标文件的要求编制和修正其投标文件，招标采购单位可酌情推迟投标截止时间和开标时间，并在招标文件要求提交投标文件截止时间3日前，将变更后的时间书面通知所有招标文件收受人，同时在浙江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 </w:instrText>
      </w:r>
      <w:r>
        <w:rPr>
          <w:rFonts w:hint="eastAsia" w:asciiTheme="minorEastAsia" w:hAnsiTheme="minorEastAsia" w:eastAsiaTheme="minorEastAsia" w:cstheme="minorEastAsia"/>
          <w:sz w:val="24"/>
          <w:szCs w:val="24"/>
        </w:rPr>
        <w:fldChar w:fldCharType="separate"/>
      </w:r>
      <w:r>
        <w:rPr>
          <w:rStyle w:val="52"/>
          <w:rFonts w:hint="eastAsia" w:asciiTheme="minorEastAsia" w:hAnsiTheme="minorEastAsia" w:eastAsiaTheme="minorEastAsia" w:cstheme="minorEastAsia"/>
          <w:sz w:val="24"/>
          <w:szCs w:val="24"/>
        </w:rPr>
        <w:t>http://www.zjzfcg.gov.cn</w:t>
      </w:r>
      <w:r>
        <w:rPr>
          <w:rStyle w:val="52"/>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）上发布变更公告。</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5.招标文件澄清、答复、修改、补充的内容为招标文件的组成部分。当招标文件与招标文件的答复、澄清、修改、补充通知就同一内容的表述不一致时，以最后发出的书面文件为准。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6.投标人收到采购组织机构发出的澄清、修改（更正）文件后，应在24小时内向采购组织机构提交的书面回执。</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7.投标人对收到的澄清、修改（更正）文件内容有疑问的，应当同时在书面回执中加注说明并与采购人或采购代理机构确认，疑问内容应加盖单位公章、写明日期。</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44" w:name="_Toc504504531"/>
      <w:bookmarkStart w:id="145" w:name="_Toc514938674"/>
      <w:bookmarkStart w:id="146" w:name="_Toc504504537"/>
      <w:bookmarkStart w:id="147" w:name="_Toc510614922"/>
      <w:r>
        <w:rPr>
          <w:rFonts w:hint="eastAsia" w:asciiTheme="minorEastAsia" w:hAnsiTheme="minorEastAsia" w:eastAsiaTheme="minorEastAsia" w:cstheme="minorEastAsia"/>
          <w:b/>
          <w:sz w:val="24"/>
          <w:szCs w:val="24"/>
        </w:rPr>
        <w:t>（四）</w:t>
      </w:r>
      <w:bookmarkEnd w:id="144"/>
      <w:r>
        <w:rPr>
          <w:rFonts w:hint="eastAsia" w:asciiTheme="minorEastAsia" w:hAnsiTheme="minorEastAsia" w:eastAsiaTheme="minorEastAsia" w:cstheme="minorEastAsia"/>
          <w:b/>
          <w:sz w:val="24"/>
          <w:szCs w:val="24"/>
        </w:rPr>
        <w:t>关联投标人投标限制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本采购文件所称“关联企业”，是指存在关联关系的企业；“关联关系”的界定适用《中华人民共和国公司法》217条之规定。</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1.单位负责人为同一人或者存在直接控股、管理关系的不同投标人参加同一合同项下的政府采购活动的，相关投标人均作资格无效处理。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2.不同投标人之间存在以下利害关系并且存在影响政府采购公平竞争行为的，不得参加同一合同项下的政府采购活动，相关投标人的投标均作无效处理：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（1）法定代表人或负责人或实际控制人是夫妻关系；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（2）法定代表人或负责人或实际控制人是直系血亲关系；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（3）法定代表人或负责人或实际控制人存在三代以内旁系血亲关系；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（4）法定代表人或负责人或实际控制人存在近姻亲关系；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（5）法定代表人或负责人或实际控制人存在股份控制或实际控制关系；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（6）存在共同直接或间接投资设立子公司、联营企业和合营企业情况；</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（7）存在分级代理或代销关系、同一生产制造商关系、管理关系、重要业务（占主营业务收入50%以上）或重要财务往来关系（如融资）等其他实质性控制关系。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3.除单一来源采购项目外，为采购项目提供整体设计、规范编制或者项目管理、监理、检测等服务的投标人，不得再参加该采购项目的其他采购活动，相关投标人的投标作无效处理。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5.（综合评分法、非单一产品采购项目适用）通过资格审查、符合性审查的不同投标人参加同一合同项下投标时，提供的核心产品品牌均相同的，按照上条款处理。</w:t>
      </w:r>
    </w:p>
    <w:p>
      <w:pPr>
        <w:pStyle w:val="3"/>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bookmarkStart w:id="148" w:name="_Toc3292"/>
      <w:bookmarkStart w:id="149" w:name="_Toc7520"/>
      <w:bookmarkStart w:id="150" w:name="_Toc175"/>
      <w:bookmarkStart w:id="151" w:name="_Toc29660"/>
      <w:r>
        <w:rPr>
          <w:rFonts w:hint="eastAsia" w:asciiTheme="minorEastAsia" w:hAnsiTheme="minorEastAsia" w:eastAsiaTheme="minorEastAsia" w:cstheme="minorEastAsia"/>
          <w:b/>
          <w:sz w:val="24"/>
          <w:szCs w:val="24"/>
        </w:rPr>
        <w:t>三、</w:t>
      </w:r>
      <w:bookmarkEnd w:id="143"/>
      <w:bookmarkEnd w:id="145"/>
      <w:bookmarkEnd w:id="146"/>
      <w:bookmarkEnd w:id="147"/>
      <w:r>
        <w:rPr>
          <w:rFonts w:hint="eastAsia" w:asciiTheme="minorEastAsia" w:hAnsiTheme="minorEastAsia" w:eastAsiaTheme="minorEastAsia" w:cstheme="minorEastAsia"/>
          <w:b/>
          <w:sz w:val="24"/>
          <w:szCs w:val="24"/>
        </w:rPr>
        <w:t>投标文件</w:t>
      </w:r>
      <w:bookmarkEnd w:id="148"/>
      <w:bookmarkEnd w:id="149"/>
      <w:bookmarkEnd w:id="150"/>
      <w:bookmarkEnd w:id="151"/>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52" w:name="_Toc177824876"/>
      <w:bookmarkStart w:id="153" w:name="_Toc177870546"/>
      <w:bookmarkStart w:id="154" w:name="_Toc177825124"/>
      <w:bookmarkStart w:id="155" w:name="_Toc177824943"/>
      <w:r>
        <w:rPr>
          <w:rFonts w:hint="eastAsia" w:asciiTheme="minorEastAsia" w:hAnsiTheme="minorEastAsia" w:eastAsiaTheme="minorEastAsia" w:cstheme="minorEastAsia"/>
          <w:b/>
          <w:sz w:val="24"/>
          <w:szCs w:val="24"/>
        </w:rPr>
        <w:t>（一）投标文件的形式</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投标文件的形式：电子加密投标文件（是指通过“政采云电子交易客户端”完成投标文件编制后生成并加密的数据电文形式的投标文件，文件格式“.jmbs”）。</w:t>
      </w:r>
    </w:p>
    <w:p>
      <w:pPr>
        <w:keepLines w:val="0"/>
        <w:pageBreakBefore w:val="0"/>
        <w:numPr>
          <w:ilvl w:val="0"/>
          <w:numId w:val="0"/>
        </w:numPr>
        <w:kinsoku/>
        <w:wordWrap/>
        <w:overflowPunct/>
        <w:topLinePunct w:val="0"/>
        <w:bidi w:val="0"/>
        <w:snapToGrid w:val="0"/>
        <w:spacing w:line="360" w:lineRule="auto"/>
        <w:ind w:firstLine="482" w:firstLineChars="200"/>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投标文件的组成</w:t>
      </w:r>
      <w:bookmarkEnd w:id="152"/>
      <w:bookmarkEnd w:id="153"/>
      <w:bookmarkEnd w:id="154"/>
      <w:bookmarkEnd w:id="155"/>
    </w:p>
    <w:p>
      <w:pPr>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投标文件由</w:t>
      </w:r>
      <w:r>
        <w:rPr>
          <w:rFonts w:hint="eastAsia" w:asciiTheme="minorEastAsia" w:hAnsiTheme="minorEastAsia" w:eastAsiaTheme="minorEastAsia" w:cstheme="minorEastAsia"/>
          <w:b/>
          <w:sz w:val="24"/>
          <w:szCs w:val="24"/>
        </w:rPr>
        <w:t>资格文件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商务技术文件、报价文件</w:t>
      </w:r>
      <w:r>
        <w:rPr>
          <w:rFonts w:hint="eastAsia" w:asciiTheme="minorEastAsia" w:hAnsiTheme="minorEastAsia" w:eastAsiaTheme="minorEastAsia" w:cstheme="minorEastAsia"/>
          <w:sz w:val="24"/>
          <w:szCs w:val="24"/>
        </w:rPr>
        <w:t>组成。其中电子投标文件中所须加盖公章部分均采用CA签章。</w:t>
      </w:r>
    </w:p>
    <w:p>
      <w:pPr>
        <w:keepLines w:val="0"/>
        <w:pageBreakBefore w:val="0"/>
        <w:kinsoku/>
        <w:wordWrap/>
        <w:overflowPunct/>
        <w:topLinePunct w:val="0"/>
        <w:bidi w:val="0"/>
        <w:snapToGrid w:val="0"/>
        <w:spacing w:line="360" w:lineRule="auto"/>
        <w:ind w:left="479" w:leftChars="228"/>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1.资格证明文件目录</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（1）营业执照(或事业法人登记证书或其它工商等登记证明材料；自然人参与提供身份证)扫描件；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（2）最近一年财务报表(扫描件，新成立的公司提供情况说明)；</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（3）法定代表人身份证明书、法定代表人授权委托书及授权代理人有效身份证明（若委托）(格式见附件)；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（5）具有履行合同所必需的设备和专业技术能力的承诺函（格式见附件）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（6）提供有效的依法缴纳税收证明（完税凭证或税务部门出具的证明）；</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（7）提供有效的依法缴纳社会保障资金证明（缴纳凭证或人社部门出具的证明）；</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kern w:val="0"/>
          <w:sz w:val="24"/>
          <w:szCs w:val="24"/>
        </w:rPr>
        <w:t>单位负责人为同一人或者存在直接控股、管理关系的不同供应商，不得参加同一合同项下的政府采购活动（开标后提供《政府采购活动现场确认声明书》（PDF版），发送至邮箱）；</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（9）提供采购公告中符合</w:t>
      </w:r>
      <w:r>
        <w:rPr>
          <w:rFonts w:hint="eastAsia" w:asciiTheme="minorEastAsia" w:hAnsiTheme="minorEastAsia" w:eastAsiaTheme="minorEastAsia" w:cstheme="minorEastAsia"/>
          <w:bCs/>
          <w:sz w:val="24"/>
          <w:szCs w:val="24"/>
        </w:rPr>
        <w:t>特定条件要求的有效的其他资质扫描件并加盖公司公章及</w:t>
      </w:r>
      <w:r>
        <w:rPr>
          <w:rFonts w:hint="eastAsia" w:asciiTheme="minorEastAsia" w:hAnsiTheme="minorEastAsia" w:eastAsiaTheme="minorEastAsia" w:cstheme="minorEastAsia"/>
          <w:sz w:val="24"/>
          <w:szCs w:val="24"/>
        </w:rPr>
        <w:t>需要说明的资料。</w:t>
      </w:r>
    </w:p>
    <w:p>
      <w:pPr>
        <w:keepLines w:val="0"/>
        <w:pageBreakBefore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2.商务技术文件目录</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（1）投标函(格式见附件)；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（2）营业执照(或事业法人登记证书或其它工商等登记证明材料；自然人参与提供身份证)扫描件；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sz w:val="24"/>
          <w:szCs w:val="24"/>
        </w:rPr>
        <w:t>法定代表人身份证明书、法定代表人授权委托书及授权代理人有效身份证明（若委托）(格式见附件)；</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）相关证书及信誉；</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（5）资信响应表(格式见附件)；</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（6）技术响应表（格式见附件）；</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（7）投标人类似项目实施情况一览表（格式自拟）； </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（8）投标人企业基本情况（格式见附件）；</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（9）拟投入车辆设备情况（格式自拟）；</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（10）针对本项目的</w:t>
      </w:r>
      <w:r>
        <w:rPr>
          <w:rFonts w:hint="eastAsia" w:asciiTheme="minorEastAsia" w:hAnsiTheme="minorEastAsia" w:eastAsiaTheme="minorEastAsia" w:cstheme="minorEastAsia"/>
          <w:bCs/>
          <w:sz w:val="24"/>
          <w:szCs w:val="24"/>
        </w:rPr>
        <w:t>管理工作计划、技术措施方案</w:t>
      </w:r>
      <w:r>
        <w:rPr>
          <w:rFonts w:hint="eastAsia" w:asciiTheme="minorEastAsia" w:hAnsiTheme="minorEastAsia" w:eastAsiaTheme="minorEastAsia" w:cstheme="minorEastAsia"/>
          <w:sz w:val="24"/>
          <w:szCs w:val="24"/>
        </w:rPr>
        <w:t>；</w:t>
      </w:r>
    </w:p>
    <w:p>
      <w:pPr>
        <w:pStyle w:val="6"/>
        <w:keepLines w:val="0"/>
        <w:pageBreakBefore w:val="0"/>
        <w:kinsoku/>
        <w:wordWrap/>
        <w:overflowPunct/>
        <w:topLinePunct w:val="0"/>
        <w:bidi w:val="0"/>
        <w:spacing w:after="0" w:line="360" w:lineRule="auto"/>
        <w:ind w:firstLine="960" w:firstLineChars="4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a保洁服务方案；</w:t>
      </w:r>
    </w:p>
    <w:p>
      <w:pPr>
        <w:pStyle w:val="6"/>
        <w:keepLines w:val="0"/>
        <w:pageBreakBefore w:val="0"/>
        <w:kinsoku/>
        <w:wordWrap/>
        <w:overflowPunct/>
        <w:topLinePunct w:val="0"/>
        <w:bidi w:val="0"/>
        <w:spacing w:after="0" w:line="360" w:lineRule="auto"/>
        <w:ind w:firstLine="960" w:firstLineChars="4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b污目广告保洁作业方案；</w:t>
      </w:r>
    </w:p>
    <w:p>
      <w:pPr>
        <w:pStyle w:val="6"/>
        <w:keepLines w:val="0"/>
        <w:pageBreakBefore w:val="0"/>
        <w:kinsoku/>
        <w:wordWrap/>
        <w:overflowPunct/>
        <w:topLinePunct w:val="0"/>
        <w:bidi w:val="0"/>
        <w:spacing w:after="0"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c垃圾分类（上门收集、二次分拣）服务方案</w:t>
      </w:r>
      <w:r>
        <w:rPr>
          <w:rFonts w:hint="eastAsia" w:asciiTheme="minorEastAsia" w:hAnsiTheme="minorEastAsia" w:eastAsiaTheme="minorEastAsia" w:cstheme="minorEastAsia"/>
          <w:sz w:val="24"/>
          <w:szCs w:val="24"/>
        </w:rPr>
        <w:t>；</w:t>
      </w:r>
    </w:p>
    <w:p>
      <w:pPr>
        <w:pStyle w:val="6"/>
        <w:keepLines w:val="0"/>
        <w:pageBreakBefore w:val="0"/>
        <w:kinsoku/>
        <w:wordWrap/>
        <w:overflowPunct/>
        <w:topLinePunct w:val="0"/>
        <w:bidi w:val="0"/>
        <w:spacing w:after="0"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d垃圾分类清运服务方案</w:t>
      </w:r>
      <w:r>
        <w:rPr>
          <w:rFonts w:hint="eastAsia" w:asciiTheme="minorEastAsia" w:hAnsiTheme="minorEastAsia" w:eastAsiaTheme="minorEastAsia" w:cstheme="minorEastAsia"/>
          <w:sz w:val="24"/>
          <w:szCs w:val="24"/>
        </w:rPr>
        <w:t>；</w:t>
      </w:r>
    </w:p>
    <w:p>
      <w:pPr>
        <w:pStyle w:val="6"/>
        <w:keepLines w:val="0"/>
        <w:pageBreakBefore w:val="0"/>
        <w:kinsoku/>
        <w:wordWrap/>
        <w:overflowPunct/>
        <w:topLinePunct w:val="0"/>
        <w:bidi w:val="0"/>
        <w:spacing w:after="0" w:line="360" w:lineRule="auto"/>
        <w:ind w:firstLine="960" w:firstLineChars="400"/>
        <w:jc w:val="lef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bCs/>
          <w:sz w:val="24"/>
          <w:szCs w:val="24"/>
          <w:lang w:val="en-US" w:eastAsia="zh-CN"/>
        </w:rPr>
        <w:t>e</w:t>
      </w:r>
      <w:r>
        <w:rPr>
          <w:rFonts w:hint="eastAsia" w:asciiTheme="minorEastAsia" w:hAnsiTheme="minorEastAsia" w:eastAsiaTheme="minorEastAsia" w:cstheme="minorEastAsia"/>
          <w:bCs/>
          <w:sz w:val="24"/>
          <w:szCs w:val="24"/>
          <w:lang w:val="en-US" w:eastAsia="zh-CN"/>
        </w:rPr>
        <w:t>疫情防控期间</w:t>
      </w:r>
      <w:r>
        <w:rPr>
          <w:rFonts w:hint="eastAsia" w:asciiTheme="minorEastAsia" w:hAnsiTheme="minorEastAsia" w:eastAsiaTheme="minorEastAsia" w:cstheme="minorEastAsia"/>
          <w:bCs/>
          <w:sz w:val="24"/>
          <w:szCs w:val="24"/>
          <w:lang w:eastAsia="zh-CN"/>
        </w:rPr>
        <w:t>公厕、中转站、车辆、垃圾桶、消毒消杀方案；</w:t>
      </w:r>
    </w:p>
    <w:p>
      <w:pPr>
        <w:pStyle w:val="6"/>
        <w:keepLines w:val="0"/>
        <w:pageBreakBefore w:val="0"/>
        <w:kinsoku/>
        <w:wordWrap/>
        <w:overflowPunct/>
        <w:topLinePunct w:val="0"/>
        <w:bidi w:val="0"/>
        <w:spacing w:after="0"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f应急响应方案</w:t>
      </w:r>
      <w:r>
        <w:rPr>
          <w:rFonts w:hint="eastAsia" w:asciiTheme="minorEastAsia" w:hAnsiTheme="minorEastAsia" w:eastAsiaTheme="minorEastAsia" w:cstheme="minorEastAsia"/>
          <w:sz w:val="24"/>
          <w:szCs w:val="24"/>
        </w:rPr>
        <w:t>；</w:t>
      </w:r>
    </w:p>
    <w:p>
      <w:pPr>
        <w:keepLines w:val="0"/>
        <w:pageBreakBefore w:val="0"/>
        <w:tabs>
          <w:tab w:val="left" w:pos="4018"/>
        </w:tabs>
        <w:kinsoku/>
        <w:wordWrap/>
        <w:overflowPunct/>
        <w:topLinePunct w:val="0"/>
        <w:bidi w:val="0"/>
        <w:snapToGrid w:val="0"/>
        <w:spacing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g</w:t>
      </w:r>
      <w:r>
        <w:rPr>
          <w:rFonts w:hint="eastAsia" w:asciiTheme="minorEastAsia" w:hAnsiTheme="minorEastAsia" w:eastAsiaTheme="minorEastAsia" w:cstheme="minorEastAsia"/>
          <w:bCs/>
          <w:sz w:val="24"/>
          <w:szCs w:val="24"/>
        </w:rPr>
        <w:t>职工队伍稳定、防止群起劳资纠纷、保障员工合法权益方案</w:t>
      </w:r>
      <w:r>
        <w:rPr>
          <w:rFonts w:hint="eastAsia" w:asciiTheme="minorEastAsia" w:hAnsiTheme="minorEastAsia" w:eastAsiaTheme="minorEastAsia" w:cstheme="minorEastAsia"/>
          <w:sz w:val="24"/>
          <w:szCs w:val="24"/>
        </w:rPr>
        <w:t>；</w:t>
      </w:r>
    </w:p>
    <w:p>
      <w:pPr>
        <w:keepLines w:val="0"/>
        <w:pageBreakBefore w:val="0"/>
        <w:tabs>
          <w:tab w:val="left" w:pos="4018"/>
        </w:tabs>
        <w:kinsoku/>
        <w:wordWrap/>
        <w:overflowPunct/>
        <w:topLinePunct w:val="0"/>
        <w:bidi w:val="0"/>
        <w:snapToGrid w:val="0"/>
        <w:spacing w:line="360" w:lineRule="auto"/>
        <w:ind w:left="479" w:leftChars="228"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bCs/>
          <w:kern w:val="0"/>
          <w:sz w:val="24"/>
          <w:szCs w:val="24"/>
        </w:rPr>
        <w:t>内部监督、激励机制、考核制度及标准，以及</w:t>
      </w:r>
      <w:r>
        <w:rPr>
          <w:rFonts w:hint="eastAsia" w:asciiTheme="minorEastAsia" w:hAnsiTheme="minorEastAsia" w:eastAsiaTheme="minorEastAsia" w:cstheme="minorEastAsia"/>
          <w:bCs/>
          <w:sz w:val="24"/>
          <w:szCs w:val="24"/>
        </w:rPr>
        <w:t>安全文明生产制度、安全文明生产管理培训计划等</w:t>
      </w:r>
      <w:r>
        <w:rPr>
          <w:rFonts w:hint="eastAsia" w:asciiTheme="minorEastAsia" w:hAnsiTheme="minorEastAsia" w:eastAsiaTheme="minorEastAsia" w:cstheme="minorEastAsia"/>
          <w:sz w:val="24"/>
          <w:szCs w:val="24"/>
        </w:rPr>
        <w:t>；</w:t>
      </w:r>
    </w:p>
    <w:p>
      <w:pPr>
        <w:pStyle w:val="7"/>
        <w:keepLines w:val="0"/>
        <w:pageBreakBefore w:val="0"/>
        <w:kinsoku/>
        <w:wordWrap/>
        <w:overflowPunct/>
        <w:topLinePunct w:val="0"/>
        <w:bidi w:val="0"/>
        <w:spacing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i</w:t>
      </w:r>
      <w:r>
        <w:rPr>
          <w:rFonts w:hint="eastAsia" w:asciiTheme="minorEastAsia" w:hAnsiTheme="minorEastAsia" w:eastAsiaTheme="minorEastAsia" w:cstheme="minorEastAsia"/>
          <w:sz w:val="24"/>
          <w:szCs w:val="24"/>
        </w:rPr>
        <w:t>绿化带保洁作业方案；</w:t>
      </w:r>
    </w:p>
    <w:p>
      <w:pPr>
        <w:pStyle w:val="7"/>
        <w:keepLines w:val="0"/>
        <w:pageBreakBefore w:val="0"/>
        <w:kinsoku/>
        <w:wordWrap/>
        <w:overflowPunct/>
        <w:topLinePunct w:val="0"/>
        <w:bidi w:val="0"/>
        <w:spacing w:line="360" w:lineRule="auto"/>
        <w:ind w:firstLine="960" w:firstLineChars="4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j</w:t>
      </w:r>
      <w:r>
        <w:rPr>
          <w:rFonts w:hint="eastAsia" w:asciiTheme="minorEastAsia" w:hAnsiTheme="minorEastAsia" w:eastAsiaTheme="minorEastAsia" w:cstheme="minorEastAsia"/>
          <w:bCs/>
          <w:sz w:val="24"/>
          <w:szCs w:val="24"/>
        </w:rPr>
        <w:t>非生活垃圾（含大件垃圾、建筑装修垃圾、乱倒垃圾等）清运服务方案；</w:t>
      </w:r>
    </w:p>
    <w:p>
      <w:pPr>
        <w:keepLines w:val="0"/>
        <w:pageBreakBefore w:val="0"/>
        <w:tabs>
          <w:tab w:val="left" w:pos="4018"/>
        </w:tabs>
        <w:kinsoku/>
        <w:wordWrap/>
        <w:overflowPunct/>
        <w:topLinePunct w:val="0"/>
        <w:bidi w:val="0"/>
        <w:snapToGrid w:val="0"/>
        <w:spacing w:line="360" w:lineRule="auto"/>
        <w:ind w:firstLine="960" w:firstLineChars="400"/>
        <w:jc w:val="left"/>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k</w:t>
      </w:r>
      <w:r>
        <w:rPr>
          <w:rFonts w:hint="eastAsia" w:asciiTheme="minorEastAsia" w:hAnsiTheme="minorEastAsia" w:eastAsiaTheme="minorEastAsia" w:cstheme="minorEastAsia"/>
          <w:sz w:val="24"/>
          <w:szCs w:val="24"/>
        </w:rPr>
        <w:t>全域分类宣教等服务方案；</w:t>
      </w:r>
    </w:p>
    <w:p>
      <w:pPr>
        <w:keepLines w:val="0"/>
        <w:pageBreakBefore w:val="0"/>
        <w:tabs>
          <w:tab w:val="left" w:pos="4018"/>
        </w:tabs>
        <w:kinsoku/>
        <w:wordWrap/>
        <w:overflowPunct/>
        <w:topLinePunct w:val="0"/>
        <w:bidi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（11）拟派项目负责人资格情况表、项目实施人员（主要从业人员及其技术资格能力）一览表； </w:t>
      </w:r>
    </w:p>
    <w:p>
      <w:pPr>
        <w:keepLines w:val="0"/>
        <w:pageBreakBefore w:val="0"/>
        <w:tabs>
          <w:tab w:val="left" w:pos="4018"/>
        </w:tabs>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（12）投标人认为与评分有关的需要提供的其他资料。</w:t>
      </w:r>
    </w:p>
    <w:p>
      <w:pPr>
        <w:keepLines w:val="0"/>
        <w:pageBreakBefore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3.报价文件：</w:t>
      </w:r>
    </w:p>
    <w:bookmarkEnd w:id="76"/>
    <w:bookmarkEnd w:id="77"/>
    <w:bookmarkEnd w:id="78"/>
    <w:bookmarkEnd w:id="79"/>
    <w:bookmarkEnd w:id="80"/>
    <w:bookmarkEnd w:id="81"/>
    <w:p>
      <w:pPr>
        <w:keepLines w:val="0"/>
        <w:pageBreakBefore w:val="0"/>
        <w:kinsoku/>
        <w:wordWrap/>
        <w:overflowPunct/>
        <w:topLinePunct w:val="0"/>
        <w:autoSpaceDE w:val="0"/>
        <w:autoSpaceDN w:val="0"/>
        <w:bidi w:val="0"/>
        <w:adjustRightInd w:val="0"/>
        <w:spacing w:line="360" w:lineRule="auto"/>
        <w:ind w:firstLine="480"/>
        <w:jc w:val="left"/>
        <w:textAlignment w:val="auto"/>
        <w:outlineLvl w:val="0"/>
        <w:rPr>
          <w:rFonts w:hint="eastAsia" w:asciiTheme="minorEastAsia" w:hAnsiTheme="minorEastAsia" w:eastAsiaTheme="minorEastAsia" w:cstheme="minorEastAsia"/>
          <w:kern w:val="0"/>
          <w:sz w:val="24"/>
          <w:szCs w:val="24"/>
        </w:rPr>
      </w:pPr>
      <w:bookmarkStart w:id="156" w:name="_Toc27115"/>
      <w:bookmarkStart w:id="157" w:name="_Toc73"/>
      <w:bookmarkStart w:id="158" w:name="_Toc7713"/>
      <w:bookmarkStart w:id="159" w:name="_Toc4197"/>
      <w:bookmarkStart w:id="160" w:name="_Toc7862"/>
      <w:bookmarkStart w:id="161" w:name="_Toc26930"/>
      <w:bookmarkStart w:id="162" w:name="_Toc64497181"/>
      <w:bookmarkStart w:id="163" w:name="_Toc10902"/>
      <w:bookmarkStart w:id="164" w:name="_Toc23125"/>
      <w:bookmarkStart w:id="165" w:name="_Toc13958"/>
      <w:r>
        <w:rPr>
          <w:rFonts w:hint="eastAsia" w:asciiTheme="minorEastAsia" w:hAnsiTheme="minorEastAsia" w:eastAsiaTheme="minorEastAsia" w:cstheme="minorEastAsia"/>
          <w:kern w:val="0"/>
          <w:sz w:val="24"/>
          <w:szCs w:val="24"/>
        </w:rPr>
        <w:t>（1）开标一览表（格式见附件）；</w:t>
      </w:r>
      <w:bookmarkEnd w:id="156"/>
      <w:bookmarkEnd w:id="157"/>
      <w:bookmarkEnd w:id="158"/>
      <w:bookmarkEnd w:id="159"/>
      <w:bookmarkEnd w:id="160"/>
      <w:bookmarkEnd w:id="161"/>
      <w:bookmarkEnd w:id="162"/>
      <w:bookmarkEnd w:id="163"/>
      <w:bookmarkEnd w:id="164"/>
      <w:bookmarkEnd w:id="165"/>
      <w:r>
        <w:rPr>
          <w:rFonts w:hint="eastAsia" w:asciiTheme="minorEastAsia" w:hAnsiTheme="minorEastAsia" w:eastAsiaTheme="minorEastAsia" w:cstheme="minorEastAsia"/>
          <w:kern w:val="0"/>
          <w:sz w:val="24"/>
          <w:szCs w:val="24"/>
        </w:rPr>
        <w:t xml:space="preserve"> </w:t>
      </w:r>
    </w:p>
    <w:p>
      <w:pPr>
        <w:keepLines w:val="0"/>
        <w:pageBreakBefore w:val="0"/>
        <w:kinsoku/>
        <w:wordWrap/>
        <w:overflowPunct/>
        <w:topLinePunct w:val="0"/>
        <w:autoSpaceDE w:val="0"/>
        <w:autoSpaceDN w:val="0"/>
        <w:bidi w:val="0"/>
        <w:adjustRightInd w:val="0"/>
        <w:spacing w:line="360" w:lineRule="auto"/>
        <w:ind w:firstLine="480"/>
        <w:jc w:val="left"/>
        <w:textAlignment w:val="auto"/>
        <w:outlineLvl w:val="0"/>
        <w:rPr>
          <w:rFonts w:hint="eastAsia" w:asciiTheme="minorEastAsia" w:hAnsiTheme="minorEastAsia" w:eastAsiaTheme="minorEastAsia" w:cstheme="minorEastAsia"/>
          <w:kern w:val="0"/>
          <w:sz w:val="24"/>
          <w:szCs w:val="24"/>
        </w:rPr>
      </w:pPr>
      <w:bookmarkStart w:id="166" w:name="_Toc7254"/>
      <w:bookmarkStart w:id="167" w:name="_Toc64497182"/>
      <w:bookmarkStart w:id="168" w:name="_Toc12122"/>
      <w:bookmarkStart w:id="169" w:name="_Toc13987"/>
      <w:bookmarkStart w:id="170" w:name="_Toc4831"/>
      <w:bookmarkStart w:id="171" w:name="_Toc8435"/>
      <w:bookmarkStart w:id="172" w:name="_Toc796"/>
      <w:bookmarkStart w:id="173" w:name="_Toc14505"/>
      <w:bookmarkStart w:id="174" w:name="_Toc6631"/>
      <w:bookmarkStart w:id="175" w:name="_Toc4065"/>
      <w:r>
        <w:rPr>
          <w:rFonts w:hint="eastAsia" w:asciiTheme="minorEastAsia" w:hAnsiTheme="minorEastAsia" w:eastAsiaTheme="minorEastAsia" w:cstheme="minorEastAsia"/>
          <w:kern w:val="0"/>
          <w:sz w:val="24"/>
          <w:szCs w:val="24"/>
        </w:rPr>
        <w:t>（2）投标报价明细表（格式见附件）；</w:t>
      </w:r>
      <w:bookmarkEnd w:id="166"/>
      <w:bookmarkEnd w:id="167"/>
      <w:bookmarkEnd w:id="168"/>
      <w:bookmarkEnd w:id="169"/>
      <w:bookmarkEnd w:id="170"/>
      <w:bookmarkEnd w:id="171"/>
      <w:bookmarkEnd w:id="172"/>
      <w:bookmarkEnd w:id="173"/>
      <w:bookmarkEnd w:id="174"/>
      <w:bookmarkEnd w:id="175"/>
    </w:p>
    <w:p>
      <w:pPr>
        <w:keepLines w:val="0"/>
        <w:pageBreakBefore w:val="0"/>
        <w:kinsoku/>
        <w:wordWrap/>
        <w:overflowPunct/>
        <w:topLinePunct w:val="0"/>
        <w:autoSpaceDE w:val="0"/>
        <w:autoSpaceDN w:val="0"/>
        <w:bidi w:val="0"/>
        <w:adjustRightInd w:val="0"/>
        <w:spacing w:line="360" w:lineRule="auto"/>
        <w:ind w:firstLine="480"/>
        <w:jc w:val="left"/>
        <w:textAlignment w:val="auto"/>
        <w:outlineLvl w:val="0"/>
        <w:rPr>
          <w:rFonts w:hint="eastAsia" w:asciiTheme="minorEastAsia" w:hAnsiTheme="minorEastAsia" w:eastAsiaTheme="minorEastAsia" w:cstheme="minorEastAsia"/>
          <w:kern w:val="0"/>
          <w:sz w:val="24"/>
          <w:szCs w:val="24"/>
        </w:rPr>
      </w:pPr>
      <w:bookmarkStart w:id="176" w:name="_Toc2696"/>
      <w:bookmarkStart w:id="177" w:name="_Toc26987"/>
      <w:bookmarkStart w:id="178" w:name="_Toc23054"/>
      <w:bookmarkStart w:id="179" w:name="_Toc64497183"/>
      <w:bookmarkStart w:id="180" w:name="_Toc28053"/>
      <w:bookmarkStart w:id="181" w:name="_Toc9860"/>
      <w:bookmarkStart w:id="182" w:name="_Toc14085"/>
      <w:bookmarkStart w:id="183" w:name="_Toc6754"/>
      <w:bookmarkStart w:id="184" w:name="_Toc2230"/>
      <w:bookmarkStart w:id="185" w:name="_Toc6741"/>
      <w:r>
        <w:rPr>
          <w:rFonts w:hint="eastAsia" w:asciiTheme="minorEastAsia" w:hAnsiTheme="minorEastAsia" w:eastAsiaTheme="minorEastAsia" w:cstheme="minorEastAsia"/>
          <w:kern w:val="0"/>
          <w:sz w:val="24"/>
          <w:szCs w:val="24"/>
        </w:rPr>
        <w:t>（3）小微企业声明函、网页证明资料（若有，格式见附件）</w:t>
      </w:r>
      <w:bookmarkEnd w:id="176"/>
      <w:bookmarkEnd w:id="177"/>
      <w:bookmarkEnd w:id="178"/>
      <w:bookmarkEnd w:id="179"/>
      <w:bookmarkEnd w:id="180"/>
      <w:bookmarkEnd w:id="181"/>
      <w:bookmarkEnd w:id="182"/>
      <w:bookmarkEnd w:id="183"/>
      <w:bookmarkEnd w:id="184"/>
      <w:bookmarkEnd w:id="185"/>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（4）监狱企业声明函及其相关的充分的证明材料监狱企业声明函（若有，格式见附件）；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（5）残疾人福利企业声明函（若有，格式见附件）；</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（6）投标人针对报价需要说明的其他文件和说明，格式自拟。（如备品备件、附件和选配件清单）。</w:t>
      </w:r>
    </w:p>
    <w:p>
      <w:pPr>
        <w:keepLines w:val="0"/>
        <w:pageBreakBefore w:val="0"/>
        <w:kinsoku/>
        <w:wordWrap/>
        <w:overflowPunct/>
        <w:topLinePunct w:val="0"/>
        <w:bidi w:val="0"/>
        <w:spacing w:line="360" w:lineRule="auto"/>
        <w:ind w:firstLine="4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法定代表人身份证明书、法定代表人授权委托书、投标函、开标一览表必须由法定代表人签名（或盖章）并加盖单位公章，签章不齐的视同未提供；其中《资格文件》和《商务技术文件》中不得出现本项目投标报价，否则投标无效。</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86" w:name="_Toc504504538"/>
      <w:r>
        <w:rPr>
          <w:rFonts w:hint="eastAsia" w:asciiTheme="minorEastAsia" w:hAnsiTheme="minorEastAsia" w:eastAsiaTheme="minorEastAsia" w:cstheme="minorEastAsia"/>
          <w:b/>
          <w:sz w:val="24"/>
          <w:szCs w:val="24"/>
        </w:rPr>
        <w:t>（三）投标文件的编制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1.依据《浙江省政府采购项目电子交易管理暂行办法》，本项目通过“政府采购云平台”（网址：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rFonts w:hint="eastAsia" w:asciiTheme="minorEastAsia" w:hAnsiTheme="minorEastAsia" w:eastAsiaTheme="minorEastAsia" w:cstheme="minorEastAsia"/>
          <w:sz w:val="24"/>
          <w:szCs w:val="24"/>
        </w:rPr>
        <w:fldChar w:fldCharType="separate"/>
      </w:r>
      <w:r>
        <w:rPr>
          <w:rStyle w:val="52"/>
          <w:rFonts w:hint="eastAsia" w:asciiTheme="minorEastAsia" w:hAnsiTheme="minorEastAsia" w:eastAsiaTheme="minorEastAsia" w:cstheme="minorEastAsia"/>
          <w:bCs/>
          <w:sz w:val="24"/>
          <w:szCs w:val="24"/>
        </w:rPr>
        <w:t>www.zcygov.cn）实行电子交易（在线投标响应）。投标人参加本项目电子交易应当安装“政采云电子交易客户端”，并按照本采购文件和“政府采购云平台”的要求编制并加密投标文件。投标人未按规定加密的投标文件，“政府采购云平台”将予以拒收。</w:t>
      </w:r>
      <w:r>
        <w:rPr>
          <w:rStyle w:val="52"/>
          <w:rFonts w:hint="eastAsia" w:asciiTheme="minorEastAsia" w:hAnsiTheme="minorEastAsia" w:eastAsiaTheme="minorEastAsia" w:cstheme="minorEastAsia"/>
          <w:bCs/>
          <w:sz w:val="24"/>
          <w:szCs w:val="24"/>
        </w:rPr>
        <w:fldChar w:fldCharType="end"/>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2.投标文件内容不完整、编排混乱导致投标文件被误读、漏读或者查找不到相关内容的，是投标人的责任。</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3.投标文件因字迹潦草或表达不清所引起的后果由投标人负责。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4.投标人没有按照本章节文件目录要求提供全部资料，或者没有仔细阅读采购文件，或者没有对采购文件在各方面的要求作出实质性响应是投标人的风险，由此造成的一切后果由投标人自行承担。</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（四）投标文件的语言及计量</w:t>
      </w:r>
      <w:bookmarkEnd w:id="186"/>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1.投标文件以及投标人与招标方就有关投标事宜的所有来往函电，均应以中文汉语书写。除签名、盖章、专用名称等特殊情形外，以中文汉语以外的文字表述的投标文件视同未提供。</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2.投标计量单位，招标文件已有明确规定的，使用招标文件规定的计量单位；招标文件没有规定的，应采用中华人民共和国法定计量单位（货币单位：人民币元），否则视同未响应。</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87" w:name="_Toc504504539"/>
      <w:r>
        <w:rPr>
          <w:rFonts w:hint="eastAsia" w:asciiTheme="minorEastAsia" w:hAnsiTheme="minorEastAsia" w:eastAsiaTheme="minorEastAsia" w:cstheme="minorEastAsia"/>
          <w:b/>
          <w:sz w:val="24"/>
          <w:szCs w:val="24"/>
        </w:rPr>
        <w:t>（五）投标报价</w:t>
      </w:r>
      <w:bookmarkEnd w:id="187"/>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1.投标报价应按招标文件中相关附表格式填写。</w:t>
      </w:r>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2.投标报价是履行合同的最终价格，即完成本项目服务内容和要求所产生的所有费用，</w:t>
      </w:r>
      <w:r>
        <w:rPr>
          <w:rFonts w:hint="eastAsia" w:asciiTheme="minorEastAsia" w:hAnsiTheme="minorEastAsia" w:eastAsiaTheme="minorEastAsia" w:cstheme="minorEastAsia"/>
          <w:bCs/>
          <w:sz w:val="24"/>
          <w:szCs w:val="24"/>
        </w:rPr>
        <w:t>包括保洁人员、专业技术人员及各级管理人员工资、奖金、福利、培训、服装、各类保险等费用，作业成本、维修、油耗、车辆等各类设备设施配备及维护保养费用、垃圾清运处置费用、企业管理费用、利润、税金、环境保障费用、不可预见费（如突击工作费，防台、抗暴风雨等措施费，综合抗灾清障费，人工增加费，设施维护费及其它）、工作场所费用、其他与保洁管理相关费用等、招标代理费等一切税金和费用。</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3.投标文件只允许有一个报价，有选择的报价将不予接受（作无效标处理）。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4.投标人应充分考虑因各种原因可能发生的费用。对没有填报的费用，招标人认为所有费用已包含在总价中，除合同条款另有规定外，不得进行调整。</w:t>
      </w:r>
    </w:p>
    <w:p>
      <w:pPr>
        <w:keepLines w:val="0"/>
        <w:pageBreakBefore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5.投标报价必须合理，经评委认定为明显不合理的报价将被取消中标资格。</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88" w:name="_Toc504504540"/>
      <w:r>
        <w:rPr>
          <w:rFonts w:hint="eastAsia" w:asciiTheme="minorEastAsia" w:hAnsiTheme="minorEastAsia" w:eastAsiaTheme="minorEastAsia" w:cstheme="minorEastAsia"/>
          <w:b/>
          <w:sz w:val="24"/>
          <w:szCs w:val="24"/>
        </w:rPr>
        <w:t>（六）投标文件的有效期</w:t>
      </w:r>
      <w:bookmarkEnd w:id="188"/>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1.自投标截止日起90天内投标文件应保持有效。有效期不足的投标文件将被拒绝。</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2.在特殊情况下，采购人可与投标人协商延长投标文件的有效期，协商过程以书面形式进行。</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3.投标人可拒绝接受延期要求，同意延长有效期的投标人不能修改投标文件；</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4.中标单位的投标文件自开标之日起至合同履行完毕止均应保持有效。</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5.投标人在投标文件有效期内强行撤回（撤销）其投标文件的，采购人将按采购预算金额的2%对其进行追偿，以弥补采购人、采购代理机构损失，同时将对其失信行为上报至同级政府采购监督管理部门依法处理。</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89" w:name="_Toc504504549"/>
      <w:r>
        <w:rPr>
          <w:rFonts w:hint="eastAsia" w:asciiTheme="minorEastAsia" w:hAnsiTheme="minorEastAsia" w:eastAsiaTheme="minorEastAsia" w:cstheme="minorEastAsia"/>
          <w:b/>
          <w:sz w:val="24"/>
          <w:szCs w:val="24"/>
        </w:rPr>
        <w:t>（七）投标文件的签署和份数</w:t>
      </w:r>
      <w:bookmarkEnd w:id="189"/>
      <w:r>
        <w:rPr>
          <w:rFonts w:hint="eastAsia" w:asciiTheme="minorEastAsia" w:hAnsiTheme="minorEastAsia" w:eastAsiaTheme="minorEastAsia" w:cstheme="minorEastAsia"/>
          <w:b/>
          <w:sz w:val="24"/>
          <w:szCs w:val="24"/>
        </w:rPr>
        <w:t xml:space="preserve">  </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bookmarkStart w:id="190" w:name="_Toc504504475"/>
      <w:bookmarkStart w:id="191" w:name="_Toc504504550"/>
      <w:r>
        <w:rPr>
          <w:rFonts w:hint="eastAsia" w:asciiTheme="minorEastAsia" w:hAnsiTheme="minorEastAsia" w:eastAsiaTheme="minorEastAsia" w:cstheme="minorEastAsia"/>
          <w:bCs/>
          <w:sz w:val="24"/>
          <w:szCs w:val="24"/>
        </w:rPr>
        <w:t>1.投标人应按招标文件规定的格式和顺序编制、装订投标文件并标注页码，投标文件内容不完整、编排混乱导致投标文件被误读、漏读或者查找不到相关内容的，是投标人的责任。</w:t>
      </w:r>
      <w:bookmarkEnd w:id="190"/>
      <w:bookmarkEnd w:id="191"/>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bookmarkStart w:id="192" w:name="_Toc504504551"/>
      <w:bookmarkStart w:id="193" w:name="_Toc504504476"/>
      <w:r>
        <w:rPr>
          <w:rFonts w:hint="eastAsia" w:asciiTheme="minorEastAsia" w:hAnsiTheme="minorEastAsia" w:eastAsiaTheme="minorEastAsia" w:cstheme="minorEastAsia"/>
          <w:bCs/>
          <w:sz w:val="24"/>
          <w:szCs w:val="24"/>
        </w:rPr>
        <w:t>2.投标人应按资格文件、商务技术文件、报价文件分别</w:t>
      </w:r>
      <w:bookmarkEnd w:id="192"/>
      <w:bookmarkEnd w:id="193"/>
      <w:r>
        <w:rPr>
          <w:rFonts w:hint="eastAsia" w:asciiTheme="minorEastAsia" w:hAnsiTheme="minorEastAsia" w:eastAsiaTheme="minorEastAsia" w:cstheme="minorEastAsia"/>
          <w:bCs/>
          <w:sz w:val="24"/>
          <w:szCs w:val="24"/>
        </w:rPr>
        <w:t>提交。</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bCs/>
          <w:sz w:val="24"/>
          <w:szCs w:val="24"/>
        </w:rPr>
      </w:pPr>
      <w:bookmarkStart w:id="194" w:name="_Toc504504556"/>
      <w:bookmarkStart w:id="195" w:name="_Toc504504481"/>
      <w:r>
        <w:rPr>
          <w:rFonts w:hint="eastAsia" w:asciiTheme="minorEastAsia" w:hAnsiTheme="minorEastAsia" w:eastAsiaTheme="minorEastAsia" w:cstheme="minorEastAsia"/>
          <w:bCs/>
          <w:sz w:val="24"/>
          <w:szCs w:val="24"/>
        </w:rPr>
        <w:t>3.投标文件不得涂改，若有修改错漏处，须加盖单位公章及法定代表人或授权委托人签字。投标文件因字迹潦草或表达不清所引起的后果由投标人负责。</w:t>
      </w:r>
      <w:bookmarkEnd w:id="194"/>
      <w:bookmarkEnd w:id="195"/>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96" w:name="_Toc504504558"/>
      <w:r>
        <w:rPr>
          <w:rFonts w:hint="eastAsia" w:asciiTheme="minorEastAsia" w:hAnsiTheme="minorEastAsia" w:eastAsiaTheme="minorEastAsia" w:cstheme="minorEastAsia"/>
          <w:b/>
          <w:sz w:val="24"/>
          <w:szCs w:val="24"/>
        </w:rPr>
        <w:t>（八）</w:t>
      </w:r>
      <w:bookmarkEnd w:id="196"/>
      <w:r>
        <w:rPr>
          <w:rFonts w:hint="eastAsia" w:asciiTheme="minorEastAsia" w:hAnsiTheme="minorEastAsia" w:eastAsiaTheme="minorEastAsia" w:cstheme="minorEastAsia"/>
          <w:b/>
          <w:sz w:val="24"/>
          <w:szCs w:val="24"/>
        </w:rPr>
        <w:t>投标文件的包装、递交、修改和撤回</w:t>
      </w:r>
    </w:p>
    <w:p>
      <w:pPr>
        <w:keepLines w:val="0"/>
        <w:pageBreakBefore w:val="0"/>
        <w:kinsoku/>
        <w:wordWrap/>
        <w:overflowPunct/>
        <w:topLinePunct w:val="0"/>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keepLines w:val="0"/>
        <w:pageBreakBefore w:val="0"/>
        <w:kinsoku/>
        <w:wordWrap/>
        <w:overflowPunct/>
        <w:topLinePunct w:val="0"/>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2.采购人和采购代理机构可通过修改招标文件酌情延长投标截止日期，在此情况下，投标人的所有权利和义务以及投标人的投标截止日期均应以延长后新的截止日期为准。</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97" w:name="_Toc504504559"/>
      <w:r>
        <w:rPr>
          <w:rFonts w:hint="eastAsia" w:asciiTheme="minorEastAsia" w:hAnsiTheme="minorEastAsia" w:eastAsiaTheme="minorEastAsia" w:cstheme="minorEastAsia"/>
          <w:b/>
          <w:sz w:val="24"/>
          <w:szCs w:val="24"/>
        </w:rPr>
        <w:t>（九）投标无效的情形</w:t>
      </w:r>
      <w:bookmarkEnd w:id="197"/>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1.在资格审查时，如发现下列情形之一的，投标文件将被视为无效：</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（1）资格证明文件不全的，或者不符合招标文件标明的资格要求的；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（2）电子投标文件解密失败的，且未在规定时间内提交备份投标文件的；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（3）未按照招标文件规定的要求签署、盖章的。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2.在符合性审查时，如发现下列情形之一的，投标文件将被视为无效：</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（1）投标文件无法定代表人或授权代表签字，或授权代理人未经有效授权的；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（2）投标文件未按照招标文件规定的要求签署、盖章的；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（3）投标有效期、服务期、付款等商务条款不能满足招标文件要求的；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（4）不响应或者擅自改变招标文件要求或者投标文件有采购人不能接受的附加条件的；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（5）未提供或未如实提供投标产品（货物）技术性能、参数的，或者虚假投标的；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3.在技术评审时，如发现下列情形之一的，投标文件将被视为无效：</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（1）资格文件、商务技术文件内有商务报价出现的；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（2）未提供或未如实提供投标货物的技术参数，或者投标文件标明的响应或偏离与事实不符或虚假投标的；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（3）明显不符合招标文件要求的规格型号、质量标准，或者与招标文件中标“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”的技术指标、主要功能项目发生实质性偏离的；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（4）投标技术方案不明确，存在一个或一个以上备选（替代）投标方案的；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（5）与其他参加本次投标投标人的投标文件（技术文件）的文字表述内容相同连续20行以上或者差错相同2处以上的。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4.在价格评审时，如发现下列情形之一的，投标文件将被视为无效：</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（1）未采用人民币报价或者未按照招标文件标明的币种报价的；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（2）报价超出最高限价，或者超出采购预算金额，采购人不能支付的；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（3）投标报价具有选择性，或者开标价格与投标文件承诺的优惠（折扣）价格不一致的；</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（4）评标委员会认为投标人的报价明显低于其他通过符合性审查的投标人的报价有可能影响产品质量或者不能诚信履约时，投标人不能在规定的时间证明其报价合理性的。                                                                                          </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5.法律、法规和招标文件规定的其他无效标情形。</w:t>
      </w:r>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198" w:name="_Toc504504560"/>
      <w:r>
        <w:rPr>
          <w:rFonts w:hint="eastAsia" w:asciiTheme="minorEastAsia" w:hAnsiTheme="minorEastAsia" w:eastAsiaTheme="minorEastAsia" w:cstheme="minorEastAsia"/>
          <w:b/>
          <w:sz w:val="24"/>
          <w:szCs w:val="24"/>
        </w:rPr>
        <w:t>（十）</w:t>
      </w:r>
      <w:bookmarkStart w:id="199" w:name="_Toc170792769"/>
      <w:bookmarkStart w:id="200" w:name="_Toc107820050"/>
      <w:r>
        <w:rPr>
          <w:rFonts w:hint="eastAsia" w:asciiTheme="minorEastAsia" w:hAnsiTheme="minorEastAsia" w:eastAsiaTheme="minorEastAsia" w:cstheme="minorEastAsia"/>
          <w:b/>
          <w:sz w:val="24"/>
          <w:szCs w:val="24"/>
        </w:rPr>
        <w:t>废标的情形</w:t>
      </w:r>
      <w:bookmarkEnd w:id="198"/>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bookmarkStart w:id="201" w:name="_Toc504504561"/>
      <w:bookmarkStart w:id="202" w:name="_Toc504504486"/>
      <w:r>
        <w:rPr>
          <w:rFonts w:hint="eastAsia" w:asciiTheme="minorEastAsia" w:hAnsiTheme="minorEastAsia" w:eastAsiaTheme="minorEastAsia" w:cstheme="minorEastAsia"/>
          <w:sz w:val="24"/>
          <w:szCs w:val="24"/>
        </w:rPr>
        <w:t>在招标采购中，出现下列情形之一的，应予废标：</w:t>
      </w:r>
      <w:bookmarkEnd w:id="201"/>
      <w:bookmarkEnd w:id="202"/>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bookmarkStart w:id="203" w:name="_Toc504504562"/>
      <w:bookmarkStart w:id="204" w:name="_Toc504504487"/>
      <w:r>
        <w:rPr>
          <w:rFonts w:hint="eastAsia" w:asciiTheme="minorEastAsia" w:hAnsiTheme="minorEastAsia" w:eastAsiaTheme="minorEastAsia" w:cstheme="minorEastAsia"/>
          <w:sz w:val="24"/>
          <w:szCs w:val="24"/>
        </w:rPr>
        <w:t>1.符合专业条件的投标人或者对招标文件作实质性响应的投标人不足三家的；</w:t>
      </w:r>
      <w:bookmarkEnd w:id="203"/>
      <w:bookmarkEnd w:id="204"/>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bookmarkStart w:id="205" w:name="_Toc504504563"/>
      <w:bookmarkStart w:id="206" w:name="_Toc504504488"/>
      <w:r>
        <w:rPr>
          <w:rFonts w:hint="eastAsia" w:asciiTheme="minorEastAsia" w:hAnsiTheme="minorEastAsia" w:eastAsiaTheme="minorEastAsia" w:cstheme="minorEastAsia"/>
          <w:sz w:val="24"/>
          <w:szCs w:val="24"/>
        </w:rPr>
        <w:t>2.出现影响采购公正的违法、违规行为的；</w:t>
      </w:r>
      <w:bookmarkEnd w:id="205"/>
      <w:bookmarkEnd w:id="206"/>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bookmarkStart w:id="207" w:name="_Toc504504564"/>
      <w:bookmarkStart w:id="208" w:name="_Toc504504489"/>
      <w:r>
        <w:rPr>
          <w:rFonts w:hint="eastAsia" w:asciiTheme="minorEastAsia" w:hAnsiTheme="minorEastAsia" w:eastAsiaTheme="minorEastAsia" w:cstheme="minorEastAsia"/>
          <w:sz w:val="24"/>
          <w:szCs w:val="24"/>
        </w:rPr>
        <w:t>3.投标人的报价均超过了采购预算，采购人不能支付的；</w:t>
      </w:r>
      <w:bookmarkEnd w:id="207"/>
      <w:bookmarkEnd w:id="208"/>
    </w:p>
    <w:p>
      <w:pPr>
        <w:pStyle w:val="10"/>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bookmarkStart w:id="209" w:name="_Toc504504490"/>
      <w:bookmarkStart w:id="210" w:name="_Toc504504565"/>
      <w:r>
        <w:rPr>
          <w:rFonts w:hint="eastAsia" w:asciiTheme="minorEastAsia" w:hAnsiTheme="minorEastAsia" w:eastAsiaTheme="minorEastAsia" w:cstheme="minorEastAsia"/>
          <w:sz w:val="24"/>
          <w:szCs w:val="24"/>
        </w:rPr>
        <w:t>4.因重大变故，采购任务取消的。</w:t>
      </w:r>
      <w:bookmarkEnd w:id="209"/>
      <w:bookmarkEnd w:id="210"/>
    </w:p>
    <w:bookmarkEnd w:id="199"/>
    <w:bookmarkEnd w:id="200"/>
    <w:p>
      <w:pPr>
        <w:pStyle w:val="3"/>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napToGrid w:val="0"/>
          <w:sz w:val="24"/>
          <w:szCs w:val="24"/>
        </w:rPr>
      </w:pPr>
      <w:bookmarkStart w:id="211" w:name="_Toc29928"/>
      <w:bookmarkStart w:id="212" w:name="_Toc510614923"/>
      <w:bookmarkStart w:id="213" w:name="_Toc21977"/>
      <w:bookmarkStart w:id="214" w:name="_Toc16508"/>
      <w:bookmarkStart w:id="215" w:name="_Toc514938675"/>
      <w:bookmarkStart w:id="216" w:name="_Toc5299"/>
      <w:bookmarkStart w:id="217" w:name="_Toc504504566"/>
      <w:r>
        <w:rPr>
          <w:rFonts w:hint="eastAsia" w:asciiTheme="minorEastAsia" w:hAnsiTheme="minorEastAsia" w:eastAsiaTheme="minorEastAsia" w:cstheme="minorEastAsia"/>
          <w:b/>
          <w:sz w:val="24"/>
          <w:szCs w:val="24"/>
        </w:rPr>
        <w:t>四、开标</w:t>
      </w:r>
      <w:bookmarkEnd w:id="211"/>
      <w:bookmarkEnd w:id="212"/>
      <w:bookmarkEnd w:id="213"/>
      <w:bookmarkEnd w:id="214"/>
      <w:bookmarkEnd w:id="215"/>
      <w:bookmarkEnd w:id="216"/>
      <w:bookmarkEnd w:id="217"/>
    </w:p>
    <w:p>
      <w:pPr>
        <w:pStyle w:val="8"/>
        <w:keepNext/>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Theme="minorEastAsia" w:hAnsiTheme="minorEastAsia" w:eastAsiaTheme="minorEastAsia" w:cstheme="minorEastAsia"/>
          <w:sz w:val="24"/>
          <w:szCs w:val="24"/>
        </w:rPr>
      </w:pPr>
      <w:bookmarkStart w:id="218" w:name="_Toc531267757"/>
      <w:bookmarkStart w:id="219" w:name="_Toc504504573"/>
      <w:bookmarkStart w:id="220" w:name="_Toc514938677"/>
      <w:bookmarkStart w:id="221" w:name="_Toc510614925"/>
      <w:r>
        <w:rPr>
          <w:rFonts w:hint="eastAsia" w:asciiTheme="minorEastAsia" w:hAnsiTheme="minorEastAsia" w:eastAsiaTheme="minorEastAsia" w:cstheme="minorEastAsia"/>
          <w:sz w:val="24"/>
          <w:szCs w:val="24"/>
        </w:rPr>
        <w:t>（一）开标形式</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采购组织机构将按照招标文件规定的时间通过“政府采购云平台”组织开标、开启投标文件，</w:t>
      </w:r>
      <w:r>
        <w:rPr>
          <w:rFonts w:hint="eastAsia" w:asciiTheme="minorEastAsia" w:hAnsiTheme="minorEastAsia" w:eastAsiaTheme="minorEastAsia" w:cstheme="minorEastAsia"/>
          <w:b/>
          <w:bCs/>
          <w:sz w:val="24"/>
          <w:szCs w:val="24"/>
        </w:rPr>
        <w:t>所有投标人均应当准时在线参加。</w:t>
      </w:r>
    </w:p>
    <w:p>
      <w:pPr>
        <w:pStyle w:val="8"/>
        <w:keepNext/>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开标准备</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1.开标的准备工作由采购组织机构负责落实；</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rPr>
        <w:t>采购组织机构将按照招标文件规定的时间通过“政府采购云平台”组织开标、开启投标文件，所有投标人均应当准时在线参加。</w:t>
      </w:r>
      <w:r>
        <w:rPr>
          <w:rFonts w:hint="eastAsia" w:asciiTheme="minorEastAsia" w:hAnsiTheme="minorEastAsia" w:eastAsiaTheme="minorEastAsia" w:cstheme="minorEastAsia"/>
          <w:kern w:val="0"/>
          <w:sz w:val="24"/>
          <w:szCs w:val="24"/>
        </w:rPr>
        <w:t>投标人如不参加开标大会的，视同认可开标结果，事后不得对采购相关人员、开标过程和开标结果提出异议，同时投标人因未在线参加开标而导致投标文件无法按时解密等一切后果由投标人自己承担。</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3.投标人对开标过程和开标记录有疑义，以及认为采购人、采购代理机构相关工作人员有需要回避的情形的，应当场提出询问或回避申请。</w:t>
      </w:r>
    </w:p>
    <w:p>
      <w:pPr>
        <w:pStyle w:val="8"/>
        <w:keepNext/>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（三）开标流程</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（2）投标文件解密结束，各投标人组织签署《政府采购活动现场确认声明书》，格式见附件，填写完毕后发送至邮箱</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开启标书信息（资格文件、商务技术文件）。标书信息开启后，首先由采购人或采购代理机构依法对投标人的资格文件进行审查，审查投标人的资格符合情况。资格审查合格的投标人数量不足三家的，项目不再进行评审；</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（4）开启资格审查通过的投标人的商务技术文件进入符合性审查、商务技术评审；</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（5）商务技术评审结束后，主持人宣告商务技术评审无效投标人名称及理由；公布经商务技术评审的有效投标人名单，同时公布其商务技术得分情况。</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开启有效投标人的《报价文件》，同时当场制作开标记录表，由投标人代表、唱标人、记录人和现场监督员在开标记录表上签字确认（电子交易项目投标人通过“政府采购云平台在线确认”），投标人不予确认的应说明理由，否则视为无异议。唱标结束后，由评标委员会对报价的合理性、准确性等进行审查核实。</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（7）在系统上公布评审结果。</w:t>
      </w:r>
    </w:p>
    <w:p>
      <w:pPr>
        <w:keepLines w:val="0"/>
        <w:pageBreakBefore w:val="0"/>
        <w:kinsoku/>
        <w:wordWrap/>
        <w:overflowPunct/>
        <w:topLinePunct w:val="0"/>
        <w:bidi w:val="0"/>
        <w:spacing w:line="360" w:lineRule="auto"/>
        <w:ind w:firstLine="426" w:firstLineChars="177"/>
        <w:jc w:val="left"/>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特别说明：</w:t>
      </w:r>
    </w:p>
    <w:p>
      <w:pPr>
        <w:keepLines w:val="0"/>
        <w:pageBreakBefore w:val="0"/>
        <w:numPr>
          <w:ilvl w:val="0"/>
          <w:numId w:val="3"/>
        </w:numPr>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如遇“政府采购云平台”电子化开标或评审程序调整的，按调整后程序执行。</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2.开标过程中需要相关当事人进行签字或盖章确认的材料将通过“政府采购云平台”进行，若因“政府采购云平台”技术问题无法进行签字或盖章确认的，采购组织机构将通过邮件、传真等形式予以确认。</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（四）情况说明</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本项目采用政采云电子招投标开标及评审程序，但有下情形之一的，按以下情况处理：</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（1）若投标人在规定时间内无法解密或解密失败，</w:t>
      </w:r>
      <w:r>
        <w:rPr>
          <w:rFonts w:hint="eastAsia" w:asciiTheme="minorEastAsia" w:hAnsiTheme="minorEastAsia" w:eastAsiaTheme="minorEastAsia" w:cstheme="minorEastAsia"/>
          <w:sz w:val="24"/>
          <w:szCs w:val="24"/>
          <w:lang w:val="en-US" w:eastAsia="zh-CN"/>
        </w:rPr>
        <w:t>欧邦工程管理集团有限公司</w:t>
      </w:r>
      <w:r>
        <w:rPr>
          <w:rFonts w:hint="eastAsia" w:asciiTheme="minorEastAsia" w:hAnsiTheme="minorEastAsia" w:eastAsiaTheme="minorEastAsia" w:cstheme="minorEastAsia"/>
          <w:sz w:val="24"/>
          <w:szCs w:val="24"/>
        </w:rPr>
        <w:t>将开启解密失败的投标人递交的以介质存储的数据电文形式的备份投标文件，上传至政采云平台项目采购模块，以完成开标，电子投标文件自动失效。</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（2）采购过程中出现以下情形，导致电子交易平台无法正常运行，或者无法保证电子交易的公平、公正和安全时，采购组织机构可中止电子交易活动：</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1）电子交易平台发生故障而无法登录访问的； </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2）电子交易平台应用或数据库出现错误，不能进行正常操作的；</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3）电子交易平台发现严重安全漏洞，有潜在泄密危险的；</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4）病毒发作导致不能进行正常操作的； </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5）其他无法保证电子交易的公平、公正和安全的情况。</w:t>
      </w:r>
    </w:p>
    <w:bookmarkEnd w:id="218"/>
    <w:p>
      <w:pPr>
        <w:pStyle w:val="27"/>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bookmarkStart w:id="222" w:name="_Toc25531"/>
      <w:bookmarkStart w:id="223" w:name="_Toc26036"/>
      <w:bookmarkStart w:id="224" w:name="_Toc12143"/>
      <w:bookmarkStart w:id="225" w:name="_Toc531267758"/>
      <w:bookmarkStart w:id="226" w:name="_Toc33014423"/>
      <w:bookmarkStart w:id="227" w:name="_Toc17851"/>
      <w:r>
        <w:rPr>
          <w:rFonts w:hint="eastAsia" w:asciiTheme="minorEastAsia" w:hAnsiTheme="minorEastAsia" w:eastAsiaTheme="minorEastAsia" w:cstheme="minorEastAsia"/>
          <w:b/>
          <w:sz w:val="24"/>
          <w:szCs w:val="24"/>
        </w:rPr>
        <w:t>五、评标</w:t>
      </w:r>
      <w:bookmarkEnd w:id="222"/>
      <w:bookmarkEnd w:id="223"/>
      <w:bookmarkEnd w:id="224"/>
      <w:bookmarkEnd w:id="225"/>
      <w:bookmarkEnd w:id="226"/>
      <w:bookmarkEnd w:id="227"/>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（一）组建评标委员会</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评标委员会由采购人代表和有关技术、经济等方面的专家组成,成员人数应当为七人及以上单数。其中,技术、经济等方面的专家不得少于成员总数的三分之二。</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（二）评标的方式</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本项目采用不公开方式评标，评标的依据为招标文件和投标文件。</w:t>
      </w:r>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（三）评标委员会的职责</w:t>
      </w:r>
    </w:p>
    <w:p>
      <w:pPr>
        <w:keepLines w:val="0"/>
        <w:pageBreakBefore w:val="0"/>
        <w:kinsoku/>
        <w:wordWrap/>
        <w:overflowPunct/>
        <w:topLinePunct w:val="0"/>
        <w:bidi w:val="0"/>
        <w:spacing w:line="360" w:lineRule="auto"/>
        <w:ind w:firstLine="482"/>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评标委员会负责具体评审事务，并独立履行下列职责：</w:t>
      </w:r>
    </w:p>
    <w:p>
      <w:pPr>
        <w:keepLines w:val="0"/>
        <w:pageBreakBefore w:val="0"/>
        <w:kinsoku/>
        <w:wordWrap/>
        <w:overflowPunct/>
        <w:topLinePunct w:val="0"/>
        <w:bidi w:val="0"/>
        <w:spacing w:line="360" w:lineRule="auto"/>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（1）审查、评价投标文件是否符合采购文件的资信、技术等实质性要求；</w:t>
      </w:r>
    </w:p>
    <w:p>
      <w:pPr>
        <w:keepLines w:val="0"/>
        <w:pageBreakBefore w:val="0"/>
        <w:kinsoku/>
        <w:wordWrap/>
        <w:overflowPunct/>
        <w:topLinePunct w:val="0"/>
        <w:bidi w:val="0"/>
        <w:spacing w:line="360" w:lineRule="auto"/>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（2）要求投标人对投标文件有关事项作出澄清或者说明；</w:t>
      </w:r>
    </w:p>
    <w:p>
      <w:pPr>
        <w:keepLines w:val="0"/>
        <w:pageBreakBefore w:val="0"/>
        <w:kinsoku/>
        <w:wordWrap/>
        <w:overflowPunct/>
        <w:topLinePunct w:val="0"/>
        <w:bidi w:val="0"/>
        <w:spacing w:line="360" w:lineRule="auto"/>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（3）对投标文件进行比较和评价；</w:t>
      </w:r>
    </w:p>
    <w:p>
      <w:pPr>
        <w:keepLines w:val="0"/>
        <w:pageBreakBefore w:val="0"/>
        <w:kinsoku/>
        <w:wordWrap/>
        <w:overflowPunct/>
        <w:topLinePunct w:val="0"/>
        <w:bidi w:val="0"/>
        <w:spacing w:line="360" w:lineRule="auto"/>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（4）确定中标候选人名单，以及根据采购人委托直接确定中标单位；</w:t>
      </w:r>
    </w:p>
    <w:p>
      <w:pPr>
        <w:keepLines w:val="0"/>
        <w:pageBreakBefore w:val="0"/>
        <w:kinsoku/>
        <w:wordWrap/>
        <w:overflowPunct/>
        <w:topLinePunct w:val="0"/>
        <w:bidi w:val="0"/>
        <w:spacing w:line="360" w:lineRule="auto"/>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（5）向采购人、采购代理机构或者有关部门报告评审中发现的违法行为。</w:t>
      </w:r>
    </w:p>
    <w:p>
      <w:pPr>
        <w:keepLines w:val="0"/>
        <w:pageBreakBefore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（四）评审原则</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1.评审原则：评标委员会按照客观、公正、审慎、择优的原则，根据采购文件规定的评审程序、评审方法和评审标准进行独立评审。</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2.评审工作将依据采购文件、投标文件及采购文件中事先已列明的内容进行。</w:t>
      </w:r>
    </w:p>
    <w:p>
      <w:pPr>
        <w:keepLines w:val="0"/>
        <w:pageBreakBefore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（五）评审意见的争议处理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评标委员会成员对需要共同认定的事项存在争议的，按照少数服从多数的原则作出结论。持不同意见的评标委员会成员应当在评审报告上签署不同意见及理由，否则视为同意评审报告。</w:t>
      </w:r>
    </w:p>
    <w:p>
      <w:pPr>
        <w:keepLines w:val="0"/>
        <w:pageBreakBefore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（六）评委纪律</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keepLines w:val="0"/>
        <w:pageBreakBefore w:val="0"/>
        <w:kinsoku/>
        <w:wordWrap/>
        <w:overflowPunct/>
        <w:topLinePunct w:val="0"/>
        <w:bidi w:val="0"/>
        <w:snapToGrid w:val="0"/>
        <w:spacing w:line="360" w:lineRule="auto"/>
        <w:ind w:firstLine="482"/>
        <w:jc w:val="left"/>
        <w:textAlignment w:val="auto"/>
        <w:rPr>
          <w:rFonts w:hint="eastAsia" w:asciiTheme="minorEastAsia" w:hAnsiTheme="minorEastAsia" w:eastAsiaTheme="minorEastAsia" w:cstheme="minorEastAsia"/>
          <w:b/>
          <w:sz w:val="24"/>
          <w:szCs w:val="24"/>
        </w:rPr>
      </w:pPr>
      <w:bookmarkStart w:id="228" w:name="_Toc24550044"/>
      <w:bookmarkStart w:id="229" w:name="_Toc33194395"/>
      <w:r>
        <w:rPr>
          <w:rFonts w:hint="eastAsia" w:asciiTheme="minorEastAsia" w:hAnsiTheme="minorEastAsia" w:eastAsiaTheme="minorEastAsia" w:cstheme="minorEastAsia"/>
          <w:b/>
          <w:sz w:val="24"/>
          <w:szCs w:val="24"/>
        </w:rPr>
        <w:t>（七）评审流程及内容</w:t>
      </w:r>
      <w:bookmarkEnd w:id="228"/>
      <w:bookmarkEnd w:id="229"/>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本项目具体的评审事务由评标委员会负责，评审流程及内容如下：</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评审前准备</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1.1由评审专家推选评审小组组长，采购人代表不得担任评审小组组长。</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2.投标文件的初步审查、符合性审查</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对所有通过资格审查的投标人的投标文件进行初步审查，审查、评价投标文件是否符合采购文件的资信、技术、服务等实质性要求。</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.投标文件的澄清、说明或补正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评标过程中评标委员会对投标人提出质询或要求投标人书面确认的（或通过“政府采购云平台”在线答复），采用书面形式（PDF格式）提交并加盖公章，或者由法定代表人或其授权的代表签字，在规定时间内予以书面（PDF格式）回复或确认，若因</w:t>
      </w:r>
      <w:r>
        <w:rPr>
          <w:rFonts w:hint="eastAsia" w:asciiTheme="minorEastAsia" w:hAnsiTheme="minorEastAsia" w:eastAsiaTheme="minorEastAsia" w:cstheme="minorEastAsia"/>
          <w:kern w:val="0"/>
          <w:sz w:val="24"/>
          <w:szCs w:val="24"/>
        </w:rPr>
        <w:t>CA锁等原因无法上传，</w:t>
      </w:r>
      <w:r>
        <w:rPr>
          <w:rFonts w:hint="eastAsia" w:asciiTheme="minorEastAsia" w:hAnsiTheme="minorEastAsia" w:eastAsiaTheme="minorEastAsia" w:cstheme="minorEastAsia"/>
          <w:sz w:val="24"/>
          <w:szCs w:val="24"/>
        </w:rPr>
        <w:t>在专家限定时间内</w:t>
      </w:r>
      <w:r>
        <w:rPr>
          <w:rFonts w:hint="eastAsia" w:asciiTheme="minorEastAsia" w:hAnsiTheme="minorEastAsia" w:eastAsiaTheme="minorEastAsia" w:cstheme="minorEastAsia"/>
          <w:kern w:val="0"/>
          <w:sz w:val="24"/>
          <w:szCs w:val="24"/>
        </w:rPr>
        <w:t>可将线下材料</w:t>
      </w:r>
      <w:r>
        <w:rPr>
          <w:rFonts w:hint="eastAsia" w:asciiTheme="minorEastAsia" w:hAnsiTheme="minorEastAsia" w:eastAsiaTheme="minorEastAsia" w:cstheme="minorEastAsia"/>
          <w:sz w:val="24"/>
          <w:szCs w:val="24"/>
        </w:rPr>
        <w:t>（PDF格式）</w:t>
      </w:r>
      <w:r>
        <w:rPr>
          <w:rFonts w:hint="eastAsia" w:asciiTheme="minorEastAsia" w:hAnsiTheme="minorEastAsia" w:eastAsiaTheme="minorEastAsia" w:cstheme="minorEastAsia"/>
          <w:kern w:val="0"/>
          <w:sz w:val="24"/>
          <w:szCs w:val="24"/>
        </w:rPr>
        <w:t>发送到采购代理机构邮箱，由采购代理机构上传。</w:t>
      </w:r>
      <w:r>
        <w:rPr>
          <w:rFonts w:hint="eastAsia" w:asciiTheme="minorEastAsia" w:hAnsiTheme="minorEastAsia" w:eastAsiaTheme="minorEastAsia" w:cstheme="minorEastAsia"/>
          <w:sz w:val="24"/>
          <w:szCs w:val="24"/>
        </w:rPr>
        <w:t>否则视为不予回复或确认，评标委员会有权拒绝该投标文件，澄清、说明或者补正不得超出投标文件的范围或者改变投标文件的实质性内容。</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3.3上述询标、澄清、说明和补正工作如因客观原因无法通过“政府采购云平台”在线进行的，将采用书面（含邮件）形式进行。</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投标文件的错误修正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4.1《投标文件》如果出现计算或表达上的错误，修正错误的原则如下：</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（1）投标文件中开标一览表（报价表）内容与投标文件中相应内容不一致的，以开标一览表（报价表）为准。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（2）《投标文件》的大写金额和小写金额不一致的，以大写金额为准；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（3）单价金额小数点或者百分比有明显错位的，应以开标一览表（报价表）的总价为准，并修改单价；</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keepLines w:val="0"/>
        <w:pageBreakBefore w:val="0"/>
        <w:kinsoku/>
        <w:wordWrap/>
        <w:overflowPunct/>
        <w:topLinePunct w:val="0"/>
        <w:bidi w:val="0"/>
        <w:spacing w:line="360" w:lineRule="auto"/>
        <w:ind w:firstLine="424" w:firstLineChars="177"/>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w:t>
      </w:r>
      <w:r>
        <w:rPr>
          <w:rFonts w:hint="eastAsia" w:asciiTheme="minorEastAsia" w:hAnsiTheme="minorEastAsia" w:eastAsiaTheme="minorEastAsia" w:cstheme="minorEastAsia"/>
          <w:kern w:val="0"/>
          <w:sz w:val="24"/>
          <w:szCs w:val="24"/>
        </w:rPr>
        <w:t>在报价文件上传的报价和报价一览表里填写的报价不一致时，以投标人上传的报价文件为准，由采购代理机构经办人对投标人报价进行修正。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4.2对不同文字文本《投标文件》的解释发生异议的，以中文文本为准。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同时出现两种以上不一致的，按照前款规定的顺序修正。修正后的报价按照经投标人加盖CA签章，由法定代表人或其授权的代表签字确认后产生约束力，投标人不确认的，其投标无效。</w:t>
      </w:r>
    </w:p>
    <w:bookmarkEnd w:id="219"/>
    <w:bookmarkEnd w:id="220"/>
    <w:bookmarkEnd w:id="221"/>
    <w:p>
      <w:pPr>
        <w:pStyle w:val="27"/>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bookmarkStart w:id="230" w:name="_Toc504504574"/>
      <w:bookmarkStart w:id="231" w:name="_Toc10024"/>
      <w:bookmarkStart w:id="232" w:name="_Toc3505"/>
      <w:bookmarkStart w:id="233" w:name="_Toc510614926"/>
      <w:bookmarkStart w:id="234" w:name="_Toc22345"/>
      <w:bookmarkStart w:id="235" w:name="_Toc3900"/>
      <w:bookmarkStart w:id="236" w:name="_Toc514938678"/>
      <w:r>
        <w:rPr>
          <w:rFonts w:hint="eastAsia" w:asciiTheme="minorEastAsia" w:hAnsiTheme="minorEastAsia" w:eastAsiaTheme="minorEastAsia" w:cstheme="minorEastAsia"/>
          <w:b/>
          <w:sz w:val="24"/>
          <w:szCs w:val="24"/>
        </w:rPr>
        <w:t>六、定标</w:t>
      </w:r>
      <w:bookmarkEnd w:id="230"/>
      <w:bookmarkEnd w:id="231"/>
      <w:bookmarkEnd w:id="232"/>
      <w:bookmarkEnd w:id="233"/>
      <w:bookmarkEnd w:id="234"/>
      <w:bookmarkEnd w:id="235"/>
      <w:bookmarkEnd w:id="236"/>
    </w:p>
    <w:p>
      <w:pPr>
        <w:keepLines w:val="0"/>
        <w:pageBreakBefore w:val="0"/>
        <w:kinsoku/>
        <w:wordWrap/>
        <w:overflowPunct/>
        <w:topLinePunct w:val="0"/>
        <w:bidi w:val="0"/>
        <w:snapToGrid w:val="0"/>
        <w:spacing w:line="360" w:lineRule="auto"/>
        <w:ind w:firstLine="482"/>
        <w:textAlignment w:val="auto"/>
        <w:outlineLvl w:val="2"/>
        <w:rPr>
          <w:rFonts w:hint="eastAsia" w:asciiTheme="minorEastAsia" w:hAnsiTheme="minorEastAsia" w:eastAsiaTheme="minorEastAsia" w:cstheme="minorEastAsia"/>
          <w:b/>
          <w:sz w:val="24"/>
          <w:szCs w:val="24"/>
        </w:rPr>
      </w:pPr>
      <w:bookmarkStart w:id="237" w:name="_Toc534621006"/>
      <w:bookmarkStart w:id="238" w:name="_Toc514938679"/>
      <w:bookmarkStart w:id="239" w:name="_Toc504504575"/>
      <w:bookmarkStart w:id="240" w:name="_Toc510614927"/>
      <w:r>
        <w:rPr>
          <w:rFonts w:hint="eastAsia" w:asciiTheme="minorEastAsia" w:hAnsiTheme="minorEastAsia" w:eastAsiaTheme="minorEastAsia" w:cstheme="minorEastAsia"/>
          <w:b/>
          <w:sz w:val="24"/>
          <w:szCs w:val="24"/>
        </w:rPr>
        <w:t>（一）采购结果确认（确定中标单位）</w:t>
      </w:r>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本项目由采购人根据评标委员会提交的《评审报告》，通过“政府采购云平台”依法确认采购结果、确定中标单位。具体流程如下：</w:t>
      </w:r>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1.本项目由评标委员会推荐中标候选人，采购代理机构在评标结束后2个工作日内将评审报告交采购人确认。</w:t>
      </w:r>
      <w:bookmarkEnd w:id="237"/>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bookmarkStart w:id="241" w:name="_Toc534621007"/>
      <w:r>
        <w:rPr>
          <w:rFonts w:hint="eastAsia" w:asciiTheme="minorEastAsia" w:hAnsiTheme="minorEastAsia" w:eastAsiaTheme="minorEastAsia" w:cstheme="minorEastAsia"/>
          <w:bCs/>
          <w:sz w:val="24"/>
          <w:szCs w:val="24"/>
        </w:rPr>
        <w:t>2.采购人应当自收到评审报告之日起5个工作日内，在评审报告确定的中标候选人名单中按顺序确定中标单位，或者采购人委托评标委员会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241"/>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bookmarkStart w:id="242" w:name="_Toc534621008"/>
      <w:r>
        <w:rPr>
          <w:rFonts w:hint="eastAsia" w:asciiTheme="minorEastAsia" w:hAnsiTheme="minorEastAsia" w:eastAsiaTheme="minorEastAsia" w:cstheme="minorEastAsia"/>
          <w:bCs/>
          <w:sz w:val="24"/>
          <w:szCs w:val="24"/>
        </w:rPr>
        <w:t>3.采购人及采购组织机构不对评审结果做任何解释。</w:t>
      </w:r>
    </w:p>
    <w:p>
      <w:pPr>
        <w:keepLines w:val="0"/>
        <w:pageBreakBefore w:val="0"/>
        <w:kinsoku/>
        <w:wordWrap/>
        <w:overflowPunct/>
        <w:topLinePunct w:val="0"/>
        <w:bidi w:val="0"/>
        <w:snapToGrid w:val="0"/>
        <w:spacing w:line="360" w:lineRule="auto"/>
        <w:ind w:firstLine="482"/>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（二）采购结果公告和中标通知书签发</w:t>
      </w:r>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1.采购结果经采购人确认后，采购代理机构将于2个工作日内在浙江省政府采购网上发布中标公告，并向中标方签发书面《中标通知书》。</w:t>
      </w:r>
      <w:bookmarkEnd w:id="242"/>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2.中标公告期限为1个工作日；</w:t>
      </w:r>
    </w:p>
    <w:p>
      <w:pPr>
        <w:keepLines w:val="0"/>
        <w:pageBreakBefore w:val="0"/>
        <w:kinsoku/>
        <w:wordWrap/>
        <w:overflowPunct/>
        <w:topLinePunct w:val="0"/>
        <w:bidi w:val="0"/>
        <w:snapToGrid w:val="0"/>
        <w:spacing w:line="360" w:lineRule="auto"/>
        <w:ind w:firstLine="48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3.中标通知书发出后，中标单位无正当理由不得放弃中标。</w:t>
      </w:r>
    </w:p>
    <w:p>
      <w:pPr>
        <w:pStyle w:val="27"/>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bookmarkStart w:id="243" w:name="_Toc25600"/>
      <w:bookmarkStart w:id="244" w:name="_Toc3737"/>
      <w:bookmarkStart w:id="245" w:name="_Toc4674"/>
      <w:bookmarkStart w:id="246" w:name="_Toc25978"/>
      <w:r>
        <w:rPr>
          <w:rFonts w:hint="eastAsia" w:asciiTheme="minorEastAsia" w:hAnsiTheme="minorEastAsia" w:eastAsiaTheme="minorEastAsia" w:cstheme="minorEastAsia"/>
          <w:b/>
          <w:sz w:val="24"/>
          <w:szCs w:val="24"/>
        </w:rPr>
        <w:t>七、合同授予</w:t>
      </w:r>
      <w:bookmarkEnd w:id="238"/>
      <w:bookmarkEnd w:id="239"/>
      <w:bookmarkEnd w:id="240"/>
      <w:bookmarkEnd w:id="243"/>
      <w:bookmarkEnd w:id="244"/>
      <w:bookmarkEnd w:id="245"/>
      <w:bookmarkEnd w:id="246"/>
    </w:p>
    <w:p>
      <w:pPr>
        <w:keepLines w:val="0"/>
        <w:pageBreakBefore w:val="0"/>
        <w:kinsoku/>
        <w:wordWrap/>
        <w:overflowPunct/>
        <w:topLinePunct w:val="0"/>
        <w:bidi w:val="0"/>
        <w:snapToGrid w:val="0"/>
        <w:spacing w:line="360" w:lineRule="auto"/>
        <w:ind w:firstLine="482"/>
        <w:jc w:val="left"/>
        <w:textAlignment w:val="auto"/>
        <w:outlineLvl w:val="2"/>
        <w:rPr>
          <w:rFonts w:hint="eastAsia" w:asciiTheme="minorEastAsia" w:hAnsiTheme="minorEastAsia" w:eastAsiaTheme="minorEastAsia" w:cstheme="minorEastAsia"/>
          <w:b/>
          <w:sz w:val="24"/>
          <w:szCs w:val="24"/>
        </w:rPr>
      </w:pPr>
      <w:bookmarkStart w:id="247" w:name="_Toc504504576"/>
      <w:r>
        <w:rPr>
          <w:rFonts w:hint="eastAsia" w:asciiTheme="minorEastAsia" w:hAnsiTheme="minorEastAsia" w:eastAsiaTheme="minorEastAsia" w:cstheme="minorEastAsia"/>
          <w:b/>
          <w:sz w:val="24"/>
          <w:szCs w:val="24"/>
        </w:rPr>
        <w:t>（一）签订合同</w:t>
      </w:r>
      <w:bookmarkEnd w:id="247"/>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1.采购人与中标单位应当在《中标通知书》发出之日起30日内持《中标通知书》与采购人签订《政府采购合同》。</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2.所签订的合同不得对采购文件确定的事项和中标单位投标文件作实质性修改。采购代理机构将根据采购人的委托，对合同内容进行审查，如发现与采购结果和投标承诺内容不一致的，将予以纠正。</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单位拒绝与采购人签订合同的，须按项目预算金额的5%向采购人进行赔偿（赔偿用于支付采购代理服务费、专家评审费、其他采购组织费用、补偿采购人损失，若预算金额的5%不足以支付，按实际损失赔偿），同时采购人、采购代理机构将对其失信行为上报至同级政府采购监督管理部门对其依法处理。</w:t>
      </w:r>
    </w:p>
    <w:p>
      <w:pPr>
        <w:keepLines w:val="0"/>
        <w:pageBreakBefore w:val="0"/>
        <w:kinsoku/>
        <w:wordWrap/>
        <w:overflowPunct/>
        <w:topLinePunct w:val="0"/>
        <w:bidi w:val="0"/>
        <w:snapToGrid w:val="0"/>
        <w:spacing w:line="360" w:lineRule="auto"/>
        <w:ind w:firstLine="480"/>
        <w:jc w:val="left"/>
        <w:textAlignment w:val="auto"/>
        <w:rPr>
          <w:rFonts w:hint="eastAsia" w:asciiTheme="minorEastAsia" w:hAnsiTheme="minorEastAsia" w:eastAsiaTheme="minorEastAsia" w:cstheme="minorEastAsia"/>
          <w:sz w:val="24"/>
          <w:szCs w:val="24"/>
        </w:rPr>
      </w:pPr>
      <w:bookmarkStart w:id="248" w:name="_Toc504504577"/>
      <w:r>
        <w:rPr>
          <w:rFonts w:hint="eastAsia" w:asciiTheme="minorEastAsia" w:hAnsiTheme="minorEastAsia" w:eastAsiaTheme="minorEastAsia" w:cstheme="minorEastAsia"/>
          <w:sz w:val="24"/>
          <w:szCs w:val="24"/>
        </w:rPr>
        <w:t>4.原中标单位拒绝与采购人签订合同后，采购人可以按照评审报告推荐的中标或者成交候选人名单排序，确定下一候选人为中标单位，也可以重新开展政府采购活动。</w:t>
      </w:r>
    </w:p>
    <w:p>
      <w:pPr>
        <w:pStyle w:val="27"/>
        <w:keepLines w:val="0"/>
        <w:pageBreakBefore w:val="0"/>
        <w:kinsoku/>
        <w:wordWrap/>
        <w:overflowPunct/>
        <w:topLinePunct w:val="0"/>
        <w:bidi w:val="0"/>
        <w:snapToGrid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（二）</w:t>
      </w:r>
      <w:bookmarkEnd w:id="248"/>
      <w:bookmarkStart w:id="249" w:name="_Toc510614928"/>
      <w:bookmarkStart w:id="250" w:name="_Toc504504579"/>
      <w:bookmarkStart w:id="251" w:name="_Toc514938680"/>
      <w:r>
        <w:rPr>
          <w:rFonts w:hint="eastAsia" w:asciiTheme="minorEastAsia" w:hAnsiTheme="minorEastAsia" w:eastAsiaTheme="minorEastAsia" w:cstheme="minorEastAsia"/>
          <w:b/>
          <w:bCs/>
          <w:sz w:val="24"/>
          <w:szCs w:val="24"/>
        </w:rPr>
        <w:t>合同备案</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1.中标单位应当自采购合同签订之日起3个工作日内，将采购合同原件报</w:t>
      </w:r>
      <w:r>
        <w:rPr>
          <w:rFonts w:hint="eastAsia" w:ascii="宋体" w:hAnsi="宋体" w:cs="宋体"/>
          <w:bCs/>
          <w:kern w:val="0"/>
          <w:sz w:val="24"/>
          <w:lang w:eastAsia="zh-CN"/>
        </w:rPr>
        <w:t>欧邦工程管理集团有限公司</w:t>
      </w:r>
      <w:r>
        <w:rPr>
          <w:rFonts w:hint="eastAsia" w:asciiTheme="minorEastAsia" w:hAnsiTheme="minorEastAsia" w:eastAsiaTheme="minorEastAsia" w:cstheme="minorEastAsia"/>
          <w:sz w:val="24"/>
          <w:szCs w:val="24"/>
        </w:rPr>
        <w:t>备案。</w:t>
      </w:r>
    </w:p>
    <w:p>
      <w:pPr>
        <w:pStyle w:val="27"/>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bookmarkStart w:id="252" w:name="_Toc19035"/>
      <w:r>
        <w:rPr>
          <w:rFonts w:hint="eastAsia" w:asciiTheme="minorEastAsia" w:hAnsiTheme="minorEastAsia" w:eastAsiaTheme="minorEastAsia" w:cstheme="minorEastAsia"/>
          <w:sz w:val="24"/>
          <w:szCs w:val="24"/>
        </w:rPr>
        <w:t>2.未领取中标通知书，采购双方自行签订的合同不予备案。</w:t>
      </w:r>
      <w:bookmarkEnd w:id="252"/>
    </w:p>
    <w:p>
      <w:pPr>
        <w:pStyle w:val="27"/>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bookmarkStart w:id="253" w:name="_Toc18147"/>
      <w:bookmarkStart w:id="254" w:name="_Toc30386"/>
      <w:bookmarkStart w:id="255" w:name="_Toc17798"/>
      <w:bookmarkStart w:id="256" w:name="_Toc7168"/>
      <w:r>
        <w:rPr>
          <w:rFonts w:hint="eastAsia" w:asciiTheme="minorEastAsia" w:hAnsiTheme="minorEastAsia" w:eastAsiaTheme="minorEastAsia" w:cstheme="minorEastAsia"/>
          <w:b/>
          <w:sz w:val="24"/>
          <w:szCs w:val="24"/>
        </w:rPr>
        <w:t>八、款项的结算</w:t>
      </w:r>
      <w:bookmarkEnd w:id="249"/>
      <w:bookmarkEnd w:id="250"/>
      <w:bookmarkEnd w:id="251"/>
      <w:bookmarkEnd w:id="253"/>
      <w:bookmarkEnd w:id="254"/>
      <w:bookmarkEnd w:id="255"/>
      <w:bookmarkEnd w:id="256"/>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按照前面前附表的有关规定结算。</w:t>
      </w:r>
    </w:p>
    <w:p>
      <w:pPr>
        <w:keepLines w:val="0"/>
        <w:pageBreakBefore w:val="0"/>
        <w:kinsoku/>
        <w:wordWrap/>
        <w:overflowPunct/>
        <w:topLinePunct w:val="0"/>
        <w:bidi w:val="0"/>
        <w:spacing w:line="360" w:lineRule="auto"/>
        <w:ind w:firstLine="482"/>
        <w:jc w:val="left"/>
        <w:textAlignment w:val="auto"/>
        <w:outlineLvl w:val="1"/>
        <w:rPr>
          <w:rFonts w:hint="eastAsia" w:asciiTheme="minorEastAsia" w:hAnsiTheme="minorEastAsia" w:eastAsiaTheme="minorEastAsia" w:cstheme="minorEastAsia"/>
          <w:b/>
          <w:bCs/>
          <w:sz w:val="24"/>
          <w:szCs w:val="24"/>
        </w:rPr>
      </w:pPr>
      <w:bookmarkStart w:id="257" w:name="_Toc19446"/>
      <w:bookmarkStart w:id="258" w:name="_Toc7184"/>
      <w:bookmarkStart w:id="259" w:name="_Toc15467"/>
      <w:bookmarkStart w:id="260" w:name="_Toc723"/>
      <w:r>
        <w:rPr>
          <w:rFonts w:hint="eastAsia" w:asciiTheme="minorEastAsia" w:hAnsiTheme="minorEastAsia" w:eastAsiaTheme="minorEastAsia" w:cstheme="minorEastAsia"/>
          <w:b/>
          <w:bCs/>
          <w:sz w:val="24"/>
          <w:szCs w:val="24"/>
        </w:rPr>
        <w:t>九、落实的政府采购政策</w:t>
      </w:r>
      <w:bookmarkEnd w:id="257"/>
      <w:bookmarkEnd w:id="258"/>
      <w:bookmarkEnd w:id="259"/>
      <w:bookmarkEnd w:id="260"/>
    </w:p>
    <w:p>
      <w:pPr>
        <w:keepLines w:val="0"/>
        <w:pageBreakBefore w:val="0"/>
        <w:kinsoku/>
        <w:wordWrap/>
        <w:overflowPunct/>
        <w:topLinePunct w:val="0"/>
        <w:bidi w:val="0"/>
        <w:spacing w:line="360" w:lineRule="auto"/>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（一）小、微企业价格扣除扶持政策</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在报价分评审时依据《政府采购促进中小企业发展暂行办法》（财库〔2011〕181号）、《浙江省财政厅、浙江省中小企业局转发财政部工业和信息化部关于印发&lt;政府采购促进中小企业发展暂行办法&gt;的通知》（浙财采监〔2012〕11号）相关规定，对小型和微型企业的产品给予价格扣除，用扣除后的价格参与评审，具体规定如下：</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1.投标人必须同时满足以下所有规定，方可享受小型、微型企业的价格扣除扶持政策：</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（1）投标人必须符合工信部联企业[2011]300号规定的小型、微型企业的划分标准(行业对应)；</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所投产品必须全部是本企业(或者其他小型、微型企业)制造的货物、承担的工程或服务。（备注：小型、微型企业制造的产品如使用了中、大型企业注册商标的，等同于中、大型企业制造的产品，不享受价格扣除政策）；</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必须提交《中小企业声明函》（见第六部分投标文件格式），如果提供的是其他小型、微型企业制造的产品（服务）的，还须同时提供该企业是小型、微型企业的证明材料（见第六部分投标文件格式）。</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2.根据《政府采购促进中小企业发展</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办法》（财库【20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46</w:t>
      </w:r>
      <w:r>
        <w:rPr>
          <w:rFonts w:hint="eastAsia" w:asciiTheme="minorEastAsia" w:hAnsiTheme="minorEastAsia" w:eastAsiaTheme="minorEastAsia" w:cstheme="minorEastAsia"/>
          <w:sz w:val="24"/>
          <w:szCs w:val="24"/>
        </w:rPr>
        <w:t>号文件）的规定，小型、微型企业提供本企业制造的货物、承担的工程或者服务，或者小型、微型、中型企业提供其他小微企业制造的货物的，其价格给予6%</w:t>
      </w:r>
      <w:r>
        <w:rPr>
          <w:rFonts w:hint="eastAsia" w:asciiTheme="minorEastAsia" w:hAnsiTheme="minorEastAsia" w:eastAsiaTheme="minorEastAsia" w:cstheme="minorEastAsia"/>
          <w:sz w:val="24"/>
          <w:szCs w:val="24"/>
          <w:lang w:val="en-US" w:eastAsia="zh-CN"/>
        </w:rPr>
        <w:t>-10的</w:t>
      </w:r>
      <w:r>
        <w:rPr>
          <w:rFonts w:hint="eastAsia" w:asciiTheme="minorEastAsia" w:hAnsiTheme="minorEastAsia" w:eastAsiaTheme="minorEastAsia" w:cstheme="minorEastAsia"/>
          <w:sz w:val="24"/>
          <w:szCs w:val="24"/>
        </w:rPr>
        <w:t>扣除，用扣除后的价格参与评审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lang w:val="en-US" w:eastAsia="zh-CN"/>
        </w:rPr>
        <w:t>本项目价格给予</w:t>
      </w:r>
      <w:r>
        <w:rPr>
          <w:rFonts w:hint="eastAsia" w:asciiTheme="minorEastAsia" w:hAnsiTheme="minorEastAsia" w:eastAsiaTheme="minorEastAsia" w:cstheme="minorEastAsia"/>
          <w:b/>
          <w:bCs/>
          <w:sz w:val="24"/>
          <w:szCs w:val="24"/>
        </w:rPr>
        <w:t>小型、微型企业</w:t>
      </w:r>
      <w:r>
        <w:rPr>
          <w:rFonts w:hint="eastAsia" w:asciiTheme="minorEastAsia" w:hAnsiTheme="minorEastAsia" w:eastAsiaTheme="minorEastAsia" w:cstheme="minorEastAsia"/>
          <w:b/>
          <w:bCs/>
          <w:sz w:val="24"/>
          <w:szCs w:val="24"/>
          <w:lang w:val="en-US" w:eastAsia="zh-CN"/>
        </w:rPr>
        <w:t>6%的扣除。</w:t>
      </w:r>
      <w:r>
        <w:rPr>
          <w:rFonts w:hint="eastAsia" w:asciiTheme="minorEastAsia" w:hAnsiTheme="minorEastAsia" w:eastAsiaTheme="minorEastAsia" w:cstheme="minorEastAsia"/>
          <w:sz w:val="24"/>
          <w:szCs w:val="24"/>
        </w:rPr>
        <w:t xml:space="preserve"> </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3.小微企业按上述优惠取得政府采购合同后，不得分包或转包给大型、中型企业。</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keepLines w:val="0"/>
        <w:pageBreakBefore w:val="0"/>
        <w:kinsoku/>
        <w:wordWrap/>
        <w:overflowPunct/>
        <w:topLinePunct w:val="0"/>
        <w:bidi w:val="0"/>
        <w:spacing w:line="360" w:lineRule="auto"/>
        <w:ind w:firstLine="482"/>
        <w:jc w:val="left"/>
        <w:textAlignment w:val="auto"/>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（二）监狱企业、残疾人福利性单位价格扣除扶持政策</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政府采购活动时，视同小型、微型企业享受6%的价格扣除扶持政策。</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1）监狱企业证明文件：省级或以上监狱管理局、戒毒管理局（含新疆生产建设兵团）出具的属于监狱企业的证明文件。（2）如果提供其他监狱企业制造的货物，还须同时提供该企业为监狱企业的证明文件。</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6%价格扣除扶持政策。</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备注：（1）残疾人福利性单位证明材料：残疾人福利性单位声明函（见第六部分 投标文件格式）；（2）如提供其他残疾人福利性单位制造的货物，还须同时提供该企业的残疾人福利性单位声明函。</w:t>
      </w:r>
    </w:p>
    <w:p>
      <w:pPr>
        <w:keepLines w:val="0"/>
        <w:pageBreakBefore w:val="0"/>
        <w:numPr>
          <w:ilvl w:val="0"/>
          <w:numId w:val="4"/>
        </w:numPr>
        <w:kinsoku/>
        <w:wordWrap/>
        <w:overflowPunct/>
        <w:topLinePunct w:val="0"/>
        <w:bidi w:val="0"/>
        <w:spacing w:line="360" w:lineRule="auto"/>
        <w:ind w:firstLine="480" w:firstLineChars="20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节能、环保产品政府采购实施相关规定</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keepLines w:val="0"/>
        <w:pageBreakBefore w:val="0"/>
        <w:kinsoku/>
        <w:wordWrap/>
        <w:overflowPunct/>
        <w:topLinePunct w:val="0"/>
        <w:bidi w:val="0"/>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产品如是环境标志产品，应列入财政部、生态环境部联合印发的《关于调整环境标志产品政府采购清单的通知》中公布的清单。注：施行优先采购的产品按照优先采购执行。（需提供该产品所在的环保或节能产品政府采购清单页及有关部门的证明文件）。</w:t>
      </w:r>
    </w:p>
    <w:p>
      <w:pPr>
        <w:pStyle w:val="144"/>
        <w:keepNext w:val="0"/>
        <w:keepLines w:val="0"/>
        <w:pageBreakBefore w:val="0"/>
        <w:widowControl w:val="0"/>
        <w:kinsoku/>
        <w:wordWrap/>
        <w:overflowPunct/>
        <w:topLinePunct w:val="0"/>
        <w:autoSpaceDE/>
        <w:autoSpaceDN/>
        <w:bidi w:val="0"/>
        <w:adjustRightInd/>
        <w:snapToGrid/>
        <w:spacing w:after="0" w:afterLines="50" w:line="220" w:lineRule="atLeast"/>
        <w:ind w:firstLine="0" w:firstLineChars="0"/>
        <w:jc w:val="both"/>
        <w:textAlignment w:val="auto"/>
        <w:outlineLvl w:val="0"/>
        <w:rPr>
          <w:rFonts w:hint="eastAsia" w:ascii="宋体" w:hAnsi="宋体" w:cs="宋体"/>
          <w:b/>
          <w:bCs/>
          <w:sz w:val="30"/>
          <w:szCs w:val="30"/>
        </w:rPr>
      </w:pPr>
      <w:bookmarkStart w:id="261" w:name="_Toc64497184"/>
      <w:bookmarkStart w:id="262" w:name="_Toc18637"/>
      <w:bookmarkStart w:id="263" w:name="_Toc28217"/>
      <w:bookmarkStart w:id="264" w:name="_Toc12700"/>
      <w:bookmarkStart w:id="265" w:name="_Toc174935967"/>
    </w:p>
    <w:p>
      <w:pPr>
        <w:pStyle w:val="144"/>
        <w:keepNext w:val="0"/>
        <w:keepLines w:val="0"/>
        <w:pageBreakBefore w:val="0"/>
        <w:widowControl w:val="0"/>
        <w:kinsoku/>
        <w:wordWrap/>
        <w:overflowPunct/>
        <w:topLinePunct w:val="0"/>
        <w:autoSpaceDE/>
        <w:autoSpaceDN/>
        <w:bidi w:val="0"/>
        <w:adjustRightInd/>
        <w:snapToGrid/>
        <w:spacing w:after="0" w:afterLines="50" w:line="220" w:lineRule="atLeast"/>
        <w:ind w:firstLine="0" w:firstLineChars="0"/>
        <w:jc w:val="center"/>
        <w:textAlignment w:val="auto"/>
        <w:outlineLvl w:val="0"/>
        <w:rPr>
          <w:rFonts w:hint="eastAsia" w:ascii="宋体" w:hAnsi="宋体" w:cs="宋体"/>
          <w:b/>
          <w:bCs/>
          <w:sz w:val="30"/>
          <w:szCs w:val="30"/>
        </w:rPr>
      </w:pPr>
      <w:r>
        <w:rPr>
          <w:rFonts w:hint="eastAsia" w:ascii="宋体" w:hAnsi="宋体" w:cs="宋体"/>
          <w:b/>
          <w:bCs/>
          <w:sz w:val="30"/>
          <w:szCs w:val="30"/>
        </w:rPr>
        <w:t>第三部分 采购需求</w:t>
      </w:r>
      <w:bookmarkEnd w:id="261"/>
      <w:bookmarkEnd w:id="262"/>
      <w:bookmarkEnd w:id="263"/>
      <w:bookmarkEnd w:id="264"/>
    </w:p>
    <w:p>
      <w:pPr>
        <w:snapToGrid w:val="0"/>
        <w:spacing w:line="360" w:lineRule="auto"/>
        <w:ind w:firstLine="480"/>
        <w:rPr>
          <w:rFonts w:hint="eastAsia"/>
          <w:color w:val="000000"/>
          <w:kern w:val="0"/>
          <w:sz w:val="24"/>
        </w:rPr>
      </w:pPr>
      <w:r>
        <w:rPr>
          <w:rFonts w:hint="eastAsia"/>
          <w:sz w:val="24"/>
          <w:lang w:val="en-US" w:eastAsia="zh-CN"/>
        </w:rPr>
        <w:t>嵊州市金庭镇（撤并前金庭镇行政区域范围）8个行政村生活垃圾上门收集、分类清运、大件垃圾清理、终端运行、再生资源回收站点、</w:t>
      </w:r>
      <w:r>
        <w:rPr>
          <w:rFonts w:hint="eastAsia" w:ascii="宋体" w:hAnsi="宋体" w:cs="宋体"/>
          <w:color w:val="auto"/>
          <w:sz w:val="24"/>
          <w:lang w:val="en-US" w:eastAsia="zh-CN"/>
        </w:rPr>
        <w:t>嵊张线局部地段保洁、</w:t>
      </w:r>
      <w:r>
        <w:rPr>
          <w:rFonts w:hint="eastAsia" w:asciiTheme="minorEastAsia" w:hAnsiTheme="minorEastAsia" w:eastAsiaTheme="minorEastAsia" w:cstheme="minorEastAsia"/>
          <w:bCs/>
          <w:sz w:val="24"/>
          <w:szCs w:val="24"/>
          <w:lang w:val="en-US" w:eastAsia="zh-CN"/>
        </w:rPr>
        <w:t>疫情防控期间</w:t>
      </w:r>
      <w:r>
        <w:rPr>
          <w:rFonts w:hint="eastAsia" w:asciiTheme="minorEastAsia" w:hAnsiTheme="minorEastAsia" w:eastAsiaTheme="minorEastAsia" w:cstheme="minorEastAsia"/>
          <w:bCs/>
          <w:sz w:val="24"/>
          <w:szCs w:val="24"/>
          <w:lang w:eastAsia="zh-CN"/>
        </w:rPr>
        <w:t>公厕、中转站、车辆、垃圾桶、消毒消杀</w:t>
      </w:r>
      <w:r>
        <w:rPr>
          <w:rFonts w:hint="eastAsia"/>
          <w:sz w:val="24"/>
        </w:rPr>
        <w:t>。</w:t>
      </w:r>
      <w:r>
        <w:rPr>
          <w:rFonts w:hint="eastAsia" w:ascii="宋体" w:hAnsi="宋体"/>
          <w:sz w:val="24"/>
        </w:rPr>
        <w:t>供应商报价前应自行前往本项目现场进行察勘，以获取更准确的现场情况及数据，自行承担报价风险。</w:t>
      </w:r>
    </w:p>
    <w:p>
      <w:pPr>
        <w:snapToGrid w:val="0"/>
        <w:spacing w:line="360" w:lineRule="auto"/>
        <w:rPr>
          <w:rFonts w:hint="eastAsia"/>
          <w:b/>
          <w:bCs/>
          <w:sz w:val="24"/>
        </w:rPr>
      </w:pPr>
      <w:r>
        <w:rPr>
          <w:rFonts w:hint="eastAsia"/>
          <w:sz w:val="24"/>
        </w:rPr>
        <w:t xml:space="preserve"> </w:t>
      </w:r>
      <w:r>
        <w:rPr>
          <w:rFonts w:hint="eastAsia"/>
          <w:b/>
          <w:bCs/>
          <w:sz w:val="24"/>
        </w:rPr>
        <w:t>一、主要作业范围及内容如下</w:t>
      </w:r>
      <w:r>
        <w:rPr>
          <w:rFonts w:hint="eastAsia"/>
          <w:b/>
          <w:bCs/>
          <w:sz w:val="24"/>
          <w:lang w:eastAsia="zh-CN"/>
        </w:rPr>
        <w:t>（</w:t>
      </w:r>
      <w:r>
        <w:rPr>
          <w:rFonts w:hint="eastAsia"/>
          <w:b/>
          <w:bCs/>
          <w:sz w:val="24"/>
          <w:lang w:val="en-US" w:eastAsia="zh-CN"/>
        </w:rPr>
        <w:t>具体以实际承包区域没的实际任务量为准</w:t>
      </w:r>
      <w:r>
        <w:rPr>
          <w:rFonts w:hint="eastAsia"/>
          <w:b/>
          <w:bCs/>
          <w:sz w:val="24"/>
          <w:lang w:eastAsia="zh-CN"/>
        </w:rPr>
        <w:t>）</w:t>
      </w:r>
      <w:r>
        <w:rPr>
          <w:rFonts w:hint="eastAsia"/>
          <w:b/>
          <w:bCs/>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lang w:val="en-US" w:eastAsia="zh-CN"/>
        </w:rPr>
      </w:pPr>
      <w:r>
        <w:rPr>
          <w:rFonts w:hint="eastAsia"/>
          <w:sz w:val="24"/>
        </w:rPr>
        <w:t xml:space="preserve">1. </w:t>
      </w:r>
      <w:r>
        <w:rPr>
          <w:rFonts w:hint="eastAsia"/>
          <w:sz w:val="24"/>
          <w:lang w:val="en-US" w:eastAsia="zh-CN"/>
        </w:rPr>
        <w:t>生活垃圾上门收集、垃圾分类、清运及日常维护。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eastAsia="宋体"/>
          <w:sz w:val="24"/>
          <w:lang w:val="en-US" w:eastAsia="zh-CN"/>
        </w:rPr>
      </w:pPr>
      <w:r>
        <w:rPr>
          <w:rFonts w:hint="eastAsia"/>
          <w:sz w:val="24"/>
        </w:rPr>
        <w:t xml:space="preserve">2. </w:t>
      </w:r>
      <w:r>
        <w:rPr>
          <w:rFonts w:hint="eastAsia"/>
          <w:sz w:val="24"/>
          <w:lang w:val="en-US" w:eastAsia="zh-CN"/>
        </w:rPr>
        <w:t>大件垃圾清理、沿路袋装垃圾上门收集清运、终端运行。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sz w:val="24"/>
          <w:lang w:val="en-US" w:eastAsia="zh-CN"/>
        </w:rPr>
      </w:pPr>
      <w:r>
        <w:rPr>
          <w:rFonts w:hint="eastAsia"/>
          <w:sz w:val="24"/>
        </w:rPr>
        <w:t xml:space="preserve">3. </w:t>
      </w:r>
      <w:r>
        <w:rPr>
          <w:rFonts w:hint="eastAsia"/>
          <w:sz w:val="24"/>
          <w:lang w:val="en-US" w:eastAsia="zh-CN"/>
        </w:rPr>
        <w:t>将上门收集垃圾清运至就近的垃圾填埋场，工作表中有要求的垃圾清运至规定地点。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sz w:val="24"/>
          <w:lang w:val="en-US" w:eastAsia="zh-CN"/>
        </w:rPr>
      </w:pPr>
      <w:r>
        <w:rPr>
          <w:rFonts w:hint="eastAsia"/>
          <w:sz w:val="24"/>
          <w:lang w:val="en-US" w:eastAsia="zh-CN"/>
        </w:rPr>
        <w:t>4</w:t>
      </w:r>
      <w:r>
        <w:rPr>
          <w:rFonts w:hint="eastAsia"/>
          <w:sz w:val="24"/>
        </w:rPr>
        <w:t xml:space="preserve">. </w:t>
      </w:r>
      <w:r>
        <w:rPr>
          <w:rFonts w:hint="eastAsia"/>
          <w:sz w:val="24"/>
          <w:lang w:val="en-US" w:eastAsia="zh-CN"/>
        </w:rPr>
        <w:t>再生资源回收站点管理。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宋体" w:hAnsi="宋体" w:cs="宋体"/>
          <w:color w:val="auto"/>
          <w:sz w:val="24"/>
          <w:lang w:val="en-US" w:eastAsia="zh-CN"/>
        </w:rPr>
        <w:t>嵊张线局部地段保洁。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sz w:val="24"/>
          <w:lang w:val="en-US" w:eastAsia="zh-CN"/>
        </w:rPr>
      </w:pPr>
      <w:r>
        <w:rPr>
          <w:rFonts w:hint="eastAsia" w:cs="Times New Roman"/>
          <w:sz w:val="24"/>
          <w:lang w:val="en-US" w:eastAsia="zh-CN"/>
        </w:rPr>
        <w:t>6</w:t>
      </w:r>
      <w:r>
        <w:rPr>
          <w:rFonts w:hint="eastAsia" w:ascii="Times New Roman" w:hAnsi="Times New Roman" w:cs="Times New Roman"/>
          <w:sz w:val="24"/>
          <w:lang w:val="en-US" w:eastAsia="zh-CN"/>
        </w:rPr>
        <w:t>.疫情防控期间公厕、中转站、车辆、垃圾桶、消毒消杀。</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r>
        <w:rPr>
          <w:rFonts w:hint="eastAsia" w:ascii="Times New Roman" w:hAnsi="Times New Roman" w:cs="Times New Roman"/>
          <w:b/>
          <w:bCs/>
          <w:sz w:val="24"/>
          <w:lang w:val="en-US" w:eastAsia="zh-CN"/>
        </w:rPr>
        <w:t>二、预计总投入金额：</w:t>
      </w:r>
      <w:r>
        <w:rPr>
          <w:rFonts w:hint="eastAsia" w:ascii="宋体" w:hAnsi="宋体" w:cs="宋体"/>
          <w:b/>
          <w:bCs/>
          <w:color w:val="auto"/>
          <w:sz w:val="24"/>
          <w:highlight w:val="none"/>
          <w:lang w:val="en-US" w:eastAsia="zh-CN"/>
        </w:rPr>
        <w:t>11100288元/</w:t>
      </w:r>
      <w:r>
        <w:rPr>
          <w:rFonts w:hint="eastAsia" w:ascii="宋体" w:hAnsi="宋体" w:cs="宋体"/>
          <w:b/>
          <w:bCs/>
          <w:color w:val="auto"/>
          <w:sz w:val="24"/>
          <w:highlight w:val="none"/>
        </w:rPr>
        <w:t>3年（</w:t>
      </w:r>
      <w:r>
        <w:rPr>
          <w:rFonts w:hint="eastAsia"/>
          <w:b/>
          <w:bCs/>
          <w:sz w:val="24"/>
          <w:szCs w:val="24"/>
          <w:vertAlign w:val="baseline"/>
          <w:lang w:val="en-US" w:eastAsia="zh-CN"/>
        </w:rPr>
        <w:t>3700096元/年</w:t>
      </w:r>
      <w:r>
        <w:rPr>
          <w:rFonts w:hint="eastAsia" w:ascii="宋体" w:hAnsi="宋体" w:cs="宋体"/>
          <w:b/>
          <w:bCs/>
          <w:color w:val="auto"/>
          <w:sz w:val="24"/>
          <w:highlight w:val="none"/>
        </w:rPr>
        <w:t>）</w:t>
      </w:r>
      <w:r>
        <w:rPr>
          <w:rFonts w:hint="eastAsia"/>
          <w:b/>
          <w:bCs/>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sz w:val="24"/>
        </w:rPr>
      </w:pPr>
      <w:r>
        <w:rPr>
          <w:rFonts w:hint="eastAsia"/>
          <w:sz w:val="24"/>
        </w:rPr>
        <w:t>1、预算服务内容说明：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sz w:val="24"/>
        </w:rPr>
      </w:pPr>
      <w:r>
        <w:rPr>
          <w:rFonts w:hint="eastAsia"/>
          <w:sz w:val="24"/>
        </w:rPr>
        <w:t>（1）保洁员工的基本工资和福利待遇正规化，符合劳动法的相关要求。</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20"/>
        <w:jc w:val="left"/>
        <w:textAlignment w:val="auto"/>
        <w:rPr>
          <w:rFonts w:hint="eastAsia"/>
          <w:sz w:val="24"/>
        </w:rPr>
      </w:pPr>
      <w:r>
        <w:rPr>
          <w:rFonts w:hint="eastAsia"/>
          <w:sz w:val="24"/>
        </w:rPr>
        <w:t>（2）投入机械设备，真正做到人机结合，</w:t>
      </w:r>
      <w:r>
        <w:rPr>
          <w:rFonts w:hint="eastAsia"/>
          <w:sz w:val="24"/>
          <w:lang w:val="en-US" w:eastAsia="zh-CN"/>
        </w:rPr>
        <w:t>电动</w:t>
      </w:r>
      <w:r>
        <w:rPr>
          <w:rFonts w:hint="eastAsia"/>
          <w:sz w:val="24"/>
        </w:rPr>
        <w:t>二桶垃圾收集车</w:t>
      </w:r>
      <w:r>
        <w:rPr>
          <w:rFonts w:hint="eastAsia"/>
          <w:sz w:val="24"/>
          <w:lang w:val="en-US" w:eastAsia="zh-CN"/>
        </w:rPr>
        <w:t>55</w:t>
      </w:r>
      <w:r>
        <w:rPr>
          <w:rFonts w:hint="eastAsia"/>
          <w:sz w:val="24"/>
        </w:rPr>
        <w:t>辆。</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20"/>
        <w:jc w:val="left"/>
        <w:textAlignment w:val="auto"/>
        <w:rPr>
          <w:rFonts w:hint="eastAsia"/>
          <w:color w:val="auto"/>
          <w:sz w:val="24"/>
        </w:rPr>
      </w:pPr>
      <w:r>
        <w:rPr>
          <w:rFonts w:hint="eastAsia"/>
          <w:color w:val="auto"/>
          <w:sz w:val="24"/>
        </w:rPr>
        <w:t>（3）垃圾分类</w:t>
      </w:r>
      <w:r>
        <w:rPr>
          <w:rFonts w:hint="eastAsia"/>
          <w:color w:val="auto"/>
          <w:sz w:val="24"/>
          <w:lang w:eastAsia="zh-CN"/>
        </w:rPr>
        <w:t>宣传、</w:t>
      </w:r>
      <w:r>
        <w:rPr>
          <w:rFonts w:hint="eastAsia"/>
          <w:color w:val="auto"/>
          <w:sz w:val="24"/>
        </w:rPr>
        <w:t>收集和运输环节，农户做到厨余垃圾和其他垃圾的分类入桶，收集员挨家挨户上门分类收集垃圾及主次道路沿线垃圾分类收集至各垃圾收集点，进行“桶换桶”分类收集，并由压缩车转运至</w:t>
      </w:r>
      <w:r>
        <w:rPr>
          <w:rFonts w:hint="eastAsia"/>
          <w:color w:val="auto"/>
          <w:sz w:val="24"/>
          <w:lang w:eastAsia="zh-CN"/>
        </w:rPr>
        <w:t>指定地点</w:t>
      </w:r>
      <w:r>
        <w:rPr>
          <w:rFonts w:hint="eastAsia"/>
          <w:color w:val="auto"/>
          <w:sz w:val="24"/>
        </w:rPr>
        <w:t>。积极响应“嵊州市环境卫生垃圾分类文件”要求。2辆</w:t>
      </w:r>
      <w:r>
        <w:rPr>
          <w:rFonts w:hint="eastAsia"/>
          <w:color w:val="auto"/>
          <w:sz w:val="24"/>
          <w:lang w:val="en-US" w:eastAsia="zh-CN"/>
        </w:rPr>
        <w:t>总质量15.8吨以上垃圾</w:t>
      </w:r>
      <w:r>
        <w:rPr>
          <w:rFonts w:hint="eastAsia"/>
          <w:color w:val="auto"/>
          <w:sz w:val="24"/>
        </w:rPr>
        <w:t>压缩车</w:t>
      </w:r>
      <w:r>
        <w:rPr>
          <w:rFonts w:hint="eastAsia" w:asciiTheme="majorEastAsia" w:hAnsiTheme="majorEastAsia" w:eastAsiaTheme="majorEastAsia" w:cstheme="majorEastAsia"/>
          <w:b w:val="0"/>
          <w:bCs w:val="0"/>
          <w:color w:val="auto"/>
          <w:sz w:val="24"/>
          <w:szCs w:val="24"/>
          <w:u w:val="none"/>
          <w:vertAlign w:val="baseline"/>
          <w:lang w:val="en-US" w:eastAsia="zh-CN"/>
        </w:rPr>
        <w:t>负责将分类收集到各村口等垃圾集中点的垃圾分类压缩清运至市垃圾填埋场</w:t>
      </w:r>
      <w:r>
        <w:rPr>
          <w:rFonts w:hint="eastAsia"/>
          <w:color w:val="auto"/>
          <w:sz w:val="24"/>
        </w:rPr>
        <w:t>，每车一日</w:t>
      </w:r>
      <w:r>
        <w:rPr>
          <w:rFonts w:hint="eastAsia"/>
          <w:color w:val="auto"/>
          <w:sz w:val="24"/>
          <w:lang w:val="en-US" w:eastAsia="zh-CN"/>
        </w:rPr>
        <w:t>一</w:t>
      </w:r>
      <w:r>
        <w:rPr>
          <w:rFonts w:hint="eastAsia"/>
          <w:color w:val="auto"/>
          <w:sz w:val="24"/>
        </w:rPr>
        <w:t>车，做到日产日清。汽油四轮八桶垃圾收集车</w:t>
      </w:r>
      <w:r>
        <w:rPr>
          <w:rFonts w:hint="eastAsia"/>
          <w:color w:val="auto"/>
          <w:sz w:val="24"/>
          <w:lang w:val="en-US" w:eastAsia="zh-CN"/>
        </w:rPr>
        <w:t>2</w:t>
      </w:r>
      <w:r>
        <w:rPr>
          <w:rFonts w:hint="eastAsia"/>
          <w:color w:val="auto"/>
          <w:sz w:val="24"/>
        </w:rPr>
        <w:t>辆，</w:t>
      </w:r>
      <w:r>
        <w:rPr>
          <w:rFonts w:hint="eastAsia"/>
          <w:b w:val="0"/>
          <w:bCs w:val="0"/>
          <w:color w:val="auto"/>
          <w:sz w:val="24"/>
          <w:szCs w:val="24"/>
          <w:lang w:val="en-US" w:eastAsia="zh-CN"/>
        </w:rPr>
        <w:t>各村厨余垃圾由</w:t>
      </w:r>
      <w:r>
        <w:rPr>
          <w:rFonts w:hint="eastAsia" w:asciiTheme="majorEastAsia" w:hAnsiTheme="majorEastAsia" w:eastAsiaTheme="majorEastAsia" w:cstheme="majorEastAsia"/>
          <w:b w:val="0"/>
          <w:bCs w:val="0"/>
          <w:color w:val="auto"/>
          <w:sz w:val="24"/>
          <w:szCs w:val="24"/>
          <w:u w:val="none"/>
          <w:vertAlign w:val="baseline"/>
          <w:lang w:val="en-US" w:eastAsia="zh-CN"/>
        </w:rPr>
        <w:t>汽油四轮八桶车转运至华堂、晋溪两个垃圾处理终端进行处理，每天清运4次</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20"/>
        <w:jc w:val="left"/>
        <w:textAlignment w:val="auto"/>
        <w:rPr>
          <w:rFonts w:hint="default" w:eastAsia="宋体"/>
          <w:lang w:val="en-US" w:eastAsia="zh-CN"/>
        </w:rPr>
      </w:pPr>
      <w:r>
        <w:rPr>
          <w:rFonts w:hint="eastAsia"/>
          <w:color w:val="auto"/>
          <w:sz w:val="24"/>
          <w:lang w:val="en-US" w:eastAsia="zh-CN"/>
        </w:rPr>
        <w:t>（4）</w:t>
      </w:r>
      <w:r>
        <w:rPr>
          <w:rFonts w:hint="eastAsia" w:asciiTheme="majorEastAsia" w:hAnsiTheme="majorEastAsia" w:eastAsiaTheme="majorEastAsia" w:cstheme="majorEastAsia"/>
          <w:b w:val="0"/>
          <w:bCs w:val="0"/>
          <w:color w:val="auto"/>
          <w:sz w:val="24"/>
          <w:szCs w:val="24"/>
          <w:u w:val="none"/>
          <w:vertAlign w:val="baseline"/>
          <w:lang w:val="en-US" w:eastAsia="zh-CN"/>
        </w:rPr>
        <w:t>垃圾桶设50个桶点，每个桶点放4只桶，年更换不低于500只。</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20"/>
        <w:jc w:val="left"/>
        <w:textAlignment w:val="auto"/>
        <w:rPr>
          <w:rFonts w:hint="eastAsia"/>
          <w:sz w:val="24"/>
        </w:rPr>
      </w:pPr>
      <w:r>
        <w:rPr>
          <w:rFonts w:hint="eastAsia"/>
          <w:sz w:val="24"/>
        </w:rPr>
        <w:t>（</w:t>
      </w:r>
      <w:r>
        <w:rPr>
          <w:rFonts w:hint="eastAsia"/>
          <w:sz w:val="24"/>
          <w:lang w:val="en-US" w:eastAsia="zh-CN"/>
        </w:rPr>
        <w:t>5</w:t>
      </w:r>
      <w:r>
        <w:rPr>
          <w:rFonts w:hint="eastAsia"/>
          <w:sz w:val="24"/>
        </w:rPr>
        <w:t>）该方案报价包含建筑垃圾清运、大件垃圾及渣土清运、道路除雪、积存垃圾的突击、整治和自然灾害的应急保障等费用。 还包含了不可预见费。</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三、嵊州市金庭镇环卫保洁服务项目配备要求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sz w:val="28"/>
          <w:szCs w:val="28"/>
        </w:rPr>
      </w:pPr>
      <w:r>
        <w:rPr>
          <w:rFonts w:hint="eastAsia"/>
          <w:sz w:val="28"/>
          <w:szCs w:val="28"/>
        </w:rPr>
        <w:t>附件1.机械设备投入及配置</w:t>
      </w:r>
      <w:r>
        <w:rPr>
          <w:rFonts w:hint="eastAsia"/>
          <w:sz w:val="28"/>
          <w:szCs w:val="28"/>
          <w:lang w:eastAsia="zh-CN"/>
        </w:rPr>
        <w:t>要求</w:t>
      </w:r>
      <w:r>
        <w:rPr>
          <w:rFonts w:hint="eastAsia"/>
          <w:sz w:val="28"/>
          <w:szCs w:val="28"/>
        </w:rPr>
        <w:t>：</w:t>
      </w:r>
    </w:p>
    <w:tbl>
      <w:tblPr>
        <w:tblStyle w:val="4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9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8" w:type="dxa"/>
            <w:noWrap w:val="0"/>
            <w:vAlign w:val="center"/>
          </w:tcPr>
          <w:p>
            <w:pPr>
              <w:jc w:val="center"/>
              <w:rPr>
                <w:rFonts w:hint="eastAsia"/>
                <w:sz w:val="24"/>
                <w:highlight w:val="none"/>
              </w:rPr>
            </w:pPr>
            <w:r>
              <w:rPr>
                <w:rFonts w:hint="eastAsia"/>
                <w:sz w:val="24"/>
                <w:highlight w:val="none"/>
              </w:rPr>
              <w:t>序号</w:t>
            </w:r>
          </w:p>
        </w:tc>
        <w:tc>
          <w:tcPr>
            <w:tcW w:w="2340" w:type="dxa"/>
            <w:noWrap w:val="0"/>
            <w:vAlign w:val="center"/>
          </w:tcPr>
          <w:p>
            <w:pPr>
              <w:jc w:val="center"/>
              <w:rPr>
                <w:rFonts w:hint="eastAsia"/>
                <w:sz w:val="24"/>
                <w:highlight w:val="none"/>
              </w:rPr>
            </w:pPr>
            <w:r>
              <w:rPr>
                <w:rFonts w:hint="eastAsia"/>
                <w:sz w:val="24"/>
                <w:highlight w:val="none"/>
              </w:rPr>
              <w:t>设备名称</w:t>
            </w:r>
          </w:p>
        </w:tc>
        <w:tc>
          <w:tcPr>
            <w:tcW w:w="900" w:type="dxa"/>
            <w:noWrap w:val="0"/>
            <w:vAlign w:val="center"/>
          </w:tcPr>
          <w:p>
            <w:pPr>
              <w:jc w:val="center"/>
              <w:rPr>
                <w:rFonts w:hint="eastAsia"/>
                <w:sz w:val="24"/>
                <w:highlight w:val="none"/>
              </w:rPr>
            </w:pPr>
            <w:r>
              <w:rPr>
                <w:rFonts w:hint="eastAsia"/>
                <w:sz w:val="24"/>
                <w:highlight w:val="none"/>
              </w:rPr>
              <w:t>数量</w:t>
            </w:r>
          </w:p>
        </w:tc>
        <w:tc>
          <w:tcPr>
            <w:tcW w:w="4680" w:type="dxa"/>
            <w:noWrap w:val="0"/>
            <w:vAlign w:val="center"/>
          </w:tcPr>
          <w:p>
            <w:pPr>
              <w:jc w:val="center"/>
              <w:rPr>
                <w:rFonts w:hint="eastAsia"/>
                <w:sz w:val="24"/>
                <w:highlight w:val="none"/>
              </w:rPr>
            </w:pPr>
            <w:r>
              <w:rPr>
                <w:rFonts w:hint="eastAsia"/>
                <w:sz w:val="24"/>
                <w:highlight w:val="none"/>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sz w:val="24"/>
                <w:highlight w:val="none"/>
              </w:rPr>
            </w:pPr>
            <w:r>
              <w:rPr>
                <w:rFonts w:hint="eastAsia"/>
                <w:sz w:val="24"/>
                <w:highlight w:val="none"/>
              </w:rPr>
              <w:t>1</w:t>
            </w:r>
          </w:p>
        </w:tc>
        <w:tc>
          <w:tcPr>
            <w:tcW w:w="2340" w:type="dxa"/>
            <w:noWrap w:val="0"/>
            <w:vAlign w:val="center"/>
          </w:tcPr>
          <w:p>
            <w:pPr>
              <w:jc w:val="center"/>
              <w:rPr>
                <w:rFonts w:hint="default" w:eastAsia="宋体"/>
                <w:sz w:val="24"/>
                <w:highlight w:val="none"/>
                <w:lang w:val="en-US" w:eastAsia="zh-CN"/>
              </w:rPr>
            </w:pPr>
            <w:r>
              <w:rPr>
                <w:rFonts w:hint="eastAsia"/>
                <w:sz w:val="24"/>
                <w:highlight w:val="none"/>
                <w:lang w:val="en-US" w:eastAsia="zh-CN"/>
              </w:rPr>
              <w:t>电动两桶垃圾收集车</w:t>
            </w:r>
          </w:p>
        </w:tc>
        <w:tc>
          <w:tcPr>
            <w:tcW w:w="900" w:type="dxa"/>
            <w:noWrap w:val="0"/>
            <w:vAlign w:val="center"/>
          </w:tcPr>
          <w:p>
            <w:pPr>
              <w:jc w:val="center"/>
              <w:rPr>
                <w:rFonts w:hint="eastAsia"/>
                <w:sz w:val="24"/>
                <w:highlight w:val="none"/>
              </w:rPr>
            </w:pPr>
            <w:r>
              <w:rPr>
                <w:rFonts w:hint="eastAsia"/>
                <w:sz w:val="24"/>
                <w:highlight w:val="none"/>
                <w:lang w:val="en-US" w:eastAsia="zh-CN"/>
              </w:rPr>
              <w:t>55</w:t>
            </w:r>
            <w:r>
              <w:rPr>
                <w:rFonts w:hint="eastAsia"/>
                <w:sz w:val="24"/>
                <w:highlight w:val="none"/>
              </w:rPr>
              <w:t>辆</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highlight w:val="none"/>
              </w:rPr>
            </w:pPr>
            <w:r>
              <w:rPr>
                <w:rFonts w:hint="eastAsia"/>
                <w:sz w:val="24"/>
                <w:highlight w:val="none"/>
              </w:rPr>
              <w:t>用于</w:t>
            </w:r>
            <w:r>
              <w:rPr>
                <w:rFonts w:hint="eastAsia"/>
                <w:sz w:val="24"/>
                <w:highlight w:val="none"/>
                <w:lang w:val="en-US" w:eastAsia="zh-CN"/>
              </w:rPr>
              <w:t>金庭</w:t>
            </w:r>
            <w:r>
              <w:rPr>
                <w:rFonts w:hint="eastAsia"/>
                <w:sz w:val="24"/>
                <w:highlight w:val="none"/>
              </w:rPr>
              <w:t>镇管辖范围内</w:t>
            </w:r>
            <w:r>
              <w:rPr>
                <w:rFonts w:hint="eastAsia"/>
                <w:sz w:val="24"/>
                <w:highlight w:val="none"/>
                <w:lang w:val="en-US" w:eastAsia="zh-CN"/>
              </w:rPr>
              <w:t>8</w:t>
            </w:r>
            <w:r>
              <w:rPr>
                <w:rFonts w:hint="eastAsia"/>
                <w:sz w:val="24"/>
                <w:highlight w:val="none"/>
              </w:rPr>
              <w:t>个行政村挨家挨户垃圾上门分类收集及主次道路沿线垃圾分类清运至各垃圾收集点。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highlight w:val="none"/>
              </w:rPr>
            </w:pPr>
            <w:r>
              <w:rPr>
                <w:rFonts w:hint="eastAsia"/>
                <w:sz w:val="24"/>
                <w:highlight w:val="none"/>
                <w:lang w:val="en-US" w:eastAsia="zh-CN"/>
              </w:rPr>
              <w:t>8</w:t>
            </w:r>
            <w:r>
              <w:rPr>
                <w:rFonts w:hint="eastAsia"/>
                <w:sz w:val="24"/>
                <w:highlight w:val="none"/>
              </w:rPr>
              <w:t>个行政村内部有些道路较窄，电动二桶垃圾收集车体积较小，能灵活穿梭在各行政村之间；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8" w:type="dxa"/>
            <w:noWrap w:val="0"/>
            <w:vAlign w:val="center"/>
          </w:tcPr>
          <w:p>
            <w:pPr>
              <w:jc w:val="center"/>
              <w:rPr>
                <w:rFonts w:hint="eastAsia" w:eastAsia="宋体"/>
                <w:sz w:val="24"/>
                <w:highlight w:val="none"/>
                <w:lang w:eastAsia="zh-CN"/>
              </w:rPr>
            </w:pPr>
            <w:r>
              <w:rPr>
                <w:rFonts w:hint="eastAsia"/>
                <w:sz w:val="24"/>
                <w:highlight w:val="none"/>
                <w:lang w:val="en-US" w:eastAsia="zh-CN"/>
              </w:rPr>
              <w:t>2</w:t>
            </w:r>
          </w:p>
        </w:tc>
        <w:tc>
          <w:tcPr>
            <w:tcW w:w="2340" w:type="dxa"/>
            <w:noWrap w:val="0"/>
            <w:vAlign w:val="center"/>
          </w:tcPr>
          <w:p>
            <w:pPr>
              <w:jc w:val="center"/>
              <w:rPr>
                <w:rFonts w:hint="default" w:eastAsia="宋体"/>
                <w:sz w:val="24"/>
                <w:highlight w:val="none"/>
                <w:lang w:val="en-US" w:eastAsia="zh-CN"/>
              </w:rPr>
            </w:pPr>
            <w:r>
              <w:rPr>
                <w:rFonts w:hint="eastAsia"/>
                <w:sz w:val="24"/>
                <w:highlight w:val="none"/>
                <w:lang w:val="en-US" w:eastAsia="zh-CN"/>
              </w:rPr>
              <w:t>总质量15.8吨以上垃圾压缩车</w:t>
            </w:r>
          </w:p>
        </w:tc>
        <w:tc>
          <w:tcPr>
            <w:tcW w:w="900" w:type="dxa"/>
            <w:noWrap w:val="0"/>
            <w:vAlign w:val="center"/>
          </w:tcPr>
          <w:p>
            <w:pPr>
              <w:jc w:val="center"/>
              <w:rPr>
                <w:rFonts w:hint="eastAsia"/>
                <w:color w:val="auto"/>
                <w:sz w:val="24"/>
                <w:highlight w:val="none"/>
              </w:rPr>
            </w:pPr>
            <w:r>
              <w:rPr>
                <w:rFonts w:hint="eastAsia"/>
                <w:color w:val="auto"/>
                <w:sz w:val="24"/>
                <w:highlight w:val="none"/>
              </w:rPr>
              <w:t>2辆</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sz w:val="24"/>
                <w:highlight w:val="none"/>
              </w:rPr>
            </w:pPr>
            <w:r>
              <w:rPr>
                <w:rFonts w:hint="eastAsia" w:asciiTheme="majorEastAsia" w:hAnsiTheme="majorEastAsia" w:eastAsiaTheme="majorEastAsia" w:cstheme="majorEastAsia"/>
                <w:b w:val="0"/>
                <w:bCs w:val="0"/>
                <w:color w:val="auto"/>
                <w:sz w:val="24"/>
                <w:szCs w:val="24"/>
                <w:u w:val="none"/>
                <w:vertAlign w:val="baseline"/>
                <w:lang w:val="en-US" w:eastAsia="zh-CN"/>
              </w:rPr>
              <w:t>负责将分类收集到各村口等垃圾集中点的垃圾分类压缩清运至市垃圾填埋场</w:t>
            </w:r>
            <w:r>
              <w:rPr>
                <w:rFonts w:hint="eastAsia"/>
                <w:color w:val="auto"/>
                <w:sz w:val="24"/>
                <w:highlight w:val="none"/>
              </w:rPr>
              <w:t xml:space="preserve"> 。每辆车按一日</w:t>
            </w:r>
            <w:r>
              <w:rPr>
                <w:rFonts w:hint="eastAsia"/>
                <w:color w:val="auto"/>
                <w:sz w:val="24"/>
                <w:highlight w:val="none"/>
                <w:lang w:val="en-US" w:eastAsia="zh-CN"/>
              </w:rPr>
              <w:t>一</w:t>
            </w:r>
            <w:r>
              <w:rPr>
                <w:rFonts w:hint="eastAsia"/>
                <w:color w:val="auto"/>
                <w:sz w:val="24"/>
                <w:highlight w:val="none"/>
              </w:rPr>
              <w:t>车计算，基本满足项目需求。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28" w:type="dxa"/>
            <w:noWrap w:val="0"/>
            <w:vAlign w:val="center"/>
          </w:tcPr>
          <w:p>
            <w:pPr>
              <w:jc w:val="center"/>
              <w:rPr>
                <w:rFonts w:hint="eastAsia" w:eastAsia="宋体"/>
                <w:sz w:val="24"/>
                <w:highlight w:val="none"/>
                <w:lang w:eastAsia="zh-CN"/>
              </w:rPr>
            </w:pPr>
            <w:r>
              <w:rPr>
                <w:rFonts w:hint="eastAsia"/>
                <w:sz w:val="24"/>
                <w:highlight w:val="none"/>
                <w:lang w:val="en-US" w:eastAsia="zh-CN"/>
              </w:rPr>
              <w:t>3</w:t>
            </w:r>
          </w:p>
        </w:tc>
        <w:tc>
          <w:tcPr>
            <w:tcW w:w="2340" w:type="dxa"/>
            <w:noWrap w:val="0"/>
            <w:vAlign w:val="center"/>
          </w:tcPr>
          <w:p>
            <w:pPr>
              <w:jc w:val="center"/>
              <w:rPr>
                <w:rFonts w:hint="eastAsia"/>
                <w:sz w:val="24"/>
                <w:highlight w:val="none"/>
              </w:rPr>
            </w:pPr>
            <w:r>
              <w:rPr>
                <w:rFonts w:hint="eastAsia"/>
                <w:sz w:val="24"/>
                <w:highlight w:val="none"/>
              </w:rPr>
              <w:t>汽油四轮八桶垃圾收集车</w:t>
            </w:r>
          </w:p>
        </w:tc>
        <w:tc>
          <w:tcPr>
            <w:tcW w:w="900" w:type="dxa"/>
            <w:noWrap w:val="0"/>
            <w:vAlign w:val="center"/>
          </w:tcPr>
          <w:p>
            <w:pPr>
              <w:jc w:val="center"/>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辆</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color w:val="auto"/>
                <w:sz w:val="24"/>
                <w:highlight w:val="none"/>
                <w:lang w:eastAsia="zh-CN"/>
              </w:rPr>
            </w:pPr>
            <w:r>
              <w:rPr>
                <w:rFonts w:hint="eastAsia"/>
                <w:b w:val="0"/>
                <w:bCs w:val="0"/>
                <w:color w:val="auto"/>
                <w:sz w:val="24"/>
                <w:szCs w:val="24"/>
                <w:lang w:val="en-US" w:eastAsia="zh-CN"/>
              </w:rPr>
              <w:t>各村厨余垃圾由</w:t>
            </w:r>
            <w:r>
              <w:rPr>
                <w:rFonts w:hint="eastAsia" w:asciiTheme="majorEastAsia" w:hAnsiTheme="majorEastAsia" w:eastAsiaTheme="majorEastAsia" w:cstheme="majorEastAsia"/>
                <w:b w:val="0"/>
                <w:bCs w:val="0"/>
                <w:color w:val="auto"/>
                <w:sz w:val="24"/>
                <w:szCs w:val="24"/>
                <w:u w:val="none"/>
                <w:vertAlign w:val="baseline"/>
                <w:lang w:val="en-US" w:eastAsia="zh-CN"/>
              </w:rPr>
              <w:t>汽油四轮八桶车转运至华堂、晋溪两个垃圾处理终端进行处理，配备2辆汽油四轮八桶车每天清运4次</w:t>
            </w:r>
            <w:r>
              <w:rPr>
                <w:rFonts w:hint="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28" w:type="dxa"/>
            <w:noWrap w:val="0"/>
            <w:vAlign w:val="center"/>
          </w:tcPr>
          <w:p>
            <w:pPr>
              <w:jc w:val="center"/>
              <w:rPr>
                <w:rFonts w:hint="default"/>
                <w:sz w:val="24"/>
                <w:highlight w:val="none"/>
                <w:lang w:val="en-US" w:eastAsia="zh-CN"/>
              </w:rPr>
            </w:pPr>
            <w:r>
              <w:rPr>
                <w:rFonts w:hint="eastAsia"/>
                <w:sz w:val="24"/>
                <w:highlight w:val="none"/>
                <w:lang w:val="en-US" w:eastAsia="zh-CN"/>
              </w:rPr>
              <w:t>4</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垃圾桶</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b w:val="0"/>
                <w:bCs w:val="0"/>
                <w:color w:val="auto"/>
                <w:sz w:val="24"/>
                <w:szCs w:val="24"/>
                <w:lang w:val="en-US" w:eastAsia="zh-CN"/>
              </w:rPr>
            </w:pPr>
            <w:r>
              <w:rPr>
                <w:rFonts w:hint="eastAsia"/>
                <w:b w:val="0"/>
                <w:bCs w:val="0"/>
                <w:color w:val="auto"/>
                <w:sz w:val="24"/>
                <w:szCs w:val="24"/>
                <w:lang w:val="en-US" w:eastAsia="zh-CN"/>
              </w:rPr>
              <w:t>500</w:t>
            </w:r>
          </w:p>
        </w:tc>
        <w:tc>
          <w:tcPr>
            <w:tcW w:w="4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50个桶点，每个桶点放4只桶，年更换率2.5计。</w:t>
            </w:r>
          </w:p>
        </w:tc>
      </w:tr>
    </w:tbl>
    <w:p>
      <w:pPr>
        <w:tabs>
          <w:tab w:val="left" w:pos="1813"/>
        </w:tabs>
        <w:bidi w:val="0"/>
        <w:jc w:val="left"/>
        <w:rPr>
          <w:rFonts w:hint="eastAsia"/>
          <w:b/>
          <w:bCs/>
          <w:sz w:val="24"/>
          <w:szCs w:val="24"/>
          <w:vertAlign w:val="baseline"/>
          <w:lang w:val="en-US" w:eastAsia="zh-CN"/>
        </w:rPr>
      </w:pPr>
      <w:r>
        <w:rPr>
          <w:rFonts w:hint="eastAsia"/>
          <w:b/>
          <w:bCs/>
          <w:sz w:val="24"/>
          <w:szCs w:val="24"/>
          <w:vertAlign w:val="baseline"/>
          <w:lang w:val="en-US" w:eastAsia="zh-CN"/>
        </w:rPr>
        <w:t>1、以上车辆、设备配置为本项目最低配置，具体车辆等由投标单位根据本项目实际需要进行配置。</w:t>
      </w:r>
    </w:p>
    <w:p>
      <w:pPr>
        <w:tabs>
          <w:tab w:val="left" w:pos="1813"/>
        </w:tabs>
        <w:bidi w:val="0"/>
        <w:jc w:val="left"/>
        <w:rPr>
          <w:rFonts w:hint="default"/>
          <w:b/>
          <w:bCs/>
          <w:sz w:val="24"/>
          <w:szCs w:val="24"/>
          <w:vertAlign w:val="baseline"/>
          <w:lang w:val="en-US" w:eastAsia="zh-CN"/>
        </w:rPr>
      </w:pPr>
      <w:r>
        <w:rPr>
          <w:rFonts w:hint="eastAsia"/>
          <w:b/>
          <w:bCs/>
          <w:sz w:val="24"/>
          <w:szCs w:val="24"/>
          <w:vertAlign w:val="baseline"/>
          <w:lang w:val="en-US" w:eastAsia="zh-CN"/>
        </w:rPr>
        <w:t>2、中标单位在中标后5个工作日内提交车辆、设备配置方案并经采购人认可后方可实施，采购人有权对车辆、设备配置进行调整，中标单位不得有异议。</w:t>
      </w:r>
    </w:p>
    <w:p>
      <w:pPr>
        <w:tabs>
          <w:tab w:val="left" w:pos="1813"/>
        </w:tabs>
        <w:bidi w:val="0"/>
        <w:jc w:val="left"/>
        <w:rPr>
          <w:rFonts w:hint="eastAsia"/>
          <w:sz w:val="28"/>
          <w:szCs w:val="28"/>
        </w:rPr>
      </w:pPr>
      <w:r>
        <w:rPr>
          <w:rFonts w:hint="eastAsia"/>
          <w:b/>
          <w:bCs/>
          <w:sz w:val="24"/>
          <w:szCs w:val="24"/>
          <w:vertAlign w:val="baseline"/>
          <w:lang w:val="en-US" w:eastAsia="zh-CN"/>
        </w:rPr>
        <w:t>3、车辆、设备配置必须保证项目正常运行。</w:t>
      </w:r>
    </w:p>
    <w:p>
      <w:pPr>
        <w:rPr>
          <w:rFonts w:hint="eastAsia"/>
          <w:sz w:val="28"/>
          <w:szCs w:val="28"/>
        </w:rPr>
      </w:pPr>
    </w:p>
    <w:p>
      <w:pPr>
        <w:rPr>
          <w:rFonts w:hint="eastAsia"/>
          <w:sz w:val="28"/>
          <w:szCs w:val="28"/>
        </w:rPr>
      </w:pPr>
      <w:r>
        <w:rPr>
          <w:rFonts w:hint="eastAsia"/>
          <w:sz w:val="28"/>
          <w:szCs w:val="28"/>
        </w:rPr>
        <w:t>附件2.项目人员配置</w:t>
      </w:r>
      <w:r>
        <w:rPr>
          <w:rFonts w:hint="eastAsia"/>
          <w:sz w:val="28"/>
          <w:szCs w:val="28"/>
          <w:lang w:eastAsia="zh-CN"/>
        </w:rPr>
        <w:t>要求</w:t>
      </w:r>
      <w:r>
        <w:rPr>
          <w:rFonts w:hint="eastAsia"/>
          <w:sz w:val="28"/>
          <w:szCs w:val="28"/>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654"/>
        <w:gridCol w:w="613"/>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序号</w:t>
            </w:r>
          </w:p>
        </w:tc>
        <w:tc>
          <w:tcPr>
            <w:tcW w:w="2654"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工种</w:t>
            </w:r>
          </w:p>
        </w:tc>
        <w:tc>
          <w:tcPr>
            <w:tcW w:w="613"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数量</w:t>
            </w:r>
          </w:p>
        </w:tc>
        <w:tc>
          <w:tcPr>
            <w:tcW w:w="5224"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1</w:t>
            </w:r>
          </w:p>
        </w:tc>
        <w:tc>
          <w:tcPr>
            <w:tcW w:w="2654"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项目负责人</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1</w:t>
            </w:r>
          </w:p>
        </w:tc>
        <w:tc>
          <w:tcPr>
            <w:tcW w:w="5224" w:type="dxa"/>
            <w:vAlign w:val="center"/>
          </w:tcPr>
          <w:p>
            <w:pPr>
              <w:jc w:val="left"/>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项目负责人必须具有两年以上的工作经验，常驻管理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2</w:t>
            </w:r>
          </w:p>
        </w:tc>
        <w:tc>
          <w:tcPr>
            <w:tcW w:w="2654"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项目管理员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2</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项目管理员必须具有两年以上的工作经验，常驻管理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3</w:t>
            </w:r>
          </w:p>
        </w:tc>
        <w:tc>
          <w:tcPr>
            <w:tcW w:w="2654"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分拣督导员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7+2</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负责监督引导居民正确按照“二分法”对垃圾进行分类投放。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4</w:t>
            </w:r>
          </w:p>
        </w:tc>
        <w:tc>
          <w:tcPr>
            <w:tcW w:w="2654"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行政村垃圾上门收集清运人员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49</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负责每日上门挨家挨户分类收集垃圾，落实二次分拣，并运至各村村口垃圾集中点（包括公共场所的所有垃圾桶）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5</w:t>
            </w:r>
          </w:p>
        </w:tc>
        <w:tc>
          <w:tcPr>
            <w:tcW w:w="2654"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污目广告清洗员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2</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保洁范围污目广告清理。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7"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6</w:t>
            </w:r>
          </w:p>
        </w:tc>
        <w:tc>
          <w:tcPr>
            <w:tcW w:w="2654"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嵊张线清扫人员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6</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嵊张线（后山-金庭观、下任三叉路口-金兰村）的日常保洁。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97"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7</w:t>
            </w:r>
          </w:p>
        </w:tc>
        <w:tc>
          <w:tcPr>
            <w:tcW w:w="2654"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再生资源回收管理人员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2</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8个点1个站的再生资源回收管理。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8</w:t>
            </w:r>
          </w:p>
        </w:tc>
        <w:tc>
          <w:tcPr>
            <w:tcW w:w="2654" w:type="dxa"/>
            <w:vAlign w:val="center"/>
          </w:tcPr>
          <w:p>
            <w:pPr>
              <w:jc w:val="center"/>
              <w:rPr>
                <w:rFonts w:hint="eastAsia"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洗桶人员</w:t>
            </w:r>
          </w:p>
        </w:tc>
        <w:tc>
          <w:tcPr>
            <w:tcW w:w="613" w:type="dxa"/>
            <w:vAlign w:val="center"/>
          </w:tcPr>
          <w:p>
            <w:pPr>
              <w:jc w:val="center"/>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2</w:t>
            </w:r>
          </w:p>
        </w:tc>
        <w:tc>
          <w:tcPr>
            <w:tcW w:w="5224" w:type="dxa"/>
            <w:vAlign w:val="center"/>
          </w:tcPr>
          <w:p>
            <w:pPr>
              <w:jc w:val="left"/>
              <w:rPr>
                <w:rFonts w:hint="default" w:asciiTheme="majorEastAsia" w:hAnsiTheme="majorEastAsia" w:eastAsiaTheme="majorEastAsia" w:cstheme="majorEastAsia"/>
                <w:b w:val="0"/>
                <w:bCs w:val="0"/>
                <w:color w:val="auto"/>
                <w:sz w:val="24"/>
                <w:szCs w:val="24"/>
                <w:u w:val="none"/>
                <w:vertAlign w:val="baseline"/>
                <w:lang w:val="en-US" w:eastAsia="zh-CN"/>
              </w:rPr>
            </w:pPr>
            <w:r>
              <w:rPr>
                <w:rFonts w:hint="eastAsia" w:asciiTheme="majorEastAsia" w:hAnsiTheme="majorEastAsia" w:eastAsiaTheme="majorEastAsia" w:cstheme="majorEastAsia"/>
                <w:b w:val="0"/>
                <w:bCs w:val="0"/>
                <w:color w:val="auto"/>
                <w:sz w:val="24"/>
                <w:szCs w:val="24"/>
                <w:u w:val="none"/>
                <w:vertAlign w:val="baseline"/>
                <w:lang w:val="en-US" w:eastAsia="zh-CN"/>
              </w:rPr>
              <w:t>垃圾桶等的清洗。</w:t>
            </w:r>
          </w:p>
        </w:tc>
      </w:tr>
    </w:tbl>
    <w:p>
      <w:pPr>
        <w:jc w:val="center"/>
      </w:pPr>
    </w:p>
    <w:p>
      <w:pPr>
        <w:numPr>
          <w:ilvl w:val="0"/>
          <w:numId w:val="0"/>
        </w:numPr>
        <w:jc w:val="left"/>
        <w:rPr>
          <w:rFonts w:hint="eastAsia"/>
          <w:b/>
          <w:bCs/>
          <w:sz w:val="24"/>
          <w:szCs w:val="24"/>
          <w:lang w:val="en-US" w:eastAsia="zh-CN"/>
        </w:rPr>
      </w:pPr>
      <w:r>
        <w:rPr>
          <w:rFonts w:hint="eastAsia"/>
          <w:b/>
          <w:bCs/>
          <w:sz w:val="24"/>
          <w:szCs w:val="24"/>
          <w:lang w:val="en-US" w:eastAsia="zh-CN"/>
        </w:rPr>
        <w:t>1、照200户配置一名垃圾分类收集人员标准配备，共配置49人（详见收集人员统计表），嵊张线局部地段日常保洁后山-金庭观配备4人，下任三叉路口-金兰村配备2人；再生资源回收8个点一个站配备管理人员2人；污目广告清洗配备2人。</w:t>
      </w:r>
    </w:p>
    <w:p>
      <w:pPr>
        <w:numPr>
          <w:ilvl w:val="0"/>
          <w:numId w:val="0"/>
        </w:numPr>
        <w:jc w:val="left"/>
        <w:rPr>
          <w:rFonts w:hint="default"/>
          <w:b/>
          <w:bCs/>
          <w:sz w:val="24"/>
          <w:szCs w:val="24"/>
          <w:lang w:val="en-US" w:eastAsia="zh-CN"/>
        </w:rPr>
      </w:pPr>
      <w:r>
        <w:rPr>
          <w:rFonts w:hint="eastAsia"/>
          <w:b/>
          <w:bCs/>
          <w:sz w:val="24"/>
          <w:szCs w:val="24"/>
          <w:lang w:val="en-US" w:eastAsia="zh-CN"/>
        </w:rPr>
        <w:t>2、负责每日上门挨家挨户分类收集垃圾，落实二次分拣，并运至各村村口垃圾集中点（包括公共场所的所有垃圾桶）。</w:t>
      </w:r>
    </w:p>
    <w:p>
      <w:pPr>
        <w:numPr>
          <w:ilvl w:val="0"/>
          <w:numId w:val="0"/>
        </w:numPr>
        <w:jc w:val="left"/>
        <w:rPr>
          <w:rFonts w:hint="eastAsia"/>
          <w:b/>
          <w:bCs/>
          <w:sz w:val="24"/>
          <w:szCs w:val="24"/>
          <w:lang w:val="en-US" w:eastAsia="zh-CN"/>
        </w:rPr>
      </w:pPr>
      <w:r>
        <w:rPr>
          <w:rFonts w:hint="eastAsia"/>
          <w:b/>
          <w:bCs/>
          <w:sz w:val="24"/>
          <w:szCs w:val="24"/>
          <w:lang w:val="en-US" w:eastAsia="zh-CN"/>
        </w:rPr>
        <w:t>3、负责监督引导居民正确按照“二分法”对垃圾进行分类投放。</w:t>
      </w:r>
    </w:p>
    <w:p>
      <w:pPr>
        <w:numPr>
          <w:ilvl w:val="0"/>
          <w:numId w:val="0"/>
        </w:numPr>
        <w:jc w:val="left"/>
        <w:rPr>
          <w:rFonts w:hint="eastAsia"/>
          <w:b/>
          <w:bCs/>
          <w:sz w:val="24"/>
          <w:szCs w:val="24"/>
          <w:lang w:val="en-US" w:eastAsia="zh-CN"/>
        </w:rPr>
      </w:pPr>
    </w:p>
    <w:p>
      <w:pPr>
        <w:pStyle w:val="7"/>
        <w:jc w:val="center"/>
        <w:rPr>
          <w:rFonts w:hint="default" w:eastAsia="宋体"/>
          <w:sz w:val="28"/>
          <w:szCs w:val="28"/>
          <w:lang w:val="en-US" w:eastAsia="zh-CN"/>
        </w:rPr>
      </w:pPr>
      <w:r>
        <w:rPr>
          <w:rFonts w:hint="eastAsia"/>
          <w:sz w:val="28"/>
          <w:szCs w:val="28"/>
        </w:rPr>
        <w:t>金庭镇8个行政村</w:t>
      </w:r>
      <w:r>
        <w:rPr>
          <w:rFonts w:hint="eastAsia"/>
          <w:sz w:val="28"/>
          <w:szCs w:val="28"/>
          <w:lang w:val="en-US" w:eastAsia="zh-CN"/>
        </w:rPr>
        <w:t>户数及人口数</w:t>
      </w:r>
    </w:p>
    <w:tbl>
      <w:tblPr>
        <w:tblStyle w:val="46"/>
        <w:tblW w:w="9371" w:type="dxa"/>
        <w:tblInd w:w="-19" w:type="dxa"/>
        <w:shd w:val="clear" w:color="auto" w:fill="auto"/>
        <w:tblLayout w:type="fixed"/>
        <w:tblCellMar>
          <w:top w:w="0" w:type="dxa"/>
          <w:left w:w="108" w:type="dxa"/>
          <w:bottom w:w="0" w:type="dxa"/>
          <w:right w:w="108" w:type="dxa"/>
        </w:tblCellMar>
      </w:tblPr>
      <w:tblGrid>
        <w:gridCol w:w="1342"/>
        <w:gridCol w:w="1167"/>
        <w:gridCol w:w="1298"/>
        <w:gridCol w:w="1713"/>
        <w:gridCol w:w="1549"/>
        <w:gridCol w:w="2302"/>
      </w:tblGrid>
      <w:tr>
        <w:tblPrEx>
          <w:shd w:val="clear" w:color="auto" w:fill="auto"/>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新村名</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户数</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原村名</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户数</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人口</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金庭村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下  任</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1282</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马家塘</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836</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柿树头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官  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387</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坎  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643</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甏里湾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682</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  马</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  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383</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鸳鸯坂</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欢  潭</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灵鹅村</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  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2508</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华堂村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  堂</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3090</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729</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孝康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938</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观下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834</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羲之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济渡村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济渡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1449</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乌石头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溪里坑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石岭山</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新合村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808</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念宅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834</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茶草湾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毛山勇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成功山</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晋溪村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晋一</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915</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晋二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543</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晋三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1458</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后山村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后山</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2648</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 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高龙村</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龙王庙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892</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新联</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火耙湾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泗古坪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r>
      <w:tr>
        <w:tblPrEx>
          <w:shd w:val="clear" w:color="auto" w:fill="auto"/>
          <w:tblCellMar>
            <w:top w:w="0" w:type="dxa"/>
            <w:left w:w="108" w:type="dxa"/>
            <w:bottom w:w="0" w:type="dxa"/>
            <w:right w:w="108" w:type="dxa"/>
          </w:tblCellMar>
        </w:tblPrEx>
        <w:trPr>
          <w:trHeight w:val="42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4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9516</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26257</w:t>
            </w:r>
          </w:p>
        </w:tc>
      </w:tr>
    </w:tbl>
    <w:p/>
    <w:p>
      <w:pPr>
        <w:pStyle w:val="30"/>
        <w:spacing w:line="440" w:lineRule="exact"/>
        <w:rPr>
          <w:rFonts w:hint="eastAsia"/>
        </w:rPr>
      </w:pPr>
      <w:r>
        <w:rPr>
          <w:rFonts w:hint="eastAsia"/>
        </w:rPr>
        <w:t>具体咨询</w:t>
      </w:r>
      <w:r>
        <w:rPr>
          <w:rFonts w:hint="eastAsia"/>
          <w:lang w:val="en-US" w:eastAsia="zh-CN"/>
        </w:rPr>
        <w:t>金庭</w:t>
      </w:r>
      <w:r>
        <w:rPr>
          <w:rFonts w:hint="eastAsia"/>
        </w:rPr>
        <w:t>镇人民政府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b/>
          <w:bCs/>
          <w:sz w:val="24"/>
        </w:rPr>
      </w:pPr>
      <w:r>
        <w:rPr>
          <w:rFonts w:hint="eastAsia" w:ascii="Times New Roman" w:hAnsi="Times New Roman" w:cs="Times New Roman"/>
          <w:b/>
          <w:bCs/>
          <w:sz w:val="24"/>
        </w:rPr>
        <w:t>四、嵊州市</w:t>
      </w:r>
      <w:r>
        <w:rPr>
          <w:rFonts w:hint="eastAsia" w:ascii="Times New Roman" w:hAnsi="Times New Roman" w:cs="Times New Roman"/>
          <w:b/>
          <w:bCs/>
          <w:sz w:val="24"/>
          <w:lang w:eastAsia="zh-CN"/>
        </w:rPr>
        <w:t>金庭</w:t>
      </w:r>
      <w:r>
        <w:rPr>
          <w:rFonts w:hint="eastAsia" w:ascii="Times New Roman" w:hAnsi="Times New Roman" w:cs="Times New Roman"/>
          <w:b/>
          <w:bCs/>
          <w:sz w:val="24"/>
        </w:rPr>
        <w:t>镇环卫保洁市场化运作质量标准（试行）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rPr>
        <w:t>（一）</w:t>
      </w:r>
      <w:r>
        <w:rPr>
          <w:rFonts w:hint="eastAsia" w:ascii="Times New Roman" w:hAnsi="Times New Roman" w:cs="Times New Roman"/>
          <w:sz w:val="24"/>
          <w:lang w:val="en-US" w:eastAsia="zh-CN"/>
        </w:rPr>
        <w:t>8个行政村</w:t>
      </w:r>
      <w:r>
        <w:rPr>
          <w:rFonts w:hint="eastAsia" w:ascii="Times New Roman" w:hAnsi="Times New Roman" w:cs="Times New Roman"/>
          <w:sz w:val="24"/>
          <w:szCs w:val="24"/>
          <w:lang w:val="en-US" w:eastAsia="zh-CN"/>
        </w:rPr>
        <w:t>生活垃圾上门收</w:t>
      </w:r>
      <w:r>
        <w:rPr>
          <w:rFonts w:hint="eastAsia" w:ascii="Times New Roman" w:hAnsi="Times New Roman" w:cs="Times New Roman"/>
          <w:sz w:val="24"/>
          <w:lang w:val="en-US" w:eastAsia="zh-CN"/>
        </w:rPr>
        <w:t>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1垃圾分类宣传作业要求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heme="minorEastAsia" w:hAnsiTheme="minorEastAsia" w:eastAsiaTheme="minorEastAsia" w:cstheme="minorEastAsia"/>
          <w:sz w:val="24"/>
        </w:rPr>
        <w:t>按</w:t>
      </w:r>
      <w:r>
        <w:rPr>
          <w:rFonts w:hint="eastAsia" w:asciiTheme="minorEastAsia" w:hAnsiTheme="minorEastAsia" w:eastAsiaTheme="minorEastAsia" w:cstheme="minorEastAsia"/>
          <w:sz w:val="24"/>
          <w:szCs w:val="24"/>
        </w:rPr>
        <w:t>浙江省垃圾分类要求垃圾分为可回收物、易腐垃圾、有害垃圾和其他垃圾。项目管理人员、上门收集人员等配合、协助政府</w:t>
      </w:r>
      <w:r>
        <w:rPr>
          <w:rFonts w:hint="eastAsia" w:asciiTheme="minorEastAsia" w:hAnsiTheme="minorEastAsia" w:eastAsiaTheme="minorEastAsia" w:cstheme="minorEastAsia"/>
          <w:sz w:val="24"/>
        </w:rPr>
        <w:t>开展垃圾分类宣传工作，</w:t>
      </w:r>
      <w:r>
        <w:rPr>
          <w:rFonts w:hint="eastAsia" w:asciiTheme="minorEastAsia" w:hAnsiTheme="minorEastAsia" w:eastAsiaTheme="minorEastAsia" w:cstheme="minorEastAsia"/>
          <w:sz w:val="24"/>
          <w:lang w:eastAsia="zh-CN"/>
        </w:rPr>
        <w:t>搞好示范村及文明村争创，</w:t>
      </w:r>
      <w:r>
        <w:rPr>
          <w:rFonts w:hint="eastAsia" w:asciiTheme="minorEastAsia" w:hAnsiTheme="minorEastAsia" w:eastAsiaTheme="minorEastAsia" w:cstheme="minorEastAsia"/>
          <w:sz w:val="24"/>
        </w:rPr>
        <w:t>上门派发垃圾分类宣传手册、垃圾</w:t>
      </w:r>
      <w:r>
        <w:rPr>
          <w:rFonts w:hint="eastAsia" w:ascii="Times New Roman" w:hAnsi="Times New Roman" w:cs="Times New Roman"/>
          <w:sz w:val="24"/>
        </w:rPr>
        <w:t>分类指导书，指导村民如何进行垃圾分类投放，逐步帮助村民养成垃圾分类投放的好习惯，提高垃圾分类投放的准确性，促进垃圾分类收集、清运工作的高效运行。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2垃圾实地分类作业要求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首先，由村民按照易腐垃圾和其他垃圾“两分法”进行垃圾分类投放，对分类不准确的村民要及时进行劝导和指导；其次，上门收集人员在上门收集垃圾时，及时将投放不准确的垃圾进行二次分拣，实现垃圾就地准确分类投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3垃圾分类转运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上门收集人员按照8 小时工作制进行作业，将垃圾收集至村集置点，做到至少早晚两次上门收集，动态巡回收集。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sz w:val="24"/>
          <w:lang w:val="en-US" w:eastAsia="zh-CN"/>
        </w:rPr>
      </w:pPr>
      <w:r>
        <w:rPr>
          <w:rFonts w:hint="eastAsia" w:ascii="Times New Roman" w:hAnsi="Times New Roman" w:cs="Times New Roman"/>
          <w:sz w:val="24"/>
          <w:lang w:eastAsia="zh-CN"/>
        </w:rPr>
        <w:t>（二）分类清运、</w:t>
      </w:r>
      <w:r>
        <w:rPr>
          <w:rFonts w:hint="eastAsia"/>
          <w:sz w:val="24"/>
          <w:lang w:val="en-US" w:eastAsia="zh-CN"/>
        </w:rPr>
        <w:t>大件垃圾清理、终端运行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1垃圾收集设施内生活垃圾做到日产日清。对于各村垃圾收集点的垃圾要按照要求严格落实分类清运，对未正确分类的应当就地二次分拣后再清运。其中易腐和其他垃圾按照要求分类清运至嵊州市垃圾填埋场或垃圾处置终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2可回收物和有害垃圾的分类和清运，要遵循城市环境保护主管部门的规定。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2.3</w:t>
      </w:r>
      <w:r>
        <w:rPr>
          <w:rFonts w:hint="eastAsia" w:ascii="Times New Roman" w:hAnsi="Times New Roman" w:cs="Times New Roman"/>
          <w:sz w:val="24"/>
        </w:rPr>
        <w:t>建筑垃圾、大件垃圾采用单独密封车辆统一清运至指定的堆放场地，或运到指定的专门终端处理中心。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4垃圾的收集、清运车辆应为专业环卫生产厂家生产且符合嵊州市环卫主管部门明确的相关标准。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2.5</w:t>
      </w:r>
      <w:r>
        <w:rPr>
          <w:rFonts w:hint="eastAsia" w:ascii="Times New Roman" w:hAnsi="Times New Roman" w:cs="Times New Roman"/>
          <w:sz w:val="24"/>
        </w:rPr>
        <w:t>垃圾运输过程中做到密闭，无抛洒、吊挂和污水滴漏，运输车辆作业后及时清先，干净停放。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2.6</w:t>
      </w:r>
      <w:r>
        <w:rPr>
          <w:rFonts w:hint="eastAsia" w:ascii="Times New Roman" w:hAnsi="Times New Roman" w:cs="Times New Roman"/>
          <w:sz w:val="24"/>
        </w:rPr>
        <w:t>生活垃圾统一</w:t>
      </w:r>
      <w:r>
        <w:rPr>
          <w:rFonts w:hint="eastAsia" w:cs="Times New Roman"/>
          <w:sz w:val="24"/>
          <w:lang w:eastAsia="zh-CN"/>
        </w:rPr>
        <w:t>进入终端</w:t>
      </w:r>
      <w:r>
        <w:rPr>
          <w:rFonts w:hint="eastAsia" w:ascii="Times New Roman" w:hAnsi="Times New Roman" w:cs="Times New Roman"/>
          <w:sz w:val="24"/>
        </w:rPr>
        <w:t>实行无害化处理，禁止自行简易填埋、焚烧，禁止工业垃圾、建筑垃圾等混入生活垃圾处置场所。</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（三）再生资源回收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3.1再生资源包括旧金属、报废电子产品、报废机电设备及其零部件、废造纸原料、废化工原料、农药包装、废玻璃等。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3.2再生资源的收集、储存运输处理等全过程应当遵守国家污染防治标准、技术政策和技术规范。</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eastAsia="zh-CN"/>
        </w:rPr>
        <w:t>（四）</w:t>
      </w:r>
      <w:r>
        <w:rPr>
          <w:rFonts w:hint="eastAsia" w:ascii="Times New Roman" w:hAnsi="Times New Roman" w:cs="Times New Roman"/>
          <w:sz w:val="24"/>
        </w:rPr>
        <w:t>清扫保洁作业规范执行要求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4.1范围及内容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嵊张线局部地段（后山-金庭观</w:t>
      </w:r>
      <w:r>
        <w:rPr>
          <w:rFonts w:hint="eastAsia" w:cs="Times New Roman"/>
          <w:sz w:val="24"/>
          <w:lang w:val="en-US" w:eastAsia="zh-CN"/>
        </w:rPr>
        <w:t>8.6</w:t>
      </w:r>
      <w:r>
        <w:rPr>
          <w:rFonts w:hint="eastAsia" w:ascii="Times New Roman" w:hAnsi="Times New Roman" w:cs="Times New Roman"/>
          <w:sz w:val="24"/>
          <w:lang w:val="en-US" w:eastAsia="zh-CN"/>
        </w:rPr>
        <w:t>公里，下任三叉路口-金兰村</w:t>
      </w:r>
      <w:r>
        <w:rPr>
          <w:rFonts w:hint="eastAsia" w:cs="Times New Roman"/>
          <w:sz w:val="24"/>
          <w:lang w:val="en-US" w:eastAsia="zh-CN"/>
        </w:rPr>
        <w:t>1.6</w:t>
      </w:r>
      <w:r>
        <w:rPr>
          <w:rFonts w:hint="eastAsia" w:ascii="Times New Roman" w:hAnsi="Times New Roman" w:cs="Times New Roman"/>
          <w:sz w:val="24"/>
          <w:lang w:val="en-US" w:eastAsia="zh-CN"/>
        </w:rPr>
        <w:t>公里）</w:t>
      </w:r>
      <w:r>
        <w:rPr>
          <w:rFonts w:hint="eastAsia" w:ascii="Times New Roman" w:hAnsi="Times New Roman" w:cs="Times New Roman"/>
          <w:sz w:val="24"/>
        </w:rPr>
        <w:t>道路</w:t>
      </w:r>
      <w:r>
        <w:rPr>
          <w:rFonts w:hint="eastAsia" w:ascii="Times New Roman" w:hAnsi="Times New Roman" w:cs="Times New Roman"/>
          <w:sz w:val="24"/>
          <w:lang w:eastAsia="zh-CN"/>
        </w:rPr>
        <w:t>路肩、</w:t>
      </w:r>
      <w:r>
        <w:rPr>
          <w:rFonts w:hint="eastAsia" w:cs="Times New Roman"/>
          <w:sz w:val="24"/>
          <w:lang w:eastAsia="zh-CN"/>
        </w:rPr>
        <w:t>人行道、</w:t>
      </w:r>
      <w:r>
        <w:rPr>
          <w:rFonts w:hint="eastAsia" w:ascii="Times New Roman" w:hAnsi="Times New Roman" w:cs="Times New Roman"/>
          <w:sz w:val="24"/>
          <w:lang w:eastAsia="zh-CN"/>
        </w:rPr>
        <w:t>绿化带</w:t>
      </w:r>
      <w:r>
        <w:rPr>
          <w:rFonts w:hint="eastAsia" w:ascii="Times New Roman" w:hAnsi="Times New Roman" w:cs="Times New Roman"/>
          <w:sz w:val="24"/>
        </w:rPr>
        <w:t>清扫保洁</w:t>
      </w:r>
      <w:r>
        <w:rPr>
          <w:rFonts w:hint="eastAsia" w:ascii="Times New Roman" w:hAnsi="Times New Roman" w:cs="Times New Roman"/>
          <w:sz w:val="24"/>
          <w:lang w:eastAsia="zh-CN"/>
        </w:rPr>
        <w:t>、</w:t>
      </w:r>
      <w:r>
        <w:rPr>
          <w:rFonts w:hint="eastAsia" w:ascii="Times New Roman" w:hAnsi="Times New Roman" w:cs="Times New Roman"/>
          <w:sz w:val="24"/>
        </w:rPr>
        <w:t>污目广告清理</w:t>
      </w:r>
      <w:r>
        <w:rPr>
          <w:rFonts w:hint="eastAsia"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4.2</w:t>
      </w:r>
      <w:r>
        <w:rPr>
          <w:rFonts w:hint="eastAsia" w:ascii="Times New Roman" w:hAnsi="Times New Roman" w:cs="Times New Roman"/>
          <w:sz w:val="24"/>
        </w:rPr>
        <w:t>时间要求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8小时保洁：5月-10月：上午7:00-11:00，下午13:30-17:30；11月-4月：上午7:30-11:30，下午13:00-17:00。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4.</w:t>
      </w:r>
      <w:r>
        <w:rPr>
          <w:rFonts w:hint="eastAsia" w:ascii="Times New Roman" w:hAnsi="Times New Roman" w:cs="Times New Roman"/>
          <w:sz w:val="24"/>
          <w:lang w:val="en-US" w:eastAsia="zh-CN"/>
        </w:rPr>
        <w:t>3</w:t>
      </w:r>
      <w:r>
        <w:rPr>
          <w:rFonts w:hint="eastAsia" w:ascii="Times New Roman" w:hAnsi="Times New Roman" w:cs="Times New Roman"/>
          <w:sz w:val="24"/>
        </w:rPr>
        <w:t>道路</w:t>
      </w:r>
      <w:r>
        <w:rPr>
          <w:rFonts w:hint="eastAsia" w:cs="Times New Roman"/>
          <w:sz w:val="24"/>
          <w:lang w:eastAsia="zh-CN"/>
        </w:rPr>
        <w:t>路肩、人行道、绿化带</w:t>
      </w:r>
      <w:r>
        <w:rPr>
          <w:rFonts w:hint="eastAsia" w:ascii="Times New Roman" w:hAnsi="Times New Roman" w:cs="Times New Roman"/>
          <w:sz w:val="24"/>
        </w:rPr>
        <w:t>清扫保洁作业标准</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质量标准：可视范围内无暴露垃圾、无白色污染、无卫生死角；垃圾房（桶）及周边整洁，无污水、异味。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eastAsia" w:ascii="Times New Roman" w:hAnsi="Times New Roman" w:cs="Times New Roman"/>
          <w:sz w:val="24"/>
        </w:rPr>
        <w:t>人工清扫频率：保洁</w:t>
      </w:r>
      <w:r>
        <w:rPr>
          <w:rFonts w:hint="eastAsia" w:cs="Times New Roman"/>
          <w:sz w:val="24"/>
          <w:lang w:eastAsia="zh-CN"/>
        </w:rPr>
        <w:t>地段</w:t>
      </w:r>
      <w:r>
        <w:rPr>
          <w:rFonts w:hint="eastAsia" w:ascii="Times New Roman" w:hAnsi="Times New Roman" w:cs="Times New Roman"/>
          <w:sz w:val="24"/>
        </w:rPr>
        <w:t>每日普扫2次，普扫完成后实行不间断巡回保洁。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eastAsia" w:ascii="Times New Roman" w:hAnsi="Times New Roman" w:cs="Times New Roman"/>
          <w:sz w:val="24"/>
        </w:rPr>
        <w:t>垃圾必须分类入桶，随时清理垃圾桶周边的杂物，保证垃圾桶干净整洁。对垃圾桶的破损要及时上报。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eastAsia" w:ascii="Times New Roman" w:hAnsi="Times New Roman" w:cs="Times New Roman"/>
          <w:sz w:val="24"/>
        </w:rPr>
        <w:t>对道路</w:t>
      </w:r>
      <w:r>
        <w:rPr>
          <w:rFonts w:hint="eastAsia" w:cs="Times New Roman"/>
          <w:sz w:val="24"/>
          <w:lang w:eastAsia="zh-CN"/>
        </w:rPr>
        <w:t>两侧</w:t>
      </w:r>
      <w:r>
        <w:rPr>
          <w:rFonts w:hint="eastAsia" w:ascii="Times New Roman" w:hAnsi="Times New Roman" w:cs="Times New Roman"/>
          <w:sz w:val="24"/>
        </w:rPr>
        <w:t>沟边下的杂物、脏物、砖堆、土堆等堆放废物进行清理、清运处理。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w:t>
      </w:r>
      <w:r>
        <w:rPr>
          <w:rFonts w:hint="eastAsia" w:ascii="Times New Roman" w:hAnsi="Times New Roman" w:cs="Times New Roman"/>
          <w:sz w:val="24"/>
        </w:rPr>
        <w:t>节假日，特别是重大节日、黄金周要积极应付，启动应急预案，调足力量，缩短路段，无条件增加保洁人数，延长作业时间，确保高质量的卫生环境，确保游客满意</w:t>
      </w:r>
      <w:r>
        <w:rPr>
          <w:rFonts w:hint="eastAsia" w:ascii="Times New Roman" w:hAnsi="Times New Roman" w:cs="Times New Roman"/>
          <w:sz w:val="24"/>
          <w:lang w:val="en-US" w:eastAsia="zh-CN"/>
        </w:rPr>
        <w:t>，确保广大群众满意，圆满完成上级的任务，达标达效。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（6）晴天必须保证一天两次的洒水压尘。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（7）镇政府有重大活动或重大争创时需无条件听从镇政府安排，无条件服从。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4.3污目广告清理作业标准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eastAsia" w:ascii="Times New Roman" w:hAnsi="Times New Roman" w:cs="Times New Roman"/>
          <w:sz w:val="24"/>
        </w:rPr>
        <w:t>作业区域内的墙壁上、电线杆、灯箱广告、</w:t>
      </w:r>
      <w:r>
        <w:rPr>
          <w:rFonts w:hint="eastAsia" w:ascii="Times New Roman" w:hAnsi="Times New Roman" w:cs="Times New Roman"/>
          <w:sz w:val="24"/>
          <w:lang w:eastAsia="zh-CN"/>
        </w:rPr>
        <w:t>过期横幅、</w:t>
      </w:r>
      <w:r>
        <w:rPr>
          <w:rFonts w:hint="eastAsia" w:ascii="Times New Roman" w:hAnsi="Times New Roman" w:cs="Times New Roman"/>
          <w:sz w:val="24"/>
        </w:rPr>
        <w:t>公交站台等处有乱张贴、乱涂画的及时清除。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eastAsia" w:ascii="Times New Roman" w:hAnsi="Times New Roman" w:cs="Times New Roman"/>
          <w:sz w:val="24"/>
        </w:rPr>
        <w:t>对待特殊性大面积新出现的小广告在24小时内清除；对张贴式的户外小广告清理后不遗留明显痕迹。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eastAsia" w:ascii="Times New Roman" w:hAnsi="Times New Roman" w:cs="Times New Roman"/>
          <w:sz w:val="24"/>
        </w:rPr>
        <w:t>采用涂料进行粉刷覆盖的户外小广告，按照“色差一致、形状统一、干净整洁、协调美观”的要求，使用相近颜色进行复原。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eastAsia" w:ascii="Times New Roman" w:hAnsi="Times New Roman" w:cs="Times New Roman"/>
          <w:sz w:val="24"/>
        </w:rPr>
        <w:t>每周不少于一次清理公共信息张贴栏，保持单位标识清晰。</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rPr>
      </w:pPr>
      <w:r>
        <w:rPr>
          <w:rFonts w:hint="eastAsia" w:cs="Times New Roman"/>
          <w:sz w:val="24"/>
          <w:lang w:eastAsia="zh-CN"/>
        </w:rPr>
        <w:t>（五）</w:t>
      </w:r>
      <w:r>
        <w:rPr>
          <w:rFonts w:hint="eastAsia" w:ascii="Times New Roman" w:hAnsi="Times New Roman" w:cs="Times New Roman"/>
          <w:sz w:val="24"/>
        </w:rPr>
        <w:t>垃圾桶、果壳箱、花箱等清理作业标准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sz w:val="24"/>
          <w:lang w:eastAsia="zh-CN"/>
        </w:rPr>
      </w:pPr>
      <w:r>
        <w:rPr>
          <w:rFonts w:hint="eastAsia" w:cs="Times New Roman"/>
          <w:sz w:val="24"/>
          <w:lang w:val="en-US" w:eastAsia="zh-CN"/>
        </w:rPr>
        <w:t>5.1</w:t>
      </w:r>
      <w:r>
        <w:rPr>
          <w:rFonts w:hint="eastAsia" w:ascii="Times New Roman" w:hAnsi="Times New Roman" w:cs="Times New Roman"/>
          <w:sz w:val="24"/>
        </w:rPr>
        <w:t>镇区垃圾桶做到天天清洗、及时清洗，各行政村垃圾桶一周至少清洗一次。</w:t>
      </w:r>
      <w:r>
        <w:rPr>
          <w:rFonts w:hint="eastAsia" w:cs="Times New Roman"/>
          <w:sz w:val="24"/>
          <w:lang w:eastAsia="zh-CN"/>
        </w:rPr>
        <w:t>垃圾桶破损需及时更换。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5.2</w:t>
      </w:r>
      <w:r>
        <w:rPr>
          <w:rFonts w:hint="eastAsia" w:ascii="Times New Roman" w:hAnsi="Times New Roman" w:cs="Times New Roman"/>
          <w:sz w:val="24"/>
        </w:rPr>
        <w:t>做到及时清理果壳箱，无满溢、无残存垃圾与污水。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5.3</w:t>
      </w:r>
      <w:r>
        <w:rPr>
          <w:rFonts w:hint="eastAsia" w:ascii="Times New Roman" w:hAnsi="Times New Roman" w:cs="Times New Roman"/>
          <w:sz w:val="24"/>
        </w:rPr>
        <w:t>果壳箱每天清洗次数不少于2次，保持箱体及周边环境干净整洁。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5.4、</w:t>
      </w:r>
      <w:r>
        <w:rPr>
          <w:rFonts w:hint="eastAsia" w:ascii="Times New Roman" w:hAnsi="Times New Roman" w:cs="Times New Roman"/>
          <w:sz w:val="24"/>
        </w:rPr>
        <w:t>及时清理灰尘和污迹，保持花箱表面洁净。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5.5、</w:t>
      </w:r>
      <w:r>
        <w:rPr>
          <w:rFonts w:hint="eastAsia" w:ascii="Times New Roman" w:hAnsi="Times New Roman" w:cs="Times New Roman"/>
          <w:sz w:val="24"/>
        </w:rPr>
        <w:t>及时清理枯花枯草，保持花箱美观。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rPr>
      </w:pPr>
      <w:r>
        <w:rPr>
          <w:rFonts w:hint="eastAsia" w:ascii="Times New Roman" w:hAnsi="Times New Roman" w:cs="Times New Roman"/>
          <w:sz w:val="24"/>
        </w:rPr>
        <w:t>（</w:t>
      </w:r>
      <w:r>
        <w:rPr>
          <w:rFonts w:hint="eastAsia" w:cs="Times New Roman"/>
          <w:sz w:val="24"/>
          <w:lang w:eastAsia="zh-CN"/>
        </w:rPr>
        <w:t>六</w:t>
      </w:r>
      <w:r>
        <w:rPr>
          <w:rFonts w:hint="eastAsia" w:ascii="Times New Roman" w:hAnsi="Times New Roman" w:cs="Times New Roman"/>
          <w:sz w:val="24"/>
        </w:rPr>
        <w:t>）其他相关作业要求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.1集镇全面实施“四乱”整治劝导，联合村开展环境卫生宣传工作。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.2建筑垃圾、装潢垃圾、大件垃圾（含破旧家具、农作物秸秆等）、渣土清运等非生活垃圾清运处理费用及道路除雪（台风暴雨）等。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3安全劳动纪律执行要求：按规定人数设置村庄保洁及收集员、清洗人员等，不得一人多岗，工作时间内按时到岗，不得离岗、闲岗，不得捡拾垃圾。按规定着装，带好、备足工具。保洁作业车靠边停放。清扫保洁员上岗须统一着装，佩戴上岗证，作业时必须穿安全反光黄背心和戴反光帽，对发现的问题要及时整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.4公共监督处理情况：（含市长热线、电话投诉、信访、数字城管、领导交办等）处理在规定的期限内完成，无有责投诉事件发生。市级以上（含市级）检查不失责任分。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5遇有重大活动或突发事件，及时组织力量做好清扫保洁、清运等保障工作，并视情况及时启动城市管理保障应急机制，人员必须及时到位（需要集中时的具体位置另行通知），并根据应急命令决定早到和离岗，或使用必须机械设备。中标供应商须无条件无偿完成相关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.6根据项目实际情况，中标供应商应与前任项目运行单位做好相关交接维稳工作。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.7垃圾清运投诉（含市长热线、电话投诉、信访、领导交办等）处理在规定的期限内完成，无有责投诉事件发生。市级以上（含市级）检查不失责任分。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b/>
          <w:bCs/>
          <w:sz w:val="24"/>
        </w:rPr>
      </w:pPr>
      <w:bookmarkStart w:id="266" w:name="_Toc513456149"/>
      <w:bookmarkStart w:id="267" w:name="_Toc13128"/>
      <w:bookmarkStart w:id="268" w:name="_Toc18570"/>
      <w:bookmarkStart w:id="269" w:name="_Toc8050"/>
      <w:bookmarkStart w:id="270" w:name="_Toc22017"/>
      <w:r>
        <w:rPr>
          <w:rFonts w:hint="eastAsia" w:ascii="Times New Roman" w:hAnsi="Times New Roman" w:cs="Times New Roman"/>
          <w:b/>
          <w:bCs/>
          <w:sz w:val="24"/>
        </w:rPr>
        <w:t>五、嵊州市</w:t>
      </w:r>
      <w:r>
        <w:rPr>
          <w:rFonts w:hint="eastAsia" w:ascii="Times New Roman" w:hAnsi="Times New Roman" w:cs="Times New Roman"/>
          <w:b/>
          <w:bCs/>
          <w:sz w:val="24"/>
          <w:lang w:eastAsia="zh-CN"/>
        </w:rPr>
        <w:t>金庭</w:t>
      </w:r>
      <w:r>
        <w:rPr>
          <w:rFonts w:hint="eastAsia" w:ascii="Times New Roman" w:hAnsi="Times New Roman" w:cs="Times New Roman"/>
          <w:b/>
          <w:bCs/>
          <w:sz w:val="24"/>
        </w:rPr>
        <w:t>镇环卫保洁市场化运作管理考核办法</w:t>
      </w:r>
      <w:bookmarkEnd w:id="266"/>
      <w:r>
        <w:rPr>
          <w:rFonts w:hint="eastAsia" w:ascii="Times New Roman" w:hAnsi="Times New Roman" w:cs="Times New Roman"/>
          <w:b/>
          <w:bCs/>
          <w:sz w:val="24"/>
        </w:rPr>
        <w:t>（试行）</w:t>
      </w:r>
      <w:bookmarkEnd w:id="267"/>
      <w:bookmarkEnd w:id="268"/>
      <w:bookmarkEnd w:id="269"/>
      <w:bookmarkEnd w:id="27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为加强嵊州市</w:t>
      </w:r>
      <w:r>
        <w:rPr>
          <w:rFonts w:hint="eastAsia" w:ascii="Times New Roman" w:hAnsi="Times New Roman" w:cs="Times New Roman"/>
          <w:sz w:val="24"/>
          <w:lang w:eastAsia="zh-CN"/>
        </w:rPr>
        <w:t>金庭</w:t>
      </w:r>
      <w:r>
        <w:rPr>
          <w:rFonts w:hint="eastAsia" w:ascii="Times New Roman" w:hAnsi="Times New Roman" w:cs="Times New Roman"/>
          <w:sz w:val="24"/>
        </w:rPr>
        <w:t>镇环卫作业市场化运作的管理，提高作业公司的积极性，营造“公正、公平、公开、有序”的作业市场环境，进一步提升环境卫生质量水平，创造整洁、优美、文明的现代化城市，制订本考核办法。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（一）组织领导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镇人民政府负责辖区内环卫作业市场化运作的具体组织、实施及日常考核。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（二）考核原则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根据“按量按质付酬”的原则，实行“经济报酬与质量挂钩”的方式支付承包款。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（三）考核对象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承包供应商。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（四）考核内容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4.1</w:t>
      </w:r>
      <w:r>
        <w:rPr>
          <w:rFonts w:hint="eastAsia" w:cs="Times New Roman"/>
          <w:sz w:val="24"/>
          <w:lang w:eastAsia="zh-CN"/>
        </w:rPr>
        <w:t>嵊张线</w:t>
      </w:r>
      <w:r>
        <w:rPr>
          <w:rFonts w:hint="eastAsia" w:ascii="Times New Roman" w:hAnsi="Times New Roman" w:cs="Times New Roman"/>
          <w:sz w:val="24"/>
        </w:rPr>
        <w:t>道路（包括主干道路及沟渠等）的日常卫生保洁；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4.2</w:t>
      </w:r>
      <w:r>
        <w:rPr>
          <w:rFonts w:hint="eastAsia" w:ascii="Times New Roman" w:hAnsi="Times New Roman" w:cs="Times New Roman"/>
          <w:sz w:val="24"/>
        </w:rPr>
        <w:t>辖区内的生活垃圾分类收集、分类清运及建筑、装潢、大件垃圾和卫生死角清除；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3</w:t>
      </w:r>
      <w:r>
        <w:rPr>
          <w:rFonts w:hint="eastAsia" w:ascii="Times New Roman" w:hAnsi="Times New Roman" w:cs="Times New Roman"/>
          <w:sz w:val="24"/>
        </w:rPr>
        <w:t>垃圾桶等环卫设施的保洁及维护管理；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sz w:val="24"/>
          <w:lang w:val="en-US" w:eastAsia="zh-CN"/>
        </w:rPr>
      </w:pPr>
      <w:r>
        <w:rPr>
          <w:rFonts w:hint="eastAsia" w:cs="Times New Roman"/>
          <w:sz w:val="24"/>
          <w:lang w:val="en-US" w:eastAsia="zh-CN"/>
        </w:rPr>
        <w:t>4.4终端运行及再生资源回收站点的和的管理；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5</w:t>
      </w:r>
      <w:r>
        <w:rPr>
          <w:rFonts w:hint="eastAsia" w:ascii="Times New Roman" w:hAnsi="Times New Roman" w:cs="Times New Roman"/>
          <w:sz w:val="24"/>
        </w:rPr>
        <w:t>作业人员作业素质及作业形象；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6</w:t>
      </w:r>
      <w:r>
        <w:rPr>
          <w:rFonts w:hint="eastAsia" w:ascii="Times New Roman" w:hAnsi="Times New Roman" w:cs="Times New Roman"/>
          <w:sz w:val="24"/>
        </w:rPr>
        <w:t>考勤到岗情况；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7</w:t>
      </w:r>
      <w:r>
        <w:rPr>
          <w:rFonts w:hint="eastAsia" w:ascii="Times New Roman" w:hAnsi="Times New Roman" w:cs="Times New Roman"/>
          <w:sz w:val="24"/>
        </w:rPr>
        <w:t>市长专线电话、数字城管反馈和各类社会投诉、信访等的处理；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8</w:t>
      </w:r>
      <w:r>
        <w:rPr>
          <w:rFonts w:hint="eastAsia" w:ascii="Times New Roman" w:hAnsi="Times New Roman" w:cs="Times New Roman"/>
          <w:sz w:val="24"/>
        </w:rPr>
        <w:t>其他突击性任务和指令的完成情况；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9</w:t>
      </w:r>
      <w:r>
        <w:rPr>
          <w:rFonts w:hint="eastAsia" w:ascii="Times New Roman" w:hAnsi="Times New Roman" w:cs="Times New Roman"/>
          <w:sz w:val="24"/>
        </w:rPr>
        <w:t>社会反响及群众满意度。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（五）考核方式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5.1</w:t>
      </w:r>
      <w:r>
        <w:rPr>
          <w:rFonts w:hint="eastAsia" w:ascii="Times New Roman" w:hAnsi="Times New Roman" w:cs="Times New Roman"/>
          <w:sz w:val="24"/>
        </w:rPr>
        <w:t>采购人对承包供应商工作情况进行检查考核。检查考核采用巡查和明查相结合的方式。巡查由采购人不定期自行组织实施；明查原则上每周不少于一次，由采购人负责组织，承包供应商需派管理人员参加，并落实检查车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5.2</w:t>
      </w:r>
      <w:r>
        <w:rPr>
          <w:rFonts w:hint="eastAsia" w:ascii="Times New Roman" w:hAnsi="Times New Roman" w:cs="Times New Roman"/>
          <w:sz w:val="24"/>
        </w:rPr>
        <w:t>采购人对检查中发现的问题以《函告单》形式及时告知承包供应商，并要求承包供应商限期整改。同时，按照考核评比标准进行扣分，并根据得分情况按比例扣罚当月保洁经费。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（六）考核分值、奖惩条款及合同终止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6.1</w:t>
      </w:r>
      <w:r>
        <w:rPr>
          <w:rFonts w:hint="eastAsia" w:ascii="Times New Roman" w:hAnsi="Times New Roman" w:cs="Times New Roman"/>
          <w:sz w:val="24"/>
        </w:rPr>
        <w:t>考核采取扣分制，扣分标准按照《嵊州市</w:t>
      </w:r>
      <w:r>
        <w:rPr>
          <w:rFonts w:hint="eastAsia" w:ascii="Times New Roman" w:hAnsi="Times New Roman" w:cs="Times New Roman"/>
          <w:sz w:val="24"/>
          <w:lang w:eastAsia="zh-CN"/>
        </w:rPr>
        <w:t>金庭</w:t>
      </w:r>
      <w:r>
        <w:rPr>
          <w:rFonts w:hint="eastAsia" w:ascii="Times New Roman" w:hAnsi="Times New Roman" w:cs="Times New Roman"/>
          <w:sz w:val="24"/>
        </w:rPr>
        <w:t>镇环卫保洁市场化运作质量标准（试行）》《嵊州市</w:t>
      </w:r>
      <w:r>
        <w:rPr>
          <w:rFonts w:hint="eastAsia" w:ascii="Times New Roman" w:hAnsi="Times New Roman" w:cs="Times New Roman"/>
          <w:sz w:val="24"/>
          <w:lang w:eastAsia="zh-CN"/>
        </w:rPr>
        <w:t>金庭</w:t>
      </w:r>
      <w:r>
        <w:rPr>
          <w:rFonts w:hint="eastAsia" w:ascii="Times New Roman" w:hAnsi="Times New Roman" w:cs="Times New Roman"/>
          <w:sz w:val="24"/>
        </w:rPr>
        <w:t>镇环卫保洁市场化运作管理考核办法（试行）》等文件执行及本标书规定的条款执行。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6.2</w:t>
      </w:r>
      <w:r>
        <w:rPr>
          <w:rFonts w:hint="eastAsia" w:ascii="Times New Roman" w:hAnsi="Times New Roman" w:cs="Times New Roman"/>
          <w:sz w:val="24"/>
        </w:rPr>
        <w:t>根据考核情况按比例扣罚承包供应商月度保洁经费。其中</w:t>
      </w:r>
      <w:r>
        <w:rPr>
          <w:rFonts w:hint="eastAsia" w:cs="Times New Roman"/>
          <w:sz w:val="24"/>
          <w:lang w:val="en-US" w:eastAsia="zh-CN"/>
        </w:rPr>
        <w:t>170</w:t>
      </w:r>
      <w:r>
        <w:rPr>
          <w:rFonts w:hint="eastAsia" w:ascii="Times New Roman" w:hAnsi="Times New Roman" w:cs="Times New Roman"/>
          <w:sz w:val="24"/>
        </w:rPr>
        <w:t>分及以上视为优秀不作扣罚；</w:t>
      </w:r>
      <w:r>
        <w:rPr>
          <w:rFonts w:hint="eastAsia" w:cs="Times New Roman"/>
          <w:sz w:val="24"/>
          <w:lang w:val="en-US" w:eastAsia="zh-CN"/>
        </w:rPr>
        <w:t>150</w:t>
      </w:r>
      <w:r>
        <w:rPr>
          <w:rFonts w:hint="eastAsia" w:ascii="Times New Roman" w:hAnsi="Times New Roman" w:cs="Times New Roman"/>
          <w:sz w:val="24"/>
        </w:rPr>
        <w:t>分（含）-</w:t>
      </w:r>
      <w:r>
        <w:rPr>
          <w:rFonts w:hint="eastAsia" w:cs="Times New Roman"/>
          <w:sz w:val="24"/>
          <w:lang w:val="en-US" w:eastAsia="zh-CN"/>
        </w:rPr>
        <w:t>170</w:t>
      </w:r>
      <w:r>
        <w:rPr>
          <w:rFonts w:hint="eastAsia" w:ascii="Times New Roman" w:hAnsi="Times New Roman" w:cs="Times New Roman"/>
          <w:sz w:val="24"/>
        </w:rPr>
        <w:t>分视为良好，根据考核情况扣除当月经费的5-10%；</w:t>
      </w:r>
      <w:r>
        <w:rPr>
          <w:rFonts w:hint="eastAsia" w:cs="Times New Roman"/>
          <w:sz w:val="24"/>
          <w:lang w:val="en-US" w:eastAsia="zh-CN"/>
        </w:rPr>
        <w:t>130</w:t>
      </w:r>
      <w:r>
        <w:rPr>
          <w:rFonts w:hint="eastAsia" w:ascii="Times New Roman" w:hAnsi="Times New Roman" w:cs="Times New Roman"/>
          <w:sz w:val="24"/>
        </w:rPr>
        <w:t>分（含）-</w:t>
      </w:r>
      <w:r>
        <w:rPr>
          <w:rFonts w:hint="eastAsia" w:cs="Times New Roman"/>
          <w:sz w:val="24"/>
          <w:lang w:val="en-US" w:eastAsia="zh-CN"/>
        </w:rPr>
        <w:t>150</w:t>
      </w:r>
      <w:r>
        <w:rPr>
          <w:rFonts w:hint="eastAsia" w:ascii="Times New Roman" w:hAnsi="Times New Roman" w:cs="Times New Roman"/>
          <w:sz w:val="24"/>
        </w:rPr>
        <w:t>分视为差，根据考核情况扣除当月经费的10%-20%；</w:t>
      </w:r>
      <w:r>
        <w:rPr>
          <w:rFonts w:hint="eastAsia" w:cs="Times New Roman"/>
          <w:sz w:val="24"/>
          <w:lang w:val="en-US" w:eastAsia="zh-CN"/>
        </w:rPr>
        <w:t>130</w:t>
      </w:r>
      <w:r>
        <w:rPr>
          <w:rFonts w:hint="eastAsia" w:ascii="Times New Roman" w:hAnsi="Times New Roman" w:cs="Times New Roman"/>
          <w:sz w:val="24"/>
        </w:rPr>
        <w:t>分以下的视为不合格，根据考核情况扣除当月经费的30%-40%；同时考核分低于</w:t>
      </w:r>
      <w:r>
        <w:rPr>
          <w:rFonts w:hint="eastAsia" w:cs="Times New Roman"/>
          <w:sz w:val="24"/>
          <w:lang w:val="en-US" w:eastAsia="zh-CN"/>
        </w:rPr>
        <w:t>120</w:t>
      </w:r>
      <w:r>
        <w:rPr>
          <w:rFonts w:hint="eastAsia" w:ascii="Times New Roman" w:hAnsi="Times New Roman" w:cs="Times New Roman"/>
          <w:sz w:val="24"/>
        </w:rPr>
        <w:t>分的予以告诫处理，一年内连续2次或累计3次低于</w:t>
      </w:r>
      <w:r>
        <w:rPr>
          <w:rFonts w:hint="eastAsia" w:cs="Times New Roman"/>
          <w:sz w:val="24"/>
          <w:lang w:val="en-US" w:eastAsia="zh-CN"/>
        </w:rPr>
        <w:t>120</w:t>
      </w:r>
      <w:r>
        <w:rPr>
          <w:rFonts w:hint="eastAsia" w:ascii="Times New Roman" w:hAnsi="Times New Roman" w:cs="Times New Roman"/>
          <w:sz w:val="24"/>
        </w:rPr>
        <w:t>分的，采购人有权单方终止合同（包括存在其他重大问题，不宜继续履行合同的）。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6.3</w:t>
      </w:r>
      <w:r>
        <w:rPr>
          <w:rFonts w:hint="eastAsia" w:ascii="Times New Roman" w:hAnsi="Times New Roman" w:cs="Times New Roman"/>
          <w:sz w:val="24"/>
        </w:rPr>
        <w:t>奖惩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eastAsia="zh-CN"/>
        </w:rPr>
        <w:t>金庭</w:t>
      </w:r>
      <w:r>
        <w:rPr>
          <w:rFonts w:hint="eastAsia" w:ascii="Times New Roman" w:hAnsi="Times New Roman" w:cs="Times New Roman"/>
          <w:sz w:val="24"/>
        </w:rPr>
        <w:t>镇当月环境卫生情况在</w:t>
      </w:r>
      <w:r>
        <w:rPr>
          <w:rFonts w:hint="eastAsia" w:cs="Times New Roman"/>
          <w:sz w:val="24"/>
          <w:lang w:eastAsia="zh-CN"/>
        </w:rPr>
        <w:t>嵊州</w:t>
      </w:r>
      <w:r>
        <w:rPr>
          <w:rFonts w:hint="eastAsia" w:ascii="Times New Roman" w:hAnsi="Times New Roman" w:cs="Times New Roman"/>
          <w:sz w:val="24"/>
        </w:rPr>
        <w:t>市农村</w:t>
      </w:r>
      <w:r>
        <w:rPr>
          <w:rFonts w:hint="eastAsia" w:cs="Times New Roman"/>
          <w:sz w:val="24"/>
          <w:lang w:eastAsia="zh-CN"/>
        </w:rPr>
        <w:t>人居</w:t>
      </w:r>
      <w:r>
        <w:rPr>
          <w:rFonts w:hint="eastAsia" w:ascii="Times New Roman" w:hAnsi="Times New Roman" w:cs="Times New Roman"/>
          <w:sz w:val="24"/>
        </w:rPr>
        <w:t>环境月度</w:t>
      </w:r>
      <w:r>
        <w:rPr>
          <w:rFonts w:hint="eastAsia" w:cs="Times New Roman"/>
          <w:sz w:val="24"/>
          <w:lang w:eastAsia="zh-CN"/>
        </w:rPr>
        <w:t>测评</w:t>
      </w:r>
      <w:r>
        <w:rPr>
          <w:rFonts w:hint="eastAsia" w:ascii="Times New Roman" w:hAnsi="Times New Roman" w:cs="Times New Roman"/>
          <w:sz w:val="24"/>
        </w:rPr>
        <w:t>考核中排名</w:t>
      </w:r>
      <w:r>
        <w:rPr>
          <w:rFonts w:hint="eastAsia" w:cs="Times New Roman"/>
          <w:sz w:val="24"/>
          <w:lang w:eastAsia="zh-CN"/>
        </w:rPr>
        <w:t>前二位的奖励</w:t>
      </w:r>
      <w:r>
        <w:rPr>
          <w:rFonts w:hint="eastAsia" w:cs="Times New Roman"/>
          <w:sz w:val="24"/>
          <w:lang w:val="en-US" w:eastAsia="zh-CN"/>
        </w:rPr>
        <w:t>5000元；</w:t>
      </w:r>
      <w:r>
        <w:rPr>
          <w:rFonts w:hint="eastAsia" w:cs="Times New Roman"/>
          <w:sz w:val="24"/>
          <w:lang w:eastAsia="zh-CN"/>
        </w:rPr>
        <w:t>考核中排名为</w:t>
      </w:r>
      <w:r>
        <w:rPr>
          <w:rFonts w:hint="eastAsia" w:ascii="Times New Roman" w:hAnsi="Times New Roman" w:cs="Times New Roman"/>
          <w:sz w:val="24"/>
        </w:rPr>
        <w:t>末位</w:t>
      </w:r>
      <w:r>
        <w:rPr>
          <w:rFonts w:hint="eastAsia" w:cs="Times New Roman"/>
          <w:sz w:val="24"/>
          <w:lang w:eastAsia="zh-CN"/>
        </w:rPr>
        <w:t>的，</w:t>
      </w:r>
      <w:r>
        <w:rPr>
          <w:rFonts w:hint="eastAsia" w:ascii="Times New Roman" w:hAnsi="Times New Roman" w:cs="Times New Roman"/>
          <w:sz w:val="24"/>
        </w:rPr>
        <w:t>扣款承包供应商相应作业经费</w:t>
      </w:r>
      <w:r>
        <w:rPr>
          <w:rFonts w:hint="eastAsia" w:cs="Times New Roman"/>
          <w:sz w:val="24"/>
          <w:lang w:val="en-US" w:eastAsia="zh-CN"/>
        </w:rPr>
        <w:t>2</w:t>
      </w:r>
      <w:r>
        <w:rPr>
          <w:rFonts w:hint="eastAsia" w:ascii="Times New Roman" w:hAnsi="Times New Roman" w:cs="Times New Roman"/>
          <w:sz w:val="24"/>
        </w:rPr>
        <w:t>万元</w:t>
      </w:r>
      <w:r>
        <w:rPr>
          <w:rFonts w:hint="eastAsia" w:cs="Times New Roman"/>
          <w:sz w:val="24"/>
          <w:lang w:eastAsia="zh-CN"/>
        </w:rPr>
        <w:t>；排名倒数第二位的，</w:t>
      </w:r>
      <w:r>
        <w:rPr>
          <w:rFonts w:hint="eastAsia" w:ascii="Times New Roman" w:hAnsi="Times New Roman" w:cs="Times New Roman"/>
          <w:sz w:val="24"/>
        </w:rPr>
        <w:t>扣款承包供应商相应作业经费</w:t>
      </w:r>
      <w:r>
        <w:rPr>
          <w:rFonts w:hint="eastAsia" w:cs="Times New Roman"/>
          <w:sz w:val="24"/>
          <w:lang w:val="en-US" w:eastAsia="zh-CN"/>
        </w:rPr>
        <w:t>1</w:t>
      </w:r>
      <w:r>
        <w:rPr>
          <w:rFonts w:hint="eastAsia" w:ascii="Times New Roman" w:hAnsi="Times New Roman" w:cs="Times New Roman"/>
          <w:sz w:val="24"/>
        </w:rPr>
        <w:t>万元</w:t>
      </w:r>
      <w:r>
        <w:rPr>
          <w:rFonts w:hint="eastAsia"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金庭</w:t>
      </w:r>
      <w:r>
        <w:rPr>
          <w:rFonts w:hint="eastAsia" w:ascii="Times New Roman" w:hAnsi="Times New Roman" w:cs="Times New Roman"/>
          <w:sz w:val="24"/>
        </w:rPr>
        <w:t>镇当月环境卫生情况在</w:t>
      </w:r>
      <w:r>
        <w:rPr>
          <w:rFonts w:hint="eastAsia" w:cs="Times New Roman"/>
          <w:sz w:val="24"/>
          <w:lang w:eastAsia="zh-CN"/>
        </w:rPr>
        <w:t>绍兴</w:t>
      </w:r>
      <w:r>
        <w:rPr>
          <w:rFonts w:hint="eastAsia" w:ascii="Times New Roman" w:hAnsi="Times New Roman" w:cs="Times New Roman"/>
          <w:sz w:val="24"/>
        </w:rPr>
        <w:t>市农村</w:t>
      </w:r>
      <w:r>
        <w:rPr>
          <w:rFonts w:hint="eastAsia" w:cs="Times New Roman"/>
          <w:sz w:val="24"/>
          <w:lang w:eastAsia="zh-CN"/>
        </w:rPr>
        <w:t>人居</w:t>
      </w:r>
      <w:r>
        <w:rPr>
          <w:rFonts w:hint="eastAsia" w:ascii="Times New Roman" w:hAnsi="Times New Roman" w:cs="Times New Roman"/>
          <w:sz w:val="24"/>
        </w:rPr>
        <w:t>环境</w:t>
      </w:r>
      <w:r>
        <w:rPr>
          <w:rFonts w:hint="eastAsia" w:ascii="Times New Roman" w:hAnsi="Times New Roman" w:cs="Times New Roman"/>
          <w:sz w:val="24"/>
          <w:lang w:eastAsia="zh-CN"/>
        </w:rPr>
        <w:t>季</w:t>
      </w:r>
      <w:r>
        <w:rPr>
          <w:rFonts w:hint="eastAsia" w:ascii="Times New Roman" w:hAnsi="Times New Roman" w:cs="Times New Roman"/>
          <w:sz w:val="24"/>
        </w:rPr>
        <w:t>度</w:t>
      </w:r>
      <w:r>
        <w:rPr>
          <w:rFonts w:hint="eastAsia" w:cs="Times New Roman"/>
          <w:sz w:val="24"/>
          <w:lang w:eastAsia="zh-CN"/>
        </w:rPr>
        <w:t>测评</w:t>
      </w:r>
      <w:r>
        <w:rPr>
          <w:rFonts w:hint="eastAsia" w:ascii="Times New Roman" w:hAnsi="Times New Roman" w:cs="Times New Roman"/>
          <w:sz w:val="24"/>
        </w:rPr>
        <w:t>考核中排名</w:t>
      </w:r>
      <w:r>
        <w:rPr>
          <w:rFonts w:hint="eastAsia" w:cs="Times New Roman"/>
          <w:sz w:val="24"/>
          <w:lang w:eastAsia="zh-CN"/>
        </w:rPr>
        <w:t>前五位的奖励</w:t>
      </w:r>
      <w:r>
        <w:rPr>
          <w:rFonts w:hint="eastAsia" w:cs="Times New Roman"/>
          <w:sz w:val="24"/>
          <w:lang w:val="en-US" w:eastAsia="zh-CN"/>
        </w:rPr>
        <w:t>3万</w:t>
      </w:r>
      <w:r>
        <w:rPr>
          <w:rFonts w:hint="eastAsia" w:ascii="Times New Roman" w:hAnsi="Times New Roman" w:cs="Times New Roman"/>
          <w:sz w:val="24"/>
          <w:lang w:val="en-US" w:eastAsia="zh-CN"/>
        </w:rPr>
        <w:t>元；</w:t>
      </w:r>
      <w:r>
        <w:rPr>
          <w:rFonts w:hint="eastAsia" w:ascii="Times New Roman" w:hAnsi="Times New Roman" w:cs="Times New Roman"/>
          <w:sz w:val="24"/>
          <w:lang w:eastAsia="zh-CN"/>
        </w:rPr>
        <w:t>考核中排名为末</w:t>
      </w:r>
      <w:r>
        <w:rPr>
          <w:rFonts w:hint="eastAsia" w:cs="Times New Roman"/>
          <w:sz w:val="24"/>
          <w:lang w:eastAsia="zh-CN"/>
        </w:rPr>
        <w:t>五</w:t>
      </w:r>
      <w:r>
        <w:rPr>
          <w:rFonts w:hint="eastAsia" w:ascii="Times New Roman" w:hAnsi="Times New Roman" w:cs="Times New Roman"/>
          <w:sz w:val="24"/>
          <w:lang w:eastAsia="zh-CN"/>
        </w:rPr>
        <w:t>位的，扣款承包供应商相应作业经费</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金庭镇当月</w:t>
      </w:r>
      <w:r>
        <w:rPr>
          <w:rFonts w:hint="eastAsia" w:cs="Times New Roman"/>
          <w:sz w:val="24"/>
          <w:lang w:eastAsia="zh-CN"/>
        </w:rPr>
        <w:t>垃圾分类</w:t>
      </w:r>
      <w:r>
        <w:rPr>
          <w:rFonts w:hint="eastAsia" w:ascii="Times New Roman" w:hAnsi="Times New Roman" w:cs="Times New Roman"/>
          <w:sz w:val="24"/>
          <w:lang w:eastAsia="zh-CN"/>
        </w:rPr>
        <w:t>情况在嵊州市垃圾分类月度测评考核中排名前二位的奖励</w:t>
      </w:r>
      <w:r>
        <w:rPr>
          <w:rFonts w:hint="eastAsia" w:ascii="Times New Roman" w:hAnsi="Times New Roman" w:cs="Times New Roman"/>
          <w:sz w:val="24"/>
          <w:lang w:val="en-US" w:eastAsia="zh-CN"/>
        </w:rPr>
        <w:t>5000元；</w:t>
      </w:r>
      <w:r>
        <w:rPr>
          <w:rFonts w:hint="eastAsia" w:ascii="Times New Roman" w:hAnsi="Times New Roman" w:cs="Times New Roman"/>
          <w:sz w:val="24"/>
          <w:lang w:eastAsia="zh-CN"/>
        </w:rPr>
        <w:t>考核中排名为末二位的，扣款承包供应商相应作业经费</w:t>
      </w:r>
      <w:r>
        <w:rPr>
          <w:rFonts w:hint="eastAsia" w:ascii="Times New Roman" w:hAnsi="Times New Roman" w:cs="Times New Roman"/>
          <w:sz w:val="24"/>
          <w:lang w:val="en-US" w:eastAsia="zh-CN"/>
        </w:rPr>
        <w:t>5000</w:t>
      </w:r>
      <w:r>
        <w:rPr>
          <w:rFonts w:hint="eastAsia" w:ascii="Times New Roman" w:hAnsi="Times New Roman" w:cs="Times New Roman"/>
          <w:sz w:val="24"/>
          <w:lang w:eastAsia="zh-CN"/>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金庭镇当月</w:t>
      </w:r>
      <w:r>
        <w:rPr>
          <w:rFonts w:hint="eastAsia" w:cs="Times New Roman"/>
          <w:sz w:val="24"/>
          <w:lang w:eastAsia="zh-CN"/>
        </w:rPr>
        <w:t>垃圾分类</w:t>
      </w:r>
      <w:r>
        <w:rPr>
          <w:rFonts w:hint="eastAsia" w:ascii="Times New Roman" w:hAnsi="Times New Roman" w:cs="Times New Roman"/>
          <w:sz w:val="24"/>
          <w:lang w:eastAsia="zh-CN"/>
        </w:rPr>
        <w:t>情况在绍兴市垃圾分类</w:t>
      </w:r>
      <w:r>
        <w:rPr>
          <w:rFonts w:hint="eastAsia" w:cs="Times New Roman"/>
          <w:sz w:val="24"/>
          <w:lang w:eastAsia="zh-CN"/>
        </w:rPr>
        <w:t>季</w:t>
      </w:r>
      <w:r>
        <w:rPr>
          <w:rFonts w:hint="eastAsia" w:ascii="Times New Roman" w:hAnsi="Times New Roman" w:cs="Times New Roman"/>
          <w:sz w:val="24"/>
          <w:lang w:eastAsia="zh-CN"/>
        </w:rPr>
        <w:t>度测评考核中排名前五位的奖励</w:t>
      </w:r>
      <w:r>
        <w:rPr>
          <w:rFonts w:hint="eastAsia" w:ascii="Times New Roman" w:hAnsi="Times New Roman" w:cs="Times New Roman"/>
          <w:sz w:val="24"/>
          <w:lang w:val="en-US" w:eastAsia="zh-CN"/>
        </w:rPr>
        <w:t>1万元；</w:t>
      </w:r>
      <w:r>
        <w:rPr>
          <w:rFonts w:hint="eastAsia" w:ascii="Times New Roman" w:hAnsi="Times New Roman" w:cs="Times New Roman"/>
          <w:sz w:val="24"/>
          <w:lang w:eastAsia="zh-CN"/>
        </w:rPr>
        <w:t>考核中排名为末五位的，扣款承包供应商相应作业经费</w:t>
      </w:r>
      <w:r>
        <w:rPr>
          <w:rFonts w:hint="eastAsia" w:ascii="Times New Roman" w:hAnsi="Times New Roman" w:cs="Times New Roman"/>
          <w:sz w:val="24"/>
          <w:lang w:val="en-US" w:eastAsia="zh-CN"/>
        </w:rPr>
        <w:t>1万</w:t>
      </w:r>
      <w:r>
        <w:rPr>
          <w:rFonts w:hint="eastAsia" w:ascii="Times New Roman" w:hAnsi="Times New Roman" w:cs="Times New Roman"/>
          <w:sz w:val="24"/>
          <w:lang w:eastAsia="zh-CN"/>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一个合同年度累计</w:t>
      </w:r>
      <w:r>
        <w:rPr>
          <w:rFonts w:hint="eastAsia" w:ascii="Times New Roman" w:hAnsi="Times New Roman" w:cs="Times New Roman"/>
          <w:sz w:val="24"/>
          <w:lang w:eastAsia="zh-CN"/>
        </w:rPr>
        <w:t>三</w:t>
      </w:r>
      <w:r>
        <w:rPr>
          <w:rFonts w:hint="eastAsia" w:ascii="Times New Roman" w:hAnsi="Times New Roman" w:cs="Times New Roman"/>
          <w:sz w:val="24"/>
        </w:rPr>
        <w:t>次排名末位的，采购人有权终止合同。本合同期内采购人接受市级相关检查考核参照此条执行。采购人负责在下月底前将扣减后实得的作业承包款以转账方式支付给承包供应商。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（七）凡有以下行为的承包供应商，嵊州市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镇人民政府有权终止其承包合同，罚没履约保证金，如有差额保证金的，同时罚没差额保证金，并取消其在下一轮由嵊州市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镇人民政府组织的环卫作业投标的资格：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在承包作业期间发生5人（含5人）以上集体停工的。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贯彻落实金庭</w:t>
      </w:r>
      <w:r>
        <w:rPr>
          <w:rFonts w:hint="eastAsia" w:ascii="Times New Roman" w:hAnsi="Times New Roman" w:cs="Times New Roman"/>
          <w:sz w:val="24"/>
        </w:rPr>
        <w:t>镇人民政府各项突击性任务和指令</w:t>
      </w:r>
      <w:r>
        <w:rPr>
          <w:rFonts w:hint="eastAsia" w:ascii="Times New Roman" w:hAnsi="Times New Roman" w:cs="Times New Roman"/>
          <w:sz w:val="24"/>
          <w:lang w:eastAsia="zh-CN"/>
        </w:rPr>
        <w:t>不到位的</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3）</w:t>
      </w:r>
      <w:r>
        <w:rPr>
          <w:rFonts w:hint="eastAsia" w:ascii="Times New Roman" w:hAnsi="Times New Roman" w:cs="Times New Roman"/>
          <w:sz w:val="24"/>
        </w:rPr>
        <w:t>严重违反承包合同书责任条款，致使合同无法正常履行的。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ascii="Times New Roman" w:hAnsi="Times New Roman" w:cs="Times New Roman"/>
          <w:sz w:val="24"/>
        </w:rPr>
        <w:t>平时工作管理不力，被绍兴市级及以上新闻媒体曝光</w:t>
      </w:r>
      <w:r>
        <w:rPr>
          <w:rFonts w:hint="eastAsia" w:ascii="Times New Roman" w:hAnsi="Times New Roman" w:cs="Times New Roman"/>
          <w:sz w:val="24"/>
          <w:lang w:eastAsia="zh-CN"/>
        </w:rPr>
        <w:t>或</w:t>
      </w:r>
      <w:r>
        <w:rPr>
          <w:rFonts w:hint="eastAsia" w:ascii="Times New Roman" w:hAnsi="Times New Roman" w:cs="Times New Roman"/>
          <w:sz w:val="24"/>
        </w:rPr>
        <w:t>一个合同年度内3次及以上被嵊州市级新闻媒体曝光或引发群体上访事件（集体信访、重复信访、越级信访）。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5）</w:t>
      </w:r>
      <w:r>
        <w:rPr>
          <w:rFonts w:hint="eastAsia" w:ascii="Times New Roman" w:hAnsi="Times New Roman" w:cs="Times New Roman"/>
          <w:sz w:val="24"/>
        </w:rPr>
        <w:t>擅自从事环卫有偿服务与收费活动，涉及面广、社会影响较大的。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6）</w:t>
      </w:r>
      <w:r>
        <w:rPr>
          <w:rFonts w:hint="eastAsia" w:ascii="Times New Roman" w:hAnsi="Times New Roman" w:cs="Times New Roman"/>
          <w:sz w:val="24"/>
        </w:rPr>
        <w:t>未经嵊州市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镇人民政府同意擅自转包转让、分包的。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（八）嵊州市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镇人民政府有权根据实施情况对本考核办法及时做出进一步修改。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附件：《嵊州市</w:t>
      </w:r>
      <w:r>
        <w:rPr>
          <w:rFonts w:hint="eastAsia" w:ascii="Times New Roman" w:hAnsi="Times New Roman" w:cs="Times New Roman"/>
          <w:sz w:val="24"/>
          <w:lang w:eastAsia="zh-CN"/>
        </w:rPr>
        <w:t>金庭</w:t>
      </w:r>
      <w:r>
        <w:rPr>
          <w:rFonts w:hint="eastAsia" w:ascii="Times New Roman" w:hAnsi="Times New Roman" w:cs="Times New Roman"/>
          <w:sz w:val="24"/>
        </w:rPr>
        <w:t>镇环卫清扫保洁及垃圾分类收集、分类清运考核评分细则》</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b/>
          <w:bCs/>
          <w:color w:val="auto"/>
          <w:sz w:val="24"/>
        </w:rPr>
      </w:pPr>
      <w:r>
        <w:rPr>
          <w:rFonts w:hint="eastAsia" w:ascii="Times New Roman" w:hAnsi="Times New Roman" w:cs="Times New Roman"/>
          <w:b/>
          <w:bCs/>
          <w:sz w:val="24"/>
        </w:rPr>
        <w:t>附件</w:t>
      </w:r>
    </w:p>
    <w:tbl>
      <w:tblPr>
        <w:tblStyle w:val="46"/>
        <w:tblW w:w="9648" w:type="dxa"/>
        <w:tblInd w:w="0" w:type="dxa"/>
        <w:tblLayout w:type="fixed"/>
        <w:tblCellMar>
          <w:top w:w="15" w:type="dxa"/>
          <w:left w:w="108" w:type="dxa"/>
          <w:bottom w:w="15" w:type="dxa"/>
          <w:right w:w="108" w:type="dxa"/>
        </w:tblCellMar>
      </w:tblPr>
      <w:tblGrid>
        <w:gridCol w:w="675"/>
        <w:gridCol w:w="2951"/>
        <w:gridCol w:w="4484"/>
        <w:gridCol w:w="590"/>
        <w:gridCol w:w="42"/>
        <w:gridCol w:w="758"/>
        <w:gridCol w:w="148"/>
      </w:tblGrid>
      <w:tr>
        <w:tblPrEx>
          <w:tblCellMar>
            <w:top w:w="15" w:type="dxa"/>
            <w:left w:w="108" w:type="dxa"/>
            <w:bottom w:w="15" w:type="dxa"/>
            <w:right w:w="108" w:type="dxa"/>
          </w:tblCellMar>
        </w:tblPrEx>
        <w:trPr>
          <w:trHeight w:val="643" w:hRule="atLeast"/>
        </w:trPr>
        <w:tc>
          <w:tcPr>
            <w:tcW w:w="8700" w:type="dxa"/>
            <w:gridSpan w:val="4"/>
            <w:vAlign w:val="center"/>
          </w:tcPr>
          <w:p>
            <w:pPr>
              <w:widowControl/>
              <w:jc w:val="center"/>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卫生保洁考核评分细则（试用版）</w:t>
            </w:r>
          </w:p>
        </w:tc>
        <w:tc>
          <w:tcPr>
            <w:tcW w:w="948" w:type="dxa"/>
            <w:gridSpan w:val="3"/>
            <w:vAlign w:val="center"/>
          </w:tcPr>
          <w:p>
            <w:pPr>
              <w:widowControl/>
              <w:jc w:val="left"/>
              <w:rPr>
                <w:rFonts w:hint="eastAsia" w:asciiTheme="minorEastAsia" w:hAnsiTheme="minorEastAsia" w:eastAsiaTheme="minorEastAsia" w:cstheme="minorEastAsia"/>
                <w:color w:val="auto"/>
                <w:kern w:val="0"/>
                <w:sz w:val="24"/>
              </w:rPr>
            </w:pPr>
          </w:p>
        </w:tc>
      </w:tr>
      <w:tr>
        <w:tblPrEx>
          <w:tblCellMar>
            <w:top w:w="15" w:type="dxa"/>
            <w:left w:w="108" w:type="dxa"/>
            <w:bottom w:w="15" w:type="dxa"/>
            <w:right w:w="108" w:type="dxa"/>
          </w:tblCellMar>
        </w:tblPrEx>
        <w:trPr>
          <w:gridAfter w:val="1"/>
          <w:wAfter w:w="148" w:type="dxa"/>
          <w:trHeight w:val="64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序号</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工作质量要求</w:t>
            </w:r>
          </w:p>
        </w:tc>
        <w:tc>
          <w:tcPr>
            <w:tcW w:w="44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评分内容</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分值</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备注</w:t>
            </w:r>
          </w:p>
        </w:tc>
      </w:tr>
      <w:tr>
        <w:tblPrEx>
          <w:tblCellMar>
            <w:top w:w="15" w:type="dxa"/>
            <w:left w:w="108" w:type="dxa"/>
            <w:bottom w:w="15" w:type="dxa"/>
            <w:right w:w="108" w:type="dxa"/>
          </w:tblCellMar>
        </w:tblPrEx>
        <w:trPr>
          <w:gridAfter w:val="1"/>
          <w:wAfter w:w="148" w:type="dxa"/>
          <w:trHeight w:val="9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按照保洁管理作业指标要求落实保洁时间：</w:t>
            </w:r>
            <w:r>
              <w:rPr>
                <w:rFonts w:hint="eastAsia" w:asciiTheme="minorEastAsia" w:hAnsiTheme="minorEastAsia" w:eastAsiaTheme="minorEastAsia" w:cstheme="minorEastAsia"/>
                <w:color w:val="auto"/>
                <w:szCs w:val="21"/>
              </w:rPr>
              <w:t>8小时保洁：5月-10月：6:00-10:00， 14:00-18:00； 11月-4月：6：30--10：30，13：00—17:00。</w:t>
            </w:r>
          </w:p>
          <w:p>
            <w:pPr>
              <w:widowControl/>
              <w:jc w:val="left"/>
              <w:rPr>
                <w:rFonts w:hint="eastAsia" w:asciiTheme="minorEastAsia" w:hAnsiTheme="minorEastAsia" w:eastAsiaTheme="minorEastAsia" w:cstheme="minorEastAsia"/>
                <w:color w:val="auto"/>
                <w:kern w:val="0"/>
                <w:szCs w:val="21"/>
              </w:rPr>
            </w:pP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6"/>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不按规定时间上下班、迟到、早退或作业途中脱岗，视情节严重，每人次扣1分，但必须完成普扫及时挨家挨户垃圾分类收集，一旦查到脱岗每人次扣1分。</w:t>
            </w:r>
          </w:p>
          <w:p>
            <w:pPr>
              <w:keepNext w:val="0"/>
              <w:keepLines w:val="0"/>
              <w:pageBreakBefore w:val="0"/>
              <w:widowControl/>
              <w:numPr>
                <w:ilvl w:val="0"/>
                <w:numId w:val="6"/>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无拖欠工资情况，无因劳资纠纷引起的群体性上访情况。发生群体上访事件的，每次扣5分。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1</w:t>
            </w:r>
            <w:r>
              <w:rPr>
                <w:rFonts w:hint="eastAsia" w:asciiTheme="minorEastAsia" w:hAnsiTheme="minorEastAsia" w:eastAsiaTheme="minorEastAsia" w:cstheme="minorEastAsia"/>
                <w:color w:val="000000"/>
                <w:kern w:val="0"/>
                <w:sz w:val="24"/>
                <w:lang w:val="en-US" w:eastAsia="zh-CN"/>
              </w:rPr>
              <w:t>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3431"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eastAsia="zh-CN"/>
              </w:rPr>
              <w:t>道路路肩、绿化带</w:t>
            </w:r>
            <w:r>
              <w:rPr>
                <w:rFonts w:hint="eastAsia" w:asciiTheme="minorEastAsia" w:hAnsiTheme="minorEastAsia" w:eastAsiaTheme="minorEastAsia" w:cstheme="minorEastAsia"/>
                <w:color w:val="000000"/>
                <w:kern w:val="0"/>
                <w:szCs w:val="21"/>
              </w:rPr>
              <w:t>清扫做到“六无”，</w:t>
            </w:r>
            <w:r>
              <w:rPr>
                <w:rFonts w:hint="eastAsia" w:asciiTheme="minorEastAsia" w:hAnsiTheme="minorEastAsia" w:eastAsiaTheme="minorEastAsia" w:cstheme="minorEastAsia"/>
                <w:color w:val="000000"/>
                <w:kern w:val="0"/>
              </w:rPr>
              <w:t>“六无”即无生活垃圾、无杂草、无砖头石块、无淤泥积水、无卫生死角、无树叶；路面净、路牙净、下水道进水口净、人行道树圈净、绿化隔离带周围净，全天普扫不少于二次。</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rPr>
              <w:t>中转点（垃圾池）内垃圾不得超多2</w:t>
            </w:r>
            <w:r>
              <w:rPr>
                <w:rFonts w:hint="eastAsia" w:asciiTheme="minorEastAsia" w:hAnsiTheme="minorEastAsia" w:eastAsiaTheme="minorEastAsia" w:cstheme="minorEastAsia"/>
                <w:color w:val="auto"/>
                <w:kern w:val="0"/>
                <w:szCs w:val="21"/>
              </w:rPr>
              <w:t>㎡，（≥2㎡）的扣1分，路面垃圾（杂物）小堆（&lt;0.5㎡）的每处扣1分，大堆（≥0.5㎡）的每处扣1分，有暴露垃圾堆的每处扣2分；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②道路晴天积水&lt;3㎡的每处扣1分，≥3㎡的每处扣1分，冬季路面积水导致路面结冰的每处扣1分，导致有责任交通事故的每次扣2分；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③雨水井沟眼有积泥的每处扣1分，规定时间内树圈有垃圾（杂物）的每处扣1分；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④人行道未普扫的视情节扣1—3分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181"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3</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垃圾桶及时清理、擦洗、维护，确保垃圾桶的正常使用。</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8"/>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垃圾桶不及时</w:t>
            </w:r>
            <w:r>
              <w:rPr>
                <w:rFonts w:hint="eastAsia" w:asciiTheme="minorEastAsia" w:hAnsiTheme="minorEastAsia" w:eastAsiaTheme="minorEastAsia" w:cstheme="minorEastAsia"/>
                <w:color w:val="auto"/>
                <w:kern w:val="0"/>
                <w:szCs w:val="21"/>
                <w:lang w:eastAsia="zh-CN"/>
              </w:rPr>
              <w:t>更换、</w:t>
            </w:r>
            <w:r>
              <w:rPr>
                <w:rFonts w:hint="eastAsia" w:asciiTheme="minorEastAsia" w:hAnsiTheme="minorEastAsia" w:eastAsiaTheme="minorEastAsia" w:cstheme="minorEastAsia"/>
                <w:color w:val="auto"/>
                <w:kern w:val="0"/>
                <w:szCs w:val="21"/>
              </w:rPr>
              <w:t>清理、擦洗，发现损坏不及时维修的，每只垃圾桶扣1分；</w:t>
            </w:r>
          </w:p>
          <w:p>
            <w:pPr>
              <w:keepNext w:val="0"/>
              <w:keepLines w:val="0"/>
              <w:pageBreakBefore w:val="0"/>
              <w:widowControl/>
              <w:numPr>
                <w:ilvl w:val="0"/>
                <w:numId w:val="8"/>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被新闻媒体曝光的，每次扣1分.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353"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4</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不得漏扫、跳档式清扫，垃圾应归拢、归堆并清除彻底，垃圾不得扫入窖井、河道和倒入绿化带。</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9"/>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漏扫、跳档式清扫的每处扣</w:t>
            </w:r>
            <w:r>
              <w:rPr>
                <w:rFonts w:hint="eastAsia" w:asciiTheme="minorEastAsia" w:hAnsiTheme="minorEastAsia" w:eastAsiaTheme="minorEastAsia" w:cstheme="minorEastAsia"/>
                <w:color w:val="auto"/>
                <w:kern w:val="0"/>
              </w:rPr>
              <w:t>0.5分；②垃圾清扫后未能随扫随畚的每处扣1分；③归堆垃圾清除不彻底的每处扣1分；④垃圾扫入窖井、河道、绿化带的每处扣0.5分</w:t>
            </w:r>
            <w:r>
              <w:rPr>
                <w:rFonts w:hint="eastAsia" w:asciiTheme="minorEastAsia" w:hAnsiTheme="minorEastAsia" w:eastAsiaTheme="minorEastAsia" w:cstheme="minorEastAsia"/>
                <w:color w:val="000000"/>
                <w:kern w:val="0"/>
              </w:rPr>
              <w:t>。</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22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5</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eastAsia="zh-CN"/>
              </w:rPr>
              <w:t>道路路肩、绿化带</w:t>
            </w:r>
            <w:r>
              <w:rPr>
                <w:rFonts w:hint="eastAsia" w:asciiTheme="minorEastAsia" w:hAnsiTheme="minorEastAsia" w:eastAsiaTheme="minorEastAsia" w:cstheme="minorEastAsia"/>
                <w:color w:val="000000"/>
                <w:kern w:val="0"/>
                <w:szCs w:val="21"/>
              </w:rPr>
              <w:t>清扫收集垃圾应倾倒在规定地点，不得焚烧垃圾、树叶。落叶旺季做到及时清扫，并按规定地点堆放和转运</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0"/>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垃圾未倾倒在规定地点（乱倒）或焚烧垃圾、树叶的每次扣0.5分</w:t>
            </w:r>
            <w:r>
              <w:rPr>
                <w:rFonts w:hint="eastAsia" w:asciiTheme="minorEastAsia" w:hAnsiTheme="minorEastAsia" w:eastAsiaTheme="minorEastAsia" w:cstheme="minorEastAsia"/>
                <w:color w:val="auto"/>
                <w:kern w:val="0"/>
              </w:rPr>
              <w:t>②</w:t>
            </w:r>
            <w:r>
              <w:rPr>
                <w:rFonts w:hint="eastAsia" w:asciiTheme="minorEastAsia" w:hAnsiTheme="minorEastAsia" w:eastAsiaTheme="minorEastAsia" w:cstheme="minorEastAsia"/>
                <w:color w:val="auto"/>
                <w:kern w:val="0"/>
                <w:szCs w:val="21"/>
              </w:rPr>
              <w:t>落叶旺季未及时清扫树叶的每地段扣0.5分。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22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6</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再生资源包括旧金属、报废电子产品、报废机电设备及其零部件、废造纸原料、废化工原料、农药包装、废玻璃必须分类摆放整齐；再生资源的收集、储存运输处理等全过程应当遵守国家污染防治标准、技术政策和技术规范。</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sz w:val="22"/>
              </w:rPr>
              <w:t>①</w:t>
            </w:r>
            <w:r>
              <w:rPr>
                <w:rFonts w:hint="eastAsia" w:asciiTheme="minorEastAsia" w:hAnsiTheme="minorEastAsia" w:eastAsiaTheme="minorEastAsia" w:cstheme="minorEastAsia"/>
                <w:color w:val="000000"/>
                <w:kern w:val="0"/>
                <w:szCs w:val="21"/>
                <w:lang w:val="en-US" w:eastAsia="zh-CN"/>
              </w:rPr>
              <w:t>旧金属、报废电子产品、报废机电设备及其零部件、废造纸原料、废化工原料、农药包装、废玻璃等分类摆放不整齐的</w:t>
            </w:r>
            <w:r>
              <w:rPr>
                <w:rFonts w:hint="eastAsia" w:asciiTheme="minorEastAsia" w:hAnsiTheme="minorEastAsia" w:eastAsiaTheme="minorEastAsia" w:cstheme="minorEastAsia"/>
                <w:color w:val="000000"/>
                <w:sz w:val="22"/>
              </w:rPr>
              <w:t>每次扣0.5分；②</w:t>
            </w:r>
            <w:r>
              <w:rPr>
                <w:rFonts w:hint="eastAsia" w:asciiTheme="minorEastAsia" w:hAnsiTheme="minorEastAsia" w:eastAsiaTheme="minorEastAsia" w:cstheme="minorEastAsia"/>
                <w:color w:val="000000"/>
                <w:sz w:val="22"/>
                <w:lang w:eastAsia="zh-CN"/>
              </w:rPr>
              <w:t>发现</w:t>
            </w:r>
            <w:r>
              <w:rPr>
                <w:rFonts w:hint="eastAsia" w:asciiTheme="minorEastAsia" w:hAnsiTheme="minorEastAsia" w:eastAsiaTheme="minorEastAsia" w:cstheme="minorEastAsia"/>
                <w:color w:val="000000"/>
                <w:kern w:val="0"/>
                <w:szCs w:val="21"/>
                <w:lang w:val="en-US" w:eastAsia="zh-CN"/>
              </w:rPr>
              <w:t>再生资源的收集、储存运输处理等全过程违反遵守国家污染防治标准、技术政策和技术规范的</w:t>
            </w:r>
            <w:r>
              <w:rPr>
                <w:rFonts w:hint="eastAsia" w:asciiTheme="minorEastAsia" w:hAnsiTheme="minorEastAsia" w:eastAsiaTheme="minorEastAsia" w:cstheme="minorEastAsia"/>
                <w:color w:val="000000"/>
                <w:kern w:val="0"/>
                <w:szCs w:val="21"/>
                <w:lang w:eastAsia="zh-CN"/>
              </w:rPr>
              <w:t>每次扣</w:t>
            </w:r>
            <w:r>
              <w:rPr>
                <w:rFonts w:hint="eastAsia" w:asciiTheme="minorEastAsia" w:hAnsiTheme="minorEastAsia" w:eastAsiaTheme="minorEastAsia" w:cstheme="minorEastAsia"/>
                <w:color w:val="000000"/>
                <w:kern w:val="0"/>
                <w:szCs w:val="21"/>
                <w:lang w:val="en-US" w:eastAsia="zh-CN"/>
              </w:rPr>
              <w:t>0.5分。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22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7</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终端运行必须建立好台帐，所有垃圾必须进行无害化处理。生活垃圾统一进入终端实行无</w:t>
            </w:r>
            <w:r>
              <w:rPr>
                <w:rFonts w:hint="eastAsia" w:asciiTheme="minorEastAsia" w:hAnsiTheme="minorEastAsia" w:eastAsiaTheme="minorEastAsia" w:cstheme="minorEastAsia"/>
                <w:sz w:val="24"/>
              </w:rPr>
              <w:t>害化处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color w:val="000000"/>
                <w:kern w:val="0"/>
                <w:szCs w:val="21"/>
                <w:lang w:eastAsia="zh-CN"/>
              </w:rPr>
              <w:t>禁止自行简易填埋、焚烧，禁止工业垃圾、建筑垃圾等混入生活垃圾场所。</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Cs w:val="21"/>
                <w:lang w:val="en-US"/>
              </w:rPr>
            </w:pPr>
            <w:r>
              <w:rPr>
                <w:rFonts w:hint="eastAsia" w:asciiTheme="minorEastAsia" w:hAnsiTheme="minorEastAsia" w:eastAsiaTheme="minorEastAsia" w:cstheme="minorEastAsia"/>
                <w:color w:val="000000"/>
                <w:sz w:val="22"/>
              </w:rPr>
              <w:t>①未按要求</w:t>
            </w:r>
            <w:r>
              <w:rPr>
                <w:rFonts w:hint="eastAsia" w:asciiTheme="minorEastAsia" w:hAnsiTheme="minorEastAsia" w:eastAsiaTheme="minorEastAsia" w:cstheme="minorEastAsia"/>
                <w:color w:val="000000"/>
                <w:sz w:val="22"/>
                <w:lang w:eastAsia="zh-CN"/>
              </w:rPr>
              <w:t>建立台帐的</w:t>
            </w:r>
            <w:r>
              <w:rPr>
                <w:rFonts w:hint="eastAsia" w:asciiTheme="minorEastAsia" w:hAnsiTheme="minorEastAsia" w:eastAsiaTheme="minorEastAsia" w:cstheme="minorEastAsia"/>
                <w:color w:val="000000"/>
                <w:sz w:val="22"/>
              </w:rPr>
              <w:t>每次扣0.5分；②</w:t>
            </w:r>
            <w:r>
              <w:rPr>
                <w:rFonts w:hint="eastAsia" w:asciiTheme="minorEastAsia" w:hAnsiTheme="minorEastAsia" w:eastAsiaTheme="minorEastAsia" w:cstheme="minorEastAsia"/>
                <w:color w:val="000000"/>
                <w:sz w:val="22"/>
                <w:lang w:eastAsia="zh-CN"/>
              </w:rPr>
              <w:t>发现</w:t>
            </w:r>
            <w:r>
              <w:rPr>
                <w:rFonts w:hint="eastAsia" w:asciiTheme="minorEastAsia" w:hAnsiTheme="minorEastAsia" w:eastAsiaTheme="minorEastAsia" w:cstheme="minorEastAsia"/>
                <w:color w:val="000000"/>
                <w:kern w:val="0"/>
                <w:szCs w:val="21"/>
                <w:lang w:eastAsia="zh-CN"/>
              </w:rPr>
              <w:t>自行简易填埋、焚烧，禁止工业垃圾、建筑垃圾等混入生活垃圾场所的每次扣</w:t>
            </w:r>
            <w:r>
              <w:rPr>
                <w:rFonts w:hint="eastAsia" w:asciiTheme="minorEastAsia" w:hAnsiTheme="minorEastAsia" w:eastAsiaTheme="minorEastAsia" w:cstheme="minorEastAsia"/>
                <w:color w:val="000000"/>
                <w:kern w:val="0"/>
                <w:szCs w:val="21"/>
                <w:lang w:val="en-US" w:eastAsia="zh-CN"/>
              </w:rPr>
              <w:t>0.5分。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6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8</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安全劳动纪律执行情况：清扫保洁员及收集员上岗须统一着装，佩戴上岗证，作业时必须穿</w:t>
            </w:r>
            <w:r>
              <w:rPr>
                <w:rFonts w:hint="eastAsia" w:asciiTheme="minorEastAsia" w:hAnsiTheme="minorEastAsia" w:eastAsiaTheme="minorEastAsia" w:cstheme="minorEastAsia"/>
                <w:color w:val="auto"/>
                <w:kern w:val="0"/>
                <w:szCs w:val="21"/>
              </w:rPr>
              <w:t>安全反光黄背心和戴反光帽，对发现的问题要及时整改。强化作业规范，遵守交通规则，不发生有责安全事故事件。</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1"/>
              </w:numPr>
              <w:kinsoku/>
              <w:wordWrap/>
              <w:overflowPunct/>
              <w:topLinePunct w:val="0"/>
              <w:autoSpaceDE/>
              <w:autoSpaceDN/>
              <w:bidi w:val="0"/>
              <w:adjustRightInd/>
              <w:snapToGrid/>
              <w:ind w:left="0"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szCs w:val="21"/>
              </w:rPr>
              <w:t>作业时未按规定着安全反光黄背心的每人次扣0.5分；</w:t>
            </w:r>
            <w:r>
              <w:rPr>
                <w:rFonts w:hint="eastAsia" w:asciiTheme="minorEastAsia" w:hAnsiTheme="minorEastAsia" w:eastAsiaTheme="minorEastAsia" w:cstheme="minorEastAsia"/>
                <w:color w:val="auto"/>
                <w:kern w:val="0"/>
              </w:rPr>
              <w:t>②上下班不佩证上岗的每人次扣0.5分。</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000000"/>
                <w:kern w:val="0"/>
                <w:szCs w:val="21"/>
              </w:rPr>
              <w:t>②</w:t>
            </w:r>
            <w:r>
              <w:rPr>
                <w:rFonts w:hint="eastAsia" w:asciiTheme="minorEastAsia" w:hAnsiTheme="minorEastAsia" w:eastAsiaTheme="minorEastAsia" w:cstheme="minorEastAsia"/>
                <w:color w:val="auto"/>
                <w:kern w:val="0"/>
                <w:szCs w:val="21"/>
              </w:rPr>
              <w:t>一旦发生环卫工人伤亡的交通事故应立即逐级上报。发生有责死亡安全事故或直接经济损失30</w:t>
            </w:r>
            <w:r>
              <w:rPr>
                <w:rFonts w:hint="eastAsia" w:asciiTheme="minorEastAsia" w:hAnsiTheme="minorEastAsia" w:eastAsiaTheme="minorEastAsia" w:cstheme="minorEastAsia"/>
                <w:color w:val="000000" w:themeColor="text1"/>
                <w:kern w:val="0"/>
                <w:szCs w:val="21"/>
                <w14:textFill>
                  <w14:solidFill>
                    <w14:schemeClr w14:val="tx1"/>
                  </w14:solidFill>
                </w14:textFill>
              </w:rPr>
              <w:t>万以上的，扣5分。有责伤人事故或直接经济损失在20万以上的，扣3分。有责事故，扣1分。瞒报、谎报的加扣2分。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100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w:t>
            </w: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公共监督处理情况：保洁投诉（含市长热线、电话投诉、信访、数字城管、领导交办等）处理在规定的期限内完成，无有责投诉事件发生。市级以上（含市级）检查不失责任分。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遇有重大活动或突发事件，及时组织力量做好清扫保洁等保障工作，并视情及时启动城市管理保障应急机制，人员必须及时到位（需要集中时的具体位置另行通知），并根据应急命令决定早到和离岗，或使用必须机械设备。</w:t>
            </w:r>
          </w:p>
        </w:tc>
        <w:tc>
          <w:tcPr>
            <w:tcW w:w="4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1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①</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市长热线电话受理、数字城管、领导交办、市民投诉的道路保洁问题，经确认有责的每件问题扣2分以上；</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②未在规定期限内整改解决的每件次扣2分（经领导审批）；</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③市级以上检查失责任分的每件次扣5分（经领导审批）；</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④不听指挥调度、重大活动未能及时完成任务的每件次扣10分（经领导审批）。</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5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⑤</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媒体曝光：被嵊州市级、绍兴市级、省级新闻媒体作为反面典型曝光或领导点名批评的每次分别扣10分、20分、30分。</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15" w:type="dxa"/>
            <w:left w:w="108" w:type="dxa"/>
            <w:bottom w:w="15" w:type="dxa"/>
            <w:right w:w="108" w:type="dxa"/>
          </w:tblCellMar>
        </w:tblPrEx>
        <w:trPr>
          <w:gridAfter w:val="1"/>
          <w:wAfter w:w="148" w:type="dxa"/>
          <w:trHeight w:val="57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Theme="minorEastAsia" w:hAnsiTheme="minorEastAsia" w:eastAsiaTheme="minorEastAsia" w:cstheme="minorEastAsia"/>
                <w:color w:val="000000"/>
                <w:kern w:val="0"/>
                <w:sz w:val="24"/>
              </w:rPr>
            </w:pPr>
          </w:p>
        </w:tc>
        <w:tc>
          <w:tcPr>
            <w:tcW w:w="29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448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Cs w:val="21"/>
              </w:rPr>
            </w:pP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gridAfter w:val="1"/>
          <w:wAfter w:w="148" w:type="dxa"/>
          <w:trHeight w:val="480" w:hRule="atLeast"/>
        </w:trPr>
        <w:tc>
          <w:tcPr>
            <w:tcW w:w="9500" w:type="dxa"/>
            <w:gridSpan w:val="6"/>
            <w:tcBorders>
              <w:top w:val="single" w:color="000000" w:sz="4" w:space="0"/>
            </w:tcBorders>
            <w:vAlign w:val="center"/>
          </w:tcPr>
          <w:p>
            <w:pPr>
              <w:autoSpaceDN w:val="0"/>
              <w:jc w:val="left"/>
              <w:textAlignment w:val="center"/>
              <w:rPr>
                <w:rFonts w:hint="eastAsia" w:asciiTheme="minorEastAsia" w:hAnsiTheme="minorEastAsia" w:eastAsiaTheme="minorEastAsia" w:cstheme="minorEastAsia"/>
                <w:color w:val="000000"/>
              </w:rPr>
            </w:pPr>
          </w:p>
        </w:tc>
      </w:tr>
    </w:tbl>
    <w:p>
      <w:pPr>
        <w:rPr>
          <w:b/>
          <w:bCs/>
          <w:sz w:val="44"/>
        </w:rPr>
        <w:sectPr>
          <w:headerReference r:id="rId4" w:type="first"/>
          <w:footerReference r:id="rId6" w:type="first"/>
          <w:headerReference r:id="rId3" w:type="default"/>
          <w:footerReference r:id="rId5" w:type="default"/>
          <w:pgSz w:w="11906" w:h="16838"/>
          <w:pgMar w:top="1474" w:right="1417" w:bottom="1247" w:left="1417" w:header="851" w:footer="992" w:gutter="0"/>
          <w:pgNumType w:fmt="decimal" w:start="1"/>
          <w:cols w:space="720" w:num="1"/>
          <w:docGrid w:type="lines" w:linePitch="312" w:charSpace="0"/>
        </w:sectPr>
      </w:pPr>
    </w:p>
    <w:tbl>
      <w:tblPr>
        <w:tblStyle w:val="46"/>
        <w:tblW w:w="0" w:type="auto"/>
        <w:tblInd w:w="0" w:type="dxa"/>
        <w:tblLayout w:type="fixed"/>
        <w:tblCellMar>
          <w:top w:w="0" w:type="dxa"/>
          <w:left w:w="108" w:type="dxa"/>
          <w:bottom w:w="0" w:type="dxa"/>
          <w:right w:w="108" w:type="dxa"/>
        </w:tblCellMar>
      </w:tblPr>
      <w:tblGrid>
        <w:gridCol w:w="737"/>
        <w:gridCol w:w="3104"/>
        <w:gridCol w:w="2262"/>
        <w:gridCol w:w="1213"/>
        <w:gridCol w:w="1213"/>
        <w:gridCol w:w="119"/>
      </w:tblGrid>
      <w:tr>
        <w:tblPrEx>
          <w:tblCellMar>
            <w:top w:w="0" w:type="dxa"/>
            <w:left w:w="108" w:type="dxa"/>
            <w:bottom w:w="0" w:type="dxa"/>
            <w:right w:w="108" w:type="dxa"/>
          </w:tblCellMar>
        </w:tblPrEx>
        <w:trPr>
          <w:trHeight w:val="780" w:hRule="atLeast"/>
        </w:trPr>
        <w:tc>
          <w:tcPr>
            <w:tcW w:w="8648" w:type="dxa"/>
            <w:gridSpan w:val="6"/>
            <w:tcBorders>
              <w:bottom w:val="single" w:color="000000" w:sz="4" w:space="0"/>
            </w:tcBorders>
            <w:vAlign w:val="center"/>
          </w:tcPr>
          <w:p>
            <w:pPr>
              <w:autoSpaceDN w:val="0"/>
              <w:ind w:firstLine="1405" w:firstLineChars="500"/>
              <w:jc w:val="both"/>
              <w:textAlignment w:val="center"/>
              <w:rPr>
                <w:rFonts w:ascii="宋体"/>
                <w:b/>
                <w:color w:val="000000"/>
                <w:sz w:val="28"/>
              </w:rPr>
            </w:pPr>
            <w:r>
              <w:rPr>
                <w:rFonts w:hint="eastAsia" w:ascii="宋体" w:hAnsi="宋体"/>
                <w:b/>
                <w:color w:val="000000"/>
                <w:sz w:val="28"/>
              </w:rPr>
              <w:t>农村垃圾分类收集、分类清运考核评分表</w:t>
            </w:r>
          </w:p>
        </w:tc>
      </w:tr>
      <w:tr>
        <w:tblPrEx>
          <w:tblCellMar>
            <w:top w:w="0" w:type="dxa"/>
            <w:left w:w="108" w:type="dxa"/>
            <w:bottom w:w="0" w:type="dxa"/>
            <w:right w:w="108" w:type="dxa"/>
          </w:tblCellMar>
        </w:tblPrEx>
        <w:trPr>
          <w:gridAfter w:val="1"/>
          <w:wAfter w:w="119" w:type="dxa"/>
          <w:trHeight w:val="645"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hint="eastAsia" w:ascii="宋体" w:hAnsi="宋体"/>
                <w:b/>
                <w:color w:val="000000"/>
                <w:sz w:val="22"/>
              </w:rPr>
              <w:t>序号</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hint="eastAsia" w:ascii="宋体" w:hAnsi="宋体"/>
                <w:b/>
                <w:color w:val="000000"/>
                <w:sz w:val="22"/>
              </w:rPr>
              <w:t>工作质量要求</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hint="eastAsia" w:ascii="宋体" w:hAnsi="宋体"/>
                <w:b/>
                <w:color w:val="000000"/>
                <w:sz w:val="22"/>
              </w:rPr>
              <w:t>评分内容</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r>
              <w:rPr>
                <w:rFonts w:hint="eastAsia" w:ascii="宋体" w:hAnsi="宋体"/>
                <w:b/>
                <w:color w:val="000000"/>
                <w:sz w:val="22"/>
              </w:rPr>
              <w:t>备注</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olor w:val="000000"/>
                <w:sz w:val="22"/>
              </w:rPr>
            </w:pPr>
          </w:p>
        </w:tc>
      </w:tr>
      <w:tr>
        <w:tblPrEx>
          <w:tblCellMar>
            <w:top w:w="0" w:type="dxa"/>
            <w:left w:w="108" w:type="dxa"/>
            <w:bottom w:w="0" w:type="dxa"/>
            <w:right w:w="108" w:type="dxa"/>
          </w:tblCellMar>
        </w:tblPrEx>
        <w:trPr>
          <w:gridAfter w:val="1"/>
          <w:wAfter w:w="119" w:type="dxa"/>
          <w:trHeight w:val="2599"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1</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22"/>
              </w:rPr>
            </w:pPr>
            <w:r>
              <w:rPr>
                <w:color w:val="000000"/>
                <w:sz w:val="22"/>
              </w:rPr>
              <w:t>1</w:t>
            </w:r>
            <w:r>
              <w:rPr>
                <w:rFonts w:hint="eastAsia" w:ascii="宋体" w:hAnsi="宋体"/>
                <w:color w:val="000000"/>
                <w:sz w:val="22"/>
              </w:rPr>
              <w:t>、按要求做好清运工作；</w:t>
            </w:r>
            <w:r>
              <w:rPr>
                <w:color w:val="000000"/>
                <w:sz w:val="22"/>
              </w:rPr>
              <w:t>2</w:t>
            </w:r>
            <w:r>
              <w:rPr>
                <w:rFonts w:hint="eastAsia" w:ascii="宋体" w:hAnsi="宋体"/>
                <w:color w:val="000000"/>
                <w:sz w:val="22"/>
              </w:rPr>
              <w:t>、村庄，重要场所，且夜间易满溢的垃圾桶。白天清运一次，晚上清运一次。</w:t>
            </w:r>
            <w:r>
              <w:rPr>
                <w:color w:val="000000"/>
                <w:sz w:val="22"/>
              </w:rPr>
              <w:t>3</w:t>
            </w:r>
            <w:r>
              <w:rPr>
                <w:rFonts w:hint="eastAsia" w:ascii="宋体" w:hAnsi="宋体"/>
                <w:color w:val="000000"/>
                <w:sz w:val="22"/>
              </w:rPr>
              <w:t>、清运内容包括日常生活垃圾、建筑装潢垃圾、生活垃圾死角</w:t>
            </w:r>
            <w:r>
              <w:rPr>
                <w:color w:val="000000"/>
                <w:sz w:val="22"/>
              </w:rPr>
              <w:t>(</w:t>
            </w:r>
            <w:r>
              <w:rPr>
                <w:rFonts w:hint="eastAsia" w:ascii="宋体" w:hAnsi="宋体"/>
                <w:color w:val="000000"/>
                <w:sz w:val="22"/>
              </w:rPr>
              <w:t>杂物</w:t>
            </w:r>
            <w:r>
              <w:rPr>
                <w:color w:val="000000"/>
                <w:sz w:val="22"/>
              </w:rPr>
              <w:t>)</w:t>
            </w:r>
            <w:r>
              <w:rPr>
                <w:rFonts w:hint="eastAsia" w:ascii="宋体" w:hAnsi="宋体"/>
                <w:color w:val="000000"/>
                <w:sz w:val="22"/>
              </w:rPr>
              <w:t>和路边修剪下的少量花草、树枝树叶等。</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color w:val="000000"/>
                <w:sz w:val="22"/>
              </w:rPr>
              <w:t>①</w:t>
            </w:r>
            <w:r>
              <w:rPr>
                <w:rFonts w:hint="eastAsia" w:ascii="宋体" w:hAnsi="宋体"/>
                <w:color w:val="000000"/>
                <w:sz w:val="22"/>
              </w:rPr>
              <w:t>未按要求次数清运每次扣</w:t>
            </w:r>
            <w:r>
              <w:rPr>
                <w:color w:val="000000"/>
                <w:sz w:val="22"/>
              </w:rPr>
              <w:t>0.5</w:t>
            </w:r>
            <w:r>
              <w:rPr>
                <w:rFonts w:hint="eastAsia" w:ascii="宋体" w:hAnsi="宋体"/>
                <w:color w:val="000000"/>
                <w:sz w:val="22"/>
              </w:rPr>
              <w:t>分；</w:t>
            </w:r>
            <w:r>
              <w:rPr>
                <w:rFonts w:hint="eastAsia" w:ascii="宋体"/>
                <w:color w:val="000000"/>
                <w:sz w:val="22"/>
              </w:rPr>
              <w:t>②</w:t>
            </w:r>
            <w:r>
              <w:rPr>
                <w:rFonts w:hint="eastAsia" w:ascii="宋体" w:hAnsi="宋体"/>
                <w:color w:val="000000"/>
                <w:sz w:val="22"/>
              </w:rPr>
              <w:t>上午</w:t>
            </w:r>
            <w:r>
              <w:rPr>
                <w:color w:val="000000"/>
                <w:sz w:val="22"/>
              </w:rPr>
              <w:t>9</w:t>
            </w:r>
            <w:r>
              <w:rPr>
                <w:rFonts w:hint="eastAsia" w:ascii="宋体" w:hAnsi="宋体"/>
                <w:color w:val="000000"/>
                <w:sz w:val="22"/>
              </w:rPr>
              <w:t>点前未完成第一次清运每处扣</w:t>
            </w:r>
            <w:r>
              <w:rPr>
                <w:color w:val="000000"/>
                <w:sz w:val="22"/>
              </w:rPr>
              <w:t>1</w:t>
            </w:r>
            <w:r>
              <w:rPr>
                <w:rFonts w:hint="eastAsia" w:ascii="宋体" w:hAnsi="宋体"/>
                <w:color w:val="000000"/>
                <w:sz w:val="22"/>
              </w:rPr>
              <w:t>分。</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218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2</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color w:val="000000"/>
                <w:sz w:val="22"/>
              </w:rPr>
            </w:pPr>
            <w:r>
              <w:rPr>
                <w:color w:val="000000"/>
                <w:sz w:val="22"/>
              </w:rPr>
              <w:t>1</w:t>
            </w:r>
            <w:r>
              <w:rPr>
                <w:rFonts w:hint="eastAsia"/>
                <w:color w:val="000000"/>
                <w:sz w:val="22"/>
              </w:rPr>
              <w:t>、垃圾必须按照可烂和不可烂垃圾分类清运，不得混装清运；</w:t>
            </w:r>
            <w:r>
              <w:rPr>
                <w:color w:val="000000"/>
                <w:sz w:val="22"/>
              </w:rPr>
              <w:t>2</w:t>
            </w:r>
            <w:r>
              <w:rPr>
                <w:rFonts w:hint="eastAsia"/>
                <w:color w:val="000000"/>
                <w:sz w:val="22"/>
              </w:rPr>
              <w:t>、垃圾收集时，发现村民垃圾分类不准确，需进行分拣，重新分类后再分类清运。</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color w:val="000000"/>
                <w:sz w:val="22"/>
              </w:rPr>
              <w:t>①</w:t>
            </w:r>
            <w:r>
              <w:rPr>
                <w:rFonts w:hint="eastAsia" w:ascii="宋体" w:hAnsi="宋体"/>
                <w:color w:val="000000"/>
                <w:sz w:val="22"/>
              </w:rPr>
              <w:t>未按照垃圾分类清运，存在垃圾混装清运的每次扣</w:t>
            </w:r>
            <w:r>
              <w:rPr>
                <w:rFonts w:ascii="宋体" w:hAnsi="宋体"/>
                <w:color w:val="000000"/>
                <w:sz w:val="22"/>
              </w:rPr>
              <w:t>2</w:t>
            </w:r>
            <w:r>
              <w:rPr>
                <w:rFonts w:hint="eastAsia" w:ascii="宋体" w:hAnsi="宋体"/>
                <w:color w:val="000000"/>
                <w:sz w:val="22"/>
              </w:rPr>
              <w:t>分；</w:t>
            </w:r>
            <w:r>
              <w:rPr>
                <w:rFonts w:hint="eastAsia" w:ascii="宋体"/>
                <w:color w:val="000000"/>
                <w:sz w:val="22"/>
              </w:rPr>
              <w:t>②</w:t>
            </w:r>
            <w:r>
              <w:rPr>
                <w:rFonts w:hint="eastAsia"/>
                <w:color w:val="000000"/>
                <w:sz w:val="22"/>
              </w:rPr>
              <w:t>发现村民垃圾分类未准确分类，不重新分拣的每次扣</w:t>
            </w:r>
            <w:r>
              <w:rPr>
                <w:color w:val="000000"/>
                <w:sz w:val="22"/>
              </w:rPr>
              <w:t>0.5</w:t>
            </w:r>
            <w:r>
              <w:rPr>
                <w:rFonts w:hint="eastAsia"/>
                <w:color w:val="000000"/>
                <w:sz w:val="22"/>
              </w:rPr>
              <w:t>分。</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1665"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3</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道路两侧视野范围内乱倒建筑垃圾、渣土及积存垃圾须及时清除。清扫垃圾采用专门车辆收集，建筑垃圾倒入指定地点，不得随处乱倒和焚烧垃圾。</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color w:val="000000"/>
                <w:sz w:val="22"/>
              </w:rPr>
              <w:t>①</w:t>
            </w:r>
            <w:r>
              <w:rPr>
                <w:rFonts w:hint="eastAsia" w:ascii="宋体" w:hAnsi="宋体"/>
                <w:color w:val="000000"/>
                <w:sz w:val="22"/>
              </w:rPr>
              <w:t>道路两侧视野范围内发现建筑垃圾、渣土及积存垃圾每次扣</w:t>
            </w:r>
            <w:r>
              <w:rPr>
                <w:color w:val="000000"/>
                <w:sz w:val="22"/>
              </w:rPr>
              <w:t>0.5</w:t>
            </w:r>
            <w:r>
              <w:rPr>
                <w:rFonts w:hint="eastAsia" w:ascii="宋体" w:hAnsi="宋体"/>
                <w:color w:val="000000"/>
                <w:sz w:val="22"/>
              </w:rPr>
              <w:t>分；</w:t>
            </w:r>
            <w:r>
              <w:rPr>
                <w:rFonts w:hint="eastAsia" w:ascii="宋体"/>
                <w:color w:val="000000"/>
                <w:sz w:val="22"/>
              </w:rPr>
              <w:t>②</w:t>
            </w:r>
            <w:r>
              <w:rPr>
                <w:rFonts w:hint="eastAsia" w:ascii="宋体" w:hAnsi="宋体"/>
                <w:color w:val="000000"/>
                <w:sz w:val="22"/>
              </w:rPr>
              <w:t>垃圾桶未清运彻底的一处扣</w:t>
            </w:r>
            <w:r>
              <w:rPr>
                <w:rFonts w:ascii="宋体"/>
                <w:color w:val="000000"/>
                <w:sz w:val="22"/>
              </w:rPr>
              <w:t>0</w:t>
            </w:r>
            <w:r>
              <w:rPr>
                <w:color w:val="000000"/>
                <w:sz w:val="22"/>
              </w:rPr>
              <w:t>.5</w:t>
            </w:r>
            <w:r>
              <w:rPr>
                <w:rFonts w:hint="eastAsia" w:ascii="宋体" w:hAnsi="宋体"/>
                <w:color w:val="000000"/>
                <w:sz w:val="22"/>
              </w:rPr>
              <w:t>分。</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96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4</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及时做到责任区域内的死角清除。</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责任区域死角出现垃圾堆积情况的每查处一次扣</w:t>
            </w:r>
            <w:r>
              <w:rPr>
                <w:rFonts w:ascii="宋体" w:hAnsi="宋体"/>
                <w:color w:val="000000"/>
                <w:sz w:val="22"/>
              </w:rPr>
              <w:t>0.5</w:t>
            </w:r>
            <w:r>
              <w:rPr>
                <w:rFonts w:hint="eastAsia" w:ascii="宋体" w:hAnsi="宋体"/>
                <w:color w:val="000000"/>
                <w:sz w:val="22"/>
              </w:rPr>
              <w:t>分。</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1095"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5</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垃圾桶每日按时清运，无积存垃圾、无垃圾满溢，并巡回检查，发现满溢及时清理；</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垃圾收集设施垃圾满溢，清运不及时，未做到日产日清的每处扣</w:t>
            </w:r>
            <w:r>
              <w:rPr>
                <w:rFonts w:ascii="宋体" w:hAnsi="宋体"/>
                <w:color w:val="000000"/>
                <w:sz w:val="22"/>
              </w:rPr>
              <w:t>1</w:t>
            </w:r>
            <w:r>
              <w:rPr>
                <w:rFonts w:hint="eastAsia" w:ascii="宋体" w:hAnsi="宋体"/>
                <w:color w:val="000000"/>
                <w:sz w:val="22"/>
              </w:rPr>
              <w:t>分。扣完为止。</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336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6</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按要求落实好垃圾桶清洗工，主要工作内容为垃圾桶清洗、入室，以及收集点周边的环境卫生，做到不遗漏，内外整洁、无歪斜、无破损、周围地面清洁，无垃圾及污水。</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color w:val="000000"/>
                <w:sz w:val="22"/>
              </w:rPr>
              <w:t>①</w:t>
            </w:r>
            <w:r>
              <w:rPr>
                <w:rFonts w:hint="eastAsia" w:ascii="宋体" w:hAnsi="宋体"/>
                <w:color w:val="000000"/>
                <w:sz w:val="22"/>
              </w:rPr>
              <w:t>规定清洗人员未到岗的每人次扣</w:t>
            </w:r>
            <w:r>
              <w:rPr>
                <w:rFonts w:ascii="宋体" w:hAnsi="宋体"/>
                <w:color w:val="000000"/>
                <w:sz w:val="22"/>
              </w:rPr>
              <w:t>1</w:t>
            </w:r>
            <w:r>
              <w:rPr>
                <w:rFonts w:hint="eastAsia" w:ascii="宋体" w:hAnsi="宋体"/>
                <w:color w:val="000000"/>
                <w:sz w:val="22"/>
              </w:rPr>
              <w:t>分，</w:t>
            </w:r>
            <w:r>
              <w:rPr>
                <w:rFonts w:hint="eastAsia" w:ascii="宋体"/>
                <w:color w:val="000000"/>
                <w:sz w:val="22"/>
              </w:rPr>
              <w:t>②</w:t>
            </w:r>
            <w:r>
              <w:rPr>
                <w:rFonts w:hint="eastAsia" w:ascii="宋体" w:hAnsi="宋体"/>
                <w:color w:val="000000"/>
                <w:sz w:val="22"/>
              </w:rPr>
              <w:t>垃圾桶桶身未清洗干净每只扣</w:t>
            </w:r>
            <w:r>
              <w:rPr>
                <w:rFonts w:ascii="宋体" w:hAnsi="宋体"/>
                <w:color w:val="000000"/>
                <w:sz w:val="22"/>
              </w:rPr>
              <w:t>0.5</w:t>
            </w:r>
            <w:r>
              <w:rPr>
                <w:rFonts w:hint="eastAsia" w:ascii="宋体" w:hAnsi="宋体"/>
                <w:color w:val="000000"/>
                <w:sz w:val="22"/>
              </w:rPr>
              <w:t>分；③清运后的收集点周围</w:t>
            </w:r>
            <w:r>
              <w:rPr>
                <w:rFonts w:ascii="宋体" w:hAnsi="宋体"/>
                <w:color w:val="000000"/>
                <w:sz w:val="22"/>
              </w:rPr>
              <w:t>5</w:t>
            </w:r>
            <w:r>
              <w:rPr>
                <w:rFonts w:hint="eastAsia" w:ascii="宋体" w:hAnsi="宋体"/>
                <w:color w:val="000000"/>
                <w:sz w:val="22"/>
              </w:rPr>
              <w:t>米内未扫干净的一处扣</w:t>
            </w:r>
            <w:r>
              <w:rPr>
                <w:rFonts w:ascii="宋体" w:hAnsi="宋体"/>
                <w:color w:val="000000"/>
                <w:sz w:val="22"/>
              </w:rPr>
              <w:t>0.5</w:t>
            </w:r>
            <w:r>
              <w:rPr>
                <w:rFonts w:hint="eastAsia" w:ascii="宋体" w:hAnsi="宋体"/>
                <w:color w:val="000000"/>
                <w:sz w:val="22"/>
              </w:rPr>
              <w:t>分；④垃圾桶有严重破损要及时汇报，清运人员人为损坏的每只扣</w:t>
            </w:r>
            <w:r>
              <w:rPr>
                <w:rFonts w:ascii="宋体" w:hAnsi="宋体"/>
                <w:color w:val="000000"/>
                <w:sz w:val="22"/>
              </w:rPr>
              <w:t>2</w:t>
            </w:r>
            <w:r>
              <w:rPr>
                <w:rFonts w:hint="eastAsia" w:ascii="宋体" w:hAnsi="宋体"/>
                <w:color w:val="000000"/>
                <w:sz w:val="22"/>
              </w:rPr>
              <w:t>分。</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108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7</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清运专用车整洁无破损、满溢，每天至少清洗一次，垃圾车辆外貌整洁，统一编号，性能良好，密闭运输，车体外无悬挂物。</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垃圾车辆外貌脏乱、存在破损或有悬挂物的每查处一次扣</w:t>
            </w:r>
            <w:r>
              <w:rPr>
                <w:rFonts w:ascii="宋体" w:hAnsi="宋体"/>
                <w:color w:val="FF0000"/>
                <w:sz w:val="22"/>
              </w:rPr>
              <w:t>1</w:t>
            </w:r>
            <w:r>
              <w:rPr>
                <w:rFonts w:hint="eastAsia" w:ascii="宋体" w:hAnsi="宋体"/>
                <w:color w:val="000000"/>
                <w:sz w:val="22"/>
              </w:rPr>
              <w:t>分。</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465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hAnsi="宋体"/>
                <w:color w:val="000000"/>
                <w:sz w:val="22"/>
              </w:rPr>
              <w:t>8</w:t>
            </w: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2"/>
              </w:rPr>
            </w:pPr>
            <w:r>
              <w:rPr>
                <w:rFonts w:hint="eastAsia" w:ascii="宋体" w:hAnsi="宋体"/>
                <w:color w:val="000000"/>
                <w:sz w:val="22"/>
              </w:rPr>
              <w:t>垃圾清运投诉（含市长热线、电话投诉、信访、领导交办等）处理在规定的期限内完成，无有责投诉事件发生。市级以上（含市级）检查不失责任分。</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color w:val="000000"/>
                <w:kern w:val="0"/>
                <w:szCs w:val="21"/>
              </w:rPr>
            </w:pPr>
            <w:r>
              <w:rPr>
                <w:rFonts w:hint="eastAsia" w:ascii="宋体"/>
                <w:color w:val="000000"/>
                <w:sz w:val="22"/>
              </w:rPr>
              <w:t>①</w:t>
            </w:r>
            <w:r>
              <w:rPr>
                <w:rFonts w:hint="eastAsia" w:ascii="宋体" w:hAnsi="宋体"/>
                <w:color w:val="000000"/>
                <w:sz w:val="22"/>
              </w:rPr>
              <w:t>市长热线、数字城管、投诉等经查属实扣</w:t>
            </w:r>
            <w:r>
              <w:rPr>
                <w:rFonts w:ascii="宋体" w:hAnsi="宋体"/>
                <w:color w:val="000000"/>
                <w:sz w:val="22"/>
              </w:rPr>
              <w:t>2</w:t>
            </w:r>
            <w:r>
              <w:rPr>
                <w:rFonts w:hint="eastAsia" w:ascii="宋体" w:hAnsi="宋体"/>
                <w:color w:val="000000"/>
                <w:sz w:val="22"/>
              </w:rPr>
              <w:t>分以上；</w:t>
            </w:r>
            <w:r>
              <w:rPr>
                <w:rFonts w:ascii="宋体"/>
                <w:color w:val="000000"/>
                <w:sz w:val="22"/>
              </w:rPr>
              <w:br w:type="textWrapping"/>
            </w:r>
            <w:r>
              <w:rPr>
                <w:rFonts w:hint="eastAsia" w:ascii="宋体"/>
                <w:color w:val="000000"/>
                <w:sz w:val="22"/>
              </w:rPr>
              <w:t>②</w:t>
            </w:r>
            <w:r>
              <w:rPr>
                <w:rFonts w:hint="eastAsia" w:ascii="宋体" w:hAnsi="宋体" w:cs="宋体"/>
                <w:color w:val="000000"/>
                <w:kern w:val="0"/>
                <w:szCs w:val="21"/>
              </w:rPr>
              <w:t>媒体曝光：被嵊州市级、绍兴市级、省级新闻媒体作为反面典型曝光或领导点名批评的每次分别扣</w:t>
            </w:r>
            <w:r>
              <w:rPr>
                <w:rFonts w:ascii="宋体" w:hAnsi="宋体" w:cs="宋体"/>
                <w:color w:val="000000"/>
                <w:kern w:val="0"/>
                <w:szCs w:val="21"/>
              </w:rPr>
              <w:t>10</w:t>
            </w:r>
            <w:r>
              <w:rPr>
                <w:rFonts w:hint="eastAsia" w:ascii="宋体" w:hAnsi="宋体" w:cs="宋体"/>
                <w:color w:val="000000"/>
                <w:kern w:val="0"/>
                <w:szCs w:val="21"/>
              </w:rPr>
              <w:t>分、</w:t>
            </w:r>
            <w:r>
              <w:rPr>
                <w:rFonts w:ascii="宋体" w:hAnsi="宋体" w:cs="宋体"/>
                <w:color w:val="000000"/>
                <w:kern w:val="0"/>
                <w:szCs w:val="21"/>
              </w:rPr>
              <w:t>20</w:t>
            </w:r>
            <w:r>
              <w:rPr>
                <w:rFonts w:hint="eastAsia" w:ascii="宋体" w:hAnsi="宋体" w:cs="宋体"/>
                <w:color w:val="000000"/>
                <w:kern w:val="0"/>
                <w:szCs w:val="21"/>
              </w:rPr>
              <w:t>分、</w:t>
            </w:r>
            <w:r>
              <w:rPr>
                <w:rFonts w:ascii="宋体" w:hAnsi="宋体" w:cs="宋体"/>
                <w:color w:val="000000"/>
                <w:kern w:val="0"/>
                <w:szCs w:val="21"/>
              </w:rPr>
              <w:t>30</w:t>
            </w:r>
            <w:r>
              <w:rPr>
                <w:rFonts w:hint="eastAsia" w:ascii="宋体" w:hAnsi="宋体" w:cs="宋体"/>
                <w:color w:val="000000"/>
                <w:kern w:val="0"/>
                <w:szCs w:val="21"/>
              </w:rPr>
              <w:t>分；</w:t>
            </w:r>
          </w:p>
          <w:p>
            <w:pPr>
              <w:autoSpaceDN w:val="0"/>
              <w:jc w:val="left"/>
              <w:textAlignment w:val="center"/>
              <w:rPr>
                <w:rFonts w:ascii="宋体"/>
                <w:color w:val="000000"/>
                <w:sz w:val="22"/>
              </w:rPr>
            </w:pPr>
            <w:r>
              <w:rPr>
                <w:rFonts w:hint="eastAsia" w:ascii="宋体"/>
                <w:color w:val="000000"/>
                <w:sz w:val="22"/>
              </w:rPr>
              <w:t>③</w:t>
            </w:r>
            <w:r>
              <w:rPr>
                <w:rFonts w:hint="eastAsia" w:ascii="宋体" w:hAnsi="宋体"/>
                <w:color w:val="000000"/>
                <w:sz w:val="22"/>
              </w:rPr>
              <w:t>重大活动时，未按规定时间内完成工作的扣</w:t>
            </w:r>
            <w:r>
              <w:rPr>
                <w:rFonts w:ascii="宋体" w:hAnsi="宋体"/>
                <w:color w:val="000000"/>
                <w:sz w:val="22"/>
              </w:rPr>
              <w:t>4—10</w:t>
            </w:r>
            <w:r>
              <w:rPr>
                <w:rFonts w:hint="eastAsia" w:ascii="宋体" w:hAnsi="宋体"/>
                <w:color w:val="000000"/>
                <w:sz w:val="22"/>
              </w:rPr>
              <w:t>分（经领导审批执行）；</w:t>
            </w:r>
            <w:r>
              <w:rPr>
                <w:rFonts w:ascii="宋体"/>
                <w:color w:val="000000"/>
                <w:sz w:val="22"/>
              </w:rPr>
              <w:br w:type="textWrapping"/>
            </w:r>
            <w:r>
              <w:rPr>
                <w:rFonts w:hint="eastAsia" w:ascii="宋体"/>
                <w:color w:val="000000"/>
                <w:sz w:val="22"/>
              </w:rPr>
              <w:t>④</w:t>
            </w:r>
            <w:r>
              <w:rPr>
                <w:rFonts w:hint="eastAsia" w:ascii="宋体" w:hAnsi="宋体"/>
                <w:color w:val="000000"/>
                <w:sz w:val="22"/>
              </w:rPr>
              <w:t>如遇重大（如突击工作任务），须服从安排。未按规定执行扣</w:t>
            </w:r>
            <w:r>
              <w:rPr>
                <w:rFonts w:ascii="宋体" w:hAnsi="宋体"/>
                <w:color w:val="000000"/>
                <w:sz w:val="22"/>
              </w:rPr>
              <w:t>4</w:t>
            </w:r>
            <w:r>
              <w:rPr>
                <w:rFonts w:hint="eastAsia" w:ascii="宋体" w:hAnsi="宋体"/>
                <w:color w:val="000000"/>
                <w:sz w:val="22"/>
              </w:rPr>
              <w:t>分，经单位领导审批执行。</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30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r>
        <w:tblPrEx>
          <w:tblCellMar>
            <w:top w:w="0" w:type="dxa"/>
            <w:left w:w="108" w:type="dxa"/>
            <w:bottom w:w="0" w:type="dxa"/>
            <w:right w:w="108" w:type="dxa"/>
          </w:tblCellMar>
        </w:tblPrEx>
        <w:trPr>
          <w:gridAfter w:val="1"/>
          <w:wAfter w:w="119" w:type="dxa"/>
          <w:trHeight w:val="645"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31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合计</w:t>
            </w:r>
          </w:p>
        </w:tc>
        <w:tc>
          <w:tcPr>
            <w:tcW w:w="22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ascii="宋体"/>
                <w:color w:val="000000"/>
                <w:sz w:val="24"/>
              </w:rPr>
              <w:t>100</w:t>
            </w:r>
          </w:p>
        </w:tc>
        <w:tc>
          <w:tcPr>
            <w:tcW w:w="12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08" w:type="dxa"/>
            <w:bottom w:w="0" w:type="dxa"/>
            <w:right w:w="108" w:type="dxa"/>
          </w:tblCellMar>
        </w:tblPrEx>
        <w:trPr>
          <w:trHeight w:val="480" w:hRule="atLeast"/>
        </w:trPr>
        <w:tc>
          <w:tcPr>
            <w:tcW w:w="8648" w:type="dxa"/>
            <w:gridSpan w:val="6"/>
            <w:tcBorders>
              <w:top w:val="single" w:color="000000" w:sz="4" w:space="0"/>
            </w:tcBorders>
            <w:vAlign w:val="center"/>
          </w:tcPr>
          <w:p>
            <w:pPr>
              <w:autoSpaceDN w:val="0"/>
              <w:jc w:val="left"/>
              <w:textAlignment w:val="center"/>
              <w:rPr>
                <w:rFonts w:ascii="宋体"/>
                <w:color w:val="00000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7"/>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rPr>
          <w:rFonts w:hint="eastAsia"/>
        </w:rPr>
      </w:pPr>
    </w:p>
    <w:p>
      <w:pPr>
        <w:rPr>
          <w:rFonts w:hint="eastAsia"/>
        </w:rPr>
      </w:pPr>
    </w:p>
    <w:p>
      <w:pPr>
        <w:pStyle w:val="4"/>
        <w:spacing w:before="0" w:after="0" w:line="440" w:lineRule="exact"/>
        <w:ind w:left="0" w:firstLine="0"/>
        <w:jc w:val="center"/>
        <w:rPr>
          <w:rFonts w:hint="eastAsia" w:ascii="宋体" w:hAnsi="宋体" w:eastAsia="宋体" w:cs="Times New Roman"/>
          <w:sz w:val="32"/>
          <w:szCs w:val="32"/>
        </w:rPr>
      </w:pPr>
      <w:bookmarkStart w:id="271" w:name="_Toc9601"/>
      <w:bookmarkStart w:id="272" w:name="_Toc64497185"/>
      <w:r>
        <w:rPr>
          <w:rFonts w:hint="eastAsia" w:ascii="宋体" w:hAnsi="宋体" w:eastAsia="宋体" w:cs="Times New Roman"/>
          <w:sz w:val="32"/>
          <w:szCs w:val="32"/>
        </w:rPr>
        <w:t xml:space="preserve">第四部分 </w:t>
      </w:r>
      <w:bookmarkEnd w:id="271"/>
      <w:r>
        <w:rPr>
          <w:rFonts w:hint="eastAsia" w:ascii="宋体" w:hAnsi="宋体" w:eastAsia="宋体" w:cs="Times New Roman"/>
          <w:sz w:val="32"/>
          <w:szCs w:val="32"/>
        </w:rPr>
        <w:t xml:space="preserve"> 评标办法及评分标准</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根据《中华人民共和国政府采购法》以及当地的有关规定，更好地做到公开、公平、公正，结合本次招标的特点，特制定本评标定标办法。</w:t>
      </w:r>
    </w:p>
    <w:p>
      <w:pPr>
        <w:pStyle w:val="141"/>
        <w:spacing w:line="440" w:lineRule="exact"/>
        <w:ind w:firstLine="482" w:firstLineChars="200"/>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一 、评标组织</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评标委员会由采购人代表和评审专家组成 </w:t>
      </w:r>
    </w:p>
    <w:p>
      <w:pPr>
        <w:pStyle w:val="141"/>
        <w:spacing w:line="440" w:lineRule="exact"/>
        <w:ind w:firstLine="482" w:firstLineChars="200"/>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二 、评标原则和评标方法</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（一）评标委员会将遵循公开、公平、公正的原则，对投标者企业情况进行综合分析考评。由评委记名并独立打分，按得分高低从投标商中推荐中标候选人。</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（二）客观、公正的对待所有投标人，对所有投标评标，均采用相同的程序和标准。</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（三）在开标、投标期间，投标人不得向评标委员会成员询问评标情况，不得进行旨在影响评标结果的活动，否则将废除其投标资格，并不再返还投标保证金。</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（四）在评标过程中，评标成员不得与投标人私下交换意见，在招标工作结束后，凡与评标情况有接触的人不得将评标情况扩散出评标成员之外。</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（五）招标人不向落标人解释落标原因，不退还投标文件。</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（六）本次评标采用综合评分法，总分100分，其中技术资信</w:t>
      </w:r>
      <w:r>
        <w:rPr>
          <w:rFonts w:hint="eastAsia" w:asciiTheme="minorEastAsia" w:hAnsiTheme="minorEastAsia" w:eastAsiaTheme="minorEastAsia" w:cstheme="minorEastAsia"/>
          <w:kern w:val="2"/>
          <w:sz w:val="24"/>
          <w:szCs w:val="24"/>
          <w:lang w:val="en-US" w:eastAsia="zh-CN"/>
        </w:rPr>
        <w:t>80</w:t>
      </w:r>
      <w:r>
        <w:rPr>
          <w:rFonts w:hint="eastAsia" w:asciiTheme="minorEastAsia" w:hAnsiTheme="minorEastAsia" w:eastAsiaTheme="minorEastAsia" w:cstheme="minorEastAsia"/>
          <w:kern w:val="2"/>
          <w:sz w:val="24"/>
          <w:szCs w:val="24"/>
        </w:rPr>
        <w:t>分，商务报价分</w:t>
      </w:r>
      <w:r>
        <w:rPr>
          <w:rFonts w:hint="eastAsia" w:asciiTheme="minorEastAsia" w:hAnsiTheme="minorEastAsia" w:eastAsiaTheme="minorEastAsia" w:cstheme="minorEastAsia"/>
          <w:kern w:val="2"/>
          <w:sz w:val="24"/>
          <w:szCs w:val="24"/>
          <w:lang w:val="en-US" w:eastAsia="zh-CN"/>
        </w:rPr>
        <w:t>20</w:t>
      </w:r>
      <w:r>
        <w:rPr>
          <w:rFonts w:hint="eastAsia" w:asciiTheme="minorEastAsia" w:hAnsiTheme="minorEastAsia" w:eastAsiaTheme="minorEastAsia" w:cstheme="minorEastAsia"/>
          <w:kern w:val="2"/>
          <w:sz w:val="24"/>
          <w:szCs w:val="24"/>
        </w:rPr>
        <w:t xml:space="preserve">分。合格投标人的评标得分为个项目汇总得分，中标候选资格按评标得分由高到低的顺序排列，得分相同的按投标报价由低到高顺序排列，得分且投标报价相同的，按技术得分由高到低顺序排列。排名第一的投标人为中标候选人，评分过程中采用四舍五入法，并保留小数2位。                </w:t>
      </w:r>
    </w:p>
    <w:p>
      <w:pPr>
        <w:pStyle w:val="141"/>
        <w:spacing w:line="440" w:lineRule="exact"/>
        <w:ind w:firstLine="482" w:firstLineChars="200"/>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三、资信技术标评定分值</w:t>
      </w:r>
      <w:r>
        <w:rPr>
          <w:rFonts w:hint="eastAsia" w:asciiTheme="minorEastAsia" w:hAnsiTheme="minorEastAsia" w:eastAsiaTheme="minorEastAsia" w:cstheme="minorEastAsia"/>
          <w:b/>
          <w:bCs/>
          <w:kern w:val="2"/>
          <w:sz w:val="24"/>
          <w:szCs w:val="24"/>
          <w:lang w:val="en-US" w:eastAsia="zh-CN"/>
        </w:rPr>
        <w:t>80</w:t>
      </w:r>
      <w:r>
        <w:rPr>
          <w:rFonts w:hint="eastAsia" w:asciiTheme="minorEastAsia" w:hAnsiTheme="minorEastAsia" w:eastAsiaTheme="minorEastAsia" w:cstheme="minorEastAsia"/>
          <w:b/>
          <w:bCs/>
          <w:kern w:val="2"/>
          <w:sz w:val="24"/>
          <w:szCs w:val="24"/>
        </w:rPr>
        <w:t>分</w:t>
      </w:r>
    </w:p>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评委在对技术标评审时,凡涉及到的各类证书复印件,如评委要求投标单位提供原件时,投标单位必须按时提供,不能提供原件核对的项目不得分。</w:t>
      </w:r>
    </w:p>
    <w:p>
      <w:pPr>
        <w:pStyle w:val="141"/>
        <w:spacing w:line="440" w:lineRule="exact"/>
        <w:ind w:firstLine="480" w:firstLineChars="200"/>
        <w:rPr>
          <w:rFonts w:hint="eastAsia" w:asciiTheme="minorEastAsia" w:hAnsiTheme="minorEastAsia" w:eastAsiaTheme="minorEastAsia" w:cstheme="minorEastAsia"/>
          <w:kern w:val="2"/>
          <w:sz w:val="24"/>
          <w:szCs w:val="24"/>
        </w:rPr>
      </w:pPr>
    </w:p>
    <w:p>
      <w:pPr>
        <w:spacing w:line="360" w:lineRule="exact"/>
        <w:rPr>
          <w:rFonts w:ascii="宋体" w:hAnsi="宋体"/>
          <w:b/>
          <w:sz w:val="24"/>
        </w:rPr>
      </w:pPr>
      <w:r>
        <w:rPr>
          <w:rFonts w:hint="eastAsia" w:ascii="宋体" w:hAnsi="宋体"/>
          <w:b/>
          <w:sz w:val="24"/>
        </w:rPr>
        <w:t>3.1综合评分细则</w:t>
      </w:r>
    </w:p>
    <w:p>
      <w:pPr>
        <w:spacing w:line="360" w:lineRule="exact"/>
        <w:jc w:val="center"/>
        <w:rPr>
          <w:rFonts w:ascii="宋体" w:hAnsi="宋体"/>
          <w:b/>
          <w:sz w:val="24"/>
        </w:rPr>
      </w:pPr>
    </w:p>
    <w:tbl>
      <w:tblPr>
        <w:tblStyle w:val="4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90"/>
        <w:gridCol w:w="5934"/>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4"/>
                <w:lang w:eastAsia="zh-CN"/>
              </w:rPr>
            </w:pPr>
            <w:r>
              <w:rPr>
                <w:rFonts w:hint="eastAsia" w:ascii="宋体" w:hAnsi="宋体" w:cs="宋体"/>
                <w:b/>
                <w:sz w:val="24"/>
                <w:lang w:eastAsia="zh-CN"/>
              </w:rPr>
              <w:t>分类</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lang w:eastAsia="zh-CN"/>
              </w:rPr>
            </w:pPr>
            <w:r>
              <w:rPr>
                <w:rFonts w:hint="eastAsia" w:ascii="宋体" w:hAnsi="宋体" w:cs="宋体"/>
                <w:b/>
                <w:sz w:val="24"/>
                <w:lang w:eastAsia="zh-CN"/>
              </w:rPr>
              <w:t>评审</w:t>
            </w:r>
          </w:p>
          <w:p>
            <w:pPr>
              <w:jc w:val="center"/>
              <w:rPr>
                <w:rFonts w:ascii="宋体" w:hAnsi="宋体" w:cs="宋体"/>
                <w:b/>
                <w:sz w:val="24"/>
              </w:rPr>
            </w:pPr>
            <w:r>
              <w:rPr>
                <w:rFonts w:hint="eastAsia" w:ascii="宋体" w:hAnsi="宋体" w:cs="宋体"/>
                <w:b/>
                <w:sz w:val="24"/>
                <w:lang w:eastAsia="zh-CN"/>
              </w:rPr>
              <w:t>项目</w:t>
            </w:r>
          </w:p>
        </w:tc>
        <w:tc>
          <w:tcPr>
            <w:tcW w:w="59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rPr>
            </w:pPr>
            <w:r>
              <w:rPr>
                <w:rFonts w:hint="eastAsia" w:ascii="宋体" w:hAnsi="宋体" w:cs="宋体"/>
                <w:b/>
                <w:sz w:val="24"/>
              </w:rPr>
              <w:t>评分标准</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lang w:eastAsia="zh-CN"/>
              </w:rPr>
            </w:pPr>
            <w:r>
              <w:rPr>
                <w:rFonts w:hint="eastAsia" w:ascii="宋体" w:hAnsi="宋体" w:cs="宋体"/>
                <w:b/>
                <w:sz w:val="24"/>
                <w:lang w:eastAsia="zh-CN"/>
              </w:rPr>
              <w:t>分</w:t>
            </w:r>
          </w:p>
          <w:p>
            <w:pPr>
              <w:jc w:val="center"/>
              <w:rPr>
                <w:rFonts w:hint="eastAsia" w:ascii="宋体" w:hAnsi="宋体" w:eastAsia="宋体" w:cs="宋体"/>
                <w:b/>
                <w:sz w:val="24"/>
                <w:lang w:eastAsia="zh-CN"/>
              </w:rPr>
            </w:pPr>
            <w:r>
              <w:rPr>
                <w:rFonts w:hint="eastAsia" w:ascii="宋体" w:hAnsi="宋体" w:cs="宋体"/>
                <w:b/>
                <w:sz w:val="24"/>
                <w:lang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47" w:type="dxa"/>
            <w:vMerge w:val="restart"/>
            <w:tcBorders>
              <w:top w:val="single" w:color="auto" w:sz="4" w:space="0"/>
              <w:left w:val="single" w:color="auto" w:sz="4" w:space="0"/>
              <w:right w:val="single" w:color="auto" w:sz="4" w:space="0"/>
            </w:tcBorders>
            <w:vAlign w:val="center"/>
          </w:tcPr>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资</w:t>
            </w: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信</w:t>
            </w: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lang w:val="en-US" w:eastAsia="zh-CN"/>
              </w:rPr>
            </w:pPr>
          </w:p>
          <w:p>
            <w:pPr>
              <w:pStyle w:val="141"/>
              <w:spacing w:line="440" w:lineRule="exact"/>
              <w:jc w:val="center"/>
              <w:rPr>
                <w:rFonts w:hint="eastAsia" w:asciiTheme="minorEastAsia" w:hAnsiTheme="minorEastAsia" w:eastAsiaTheme="minorEastAsia" w:cstheme="minorEastAsia"/>
                <w:kern w:val="2"/>
                <w:sz w:val="24"/>
                <w:szCs w:val="24"/>
                <w:lang w:val="en-US" w:eastAsia="zh-CN"/>
              </w:rPr>
            </w:pPr>
          </w:p>
          <w:p>
            <w:pPr>
              <w:pStyle w:val="141"/>
              <w:spacing w:line="440" w:lineRule="exact"/>
              <w:jc w:val="center"/>
              <w:rPr>
                <w:rFonts w:hint="eastAsia" w:asciiTheme="minorEastAsia" w:hAnsiTheme="minorEastAsia" w:eastAsiaTheme="minorEastAsia" w:cstheme="minorEastAsia"/>
                <w:kern w:val="2"/>
                <w:sz w:val="24"/>
                <w:szCs w:val="24"/>
                <w:lang w:val="en-US" w:eastAsia="zh-CN"/>
              </w:rPr>
            </w:pPr>
          </w:p>
          <w:p>
            <w:pPr>
              <w:pStyle w:val="141"/>
              <w:spacing w:line="440" w:lineRule="exact"/>
              <w:jc w:val="center"/>
              <w:rPr>
                <w:rFonts w:hint="eastAsia" w:asciiTheme="minorEastAsia" w:hAnsiTheme="minorEastAsia" w:eastAsiaTheme="minorEastAsia" w:cstheme="minorEastAsia"/>
                <w:kern w:val="2"/>
                <w:sz w:val="24"/>
                <w:szCs w:val="24"/>
                <w:lang w:val="en-US" w:eastAsia="zh-CN"/>
              </w:rPr>
            </w:pPr>
          </w:p>
          <w:p>
            <w:pPr>
              <w:pStyle w:val="141"/>
              <w:spacing w:line="440" w:lineRule="exact"/>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企业</w:t>
            </w:r>
          </w:p>
          <w:p>
            <w:pPr>
              <w:pStyle w:val="141"/>
              <w:spacing w:line="440" w:lineRule="exact"/>
              <w:ind w:firstLine="240" w:firstLineChars="1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荣誉</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投标人</w:t>
            </w:r>
            <w:r>
              <w:rPr>
                <w:rFonts w:hint="eastAsia" w:asciiTheme="minorEastAsia" w:hAnsiTheme="minorEastAsia" w:eastAsiaTheme="minorEastAsia" w:cstheme="minorEastAsia"/>
                <w:kern w:val="2"/>
                <w:sz w:val="24"/>
                <w:szCs w:val="24"/>
              </w:rPr>
              <w:t>获得</w:t>
            </w:r>
            <w:r>
              <w:rPr>
                <w:rFonts w:hint="eastAsia" w:asciiTheme="minorEastAsia" w:hAnsiTheme="minorEastAsia" w:eastAsiaTheme="minorEastAsia" w:cstheme="minorEastAsia"/>
                <w:kern w:val="2"/>
                <w:sz w:val="24"/>
                <w:szCs w:val="24"/>
                <w:lang w:eastAsia="zh-CN"/>
              </w:rPr>
              <w:t>地市</w:t>
            </w:r>
            <w:r>
              <w:rPr>
                <w:rFonts w:hint="eastAsia" w:asciiTheme="minorEastAsia" w:hAnsiTheme="minorEastAsia" w:eastAsiaTheme="minorEastAsia" w:cstheme="minorEastAsia"/>
                <w:kern w:val="2"/>
                <w:sz w:val="24"/>
                <w:szCs w:val="24"/>
              </w:rPr>
              <w:t>级及以上</w:t>
            </w:r>
            <w:r>
              <w:rPr>
                <w:rFonts w:hint="eastAsia" w:asciiTheme="minorEastAsia" w:hAnsiTheme="minorEastAsia" w:eastAsiaTheme="minorEastAsia" w:cstheme="minorEastAsia"/>
                <w:kern w:val="2"/>
                <w:sz w:val="24"/>
                <w:szCs w:val="24"/>
                <w:lang w:eastAsia="zh-CN"/>
              </w:rPr>
              <w:t>人民政府</w:t>
            </w:r>
            <w:r>
              <w:rPr>
                <w:rFonts w:hint="eastAsia" w:asciiTheme="minorEastAsia" w:hAnsiTheme="minorEastAsia" w:eastAsiaTheme="minorEastAsia" w:cstheme="minorEastAsia"/>
                <w:kern w:val="2"/>
                <w:sz w:val="24"/>
                <w:szCs w:val="24"/>
              </w:rPr>
              <w:t>颁发的创建</w:t>
            </w:r>
            <w:r>
              <w:rPr>
                <w:rFonts w:hint="eastAsia" w:asciiTheme="minorEastAsia" w:hAnsiTheme="minorEastAsia" w:eastAsiaTheme="minorEastAsia" w:cstheme="minorEastAsia"/>
                <w:kern w:val="2"/>
                <w:sz w:val="24"/>
                <w:szCs w:val="24"/>
                <w:lang w:eastAsia="zh-CN"/>
              </w:rPr>
              <w:t>全国卫生城市或</w:t>
            </w:r>
            <w:r>
              <w:rPr>
                <w:rFonts w:hint="eastAsia" w:asciiTheme="minorEastAsia" w:hAnsiTheme="minorEastAsia" w:eastAsiaTheme="minorEastAsia" w:cstheme="minorEastAsia"/>
                <w:kern w:val="2"/>
                <w:sz w:val="24"/>
                <w:szCs w:val="24"/>
              </w:rPr>
              <w:t>全国文明城市嘉奖的得</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kern w:val="2"/>
                <w:sz w:val="24"/>
                <w:szCs w:val="24"/>
                <w:lang w:val="en-US" w:eastAsia="zh-CN"/>
              </w:rPr>
              <w:t>，</w:t>
            </w:r>
            <w:r>
              <w:rPr>
                <w:rFonts w:hint="eastAsia" w:asciiTheme="minorEastAsia" w:hAnsiTheme="minorEastAsia" w:eastAsiaTheme="minorEastAsia" w:cstheme="minorEastAsia"/>
                <w:kern w:val="2"/>
                <w:sz w:val="24"/>
                <w:szCs w:val="24"/>
                <w:lang w:eastAsia="zh-CN"/>
              </w:rPr>
              <w:t>满分</w:t>
            </w:r>
            <w:r>
              <w:rPr>
                <w:rFonts w:hint="eastAsia" w:asciiTheme="minorEastAsia" w:hAnsiTheme="minorEastAsia" w:eastAsiaTheme="minorEastAsia" w:cstheme="minorEastAsia"/>
                <w:kern w:val="2"/>
                <w:sz w:val="24"/>
                <w:szCs w:val="24"/>
                <w:lang w:val="en-US" w:eastAsia="zh-CN"/>
              </w:rPr>
              <w:t>3分</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以荣誉证</w:t>
            </w:r>
            <w:r>
              <w:rPr>
                <w:rFonts w:hint="eastAsia" w:asciiTheme="minorEastAsia" w:hAnsiTheme="minorEastAsia" w:eastAsiaTheme="minorEastAsia" w:cstheme="minorEastAsia"/>
                <w:kern w:val="2"/>
                <w:sz w:val="24"/>
                <w:szCs w:val="24"/>
                <w:lang w:eastAsia="zh-CN"/>
              </w:rPr>
              <w:t>扫描件</w:t>
            </w:r>
            <w:r>
              <w:rPr>
                <w:rFonts w:hint="eastAsia" w:asciiTheme="minorEastAsia" w:hAnsiTheme="minorEastAsia" w:eastAsiaTheme="minorEastAsia" w:cstheme="minorEastAsia"/>
                <w:kern w:val="2"/>
                <w:sz w:val="24"/>
                <w:szCs w:val="24"/>
              </w:rPr>
              <w:t>为准</w:t>
            </w:r>
            <w:r>
              <w:rPr>
                <w:rFonts w:hint="eastAsia" w:asciiTheme="minorEastAsia" w:hAnsiTheme="minorEastAsia" w:eastAsiaTheme="minorEastAsia" w:cstheme="minorEastAsia"/>
                <w:kern w:val="2"/>
                <w:sz w:val="24"/>
                <w:szCs w:val="24"/>
                <w:lang w:eastAsia="zh-CN"/>
              </w:rPr>
              <w:t>。</w:t>
            </w:r>
          </w:p>
          <w:p>
            <w:pPr>
              <w:pStyle w:val="141"/>
              <w:spacing w:line="440" w:lineRule="exact"/>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2.</w:t>
            </w:r>
            <w:r>
              <w:rPr>
                <w:rFonts w:hint="eastAsia" w:asciiTheme="minorEastAsia" w:hAnsiTheme="minorEastAsia" w:eastAsiaTheme="minorEastAsia" w:cstheme="minorEastAsia"/>
                <w:kern w:val="2"/>
                <w:sz w:val="24"/>
                <w:szCs w:val="24"/>
                <w:lang w:eastAsia="zh-CN"/>
              </w:rPr>
              <w:t>投标人</w:t>
            </w:r>
            <w:r>
              <w:rPr>
                <w:rFonts w:hint="eastAsia" w:asciiTheme="minorEastAsia" w:hAnsiTheme="minorEastAsia" w:eastAsiaTheme="minorEastAsia" w:cstheme="minorEastAsia"/>
                <w:kern w:val="2"/>
                <w:sz w:val="24"/>
                <w:szCs w:val="24"/>
              </w:rPr>
              <w:t>获得</w:t>
            </w:r>
            <w:r>
              <w:rPr>
                <w:rFonts w:hint="eastAsia" w:asciiTheme="minorEastAsia" w:hAnsiTheme="minorEastAsia" w:eastAsiaTheme="minorEastAsia" w:cstheme="minorEastAsia"/>
                <w:kern w:val="2"/>
                <w:sz w:val="24"/>
                <w:szCs w:val="24"/>
                <w:lang w:eastAsia="zh-CN"/>
              </w:rPr>
              <w:t>省</w:t>
            </w:r>
            <w:r>
              <w:rPr>
                <w:rFonts w:hint="eastAsia" w:asciiTheme="minorEastAsia" w:hAnsiTheme="minorEastAsia" w:eastAsiaTheme="minorEastAsia" w:cstheme="minorEastAsia"/>
                <w:kern w:val="2"/>
                <w:sz w:val="24"/>
                <w:szCs w:val="24"/>
              </w:rPr>
              <w:t>级以上政府或行业主管部门颁发的</w:t>
            </w:r>
            <w:r>
              <w:rPr>
                <w:rFonts w:hint="eastAsia" w:asciiTheme="minorEastAsia" w:hAnsiTheme="minorEastAsia" w:eastAsiaTheme="minorEastAsia" w:cstheme="minorEastAsia"/>
                <w:kern w:val="2"/>
                <w:sz w:val="24"/>
                <w:szCs w:val="24"/>
                <w:lang w:eastAsia="zh-CN"/>
              </w:rPr>
              <w:t>城市市容环境卫生工作突出先进集体</w:t>
            </w:r>
            <w:r>
              <w:rPr>
                <w:rFonts w:hint="eastAsia" w:asciiTheme="minorEastAsia" w:hAnsiTheme="minorEastAsia" w:eastAsiaTheme="minorEastAsia" w:cstheme="minorEastAsia"/>
                <w:kern w:val="2"/>
                <w:sz w:val="24"/>
                <w:szCs w:val="24"/>
              </w:rPr>
              <w:t>荣誉的得</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获得</w:t>
            </w:r>
            <w:r>
              <w:rPr>
                <w:rFonts w:hint="eastAsia" w:asciiTheme="minorEastAsia" w:hAnsiTheme="minorEastAsia" w:eastAsiaTheme="minorEastAsia" w:cstheme="minorEastAsia"/>
                <w:kern w:val="2"/>
                <w:sz w:val="24"/>
                <w:szCs w:val="24"/>
                <w:lang w:eastAsia="zh-CN"/>
              </w:rPr>
              <w:t>县市</w:t>
            </w:r>
            <w:r>
              <w:rPr>
                <w:rFonts w:hint="eastAsia" w:asciiTheme="minorEastAsia" w:hAnsiTheme="minorEastAsia" w:eastAsiaTheme="minorEastAsia" w:cstheme="minorEastAsia"/>
                <w:kern w:val="2"/>
                <w:sz w:val="24"/>
                <w:szCs w:val="24"/>
              </w:rPr>
              <w:t>级以上政府或行业主管部门颁发的</w:t>
            </w:r>
            <w:r>
              <w:rPr>
                <w:rFonts w:hint="eastAsia" w:asciiTheme="minorEastAsia" w:hAnsiTheme="minorEastAsia" w:eastAsiaTheme="minorEastAsia" w:cstheme="minorEastAsia"/>
                <w:kern w:val="2"/>
                <w:sz w:val="24"/>
                <w:szCs w:val="24"/>
                <w:lang w:eastAsia="zh-CN"/>
              </w:rPr>
              <w:t>市容环境</w:t>
            </w:r>
            <w:r>
              <w:rPr>
                <w:rFonts w:hint="eastAsia" w:asciiTheme="minorEastAsia" w:hAnsiTheme="minorEastAsia" w:eastAsiaTheme="minorEastAsia" w:cstheme="minorEastAsia"/>
                <w:kern w:val="2"/>
                <w:sz w:val="24"/>
                <w:szCs w:val="24"/>
              </w:rPr>
              <w:t>先进集体荣誉的得</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kern w:val="2"/>
                <w:sz w:val="24"/>
                <w:szCs w:val="24"/>
                <w:lang w:eastAsia="zh-CN"/>
              </w:rPr>
              <w:t>。最高得</w:t>
            </w:r>
            <w:r>
              <w:rPr>
                <w:rFonts w:hint="eastAsia" w:asciiTheme="minorEastAsia" w:hAnsiTheme="minorEastAsia" w:eastAsiaTheme="minorEastAsia" w:cstheme="minorEastAsia"/>
                <w:kern w:val="2"/>
                <w:sz w:val="24"/>
                <w:szCs w:val="24"/>
                <w:lang w:val="en-US" w:eastAsia="zh-CN"/>
              </w:rPr>
              <w:t>3分</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以荣誉证和批文</w:t>
            </w:r>
            <w:r>
              <w:rPr>
                <w:rFonts w:hint="eastAsia" w:asciiTheme="minorEastAsia" w:hAnsiTheme="minorEastAsia" w:eastAsiaTheme="minorEastAsia" w:cstheme="minorEastAsia"/>
                <w:kern w:val="2"/>
                <w:sz w:val="24"/>
                <w:szCs w:val="24"/>
                <w:lang w:eastAsia="zh-CN"/>
              </w:rPr>
              <w:t>扫描件</w:t>
            </w:r>
            <w:r>
              <w:rPr>
                <w:rFonts w:hint="eastAsia" w:asciiTheme="minorEastAsia" w:hAnsiTheme="minorEastAsia" w:eastAsiaTheme="minorEastAsia" w:cstheme="minorEastAsia"/>
                <w:kern w:val="2"/>
                <w:sz w:val="24"/>
                <w:szCs w:val="24"/>
              </w:rPr>
              <w:t>为准</w:t>
            </w:r>
            <w:r>
              <w:rPr>
                <w:rFonts w:hint="eastAsia" w:asciiTheme="minorEastAsia" w:hAnsiTheme="minorEastAsia" w:eastAsiaTheme="minorEastAsia" w:cstheme="minorEastAsia"/>
                <w:kern w:val="2"/>
                <w:sz w:val="24"/>
                <w:szCs w:val="24"/>
                <w:lang w:eastAsia="zh-CN"/>
              </w:rPr>
              <w:t>。</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tcBorders>
              <w:left w:val="single" w:color="auto" w:sz="4" w:space="0"/>
              <w:right w:val="single" w:color="auto" w:sz="4" w:space="0"/>
            </w:tcBorders>
            <w:vAlign w:val="center"/>
          </w:tcPr>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企业</w:t>
            </w:r>
          </w:p>
          <w:p>
            <w:pPr>
              <w:pStyle w:val="141"/>
              <w:spacing w:line="440" w:lineRule="exact"/>
              <w:ind w:firstLine="240" w:firstLineChars="1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认证</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1.投标人具有有效质量管理体系认证得</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kern w:val="2"/>
                <w:sz w:val="24"/>
                <w:szCs w:val="24"/>
                <w:lang w:eastAsia="zh-CN"/>
              </w:rPr>
              <w:t>。</w:t>
            </w:r>
          </w:p>
          <w:p>
            <w:pPr>
              <w:pStyle w:val="141"/>
              <w:spacing w:line="440" w:lineRule="exac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2.投标人具有有效环境管理体系认证得</w:t>
            </w:r>
            <w:r>
              <w:rPr>
                <w:rFonts w:hint="eastAsia" w:asciiTheme="minorEastAsia" w:hAnsiTheme="minorEastAsia" w:eastAsiaTheme="minorEastAsia" w:cstheme="minorEastAsia"/>
                <w:kern w:val="2"/>
                <w:sz w:val="24"/>
                <w:szCs w:val="24"/>
                <w:lang w:val="en-US" w:eastAsia="zh-CN"/>
              </w:rPr>
              <w:t>1分。</w:t>
            </w:r>
          </w:p>
          <w:p>
            <w:pPr>
              <w:pStyle w:val="141"/>
              <w:spacing w:line="440" w:lineRule="exac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3.投标人具有有效职业健康安全管理体系认证得</w:t>
            </w:r>
            <w:r>
              <w:rPr>
                <w:rFonts w:hint="eastAsia" w:asciiTheme="minorEastAsia" w:hAnsiTheme="minorEastAsia" w:eastAsiaTheme="minorEastAsia" w:cstheme="minorEastAsia"/>
                <w:kern w:val="2"/>
                <w:sz w:val="24"/>
                <w:szCs w:val="24"/>
                <w:lang w:val="en-US" w:eastAsia="zh-CN"/>
              </w:rPr>
              <w:t>1分。</w:t>
            </w:r>
          </w:p>
          <w:p>
            <w:pPr>
              <w:pStyle w:val="141"/>
              <w:spacing w:line="440" w:lineRule="exac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rPr>
              <w:t>投标人具有有效</w:t>
            </w:r>
            <w:r>
              <w:rPr>
                <w:rFonts w:hint="eastAsia" w:asciiTheme="minorEastAsia" w:hAnsiTheme="minorEastAsia" w:eastAsiaTheme="minorEastAsia" w:cstheme="minorEastAsia"/>
                <w:kern w:val="2"/>
                <w:sz w:val="24"/>
                <w:szCs w:val="24"/>
                <w:lang w:eastAsia="zh-CN"/>
              </w:rPr>
              <w:t>企业社会责任管理体系认证得</w:t>
            </w:r>
            <w:r>
              <w:rPr>
                <w:rFonts w:hint="eastAsia" w:asciiTheme="minorEastAsia" w:hAnsiTheme="minorEastAsia" w:eastAsiaTheme="minorEastAsia" w:cstheme="minorEastAsia"/>
                <w:kern w:val="2"/>
                <w:sz w:val="24"/>
                <w:szCs w:val="24"/>
                <w:lang w:val="en-US" w:eastAsia="zh-CN"/>
              </w:rPr>
              <w:t>1分。</w:t>
            </w:r>
          </w:p>
          <w:p>
            <w:pPr>
              <w:pStyle w:val="141"/>
              <w:spacing w:line="440" w:lineRule="exact"/>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投标人具有有效</w:t>
            </w:r>
            <w:r>
              <w:rPr>
                <w:rFonts w:hint="eastAsia" w:asciiTheme="minorEastAsia" w:hAnsiTheme="minorEastAsia" w:eastAsiaTheme="minorEastAsia" w:cstheme="minorEastAsia"/>
                <w:kern w:val="2"/>
                <w:sz w:val="24"/>
                <w:szCs w:val="24"/>
                <w:lang w:eastAsia="zh-CN"/>
              </w:rPr>
              <w:t>诚信管理体系认证得</w:t>
            </w:r>
            <w:r>
              <w:rPr>
                <w:rFonts w:hint="eastAsia" w:asciiTheme="minorEastAsia" w:hAnsiTheme="minorEastAsia" w:eastAsiaTheme="minorEastAsia" w:cstheme="minorEastAsia"/>
                <w:kern w:val="2"/>
                <w:sz w:val="24"/>
                <w:szCs w:val="24"/>
                <w:lang w:val="en-US" w:eastAsia="zh-CN"/>
              </w:rPr>
              <w:t>1分。</w:t>
            </w:r>
          </w:p>
          <w:p>
            <w:pPr>
              <w:pStyle w:val="141"/>
              <w:spacing w:line="440" w:lineRule="exac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rPr>
              <w:t>投标人具有</w:t>
            </w:r>
            <w:r>
              <w:rPr>
                <w:rFonts w:hint="eastAsia" w:asciiTheme="minorEastAsia" w:hAnsiTheme="minorEastAsia" w:eastAsiaTheme="minorEastAsia" w:cstheme="minorEastAsia"/>
                <w:kern w:val="2"/>
                <w:sz w:val="24"/>
                <w:szCs w:val="24"/>
                <w:lang w:eastAsia="zh-CN"/>
              </w:rPr>
              <w:t>中国卫生有害生物防制协会颁发的有害生物防制服务机构服务能力证书</w:t>
            </w:r>
            <w:r>
              <w:rPr>
                <w:rFonts w:hint="eastAsia" w:asciiTheme="minorEastAsia" w:hAnsiTheme="minorEastAsia" w:eastAsiaTheme="minorEastAsia" w:cstheme="minorEastAsia"/>
                <w:kern w:val="2"/>
                <w:sz w:val="24"/>
                <w:szCs w:val="24"/>
              </w:rPr>
              <w:t>A级证书的得3分，B级证书的得2分，C级证书得1</w:t>
            </w:r>
            <w:r>
              <w:rPr>
                <w:rFonts w:hint="eastAsia" w:asciiTheme="minorEastAsia" w:hAnsiTheme="minorEastAsia" w:eastAsiaTheme="minorEastAsia" w:cstheme="minorEastAsia"/>
                <w:kern w:val="2"/>
                <w:sz w:val="24"/>
                <w:szCs w:val="24"/>
                <w:lang w:eastAsia="zh-CN"/>
              </w:rPr>
              <w:t>分。</w:t>
            </w:r>
          </w:p>
          <w:p>
            <w:pPr>
              <w:pStyle w:val="141"/>
              <w:spacing w:line="440" w:lineRule="exac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（投标人需将以上证书</w:t>
            </w:r>
            <w:r>
              <w:rPr>
                <w:rFonts w:hint="eastAsia" w:asciiTheme="minorEastAsia" w:hAnsiTheme="minorEastAsia" w:eastAsiaTheme="minorEastAsia" w:cstheme="minorEastAsia"/>
                <w:kern w:val="2"/>
                <w:sz w:val="24"/>
                <w:szCs w:val="24"/>
                <w:lang w:eastAsia="zh-CN"/>
              </w:rPr>
              <w:t>扫描</w:t>
            </w:r>
            <w:r>
              <w:rPr>
                <w:rFonts w:hint="eastAsia" w:asciiTheme="minorEastAsia" w:hAnsiTheme="minorEastAsia" w:eastAsiaTheme="minorEastAsia" w:cstheme="minorEastAsia"/>
                <w:kern w:val="2"/>
                <w:sz w:val="24"/>
                <w:szCs w:val="24"/>
              </w:rPr>
              <w:t>件附于投标文件中。）</w:t>
            </w:r>
          </w:p>
          <w:p>
            <w:pPr>
              <w:pStyle w:val="141"/>
              <w:spacing w:line="440" w:lineRule="exact"/>
              <w:ind w:firstLine="480" w:firstLineChars="200"/>
              <w:rPr>
                <w:rFonts w:hint="eastAsia" w:asciiTheme="minorEastAsia" w:hAnsiTheme="minorEastAsia" w:eastAsiaTheme="minorEastAsia" w:cstheme="minorEastAsia"/>
                <w:kern w:val="2"/>
                <w:sz w:val="24"/>
                <w:szCs w:val="24"/>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7" w:type="dxa"/>
            <w:vMerge w:val="continue"/>
            <w:tcBorders>
              <w:left w:val="single" w:color="auto" w:sz="4" w:space="0"/>
              <w:right w:val="single" w:color="auto" w:sz="4" w:space="0"/>
            </w:tcBorders>
            <w:vAlign w:val="center"/>
          </w:tcPr>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标准</w:t>
            </w:r>
          </w:p>
          <w:p>
            <w:pPr>
              <w:pStyle w:val="141"/>
              <w:spacing w:line="440" w:lineRule="exact"/>
              <w:ind w:firstLine="240" w:firstLineChars="1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建设</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投标人参与编写并完成</w:t>
            </w:r>
            <w:r>
              <w:rPr>
                <w:rFonts w:hint="eastAsia" w:asciiTheme="minorEastAsia" w:hAnsiTheme="minorEastAsia" w:eastAsiaTheme="minorEastAsia" w:cstheme="minorEastAsia"/>
                <w:kern w:val="2"/>
                <w:sz w:val="24"/>
                <w:szCs w:val="24"/>
              </w:rPr>
              <w:t>《城镇生活垃圾分类监督管理信息系统技术标准》</w:t>
            </w:r>
            <w:r>
              <w:rPr>
                <w:rFonts w:hint="eastAsia" w:asciiTheme="minorEastAsia" w:hAnsiTheme="minorEastAsia" w:eastAsiaTheme="minorEastAsia" w:cstheme="minorEastAsia"/>
                <w:kern w:val="2"/>
                <w:sz w:val="24"/>
                <w:szCs w:val="24"/>
                <w:lang w:eastAsia="zh-CN"/>
              </w:rPr>
              <w:t>的</w:t>
            </w:r>
            <w:r>
              <w:rPr>
                <w:rFonts w:hint="eastAsia" w:asciiTheme="minorEastAsia" w:hAnsiTheme="minorEastAsia" w:eastAsiaTheme="minorEastAsia" w:cstheme="minorEastAsia"/>
                <w:kern w:val="2"/>
                <w:sz w:val="24"/>
                <w:szCs w:val="24"/>
              </w:rPr>
              <w:t>主编单位</w:t>
            </w:r>
            <w:r>
              <w:rPr>
                <w:rFonts w:hint="eastAsia" w:asciiTheme="minorEastAsia" w:hAnsiTheme="minorEastAsia" w:eastAsiaTheme="minorEastAsia" w:cstheme="minorEastAsia"/>
                <w:kern w:val="2"/>
                <w:sz w:val="24"/>
                <w:szCs w:val="24"/>
                <w:lang w:eastAsia="zh-CN"/>
              </w:rPr>
              <w:t>或参编单位得</w:t>
            </w:r>
            <w:r>
              <w:rPr>
                <w:rFonts w:hint="eastAsia" w:asciiTheme="minorEastAsia" w:hAnsiTheme="minorEastAsia" w:eastAsiaTheme="minorEastAsia" w:cstheme="minorEastAsia"/>
                <w:kern w:val="2"/>
                <w:sz w:val="24"/>
                <w:szCs w:val="24"/>
                <w:lang w:val="en-US" w:eastAsia="zh-CN"/>
              </w:rPr>
              <w:t>2分。以省住房和城乡建设厅公告为准。</w:t>
            </w:r>
            <w:r>
              <w:rPr>
                <w:rFonts w:hint="eastAsia" w:asciiTheme="minorEastAsia" w:hAnsiTheme="minorEastAsia" w:eastAsiaTheme="minorEastAsia" w:cstheme="minorEastAsia"/>
                <w:kern w:val="2"/>
                <w:sz w:val="24"/>
                <w:szCs w:val="24"/>
              </w:rPr>
              <w:t>（投标人需将</w:t>
            </w:r>
            <w:r>
              <w:rPr>
                <w:rFonts w:hint="eastAsia" w:asciiTheme="minorEastAsia" w:hAnsiTheme="minorEastAsia" w:eastAsiaTheme="minorEastAsia" w:cstheme="minorEastAsia"/>
                <w:kern w:val="2"/>
                <w:sz w:val="24"/>
                <w:szCs w:val="24"/>
                <w:lang w:eastAsia="zh-CN"/>
              </w:rPr>
              <w:t>公告扫描</w:t>
            </w:r>
            <w:r>
              <w:rPr>
                <w:rFonts w:hint="eastAsia" w:asciiTheme="minorEastAsia" w:hAnsiTheme="minorEastAsia" w:eastAsiaTheme="minorEastAsia" w:cstheme="minorEastAsia"/>
                <w:kern w:val="2"/>
                <w:sz w:val="24"/>
                <w:szCs w:val="24"/>
              </w:rPr>
              <w:t>件附于投标文件中。）</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7" w:type="dxa"/>
            <w:vMerge w:val="continue"/>
            <w:tcBorders>
              <w:left w:val="single" w:color="auto" w:sz="4" w:space="0"/>
              <w:right w:val="single" w:color="auto" w:sz="4" w:space="0"/>
            </w:tcBorders>
            <w:vAlign w:val="center"/>
          </w:tcPr>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资质</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具有</w:t>
            </w:r>
            <w:r>
              <w:rPr>
                <w:rFonts w:hint="eastAsia" w:asciiTheme="minorEastAsia" w:hAnsiTheme="minorEastAsia" w:eastAsiaTheme="minorEastAsia" w:cstheme="minorEastAsia"/>
                <w:kern w:val="2"/>
                <w:sz w:val="24"/>
                <w:szCs w:val="24"/>
                <w:lang w:eastAsia="zh-CN"/>
              </w:rPr>
              <w:t>全国清洁清洗行业资质评定委员会</w:t>
            </w:r>
            <w:r>
              <w:rPr>
                <w:rFonts w:hint="eastAsia" w:asciiTheme="minorEastAsia" w:hAnsiTheme="minorEastAsia" w:eastAsiaTheme="minorEastAsia" w:cstheme="minorEastAsia"/>
                <w:kern w:val="2"/>
                <w:sz w:val="24"/>
                <w:szCs w:val="24"/>
              </w:rPr>
              <w:t>清洁颁发</w:t>
            </w:r>
            <w:r>
              <w:rPr>
                <w:rFonts w:hint="eastAsia" w:asciiTheme="minorEastAsia" w:hAnsiTheme="minorEastAsia" w:eastAsiaTheme="minorEastAsia" w:cstheme="minorEastAsia"/>
                <w:kern w:val="2"/>
                <w:sz w:val="24"/>
                <w:szCs w:val="24"/>
                <w:lang w:eastAsia="zh-CN"/>
              </w:rPr>
              <w:t>的中国清洁清洗行业等级资质国家</w:t>
            </w:r>
            <w:r>
              <w:rPr>
                <w:rFonts w:hint="eastAsia" w:asciiTheme="minorEastAsia" w:hAnsiTheme="minorEastAsia" w:eastAsiaTheme="minorEastAsia" w:cstheme="minorEastAsia"/>
                <w:kern w:val="2"/>
                <w:sz w:val="24"/>
                <w:szCs w:val="24"/>
              </w:rPr>
              <w:t>一级</w:t>
            </w:r>
            <w:r>
              <w:rPr>
                <w:rFonts w:hint="eastAsia" w:asciiTheme="minorEastAsia" w:hAnsiTheme="minorEastAsia" w:eastAsiaTheme="minorEastAsia" w:cstheme="minorEastAsia"/>
                <w:kern w:val="2"/>
                <w:sz w:val="24"/>
                <w:szCs w:val="24"/>
                <w:lang w:eastAsia="zh-CN"/>
              </w:rPr>
              <w:t>资质</w:t>
            </w:r>
            <w:r>
              <w:rPr>
                <w:rFonts w:hint="eastAsia" w:asciiTheme="minorEastAsia" w:hAnsiTheme="minorEastAsia" w:eastAsiaTheme="minorEastAsia" w:cstheme="minorEastAsia"/>
                <w:kern w:val="2"/>
                <w:sz w:val="24"/>
                <w:szCs w:val="24"/>
              </w:rPr>
              <w:t>的得2分，</w:t>
            </w:r>
          </w:p>
          <w:p>
            <w:pPr>
              <w:pStyle w:val="141"/>
              <w:spacing w:line="440" w:lineRule="exac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（投标人需将以上证书</w:t>
            </w:r>
            <w:r>
              <w:rPr>
                <w:rFonts w:hint="eastAsia" w:asciiTheme="minorEastAsia" w:hAnsiTheme="minorEastAsia" w:eastAsiaTheme="minorEastAsia" w:cstheme="minorEastAsia"/>
                <w:kern w:val="2"/>
                <w:sz w:val="24"/>
                <w:szCs w:val="24"/>
                <w:lang w:eastAsia="zh-CN"/>
              </w:rPr>
              <w:t>扫描</w:t>
            </w:r>
            <w:r>
              <w:rPr>
                <w:rFonts w:hint="eastAsia" w:asciiTheme="minorEastAsia" w:hAnsiTheme="minorEastAsia" w:eastAsiaTheme="minorEastAsia" w:cstheme="minorEastAsia"/>
                <w:kern w:val="2"/>
                <w:sz w:val="24"/>
                <w:szCs w:val="24"/>
              </w:rPr>
              <w:t>件附于投标文件中，招标公告发布之日后办理注册的无效。）</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7" w:type="dxa"/>
            <w:vMerge w:val="continue"/>
            <w:tcBorders>
              <w:left w:val="single" w:color="auto" w:sz="4" w:space="0"/>
              <w:right w:val="single" w:color="auto" w:sz="4" w:space="0"/>
            </w:tcBorders>
            <w:vAlign w:val="center"/>
          </w:tcPr>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项目</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管理</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人员</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拟投入本项目管理团队的管理人员具备城市环卫工程师或垃圾处理工程师（高级）证书的，有1人加1分，最高得</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w:t>
            </w:r>
          </w:p>
          <w:p>
            <w:pPr>
              <w:pStyle w:val="141"/>
              <w:spacing w:line="440" w:lineRule="exact"/>
              <w:ind w:firstLine="480" w:firstLineChars="20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拟投入的人员具有国家人社部颁发的中级及以上有害生物防治员证的，每提供一本得1分，满分</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分。须提供证书扫描件，未提供不得分。</w:t>
            </w:r>
          </w:p>
          <w:p>
            <w:pPr>
              <w:pStyle w:val="141"/>
              <w:spacing w:line="440" w:lineRule="exact"/>
              <w:ind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注：累计最高</w:t>
            </w:r>
            <w:r>
              <w:rPr>
                <w:rFonts w:hint="eastAsia" w:asciiTheme="minorEastAsia" w:hAnsiTheme="minorEastAsia" w:eastAsiaTheme="minorEastAsia" w:cstheme="minorEastAsia"/>
                <w:kern w:val="2"/>
                <w:sz w:val="24"/>
                <w:szCs w:val="24"/>
                <w:lang w:val="en-US" w:eastAsia="zh-CN"/>
              </w:rPr>
              <w:t>5分，</w:t>
            </w:r>
            <w:r>
              <w:rPr>
                <w:rFonts w:hint="eastAsia" w:asciiTheme="minorEastAsia" w:hAnsiTheme="minorEastAsia" w:eastAsiaTheme="minorEastAsia" w:cstheme="minorEastAsia"/>
                <w:kern w:val="2"/>
                <w:sz w:val="24"/>
                <w:szCs w:val="24"/>
                <w:lang w:eastAsia="zh-CN"/>
              </w:rPr>
              <w:t>项目负责人必须在投标单位缴纳至少12个月社保证明，其他人员至少6个月社保证明材料并加盖投标人公章。</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7" w:type="dxa"/>
            <w:vMerge w:val="continue"/>
            <w:tcBorders>
              <w:left w:val="single" w:color="auto" w:sz="4" w:space="0"/>
              <w:right w:val="single" w:color="auto" w:sz="4" w:space="0"/>
            </w:tcBorders>
            <w:vAlign w:val="center"/>
          </w:tcPr>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同类</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业绩</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1、投标人201</w:t>
            </w:r>
            <w:r>
              <w:rPr>
                <w:rFonts w:hint="eastAsia" w:asciiTheme="minorEastAsia" w:hAnsiTheme="minorEastAsia" w:eastAsiaTheme="minorEastAsia" w:cstheme="minorEastAsia"/>
                <w:kern w:val="2"/>
                <w:sz w:val="24"/>
                <w:szCs w:val="24"/>
                <w:lang w:val="en-US" w:eastAsia="zh-CN"/>
              </w:rPr>
              <w:t>7</w:t>
            </w:r>
            <w:r>
              <w:rPr>
                <w:rFonts w:hint="eastAsia" w:asciiTheme="minorEastAsia" w:hAnsiTheme="minorEastAsia" w:eastAsiaTheme="minorEastAsia" w:cstheme="minorEastAsia"/>
                <w:kern w:val="2"/>
                <w:sz w:val="24"/>
                <w:szCs w:val="24"/>
                <w:lang w:eastAsia="zh-CN"/>
              </w:rPr>
              <w:t>年1月1日以来（必须同时包含环卫保洁、垃圾清运和垃圾分类的同类业绩），每个得</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lang w:eastAsia="zh-CN"/>
              </w:rPr>
              <w:t>分；满分</w:t>
            </w: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lang w:eastAsia="zh-CN"/>
              </w:rPr>
              <w:t>分。</w:t>
            </w:r>
          </w:p>
          <w:p>
            <w:pPr>
              <w:pStyle w:val="141"/>
              <w:spacing w:line="440" w:lineRule="exact"/>
              <w:ind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投标文件中附上中标通知书及政府采购合同扫描件。</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val="en-US" w:eastAsia="zh-CN"/>
              </w:rPr>
            </w:pPr>
          </w:p>
          <w:p>
            <w:pPr>
              <w:pStyle w:val="141"/>
              <w:spacing w:line="440" w:lineRule="exact"/>
              <w:ind w:firstLine="240" w:firstLineChars="10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7" w:type="dxa"/>
            <w:vMerge w:val="continue"/>
            <w:tcBorders>
              <w:left w:val="single" w:color="auto" w:sz="4" w:space="0"/>
              <w:right w:val="single" w:color="auto" w:sz="4" w:space="0"/>
            </w:tcBorders>
            <w:vAlign w:val="center"/>
          </w:tcPr>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企业</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自有</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设备</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企业自有2017年1月1日以后首次上牌的设备（荷载</w:t>
            </w:r>
            <w:r>
              <w:rPr>
                <w:rFonts w:hint="eastAsia" w:asciiTheme="minorEastAsia" w:hAnsiTheme="minorEastAsia" w:eastAsiaTheme="minorEastAsia" w:cstheme="minorEastAsia"/>
                <w:kern w:val="2"/>
                <w:sz w:val="24"/>
                <w:szCs w:val="24"/>
                <w:lang w:val="en-US" w:eastAsia="zh-CN"/>
              </w:rPr>
              <w:t>2吨以上扫地车，每辆0.5分，最高得2分。荷载7吨以上洒水车或高压清洗车，每辆0.5分，最高得3分。荷载4吨以上洗扫车，每辆0.5分，最高得2分。荷载5吨以上压缩清运车，每辆0.5分，最高得3分。自装卸式垃圾车，每辆0.5分，最高得1分。荷载6吨以上多功能抑尘车，每辆1分，最高得3分。总重量18吨以上新能源洗扫车，每辆1分，最高得2分。路面养护车，每辆0.5分，最高得2分。</w:t>
            </w:r>
          </w:p>
          <w:p>
            <w:pPr>
              <w:pStyle w:val="141"/>
              <w:spacing w:line="440" w:lineRule="exact"/>
              <w:ind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须提供车辆行驶证扫描件并加盖投标人单位公章，车辆所有权必须是属于投标人，否则不得分。</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747" w:type="dxa"/>
            <w:vMerge w:val="restart"/>
            <w:tcBorders>
              <w:top w:val="single" w:color="auto" w:sz="4" w:space="0"/>
              <w:left w:val="single" w:color="auto" w:sz="4" w:space="0"/>
              <w:right w:val="single" w:color="auto" w:sz="4" w:space="0"/>
            </w:tcBorders>
            <w:vAlign w:val="center"/>
          </w:tcPr>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技</w:t>
            </w: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术</w:t>
            </w: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right w:val="single" w:color="auto" w:sz="4" w:space="0"/>
            </w:tcBorders>
            <w:vAlign w:val="center"/>
          </w:tcPr>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保洁</w:t>
            </w: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管理</w:t>
            </w:r>
          </w:p>
          <w:p>
            <w:pPr>
              <w:pStyle w:val="141"/>
              <w:spacing w:line="440" w:lineRule="exact"/>
              <w:jc w:val="center"/>
              <w:rPr>
                <w:rFonts w:hint="eastAsia" w:asciiTheme="minorEastAsia" w:hAnsiTheme="minorEastAsia" w:eastAsiaTheme="minorEastAsia" w:cstheme="minorEastAsia"/>
                <w:kern w:val="2"/>
                <w:sz w:val="24"/>
                <w:szCs w:val="24"/>
                <w:lang w:eastAsia="zh-CN"/>
              </w:rPr>
            </w:pPr>
          </w:p>
          <w:p>
            <w:pPr>
              <w:pStyle w:val="141"/>
              <w:spacing w:line="44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计划</w:t>
            </w: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p>
            <w:pPr>
              <w:pStyle w:val="141"/>
              <w:spacing w:line="440" w:lineRule="exact"/>
              <w:jc w:val="center"/>
              <w:rPr>
                <w:rFonts w:hint="eastAsia" w:asciiTheme="minorEastAsia" w:hAnsiTheme="minorEastAsia" w:eastAsiaTheme="minorEastAsia" w:cstheme="minorEastAsia"/>
                <w:kern w:val="2"/>
                <w:sz w:val="24"/>
                <w:szCs w:val="24"/>
              </w:rPr>
            </w:pP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A.投标人自行进行现场踏堪，了解本项目的难点、重点，提出解决方案。方案能突破传统运行模式，保洁管理、作业措施针对性强，使用的设施设备有创新的（</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lang w:eastAsia="zh-CN"/>
              </w:rPr>
              <w:t>分）。很好</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lang w:eastAsia="zh-CN"/>
              </w:rPr>
              <w:t>分、一般</w:t>
            </w:r>
            <w:r>
              <w:rPr>
                <w:rFonts w:hint="eastAsia" w:asciiTheme="minorEastAsia" w:hAnsiTheme="minorEastAsia" w:eastAsiaTheme="minorEastAsia" w:cstheme="minorEastAsia"/>
                <w:kern w:val="2"/>
                <w:sz w:val="24"/>
                <w:szCs w:val="24"/>
                <w:lang w:val="en-US" w:eastAsia="zh-CN"/>
              </w:rPr>
              <w:t>3－4</w:t>
            </w:r>
            <w:r>
              <w:rPr>
                <w:rFonts w:hint="eastAsia" w:asciiTheme="minorEastAsia" w:hAnsiTheme="minorEastAsia" w:eastAsiaTheme="minorEastAsia" w:cstheme="minorEastAsia"/>
                <w:kern w:val="2"/>
                <w:sz w:val="24"/>
                <w:szCs w:val="24"/>
                <w:lang w:eastAsia="zh-CN"/>
              </w:rPr>
              <w:t>分、较差0-</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分。</w:t>
            </w:r>
          </w:p>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B.计划安排科学合理并且有设备使用方案（</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分）。很好的</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分、一般的</w:t>
            </w:r>
            <w:r>
              <w:rPr>
                <w:rFonts w:hint="eastAsia" w:asciiTheme="minorEastAsia" w:hAnsiTheme="minorEastAsia" w:eastAsiaTheme="minorEastAsia" w:cstheme="minorEastAsia"/>
                <w:kern w:val="2"/>
                <w:sz w:val="24"/>
                <w:szCs w:val="24"/>
                <w:lang w:val="en-US" w:eastAsia="zh-CN"/>
              </w:rPr>
              <w:t>1－2</w:t>
            </w:r>
            <w:r>
              <w:rPr>
                <w:rFonts w:hint="eastAsia" w:asciiTheme="minorEastAsia" w:hAnsiTheme="minorEastAsia" w:eastAsiaTheme="minorEastAsia" w:cstheme="minorEastAsia"/>
                <w:kern w:val="2"/>
                <w:sz w:val="24"/>
                <w:szCs w:val="24"/>
                <w:lang w:eastAsia="zh-CN"/>
              </w:rPr>
              <w:t>分、较差的0-</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lang w:eastAsia="zh-CN"/>
              </w:rPr>
              <w:t>分。</w:t>
            </w:r>
          </w:p>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C.制定有突击保障任务和突发问题或纠纷的响应时间及处理方案（2分）。由评标专家在0-2分内酌情给分。</w:t>
            </w:r>
          </w:p>
          <w:p>
            <w:pPr>
              <w:pStyle w:val="141"/>
              <w:spacing w:line="440" w:lineRule="exact"/>
              <w:ind w:firstLine="480" w:firstLineChars="200"/>
              <w:jc w:val="center"/>
              <w:rPr>
                <w:rFonts w:hint="eastAsia" w:asciiTheme="minorEastAsia" w:hAnsiTheme="minorEastAsia" w:eastAsiaTheme="minorEastAsia" w:cstheme="minorEastAsia"/>
                <w:kern w:val="2"/>
                <w:sz w:val="24"/>
                <w:szCs w:val="24"/>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lang w:val="en-US" w:eastAsia="zh-CN"/>
              </w:rPr>
            </w:pPr>
          </w:p>
          <w:p>
            <w:pPr>
              <w:pStyle w:val="141"/>
              <w:spacing w:line="440" w:lineRule="exact"/>
              <w:rPr>
                <w:rFonts w:hint="eastAsia" w:asciiTheme="minorEastAsia" w:hAnsiTheme="minorEastAsia" w:eastAsiaTheme="minorEastAsia" w:cstheme="minorEastAsia"/>
                <w:kern w:val="2"/>
                <w:sz w:val="24"/>
                <w:szCs w:val="24"/>
                <w:lang w:val="en-US" w:eastAsia="zh-CN"/>
              </w:rPr>
            </w:pPr>
          </w:p>
          <w:p>
            <w:pPr>
              <w:pStyle w:val="141"/>
              <w:spacing w:line="440" w:lineRule="exact"/>
              <w:rPr>
                <w:rFonts w:hint="eastAsia" w:asciiTheme="minorEastAsia" w:hAnsiTheme="minorEastAsia" w:eastAsiaTheme="minorEastAsia" w:cstheme="minorEastAsia"/>
                <w:kern w:val="2"/>
                <w:sz w:val="24"/>
                <w:szCs w:val="24"/>
                <w:lang w:val="en-US" w:eastAsia="zh-CN"/>
              </w:rPr>
            </w:pPr>
          </w:p>
          <w:p>
            <w:pPr>
              <w:pStyle w:val="141"/>
              <w:spacing w:line="440" w:lineRule="exac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747" w:type="dxa"/>
            <w:vMerge w:val="continue"/>
            <w:tcBorders>
              <w:left w:val="single" w:color="auto" w:sz="4" w:space="0"/>
              <w:right w:val="single" w:color="auto" w:sz="4" w:space="0"/>
            </w:tcBorders>
            <w:vAlign w:val="center"/>
          </w:tcPr>
          <w:p>
            <w:pPr>
              <w:pStyle w:val="141"/>
              <w:spacing w:line="440" w:lineRule="exact"/>
              <w:jc w:val="center"/>
              <w:rPr>
                <w:rFonts w:hint="eastAsia" w:asciiTheme="minorEastAsia" w:hAnsiTheme="minorEastAsia" w:eastAsiaTheme="minorEastAsia" w:cstheme="minorEastAsia"/>
                <w:kern w:val="2"/>
                <w:sz w:val="24"/>
                <w:szCs w:val="24"/>
              </w:rPr>
            </w:pPr>
          </w:p>
        </w:tc>
        <w:tc>
          <w:tcPr>
            <w:tcW w:w="1090" w:type="dxa"/>
            <w:tcBorders>
              <w:top w:val="single" w:color="auto" w:sz="4" w:space="0"/>
              <w:left w:val="single" w:color="auto" w:sz="4" w:space="0"/>
              <w:right w:val="single" w:color="auto" w:sz="4" w:space="0"/>
            </w:tcBorders>
            <w:vAlign w:val="center"/>
          </w:tcPr>
          <w:p>
            <w:pPr>
              <w:pStyle w:val="141"/>
              <w:spacing w:line="440" w:lineRule="exact"/>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服务</w:t>
            </w:r>
          </w:p>
          <w:p>
            <w:pPr>
              <w:pStyle w:val="141"/>
              <w:spacing w:line="440" w:lineRule="exact"/>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优惠</w:t>
            </w:r>
          </w:p>
          <w:p>
            <w:pPr>
              <w:pStyle w:val="141"/>
              <w:spacing w:line="440" w:lineRule="exact"/>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承诺</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numPr>
                <w:ilvl w:val="0"/>
                <w:numId w:val="12"/>
              </w:numPr>
              <w:spacing w:line="440" w:lineRule="exact"/>
              <w:jc w:val="both"/>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承诺服务本项目团队人员配置优于本项目需求采购需求的得2分。</w:t>
            </w:r>
          </w:p>
          <w:p>
            <w:pPr>
              <w:pStyle w:val="141"/>
              <w:numPr>
                <w:ilvl w:val="0"/>
                <w:numId w:val="12"/>
              </w:numPr>
              <w:spacing w:line="440" w:lineRule="exact"/>
              <w:jc w:val="both"/>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承诺服务本项目设备配置优于本项目采购需求的得2分。</w:t>
            </w: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7" w:type="dxa"/>
            <w:vMerge w:val="continue"/>
            <w:tcBorders>
              <w:left w:val="single" w:color="auto" w:sz="4" w:space="0"/>
              <w:right w:val="single" w:color="auto" w:sz="4" w:space="0"/>
            </w:tcBorders>
            <w:vAlign w:val="center"/>
          </w:tcPr>
          <w:p>
            <w:pPr>
              <w:pStyle w:val="141"/>
              <w:spacing w:line="440" w:lineRule="exact"/>
            </w:pPr>
          </w:p>
        </w:tc>
        <w:tc>
          <w:tcPr>
            <w:tcW w:w="1090" w:type="dxa"/>
            <w:tcBorders>
              <w:left w:val="single" w:color="auto" w:sz="4" w:space="0"/>
              <w:right w:val="single" w:color="auto" w:sz="4" w:space="0"/>
            </w:tcBorders>
            <w:vAlign w:val="center"/>
          </w:tcPr>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保洁</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管理</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制度、</w:t>
            </w:r>
          </w:p>
          <w:p>
            <w:pPr>
              <w:pStyle w:val="141"/>
              <w:spacing w:line="440" w:lineRule="exact"/>
              <w:ind w:firstLine="240" w:firstLineChars="100"/>
              <w:rPr>
                <w:rFonts w:hint="eastAsia" w:asciiTheme="minorEastAsia" w:hAnsiTheme="minorEastAsia" w:eastAsiaTheme="minorEastAsia" w:cstheme="minorEastAsia"/>
                <w:kern w:val="2"/>
                <w:sz w:val="24"/>
                <w:szCs w:val="24"/>
                <w:lang w:eastAsia="zh-CN"/>
              </w:rPr>
            </w:pPr>
          </w:p>
          <w:p>
            <w:pPr>
              <w:pStyle w:val="141"/>
              <w:spacing w:line="440" w:lineRule="exact"/>
              <w:ind w:firstLine="240" w:firstLineChars="100"/>
            </w:pPr>
            <w:r>
              <w:rPr>
                <w:rFonts w:hint="eastAsia" w:asciiTheme="minorEastAsia" w:hAnsiTheme="minorEastAsia" w:eastAsiaTheme="minorEastAsia" w:cstheme="minorEastAsia"/>
                <w:kern w:val="2"/>
                <w:sz w:val="24"/>
                <w:szCs w:val="24"/>
                <w:lang w:eastAsia="zh-CN"/>
              </w:rPr>
              <w:t>措施</w:t>
            </w: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A.质量管理体系（</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分）：根据质量管理体系是否完善，有无制订内部考核制度，是否有专门的机构负责对本项目进行质量监管，有无针对本项目制订具体质量管理考核细则来打分。由评标专家把握，在0-</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分内酌情给分。</w:t>
            </w:r>
          </w:p>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B.组织管理体系（</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组织管理体系完善，项目主管、质检、安检、班组长、管理员等管理人员配备到位，项目管理、管理事项明确，能参照相关企业管理规范要求。其中无项目主管扣0.5分，项目主管是兼职的扣1.5分。其他管理人员缺少的，每少一项扣0.</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分。本项最高分</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分，扣完为止。</w:t>
            </w:r>
          </w:p>
          <w:p>
            <w:pPr>
              <w:pStyle w:val="141"/>
              <w:spacing w:line="440" w:lineRule="exact"/>
              <w:rPr>
                <w:rFonts w:hint="eastAsia" w:asciiTheme="minorEastAsia" w:hAnsiTheme="minorEastAsia" w:eastAsiaTheme="minorEastAsia" w:cstheme="minorEastAsia"/>
                <w:kern w:val="2"/>
                <w:sz w:val="24"/>
                <w:szCs w:val="24"/>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7" w:type="dxa"/>
            <w:vMerge w:val="continue"/>
            <w:tcBorders>
              <w:left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rPr>
            </w:pPr>
          </w:p>
        </w:tc>
        <w:tc>
          <w:tcPr>
            <w:tcW w:w="1090" w:type="dxa"/>
            <w:tcBorders>
              <w:left w:val="single" w:color="auto" w:sz="4" w:space="0"/>
              <w:right w:val="single" w:color="auto" w:sz="4" w:space="0"/>
            </w:tcBorders>
            <w:vAlign w:val="center"/>
          </w:tcPr>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保洁</w:t>
            </w:r>
          </w:p>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作业</w:t>
            </w:r>
          </w:p>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力量</w:t>
            </w:r>
          </w:p>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保障</w:t>
            </w:r>
          </w:p>
          <w:p>
            <w:pPr>
              <w:pStyle w:val="141"/>
              <w:spacing w:line="440" w:lineRule="exact"/>
              <w:rPr>
                <w:rFonts w:hint="eastAsia" w:asciiTheme="minorEastAsia" w:hAnsiTheme="minorEastAsia" w:eastAsiaTheme="minorEastAsia" w:cstheme="minorEastAsia"/>
                <w:kern w:val="2"/>
                <w:sz w:val="24"/>
                <w:szCs w:val="24"/>
              </w:rPr>
            </w:pP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A .人员和机具配置表（</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分）：保洁人员和机具配置及分布是否合理，由评标专家在0-</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分内酌情给分。</w:t>
            </w:r>
          </w:p>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B.对保洁作业人员的素质及年龄结构等向业主书面承诺以及详细列表（</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分）：由评标专家在0-</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分内酌情给分。</w:t>
            </w:r>
          </w:p>
          <w:p>
            <w:pPr>
              <w:pStyle w:val="141"/>
              <w:spacing w:line="440" w:lineRule="exact"/>
              <w:rPr>
                <w:rFonts w:hint="eastAsia" w:asciiTheme="minorEastAsia" w:hAnsiTheme="minorEastAsia" w:eastAsiaTheme="minorEastAsia" w:cstheme="minorEastAsia"/>
                <w:kern w:val="2"/>
                <w:sz w:val="24"/>
                <w:szCs w:val="24"/>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47" w:type="dxa"/>
            <w:vMerge w:val="continue"/>
            <w:tcBorders>
              <w:left w:val="single" w:color="auto" w:sz="4" w:space="0"/>
              <w:bottom w:val="single" w:color="auto" w:sz="4" w:space="0"/>
              <w:right w:val="single" w:color="auto" w:sz="4" w:space="0"/>
            </w:tcBorders>
            <w:vAlign w:val="center"/>
          </w:tcPr>
          <w:p>
            <w:pPr>
              <w:pStyle w:val="141"/>
              <w:spacing w:line="440" w:lineRule="exact"/>
              <w:rPr>
                <w:rFonts w:hint="eastAsia" w:asciiTheme="minorEastAsia" w:hAnsiTheme="minorEastAsia" w:eastAsiaTheme="minorEastAsia" w:cstheme="minorEastAsia"/>
                <w:kern w:val="2"/>
                <w:sz w:val="24"/>
                <w:szCs w:val="24"/>
              </w:rPr>
            </w:pPr>
          </w:p>
        </w:tc>
        <w:tc>
          <w:tcPr>
            <w:tcW w:w="1090" w:type="dxa"/>
            <w:tcBorders>
              <w:left w:val="single" w:color="auto" w:sz="4" w:space="0"/>
              <w:right w:val="single" w:color="auto" w:sz="4" w:space="0"/>
            </w:tcBorders>
            <w:vAlign w:val="center"/>
          </w:tcPr>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安全</w:t>
            </w:r>
          </w:p>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生产</w:t>
            </w:r>
          </w:p>
          <w:p>
            <w:pPr>
              <w:pStyle w:val="141"/>
              <w:spacing w:line="440" w:lineRule="exact"/>
              <w:ind w:firstLine="240" w:firstLineChars="1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管理</w:t>
            </w:r>
          </w:p>
          <w:p>
            <w:pPr>
              <w:pStyle w:val="141"/>
              <w:spacing w:line="440" w:lineRule="exact"/>
              <w:rPr>
                <w:rFonts w:hint="eastAsia" w:asciiTheme="minorEastAsia" w:hAnsiTheme="minorEastAsia" w:eastAsiaTheme="minorEastAsia" w:cstheme="minorEastAsia"/>
                <w:kern w:val="2"/>
                <w:sz w:val="24"/>
                <w:szCs w:val="24"/>
              </w:rPr>
            </w:pPr>
          </w:p>
        </w:tc>
        <w:tc>
          <w:tcPr>
            <w:tcW w:w="5934"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A.制订</w:t>
            </w:r>
            <w:r>
              <w:rPr>
                <w:rFonts w:hint="eastAsia" w:asciiTheme="minorEastAsia" w:hAnsiTheme="minorEastAsia" w:eastAsiaTheme="minorEastAsia" w:cstheme="minorEastAsia"/>
                <w:kern w:val="2"/>
                <w:sz w:val="24"/>
                <w:szCs w:val="24"/>
                <w:lang w:eastAsia="zh-CN"/>
              </w:rPr>
              <w:t>安全生产制度（0-2）：未制订安全生产制度，该项不得分。</w:t>
            </w:r>
          </w:p>
          <w:p>
            <w:pPr>
              <w:pStyle w:val="141"/>
              <w:spacing w:line="440" w:lineRule="exact"/>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B.提供</w:t>
            </w:r>
            <w:r>
              <w:rPr>
                <w:rFonts w:hint="eastAsia" w:asciiTheme="minorEastAsia" w:hAnsiTheme="minorEastAsia" w:eastAsiaTheme="minorEastAsia" w:cstheme="minorEastAsia"/>
                <w:kern w:val="2"/>
                <w:sz w:val="24"/>
                <w:szCs w:val="24"/>
                <w:lang w:eastAsia="zh-CN"/>
              </w:rPr>
              <w:t>安全生产监督管理局颁发的安全培训合格证书每提供一份得</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分，最多</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分（0-</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）。投标文件中提供对应员工的社保资料和证书扫描件。</w:t>
            </w:r>
          </w:p>
          <w:p>
            <w:pPr>
              <w:pStyle w:val="141"/>
              <w:spacing w:line="440" w:lineRule="exact"/>
              <w:rPr>
                <w:rFonts w:hint="eastAsia" w:asciiTheme="minorEastAsia" w:hAnsiTheme="minorEastAsia" w:eastAsiaTheme="minorEastAsia" w:cstheme="minorEastAsia"/>
                <w:kern w:val="2"/>
                <w:sz w:val="24"/>
                <w:szCs w:val="24"/>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141"/>
              <w:spacing w:line="440" w:lineRule="exac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r>
    </w:tbl>
    <w:p>
      <w:pPr>
        <w:pStyle w:val="141"/>
        <w:spacing w:line="440" w:lineRule="exact"/>
        <w:ind w:firstLine="480" w:firstLineChars="200"/>
        <w:rPr>
          <w:rFonts w:hint="eastAsia" w:asciiTheme="minorEastAsia" w:hAnsiTheme="minorEastAsia" w:eastAsiaTheme="minorEastAsia" w:cstheme="minorEastAsia"/>
          <w:kern w:val="2"/>
          <w:sz w:val="24"/>
          <w:szCs w:val="24"/>
        </w:rPr>
      </w:pPr>
    </w:p>
    <w:p>
      <w:pPr>
        <w:spacing w:line="360" w:lineRule="exact"/>
        <w:rPr>
          <w:rFonts w:hint="eastAsia" w:ascii="宋体" w:hAnsi="宋体" w:cs="Times New Roman"/>
          <w:b/>
          <w:sz w:val="24"/>
        </w:rPr>
      </w:pPr>
      <w:r>
        <w:rPr>
          <w:rFonts w:hint="eastAsia" w:ascii="宋体" w:hAnsi="宋体" w:cs="Times New Roman"/>
          <w:b/>
          <w:sz w:val="24"/>
        </w:rPr>
        <w:t>四、商务标评定分值</w:t>
      </w:r>
      <w:r>
        <w:rPr>
          <w:rFonts w:hint="eastAsia" w:ascii="宋体" w:hAnsi="宋体" w:cs="Times New Roman"/>
          <w:b/>
          <w:sz w:val="24"/>
          <w:lang w:val="en-US" w:eastAsia="zh-CN"/>
        </w:rPr>
        <w:t>20</w:t>
      </w:r>
      <w:r>
        <w:rPr>
          <w:rFonts w:hint="eastAsia" w:ascii="宋体" w:hAnsi="宋体" w:cs="Times New Roman"/>
          <w:b/>
          <w:sz w:val="24"/>
        </w:rPr>
        <w:t>分</w:t>
      </w:r>
    </w:p>
    <w:p>
      <w:pPr>
        <w:snapToGrid w:val="0"/>
        <w:spacing w:line="500" w:lineRule="exact"/>
        <w:ind w:firstLine="480"/>
        <w:jc w:val="left"/>
        <w:rPr>
          <w:rFonts w:hint="eastAsia" w:ascii="宋体" w:hAnsi="宋体" w:cs="宋体"/>
          <w:kern w:val="0"/>
          <w:sz w:val="24"/>
          <w:szCs w:val="24"/>
        </w:rPr>
      </w:pPr>
      <w:r>
        <w:rPr>
          <w:rFonts w:hint="eastAsia" w:ascii="宋体" w:hAnsi="宋体" w:cs="宋体"/>
          <w:kern w:val="0"/>
          <w:sz w:val="24"/>
          <w:szCs w:val="24"/>
        </w:rPr>
        <w:t>评标基准价：</w:t>
      </w:r>
      <w:r>
        <w:rPr>
          <w:rFonts w:hint="eastAsia" w:ascii="宋体" w:hAnsi="宋体" w:cs="宋体"/>
          <w:sz w:val="24"/>
          <w:szCs w:val="24"/>
        </w:rPr>
        <w:t>价格分采用低价优先法计算，</w:t>
      </w:r>
      <w:r>
        <w:rPr>
          <w:rFonts w:hint="eastAsia" w:ascii="宋体" w:hAnsi="宋体" w:cs="宋体"/>
          <w:kern w:val="0"/>
          <w:sz w:val="24"/>
          <w:szCs w:val="24"/>
        </w:rPr>
        <w:t>以有效投标人的最低投标报价为评标基准价，其价格分为满分。其他投标人的价格分统一按照下列公式计算：</w:t>
      </w:r>
    </w:p>
    <w:p>
      <w:pPr>
        <w:snapToGrid w:val="0"/>
        <w:spacing w:line="500" w:lineRule="exact"/>
        <w:ind w:firstLine="480"/>
        <w:jc w:val="left"/>
        <w:rPr>
          <w:rFonts w:hint="eastAsia" w:ascii="宋体" w:hAnsi="宋体" w:cs="宋体"/>
          <w:kern w:val="0"/>
          <w:sz w:val="24"/>
          <w:szCs w:val="24"/>
        </w:rPr>
      </w:pPr>
      <w:r>
        <w:rPr>
          <w:rFonts w:hint="eastAsia" w:ascii="宋体" w:hAnsi="宋体" w:cs="宋体"/>
          <w:kern w:val="0"/>
          <w:sz w:val="24"/>
          <w:szCs w:val="24"/>
        </w:rPr>
        <w:t>投标报价得分=(评标基准价／投标报价)×价格权值×100</w:t>
      </w:r>
    </w:p>
    <w:p>
      <w:pPr>
        <w:spacing w:line="500" w:lineRule="exact"/>
        <w:ind w:firstLine="480"/>
        <w:rPr>
          <w:rFonts w:hint="eastAsia" w:ascii="宋体" w:hAnsi="宋体" w:cs="宋体"/>
          <w:kern w:val="0"/>
          <w:sz w:val="24"/>
          <w:szCs w:val="24"/>
        </w:rPr>
      </w:pPr>
      <w:r>
        <w:rPr>
          <w:rFonts w:hint="eastAsia" w:ascii="宋体" w:hAnsi="宋体" w:cs="宋体"/>
          <w:color w:val="auto"/>
          <w:kern w:val="0"/>
          <w:sz w:val="24"/>
          <w:szCs w:val="24"/>
        </w:rPr>
        <w:t>项目最高限价为</w:t>
      </w:r>
      <w:r>
        <w:rPr>
          <w:rFonts w:hint="eastAsia" w:ascii="宋体" w:hAnsi="宋体" w:cs="宋体"/>
          <w:b/>
          <w:bCs/>
          <w:color w:val="auto"/>
          <w:sz w:val="24"/>
          <w:highlight w:val="none"/>
          <w:lang w:val="en-US" w:eastAsia="zh-CN"/>
        </w:rPr>
        <w:t>11100288</w:t>
      </w:r>
      <w:r>
        <w:rPr>
          <w:rFonts w:hint="eastAsia" w:ascii="宋体" w:hAnsi="宋体" w:cs="宋体"/>
          <w:color w:val="auto"/>
          <w:kern w:val="0"/>
          <w:sz w:val="24"/>
          <w:szCs w:val="24"/>
          <w:lang w:val="en-US" w:eastAsia="zh-CN"/>
        </w:rPr>
        <w:t>元</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年），</w:t>
      </w:r>
      <w:r>
        <w:rPr>
          <w:rFonts w:hint="eastAsia" w:ascii="宋体" w:hAnsi="宋体" w:cs="宋体"/>
          <w:color w:val="auto"/>
          <w:sz w:val="24"/>
          <w:szCs w:val="24"/>
        </w:rPr>
        <w:t>报价超过</w:t>
      </w:r>
      <w:r>
        <w:rPr>
          <w:rFonts w:hint="eastAsia" w:ascii="宋体" w:hAnsi="宋体" w:cs="宋体"/>
          <w:sz w:val="24"/>
          <w:szCs w:val="24"/>
        </w:rPr>
        <w:t>最高限价的</w:t>
      </w:r>
      <w:r>
        <w:rPr>
          <w:rFonts w:hint="eastAsia" w:ascii="宋体" w:hAnsi="宋体" w:cs="宋体"/>
          <w:kern w:val="0"/>
          <w:sz w:val="24"/>
          <w:szCs w:val="24"/>
        </w:rPr>
        <w:t>，为无效报价。</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投标报价应包括人员的工资、法定加班费、人身意外保险费、服装费、管理费、高温补贴费、发票稅费、劳动合同法规定的各类社会保险费、招标代理中标服务费等所有相关费用。</w:t>
      </w:r>
    </w:p>
    <w:p>
      <w:pPr>
        <w:snapToGrid w:val="0"/>
        <w:spacing w:line="500" w:lineRule="exact"/>
        <w:ind w:firstLine="480"/>
        <w:rPr>
          <w:rFonts w:hint="eastAsia" w:ascii="宋体" w:hAnsi="宋体" w:cs="宋体"/>
          <w:sz w:val="24"/>
          <w:szCs w:val="24"/>
        </w:rPr>
      </w:pPr>
      <w:r>
        <w:rPr>
          <w:rFonts w:hint="eastAsia" w:ascii="宋体" w:hAnsi="宋体" w:cs="宋体"/>
          <w:sz w:val="24"/>
          <w:szCs w:val="24"/>
        </w:rPr>
        <w:t>本项目设风险控制价，风险控制价为项目预算价即最高限价×</w:t>
      </w:r>
      <w:r>
        <w:rPr>
          <w:rFonts w:hint="eastAsia" w:ascii="宋体" w:hAnsi="宋体" w:cs="宋体"/>
          <w:kern w:val="0"/>
          <w:sz w:val="24"/>
          <w:szCs w:val="24"/>
          <w:lang w:val="en-US" w:eastAsia="zh-CN"/>
        </w:rPr>
        <w:t>87</w:t>
      </w:r>
      <w:r>
        <w:rPr>
          <w:rFonts w:hint="eastAsia" w:ascii="宋体" w:hAnsi="宋体" w:cs="宋体"/>
          <w:kern w:val="0"/>
          <w:sz w:val="24"/>
          <w:szCs w:val="24"/>
        </w:rPr>
        <w:t>%</w:t>
      </w:r>
      <w:r>
        <w:rPr>
          <w:rFonts w:hint="eastAsia" w:ascii="宋体" w:hAnsi="宋体" w:cs="宋体"/>
          <w:color w:val="auto"/>
          <w:sz w:val="24"/>
          <w:szCs w:val="24"/>
        </w:rPr>
        <w:t>，计</w:t>
      </w:r>
      <w:r>
        <w:rPr>
          <w:rFonts w:hint="eastAsia" w:ascii="宋体" w:hAnsi="宋体" w:cs="宋体"/>
          <w:color w:val="auto"/>
          <w:sz w:val="24"/>
          <w:szCs w:val="24"/>
          <w:lang w:val="en-US" w:eastAsia="zh-CN"/>
        </w:rPr>
        <w:t>9657251</w:t>
      </w:r>
      <w:r>
        <w:rPr>
          <w:rFonts w:hint="eastAsia" w:ascii="宋体" w:hAnsi="宋体" w:cs="宋体"/>
          <w:sz w:val="24"/>
          <w:szCs w:val="24"/>
        </w:rPr>
        <w:t>元/</w:t>
      </w:r>
      <w:r>
        <w:rPr>
          <w:rFonts w:hint="eastAsia" w:ascii="宋体" w:hAnsi="宋体" w:cs="宋体"/>
          <w:sz w:val="24"/>
          <w:szCs w:val="24"/>
          <w:lang w:eastAsia="zh-CN"/>
        </w:rPr>
        <w:t>三</w:t>
      </w:r>
      <w:r>
        <w:rPr>
          <w:rFonts w:hint="eastAsia" w:ascii="宋体" w:hAnsi="宋体" w:cs="宋体"/>
          <w:sz w:val="24"/>
          <w:szCs w:val="24"/>
        </w:rPr>
        <w:t>年；若中标人低于该风险控制价中标的，中标人应在提缴履约保证金的同时必须额外补交中标价净值与风险控制价之差额，中标人不提缴的视为放弃中标。差额保证金在承包期满后，经采购人考评合格且中标人办理完移交给采购人手续后一个月内无息退还。</w:t>
      </w:r>
    </w:p>
    <w:p>
      <w:pPr>
        <w:snapToGrid w:val="0"/>
        <w:spacing w:line="500" w:lineRule="exact"/>
        <w:ind w:firstLine="480"/>
        <w:rPr>
          <w:rFonts w:hint="eastAsia" w:ascii="宋体" w:hAnsi="宋体" w:cs="宋体"/>
          <w:sz w:val="24"/>
          <w:szCs w:val="24"/>
        </w:rPr>
      </w:pPr>
      <w:r>
        <w:rPr>
          <w:rFonts w:hint="eastAsia" w:ascii="宋体" w:hAnsi="宋体" w:cs="宋体"/>
          <w:sz w:val="24"/>
          <w:szCs w:val="24"/>
        </w:rPr>
        <w:t>评标委员会在评审时发现投标人的报价明显低于其他投标人的报价或本项目市场运行成本报价的，应当要求投标人做出书面说明并提供相关证明材料。投标人不能当场做出合理说明原因并提供证明材料的，评标委员会应将该投标人的投标文件作无效处理，并在评审报告中说明。并按上述风险控制价的规定执行。</w:t>
      </w:r>
    </w:p>
    <w:p>
      <w:pPr>
        <w:snapToGrid w:val="0"/>
        <w:spacing w:line="500" w:lineRule="exact"/>
        <w:ind w:firstLine="480"/>
        <w:rPr>
          <w:rFonts w:hint="eastAsia" w:ascii="宋体" w:hAnsi="宋体" w:cs="宋体"/>
          <w:sz w:val="24"/>
          <w:szCs w:val="24"/>
        </w:rPr>
      </w:pPr>
      <w:r>
        <w:rPr>
          <w:rFonts w:hint="eastAsia" w:ascii="宋体" w:hAnsi="宋体" w:cs="宋体"/>
          <w:sz w:val="24"/>
          <w:szCs w:val="24"/>
        </w:rPr>
        <w:t>注：</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1.投标时提供的人员、业绩、荣誉、资质、项目案例等，必须为投标人本身所具有。</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2.同类项目系指与本招标项目相同的环卫保洁服务项目及所承担过的城市环卫保洁服务项目，同类项目业绩证明须提供中标通知书、合同</w:t>
      </w:r>
      <w:r>
        <w:rPr>
          <w:rFonts w:hint="eastAsia" w:ascii="宋体" w:hAnsi="宋体" w:cs="宋体"/>
          <w:sz w:val="24"/>
          <w:szCs w:val="24"/>
          <w:lang w:eastAsia="zh-CN"/>
        </w:rPr>
        <w:t>扫描</w:t>
      </w:r>
      <w:r>
        <w:rPr>
          <w:rFonts w:hint="eastAsia" w:ascii="宋体" w:hAnsi="宋体" w:cs="宋体"/>
          <w:sz w:val="24"/>
          <w:szCs w:val="24"/>
        </w:rPr>
        <w:t>件、用户联系方式。</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3.上述人员证书（专项职业技能证书）、证件、获奖证书（或获奖文件）、合同等</w:t>
      </w:r>
      <w:r>
        <w:rPr>
          <w:rFonts w:hint="eastAsia" w:ascii="宋体" w:hAnsi="宋体" w:cs="宋体"/>
          <w:sz w:val="24"/>
          <w:szCs w:val="24"/>
          <w:lang w:eastAsia="zh-CN"/>
        </w:rPr>
        <w:t>提供扫描件</w:t>
      </w:r>
      <w:r>
        <w:rPr>
          <w:rFonts w:hint="eastAsia" w:ascii="宋体" w:hAnsi="宋体" w:cs="宋体"/>
          <w:sz w:val="24"/>
          <w:szCs w:val="24"/>
        </w:rPr>
        <w:t>。</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4.评审内容需要的证书、证件的</w:t>
      </w:r>
      <w:r>
        <w:rPr>
          <w:rFonts w:hint="eastAsia" w:ascii="宋体" w:hAnsi="宋体" w:cs="宋体"/>
          <w:sz w:val="24"/>
          <w:szCs w:val="24"/>
          <w:lang w:eastAsia="zh-CN"/>
        </w:rPr>
        <w:t>扫描</w:t>
      </w:r>
      <w:r>
        <w:rPr>
          <w:rFonts w:hint="eastAsia" w:ascii="宋体" w:hAnsi="宋体" w:cs="宋体"/>
          <w:sz w:val="24"/>
          <w:szCs w:val="24"/>
        </w:rPr>
        <w:t>件应清晰的编入投标文件。</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5.所有拟投入车辆，均承诺为本项目服务。</w:t>
      </w:r>
    </w:p>
    <w:p>
      <w:pPr>
        <w:spacing w:line="500" w:lineRule="exact"/>
        <w:ind w:firstLine="470" w:firstLineChars="196"/>
        <w:rPr>
          <w:rFonts w:hint="eastAsia" w:ascii="宋体" w:hAnsi="宋体" w:cs="宋体"/>
          <w:sz w:val="24"/>
          <w:szCs w:val="24"/>
        </w:rPr>
      </w:pPr>
      <w:r>
        <w:rPr>
          <w:rFonts w:hint="eastAsia" w:ascii="宋体" w:hAnsi="宋体" w:cs="宋体"/>
          <w:sz w:val="24"/>
          <w:szCs w:val="24"/>
        </w:rPr>
        <w:t>6.若中标单位提供的所有资料，一经发现造假，取消其中标资格。</w:t>
      </w:r>
    </w:p>
    <w:p>
      <w:pPr>
        <w:pStyle w:val="141"/>
        <w:spacing w:line="440" w:lineRule="exact"/>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五、定标办法</w:t>
      </w:r>
    </w:p>
    <w:p>
      <w:pPr>
        <w:pStyle w:val="141"/>
        <w:spacing w:line="440" w:lineRule="exact"/>
        <w:ind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评标委员会将对技术分和商务分进行汇总，按综合得分（技术分与商务分相加的得分）高低排定顺序（得分相同的，按投标报价由低到高顺序排列；得分且投标报价相同的，抽签决定），并确定综合得分排序第一的投标单位为中标候选人。</w:t>
      </w:r>
      <w:bookmarkStart w:id="273" w:name="_Toc13047"/>
    </w:p>
    <w:p>
      <w:pPr>
        <w:pStyle w:val="4"/>
        <w:spacing w:before="0" w:after="0" w:line="440" w:lineRule="exact"/>
        <w:ind w:left="0" w:firstLine="0"/>
        <w:jc w:val="both"/>
        <w:rPr>
          <w:rFonts w:hint="eastAsia" w:ascii="宋体" w:hAnsi="宋体" w:eastAsia="宋体"/>
          <w:sz w:val="32"/>
          <w:szCs w:val="32"/>
        </w:rPr>
      </w:pPr>
    </w:p>
    <w:p>
      <w:pPr>
        <w:pStyle w:val="4"/>
        <w:spacing w:before="0" w:after="0" w:line="440" w:lineRule="exact"/>
        <w:ind w:left="0" w:firstLine="0"/>
        <w:jc w:val="center"/>
        <w:rPr>
          <w:rFonts w:ascii="宋体" w:hAnsi="宋体" w:eastAsia="宋体"/>
          <w:sz w:val="32"/>
          <w:szCs w:val="32"/>
        </w:rPr>
      </w:pPr>
      <w:r>
        <w:rPr>
          <w:rFonts w:hint="eastAsia" w:ascii="宋体" w:hAnsi="宋体" w:eastAsia="宋体"/>
          <w:sz w:val="32"/>
          <w:szCs w:val="32"/>
        </w:rPr>
        <w:t>第五部分 合同主要条款及合同签订方式</w:t>
      </w:r>
      <w:bookmarkEnd w:id="265"/>
      <w:bookmarkEnd w:id="272"/>
      <w:bookmarkEnd w:id="273"/>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hint="eastAsia" w:ascii="宋体" w:hAnsi="宋体"/>
          <w:sz w:val="24"/>
        </w:rPr>
        <w:t>（一）签订合同</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ascii="宋体" w:hAnsi="宋体"/>
          <w:sz w:val="24"/>
        </w:rPr>
        <w:t>1.</w:t>
      </w:r>
      <w:r>
        <w:rPr>
          <w:rFonts w:hint="eastAsia" w:ascii="宋体" w:hAnsi="宋体"/>
          <w:sz w:val="24"/>
        </w:rPr>
        <w:t>采购人与中标人应当在《中标通知书》发出之日起</w:t>
      </w:r>
      <w:r>
        <w:rPr>
          <w:rFonts w:hint="eastAsia" w:ascii="宋体" w:hAnsi="宋体"/>
          <w:sz w:val="24"/>
          <w:lang w:val="en-US" w:eastAsia="zh-CN"/>
        </w:rPr>
        <w:t>30</w:t>
      </w:r>
      <w:r>
        <w:rPr>
          <w:rFonts w:hint="eastAsia" w:ascii="宋体" w:hAnsi="宋体"/>
          <w:sz w:val="24"/>
        </w:rPr>
        <w:t>日内尽快签订政府采购合同。</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ascii="宋体" w:hAnsi="宋体"/>
          <w:sz w:val="24"/>
        </w:rPr>
        <w:t>2.</w:t>
      </w:r>
      <w:r>
        <w:rPr>
          <w:rFonts w:hint="eastAsia" w:ascii="宋体" w:hAnsi="宋体"/>
          <w:sz w:val="24"/>
        </w:rPr>
        <w:t>中标人拖延、拒签合同的</w:t>
      </w:r>
      <w:r>
        <w:rPr>
          <w:rFonts w:ascii="宋体"/>
          <w:sz w:val="24"/>
        </w:rPr>
        <w:t>,</w:t>
      </w:r>
      <w:r>
        <w:rPr>
          <w:rFonts w:hint="eastAsia" w:ascii="宋体" w:hAnsi="宋体"/>
          <w:sz w:val="24"/>
        </w:rPr>
        <w:t>将被扣罚投标保证金并取消中标资格。</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hint="eastAsia" w:ascii="宋体" w:hAnsi="宋体"/>
          <w:sz w:val="24"/>
        </w:rPr>
        <w:t>（二）合同签订时间</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hint="eastAsia" w:ascii="宋体" w:hAnsi="宋体"/>
          <w:sz w:val="24"/>
        </w:rPr>
        <w:t>中标人应在中标通知书发出后</w:t>
      </w:r>
      <w:r>
        <w:rPr>
          <w:rFonts w:hint="eastAsia" w:ascii="宋体" w:hAnsi="宋体"/>
          <w:sz w:val="24"/>
          <w:lang w:val="en-US" w:eastAsia="zh-CN"/>
        </w:rPr>
        <w:t>30</w:t>
      </w:r>
      <w:r>
        <w:rPr>
          <w:rFonts w:hint="eastAsia" w:ascii="宋体" w:hAnsi="宋体"/>
          <w:sz w:val="24"/>
        </w:rPr>
        <w:t>日内与采购人签订合同。</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hint="eastAsia" w:ascii="宋体" w:hAnsi="宋体"/>
          <w:sz w:val="24"/>
        </w:rPr>
        <w:t>（三）履约保证金</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sz w:val="24"/>
          <w:lang w:eastAsia="zh-CN"/>
        </w:rPr>
      </w:pPr>
      <w:r>
        <w:rPr>
          <w:rFonts w:ascii="宋体" w:hAnsi="宋体"/>
          <w:sz w:val="24"/>
        </w:rPr>
        <w:t>1.</w:t>
      </w:r>
      <w:r>
        <w:rPr>
          <w:rFonts w:hint="eastAsia" w:ascii="宋体" w:hAnsi="宋体"/>
          <w:sz w:val="24"/>
        </w:rPr>
        <w:t>签订合同前，中标人按照招标文件规定递交履约保证金</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ascii="宋体" w:hAnsi="宋体"/>
          <w:sz w:val="24"/>
        </w:rPr>
        <w:t>2.</w:t>
      </w:r>
      <w:r>
        <w:rPr>
          <w:rFonts w:hint="eastAsia" w:ascii="宋体" w:hAnsi="宋体"/>
          <w:sz w:val="24"/>
        </w:rPr>
        <w:t>签订合同后，如中标人不按双方合同约定履约，则没收其全部履约保证金，履约保证金不足以赔偿损失的，按实际损失赔偿。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sz w:val="24"/>
        </w:rPr>
      </w:pPr>
      <w:r>
        <w:rPr>
          <w:rFonts w:hint="eastAsia" w:ascii="宋体" w:hAnsi="宋体"/>
          <w:sz w:val="24"/>
        </w:rPr>
        <w:t>（四）合同格式</w:t>
      </w:r>
    </w:p>
    <w:p>
      <w:pPr>
        <w:numPr>
          <w:ilvl w:val="0"/>
          <w:numId w:val="0"/>
        </w:numPr>
        <w:jc w:val="both"/>
        <w:rPr>
          <w:rFonts w:hAnsi="宋体" w:cs="宋体"/>
          <w:b/>
          <w:bCs/>
          <w:kern w:val="0"/>
          <w:sz w:val="32"/>
          <w:szCs w:val="32"/>
        </w:rPr>
      </w:pPr>
      <w:r>
        <w:rPr>
          <w:rFonts w:hint="eastAsia" w:ascii="宋体" w:hAnsi="宋体" w:cs="宋体"/>
          <w:b/>
          <w:bCs/>
          <w:color w:val="auto"/>
          <w:sz w:val="32"/>
          <w:szCs w:val="32"/>
          <w:lang w:val="en-US" w:eastAsia="zh-CN"/>
        </w:rPr>
        <w:t>嵊州市金庭镇（撤并前金庭镇行政区域范围）生活垃圾上门收集、分类清运、大件垃圾清理、终端运行、再生资源回收站点、嵊张线局部地段保洁项目</w:t>
      </w:r>
      <w:r>
        <w:rPr>
          <w:rFonts w:hint="eastAsia" w:hAnsi="宋体" w:cs="宋体"/>
          <w:b/>
          <w:bCs/>
          <w:kern w:val="0"/>
          <w:sz w:val="32"/>
          <w:szCs w:val="32"/>
        </w:rPr>
        <w:t>承包合同（</w:t>
      </w:r>
      <w:r>
        <w:rPr>
          <w:rFonts w:hint="eastAsia" w:hAnsi="宋体" w:cs="宋体"/>
          <w:b/>
          <w:bCs/>
          <w:kern w:val="0"/>
          <w:sz w:val="32"/>
          <w:szCs w:val="32"/>
          <w:lang w:eastAsia="zh-CN"/>
        </w:rPr>
        <w:t>合同样板</w:t>
      </w:r>
      <w:r>
        <w:rPr>
          <w:rFonts w:hint="eastAsia" w:hAnsi="宋体" w:cs="宋体"/>
          <w:b/>
          <w:bCs/>
          <w:kern w:val="0"/>
          <w:sz w:val="32"/>
          <w:szCs w:val="32"/>
        </w:rPr>
        <w:t>仅供参考）</w:t>
      </w:r>
    </w:p>
    <w:p>
      <w:pPr>
        <w:pStyle w:val="30"/>
        <w:spacing w:line="440" w:lineRule="exact"/>
        <w:rPr>
          <w:rFonts w:ascii="宋体"/>
          <w:szCs w:val="24"/>
        </w:rPr>
      </w:pPr>
      <w:r>
        <w:rPr>
          <w:rFonts w:hint="eastAsia" w:ascii="宋体" w:hAnsi="宋体"/>
          <w:szCs w:val="24"/>
        </w:rPr>
        <w:t>发包方：嵊州市</w:t>
      </w:r>
      <w:r>
        <w:rPr>
          <w:rFonts w:hint="eastAsia" w:ascii="宋体" w:hAnsi="宋体"/>
          <w:szCs w:val="24"/>
          <w:lang w:val="en-US" w:eastAsia="zh-CN"/>
        </w:rPr>
        <w:t>金庭</w:t>
      </w:r>
      <w:r>
        <w:rPr>
          <w:rFonts w:hint="eastAsia" w:ascii="宋体" w:hAnsi="宋体"/>
          <w:szCs w:val="24"/>
        </w:rPr>
        <w:t>镇人民政府（甲方）</w:t>
      </w:r>
    </w:p>
    <w:p>
      <w:pPr>
        <w:pStyle w:val="30"/>
        <w:spacing w:line="440" w:lineRule="exact"/>
        <w:rPr>
          <w:rFonts w:ascii="宋体"/>
          <w:szCs w:val="24"/>
        </w:rPr>
      </w:pPr>
      <w:r>
        <w:rPr>
          <w:rFonts w:hint="eastAsia" w:ascii="宋体" w:hAnsi="宋体"/>
          <w:szCs w:val="24"/>
        </w:rPr>
        <w:t>承包方：（乙方）</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color w:val="auto"/>
          <w:szCs w:val="24"/>
        </w:rPr>
        <w:t>为加快环卫作业市场代步伐，推进环境卫生管理体制改革，进一步引入竞争机制，使环卫工作向市场化、社会化的方向发展，切实搞好嵊州市</w:t>
      </w:r>
      <w:r>
        <w:rPr>
          <w:rFonts w:hint="eastAsia" w:ascii="宋体" w:hAnsi="宋体"/>
          <w:color w:val="auto"/>
          <w:szCs w:val="24"/>
          <w:lang w:val="en-US" w:eastAsia="zh-CN"/>
        </w:rPr>
        <w:t>金庭</w:t>
      </w:r>
      <w:r>
        <w:rPr>
          <w:rFonts w:hint="eastAsia" w:ascii="宋体" w:hAnsi="宋体"/>
          <w:color w:val="auto"/>
          <w:szCs w:val="24"/>
        </w:rPr>
        <w:t>镇道路卫生保洁、垃圾分类收集</w:t>
      </w:r>
      <w:r>
        <w:rPr>
          <w:rFonts w:hint="eastAsia" w:ascii="宋体" w:hAnsi="宋体"/>
          <w:color w:val="auto"/>
          <w:szCs w:val="24"/>
          <w:lang w:eastAsia="zh-CN"/>
        </w:rPr>
        <w:t>、</w:t>
      </w:r>
      <w:r>
        <w:rPr>
          <w:rFonts w:hint="eastAsia" w:ascii="宋体" w:hAnsi="宋体"/>
          <w:color w:val="auto"/>
          <w:szCs w:val="24"/>
        </w:rPr>
        <w:t>分类清运服务</w:t>
      </w:r>
      <w:r>
        <w:rPr>
          <w:rFonts w:hint="eastAsia" w:ascii="宋体" w:hAnsi="宋体"/>
          <w:color w:val="auto"/>
          <w:szCs w:val="24"/>
          <w:lang w:val="en-US" w:eastAsia="zh-CN"/>
        </w:rPr>
        <w:t>及再生垃圾回收等</w:t>
      </w:r>
      <w:r>
        <w:rPr>
          <w:rFonts w:hint="eastAsia" w:ascii="宋体" w:hAnsi="宋体"/>
          <w:color w:val="auto"/>
          <w:szCs w:val="24"/>
        </w:rPr>
        <w:t>工作，经公开采购招标，由乙方取得环卫作业承包权。现甲、乙双方就</w:t>
      </w:r>
      <w:r>
        <w:rPr>
          <w:rFonts w:hint="eastAsia" w:ascii="宋体" w:hAnsi="宋体" w:cs="宋体"/>
          <w:b/>
          <w:bCs/>
          <w:color w:val="auto"/>
          <w:sz w:val="24"/>
          <w:lang w:val="en-US" w:eastAsia="zh-CN"/>
        </w:rPr>
        <w:t>嵊州市金庭镇（撤并前金庭镇行政区域范围）生活垃圾上门收集、分类清运、大件垃圾清理、终端运行、再生资源回收站点、嵊张线局部地段保洁</w:t>
      </w:r>
      <w:r>
        <w:rPr>
          <w:rFonts w:hint="eastAsia" w:ascii="宋体" w:hAnsi="宋体"/>
          <w:szCs w:val="24"/>
        </w:rPr>
        <w:t>等内容达成如下合同：</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一、合同文件的组成</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本合同所附下列文件是构成本合同不可分割的部分：</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w:t>
      </w:r>
      <w:r>
        <w:rPr>
          <w:rFonts w:hint="eastAsia" w:ascii="宋体" w:hAnsi="宋体"/>
          <w:szCs w:val="24"/>
        </w:rPr>
        <w:t>、</w:t>
      </w:r>
      <w:r>
        <w:rPr>
          <w:rFonts w:hint="eastAsia" w:ascii="宋体" w:hAnsi="宋体" w:cs="宋体"/>
          <w:b/>
          <w:bCs/>
          <w:color w:val="auto"/>
          <w:sz w:val="24"/>
          <w:lang w:val="en-US" w:eastAsia="zh-CN"/>
        </w:rPr>
        <w:t>嵊州市金庭镇（撤并前金庭镇行政区域范围）生活垃圾上门收集、分类清运、大件垃圾清理、终端运行、再生资源回收站点、嵊张线局部地段保洁项目</w:t>
      </w:r>
      <w:r>
        <w:rPr>
          <w:rFonts w:hint="eastAsia" w:ascii="宋体" w:hAnsi="宋体"/>
          <w:szCs w:val="24"/>
        </w:rPr>
        <w:t>项目招标文件以及相关的澄清、补充文件等；</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2</w:t>
      </w:r>
      <w:r>
        <w:rPr>
          <w:rFonts w:hint="eastAsia" w:ascii="宋体" w:hAnsi="宋体"/>
          <w:szCs w:val="24"/>
        </w:rPr>
        <w:t>、乙方的投标文件及澄清、补充说明文件等；</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3</w:t>
      </w:r>
      <w:r>
        <w:rPr>
          <w:rFonts w:hint="eastAsia" w:ascii="宋体" w:hAnsi="宋体"/>
          <w:szCs w:val="24"/>
        </w:rPr>
        <w:t>、履约保证金；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4</w:t>
      </w:r>
      <w:r>
        <w:rPr>
          <w:rFonts w:hint="eastAsia" w:ascii="宋体" w:hAnsi="宋体"/>
          <w:szCs w:val="24"/>
        </w:rPr>
        <w:t>、中标通知书。</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二、承包区域及年限：</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承包区域：</w:t>
      </w:r>
      <w:r>
        <w:rPr>
          <w:rFonts w:hint="eastAsia" w:ascii="宋体" w:hAnsi="宋体" w:cs="宋体"/>
          <w:b/>
          <w:bCs/>
          <w:color w:val="auto"/>
          <w:sz w:val="24"/>
          <w:lang w:val="en-US" w:eastAsia="zh-CN"/>
        </w:rPr>
        <w:t>嵊州市金庭镇（撤并前金庭镇行政区域范围）8个行政村生活垃圾上门收集、分类清运、大件垃圾清理、终端运行、再生资源回收站点、嵊张线局部地段保洁</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承包年限：三年，从年月日至</w:t>
      </w:r>
      <w:r>
        <w:rPr>
          <w:rFonts w:hint="eastAsia" w:ascii="宋体" w:hAnsi="宋体"/>
          <w:szCs w:val="24"/>
          <w:lang w:val="en-US" w:eastAsia="zh-CN"/>
        </w:rPr>
        <w:t xml:space="preserve">  </w:t>
      </w:r>
      <w:r>
        <w:rPr>
          <w:rFonts w:hint="eastAsia" w:ascii="宋体" w:hAnsi="宋体"/>
          <w:szCs w:val="24"/>
        </w:rPr>
        <w:t>年</w:t>
      </w:r>
      <w:r>
        <w:rPr>
          <w:rFonts w:hint="eastAsia" w:ascii="宋体" w:hAnsi="宋体"/>
          <w:szCs w:val="24"/>
          <w:lang w:val="en-US" w:eastAsia="zh-CN"/>
        </w:rPr>
        <w:t xml:space="preserve">  </w:t>
      </w:r>
      <w:r>
        <w:rPr>
          <w:rFonts w:hint="eastAsia" w:ascii="宋体" w:hAnsi="宋体"/>
          <w:szCs w:val="24"/>
        </w:rPr>
        <w:t>月</w:t>
      </w:r>
      <w:r>
        <w:rPr>
          <w:rFonts w:hint="eastAsia" w:ascii="宋体" w:hAnsi="宋体"/>
          <w:szCs w:val="24"/>
          <w:lang w:val="en-US" w:eastAsia="zh-CN"/>
        </w:rPr>
        <w:t xml:space="preserve">  </w:t>
      </w:r>
      <w:r>
        <w:rPr>
          <w:rFonts w:hint="eastAsia" w:ascii="宋体" w:hAnsi="宋体"/>
          <w:szCs w:val="24"/>
        </w:rPr>
        <w:t>日，（合同签订形式采用一年一订，当年承包内容经考核符合甲方规定相关质量标准的签订下一年度合同，如不符合甲方规定相关质量标准的中止续签合同。）</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336" w:lineRule="auto"/>
        <w:jc w:val="left"/>
        <w:textAlignment w:val="auto"/>
        <w:rPr>
          <w:rFonts w:ascii="宋体"/>
          <w:szCs w:val="24"/>
        </w:rPr>
      </w:pPr>
      <w:r>
        <w:rPr>
          <w:rFonts w:hint="eastAsia" w:ascii="宋体" w:hAnsi="宋体"/>
          <w:szCs w:val="24"/>
        </w:rPr>
        <w:t>承包内容：</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1、撤并前金庭镇行政区域范围</w:t>
      </w:r>
      <w:r>
        <w:rPr>
          <w:rFonts w:hint="eastAsia" w:ascii="Times New Roman" w:hAnsi="Times New Roman" w:cs="Times New Roman"/>
          <w:sz w:val="24"/>
          <w:highlight w:val="none"/>
        </w:rPr>
        <w:t>：</w:t>
      </w:r>
      <w:r>
        <w:rPr>
          <w:rFonts w:hint="eastAsia" w:ascii="Times New Roman" w:hAnsi="Times New Roman" w:cs="Times New Roman"/>
          <w:sz w:val="24"/>
          <w:highlight w:val="none"/>
          <w:lang w:val="en-US" w:eastAsia="zh-CN"/>
        </w:rPr>
        <w:t>8个行政村生活垃圾上门收集、分类清运、大件垃圾清理、终端运行、再生资源回收站点管理。</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sz w:val="24"/>
          <w:highlight w:val="none"/>
        </w:rPr>
      </w:pPr>
      <w:r>
        <w:rPr>
          <w:rFonts w:hint="eastAsia"/>
          <w:sz w:val="24"/>
          <w:highlight w:val="none"/>
        </w:rPr>
        <w:t>2. 道路：</w:t>
      </w:r>
      <w:r>
        <w:rPr>
          <w:rFonts w:hint="eastAsia" w:ascii="Times New Roman" w:hAnsi="Times New Roman" w:cs="Times New Roman"/>
          <w:sz w:val="24"/>
          <w:highlight w:val="none"/>
          <w:lang w:val="en-US" w:eastAsia="zh-CN"/>
        </w:rPr>
        <w:t>嵊张线局部地段保洁</w:t>
      </w:r>
      <w:r>
        <w:rPr>
          <w:rFonts w:hint="eastAsia"/>
          <w:sz w:val="24"/>
          <w:highlight w:val="none"/>
        </w:rPr>
        <w:t>及垃圾清运。</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336" w:lineRule="auto"/>
        <w:jc w:val="left"/>
        <w:textAlignment w:val="auto"/>
        <w:rPr>
          <w:rFonts w:hint="eastAsia"/>
          <w:sz w:val="24"/>
          <w:lang w:val="en-US" w:eastAsia="zh-CN"/>
        </w:rPr>
      </w:pPr>
      <w:r>
        <w:rPr>
          <w:rFonts w:hint="eastAsia" w:ascii="宋体" w:hAnsi="宋体"/>
          <w:szCs w:val="24"/>
        </w:rPr>
        <w:t>承包作业质量标准</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jc w:val="left"/>
        <w:textAlignment w:val="auto"/>
        <w:rPr>
          <w:rFonts w:hint="eastAsia"/>
          <w:sz w:val="24"/>
          <w:lang w:val="en-US" w:eastAsia="zh-CN"/>
        </w:rPr>
      </w:pPr>
      <w:r>
        <w:rPr>
          <w:rFonts w:hint="eastAsia" w:ascii="Times New Roman" w:hAnsi="Times New Roman" w:cs="Times New Roman"/>
          <w:sz w:val="24"/>
        </w:rPr>
        <w:t>（一）</w:t>
      </w:r>
      <w:r>
        <w:rPr>
          <w:rFonts w:hint="eastAsia"/>
          <w:sz w:val="24"/>
          <w:lang w:val="en-US" w:eastAsia="zh-CN"/>
        </w:rPr>
        <w:t>8个行政村生活垃圾上门收集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1垃圾分类宣传作业要求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按浙江省垃圾分类要求垃圾分为可回收物、易腐垃圾、有害垃圾和其他垃圾。项目管理人员、上门收集人员等配合、协助政府开展垃圾分类宣传工作，上门派发垃圾分类宣传手册、垃圾分类指导书，指导村民如何进行垃圾分类投放，逐步帮助村民养成垃圾分类投放的好习惯，提高垃圾分类投放的准确性，促进垃圾分类收集、清运工作的高效运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2垃圾实地分类作业要求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首先，由村民按照易腐垃圾和其他垃圾“两分法”进行垃圾分类投放，对分类不准确的村民要及时进行劝导和指导；其次，上门收集人员在上门收集垃圾时，及时将投放不准确的垃圾进行二次分拣，实现垃圾就地准确分类投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3垃圾分类转运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上门收集人员按照8 小时工作制进行作业，将垃圾收集至村集置点，做到至少早晚两次上门收集，动态巡回收集。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sz w:val="24"/>
          <w:lang w:val="en-US" w:eastAsia="zh-CN"/>
        </w:rPr>
      </w:pPr>
      <w:r>
        <w:rPr>
          <w:rFonts w:hint="eastAsia" w:ascii="Times New Roman" w:hAnsi="Times New Roman" w:cs="Times New Roman"/>
          <w:sz w:val="24"/>
          <w:lang w:eastAsia="zh-CN"/>
        </w:rPr>
        <w:t>（二）分类清运、</w:t>
      </w:r>
      <w:r>
        <w:rPr>
          <w:rFonts w:hint="eastAsia"/>
          <w:sz w:val="24"/>
          <w:lang w:val="en-US" w:eastAsia="zh-CN"/>
        </w:rPr>
        <w:t>大件垃圾清理、终端运行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1垃圾收集设施内生活垃圾做到日产日清。对于各村垃圾收集点的垃圾要按照要求严格落实分类清运，对未正确分类的应当就地二次分拣后再清运。其中易腐和其他垃圾按照要求分类清运至嵊州市垃圾填埋场或垃圾处置终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2可回收物和有害垃圾的分类和清运，要遵循城市环境保护主管部门的规定。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2.3</w:t>
      </w:r>
      <w:r>
        <w:rPr>
          <w:rFonts w:hint="eastAsia" w:ascii="Times New Roman" w:hAnsi="Times New Roman" w:cs="Times New Roman"/>
          <w:sz w:val="24"/>
        </w:rPr>
        <w:t>建筑垃圾、大件垃圾采用单独密封车辆统一清运至指定的堆放场地，或运到指定的专门终端处理中心。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4垃圾的收集、清运车辆应为专业环卫生产厂家生产且符合嵊州市环卫主管部门明确的相关标准。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2.5</w:t>
      </w:r>
      <w:r>
        <w:rPr>
          <w:rFonts w:hint="eastAsia" w:ascii="Times New Roman" w:hAnsi="Times New Roman" w:cs="Times New Roman"/>
          <w:sz w:val="24"/>
        </w:rPr>
        <w:t>垃圾运输过程中做到密闭，无抛洒、吊挂和污水滴漏，运输车辆作业后及时清先，干净停放。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2.6</w:t>
      </w:r>
      <w:r>
        <w:rPr>
          <w:rFonts w:hint="eastAsia" w:ascii="Times New Roman" w:hAnsi="Times New Roman" w:cs="Times New Roman"/>
          <w:sz w:val="24"/>
        </w:rPr>
        <w:t>生活垃圾统一</w:t>
      </w:r>
      <w:r>
        <w:rPr>
          <w:rFonts w:hint="eastAsia" w:cs="Times New Roman"/>
          <w:sz w:val="24"/>
          <w:lang w:eastAsia="zh-CN"/>
        </w:rPr>
        <w:t>进入终端</w:t>
      </w:r>
      <w:r>
        <w:rPr>
          <w:rFonts w:hint="eastAsia" w:ascii="Times New Roman" w:hAnsi="Times New Roman" w:cs="Times New Roman"/>
          <w:sz w:val="24"/>
        </w:rPr>
        <w:t>实行无害化处理，禁止自行简易填埋、焚烧，禁止工业垃圾、建筑垃圾等混入生活垃圾处置场所。</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（三）再生资源回收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3.1再生资源包括旧金属、报废电子产品、报废机电设备及其零部件、废造纸原料、废化工原料、农药包装、废玻璃等。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3.2再生资源的收集、储存运输处理等全过程应当遵守国家污染防治标准、技术政策和技术规范。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（四）清扫保洁作业规范执行要求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4.1范围及内容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嵊张线局部地段（后山-金庭观</w:t>
      </w:r>
      <w:r>
        <w:rPr>
          <w:rFonts w:hint="eastAsia" w:cs="Times New Roman"/>
          <w:sz w:val="24"/>
          <w:lang w:val="en-US" w:eastAsia="zh-CN"/>
        </w:rPr>
        <w:t>8.6</w:t>
      </w:r>
      <w:r>
        <w:rPr>
          <w:rFonts w:hint="eastAsia" w:ascii="Times New Roman" w:hAnsi="Times New Roman" w:cs="Times New Roman"/>
          <w:sz w:val="24"/>
          <w:lang w:val="en-US" w:eastAsia="zh-CN"/>
        </w:rPr>
        <w:t>公里，下任三叉路口-金兰村</w:t>
      </w:r>
      <w:r>
        <w:rPr>
          <w:rFonts w:hint="eastAsia" w:cs="Times New Roman"/>
          <w:sz w:val="24"/>
          <w:lang w:val="en-US" w:eastAsia="zh-CN"/>
        </w:rPr>
        <w:t>1.6</w:t>
      </w:r>
      <w:r>
        <w:rPr>
          <w:rFonts w:hint="eastAsia" w:ascii="Times New Roman" w:hAnsi="Times New Roman" w:cs="Times New Roman"/>
          <w:sz w:val="24"/>
          <w:lang w:val="en-US" w:eastAsia="zh-CN"/>
        </w:rPr>
        <w:t>公里）</w:t>
      </w:r>
      <w:r>
        <w:rPr>
          <w:rFonts w:hint="eastAsia" w:ascii="Times New Roman" w:hAnsi="Times New Roman" w:cs="Times New Roman"/>
          <w:sz w:val="24"/>
        </w:rPr>
        <w:t>道路</w:t>
      </w:r>
      <w:r>
        <w:rPr>
          <w:rFonts w:hint="eastAsia" w:ascii="Times New Roman" w:hAnsi="Times New Roman" w:cs="Times New Roman"/>
          <w:sz w:val="24"/>
          <w:lang w:eastAsia="zh-CN"/>
        </w:rPr>
        <w:t>路肩、</w:t>
      </w:r>
      <w:r>
        <w:rPr>
          <w:rFonts w:hint="eastAsia" w:cs="Times New Roman"/>
          <w:sz w:val="24"/>
          <w:lang w:eastAsia="zh-CN"/>
        </w:rPr>
        <w:t>人行道、</w:t>
      </w:r>
      <w:r>
        <w:rPr>
          <w:rFonts w:hint="eastAsia" w:ascii="Times New Roman" w:hAnsi="Times New Roman" w:cs="Times New Roman"/>
          <w:sz w:val="24"/>
          <w:lang w:eastAsia="zh-CN"/>
        </w:rPr>
        <w:t>绿化带</w:t>
      </w:r>
      <w:r>
        <w:rPr>
          <w:rFonts w:hint="eastAsia" w:ascii="Times New Roman" w:hAnsi="Times New Roman" w:cs="Times New Roman"/>
          <w:sz w:val="24"/>
        </w:rPr>
        <w:t>清扫保洁</w:t>
      </w:r>
      <w:r>
        <w:rPr>
          <w:rFonts w:hint="eastAsia" w:ascii="Times New Roman" w:hAnsi="Times New Roman" w:cs="Times New Roman"/>
          <w:sz w:val="24"/>
          <w:lang w:eastAsia="zh-CN"/>
        </w:rPr>
        <w:t>、</w:t>
      </w:r>
      <w:r>
        <w:rPr>
          <w:rFonts w:hint="eastAsia" w:ascii="Times New Roman" w:hAnsi="Times New Roman" w:cs="Times New Roman"/>
          <w:sz w:val="24"/>
        </w:rPr>
        <w:t>污目广告清理</w:t>
      </w:r>
      <w:r>
        <w:rPr>
          <w:rFonts w:hint="eastAsia"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4.2</w:t>
      </w:r>
      <w:r>
        <w:rPr>
          <w:rFonts w:hint="eastAsia" w:ascii="Times New Roman" w:hAnsi="Times New Roman" w:cs="Times New Roman"/>
          <w:sz w:val="24"/>
        </w:rPr>
        <w:t>时间要求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8小时保洁：5月-10月：上午7:00-11:00，下午13:30-17:30；11月-4月：上午7:30-11:30，下午13:00-17:00。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4.</w:t>
      </w:r>
      <w:r>
        <w:rPr>
          <w:rFonts w:hint="eastAsia" w:ascii="Times New Roman" w:hAnsi="Times New Roman" w:cs="Times New Roman"/>
          <w:sz w:val="24"/>
          <w:lang w:val="en-US" w:eastAsia="zh-CN"/>
        </w:rPr>
        <w:t>3</w:t>
      </w:r>
      <w:r>
        <w:rPr>
          <w:rFonts w:hint="eastAsia" w:ascii="Times New Roman" w:hAnsi="Times New Roman" w:cs="Times New Roman"/>
          <w:sz w:val="24"/>
        </w:rPr>
        <w:t>道路</w:t>
      </w:r>
      <w:r>
        <w:rPr>
          <w:rFonts w:hint="eastAsia" w:cs="Times New Roman"/>
          <w:sz w:val="24"/>
          <w:lang w:eastAsia="zh-CN"/>
        </w:rPr>
        <w:t>路肩、人行道、绿化带</w:t>
      </w:r>
      <w:r>
        <w:rPr>
          <w:rFonts w:hint="eastAsia" w:ascii="Times New Roman" w:hAnsi="Times New Roman" w:cs="Times New Roman"/>
          <w:sz w:val="24"/>
        </w:rPr>
        <w:t>清扫保洁作业标准</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质量标准：可视范围内无暴露垃圾、无白色污染、无卫生死角；垃圾房（桶）及周边整洁，无污水、异味。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eastAsia" w:ascii="Times New Roman" w:hAnsi="Times New Roman" w:cs="Times New Roman"/>
          <w:sz w:val="24"/>
        </w:rPr>
        <w:t>人工清扫频率：保洁道路每日普扫2次，普扫完成后实行不间断巡回保洁。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eastAsia" w:ascii="Times New Roman" w:hAnsi="Times New Roman" w:cs="Times New Roman"/>
          <w:sz w:val="24"/>
        </w:rPr>
        <w:t>垃圾必须分类入桶，随时清理垃圾桶周边的杂物，保证垃圾桶干净整洁。对垃圾桶的破损要及时上报。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eastAsia" w:ascii="Times New Roman" w:hAnsi="Times New Roman" w:cs="Times New Roman"/>
          <w:sz w:val="24"/>
        </w:rPr>
        <w:t>对道路沟边下的杂物、脏物、砖堆、土堆等堆放废物进行清理、清运处理。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w:t>
      </w:r>
      <w:r>
        <w:rPr>
          <w:rFonts w:hint="eastAsia" w:ascii="Times New Roman" w:hAnsi="Times New Roman" w:cs="Times New Roman"/>
          <w:sz w:val="24"/>
        </w:rPr>
        <w:t>节假日，特别是重大节日、黄金周要积极应付，启动应急预案，调足力量，缩短路段，无条件增加保洁人数，延长作业时间，确保高质量的卫生环境，确保游客满意，确保广大群众满意，圆满完成上级的任务，达标达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（6）</w:t>
      </w:r>
      <w:r>
        <w:rPr>
          <w:rFonts w:hint="eastAsia" w:ascii="Times New Roman" w:hAnsi="Times New Roman" w:cs="Times New Roman"/>
          <w:sz w:val="24"/>
        </w:rPr>
        <w:t>晴天必须保证一天两次的洒水压尘。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cs="Times New Roman"/>
          <w:sz w:val="24"/>
          <w:lang w:val="en-US" w:eastAsia="zh-CN"/>
        </w:rPr>
        <w:t>4</w:t>
      </w:r>
      <w:r>
        <w:rPr>
          <w:rFonts w:hint="eastAsia" w:ascii="Times New Roman" w:hAnsi="Times New Roman" w:cs="Times New Roman"/>
          <w:sz w:val="24"/>
        </w:rPr>
        <w:t>污目广告清理作业标准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eastAsia" w:ascii="Times New Roman" w:hAnsi="Times New Roman" w:cs="Times New Roman"/>
          <w:sz w:val="24"/>
        </w:rPr>
        <w:t>作业区域内的墙壁上、电线杆、灯箱广告、</w:t>
      </w:r>
      <w:r>
        <w:rPr>
          <w:rFonts w:hint="eastAsia" w:ascii="Times New Roman" w:hAnsi="Times New Roman" w:cs="Times New Roman"/>
          <w:sz w:val="24"/>
          <w:lang w:eastAsia="zh-CN"/>
        </w:rPr>
        <w:t>过期横幅、</w:t>
      </w:r>
      <w:r>
        <w:rPr>
          <w:rFonts w:hint="eastAsia" w:ascii="Times New Roman" w:hAnsi="Times New Roman" w:cs="Times New Roman"/>
          <w:sz w:val="24"/>
        </w:rPr>
        <w:t>公交站台等处有乱张贴、乱涂画的及时清除。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eastAsia" w:ascii="Times New Roman" w:hAnsi="Times New Roman" w:cs="Times New Roman"/>
          <w:sz w:val="24"/>
        </w:rPr>
        <w:t>对待特殊性大面积新出现的小广告在24小时内清除；对张贴式的户外小广告清理后不遗留明显痕迹。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eastAsia" w:ascii="Times New Roman" w:hAnsi="Times New Roman" w:cs="Times New Roman"/>
          <w:sz w:val="24"/>
        </w:rPr>
        <w:t>采用涂料进行粉刷覆盖的户外小广告，按照“色差一致、形状统一、干净整洁、协调美观”的要求，使用相近颜色进行复原。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eastAsia" w:ascii="Times New Roman" w:hAnsi="Times New Roman" w:cs="Times New Roman"/>
          <w:sz w:val="24"/>
        </w:rPr>
        <w:t>每周不少于一次清理公共信息张贴栏，保持单位标识清晰。</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rPr>
      </w:pPr>
      <w:r>
        <w:rPr>
          <w:rFonts w:hint="eastAsia" w:cs="Times New Roman"/>
          <w:sz w:val="24"/>
          <w:lang w:eastAsia="zh-CN"/>
        </w:rPr>
        <w:t>（五）</w:t>
      </w:r>
      <w:r>
        <w:rPr>
          <w:rFonts w:hint="eastAsia" w:ascii="Times New Roman" w:hAnsi="Times New Roman" w:cs="Times New Roman"/>
          <w:sz w:val="24"/>
        </w:rPr>
        <w:t>垃圾桶、果壳箱、花箱等清理作业标准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5.1</w:t>
      </w:r>
      <w:r>
        <w:rPr>
          <w:rFonts w:hint="eastAsia" w:ascii="Times New Roman" w:hAnsi="Times New Roman" w:cs="Times New Roman"/>
          <w:sz w:val="24"/>
        </w:rPr>
        <w:t>镇区垃圾桶做到天天清洗、及时清洗，各行政村垃圾桶一周至少清洗一次。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5.2</w:t>
      </w:r>
      <w:r>
        <w:rPr>
          <w:rFonts w:hint="eastAsia" w:ascii="Times New Roman" w:hAnsi="Times New Roman" w:cs="Times New Roman"/>
          <w:sz w:val="24"/>
        </w:rPr>
        <w:t>做到及时清理果壳箱，无满溢、无残存垃圾与污水。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5.3</w:t>
      </w:r>
      <w:r>
        <w:rPr>
          <w:rFonts w:hint="eastAsia" w:ascii="Times New Roman" w:hAnsi="Times New Roman" w:cs="Times New Roman"/>
          <w:sz w:val="24"/>
        </w:rPr>
        <w:t>果壳箱每天清洗次数不少于2次，保持箱体及周边环境干净整洁。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5.4、</w:t>
      </w:r>
      <w:r>
        <w:rPr>
          <w:rFonts w:hint="eastAsia" w:ascii="Times New Roman" w:hAnsi="Times New Roman" w:cs="Times New Roman"/>
          <w:sz w:val="24"/>
        </w:rPr>
        <w:t>及时清理灰尘和污迹，保持花箱表面洁净。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5.5、</w:t>
      </w:r>
      <w:r>
        <w:rPr>
          <w:rFonts w:hint="eastAsia" w:ascii="Times New Roman" w:hAnsi="Times New Roman" w:cs="Times New Roman"/>
          <w:sz w:val="24"/>
        </w:rPr>
        <w:t>及时清理枯花枯草，保持花箱美观。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sz w:val="24"/>
        </w:rPr>
      </w:pPr>
      <w:r>
        <w:rPr>
          <w:rFonts w:hint="eastAsia" w:ascii="Times New Roman" w:hAnsi="Times New Roman" w:cs="Times New Roman"/>
          <w:sz w:val="24"/>
        </w:rPr>
        <w:t>（</w:t>
      </w:r>
      <w:r>
        <w:rPr>
          <w:rFonts w:hint="eastAsia" w:cs="Times New Roman"/>
          <w:sz w:val="24"/>
          <w:lang w:eastAsia="zh-CN"/>
        </w:rPr>
        <w:t>六</w:t>
      </w:r>
      <w:r>
        <w:rPr>
          <w:rFonts w:hint="eastAsia" w:ascii="Times New Roman" w:hAnsi="Times New Roman" w:cs="Times New Roman"/>
          <w:sz w:val="24"/>
        </w:rPr>
        <w:t>）其他相关作业要求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.1集镇全面实施“四乱”整治劝导，联合村开展环境卫生宣传工作。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.2建筑垃圾、装潢垃圾、大件垃圾（含破旧家具、农作物秸秆等）、渣土清运等非生活垃圾清运处理费用及道路除雪（台风暴雨）等。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3安全劳动纪律执行要求：按规定人数设置村庄保洁及收集员、清洗人员等，不得一人多岗，工作时间内按时到岗，不得离岗、闲岗，不得捡拾垃圾。按规定着装，带好、备足工具。保洁作业车靠边停放。清扫保洁员上岗须统一着装，佩戴上岗证，作业时必须穿安全反光黄背心和戴反光帽，对发现的问题要及时整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.4公共监督处理情况：（含市长热线、电话投诉、信访、数字城管、领导交办等）处理在规定的期限内完成，无有责投诉事件发生。市级以上（含市级）检查不失责任分。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5遇有重大活动或突发事件，及时组织力量做好清扫保洁、清运等保障工作，并视情况及时启动城市管理保障应急机制，人员必须及时到位（需要集中时的具体位置另行通知），并根据应急命令决定早到和离岗，或使用必须机械设备。中标供应商须无条件无偿完成相关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.6根据项目实际情况，中标供应商应与前任项目运行单位做好相关交接维稳工作。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cs="Times New Roman"/>
          <w:sz w:val="24"/>
          <w:lang w:val="en-US" w:eastAsia="zh-CN"/>
        </w:rPr>
        <w:t>6</w:t>
      </w:r>
      <w:r>
        <w:rPr>
          <w:rFonts w:hint="eastAsia" w:ascii="Times New Roman" w:hAnsi="Times New Roman" w:cs="Times New Roman"/>
          <w:sz w:val="24"/>
        </w:rPr>
        <w:t>.7垃圾清运投诉（含市长热线、电话投诉、信访、领导交办等）处理在规定的期限内完成，无有责投诉事件发生。市级以上（含市级）检查不失责任分。（六）考核分值、奖惩条款及合同终止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imes New Roman" w:hAnsi="Times New Roman" w:cs="Times New Roman"/>
          <w:sz w:val="24"/>
        </w:rPr>
      </w:pPr>
      <w:r>
        <w:rPr>
          <w:rFonts w:hint="eastAsia" w:ascii="Times New Roman" w:hAnsi="Times New Roman" w:cs="Times New Roman"/>
          <w:b/>
          <w:bCs/>
          <w:sz w:val="24"/>
          <w:lang w:eastAsia="zh-CN"/>
        </w:rPr>
        <w:t>三、</w:t>
      </w:r>
      <w:r>
        <w:rPr>
          <w:rFonts w:hint="eastAsia" w:ascii="Times New Roman" w:hAnsi="Times New Roman" w:cs="Times New Roman"/>
          <w:b/>
          <w:bCs/>
          <w:sz w:val="24"/>
        </w:rPr>
        <w:t>考核分值、奖惩条款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3.1</w:t>
      </w:r>
      <w:r>
        <w:rPr>
          <w:rFonts w:hint="eastAsia" w:ascii="Times New Roman" w:hAnsi="Times New Roman" w:cs="Times New Roman"/>
          <w:sz w:val="24"/>
        </w:rPr>
        <w:t>考核采取扣分制，扣分标准按照《嵊州市</w:t>
      </w:r>
      <w:r>
        <w:rPr>
          <w:rFonts w:hint="eastAsia" w:ascii="Times New Roman" w:hAnsi="Times New Roman" w:cs="Times New Roman"/>
          <w:sz w:val="24"/>
          <w:lang w:eastAsia="zh-CN"/>
        </w:rPr>
        <w:t>金庭</w:t>
      </w:r>
      <w:r>
        <w:rPr>
          <w:rFonts w:hint="eastAsia" w:ascii="Times New Roman" w:hAnsi="Times New Roman" w:cs="Times New Roman"/>
          <w:sz w:val="24"/>
        </w:rPr>
        <w:t>镇环卫保洁市场化运作质量标准（试行）》《嵊州市</w:t>
      </w:r>
      <w:r>
        <w:rPr>
          <w:rFonts w:hint="eastAsia" w:ascii="Times New Roman" w:hAnsi="Times New Roman" w:cs="Times New Roman"/>
          <w:sz w:val="24"/>
          <w:lang w:eastAsia="zh-CN"/>
        </w:rPr>
        <w:t>金庭</w:t>
      </w:r>
      <w:r>
        <w:rPr>
          <w:rFonts w:hint="eastAsia" w:ascii="Times New Roman" w:hAnsi="Times New Roman" w:cs="Times New Roman"/>
          <w:sz w:val="24"/>
        </w:rPr>
        <w:t>镇环卫保洁市场化运作管理考核办法（试行）》等文件执行及本标书规定的条款执行。</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 w:val="24"/>
        </w:rPr>
      </w:pPr>
      <w:r>
        <w:rPr>
          <w:rFonts w:hint="eastAsia" w:ascii="Times New Roman" w:hAnsi="Times New Roman" w:cs="Times New Roman"/>
          <w:sz w:val="24"/>
          <w:lang w:val="en-US" w:eastAsia="zh-CN"/>
        </w:rPr>
        <w:t>3.2</w:t>
      </w:r>
      <w:r>
        <w:rPr>
          <w:rFonts w:hint="eastAsia" w:ascii="Times New Roman" w:hAnsi="Times New Roman" w:cs="Times New Roman"/>
          <w:sz w:val="24"/>
        </w:rPr>
        <w:t>根据考核情况按比例扣罚承包供应商月度保洁经费。其中</w:t>
      </w:r>
      <w:r>
        <w:rPr>
          <w:rFonts w:hint="eastAsia" w:cs="Times New Roman"/>
          <w:sz w:val="24"/>
          <w:lang w:val="en-US" w:eastAsia="zh-CN"/>
        </w:rPr>
        <w:t>170</w:t>
      </w:r>
      <w:r>
        <w:rPr>
          <w:rFonts w:hint="eastAsia" w:ascii="Times New Roman" w:hAnsi="Times New Roman" w:cs="Times New Roman"/>
          <w:sz w:val="24"/>
        </w:rPr>
        <w:t>分及以上视为优秀不作扣罚；</w:t>
      </w:r>
      <w:r>
        <w:rPr>
          <w:rFonts w:hint="eastAsia" w:cs="Times New Roman"/>
          <w:sz w:val="24"/>
          <w:lang w:val="en-US" w:eastAsia="zh-CN"/>
        </w:rPr>
        <w:t>150</w:t>
      </w:r>
      <w:r>
        <w:rPr>
          <w:rFonts w:hint="eastAsia" w:ascii="Times New Roman" w:hAnsi="Times New Roman" w:cs="Times New Roman"/>
          <w:sz w:val="24"/>
        </w:rPr>
        <w:t>分（含）-</w:t>
      </w:r>
      <w:r>
        <w:rPr>
          <w:rFonts w:hint="eastAsia" w:cs="Times New Roman"/>
          <w:sz w:val="24"/>
          <w:lang w:val="en-US" w:eastAsia="zh-CN"/>
        </w:rPr>
        <w:t>170</w:t>
      </w:r>
      <w:r>
        <w:rPr>
          <w:rFonts w:hint="eastAsia" w:ascii="Times New Roman" w:hAnsi="Times New Roman" w:cs="Times New Roman"/>
          <w:sz w:val="24"/>
        </w:rPr>
        <w:t>分视为良好，根据考核情况扣除当月经费的5-10%；</w:t>
      </w:r>
      <w:r>
        <w:rPr>
          <w:rFonts w:hint="eastAsia" w:cs="Times New Roman"/>
          <w:sz w:val="24"/>
          <w:lang w:val="en-US" w:eastAsia="zh-CN"/>
        </w:rPr>
        <w:t>130</w:t>
      </w:r>
      <w:r>
        <w:rPr>
          <w:rFonts w:hint="eastAsia" w:ascii="Times New Roman" w:hAnsi="Times New Roman" w:cs="Times New Roman"/>
          <w:sz w:val="24"/>
        </w:rPr>
        <w:t>分（含）-</w:t>
      </w:r>
      <w:r>
        <w:rPr>
          <w:rFonts w:hint="eastAsia" w:cs="Times New Roman"/>
          <w:sz w:val="24"/>
          <w:lang w:val="en-US" w:eastAsia="zh-CN"/>
        </w:rPr>
        <w:t>150</w:t>
      </w:r>
      <w:r>
        <w:rPr>
          <w:rFonts w:hint="eastAsia" w:ascii="Times New Roman" w:hAnsi="Times New Roman" w:cs="Times New Roman"/>
          <w:sz w:val="24"/>
        </w:rPr>
        <w:t>分视为差，根据考核情况扣除当月经费的10%-20%；</w:t>
      </w:r>
      <w:r>
        <w:rPr>
          <w:rFonts w:hint="eastAsia" w:cs="Times New Roman"/>
          <w:sz w:val="24"/>
          <w:lang w:val="en-US" w:eastAsia="zh-CN"/>
        </w:rPr>
        <w:t>130</w:t>
      </w:r>
      <w:r>
        <w:rPr>
          <w:rFonts w:hint="eastAsia" w:ascii="Times New Roman" w:hAnsi="Times New Roman" w:cs="Times New Roman"/>
          <w:sz w:val="24"/>
        </w:rPr>
        <w:t>分以下的视为不合格，根据考核情况扣除当月经费的30%-40%；同时考核分低于</w:t>
      </w:r>
      <w:r>
        <w:rPr>
          <w:rFonts w:hint="eastAsia" w:cs="Times New Roman"/>
          <w:sz w:val="24"/>
          <w:lang w:val="en-US" w:eastAsia="zh-CN"/>
        </w:rPr>
        <w:t>120</w:t>
      </w:r>
      <w:r>
        <w:rPr>
          <w:rFonts w:hint="eastAsia" w:ascii="Times New Roman" w:hAnsi="Times New Roman" w:cs="Times New Roman"/>
          <w:sz w:val="24"/>
        </w:rPr>
        <w:t>分的予以告诫处理，一年内连续2次或累计3次低于</w:t>
      </w:r>
      <w:r>
        <w:rPr>
          <w:rFonts w:hint="eastAsia" w:cs="Times New Roman"/>
          <w:sz w:val="24"/>
          <w:lang w:val="en-US" w:eastAsia="zh-CN"/>
        </w:rPr>
        <w:t>120</w:t>
      </w:r>
      <w:r>
        <w:rPr>
          <w:rFonts w:hint="eastAsia" w:ascii="Times New Roman" w:hAnsi="Times New Roman" w:cs="Times New Roman"/>
          <w:sz w:val="24"/>
        </w:rPr>
        <w:t>分的，采购人有权单方终止合同（包括存在其他重大问题，不宜继续履行合同的）。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3.3</w:t>
      </w:r>
      <w:r>
        <w:rPr>
          <w:rFonts w:hint="eastAsia" w:ascii="Times New Roman" w:hAnsi="Times New Roman" w:cs="Times New Roman"/>
          <w:sz w:val="24"/>
        </w:rPr>
        <w:t>奖惩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eastAsia="zh-CN"/>
        </w:rPr>
        <w:t>金庭</w:t>
      </w:r>
      <w:r>
        <w:rPr>
          <w:rFonts w:hint="eastAsia" w:ascii="Times New Roman" w:hAnsi="Times New Roman" w:cs="Times New Roman"/>
          <w:sz w:val="24"/>
        </w:rPr>
        <w:t>镇当月环境卫生情况在</w:t>
      </w:r>
      <w:r>
        <w:rPr>
          <w:rFonts w:hint="eastAsia" w:cs="Times New Roman"/>
          <w:sz w:val="24"/>
          <w:lang w:eastAsia="zh-CN"/>
        </w:rPr>
        <w:t>嵊州</w:t>
      </w:r>
      <w:r>
        <w:rPr>
          <w:rFonts w:hint="eastAsia" w:ascii="Times New Roman" w:hAnsi="Times New Roman" w:cs="Times New Roman"/>
          <w:sz w:val="24"/>
        </w:rPr>
        <w:t>市农村</w:t>
      </w:r>
      <w:r>
        <w:rPr>
          <w:rFonts w:hint="eastAsia" w:cs="Times New Roman"/>
          <w:sz w:val="24"/>
          <w:lang w:eastAsia="zh-CN"/>
        </w:rPr>
        <w:t>人居</w:t>
      </w:r>
      <w:r>
        <w:rPr>
          <w:rFonts w:hint="eastAsia" w:ascii="Times New Roman" w:hAnsi="Times New Roman" w:cs="Times New Roman"/>
          <w:sz w:val="24"/>
        </w:rPr>
        <w:t>环境月度</w:t>
      </w:r>
      <w:r>
        <w:rPr>
          <w:rFonts w:hint="eastAsia" w:cs="Times New Roman"/>
          <w:sz w:val="24"/>
          <w:lang w:eastAsia="zh-CN"/>
        </w:rPr>
        <w:t>测评</w:t>
      </w:r>
      <w:r>
        <w:rPr>
          <w:rFonts w:hint="eastAsia" w:ascii="Times New Roman" w:hAnsi="Times New Roman" w:cs="Times New Roman"/>
          <w:sz w:val="24"/>
        </w:rPr>
        <w:t>考核中排名</w:t>
      </w:r>
      <w:r>
        <w:rPr>
          <w:rFonts w:hint="eastAsia" w:cs="Times New Roman"/>
          <w:sz w:val="24"/>
          <w:lang w:eastAsia="zh-CN"/>
        </w:rPr>
        <w:t>前二位的奖励</w:t>
      </w:r>
      <w:r>
        <w:rPr>
          <w:rFonts w:hint="eastAsia" w:cs="Times New Roman"/>
          <w:sz w:val="24"/>
          <w:lang w:val="en-US" w:eastAsia="zh-CN"/>
        </w:rPr>
        <w:t>5000元；</w:t>
      </w:r>
      <w:r>
        <w:rPr>
          <w:rFonts w:hint="eastAsia" w:cs="Times New Roman"/>
          <w:sz w:val="24"/>
          <w:lang w:eastAsia="zh-CN"/>
        </w:rPr>
        <w:t>考核中排名为</w:t>
      </w:r>
      <w:r>
        <w:rPr>
          <w:rFonts w:hint="eastAsia" w:ascii="Times New Roman" w:hAnsi="Times New Roman" w:cs="Times New Roman"/>
          <w:sz w:val="24"/>
        </w:rPr>
        <w:t>末位</w:t>
      </w:r>
      <w:r>
        <w:rPr>
          <w:rFonts w:hint="eastAsia" w:cs="Times New Roman"/>
          <w:sz w:val="24"/>
          <w:lang w:eastAsia="zh-CN"/>
        </w:rPr>
        <w:t>的，</w:t>
      </w:r>
      <w:r>
        <w:rPr>
          <w:rFonts w:hint="eastAsia" w:ascii="Times New Roman" w:hAnsi="Times New Roman" w:cs="Times New Roman"/>
          <w:sz w:val="24"/>
        </w:rPr>
        <w:t>扣款承包供应商相应作业经费</w:t>
      </w:r>
      <w:r>
        <w:rPr>
          <w:rFonts w:hint="eastAsia" w:cs="Times New Roman"/>
          <w:sz w:val="24"/>
          <w:lang w:val="en-US" w:eastAsia="zh-CN"/>
        </w:rPr>
        <w:t>2</w:t>
      </w:r>
      <w:r>
        <w:rPr>
          <w:rFonts w:hint="eastAsia" w:ascii="Times New Roman" w:hAnsi="Times New Roman" w:cs="Times New Roman"/>
          <w:sz w:val="24"/>
        </w:rPr>
        <w:t>万元</w:t>
      </w:r>
      <w:r>
        <w:rPr>
          <w:rFonts w:hint="eastAsia" w:cs="Times New Roman"/>
          <w:sz w:val="24"/>
          <w:lang w:eastAsia="zh-CN"/>
        </w:rPr>
        <w:t>；排名倒数第二位的，</w:t>
      </w:r>
      <w:r>
        <w:rPr>
          <w:rFonts w:hint="eastAsia" w:ascii="Times New Roman" w:hAnsi="Times New Roman" w:cs="Times New Roman"/>
          <w:sz w:val="24"/>
        </w:rPr>
        <w:t>扣款承包供应商相应作业经费</w:t>
      </w:r>
      <w:r>
        <w:rPr>
          <w:rFonts w:hint="eastAsia" w:cs="Times New Roman"/>
          <w:sz w:val="24"/>
          <w:lang w:val="en-US" w:eastAsia="zh-CN"/>
        </w:rPr>
        <w:t>1</w:t>
      </w:r>
      <w:r>
        <w:rPr>
          <w:rFonts w:hint="eastAsia" w:ascii="Times New Roman" w:hAnsi="Times New Roman" w:cs="Times New Roman"/>
          <w:sz w:val="24"/>
        </w:rPr>
        <w:t>万元</w:t>
      </w:r>
      <w:r>
        <w:rPr>
          <w:rFonts w:hint="eastAsia"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金庭</w:t>
      </w:r>
      <w:r>
        <w:rPr>
          <w:rFonts w:hint="eastAsia" w:ascii="Times New Roman" w:hAnsi="Times New Roman" w:cs="Times New Roman"/>
          <w:sz w:val="24"/>
        </w:rPr>
        <w:t>镇当</w:t>
      </w:r>
      <w:r>
        <w:rPr>
          <w:rFonts w:hint="eastAsia" w:cs="Times New Roman"/>
          <w:sz w:val="24"/>
          <w:lang w:eastAsia="zh-CN"/>
        </w:rPr>
        <w:t>季</w:t>
      </w:r>
      <w:r>
        <w:rPr>
          <w:rFonts w:hint="eastAsia" w:ascii="Times New Roman" w:hAnsi="Times New Roman" w:cs="Times New Roman"/>
          <w:sz w:val="24"/>
        </w:rPr>
        <w:t>环境卫生情况在</w:t>
      </w:r>
      <w:r>
        <w:rPr>
          <w:rFonts w:hint="eastAsia" w:cs="Times New Roman"/>
          <w:sz w:val="24"/>
          <w:lang w:eastAsia="zh-CN"/>
        </w:rPr>
        <w:t>绍兴</w:t>
      </w:r>
      <w:r>
        <w:rPr>
          <w:rFonts w:hint="eastAsia" w:ascii="Times New Roman" w:hAnsi="Times New Roman" w:cs="Times New Roman"/>
          <w:sz w:val="24"/>
        </w:rPr>
        <w:t>市农村</w:t>
      </w:r>
      <w:r>
        <w:rPr>
          <w:rFonts w:hint="eastAsia" w:cs="Times New Roman"/>
          <w:sz w:val="24"/>
          <w:lang w:eastAsia="zh-CN"/>
        </w:rPr>
        <w:t>人居</w:t>
      </w:r>
      <w:r>
        <w:rPr>
          <w:rFonts w:hint="eastAsia" w:ascii="Times New Roman" w:hAnsi="Times New Roman" w:cs="Times New Roman"/>
          <w:sz w:val="24"/>
        </w:rPr>
        <w:t>环境</w:t>
      </w:r>
      <w:r>
        <w:rPr>
          <w:rFonts w:hint="eastAsia" w:ascii="Times New Roman" w:hAnsi="Times New Roman" w:cs="Times New Roman"/>
          <w:sz w:val="24"/>
          <w:lang w:eastAsia="zh-CN"/>
        </w:rPr>
        <w:t>季</w:t>
      </w:r>
      <w:r>
        <w:rPr>
          <w:rFonts w:hint="eastAsia" w:ascii="Times New Roman" w:hAnsi="Times New Roman" w:cs="Times New Roman"/>
          <w:sz w:val="24"/>
        </w:rPr>
        <w:t>度</w:t>
      </w:r>
      <w:r>
        <w:rPr>
          <w:rFonts w:hint="eastAsia" w:cs="Times New Roman"/>
          <w:sz w:val="24"/>
          <w:lang w:eastAsia="zh-CN"/>
        </w:rPr>
        <w:t>测评</w:t>
      </w:r>
      <w:r>
        <w:rPr>
          <w:rFonts w:hint="eastAsia" w:ascii="Times New Roman" w:hAnsi="Times New Roman" w:cs="Times New Roman"/>
          <w:sz w:val="24"/>
        </w:rPr>
        <w:t>考核中排名</w:t>
      </w:r>
      <w:r>
        <w:rPr>
          <w:rFonts w:hint="eastAsia" w:cs="Times New Roman"/>
          <w:sz w:val="24"/>
          <w:lang w:eastAsia="zh-CN"/>
        </w:rPr>
        <w:t>前五位的奖励</w:t>
      </w:r>
      <w:r>
        <w:rPr>
          <w:rFonts w:hint="eastAsia" w:cs="Times New Roman"/>
          <w:sz w:val="24"/>
          <w:lang w:val="en-US" w:eastAsia="zh-CN"/>
        </w:rPr>
        <w:t>3万</w:t>
      </w:r>
      <w:r>
        <w:rPr>
          <w:rFonts w:hint="eastAsia" w:ascii="Times New Roman" w:hAnsi="Times New Roman" w:cs="Times New Roman"/>
          <w:sz w:val="24"/>
          <w:lang w:val="en-US" w:eastAsia="zh-CN"/>
        </w:rPr>
        <w:t>元；</w:t>
      </w:r>
      <w:r>
        <w:rPr>
          <w:rFonts w:hint="eastAsia" w:ascii="Times New Roman" w:hAnsi="Times New Roman" w:cs="Times New Roman"/>
          <w:sz w:val="24"/>
          <w:lang w:eastAsia="zh-CN"/>
        </w:rPr>
        <w:t>考核中排名为末</w:t>
      </w:r>
      <w:r>
        <w:rPr>
          <w:rFonts w:hint="eastAsia" w:cs="Times New Roman"/>
          <w:sz w:val="24"/>
          <w:lang w:eastAsia="zh-CN"/>
        </w:rPr>
        <w:t>五</w:t>
      </w:r>
      <w:r>
        <w:rPr>
          <w:rFonts w:hint="eastAsia" w:ascii="Times New Roman" w:hAnsi="Times New Roman" w:cs="Times New Roman"/>
          <w:sz w:val="24"/>
          <w:lang w:eastAsia="zh-CN"/>
        </w:rPr>
        <w:t>位的，扣款承包供应商相应作业经费</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金庭镇当月</w:t>
      </w:r>
      <w:r>
        <w:rPr>
          <w:rFonts w:hint="eastAsia" w:cs="Times New Roman"/>
          <w:sz w:val="24"/>
          <w:lang w:eastAsia="zh-CN"/>
        </w:rPr>
        <w:t>垃圾分类</w:t>
      </w:r>
      <w:r>
        <w:rPr>
          <w:rFonts w:hint="eastAsia" w:ascii="Times New Roman" w:hAnsi="Times New Roman" w:cs="Times New Roman"/>
          <w:sz w:val="24"/>
          <w:lang w:eastAsia="zh-CN"/>
        </w:rPr>
        <w:t>情况在嵊州市垃圾分类月度测评考核中排名前二位的奖励</w:t>
      </w:r>
      <w:r>
        <w:rPr>
          <w:rFonts w:hint="eastAsia" w:ascii="Times New Roman" w:hAnsi="Times New Roman" w:cs="Times New Roman"/>
          <w:sz w:val="24"/>
          <w:lang w:val="en-US" w:eastAsia="zh-CN"/>
        </w:rPr>
        <w:t>5000元；</w:t>
      </w:r>
      <w:r>
        <w:rPr>
          <w:rFonts w:hint="eastAsia" w:ascii="Times New Roman" w:hAnsi="Times New Roman" w:cs="Times New Roman"/>
          <w:sz w:val="24"/>
          <w:lang w:eastAsia="zh-CN"/>
        </w:rPr>
        <w:t>考核中排名为末二位的，扣款承包供应商相应作业经费</w:t>
      </w:r>
      <w:r>
        <w:rPr>
          <w:rFonts w:hint="eastAsia" w:ascii="Times New Roman" w:hAnsi="Times New Roman" w:cs="Times New Roman"/>
          <w:sz w:val="24"/>
          <w:lang w:val="en-US" w:eastAsia="zh-CN"/>
        </w:rPr>
        <w:t>5000</w:t>
      </w:r>
      <w:r>
        <w:rPr>
          <w:rFonts w:hint="eastAsia" w:ascii="Times New Roman" w:hAnsi="Times New Roman" w:cs="Times New Roman"/>
          <w:sz w:val="24"/>
          <w:lang w:eastAsia="zh-CN"/>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金庭镇当月</w:t>
      </w:r>
      <w:r>
        <w:rPr>
          <w:rFonts w:hint="eastAsia" w:cs="Times New Roman"/>
          <w:sz w:val="24"/>
          <w:lang w:eastAsia="zh-CN"/>
        </w:rPr>
        <w:t>垃圾分类</w:t>
      </w:r>
      <w:r>
        <w:rPr>
          <w:rFonts w:hint="eastAsia" w:ascii="Times New Roman" w:hAnsi="Times New Roman" w:cs="Times New Roman"/>
          <w:sz w:val="24"/>
          <w:lang w:eastAsia="zh-CN"/>
        </w:rPr>
        <w:t>情况在绍兴市垃圾分类</w:t>
      </w:r>
      <w:r>
        <w:rPr>
          <w:rFonts w:hint="eastAsia" w:cs="Times New Roman"/>
          <w:sz w:val="24"/>
          <w:lang w:eastAsia="zh-CN"/>
        </w:rPr>
        <w:t>季</w:t>
      </w:r>
      <w:r>
        <w:rPr>
          <w:rFonts w:hint="eastAsia" w:ascii="Times New Roman" w:hAnsi="Times New Roman" w:cs="Times New Roman"/>
          <w:sz w:val="24"/>
          <w:lang w:eastAsia="zh-CN"/>
        </w:rPr>
        <w:t>度测评考核中排名前五位的奖励</w:t>
      </w:r>
      <w:r>
        <w:rPr>
          <w:rFonts w:hint="eastAsia" w:ascii="Times New Roman" w:hAnsi="Times New Roman" w:cs="Times New Roman"/>
          <w:sz w:val="24"/>
          <w:lang w:val="en-US" w:eastAsia="zh-CN"/>
        </w:rPr>
        <w:t>1万元；</w:t>
      </w:r>
      <w:r>
        <w:rPr>
          <w:rFonts w:hint="eastAsia" w:ascii="Times New Roman" w:hAnsi="Times New Roman" w:cs="Times New Roman"/>
          <w:sz w:val="24"/>
          <w:lang w:eastAsia="zh-CN"/>
        </w:rPr>
        <w:t>考核中排名为末五位的，扣款承包供应商相应作业经费</w:t>
      </w:r>
      <w:r>
        <w:rPr>
          <w:rFonts w:hint="eastAsia" w:ascii="Times New Roman" w:hAnsi="Times New Roman" w:cs="Times New Roman"/>
          <w:sz w:val="24"/>
          <w:lang w:val="en-US" w:eastAsia="zh-CN"/>
        </w:rPr>
        <w:t>1万</w:t>
      </w:r>
      <w:r>
        <w:rPr>
          <w:rFonts w:hint="eastAsia" w:ascii="Times New Roman" w:hAnsi="Times New Roman" w:cs="Times New Roman"/>
          <w:sz w:val="24"/>
          <w:lang w:eastAsia="zh-CN"/>
        </w:rPr>
        <w:t>元。</w:t>
      </w:r>
    </w:p>
    <w:p>
      <w:pPr>
        <w:pStyle w:val="3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b/>
          <w:bCs/>
          <w:szCs w:val="24"/>
        </w:rPr>
      </w:pPr>
      <w:r>
        <w:rPr>
          <w:rFonts w:hint="eastAsia" w:ascii="宋体" w:hAnsi="宋体"/>
          <w:b/>
          <w:bCs/>
          <w:szCs w:val="24"/>
          <w:lang w:eastAsia="zh-CN"/>
        </w:rPr>
        <w:t>四</w:t>
      </w:r>
      <w:r>
        <w:rPr>
          <w:rFonts w:hint="eastAsia" w:ascii="宋体" w:hAnsi="宋体"/>
          <w:b/>
          <w:bCs/>
          <w:szCs w:val="24"/>
        </w:rPr>
        <w:t>、承包金额和付款方式：</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w:t>
      </w:r>
      <w:r>
        <w:rPr>
          <w:rFonts w:hint="eastAsia" w:ascii="宋体" w:hAnsi="宋体"/>
          <w:szCs w:val="24"/>
        </w:rPr>
        <w:t>、合同承包金额为企业自主报价的中标金额。</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pPr>
      <w:r>
        <w:rPr>
          <w:rFonts w:ascii="宋体" w:hAnsi="宋体"/>
          <w:szCs w:val="24"/>
        </w:rPr>
        <w:t>2</w:t>
      </w:r>
      <w:r>
        <w:rPr>
          <w:rFonts w:hint="eastAsia" w:ascii="宋体" w:hAnsi="宋体"/>
          <w:szCs w:val="24"/>
        </w:rPr>
        <w:t>、承包经费：甲方每年支付乙方承包经费万元，平均每月</w:t>
      </w:r>
      <w:r>
        <w:rPr>
          <w:rFonts w:hint="eastAsia" w:ascii="宋体" w:hAnsi="宋体"/>
          <w:szCs w:val="24"/>
          <w:lang w:val="en-US" w:eastAsia="zh-CN"/>
        </w:rPr>
        <w:t xml:space="preserve">   </w:t>
      </w:r>
      <w:r>
        <w:rPr>
          <w:rFonts w:hint="eastAsia" w:ascii="宋体" w:hAnsi="宋体"/>
          <w:szCs w:val="24"/>
        </w:rPr>
        <w:t>万元。（含承包劳务报酬、节日费、高温冷饮费、劳动保险、作业成本、维修、利润、税收、管理费及不可遇见费用等其它所有费用），甲方不承担上述承包总额外乙方的任何费用。</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3</w:t>
      </w:r>
      <w:r>
        <w:rPr>
          <w:rFonts w:hint="eastAsia" w:ascii="宋体" w:hAnsi="宋体"/>
          <w:szCs w:val="24"/>
        </w:rPr>
        <w:t>、付款方式：</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szCs w:val="24"/>
          <w:lang w:eastAsia="zh-CN"/>
        </w:rPr>
      </w:pPr>
      <w:r>
        <w:rPr>
          <w:rFonts w:ascii="宋体" w:hAnsi="宋体"/>
          <w:szCs w:val="24"/>
        </w:rPr>
        <w:t>3.1</w:t>
      </w:r>
      <w:r>
        <w:rPr>
          <w:rFonts w:hint="eastAsia" w:ascii="宋体" w:hAnsi="宋体"/>
          <w:szCs w:val="24"/>
        </w:rPr>
        <w:t>预付款支付方式：</w:t>
      </w:r>
      <w:r>
        <w:rPr>
          <w:rFonts w:hint="eastAsia" w:ascii="宋体" w:hAnsi="宋体"/>
          <w:szCs w:val="24"/>
          <w:lang w:eastAsia="zh-CN"/>
        </w:rPr>
        <w:t>本项目不支付预付款。</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3.2</w:t>
      </w:r>
      <w:r>
        <w:rPr>
          <w:rFonts w:hint="eastAsia" w:ascii="宋体" w:hAnsi="宋体"/>
          <w:szCs w:val="24"/>
        </w:rPr>
        <w:t>进度款支付方式：甲方分月支付，次月支付上月，在次月底前发放（如遇双休日、节假日顺延）。</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t>4</w:t>
      </w:r>
      <w:r>
        <w:rPr>
          <w:rFonts w:hint="eastAsia"/>
        </w:rPr>
        <w:t>、合同签订执行后由乙方凭实际参保人员保险和车辆保险的所有发票，到</w:t>
      </w:r>
      <w:r>
        <w:rPr>
          <w:rFonts w:hint="eastAsia"/>
          <w:lang w:eastAsia="zh-CN"/>
        </w:rPr>
        <w:t>金庭</w:t>
      </w:r>
      <w:r>
        <w:rPr>
          <w:rFonts w:hint="eastAsia"/>
        </w:rPr>
        <w:t>镇人民政府确</w:t>
      </w:r>
      <w:r>
        <w:rPr>
          <w:rFonts w:hint="eastAsia"/>
          <w:color w:val="auto"/>
        </w:rPr>
        <w:t>认备案</w:t>
      </w:r>
      <w:r>
        <w:rPr>
          <w:rFonts w:hint="eastAsia"/>
        </w:rPr>
        <w:t>。</w:t>
      </w:r>
    </w:p>
    <w:p>
      <w:pPr>
        <w:pStyle w:val="3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b/>
          <w:bCs/>
          <w:szCs w:val="24"/>
        </w:rPr>
      </w:pPr>
      <w:r>
        <w:rPr>
          <w:rFonts w:hint="eastAsia" w:ascii="宋体" w:hAnsi="宋体"/>
          <w:b/>
          <w:bCs/>
          <w:szCs w:val="24"/>
          <w:lang w:eastAsia="zh-CN"/>
        </w:rPr>
        <w:t>五</w:t>
      </w:r>
      <w:r>
        <w:rPr>
          <w:rFonts w:hint="eastAsia" w:ascii="宋体" w:hAnsi="宋体"/>
          <w:b/>
          <w:bCs/>
          <w:szCs w:val="24"/>
        </w:rPr>
        <w:t>、双方职责：</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（一）甲方职责</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w:t>
      </w:r>
      <w:r>
        <w:rPr>
          <w:rFonts w:hint="eastAsia" w:ascii="宋体" w:hAnsi="宋体"/>
          <w:szCs w:val="24"/>
        </w:rPr>
        <w:t>、甲方负责落实乙方垃圾收运的倾倒点。</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2</w:t>
      </w:r>
      <w:r>
        <w:rPr>
          <w:rFonts w:hint="eastAsia" w:ascii="宋体" w:hAnsi="宋体"/>
          <w:szCs w:val="24"/>
        </w:rPr>
        <w:t>、甲方（含上级主管部门）负责做好乙方业务指导工作，对乙方工作情况进行每周不少于五次明、暗不定的检查考核。甲方在缓冲期间要帮助乙方完成新老交接的工作。</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3</w:t>
      </w:r>
      <w:r>
        <w:rPr>
          <w:rFonts w:hint="eastAsia" w:ascii="宋体" w:hAnsi="宋体"/>
          <w:szCs w:val="24"/>
        </w:rPr>
        <w:t>、甲方按照合同规定及时支付给乙方承包费用。</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4</w:t>
      </w:r>
      <w:r>
        <w:rPr>
          <w:rFonts w:hint="eastAsia" w:ascii="宋体" w:hAnsi="宋体"/>
          <w:szCs w:val="24"/>
        </w:rPr>
        <w:t>、听取乙方提出的合理化建议并给予答复。</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5</w:t>
      </w:r>
      <w:r>
        <w:rPr>
          <w:rFonts w:hint="eastAsia" w:ascii="宋体" w:hAnsi="宋体"/>
          <w:szCs w:val="24"/>
        </w:rPr>
        <w:t>、遇重大活动或检查突击任务需要时，甲方应及时通知乙方做好重点保洁清运工作。</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6</w:t>
      </w:r>
      <w:r>
        <w:rPr>
          <w:rFonts w:hint="eastAsia" w:ascii="宋体" w:hAnsi="宋体"/>
          <w:szCs w:val="24"/>
        </w:rPr>
        <w:t>、甲方有权对乙方生产成本部分资金的使用情况进行监督。</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7</w:t>
      </w:r>
      <w:r>
        <w:rPr>
          <w:rFonts w:hint="eastAsia" w:ascii="宋体" w:hAnsi="宋体"/>
          <w:szCs w:val="24"/>
        </w:rPr>
        <w:t>、凡遇环卫重大体制改革或上级指示，需中途停止承包的，甲方有权终止合同（甲方必须以书面形式提前</w:t>
      </w:r>
      <w:r>
        <w:rPr>
          <w:rFonts w:ascii="宋体" w:hAnsi="宋体"/>
          <w:szCs w:val="24"/>
        </w:rPr>
        <w:t>15</w:t>
      </w:r>
      <w:r>
        <w:rPr>
          <w:rFonts w:hint="eastAsia" w:ascii="宋体" w:hAnsi="宋体"/>
          <w:szCs w:val="24"/>
        </w:rPr>
        <w:t>天通知乙方）。</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8</w:t>
      </w:r>
      <w:r>
        <w:rPr>
          <w:rFonts w:hint="eastAsia" w:ascii="宋体" w:hAnsi="宋体"/>
          <w:szCs w:val="24"/>
        </w:rPr>
        <w:t>、乙方承包内容如遇拆建、改作它用、有偿服务范围调整及上级要求任务变动等情况，甲方有权按实调整承包区域、作业方式及承包费用等，乙方必须服从，不得拒绝。</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9</w:t>
      </w:r>
      <w:r>
        <w:rPr>
          <w:rFonts w:hint="eastAsia" w:ascii="宋体" w:hAnsi="宋体"/>
          <w:szCs w:val="24"/>
        </w:rPr>
        <w:t>、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指派他人临时接管乙方的承包项目，甲方亦可自行直接决定立即终止乙方的承包关系，乙方必须赔偿因自已的责任所造成的经济损失。事故处理后是否恢复履行合同由甲方和主管部门决定。</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color w:val="000000"/>
          <w:szCs w:val="24"/>
          <w:u w:val="none"/>
        </w:rPr>
      </w:pPr>
      <w:r>
        <w:rPr>
          <w:rFonts w:ascii="宋体" w:hAnsi="宋体"/>
          <w:szCs w:val="24"/>
        </w:rPr>
        <w:t>10</w:t>
      </w:r>
      <w:r>
        <w:rPr>
          <w:rFonts w:hint="eastAsia" w:ascii="宋体" w:hAnsi="宋体"/>
          <w:szCs w:val="24"/>
        </w:rPr>
        <w:t>、甲方有权协同劳动监察部门对乙方用工情况进行检查，有权要求乙方按招标要求保障作业人员的工资福利待遇。</w:t>
      </w:r>
      <w:r>
        <w:rPr>
          <w:rFonts w:hint="eastAsia" w:ascii="宋体" w:hAnsi="宋体"/>
          <w:color w:val="000000"/>
          <w:szCs w:val="24"/>
          <w:u w:val="none"/>
        </w:rPr>
        <w:t>甲方与乙方的员工之间不存在任何劳动合同关系或者聘用关系，也不承担任何由于乙方未办理员工劳动关系由此而产生的纠纷等责任。</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color w:val="auto"/>
          <w:szCs w:val="24"/>
        </w:rPr>
      </w:pPr>
      <w:r>
        <w:rPr>
          <w:rFonts w:ascii="宋体" w:hAnsi="宋体"/>
          <w:color w:val="auto"/>
          <w:szCs w:val="24"/>
        </w:rPr>
        <w:t>11</w:t>
      </w:r>
      <w:r>
        <w:rPr>
          <w:rFonts w:hint="eastAsia" w:ascii="宋体" w:hAnsi="宋体"/>
          <w:color w:val="auto"/>
          <w:szCs w:val="24"/>
        </w:rPr>
        <w:t>、甲方有权要求乙方调整服务不合格的员工。</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color w:val="auto"/>
          <w:szCs w:val="24"/>
        </w:rPr>
      </w:pPr>
      <w:r>
        <w:rPr>
          <w:rFonts w:ascii="宋体" w:hAnsi="宋体"/>
          <w:color w:val="auto"/>
          <w:szCs w:val="24"/>
        </w:rPr>
        <w:t>12</w:t>
      </w:r>
      <w:r>
        <w:rPr>
          <w:rFonts w:hint="eastAsia" w:ascii="宋体" w:hAnsi="宋体"/>
          <w:color w:val="auto"/>
          <w:szCs w:val="24"/>
        </w:rPr>
        <w:t>、新老业务交接期间，甲方协助指导乙方做好平稳交接工作。</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color w:val="auto"/>
          <w:szCs w:val="24"/>
        </w:rPr>
      </w:pPr>
      <w:r>
        <w:rPr>
          <w:rFonts w:hint="eastAsia" w:ascii="宋体" w:hAnsi="宋体"/>
          <w:color w:val="auto"/>
          <w:szCs w:val="24"/>
        </w:rPr>
        <w:t>（二）乙方职责</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color w:val="auto"/>
          <w:szCs w:val="24"/>
        </w:rPr>
      </w:pPr>
      <w:r>
        <w:rPr>
          <w:rFonts w:ascii="宋体" w:hAnsi="宋体"/>
          <w:color w:val="auto"/>
          <w:szCs w:val="24"/>
        </w:rPr>
        <w:t>1</w:t>
      </w:r>
      <w:r>
        <w:rPr>
          <w:rFonts w:hint="eastAsia" w:ascii="宋体" w:hAnsi="宋体"/>
          <w:color w:val="auto"/>
          <w:szCs w:val="24"/>
        </w:rPr>
        <w:t>、乙方在收到中标通知书后</w:t>
      </w:r>
      <w:r>
        <w:rPr>
          <w:rFonts w:ascii="宋体" w:hAnsi="宋体"/>
          <w:color w:val="auto"/>
          <w:szCs w:val="24"/>
        </w:rPr>
        <w:t>5</w:t>
      </w:r>
      <w:r>
        <w:rPr>
          <w:rFonts w:hint="eastAsia" w:ascii="宋体" w:hAnsi="宋体"/>
          <w:color w:val="auto"/>
          <w:szCs w:val="24"/>
        </w:rPr>
        <w:t>日内向甲方缴纳履约保证金，并在承包结束后，经甲方认定符合要求的，全额返还，不计利息。</w:t>
      </w:r>
      <w:r>
        <w:rPr>
          <w:rFonts w:hint="eastAsia" w:ascii="宋体" w:hAnsi="宋体"/>
          <w:b/>
          <w:color w:val="auto"/>
          <w:szCs w:val="24"/>
        </w:rPr>
        <w:t>乙方必须派项目管理人员提前</w:t>
      </w:r>
      <w:r>
        <w:rPr>
          <w:rFonts w:ascii="宋体" w:hAnsi="宋体"/>
          <w:b/>
          <w:color w:val="auto"/>
          <w:szCs w:val="24"/>
        </w:rPr>
        <w:t>15</w:t>
      </w:r>
      <w:r>
        <w:rPr>
          <w:rFonts w:hint="eastAsia" w:ascii="宋体" w:hAnsi="宋体"/>
          <w:b/>
          <w:color w:val="auto"/>
          <w:szCs w:val="24"/>
        </w:rPr>
        <w:t>日进场熟悉了解情况，按照甲方要求做好交接工作，确保正式进场后能顺利进行环卫工作。</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color w:val="auto"/>
          <w:szCs w:val="24"/>
        </w:rPr>
      </w:pPr>
      <w:r>
        <w:rPr>
          <w:rFonts w:ascii="宋体" w:hAnsi="宋体"/>
          <w:color w:val="auto"/>
          <w:szCs w:val="24"/>
        </w:rPr>
        <w:t>2</w:t>
      </w:r>
      <w:r>
        <w:rPr>
          <w:rFonts w:hint="eastAsia" w:ascii="宋体" w:hAnsi="宋体"/>
          <w:color w:val="auto"/>
          <w:szCs w:val="24"/>
        </w:rPr>
        <w:t>、在合同期内，接受甲方的业务指导、考核结果及处罚。</w:t>
      </w:r>
    </w:p>
    <w:p>
      <w:pPr>
        <w:pStyle w:val="30"/>
        <w:keepNext w:val="0"/>
        <w:keepLines w:val="0"/>
        <w:pageBreakBefore w:val="0"/>
        <w:widowControl w:val="0"/>
        <w:kinsoku/>
        <w:wordWrap/>
        <w:overflowPunct/>
        <w:topLinePunct w:val="0"/>
        <w:autoSpaceDE/>
        <w:autoSpaceDN/>
        <w:bidi w:val="0"/>
        <w:adjustRightInd/>
        <w:snapToGrid/>
        <w:spacing w:line="336" w:lineRule="auto"/>
        <w:ind w:firstLine="360" w:firstLineChars="150"/>
        <w:jc w:val="left"/>
        <w:textAlignment w:val="auto"/>
        <w:rPr>
          <w:rFonts w:ascii="宋体"/>
          <w:szCs w:val="24"/>
        </w:rPr>
      </w:pPr>
      <w:r>
        <w:rPr>
          <w:rFonts w:ascii="宋体" w:hAnsi="宋体"/>
          <w:color w:val="auto"/>
          <w:szCs w:val="24"/>
        </w:rPr>
        <w:t xml:space="preserve"> 3</w:t>
      </w:r>
      <w:r>
        <w:rPr>
          <w:rFonts w:hint="eastAsia" w:ascii="宋体" w:hAnsi="宋体"/>
          <w:color w:val="auto"/>
          <w:szCs w:val="24"/>
        </w:rPr>
        <w:t>、为保证环卫作业工作正常有效开展，乙方须根据《劳动合同法》用工要求组建固定的专业保洁队伍，按要求提交《</w:t>
      </w:r>
      <w:r>
        <w:rPr>
          <w:rFonts w:hint="eastAsia" w:ascii="宋体" w:hAnsi="宋体" w:cs="宋体"/>
          <w:color w:val="auto"/>
        </w:rPr>
        <w:t>道路卫生保洁、垃圾分类收集及分类清运</w:t>
      </w:r>
      <w:r>
        <w:rPr>
          <w:rFonts w:hint="eastAsia" w:ascii="宋体" w:hAnsi="宋体"/>
          <w:color w:val="auto"/>
          <w:szCs w:val="24"/>
        </w:rPr>
        <w:t>、管理等人员配置表》、作业计划、保洁预案、承诺服务等。并经嵊州市</w:t>
      </w:r>
      <w:r>
        <w:rPr>
          <w:rFonts w:hint="eastAsia" w:ascii="宋体" w:hAnsi="宋体"/>
          <w:color w:val="auto"/>
          <w:szCs w:val="24"/>
          <w:lang w:eastAsia="zh-CN"/>
        </w:rPr>
        <w:t>金庭</w:t>
      </w:r>
      <w:r>
        <w:rPr>
          <w:rFonts w:hint="eastAsia" w:ascii="宋体" w:hAnsi="宋体"/>
          <w:color w:val="auto"/>
          <w:szCs w:val="24"/>
        </w:rPr>
        <w:t>镇人民政府批准认可，并在实际作业中足额到岗到位。乙方进场前自购齐环卫作业所需的生产工具</w:t>
      </w:r>
      <w:r>
        <w:rPr>
          <w:rFonts w:hint="eastAsia" w:ascii="宋体" w:hAnsi="宋体"/>
          <w:szCs w:val="24"/>
        </w:rPr>
        <w:t>，经甲方认可并备案。</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4</w:t>
      </w:r>
      <w:r>
        <w:rPr>
          <w:rFonts w:hint="eastAsia" w:ascii="宋体" w:hAnsi="宋体"/>
          <w:szCs w:val="24"/>
        </w:rPr>
        <w:t>、清扫、清运等工作均由专人负责，不得一班顶双岗，不得兼岗。不得与其他承包供应商录用同一人员。</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5</w:t>
      </w:r>
      <w:r>
        <w:rPr>
          <w:rFonts w:hint="eastAsia" w:ascii="宋体" w:hAnsi="宋体"/>
          <w:szCs w:val="24"/>
        </w:rPr>
        <w:t>、乙方必须具备健全的日常保洁制度、分类清运制度、管理制度、应急处理制度、自查自纠制度及完善的管理机制和应急处理机制，并予以实施。实施方案在合同签订之日起五个工作日内上报甲方认可，作业过程中需变动须及时书面上报甲方并征得甲方书面同意后方可变动。</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6</w:t>
      </w:r>
      <w:r>
        <w:rPr>
          <w:rFonts w:hint="eastAsia" w:ascii="宋体" w:hAnsi="宋体"/>
          <w:szCs w:val="24"/>
        </w:rPr>
        <w:t>、乙方应加强对作业人员的教育，落实好安全防范措施，在承包期内的各种伤亡、安全、赔偿事故，工伤、非工伤一律由乙方自负，并承担一切民事、法律责任，与甲方无涉。</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7</w:t>
      </w:r>
      <w:r>
        <w:rPr>
          <w:rFonts w:hint="eastAsia" w:ascii="宋体" w:hAnsi="宋体"/>
          <w:szCs w:val="24"/>
        </w:rPr>
        <w:t>、乙方必须有固定的办公场所、值班电话和工具停放场所，配置必需的劳动用具，保证环卫作业正常运转。</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8</w:t>
      </w:r>
      <w:r>
        <w:rPr>
          <w:rFonts w:hint="eastAsia" w:ascii="宋体" w:hAnsi="宋体"/>
          <w:szCs w:val="24"/>
        </w:rPr>
        <w:t>、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甲方可其作为不良记录上报环卫作业资信等级审查机构和服务许可审批机构，一年中如不服从安排达二次以上的，甲方将有权解除合同并没收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9</w:t>
      </w:r>
      <w:r>
        <w:rPr>
          <w:rFonts w:hint="eastAsia" w:ascii="宋体" w:hAnsi="宋体"/>
          <w:szCs w:val="24"/>
        </w:rPr>
        <w:t>、作业人员必须按规定文明作业，不得与路人发生争执。</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10</w:t>
      </w:r>
      <w:r>
        <w:rPr>
          <w:rFonts w:hint="eastAsia" w:ascii="宋体" w:hAnsi="宋体"/>
          <w:szCs w:val="24"/>
        </w:rPr>
        <w:t>、乙方必须按时依法支付作业人员工资，不得克扣或者无故拖欠，如不按时支付工资，甲方有权从乙方的承包款中扣除相应的作业人员工资并代发，若造成错付、多付等损失概由乙方承担责任。</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11</w:t>
      </w:r>
      <w:r>
        <w:rPr>
          <w:rFonts w:hint="eastAsia" w:ascii="宋体" w:hAnsi="宋体"/>
          <w:szCs w:val="24"/>
        </w:rPr>
        <w:t>、遇各类突发事件或特别要求，乙方必须无条件服从甲方要求，并做好加班、加点、加人，以确保保洁、分类质量。</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12</w:t>
      </w:r>
      <w:r>
        <w:rPr>
          <w:rFonts w:hint="eastAsia" w:ascii="宋体" w:hAnsi="宋体"/>
          <w:szCs w:val="24"/>
        </w:rPr>
        <w:t>、乙方必须依照本合同规定的作业形式、作业质量标准及行业有关作业规范、作业质量标准，按时、保质、保量完成所承包作业项目范围、承包事项的工作。</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13</w:t>
      </w:r>
      <w:r>
        <w:rPr>
          <w:rFonts w:hint="eastAsia" w:ascii="宋体" w:hAnsi="宋体"/>
          <w:szCs w:val="24"/>
        </w:rPr>
        <w:t>、乙方及其雇用的员工应严格遵守国家的法律、法规、村规民约，如果乙方及其所雇用的工人违反法律、法规和相关规定，所造成的后果由其自行负责，与甲方无关。</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14</w:t>
      </w:r>
      <w:r>
        <w:rPr>
          <w:rFonts w:hint="eastAsia" w:ascii="宋体" w:hAnsi="宋体"/>
          <w:szCs w:val="24"/>
        </w:rPr>
        <w:t>、乙方必须根据国家、省、地方和本市环卫行政主管部门、环卫专业管理部门颁布的各项环卫作业规范、安全规范、质量标准，建立自身的运营管理机制和质量检查机制、安全生产机制，实行自查自纠，并定期向环卫专业管理部门通报执行合同情况；若出现严重的质量问题或安全事故，在采取措施补救的同时，当日应向甲方及其环卫主管部门报告；若出现紧急事故，应在</w:t>
      </w:r>
      <w:r>
        <w:rPr>
          <w:rFonts w:ascii="宋体" w:hAnsi="宋体"/>
          <w:szCs w:val="24"/>
        </w:rPr>
        <w:t>5</w:t>
      </w:r>
      <w:r>
        <w:rPr>
          <w:rFonts w:hint="eastAsia" w:ascii="宋体" w:hAnsi="宋体"/>
          <w:szCs w:val="24"/>
        </w:rPr>
        <w:t>小时内报告</w:t>
      </w:r>
      <w:r>
        <w:rPr>
          <w:rFonts w:hint="eastAsia" w:ascii="宋体" w:hAnsi="宋体"/>
          <w:szCs w:val="24"/>
          <w:lang w:val="en-US" w:eastAsia="zh-CN"/>
        </w:rPr>
        <w:t>金庭</w:t>
      </w:r>
      <w:r>
        <w:rPr>
          <w:rFonts w:hint="eastAsia" w:ascii="宋体" w:hAnsi="宋体"/>
          <w:szCs w:val="24"/>
        </w:rPr>
        <w:t>镇人民政府。</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15</w:t>
      </w:r>
      <w:r>
        <w:rPr>
          <w:rFonts w:hint="eastAsia" w:ascii="宋体" w:hAnsi="宋体"/>
          <w:szCs w:val="24"/>
        </w:rPr>
        <w:t>、乙方必须按国家的劳动法律法规规定与企业员工确立合法的劳资关系，签订用工劳务合同，为企业员工办理养老、医疗等基本社会保险，并为作业人员办理有关工伤人身意外保险手续。若员工发生事故，必须按有关规定处理，一切经济损失和各项费用由乙方自理。</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16</w:t>
      </w:r>
      <w:r>
        <w:rPr>
          <w:rFonts w:hint="eastAsia" w:ascii="宋体" w:hAnsi="宋体"/>
          <w:szCs w:val="24"/>
        </w:rPr>
        <w:t>、乙方有义务参加甲方通知的相关作业会议，通报作业情况，完善作业措施，提高作业水平。</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17</w:t>
      </w:r>
      <w:r>
        <w:rPr>
          <w:rFonts w:hint="eastAsia" w:ascii="宋体" w:hAnsi="宋体"/>
          <w:szCs w:val="24"/>
        </w:rPr>
        <w:t>、乙方有权对甲方人员在检查考评乙方作业质量过程中的违规行为向甲方或环卫行政主管部门举报。</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t>18</w:t>
      </w:r>
      <w:r>
        <w:rPr>
          <w:rFonts w:hint="eastAsia"/>
        </w:rPr>
        <w:t>、</w:t>
      </w:r>
      <w:r>
        <w:rPr>
          <w:rFonts w:hint="eastAsia"/>
          <w:b/>
        </w:rPr>
        <w:t>乙方不得擅自将所承包的合同转包给他人，或肢解分包给他人</w:t>
      </w:r>
      <w:r>
        <w:rPr>
          <w:rFonts w:hint="eastAsia"/>
        </w:rPr>
        <w:t>。</w:t>
      </w:r>
    </w:p>
    <w:p>
      <w:pPr>
        <w:pStyle w:val="3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b/>
          <w:bCs/>
          <w:szCs w:val="24"/>
        </w:rPr>
      </w:pPr>
      <w:r>
        <w:rPr>
          <w:rFonts w:hint="eastAsia" w:ascii="宋体" w:hAnsi="宋体"/>
          <w:b/>
          <w:bCs/>
          <w:szCs w:val="24"/>
          <w:lang w:eastAsia="zh-CN"/>
        </w:rPr>
        <w:t>六</w:t>
      </w:r>
      <w:r>
        <w:rPr>
          <w:rFonts w:hint="eastAsia" w:ascii="宋体" w:hAnsi="宋体"/>
          <w:b/>
          <w:bCs/>
          <w:szCs w:val="24"/>
        </w:rPr>
        <w:t>、违约责任：</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1</w:t>
      </w:r>
      <w:r>
        <w:rPr>
          <w:rFonts w:hint="eastAsia" w:ascii="宋体" w:hAnsi="宋体"/>
          <w:szCs w:val="24"/>
        </w:rPr>
        <w:t>、甲、乙双方在签订合同时，乙方按照一年中标价的</w:t>
      </w:r>
      <w:r>
        <w:rPr>
          <w:rFonts w:hint="eastAsia" w:ascii="宋体" w:hAnsi="宋体"/>
          <w:szCs w:val="24"/>
          <w:lang w:val="en-US" w:eastAsia="zh-CN"/>
        </w:rPr>
        <w:t>5</w:t>
      </w:r>
      <w:r>
        <w:rPr>
          <w:rFonts w:ascii="宋体" w:hAnsi="宋体"/>
          <w:szCs w:val="24"/>
        </w:rPr>
        <w:t>%</w:t>
      </w:r>
      <w:r>
        <w:rPr>
          <w:rFonts w:hint="eastAsia" w:ascii="宋体" w:hAnsi="宋体"/>
          <w:szCs w:val="24"/>
        </w:rPr>
        <w:t>，一次性交纳履约保证金计</w:t>
      </w:r>
      <w:r>
        <w:rPr>
          <w:rFonts w:hint="eastAsia" w:ascii="宋体" w:hAnsi="宋体"/>
          <w:szCs w:val="24"/>
          <w:u w:val="single"/>
          <w:lang w:val="en-US" w:eastAsia="zh-CN"/>
        </w:rPr>
        <w:t xml:space="preserve">  </w:t>
      </w:r>
      <w:r>
        <w:rPr>
          <w:rFonts w:hint="eastAsia" w:ascii="宋体" w:hAnsi="宋体"/>
          <w:szCs w:val="24"/>
        </w:rPr>
        <w:t>万元。（承包期满后，并经考评合格且办理完移交给甲方手续后一个月内退还履约保证金）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2</w:t>
      </w:r>
      <w:r>
        <w:rPr>
          <w:rFonts w:hint="eastAsia" w:ascii="宋体" w:hAnsi="宋体"/>
          <w:szCs w:val="24"/>
        </w:rPr>
        <w:t>、乙方合同签订后，不得转包或变相转包、分包他人，一经发现，视为违约行为，甲方有权立即终止合同，乙方承担全部违约责任，扣罚全额履约保证金。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3</w:t>
      </w:r>
      <w:r>
        <w:rPr>
          <w:rFonts w:hint="eastAsia" w:ascii="宋体" w:hAnsi="宋体"/>
          <w:szCs w:val="24"/>
        </w:rPr>
        <w:t>、乙方无力履约或自动退出承包的，终止合同，没收全额履约保证金。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4</w:t>
      </w:r>
      <w:r>
        <w:rPr>
          <w:rFonts w:hint="eastAsia" w:ascii="宋体" w:hAnsi="宋体"/>
          <w:szCs w:val="24"/>
        </w:rPr>
        <w:t>、乙方违反合同中的有关规定，经责令整改仍不到位的，甲方有权终止合同，没收全额履约保证金。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5</w:t>
      </w:r>
      <w:r>
        <w:rPr>
          <w:rFonts w:hint="eastAsia" w:ascii="宋体" w:hAnsi="宋体"/>
          <w:szCs w:val="24"/>
        </w:rPr>
        <w:t>、甲方无任何理由终止承包合同的，双倍返还乙方的履约保证金，付清应付的承包经费，并折价补偿乙方所购的工具费；乙方无任何理由终止承包合同的，甲方有权罚没其履约保证金，并扣除剩余承包款作为违约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ascii="宋体" w:hAnsi="宋体"/>
          <w:szCs w:val="24"/>
        </w:rPr>
        <w:t>6</w:t>
      </w:r>
      <w:r>
        <w:rPr>
          <w:rFonts w:hint="eastAsia" w:ascii="宋体" w:hAnsi="宋体"/>
          <w:szCs w:val="24"/>
        </w:rPr>
        <w:t>、乙方必须按投标时承诺的人员进行配置，如未按投标时承诺进行人员配置，甲方有权终止承包合同，并罚没履约保证金。</w:t>
      </w:r>
    </w:p>
    <w:p>
      <w:pPr>
        <w:pStyle w:val="3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b/>
          <w:bCs/>
          <w:szCs w:val="24"/>
        </w:rPr>
      </w:pPr>
      <w:r>
        <w:rPr>
          <w:rFonts w:hint="eastAsia" w:ascii="宋体" w:hAnsi="宋体"/>
          <w:b/>
          <w:bCs/>
          <w:szCs w:val="24"/>
          <w:lang w:eastAsia="zh-CN"/>
        </w:rPr>
        <w:t>七</w:t>
      </w:r>
      <w:r>
        <w:rPr>
          <w:rFonts w:hint="eastAsia" w:ascii="宋体" w:hAnsi="宋体"/>
          <w:b/>
          <w:bCs/>
          <w:szCs w:val="24"/>
        </w:rPr>
        <w:t>、合同的中断与终止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rPr>
        <w:t>凡有以下行为的承包供应商，嵊州市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镇人民政府有权终止其承包合同，罚没履约保证金，如有差额保证金的，同时罚没差额保证金，并取消其在下一轮由嵊州市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镇人民政府组织的环卫作业投标的资格：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在承包作业期间发生5人（含5人）以上集体停工的。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贯彻落实金庭</w:t>
      </w:r>
      <w:r>
        <w:rPr>
          <w:rFonts w:hint="eastAsia" w:ascii="Times New Roman" w:hAnsi="Times New Roman" w:cs="Times New Roman"/>
          <w:sz w:val="24"/>
        </w:rPr>
        <w:t>镇人民政府各项突击性任务和指令</w:t>
      </w:r>
      <w:r>
        <w:rPr>
          <w:rFonts w:hint="eastAsia" w:ascii="Times New Roman" w:hAnsi="Times New Roman" w:cs="Times New Roman"/>
          <w:sz w:val="24"/>
          <w:lang w:eastAsia="zh-CN"/>
        </w:rPr>
        <w:t>不到位的</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3）</w:t>
      </w:r>
      <w:r>
        <w:rPr>
          <w:rFonts w:hint="eastAsia" w:ascii="Times New Roman" w:hAnsi="Times New Roman" w:cs="Times New Roman"/>
          <w:sz w:val="24"/>
        </w:rPr>
        <w:t>严重违反承包合同书责任条款，致使合同无法正常履行的。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ascii="Times New Roman" w:hAnsi="Times New Roman" w:cs="Times New Roman"/>
          <w:sz w:val="24"/>
        </w:rPr>
        <w:t>平时工作管理不力，被绍兴市级及以上新闻媒体曝光</w:t>
      </w:r>
      <w:r>
        <w:rPr>
          <w:rFonts w:hint="eastAsia" w:ascii="Times New Roman" w:hAnsi="Times New Roman" w:cs="Times New Roman"/>
          <w:sz w:val="24"/>
          <w:lang w:eastAsia="zh-CN"/>
        </w:rPr>
        <w:t>或</w:t>
      </w:r>
      <w:r>
        <w:rPr>
          <w:rFonts w:hint="eastAsia" w:ascii="Times New Roman" w:hAnsi="Times New Roman" w:cs="Times New Roman"/>
          <w:sz w:val="24"/>
        </w:rPr>
        <w:t>一个合同年度内3次及以上被嵊州市级新闻媒体曝光或引发群体上访事件（集体信访、重复信访、越级信访）。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5）</w:t>
      </w:r>
      <w:r>
        <w:rPr>
          <w:rFonts w:hint="eastAsia" w:ascii="Times New Roman" w:hAnsi="Times New Roman" w:cs="Times New Roman"/>
          <w:sz w:val="24"/>
        </w:rPr>
        <w:t>擅自从事环卫有偿服务与收费活动，涉及面广、社会影响较大的。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sz w:val="24"/>
        </w:rPr>
      </w:pPr>
      <w:r>
        <w:rPr>
          <w:rFonts w:hint="eastAsia" w:ascii="Times New Roman" w:hAnsi="Times New Roman" w:cs="Times New Roman"/>
          <w:sz w:val="24"/>
          <w:lang w:val="en-US" w:eastAsia="zh-CN"/>
        </w:rPr>
        <w:t>6）</w:t>
      </w:r>
      <w:r>
        <w:rPr>
          <w:rFonts w:hint="eastAsia" w:ascii="Times New Roman" w:hAnsi="Times New Roman" w:cs="Times New Roman"/>
          <w:sz w:val="24"/>
        </w:rPr>
        <w:t>未经嵊州市</w:t>
      </w:r>
      <w:r>
        <w:rPr>
          <w:rFonts w:hint="eastAsia" w:ascii="Times New Roman" w:hAnsi="Times New Roman" w:cs="Times New Roman"/>
          <w:sz w:val="24"/>
          <w:lang w:eastAsia="zh-CN"/>
        </w:rPr>
        <w:t>金庭</w:t>
      </w:r>
      <w:r>
        <w:rPr>
          <w:rFonts w:hint="eastAsia" w:ascii="Times New Roman" w:hAnsi="Times New Roman" w:cs="Times New Roman"/>
          <w:sz w:val="24"/>
        </w:rPr>
        <w:t>镇人民政府同意擅自转包转让、分包的。</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由于政策的变化和其它甲乙双方之外的原因使合同不能继续履行，视为合同中断。合同中断后，乙方应妥善做好承包项目的移交工作，按甲方的要求做好善后清理工作。甲方应为乙方撤离现场提供必要的条件，退还乙方履约保证金。</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szCs w:val="24"/>
        </w:rPr>
      </w:pPr>
      <w:r>
        <w:rPr>
          <w:rFonts w:hint="eastAsia" w:ascii="宋体" w:hAnsi="宋体"/>
          <w:szCs w:val="24"/>
        </w:rPr>
        <w:t>合同终止：如乙方在承包期内没有发生违约，甲方将在承包期满一个月后，无息退还乙方全部履约保证金。</w:t>
      </w:r>
    </w:p>
    <w:p>
      <w:pPr>
        <w:pStyle w:val="3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b/>
          <w:bCs/>
          <w:szCs w:val="24"/>
        </w:rPr>
      </w:pPr>
      <w:r>
        <w:rPr>
          <w:rFonts w:hint="eastAsia" w:ascii="宋体" w:hAnsi="宋体"/>
          <w:b/>
          <w:bCs/>
          <w:szCs w:val="24"/>
          <w:lang w:eastAsia="zh-CN"/>
        </w:rPr>
        <w:t>八</w:t>
      </w:r>
      <w:r>
        <w:rPr>
          <w:rFonts w:hint="eastAsia" w:ascii="宋体" w:hAnsi="宋体"/>
          <w:b/>
          <w:bCs/>
          <w:szCs w:val="24"/>
        </w:rPr>
        <w:t>、本合同一式三份，甲方执二份，乙方执一份。</w:t>
      </w:r>
    </w:p>
    <w:p>
      <w:pPr>
        <w:pStyle w:val="3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b/>
          <w:bCs/>
          <w:szCs w:val="24"/>
        </w:rPr>
      </w:pPr>
      <w:r>
        <w:rPr>
          <w:rFonts w:hint="eastAsia" w:ascii="宋体" w:hAnsi="宋体"/>
          <w:b/>
          <w:bCs/>
          <w:szCs w:val="24"/>
          <w:lang w:eastAsia="zh-CN"/>
        </w:rPr>
        <w:t>九</w:t>
      </w:r>
      <w:r>
        <w:rPr>
          <w:rFonts w:hint="eastAsia" w:ascii="宋体" w:hAnsi="宋体"/>
          <w:b/>
          <w:bCs/>
          <w:szCs w:val="24"/>
        </w:rPr>
        <w:t>、未尽事宜，双方协商解决。</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szCs w:val="24"/>
        </w:rPr>
      </w:pP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szCs w:val="24"/>
        </w:rPr>
      </w:pPr>
      <w:r>
        <w:rPr>
          <w:rFonts w:hint="eastAsia" w:ascii="宋体" w:hAnsi="宋体"/>
          <w:szCs w:val="24"/>
        </w:rPr>
        <w:t>甲方(盖章)：</w:t>
      </w:r>
      <w:r>
        <w:rPr>
          <w:rFonts w:hint="eastAsia" w:ascii="宋体" w:hAnsi="宋体"/>
          <w:szCs w:val="24"/>
          <w:lang w:val="en-US" w:eastAsia="zh-CN"/>
        </w:rPr>
        <w:t xml:space="preserve">                            </w:t>
      </w:r>
      <w:r>
        <w:rPr>
          <w:rFonts w:hint="eastAsia" w:ascii="宋体" w:hAnsi="宋体"/>
          <w:szCs w:val="24"/>
        </w:rPr>
        <w:t>乙方(盖章)：</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szCs w:val="24"/>
        </w:rPr>
      </w:pPr>
      <w:r>
        <w:rPr>
          <w:rFonts w:hint="eastAsia" w:ascii="宋体" w:hAnsi="宋体"/>
          <w:szCs w:val="24"/>
        </w:rPr>
        <w:t>法定代表人或委托代理人：</w:t>
      </w:r>
      <w:r>
        <w:rPr>
          <w:rFonts w:hint="eastAsia" w:ascii="宋体" w:hAnsi="宋体"/>
          <w:szCs w:val="24"/>
          <w:lang w:val="en-US" w:eastAsia="zh-CN"/>
        </w:rPr>
        <w:t xml:space="preserve">               </w:t>
      </w:r>
      <w:r>
        <w:rPr>
          <w:rFonts w:hint="eastAsia" w:ascii="宋体" w:hAnsi="宋体"/>
          <w:szCs w:val="24"/>
        </w:rPr>
        <w:t>法定代表人或委托代理人：</w:t>
      </w:r>
    </w:p>
    <w:p>
      <w:pPr>
        <w:pStyle w:val="30"/>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szCs w:val="24"/>
        </w:rPr>
      </w:pPr>
      <w:r>
        <w:rPr>
          <w:rFonts w:hint="eastAsia" w:ascii="宋体" w:hAnsi="宋体"/>
          <w:szCs w:val="24"/>
        </w:rPr>
        <w:t>合同签订时间：年月日合同签订地点：</w:t>
      </w:r>
      <w:bookmarkStart w:id="274" w:name="_Toc174935968"/>
    </w:p>
    <w:bookmarkEnd w:id="274"/>
    <w:p>
      <w:pPr>
        <w:pStyle w:val="4"/>
        <w:keepLines/>
        <w:widowControl w:val="0"/>
        <w:tabs>
          <w:tab w:val="left" w:pos="478"/>
        </w:tabs>
        <w:spacing w:before="460" w:after="450" w:line="500" w:lineRule="exact"/>
        <w:ind w:left="0" w:leftChars="0" w:firstLine="0" w:firstLineChars="0"/>
        <w:jc w:val="both"/>
        <w:rPr>
          <w:rFonts w:hint="eastAsia" w:ascii="宋体" w:hAnsi="宋体" w:eastAsia="宋体" w:cs="宋体"/>
          <w:b/>
          <w:bCs/>
          <w:sz w:val="32"/>
          <w:szCs w:val="32"/>
        </w:rPr>
      </w:pPr>
      <w:bookmarkStart w:id="275" w:name="_Toc6884"/>
      <w:bookmarkStart w:id="276" w:name="_Toc64497190"/>
      <w:bookmarkStart w:id="277" w:name="_Toc433118757"/>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eastAsia="宋体" w:cs="宋体"/>
          <w:b/>
          <w:bCs/>
          <w:sz w:val="32"/>
          <w:szCs w:val="32"/>
        </w:rPr>
      </w:pPr>
    </w:p>
    <w:p>
      <w:pPr>
        <w:pStyle w:val="4"/>
        <w:keepLines/>
        <w:widowControl w:val="0"/>
        <w:tabs>
          <w:tab w:val="left" w:pos="478"/>
        </w:tabs>
        <w:spacing w:before="0" w:after="0" w:line="240" w:lineRule="auto"/>
        <w:ind w:left="0" w:leftChars="0" w:firstLine="0" w:firstLineChars="0"/>
        <w:jc w:val="both"/>
        <w:rPr>
          <w:rFonts w:hint="eastAsia" w:ascii="宋体" w:hAnsi="宋体" w:cs="宋体"/>
          <w:b/>
          <w:sz w:val="32"/>
          <w:szCs w:val="32"/>
        </w:rPr>
      </w:pPr>
      <w:r>
        <w:rPr>
          <w:rFonts w:hint="eastAsia" w:ascii="宋体" w:hAnsi="宋体" w:eastAsia="宋体" w:cs="宋体"/>
          <w:b/>
          <w:bCs/>
          <w:sz w:val="32"/>
          <w:szCs w:val="32"/>
        </w:rPr>
        <w:t>第六部分  投标文件格式</w:t>
      </w:r>
      <w:bookmarkEnd w:id="275"/>
      <w:bookmarkStart w:id="278" w:name="_Toc2956_WPSOffice_Level1"/>
      <w:bookmarkStart w:id="279" w:name="_Toc5472_WPSOffice_Level1"/>
      <w:bookmarkStart w:id="280" w:name="_Toc183_WPSOffice_Level1"/>
      <w:bookmarkStart w:id="281" w:name="_Toc543"/>
      <w:bookmarkStart w:id="282" w:name="_Toc517896534"/>
    </w:p>
    <w:p>
      <w:pPr>
        <w:spacing w:line="420" w:lineRule="exact"/>
        <w:jc w:val="center"/>
        <w:rPr>
          <w:rFonts w:hint="eastAsia" w:ascii="宋体" w:hAnsi="宋体" w:cs="宋体"/>
          <w:b/>
          <w:sz w:val="32"/>
          <w:szCs w:val="32"/>
        </w:rPr>
      </w:pPr>
    </w:p>
    <w:p>
      <w:pPr>
        <w:spacing w:line="420" w:lineRule="exact"/>
        <w:jc w:val="center"/>
        <w:rPr>
          <w:rFonts w:hint="eastAsia" w:ascii="宋体" w:hAnsi="宋体" w:cs="宋体"/>
          <w:b/>
          <w:sz w:val="32"/>
          <w:szCs w:val="32"/>
        </w:rPr>
      </w:pPr>
    </w:p>
    <w:p>
      <w:pPr>
        <w:spacing w:line="420" w:lineRule="exact"/>
        <w:jc w:val="center"/>
        <w:rPr>
          <w:rFonts w:hint="eastAsia" w:ascii="宋体" w:hAnsi="宋体" w:cs="宋体"/>
          <w:b/>
          <w:sz w:val="32"/>
          <w:szCs w:val="32"/>
        </w:rPr>
      </w:pPr>
      <w:r>
        <w:rPr>
          <w:rFonts w:hint="eastAsia" w:ascii="宋体" w:hAnsi="宋体" w:cs="宋体"/>
          <w:b/>
          <w:sz w:val="32"/>
          <w:szCs w:val="32"/>
        </w:rPr>
        <w:t>资格文件文件封面格式</w:t>
      </w:r>
      <w:bookmarkEnd w:id="278"/>
      <w:bookmarkEnd w:id="279"/>
      <w:bookmarkEnd w:id="280"/>
    </w:p>
    <w:p>
      <w:pPr>
        <w:pStyle w:val="30"/>
        <w:spacing w:line="420" w:lineRule="exact"/>
        <w:ind w:left="105" w:leftChars="50" w:firstLine="2880" w:firstLineChars="1200"/>
        <w:jc w:val="center"/>
        <w:rPr>
          <w:rFonts w:hint="eastAsia" w:ascii="宋体" w:hAnsi="宋体" w:cs="宋体"/>
        </w:rPr>
      </w:pPr>
    </w:p>
    <w:p>
      <w:pPr>
        <w:spacing w:line="420" w:lineRule="exact"/>
        <w:ind w:firstLine="640"/>
        <w:jc w:val="center"/>
        <w:rPr>
          <w:rFonts w:hint="eastAsia" w:ascii="宋体" w:hAnsi="宋体" w:cs="宋体"/>
          <w:sz w:val="84"/>
        </w:rPr>
      </w:pPr>
      <w:r>
        <w:rPr>
          <w:rFonts w:hint="eastAsia" w:ascii="宋体" w:hAnsi="宋体" w:cs="宋体"/>
          <w:sz w:val="32"/>
          <w:szCs w:val="32"/>
        </w:rPr>
        <w:t xml:space="preserve">                                        </w:t>
      </w:r>
    </w:p>
    <w:p>
      <w:pPr>
        <w:jc w:val="center"/>
        <w:rPr>
          <w:rFonts w:hint="eastAsia" w:ascii="宋体" w:hAnsi="宋体" w:cs="宋体"/>
          <w:b/>
          <w:bCs/>
          <w:sz w:val="72"/>
          <w:szCs w:val="72"/>
        </w:rPr>
      </w:pPr>
      <w:r>
        <w:rPr>
          <w:rFonts w:hint="eastAsia" w:ascii="宋体" w:hAnsi="宋体" w:cs="宋体"/>
          <w:b/>
          <w:bCs/>
          <w:sz w:val="72"/>
          <w:szCs w:val="72"/>
        </w:rPr>
        <w:t>资格文件</w:t>
      </w:r>
    </w:p>
    <w:p>
      <w:pPr>
        <w:ind w:firstLine="883"/>
        <w:jc w:val="center"/>
        <w:rPr>
          <w:rFonts w:hint="eastAsia" w:ascii="宋体" w:hAnsi="宋体" w:cs="宋体"/>
          <w:b/>
          <w:bCs/>
          <w:sz w:val="44"/>
          <w:szCs w:val="44"/>
        </w:rPr>
      </w:pPr>
    </w:p>
    <w:p>
      <w:pPr>
        <w:rPr>
          <w:rFonts w:hint="eastAsia" w:ascii="宋体" w:hAnsi="宋体" w:cs="宋体"/>
        </w:rPr>
      </w:pPr>
    </w:p>
    <w:p>
      <w:pPr>
        <w:rPr>
          <w:rFonts w:hint="eastAsia" w:ascii="宋体" w:hAnsi="宋体" w:cs="宋体"/>
        </w:rPr>
      </w:pPr>
    </w:p>
    <w:p>
      <w:pPr>
        <w:pStyle w:val="7"/>
        <w:ind w:firstLine="420"/>
        <w:rPr>
          <w:rFonts w:hint="eastAsia" w:ascii="宋体" w:hAnsi="宋体" w:cs="宋体"/>
        </w:rPr>
      </w:pPr>
    </w:p>
    <w:p>
      <w:pPr>
        <w:pStyle w:val="7"/>
        <w:ind w:firstLine="420"/>
        <w:rPr>
          <w:rFonts w:hint="eastAsia" w:ascii="宋体" w:hAnsi="宋体" w:cs="宋体"/>
        </w:rPr>
      </w:pPr>
    </w:p>
    <w:p>
      <w:pPr>
        <w:rPr>
          <w:rFonts w:hint="eastAsia"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lang w:val="en-US" w:eastAsia="zh-CN"/>
        </w:rPr>
      </w:pPr>
      <w:r>
        <w:rPr>
          <w:rFonts w:hint="eastAsia" w:ascii="宋体" w:hAnsi="宋体" w:cs="宋体"/>
          <w:sz w:val="28"/>
          <w:szCs w:val="28"/>
        </w:rPr>
        <w:t>项目名称：</w:t>
      </w:r>
      <w:r>
        <w:rPr>
          <w:rFonts w:hint="eastAsia" w:ascii="宋体" w:hAnsi="宋体" w:cs="宋体"/>
          <w:sz w:val="28"/>
          <w:szCs w:val="28"/>
          <w:lang w:val="en-US" w:eastAsia="zh-CN"/>
        </w:rPr>
        <w:t>嵊州市金庭镇（撤并前金庭镇行政区域范围）生活垃圾上门收集、分类清运、大件垃圾清理、终端运行、再生资源回收站点、嵊张线局部地段保洁项目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u w:val="single"/>
          <w:lang w:val="en-US" w:eastAsia="zh-CN"/>
        </w:rPr>
      </w:pPr>
      <w:r>
        <w:rPr>
          <w:rFonts w:hint="eastAsia" w:ascii="宋体" w:hAnsi="宋体" w:cs="宋体"/>
          <w:sz w:val="28"/>
          <w:szCs w:val="28"/>
        </w:rPr>
        <w:t>项目编号：</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（全称）（加盖公章）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rPr>
        <w:t>法定代表人或授权代表人签字：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rPr>
        <w:t>投标人地址：</w:t>
      </w:r>
    </w:p>
    <w:p>
      <w:pPr>
        <w:spacing w:line="420" w:lineRule="exact"/>
        <w:ind w:firstLine="420"/>
        <w:jc w:val="left"/>
        <w:rPr>
          <w:rFonts w:hint="eastAsia" w:ascii="宋体" w:hAnsi="宋体" w:cs="宋体"/>
        </w:rPr>
      </w:pPr>
    </w:p>
    <w:p>
      <w:pPr>
        <w:jc w:val="center"/>
        <w:rPr>
          <w:rFonts w:hint="eastAsia" w:ascii="宋体" w:hAnsi="宋体" w:cs="宋体"/>
          <w:sz w:val="32"/>
        </w:rPr>
      </w:pPr>
      <w:bookmarkStart w:id="283" w:name="_Toc16735_WPSOffice_Level1"/>
      <w:bookmarkStart w:id="284" w:name="_Toc10313_WPSOffice_Level1"/>
      <w:bookmarkStart w:id="285" w:name="_Toc5625_WPSOffice_Level1"/>
    </w:p>
    <w:p>
      <w:pPr>
        <w:jc w:val="center"/>
        <w:rPr>
          <w:rFonts w:hint="eastAsia" w:ascii="宋体" w:hAnsi="宋体" w:cs="宋体"/>
          <w:sz w:val="32"/>
        </w:rPr>
      </w:pPr>
    </w:p>
    <w:p>
      <w:pPr>
        <w:jc w:val="center"/>
        <w:rPr>
          <w:rFonts w:hint="eastAsia" w:ascii="宋体" w:hAnsi="宋体" w:cs="宋体"/>
          <w:sz w:val="32"/>
        </w:rPr>
      </w:pPr>
    </w:p>
    <w:p>
      <w:pPr>
        <w:jc w:val="center"/>
        <w:rPr>
          <w:rFonts w:hint="eastAsia" w:ascii="宋体" w:hAnsi="宋体" w:cs="宋体"/>
          <w:sz w:val="32"/>
        </w:rPr>
      </w:pPr>
    </w:p>
    <w:p>
      <w:pPr>
        <w:jc w:val="center"/>
        <w:rPr>
          <w:rFonts w:hint="eastAsia" w:ascii="宋体" w:hAnsi="宋体" w:cs="宋体"/>
          <w:sz w:val="32"/>
        </w:rPr>
      </w:pPr>
      <w:r>
        <w:rPr>
          <w:rFonts w:hint="eastAsia" w:ascii="宋体" w:hAnsi="宋体" w:cs="宋体"/>
          <w:sz w:val="32"/>
        </w:rPr>
        <w:t xml:space="preserve">二  〇 二 </w:t>
      </w:r>
      <w:r>
        <w:rPr>
          <w:rFonts w:hint="eastAsia" w:ascii="宋体" w:hAnsi="宋体" w:cs="宋体"/>
          <w:sz w:val="32"/>
          <w:lang w:eastAsia="zh-CN"/>
        </w:rPr>
        <w:t>一</w:t>
      </w:r>
      <w:r>
        <w:rPr>
          <w:rFonts w:hint="eastAsia" w:ascii="宋体" w:hAnsi="宋体" w:cs="宋体"/>
          <w:sz w:val="32"/>
        </w:rPr>
        <w:t>年    月    日</w:t>
      </w:r>
      <w:bookmarkEnd w:id="283"/>
      <w:bookmarkEnd w:id="284"/>
      <w:bookmarkEnd w:id="285"/>
    </w:p>
    <w:p>
      <w:pPr>
        <w:adjustRightInd w:val="0"/>
        <w:snapToGrid w:val="0"/>
        <w:jc w:val="left"/>
        <w:rPr>
          <w:rFonts w:hint="eastAsia" w:ascii="宋体" w:hAnsi="宋体" w:cs="宋体"/>
          <w:sz w:val="28"/>
          <w:szCs w:val="28"/>
          <w:lang w:val="zh-CN"/>
        </w:rPr>
      </w:pPr>
      <w:r>
        <w:rPr>
          <w:rFonts w:hint="eastAsia" w:ascii="宋体" w:hAnsi="宋体" w:cs="宋体"/>
          <w:b/>
          <w:bCs/>
          <w:sz w:val="28"/>
          <w:szCs w:val="28"/>
        </w:rPr>
        <w:br w:type="page"/>
      </w:r>
      <w:r>
        <w:rPr>
          <w:rFonts w:hint="eastAsia" w:ascii="宋体" w:hAnsi="宋体" w:cs="宋体"/>
          <w:b/>
          <w:bCs/>
          <w:sz w:val="28"/>
          <w:szCs w:val="28"/>
        </w:rPr>
        <w:t>附件1：</w:t>
      </w:r>
    </w:p>
    <w:p>
      <w:pPr>
        <w:ind w:firstLine="562"/>
        <w:jc w:val="center"/>
        <w:rPr>
          <w:rFonts w:hint="eastAsia" w:ascii="宋体" w:hAnsi="宋体" w:cs="宋体"/>
          <w:b/>
          <w:sz w:val="28"/>
          <w:szCs w:val="28"/>
        </w:rPr>
      </w:pPr>
      <w:bookmarkStart w:id="286" w:name="_Toc4948_WPSOffice_Level1"/>
      <w:bookmarkStart w:id="287" w:name="_Toc7492_WPSOffice_Level1"/>
      <w:bookmarkStart w:id="288" w:name="_Toc17940_WPSOffice_Level1"/>
      <w:r>
        <w:rPr>
          <w:rFonts w:hint="eastAsia" w:ascii="宋体" w:hAnsi="宋体" w:cs="宋体"/>
          <w:b/>
          <w:bCs/>
          <w:sz w:val="28"/>
          <w:szCs w:val="28"/>
        </w:rPr>
        <w:t>法定代表人身份证明书</w:t>
      </w:r>
    </w:p>
    <w:p>
      <w:pPr>
        <w:ind w:firstLine="480"/>
        <w:jc w:val="center"/>
        <w:rPr>
          <w:rFonts w:hint="eastAsia" w:ascii="宋体" w:hAnsi="宋体" w:cs="宋体"/>
          <w:sz w:val="24"/>
        </w:rPr>
      </w:pPr>
    </w:p>
    <w:p>
      <w:pPr>
        <w:spacing w:line="600" w:lineRule="exact"/>
        <w:ind w:left="611" w:leftChars="291" w:firstLine="360" w:firstLineChars="150"/>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left="609" w:leftChars="290" w:firstLine="360" w:firstLineChars="15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left="609" w:leftChars="290" w:firstLine="360" w:firstLineChars="15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 xml:space="preserve"> </w:t>
      </w:r>
    </w:p>
    <w:p>
      <w:pPr>
        <w:spacing w:line="600" w:lineRule="exact"/>
        <w:ind w:left="609" w:leftChars="290" w:firstLine="360" w:firstLineChars="150"/>
        <w:rPr>
          <w:rFonts w:hint="eastAsia" w:ascii="宋体" w:hAnsi="宋体" w:cs="宋体"/>
          <w:sz w:val="24"/>
          <w:u w:val="single"/>
        </w:rPr>
      </w:pPr>
      <w:r>
        <w:rPr>
          <w:rFonts w:hint="eastAsia" w:ascii="宋体" w:hAnsi="宋体" w:cs="宋体"/>
          <w:sz w:val="24"/>
        </w:rPr>
        <w:t>成立时间：</w:t>
      </w:r>
      <w:r>
        <w:rPr>
          <w:rFonts w:hint="eastAsia" w:ascii="宋体" w:hAnsi="宋体" w:cs="宋体"/>
          <w:sz w:val="24"/>
          <w:u w:val="single"/>
        </w:rPr>
        <w:t xml:space="preserve">      年      月      日</w:t>
      </w:r>
    </w:p>
    <w:p>
      <w:pPr>
        <w:spacing w:line="600" w:lineRule="exact"/>
        <w:ind w:left="609" w:leftChars="290" w:firstLine="360" w:firstLineChars="15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ab/>
      </w:r>
    </w:p>
    <w:p>
      <w:pPr>
        <w:spacing w:line="600" w:lineRule="exact"/>
        <w:ind w:left="609" w:leftChars="290" w:firstLine="360" w:firstLineChars="15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b/>
          <w:bCs/>
          <w:sz w:val="24"/>
          <w:u w:val="single"/>
        </w:rPr>
        <w:t xml:space="preserve">（签字或盖章） </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ab/>
      </w:r>
    </w:p>
    <w:p>
      <w:pPr>
        <w:spacing w:line="600" w:lineRule="exact"/>
        <w:ind w:left="609" w:leftChars="290" w:firstLine="360" w:firstLineChars="15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spacing w:line="600" w:lineRule="exact"/>
        <w:ind w:left="610" w:firstLine="480"/>
        <w:rPr>
          <w:rFonts w:hint="eastAsia" w:ascii="宋体" w:hAnsi="宋体" w:cs="宋体"/>
          <w:sz w:val="24"/>
        </w:rPr>
      </w:pPr>
    </w:p>
    <w:p>
      <w:pPr>
        <w:spacing w:line="600" w:lineRule="exact"/>
        <w:ind w:left="609" w:leftChars="290" w:firstLine="480"/>
        <w:rPr>
          <w:rFonts w:hint="eastAsia" w:ascii="宋体" w:hAnsi="宋体" w:cs="宋体"/>
          <w:sz w:val="24"/>
        </w:rPr>
      </w:pPr>
      <w:r>
        <w:rPr>
          <w:rFonts w:hint="eastAsia" w:ascii="宋体" w:hAnsi="宋体" w:cs="宋体"/>
          <w:sz w:val="24"/>
        </w:rPr>
        <w:t>特此证明。</w:t>
      </w:r>
    </w:p>
    <w:p>
      <w:pPr>
        <w:tabs>
          <w:tab w:val="left" w:pos="720"/>
          <w:tab w:val="left" w:pos="900"/>
        </w:tabs>
        <w:spacing w:line="600" w:lineRule="exact"/>
        <w:ind w:left="560" w:firstLine="480"/>
        <w:rPr>
          <w:rFonts w:hint="eastAsia" w:ascii="宋体" w:hAnsi="宋体" w:cs="宋体"/>
          <w:sz w:val="24"/>
        </w:rPr>
      </w:pPr>
    </w:p>
    <w:p>
      <w:pPr>
        <w:tabs>
          <w:tab w:val="left" w:pos="720"/>
          <w:tab w:val="left" w:pos="900"/>
        </w:tabs>
        <w:spacing w:line="600" w:lineRule="exact"/>
        <w:ind w:left="5040" w:leftChars="2400" w:firstLine="120" w:firstLineChars="50"/>
        <w:rPr>
          <w:rFonts w:hint="eastAsia"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（盖章）        </w:t>
      </w:r>
    </w:p>
    <w:p>
      <w:pPr>
        <w:snapToGrid w:val="0"/>
        <w:spacing w:before="50" w:afterLines="50"/>
        <w:ind w:right="960"/>
        <w:jc w:val="left"/>
        <w:rPr>
          <w:rFonts w:hint="eastAsia" w:ascii="宋体" w:hAnsi="宋体" w:cs="宋体"/>
          <w:b/>
          <w:sz w:val="28"/>
          <w:szCs w:val="28"/>
        </w:rPr>
      </w:pPr>
      <w:r>
        <w:rPr>
          <w:rFonts w:hint="eastAsia" w:ascii="宋体" w:hAnsi="宋体" w:cs="宋体"/>
          <w:sz w:val="24"/>
        </w:rPr>
        <w:t xml:space="preserve">                                           日  期：    年    月  </w:t>
      </w:r>
      <w:r>
        <w:rPr>
          <w:rFonts w:hint="eastAsia" w:ascii="宋体" w:hAnsi="宋体" w:cs="宋体"/>
          <w:b/>
          <w:sz w:val="28"/>
          <w:szCs w:val="28"/>
        </w:rPr>
        <w:br w:type="page"/>
      </w:r>
      <w:r>
        <w:rPr>
          <w:rFonts w:hint="eastAsia" w:ascii="宋体" w:hAnsi="宋体" w:cs="宋体"/>
          <w:b/>
          <w:sz w:val="28"/>
          <w:szCs w:val="28"/>
        </w:rPr>
        <w:t>附件2：</w:t>
      </w:r>
    </w:p>
    <w:p>
      <w:pPr>
        <w:snapToGrid w:val="0"/>
        <w:spacing w:before="50" w:after="50"/>
        <w:ind w:firstLine="562"/>
        <w:jc w:val="center"/>
        <w:rPr>
          <w:rFonts w:hint="eastAsia" w:ascii="宋体" w:hAnsi="宋体" w:cs="宋体"/>
          <w:b/>
          <w:sz w:val="28"/>
          <w:szCs w:val="28"/>
        </w:rPr>
      </w:pPr>
      <w:r>
        <w:rPr>
          <w:rFonts w:hint="eastAsia" w:ascii="宋体" w:hAnsi="宋体" w:cs="宋体"/>
          <w:b/>
          <w:sz w:val="28"/>
          <w:szCs w:val="28"/>
        </w:rPr>
        <w:t>法定代表人授权委托书</w:t>
      </w:r>
    </w:p>
    <w:p>
      <w:pPr>
        <w:snapToGrid w:val="0"/>
        <w:spacing w:beforeLines="50" w:after="50" w:line="460" w:lineRule="exact"/>
        <w:rPr>
          <w:rFonts w:hint="eastAsia" w:ascii="宋体" w:hAnsi="宋体" w:cs="宋体"/>
          <w:sz w:val="24"/>
          <w:szCs w:val="24"/>
        </w:rPr>
      </w:pPr>
      <w:r>
        <w:rPr>
          <w:rFonts w:hint="eastAsia" w:ascii="宋体" w:hAnsi="宋体" w:cs="宋体"/>
          <w:sz w:val="24"/>
          <w:szCs w:val="24"/>
          <w:lang w:eastAsia="zh-CN"/>
        </w:rPr>
        <w:t>嵊州市</w:t>
      </w:r>
      <w:r>
        <w:rPr>
          <w:rFonts w:hint="eastAsia" w:ascii="宋体" w:hAnsi="宋体" w:cs="宋体"/>
          <w:sz w:val="24"/>
          <w:szCs w:val="24"/>
          <w:lang w:val="en-US" w:eastAsia="zh-CN"/>
        </w:rPr>
        <w:t>金庭</w:t>
      </w:r>
      <w:r>
        <w:rPr>
          <w:rFonts w:hint="eastAsia" w:ascii="宋体" w:hAnsi="宋体" w:cs="宋体"/>
          <w:sz w:val="24"/>
          <w:szCs w:val="24"/>
          <w:lang w:eastAsia="zh-CN"/>
        </w:rPr>
        <w:t>镇人民政府</w:t>
      </w:r>
      <w:r>
        <w:rPr>
          <w:rFonts w:hint="eastAsia" w:ascii="宋体" w:hAnsi="宋体" w:cs="宋体"/>
          <w:sz w:val="24"/>
          <w:szCs w:val="24"/>
        </w:rPr>
        <w:t>、</w:t>
      </w:r>
      <w:r>
        <w:rPr>
          <w:rFonts w:hint="eastAsia" w:ascii="宋体" w:hAnsi="宋体" w:cs="宋体"/>
          <w:sz w:val="24"/>
          <w:szCs w:val="24"/>
          <w:lang w:eastAsia="zh-CN"/>
        </w:rPr>
        <w:t>欧邦工程管理集团有限公司</w:t>
      </w:r>
      <w:r>
        <w:rPr>
          <w:rFonts w:hint="eastAsia" w:ascii="宋体" w:hAnsi="宋体" w:cs="宋体"/>
          <w:sz w:val="24"/>
          <w:szCs w:val="24"/>
        </w:rPr>
        <w:t>：</w:t>
      </w:r>
    </w:p>
    <w:p>
      <w:pPr>
        <w:snapToGrid w:val="0"/>
        <w:spacing w:beforeLines="50" w:after="50" w:line="460" w:lineRule="exact"/>
        <w:ind w:firstLine="720" w:firstLineChars="300"/>
        <w:rPr>
          <w:rFonts w:hint="eastAsia" w:ascii="宋体" w:hAnsi="宋体" w:cs="宋体"/>
          <w:sz w:val="24"/>
          <w:szCs w:val="24"/>
          <w:lang w:val="en-US" w:eastAsia="zh-CN"/>
        </w:rPr>
      </w:pPr>
      <w:r>
        <w:rPr>
          <w:rFonts w:hint="eastAsia" w:ascii="宋体" w:hAnsi="宋体" w:cs="宋体"/>
          <w:sz w:val="24"/>
          <w:szCs w:val="24"/>
        </w:rPr>
        <w:t>我    （姓名）系    （投标人名称）的法定代表人，现授权委托本单位在职职工          （姓名）为全权代表，以我方的名义参加项目编号：</w:t>
      </w:r>
      <w:r>
        <w:rPr>
          <w:rFonts w:hint="eastAsia" w:ascii="宋体" w:hAnsi="宋体" w:cs="宋体"/>
          <w:sz w:val="24"/>
          <w:szCs w:val="24"/>
          <w:lang w:val="en-US" w:eastAsia="zh-CN"/>
        </w:rPr>
        <w:t xml:space="preserve">      </w:t>
      </w:r>
      <w:r>
        <w:rPr>
          <w:rFonts w:hint="eastAsia" w:ascii="宋体" w:hAnsi="宋体" w:cs="宋体"/>
          <w:sz w:val="24"/>
          <w:szCs w:val="24"/>
        </w:rPr>
        <w:t>项目名称：</w:t>
      </w:r>
      <w:r>
        <w:rPr>
          <w:rFonts w:hint="eastAsia" w:ascii="宋体" w:hAnsi="宋体" w:cs="宋体"/>
          <w:sz w:val="24"/>
          <w:szCs w:val="24"/>
          <w:lang w:val="en-US" w:eastAsia="zh-CN"/>
        </w:rPr>
        <w:t>嵊州市金庭镇（撤并前金庭镇行政区域范围）生活垃圾上门收集、分类清运、大件垃圾清理、终端运行、再生资源回收站点、嵊张线局部地段保洁项目</w:t>
      </w:r>
    </w:p>
    <w:p>
      <w:pPr>
        <w:snapToGrid w:val="0"/>
        <w:spacing w:beforeLines="50" w:after="50" w:line="460" w:lineRule="exact"/>
        <w:ind w:firstLine="720" w:firstLineChars="300"/>
        <w:rPr>
          <w:rFonts w:hint="eastAsia" w:ascii="宋体" w:hAnsi="宋体" w:cs="宋体"/>
          <w:sz w:val="24"/>
          <w:szCs w:val="24"/>
        </w:rPr>
      </w:pPr>
      <w:r>
        <w:rPr>
          <w:rFonts w:hint="eastAsia" w:ascii="宋体" w:hAnsi="宋体" w:cs="宋体"/>
          <w:sz w:val="24"/>
          <w:szCs w:val="24"/>
        </w:rPr>
        <w:t xml:space="preserve"> 的投标活动，并代表我方全权办理针对上述项目的投标、开标、评标、签约等具体事务和签署相关文件。我方对全权代表的签名事项负全部责任。</w:t>
      </w: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在撤销授权的书面通知以前，本授权书一直有效。全权代表在授权书有效期内签署的所有文件不因授权的撤销而失效。</w:t>
      </w: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全权代表无转委托权，特此委托。</w:t>
      </w:r>
    </w:p>
    <w:p>
      <w:pPr>
        <w:snapToGrid w:val="0"/>
        <w:spacing w:beforeLines="50" w:after="50" w:line="460" w:lineRule="exact"/>
        <w:ind w:firstLine="480"/>
        <w:rPr>
          <w:rFonts w:hint="eastAsia" w:ascii="宋体" w:hAnsi="宋体" w:cs="宋体"/>
          <w:sz w:val="24"/>
          <w:szCs w:val="24"/>
        </w:rPr>
      </w:pP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全权代表签名（或盖章）：</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全权代表身份证号码：</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法定代表人签名（或盖章）：</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附：法人身份证复印件及授权人身份证复印件。</w:t>
      </w:r>
    </w:p>
    <w:p>
      <w:pPr>
        <w:snapToGrid w:val="0"/>
        <w:spacing w:beforeLines="50" w:after="50" w:line="460" w:lineRule="exact"/>
        <w:ind w:firstLine="480"/>
        <w:rPr>
          <w:rFonts w:hint="eastAsia" w:ascii="宋体" w:hAnsi="宋体" w:cs="宋体"/>
          <w:sz w:val="24"/>
          <w:szCs w:val="24"/>
        </w:rPr>
      </w:pPr>
      <w:r>
        <w:rPr>
          <w:rFonts w:hint="eastAsia" w:ascii="宋体" w:hAnsi="宋体" w:cs="宋体"/>
          <w:sz w:val="24"/>
          <w:szCs w:val="24"/>
        </w:rPr>
        <w:t xml:space="preserve">                                     </w:t>
      </w:r>
    </w:p>
    <w:p>
      <w:pPr>
        <w:snapToGrid w:val="0"/>
        <w:spacing w:beforeLines="50" w:after="50" w:line="460" w:lineRule="exact"/>
        <w:ind w:firstLine="4920" w:firstLineChars="2050"/>
        <w:rPr>
          <w:rFonts w:hint="eastAsia" w:ascii="宋体" w:hAnsi="宋体" w:cs="宋体"/>
          <w:sz w:val="24"/>
          <w:szCs w:val="24"/>
        </w:rPr>
      </w:pPr>
    </w:p>
    <w:p>
      <w:pPr>
        <w:snapToGrid w:val="0"/>
        <w:spacing w:beforeLines="50" w:after="50" w:line="460" w:lineRule="exact"/>
        <w:ind w:firstLine="480"/>
        <w:rPr>
          <w:rFonts w:hint="eastAsia" w:ascii="宋体" w:hAnsi="宋体" w:cs="宋体"/>
          <w:sz w:val="24"/>
          <w:szCs w:val="24"/>
          <w:u w:val="single"/>
        </w:rPr>
      </w:pPr>
      <w:r>
        <w:rPr>
          <w:rFonts w:hint="eastAsia" w:ascii="宋体" w:hAnsi="宋体" w:cs="宋体"/>
          <w:sz w:val="24"/>
          <w:szCs w:val="24"/>
        </w:rPr>
        <w:t>投标人全称（公章）：</w:t>
      </w:r>
      <w:r>
        <w:rPr>
          <w:rFonts w:hint="eastAsia" w:ascii="宋体" w:hAnsi="宋体" w:cs="宋体"/>
          <w:sz w:val="24"/>
          <w:szCs w:val="24"/>
          <w:u w:val="single"/>
        </w:rPr>
        <w:t xml:space="preserve">           </w:t>
      </w:r>
      <w:r>
        <w:rPr>
          <w:rFonts w:hint="eastAsia" w:ascii="宋体" w:hAnsi="宋体" w:cs="宋体"/>
          <w:sz w:val="24"/>
          <w:szCs w:val="24"/>
        </w:rPr>
        <w:t xml:space="preserve">         日  期：</w:t>
      </w:r>
      <w:r>
        <w:rPr>
          <w:rFonts w:hint="eastAsia" w:ascii="宋体" w:hAnsi="宋体" w:cs="宋体"/>
          <w:sz w:val="24"/>
          <w:szCs w:val="24"/>
          <w:u w:val="single"/>
        </w:rPr>
        <w:t xml:space="preserve">     </w:t>
      </w:r>
    </w:p>
    <w:p>
      <w:pPr>
        <w:snapToGrid w:val="0"/>
        <w:spacing w:before="50" w:afterLines="50"/>
        <w:ind w:right="960"/>
        <w:jc w:val="left"/>
        <w:rPr>
          <w:rFonts w:hint="eastAsia" w:ascii="宋体" w:hAnsi="宋体" w:cs="宋体"/>
          <w:b/>
          <w:sz w:val="28"/>
          <w:szCs w:val="28"/>
        </w:rPr>
      </w:pPr>
      <w:r>
        <w:rPr>
          <w:rFonts w:hint="eastAsia" w:ascii="宋体" w:hAnsi="宋体" w:cs="宋体"/>
          <w:b/>
          <w:bCs/>
          <w:sz w:val="24"/>
          <w:szCs w:val="24"/>
        </w:rPr>
        <w:br w:type="page"/>
      </w:r>
      <w:r>
        <w:rPr>
          <w:rFonts w:hint="eastAsia" w:ascii="宋体" w:hAnsi="宋体" w:cs="宋体"/>
          <w:b/>
          <w:sz w:val="28"/>
          <w:szCs w:val="28"/>
        </w:rPr>
        <w:t>附件3：</w:t>
      </w:r>
    </w:p>
    <w:p>
      <w:pPr>
        <w:snapToGrid w:val="0"/>
        <w:spacing w:before="50" w:after="50"/>
        <w:ind w:firstLine="562"/>
        <w:jc w:val="center"/>
        <w:rPr>
          <w:rFonts w:hint="eastAsia" w:ascii="宋体" w:hAnsi="宋体" w:cs="宋体"/>
          <w:b/>
          <w:sz w:val="28"/>
          <w:szCs w:val="28"/>
        </w:rPr>
      </w:pPr>
      <w:r>
        <w:rPr>
          <w:rFonts w:hint="eastAsia" w:ascii="宋体" w:hAnsi="宋体" w:cs="宋体"/>
          <w:b/>
          <w:sz w:val="28"/>
          <w:szCs w:val="28"/>
        </w:rPr>
        <w:t>具有履行合同所必需的设备和专业技术能力的承诺函</w:t>
      </w:r>
    </w:p>
    <w:p>
      <w:pPr>
        <w:ind w:firstLine="482"/>
        <w:rPr>
          <w:rFonts w:hint="eastAsia" w:ascii="宋体" w:hAnsi="宋体" w:cs="宋体"/>
          <w:b/>
          <w:kern w:val="0"/>
          <w:sz w:val="24"/>
          <w:szCs w:val="28"/>
          <w:u w:val="single"/>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textAlignment w:val="auto"/>
        <w:rPr>
          <w:rFonts w:hint="eastAsia" w:ascii="宋体" w:hAnsi="宋体" w:cs="宋体"/>
          <w:sz w:val="24"/>
          <w:szCs w:val="24"/>
          <w:u w:val="single"/>
        </w:rPr>
      </w:pPr>
      <w:r>
        <w:rPr>
          <w:rFonts w:hint="eastAsia" w:ascii="宋体" w:hAnsi="宋体" w:cs="宋体"/>
          <w:sz w:val="24"/>
          <w:szCs w:val="24"/>
          <w:u w:val="single"/>
          <w:lang w:eastAsia="zh-CN"/>
        </w:rPr>
        <w:t>嵊州市</w:t>
      </w:r>
      <w:r>
        <w:rPr>
          <w:rFonts w:hint="eastAsia" w:ascii="宋体" w:hAnsi="宋体" w:cs="宋体"/>
          <w:sz w:val="24"/>
          <w:szCs w:val="24"/>
          <w:u w:val="single"/>
          <w:lang w:val="en-US" w:eastAsia="zh-CN"/>
        </w:rPr>
        <w:t>金庭</w:t>
      </w:r>
      <w:r>
        <w:rPr>
          <w:rFonts w:hint="eastAsia" w:ascii="宋体" w:hAnsi="宋体" w:cs="宋体"/>
          <w:sz w:val="24"/>
          <w:szCs w:val="24"/>
          <w:u w:val="single"/>
          <w:lang w:eastAsia="zh-CN"/>
        </w:rPr>
        <w:t>镇人民政府</w:t>
      </w:r>
      <w:r>
        <w:rPr>
          <w:rFonts w:hint="eastAsia" w:ascii="宋体" w:hAnsi="宋体" w:cs="宋体"/>
          <w:sz w:val="24"/>
          <w:szCs w:val="24"/>
          <w:u w:val="single"/>
        </w:rPr>
        <w:t>、</w:t>
      </w:r>
      <w:r>
        <w:rPr>
          <w:rFonts w:hint="eastAsia" w:ascii="宋体" w:hAnsi="宋体" w:cs="宋体"/>
          <w:bCs/>
          <w:kern w:val="0"/>
          <w:sz w:val="24"/>
          <w:u w:val="single"/>
          <w:lang w:eastAsia="zh-CN"/>
        </w:rPr>
        <w:t>欧邦工程管理集团有限公司</w:t>
      </w:r>
      <w:r>
        <w:rPr>
          <w:rFonts w:hint="eastAsia" w:ascii="宋体" w:hAnsi="宋体" w:cs="宋体"/>
          <w:sz w:val="24"/>
          <w:szCs w:val="24"/>
          <w:u w:val="single"/>
        </w:rPr>
        <w:t>：</w:t>
      </w:r>
    </w:p>
    <w:p>
      <w:pPr>
        <w:keepNext w:val="0"/>
        <w:keepLines w:val="0"/>
        <w:pageBreakBefore w:val="0"/>
        <w:widowControl w:val="0"/>
        <w:kinsoku/>
        <w:wordWrap/>
        <w:overflowPunct/>
        <w:topLinePunct w:val="0"/>
        <w:autoSpaceDE/>
        <w:autoSpaceDN/>
        <w:bidi w:val="0"/>
        <w:adjustRightInd/>
        <w:snapToGrid w:val="0"/>
        <w:spacing w:beforeLines="50" w:after="5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我方郑重声明，我方具有履行</w:t>
      </w:r>
      <w:r>
        <w:rPr>
          <w:rFonts w:hint="eastAsia" w:ascii="宋体" w:hAnsi="宋体" w:cs="宋体"/>
          <w:sz w:val="24"/>
          <w:szCs w:val="24"/>
          <w:lang w:val="en-US" w:eastAsia="zh-CN"/>
        </w:rPr>
        <w:t>嵊州市金庭镇（撤并前金庭镇行政区域范围）生活垃圾上门收集、分类清运、大件垃圾清理、终端运行、再生资源回收站点、嵊张线局部地段保洁项目</w:t>
      </w:r>
      <w:r>
        <w:rPr>
          <w:rFonts w:hint="eastAsia" w:ascii="宋体" w:hAnsi="宋体" w:cs="宋体"/>
          <w:sz w:val="24"/>
          <w:szCs w:val="24"/>
        </w:rPr>
        <w:t>（项目编号：</w:t>
      </w:r>
      <w:r>
        <w:rPr>
          <w:rFonts w:hint="eastAsia" w:ascii="宋体" w:hAnsi="宋体" w:cs="宋体"/>
          <w:sz w:val="24"/>
          <w:szCs w:val="24"/>
          <w:lang w:val="en-US" w:eastAsia="zh-CN"/>
        </w:rPr>
        <w:t xml:space="preserve">    </w:t>
      </w:r>
      <w:r>
        <w:rPr>
          <w:rFonts w:hint="eastAsia" w:ascii="宋体" w:hAnsi="宋体" w:cs="宋体"/>
          <w:sz w:val="24"/>
          <w:szCs w:val="24"/>
        </w:rPr>
        <w:t>）合同所必需的设备和专业技术能力，如中标，我方将按我方投标文件承诺，保证合同顺利履行。如有虚假或隐瞒，愿意承担一切后果。</w:t>
      </w:r>
    </w:p>
    <w:p>
      <w:pPr>
        <w:keepNext w:val="0"/>
        <w:keepLines w:val="0"/>
        <w:pageBreakBefore w:val="0"/>
        <w:widowControl w:val="0"/>
        <w:kinsoku/>
        <w:wordWrap/>
        <w:overflowPunct/>
        <w:topLinePunct w:val="0"/>
        <w:autoSpaceDE/>
        <w:autoSpaceDN/>
        <w:bidi w:val="0"/>
        <w:adjustRightInd/>
        <w:spacing w:line="360" w:lineRule="auto"/>
        <w:ind w:right="0" w:rightChars="0" w:firstLine="480"/>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pacing w:line="360" w:lineRule="auto"/>
        <w:ind w:right="0" w:rightChars="0" w:firstLine="480"/>
        <w:textAlignment w:val="auto"/>
        <w:rPr>
          <w:rFonts w:hint="eastAsia" w:ascii="宋体" w:hAnsi="宋体" w:cs="宋体"/>
          <w:kern w:val="0"/>
          <w:sz w:val="24"/>
          <w:szCs w:val="24"/>
        </w:rPr>
      </w:pPr>
      <w:r>
        <w:rPr>
          <w:rFonts w:hint="eastAsia" w:ascii="宋体" w:hAnsi="宋体" w:cs="宋体"/>
          <w:kern w:val="0"/>
          <w:sz w:val="24"/>
          <w:szCs w:val="24"/>
        </w:rPr>
        <w:t>特此承诺！</w:t>
      </w:r>
    </w:p>
    <w:p>
      <w:pPr>
        <w:keepNext w:val="0"/>
        <w:keepLines w:val="0"/>
        <w:pageBreakBefore w:val="0"/>
        <w:widowControl w:val="0"/>
        <w:kinsoku/>
        <w:wordWrap/>
        <w:overflowPunct/>
        <w:topLinePunct w:val="0"/>
        <w:autoSpaceDE/>
        <w:autoSpaceDN/>
        <w:bidi w:val="0"/>
        <w:adjustRightInd/>
        <w:spacing w:line="360" w:lineRule="auto"/>
        <w:ind w:right="0" w:rightChars="0" w:firstLine="560"/>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pacing w:line="360" w:lineRule="auto"/>
        <w:ind w:right="0" w:rightChars="0" w:firstLine="560"/>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pacing w:line="360" w:lineRule="auto"/>
        <w:ind w:right="0" w:rightChars="0" w:firstLine="560"/>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pacing w:line="360" w:lineRule="auto"/>
        <w:ind w:right="0" w:rightChars="0" w:firstLine="4800" w:firstLineChars="2000"/>
        <w:textAlignment w:val="auto"/>
        <w:rPr>
          <w:rFonts w:hint="eastAsia" w:ascii="宋体" w:hAnsi="宋体" w:cs="宋体"/>
          <w:sz w:val="24"/>
          <w:szCs w:val="24"/>
        </w:rPr>
      </w:pPr>
      <w:r>
        <w:rPr>
          <w:rFonts w:hint="eastAsia" w:ascii="宋体" w:hAnsi="宋体" w:cs="宋体"/>
          <w:sz w:val="24"/>
          <w:szCs w:val="24"/>
        </w:rPr>
        <w:t>投标人（盖章）：</w:t>
      </w:r>
    </w:p>
    <w:p>
      <w:pPr>
        <w:keepNext w:val="0"/>
        <w:keepLines w:val="0"/>
        <w:pageBreakBefore w:val="0"/>
        <w:widowControl w:val="0"/>
        <w:kinsoku/>
        <w:wordWrap/>
        <w:overflowPunct/>
        <w:topLinePunct w:val="0"/>
        <w:autoSpaceDE/>
        <w:autoSpaceDN/>
        <w:bidi w:val="0"/>
        <w:adjustRightInd/>
        <w:spacing w:line="360" w:lineRule="auto"/>
        <w:ind w:right="0" w:rightChars="0" w:firstLine="480"/>
        <w:jc w:val="center"/>
        <w:textAlignment w:val="auto"/>
        <w:rPr>
          <w:rFonts w:hint="eastAsia" w:ascii="宋体" w:hAnsi="宋体" w:cs="宋体"/>
          <w:sz w:val="24"/>
          <w:szCs w:val="24"/>
        </w:rPr>
      </w:pPr>
      <w:r>
        <w:rPr>
          <w:rFonts w:hint="eastAsia" w:ascii="宋体" w:hAnsi="宋体" w:cs="宋体"/>
          <w:sz w:val="24"/>
          <w:szCs w:val="24"/>
        </w:rPr>
        <w:t xml:space="preserve">                     投标人代表（签字或盖章）：</w:t>
      </w:r>
    </w:p>
    <w:p>
      <w:pPr>
        <w:keepNext w:val="0"/>
        <w:keepLines w:val="0"/>
        <w:pageBreakBefore w:val="0"/>
        <w:widowControl w:val="0"/>
        <w:kinsoku/>
        <w:wordWrap/>
        <w:overflowPunct/>
        <w:topLinePunct w:val="0"/>
        <w:autoSpaceDE/>
        <w:autoSpaceDN/>
        <w:bidi w:val="0"/>
        <w:adjustRightInd/>
        <w:spacing w:line="360" w:lineRule="auto"/>
        <w:ind w:right="0" w:rightChars="0" w:firstLine="4800" w:firstLineChars="2000"/>
        <w:textAlignment w:val="auto"/>
        <w:rPr>
          <w:rFonts w:hint="eastAsia" w:ascii="宋体" w:hAnsi="宋体" w:cs="宋体"/>
          <w:kern w:val="0"/>
          <w:sz w:val="24"/>
          <w:szCs w:val="24"/>
        </w:rPr>
      </w:pPr>
      <w:r>
        <w:rPr>
          <w:rFonts w:hint="eastAsia" w:ascii="宋体" w:hAnsi="宋体" w:cs="宋体"/>
          <w:sz w:val="24"/>
          <w:szCs w:val="24"/>
        </w:rPr>
        <w:t>日    期：</w:t>
      </w: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cs="宋体"/>
          <w:b/>
          <w:sz w:val="32"/>
          <w:szCs w:val="32"/>
        </w:rPr>
      </w:pPr>
      <w:r>
        <w:rPr>
          <w:rFonts w:hint="eastAsia" w:ascii="宋体" w:hAnsi="宋体" w:cs="宋体"/>
          <w:w w:val="90"/>
          <w:kern w:val="0"/>
          <w:sz w:val="24"/>
          <w:szCs w:val="24"/>
        </w:rPr>
        <w:br w:type="page"/>
      </w:r>
      <w:r>
        <w:rPr>
          <w:rFonts w:hint="eastAsia" w:ascii="宋体" w:hAnsi="宋体" w:cs="宋体"/>
          <w:b/>
          <w:bCs/>
          <w:sz w:val="28"/>
          <w:szCs w:val="28"/>
        </w:rPr>
        <w:t>商务技术</w:t>
      </w:r>
      <w:r>
        <w:rPr>
          <w:rFonts w:hint="eastAsia" w:ascii="宋体" w:hAnsi="宋体" w:cs="宋体"/>
          <w:b/>
          <w:sz w:val="32"/>
          <w:szCs w:val="32"/>
        </w:rPr>
        <w:t>文件封面格式</w:t>
      </w:r>
    </w:p>
    <w:p>
      <w:pPr>
        <w:pStyle w:val="30"/>
        <w:spacing w:line="420" w:lineRule="exact"/>
        <w:ind w:left="105" w:leftChars="50" w:firstLine="2880" w:firstLineChars="1200"/>
        <w:jc w:val="left"/>
        <w:rPr>
          <w:rFonts w:hint="eastAsia" w:ascii="宋体" w:hAnsi="宋体" w:cs="宋体"/>
        </w:rPr>
      </w:pPr>
    </w:p>
    <w:p>
      <w:pPr>
        <w:spacing w:line="420" w:lineRule="exact"/>
        <w:ind w:firstLine="640"/>
        <w:jc w:val="center"/>
        <w:rPr>
          <w:rFonts w:hint="eastAsia" w:ascii="宋体" w:hAnsi="宋体" w:cs="宋体"/>
          <w:sz w:val="84"/>
        </w:rPr>
      </w:pPr>
      <w:r>
        <w:rPr>
          <w:rFonts w:hint="eastAsia" w:ascii="宋体" w:hAnsi="宋体" w:cs="宋体"/>
          <w:sz w:val="32"/>
          <w:szCs w:val="32"/>
        </w:rPr>
        <w:t xml:space="preserve">                                       </w:t>
      </w:r>
    </w:p>
    <w:p>
      <w:pPr>
        <w:spacing w:line="420" w:lineRule="exact"/>
        <w:ind w:firstLine="883"/>
        <w:rPr>
          <w:rFonts w:hint="eastAsia" w:ascii="宋体" w:hAnsi="宋体" w:cs="宋体"/>
          <w:b/>
          <w:sz w:val="44"/>
          <w:szCs w:val="44"/>
        </w:rPr>
      </w:pPr>
    </w:p>
    <w:p>
      <w:pPr>
        <w:ind w:firstLine="420"/>
        <w:rPr>
          <w:rFonts w:hint="eastAsia" w:ascii="宋体" w:hAnsi="宋体" w:cs="宋体"/>
        </w:rPr>
      </w:pPr>
    </w:p>
    <w:p>
      <w:pPr>
        <w:jc w:val="center"/>
        <w:rPr>
          <w:rFonts w:hint="eastAsia" w:ascii="宋体" w:hAnsi="宋体" w:cs="宋体"/>
          <w:b/>
          <w:bCs/>
          <w:sz w:val="72"/>
          <w:szCs w:val="72"/>
        </w:rPr>
      </w:pPr>
    </w:p>
    <w:p>
      <w:pPr>
        <w:jc w:val="center"/>
        <w:rPr>
          <w:rFonts w:hint="eastAsia" w:ascii="宋体" w:hAnsi="宋体" w:cs="宋体"/>
          <w:b/>
          <w:bCs/>
          <w:sz w:val="72"/>
          <w:szCs w:val="72"/>
        </w:rPr>
      </w:pPr>
      <w:r>
        <w:rPr>
          <w:rFonts w:hint="eastAsia" w:ascii="宋体" w:hAnsi="宋体" w:cs="宋体"/>
          <w:b/>
          <w:bCs/>
          <w:sz w:val="72"/>
          <w:szCs w:val="72"/>
        </w:rPr>
        <w:t>商务技术文件</w:t>
      </w:r>
    </w:p>
    <w:p>
      <w:pPr>
        <w:ind w:firstLine="883"/>
        <w:jc w:val="center"/>
        <w:rPr>
          <w:rFonts w:hint="eastAsia" w:ascii="宋体" w:hAnsi="宋体" w:cs="宋体"/>
          <w:b/>
          <w:bCs/>
          <w:sz w:val="44"/>
          <w:szCs w:val="44"/>
        </w:rPr>
      </w:pPr>
    </w:p>
    <w:p>
      <w:pPr>
        <w:rPr>
          <w:rFonts w:hint="eastAsia" w:ascii="宋体" w:hAnsi="宋体" w:cs="宋体"/>
        </w:rPr>
      </w:pPr>
    </w:p>
    <w:p>
      <w:pPr>
        <w:rPr>
          <w:rFonts w:hint="eastAsia" w:ascii="宋体" w:hAnsi="宋体" w:cs="宋体"/>
        </w:rPr>
      </w:pPr>
    </w:p>
    <w:p>
      <w:pPr>
        <w:pStyle w:val="7"/>
        <w:ind w:firstLine="420"/>
        <w:rPr>
          <w:rFonts w:hint="eastAsia" w:ascii="宋体" w:hAnsi="宋体" w:cs="宋体"/>
        </w:rPr>
      </w:pPr>
    </w:p>
    <w:p>
      <w:pPr>
        <w:pStyle w:val="7"/>
        <w:ind w:firstLine="420"/>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u w:val="single"/>
          <w:lang w:val="en-US" w:eastAsia="zh-CN"/>
        </w:rPr>
      </w:pPr>
      <w:r>
        <w:rPr>
          <w:rFonts w:hint="eastAsia" w:ascii="宋体" w:hAnsi="宋体" w:cs="宋体"/>
          <w:sz w:val="28"/>
          <w:szCs w:val="28"/>
        </w:rPr>
        <w:t>项目名称：</w:t>
      </w:r>
      <w:r>
        <w:rPr>
          <w:rFonts w:hint="eastAsia" w:ascii="宋体" w:hAnsi="宋体" w:cs="宋体"/>
          <w:color w:val="auto"/>
          <w:sz w:val="28"/>
          <w:szCs w:val="28"/>
          <w:u w:val="single"/>
          <w:lang w:val="en-US" w:eastAsia="zh-CN"/>
        </w:rPr>
        <w:t>嵊州市金庭镇（撤并前金庭镇行政区域范围）生活垃圾上门收集、分类清运、大件垃圾清理、终端运行、再生资源回收站点、嵊张线局部地段保洁项目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lang w:val="en-US" w:eastAsia="zh-CN"/>
        </w:rPr>
      </w:pPr>
      <w:r>
        <w:rPr>
          <w:rFonts w:hint="eastAsia" w:ascii="宋体" w:hAnsi="宋体" w:cs="宋体"/>
          <w:sz w:val="28"/>
          <w:szCs w:val="28"/>
        </w:rPr>
        <w:t>项目编号：</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（全称）（加盖公章）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rPr>
        <w:t>投标人地址：</w:t>
      </w:r>
    </w:p>
    <w:p>
      <w:pPr>
        <w:spacing w:line="420" w:lineRule="exact"/>
        <w:ind w:firstLine="420"/>
        <w:jc w:val="left"/>
        <w:rPr>
          <w:rFonts w:hint="eastAsia" w:ascii="宋体" w:hAnsi="宋体" w:cs="宋体"/>
        </w:rPr>
      </w:pPr>
    </w:p>
    <w:p>
      <w:pPr>
        <w:jc w:val="center"/>
        <w:rPr>
          <w:rFonts w:hint="eastAsia" w:ascii="宋体" w:hAnsi="宋体" w:cs="宋体"/>
          <w:sz w:val="32"/>
        </w:rPr>
      </w:pPr>
    </w:p>
    <w:p>
      <w:pPr>
        <w:jc w:val="center"/>
        <w:rPr>
          <w:rFonts w:hint="eastAsia" w:ascii="宋体" w:hAnsi="宋体" w:cs="宋体"/>
          <w:sz w:val="32"/>
        </w:rPr>
      </w:pPr>
    </w:p>
    <w:p>
      <w:pPr>
        <w:jc w:val="center"/>
        <w:rPr>
          <w:rFonts w:hint="eastAsia" w:ascii="宋体" w:hAnsi="宋体" w:cs="宋体"/>
          <w:sz w:val="32"/>
        </w:rPr>
      </w:pPr>
    </w:p>
    <w:p>
      <w:pPr>
        <w:jc w:val="center"/>
        <w:rPr>
          <w:rFonts w:hint="eastAsia" w:ascii="宋体" w:hAnsi="宋体" w:cs="宋体"/>
          <w:sz w:val="32"/>
        </w:rPr>
      </w:pPr>
      <w:r>
        <w:rPr>
          <w:rFonts w:hint="eastAsia" w:ascii="宋体" w:hAnsi="宋体" w:cs="宋体"/>
          <w:sz w:val="32"/>
        </w:rPr>
        <w:t xml:space="preserve">二  〇 二 </w:t>
      </w:r>
      <w:r>
        <w:rPr>
          <w:rFonts w:hint="eastAsia" w:ascii="宋体" w:hAnsi="宋体" w:cs="宋体"/>
          <w:sz w:val="32"/>
          <w:lang w:eastAsia="zh-CN"/>
        </w:rPr>
        <w:t>一</w:t>
      </w:r>
      <w:r>
        <w:rPr>
          <w:rFonts w:hint="eastAsia" w:ascii="宋体" w:hAnsi="宋体" w:cs="宋体"/>
          <w:sz w:val="32"/>
        </w:rPr>
        <w:t xml:space="preserve"> 年    月    日</w:t>
      </w:r>
    </w:p>
    <w:p>
      <w:pPr>
        <w:spacing w:line="400" w:lineRule="exact"/>
        <w:jc w:val="left"/>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sz w:val="28"/>
          <w:szCs w:val="28"/>
        </w:rPr>
      </w:pPr>
      <w:r>
        <w:rPr>
          <w:rFonts w:hint="eastAsia" w:ascii="宋体" w:hAnsi="宋体" w:cs="宋体"/>
          <w:b/>
          <w:bCs/>
          <w:sz w:val="28"/>
          <w:szCs w:val="28"/>
        </w:rPr>
        <w:br w:type="page"/>
      </w:r>
      <w:r>
        <w:rPr>
          <w:rFonts w:hint="eastAsia" w:ascii="宋体" w:hAnsi="宋体" w:cs="宋体"/>
          <w:b/>
          <w:sz w:val="28"/>
          <w:szCs w:val="28"/>
        </w:rPr>
        <w:t>附件4：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rPr>
      </w:pPr>
      <w:r>
        <w:rPr>
          <w:rFonts w:hint="eastAsia" w:ascii="宋体" w:hAnsi="宋体" w:cs="宋体"/>
          <w:b/>
          <w:bCs/>
          <w:sz w:val="28"/>
          <w:szCs w:val="28"/>
        </w:rPr>
        <w:t>投标函</w:t>
      </w:r>
      <w:bookmarkEnd w:id="286"/>
      <w:bookmarkEnd w:id="287"/>
      <w:bookmarkEnd w:id="288"/>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rPr>
      </w:pPr>
      <w:r>
        <w:rPr>
          <w:rFonts w:hint="eastAsia" w:ascii="宋体" w:hAnsi="宋体" w:cs="宋体"/>
          <w:sz w:val="24"/>
          <w:lang w:eastAsia="zh-CN"/>
        </w:rPr>
        <w:t>嵊州市</w:t>
      </w:r>
      <w:r>
        <w:rPr>
          <w:rFonts w:hint="eastAsia" w:ascii="宋体" w:hAnsi="宋体" w:cs="宋体"/>
          <w:sz w:val="24"/>
          <w:lang w:val="en-US" w:eastAsia="zh-CN"/>
        </w:rPr>
        <w:t>金庭</w:t>
      </w:r>
      <w:r>
        <w:rPr>
          <w:rFonts w:hint="eastAsia" w:ascii="宋体" w:hAnsi="宋体" w:cs="宋体"/>
          <w:sz w:val="24"/>
          <w:lang w:eastAsia="zh-CN"/>
        </w:rPr>
        <w:t>镇人民政府</w:t>
      </w:r>
      <w:r>
        <w:rPr>
          <w:rFonts w:hint="eastAsia" w:ascii="宋体" w:hAnsi="宋体" w:cs="宋体"/>
          <w:sz w:val="24"/>
        </w:rPr>
        <w:t>、</w:t>
      </w:r>
      <w:r>
        <w:rPr>
          <w:rFonts w:hint="eastAsia" w:ascii="宋体" w:hAnsi="宋体" w:cs="宋体"/>
          <w:sz w:val="24"/>
          <w:lang w:eastAsia="zh-CN"/>
        </w:rPr>
        <w:t>欧邦工程管理集团有限公司</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(投标人全称)授权(全权代表姓名)(职务、职称)为全权代表，参加贵方组织的</w:t>
      </w:r>
      <w:r>
        <w:rPr>
          <w:rFonts w:hint="eastAsia" w:ascii="宋体" w:hAnsi="宋体" w:cs="宋体"/>
          <w:sz w:val="24"/>
          <w:lang w:val="en-US" w:eastAsia="zh-CN"/>
        </w:rPr>
        <w:t>嵊州市金庭镇（撤并前金庭镇行政区域范围）生活垃圾上门收集、分类清运、大件垃圾清理、终端运行、再生资源回收站点、嵊张线局部地段保洁项目（项目编号：</w:t>
      </w:r>
      <w:r>
        <w:rPr>
          <w:rFonts w:hint="eastAsia" w:ascii="宋体" w:hAnsi="宋体" w:cs="宋体"/>
          <w:sz w:val="24"/>
          <w:lang w:val="zh-CN"/>
        </w:rPr>
        <w:t>)</w:t>
      </w:r>
      <w:r>
        <w:rPr>
          <w:rFonts w:hint="eastAsia" w:ascii="宋体" w:hAnsi="宋体" w:cs="宋体"/>
          <w:sz w:val="24"/>
        </w:rPr>
        <w:t>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1.我方同意在投标人投标须知规定的开标日期起遵守本投标书中的承诺且在投标有效期满之前均具有约束力。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2.我方承诺已经具备《中华人民共和国政府采购法》中规定的参加政府采购活动的投标人应当具备的条件：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289" w:name="_Toc26282_WPSOffice_Level1"/>
      <w:bookmarkStart w:id="290" w:name="_Toc28494_WPSOffice_Level1"/>
      <w:bookmarkStart w:id="291" w:name="_Toc28368_WPSOffice_Level1"/>
      <w:r>
        <w:rPr>
          <w:rFonts w:hint="eastAsia" w:ascii="宋体" w:hAnsi="宋体" w:cs="宋体"/>
          <w:sz w:val="24"/>
        </w:rPr>
        <w:t>(1)具有独立承担民事责任的能力；</w:t>
      </w:r>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292" w:name="_Toc3878_WPSOffice_Level1"/>
      <w:bookmarkStart w:id="293" w:name="_Toc7471_WPSOffice_Level1"/>
      <w:bookmarkStart w:id="294" w:name="_Toc8560_WPSOffice_Level1"/>
      <w:r>
        <w:rPr>
          <w:rFonts w:hint="eastAsia" w:ascii="宋体" w:hAnsi="宋体" w:cs="宋体"/>
          <w:sz w:val="24"/>
        </w:rPr>
        <w:t>(2)遵守国家法律、行政法规，具有良好的信誉和商业道德；</w:t>
      </w:r>
      <w:bookmarkEnd w:id="292"/>
      <w:bookmarkEnd w:id="293"/>
      <w:bookmarkEnd w:id="294"/>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295" w:name="_Toc12874_WPSOffice_Level1"/>
      <w:bookmarkStart w:id="296" w:name="_Toc19337_WPSOffice_Level1"/>
      <w:bookmarkStart w:id="297" w:name="_Toc29658_WPSOffice_Level1"/>
      <w:r>
        <w:rPr>
          <w:rFonts w:hint="eastAsia" w:ascii="宋体" w:hAnsi="宋体" w:cs="宋体"/>
          <w:sz w:val="24"/>
        </w:rPr>
        <w:t>(3)具有履行合同的能力和良好的履行合同记录；</w:t>
      </w:r>
      <w:bookmarkEnd w:id="295"/>
      <w:bookmarkEnd w:id="296"/>
      <w:bookmarkEnd w:id="297"/>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298" w:name="_Toc9908_WPSOffice_Level1"/>
      <w:bookmarkStart w:id="299" w:name="_Toc14982_WPSOffice_Level1"/>
      <w:bookmarkStart w:id="300" w:name="_Toc23978_WPSOffice_Level1"/>
      <w:r>
        <w:rPr>
          <w:rFonts w:hint="eastAsia" w:ascii="宋体" w:hAnsi="宋体" w:cs="宋体"/>
          <w:sz w:val="24"/>
        </w:rPr>
        <w:t>(4)良好的资金、财务状况；</w:t>
      </w:r>
      <w:bookmarkEnd w:id="298"/>
      <w:bookmarkEnd w:id="299"/>
      <w:bookmarkEnd w:id="300"/>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01" w:name="_Toc1715_WPSOffice_Level1"/>
      <w:bookmarkStart w:id="302" w:name="_Toc19486_WPSOffice_Level1"/>
      <w:bookmarkStart w:id="303" w:name="_Toc14576_WPSOffice_Level1"/>
      <w:r>
        <w:rPr>
          <w:rFonts w:hint="eastAsia" w:ascii="宋体" w:hAnsi="宋体" w:cs="宋体"/>
          <w:sz w:val="24"/>
        </w:rPr>
        <w:t>(5)提供的产品和服务符合中国政府规定的相应标准和环保标准；</w:t>
      </w:r>
      <w:bookmarkEnd w:id="301"/>
      <w:bookmarkEnd w:id="302"/>
      <w:bookmarkEnd w:id="303"/>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04" w:name="_Toc21916_WPSOffice_Level1"/>
      <w:bookmarkStart w:id="305" w:name="_Toc31563_WPSOffice_Level1"/>
      <w:bookmarkStart w:id="306" w:name="_Toc22738_WPSOffice_Level1"/>
      <w:r>
        <w:rPr>
          <w:rFonts w:hint="eastAsia" w:ascii="宋体" w:hAnsi="宋体" w:cs="宋体"/>
          <w:sz w:val="24"/>
        </w:rPr>
        <w:t>(6)没有违反政府采购法规、政策的记录；</w:t>
      </w:r>
      <w:bookmarkEnd w:id="304"/>
      <w:bookmarkEnd w:id="305"/>
      <w:bookmarkEnd w:id="306"/>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07" w:name="_Toc12445_WPSOffice_Level1"/>
      <w:bookmarkStart w:id="308" w:name="_Toc15073_WPSOffice_Level1"/>
      <w:bookmarkStart w:id="309" w:name="_Toc12415_WPSOffice_Level1"/>
      <w:r>
        <w:rPr>
          <w:rFonts w:hint="eastAsia" w:ascii="宋体" w:hAnsi="宋体" w:cs="宋体"/>
          <w:sz w:val="24"/>
        </w:rPr>
        <w:t>(7)没有发生重大经济纠纷和走私犯罪记录。</w:t>
      </w:r>
      <w:bookmarkEnd w:id="307"/>
      <w:bookmarkEnd w:id="308"/>
      <w:bookmarkEnd w:id="309"/>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3.提供编制和提交招标文件须知规定的全部投标文件。具体内容为：</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(1)资格文件；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zh-CN"/>
        </w:rPr>
        <w:t>商务技术文件</w:t>
      </w:r>
      <w:r>
        <w:rPr>
          <w:rFonts w:hint="eastAsia" w:ascii="宋体" w:hAnsi="宋体" w:cs="宋体"/>
          <w:sz w:val="24"/>
        </w:rPr>
        <w:t>、报价文件；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(3)投标须知要求投标人提交的全部文件；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(4)按招标文件要求提供和交付的货物和服务的投标报价详见开标一览表；</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(5)保证忠实地执行双方所签订的合同，并承担合同规定的责任和义务；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(6)保证遵守招标文件中的其他有关规定。</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4.我方完全理解贵方不一定要接受最低价的投标。</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5.我方愿意向贵方提供任何与该项投标有关的数据、情况和服务资料。若贵方需要，我方愿意提供我方作出的一切承诺的证明材料。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6.我方已详细审核全部招标文件，包括招标文件修改书（如有的话）、参考资料及有关附件，确认无误。我方完全理解并接受招标文件的各项规定和要求，对招标文件的合理性、合法性不再有异议。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10" w:name="_Toc4442_WPSOffice_Level1"/>
      <w:bookmarkStart w:id="311" w:name="_Toc25395_WPSOffice_Level1"/>
      <w:bookmarkStart w:id="312" w:name="_Toc7856_WPSOffice_Level1"/>
      <w:r>
        <w:rPr>
          <w:rFonts w:hint="eastAsia" w:ascii="宋体" w:hAnsi="宋体" w:cs="宋体"/>
          <w:sz w:val="24"/>
        </w:rPr>
        <w:t>(1)提供虚假材料谋取中标、成交的；</w:t>
      </w:r>
      <w:bookmarkEnd w:id="310"/>
      <w:bookmarkEnd w:id="311"/>
      <w:bookmarkEnd w:id="312"/>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13" w:name="_Toc23417_WPSOffice_Level1"/>
      <w:bookmarkStart w:id="314" w:name="_Toc19322_WPSOffice_Level1"/>
      <w:bookmarkStart w:id="315" w:name="_Toc17583_WPSOffice_Level1"/>
      <w:r>
        <w:rPr>
          <w:rFonts w:hint="eastAsia" w:ascii="宋体" w:hAnsi="宋体" w:cs="宋体"/>
          <w:sz w:val="24"/>
        </w:rPr>
        <w:t>(2)采取不正当手段诋毁、排挤其他投标人的；</w:t>
      </w:r>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16" w:name="_Toc2563_WPSOffice_Level1"/>
      <w:bookmarkStart w:id="317" w:name="_Toc15532_WPSOffice_Level1"/>
      <w:bookmarkStart w:id="318" w:name="_Toc10338_WPSOffice_Level1"/>
      <w:r>
        <w:rPr>
          <w:rFonts w:hint="eastAsia" w:ascii="宋体" w:hAnsi="宋体" w:cs="宋体"/>
          <w:sz w:val="24"/>
        </w:rPr>
        <w:t>(3)与采购单位、其它投标人或者招标代理机构恶意串通的；</w:t>
      </w:r>
      <w:bookmarkEnd w:id="316"/>
      <w:bookmarkEnd w:id="317"/>
      <w:bookmarkEnd w:id="318"/>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19" w:name="_Toc16860_WPSOffice_Level1"/>
      <w:bookmarkStart w:id="320" w:name="_Toc17925_WPSOffice_Level1"/>
      <w:bookmarkStart w:id="321" w:name="_Toc8669_WPSOffice_Level1"/>
      <w:r>
        <w:rPr>
          <w:rFonts w:hint="eastAsia" w:ascii="宋体" w:hAnsi="宋体" w:cs="宋体"/>
          <w:sz w:val="24"/>
        </w:rPr>
        <w:t>(4)向采购单位、招标代理机构行贿或者提供其他不正当利益的；</w:t>
      </w:r>
      <w:bookmarkEnd w:id="319"/>
      <w:bookmarkEnd w:id="320"/>
      <w:bookmarkEnd w:id="321"/>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22" w:name="_Toc12118_WPSOffice_Level1"/>
      <w:bookmarkStart w:id="323" w:name="_Toc20834_WPSOffice_Level1"/>
      <w:bookmarkStart w:id="324" w:name="_Toc10655_WPSOffice_Level1"/>
      <w:r>
        <w:rPr>
          <w:rFonts w:hint="eastAsia" w:ascii="宋体" w:hAnsi="宋体" w:cs="宋体"/>
          <w:sz w:val="24"/>
        </w:rPr>
        <w:t>(5)在招标采购过程中与采购单位进行协商谈判的；</w:t>
      </w:r>
      <w:bookmarkEnd w:id="322"/>
      <w:bookmarkEnd w:id="323"/>
      <w:bookmarkEnd w:id="324"/>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bookmarkStart w:id="325" w:name="_Toc14152_WPSOffice_Level1"/>
      <w:bookmarkStart w:id="326" w:name="_Toc5988_WPSOffice_Level1"/>
      <w:bookmarkStart w:id="327" w:name="_Toc2385_WPSOffice_Level1"/>
      <w:r>
        <w:rPr>
          <w:rFonts w:hint="eastAsia" w:ascii="宋体" w:hAnsi="宋体" w:cs="宋体"/>
          <w:sz w:val="24"/>
        </w:rPr>
        <w:t>(6)拒绝有关部门监督检查或提供虚假情况的。</w:t>
      </w:r>
      <w:bookmarkEnd w:id="325"/>
      <w:bookmarkEnd w:id="326"/>
      <w:bookmarkEnd w:id="327"/>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sz w:val="24"/>
        </w:rPr>
      </w:pPr>
      <w:r>
        <w:rPr>
          <w:rFonts w:hint="eastAsia" w:ascii="宋体" w:hAnsi="宋体" w:cs="宋体"/>
          <w:sz w:val="24"/>
        </w:rPr>
        <w:t>投标人有前款第(1)至(5)项情形之一的，中标、成交无效。</w:t>
      </w:r>
    </w:p>
    <w:p>
      <w:pPr>
        <w:ind w:firstLine="480"/>
        <w:rPr>
          <w:rFonts w:hint="eastAsia" w:ascii="宋体" w:hAnsi="宋体" w:cs="宋体"/>
          <w:sz w:val="24"/>
          <w:lang w:val="zh-CN"/>
        </w:rPr>
      </w:pPr>
    </w:p>
    <w:p>
      <w:pPr>
        <w:pStyle w:val="7"/>
        <w:rPr>
          <w:rFonts w:hint="eastAsia" w:ascii="宋体" w:hAnsi="宋体" w:cs="宋体"/>
          <w:sz w:val="24"/>
          <w:lang w:val="zh-CN"/>
        </w:rPr>
      </w:pPr>
    </w:p>
    <w:p>
      <w:pPr>
        <w:pStyle w:val="6"/>
        <w:rPr>
          <w:rFonts w:hint="eastAsia"/>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rPr>
      </w:pPr>
      <w:r>
        <w:rPr>
          <w:rFonts w:hint="eastAsia" w:ascii="宋体" w:hAnsi="宋体" w:cs="宋体"/>
          <w:sz w:val="24"/>
          <w:lang w:val="zh-CN"/>
        </w:rPr>
        <w:t>法定代表人（签字</w:t>
      </w:r>
      <w:r>
        <w:rPr>
          <w:rFonts w:hint="eastAsia" w:ascii="宋体" w:hAnsi="宋体" w:cs="宋体"/>
          <w:sz w:val="24"/>
        </w:rPr>
        <w:t>或盖章</w:t>
      </w:r>
      <w:r>
        <w:rPr>
          <w:rFonts w:hint="eastAsia" w:ascii="宋体" w:hAnsi="宋体" w:cs="宋体"/>
          <w:sz w:val="24"/>
          <w:lang w:val="zh-CN"/>
        </w:rPr>
        <w:t xml:space="preserve">）：                    </w:t>
      </w:r>
      <w:r>
        <w:rPr>
          <w:rFonts w:hint="eastAsia" w:ascii="宋体" w:hAnsi="宋体" w:cs="宋体"/>
          <w:sz w:val="24"/>
        </w:rPr>
        <w:tab/>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lang w:val="zh-CN"/>
        </w:rPr>
      </w:pPr>
      <w:r>
        <w:rPr>
          <w:rFonts w:hint="eastAsia" w:ascii="宋体" w:hAnsi="宋体" w:cs="宋体"/>
          <w:sz w:val="24"/>
          <w:lang w:val="zh-CN"/>
        </w:rPr>
        <w:t xml:space="preserve">投标人盖 章：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rPr>
      </w:pPr>
      <w:r>
        <w:rPr>
          <w:rFonts w:hint="eastAsia" w:ascii="宋体" w:hAnsi="宋体" w:cs="宋体"/>
          <w:sz w:val="24"/>
          <w:lang w:val="zh-CN"/>
        </w:rPr>
        <w:t xml:space="preserve">联系电话：           传真：              电子邮件：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rPr>
      </w:pPr>
      <w:r>
        <w:rPr>
          <w:rFonts w:hint="eastAsia" w:ascii="宋体" w:hAnsi="宋体" w:cs="宋体"/>
          <w:sz w:val="24"/>
          <w:lang w:val="zh-CN"/>
        </w:rPr>
        <w:t xml:space="preserve">联系地址：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rPr>
      </w:pPr>
      <w:r>
        <w:rPr>
          <w:rFonts w:hint="eastAsia" w:ascii="宋体" w:hAnsi="宋体" w:cs="宋体"/>
          <w:sz w:val="24"/>
          <w:lang w:val="zh-CN"/>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rPr>
      </w:pP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ab/>
      </w:r>
      <w:r>
        <w:rPr>
          <w:rFonts w:hint="eastAsia" w:ascii="宋体" w:hAnsi="宋体" w:cs="宋体"/>
          <w:sz w:val="24"/>
          <w:lang w:val="zh-CN"/>
        </w:rPr>
        <w:t>月    日</w:t>
      </w:r>
    </w:p>
    <w:p>
      <w:pPr>
        <w:ind w:firstLine="482"/>
        <w:rPr>
          <w:rFonts w:hint="eastAsia" w:ascii="宋体" w:hAnsi="宋体" w:cs="宋体"/>
          <w:b/>
          <w:bCs/>
          <w:sz w:val="24"/>
          <w:lang w:val="zh-CN"/>
        </w:rPr>
      </w:pPr>
      <w:r>
        <w:rPr>
          <w:rFonts w:hint="eastAsia" w:ascii="宋体" w:hAnsi="宋体" w:cs="宋体"/>
          <w:b/>
          <w:bCs/>
          <w:sz w:val="24"/>
          <w:lang w:val="zh-CN"/>
        </w:rPr>
        <w:t>注：未按照本投标响应函要求填报的将被视为非实质性响应，从而可能导致该投标文件被拒绝。</w:t>
      </w:r>
    </w:p>
    <w:p>
      <w:pPr>
        <w:snapToGrid w:val="0"/>
        <w:spacing w:before="50" w:after="50"/>
        <w:ind w:firstLine="562"/>
        <w:rPr>
          <w:rFonts w:hint="eastAsia" w:ascii="宋体" w:hAnsi="宋体" w:cs="宋体"/>
          <w:b/>
          <w:sz w:val="28"/>
          <w:szCs w:val="28"/>
        </w:rPr>
      </w:pPr>
      <w:r>
        <w:rPr>
          <w:rFonts w:hint="eastAsia" w:ascii="宋体" w:hAnsi="宋体" w:cs="宋体"/>
          <w:b/>
          <w:sz w:val="28"/>
          <w:szCs w:val="28"/>
        </w:rPr>
        <w:br w:type="page"/>
      </w:r>
      <w:bookmarkEnd w:id="281"/>
      <w:bookmarkEnd w:id="282"/>
      <w:r>
        <w:rPr>
          <w:rFonts w:hint="eastAsia" w:ascii="宋体" w:hAnsi="宋体" w:cs="宋体"/>
          <w:b/>
          <w:sz w:val="28"/>
          <w:szCs w:val="28"/>
        </w:rPr>
        <w:t>附件5：</w:t>
      </w:r>
    </w:p>
    <w:p>
      <w:pPr>
        <w:snapToGrid w:val="0"/>
        <w:spacing w:before="50" w:after="50"/>
        <w:ind w:firstLine="562"/>
        <w:jc w:val="center"/>
        <w:rPr>
          <w:rFonts w:hint="eastAsia" w:ascii="宋体" w:hAnsi="宋体" w:cs="宋体"/>
          <w:b/>
          <w:sz w:val="28"/>
          <w:szCs w:val="28"/>
        </w:rPr>
      </w:pPr>
      <w:r>
        <w:rPr>
          <w:rFonts w:hint="eastAsia" w:ascii="宋体" w:hAnsi="宋体" w:cs="宋体"/>
          <w:b/>
          <w:sz w:val="28"/>
          <w:szCs w:val="28"/>
        </w:rPr>
        <w:t>资信及商务响应表</w:t>
      </w:r>
    </w:p>
    <w:p>
      <w:pPr>
        <w:ind w:firstLine="480"/>
        <w:rPr>
          <w:rFonts w:hint="eastAsia" w:ascii="宋体" w:hAnsi="宋体" w:cs="宋体"/>
          <w:bCs/>
          <w:sz w:val="24"/>
        </w:rPr>
      </w:pPr>
      <w:r>
        <w:rPr>
          <w:rFonts w:hint="eastAsia" w:ascii="宋体" w:hAnsi="宋体" w:cs="宋体"/>
          <w:sz w:val="24"/>
        </w:rPr>
        <w:t xml:space="preserve">项目名称：                                             项目编号：          </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
        <w:gridCol w:w="1485"/>
        <w:gridCol w:w="1899"/>
        <w:gridCol w:w="1926"/>
        <w:gridCol w:w="1185"/>
        <w:gridCol w:w="1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序号</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项目</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招标文件要求</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rPr>
                <w:rFonts w:hint="eastAsia" w:ascii="宋体" w:hAnsi="宋体" w:cs="宋体"/>
                <w:sz w:val="24"/>
              </w:rPr>
            </w:pPr>
            <w:r>
              <w:rPr>
                <w:rFonts w:hint="eastAsia" w:ascii="宋体" w:hAnsi="宋体" w:cs="宋体"/>
                <w:sz w:val="24"/>
              </w:rPr>
              <w:t>投标文件响应</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偏离情况</w:t>
            </w: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hint="eastAsia" w:ascii="宋体" w:hAnsi="宋体" w:cs="宋体"/>
                <w:sz w:val="24"/>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1</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cs="宋体"/>
                <w:sz w:val="24"/>
              </w:rPr>
            </w:pPr>
            <w:r>
              <w:rPr>
                <w:rFonts w:hint="eastAsia" w:ascii="宋体" w:hAnsi="宋体" w:cs="宋体"/>
                <w:sz w:val="24"/>
              </w:rPr>
              <w:t>投标文件有效期</w:t>
            </w:r>
          </w:p>
        </w:tc>
        <w:tc>
          <w:tcPr>
            <w:tcW w:w="1899"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2</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cs="宋体"/>
                <w:sz w:val="24"/>
              </w:rPr>
            </w:pPr>
            <w:r>
              <w:rPr>
                <w:rFonts w:hint="eastAsia" w:ascii="宋体" w:hAnsi="宋体" w:cs="宋体"/>
                <w:sz w:val="24"/>
              </w:rPr>
              <w:t>付款方式</w:t>
            </w:r>
          </w:p>
        </w:tc>
        <w:tc>
          <w:tcPr>
            <w:tcW w:w="1899"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hint="eastAsia"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3</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服务期</w:t>
            </w:r>
          </w:p>
        </w:tc>
        <w:tc>
          <w:tcPr>
            <w:tcW w:w="1899"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4</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899"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899"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w:t>
            </w:r>
          </w:p>
        </w:tc>
        <w:tc>
          <w:tcPr>
            <w:tcW w:w="1899"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bl>
    <w:p>
      <w:pPr>
        <w:snapToGrid w:val="0"/>
        <w:spacing w:beforeLines="50"/>
        <w:ind w:firstLine="480"/>
        <w:rPr>
          <w:rFonts w:hint="eastAsia" w:ascii="宋体" w:hAnsi="宋体" w:cs="宋体"/>
          <w:sz w:val="24"/>
        </w:rPr>
      </w:pPr>
    </w:p>
    <w:p>
      <w:pPr>
        <w:snapToGrid w:val="0"/>
        <w:spacing w:beforeLines="50"/>
        <w:ind w:firstLine="480"/>
        <w:rPr>
          <w:rFonts w:hint="eastAsia" w:ascii="宋体" w:hAnsi="宋体" w:cs="宋体"/>
          <w:sz w:val="24"/>
        </w:rPr>
      </w:pPr>
    </w:p>
    <w:p>
      <w:pPr>
        <w:ind w:right="-21" w:rightChars="-10" w:firstLine="4800" w:firstLineChars="2000"/>
        <w:rPr>
          <w:rFonts w:hint="eastAsia" w:ascii="宋体" w:hAnsi="宋体" w:cs="宋体"/>
          <w:sz w:val="24"/>
        </w:rPr>
      </w:pPr>
      <w:r>
        <w:rPr>
          <w:rFonts w:hint="eastAsia" w:ascii="宋体" w:hAnsi="宋体" w:cs="宋体"/>
          <w:sz w:val="24"/>
        </w:rPr>
        <w:t>投标人（盖章）：</w:t>
      </w:r>
    </w:p>
    <w:p>
      <w:pPr>
        <w:ind w:right="-21" w:rightChars="-10" w:firstLine="480"/>
        <w:jc w:val="center"/>
        <w:rPr>
          <w:rFonts w:hint="eastAsia" w:ascii="宋体" w:hAnsi="宋体" w:cs="宋体"/>
          <w:sz w:val="24"/>
        </w:rPr>
      </w:pPr>
      <w:r>
        <w:rPr>
          <w:rFonts w:hint="eastAsia" w:ascii="宋体" w:hAnsi="宋体" w:cs="宋体"/>
          <w:sz w:val="24"/>
        </w:rPr>
        <w:t xml:space="preserve">                     投标人代表（签字或盖章）：</w:t>
      </w:r>
    </w:p>
    <w:p>
      <w:pPr>
        <w:ind w:firstLine="4800" w:firstLineChars="2000"/>
        <w:rPr>
          <w:rFonts w:hint="eastAsia" w:ascii="宋体" w:hAnsi="宋体" w:cs="宋体"/>
          <w:kern w:val="0"/>
          <w:szCs w:val="21"/>
        </w:rPr>
      </w:pPr>
      <w:r>
        <w:rPr>
          <w:rFonts w:hint="eastAsia" w:ascii="宋体" w:hAnsi="宋体" w:cs="宋体"/>
          <w:sz w:val="24"/>
        </w:rPr>
        <w:t>日    期：</w:t>
      </w:r>
    </w:p>
    <w:p>
      <w:pPr>
        <w:snapToGrid w:val="0"/>
        <w:spacing w:beforeLines="50" w:after="5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附件6：</w:t>
      </w:r>
    </w:p>
    <w:p>
      <w:pPr>
        <w:snapToGrid w:val="0"/>
        <w:spacing w:beforeLines="50" w:after="50"/>
        <w:ind w:firstLine="3250" w:firstLineChars="900"/>
        <w:rPr>
          <w:rFonts w:hint="eastAsia" w:ascii="宋体" w:hAnsi="宋体" w:cs="宋体"/>
          <w:b/>
          <w:sz w:val="28"/>
          <w:szCs w:val="28"/>
        </w:rPr>
      </w:pPr>
      <w:r>
        <w:rPr>
          <w:rFonts w:hint="eastAsia" w:ascii="宋体" w:hAnsi="宋体" w:cs="宋体"/>
          <w:b/>
          <w:spacing w:val="40"/>
          <w:kern w:val="0"/>
          <w:sz w:val="28"/>
          <w:szCs w:val="28"/>
        </w:rPr>
        <w:t>技术响应表</w:t>
      </w:r>
    </w:p>
    <w:p>
      <w:pPr>
        <w:ind w:firstLine="480"/>
        <w:rPr>
          <w:rFonts w:hint="eastAsia" w:ascii="宋体" w:hAnsi="宋体" w:cs="宋体"/>
          <w:bCs/>
          <w:szCs w:val="21"/>
        </w:rPr>
      </w:pPr>
      <w:r>
        <w:rPr>
          <w:rFonts w:hint="eastAsia" w:ascii="宋体" w:hAnsi="宋体" w:cs="宋体"/>
          <w:sz w:val="24"/>
        </w:rPr>
        <w:t xml:space="preserve">项目名称：                                             项目编号：         </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320"/>
        <w:gridCol w:w="1824"/>
        <w:gridCol w:w="1756"/>
        <w:gridCol w:w="1535"/>
        <w:gridCol w:w="1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项目</w:t>
            </w:r>
          </w:p>
        </w:tc>
        <w:tc>
          <w:tcPr>
            <w:tcW w:w="182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招标文件要求</w:t>
            </w:r>
          </w:p>
        </w:tc>
        <w:tc>
          <w:tcPr>
            <w:tcW w:w="175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rPr>
                <w:rFonts w:hint="eastAsia" w:ascii="宋体" w:hAnsi="宋体" w:cs="宋体"/>
                <w:sz w:val="24"/>
              </w:rPr>
            </w:pPr>
            <w:r>
              <w:rPr>
                <w:rFonts w:hint="eastAsia" w:ascii="宋体" w:hAnsi="宋体" w:cs="宋体"/>
                <w:sz w:val="24"/>
              </w:rPr>
              <w:t>投标文件响应</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 w:val="24"/>
              </w:rPr>
            </w:pPr>
            <w:r>
              <w:rPr>
                <w:rFonts w:hint="eastAsia" w:ascii="宋体" w:hAnsi="宋体" w:cs="宋体"/>
                <w:sz w:val="24"/>
              </w:rPr>
              <w:t>偏离情况</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hint="eastAsia" w:ascii="宋体" w:hAnsi="宋体" w:cs="宋体"/>
                <w:sz w:val="24"/>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1</w:t>
            </w:r>
          </w:p>
        </w:tc>
        <w:tc>
          <w:tcPr>
            <w:tcW w:w="1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2</w:t>
            </w:r>
          </w:p>
        </w:tc>
        <w:tc>
          <w:tcPr>
            <w:tcW w:w="1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hint="eastAsia" w:ascii="宋体" w:hAnsi="宋体" w:cs="宋体"/>
                <w:sz w:val="24"/>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r>
              <w:rPr>
                <w:rFonts w:hint="eastAsia" w:ascii="宋体" w:hAnsi="宋体" w:cs="宋体"/>
                <w:sz w:val="24"/>
              </w:rPr>
              <w:t>.......</w:t>
            </w:r>
          </w:p>
        </w:tc>
        <w:tc>
          <w:tcPr>
            <w:tcW w:w="1824"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4"/>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hint="eastAsia" w:ascii="宋体" w:hAnsi="宋体" w:cs="宋体"/>
                <w:sz w:val="24"/>
              </w:rPr>
            </w:pPr>
          </w:p>
        </w:tc>
      </w:tr>
    </w:tbl>
    <w:p>
      <w:pPr>
        <w:pStyle w:val="42"/>
        <w:widowControl w:val="0"/>
        <w:snapToGrid w:val="0"/>
        <w:spacing w:before="50" w:after="50"/>
        <w:ind w:firstLine="480" w:firstLineChars="200"/>
        <w:jc w:val="both"/>
        <w:rPr>
          <w:rFonts w:hint="eastAsia" w:cs="宋体"/>
          <w:spacing w:val="20"/>
          <w:kern w:val="2"/>
          <w:sz w:val="24"/>
          <w:szCs w:val="24"/>
        </w:rPr>
      </w:pPr>
      <w:r>
        <w:rPr>
          <w:rFonts w:hint="eastAsia" w:cs="宋体"/>
          <w:kern w:val="2"/>
          <w:sz w:val="24"/>
          <w:szCs w:val="24"/>
        </w:rPr>
        <w:t>注：投标人应根据投标人的服务指标、对照招标文件要求在“偏离情况”栏注明“正偏离”、“负偏离”或“无偏离”。</w:t>
      </w:r>
    </w:p>
    <w:p>
      <w:pPr>
        <w:snapToGrid w:val="0"/>
        <w:spacing w:before="50" w:after="50"/>
        <w:ind w:firstLine="560"/>
        <w:rPr>
          <w:rFonts w:hint="eastAsia" w:ascii="宋体" w:hAnsi="宋体" w:cs="宋体"/>
          <w:spacing w:val="20"/>
          <w:sz w:val="24"/>
        </w:rPr>
      </w:pPr>
    </w:p>
    <w:p>
      <w:pPr>
        <w:ind w:right="-21" w:rightChars="-10" w:firstLine="4800" w:firstLineChars="2000"/>
        <w:rPr>
          <w:rFonts w:hint="eastAsia" w:ascii="宋体" w:hAnsi="宋体" w:cs="宋体"/>
          <w:sz w:val="24"/>
        </w:rPr>
      </w:pPr>
      <w:r>
        <w:rPr>
          <w:rFonts w:hint="eastAsia" w:ascii="宋体" w:hAnsi="宋体" w:cs="宋体"/>
          <w:sz w:val="24"/>
        </w:rPr>
        <w:t>投标人（盖章）：</w:t>
      </w:r>
    </w:p>
    <w:p>
      <w:pPr>
        <w:ind w:right="-21" w:rightChars="-10" w:firstLine="480"/>
        <w:jc w:val="center"/>
        <w:rPr>
          <w:rFonts w:hint="eastAsia" w:ascii="宋体" w:hAnsi="宋体" w:cs="宋体"/>
          <w:sz w:val="24"/>
        </w:rPr>
      </w:pPr>
      <w:r>
        <w:rPr>
          <w:rFonts w:hint="eastAsia" w:ascii="宋体" w:hAnsi="宋体" w:cs="宋体"/>
          <w:sz w:val="24"/>
        </w:rPr>
        <w:t xml:space="preserve">                     投标人代表（签字或盖章）：</w:t>
      </w:r>
    </w:p>
    <w:p>
      <w:pPr>
        <w:ind w:firstLine="4800" w:firstLineChars="2000"/>
        <w:rPr>
          <w:rFonts w:hint="eastAsia" w:ascii="宋体" w:hAnsi="宋体" w:cs="宋体"/>
          <w:kern w:val="0"/>
          <w:szCs w:val="21"/>
        </w:rPr>
      </w:pPr>
      <w:r>
        <w:rPr>
          <w:rFonts w:hint="eastAsia" w:ascii="宋体" w:hAnsi="宋体" w:cs="宋体"/>
          <w:sz w:val="24"/>
        </w:rPr>
        <w:t>日    期：</w:t>
      </w:r>
    </w:p>
    <w:p>
      <w:pPr>
        <w:snapToGrid w:val="0"/>
        <w:spacing w:before="50" w:afterLines="50"/>
        <w:jc w:val="left"/>
        <w:rPr>
          <w:rFonts w:hint="eastAsia"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附件7：</w:t>
      </w:r>
    </w:p>
    <w:p>
      <w:pPr>
        <w:pStyle w:val="27"/>
        <w:spacing w:line="360" w:lineRule="auto"/>
        <w:ind w:firstLine="2389" w:firstLineChars="850"/>
        <w:jc w:val="left"/>
        <w:rPr>
          <w:rFonts w:hint="eastAsia" w:hAnsi="宋体" w:cs="宋体"/>
          <w:b/>
          <w:sz w:val="28"/>
          <w:szCs w:val="28"/>
        </w:rPr>
      </w:pPr>
      <w:r>
        <w:rPr>
          <w:rFonts w:hint="eastAsia" w:hAnsi="宋体" w:cs="宋体"/>
          <w:b/>
          <w:sz w:val="28"/>
          <w:szCs w:val="28"/>
        </w:rPr>
        <w:t>拟派项目负责人资格情况表</w:t>
      </w:r>
    </w:p>
    <w:p>
      <w:pPr>
        <w:ind w:firstLine="480"/>
        <w:rPr>
          <w:rFonts w:hint="eastAsia" w:ascii="宋体" w:hAnsi="宋体" w:cs="宋体"/>
          <w:bCs/>
          <w:sz w:val="24"/>
        </w:rPr>
      </w:pPr>
      <w:r>
        <w:rPr>
          <w:rFonts w:hint="eastAsia" w:ascii="宋体" w:hAnsi="宋体" w:cs="宋体"/>
          <w:sz w:val="24"/>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33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89" w:type="dxa"/>
            <w:tcBorders>
              <w:top w:val="single" w:color="auto" w:sz="12" w:space="0"/>
              <w:left w:val="single" w:color="auto" w:sz="12" w:space="0"/>
              <w:bottom w:val="single" w:color="auto" w:sz="4" w:space="0"/>
              <w:right w:val="single" w:color="auto" w:sz="4" w:space="0"/>
            </w:tcBorders>
            <w:vAlign w:val="center"/>
          </w:tcPr>
          <w:p>
            <w:pPr>
              <w:pStyle w:val="157"/>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姓名</w:t>
            </w:r>
          </w:p>
        </w:tc>
        <w:tc>
          <w:tcPr>
            <w:tcW w:w="233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157"/>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性别</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482"/>
              <w:jc w:val="center"/>
              <w:rPr>
                <w:rFonts w:hint="eastAsia" w:ascii="宋体" w:hAnsi="宋体" w:cs="宋体"/>
                <w:b/>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年龄</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职称</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毕业时间</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学校所学专业</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联系电话</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rPr>
              <w:t>最近一年工作状况</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hint="eastAsia" w:ascii="宋体" w:hAnsi="宋体" w:cs="宋体"/>
                <w:b/>
                <w:sz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89"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拟在本项目中担任主要工作</w:t>
            </w:r>
          </w:p>
        </w:tc>
        <w:tc>
          <w:tcPr>
            <w:tcW w:w="691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482"/>
              <w:jc w:val="center"/>
              <w:rPr>
                <w:rFonts w:hint="eastAsia" w:ascii="宋体" w:hAnsi="宋体" w:cs="宋体"/>
                <w:b/>
                <w:sz w:val="24"/>
                <w:lang w:val="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2"/>
        <w:textAlignment w:val="auto"/>
        <w:rPr>
          <w:rFonts w:hint="eastAsia" w:ascii="宋体" w:hAnsi="宋体" w:cs="宋体"/>
          <w:b/>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52" w:firstLineChars="147"/>
        <w:textAlignment w:val="auto"/>
        <w:rPr>
          <w:rFonts w:hint="eastAsia" w:ascii="宋体" w:hAnsi="宋体" w:cs="宋体"/>
          <w:sz w:val="24"/>
        </w:rPr>
      </w:pPr>
      <w:r>
        <w:rPr>
          <w:rFonts w:hint="eastAsia" w:ascii="宋体" w:hAnsi="宋体" w:cs="宋体"/>
          <w:sz w:val="24"/>
        </w:rPr>
        <w:t>注：项目负责人相关证书（如有则提供）、毕业证书、业绩证明应提供旁证材料（合同）应附本表后</w:t>
      </w:r>
    </w:p>
    <w:p>
      <w:pPr>
        <w:keepNext w:val="0"/>
        <w:keepLines w:val="0"/>
        <w:pageBreakBefore w:val="0"/>
        <w:widowControl w:val="0"/>
        <w:kinsoku/>
        <w:wordWrap/>
        <w:overflowPunct/>
        <w:topLinePunct w:val="0"/>
        <w:bidi w:val="0"/>
        <w:snapToGrid/>
        <w:spacing w:line="360" w:lineRule="auto"/>
        <w:ind w:right="-21" w:rightChars="-10" w:firstLine="4800" w:firstLineChars="2000"/>
        <w:textAlignment w:val="auto"/>
        <w:rPr>
          <w:rFonts w:hint="eastAsia" w:ascii="宋体" w:hAnsi="宋体" w:cs="宋体"/>
          <w:sz w:val="24"/>
        </w:rPr>
      </w:pPr>
      <w:r>
        <w:rPr>
          <w:rFonts w:hint="eastAsia" w:ascii="宋体" w:hAnsi="宋体" w:cs="宋体"/>
          <w:sz w:val="24"/>
        </w:rPr>
        <w:t>投标人（盖章）：</w:t>
      </w:r>
    </w:p>
    <w:p>
      <w:pPr>
        <w:keepNext w:val="0"/>
        <w:keepLines w:val="0"/>
        <w:pageBreakBefore w:val="0"/>
        <w:widowControl w:val="0"/>
        <w:kinsoku/>
        <w:wordWrap/>
        <w:overflowPunct/>
        <w:topLinePunct w:val="0"/>
        <w:bidi w:val="0"/>
        <w:snapToGrid/>
        <w:spacing w:line="360" w:lineRule="auto"/>
        <w:ind w:right="-21" w:rightChars="-10" w:firstLine="480"/>
        <w:jc w:val="center"/>
        <w:textAlignment w:val="auto"/>
        <w:rPr>
          <w:rFonts w:hint="eastAsia" w:ascii="宋体" w:hAnsi="宋体" w:cs="宋体"/>
          <w:sz w:val="24"/>
        </w:rPr>
      </w:pPr>
      <w:r>
        <w:rPr>
          <w:rFonts w:hint="eastAsia" w:ascii="宋体" w:hAnsi="宋体" w:cs="宋体"/>
          <w:sz w:val="24"/>
        </w:rPr>
        <w:t xml:space="preserve">                     投标人代表（签字或盖章）：</w:t>
      </w:r>
    </w:p>
    <w:p>
      <w:pPr>
        <w:keepNext w:val="0"/>
        <w:keepLines w:val="0"/>
        <w:pageBreakBefore w:val="0"/>
        <w:widowControl w:val="0"/>
        <w:kinsoku/>
        <w:wordWrap/>
        <w:overflowPunct/>
        <w:topLinePunct w:val="0"/>
        <w:bidi w:val="0"/>
        <w:snapToGrid/>
        <w:spacing w:line="360" w:lineRule="auto"/>
        <w:ind w:firstLine="4800" w:firstLineChars="2000"/>
        <w:textAlignment w:val="auto"/>
        <w:rPr>
          <w:rFonts w:hint="eastAsia" w:ascii="宋体" w:hAnsi="宋体" w:cs="宋体"/>
          <w:kern w:val="0"/>
          <w:szCs w:val="21"/>
        </w:rPr>
      </w:pPr>
      <w:r>
        <w:rPr>
          <w:rFonts w:hint="eastAsia" w:ascii="宋体" w:hAnsi="宋体" w:cs="宋体"/>
          <w:sz w:val="24"/>
        </w:rPr>
        <w:t>日    期：</w:t>
      </w:r>
    </w:p>
    <w:p>
      <w:pPr>
        <w:snapToGrid w:val="0"/>
        <w:spacing w:before="50" w:afterLines="50"/>
        <w:ind w:firstLine="600"/>
        <w:jc w:val="left"/>
        <w:rPr>
          <w:rFonts w:hint="eastAsia" w:ascii="宋体" w:hAnsi="宋体" w:cs="宋体"/>
          <w:sz w:val="30"/>
          <w:szCs w:val="30"/>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r>
        <w:rPr>
          <w:rFonts w:hint="eastAsia" w:ascii="宋体" w:hAnsi="宋体" w:cs="宋体"/>
          <w:b/>
          <w:sz w:val="28"/>
          <w:szCs w:val="28"/>
        </w:rPr>
        <w:t>附件8：</w:t>
      </w:r>
    </w:p>
    <w:p>
      <w:pPr>
        <w:snapToGrid w:val="0"/>
        <w:spacing w:before="50" w:afterLines="50"/>
        <w:ind w:firstLine="562"/>
        <w:jc w:val="center"/>
        <w:rPr>
          <w:rFonts w:hint="eastAsia" w:ascii="宋体" w:hAnsi="宋体" w:cs="宋体"/>
          <w:b/>
          <w:kern w:val="0"/>
          <w:sz w:val="28"/>
          <w:szCs w:val="28"/>
        </w:rPr>
      </w:pPr>
      <w:r>
        <w:rPr>
          <w:rFonts w:hint="eastAsia" w:ascii="宋体" w:hAnsi="宋体" w:cs="宋体"/>
          <w:b/>
          <w:kern w:val="0"/>
          <w:sz w:val="28"/>
          <w:szCs w:val="28"/>
        </w:rPr>
        <w:t>项目实施人员（主要从业人员及其技术资格能力）一览表</w:t>
      </w:r>
    </w:p>
    <w:p>
      <w:pPr>
        <w:rPr>
          <w:rFonts w:hint="eastAsia" w:ascii="宋体" w:hAnsi="宋体" w:cs="宋体"/>
          <w:sz w:val="24"/>
          <w:u w:val="single"/>
        </w:rPr>
      </w:pPr>
      <w:r>
        <w:rPr>
          <w:rFonts w:hint="eastAsia" w:ascii="宋体" w:hAnsi="宋体" w:cs="宋体"/>
          <w:sz w:val="24"/>
        </w:rPr>
        <w:t xml:space="preserve">项目名称：                                             项目编号：                     </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hint="eastAsia" w:ascii="宋体" w:hAnsi="宋体" w:cs="宋体"/>
                <w:sz w:val="24"/>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hint="eastAsia" w:ascii="宋体" w:hAnsi="宋体" w:cs="宋体"/>
                <w:sz w:val="24"/>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hint="eastAsia" w:ascii="宋体" w:hAnsi="宋体" w:cs="宋体"/>
                <w:sz w:val="24"/>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hint="eastAsia" w:ascii="宋体" w:hAnsi="宋体" w:cs="宋体"/>
                <w:sz w:val="24"/>
              </w:rPr>
            </w:pPr>
            <w:r>
              <w:rPr>
                <w:rFonts w:hint="eastAsia" w:ascii="宋体" w:hAnsi="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hint="eastAsia" w:ascii="宋体" w:hAnsi="宋体" w:cs="宋体"/>
                <w:bCs/>
                <w:sz w:val="24"/>
              </w:rPr>
            </w:pPr>
            <w:r>
              <w:rPr>
                <w:rFonts w:hint="eastAsia" w:ascii="宋体" w:hAnsi="宋体" w:cs="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hint="eastAsia" w:ascii="宋体" w:hAnsi="宋体" w:cs="宋体"/>
                <w:bCs/>
                <w:sz w:val="24"/>
              </w:rPr>
            </w:pPr>
            <w:r>
              <w:rPr>
                <w:rFonts w:hint="eastAsia" w:ascii="宋体" w:hAnsi="宋体" w:cs="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30"/>
              <w:snapToGrid w:val="0"/>
              <w:spacing w:beforeLines="50" w:after="50" w:line="460" w:lineRule="exact"/>
              <w:ind w:left="5250"/>
              <w:jc w:val="center"/>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hint="eastAsia" w:ascii="宋体" w:hAnsi="宋体" w:cs="宋体"/>
                <w:sz w:val="24"/>
              </w:rPr>
            </w:pPr>
          </w:p>
        </w:tc>
      </w:tr>
    </w:tbl>
    <w:p>
      <w:pPr>
        <w:keepNext w:val="0"/>
        <w:keepLines w:val="0"/>
        <w:pageBreakBefore w:val="0"/>
        <w:widowControl w:val="0"/>
        <w:kinsoku/>
        <w:wordWrap/>
        <w:overflowPunct/>
        <w:topLinePunct w:val="0"/>
        <w:autoSpaceDE/>
        <w:autoSpaceDN/>
        <w:bidi w:val="0"/>
        <w:adjustRightInd/>
        <w:snapToGrid w:val="0"/>
        <w:spacing w:before="50" w:afterLines="50" w:line="360" w:lineRule="auto"/>
        <w:jc w:val="left"/>
        <w:textAlignment w:val="auto"/>
        <w:rPr>
          <w:rFonts w:hint="eastAsia" w:ascii="宋体" w:hAnsi="宋体" w:cs="宋体"/>
          <w:sz w:val="24"/>
        </w:rPr>
      </w:pPr>
      <w:r>
        <w:rPr>
          <w:rFonts w:hint="eastAsia" w:ascii="宋体" w:hAnsi="宋体" w:cs="宋体"/>
          <w:sz w:val="24"/>
        </w:rPr>
        <w:t xml:space="preserve">注：在填写时，如本表格不适合投标单位的实际情况，可根据本表格式自行划表填写。 </w:t>
      </w:r>
    </w:p>
    <w:p>
      <w:pPr>
        <w:keepNext w:val="0"/>
        <w:keepLines w:val="0"/>
        <w:pageBreakBefore w:val="0"/>
        <w:widowControl w:val="0"/>
        <w:kinsoku/>
        <w:wordWrap/>
        <w:overflowPunct/>
        <w:topLinePunct w:val="0"/>
        <w:autoSpaceDE/>
        <w:autoSpaceDN/>
        <w:bidi w:val="0"/>
        <w:adjustRightInd/>
        <w:snapToGrid w:val="0"/>
        <w:spacing w:before="50" w:afterLines="50" w:line="360" w:lineRule="auto"/>
        <w:ind w:firstLine="480"/>
        <w:jc w:val="lef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pacing w:line="360" w:lineRule="auto"/>
        <w:ind w:right="-21" w:rightChars="-10" w:firstLine="4800" w:firstLineChars="2000"/>
        <w:textAlignment w:val="auto"/>
        <w:rPr>
          <w:rFonts w:hint="eastAsia" w:ascii="宋体" w:hAnsi="宋体" w:cs="宋体"/>
          <w:sz w:val="24"/>
        </w:rPr>
      </w:pPr>
      <w:r>
        <w:rPr>
          <w:rFonts w:hint="eastAsia" w:ascii="宋体" w:hAnsi="宋体" w:cs="宋体"/>
          <w:sz w:val="24"/>
        </w:rPr>
        <w:t>投标人（盖章）：</w:t>
      </w:r>
    </w:p>
    <w:p>
      <w:pPr>
        <w:keepNext w:val="0"/>
        <w:keepLines w:val="0"/>
        <w:pageBreakBefore w:val="0"/>
        <w:widowControl w:val="0"/>
        <w:kinsoku/>
        <w:wordWrap/>
        <w:overflowPunct/>
        <w:topLinePunct w:val="0"/>
        <w:autoSpaceDE/>
        <w:autoSpaceDN/>
        <w:bidi w:val="0"/>
        <w:adjustRightInd/>
        <w:spacing w:line="360" w:lineRule="auto"/>
        <w:ind w:right="-21" w:rightChars="-10" w:firstLine="480"/>
        <w:jc w:val="center"/>
        <w:textAlignment w:val="auto"/>
        <w:rPr>
          <w:rFonts w:hint="eastAsia" w:ascii="宋体" w:hAnsi="宋体" w:cs="宋体"/>
          <w:sz w:val="24"/>
        </w:rPr>
      </w:pPr>
      <w:r>
        <w:rPr>
          <w:rFonts w:hint="eastAsia" w:ascii="宋体" w:hAnsi="宋体" w:cs="宋体"/>
          <w:sz w:val="24"/>
        </w:rPr>
        <w:t xml:space="preserve">                     投标人代表（签字或盖章）：</w:t>
      </w:r>
    </w:p>
    <w:p>
      <w:pPr>
        <w:keepNext w:val="0"/>
        <w:keepLines w:val="0"/>
        <w:pageBreakBefore w:val="0"/>
        <w:widowControl w:val="0"/>
        <w:kinsoku/>
        <w:wordWrap/>
        <w:overflowPunct/>
        <w:topLinePunct w:val="0"/>
        <w:autoSpaceDE/>
        <w:autoSpaceDN/>
        <w:bidi w:val="0"/>
        <w:adjustRightInd/>
        <w:spacing w:line="360" w:lineRule="auto"/>
        <w:ind w:firstLine="4800" w:firstLineChars="2000"/>
        <w:textAlignment w:val="auto"/>
        <w:rPr>
          <w:rFonts w:hint="eastAsia" w:ascii="宋体" w:hAnsi="宋体" w:cs="宋体"/>
          <w:kern w:val="0"/>
          <w:sz w:val="24"/>
        </w:rPr>
      </w:pPr>
      <w:r>
        <w:rPr>
          <w:rFonts w:hint="eastAsia" w:ascii="宋体" w:hAnsi="宋体" w:cs="宋体"/>
          <w:sz w:val="24"/>
        </w:rPr>
        <w:t>日    期：</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8"/>
          <w:szCs w:val="28"/>
        </w:rPr>
      </w:pPr>
      <w:r>
        <w:rPr>
          <w:rFonts w:hint="eastAsia" w:ascii="宋体" w:hAnsi="宋体" w:cs="宋体"/>
          <w:b/>
          <w:bCs/>
          <w:sz w:val="28"/>
          <w:szCs w:val="28"/>
        </w:rPr>
        <w:br w:type="page"/>
      </w:r>
      <w:r>
        <w:rPr>
          <w:rFonts w:hint="eastAsia" w:ascii="宋体" w:hAnsi="宋体" w:cs="宋体"/>
          <w:b/>
          <w:bCs/>
          <w:sz w:val="28"/>
          <w:szCs w:val="28"/>
        </w:rPr>
        <w:t>附件9：</w:t>
      </w:r>
    </w:p>
    <w:p>
      <w:pPr>
        <w:pStyle w:val="156"/>
        <w:snapToGrid w:val="0"/>
        <w:spacing w:afterLines="50" w:line="240" w:lineRule="auto"/>
        <w:ind w:right="0" w:firstLine="0" w:firstLineChars="0"/>
        <w:jc w:val="center"/>
        <w:rPr>
          <w:rFonts w:hint="eastAsia" w:ascii="宋体" w:hAnsi="宋体" w:cs="宋体"/>
          <w:b/>
          <w:sz w:val="28"/>
          <w:szCs w:val="28"/>
          <w:lang w:val="en-GB"/>
        </w:rPr>
      </w:pPr>
      <w:r>
        <w:rPr>
          <w:rFonts w:hint="eastAsia" w:ascii="宋体" w:hAnsi="宋体" w:cs="宋体"/>
          <w:b/>
          <w:sz w:val="28"/>
          <w:szCs w:val="28"/>
          <w:lang w:val="en-GB"/>
        </w:rPr>
        <w:t>投标人基本情况表</w:t>
      </w:r>
    </w:p>
    <w:tbl>
      <w:tblPr>
        <w:tblStyle w:val="46"/>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ign w:val="center"/>
          </w:tcPr>
          <w:p>
            <w:pPr>
              <w:snapToGrid w:val="0"/>
              <w:spacing w:line="460" w:lineRule="exact"/>
              <w:jc w:val="center"/>
              <w:rPr>
                <w:rFonts w:hint="eastAsia" w:ascii="宋体" w:hAnsi="宋体" w:cs="宋体"/>
                <w:sz w:val="24"/>
              </w:rPr>
            </w:pPr>
            <w:r>
              <w:rPr>
                <w:rFonts w:hint="eastAsia" w:ascii="宋体" w:hAnsi="宋体" w:cs="宋体"/>
                <w:sz w:val="24"/>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企业名称</w:t>
            </w:r>
          </w:p>
        </w:tc>
        <w:tc>
          <w:tcPr>
            <w:tcW w:w="7775" w:type="dxa"/>
            <w:gridSpan w:val="5"/>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联合体投标</w:t>
            </w:r>
          </w:p>
        </w:tc>
        <w:tc>
          <w:tcPr>
            <w:tcW w:w="2358" w:type="dxa"/>
            <w:noWrap/>
            <w:vAlign w:val="center"/>
          </w:tcPr>
          <w:p>
            <w:pPr>
              <w:snapToGrid w:val="0"/>
              <w:spacing w:line="460" w:lineRule="exact"/>
              <w:rPr>
                <w:rFonts w:hint="eastAsia" w:ascii="宋体" w:hAnsi="宋体" w:cs="宋体"/>
                <w:sz w:val="24"/>
              </w:rPr>
            </w:pPr>
            <w:r>
              <w:rPr>
                <w:rFonts w:hint="eastAsia" w:ascii="宋体" w:hAnsi="宋体" w:cs="宋体"/>
                <w:sz w:val="24"/>
              </w:rPr>
              <w:t>是□    否□</w:t>
            </w:r>
          </w:p>
        </w:tc>
        <w:tc>
          <w:tcPr>
            <w:tcW w:w="1957"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联合体成员单位</w:t>
            </w:r>
          </w:p>
        </w:tc>
        <w:tc>
          <w:tcPr>
            <w:tcW w:w="3460" w:type="dxa"/>
            <w:gridSpan w:val="2"/>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性质</w:t>
            </w:r>
          </w:p>
        </w:tc>
        <w:tc>
          <w:tcPr>
            <w:tcW w:w="7775" w:type="dxa"/>
            <w:gridSpan w:val="5"/>
            <w:noWrap/>
            <w:vAlign w:val="center"/>
          </w:tcPr>
          <w:p>
            <w:pPr>
              <w:snapToGrid w:val="0"/>
              <w:spacing w:line="460" w:lineRule="exact"/>
              <w:rPr>
                <w:rFonts w:hint="eastAsia" w:ascii="宋体" w:hAnsi="宋体" w:cs="宋体"/>
                <w:sz w:val="24"/>
              </w:rPr>
            </w:pPr>
            <w:r>
              <w:rPr>
                <w:rFonts w:hint="eastAsia" w:ascii="宋体" w:hAnsi="宋体" w:cs="宋体"/>
                <w:sz w:val="24"/>
              </w:rPr>
              <w:t>国有□     国有控股□     私营□     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jc w:val="left"/>
              <w:rPr>
                <w:rFonts w:hint="eastAsia" w:ascii="宋体" w:hAnsi="宋体" w:cs="宋体"/>
                <w:sz w:val="24"/>
              </w:rPr>
            </w:pPr>
            <w:r>
              <w:rPr>
                <w:rFonts w:hint="eastAsia" w:ascii="宋体" w:hAnsi="宋体" w:cs="宋体"/>
                <w:sz w:val="24"/>
              </w:rPr>
              <w:t>统一社会信用代码</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注册资本</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法定代表人</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身份证号码</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通信地址</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邮政编码</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公司电话</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传真</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公司网址</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电子邮箱</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jc w:val="left"/>
              <w:rPr>
                <w:rFonts w:hint="eastAsia" w:ascii="宋体" w:hAnsi="宋体" w:cs="宋体"/>
                <w:sz w:val="24"/>
              </w:rPr>
            </w:pPr>
            <w:r>
              <w:rPr>
                <w:rFonts w:hint="eastAsia" w:ascii="宋体" w:hAnsi="宋体" w:cs="宋体"/>
                <w:sz w:val="24"/>
              </w:rPr>
              <w:t>开户银行及账号</w:t>
            </w:r>
          </w:p>
        </w:tc>
        <w:tc>
          <w:tcPr>
            <w:tcW w:w="7775" w:type="dxa"/>
            <w:gridSpan w:val="5"/>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jc w:val="left"/>
              <w:rPr>
                <w:rFonts w:hint="eastAsia" w:ascii="宋体" w:hAnsi="宋体" w:cs="宋体"/>
                <w:sz w:val="24"/>
              </w:rPr>
            </w:pPr>
            <w:r>
              <w:rPr>
                <w:rFonts w:hint="eastAsia" w:ascii="宋体" w:hAnsi="宋体" w:cs="宋体"/>
                <w:sz w:val="24"/>
              </w:rPr>
              <w:t>人员情况</w:t>
            </w:r>
          </w:p>
        </w:tc>
        <w:tc>
          <w:tcPr>
            <w:tcW w:w="7775" w:type="dxa"/>
            <w:gridSpan w:val="5"/>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jc w:val="left"/>
              <w:rPr>
                <w:rFonts w:hint="eastAsia" w:ascii="宋体" w:hAnsi="宋体" w:cs="宋体"/>
                <w:sz w:val="24"/>
              </w:rPr>
            </w:pPr>
            <w:r>
              <w:rPr>
                <w:rFonts w:hint="eastAsia" w:ascii="宋体" w:hAnsi="宋体" w:cs="宋体"/>
                <w:sz w:val="24"/>
              </w:rPr>
              <w:t>企业资质</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hint="eastAsia" w:ascii="宋体" w:hAnsi="宋体" w:cs="宋体"/>
                <w:b/>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jc w:val="left"/>
              <w:rPr>
                <w:rFonts w:hint="eastAsia" w:ascii="宋体" w:hAnsi="宋体" w:cs="宋体"/>
                <w:sz w:val="24"/>
              </w:rPr>
            </w:pPr>
            <w:r>
              <w:rPr>
                <w:rFonts w:hint="eastAsia" w:ascii="宋体" w:hAnsi="宋体" w:cs="宋体"/>
                <w:sz w:val="24"/>
              </w:rPr>
              <w:t>企业认证</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hint="eastAsia" w:ascii="宋体" w:hAnsi="宋体" w:cs="宋体"/>
                <w:b/>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jc w:val="left"/>
              <w:rPr>
                <w:rFonts w:hint="eastAsia" w:ascii="宋体" w:hAnsi="宋体" w:cs="宋体"/>
                <w:sz w:val="24"/>
              </w:rPr>
            </w:pPr>
            <w:r>
              <w:rPr>
                <w:rFonts w:hint="eastAsia" w:ascii="宋体" w:hAnsi="宋体" w:cs="宋体"/>
                <w:sz w:val="24"/>
              </w:rPr>
              <w:t>企业获奖（如有）</w:t>
            </w:r>
          </w:p>
        </w:tc>
        <w:tc>
          <w:tcPr>
            <w:tcW w:w="7775" w:type="dxa"/>
            <w:gridSpan w:val="5"/>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备注</w:t>
            </w:r>
          </w:p>
        </w:tc>
        <w:tc>
          <w:tcPr>
            <w:tcW w:w="7775" w:type="dxa"/>
            <w:gridSpan w:val="5"/>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ign w:val="center"/>
          </w:tcPr>
          <w:p>
            <w:pPr>
              <w:snapToGrid w:val="0"/>
              <w:spacing w:line="460" w:lineRule="exact"/>
              <w:jc w:val="center"/>
              <w:rPr>
                <w:rFonts w:hint="eastAsia" w:ascii="宋体" w:hAnsi="宋体" w:cs="宋体"/>
                <w:sz w:val="24"/>
              </w:rPr>
            </w:pPr>
            <w:r>
              <w:rPr>
                <w:rFonts w:hint="eastAsia" w:ascii="宋体" w:hAnsi="宋体" w:cs="宋体"/>
                <w:sz w:val="24"/>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姓名</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移动电话</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ign w:val="center"/>
          </w:tcPr>
          <w:p>
            <w:pPr>
              <w:snapToGrid w:val="0"/>
              <w:spacing w:line="460" w:lineRule="exact"/>
              <w:rPr>
                <w:rFonts w:hint="eastAsia" w:ascii="宋体" w:hAnsi="宋体" w:cs="宋体"/>
                <w:sz w:val="24"/>
              </w:rPr>
            </w:pPr>
            <w:r>
              <w:rPr>
                <w:rFonts w:hint="eastAsia" w:ascii="宋体" w:hAnsi="宋体" w:cs="宋体"/>
                <w:sz w:val="24"/>
              </w:rPr>
              <w:t>固定电话</w:t>
            </w:r>
          </w:p>
        </w:tc>
        <w:tc>
          <w:tcPr>
            <w:tcW w:w="3123" w:type="dxa"/>
            <w:gridSpan w:val="2"/>
            <w:noWrap/>
            <w:vAlign w:val="center"/>
          </w:tcPr>
          <w:p>
            <w:pPr>
              <w:snapToGrid w:val="0"/>
              <w:spacing w:line="460" w:lineRule="exact"/>
              <w:rPr>
                <w:rFonts w:hint="eastAsia" w:ascii="宋体" w:hAnsi="宋体" w:cs="宋体"/>
                <w:sz w:val="24"/>
              </w:rPr>
            </w:pPr>
          </w:p>
        </w:tc>
        <w:tc>
          <w:tcPr>
            <w:tcW w:w="1735" w:type="dxa"/>
            <w:gridSpan w:val="2"/>
            <w:noWrap/>
            <w:vAlign w:val="center"/>
          </w:tcPr>
          <w:p>
            <w:pPr>
              <w:snapToGrid w:val="0"/>
              <w:spacing w:line="460" w:lineRule="exact"/>
              <w:rPr>
                <w:rFonts w:hint="eastAsia" w:ascii="宋体" w:hAnsi="宋体" w:cs="宋体"/>
                <w:sz w:val="24"/>
              </w:rPr>
            </w:pPr>
            <w:r>
              <w:rPr>
                <w:rFonts w:hint="eastAsia" w:ascii="宋体" w:hAnsi="宋体" w:cs="宋体"/>
                <w:sz w:val="24"/>
              </w:rPr>
              <w:t>电子邮箱</w:t>
            </w:r>
          </w:p>
        </w:tc>
        <w:tc>
          <w:tcPr>
            <w:tcW w:w="2917" w:type="dxa"/>
            <w:noWrap/>
            <w:vAlign w:val="center"/>
          </w:tcPr>
          <w:p>
            <w:pPr>
              <w:snapToGrid w:val="0"/>
              <w:spacing w:line="460" w:lineRule="exact"/>
              <w:rPr>
                <w:rFonts w:hint="eastAsia"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ign w:val="center"/>
          </w:tcPr>
          <w:p>
            <w:pPr>
              <w:snapToGrid w:val="0"/>
              <w:spacing w:line="460" w:lineRule="exact"/>
              <w:rPr>
                <w:rFonts w:hint="eastAsia" w:ascii="宋体" w:hAnsi="宋体" w:cs="宋体"/>
                <w:sz w:val="24"/>
              </w:rPr>
            </w:pPr>
            <w:r>
              <w:rPr>
                <w:rFonts w:hint="eastAsia" w:ascii="宋体" w:hAnsi="宋体" w:cs="宋体"/>
                <w:sz w:val="24"/>
              </w:rPr>
              <w:t>企业简介：（可另附页或企业对外宣传手册，如有附后）</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baseline"/>
        <w:rPr>
          <w:rFonts w:hint="eastAsia" w:ascii="宋体" w:hAnsi="宋体" w:cs="宋体"/>
          <w:b/>
          <w:bCs/>
          <w:sz w:val="24"/>
        </w:rPr>
      </w:pPr>
      <w:r>
        <w:rPr>
          <w:rFonts w:hint="eastAsia" w:ascii="宋体" w:hAnsi="宋体" w:cs="宋体"/>
          <w:b/>
          <w:bCs/>
          <w:sz w:val="24"/>
        </w:rPr>
        <w:t>（后附上与评标相关的投标人证书荣誉等相关证书扫描件加盖CA签章）</w:t>
      </w:r>
    </w:p>
    <w:p>
      <w:pPr>
        <w:keepNext w:val="0"/>
        <w:keepLines w:val="0"/>
        <w:pageBreakBefore w:val="0"/>
        <w:widowControl w:val="0"/>
        <w:kinsoku/>
        <w:wordWrap/>
        <w:overflowPunct/>
        <w:topLinePunct w:val="0"/>
        <w:autoSpaceDE/>
        <w:autoSpaceDN/>
        <w:bidi w:val="0"/>
        <w:spacing w:line="360" w:lineRule="auto"/>
        <w:ind w:right="-21" w:rightChars="-10" w:firstLine="4800" w:firstLineChars="2000"/>
        <w:rPr>
          <w:rFonts w:hint="eastAsia" w:ascii="宋体" w:hAnsi="宋体" w:cs="宋体"/>
          <w:sz w:val="24"/>
        </w:rPr>
      </w:pPr>
      <w:r>
        <w:rPr>
          <w:rFonts w:hint="eastAsia" w:ascii="宋体" w:hAnsi="宋体" w:cs="宋体"/>
          <w:sz w:val="24"/>
        </w:rPr>
        <w:t>投标人（盖章）：</w:t>
      </w:r>
    </w:p>
    <w:p>
      <w:pPr>
        <w:keepNext w:val="0"/>
        <w:keepLines w:val="0"/>
        <w:pageBreakBefore w:val="0"/>
        <w:widowControl w:val="0"/>
        <w:kinsoku/>
        <w:wordWrap/>
        <w:overflowPunct/>
        <w:topLinePunct w:val="0"/>
        <w:autoSpaceDE/>
        <w:autoSpaceDN/>
        <w:bidi w:val="0"/>
        <w:spacing w:line="360" w:lineRule="auto"/>
        <w:ind w:right="-21" w:rightChars="-10" w:firstLine="480"/>
        <w:jc w:val="center"/>
        <w:rPr>
          <w:rFonts w:hint="eastAsia" w:ascii="宋体" w:hAnsi="宋体" w:cs="宋体"/>
          <w:sz w:val="24"/>
        </w:rPr>
      </w:pPr>
      <w:r>
        <w:rPr>
          <w:rFonts w:hint="eastAsia" w:ascii="宋体" w:hAnsi="宋体" w:cs="宋体"/>
          <w:sz w:val="24"/>
        </w:rPr>
        <w:t xml:space="preserve">                     投标人代表（签字或盖章）：</w:t>
      </w:r>
    </w:p>
    <w:p>
      <w:pPr>
        <w:keepNext w:val="0"/>
        <w:keepLines w:val="0"/>
        <w:pageBreakBefore w:val="0"/>
        <w:widowControl w:val="0"/>
        <w:kinsoku/>
        <w:wordWrap/>
        <w:overflowPunct/>
        <w:topLinePunct w:val="0"/>
        <w:autoSpaceDE/>
        <w:autoSpaceDN/>
        <w:bidi w:val="0"/>
        <w:spacing w:line="360" w:lineRule="auto"/>
        <w:ind w:firstLine="4800" w:firstLineChars="2000"/>
        <w:rPr>
          <w:rFonts w:hint="eastAsia" w:ascii="宋体" w:hAnsi="宋体" w:cs="宋体"/>
          <w:kern w:val="0"/>
          <w:sz w:val="24"/>
        </w:rPr>
      </w:pPr>
      <w:r>
        <w:rPr>
          <w:rFonts w:hint="eastAsia" w:ascii="宋体" w:hAnsi="宋体" w:cs="宋体"/>
          <w:sz w:val="24"/>
        </w:rPr>
        <w:t>日    期：</w:t>
      </w:r>
    </w:p>
    <w:p>
      <w:pPr>
        <w:keepNext w:val="0"/>
        <w:keepLines w:val="0"/>
        <w:pageBreakBefore w:val="0"/>
        <w:widowControl w:val="0"/>
        <w:kinsoku/>
        <w:wordWrap/>
        <w:overflowPunct/>
        <w:topLinePunct w:val="0"/>
        <w:autoSpaceDE/>
        <w:autoSpaceDN/>
        <w:bidi w:val="0"/>
        <w:spacing w:beforeLines="50" w:after="50" w:line="360" w:lineRule="auto"/>
        <w:ind w:right="600" w:firstLine="170" w:firstLineChars="71"/>
        <w:jc w:val="left"/>
        <w:rPr>
          <w:rFonts w:hint="eastAsia" w:ascii="宋体" w:hAnsi="宋体" w:cs="宋体"/>
          <w:sz w:val="24"/>
          <w:u w:val="single"/>
        </w:rPr>
        <w:sectPr>
          <w:headerReference r:id="rId7" w:type="default"/>
          <w:footerReference r:id="rId8" w:type="default"/>
          <w:pgSz w:w="11906" w:h="16838"/>
          <w:pgMar w:top="1474" w:right="1417" w:bottom="1247" w:left="1417" w:header="851" w:footer="851" w:gutter="0"/>
          <w:pgNumType w:fmt="decimal" w:chapStyle="1" w:chapSep="colon"/>
          <w:cols w:space="720" w:num="1"/>
        </w:sectPr>
      </w:pPr>
    </w:p>
    <w:p>
      <w:pPr>
        <w:snapToGrid w:val="0"/>
        <w:spacing w:before="50"/>
        <w:jc w:val="left"/>
        <w:rPr>
          <w:rFonts w:hint="eastAsia" w:ascii="宋体" w:hAnsi="宋体" w:cs="宋体"/>
          <w:b/>
          <w:sz w:val="28"/>
          <w:szCs w:val="28"/>
        </w:rPr>
      </w:pPr>
      <w:r>
        <w:rPr>
          <w:rFonts w:hint="eastAsia" w:ascii="宋体" w:hAnsi="宋体" w:cs="宋体"/>
          <w:b/>
          <w:sz w:val="28"/>
          <w:szCs w:val="28"/>
        </w:rPr>
        <w:t>附件10：</w:t>
      </w:r>
    </w:p>
    <w:p>
      <w:pPr>
        <w:snapToGrid w:val="0"/>
        <w:spacing w:before="50" w:after="50"/>
        <w:ind w:firstLine="562"/>
        <w:jc w:val="center"/>
        <w:rPr>
          <w:rFonts w:hint="eastAsia" w:ascii="宋体" w:hAnsi="宋体" w:cs="宋体"/>
          <w:b/>
          <w:sz w:val="28"/>
          <w:szCs w:val="28"/>
        </w:rPr>
      </w:pPr>
      <w:r>
        <w:rPr>
          <w:rFonts w:hint="eastAsia" w:ascii="宋体" w:hAnsi="宋体" w:cs="宋体"/>
          <w:b/>
          <w:sz w:val="28"/>
          <w:szCs w:val="28"/>
        </w:rPr>
        <w:t>投标人类似项目实施情况一览表</w:t>
      </w:r>
    </w:p>
    <w:p>
      <w:pPr>
        <w:ind w:firstLine="480"/>
        <w:rPr>
          <w:rFonts w:hint="eastAsia" w:ascii="宋体" w:hAnsi="宋体" w:cs="宋体"/>
          <w:bCs/>
          <w:sz w:val="24"/>
        </w:rPr>
      </w:pPr>
      <w:r>
        <w:rPr>
          <w:rFonts w:hint="eastAsia" w:ascii="宋体" w:hAnsi="宋体" w:cs="宋体"/>
          <w:sz w:val="24"/>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103"/>
        <w:gridCol w:w="3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5"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napToGrid w:val="0"/>
              <w:ind w:firstLine="480"/>
              <w:jc w:val="both"/>
              <w:rPr>
                <w:rFonts w:hint="eastAsia" w:ascii="宋体" w:hAnsi="宋体" w:cs="宋体"/>
                <w:sz w:val="24"/>
              </w:rPr>
            </w:pPr>
            <w:r>
              <w:rPr>
                <w:rFonts w:hint="eastAsia" w:ascii="宋体" w:hAnsi="宋体" w:cs="宋体"/>
                <w:sz w:val="24"/>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ind w:firstLine="1024" w:firstLineChars="427"/>
              <w:jc w:val="both"/>
              <w:rPr>
                <w:rFonts w:hint="eastAsia" w:ascii="宋体" w:hAnsi="宋体" w:cs="宋体"/>
                <w:sz w:val="24"/>
              </w:rPr>
            </w:pPr>
            <w:r>
              <w:rPr>
                <w:rFonts w:hint="eastAsia" w:ascii="宋体" w:hAnsi="宋体" w:cs="宋体"/>
                <w:sz w:val="24"/>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jc w:val="center"/>
              <w:rPr>
                <w:rFonts w:hint="eastAsia" w:ascii="宋体" w:hAnsi="宋体" w:cs="宋体"/>
                <w:sz w:val="24"/>
              </w:rPr>
            </w:pPr>
            <w:r>
              <w:rPr>
                <w:rFonts w:hint="eastAsia" w:ascii="宋体" w:hAnsi="宋体" w:cs="宋体"/>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合同金额</w:t>
            </w:r>
          </w:p>
          <w:p>
            <w:pPr>
              <w:snapToGrid w:val="0"/>
              <w:jc w:val="center"/>
              <w:rPr>
                <w:rFonts w:hint="eastAsia" w:ascii="宋体" w:hAnsi="宋体" w:cs="宋体"/>
                <w:sz w:val="24"/>
              </w:rPr>
            </w:pPr>
            <w:r>
              <w:rPr>
                <w:rFonts w:hint="eastAsia" w:ascii="宋体" w:hAnsi="宋体" w:cs="宋体"/>
                <w:sz w:val="24"/>
              </w:rPr>
              <w:t>（万元）</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jc w:val="center"/>
              <w:rPr>
                <w:rFonts w:hint="eastAsia" w:ascii="宋体" w:hAnsi="宋体" w:cs="宋体"/>
                <w:sz w:val="24"/>
              </w:rPr>
            </w:pPr>
            <w:r>
              <w:rPr>
                <w:rFonts w:hint="eastAsia" w:ascii="宋体" w:hAnsi="宋体" w:cs="宋体"/>
                <w:sz w:val="24"/>
              </w:rPr>
              <w:t>合同</w:t>
            </w:r>
          </w:p>
        </w:tc>
        <w:tc>
          <w:tcPr>
            <w:tcW w:w="32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21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21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21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c>
          <w:tcPr>
            <w:tcW w:w="321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1024" w:firstLineChars="427"/>
              <w:jc w:val="both"/>
              <w:rPr>
                <w:rFonts w:hint="eastAsia" w:ascii="宋体" w:hAnsi="宋体" w:cs="宋体"/>
                <w:sz w:val="24"/>
              </w:rPr>
            </w:pPr>
            <w:r>
              <w:rPr>
                <w:rFonts w:hint="eastAsia" w:ascii="宋体" w:hAnsi="宋体" w:cs="宋体"/>
                <w:sz w:val="24"/>
              </w:rPr>
              <w:t>备注</w:t>
            </w:r>
          </w:p>
        </w:tc>
        <w:tc>
          <w:tcPr>
            <w:tcW w:w="1134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ind w:firstLine="480"/>
              <w:jc w:val="center"/>
              <w:rPr>
                <w:rFonts w:hint="eastAsia" w:ascii="宋体" w:hAnsi="宋体" w:cs="宋体"/>
                <w:sz w:val="24"/>
              </w:rPr>
            </w:pPr>
            <w:r>
              <w:rPr>
                <w:rFonts w:hint="eastAsia" w:ascii="宋体" w:hAnsi="宋体" w:cs="宋体"/>
                <w:bCs/>
                <w:sz w:val="24"/>
              </w:rPr>
              <w:t>提供中标通知书、合同扫描件并加盖CA签章、用户联系方式，以中标时签订的主合同为准</w:t>
            </w:r>
          </w:p>
        </w:tc>
      </w:tr>
    </w:tbl>
    <w:p>
      <w:pPr>
        <w:keepNext w:val="0"/>
        <w:keepLines w:val="0"/>
        <w:pageBreakBefore w:val="0"/>
        <w:kinsoku/>
        <w:wordWrap/>
        <w:overflowPunct/>
        <w:topLinePunct w:val="0"/>
        <w:autoSpaceDE/>
        <w:autoSpaceDN/>
        <w:bidi w:val="0"/>
        <w:adjustRightInd/>
        <w:snapToGrid/>
        <w:spacing w:line="360" w:lineRule="auto"/>
        <w:ind w:right="-21" w:rightChars="-10" w:firstLine="8400" w:firstLineChars="3500"/>
        <w:textAlignment w:val="auto"/>
        <w:rPr>
          <w:rFonts w:hint="eastAsia" w:ascii="宋体" w:hAnsi="宋体" w:cs="宋体"/>
          <w:sz w:val="24"/>
        </w:rPr>
      </w:pPr>
      <w:r>
        <w:rPr>
          <w:rFonts w:hint="eastAsia" w:ascii="宋体" w:hAnsi="宋体" w:cs="宋体"/>
          <w:sz w:val="24"/>
        </w:rPr>
        <w:t>投标人（盖章）：</w:t>
      </w:r>
    </w:p>
    <w:p>
      <w:pPr>
        <w:keepNext w:val="0"/>
        <w:keepLines w:val="0"/>
        <w:pageBreakBefore w:val="0"/>
        <w:kinsoku/>
        <w:wordWrap/>
        <w:overflowPunct/>
        <w:topLinePunct w:val="0"/>
        <w:autoSpaceDE/>
        <w:autoSpaceDN/>
        <w:bidi w:val="0"/>
        <w:adjustRightInd/>
        <w:snapToGrid/>
        <w:spacing w:line="360" w:lineRule="auto"/>
        <w:ind w:right="-21" w:rightChars="-10" w:firstLine="8400" w:firstLineChars="3500"/>
        <w:textAlignment w:val="auto"/>
        <w:rPr>
          <w:rFonts w:hint="eastAsia" w:ascii="宋体" w:hAnsi="宋体" w:cs="宋体"/>
          <w:sz w:val="24"/>
        </w:rPr>
      </w:pPr>
      <w:r>
        <w:rPr>
          <w:rFonts w:hint="eastAsia" w:ascii="宋体" w:hAnsi="宋体" w:cs="宋体"/>
          <w:sz w:val="24"/>
        </w:rPr>
        <w:t>投标人代表（签字或盖章）：</w:t>
      </w:r>
    </w:p>
    <w:p>
      <w:pPr>
        <w:keepNext w:val="0"/>
        <w:keepLines w:val="0"/>
        <w:pageBreakBefore w:val="0"/>
        <w:kinsoku/>
        <w:wordWrap/>
        <w:overflowPunct/>
        <w:topLinePunct w:val="0"/>
        <w:autoSpaceDE/>
        <w:autoSpaceDN/>
        <w:bidi w:val="0"/>
        <w:adjustRightInd/>
        <w:snapToGrid/>
        <w:spacing w:line="360" w:lineRule="auto"/>
        <w:ind w:firstLine="8400" w:firstLineChars="3500"/>
        <w:textAlignment w:val="auto"/>
        <w:rPr>
          <w:rFonts w:hint="eastAsia" w:ascii="宋体" w:hAnsi="宋体" w:cs="宋体"/>
          <w:kern w:val="0"/>
          <w:szCs w:val="21"/>
        </w:rPr>
      </w:pPr>
      <w:r>
        <w:rPr>
          <w:rFonts w:hint="eastAsia" w:ascii="宋体" w:hAnsi="宋体" w:cs="宋体"/>
          <w:sz w:val="24"/>
        </w:rPr>
        <w:t>日    期：</w:t>
      </w:r>
    </w:p>
    <w:p>
      <w:pPr>
        <w:keepNext w:val="0"/>
        <w:keepLines w:val="0"/>
        <w:pageBreakBefore w:val="0"/>
        <w:widowControl/>
        <w:kinsoku/>
        <w:wordWrap/>
        <w:overflowPunct/>
        <w:topLinePunct w:val="0"/>
        <w:autoSpaceDE/>
        <w:autoSpaceDN/>
        <w:bidi w:val="0"/>
        <w:adjustRightInd/>
        <w:snapToGrid/>
        <w:spacing w:line="360" w:lineRule="auto"/>
        <w:ind w:firstLine="198" w:firstLineChars="66"/>
        <w:jc w:val="left"/>
        <w:textAlignment w:val="auto"/>
        <w:rPr>
          <w:rFonts w:hint="eastAsia" w:ascii="宋体" w:hAnsi="宋体" w:cs="宋体"/>
          <w:sz w:val="30"/>
          <w:szCs w:val="30"/>
        </w:rPr>
        <w:sectPr>
          <w:pgSz w:w="16838" w:h="11906" w:orient="landscape"/>
          <w:pgMar w:top="1797" w:right="1474" w:bottom="1797" w:left="1247" w:header="851" w:footer="851" w:gutter="0"/>
          <w:pgNumType w:fmt="decimal"/>
          <w:cols w:space="720" w:num="1"/>
        </w:sectPr>
      </w:pPr>
    </w:p>
    <w:p>
      <w:pPr>
        <w:spacing w:line="420" w:lineRule="exact"/>
        <w:jc w:val="center"/>
        <w:rPr>
          <w:rFonts w:hint="eastAsia" w:ascii="宋体" w:hAnsi="宋体" w:cs="宋体"/>
          <w:b/>
          <w:bCs/>
          <w:sz w:val="28"/>
          <w:szCs w:val="28"/>
        </w:rPr>
      </w:pPr>
    </w:p>
    <w:p>
      <w:pPr>
        <w:spacing w:line="420" w:lineRule="exact"/>
        <w:jc w:val="center"/>
        <w:rPr>
          <w:rFonts w:hint="eastAsia" w:ascii="宋体" w:hAnsi="宋体" w:cs="宋体"/>
          <w:b/>
          <w:sz w:val="32"/>
          <w:szCs w:val="32"/>
        </w:rPr>
      </w:pPr>
      <w:r>
        <w:rPr>
          <w:rFonts w:hint="eastAsia" w:ascii="宋体" w:hAnsi="宋体" w:cs="宋体"/>
          <w:b/>
          <w:sz w:val="32"/>
          <w:szCs w:val="32"/>
        </w:rPr>
        <w:t>报价文件文封面格式</w:t>
      </w:r>
    </w:p>
    <w:p>
      <w:pPr>
        <w:pStyle w:val="30"/>
        <w:spacing w:line="420" w:lineRule="exact"/>
        <w:ind w:left="105" w:leftChars="50" w:firstLine="2880" w:firstLineChars="1200"/>
        <w:jc w:val="left"/>
        <w:rPr>
          <w:rFonts w:hint="eastAsia" w:ascii="宋体" w:hAnsi="宋体" w:cs="宋体"/>
        </w:rPr>
      </w:pPr>
    </w:p>
    <w:p>
      <w:pPr>
        <w:spacing w:line="420" w:lineRule="exact"/>
        <w:ind w:firstLine="640"/>
        <w:jc w:val="center"/>
        <w:rPr>
          <w:rFonts w:hint="eastAsia" w:ascii="宋体" w:hAnsi="宋体" w:cs="宋体"/>
          <w:sz w:val="84"/>
        </w:rPr>
      </w:pPr>
      <w:r>
        <w:rPr>
          <w:rFonts w:hint="eastAsia" w:ascii="宋体" w:hAnsi="宋体" w:cs="宋体"/>
          <w:sz w:val="32"/>
          <w:szCs w:val="32"/>
        </w:rPr>
        <w:t xml:space="preserve">                                    </w:t>
      </w:r>
    </w:p>
    <w:p>
      <w:pPr>
        <w:spacing w:line="420" w:lineRule="exact"/>
        <w:ind w:firstLine="883"/>
        <w:rPr>
          <w:rFonts w:hint="eastAsia" w:ascii="宋体" w:hAnsi="宋体" w:cs="宋体"/>
          <w:b/>
          <w:sz w:val="44"/>
          <w:szCs w:val="44"/>
        </w:rPr>
      </w:pPr>
    </w:p>
    <w:p>
      <w:pPr>
        <w:ind w:firstLine="420"/>
        <w:rPr>
          <w:rFonts w:hint="eastAsia" w:ascii="宋体" w:hAnsi="宋体" w:cs="宋体"/>
        </w:rPr>
      </w:pPr>
    </w:p>
    <w:p>
      <w:pPr>
        <w:jc w:val="center"/>
        <w:rPr>
          <w:rFonts w:hint="eastAsia" w:ascii="宋体" w:hAnsi="宋体" w:cs="宋体"/>
          <w:b/>
          <w:bCs/>
          <w:sz w:val="72"/>
          <w:szCs w:val="72"/>
        </w:rPr>
      </w:pPr>
    </w:p>
    <w:p>
      <w:pPr>
        <w:jc w:val="center"/>
        <w:rPr>
          <w:rFonts w:hint="eastAsia" w:ascii="宋体" w:hAnsi="宋体" w:cs="宋体"/>
          <w:b/>
          <w:bCs/>
          <w:sz w:val="72"/>
          <w:szCs w:val="72"/>
        </w:rPr>
      </w:pPr>
      <w:r>
        <w:rPr>
          <w:rFonts w:hint="eastAsia" w:ascii="宋体" w:hAnsi="宋体" w:cs="宋体"/>
          <w:b/>
          <w:bCs/>
          <w:sz w:val="72"/>
          <w:szCs w:val="72"/>
        </w:rPr>
        <w:t>报价文件</w:t>
      </w:r>
    </w:p>
    <w:p>
      <w:pPr>
        <w:ind w:firstLine="883"/>
        <w:jc w:val="center"/>
        <w:rPr>
          <w:rFonts w:hint="eastAsia" w:ascii="宋体" w:hAnsi="宋体" w:cs="宋体"/>
          <w:b/>
          <w:bCs/>
          <w:sz w:val="44"/>
          <w:szCs w:val="44"/>
        </w:rPr>
      </w:pPr>
    </w:p>
    <w:p>
      <w:pPr>
        <w:rPr>
          <w:rFonts w:hint="eastAsia" w:ascii="宋体" w:hAnsi="宋体" w:cs="宋体"/>
        </w:rPr>
      </w:pPr>
    </w:p>
    <w:p>
      <w:pPr>
        <w:rPr>
          <w:rFonts w:hint="eastAsia" w:ascii="宋体" w:hAnsi="宋体" w:cs="宋体"/>
        </w:rPr>
      </w:pPr>
    </w:p>
    <w:p>
      <w:pPr>
        <w:pStyle w:val="7"/>
        <w:ind w:firstLine="420"/>
        <w:rPr>
          <w:rFonts w:hint="eastAsia" w:ascii="宋体" w:hAnsi="宋体" w:cs="宋体"/>
        </w:rPr>
      </w:pPr>
    </w:p>
    <w:p>
      <w:pPr>
        <w:pStyle w:val="7"/>
        <w:ind w:firstLine="420"/>
        <w:rPr>
          <w:rFonts w:hint="eastAsia" w:ascii="宋体" w:hAnsi="宋体" w:cs="宋体"/>
        </w:rPr>
      </w:pPr>
    </w:p>
    <w:p>
      <w:pPr>
        <w:ind w:firstLine="420"/>
        <w:rPr>
          <w:rFonts w:hint="eastAsia" w:ascii="宋体" w:hAnsi="宋体" w:cs="宋体"/>
        </w:rPr>
      </w:pPr>
    </w:p>
    <w:p>
      <w:pPr>
        <w:ind w:firstLine="640"/>
        <w:rPr>
          <w:rFonts w:hint="eastAsia" w:ascii="宋体" w:hAnsi="宋体" w:eastAsia="宋体" w:cs="宋体"/>
          <w:color w:val="C00000"/>
          <w:sz w:val="28"/>
          <w:szCs w:val="28"/>
          <w:lang w:eastAsia="zh-CN"/>
        </w:rPr>
      </w:pPr>
      <w:r>
        <w:rPr>
          <w:rFonts w:hint="eastAsia" w:ascii="宋体" w:hAnsi="宋体" w:cs="宋体"/>
          <w:sz w:val="28"/>
          <w:szCs w:val="28"/>
        </w:rPr>
        <w:t>项目名称：</w:t>
      </w:r>
      <w:r>
        <w:rPr>
          <w:rFonts w:hint="eastAsia" w:ascii="宋体" w:hAnsi="宋体" w:cs="宋体"/>
          <w:color w:val="auto"/>
          <w:sz w:val="28"/>
          <w:szCs w:val="28"/>
          <w:u w:val="single"/>
          <w:lang w:val="en-US" w:eastAsia="zh-CN"/>
        </w:rPr>
        <w:t>嵊州市金庭镇（撤并前金庭镇行政区域范围）生活垃圾上门收集、分类清运、大件垃圾清理、终端运行、再生资源回收站点、嵊张线局部地段保洁项目</w:t>
      </w:r>
    </w:p>
    <w:p>
      <w:pPr>
        <w:ind w:firstLine="640"/>
        <w:rPr>
          <w:rFonts w:hint="eastAsia" w:ascii="宋体" w:hAnsi="宋体" w:eastAsia="宋体" w:cs="宋体"/>
          <w:sz w:val="28"/>
          <w:szCs w:val="28"/>
          <w:u w:val="single"/>
          <w:lang w:val="en-US" w:eastAsia="zh-CN"/>
        </w:rPr>
      </w:pPr>
      <w:r>
        <w:rPr>
          <w:rFonts w:hint="eastAsia" w:ascii="宋体" w:hAnsi="宋体" w:cs="宋体"/>
          <w:sz w:val="28"/>
          <w:szCs w:val="28"/>
        </w:rPr>
        <w:t>项目编号：</w:t>
      </w:r>
      <w:r>
        <w:rPr>
          <w:rFonts w:hint="eastAsia" w:ascii="宋体" w:hAnsi="宋体" w:cs="宋体"/>
          <w:sz w:val="28"/>
          <w:szCs w:val="28"/>
          <w:lang w:val="en-US" w:eastAsia="zh-CN"/>
        </w:rPr>
        <w:t xml:space="preserve"> </w:t>
      </w:r>
    </w:p>
    <w:p>
      <w:pPr>
        <w:ind w:firstLine="64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（全称）（加盖公章）     </w:t>
      </w:r>
    </w:p>
    <w:p>
      <w:pPr>
        <w:ind w:firstLine="640"/>
        <w:rPr>
          <w:rFonts w:hint="eastAsia" w:ascii="宋体" w:hAnsi="宋体" w:cs="宋体"/>
          <w:sz w:val="28"/>
          <w:szCs w:val="28"/>
          <w:u w:val="single"/>
        </w:rPr>
      </w:pPr>
      <w:r>
        <w:rPr>
          <w:rFonts w:hint="eastAsia" w:ascii="宋体" w:hAnsi="宋体" w:cs="宋体"/>
          <w:sz w:val="28"/>
          <w:szCs w:val="28"/>
        </w:rPr>
        <w:t>法定代表人或授权代表人签字（或盖章）：</w:t>
      </w:r>
    </w:p>
    <w:p>
      <w:pPr>
        <w:ind w:firstLine="640"/>
        <w:rPr>
          <w:rFonts w:hint="eastAsia" w:ascii="宋体" w:hAnsi="宋体" w:cs="宋体"/>
          <w:sz w:val="28"/>
          <w:szCs w:val="28"/>
          <w:u w:val="single"/>
        </w:rPr>
      </w:pPr>
      <w:r>
        <w:rPr>
          <w:rFonts w:hint="eastAsia" w:ascii="宋体" w:hAnsi="宋体" w:cs="宋体"/>
          <w:sz w:val="28"/>
          <w:szCs w:val="28"/>
        </w:rPr>
        <w:t>投标人地址：</w:t>
      </w:r>
    </w:p>
    <w:p>
      <w:pPr>
        <w:spacing w:line="420" w:lineRule="exact"/>
        <w:ind w:firstLine="420"/>
        <w:jc w:val="left"/>
        <w:rPr>
          <w:rFonts w:hint="eastAsia" w:ascii="宋体" w:hAnsi="宋体" w:cs="宋体"/>
        </w:rPr>
      </w:pPr>
    </w:p>
    <w:p>
      <w:pPr>
        <w:jc w:val="center"/>
        <w:rPr>
          <w:rFonts w:hint="eastAsia" w:ascii="宋体" w:hAnsi="宋体" w:cs="宋体"/>
          <w:sz w:val="32"/>
        </w:rPr>
      </w:pPr>
      <w:r>
        <w:rPr>
          <w:rFonts w:hint="eastAsia" w:ascii="宋体" w:hAnsi="宋体" w:cs="宋体"/>
          <w:sz w:val="32"/>
        </w:rPr>
        <w:t xml:space="preserve">二  〇 二  </w:t>
      </w:r>
      <w:r>
        <w:rPr>
          <w:rFonts w:hint="eastAsia" w:ascii="宋体" w:hAnsi="宋体" w:cs="宋体"/>
          <w:sz w:val="32"/>
          <w:lang w:eastAsia="zh-CN"/>
        </w:rPr>
        <w:t>一</w:t>
      </w:r>
      <w:r>
        <w:rPr>
          <w:rFonts w:hint="eastAsia" w:ascii="宋体" w:hAnsi="宋体" w:cs="宋体"/>
          <w:sz w:val="32"/>
        </w:rPr>
        <w:t xml:space="preserve"> 年    月    日</w:t>
      </w:r>
    </w:p>
    <w:p>
      <w:pPr>
        <w:snapToGrid w:val="0"/>
        <w:spacing w:before="50" w:afterLines="50" w:line="460" w:lineRule="exact"/>
        <w:ind w:firstLine="600"/>
        <w:jc w:val="left"/>
        <w:rPr>
          <w:rFonts w:hint="eastAsia" w:ascii="宋体" w:hAnsi="宋体" w:cs="宋体"/>
          <w:sz w:val="30"/>
          <w:szCs w:val="30"/>
        </w:rPr>
      </w:pPr>
    </w:p>
    <w:p>
      <w:pPr>
        <w:pStyle w:val="27"/>
        <w:snapToGrid w:val="0"/>
        <w:spacing w:before="120" w:after="120" w:line="460" w:lineRule="exact"/>
        <w:rPr>
          <w:rFonts w:hint="eastAsia" w:hAnsi="宋体" w:cs="宋体"/>
          <w:sz w:val="30"/>
          <w:szCs w:val="30"/>
        </w:rPr>
      </w:pPr>
    </w:p>
    <w:p>
      <w:pPr>
        <w:pStyle w:val="27"/>
        <w:snapToGrid w:val="0"/>
        <w:spacing w:before="120" w:after="120"/>
        <w:rPr>
          <w:rFonts w:hint="eastAsia" w:hAnsi="宋体" w:cs="宋体"/>
          <w:b/>
          <w:sz w:val="28"/>
          <w:szCs w:val="28"/>
        </w:rPr>
      </w:pPr>
      <w:r>
        <w:rPr>
          <w:rFonts w:hint="eastAsia" w:hAnsi="宋体" w:cs="宋体"/>
          <w:sz w:val="30"/>
          <w:szCs w:val="30"/>
        </w:rPr>
        <w:br w:type="page"/>
      </w:r>
      <w:r>
        <w:rPr>
          <w:rFonts w:hint="eastAsia" w:hAnsi="宋体" w:cs="宋体"/>
          <w:b/>
          <w:sz w:val="28"/>
          <w:szCs w:val="28"/>
        </w:rPr>
        <w:t>附件11：</w:t>
      </w:r>
    </w:p>
    <w:p>
      <w:pPr>
        <w:ind w:firstLine="562"/>
        <w:jc w:val="center"/>
        <w:rPr>
          <w:rFonts w:hint="eastAsia" w:ascii="宋体" w:hAnsi="宋体" w:cs="宋体"/>
          <w:b/>
          <w:bCs/>
          <w:sz w:val="28"/>
          <w:szCs w:val="28"/>
        </w:rPr>
      </w:pPr>
      <w:r>
        <w:rPr>
          <w:rFonts w:hint="eastAsia" w:ascii="宋体" w:hAnsi="宋体" w:cs="宋体"/>
          <w:b/>
          <w:bCs/>
          <w:sz w:val="28"/>
          <w:szCs w:val="28"/>
        </w:rPr>
        <w:t>开标一览表</w:t>
      </w:r>
    </w:p>
    <w:p>
      <w:pPr>
        <w:ind w:firstLine="420"/>
        <w:jc w:val="center"/>
        <w:rPr>
          <w:rFonts w:hint="eastAsia" w:ascii="宋体" w:hAnsi="宋体" w:cs="宋体"/>
        </w:rPr>
      </w:pPr>
    </w:p>
    <w:p>
      <w:pPr>
        <w:ind w:firstLine="120" w:firstLineChars="50"/>
        <w:rPr>
          <w:rFonts w:hint="eastAsia" w:ascii="宋体" w:hAnsi="宋体" w:cs="宋体"/>
          <w:sz w:val="24"/>
        </w:rPr>
      </w:pPr>
      <w:r>
        <w:rPr>
          <w:rFonts w:hint="eastAsia" w:ascii="宋体" w:hAnsi="宋体" w:cs="宋体"/>
          <w:sz w:val="24"/>
        </w:rPr>
        <w:t>项目名称：</w:t>
      </w:r>
    </w:p>
    <w:p>
      <w:pPr>
        <w:ind w:firstLine="120" w:firstLineChars="50"/>
        <w:rPr>
          <w:rFonts w:hint="eastAsia" w:ascii="宋体" w:hAnsi="宋体" w:cs="宋体"/>
          <w:sz w:val="24"/>
        </w:rPr>
      </w:pPr>
      <w:r>
        <w:rPr>
          <w:rFonts w:hint="eastAsia" w:ascii="宋体" w:hAnsi="宋体" w:cs="宋体"/>
          <w:sz w:val="24"/>
        </w:rPr>
        <w:t>项目编号：</w:t>
      </w:r>
    </w:p>
    <w:tbl>
      <w:tblPr>
        <w:tblStyle w:val="4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48"/>
        <w:gridCol w:w="1396"/>
        <w:gridCol w:w="1005"/>
        <w:gridCol w:w="152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67" w:type="dxa"/>
            <w:vAlign w:val="center"/>
          </w:tcPr>
          <w:p>
            <w:pPr>
              <w:spacing w:before="50" w:after="50" w:line="0" w:lineRule="atLeast"/>
              <w:jc w:val="center"/>
              <w:rPr>
                <w:rFonts w:hint="eastAsia" w:ascii="宋体" w:hAnsi="宋体" w:cs="宋体"/>
                <w:bCs/>
                <w:sz w:val="24"/>
              </w:rPr>
            </w:pPr>
            <w:r>
              <w:rPr>
                <w:rFonts w:hint="eastAsia" w:ascii="宋体" w:hAnsi="宋体" w:cs="宋体"/>
                <w:bCs/>
                <w:sz w:val="24"/>
              </w:rPr>
              <w:t>序号</w:t>
            </w:r>
          </w:p>
        </w:tc>
        <w:tc>
          <w:tcPr>
            <w:tcW w:w="3348" w:type="dxa"/>
            <w:vAlign w:val="center"/>
          </w:tcPr>
          <w:p>
            <w:pPr>
              <w:spacing w:before="50" w:after="50" w:line="0" w:lineRule="atLeast"/>
              <w:jc w:val="center"/>
              <w:rPr>
                <w:rFonts w:hint="eastAsia" w:ascii="宋体" w:hAnsi="宋体" w:cs="宋体"/>
                <w:bCs/>
                <w:sz w:val="24"/>
              </w:rPr>
            </w:pPr>
            <w:r>
              <w:rPr>
                <w:rFonts w:hint="eastAsia" w:ascii="宋体" w:hAnsi="宋体" w:cs="宋体"/>
                <w:bCs/>
                <w:sz w:val="24"/>
              </w:rPr>
              <w:t>项目名称</w:t>
            </w:r>
          </w:p>
        </w:tc>
        <w:tc>
          <w:tcPr>
            <w:tcW w:w="1396" w:type="dxa"/>
            <w:vAlign w:val="center"/>
          </w:tcPr>
          <w:p>
            <w:pPr>
              <w:spacing w:before="50" w:after="50" w:line="0" w:lineRule="atLeast"/>
              <w:jc w:val="center"/>
              <w:rPr>
                <w:rFonts w:hint="eastAsia" w:ascii="宋体" w:hAnsi="宋体" w:cs="宋体"/>
                <w:bCs/>
                <w:sz w:val="24"/>
              </w:rPr>
            </w:pPr>
            <w:r>
              <w:rPr>
                <w:rFonts w:hint="eastAsia" w:ascii="宋体" w:hAnsi="宋体" w:cs="宋体"/>
                <w:bCs/>
                <w:sz w:val="24"/>
              </w:rPr>
              <w:t>单价（元/年）</w:t>
            </w:r>
          </w:p>
        </w:tc>
        <w:tc>
          <w:tcPr>
            <w:tcW w:w="1005" w:type="dxa"/>
            <w:vAlign w:val="center"/>
          </w:tcPr>
          <w:p>
            <w:pPr>
              <w:spacing w:line="400" w:lineRule="exact"/>
              <w:jc w:val="center"/>
              <w:rPr>
                <w:rFonts w:hint="eastAsia" w:ascii="宋体" w:hAnsi="宋体" w:cs="宋体"/>
                <w:bCs/>
                <w:sz w:val="24"/>
              </w:rPr>
            </w:pPr>
            <w:r>
              <w:rPr>
                <w:rFonts w:hint="eastAsia" w:ascii="宋体" w:hAnsi="宋体" w:cs="宋体"/>
                <w:bCs/>
                <w:sz w:val="24"/>
              </w:rPr>
              <w:t>数量</w:t>
            </w:r>
          </w:p>
        </w:tc>
        <w:tc>
          <w:tcPr>
            <w:tcW w:w="1520" w:type="dxa"/>
            <w:vAlign w:val="center"/>
          </w:tcPr>
          <w:p>
            <w:pPr>
              <w:spacing w:line="400" w:lineRule="exact"/>
              <w:jc w:val="center"/>
              <w:rPr>
                <w:rFonts w:hint="eastAsia" w:ascii="宋体" w:hAnsi="宋体" w:cs="宋体"/>
                <w:bCs/>
                <w:sz w:val="24"/>
              </w:rPr>
            </w:pPr>
            <w:r>
              <w:rPr>
                <w:rFonts w:hint="eastAsia" w:ascii="宋体" w:hAnsi="宋体" w:cs="宋体"/>
                <w:bCs/>
                <w:sz w:val="24"/>
              </w:rPr>
              <w:t>总价（元）</w:t>
            </w:r>
          </w:p>
        </w:tc>
        <w:tc>
          <w:tcPr>
            <w:tcW w:w="1084" w:type="dxa"/>
            <w:vAlign w:val="center"/>
          </w:tcPr>
          <w:p>
            <w:pPr>
              <w:spacing w:line="40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67" w:type="dxa"/>
            <w:vAlign w:val="center"/>
          </w:tcPr>
          <w:p>
            <w:pPr>
              <w:spacing w:before="50" w:after="50" w:line="0" w:lineRule="atLeast"/>
              <w:ind w:firstLine="196" w:firstLineChars="82"/>
              <w:jc w:val="center"/>
              <w:rPr>
                <w:rFonts w:hint="eastAsia" w:ascii="宋体" w:hAnsi="宋体" w:cs="宋体"/>
                <w:bCs/>
                <w:sz w:val="24"/>
              </w:rPr>
            </w:pPr>
            <w:r>
              <w:rPr>
                <w:rFonts w:hint="eastAsia" w:ascii="宋体" w:hAnsi="宋体" w:cs="宋体"/>
                <w:bCs/>
                <w:sz w:val="24"/>
              </w:rPr>
              <w:t>1</w:t>
            </w:r>
          </w:p>
        </w:tc>
        <w:tc>
          <w:tcPr>
            <w:tcW w:w="3348" w:type="dxa"/>
            <w:vAlign w:val="center"/>
          </w:tcPr>
          <w:p>
            <w:pPr>
              <w:spacing w:line="400" w:lineRule="exact"/>
              <w:jc w:val="center"/>
              <w:rPr>
                <w:rFonts w:hint="eastAsia" w:ascii="宋体" w:hAnsi="宋体" w:cs="宋体"/>
                <w:bCs/>
                <w:sz w:val="24"/>
              </w:rPr>
            </w:pPr>
          </w:p>
        </w:tc>
        <w:tc>
          <w:tcPr>
            <w:tcW w:w="1396" w:type="dxa"/>
          </w:tcPr>
          <w:p>
            <w:pPr>
              <w:ind w:firstLine="480"/>
              <w:jc w:val="center"/>
              <w:rPr>
                <w:rFonts w:hint="eastAsia" w:ascii="宋体" w:hAnsi="宋体" w:cs="宋体"/>
                <w:bCs/>
                <w:sz w:val="24"/>
              </w:rPr>
            </w:pPr>
          </w:p>
        </w:tc>
        <w:tc>
          <w:tcPr>
            <w:tcW w:w="1005" w:type="dxa"/>
            <w:vAlign w:val="center"/>
          </w:tcPr>
          <w:p>
            <w:pPr>
              <w:spacing w:line="400" w:lineRule="exact"/>
              <w:jc w:val="center"/>
              <w:rPr>
                <w:rFonts w:hint="eastAsia" w:ascii="宋体" w:hAnsi="宋体" w:cs="宋体"/>
                <w:bCs/>
                <w:sz w:val="24"/>
              </w:rPr>
            </w:pPr>
            <w:r>
              <w:rPr>
                <w:rFonts w:hint="eastAsia" w:ascii="宋体" w:hAnsi="宋体" w:cs="宋体"/>
                <w:bCs/>
                <w:sz w:val="24"/>
              </w:rPr>
              <w:t>3年</w:t>
            </w:r>
          </w:p>
        </w:tc>
        <w:tc>
          <w:tcPr>
            <w:tcW w:w="1520" w:type="dxa"/>
            <w:vAlign w:val="center"/>
          </w:tcPr>
          <w:p>
            <w:pPr>
              <w:spacing w:line="400" w:lineRule="exact"/>
              <w:ind w:firstLine="480"/>
              <w:jc w:val="center"/>
              <w:rPr>
                <w:rFonts w:hint="eastAsia" w:ascii="宋体" w:hAnsi="宋体" w:cs="宋体"/>
                <w:bCs/>
                <w:sz w:val="24"/>
              </w:rPr>
            </w:pPr>
          </w:p>
        </w:tc>
        <w:tc>
          <w:tcPr>
            <w:tcW w:w="1084" w:type="dxa"/>
            <w:vAlign w:val="center"/>
          </w:tcPr>
          <w:p>
            <w:pPr>
              <w:spacing w:line="400" w:lineRule="exact"/>
              <w:ind w:firstLine="48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220" w:type="dxa"/>
            <w:gridSpan w:val="6"/>
            <w:vAlign w:val="center"/>
          </w:tcPr>
          <w:p>
            <w:pPr>
              <w:spacing w:line="400" w:lineRule="exact"/>
              <w:ind w:firstLine="480"/>
              <w:jc w:val="left"/>
              <w:rPr>
                <w:rFonts w:hint="eastAsia" w:ascii="宋体" w:hAnsi="宋体" w:cs="宋体"/>
                <w:bCs/>
                <w:sz w:val="24"/>
              </w:rPr>
            </w:pPr>
            <w:r>
              <w:rPr>
                <w:rFonts w:hint="eastAsia" w:ascii="宋体" w:hAnsi="宋体" w:cs="宋体"/>
                <w:bCs/>
                <w:sz w:val="24"/>
              </w:rPr>
              <w:t>投标报价（大写）：</w:t>
            </w:r>
          </w:p>
        </w:tc>
      </w:tr>
    </w:tbl>
    <w:p>
      <w:pPr>
        <w:snapToGrid w:val="0"/>
        <w:ind w:firstLine="480"/>
        <w:rPr>
          <w:rFonts w:hint="eastAsia" w:ascii="宋体" w:hAnsi="宋体" w:cs="宋体"/>
          <w:bCs/>
          <w:sz w:val="24"/>
        </w:rPr>
      </w:pPr>
    </w:p>
    <w:p>
      <w:pPr>
        <w:snapToGrid w:val="0"/>
        <w:spacing w:line="360" w:lineRule="auto"/>
        <w:ind w:firstLine="480"/>
        <w:rPr>
          <w:rFonts w:hint="eastAsia" w:ascii="宋体" w:hAnsi="宋体" w:cs="宋体"/>
          <w:sz w:val="24"/>
        </w:rPr>
      </w:pPr>
      <w:r>
        <w:rPr>
          <w:rFonts w:hint="eastAsia" w:ascii="宋体" w:hAnsi="宋体" w:cs="宋体"/>
          <w:bCs/>
          <w:sz w:val="24"/>
        </w:rPr>
        <w:t>注：1</w:t>
      </w:r>
      <w:r>
        <w:rPr>
          <w:rFonts w:hint="eastAsia" w:ascii="宋体" w:hAnsi="宋体" w:cs="宋体"/>
          <w:sz w:val="24"/>
        </w:rPr>
        <w:t>.投标报价是履行合同的最终价格，即完成本项目服务内容和要求所产生的所有费用，</w:t>
      </w:r>
      <w:r>
        <w:rPr>
          <w:rFonts w:hint="eastAsia" w:ascii="宋体" w:hAnsi="宋体" w:cs="宋体"/>
          <w:bCs/>
          <w:sz w:val="24"/>
        </w:rPr>
        <w:t>包括保洁人员、专业技术人员及各级管理人员工资、奖金、福利、培训、服装、各类保险等费用，作业成本、维修、油耗、车辆等各类设备设施配备及维护保养费用、垃圾清运处置费用、企业管理费用、利润、税金、环境保障费用、不可预见费（如突击工作费，防台、抗暴风雨等措施费，综合抗灾清障费，人工增加费，设施维护费及其它）、工作场所费用、其他与保洁管理相关费用等、招标代理费等一切税金和费用。</w:t>
      </w:r>
    </w:p>
    <w:p>
      <w:pPr>
        <w:snapToGrid w:val="0"/>
        <w:spacing w:line="360" w:lineRule="auto"/>
        <w:ind w:firstLine="480"/>
        <w:jc w:val="left"/>
        <w:rPr>
          <w:rFonts w:hint="eastAsia" w:ascii="宋体" w:hAnsi="宋体" w:cs="宋体"/>
          <w:sz w:val="24"/>
        </w:rPr>
      </w:pPr>
      <w:r>
        <w:rPr>
          <w:rFonts w:hint="eastAsia" w:ascii="宋体" w:hAnsi="宋体" w:cs="宋体"/>
          <w:sz w:val="24"/>
        </w:rPr>
        <w:t>2.报价一经涂改，应在涂改处加盖单位公章或者由法定代表人或授权委托人签字或盖章，否则其投标作无效标处理。</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right="-21" w:rightChars="-10" w:firstLine="4800" w:firstLineChars="2000"/>
        <w:rPr>
          <w:rFonts w:hint="eastAsia" w:ascii="宋体" w:hAnsi="宋体" w:cs="宋体"/>
          <w:sz w:val="24"/>
        </w:rPr>
      </w:pPr>
      <w:r>
        <w:rPr>
          <w:rFonts w:hint="eastAsia" w:ascii="宋体" w:hAnsi="宋体" w:cs="宋体"/>
          <w:sz w:val="24"/>
        </w:rPr>
        <w:t>投标人（盖章）：</w:t>
      </w:r>
    </w:p>
    <w:p>
      <w:pPr>
        <w:spacing w:line="360" w:lineRule="auto"/>
        <w:ind w:right="-21" w:rightChars="-10" w:firstLine="480"/>
        <w:jc w:val="center"/>
        <w:rPr>
          <w:rFonts w:hint="eastAsia" w:ascii="宋体" w:hAnsi="宋体" w:cs="宋体"/>
          <w:sz w:val="24"/>
        </w:rPr>
      </w:pPr>
      <w:r>
        <w:rPr>
          <w:rFonts w:hint="eastAsia" w:ascii="宋体" w:hAnsi="宋体" w:cs="宋体"/>
          <w:sz w:val="24"/>
        </w:rPr>
        <w:t xml:space="preserve">                     法定代表人（签字或盖章）：</w:t>
      </w:r>
    </w:p>
    <w:p>
      <w:pPr>
        <w:spacing w:line="360" w:lineRule="auto"/>
        <w:ind w:firstLine="4800" w:firstLineChars="2000"/>
        <w:rPr>
          <w:rFonts w:hint="eastAsia" w:ascii="宋体" w:hAnsi="宋体" w:cs="宋体"/>
          <w:kern w:val="0"/>
          <w:szCs w:val="21"/>
        </w:rPr>
      </w:pPr>
      <w:r>
        <w:rPr>
          <w:rFonts w:hint="eastAsia" w:ascii="宋体" w:hAnsi="宋体" w:cs="宋体"/>
          <w:sz w:val="24"/>
        </w:rPr>
        <w:t>日    期：</w:t>
      </w:r>
    </w:p>
    <w:p>
      <w:pPr>
        <w:pStyle w:val="27"/>
        <w:snapToGrid w:val="0"/>
        <w:spacing w:after="120" w:line="360" w:lineRule="auto"/>
        <w:jc w:val="left"/>
        <w:rPr>
          <w:rFonts w:hint="eastAsia" w:hAnsi="宋体" w:cs="宋体"/>
          <w:b/>
          <w:bCs/>
          <w:sz w:val="28"/>
          <w:szCs w:val="28"/>
        </w:rPr>
      </w:pPr>
    </w:p>
    <w:p>
      <w:pPr>
        <w:pStyle w:val="27"/>
        <w:snapToGrid w:val="0"/>
        <w:spacing w:after="120"/>
        <w:jc w:val="left"/>
        <w:rPr>
          <w:rFonts w:hint="eastAsia" w:hAnsi="宋体" w:cs="宋体"/>
          <w:b/>
          <w:bCs/>
          <w:sz w:val="28"/>
          <w:szCs w:val="28"/>
        </w:rPr>
      </w:pPr>
    </w:p>
    <w:p>
      <w:pPr>
        <w:pStyle w:val="27"/>
        <w:snapToGrid w:val="0"/>
        <w:spacing w:after="120"/>
        <w:jc w:val="left"/>
        <w:rPr>
          <w:rFonts w:hint="eastAsia" w:hAnsi="宋体" w:cs="宋体"/>
          <w:b/>
          <w:bCs/>
          <w:sz w:val="28"/>
          <w:szCs w:val="28"/>
        </w:rPr>
      </w:pPr>
    </w:p>
    <w:p>
      <w:pPr>
        <w:pStyle w:val="27"/>
        <w:snapToGrid w:val="0"/>
        <w:spacing w:after="120"/>
        <w:jc w:val="left"/>
        <w:rPr>
          <w:rFonts w:hint="eastAsia" w:hAnsi="宋体" w:cs="宋体"/>
          <w:b/>
          <w:bCs/>
          <w:sz w:val="28"/>
          <w:szCs w:val="28"/>
        </w:rPr>
      </w:pPr>
    </w:p>
    <w:p>
      <w:pPr>
        <w:pStyle w:val="27"/>
        <w:snapToGrid w:val="0"/>
        <w:spacing w:after="120"/>
        <w:jc w:val="left"/>
        <w:rPr>
          <w:rFonts w:hint="eastAsia" w:hAnsi="宋体" w:cs="宋体"/>
          <w:b/>
          <w:bCs/>
          <w:sz w:val="28"/>
          <w:szCs w:val="28"/>
        </w:rPr>
      </w:pPr>
    </w:p>
    <w:p>
      <w:pPr>
        <w:pStyle w:val="27"/>
        <w:snapToGrid w:val="0"/>
        <w:spacing w:after="120"/>
        <w:jc w:val="left"/>
        <w:rPr>
          <w:rFonts w:hint="eastAsia" w:hAnsi="宋体" w:cs="宋体"/>
          <w:b/>
          <w:bCs/>
          <w:sz w:val="28"/>
          <w:szCs w:val="28"/>
        </w:rPr>
      </w:pPr>
    </w:p>
    <w:p>
      <w:pPr>
        <w:pStyle w:val="27"/>
        <w:snapToGrid w:val="0"/>
        <w:spacing w:after="120"/>
        <w:jc w:val="left"/>
        <w:rPr>
          <w:rFonts w:hint="eastAsia" w:hAnsi="宋体" w:cs="宋体"/>
          <w:sz w:val="30"/>
          <w:szCs w:val="30"/>
        </w:rPr>
      </w:pPr>
      <w:r>
        <w:rPr>
          <w:rFonts w:hint="eastAsia" w:hAnsi="宋体" w:cs="宋体"/>
          <w:b/>
          <w:bCs/>
          <w:sz w:val="28"/>
          <w:szCs w:val="28"/>
        </w:rPr>
        <w:t>附件12：</w:t>
      </w:r>
    </w:p>
    <w:p>
      <w:pPr>
        <w:ind w:firstLine="640"/>
        <w:rPr>
          <w:rFonts w:hint="eastAsia" w:ascii="宋体" w:hAnsi="宋体" w:cs="宋体"/>
          <w:b/>
          <w:sz w:val="30"/>
          <w:szCs w:val="30"/>
        </w:rPr>
      </w:pPr>
      <w:r>
        <w:rPr>
          <w:rFonts w:hint="eastAsia" w:ascii="宋体" w:hAnsi="宋体" w:cs="宋体"/>
          <w:b/>
          <w:bCs/>
          <w:color w:val="000000"/>
          <w:kern w:val="0"/>
          <w:sz w:val="28"/>
          <w:szCs w:val="28"/>
          <w:lang w:val="en-US" w:eastAsia="zh-CN"/>
        </w:rPr>
        <w:t>嵊州市金庭镇（撤并前金庭镇行政区域范围）生活垃圾上门收集、分类清运、大件垃圾清理、终端运行、再生资源回收站点、嵊张线局部地段保洁项目</w:t>
      </w:r>
      <w:r>
        <w:rPr>
          <w:rFonts w:hint="eastAsia" w:ascii="宋体" w:hAnsi="宋体" w:cs="宋体"/>
          <w:b/>
          <w:bCs/>
          <w:color w:val="000000"/>
          <w:kern w:val="0"/>
          <w:sz w:val="28"/>
          <w:szCs w:val="28"/>
        </w:rPr>
        <w:t>投标</w:t>
      </w:r>
      <w:r>
        <w:rPr>
          <w:rFonts w:hint="eastAsia" w:ascii="宋体" w:hAnsi="宋体" w:cs="宋体"/>
          <w:b/>
          <w:sz w:val="30"/>
          <w:szCs w:val="30"/>
        </w:rPr>
        <w:t>报价清单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8"/>
        <w:gridCol w:w="130"/>
        <w:gridCol w:w="1560"/>
        <w:gridCol w:w="4"/>
        <w:gridCol w:w="824"/>
        <w:gridCol w:w="16"/>
        <w:gridCol w:w="780"/>
        <w:gridCol w:w="216"/>
        <w:gridCol w:w="588"/>
        <w:gridCol w:w="384"/>
        <w:gridCol w:w="768"/>
        <w:gridCol w:w="38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81"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序号</w:t>
            </w: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项目</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数量</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单价</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年费用（元）</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一</w:t>
            </w:r>
          </w:p>
        </w:tc>
        <w:tc>
          <w:tcPr>
            <w:tcW w:w="7741" w:type="dxa"/>
            <w:gridSpan w:val="13"/>
            <w:vAlign w:val="center"/>
          </w:tcPr>
          <w:p>
            <w:pPr>
              <w:numPr>
                <w:ilvl w:val="0"/>
                <w:numId w:val="0"/>
              </w:numPr>
              <w:jc w:val="both"/>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嵊州市金庭镇垃圾分类服务项目－－上门收集、嵊张线局部地段日常保洁、再生资源回收、污目广告清洗费用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81" w:type="dxa"/>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人</w:t>
            </w: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员</w:t>
            </w: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工</w:t>
            </w: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资</w:t>
            </w: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项目负责人</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项目管理员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分拣督导员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9</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300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left"/>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由村卫生员兼任每月补贴300元（负责监督指导收集人员进行垃圾分类收集、投放、运输等工作，此费用不得下浮。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行政村垃圾上门收集清运人员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49</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13月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14"/>
              </w:numPr>
              <w:jc w:val="left"/>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春节假期（10天）及采摘季节（20天）垃圾按2倍计，多1个月。2、上门收集人员各自做好车辆及垃圾桶的清洗工作。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污目广告清洗员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嵊张线清扫人员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6</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13月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15"/>
              </w:numPr>
              <w:jc w:val="left"/>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嵊张线清扫范围：（后山-金庭观、下任三叉路口-金兰村）；2、春节假期（10天）及采摘季节（20天）垃圾按2倍计，多1个月。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再生资源回收人员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机械运行费用</w:t>
            </w: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电动两桶垃圾收集车</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55</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含折旧费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3</w:t>
            </w:r>
          </w:p>
          <w:p>
            <w:pPr>
              <w:numPr>
                <w:ilvl w:val="0"/>
                <w:numId w:val="0"/>
              </w:numPr>
              <w:jc w:val="both"/>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垃圾桶消耗费用</w:t>
            </w: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240L特厚垃圾桶</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500</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50个桶点，每个桶点放4只桶，年更换率2.5计；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w:t>
            </w:r>
          </w:p>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其他费用</w:t>
            </w: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劳保用品费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55</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450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24750</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81" w:type="dxa"/>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728"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意外保险费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55</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500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27500</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9" w:type="dxa"/>
            <w:gridSpan w:val="4"/>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小计</w:t>
            </w:r>
          </w:p>
        </w:tc>
        <w:tc>
          <w:tcPr>
            <w:tcW w:w="2428" w:type="dxa"/>
            <w:gridSpan w:val="6"/>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9"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二</w:t>
            </w:r>
          </w:p>
        </w:tc>
        <w:tc>
          <w:tcPr>
            <w:tcW w:w="7703" w:type="dxa"/>
            <w:gridSpan w:val="1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嵊州市金庭镇垃圾分类服务项目－－大件垃圾清理费用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9"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tc>
        <w:tc>
          <w:tcPr>
            <w:tcW w:w="1690"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大件垃圾清理</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509" w:type="dxa"/>
            <w:gridSpan w:val="4"/>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合价</w:t>
            </w:r>
          </w:p>
        </w:tc>
        <w:tc>
          <w:tcPr>
            <w:tcW w:w="2428" w:type="dxa"/>
            <w:gridSpan w:val="6"/>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三、</w:t>
            </w:r>
          </w:p>
        </w:tc>
        <w:tc>
          <w:tcPr>
            <w:tcW w:w="7573" w:type="dxa"/>
            <w:gridSpan w:val="11"/>
            <w:vAlign w:val="center"/>
          </w:tcPr>
          <w:p>
            <w:pPr>
              <w:numPr>
                <w:ilvl w:val="0"/>
                <w:numId w:val="0"/>
              </w:numPr>
              <w:jc w:val="both"/>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嵊州市金庭镇垃圾分类服务项目－－垃圾分类清运（压缩车运行费用）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压缩车驾驶员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每车配备1个驾驶员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压缩车助工</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每车配备一个助工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总质量15.8吨及以上垃圾压缩车－油费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总质量15.8吨及以上垃圾压缩车－保险费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left"/>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含交强险、商业险、第三者责任险（不少于100万）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总质量15.8吨及以上垃圾压缩车－维修费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总质量15.8吨及以上垃圾压缩车－折旧费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3</w:t>
            </w: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劳保用品</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450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1800</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意外保险</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500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2000</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9" w:type="dxa"/>
            <w:gridSpan w:val="4"/>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小计</w:t>
            </w:r>
          </w:p>
        </w:tc>
        <w:tc>
          <w:tcPr>
            <w:tcW w:w="2428" w:type="dxa"/>
            <w:gridSpan w:val="6"/>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四</w:t>
            </w:r>
          </w:p>
        </w:tc>
        <w:tc>
          <w:tcPr>
            <w:tcW w:w="7573" w:type="dxa"/>
            <w:gridSpan w:val="11"/>
            <w:vAlign w:val="center"/>
          </w:tcPr>
          <w:p>
            <w:pPr>
              <w:numPr>
                <w:ilvl w:val="0"/>
                <w:numId w:val="0"/>
              </w:numPr>
              <w:jc w:val="both"/>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嵊州市金庭镇垃圾分类服务项目－－垃圾分类清运（四轮八桶车费用）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汽油四轮八桶车驾驶员</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每车配备1个驾驶员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汽油四轮八桶车助工</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每车配备一个助工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汽油四轮八桶车－油费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left"/>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各村运至垃圾处理终端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汽油四轮八桶车－保险费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含交强险、商业险、第三者责任险（不少于100万）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汽油四轮八桶车－维修费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汽油四轮八桶车－折旧费</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3、</w:t>
            </w: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劳保用品</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450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1800</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0"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意外保险</w:t>
            </w:r>
          </w:p>
        </w:tc>
        <w:tc>
          <w:tcPr>
            <w:tcW w:w="828"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w:t>
            </w:r>
          </w:p>
        </w:tc>
        <w:tc>
          <w:tcPr>
            <w:tcW w:w="7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500</w:t>
            </w:r>
          </w:p>
        </w:tc>
        <w:tc>
          <w:tcPr>
            <w:tcW w:w="80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2000</w:t>
            </w: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此费用不得下浮。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09" w:type="dxa"/>
            <w:gridSpan w:val="4"/>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小计</w:t>
            </w:r>
          </w:p>
        </w:tc>
        <w:tc>
          <w:tcPr>
            <w:tcW w:w="2428" w:type="dxa"/>
            <w:gridSpan w:val="6"/>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433"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五</w:t>
            </w:r>
          </w:p>
        </w:tc>
        <w:tc>
          <w:tcPr>
            <w:tcW w:w="7573" w:type="dxa"/>
            <w:gridSpan w:val="11"/>
            <w:vAlign w:val="center"/>
          </w:tcPr>
          <w:p>
            <w:pPr>
              <w:numPr>
                <w:ilvl w:val="0"/>
                <w:numId w:val="0"/>
              </w:numPr>
              <w:jc w:val="both"/>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嵊州市金庭镇垃圾分类服务项目－－2个垃圾处终端运行费用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w:t>
            </w:r>
          </w:p>
        </w:tc>
        <w:tc>
          <w:tcPr>
            <w:tcW w:w="156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垃圾处理终端管理人员</w:t>
            </w:r>
          </w:p>
        </w:tc>
        <w:tc>
          <w:tcPr>
            <w:tcW w:w="840"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9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97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12月</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9" w:type="dxa"/>
            <w:gridSpan w:val="3"/>
            <w:vMerge w:val="restart"/>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156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劳保用品</w:t>
            </w:r>
          </w:p>
        </w:tc>
        <w:tc>
          <w:tcPr>
            <w:tcW w:w="840"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9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450</w:t>
            </w:r>
          </w:p>
        </w:tc>
        <w:tc>
          <w:tcPr>
            <w:tcW w:w="97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9" w:type="dxa"/>
            <w:gridSpan w:val="3"/>
            <w:vMerge w:val="continue"/>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564"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意外保险</w:t>
            </w:r>
          </w:p>
        </w:tc>
        <w:tc>
          <w:tcPr>
            <w:tcW w:w="840"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2</w:t>
            </w:r>
          </w:p>
        </w:tc>
        <w:tc>
          <w:tcPr>
            <w:tcW w:w="996"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500</w:t>
            </w:r>
          </w:p>
        </w:tc>
        <w:tc>
          <w:tcPr>
            <w:tcW w:w="97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1年</w:t>
            </w: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3" w:type="dxa"/>
            <w:gridSpan w:val="5"/>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小计</w:t>
            </w:r>
          </w:p>
        </w:tc>
        <w:tc>
          <w:tcPr>
            <w:tcW w:w="2808" w:type="dxa"/>
            <w:gridSpan w:val="6"/>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1152" w:type="dxa"/>
            <w:gridSpan w:val="2"/>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六</w:t>
            </w:r>
          </w:p>
        </w:tc>
        <w:tc>
          <w:tcPr>
            <w:tcW w:w="1564"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合计</w:t>
            </w:r>
          </w:p>
        </w:tc>
        <w:tc>
          <w:tcPr>
            <w:tcW w:w="2808" w:type="dxa"/>
            <w:gridSpan w:val="6"/>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（一+二+三+四+五）</w:t>
            </w:r>
          </w:p>
        </w:tc>
        <w:tc>
          <w:tcPr>
            <w:tcW w:w="115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themeColor="text1"/>
                <w:kern w:val="0"/>
                <w:sz w:val="21"/>
                <w:szCs w:val="21"/>
                <w:u w:val="none"/>
                <w:lang w:val="en-US" w:eastAsia="zh-CN" w:bidi="ar"/>
                <w14:textFill>
                  <w14:solidFill>
                    <w14:schemeClr w14:val="tx1"/>
                  </w14:solidFill>
                </w14:textFill>
              </w:rPr>
            </w:pPr>
          </w:p>
        </w:tc>
        <w:tc>
          <w:tcPr>
            <w:tcW w:w="20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七</w:t>
            </w:r>
          </w:p>
        </w:tc>
        <w:tc>
          <w:tcPr>
            <w:tcW w:w="1564"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管理费</w:t>
            </w:r>
          </w:p>
        </w:tc>
        <w:tc>
          <w:tcPr>
            <w:tcW w:w="2808" w:type="dxa"/>
            <w:gridSpan w:val="6"/>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（六）*费率</w:t>
            </w:r>
          </w:p>
        </w:tc>
        <w:tc>
          <w:tcPr>
            <w:tcW w:w="115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管理费费率不得低于3%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 w:type="dxa"/>
            <w:gridSpan w:val="3"/>
            <w:vAlign w:val="bottom"/>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八</w:t>
            </w:r>
          </w:p>
        </w:tc>
        <w:tc>
          <w:tcPr>
            <w:tcW w:w="1564" w:type="dxa"/>
            <w:gridSpan w:val="2"/>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利润</w:t>
            </w:r>
          </w:p>
        </w:tc>
        <w:tc>
          <w:tcPr>
            <w:tcW w:w="2808" w:type="dxa"/>
            <w:gridSpan w:val="6"/>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（六）*费率</w:t>
            </w:r>
          </w:p>
        </w:tc>
        <w:tc>
          <w:tcPr>
            <w:tcW w:w="115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利润费率大于0%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 w:type="dxa"/>
            <w:gridSpan w:val="3"/>
            <w:vAlign w:val="bottom"/>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九</w:t>
            </w:r>
          </w:p>
        </w:tc>
        <w:tc>
          <w:tcPr>
            <w:tcW w:w="1564" w:type="dxa"/>
            <w:gridSpan w:val="2"/>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税金</w:t>
            </w:r>
          </w:p>
        </w:tc>
        <w:tc>
          <w:tcPr>
            <w:tcW w:w="2808" w:type="dxa"/>
            <w:gridSpan w:val="6"/>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（六）*费率</w:t>
            </w:r>
          </w:p>
        </w:tc>
        <w:tc>
          <w:tcPr>
            <w:tcW w:w="115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税金费率不得低于6%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 w:type="dxa"/>
            <w:gridSpan w:val="3"/>
            <w:vAlign w:val="center"/>
          </w:tcPr>
          <w:p>
            <w:pPr>
              <w:numPr>
                <w:ilvl w:val="0"/>
                <w:numId w:val="0"/>
              </w:numPr>
              <w:jc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十</w:t>
            </w:r>
          </w:p>
        </w:tc>
        <w:tc>
          <w:tcPr>
            <w:tcW w:w="1564"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合计</w:t>
            </w:r>
          </w:p>
        </w:tc>
        <w:tc>
          <w:tcPr>
            <w:tcW w:w="2808" w:type="dxa"/>
            <w:gridSpan w:val="6"/>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t>（六+七+八+九）</w:t>
            </w:r>
          </w:p>
        </w:tc>
        <w:tc>
          <w:tcPr>
            <w:tcW w:w="115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c>
          <w:tcPr>
            <w:tcW w:w="20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sz w:val="21"/>
                <w:szCs w:val="21"/>
                <w:u w:val="none"/>
                <w:vertAlign w:val="baseline"/>
                <w:lang w:val="en-US" w:eastAsia="zh-CN"/>
                <w14:textFill>
                  <w14:solidFill>
                    <w14:schemeClr w14:val="tx1"/>
                  </w14:solidFill>
                </w14:textFill>
              </w:rPr>
            </w:pPr>
          </w:p>
        </w:tc>
      </w:tr>
    </w:tbl>
    <w:p>
      <w:pPr>
        <w:keepNext w:val="0"/>
        <w:keepLines w:val="0"/>
        <w:widowControl/>
        <w:suppressLineNumbers w:val="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 xml:space="preserve">1.此表应按项目的明细情况列项填报,可根据实际情况在确保投标明细内容完整的前提下自行扩展，但不得改变本表基本格式。  </w:t>
      </w:r>
    </w:p>
    <w:p>
      <w:pPr>
        <w:keepNext w:val="0"/>
        <w:keepLines w:val="0"/>
        <w:widowControl/>
        <w:suppressLineNumbers w:val="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2.报价要求：投标人应充分考虑每年人工工资上涨、通货膨胀、节假日加班等各方面的因素，不得以任何理由额外要求增加费用；如有漏报项，视为包含在总报价中，采购人不予以支付。</w:t>
      </w:r>
    </w:p>
    <w:p>
      <w:pPr>
        <w:keepNext w:val="0"/>
        <w:keepLines w:val="0"/>
        <w:widowControl/>
        <w:suppressLineNumbers w:val="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3.报价中不允许出现报价优惠等字样,投标总价合计金额应与明细报价汇总相等。</w:t>
      </w:r>
    </w:p>
    <w:p>
      <w:pPr>
        <w:pStyle w:val="7"/>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4、报价中不得下浮部分下浮，则报价无效。</w:t>
      </w:r>
    </w:p>
    <w:p>
      <w:pPr>
        <w:keepNext w:val="0"/>
        <w:keepLines w:val="0"/>
        <w:widowControl/>
        <w:suppressLineNumbers w:val="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p>
    <w:p>
      <w:pPr>
        <w:keepNext w:val="0"/>
        <w:keepLines w:val="0"/>
        <w:widowControl/>
        <w:suppressLineNumbers w:val="0"/>
        <w:ind w:firstLine="4578" w:firstLineChars="190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投标人（盖章）：</w:t>
      </w:r>
    </w:p>
    <w:p>
      <w:pPr>
        <w:keepNext w:val="0"/>
        <w:keepLines w:val="0"/>
        <w:widowControl/>
        <w:suppressLineNumbers w:val="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 xml:space="preserve">                </w:t>
      </w:r>
    </w:p>
    <w:p>
      <w:pPr>
        <w:keepNext w:val="0"/>
        <w:keepLines w:val="0"/>
        <w:widowControl/>
        <w:suppressLineNumbers w:val="0"/>
        <w:ind w:firstLine="4578" w:firstLineChars="190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法定代表人（签字或盖章）：</w:t>
      </w:r>
    </w:p>
    <w:p>
      <w:pPr>
        <w:keepNext w:val="0"/>
        <w:keepLines w:val="0"/>
        <w:widowControl/>
        <w:suppressLineNumbers w:val="0"/>
        <w:ind w:firstLine="3132" w:firstLineChars="130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p>
    <w:p>
      <w:pPr>
        <w:keepNext w:val="0"/>
        <w:keepLines w:val="0"/>
        <w:widowControl/>
        <w:suppressLineNumbers w:val="0"/>
        <w:ind w:firstLine="4578" w:firstLineChars="1900"/>
        <w:jc w:val="left"/>
        <w:textAlignment w:val="cente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none"/>
          <w:vertAlign w:val="baseline"/>
          <w:lang w:val="en-US" w:eastAsia="zh-CN"/>
          <w14:textFill>
            <w14:solidFill>
              <w14:schemeClr w14:val="tx1"/>
            </w14:solidFill>
          </w14:textFill>
        </w:rPr>
        <w:t>日    期：</w:t>
      </w:r>
    </w:p>
    <w:p>
      <w:pPr>
        <w:pStyle w:val="8"/>
        <w:spacing w:before="0" w:after="0"/>
        <w:ind w:left="0" w:firstLine="0"/>
        <w:rPr>
          <w:rFonts w:hint="eastAsia" w:ascii="宋体" w:hAnsi="宋体" w:cs="宋体"/>
          <w:color w:val="auto"/>
          <w:sz w:val="28"/>
          <w:szCs w:val="28"/>
        </w:rPr>
      </w:pPr>
      <w:bookmarkStart w:id="328" w:name="_Toc26359240"/>
      <w:bookmarkStart w:id="329" w:name="_Toc26611311"/>
      <w:r>
        <w:rPr>
          <w:rFonts w:hint="eastAsia" w:ascii="宋体" w:hAnsi="宋体" w:cs="宋体"/>
          <w:b/>
          <w:bCs/>
          <w:sz w:val="28"/>
          <w:szCs w:val="28"/>
        </w:rPr>
        <w:t>附件13：</w:t>
      </w:r>
      <w:bookmarkEnd w:id="328"/>
      <w:bookmarkEnd w:id="329"/>
      <w:r>
        <w:rPr>
          <w:rFonts w:hint="eastAsia" w:ascii="宋体" w:hAnsi="宋体" w:cs="宋体"/>
          <w:sz w:val="28"/>
          <w:szCs w:val="28"/>
        </w:rPr>
        <w:t xml:space="preserve">    </w:t>
      </w:r>
      <w:r>
        <w:rPr>
          <w:rFonts w:hint="eastAsia" w:ascii="宋体" w:hAnsi="宋体" w:cs="宋体"/>
          <w:color w:val="auto"/>
          <w:sz w:val="28"/>
          <w:szCs w:val="28"/>
        </w:rPr>
        <w:t xml:space="preserve">                </w:t>
      </w:r>
    </w:p>
    <w:p>
      <w:pPr>
        <w:snapToGrid w:val="0"/>
        <w:ind w:firstLine="560"/>
        <w:jc w:val="center"/>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b/>
          <w:bCs/>
          <w:color w:val="auto"/>
          <w:sz w:val="28"/>
          <w:szCs w:val="28"/>
        </w:rPr>
        <w:t>小微企业声明函</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 （财库﹝2020﹞46 号）的规定，本公司（联合体）参加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采购活动，服务全部由符合政策要求的中小企业承接 。相关企业（含联合体中的中小企业、签订分包意向协议的中小企业）的具体情况如下：</w:t>
      </w:r>
    </w:p>
    <w:p>
      <w:pPr>
        <w:spacing w:line="5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 xml:space="preserve">           （企业名称）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 ，属于</w:t>
      </w:r>
      <w:r>
        <w:rPr>
          <w:rFonts w:hint="eastAsia" w:ascii="宋体" w:hAnsi="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rPr>
        <w:t xml:space="preserve"> ；</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pPr>
        <w:spacing w:line="500" w:lineRule="exact"/>
        <w:ind w:right="420" w:firstLine="5145" w:firstLineChars="2450"/>
        <w:jc w:val="left"/>
        <w:rPr>
          <w:rFonts w:hint="eastAsia" w:ascii="宋体" w:hAnsi="宋体" w:cs="宋体"/>
          <w:color w:val="auto"/>
          <w:sz w:val="21"/>
          <w:szCs w:val="21"/>
          <w:highlight w:val="none"/>
        </w:rPr>
      </w:pPr>
    </w:p>
    <w:p>
      <w:pPr>
        <w:spacing w:line="500" w:lineRule="exact"/>
        <w:ind w:right="420" w:firstLine="5145" w:firstLineChars="24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企业名称（盖章）： </w:t>
      </w:r>
    </w:p>
    <w:p>
      <w:pPr>
        <w:spacing w:line="500" w:lineRule="exact"/>
        <w:ind w:right="420" w:firstLine="4830" w:firstLineChars="2300"/>
        <w:rPr>
          <w:rFonts w:hint="eastAsia" w:ascii="宋体" w:hAnsi="宋体" w:cs="宋体"/>
          <w:color w:val="auto"/>
          <w:sz w:val="21"/>
          <w:szCs w:val="21"/>
          <w:highlight w:val="none"/>
        </w:rPr>
      </w:pPr>
      <w:r>
        <w:rPr>
          <w:rFonts w:hint="eastAsia" w:ascii="宋体" w:hAnsi="宋体" w:cs="宋体"/>
          <w:color w:val="auto"/>
          <w:sz w:val="21"/>
          <w:szCs w:val="21"/>
          <w:highlight w:val="none"/>
        </w:rPr>
        <w:t>日期：   年     月     日</w:t>
      </w:r>
    </w:p>
    <w:p>
      <w:pPr>
        <w:keepNext w:val="0"/>
        <w:keepLines w:val="0"/>
        <w:pageBreakBefore w:val="0"/>
        <w:widowControl w:val="0"/>
        <w:kinsoku/>
        <w:wordWrap w:val="0"/>
        <w:overflowPunct/>
        <w:topLinePunct w:val="0"/>
        <w:autoSpaceDE/>
        <w:autoSpaceDN/>
        <w:bidi w:val="0"/>
        <w:adjustRightInd/>
        <w:snapToGrid/>
        <w:spacing w:line="360" w:lineRule="auto"/>
        <w:ind w:firstLine="482"/>
        <w:jc w:val="right"/>
        <w:textAlignment w:val="auto"/>
        <w:rPr>
          <w:rFonts w:hint="eastAsia" w:ascii="宋体" w:hAnsi="宋体" w:cs="宋体"/>
          <w:color w:val="auto"/>
          <w:sz w:val="24"/>
        </w:rPr>
      </w:pPr>
      <w:r>
        <w:rPr>
          <w:rFonts w:hint="eastAsia" w:ascii="宋体" w:hAnsi="宋体" w:cs="宋体"/>
          <w:color w:val="auto"/>
          <w:sz w:val="24"/>
        </w:rPr>
        <w:t xml:space="preserve">   </w:t>
      </w:r>
    </w:p>
    <w:p>
      <w:pPr>
        <w:spacing w:line="440" w:lineRule="atLeast"/>
        <w:ind w:firstLine="482"/>
        <w:rPr>
          <w:rFonts w:hint="eastAsia" w:ascii="宋体" w:hAnsi="宋体" w:cs="宋体"/>
          <w:b/>
          <w:color w:val="auto"/>
          <w:kern w:val="1"/>
          <w:sz w:val="24"/>
        </w:rPr>
      </w:pP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5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1、投标人提供的中小企业声明函与实际情况不符的，视为投标人提供虚假材料投标，投标无效。</w:t>
      </w:r>
    </w:p>
    <w:p>
      <w:pPr>
        <w:spacing w:line="50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rPr>
        <w:t>2、根据《政府采购促进中小企业发展管理办法》的通知（财库〔2020〕46号）规定，</w:t>
      </w:r>
      <w:r>
        <w:rPr>
          <w:rFonts w:hint="eastAsia" w:ascii="宋体" w:hAnsi="宋体" w:cs="宋体"/>
          <w:color w:val="auto"/>
          <w:sz w:val="21"/>
          <w:szCs w:val="21"/>
          <w:highlight w:val="none"/>
        </w:rPr>
        <w:t>中标、成交供应商享受中小企业扶持政策的，采购代理机构将随中标、成交结果公开中标、成交供应商的《中小企业声明函》。</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符合《关于促进残疾人就业政府采购政策的通知》（财库〔2017〕141号）规定的条件并提供提供《残疾人福利性单位声明函》（附件）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12" w:lineRule="auto"/>
        <w:ind w:firstLine="602" w:firstLineChars="250"/>
        <w:rPr>
          <w:rFonts w:hint="eastAsia" w:ascii="宋体" w:hAnsi="宋体" w:cs="宋体"/>
          <w:b/>
          <w:color w:val="auto"/>
          <w:sz w:val="24"/>
        </w:rPr>
      </w:pPr>
    </w:p>
    <w:p>
      <w:pPr>
        <w:adjustRightInd w:val="0"/>
        <w:snapToGrid w:val="0"/>
        <w:ind w:firstLine="562"/>
        <w:jc w:val="left"/>
        <w:textAlignment w:val="baseline"/>
        <w:rPr>
          <w:rFonts w:hint="eastAsia" w:ascii="宋体" w:hAnsi="宋体" w:cs="宋体"/>
          <w:b/>
          <w:color w:val="auto"/>
          <w:sz w:val="28"/>
          <w:szCs w:val="28"/>
        </w:rPr>
        <w:sectPr>
          <w:headerReference r:id="rId9" w:type="default"/>
          <w:footerReference r:id="rId10" w:type="default"/>
          <w:pgSz w:w="11906" w:h="16838"/>
          <w:pgMar w:top="1440" w:right="1418" w:bottom="1440" w:left="1418" w:header="851" w:footer="992" w:gutter="0"/>
          <w:pgNumType w:fmt="decimal"/>
          <w:cols w:space="720" w:num="1"/>
          <w:docGrid w:type="lines" w:linePitch="312" w:charSpace="0"/>
        </w:sectPr>
      </w:pPr>
    </w:p>
    <w:p>
      <w:pPr>
        <w:adjustRightInd w:val="0"/>
        <w:snapToGrid w:val="0"/>
        <w:ind w:firstLine="562"/>
        <w:jc w:val="left"/>
        <w:textAlignment w:val="baseline"/>
        <w:rPr>
          <w:rFonts w:hint="eastAsia" w:ascii="宋体" w:hAnsi="宋体" w:cs="宋体"/>
          <w:b/>
          <w:sz w:val="28"/>
          <w:szCs w:val="28"/>
        </w:rPr>
      </w:pPr>
      <w:r>
        <w:rPr>
          <w:rFonts w:hint="eastAsia" w:ascii="宋体" w:hAnsi="宋体" w:cs="宋体"/>
          <w:b/>
          <w:sz w:val="28"/>
          <w:szCs w:val="28"/>
        </w:rPr>
        <w:t xml:space="preserve">附件14：         </w:t>
      </w:r>
    </w:p>
    <w:p>
      <w:pPr>
        <w:adjustRightInd w:val="0"/>
        <w:snapToGrid w:val="0"/>
        <w:ind w:firstLine="562"/>
        <w:jc w:val="center"/>
        <w:textAlignment w:val="baseline"/>
        <w:rPr>
          <w:rFonts w:hint="eastAsia" w:ascii="宋体" w:hAnsi="宋体" w:cs="宋体"/>
          <w:b/>
          <w:bCs/>
          <w:sz w:val="28"/>
          <w:szCs w:val="28"/>
        </w:rPr>
      </w:pPr>
    </w:p>
    <w:p>
      <w:pPr>
        <w:adjustRightInd w:val="0"/>
        <w:snapToGrid w:val="0"/>
        <w:ind w:firstLine="562"/>
        <w:jc w:val="center"/>
        <w:textAlignment w:val="baseline"/>
        <w:rPr>
          <w:rFonts w:hint="eastAsia" w:ascii="宋体" w:hAnsi="宋体" w:cs="宋体"/>
          <w:b/>
          <w:bCs/>
          <w:sz w:val="28"/>
          <w:szCs w:val="28"/>
        </w:rPr>
      </w:pPr>
      <w:r>
        <w:rPr>
          <w:rFonts w:hint="eastAsia" w:ascii="宋体" w:hAnsi="宋体" w:cs="宋体"/>
          <w:b/>
          <w:bCs/>
          <w:sz w:val="28"/>
          <w:szCs w:val="28"/>
        </w:rPr>
        <w:t>监狱企业声明函及其相关的充分的证明材料监狱企业声明函</w:t>
      </w:r>
    </w:p>
    <w:p>
      <w:pPr>
        <w:spacing w:line="40" w:lineRule="exact"/>
        <w:ind w:firstLine="420"/>
        <w:rPr>
          <w:rFonts w:hint="eastAsia" w:ascii="宋体" w:hAnsi="宋体" w:cs="宋体"/>
        </w:rPr>
      </w:pPr>
    </w:p>
    <w:p>
      <w:pPr>
        <w:ind w:firstLine="420"/>
        <w:jc w:val="center"/>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宋体" w:hAnsi="宋体" w:cs="宋体"/>
          <w:sz w:val="24"/>
        </w:rPr>
      </w:pPr>
      <w:r>
        <w:rPr>
          <w:rFonts w:hint="eastAsia" w:ascii="宋体" w:hAnsi="宋体" w:cs="宋体"/>
          <w:sz w:val="24"/>
        </w:rPr>
        <w:t>【不属于监狱企业的无需填写、递交】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本公司郑重声明，根据《关于政府采购支持监狱企业发展有关问题的通知》（财库[2014]68 号）的规定，本公司为监狱企业。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rPr>
      </w:pPr>
      <w:r>
        <w:rPr>
          <w:rFonts w:hint="eastAsia" w:ascii="宋体" w:hAnsi="宋体" w:cs="宋体"/>
          <w:sz w:val="24"/>
        </w:rPr>
        <w:t>根据上述标准，我公司属于监狱企业的理由为：本公司为参加</w:t>
      </w:r>
      <w:r>
        <w:rPr>
          <w:rFonts w:hint="eastAsia" w:ascii="宋体" w:hAnsi="宋体" w:cs="宋体"/>
          <w:sz w:val="24"/>
          <w:u w:val="single"/>
        </w:rPr>
        <w:t>（</w:t>
      </w:r>
      <w:r>
        <w:rPr>
          <w:rFonts w:hint="eastAsia" w:ascii="宋体" w:hAnsi="宋体" w:cs="宋体"/>
          <w:sz w:val="24"/>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w:t>
      </w:r>
      <w:r>
        <w:rPr>
          <w:rFonts w:hint="eastAsia" w:ascii="宋体" w:hAnsi="宋体" w:cs="宋体"/>
          <w:sz w:val="24"/>
        </w:rPr>
        <w:t>采购活动提供本企业提供服务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rPr>
      </w:pPr>
      <w:r>
        <w:rPr>
          <w:rFonts w:hint="eastAsia" w:ascii="宋体" w:hAnsi="宋体" w:cs="宋体"/>
          <w:sz w:val="24"/>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cs="宋体"/>
          <w:sz w:val="24"/>
        </w:rPr>
      </w:pPr>
    </w:p>
    <w:p>
      <w:pPr>
        <w:spacing w:line="480" w:lineRule="auto"/>
        <w:ind w:firstLine="4800" w:firstLineChars="2000"/>
        <w:rPr>
          <w:rFonts w:hint="eastAsia" w:ascii="宋体" w:hAnsi="宋体" w:cs="宋体"/>
          <w:sz w:val="24"/>
        </w:rPr>
      </w:pPr>
      <w:r>
        <w:rPr>
          <w:rFonts w:hint="eastAsia" w:ascii="宋体" w:hAnsi="宋体" w:cs="宋体"/>
          <w:sz w:val="24"/>
        </w:rPr>
        <w:t>投标人名称（盖章）：</w:t>
      </w:r>
    </w:p>
    <w:p>
      <w:pPr>
        <w:spacing w:line="480" w:lineRule="auto"/>
        <w:ind w:firstLine="4800" w:firstLineChars="2000"/>
        <w:rPr>
          <w:rFonts w:hint="eastAsia" w:ascii="宋体" w:hAnsi="宋体" w:cs="宋体"/>
          <w:sz w:val="24"/>
        </w:rPr>
      </w:pPr>
      <w:r>
        <w:rPr>
          <w:rFonts w:hint="eastAsia" w:ascii="宋体" w:hAnsi="宋体" w:cs="宋体"/>
          <w:sz w:val="24"/>
        </w:rPr>
        <w:t>日期：   年  月  日</w:t>
      </w:r>
    </w:p>
    <w:p>
      <w:pPr>
        <w:spacing w:line="480" w:lineRule="auto"/>
        <w:ind w:firstLine="199" w:firstLineChars="83"/>
        <w:jc w:val="left"/>
        <w:rPr>
          <w:rFonts w:hint="eastAsia" w:ascii="宋体" w:hAnsi="宋体" w:cs="宋体"/>
          <w:b/>
          <w:bCs/>
          <w:sz w:val="24"/>
        </w:rPr>
      </w:pPr>
      <w:r>
        <w:rPr>
          <w:rFonts w:hint="eastAsia" w:ascii="宋体" w:hAnsi="宋体" w:cs="宋体"/>
          <w:sz w:val="24"/>
        </w:rPr>
        <w:br w:type="page"/>
      </w:r>
      <w:r>
        <w:rPr>
          <w:rFonts w:hint="eastAsia" w:ascii="宋体" w:hAnsi="宋体" w:cs="宋体"/>
          <w:b/>
          <w:sz w:val="28"/>
          <w:szCs w:val="28"/>
        </w:rPr>
        <w:t>附件15：</w:t>
      </w:r>
    </w:p>
    <w:p>
      <w:pPr>
        <w:spacing w:line="588" w:lineRule="exact"/>
        <w:ind w:firstLine="586"/>
        <w:jc w:val="center"/>
        <w:rPr>
          <w:rFonts w:hint="eastAsia" w:ascii="宋体" w:hAnsi="宋体" w:cs="宋体"/>
          <w:b/>
          <w:spacing w:val="6"/>
          <w:sz w:val="28"/>
          <w:szCs w:val="28"/>
        </w:rPr>
      </w:pPr>
      <w:bookmarkStart w:id="330" w:name="OLE_LINK13"/>
      <w:bookmarkStart w:id="331" w:name="OLE_LINK14"/>
      <w:r>
        <w:rPr>
          <w:rFonts w:hint="eastAsia" w:ascii="宋体" w:hAnsi="宋体" w:cs="宋体"/>
          <w:b/>
          <w:spacing w:val="6"/>
          <w:sz w:val="28"/>
          <w:szCs w:val="28"/>
        </w:rPr>
        <w:t>残疾人福利性单位声明函</w:t>
      </w:r>
    </w:p>
    <w:bookmarkEnd w:id="330"/>
    <w:bookmarkEnd w:id="331"/>
    <w:p>
      <w:pPr>
        <w:spacing w:line="588" w:lineRule="exact"/>
        <w:ind w:firstLine="626"/>
        <w:rPr>
          <w:rFonts w:hint="eastAsia" w:ascii="宋体" w:hAnsi="宋体" w:cs="宋体"/>
          <w:b/>
          <w:spacing w:val="6"/>
          <w:sz w:val="30"/>
          <w:szCs w:val="30"/>
        </w:rPr>
      </w:pPr>
    </w:p>
    <w:p>
      <w:pPr>
        <w:keepNext w:val="0"/>
        <w:keepLines w:val="0"/>
        <w:pageBreakBefore w:val="0"/>
        <w:widowControl w:val="0"/>
        <w:kinsoku/>
        <w:wordWrap/>
        <w:overflowPunct/>
        <w:topLinePunct w:val="0"/>
        <w:autoSpaceDE/>
        <w:autoSpaceDN/>
        <w:bidi w:val="0"/>
        <w:adjustRightInd/>
        <w:spacing w:line="360" w:lineRule="auto"/>
        <w:ind w:firstLine="480"/>
        <w:jc w:val="center"/>
        <w:textAlignment w:val="auto"/>
        <w:rPr>
          <w:rFonts w:hint="eastAsia" w:ascii="宋体" w:hAnsi="宋体" w:cs="宋体"/>
          <w:sz w:val="24"/>
        </w:rPr>
      </w:pPr>
      <w:r>
        <w:rPr>
          <w:rFonts w:hint="eastAsia" w:ascii="宋体" w:hAnsi="宋体" w:cs="宋体"/>
          <w:sz w:val="24"/>
        </w:rPr>
        <w:t>【不属于残疾人福利性单位的无需填写、递交】</w:t>
      </w:r>
    </w:p>
    <w:p>
      <w:pPr>
        <w:spacing w:line="588" w:lineRule="exact"/>
        <w:ind w:firstLine="624"/>
        <w:rPr>
          <w:rFonts w:hint="eastAsia" w:ascii="宋体" w:hAnsi="宋体" w:cs="宋体"/>
          <w:bCs/>
          <w:color w:val="auto"/>
          <w:spacing w:val="6"/>
          <w:sz w:val="21"/>
          <w:szCs w:val="21"/>
          <w:highlight w:val="none"/>
        </w:rPr>
      </w:pPr>
      <w:r>
        <w:rPr>
          <w:rFonts w:hint="eastAsia" w:ascii="宋体" w:hAnsi="宋体" w:cs="宋体"/>
          <w:bCs/>
          <w:color w:val="auto"/>
          <w:spacing w:val="5"/>
          <w:sz w:val="21"/>
          <w:szCs w:val="21"/>
          <w:highlight w:val="none"/>
        </w:rPr>
        <w:t>本单位郑重声明，根据《财政部民政部中国残疾人联合会关于促进残疾人就业政府采购政策的通知》（财库</w:t>
      </w:r>
      <w:r>
        <w:rPr>
          <w:rFonts w:hint="eastAsia" w:ascii="宋体" w:hAnsi="宋体" w:cs="宋体"/>
          <w:bCs/>
          <w:color w:val="auto"/>
          <w:sz w:val="21"/>
          <w:szCs w:val="21"/>
          <w:highlight w:val="none"/>
        </w:rPr>
        <w:t>〔2017〕 141</w:t>
      </w:r>
      <w:r>
        <w:rPr>
          <w:rFonts w:hint="eastAsia" w:ascii="宋体" w:hAnsi="宋体" w:cs="宋体"/>
          <w:bCs/>
          <w:color w:val="auto"/>
          <w:spacing w:val="5"/>
          <w:sz w:val="21"/>
          <w:szCs w:val="21"/>
          <w:highlight w:val="none"/>
        </w:rPr>
        <w:t>号）的规定，本单位为符合条件的残疾人福利性单位，且本单位参加</w:t>
      </w:r>
      <w:r>
        <w:rPr>
          <w:rFonts w:hint="eastAsia" w:ascii="宋体" w:hAnsi="宋体" w:cs="宋体"/>
          <w:bCs/>
          <w:color w:val="auto"/>
          <w:spacing w:val="6"/>
          <w:sz w:val="21"/>
          <w:szCs w:val="21"/>
          <w:highlight w:val="none"/>
        </w:rPr>
        <w:t>______</w:t>
      </w:r>
      <w:r>
        <w:rPr>
          <w:rFonts w:hint="eastAsia" w:ascii="宋体" w:hAnsi="宋体" w:cs="宋体"/>
          <w:bCs/>
          <w:color w:val="auto"/>
          <w:spacing w:val="5"/>
          <w:sz w:val="21"/>
          <w:szCs w:val="21"/>
          <w:highlight w:val="none"/>
        </w:rPr>
        <w:t>单位的</w:t>
      </w:r>
      <w:r>
        <w:rPr>
          <w:rFonts w:hint="eastAsia" w:ascii="宋体" w:hAnsi="宋体" w:cs="宋体"/>
          <w:bCs/>
          <w:color w:val="auto"/>
          <w:spacing w:val="6"/>
          <w:sz w:val="21"/>
          <w:szCs w:val="21"/>
          <w:highlight w:val="none"/>
        </w:rPr>
        <w:t>______</w:t>
      </w:r>
      <w:r>
        <w:rPr>
          <w:rFonts w:hint="eastAsia" w:ascii="宋体" w:hAnsi="宋体" w:cs="宋体"/>
          <w:bCs/>
          <w:color w:val="auto"/>
          <w:spacing w:val="5"/>
          <w:sz w:val="21"/>
          <w:szCs w:val="21"/>
          <w:highlight w:val="none"/>
        </w:rPr>
        <w:t>项目采购活动提供本单位制造的货物（由本单位承担工程</w:t>
      </w:r>
      <w:r>
        <w:rPr>
          <w:rFonts w:hint="eastAsia" w:ascii="宋体" w:hAnsi="宋体" w:cs="宋体"/>
          <w:bCs/>
          <w:color w:val="auto"/>
          <w:spacing w:val="6"/>
          <w:sz w:val="21"/>
          <w:szCs w:val="21"/>
          <w:highlight w:val="none"/>
        </w:rPr>
        <w:t>/</w:t>
      </w:r>
      <w:r>
        <w:rPr>
          <w:rFonts w:hint="eastAsia" w:ascii="宋体" w:hAnsi="宋体" w:cs="宋体"/>
          <w:bCs/>
          <w:color w:val="auto"/>
          <w:spacing w:val="5"/>
          <w:sz w:val="21"/>
          <w:szCs w:val="21"/>
          <w:highlight w:val="none"/>
        </w:rPr>
        <w:t>提供服务），或者提供其他残疾人福利性单位制造的货物（不包括使用非残疾人福利性单位注册商标的货物）。</w:t>
      </w:r>
    </w:p>
    <w:p>
      <w:pPr>
        <w:spacing w:line="588" w:lineRule="exact"/>
        <w:ind w:firstLine="624"/>
        <w:rPr>
          <w:rFonts w:hint="eastAsia" w:ascii="宋体" w:hAnsi="宋体" w:cs="宋体"/>
          <w:bCs/>
          <w:color w:val="auto"/>
          <w:spacing w:val="6"/>
          <w:sz w:val="21"/>
          <w:szCs w:val="21"/>
          <w:highlight w:val="none"/>
        </w:rPr>
      </w:pPr>
      <w:r>
        <w:rPr>
          <w:rFonts w:hint="eastAsia" w:ascii="宋体" w:hAnsi="宋体" w:cs="宋体"/>
          <w:bCs/>
          <w:color w:val="auto"/>
          <w:spacing w:val="5"/>
          <w:sz w:val="21"/>
          <w:szCs w:val="21"/>
          <w:highlight w:val="none"/>
        </w:rPr>
        <w:t>本单位对上述声明的真实性负责。如有虚假，将依法承担相应责任。</w:t>
      </w:r>
    </w:p>
    <w:p>
      <w:pPr>
        <w:spacing w:line="588" w:lineRule="exact"/>
        <w:ind w:firstLine="624"/>
        <w:rPr>
          <w:rFonts w:hint="eastAsia" w:ascii="宋体" w:hAnsi="宋体" w:cs="宋体"/>
          <w:bCs/>
          <w:color w:val="auto"/>
          <w:spacing w:val="6"/>
          <w:sz w:val="21"/>
          <w:szCs w:val="21"/>
          <w:highlight w:val="none"/>
        </w:rPr>
      </w:pPr>
    </w:p>
    <w:p>
      <w:pPr>
        <w:spacing w:line="588" w:lineRule="exact"/>
        <w:ind w:firstLine="624"/>
        <w:rPr>
          <w:rFonts w:hint="eastAsia" w:ascii="宋体" w:hAnsi="宋体" w:cs="宋体"/>
          <w:b/>
          <w:bCs/>
          <w:color w:val="auto"/>
          <w:spacing w:val="6"/>
          <w:sz w:val="21"/>
          <w:szCs w:val="21"/>
          <w:highlight w:val="none"/>
        </w:rPr>
      </w:pPr>
    </w:p>
    <w:p>
      <w:pPr>
        <w:tabs>
          <w:tab w:val="left" w:pos="4860"/>
        </w:tabs>
        <w:spacing w:line="588" w:lineRule="exact"/>
        <w:ind w:right="1560" w:firstLine="624"/>
        <w:jc w:val="center"/>
        <w:rPr>
          <w:rFonts w:hint="eastAsia" w:ascii="宋体" w:hAnsi="宋体" w:cs="宋体"/>
          <w:b/>
          <w:bCs/>
          <w:color w:val="auto"/>
          <w:spacing w:val="6"/>
          <w:sz w:val="21"/>
          <w:szCs w:val="21"/>
          <w:highlight w:val="none"/>
        </w:rPr>
      </w:pPr>
      <w:r>
        <w:rPr>
          <w:rFonts w:hint="eastAsia" w:ascii="宋体" w:hAnsi="宋体" w:cs="宋体"/>
          <w:b/>
          <w:bCs/>
          <w:color w:val="auto"/>
          <w:spacing w:val="5"/>
          <w:sz w:val="21"/>
          <w:szCs w:val="21"/>
          <w:highlight w:val="none"/>
        </w:rPr>
        <w:t xml:space="preserve">       单位名称（盖章）：</w:t>
      </w:r>
    </w:p>
    <w:p>
      <w:pPr>
        <w:tabs>
          <w:tab w:val="left" w:pos="4860"/>
        </w:tabs>
        <w:spacing w:line="588" w:lineRule="exact"/>
        <w:ind w:right="1560" w:firstLine="624"/>
        <w:jc w:val="center"/>
        <w:rPr>
          <w:rFonts w:hint="eastAsia" w:ascii="宋体" w:hAnsi="宋体" w:cs="宋体"/>
          <w:b/>
          <w:bCs/>
          <w:color w:val="auto"/>
          <w:spacing w:val="6"/>
          <w:sz w:val="21"/>
          <w:szCs w:val="21"/>
          <w:highlight w:val="none"/>
        </w:rPr>
      </w:pPr>
      <w:r>
        <w:rPr>
          <w:rFonts w:hint="eastAsia" w:ascii="宋体" w:hAnsi="宋体" w:cs="宋体"/>
          <w:b/>
          <w:bCs/>
          <w:color w:val="auto"/>
          <w:spacing w:val="5"/>
          <w:sz w:val="21"/>
          <w:szCs w:val="21"/>
          <w:highlight w:val="none"/>
        </w:rPr>
        <w:t xml:space="preserve">             日   期：</w:t>
      </w:r>
    </w:p>
    <w:p>
      <w:pPr>
        <w:tabs>
          <w:tab w:val="left" w:pos="4860"/>
        </w:tabs>
        <w:spacing w:line="588" w:lineRule="exact"/>
        <w:ind w:right="1560" w:firstLine="624"/>
        <w:jc w:val="center"/>
        <w:rPr>
          <w:rFonts w:hint="eastAsia" w:ascii="宋体" w:hAnsi="宋体" w:cs="宋体"/>
          <w:b/>
          <w:bCs/>
          <w:color w:val="auto"/>
          <w:spacing w:val="6"/>
          <w:sz w:val="21"/>
          <w:szCs w:val="21"/>
          <w:highlight w:val="none"/>
        </w:rPr>
      </w:pPr>
    </w:p>
    <w:p>
      <w:pPr>
        <w:tabs>
          <w:tab w:val="left" w:pos="4860"/>
        </w:tabs>
        <w:spacing w:line="588" w:lineRule="exact"/>
        <w:ind w:right="14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备注说明：</w:t>
      </w:r>
    </w:p>
    <w:p>
      <w:pPr>
        <w:tabs>
          <w:tab w:val="left" w:pos="4860"/>
        </w:tabs>
        <w:spacing w:line="588" w:lineRule="exact"/>
        <w:ind w:right="14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1、如中标，将在中标公示中将此残疾人福利性单位声明函予以公示，接受社会监督；</w:t>
      </w:r>
    </w:p>
    <w:p>
      <w:pPr>
        <w:tabs>
          <w:tab w:val="left" w:pos="4860"/>
        </w:tabs>
        <w:spacing w:line="588" w:lineRule="exact"/>
        <w:ind w:right="140"/>
        <w:jc w:val="left"/>
        <w:rPr>
          <w:rFonts w:ascii="宋体" w:hAnsi="宋体"/>
          <w:b/>
          <w:color w:val="auto"/>
          <w:sz w:val="28"/>
          <w:szCs w:val="28"/>
          <w:highlight w:val="none"/>
        </w:rPr>
        <w:sectPr>
          <w:footerReference r:id="rId11" w:type="default"/>
          <w:endnotePr>
            <w:numFmt w:val="decimal"/>
          </w:endnotePr>
          <w:pgSz w:w="11906" w:h="16838"/>
          <w:pgMar w:top="1440" w:right="1418" w:bottom="1440" w:left="1418" w:header="851" w:footer="992" w:gutter="0"/>
          <w:pgNumType w:fmt="decimal"/>
          <w:cols w:space="720" w:num="1"/>
          <w:docGrid w:type="linesAndChars" w:linePitch="312" w:charSpace="0"/>
        </w:sectPr>
      </w:pPr>
      <w:r>
        <w:rPr>
          <w:rFonts w:hint="eastAsia" w:ascii="宋体" w:hAnsi="宋体" w:cs="宋体"/>
          <w:b/>
          <w:color w:val="auto"/>
          <w:sz w:val="21"/>
          <w:szCs w:val="21"/>
          <w:highlight w:val="none"/>
        </w:rPr>
        <w:t>2、供应商提供的《残疾人福利性单位声明函》与事实不符的，依照《政府采购法》第七十七条第一款的规定追究法律责任。</w:t>
      </w:r>
    </w:p>
    <w:p>
      <w:pPr>
        <w:snapToGrid w:val="0"/>
        <w:ind w:firstLine="562"/>
        <w:jc w:val="left"/>
        <w:rPr>
          <w:rFonts w:hint="eastAsia" w:ascii="宋体" w:hAnsi="宋体" w:cs="宋体"/>
          <w:b/>
          <w:sz w:val="28"/>
          <w:szCs w:val="28"/>
        </w:rPr>
      </w:pPr>
      <w:r>
        <w:rPr>
          <w:rFonts w:hint="eastAsia" w:ascii="宋体" w:hAnsi="宋体" w:cs="宋体"/>
          <w:b/>
          <w:sz w:val="28"/>
          <w:szCs w:val="28"/>
        </w:rPr>
        <w:t>附件16：</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政府采购扶持政策相关说明</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一、小、微企业（含监狱企业、残疾人福利性单位）扶持政策说明</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1.文件依据</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（1）关于印发《政府采购促进中小企业发展暂行办法》的通知（</w:t>
      </w:r>
      <w:r>
        <w:rPr>
          <w:rFonts w:hint="eastAsia" w:ascii="宋体" w:hAnsi="宋体" w:eastAsia="宋体" w:cs="宋体"/>
          <w:sz w:val="24"/>
        </w:rPr>
        <w:t>财库﹝2020﹞46 号</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（2）浙江省财政厅转发财政部工业和信息化部关于印发《政府采购促进中小企业发展暂行办法》的通知（浙财采监[2012]11号）</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（3）浙江省省财政厅《关于开展政府采购投标人网上注册登记和诚信管理工作的通知》（浙财采监〔2010〕8号)</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（4）《工业和信息化部、国家统计局、国家发展和改革委员会、财政部关于印发中小企业划型标准规定的通知》（工信部联企业[2011]300号）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（5）财政部、司法部《关于政府采购支持监狱企业发展有关问题的通知》（财库〔2014〕68号）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（6）《财政部民政部中国残疾人联合会关于促进残疾人就业政府采购政策的通知》（财库〔2017〕 141号）</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2.享受小微企业价格折扣应具备的条件与价格折扣比例</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（1）符合中小企业划分标准；</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（2）提供本企业制造的货物、承担的工程或者服务，或者提供其他中小企业制造的货物。本项所称货物不包括使用大型企业注册商标的货物。</w:t>
      </w:r>
      <w:r>
        <w:rPr>
          <w:rFonts w:hint="eastAsia" w:ascii="宋体" w:hAnsi="宋体" w:cs="宋体"/>
          <w:sz w:val="24"/>
        </w:rPr>
        <w:br w:type="textWrapping"/>
      </w:r>
      <w:r>
        <w:rPr>
          <w:rFonts w:hint="eastAsia" w:ascii="宋体" w:hAnsi="宋体" w:cs="宋体"/>
          <w:sz w:val="24"/>
        </w:rPr>
        <w:t xml:space="preserve">    中小企业划分标准，是指国务院有关部门根据企业从业人员、营业收入、资产总额等指标制定的中小企业划型标准。</w:t>
      </w:r>
      <w:r>
        <w:rPr>
          <w:rFonts w:hint="eastAsia" w:ascii="宋体" w:hAnsi="宋体" w:cs="宋体"/>
          <w:sz w:val="24"/>
        </w:rPr>
        <w:br w:type="textWrapping"/>
      </w:r>
      <w:r>
        <w:rPr>
          <w:rFonts w:hint="eastAsia" w:ascii="宋体" w:hAnsi="宋体" w:cs="宋体"/>
          <w:sz w:val="24"/>
        </w:rPr>
        <w:t>    小型、微型企业提供中型企业制造的货物的，视同为中型企业。</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（3）本项目对小型和微型企业产品的价格给予6%的扣除，用扣除后的价格参与评审。</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3.享受小微企业价格折扣应提供以下证明材料（投标文件中，缺一不可）：</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（1）通过浙江政府采购网申请注册加入政府采购投标人库（不包括公示期内，提供浙江省政府采购网页面截图或其它入库证明材料，加盖投标人公章）</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（2）《小微企业声明函》（</w:t>
      </w:r>
      <w:r>
        <w:rPr>
          <w:rFonts w:hint="eastAsia" w:ascii="宋体" w:hAnsi="宋体" w:cs="宋体"/>
          <w:sz w:val="24"/>
          <w:lang w:eastAsia="zh-CN"/>
        </w:rPr>
        <w:t>扫描</w:t>
      </w:r>
      <w:r>
        <w:rPr>
          <w:rFonts w:hint="eastAsia" w:ascii="宋体" w:hAnsi="宋体" w:cs="宋体"/>
          <w:sz w:val="24"/>
        </w:rPr>
        <w:t>件，加盖投标人公章，格式见附件）</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4.享受监狱企业价格折扣应提供以下证明材料（投标文件中，不提供的不享受价格折扣）：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1）监狱企业参加政府采购活动时，应当提供由省级以上监狱管理局、戒毒管理局(含新疆生产建设兵团)出具的属于监狱企业的证明文件（扫描件加盖CA签章）。在政府采购活动中，监狱企业视同小型、微型企业，享受评审中价格扣除政策。</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5.享受残疾人福利性单位格折扣应提供以下证明材料（投标文件中，不提供的不享受价格折扣）：</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（1）残疾人福利性单位声明函；</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b/>
          <w:bCs/>
          <w:sz w:val="28"/>
          <w:szCs w:val="28"/>
        </w:rPr>
      </w:pPr>
      <w:r>
        <w:rPr>
          <w:rFonts w:hint="eastAsia" w:ascii="宋体" w:hAnsi="宋体" w:cs="宋体"/>
          <w:sz w:val="28"/>
          <w:szCs w:val="28"/>
        </w:rPr>
        <w:br w:type="page"/>
      </w:r>
      <w:r>
        <w:rPr>
          <w:rFonts w:hint="eastAsia" w:ascii="宋体" w:hAnsi="宋体" w:cs="宋体"/>
          <w:b/>
          <w:bCs/>
          <w:sz w:val="28"/>
          <w:szCs w:val="28"/>
        </w:rPr>
        <w:t>附件17：</w:t>
      </w:r>
    </w:p>
    <w:p>
      <w:pPr>
        <w:pStyle w:val="158"/>
        <w:widowControl w:val="0"/>
        <w:snapToGrid w:val="0"/>
        <w:spacing w:line="500" w:lineRule="exact"/>
        <w:ind w:firstLine="0" w:firstLineChars="0"/>
        <w:jc w:val="center"/>
        <w:rPr>
          <w:rFonts w:hint="eastAsia" w:hAnsi="宋体"/>
          <w:b/>
          <w:bCs/>
          <w:kern w:val="0"/>
          <w:sz w:val="28"/>
          <w:szCs w:val="28"/>
        </w:rPr>
      </w:pPr>
      <w:r>
        <w:rPr>
          <w:rFonts w:hint="eastAsia" w:hAnsi="宋体"/>
          <w:b/>
          <w:bCs/>
          <w:sz w:val="28"/>
          <w:szCs w:val="28"/>
        </w:rPr>
        <w:t>政府采购活动现场确认声明书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rPr>
      </w:pPr>
      <w:r>
        <w:rPr>
          <w:rFonts w:hint="eastAsia" w:ascii="宋体" w:hAnsi="宋体" w:cs="宋体"/>
          <w:sz w:val="24"/>
          <w:lang w:eastAsia="zh-CN"/>
        </w:rPr>
        <w:t>欧邦工程管理集团有限公司</w:t>
      </w:r>
      <w:r>
        <w:rPr>
          <w:rFonts w:hint="eastAsia" w:ascii="宋体" w:hAnsi="宋体" w:cs="宋体"/>
          <w:sz w:val="24"/>
        </w:rPr>
        <w:t>（采购组织机构名称）：</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本人经由                           （单位）负责人         （姓名）合法授权参加 </w:t>
      </w:r>
      <w:r>
        <w:rPr>
          <w:rFonts w:hint="eastAsia" w:ascii="宋体" w:hAnsi="宋体" w:cs="宋体"/>
          <w:sz w:val="24"/>
          <w:lang w:val="en-US" w:eastAsia="zh-CN"/>
        </w:rPr>
        <w:t>嵊州市金庭镇（撤并前金庭镇行政区域范围）生活垃圾上门收集、分类清运、大件垃圾清理、终端运行、再生资源回收站点、嵊张线局部地段保洁项目</w:t>
      </w:r>
      <w:r>
        <w:rPr>
          <w:rFonts w:hint="eastAsia" w:ascii="宋体" w:hAnsi="宋体" w:cs="宋体"/>
          <w:sz w:val="24"/>
        </w:rPr>
        <w:t xml:space="preserve"> （编号:</w:t>
      </w:r>
      <w:r>
        <w:rPr>
          <w:rFonts w:hint="eastAsia" w:ascii="宋体" w:hAnsi="宋体" w:cs="宋体"/>
          <w:sz w:val="24"/>
          <w:lang w:val="en-US" w:eastAsia="zh-CN"/>
        </w:rPr>
        <w:t xml:space="preserve">    </w:t>
      </w:r>
      <w:r>
        <w:rPr>
          <w:rFonts w:hint="eastAsia" w:ascii="宋体" w:hAnsi="宋体" w:cs="宋体"/>
          <w:sz w:val="24"/>
        </w:rPr>
        <w:t xml:space="preserve">）政府采购活动，经与本单位法人代表（负责人）联系确认，现就有关公平竞争事项郑重声明如下： </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一、本单位与采购人之间 □不存在利害关系 </w:t>
      </w:r>
      <w:r>
        <w:rPr>
          <w:rFonts w:hint="eastAsia" w:ascii="宋体" w:hAnsi="宋体" w:cs="宋体"/>
          <w:sz w:val="24"/>
        </w:rPr>
        <w:sym w:font="Wingdings 2" w:char="0052"/>
      </w:r>
      <w:r>
        <w:rPr>
          <w:rFonts w:hint="eastAsia" w:ascii="宋体" w:hAnsi="宋体" w:cs="宋体"/>
          <w:sz w:val="24"/>
        </w:rPr>
        <w:t>存在下列利害关系           ：</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A.投资关系    B.行政隶属关系    C.业务指导关系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D.其他可能影响采购公正的利害关系（如有，请如实说明）               。</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二、现已清楚知道参加本项目采购活动的其他所有供应商名称，本单位 □与其他所有供应商之间均不存在利害关系 </w:t>
      </w:r>
      <w:r>
        <w:rPr>
          <w:rFonts w:hint="eastAsia" w:ascii="宋体" w:hAnsi="宋体" w:cs="宋体"/>
          <w:sz w:val="24"/>
        </w:rPr>
        <w:sym w:font="Wingdings 2" w:char="00A3"/>
      </w:r>
      <w:r>
        <w:rPr>
          <w:rFonts w:hint="eastAsia" w:ascii="宋体" w:hAnsi="宋体" w:cs="宋体"/>
          <w:sz w:val="24"/>
        </w:rPr>
        <w:t>与           （供应商名称）之间存在下列利害关系          ：</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A.法定代表人或负责人或实际控制人是同一人</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B.法定代表人或负责人或实际控制人是夫妻关系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C.法定代表人或负责人或实际控制人是直系血亲关系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E.法定代表人或负责人或实际控制人存在近姻亲关系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w:t>
      </w:r>
      <w:bookmarkStart w:id="332" w:name="_Toc30815"/>
      <w:bookmarkStart w:id="333" w:name="_Toc9110"/>
      <w:bookmarkStart w:id="334" w:name="_Toc18026"/>
      <w:bookmarkStart w:id="335" w:name="_Toc27011"/>
      <w:bookmarkStart w:id="336" w:name="_Toc26542"/>
      <w:bookmarkStart w:id="337" w:name="_Toc13280"/>
      <w:bookmarkStart w:id="338" w:name="_Toc31177"/>
      <w:bookmarkStart w:id="339" w:name="_Toc29805"/>
      <w:r>
        <w:rPr>
          <w:rFonts w:hint="eastAsia" w:ascii="宋体" w:hAnsi="宋体" w:cs="宋体"/>
          <w:sz w:val="24"/>
        </w:rPr>
        <w:t>G.存在共同直接或间接投资设立子公司、联营企业和合营企业情况</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I.其他利害关系情况                              。</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现已清楚知道并严格遵守政府采购法律法规和现场纪律。</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我发现                             供应商之间存在或可能存在上述第二条第        项利害关系。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（供应商代表签名）</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2021</w:t>
      </w:r>
      <w:r>
        <w:rPr>
          <w:rFonts w:hint="eastAsia" w:ascii="宋体" w:hAnsi="宋体" w:cs="宋体"/>
          <w:sz w:val="24"/>
        </w:rPr>
        <w:t>年  月  日</w:t>
      </w:r>
    </w:p>
    <w:p>
      <w:pPr>
        <w:pStyle w:val="158"/>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rFonts w:hint="eastAsia" w:hAnsi="宋体"/>
          <w:sz w:val="24"/>
          <w:szCs w:val="24"/>
        </w:rPr>
      </w:pPr>
      <w:r>
        <w:rPr>
          <w:rFonts w:hint="eastAsia" w:hAnsi="宋体"/>
          <w:sz w:val="24"/>
          <w:szCs w:val="24"/>
        </w:rPr>
        <w:br w:type="page"/>
      </w:r>
      <w:r>
        <w:rPr>
          <w:rFonts w:hint="eastAsia" w:hAnsi="宋体"/>
          <w:sz w:val="24"/>
          <w:szCs w:val="24"/>
        </w:rPr>
        <w:t>信用中国网站（www.creditchina.gov.cn）截图示例</w:t>
      </w:r>
    </w:p>
    <w:p>
      <w:pPr>
        <w:snapToGrid w:val="0"/>
        <w:spacing w:line="720" w:lineRule="auto"/>
        <w:ind w:firstLine="420"/>
        <w:jc w:val="center"/>
        <w:rPr>
          <w:rFonts w:hint="eastAsia" w:ascii="宋体" w:hAnsi="宋体" w:cs="宋体"/>
          <w:sz w:val="24"/>
        </w:rPr>
      </w:pPr>
      <w:r>
        <w:drawing>
          <wp:anchor distT="0" distB="0" distL="114300" distR="114300" simplePos="0" relativeHeight="251659264" behindDoc="1" locked="0" layoutInCell="1" allowOverlap="1">
            <wp:simplePos x="0" y="0"/>
            <wp:positionH relativeFrom="column">
              <wp:posOffset>-264160</wp:posOffset>
            </wp:positionH>
            <wp:positionV relativeFrom="paragraph">
              <wp:posOffset>160655</wp:posOffset>
            </wp:positionV>
            <wp:extent cx="5783580" cy="3159125"/>
            <wp:effectExtent l="19050" t="0" r="7620" b="0"/>
            <wp:wrapNone/>
            <wp:docPr id="2" name="图片 4" descr="AO6XOXNF_FVQQYJWB`61X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AO6XOXNF_FVQQYJWB`61X6A"/>
                    <pic:cNvPicPr>
                      <a:picLocks noChangeAspect="1" noChangeArrowheads="1"/>
                    </pic:cNvPicPr>
                  </pic:nvPicPr>
                  <pic:blipFill>
                    <a:blip r:embed="rId15"/>
                    <a:srcRect/>
                    <a:stretch>
                      <a:fillRect/>
                    </a:stretch>
                  </pic:blipFill>
                  <pic:spPr>
                    <a:xfrm>
                      <a:off x="0" y="0"/>
                      <a:ext cx="5783580" cy="3159125"/>
                    </a:xfrm>
                    <a:prstGeom prst="rect">
                      <a:avLst/>
                    </a:prstGeom>
                    <a:noFill/>
                    <a:ln w="9525" cmpd="sng">
                      <a:noFill/>
                      <a:miter lim="800000"/>
                      <a:headEnd/>
                      <a:tailEnd/>
                    </a:ln>
                  </pic:spPr>
                </pic:pic>
              </a:graphicData>
            </a:graphic>
          </wp:anchor>
        </w:drawing>
      </w: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p>
    <w:p>
      <w:pPr>
        <w:snapToGrid w:val="0"/>
        <w:spacing w:line="440" w:lineRule="exact"/>
        <w:ind w:firstLine="480"/>
        <w:jc w:val="center"/>
        <w:rPr>
          <w:rFonts w:hint="eastAsia" w:ascii="宋体" w:hAnsi="宋体" w:cs="宋体"/>
          <w:sz w:val="24"/>
        </w:rPr>
      </w:pPr>
      <w:r>
        <w:rPr>
          <w:rFonts w:hint="eastAsia" w:ascii="宋体" w:hAnsi="宋体" w:cs="宋体"/>
          <w:sz w:val="24"/>
        </w:rPr>
        <w:t>中国政府采购网（www.ccgp.gov.cn）截图示例</w:t>
      </w:r>
    </w:p>
    <w:p>
      <w:pPr>
        <w:ind w:firstLine="420"/>
        <w:jc w:val="center"/>
        <w:rPr>
          <w:rFonts w:hint="eastAsia" w:ascii="宋体" w:hAnsi="宋体" w:cs="宋体"/>
          <w:b/>
          <w:sz w:val="44"/>
          <w:szCs w:val="44"/>
        </w:rPr>
      </w:pPr>
      <w:r>
        <w:drawing>
          <wp:anchor distT="0" distB="0" distL="114300" distR="114300" simplePos="0" relativeHeight="251660288" behindDoc="1" locked="0" layoutInCell="1" allowOverlap="1">
            <wp:simplePos x="0" y="0"/>
            <wp:positionH relativeFrom="column">
              <wp:posOffset>-254635</wp:posOffset>
            </wp:positionH>
            <wp:positionV relativeFrom="paragraph">
              <wp:posOffset>249555</wp:posOffset>
            </wp:positionV>
            <wp:extent cx="5830570" cy="3194685"/>
            <wp:effectExtent l="19050" t="0" r="0" b="0"/>
            <wp:wrapNone/>
            <wp:docPr id="3" name="图片 5" descr="54IT}4EF(VFVC9%15~PN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54IT}4EF(VFVC9%15~PNTXE"/>
                    <pic:cNvPicPr>
                      <a:picLocks noChangeAspect="1" noChangeArrowheads="1"/>
                    </pic:cNvPicPr>
                  </pic:nvPicPr>
                  <pic:blipFill>
                    <a:blip r:embed="rId16"/>
                    <a:srcRect/>
                    <a:stretch>
                      <a:fillRect/>
                    </a:stretch>
                  </pic:blipFill>
                  <pic:spPr>
                    <a:xfrm>
                      <a:off x="0" y="0"/>
                      <a:ext cx="5830570" cy="3194685"/>
                    </a:xfrm>
                    <a:prstGeom prst="rect">
                      <a:avLst/>
                    </a:prstGeom>
                    <a:noFill/>
                    <a:ln w="9525" cmpd="sng">
                      <a:noFill/>
                      <a:miter lim="800000"/>
                      <a:headEnd/>
                      <a:tailEnd/>
                    </a:ln>
                  </pic:spPr>
                </pic:pic>
              </a:graphicData>
            </a:graphic>
          </wp:anchor>
        </w:drawing>
      </w:r>
    </w:p>
    <w:p>
      <w:pPr>
        <w:ind w:firstLine="883"/>
        <w:jc w:val="center"/>
        <w:rPr>
          <w:rFonts w:hint="eastAsia" w:ascii="宋体" w:hAnsi="宋体" w:cs="宋体"/>
          <w:b/>
          <w:sz w:val="44"/>
          <w:szCs w:val="44"/>
        </w:rPr>
      </w:pPr>
    </w:p>
    <w:p>
      <w:pPr>
        <w:ind w:firstLine="883"/>
        <w:jc w:val="center"/>
        <w:rPr>
          <w:rFonts w:hint="eastAsia" w:ascii="宋体" w:hAnsi="宋体" w:cs="宋体"/>
          <w:b/>
          <w:sz w:val="44"/>
          <w:szCs w:val="44"/>
        </w:rPr>
      </w:pPr>
    </w:p>
    <w:p>
      <w:pPr>
        <w:ind w:firstLine="883"/>
        <w:jc w:val="center"/>
        <w:rPr>
          <w:rFonts w:hint="eastAsia" w:ascii="宋体" w:hAnsi="宋体" w:cs="宋体"/>
          <w:b/>
          <w:sz w:val="44"/>
          <w:szCs w:val="44"/>
        </w:rPr>
      </w:pPr>
    </w:p>
    <w:p>
      <w:pPr>
        <w:ind w:firstLine="883"/>
        <w:jc w:val="center"/>
        <w:rPr>
          <w:rFonts w:hint="eastAsia" w:ascii="宋体" w:hAnsi="宋体" w:cs="宋体"/>
          <w:b/>
          <w:sz w:val="44"/>
          <w:szCs w:val="44"/>
        </w:rPr>
      </w:pPr>
    </w:p>
    <w:p>
      <w:pPr>
        <w:ind w:firstLine="883"/>
        <w:jc w:val="center"/>
        <w:rPr>
          <w:rFonts w:hint="eastAsia" w:ascii="宋体" w:hAnsi="宋体" w:cs="宋体"/>
          <w:b/>
          <w:sz w:val="44"/>
          <w:szCs w:val="44"/>
        </w:rPr>
      </w:pPr>
    </w:p>
    <w:p>
      <w:pPr>
        <w:ind w:firstLine="883"/>
        <w:jc w:val="center"/>
        <w:rPr>
          <w:rFonts w:hint="eastAsia" w:ascii="宋体" w:hAnsi="宋体" w:cs="宋体"/>
          <w:b/>
          <w:sz w:val="44"/>
          <w:szCs w:val="44"/>
        </w:rPr>
      </w:pPr>
    </w:p>
    <w:p>
      <w:pPr>
        <w:ind w:firstLine="883"/>
        <w:jc w:val="center"/>
        <w:rPr>
          <w:rFonts w:hint="eastAsia" w:ascii="宋体" w:hAnsi="宋体" w:cs="宋体"/>
          <w:b/>
          <w:sz w:val="44"/>
          <w:szCs w:val="44"/>
        </w:rPr>
      </w:pPr>
    </w:p>
    <w:p>
      <w:pPr>
        <w:snapToGrid w:val="0"/>
        <w:jc w:val="center"/>
        <w:rPr>
          <w:rFonts w:hint="eastAsia" w:ascii="宋体" w:hAnsi="宋体" w:cs="宋体"/>
          <w:b/>
          <w:sz w:val="30"/>
          <w:szCs w:val="30"/>
        </w:rPr>
      </w:pPr>
    </w:p>
    <w:bookmarkEnd w:id="276"/>
    <w:bookmarkEnd w:id="277"/>
    <w:p>
      <w:pPr>
        <w:rPr>
          <w:sz w:val="24"/>
        </w:rPr>
      </w:pPr>
    </w:p>
    <w:p>
      <w:pPr>
        <w:rPr>
          <w:sz w:val="24"/>
        </w:rPr>
      </w:pPr>
    </w:p>
    <w:p>
      <w:pPr>
        <w:rPr>
          <w:sz w:val="24"/>
        </w:rPr>
      </w:pPr>
    </w:p>
    <w:p>
      <w:pPr>
        <w:rPr>
          <w:sz w:val="24"/>
        </w:rPr>
      </w:pPr>
    </w:p>
    <w:sectPr>
      <w:headerReference r:id="rId12" w:type="default"/>
      <w:footerReference r:id="rId13" w:type="default"/>
      <w:pgSz w:w="11906" w:h="16838"/>
      <w:pgMar w:top="1440" w:right="1440" w:bottom="1440"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ò">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199" w:firstLineChars="95"/>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rFonts w:hint="eastAsia" w:ascii="宋体" w:hAnsi="宋体" w:cs="宋体"/>
        <w:color w:val="000000"/>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199" w:firstLineChars="95"/>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rFonts w:hint="eastAsia" w:ascii="宋体" w:hAnsi="宋体" w:cs="宋体"/>
        <w:color w:val="000000"/>
        <w:ker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v:textbox>
            </v:shape>
          </w:pict>
        </mc:Fallback>
      </mc:AlternateContent>
    </w:r>
    <w:r>
      <w:rPr>
        <w:rFonts w:ascii="宋体" w:hAnsi="宋体" w:cs="宋体"/>
        <w:kern w:val="0"/>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3750"/>
        <w:tab w:val="left" w:pos="5386"/>
        <w:tab w:val="clear" w:pos="4153"/>
        <w:tab w:val="clear" w:pos="8306"/>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003300" cy="1231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3300" cy="123190"/>
                      </a:xfrm>
                      <a:prstGeom prst="rect">
                        <a:avLst/>
                      </a:prstGeom>
                      <a:noFill/>
                      <a:ln>
                        <a:noFill/>
                      </a:ln>
                    </wps:spPr>
                    <wps:txbx>
                      <w:txbxContent>
                        <w:p>
                          <w:pPr>
                            <w:pStyle w:val="33"/>
                          </w:pPr>
                          <w:r>
                            <w:t xml:space="preserve">第 </w:t>
                          </w:r>
                          <w:r>
                            <w:fldChar w:fldCharType="begin"/>
                          </w:r>
                          <w:r>
                            <w:instrText xml:space="preserve"> PAGE  \* MERGEFORMAT </w:instrText>
                          </w:r>
                          <w:r>
                            <w:fldChar w:fldCharType="separate"/>
                          </w:r>
                          <w:r>
                            <w:t>119</w:t>
                          </w:r>
                          <w:r>
                            <w:fldChar w:fldCharType="end"/>
                          </w:r>
                          <w:r>
                            <w:t xml:space="preserve"> 页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9.7pt;width:79pt;mso-position-horizontal:center;mso-position-horizontal-relative:margin;z-index:251663360;mso-width-relative:page;mso-height-relative:page;" filled="f" stroked="f" coordsize="21600,21600" o:gfxdata="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A4vuHTAAAABAEAAA8AAAAAAAAAAQAgAAAAIgAAAGRycy9k&#10;b3ducmV2LnhtbFBLAQIUABQAAAAIAIdO4kDTmqVtzgEAAJoDAAAOAAAAAAAAAAEAIAAAACIBAABk&#10;cnMvZTJvRG9jLnhtbFBLBQYAAAAABgAGAFkBAABiBQAAAAA=&#10;">
              <v:fill on="f" focussize="0,0"/>
              <v:stroke on="f"/>
              <v:imagedata o:title=""/>
              <o:lock v:ext="edit" aspectratio="f"/>
              <v:textbox inset="0mm,0mm,0mm,0mm">
                <w:txbxContent>
                  <w:p>
                    <w:pPr>
                      <w:pStyle w:val="33"/>
                    </w:pPr>
                    <w:r>
                      <w:t xml:space="preserve">第 </w:t>
                    </w:r>
                    <w:r>
                      <w:fldChar w:fldCharType="begin"/>
                    </w:r>
                    <w:r>
                      <w:instrText xml:space="preserve"> PAGE  \* MERGEFORMAT </w:instrText>
                    </w:r>
                    <w:r>
                      <w:fldChar w:fldCharType="separate"/>
                    </w:r>
                    <w:r>
                      <w:t>119</w:t>
                    </w:r>
                    <w:r>
                      <w:fldChar w:fldCharType="end"/>
                    </w:r>
                    <w:r>
                      <w:t xml:space="preserve"> 页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ascii="Times New Roman" w:hAnsi="宋体" w:cs="宋体"/>
        <w:b/>
        <w:kern w:val="0"/>
        <w:lang w:val="en-US" w:eastAsia="zh-CN"/>
      </w:rPr>
      <w:t>欧邦工程管理集团有限公司</w:t>
    </w:r>
    <w:r>
      <w:rPr>
        <w:rFonts w:hint="eastAsia" w:hAnsi="宋体" w:cs="宋体"/>
        <w:b/>
        <w:kern w:val="0"/>
      </w:rPr>
      <w:t>招标文件</w:t>
    </w:r>
  </w:p>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eastAsia="宋体"/>
        <w:lang w:eastAsia="zh-CN"/>
      </w:rPr>
    </w:pPr>
    <w:r>
      <w:rPr>
        <w:rFonts w:hint="eastAsia"/>
        <w:lang w:eastAsia="zh-CN"/>
      </w:rPr>
      <w:t>欧邦工程管理集团有限公司招标文件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ascii="Times New Roman" w:hAnsi="宋体" w:cs="宋体"/>
        <w:b/>
        <w:kern w:val="0"/>
        <w:lang w:val="en-US" w:eastAsia="zh-CN"/>
      </w:rPr>
      <w:t>欧邦工程管理集团有限公司</w:t>
    </w:r>
    <w:r>
      <w:rPr>
        <w:rFonts w:hint="eastAsia" w:hAnsi="宋体" w:cs="宋体"/>
        <w:b/>
        <w:kern w:val="0"/>
      </w:rPr>
      <w:t>招标文件</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ind w:firstLine="360"/>
      <w:jc w:val="left"/>
      <w:rPr>
        <w:rFonts w:hint="eastAsia" w:eastAsia="宋体"/>
        <w:lang w:eastAsia="zh-CN"/>
      </w:rPr>
    </w:pPr>
    <w:r>
      <w:rPr>
        <w:rFonts w:hint="eastAsia"/>
        <w:lang w:eastAsia="zh-CN"/>
      </w:rPr>
      <w:t>欧邦工程管理集团有限公司招标文件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ascii="宋体" w:hAnsi="宋体" w:cs="宋体"/>
        <w:b/>
        <w:kern w:val="0"/>
        <w:szCs w:val="21"/>
        <w:lang w:eastAsia="zh-CN"/>
      </w:rPr>
      <w:t>欧邦工程管理集团</w:t>
    </w:r>
    <w:r>
      <w:rPr>
        <w:rFonts w:hint="eastAsia" w:ascii="宋体" w:hAnsi="宋体" w:cs="宋体"/>
        <w:b/>
        <w:kern w:val="0"/>
        <w:szCs w:val="21"/>
      </w:rPr>
      <w:t>有限公司</w:t>
    </w:r>
    <w:r>
      <w:rPr>
        <w:rFonts w:hint="eastAsia" w:hAnsi="宋体" w:cs="宋体"/>
        <w:b/>
        <w:kern w:val="0"/>
      </w:rPr>
      <w:t>招标文件</w:t>
    </w:r>
  </w:p>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35124"/>
    <w:multiLevelType w:val="singleLevel"/>
    <w:tmpl w:val="97035124"/>
    <w:lvl w:ilvl="0" w:tentative="0">
      <w:start w:val="1"/>
      <w:numFmt w:val="decimal"/>
      <w:suff w:val="nothing"/>
      <w:lvlText w:val="（%1）"/>
      <w:lvlJc w:val="left"/>
    </w:lvl>
  </w:abstractNum>
  <w:abstractNum w:abstractNumId="1">
    <w:nsid w:val="B397F049"/>
    <w:multiLevelType w:val="singleLevel"/>
    <w:tmpl w:val="B397F049"/>
    <w:lvl w:ilvl="0" w:tentative="0">
      <w:start w:val="1"/>
      <w:numFmt w:val="decimal"/>
      <w:suff w:val="nothing"/>
      <w:lvlText w:val="%1、"/>
      <w:lvlJc w:val="left"/>
    </w:lvl>
  </w:abstractNum>
  <w:abstractNum w:abstractNumId="2">
    <w:nsid w:val="B8CC4FA3"/>
    <w:multiLevelType w:val="singleLevel"/>
    <w:tmpl w:val="B8CC4FA3"/>
    <w:lvl w:ilvl="0" w:tentative="0">
      <w:start w:val="1"/>
      <w:numFmt w:val="decimal"/>
      <w:suff w:val="nothing"/>
      <w:lvlText w:val="%1、"/>
      <w:lvlJc w:val="left"/>
    </w:lvl>
  </w:abstractNum>
  <w:abstractNum w:abstractNumId="3">
    <w:nsid w:val="E6B8D588"/>
    <w:multiLevelType w:val="singleLevel"/>
    <w:tmpl w:val="E6B8D588"/>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7"/>
    <w:multiLevelType w:val="singleLevel"/>
    <w:tmpl w:val="00000007"/>
    <w:lvl w:ilvl="0" w:tentative="0">
      <w:start w:val="3"/>
      <w:numFmt w:val="chineseCounting"/>
      <w:suff w:val="nothing"/>
      <w:lvlText w:val="（%1）"/>
      <w:lvlJc w:val="left"/>
      <w:rPr>
        <w:rFonts w:hint="eastAsia"/>
      </w:rPr>
    </w:lvl>
  </w:abstractNum>
  <w:abstractNum w:abstractNumId="6">
    <w:nsid w:val="0000000B"/>
    <w:multiLevelType w:val="singleLevel"/>
    <w:tmpl w:val="0000000B"/>
    <w:lvl w:ilvl="0" w:tentative="0">
      <w:start w:val="1"/>
      <w:numFmt w:val="decimal"/>
      <w:lvlText w:val="%1."/>
      <w:lvlJc w:val="left"/>
      <w:pPr>
        <w:tabs>
          <w:tab w:val="left" w:pos="312"/>
        </w:tabs>
      </w:pPr>
    </w:lvl>
  </w:abstractNum>
  <w:abstractNum w:abstractNumId="7">
    <w:nsid w:val="313B5D88"/>
    <w:multiLevelType w:val="multilevel"/>
    <w:tmpl w:val="313B5D88"/>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33435DD"/>
    <w:multiLevelType w:val="multilevel"/>
    <w:tmpl w:val="533435D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5A018F1"/>
    <w:multiLevelType w:val="multilevel"/>
    <w:tmpl w:val="55A018F1"/>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9DB6D31"/>
    <w:multiLevelType w:val="multilevel"/>
    <w:tmpl w:val="59DB6D31"/>
    <w:lvl w:ilvl="0" w:tentative="0">
      <w:start w:val="1"/>
      <w:numFmt w:val="japaneseCounting"/>
      <w:lvlText w:val="%1、"/>
      <w:lvlJc w:val="left"/>
      <w:pPr>
        <w:tabs>
          <w:tab w:val="left" w:pos="570"/>
        </w:tabs>
        <w:ind w:left="570" w:hanging="57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5C9103A6"/>
    <w:multiLevelType w:val="multilevel"/>
    <w:tmpl w:val="5C9103A6"/>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DFB1E43"/>
    <w:multiLevelType w:val="multilevel"/>
    <w:tmpl w:val="5DFB1E43"/>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646657F4"/>
    <w:multiLevelType w:val="multilevel"/>
    <w:tmpl w:val="646657F4"/>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66DBD403"/>
    <w:multiLevelType w:val="singleLevel"/>
    <w:tmpl w:val="66DBD403"/>
    <w:lvl w:ilvl="0" w:tentative="0">
      <w:start w:val="1"/>
      <w:numFmt w:val="upperLetter"/>
      <w:lvlText w:val="%1."/>
      <w:lvlJc w:val="left"/>
      <w:pPr>
        <w:tabs>
          <w:tab w:val="left" w:pos="312"/>
        </w:tabs>
      </w:pPr>
    </w:lvl>
  </w:abstractNum>
  <w:num w:numId="1">
    <w:abstractNumId w:val="3"/>
  </w:num>
  <w:num w:numId="2">
    <w:abstractNumId w:val="4"/>
  </w:num>
  <w:num w:numId="3">
    <w:abstractNumId w:val="6"/>
  </w:num>
  <w:num w:numId="4">
    <w:abstractNumId w:val="5"/>
  </w:num>
  <w:num w:numId="5">
    <w:abstractNumId w:val="0"/>
  </w:num>
  <w:num w:numId="6">
    <w:abstractNumId w:val="9"/>
  </w:num>
  <w:num w:numId="7">
    <w:abstractNumId w:val="12"/>
  </w:num>
  <w:num w:numId="8">
    <w:abstractNumId w:val="11"/>
  </w:num>
  <w:num w:numId="9">
    <w:abstractNumId w:val="8"/>
  </w:num>
  <w:num w:numId="10">
    <w:abstractNumId w:val="13"/>
  </w:num>
  <w:num w:numId="11">
    <w:abstractNumId w:val="7"/>
  </w:num>
  <w:num w:numId="12">
    <w:abstractNumId w:val="14"/>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0D"/>
    <w:rsid w:val="00007308"/>
    <w:rsid w:val="00007EFF"/>
    <w:rsid w:val="00010134"/>
    <w:rsid w:val="00010191"/>
    <w:rsid w:val="00011682"/>
    <w:rsid w:val="00011D0B"/>
    <w:rsid w:val="000124A5"/>
    <w:rsid w:val="00012561"/>
    <w:rsid w:val="00012749"/>
    <w:rsid w:val="00012847"/>
    <w:rsid w:val="0001388F"/>
    <w:rsid w:val="0001780B"/>
    <w:rsid w:val="00017C91"/>
    <w:rsid w:val="00017CB2"/>
    <w:rsid w:val="000206ED"/>
    <w:rsid w:val="0002075F"/>
    <w:rsid w:val="000216F9"/>
    <w:rsid w:val="0002204E"/>
    <w:rsid w:val="000245F7"/>
    <w:rsid w:val="00025208"/>
    <w:rsid w:val="0002773B"/>
    <w:rsid w:val="00030084"/>
    <w:rsid w:val="00030B93"/>
    <w:rsid w:val="00030CC6"/>
    <w:rsid w:val="0003117B"/>
    <w:rsid w:val="0003129B"/>
    <w:rsid w:val="000312B1"/>
    <w:rsid w:val="0003508F"/>
    <w:rsid w:val="00035A21"/>
    <w:rsid w:val="00035C0D"/>
    <w:rsid w:val="00037FF6"/>
    <w:rsid w:val="00040685"/>
    <w:rsid w:val="000407EF"/>
    <w:rsid w:val="00040E58"/>
    <w:rsid w:val="00041042"/>
    <w:rsid w:val="00041046"/>
    <w:rsid w:val="00041311"/>
    <w:rsid w:val="000419B1"/>
    <w:rsid w:val="00041B5F"/>
    <w:rsid w:val="00041E51"/>
    <w:rsid w:val="0004212E"/>
    <w:rsid w:val="000423BA"/>
    <w:rsid w:val="00042956"/>
    <w:rsid w:val="000429A4"/>
    <w:rsid w:val="00043BCA"/>
    <w:rsid w:val="00043E6E"/>
    <w:rsid w:val="00044356"/>
    <w:rsid w:val="00044446"/>
    <w:rsid w:val="00045B62"/>
    <w:rsid w:val="00046947"/>
    <w:rsid w:val="0004709E"/>
    <w:rsid w:val="00047328"/>
    <w:rsid w:val="00050C2A"/>
    <w:rsid w:val="00050EA2"/>
    <w:rsid w:val="00051527"/>
    <w:rsid w:val="000522EC"/>
    <w:rsid w:val="00052DF6"/>
    <w:rsid w:val="00053F99"/>
    <w:rsid w:val="00054899"/>
    <w:rsid w:val="00055508"/>
    <w:rsid w:val="00055F48"/>
    <w:rsid w:val="0005636A"/>
    <w:rsid w:val="00056974"/>
    <w:rsid w:val="00060F0D"/>
    <w:rsid w:val="00061293"/>
    <w:rsid w:val="000616D3"/>
    <w:rsid w:val="00061C01"/>
    <w:rsid w:val="00062FDA"/>
    <w:rsid w:val="0006500C"/>
    <w:rsid w:val="00070890"/>
    <w:rsid w:val="00071B2B"/>
    <w:rsid w:val="00072C7C"/>
    <w:rsid w:val="00072FD7"/>
    <w:rsid w:val="000737D8"/>
    <w:rsid w:val="00074274"/>
    <w:rsid w:val="000745F0"/>
    <w:rsid w:val="00074C4F"/>
    <w:rsid w:val="0007522A"/>
    <w:rsid w:val="000763DD"/>
    <w:rsid w:val="00077B62"/>
    <w:rsid w:val="000800D5"/>
    <w:rsid w:val="00081EE1"/>
    <w:rsid w:val="000822C3"/>
    <w:rsid w:val="000823D3"/>
    <w:rsid w:val="00082A3C"/>
    <w:rsid w:val="00085690"/>
    <w:rsid w:val="000857BA"/>
    <w:rsid w:val="00085E1A"/>
    <w:rsid w:val="0008605E"/>
    <w:rsid w:val="00086095"/>
    <w:rsid w:val="0008660B"/>
    <w:rsid w:val="00086E77"/>
    <w:rsid w:val="000922F4"/>
    <w:rsid w:val="00092EDB"/>
    <w:rsid w:val="0009311E"/>
    <w:rsid w:val="0009314C"/>
    <w:rsid w:val="00094166"/>
    <w:rsid w:val="00094586"/>
    <w:rsid w:val="00094F23"/>
    <w:rsid w:val="00095184"/>
    <w:rsid w:val="00096100"/>
    <w:rsid w:val="00096121"/>
    <w:rsid w:val="00096808"/>
    <w:rsid w:val="00097A21"/>
    <w:rsid w:val="000A00CD"/>
    <w:rsid w:val="000A095F"/>
    <w:rsid w:val="000A1BE3"/>
    <w:rsid w:val="000A1F99"/>
    <w:rsid w:val="000A3326"/>
    <w:rsid w:val="000A3689"/>
    <w:rsid w:val="000A480E"/>
    <w:rsid w:val="000A5B09"/>
    <w:rsid w:val="000A5C4E"/>
    <w:rsid w:val="000A6581"/>
    <w:rsid w:val="000A695B"/>
    <w:rsid w:val="000A6F76"/>
    <w:rsid w:val="000B08D0"/>
    <w:rsid w:val="000B2283"/>
    <w:rsid w:val="000B24A4"/>
    <w:rsid w:val="000B30DA"/>
    <w:rsid w:val="000B379F"/>
    <w:rsid w:val="000B5A38"/>
    <w:rsid w:val="000B735B"/>
    <w:rsid w:val="000B7607"/>
    <w:rsid w:val="000B7D73"/>
    <w:rsid w:val="000C06B3"/>
    <w:rsid w:val="000C0E0C"/>
    <w:rsid w:val="000C0E7E"/>
    <w:rsid w:val="000C1381"/>
    <w:rsid w:val="000C1BE1"/>
    <w:rsid w:val="000C22E0"/>
    <w:rsid w:val="000C24A0"/>
    <w:rsid w:val="000C26F9"/>
    <w:rsid w:val="000C277F"/>
    <w:rsid w:val="000C31B2"/>
    <w:rsid w:val="000C415D"/>
    <w:rsid w:val="000C44B6"/>
    <w:rsid w:val="000C46DE"/>
    <w:rsid w:val="000C4FF7"/>
    <w:rsid w:val="000C59F7"/>
    <w:rsid w:val="000C60B1"/>
    <w:rsid w:val="000C6266"/>
    <w:rsid w:val="000C68F7"/>
    <w:rsid w:val="000C744D"/>
    <w:rsid w:val="000C76F1"/>
    <w:rsid w:val="000D02DC"/>
    <w:rsid w:val="000D0B18"/>
    <w:rsid w:val="000D1618"/>
    <w:rsid w:val="000D1884"/>
    <w:rsid w:val="000D362F"/>
    <w:rsid w:val="000D4083"/>
    <w:rsid w:val="000D70E9"/>
    <w:rsid w:val="000D7136"/>
    <w:rsid w:val="000D7465"/>
    <w:rsid w:val="000E0525"/>
    <w:rsid w:val="000E07FE"/>
    <w:rsid w:val="000E0E8F"/>
    <w:rsid w:val="000E0ECF"/>
    <w:rsid w:val="000E1130"/>
    <w:rsid w:val="000E148F"/>
    <w:rsid w:val="000E16A9"/>
    <w:rsid w:val="000E17DD"/>
    <w:rsid w:val="000E246E"/>
    <w:rsid w:val="000E27C3"/>
    <w:rsid w:val="000E29E2"/>
    <w:rsid w:val="000E30D9"/>
    <w:rsid w:val="000E34A2"/>
    <w:rsid w:val="000E4523"/>
    <w:rsid w:val="000E481C"/>
    <w:rsid w:val="000E489D"/>
    <w:rsid w:val="000E4CBE"/>
    <w:rsid w:val="000E5790"/>
    <w:rsid w:val="000E58DA"/>
    <w:rsid w:val="000E5CF0"/>
    <w:rsid w:val="000E6795"/>
    <w:rsid w:val="000E70C3"/>
    <w:rsid w:val="000E7F05"/>
    <w:rsid w:val="000F147D"/>
    <w:rsid w:val="000F383D"/>
    <w:rsid w:val="000F3ED1"/>
    <w:rsid w:val="000F3F3B"/>
    <w:rsid w:val="000F61A0"/>
    <w:rsid w:val="000F6947"/>
    <w:rsid w:val="000F7084"/>
    <w:rsid w:val="000F7410"/>
    <w:rsid w:val="00100DA7"/>
    <w:rsid w:val="00100F66"/>
    <w:rsid w:val="0010189E"/>
    <w:rsid w:val="00101AAC"/>
    <w:rsid w:val="00101F17"/>
    <w:rsid w:val="001022A6"/>
    <w:rsid w:val="00102456"/>
    <w:rsid w:val="001041CD"/>
    <w:rsid w:val="00107EB8"/>
    <w:rsid w:val="00110885"/>
    <w:rsid w:val="0011140B"/>
    <w:rsid w:val="00111BDD"/>
    <w:rsid w:val="00112502"/>
    <w:rsid w:val="001149AC"/>
    <w:rsid w:val="001153BE"/>
    <w:rsid w:val="00115D3A"/>
    <w:rsid w:val="001160AD"/>
    <w:rsid w:val="00116233"/>
    <w:rsid w:val="00116D86"/>
    <w:rsid w:val="00117F54"/>
    <w:rsid w:val="00120CDA"/>
    <w:rsid w:val="00121216"/>
    <w:rsid w:val="001213B4"/>
    <w:rsid w:val="00121CE4"/>
    <w:rsid w:val="001231B4"/>
    <w:rsid w:val="001232F8"/>
    <w:rsid w:val="00123E32"/>
    <w:rsid w:val="0012405A"/>
    <w:rsid w:val="0012442F"/>
    <w:rsid w:val="001252C0"/>
    <w:rsid w:val="00125BF9"/>
    <w:rsid w:val="001265FC"/>
    <w:rsid w:val="00127510"/>
    <w:rsid w:val="00127707"/>
    <w:rsid w:val="00127A2F"/>
    <w:rsid w:val="00131CA4"/>
    <w:rsid w:val="0013391B"/>
    <w:rsid w:val="00133A1E"/>
    <w:rsid w:val="00134194"/>
    <w:rsid w:val="00135C22"/>
    <w:rsid w:val="0013606E"/>
    <w:rsid w:val="00136190"/>
    <w:rsid w:val="0013705A"/>
    <w:rsid w:val="00137152"/>
    <w:rsid w:val="0013781B"/>
    <w:rsid w:val="00141573"/>
    <w:rsid w:val="001419CB"/>
    <w:rsid w:val="00142D80"/>
    <w:rsid w:val="001433EB"/>
    <w:rsid w:val="001435DD"/>
    <w:rsid w:val="00144F82"/>
    <w:rsid w:val="00146A08"/>
    <w:rsid w:val="00147303"/>
    <w:rsid w:val="00150C75"/>
    <w:rsid w:val="0015117D"/>
    <w:rsid w:val="001512A7"/>
    <w:rsid w:val="00151C58"/>
    <w:rsid w:val="00152638"/>
    <w:rsid w:val="0015282B"/>
    <w:rsid w:val="001531DF"/>
    <w:rsid w:val="001544EB"/>
    <w:rsid w:val="00154520"/>
    <w:rsid w:val="00155AFE"/>
    <w:rsid w:val="00156A38"/>
    <w:rsid w:val="00156AA0"/>
    <w:rsid w:val="00157225"/>
    <w:rsid w:val="0015732C"/>
    <w:rsid w:val="00157442"/>
    <w:rsid w:val="00157606"/>
    <w:rsid w:val="00157735"/>
    <w:rsid w:val="001578DC"/>
    <w:rsid w:val="001579AB"/>
    <w:rsid w:val="00160D5E"/>
    <w:rsid w:val="001613FC"/>
    <w:rsid w:val="00162AD4"/>
    <w:rsid w:val="00162EF0"/>
    <w:rsid w:val="00162FAC"/>
    <w:rsid w:val="001630BD"/>
    <w:rsid w:val="00163843"/>
    <w:rsid w:val="001640E2"/>
    <w:rsid w:val="00166232"/>
    <w:rsid w:val="00166409"/>
    <w:rsid w:val="001667EF"/>
    <w:rsid w:val="00167732"/>
    <w:rsid w:val="001677B3"/>
    <w:rsid w:val="001700FB"/>
    <w:rsid w:val="0017129A"/>
    <w:rsid w:val="00171487"/>
    <w:rsid w:val="001715A2"/>
    <w:rsid w:val="0017223D"/>
    <w:rsid w:val="001728AC"/>
    <w:rsid w:val="00172A27"/>
    <w:rsid w:val="00172F20"/>
    <w:rsid w:val="0017442A"/>
    <w:rsid w:val="001755F8"/>
    <w:rsid w:val="00177B14"/>
    <w:rsid w:val="00180F91"/>
    <w:rsid w:val="001822EA"/>
    <w:rsid w:val="00182E05"/>
    <w:rsid w:val="00184118"/>
    <w:rsid w:val="001841D5"/>
    <w:rsid w:val="001843D7"/>
    <w:rsid w:val="00185373"/>
    <w:rsid w:val="0018589A"/>
    <w:rsid w:val="0018606E"/>
    <w:rsid w:val="00190BB5"/>
    <w:rsid w:val="00191EDF"/>
    <w:rsid w:val="001924BF"/>
    <w:rsid w:val="00192ACB"/>
    <w:rsid w:val="0019402D"/>
    <w:rsid w:val="001945A8"/>
    <w:rsid w:val="00195502"/>
    <w:rsid w:val="001965A7"/>
    <w:rsid w:val="001968B6"/>
    <w:rsid w:val="00196E32"/>
    <w:rsid w:val="00196EA7"/>
    <w:rsid w:val="001973B6"/>
    <w:rsid w:val="00197BBA"/>
    <w:rsid w:val="00197F48"/>
    <w:rsid w:val="001A031E"/>
    <w:rsid w:val="001A0910"/>
    <w:rsid w:val="001A12BE"/>
    <w:rsid w:val="001A2EEE"/>
    <w:rsid w:val="001A389B"/>
    <w:rsid w:val="001A3D8A"/>
    <w:rsid w:val="001A45FA"/>
    <w:rsid w:val="001A4F7C"/>
    <w:rsid w:val="001A5058"/>
    <w:rsid w:val="001A5724"/>
    <w:rsid w:val="001A6490"/>
    <w:rsid w:val="001A75ED"/>
    <w:rsid w:val="001B00D0"/>
    <w:rsid w:val="001B0B4E"/>
    <w:rsid w:val="001B10AA"/>
    <w:rsid w:val="001B2716"/>
    <w:rsid w:val="001B35FF"/>
    <w:rsid w:val="001B3760"/>
    <w:rsid w:val="001B51B7"/>
    <w:rsid w:val="001B543B"/>
    <w:rsid w:val="001B6190"/>
    <w:rsid w:val="001B7725"/>
    <w:rsid w:val="001C091A"/>
    <w:rsid w:val="001C25B9"/>
    <w:rsid w:val="001C2F78"/>
    <w:rsid w:val="001C4125"/>
    <w:rsid w:val="001C47EF"/>
    <w:rsid w:val="001C6E06"/>
    <w:rsid w:val="001C78D8"/>
    <w:rsid w:val="001C7952"/>
    <w:rsid w:val="001D0599"/>
    <w:rsid w:val="001D0E8F"/>
    <w:rsid w:val="001D15E5"/>
    <w:rsid w:val="001D19E3"/>
    <w:rsid w:val="001D228D"/>
    <w:rsid w:val="001D3AC6"/>
    <w:rsid w:val="001D3BAE"/>
    <w:rsid w:val="001D62C7"/>
    <w:rsid w:val="001D6EC1"/>
    <w:rsid w:val="001D735B"/>
    <w:rsid w:val="001E06E8"/>
    <w:rsid w:val="001E0D9E"/>
    <w:rsid w:val="001E148D"/>
    <w:rsid w:val="001E14B1"/>
    <w:rsid w:val="001E16CD"/>
    <w:rsid w:val="001E1A3B"/>
    <w:rsid w:val="001E29E1"/>
    <w:rsid w:val="001E43C7"/>
    <w:rsid w:val="001E5CC9"/>
    <w:rsid w:val="001E6998"/>
    <w:rsid w:val="001E7D09"/>
    <w:rsid w:val="001E7DD2"/>
    <w:rsid w:val="001F007A"/>
    <w:rsid w:val="001F03DD"/>
    <w:rsid w:val="001F0E7E"/>
    <w:rsid w:val="001F0FA3"/>
    <w:rsid w:val="001F11DF"/>
    <w:rsid w:val="001F1C9A"/>
    <w:rsid w:val="001F28D0"/>
    <w:rsid w:val="001F2BCE"/>
    <w:rsid w:val="001F3073"/>
    <w:rsid w:val="001F33EB"/>
    <w:rsid w:val="001F356D"/>
    <w:rsid w:val="001F493E"/>
    <w:rsid w:val="001F5F1F"/>
    <w:rsid w:val="001F66CE"/>
    <w:rsid w:val="001F6FF2"/>
    <w:rsid w:val="001F75F3"/>
    <w:rsid w:val="001F7CD1"/>
    <w:rsid w:val="00200790"/>
    <w:rsid w:val="00200D0B"/>
    <w:rsid w:val="00200FD9"/>
    <w:rsid w:val="002013F8"/>
    <w:rsid w:val="00201B6A"/>
    <w:rsid w:val="00202969"/>
    <w:rsid w:val="00202C14"/>
    <w:rsid w:val="00202F87"/>
    <w:rsid w:val="0020536A"/>
    <w:rsid w:val="002053E6"/>
    <w:rsid w:val="00207E7C"/>
    <w:rsid w:val="00210072"/>
    <w:rsid w:val="00210787"/>
    <w:rsid w:val="00210993"/>
    <w:rsid w:val="00210C23"/>
    <w:rsid w:val="002112BE"/>
    <w:rsid w:val="00211AEF"/>
    <w:rsid w:val="00211F54"/>
    <w:rsid w:val="0021333A"/>
    <w:rsid w:val="002134B4"/>
    <w:rsid w:val="002150C9"/>
    <w:rsid w:val="00217AD6"/>
    <w:rsid w:val="00220E11"/>
    <w:rsid w:val="002215D9"/>
    <w:rsid w:val="00221820"/>
    <w:rsid w:val="002239A0"/>
    <w:rsid w:val="00223F0E"/>
    <w:rsid w:val="00225983"/>
    <w:rsid w:val="00226996"/>
    <w:rsid w:val="00230608"/>
    <w:rsid w:val="00230AF8"/>
    <w:rsid w:val="0023211F"/>
    <w:rsid w:val="00232D84"/>
    <w:rsid w:val="00232FF5"/>
    <w:rsid w:val="0023324B"/>
    <w:rsid w:val="00235998"/>
    <w:rsid w:val="002361A9"/>
    <w:rsid w:val="0024046E"/>
    <w:rsid w:val="00240CAA"/>
    <w:rsid w:val="00241189"/>
    <w:rsid w:val="002412A1"/>
    <w:rsid w:val="00242C2F"/>
    <w:rsid w:val="00243217"/>
    <w:rsid w:val="00243681"/>
    <w:rsid w:val="00243C3C"/>
    <w:rsid w:val="00244D4F"/>
    <w:rsid w:val="002456FC"/>
    <w:rsid w:val="00246950"/>
    <w:rsid w:val="00246F9A"/>
    <w:rsid w:val="00250AFA"/>
    <w:rsid w:val="00251069"/>
    <w:rsid w:val="0025170C"/>
    <w:rsid w:val="00252A53"/>
    <w:rsid w:val="00252DD6"/>
    <w:rsid w:val="00253132"/>
    <w:rsid w:val="00254411"/>
    <w:rsid w:val="00254612"/>
    <w:rsid w:val="00254686"/>
    <w:rsid w:val="00254A3D"/>
    <w:rsid w:val="002557A2"/>
    <w:rsid w:val="00255EF7"/>
    <w:rsid w:val="0025681C"/>
    <w:rsid w:val="00256C7D"/>
    <w:rsid w:val="00257176"/>
    <w:rsid w:val="002572CE"/>
    <w:rsid w:val="00257D0F"/>
    <w:rsid w:val="002601F5"/>
    <w:rsid w:val="00260B15"/>
    <w:rsid w:val="00260EBA"/>
    <w:rsid w:val="00261043"/>
    <w:rsid w:val="00261B05"/>
    <w:rsid w:val="00262BDF"/>
    <w:rsid w:val="002640E9"/>
    <w:rsid w:val="00265D76"/>
    <w:rsid w:val="00266BB1"/>
    <w:rsid w:val="00267848"/>
    <w:rsid w:val="0026787D"/>
    <w:rsid w:val="00267C49"/>
    <w:rsid w:val="00267CA8"/>
    <w:rsid w:val="0027150B"/>
    <w:rsid w:val="0027170C"/>
    <w:rsid w:val="0027192F"/>
    <w:rsid w:val="00271BE9"/>
    <w:rsid w:val="002722DE"/>
    <w:rsid w:val="002723F9"/>
    <w:rsid w:val="00272C31"/>
    <w:rsid w:val="00273385"/>
    <w:rsid w:val="002760D1"/>
    <w:rsid w:val="00276E07"/>
    <w:rsid w:val="00277C7E"/>
    <w:rsid w:val="00280E5E"/>
    <w:rsid w:val="002810FA"/>
    <w:rsid w:val="002816E3"/>
    <w:rsid w:val="00281919"/>
    <w:rsid w:val="002819B2"/>
    <w:rsid w:val="00282DDB"/>
    <w:rsid w:val="00282E32"/>
    <w:rsid w:val="00283F3A"/>
    <w:rsid w:val="002842A0"/>
    <w:rsid w:val="002843BB"/>
    <w:rsid w:val="00284492"/>
    <w:rsid w:val="00284E3C"/>
    <w:rsid w:val="0028531F"/>
    <w:rsid w:val="002855E1"/>
    <w:rsid w:val="00285E33"/>
    <w:rsid w:val="00286357"/>
    <w:rsid w:val="00286E4A"/>
    <w:rsid w:val="002870DA"/>
    <w:rsid w:val="002876D0"/>
    <w:rsid w:val="00287B2D"/>
    <w:rsid w:val="00290583"/>
    <w:rsid w:val="0029131D"/>
    <w:rsid w:val="002913C1"/>
    <w:rsid w:val="00291F7B"/>
    <w:rsid w:val="002924DA"/>
    <w:rsid w:val="0029277A"/>
    <w:rsid w:val="00294597"/>
    <w:rsid w:val="002949BD"/>
    <w:rsid w:val="00297508"/>
    <w:rsid w:val="00297A59"/>
    <w:rsid w:val="002A18A2"/>
    <w:rsid w:val="002A2D82"/>
    <w:rsid w:val="002A2E22"/>
    <w:rsid w:val="002A350C"/>
    <w:rsid w:val="002A36B5"/>
    <w:rsid w:val="002A4BDC"/>
    <w:rsid w:val="002A51F0"/>
    <w:rsid w:val="002A5609"/>
    <w:rsid w:val="002A65F9"/>
    <w:rsid w:val="002A682B"/>
    <w:rsid w:val="002B002E"/>
    <w:rsid w:val="002B2918"/>
    <w:rsid w:val="002B2D6C"/>
    <w:rsid w:val="002B3488"/>
    <w:rsid w:val="002B358E"/>
    <w:rsid w:val="002B3CDE"/>
    <w:rsid w:val="002B403B"/>
    <w:rsid w:val="002B4659"/>
    <w:rsid w:val="002B510F"/>
    <w:rsid w:val="002B5166"/>
    <w:rsid w:val="002B6AE2"/>
    <w:rsid w:val="002B6C69"/>
    <w:rsid w:val="002C0F3A"/>
    <w:rsid w:val="002C27FF"/>
    <w:rsid w:val="002C2C86"/>
    <w:rsid w:val="002C31CB"/>
    <w:rsid w:val="002C3C86"/>
    <w:rsid w:val="002C42FF"/>
    <w:rsid w:val="002C433C"/>
    <w:rsid w:val="002C449E"/>
    <w:rsid w:val="002C4ECB"/>
    <w:rsid w:val="002C5A00"/>
    <w:rsid w:val="002C5AF6"/>
    <w:rsid w:val="002C5E1E"/>
    <w:rsid w:val="002C64DC"/>
    <w:rsid w:val="002C71B3"/>
    <w:rsid w:val="002C7D08"/>
    <w:rsid w:val="002D0088"/>
    <w:rsid w:val="002D043A"/>
    <w:rsid w:val="002D2248"/>
    <w:rsid w:val="002D3B73"/>
    <w:rsid w:val="002D3E9A"/>
    <w:rsid w:val="002D4548"/>
    <w:rsid w:val="002D511A"/>
    <w:rsid w:val="002D66E9"/>
    <w:rsid w:val="002D763D"/>
    <w:rsid w:val="002D77A7"/>
    <w:rsid w:val="002E0154"/>
    <w:rsid w:val="002E1810"/>
    <w:rsid w:val="002E36A3"/>
    <w:rsid w:val="002E3B8C"/>
    <w:rsid w:val="002E424F"/>
    <w:rsid w:val="002E757C"/>
    <w:rsid w:val="002F093C"/>
    <w:rsid w:val="002F0FC8"/>
    <w:rsid w:val="002F18FD"/>
    <w:rsid w:val="002F30A3"/>
    <w:rsid w:val="002F37CF"/>
    <w:rsid w:val="002F3E61"/>
    <w:rsid w:val="002F4031"/>
    <w:rsid w:val="002F444E"/>
    <w:rsid w:val="002F4AFE"/>
    <w:rsid w:val="002F5627"/>
    <w:rsid w:val="002F5C55"/>
    <w:rsid w:val="002F6352"/>
    <w:rsid w:val="002F6531"/>
    <w:rsid w:val="002F67C9"/>
    <w:rsid w:val="002F6BC8"/>
    <w:rsid w:val="002F6DA3"/>
    <w:rsid w:val="002F7A82"/>
    <w:rsid w:val="002F7C12"/>
    <w:rsid w:val="003002CA"/>
    <w:rsid w:val="0030030C"/>
    <w:rsid w:val="00300EEF"/>
    <w:rsid w:val="00302488"/>
    <w:rsid w:val="00302CF3"/>
    <w:rsid w:val="00303069"/>
    <w:rsid w:val="0030401B"/>
    <w:rsid w:val="0030414B"/>
    <w:rsid w:val="00304257"/>
    <w:rsid w:val="003044F5"/>
    <w:rsid w:val="00305019"/>
    <w:rsid w:val="00305FA1"/>
    <w:rsid w:val="00306327"/>
    <w:rsid w:val="00306995"/>
    <w:rsid w:val="00306A8C"/>
    <w:rsid w:val="00306C3B"/>
    <w:rsid w:val="00306DF3"/>
    <w:rsid w:val="0030725A"/>
    <w:rsid w:val="0030767A"/>
    <w:rsid w:val="00307CC8"/>
    <w:rsid w:val="00311E35"/>
    <w:rsid w:val="00312FE2"/>
    <w:rsid w:val="00313B4D"/>
    <w:rsid w:val="00315375"/>
    <w:rsid w:val="003166BE"/>
    <w:rsid w:val="00316729"/>
    <w:rsid w:val="00317DE2"/>
    <w:rsid w:val="00323252"/>
    <w:rsid w:val="00323A2F"/>
    <w:rsid w:val="0032536A"/>
    <w:rsid w:val="00325776"/>
    <w:rsid w:val="00327119"/>
    <w:rsid w:val="00327178"/>
    <w:rsid w:val="003274FA"/>
    <w:rsid w:val="0033071D"/>
    <w:rsid w:val="00330EF0"/>
    <w:rsid w:val="00331505"/>
    <w:rsid w:val="00331F7A"/>
    <w:rsid w:val="00331F9C"/>
    <w:rsid w:val="00332765"/>
    <w:rsid w:val="003330EC"/>
    <w:rsid w:val="0033338E"/>
    <w:rsid w:val="00333700"/>
    <w:rsid w:val="0033419D"/>
    <w:rsid w:val="003344FD"/>
    <w:rsid w:val="003356F9"/>
    <w:rsid w:val="00335A9A"/>
    <w:rsid w:val="0033692A"/>
    <w:rsid w:val="003373D1"/>
    <w:rsid w:val="00337F82"/>
    <w:rsid w:val="0034206D"/>
    <w:rsid w:val="003434F5"/>
    <w:rsid w:val="0034368B"/>
    <w:rsid w:val="00344490"/>
    <w:rsid w:val="00344F16"/>
    <w:rsid w:val="003468DA"/>
    <w:rsid w:val="003519FD"/>
    <w:rsid w:val="00351A57"/>
    <w:rsid w:val="00351DAC"/>
    <w:rsid w:val="00352353"/>
    <w:rsid w:val="003525F3"/>
    <w:rsid w:val="003552B0"/>
    <w:rsid w:val="003554F9"/>
    <w:rsid w:val="00355A5A"/>
    <w:rsid w:val="00355AEC"/>
    <w:rsid w:val="00356681"/>
    <w:rsid w:val="0035733C"/>
    <w:rsid w:val="00357A56"/>
    <w:rsid w:val="00357C40"/>
    <w:rsid w:val="0036024E"/>
    <w:rsid w:val="00364067"/>
    <w:rsid w:val="00364236"/>
    <w:rsid w:val="00364740"/>
    <w:rsid w:val="00364B14"/>
    <w:rsid w:val="003652AE"/>
    <w:rsid w:val="003654AA"/>
    <w:rsid w:val="00365F0F"/>
    <w:rsid w:val="00366136"/>
    <w:rsid w:val="00366791"/>
    <w:rsid w:val="0036686E"/>
    <w:rsid w:val="0036719F"/>
    <w:rsid w:val="00370997"/>
    <w:rsid w:val="00371509"/>
    <w:rsid w:val="00371BCF"/>
    <w:rsid w:val="00371CC3"/>
    <w:rsid w:val="00372092"/>
    <w:rsid w:val="0037228E"/>
    <w:rsid w:val="003732E5"/>
    <w:rsid w:val="0037395B"/>
    <w:rsid w:val="003746B8"/>
    <w:rsid w:val="00375105"/>
    <w:rsid w:val="003757CA"/>
    <w:rsid w:val="00376996"/>
    <w:rsid w:val="00376A19"/>
    <w:rsid w:val="00376B19"/>
    <w:rsid w:val="003779ED"/>
    <w:rsid w:val="00377A86"/>
    <w:rsid w:val="00377CBE"/>
    <w:rsid w:val="003800CF"/>
    <w:rsid w:val="003804DA"/>
    <w:rsid w:val="00381184"/>
    <w:rsid w:val="00381998"/>
    <w:rsid w:val="00385084"/>
    <w:rsid w:val="0038645E"/>
    <w:rsid w:val="00386639"/>
    <w:rsid w:val="003879CF"/>
    <w:rsid w:val="0039000E"/>
    <w:rsid w:val="00390D5C"/>
    <w:rsid w:val="0039141C"/>
    <w:rsid w:val="00391D9B"/>
    <w:rsid w:val="003920C8"/>
    <w:rsid w:val="00392280"/>
    <w:rsid w:val="00392557"/>
    <w:rsid w:val="00392700"/>
    <w:rsid w:val="00392DDA"/>
    <w:rsid w:val="00392FDD"/>
    <w:rsid w:val="00393862"/>
    <w:rsid w:val="00393998"/>
    <w:rsid w:val="003941EE"/>
    <w:rsid w:val="00394AD7"/>
    <w:rsid w:val="003958B1"/>
    <w:rsid w:val="00395EA0"/>
    <w:rsid w:val="0039616C"/>
    <w:rsid w:val="00396409"/>
    <w:rsid w:val="003969F2"/>
    <w:rsid w:val="0039724F"/>
    <w:rsid w:val="003975CB"/>
    <w:rsid w:val="00397FF7"/>
    <w:rsid w:val="003A03CB"/>
    <w:rsid w:val="003A0637"/>
    <w:rsid w:val="003A169D"/>
    <w:rsid w:val="003A1907"/>
    <w:rsid w:val="003A1CD2"/>
    <w:rsid w:val="003A1F9F"/>
    <w:rsid w:val="003A451D"/>
    <w:rsid w:val="003A7049"/>
    <w:rsid w:val="003A7199"/>
    <w:rsid w:val="003A7269"/>
    <w:rsid w:val="003A7A1D"/>
    <w:rsid w:val="003A7BCF"/>
    <w:rsid w:val="003A7F20"/>
    <w:rsid w:val="003B095C"/>
    <w:rsid w:val="003B1330"/>
    <w:rsid w:val="003B2488"/>
    <w:rsid w:val="003B42E0"/>
    <w:rsid w:val="003B5341"/>
    <w:rsid w:val="003B57F5"/>
    <w:rsid w:val="003B5CD5"/>
    <w:rsid w:val="003B63C2"/>
    <w:rsid w:val="003B6C6D"/>
    <w:rsid w:val="003B7514"/>
    <w:rsid w:val="003B798F"/>
    <w:rsid w:val="003B7CAC"/>
    <w:rsid w:val="003C00B9"/>
    <w:rsid w:val="003C103F"/>
    <w:rsid w:val="003C11B4"/>
    <w:rsid w:val="003C265B"/>
    <w:rsid w:val="003C26C4"/>
    <w:rsid w:val="003C3838"/>
    <w:rsid w:val="003C4597"/>
    <w:rsid w:val="003C6459"/>
    <w:rsid w:val="003C770C"/>
    <w:rsid w:val="003C799A"/>
    <w:rsid w:val="003C7FEA"/>
    <w:rsid w:val="003D0E72"/>
    <w:rsid w:val="003D0E96"/>
    <w:rsid w:val="003D5101"/>
    <w:rsid w:val="003D5D3F"/>
    <w:rsid w:val="003D5E98"/>
    <w:rsid w:val="003D66B6"/>
    <w:rsid w:val="003D7A66"/>
    <w:rsid w:val="003E05BE"/>
    <w:rsid w:val="003E0E15"/>
    <w:rsid w:val="003E1B6F"/>
    <w:rsid w:val="003E1DAE"/>
    <w:rsid w:val="003E204B"/>
    <w:rsid w:val="003E2551"/>
    <w:rsid w:val="003E2CCF"/>
    <w:rsid w:val="003E40EF"/>
    <w:rsid w:val="003E4865"/>
    <w:rsid w:val="003E4AA8"/>
    <w:rsid w:val="003F013C"/>
    <w:rsid w:val="003F10C1"/>
    <w:rsid w:val="003F190B"/>
    <w:rsid w:val="003F22D3"/>
    <w:rsid w:val="003F245E"/>
    <w:rsid w:val="003F267E"/>
    <w:rsid w:val="003F3DD2"/>
    <w:rsid w:val="003F5822"/>
    <w:rsid w:val="003F58CC"/>
    <w:rsid w:val="003F5F31"/>
    <w:rsid w:val="003F6284"/>
    <w:rsid w:val="003F6BBB"/>
    <w:rsid w:val="003F6BCF"/>
    <w:rsid w:val="00400B46"/>
    <w:rsid w:val="004023B3"/>
    <w:rsid w:val="00402490"/>
    <w:rsid w:val="00403C1D"/>
    <w:rsid w:val="00404505"/>
    <w:rsid w:val="00404EE1"/>
    <w:rsid w:val="004056FC"/>
    <w:rsid w:val="00405866"/>
    <w:rsid w:val="00405D2B"/>
    <w:rsid w:val="00406E9B"/>
    <w:rsid w:val="00407638"/>
    <w:rsid w:val="004120BB"/>
    <w:rsid w:val="00412713"/>
    <w:rsid w:val="00413495"/>
    <w:rsid w:val="0041352B"/>
    <w:rsid w:val="0041422A"/>
    <w:rsid w:val="00414302"/>
    <w:rsid w:val="00414560"/>
    <w:rsid w:val="00414A06"/>
    <w:rsid w:val="004164F2"/>
    <w:rsid w:val="004165D8"/>
    <w:rsid w:val="0041675B"/>
    <w:rsid w:val="00416863"/>
    <w:rsid w:val="004169AD"/>
    <w:rsid w:val="00417078"/>
    <w:rsid w:val="00417AF2"/>
    <w:rsid w:val="00417D4C"/>
    <w:rsid w:val="00420A0C"/>
    <w:rsid w:val="00421664"/>
    <w:rsid w:val="00421844"/>
    <w:rsid w:val="00421921"/>
    <w:rsid w:val="00421993"/>
    <w:rsid w:val="004231F0"/>
    <w:rsid w:val="004245CC"/>
    <w:rsid w:val="00424EB3"/>
    <w:rsid w:val="00424FCD"/>
    <w:rsid w:val="0042665C"/>
    <w:rsid w:val="00430730"/>
    <w:rsid w:val="00432E0F"/>
    <w:rsid w:val="004330EB"/>
    <w:rsid w:val="00434AC0"/>
    <w:rsid w:val="00434D50"/>
    <w:rsid w:val="00436703"/>
    <w:rsid w:val="00436F37"/>
    <w:rsid w:val="004379C8"/>
    <w:rsid w:val="00440EDB"/>
    <w:rsid w:val="00441BB4"/>
    <w:rsid w:val="00441F52"/>
    <w:rsid w:val="00443366"/>
    <w:rsid w:val="004437B9"/>
    <w:rsid w:val="0044488D"/>
    <w:rsid w:val="00444A0B"/>
    <w:rsid w:val="004460D2"/>
    <w:rsid w:val="0045001D"/>
    <w:rsid w:val="00450D85"/>
    <w:rsid w:val="0045115D"/>
    <w:rsid w:val="0045129B"/>
    <w:rsid w:val="004514AC"/>
    <w:rsid w:val="00453993"/>
    <w:rsid w:val="00453D8C"/>
    <w:rsid w:val="00454915"/>
    <w:rsid w:val="00455658"/>
    <w:rsid w:val="00456595"/>
    <w:rsid w:val="004573BB"/>
    <w:rsid w:val="004576F6"/>
    <w:rsid w:val="00457A8D"/>
    <w:rsid w:val="00457B49"/>
    <w:rsid w:val="00457FB0"/>
    <w:rsid w:val="0046042B"/>
    <w:rsid w:val="004621D0"/>
    <w:rsid w:val="004624AA"/>
    <w:rsid w:val="0046283E"/>
    <w:rsid w:val="00462EA1"/>
    <w:rsid w:val="00463634"/>
    <w:rsid w:val="004637CC"/>
    <w:rsid w:val="00463A9C"/>
    <w:rsid w:val="0046455E"/>
    <w:rsid w:val="00464C6A"/>
    <w:rsid w:val="00465E3B"/>
    <w:rsid w:val="004667A5"/>
    <w:rsid w:val="00466B12"/>
    <w:rsid w:val="004672D0"/>
    <w:rsid w:val="004677FF"/>
    <w:rsid w:val="00467964"/>
    <w:rsid w:val="0047034D"/>
    <w:rsid w:val="00470C65"/>
    <w:rsid w:val="00471644"/>
    <w:rsid w:val="0047167C"/>
    <w:rsid w:val="0047178E"/>
    <w:rsid w:val="0047198D"/>
    <w:rsid w:val="00472B4A"/>
    <w:rsid w:val="0047379B"/>
    <w:rsid w:val="00473F10"/>
    <w:rsid w:val="00473F6A"/>
    <w:rsid w:val="00474ADD"/>
    <w:rsid w:val="00474B3E"/>
    <w:rsid w:val="00474FEF"/>
    <w:rsid w:val="00475A38"/>
    <w:rsid w:val="00475C54"/>
    <w:rsid w:val="00476331"/>
    <w:rsid w:val="00476CBF"/>
    <w:rsid w:val="004773F8"/>
    <w:rsid w:val="00477DD1"/>
    <w:rsid w:val="00480118"/>
    <w:rsid w:val="00480437"/>
    <w:rsid w:val="004810C7"/>
    <w:rsid w:val="00481134"/>
    <w:rsid w:val="00482747"/>
    <w:rsid w:val="00483393"/>
    <w:rsid w:val="00484D66"/>
    <w:rsid w:val="004854A7"/>
    <w:rsid w:val="00485FF9"/>
    <w:rsid w:val="00486325"/>
    <w:rsid w:val="00486F93"/>
    <w:rsid w:val="0048747C"/>
    <w:rsid w:val="00487514"/>
    <w:rsid w:val="0048774F"/>
    <w:rsid w:val="00487D5E"/>
    <w:rsid w:val="00490401"/>
    <w:rsid w:val="00490828"/>
    <w:rsid w:val="00490CC9"/>
    <w:rsid w:val="00490EA4"/>
    <w:rsid w:val="0049153F"/>
    <w:rsid w:val="00491ECD"/>
    <w:rsid w:val="00492105"/>
    <w:rsid w:val="00492BEA"/>
    <w:rsid w:val="00492D35"/>
    <w:rsid w:val="00493F44"/>
    <w:rsid w:val="00494386"/>
    <w:rsid w:val="00494696"/>
    <w:rsid w:val="00494E76"/>
    <w:rsid w:val="00495DB6"/>
    <w:rsid w:val="00496E1D"/>
    <w:rsid w:val="00497B72"/>
    <w:rsid w:val="004A1C4C"/>
    <w:rsid w:val="004A1E44"/>
    <w:rsid w:val="004A32BB"/>
    <w:rsid w:val="004A3879"/>
    <w:rsid w:val="004A4866"/>
    <w:rsid w:val="004A4A9C"/>
    <w:rsid w:val="004A5A2E"/>
    <w:rsid w:val="004A6A05"/>
    <w:rsid w:val="004A6F35"/>
    <w:rsid w:val="004A7099"/>
    <w:rsid w:val="004A75A5"/>
    <w:rsid w:val="004B054D"/>
    <w:rsid w:val="004B0C72"/>
    <w:rsid w:val="004B0E87"/>
    <w:rsid w:val="004B1163"/>
    <w:rsid w:val="004B254B"/>
    <w:rsid w:val="004B3422"/>
    <w:rsid w:val="004B3719"/>
    <w:rsid w:val="004B4282"/>
    <w:rsid w:val="004B66CA"/>
    <w:rsid w:val="004B675A"/>
    <w:rsid w:val="004B7044"/>
    <w:rsid w:val="004C057D"/>
    <w:rsid w:val="004C0FA5"/>
    <w:rsid w:val="004C1CA1"/>
    <w:rsid w:val="004C20BF"/>
    <w:rsid w:val="004C231F"/>
    <w:rsid w:val="004C24B9"/>
    <w:rsid w:val="004C2F97"/>
    <w:rsid w:val="004C3285"/>
    <w:rsid w:val="004C3831"/>
    <w:rsid w:val="004C3C6C"/>
    <w:rsid w:val="004C4398"/>
    <w:rsid w:val="004C44C4"/>
    <w:rsid w:val="004C4935"/>
    <w:rsid w:val="004C503A"/>
    <w:rsid w:val="004C5AB9"/>
    <w:rsid w:val="004C6535"/>
    <w:rsid w:val="004C6BF4"/>
    <w:rsid w:val="004C73F4"/>
    <w:rsid w:val="004C7DCC"/>
    <w:rsid w:val="004D1CBD"/>
    <w:rsid w:val="004D3148"/>
    <w:rsid w:val="004D4A53"/>
    <w:rsid w:val="004D69A7"/>
    <w:rsid w:val="004D7B15"/>
    <w:rsid w:val="004E0A6B"/>
    <w:rsid w:val="004E1D65"/>
    <w:rsid w:val="004E46A7"/>
    <w:rsid w:val="004E56E5"/>
    <w:rsid w:val="004E572F"/>
    <w:rsid w:val="004E6656"/>
    <w:rsid w:val="004E7BAD"/>
    <w:rsid w:val="004E7E19"/>
    <w:rsid w:val="004F14A4"/>
    <w:rsid w:val="004F1BF7"/>
    <w:rsid w:val="004F22C3"/>
    <w:rsid w:val="004F3126"/>
    <w:rsid w:val="004F45CA"/>
    <w:rsid w:val="004F487F"/>
    <w:rsid w:val="005007D6"/>
    <w:rsid w:val="00500D35"/>
    <w:rsid w:val="005023E0"/>
    <w:rsid w:val="00502DAD"/>
    <w:rsid w:val="0050322D"/>
    <w:rsid w:val="00503477"/>
    <w:rsid w:val="00503730"/>
    <w:rsid w:val="00503FAA"/>
    <w:rsid w:val="005043D8"/>
    <w:rsid w:val="005046D3"/>
    <w:rsid w:val="00504BD3"/>
    <w:rsid w:val="0050589C"/>
    <w:rsid w:val="00505C11"/>
    <w:rsid w:val="00506351"/>
    <w:rsid w:val="00507E30"/>
    <w:rsid w:val="00511858"/>
    <w:rsid w:val="00512249"/>
    <w:rsid w:val="00512AB8"/>
    <w:rsid w:val="0051494F"/>
    <w:rsid w:val="00515199"/>
    <w:rsid w:val="00515C5F"/>
    <w:rsid w:val="00516FC1"/>
    <w:rsid w:val="005203BA"/>
    <w:rsid w:val="005216AA"/>
    <w:rsid w:val="00522018"/>
    <w:rsid w:val="0052242F"/>
    <w:rsid w:val="005233C9"/>
    <w:rsid w:val="00524DA3"/>
    <w:rsid w:val="00526478"/>
    <w:rsid w:val="00526624"/>
    <w:rsid w:val="00526A98"/>
    <w:rsid w:val="0052704C"/>
    <w:rsid w:val="00527164"/>
    <w:rsid w:val="0053024B"/>
    <w:rsid w:val="0053078F"/>
    <w:rsid w:val="00531599"/>
    <w:rsid w:val="00531802"/>
    <w:rsid w:val="00531CD2"/>
    <w:rsid w:val="005323E6"/>
    <w:rsid w:val="00532E1E"/>
    <w:rsid w:val="00533609"/>
    <w:rsid w:val="0053406E"/>
    <w:rsid w:val="005344ED"/>
    <w:rsid w:val="0053472F"/>
    <w:rsid w:val="005356A3"/>
    <w:rsid w:val="0053633A"/>
    <w:rsid w:val="00536853"/>
    <w:rsid w:val="00536C39"/>
    <w:rsid w:val="005373E8"/>
    <w:rsid w:val="00537ABB"/>
    <w:rsid w:val="00541463"/>
    <w:rsid w:val="00542DE4"/>
    <w:rsid w:val="005436B0"/>
    <w:rsid w:val="00543F83"/>
    <w:rsid w:val="00544246"/>
    <w:rsid w:val="00544267"/>
    <w:rsid w:val="00545541"/>
    <w:rsid w:val="00545931"/>
    <w:rsid w:val="005466F2"/>
    <w:rsid w:val="0054736D"/>
    <w:rsid w:val="00547667"/>
    <w:rsid w:val="00550800"/>
    <w:rsid w:val="00550FEE"/>
    <w:rsid w:val="00551D02"/>
    <w:rsid w:val="0055279F"/>
    <w:rsid w:val="00552BB4"/>
    <w:rsid w:val="00553D04"/>
    <w:rsid w:val="0055416E"/>
    <w:rsid w:val="005544A0"/>
    <w:rsid w:val="00554ABD"/>
    <w:rsid w:val="00555782"/>
    <w:rsid w:val="00555839"/>
    <w:rsid w:val="005613C1"/>
    <w:rsid w:val="005614B2"/>
    <w:rsid w:val="00561A7B"/>
    <w:rsid w:val="00562015"/>
    <w:rsid w:val="005620AD"/>
    <w:rsid w:val="00562173"/>
    <w:rsid w:val="005633F7"/>
    <w:rsid w:val="00563880"/>
    <w:rsid w:val="00563A4F"/>
    <w:rsid w:val="00563E44"/>
    <w:rsid w:val="00564698"/>
    <w:rsid w:val="00564A5D"/>
    <w:rsid w:val="00564AFC"/>
    <w:rsid w:val="00564F37"/>
    <w:rsid w:val="0056536A"/>
    <w:rsid w:val="00566512"/>
    <w:rsid w:val="00566A9A"/>
    <w:rsid w:val="00566E5E"/>
    <w:rsid w:val="00570586"/>
    <w:rsid w:val="00570A58"/>
    <w:rsid w:val="00570B66"/>
    <w:rsid w:val="00570D54"/>
    <w:rsid w:val="00571BCE"/>
    <w:rsid w:val="00571D38"/>
    <w:rsid w:val="00572660"/>
    <w:rsid w:val="00573ACA"/>
    <w:rsid w:val="00573C55"/>
    <w:rsid w:val="00573D7A"/>
    <w:rsid w:val="0057413D"/>
    <w:rsid w:val="00574CA7"/>
    <w:rsid w:val="00575374"/>
    <w:rsid w:val="00576483"/>
    <w:rsid w:val="00577280"/>
    <w:rsid w:val="005778A7"/>
    <w:rsid w:val="00580211"/>
    <w:rsid w:val="0058048D"/>
    <w:rsid w:val="00580920"/>
    <w:rsid w:val="0058142F"/>
    <w:rsid w:val="00581CD5"/>
    <w:rsid w:val="00581EB7"/>
    <w:rsid w:val="00582AD7"/>
    <w:rsid w:val="005831E5"/>
    <w:rsid w:val="005840B8"/>
    <w:rsid w:val="00584CA7"/>
    <w:rsid w:val="00585189"/>
    <w:rsid w:val="0058607D"/>
    <w:rsid w:val="005860F2"/>
    <w:rsid w:val="00586977"/>
    <w:rsid w:val="005879F1"/>
    <w:rsid w:val="00590331"/>
    <w:rsid w:val="00590734"/>
    <w:rsid w:val="005908C8"/>
    <w:rsid w:val="00590FB9"/>
    <w:rsid w:val="00592257"/>
    <w:rsid w:val="00592594"/>
    <w:rsid w:val="0059308C"/>
    <w:rsid w:val="005938C1"/>
    <w:rsid w:val="00593ACB"/>
    <w:rsid w:val="00593DDF"/>
    <w:rsid w:val="0059515B"/>
    <w:rsid w:val="00596E4D"/>
    <w:rsid w:val="00597790"/>
    <w:rsid w:val="00597FA5"/>
    <w:rsid w:val="005A08D2"/>
    <w:rsid w:val="005A0F67"/>
    <w:rsid w:val="005A149B"/>
    <w:rsid w:val="005A194C"/>
    <w:rsid w:val="005A21DB"/>
    <w:rsid w:val="005A30A2"/>
    <w:rsid w:val="005A3556"/>
    <w:rsid w:val="005A38B4"/>
    <w:rsid w:val="005A3D43"/>
    <w:rsid w:val="005A413A"/>
    <w:rsid w:val="005A438B"/>
    <w:rsid w:val="005A43D9"/>
    <w:rsid w:val="005A451E"/>
    <w:rsid w:val="005A56C0"/>
    <w:rsid w:val="005A74DD"/>
    <w:rsid w:val="005A7F4F"/>
    <w:rsid w:val="005B0AF6"/>
    <w:rsid w:val="005B0C9E"/>
    <w:rsid w:val="005B0DB9"/>
    <w:rsid w:val="005B0EC8"/>
    <w:rsid w:val="005B10ED"/>
    <w:rsid w:val="005B1DAE"/>
    <w:rsid w:val="005B261B"/>
    <w:rsid w:val="005B2812"/>
    <w:rsid w:val="005B2D8E"/>
    <w:rsid w:val="005B35E9"/>
    <w:rsid w:val="005B3D53"/>
    <w:rsid w:val="005B4D40"/>
    <w:rsid w:val="005B5FAD"/>
    <w:rsid w:val="005B73E8"/>
    <w:rsid w:val="005B760B"/>
    <w:rsid w:val="005B77D3"/>
    <w:rsid w:val="005C2196"/>
    <w:rsid w:val="005C2CB1"/>
    <w:rsid w:val="005C330E"/>
    <w:rsid w:val="005C34AF"/>
    <w:rsid w:val="005C37B2"/>
    <w:rsid w:val="005C3EB7"/>
    <w:rsid w:val="005C438A"/>
    <w:rsid w:val="005C4A86"/>
    <w:rsid w:val="005C53F3"/>
    <w:rsid w:val="005C64D6"/>
    <w:rsid w:val="005C65A4"/>
    <w:rsid w:val="005C6678"/>
    <w:rsid w:val="005C66B5"/>
    <w:rsid w:val="005C7882"/>
    <w:rsid w:val="005D1D00"/>
    <w:rsid w:val="005D21C8"/>
    <w:rsid w:val="005D2321"/>
    <w:rsid w:val="005D2795"/>
    <w:rsid w:val="005D2DC7"/>
    <w:rsid w:val="005D3ED6"/>
    <w:rsid w:val="005D44DD"/>
    <w:rsid w:val="005E2D6D"/>
    <w:rsid w:val="005E30B2"/>
    <w:rsid w:val="005E3555"/>
    <w:rsid w:val="005E3A01"/>
    <w:rsid w:val="005E3B43"/>
    <w:rsid w:val="005E4D33"/>
    <w:rsid w:val="005E6FD3"/>
    <w:rsid w:val="005F0568"/>
    <w:rsid w:val="005F0B65"/>
    <w:rsid w:val="005F0C18"/>
    <w:rsid w:val="005F22EA"/>
    <w:rsid w:val="005F398B"/>
    <w:rsid w:val="005F3C92"/>
    <w:rsid w:val="005F40B9"/>
    <w:rsid w:val="005F4318"/>
    <w:rsid w:val="005F4410"/>
    <w:rsid w:val="005F452C"/>
    <w:rsid w:val="005F49ED"/>
    <w:rsid w:val="005F5590"/>
    <w:rsid w:val="005F5E19"/>
    <w:rsid w:val="005F6151"/>
    <w:rsid w:val="005F6180"/>
    <w:rsid w:val="005F68E1"/>
    <w:rsid w:val="005F6D88"/>
    <w:rsid w:val="005F726F"/>
    <w:rsid w:val="005F7E10"/>
    <w:rsid w:val="006009B3"/>
    <w:rsid w:val="00601076"/>
    <w:rsid w:val="0060178D"/>
    <w:rsid w:val="00601C76"/>
    <w:rsid w:val="00602799"/>
    <w:rsid w:val="00603474"/>
    <w:rsid w:val="00603771"/>
    <w:rsid w:val="006043EB"/>
    <w:rsid w:val="00604539"/>
    <w:rsid w:val="00604548"/>
    <w:rsid w:val="00604EFF"/>
    <w:rsid w:val="00605354"/>
    <w:rsid w:val="00605365"/>
    <w:rsid w:val="00606DFA"/>
    <w:rsid w:val="0060701E"/>
    <w:rsid w:val="006077C7"/>
    <w:rsid w:val="00607802"/>
    <w:rsid w:val="006078BC"/>
    <w:rsid w:val="006119CE"/>
    <w:rsid w:val="0061309F"/>
    <w:rsid w:val="006131FD"/>
    <w:rsid w:val="00613E96"/>
    <w:rsid w:val="00614298"/>
    <w:rsid w:val="00614D04"/>
    <w:rsid w:val="00615B2D"/>
    <w:rsid w:val="00616132"/>
    <w:rsid w:val="00616585"/>
    <w:rsid w:val="00616D62"/>
    <w:rsid w:val="0061750A"/>
    <w:rsid w:val="00617B25"/>
    <w:rsid w:val="006202D4"/>
    <w:rsid w:val="00621473"/>
    <w:rsid w:val="00621A15"/>
    <w:rsid w:val="00622BAA"/>
    <w:rsid w:val="00622D5D"/>
    <w:rsid w:val="00626772"/>
    <w:rsid w:val="006270AE"/>
    <w:rsid w:val="006306D7"/>
    <w:rsid w:val="006319F4"/>
    <w:rsid w:val="00633A4C"/>
    <w:rsid w:val="0063465A"/>
    <w:rsid w:val="0063471A"/>
    <w:rsid w:val="0063504E"/>
    <w:rsid w:val="006355E3"/>
    <w:rsid w:val="0063586D"/>
    <w:rsid w:val="006378F0"/>
    <w:rsid w:val="006400C6"/>
    <w:rsid w:val="00640BEC"/>
    <w:rsid w:val="00642356"/>
    <w:rsid w:val="00642C7A"/>
    <w:rsid w:val="00642D8F"/>
    <w:rsid w:val="00643313"/>
    <w:rsid w:val="00643B1E"/>
    <w:rsid w:val="00643DF2"/>
    <w:rsid w:val="0064454F"/>
    <w:rsid w:val="00644DBA"/>
    <w:rsid w:val="006451D3"/>
    <w:rsid w:val="00645758"/>
    <w:rsid w:val="006462AC"/>
    <w:rsid w:val="006469AC"/>
    <w:rsid w:val="00646B37"/>
    <w:rsid w:val="00646BCD"/>
    <w:rsid w:val="00647979"/>
    <w:rsid w:val="00650477"/>
    <w:rsid w:val="006507E4"/>
    <w:rsid w:val="00650A38"/>
    <w:rsid w:val="00650AAD"/>
    <w:rsid w:val="00650ECF"/>
    <w:rsid w:val="00652283"/>
    <w:rsid w:val="0065269E"/>
    <w:rsid w:val="006526D0"/>
    <w:rsid w:val="006535F7"/>
    <w:rsid w:val="006543A3"/>
    <w:rsid w:val="006547B2"/>
    <w:rsid w:val="00655FD9"/>
    <w:rsid w:val="00656460"/>
    <w:rsid w:val="00656FC9"/>
    <w:rsid w:val="00657523"/>
    <w:rsid w:val="0065780D"/>
    <w:rsid w:val="00657DCE"/>
    <w:rsid w:val="00660C8C"/>
    <w:rsid w:val="00660D59"/>
    <w:rsid w:val="00661F23"/>
    <w:rsid w:val="006624BE"/>
    <w:rsid w:val="00662BB0"/>
    <w:rsid w:val="00662C52"/>
    <w:rsid w:val="00662D34"/>
    <w:rsid w:val="006634CE"/>
    <w:rsid w:val="00663BE6"/>
    <w:rsid w:val="00664AEC"/>
    <w:rsid w:val="0066596E"/>
    <w:rsid w:val="00665A8F"/>
    <w:rsid w:val="00666EF0"/>
    <w:rsid w:val="006704C8"/>
    <w:rsid w:val="006705DD"/>
    <w:rsid w:val="006711D9"/>
    <w:rsid w:val="006712CB"/>
    <w:rsid w:val="00671DA6"/>
    <w:rsid w:val="0067212F"/>
    <w:rsid w:val="00672285"/>
    <w:rsid w:val="00672793"/>
    <w:rsid w:val="006728DE"/>
    <w:rsid w:val="00672F39"/>
    <w:rsid w:val="00673612"/>
    <w:rsid w:val="00674D44"/>
    <w:rsid w:val="00675E1D"/>
    <w:rsid w:val="00675E6F"/>
    <w:rsid w:val="0067601A"/>
    <w:rsid w:val="006770F8"/>
    <w:rsid w:val="00677E8C"/>
    <w:rsid w:val="006802E6"/>
    <w:rsid w:val="00680BB3"/>
    <w:rsid w:val="00681437"/>
    <w:rsid w:val="00681A83"/>
    <w:rsid w:val="00681CD4"/>
    <w:rsid w:val="006820B0"/>
    <w:rsid w:val="00683C47"/>
    <w:rsid w:val="00685119"/>
    <w:rsid w:val="006854CC"/>
    <w:rsid w:val="00686988"/>
    <w:rsid w:val="006870B1"/>
    <w:rsid w:val="00687CC7"/>
    <w:rsid w:val="00690655"/>
    <w:rsid w:val="00690B06"/>
    <w:rsid w:val="00690BBA"/>
    <w:rsid w:val="00691637"/>
    <w:rsid w:val="00692CB4"/>
    <w:rsid w:val="00693A67"/>
    <w:rsid w:val="0069748D"/>
    <w:rsid w:val="0069761D"/>
    <w:rsid w:val="006A030F"/>
    <w:rsid w:val="006A0A63"/>
    <w:rsid w:val="006A12DD"/>
    <w:rsid w:val="006A3CEF"/>
    <w:rsid w:val="006A3E45"/>
    <w:rsid w:val="006A5210"/>
    <w:rsid w:val="006A5CA0"/>
    <w:rsid w:val="006A5FEB"/>
    <w:rsid w:val="006A62A2"/>
    <w:rsid w:val="006A75EC"/>
    <w:rsid w:val="006A7D23"/>
    <w:rsid w:val="006B0528"/>
    <w:rsid w:val="006B0D15"/>
    <w:rsid w:val="006B18C6"/>
    <w:rsid w:val="006B1EF0"/>
    <w:rsid w:val="006B1F56"/>
    <w:rsid w:val="006B3466"/>
    <w:rsid w:val="006B35CC"/>
    <w:rsid w:val="006B3EC3"/>
    <w:rsid w:val="006B52CA"/>
    <w:rsid w:val="006B5D24"/>
    <w:rsid w:val="006C02A5"/>
    <w:rsid w:val="006C0B12"/>
    <w:rsid w:val="006C17C6"/>
    <w:rsid w:val="006C193E"/>
    <w:rsid w:val="006C1EDE"/>
    <w:rsid w:val="006C281D"/>
    <w:rsid w:val="006C3197"/>
    <w:rsid w:val="006C50CF"/>
    <w:rsid w:val="006C5440"/>
    <w:rsid w:val="006C637B"/>
    <w:rsid w:val="006C6DAC"/>
    <w:rsid w:val="006C7A51"/>
    <w:rsid w:val="006D0159"/>
    <w:rsid w:val="006D103A"/>
    <w:rsid w:val="006D116F"/>
    <w:rsid w:val="006D12E7"/>
    <w:rsid w:val="006D1748"/>
    <w:rsid w:val="006D19BC"/>
    <w:rsid w:val="006D229F"/>
    <w:rsid w:val="006D24C4"/>
    <w:rsid w:val="006D2AF7"/>
    <w:rsid w:val="006D36B3"/>
    <w:rsid w:val="006D447D"/>
    <w:rsid w:val="006D53B9"/>
    <w:rsid w:val="006D6334"/>
    <w:rsid w:val="006D6441"/>
    <w:rsid w:val="006D654A"/>
    <w:rsid w:val="006E086B"/>
    <w:rsid w:val="006E1651"/>
    <w:rsid w:val="006E267F"/>
    <w:rsid w:val="006E2B05"/>
    <w:rsid w:val="006E390A"/>
    <w:rsid w:val="006E417B"/>
    <w:rsid w:val="006E5457"/>
    <w:rsid w:val="006E5757"/>
    <w:rsid w:val="006E5DC5"/>
    <w:rsid w:val="006F080C"/>
    <w:rsid w:val="006F2500"/>
    <w:rsid w:val="006F2A27"/>
    <w:rsid w:val="006F2EF8"/>
    <w:rsid w:val="006F4210"/>
    <w:rsid w:val="006F4C2E"/>
    <w:rsid w:val="006F5A68"/>
    <w:rsid w:val="006F6534"/>
    <w:rsid w:val="006F6716"/>
    <w:rsid w:val="006F6867"/>
    <w:rsid w:val="006F6F25"/>
    <w:rsid w:val="006F7555"/>
    <w:rsid w:val="007003F4"/>
    <w:rsid w:val="00700B83"/>
    <w:rsid w:val="007013C1"/>
    <w:rsid w:val="007015FE"/>
    <w:rsid w:val="00701C1C"/>
    <w:rsid w:val="00701DF1"/>
    <w:rsid w:val="00702F82"/>
    <w:rsid w:val="00703291"/>
    <w:rsid w:val="007037A9"/>
    <w:rsid w:val="00703A05"/>
    <w:rsid w:val="00703CBA"/>
    <w:rsid w:val="00703E8C"/>
    <w:rsid w:val="00703F26"/>
    <w:rsid w:val="0070535C"/>
    <w:rsid w:val="00705617"/>
    <w:rsid w:val="00705A55"/>
    <w:rsid w:val="00706C79"/>
    <w:rsid w:val="00707383"/>
    <w:rsid w:val="00710C9D"/>
    <w:rsid w:val="00710D01"/>
    <w:rsid w:val="00710D4B"/>
    <w:rsid w:val="00711512"/>
    <w:rsid w:val="00712B53"/>
    <w:rsid w:val="007139F3"/>
    <w:rsid w:val="00714C37"/>
    <w:rsid w:val="007155FF"/>
    <w:rsid w:val="00715EDF"/>
    <w:rsid w:val="00715F52"/>
    <w:rsid w:val="00716920"/>
    <w:rsid w:val="00717977"/>
    <w:rsid w:val="00717C6E"/>
    <w:rsid w:val="00717CC7"/>
    <w:rsid w:val="0072009E"/>
    <w:rsid w:val="0072106B"/>
    <w:rsid w:val="007213F6"/>
    <w:rsid w:val="007217D0"/>
    <w:rsid w:val="00721B4A"/>
    <w:rsid w:val="00722B37"/>
    <w:rsid w:val="00722E81"/>
    <w:rsid w:val="007236D5"/>
    <w:rsid w:val="00724720"/>
    <w:rsid w:val="0072482D"/>
    <w:rsid w:val="00724BD5"/>
    <w:rsid w:val="00725561"/>
    <w:rsid w:val="00725588"/>
    <w:rsid w:val="00725783"/>
    <w:rsid w:val="00726406"/>
    <w:rsid w:val="00726A2E"/>
    <w:rsid w:val="00726B45"/>
    <w:rsid w:val="00726D85"/>
    <w:rsid w:val="0072734C"/>
    <w:rsid w:val="00727368"/>
    <w:rsid w:val="00727FA0"/>
    <w:rsid w:val="00730105"/>
    <w:rsid w:val="00730B2A"/>
    <w:rsid w:val="00730EA3"/>
    <w:rsid w:val="00732867"/>
    <w:rsid w:val="007328CC"/>
    <w:rsid w:val="0073295F"/>
    <w:rsid w:val="007331BD"/>
    <w:rsid w:val="007338B0"/>
    <w:rsid w:val="0073396C"/>
    <w:rsid w:val="007343B3"/>
    <w:rsid w:val="0073509C"/>
    <w:rsid w:val="00735BA0"/>
    <w:rsid w:val="00735CF3"/>
    <w:rsid w:val="007363E6"/>
    <w:rsid w:val="00736EEB"/>
    <w:rsid w:val="00737BC6"/>
    <w:rsid w:val="00740D1D"/>
    <w:rsid w:val="007425E8"/>
    <w:rsid w:val="00743678"/>
    <w:rsid w:val="00744B4D"/>
    <w:rsid w:val="00744D1E"/>
    <w:rsid w:val="0074520F"/>
    <w:rsid w:val="00745572"/>
    <w:rsid w:val="007455C8"/>
    <w:rsid w:val="00745B7B"/>
    <w:rsid w:val="00745E1E"/>
    <w:rsid w:val="00746FD3"/>
    <w:rsid w:val="00747710"/>
    <w:rsid w:val="00750380"/>
    <w:rsid w:val="00751251"/>
    <w:rsid w:val="007523A7"/>
    <w:rsid w:val="00753AA0"/>
    <w:rsid w:val="00753ACD"/>
    <w:rsid w:val="00753CD2"/>
    <w:rsid w:val="007543CD"/>
    <w:rsid w:val="00756B61"/>
    <w:rsid w:val="00757AA8"/>
    <w:rsid w:val="00757C04"/>
    <w:rsid w:val="00760E87"/>
    <w:rsid w:val="00760F26"/>
    <w:rsid w:val="0076183D"/>
    <w:rsid w:val="00761E96"/>
    <w:rsid w:val="00762282"/>
    <w:rsid w:val="00763CC0"/>
    <w:rsid w:val="00765EAA"/>
    <w:rsid w:val="0076652C"/>
    <w:rsid w:val="00766664"/>
    <w:rsid w:val="00766F08"/>
    <w:rsid w:val="00767058"/>
    <w:rsid w:val="007677F3"/>
    <w:rsid w:val="0076784C"/>
    <w:rsid w:val="0076792D"/>
    <w:rsid w:val="00770D85"/>
    <w:rsid w:val="00771168"/>
    <w:rsid w:val="00772A4B"/>
    <w:rsid w:val="00773446"/>
    <w:rsid w:val="00773B02"/>
    <w:rsid w:val="007743F0"/>
    <w:rsid w:val="00775000"/>
    <w:rsid w:val="0077512D"/>
    <w:rsid w:val="007753E5"/>
    <w:rsid w:val="00775AE9"/>
    <w:rsid w:val="0077620D"/>
    <w:rsid w:val="007774CC"/>
    <w:rsid w:val="00780B28"/>
    <w:rsid w:val="00780BD9"/>
    <w:rsid w:val="00781182"/>
    <w:rsid w:val="0078200A"/>
    <w:rsid w:val="0078210D"/>
    <w:rsid w:val="00782E30"/>
    <w:rsid w:val="00783A70"/>
    <w:rsid w:val="00783C72"/>
    <w:rsid w:val="00784EA8"/>
    <w:rsid w:val="007873C7"/>
    <w:rsid w:val="0078752F"/>
    <w:rsid w:val="00791D02"/>
    <w:rsid w:val="00793271"/>
    <w:rsid w:val="007934FC"/>
    <w:rsid w:val="007935AD"/>
    <w:rsid w:val="00793847"/>
    <w:rsid w:val="00793C60"/>
    <w:rsid w:val="00794135"/>
    <w:rsid w:val="00794244"/>
    <w:rsid w:val="00795EE7"/>
    <w:rsid w:val="00796CBA"/>
    <w:rsid w:val="00797596"/>
    <w:rsid w:val="0079763F"/>
    <w:rsid w:val="00797A05"/>
    <w:rsid w:val="007A0795"/>
    <w:rsid w:val="007A1BFA"/>
    <w:rsid w:val="007A321B"/>
    <w:rsid w:val="007A3CFC"/>
    <w:rsid w:val="007A3F7E"/>
    <w:rsid w:val="007A5FD6"/>
    <w:rsid w:val="007A6204"/>
    <w:rsid w:val="007A6853"/>
    <w:rsid w:val="007A69A5"/>
    <w:rsid w:val="007A7C1F"/>
    <w:rsid w:val="007B0285"/>
    <w:rsid w:val="007B14A8"/>
    <w:rsid w:val="007B19B0"/>
    <w:rsid w:val="007B1C5E"/>
    <w:rsid w:val="007B2E9C"/>
    <w:rsid w:val="007B3B80"/>
    <w:rsid w:val="007B3C6E"/>
    <w:rsid w:val="007B4090"/>
    <w:rsid w:val="007B4B94"/>
    <w:rsid w:val="007B5386"/>
    <w:rsid w:val="007B539D"/>
    <w:rsid w:val="007B56B5"/>
    <w:rsid w:val="007B5B55"/>
    <w:rsid w:val="007B6837"/>
    <w:rsid w:val="007B68B9"/>
    <w:rsid w:val="007B7712"/>
    <w:rsid w:val="007B77FE"/>
    <w:rsid w:val="007C254B"/>
    <w:rsid w:val="007C2D60"/>
    <w:rsid w:val="007C3275"/>
    <w:rsid w:val="007C34A4"/>
    <w:rsid w:val="007C373C"/>
    <w:rsid w:val="007C3EC5"/>
    <w:rsid w:val="007C3FD4"/>
    <w:rsid w:val="007C675D"/>
    <w:rsid w:val="007C67C9"/>
    <w:rsid w:val="007C726E"/>
    <w:rsid w:val="007D0371"/>
    <w:rsid w:val="007D0808"/>
    <w:rsid w:val="007D0929"/>
    <w:rsid w:val="007D1147"/>
    <w:rsid w:val="007D2342"/>
    <w:rsid w:val="007D26C5"/>
    <w:rsid w:val="007D3192"/>
    <w:rsid w:val="007D3363"/>
    <w:rsid w:val="007D6750"/>
    <w:rsid w:val="007D6EC9"/>
    <w:rsid w:val="007D70AA"/>
    <w:rsid w:val="007D7369"/>
    <w:rsid w:val="007E1E38"/>
    <w:rsid w:val="007E25E8"/>
    <w:rsid w:val="007E47B2"/>
    <w:rsid w:val="007E4C04"/>
    <w:rsid w:val="007E4D38"/>
    <w:rsid w:val="007E508D"/>
    <w:rsid w:val="007E652E"/>
    <w:rsid w:val="007E689A"/>
    <w:rsid w:val="007F102C"/>
    <w:rsid w:val="007F1080"/>
    <w:rsid w:val="007F2416"/>
    <w:rsid w:val="007F358E"/>
    <w:rsid w:val="007F3E7A"/>
    <w:rsid w:val="007F4264"/>
    <w:rsid w:val="007F42D7"/>
    <w:rsid w:val="007F50EF"/>
    <w:rsid w:val="007F53EB"/>
    <w:rsid w:val="007F62EB"/>
    <w:rsid w:val="007F6641"/>
    <w:rsid w:val="007F7B75"/>
    <w:rsid w:val="008008A7"/>
    <w:rsid w:val="00800E74"/>
    <w:rsid w:val="00801012"/>
    <w:rsid w:val="0080128A"/>
    <w:rsid w:val="008020A3"/>
    <w:rsid w:val="008021B2"/>
    <w:rsid w:val="00802C8B"/>
    <w:rsid w:val="00803054"/>
    <w:rsid w:val="00804999"/>
    <w:rsid w:val="00804D08"/>
    <w:rsid w:val="00805A5D"/>
    <w:rsid w:val="00806291"/>
    <w:rsid w:val="00806454"/>
    <w:rsid w:val="00806C53"/>
    <w:rsid w:val="00806D7E"/>
    <w:rsid w:val="00806E58"/>
    <w:rsid w:val="008074CE"/>
    <w:rsid w:val="00807DA9"/>
    <w:rsid w:val="00810B80"/>
    <w:rsid w:val="00813037"/>
    <w:rsid w:val="00813821"/>
    <w:rsid w:val="00814D0B"/>
    <w:rsid w:val="0081509C"/>
    <w:rsid w:val="0081557F"/>
    <w:rsid w:val="00815866"/>
    <w:rsid w:val="00816672"/>
    <w:rsid w:val="0082002C"/>
    <w:rsid w:val="00820BC4"/>
    <w:rsid w:val="00821165"/>
    <w:rsid w:val="00822981"/>
    <w:rsid w:val="00822F69"/>
    <w:rsid w:val="00824731"/>
    <w:rsid w:val="008248BF"/>
    <w:rsid w:val="00826899"/>
    <w:rsid w:val="00830FC3"/>
    <w:rsid w:val="00832057"/>
    <w:rsid w:val="008331B4"/>
    <w:rsid w:val="008335AF"/>
    <w:rsid w:val="00833E87"/>
    <w:rsid w:val="008348EE"/>
    <w:rsid w:val="00834D66"/>
    <w:rsid w:val="008369D5"/>
    <w:rsid w:val="00837839"/>
    <w:rsid w:val="00837A0F"/>
    <w:rsid w:val="008400AE"/>
    <w:rsid w:val="0084175E"/>
    <w:rsid w:val="00842FAC"/>
    <w:rsid w:val="008448AE"/>
    <w:rsid w:val="00844FBE"/>
    <w:rsid w:val="00845384"/>
    <w:rsid w:val="00846795"/>
    <w:rsid w:val="00846B73"/>
    <w:rsid w:val="008471B3"/>
    <w:rsid w:val="00847AFE"/>
    <w:rsid w:val="00847F35"/>
    <w:rsid w:val="00850243"/>
    <w:rsid w:val="00851267"/>
    <w:rsid w:val="0085248A"/>
    <w:rsid w:val="0085262A"/>
    <w:rsid w:val="008530C3"/>
    <w:rsid w:val="00853608"/>
    <w:rsid w:val="00853B2F"/>
    <w:rsid w:val="008543E1"/>
    <w:rsid w:val="008544F6"/>
    <w:rsid w:val="0085495D"/>
    <w:rsid w:val="00855CA6"/>
    <w:rsid w:val="00856851"/>
    <w:rsid w:val="00860603"/>
    <w:rsid w:val="008606B4"/>
    <w:rsid w:val="008614A1"/>
    <w:rsid w:val="00861777"/>
    <w:rsid w:val="008625FF"/>
    <w:rsid w:val="00862F81"/>
    <w:rsid w:val="00863CF3"/>
    <w:rsid w:val="0086442F"/>
    <w:rsid w:val="0086454B"/>
    <w:rsid w:val="0086565C"/>
    <w:rsid w:val="00866501"/>
    <w:rsid w:val="00866B1A"/>
    <w:rsid w:val="00870340"/>
    <w:rsid w:val="00870A90"/>
    <w:rsid w:val="0087118A"/>
    <w:rsid w:val="008711AC"/>
    <w:rsid w:val="00874156"/>
    <w:rsid w:val="00874337"/>
    <w:rsid w:val="00874F4A"/>
    <w:rsid w:val="00875275"/>
    <w:rsid w:val="00875428"/>
    <w:rsid w:val="00875E22"/>
    <w:rsid w:val="00880E13"/>
    <w:rsid w:val="00881C89"/>
    <w:rsid w:val="00882D95"/>
    <w:rsid w:val="00882E54"/>
    <w:rsid w:val="00882FAD"/>
    <w:rsid w:val="00883396"/>
    <w:rsid w:val="008837EF"/>
    <w:rsid w:val="0088575A"/>
    <w:rsid w:val="00885AE5"/>
    <w:rsid w:val="008861D8"/>
    <w:rsid w:val="00886A2A"/>
    <w:rsid w:val="00887730"/>
    <w:rsid w:val="008879F4"/>
    <w:rsid w:val="00887A7E"/>
    <w:rsid w:val="00887E3D"/>
    <w:rsid w:val="00887E78"/>
    <w:rsid w:val="00890274"/>
    <w:rsid w:val="00892E67"/>
    <w:rsid w:val="00893B68"/>
    <w:rsid w:val="00893C09"/>
    <w:rsid w:val="00894A49"/>
    <w:rsid w:val="00894AFA"/>
    <w:rsid w:val="0089621A"/>
    <w:rsid w:val="0089679D"/>
    <w:rsid w:val="008A15DC"/>
    <w:rsid w:val="008A1A0B"/>
    <w:rsid w:val="008A2405"/>
    <w:rsid w:val="008A2E4E"/>
    <w:rsid w:val="008A3120"/>
    <w:rsid w:val="008A34A8"/>
    <w:rsid w:val="008A3BE8"/>
    <w:rsid w:val="008A4536"/>
    <w:rsid w:val="008A4634"/>
    <w:rsid w:val="008A4C43"/>
    <w:rsid w:val="008A6304"/>
    <w:rsid w:val="008A699F"/>
    <w:rsid w:val="008A78FA"/>
    <w:rsid w:val="008B00A9"/>
    <w:rsid w:val="008B0764"/>
    <w:rsid w:val="008B1192"/>
    <w:rsid w:val="008B1AD5"/>
    <w:rsid w:val="008B255F"/>
    <w:rsid w:val="008B2D7F"/>
    <w:rsid w:val="008B473E"/>
    <w:rsid w:val="008B4CCB"/>
    <w:rsid w:val="008B4E50"/>
    <w:rsid w:val="008B5ABE"/>
    <w:rsid w:val="008B5B96"/>
    <w:rsid w:val="008B62EA"/>
    <w:rsid w:val="008B671C"/>
    <w:rsid w:val="008B72FE"/>
    <w:rsid w:val="008C14AC"/>
    <w:rsid w:val="008C1DEE"/>
    <w:rsid w:val="008C28BD"/>
    <w:rsid w:val="008C4333"/>
    <w:rsid w:val="008C6858"/>
    <w:rsid w:val="008C7523"/>
    <w:rsid w:val="008D11C3"/>
    <w:rsid w:val="008D14C0"/>
    <w:rsid w:val="008D14FA"/>
    <w:rsid w:val="008D1867"/>
    <w:rsid w:val="008D1B61"/>
    <w:rsid w:val="008D2934"/>
    <w:rsid w:val="008D4133"/>
    <w:rsid w:val="008D43FD"/>
    <w:rsid w:val="008D50EA"/>
    <w:rsid w:val="008D562B"/>
    <w:rsid w:val="008D6216"/>
    <w:rsid w:val="008D6E43"/>
    <w:rsid w:val="008D76C9"/>
    <w:rsid w:val="008D7AFC"/>
    <w:rsid w:val="008D7BE1"/>
    <w:rsid w:val="008E0C64"/>
    <w:rsid w:val="008E21EC"/>
    <w:rsid w:val="008E2281"/>
    <w:rsid w:val="008E27D5"/>
    <w:rsid w:val="008E2F6B"/>
    <w:rsid w:val="008E4502"/>
    <w:rsid w:val="008E479A"/>
    <w:rsid w:val="008E52DE"/>
    <w:rsid w:val="008E5D35"/>
    <w:rsid w:val="008E6478"/>
    <w:rsid w:val="008E7F5F"/>
    <w:rsid w:val="008F0601"/>
    <w:rsid w:val="008F0C08"/>
    <w:rsid w:val="008F1B18"/>
    <w:rsid w:val="008F2661"/>
    <w:rsid w:val="008F394C"/>
    <w:rsid w:val="008F416D"/>
    <w:rsid w:val="008F44EC"/>
    <w:rsid w:val="008F494B"/>
    <w:rsid w:val="008F5D50"/>
    <w:rsid w:val="008F608B"/>
    <w:rsid w:val="008F609C"/>
    <w:rsid w:val="008F60D5"/>
    <w:rsid w:val="008F6290"/>
    <w:rsid w:val="008F6A20"/>
    <w:rsid w:val="008F6A92"/>
    <w:rsid w:val="008F73EC"/>
    <w:rsid w:val="00900E81"/>
    <w:rsid w:val="00901FB9"/>
    <w:rsid w:val="00903681"/>
    <w:rsid w:val="00904D93"/>
    <w:rsid w:val="009054CE"/>
    <w:rsid w:val="00905A84"/>
    <w:rsid w:val="00905C3C"/>
    <w:rsid w:val="0090730E"/>
    <w:rsid w:val="00911B55"/>
    <w:rsid w:val="00911E1B"/>
    <w:rsid w:val="00912C7A"/>
    <w:rsid w:val="0091399C"/>
    <w:rsid w:val="009157BE"/>
    <w:rsid w:val="00917985"/>
    <w:rsid w:val="0092162F"/>
    <w:rsid w:val="00921969"/>
    <w:rsid w:val="00921BED"/>
    <w:rsid w:val="0092481C"/>
    <w:rsid w:val="00925915"/>
    <w:rsid w:val="00925E95"/>
    <w:rsid w:val="00926B65"/>
    <w:rsid w:val="00926E1F"/>
    <w:rsid w:val="0092749A"/>
    <w:rsid w:val="00930B45"/>
    <w:rsid w:val="00931910"/>
    <w:rsid w:val="009322DE"/>
    <w:rsid w:val="00932BB5"/>
    <w:rsid w:val="009336AA"/>
    <w:rsid w:val="009337F6"/>
    <w:rsid w:val="00933E0A"/>
    <w:rsid w:val="009346EF"/>
    <w:rsid w:val="00935436"/>
    <w:rsid w:val="00935C65"/>
    <w:rsid w:val="009363F5"/>
    <w:rsid w:val="0093740C"/>
    <w:rsid w:val="00940EFE"/>
    <w:rsid w:val="00941899"/>
    <w:rsid w:val="00941C31"/>
    <w:rsid w:val="00941E30"/>
    <w:rsid w:val="00942163"/>
    <w:rsid w:val="009429D4"/>
    <w:rsid w:val="009432D3"/>
    <w:rsid w:val="00943483"/>
    <w:rsid w:val="009435B8"/>
    <w:rsid w:val="00943D99"/>
    <w:rsid w:val="0094541C"/>
    <w:rsid w:val="00945911"/>
    <w:rsid w:val="00945A51"/>
    <w:rsid w:val="00945D3D"/>
    <w:rsid w:val="0094757B"/>
    <w:rsid w:val="009477F5"/>
    <w:rsid w:val="0094783C"/>
    <w:rsid w:val="009505F0"/>
    <w:rsid w:val="00950762"/>
    <w:rsid w:val="00950835"/>
    <w:rsid w:val="00950EF3"/>
    <w:rsid w:val="00951842"/>
    <w:rsid w:val="00952D26"/>
    <w:rsid w:val="009543C8"/>
    <w:rsid w:val="00954F24"/>
    <w:rsid w:val="00955556"/>
    <w:rsid w:val="009555AA"/>
    <w:rsid w:val="0096045B"/>
    <w:rsid w:val="00960814"/>
    <w:rsid w:val="009612EB"/>
    <w:rsid w:val="00961423"/>
    <w:rsid w:val="0096222C"/>
    <w:rsid w:val="009632A4"/>
    <w:rsid w:val="009635E7"/>
    <w:rsid w:val="00963A0C"/>
    <w:rsid w:val="00963B89"/>
    <w:rsid w:val="009642E4"/>
    <w:rsid w:val="009646F0"/>
    <w:rsid w:val="009648E7"/>
    <w:rsid w:val="009658DC"/>
    <w:rsid w:val="009659E3"/>
    <w:rsid w:val="009662BB"/>
    <w:rsid w:val="00966F7B"/>
    <w:rsid w:val="009713C1"/>
    <w:rsid w:val="00972C0B"/>
    <w:rsid w:val="00973631"/>
    <w:rsid w:val="00973D8C"/>
    <w:rsid w:val="009744DC"/>
    <w:rsid w:val="00975076"/>
    <w:rsid w:val="009751E4"/>
    <w:rsid w:val="009755D8"/>
    <w:rsid w:val="00975931"/>
    <w:rsid w:val="00975A9E"/>
    <w:rsid w:val="00976C37"/>
    <w:rsid w:val="009774CF"/>
    <w:rsid w:val="009775D5"/>
    <w:rsid w:val="009844D4"/>
    <w:rsid w:val="00985444"/>
    <w:rsid w:val="00985762"/>
    <w:rsid w:val="00987177"/>
    <w:rsid w:val="00987D8C"/>
    <w:rsid w:val="009922D4"/>
    <w:rsid w:val="00992DD8"/>
    <w:rsid w:val="00992DF7"/>
    <w:rsid w:val="00993FFA"/>
    <w:rsid w:val="00995F1A"/>
    <w:rsid w:val="0099610C"/>
    <w:rsid w:val="009A0498"/>
    <w:rsid w:val="009A058A"/>
    <w:rsid w:val="009A2361"/>
    <w:rsid w:val="009A2B8A"/>
    <w:rsid w:val="009A3202"/>
    <w:rsid w:val="009A38D2"/>
    <w:rsid w:val="009A488C"/>
    <w:rsid w:val="009A4C83"/>
    <w:rsid w:val="009A575B"/>
    <w:rsid w:val="009A5A1F"/>
    <w:rsid w:val="009A5BC9"/>
    <w:rsid w:val="009A5DF3"/>
    <w:rsid w:val="009A68BF"/>
    <w:rsid w:val="009A6C4B"/>
    <w:rsid w:val="009A6DC0"/>
    <w:rsid w:val="009A7F83"/>
    <w:rsid w:val="009B06EE"/>
    <w:rsid w:val="009B09E4"/>
    <w:rsid w:val="009B11AD"/>
    <w:rsid w:val="009B1868"/>
    <w:rsid w:val="009B1FAE"/>
    <w:rsid w:val="009B3A6A"/>
    <w:rsid w:val="009B43B6"/>
    <w:rsid w:val="009B5465"/>
    <w:rsid w:val="009B5FD1"/>
    <w:rsid w:val="009B6555"/>
    <w:rsid w:val="009B6DA5"/>
    <w:rsid w:val="009B72ED"/>
    <w:rsid w:val="009B7E4F"/>
    <w:rsid w:val="009C2872"/>
    <w:rsid w:val="009C3434"/>
    <w:rsid w:val="009C5A15"/>
    <w:rsid w:val="009C61D7"/>
    <w:rsid w:val="009C64FB"/>
    <w:rsid w:val="009C651C"/>
    <w:rsid w:val="009C658D"/>
    <w:rsid w:val="009C6CC9"/>
    <w:rsid w:val="009C6E22"/>
    <w:rsid w:val="009C6FF6"/>
    <w:rsid w:val="009C7C50"/>
    <w:rsid w:val="009D09E9"/>
    <w:rsid w:val="009D11B0"/>
    <w:rsid w:val="009D21C9"/>
    <w:rsid w:val="009D3E13"/>
    <w:rsid w:val="009D3F8D"/>
    <w:rsid w:val="009D6DAB"/>
    <w:rsid w:val="009D7152"/>
    <w:rsid w:val="009D7E0E"/>
    <w:rsid w:val="009E0747"/>
    <w:rsid w:val="009E0AE5"/>
    <w:rsid w:val="009E1954"/>
    <w:rsid w:val="009E247D"/>
    <w:rsid w:val="009E4927"/>
    <w:rsid w:val="009E5B2E"/>
    <w:rsid w:val="009E61D5"/>
    <w:rsid w:val="009E680D"/>
    <w:rsid w:val="009E6955"/>
    <w:rsid w:val="009E6C96"/>
    <w:rsid w:val="009E719B"/>
    <w:rsid w:val="009E769B"/>
    <w:rsid w:val="009E799F"/>
    <w:rsid w:val="009E7F94"/>
    <w:rsid w:val="009F0740"/>
    <w:rsid w:val="009F0B53"/>
    <w:rsid w:val="009F0C5A"/>
    <w:rsid w:val="009F0ED0"/>
    <w:rsid w:val="009F1963"/>
    <w:rsid w:val="009F1F3D"/>
    <w:rsid w:val="009F2946"/>
    <w:rsid w:val="009F2A21"/>
    <w:rsid w:val="009F2DFA"/>
    <w:rsid w:val="009F3F39"/>
    <w:rsid w:val="009F5298"/>
    <w:rsid w:val="009F5E53"/>
    <w:rsid w:val="009F5ED3"/>
    <w:rsid w:val="009F76A7"/>
    <w:rsid w:val="009F7B75"/>
    <w:rsid w:val="00A02CC3"/>
    <w:rsid w:val="00A06529"/>
    <w:rsid w:val="00A065B8"/>
    <w:rsid w:val="00A06698"/>
    <w:rsid w:val="00A07535"/>
    <w:rsid w:val="00A07E0F"/>
    <w:rsid w:val="00A10330"/>
    <w:rsid w:val="00A1281B"/>
    <w:rsid w:val="00A15043"/>
    <w:rsid w:val="00A1556C"/>
    <w:rsid w:val="00A15771"/>
    <w:rsid w:val="00A157A7"/>
    <w:rsid w:val="00A158FB"/>
    <w:rsid w:val="00A15DDE"/>
    <w:rsid w:val="00A161A3"/>
    <w:rsid w:val="00A16AEB"/>
    <w:rsid w:val="00A1778B"/>
    <w:rsid w:val="00A22B48"/>
    <w:rsid w:val="00A22D1B"/>
    <w:rsid w:val="00A232A2"/>
    <w:rsid w:val="00A24703"/>
    <w:rsid w:val="00A2472B"/>
    <w:rsid w:val="00A24AA3"/>
    <w:rsid w:val="00A24BAC"/>
    <w:rsid w:val="00A2503A"/>
    <w:rsid w:val="00A258D7"/>
    <w:rsid w:val="00A25F17"/>
    <w:rsid w:val="00A26022"/>
    <w:rsid w:val="00A265DA"/>
    <w:rsid w:val="00A265F3"/>
    <w:rsid w:val="00A26924"/>
    <w:rsid w:val="00A2717A"/>
    <w:rsid w:val="00A304FA"/>
    <w:rsid w:val="00A323F3"/>
    <w:rsid w:val="00A33F08"/>
    <w:rsid w:val="00A3486F"/>
    <w:rsid w:val="00A352F5"/>
    <w:rsid w:val="00A365CD"/>
    <w:rsid w:val="00A371C1"/>
    <w:rsid w:val="00A372D5"/>
    <w:rsid w:val="00A375E2"/>
    <w:rsid w:val="00A37EA4"/>
    <w:rsid w:val="00A40CA3"/>
    <w:rsid w:val="00A4163E"/>
    <w:rsid w:val="00A43040"/>
    <w:rsid w:val="00A440A6"/>
    <w:rsid w:val="00A44BEC"/>
    <w:rsid w:val="00A459CA"/>
    <w:rsid w:val="00A45C17"/>
    <w:rsid w:val="00A4662B"/>
    <w:rsid w:val="00A47C93"/>
    <w:rsid w:val="00A47E2D"/>
    <w:rsid w:val="00A509F8"/>
    <w:rsid w:val="00A51127"/>
    <w:rsid w:val="00A5132E"/>
    <w:rsid w:val="00A52913"/>
    <w:rsid w:val="00A5396B"/>
    <w:rsid w:val="00A54EF0"/>
    <w:rsid w:val="00A55352"/>
    <w:rsid w:val="00A55ADA"/>
    <w:rsid w:val="00A56180"/>
    <w:rsid w:val="00A5666C"/>
    <w:rsid w:val="00A5685C"/>
    <w:rsid w:val="00A568F7"/>
    <w:rsid w:val="00A569A3"/>
    <w:rsid w:val="00A57733"/>
    <w:rsid w:val="00A600B2"/>
    <w:rsid w:val="00A611EA"/>
    <w:rsid w:val="00A61495"/>
    <w:rsid w:val="00A6204D"/>
    <w:rsid w:val="00A62464"/>
    <w:rsid w:val="00A62B08"/>
    <w:rsid w:val="00A64C0B"/>
    <w:rsid w:val="00A6596A"/>
    <w:rsid w:val="00A660A1"/>
    <w:rsid w:val="00A67051"/>
    <w:rsid w:val="00A67173"/>
    <w:rsid w:val="00A67A6C"/>
    <w:rsid w:val="00A70E5A"/>
    <w:rsid w:val="00A71035"/>
    <w:rsid w:val="00A715D1"/>
    <w:rsid w:val="00A719D6"/>
    <w:rsid w:val="00A723AE"/>
    <w:rsid w:val="00A72F00"/>
    <w:rsid w:val="00A73014"/>
    <w:rsid w:val="00A73A4E"/>
    <w:rsid w:val="00A757A1"/>
    <w:rsid w:val="00A77B74"/>
    <w:rsid w:val="00A77C48"/>
    <w:rsid w:val="00A77D7D"/>
    <w:rsid w:val="00A800BD"/>
    <w:rsid w:val="00A806B6"/>
    <w:rsid w:val="00A814A2"/>
    <w:rsid w:val="00A821CA"/>
    <w:rsid w:val="00A82D0A"/>
    <w:rsid w:val="00A831FF"/>
    <w:rsid w:val="00A83288"/>
    <w:rsid w:val="00A84079"/>
    <w:rsid w:val="00A84229"/>
    <w:rsid w:val="00A8495C"/>
    <w:rsid w:val="00A84EE4"/>
    <w:rsid w:val="00A85788"/>
    <w:rsid w:val="00A85AFB"/>
    <w:rsid w:val="00A85CA6"/>
    <w:rsid w:val="00A8640F"/>
    <w:rsid w:val="00A86A2C"/>
    <w:rsid w:val="00A86BB7"/>
    <w:rsid w:val="00A918A9"/>
    <w:rsid w:val="00A91DDD"/>
    <w:rsid w:val="00A91DEE"/>
    <w:rsid w:val="00A929DC"/>
    <w:rsid w:val="00A9329E"/>
    <w:rsid w:val="00A939C2"/>
    <w:rsid w:val="00A945BF"/>
    <w:rsid w:val="00A9515C"/>
    <w:rsid w:val="00A9532A"/>
    <w:rsid w:val="00A95361"/>
    <w:rsid w:val="00A95A1A"/>
    <w:rsid w:val="00A95F90"/>
    <w:rsid w:val="00A978DE"/>
    <w:rsid w:val="00A97B71"/>
    <w:rsid w:val="00A97E7D"/>
    <w:rsid w:val="00A97F90"/>
    <w:rsid w:val="00AA2B75"/>
    <w:rsid w:val="00AA3B5A"/>
    <w:rsid w:val="00AA3E5C"/>
    <w:rsid w:val="00AA425A"/>
    <w:rsid w:val="00AA47DF"/>
    <w:rsid w:val="00AA4A3B"/>
    <w:rsid w:val="00AA4B7C"/>
    <w:rsid w:val="00AA5AE7"/>
    <w:rsid w:val="00AA6E6A"/>
    <w:rsid w:val="00AA73D5"/>
    <w:rsid w:val="00AA7690"/>
    <w:rsid w:val="00AB021A"/>
    <w:rsid w:val="00AB02B7"/>
    <w:rsid w:val="00AB0F1E"/>
    <w:rsid w:val="00AB1829"/>
    <w:rsid w:val="00AB1F04"/>
    <w:rsid w:val="00AB2741"/>
    <w:rsid w:val="00AB2B8B"/>
    <w:rsid w:val="00AB2FCC"/>
    <w:rsid w:val="00AB3201"/>
    <w:rsid w:val="00AB4391"/>
    <w:rsid w:val="00AB477F"/>
    <w:rsid w:val="00AB49E3"/>
    <w:rsid w:val="00AB4A0A"/>
    <w:rsid w:val="00AB51FF"/>
    <w:rsid w:val="00AB5F29"/>
    <w:rsid w:val="00AB6204"/>
    <w:rsid w:val="00AB674B"/>
    <w:rsid w:val="00AB6965"/>
    <w:rsid w:val="00AB768D"/>
    <w:rsid w:val="00AC3C95"/>
    <w:rsid w:val="00AC3E4E"/>
    <w:rsid w:val="00AC4181"/>
    <w:rsid w:val="00AC5371"/>
    <w:rsid w:val="00AC5EC5"/>
    <w:rsid w:val="00AC67AC"/>
    <w:rsid w:val="00AC7223"/>
    <w:rsid w:val="00AD26AD"/>
    <w:rsid w:val="00AD3D48"/>
    <w:rsid w:val="00AD3F3D"/>
    <w:rsid w:val="00AD59CB"/>
    <w:rsid w:val="00AD5D12"/>
    <w:rsid w:val="00AD6B3A"/>
    <w:rsid w:val="00AD6BB7"/>
    <w:rsid w:val="00AD6F54"/>
    <w:rsid w:val="00AD7443"/>
    <w:rsid w:val="00AD7493"/>
    <w:rsid w:val="00AD7A11"/>
    <w:rsid w:val="00AD7DC5"/>
    <w:rsid w:val="00AE112F"/>
    <w:rsid w:val="00AE2A29"/>
    <w:rsid w:val="00AE426F"/>
    <w:rsid w:val="00AE5E4B"/>
    <w:rsid w:val="00AE5EC5"/>
    <w:rsid w:val="00AE6354"/>
    <w:rsid w:val="00AE781C"/>
    <w:rsid w:val="00AE78AB"/>
    <w:rsid w:val="00AE7BEC"/>
    <w:rsid w:val="00AE7C3A"/>
    <w:rsid w:val="00AF00B8"/>
    <w:rsid w:val="00AF07F8"/>
    <w:rsid w:val="00AF0BA2"/>
    <w:rsid w:val="00AF0E66"/>
    <w:rsid w:val="00AF138A"/>
    <w:rsid w:val="00AF1597"/>
    <w:rsid w:val="00AF1752"/>
    <w:rsid w:val="00AF30A3"/>
    <w:rsid w:val="00AF317D"/>
    <w:rsid w:val="00AF33E2"/>
    <w:rsid w:val="00AF519A"/>
    <w:rsid w:val="00AF5C7A"/>
    <w:rsid w:val="00B00258"/>
    <w:rsid w:val="00B00F1A"/>
    <w:rsid w:val="00B0132F"/>
    <w:rsid w:val="00B028A5"/>
    <w:rsid w:val="00B03A19"/>
    <w:rsid w:val="00B04217"/>
    <w:rsid w:val="00B05768"/>
    <w:rsid w:val="00B05BCA"/>
    <w:rsid w:val="00B06DF5"/>
    <w:rsid w:val="00B075E7"/>
    <w:rsid w:val="00B07D09"/>
    <w:rsid w:val="00B11787"/>
    <w:rsid w:val="00B117B6"/>
    <w:rsid w:val="00B1222A"/>
    <w:rsid w:val="00B1287A"/>
    <w:rsid w:val="00B1297A"/>
    <w:rsid w:val="00B13B7E"/>
    <w:rsid w:val="00B13F28"/>
    <w:rsid w:val="00B15648"/>
    <w:rsid w:val="00B15780"/>
    <w:rsid w:val="00B1591B"/>
    <w:rsid w:val="00B162E0"/>
    <w:rsid w:val="00B16781"/>
    <w:rsid w:val="00B17B12"/>
    <w:rsid w:val="00B17D0C"/>
    <w:rsid w:val="00B21318"/>
    <w:rsid w:val="00B21C74"/>
    <w:rsid w:val="00B222C1"/>
    <w:rsid w:val="00B24F2E"/>
    <w:rsid w:val="00B250E6"/>
    <w:rsid w:val="00B25A83"/>
    <w:rsid w:val="00B263AE"/>
    <w:rsid w:val="00B269B8"/>
    <w:rsid w:val="00B26CA2"/>
    <w:rsid w:val="00B27D03"/>
    <w:rsid w:val="00B324A6"/>
    <w:rsid w:val="00B3359A"/>
    <w:rsid w:val="00B337D7"/>
    <w:rsid w:val="00B33965"/>
    <w:rsid w:val="00B33B78"/>
    <w:rsid w:val="00B33B97"/>
    <w:rsid w:val="00B33F71"/>
    <w:rsid w:val="00B34BDB"/>
    <w:rsid w:val="00B354CC"/>
    <w:rsid w:val="00B35E4D"/>
    <w:rsid w:val="00B36344"/>
    <w:rsid w:val="00B363E6"/>
    <w:rsid w:val="00B37B04"/>
    <w:rsid w:val="00B37F5D"/>
    <w:rsid w:val="00B43370"/>
    <w:rsid w:val="00B43C21"/>
    <w:rsid w:val="00B44D05"/>
    <w:rsid w:val="00B44E92"/>
    <w:rsid w:val="00B454E4"/>
    <w:rsid w:val="00B45994"/>
    <w:rsid w:val="00B45A2F"/>
    <w:rsid w:val="00B461DB"/>
    <w:rsid w:val="00B47543"/>
    <w:rsid w:val="00B5253F"/>
    <w:rsid w:val="00B52BF2"/>
    <w:rsid w:val="00B53FB9"/>
    <w:rsid w:val="00B543EA"/>
    <w:rsid w:val="00B54F1F"/>
    <w:rsid w:val="00B568B5"/>
    <w:rsid w:val="00B571A9"/>
    <w:rsid w:val="00B6202A"/>
    <w:rsid w:val="00B6243E"/>
    <w:rsid w:val="00B6388A"/>
    <w:rsid w:val="00B63914"/>
    <w:rsid w:val="00B63CA0"/>
    <w:rsid w:val="00B63DE5"/>
    <w:rsid w:val="00B65C68"/>
    <w:rsid w:val="00B66490"/>
    <w:rsid w:val="00B666FB"/>
    <w:rsid w:val="00B70344"/>
    <w:rsid w:val="00B717BD"/>
    <w:rsid w:val="00B72314"/>
    <w:rsid w:val="00B723A8"/>
    <w:rsid w:val="00B7252F"/>
    <w:rsid w:val="00B725F4"/>
    <w:rsid w:val="00B72BB3"/>
    <w:rsid w:val="00B72E5E"/>
    <w:rsid w:val="00B73BC4"/>
    <w:rsid w:val="00B75039"/>
    <w:rsid w:val="00B75755"/>
    <w:rsid w:val="00B7607E"/>
    <w:rsid w:val="00B76601"/>
    <w:rsid w:val="00B768A2"/>
    <w:rsid w:val="00B76964"/>
    <w:rsid w:val="00B76BBE"/>
    <w:rsid w:val="00B76D5B"/>
    <w:rsid w:val="00B77027"/>
    <w:rsid w:val="00B8136B"/>
    <w:rsid w:val="00B815E1"/>
    <w:rsid w:val="00B81FAB"/>
    <w:rsid w:val="00B8450B"/>
    <w:rsid w:val="00B85C91"/>
    <w:rsid w:val="00B8623B"/>
    <w:rsid w:val="00B86643"/>
    <w:rsid w:val="00B905EF"/>
    <w:rsid w:val="00B92552"/>
    <w:rsid w:val="00B92766"/>
    <w:rsid w:val="00B92F6E"/>
    <w:rsid w:val="00B949B7"/>
    <w:rsid w:val="00B954F4"/>
    <w:rsid w:val="00B958C9"/>
    <w:rsid w:val="00B96E83"/>
    <w:rsid w:val="00BA0FF2"/>
    <w:rsid w:val="00BA13C1"/>
    <w:rsid w:val="00BA168E"/>
    <w:rsid w:val="00BA1EEE"/>
    <w:rsid w:val="00BA25E0"/>
    <w:rsid w:val="00BA27A0"/>
    <w:rsid w:val="00BA37F3"/>
    <w:rsid w:val="00BA3C14"/>
    <w:rsid w:val="00BA3D46"/>
    <w:rsid w:val="00BA3F78"/>
    <w:rsid w:val="00BA4899"/>
    <w:rsid w:val="00BA6C07"/>
    <w:rsid w:val="00BA6C7B"/>
    <w:rsid w:val="00BA7C57"/>
    <w:rsid w:val="00BB0E21"/>
    <w:rsid w:val="00BB1240"/>
    <w:rsid w:val="00BB1838"/>
    <w:rsid w:val="00BB1AC6"/>
    <w:rsid w:val="00BB273A"/>
    <w:rsid w:val="00BB31E8"/>
    <w:rsid w:val="00BB349E"/>
    <w:rsid w:val="00BB51A9"/>
    <w:rsid w:val="00BB5522"/>
    <w:rsid w:val="00BB5823"/>
    <w:rsid w:val="00BB5B90"/>
    <w:rsid w:val="00BB6A1B"/>
    <w:rsid w:val="00BB7660"/>
    <w:rsid w:val="00BB7E58"/>
    <w:rsid w:val="00BC04CB"/>
    <w:rsid w:val="00BC2110"/>
    <w:rsid w:val="00BC2663"/>
    <w:rsid w:val="00BC3F9A"/>
    <w:rsid w:val="00BC5988"/>
    <w:rsid w:val="00BC60F1"/>
    <w:rsid w:val="00BC6F58"/>
    <w:rsid w:val="00BC7CA3"/>
    <w:rsid w:val="00BC7FDA"/>
    <w:rsid w:val="00BD233D"/>
    <w:rsid w:val="00BD2F86"/>
    <w:rsid w:val="00BD30FD"/>
    <w:rsid w:val="00BD34F9"/>
    <w:rsid w:val="00BD39B0"/>
    <w:rsid w:val="00BD4097"/>
    <w:rsid w:val="00BD44C3"/>
    <w:rsid w:val="00BD59CF"/>
    <w:rsid w:val="00BD5A51"/>
    <w:rsid w:val="00BD6CB8"/>
    <w:rsid w:val="00BD7174"/>
    <w:rsid w:val="00BD7D6B"/>
    <w:rsid w:val="00BE05F8"/>
    <w:rsid w:val="00BE3399"/>
    <w:rsid w:val="00BE3F8F"/>
    <w:rsid w:val="00BE518B"/>
    <w:rsid w:val="00BE5A29"/>
    <w:rsid w:val="00BE67A9"/>
    <w:rsid w:val="00BE7CB8"/>
    <w:rsid w:val="00BF0032"/>
    <w:rsid w:val="00BF04F2"/>
    <w:rsid w:val="00BF09B1"/>
    <w:rsid w:val="00BF172D"/>
    <w:rsid w:val="00BF1E7F"/>
    <w:rsid w:val="00BF1F06"/>
    <w:rsid w:val="00BF23B8"/>
    <w:rsid w:val="00BF4AE0"/>
    <w:rsid w:val="00BF5AD0"/>
    <w:rsid w:val="00BF7771"/>
    <w:rsid w:val="00BF7D4A"/>
    <w:rsid w:val="00C005EB"/>
    <w:rsid w:val="00C021F5"/>
    <w:rsid w:val="00C02536"/>
    <w:rsid w:val="00C0267B"/>
    <w:rsid w:val="00C0293F"/>
    <w:rsid w:val="00C02C39"/>
    <w:rsid w:val="00C02C82"/>
    <w:rsid w:val="00C03526"/>
    <w:rsid w:val="00C056B7"/>
    <w:rsid w:val="00C06A50"/>
    <w:rsid w:val="00C10305"/>
    <w:rsid w:val="00C106CE"/>
    <w:rsid w:val="00C109E4"/>
    <w:rsid w:val="00C1224F"/>
    <w:rsid w:val="00C12353"/>
    <w:rsid w:val="00C13656"/>
    <w:rsid w:val="00C13BA4"/>
    <w:rsid w:val="00C14565"/>
    <w:rsid w:val="00C1524D"/>
    <w:rsid w:val="00C15361"/>
    <w:rsid w:val="00C16A69"/>
    <w:rsid w:val="00C16B8D"/>
    <w:rsid w:val="00C22381"/>
    <w:rsid w:val="00C22495"/>
    <w:rsid w:val="00C22766"/>
    <w:rsid w:val="00C22A12"/>
    <w:rsid w:val="00C22C41"/>
    <w:rsid w:val="00C23B73"/>
    <w:rsid w:val="00C24EB1"/>
    <w:rsid w:val="00C2525B"/>
    <w:rsid w:val="00C25763"/>
    <w:rsid w:val="00C25774"/>
    <w:rsid w:val="00C258FD"/>
    <w:rsid w:val="00C25EA9"/>
    <w:rsid w:val="00C2624B"/>
    <w:rsid w:val="00C267EF"/>
    <w:rsid w:val="00C26B28"/>
    <w:rsid w:val="00C2733A"/>
    <w:rsid w:val="00C276F7"/>
    <w:rsid w:val="00C30182"/>
    <w:rsid w:val="00C30256"/>
    <w:rsid w:val="00C335BF"/>
    <w:rsid w:val="00C3446A"/>
    <w:rsid w:val="00C34C08"/>
    <w:rsid w:val="00C40674"/>
    <w:rsid w:val="00C410F1"/>
    <w:rsid w:val="00C411EE"/>
    <w:rsid w:val="00C41BBA"/>
    <w:rsid w:val="00C421BD"/>
    <w:rsid w:val="00C423DE"/>
    <w:rsid w:val="00C424D5"/>
    <w:rsid w:val="00C443DE"/>
    <w:rsid w:val="00C449C2"/>
    <w:rsid w:val="00C45B21"/>
    <w:rsid w:val="00C46AB7"/>
    <w:rsid w:val="00C46FB2"/>
    <w:rsid w:val="00C47FA3"/>
    <w:rsid w:val="00C50A86"/>
    <w:rsid w:val="00C51224"/>
    <w:rsid w:val="00C51818"/>
    <w:rsid w:val="00C51EAA"/>
    <w:rsid w:val="00C529C1"/>
    <w:rsid w:val="00C52D8C"/>
    <w:rsid w:val="00C53107"/>
    <w:rsid w:val="00C534FE"/>
    <w:rsid w:val="00C53FE3"/>
    <w:rsid w:val="00C54966"/>
    <w:rsid w:val="00C5512F"/>
    <w:rsid w:val="00C557C8"/>
    <w:rsid w:val="00C558AE"/>
    <w:rsid w:val="00C55D67"/>
    <w:rsid w:val="00C56354"/>
    <w:rsid w:val="00C5778E"/>
    <w:rsid w:val="00C57DD2"/>
    <w:rsid w:val="00C61650"/>
    <w:rsid w:val="00C62F96"/>
    <w:rsid w:val="00C63082"/>
    <w:rsid w:val="00C644C1"/>
    <w:rsid w:val="00C65D67"/>
    <w:rsid w:val="00C67521"/>
    <w:rsid w:val="00C67A83"/>
    <w:rsid w:val="00C67BD1"/>
    <w:rsid w:val="00C70159"/>
    <w:rsid w:val="00C70F00"/>
    <w:rsid w:val="00C7114A"/>
    <w:rsid w:val="00C71C81"/>
    <w:rsid w:val="00C73C37"/>
    <w:rsid w:val="00C74E2B"/>
    <w:rsid w:val="00C770DF"/>
    <w:rsid w:val="00C80003"/>
    <w:rsid w:val="00C80108"/>
    <w:rsid w:val="00C83318"/>
    <w:rsid w:val="00C83979"/>
    <w:rsid w:val="00C83BEF"/>
    <w:rsid w:val="00C8483A"/>
    <w:rsid w:val="00C848BD"/>
    <w:rsid w:val="00C855FE"/>
    <w:rsid w:val="00C858D6"/>
    <w:rsid w:val="00C86DD5"/>
    <w:rsid w:val="00C8749C"/>
    <w:rsid w:val="00C875B0"/>
    <w:rsid w:val="00C878D5"/>
    <w:rsid w:val="00C901A8"/>
    <w:rsid w:val="00C90528"/>
    <w:rsid w:val="00C906EF"/>
    <w:rsid w:val="00C91127"/>
    <w:rsid w:val="00C91A4C"/>
    <w:rsid w:val="00C92F0B"/>
    <w:rsid w:val="00C9357B"/>
    <w:rsid w:val="00C938B8"/>
    <w:rsid w:val="00C955C5"/>
    <w:rsid w:val="00C95760"/>
    <w:rsid w:val="00C96E65"/>
    <w:rsid w:val="00C97CE5"/>
    <w:rsid w:val="00CA038C"/>
    <w:rsid w:val="00CA03D1"/>
    <w:rsid w:val="00CA3342"/>
    <w:rsid w:val="00CA456E"/>
    <w:rsid w:val="00CA4CE4"/>
    <w:rsid w:val="00CA4CEA"/>
    <w:rsid w:val="00CA52D6"/>
    <w:rsid w:val="00CA7EC9"/>
    <w:rsid w:val="00CB0253"/>
    <w:rsid w:val="00CB0836"/>
    <w:rsid w:val="00CB0986"/>
    <w:rsid w:val="00CB1BFA"/>
    <w:rsid w:val="00CB1D52"/>
    <w:rsid w:val="00CB24C2"/>
    <w:rsid w:val="00CB384B"/>
    <w:rsid w:val="00CB3F35"/>
    <w:rsid w:val="00CB4797"/>
    <w:rsid w:val="00CB73BA"/>
    <w:rsid w:val="00CB7A89"/>
    <w:rsid w:val="00CB7FA1"/>
    <w:rsid w:val="00CC0842"/>
    <w:rsid w:val="00CC1480"/>
    <w:rsid w:val="00CC26E7"/>
    <w:rsid w:val="00CC31D0"/>
    <w:rsid w:val="00CC31E5"/>
    <w:rsid w:val="00CC4789"/>
    <w:rsid w:val="00CC5278"/>
    <w:rsid w:val="00CC6D2D"/>
    <w:rsid w:val="00CC7FA9"/>
    <w:rsid w:val="00CD135A"/>
    <w:rsid w:val="00CD14E2"/>
    <w:rsid w:val="00CD1D54"/>
    <w:rsid w:val="00CD2ABE"/>
    <w:rsid w:val="00CD2FEA"/>
    <w:rsid w:val="00CD3026"/>
    <w:rsid w:val="00CD3617"/>
    <w:rsid w:val="00CD4114"/>
    <w:rsid w:val="00CD4F6A"/>
    <w:rsid w:val="00CD5854"/>
    <w:rsid w:val="00CD666C"/>
    <w:rsid w:val="00CE0AD2"/>
    <w:rsid w:val="00CE0F1D"/>
    <w:rsid w:val="00CE1D45"/>
    <w:rsid w:val="00CE32E7"/>
    <w:rsid w:val="00CE4998"/>
    <w:rsid w:val="00CE4F9D"/>
    <w:rsid w:val="00CF031C"/>
    <w:rsid w:val="00CF07E8"/>
    <w:rsid w:val="00CF14BC"/>
    <w:rsid w:val="00CF166D"/>
    <w:rsid w:val="00CF3265"/>
    <w:rsid w:val="00CF3693"/>
    <w:rsid w:val="00CF400F"/>
    <w:rsid w:val="00CF4769"/>
    <w:rsid w:val="00CF4FDD"/>
    <w:rsid w:val="00CF6708"/>
    <w:rsid w:val="00D00799"/>
    <w:rsid w:val="00D00801"/>
    <w:rsid w:val="00D009A4"/>
    <w:rsid w:val="00D0102B"/>
    <w:rsid w:val="00D01575"/>
    <w:rsid w:val="00D01795"/>
    <w:rsid w:val="00D01847"/>
    <w:rsid w:val="00D01EEE"/>
    <w:rsid w:val="00D02C65"/>
    <w:rsid w:val="00D02DAE"/>
    <w:rsid w:val="00D038D9"/>
    <w:rsid w:val="00D0466C"/>
    <w:rsid w:val="00D04968"/>
    <w:rsid w:val="00D06750"/>
    <w:rsid w:val="00D0696F"/>
    <w:rsid w:val="00D06AE3"/>
    <w:rsid w:val="00D06D06"/>
    <w:rsid w:val="00D06D34"/>
    <w:rsid w:val="00D07053"/>
    <w:rsid w:val="00D07B75"/>
    <w:rsid w:val="00D10C75"/>
    <w:rsid w:val="00D10FFF"/>
    <w:rsid w:val="00D113CA"/>
    <w:rsid w:val="00D134F6"/>
    <w:rsid w:val="00D14050"/>
    <w:rsid w:val="00D15718"/>
    <w:rsid w:val="00D161F4"/>
    <w:rsid w:val="00D16282"/>
    <w:rsid w:val="00D16400"/>
    <w:rsid w:val="00D16408"/>
    <w:rsid w:val="00D16DDD"/>
    <w:rsid w:val="00D17D41"/>
    <w:rsid w:val="00D230FC"/>
    <w:rsid w:val="00D2338C"/>
    <w:rsid w:val="00D23859"/>
    <w:rsid w:val="00D2468B"/>
    <w:rsid w:val="00D24958"/>
    <w:rsid w:val="00D2513F"/>
    <w:rsid w:val="00D26399"/>
    <w:rsid w:val="00D275C4"/>
    <w:rsid w:val="00D27E8D"/>
    <w:rsid w:val="00D309DA"/>
    <w:rsid w:val="00D312D1"/>
    <w:rsid w:val="00D32DAF"/>
    <w:rsid w:val="00D33497"/>
    <w:rsid w:val="00D33F54"/>
    <w:rsid w:val="00D346D7"/>
    <w:rsid w:val="00D36371"/>
    <w:rsid w:val="00D3654A"/>
    <w:rsid w:val="00D366DD"/>
    <w:rsid w:val="00D36EC1"/>
    <w:rsid w:val="00D4058F"/>
    <w:rsid w:val="00D40C37"/>
    <w:rsid w:val="00D40E86"/>
    <w:rsid w:val="00D42643"/>
    <w:rsid w:val="00D4361C"/>
    <w:rsid w:val="00D43CB3"/>
    <w:rsid w:val="00D440A7"/>
    <w:rsid w:val="00D44F9F"/>
    <w:rsid w:val="00D450AE"/>
    <w:rsid w:val="00D451C5"/>
    <w:rsid w:val="00D47ABA"/>
    <w:rsid w:val="00D47C0B"/>
    <w:rsid w:val="00D50CE9"/>
    <w:rsid w:val="00D50F20"/>
    <w:rsid w:val="00D5275D"/>
    <w:rsid w:val="00D53EA2"/>
    <w:rsid w:val="00D547AD"/>
    <w:rsid w:val="00D54EDD"/>
    <w:rsid w:val="00D55911"/>
    <w:rsid w:val="00D55B1C"/>
    <w:rsid w:val="00D56C6D"/>
    <w:rsid w:val="00D57456"/>
    <w:rsid w:val="00D57E66"/>
    <w:rsid w:val="00D60FCC"/>
    <w:rsid w:val="00D61B09"/>
    <w:rsid w:val="00D644D5"/>
    <w:rsid w:val="00D6460A"/>
    <w:rsid w:val="00D6598E"/>
    <w:rsid w:val="00D65B99"/>
    <w:rsid w:val="00D66595"/>
    <w:rsid w:val="00D674CF"/>
    <w:rsid w:val="00D67A26"/>
    <w:rsid w:val="00D67A55"/>
    <w:rsid w:val="00D702CA"/>
    <w:rsid w:val="00D707B6"/>
    <w:rsid w:val="00D70C10"/>
    <w:rsid w:val="00D715C7"/>
    <w:rsid w:val="00D716EB"/>
    <w:rsid w:val="00D71F3D"/>
    <w:rsid w:val="00D721A1"/>
    <w:rsid w:val="00D72880"/>
    <w:rsid w:val="00D72E40"/>
    <w:rsid w:val="00D73B54"/>
    <w:rsid w:val="00D73C24"/>
    <w:rsid w:val="00D75201"/>
    <w:rsid w:val="00D757B2"/>
    <w:rsid w:val="00D75E2E"/>
    <w:rsid w:val="00D75E46"/>
    <w:rsid w:val="00D763D7"/>
    <w:rsid w:val="00D7644C"/>
    <w:rsid w:val="00D77967"/>
    <w:rsid w:val="00D80B62"/>
    <w:rsid w:val="00D81550"/>
    <w:rsid w:val="00D818C7"/>
    <w:rsid w:val="00D83168"/>
    <w:rsid w:val="00D831DE"/>
    <w:rsid w:val="00D83784"/>
    <w:rsid w:val="00D84444"/>
    <w:rsid w:val="00D84987"/>
    <w:rsid w:val="00D859A8"/>
    <w:rsid w:val="00D85B80"/>
    <w:rsid w:val="00D866B8"/>
    <w:rsid w:val="00D86893"/>
    <w:rsid w:val="00D87D09"/>
    <w:rsid w:val="00D90B5A"/>
    <w:rsid w:val="00D9196B"/>
    <w:rsid w:val="00D91CEF"/>
    <w:rsid w:val="00D92B76"/>
    <w:rsid w:val="00D92FB9"/>
    <w:rsid w:val="00D9357D"/>
    <w:rsid w:val="00D93C7A"/>
    <w:rsid w:val="00D93F8A"/>
    <w:rsid w:val="00D941C7"/>
    <w:rsid w:val="00D9485E"/>
    <w:rsid w:val="00D95009"/>
    <w:rsid w:val="00D95834"/>
    <w:rsid w:val="00DA0667"/>
    <w:rsid w:val="00DA09CB"/>
    <w:rsid w:val="00DA10B4"/>
    <w:rsid w:val="00DA155D"/>
    <w:rsid w:val="00DA1E2C"/>
    <w:rsid w:val="00DA2114"/>
    <w:rsid w:val="00DA3D52"/>
    <w:rsid w:val="00DA5120"/>
    <w:rsid w:val="00DA72E7"/>
    <w:rsid w:val="00DA7C3A"/>
    <w:rsid w:val="00DB15C5"/>
    <w:rsid w:val="00DB1934"/>
    <w:rsid w:val="00DB27B5"/>
    <w:rsid w:val="00DB2F0A"/>
    <w:rsid w:val="00DB3B8E"/>
    <w:rsid w:val="00DB3C80"/>
    <w:rsid w:val="00DB4728"/>
    <w:rsid w:val="00DB568B"/>
    <w:rsid w:val="00DB628C"/>
    <w:rsid w:val="00DB63C4"/>
    <w:rsid w:val="00DB6A7E"/>
    <w:rsid w:val="00DB73BD"/>
    <w:rsid w:val="00DB7A50"/>
    <w:rsid w:val="00DB7F51"/>
    <w:rsid w:val="00DC17ED"/>
    <w:rsid w:val="00DC19C1"/>
    <w:rsid w:val="00DC1E6E"/>
    <w:rsid w:val="00DC31F0"/>
    <w:rsid w:val="00DC3678"/>
    <w:rsid w:val="00DC4481"/>
    <w:rsid w:val="00DC4BB2"/>
    <w:rsid w:val="00DC6333"/>
    <w:rsid w:val="00DC65C5"/>
    <w:rsid w:val="00DC7FF6"/>
    <w:rsid w:val="00DD012B"/>
    <w:rsid w:val="00DD083B"/>
    <w:rsid w:val="00DD1477"/>
    <w:rsid w:val="00DD2693"/>
    <w:rsid w:val="00DD3FD0"/>
    <w:rsid w:val="00DD4272"/>
    <w:rsid w:val="00DD4351"/>
    <w:rsid w:val="00DD47A1"/>
    <w:rsid w:val="00DD48BF"/>
    <w:rsid w:val="00DD793B"/>
    <w:rsid w:val="00DD7C41"/>
    <w:rsid w:val="00DE0A49"/>
    <w:rsid w:val="00DE0D3E"/>
    <w:rsid w:val="00DE13AA"/>
    <w:rsid w:val="00DE3815"/>
    <w:rsid w:val="00DE3C68"/>
    <w:rsid w:val="00DE3F32"/>
    <w:rsid w:val="00DE44AF"/>
    <w:rsid w:val="00DE4DCB"/>
    <w:rsid w:val="00DF0023"/>
    <w:rsid w:val="00DF0C3A"/>
    <w:rsid w:val="00DF14CB"/>
    <w:rsid w:val="00DF2AA6"/>
    <w:rsid w:val="00DF3956"/>
    <w:rsid w:val="00DF5497"/>
    <w:rsid w:val="00DF55F1"/>
    <w:rsid w:val="00DF70E7"/>
    <w:rsid w:val="00DF7234"/>
    <w:rsid w:val="00E0046D"/>
    <w:rsid w:val="00E00645"/>
    <w:rsid w:val="00E0267A"/>
    <w:rsid w:val="00E02994"/>
    <w:rsid w:val="00E04182"/>
    <w:rsid w:val="00E04BBE"/>
    <w:rsid w:val="00E053BC"/>
    <w:rsid w:val="00E056AB"/>
    <w:rsid w:val="00E06198"/>
    <w:rsid w:val="00E067A8"/>
    <w:rsid w:val="00E06982"/>
    <w:rsid w:val="00E06B24"/>
    <w:rsid w:val="00E0755F"/>
    <w:rsid w:val="00E07A3D"/>
    <w:rsid w:val="00E1036F"/>
    <w:rsid w:val="00E1101D"/>
    <w:rsid w:val="00E136E9"/>
    <w:rsid w:val="00E13BC5"/>
    <w:rsid w:val="00E152BF"/>
    <w:rsid w:val="00E15B2D"/>
    <w:rsid w:val="00E1648B"/>
    <w:rsid w:val="00E1662B"/>
    <w:rsid w:val="00E16A1F"/>
    <w:rsid w:val="00E16E02"/>
    <w:rsid w:val="00E16F48"/>
    <w:rsid w:val="00E17C4F"/>
    <w:rsid w:val="00E17F87"/>
    <w:rsid w:val="00E2059E"/>
    <w:rsid w:val="00E20EE3"/>
    <w:rsid w:val="00E215A2"/>
    <w:rsid w:val="00E218F6"/>
    <w:rsid w:val="00E21944"/>
    <w:rsid w:val="00E21D6F"/>
    <w:rsid w:val="00E22088"/>
    <w:rsid w:val="00E23CC5"/>
    <w:rsid w:val="00E246AE"/>
    <w:rsid w:val="00E24C17"/>
    <w:rsid w:val="00E24E00"/>
    <w:rsid w:val="00E251BE"/>
    <w:rsid w:val="00E2619C"/>
    <w:rsid w:val="00E27375"/>
    <w:rsid w:val="00E27AC7"/>
    <w:rsid w:val="00E3012A"/>
    <w:rsid w:val="00E30433"/>
    <w:rsid w:val="00E319EB"/>
    <w:rsid w:val="00E31E30"/>
    <w:rsid w:val="00E320AF"/>
    <w:rsid w:val="00E35404"/>
    <w:rsid w:val="00E36266"/>
    <w:rsid w:val="00E3663B"/>
    <w:rsid w:val="00E400D2"/>
    <w:rsid w:val="00E400E7"/>
    <w:rsid w:val="00E403A8"/>
    <w:rsid w:val="00E40572"/>
    <w:rsid w:val="00E41A4C"/>
    <w:rsid w:val="00E427D5"/>
    <w:rsid w:val="00E42F2B"/>
    <w:rsid w:val="00E44B53"/>
    <w:rsid w:val="00E458BA"/>
    <w:rsid w:val="00E4620B"/>
    <w:rsid w:val="00E51196"/>
    <w:rsid w:val="00E514BD"/>
    <w:rsid w:val="00E517B6"/>
    <w:rsid w:val="00E524DC"/>
    <w:rsid w:val="00E52EE2"/>
    <w:rsid w:val="00E53141"/>
    <w:rsid w:val="00E55662"/>
    <w:rsid w:val="00E55AC4"/>
    <w:rsid w:val="00E576F0"/>
    <w:rsid w:val="00E57CE1"/>
    <w:rsid w:val="00E57D69"/>
    <w:rsid w:val="00E60586"/>
    <w:rsid w:val="00E61030"/>
    <w:rsid w:val="00E612BB"/>
    <w:rsid w:val="00E61484"/>
    <w:rsid w:val="00E6227C"/>
    <w:rsid w:val="00E6258A"/>
    <w:rsid w:val="00E62708"/>
    <w:rsid w:val="00E63C20"/>
    <w:rsid w:val="00E641E1"/>
    <w:rsid w:val="00E646CE"/>
    <w:rsid w:val="00E64E4B"/>
    <w:rsid w:val="00E655BE"/>
    <w:rsid w:val="00E65BC7"/>
    <w:rsid w:val="00E6629C"/>
    <w:rsid w:val="00E71082"/>
    <w:rsid w:val="00E719EE"/>
    <w:rsid w:val="00E71ADB"/>
    <w:rsid w:val="00E7307A"/>
    <w:rsid w:val="00E746FB"/>
    <w:rsid w:val="00E773D4"/>
    <w:rsid w:val="00E80123"/>
    <w:rsid w:val="00E80C88"/>
    <w:rsid w:val="00E813D9"/>
    <w:rsid w:val="00E81F05"/>
    <w:rsid w:val="00E83013"/>
    <w:rsid w:val="00E838A1"/>
    <w:rsid w:val="00E83B9A"/>
    <w:rsid w:val="00E83F98"/>
    <w:rsid w:val="00E8408F"/>
    <w:rsid w:val="00E84211"/>
    <w:rsid w:val="00E843FD"/>
    <w:rsid w:val="00E84F94"/>
    <w:rsid w:val="00E873E9"/>
    <w:rsid w:val="00E879BD"/>
    <w:rsid w:val="00E924FB"/>
    <w:rsid w:val="00E926E4"/>
    <w:rsid w:val="00E92792"/>
    <w:rsid w:val="00E92C9B"/>
    <w:rsid w:val="00E93F5B"/>
    <w:rsid w:val="00E94A08"/>
    <w:rsid w:val="00E950A7"/>
    <w:rsid w:val="00E95146"/>
    <w:rsid w:val="00E95AAD"/>
    <w:rsid w:val="00E964E1"/>
    <w:rsid w:val="00E970F3"/>
    <w:rsid w:val="00EA0A74"/>
    <w:rsid w:val="00EA1CAA"/>
    <w:rsid w:val="00EA2E91"/>
    <w:rsid w:val="00EA2F76"/>
    <w:rsid w:val="00EA30DE"/>
    <w:rsid w:val="00EA31FD"/>
    <w:rsid w:val="00EA4FE3"/>
    <w:rsid w:val="00EA5C0E"/>
    <w:rsid w:val="00EA6FE7"/>
    <w:rsid w:val="00EB0142"/>
    <w:rsid w:val="00EB0ED0"/>
    <w:rsid w:val="00EB10B5"/>
    <w:rsid w:val="00EB1318"/>
    <w:rsid w:val="00EB26DA"/>
    <w:rsid w:val="00EB3681"/>
    <w:rsid w:val="00EB421F"/>
    <w:rsid w:val="00EB461B"/>
    <w:rsid w:val="00EB682B"/>
    <w:rsid w:val="00EB700A"/>
    <w:rsid w:val="00EC03D3"/>
    <w:rsid w:val="00EC0410"/>
    <w:rsid w:val="00EC074E"/>
    <w:rsid w:val="00EC115E"/>
    <w:rsid w:val="00EC1FEF"/>
    <w:rsid w:val="00EC2287"/>
    <w:rsid w:val="00EC3A49"/>
    <w:rsid w:val="00EC4E63"/>
    <w:rsid w:val="00EC5A01"/>
    <w:rsid w:val="00EC60DE"/>
    <w:rsid w:val="00EC6375"/>
    <w:rsid w:val="00EC663D"/>
    <w:rsid w:val="00EC7211"/>
    <w:rsid w:val="00EC7495"/>
    <w:rsid w:val="00EC7AC1"/>
    <w:rsid w:val="00EC7CDA"/>
    <w:rsid w:val="00ED0801"/>
    <w:rsid w:val="00ED09A6"/>
    <w:rsid w:val="00ED0BCA"/>
    <w:rsid w:val="00ED13CA"/>
    <w:rsid w:val="00ED1ADA"/>
    <w:rsid w:val="00ED31D3"/>
    <w:rsid w:val="00ED48AF"/>
    <w:rsid w:val="00ED595F"/>
    <w:rsid w:val="00ED684C"/>
    <w:rsid w:val="00ED69BB"/>
    <w:rsid w:val="00ED6D56"/>
    <w:rsid w:val="00ED7E27"/>
    <w:rsid w:val="00ED7FAD"/>
    <w:rsid w:val="00EE038B"/>
    <w:rsid w:val="00EE140A"/>
    <w:rsid w:val="00EE1581"/>
    <w:rsid w:val="00EE1B02"/>
    <w:rsid w:val="00EE1BBC"/>
    <w:rsid w:val="00EE27DF"/>
    <w:rsid w:val="00EE4156"/>
    <w:rsid w:val="00EE4A4C"/>
    <w:rsid w:val="00EE4F28"/>
    <w:rsid w:val="00EE5157"/>
    <w:rsid w:val="00EE561E"/>
    <w:rsid w:val="00EE5A8E"/>
    <w:rsid w:val="00EE6371"/>
    <w:rsid w:val="00EE6E14"/>
    <w:rsid w:val="00EE7D58"/>
    <w:rsid w:val="00EF0EC6"/>
    <w:rsid w:val="00EF1517"/>
    <w:rsid w:val="00EF1A60"/>
    <w:rsid w:val="00EF2369"/>
    <w:rsid w:val="00EF37EF"/>
    <w:rsid w:val="00EF500C"/>
    <w:rsid w:val="00EF607F"/>
    <w:rsid w:val="00EF68FA"/>
    <w:rsid w:val="00EF6ECA"/>
    <w:rsid w:val="00EF703A"/>
    <w:rsid w:val="00EF72C1"/>
    <w:rsid w:val="00EF7399"/>
    <w:rsid w:val="00F004A5"/>
    <w:rsid w:val="00F00BE3"/>
    <w:rsid w:val="00F00E60"/>
    <w:rsid w:val="00F01736"/>
    <w:rsid w:val="00F01A2E"/>
    <w:rsid w:val="00F02B3E"/>
    <w:rsid w:val="00F02EBA"/>
    <w:rsid w:val="00F02F7E"/>
    <w:rsid w:val="00F03817"/>
    <w:rsid w:val="00F0712A"/>
    <w:rsid w:val="00F07146"/>
    <w:rsid w:val="00F1009A"/>
    <w:rsid w:val="00F10810"/>
    <w:rsid w:val="00F109AD"/>
    <w:rsid w:val="00F11F8B"/>
    <w:rsid w:val="00F12D0A"/>
    <w:rsid w:val="00F1390E"/>
    <w:rsid w:val="00F1463D"/>
    <w:rsid w:val="00F14F1A"/>
    <w:rsid w:val="00F159F1"/>
    <w:rsid w:val="00F2083E"/>
    <w:rsid w:val="00F219B1"/>
    <w:rsid w:val="00F23399"/>
    <w:rsid w:val="00F24608"/>
    <w:rsid w:val="00F24805"/>
    <w:rsid w:val="00F24A7D"/>
    <w:rsid w:val="00F24B8A"/>
    <w:rsid w:val="00F24BBC"/>
    <w:rsid w:val="00F25295"/>
    <w:rsid w:val="00F25A24"/>
    <w:rsid w:val="00F262E3"/>
    <w:rsid w:val="00F26F35"/>
    <w:rsid w:val="00F30652"/>
    <w:rsid w:val="00F30E5D"/>
    <w:rsid w:val="00F3121D"/>
    <w:rsid w:val="00F31891"/>
    <w:rsid w:val="00F3244A"/>
    <w:rsid w:val="00F328AB"/>
    <w:rsid w:val="00F32ABC"/>
    <w:rsid w:val="00F33ECE"/>
    <w:rsid w:val="00F35628"/>
    <w:rsid w:val="00F379E5"/>
    <w:rsid w:val="00F37DDC"/>
    <w:rsid w:val="00F40356"/>
    <w:rsid w:val="00F41416"/>
    <w:rsid w:val="00F4245F"/>
    <w:rsid w:val="00F4262B"/>
    <w:rsid w:val="00F427E6"/>
    <w:rsid w:val="00F433B8"/>
    <w:rsid w:val="00F44BAF"/>
    <w:rsid w:val="00F451BD"/>
    <w:rsid w:val="00F45217"/>
    <w:rsid w:val="00F45FED"/>
    <w:rsid w:val="00F46E2D"/>
    <w:rsid w:val="00F47565"/>
    <w:rsid w:val="00F476DA"/>
    <w:rsid w:val="00F478A9"/>
    <w:rsid w:val="00F525F6"/>
    <w:rsid w:val="00F528B1"/>
    <w:rsid w:val="00F558C7"/>
    <w:rsid w:val="00F562D4"/>
    <w:rsid w:val="00F56834"/>
    <w:rsid w:val="00F56DF8"/>
    <w:rsid w:val="00F56F29"/>
    <w:rsid w:val="00F579D4"/>
    <w:rsid w:val="00F57E5F"/>
    <w:rsid w:val="00F60209"/>
    <w:rsid w:val="00F625CA"/>
    <w:rsid w:val="00F64FFE"/>
    <w:rsid w:val="00F652AF"/>
    <w:rsid w:val="00F656CF"/>
    <w:rsid w:val="00F656FF"/>
    <w:rsid w:val="00F67227"/>
    <w:rsid w:val="00F6757C"/>
    <w:rsid w:val="00F701FB"/>
    <w:rsid w:val="00F70A3D"/>
    <w:rsid w:val="00F70BDE"/>
    <w:rsid w:val="00F70C34"/>
    <w:rsid w:val="00F711CE"/>
    <w:rsid w:val="00F712D7"/>
    <w:rsid w:val="00F717A0"/>
    <w:rsid w:val="00F73FA6"/>
    <w:rsid w:val="00F74F40"/>
    <w:rsid w:val="00F7632D"/>
    <w:rsid w:val="00F76D7E"/>
    <w:rsid w:val="00F774E7"/>
    <w:rsid w:val="00F7751B"/>
    <w:rsid w:val="00F77B3A"/>
    <w:rsid w:val="00F77E75"/>
    <w:rsid w:val="00F8078C"/>
    <w:rsid w:val="00F81762"/>
    <w:rsid w:val="00F81EB1"/>
    <w:rsid w:val="00F82369"/>
    <w:rsid w:val="00F82674"/>
    <w:rsid w:val="00F82A73"/>
    <w:rsid w:val="00F8329C"/>
    <w:rsid w:val="00F83A0A"/>
    <w:rsid w:val="00F86150"/>
    <w:rsid w:val="00F86417"/>
    <w:rsid w:val="00F86D6B"/>
    <w:rsid w:val="00F86FDF"/>
    <w:rsid w:val="00F87074"/>
    <w:rsid w:val="00F87EF4"/>
    <w:rsid w:val="00F91A16"/>
    <w:rsid w:val="00F91E31"/>
    <w:rsid w:val="00F93701"/>
    <w:rsid w:val="00F9382F"/>
    <w:rsid w:val="00F94505"/>
    <w:rsid w:val="00F963C0"/>
    <w:rsid w:val="00F96621"/>
    <w:rsid w:val="00F975F9"/>
    <w:rsid w:val="00F97727"/>
    <w:rsid w:val="00F9773A"/>
    <w:rsid w:val="00F9785D"/>
    <w:rsid w:val="00FA19D9"/>
    <w:rsid w:val="00FA245C"/>
    <w:rsid w:val="00FA3C28"/>
    <w:rsid w:val="00FA4424"/>
    <w:rsid w:val="00FA47D0"/>
    <w:rsid w:val="00FA5F99"/>
    <w:rsid w:val="00FA645C"/>
    <w:rsid w:val="00FA6593"/>
    <w:rsid w:val="00FA7E84"/>
    <w:rsid w:val="00FB1151"/>
    <w:rsid w:val="00FB1488"/>
    <w:rsid w:val="00FB48FD"/>
    <w:rsid w:val="00FB4CCE"/>
    <w:rsid w:val="00FB4E9E"/>
    <w:rsid w:val="00FB57FD"/>
    <w:rsid w:val="00FB5E73"/>
    <w:rsid w:val="00FB69B5"/>
    <w:rsid w:val="00FB779F"/>
    <w:rsid w:val="00FB7E2B"/>
    <w:rsid w:val="00FC0155"/>
    <w:rsid w:val="00FC0425"/>
    <w:rsid w:val="00FC0452"/>
    <w:rsid w:val="00FC0504"/>
    <w:rsid w:val="00FC1577"/>
    <w:rsid w:val="00FC1FCB"/>
    <w:rsid w:val="00FC2ED0"/>
    <w:rsid w:val="00FC380E"/>
    <w:rsid w:val="00FC3BE0"/>
    <w:rsid w:val="00FC4CD6"/>
    <w:rsid w:val="00FC57E7"/>
    <w:rsid w:val="00FC6D94"/>
    <w:rsid w:val="00FC72F2"/>
    <w:rsid w:val="00FC7347"/>
    <w:rsid w:val="00FD04D2"/>
    <w:rsid w:val="00FD05D9"/>
    <w:rsid w:val="00FD07B6"/>
    <w:rsid w:val="00FD0E98"/>
    <w:rsid w:val="00FD117D"/>
    <w:rsid w:val="00FD1F1F"/>
    <w:rsid w:val="00FD3792"/>
    <w:rsid w:val="00FD476E"/>
    <w:rsid w:val="00FD5784"/>
    <w:rsid w:val="00FD5E04"/>
    <w:rsid w:val="00FD602A"/>
    <w:rsid w:val="00FD644A"/>
    <w:rsid w:val="00FD7416"/>
    <w:rsid w:val="00FD7E6C"/>
    <w:rsid w:val="00FE0B60"/>
    <w:rsid w:val="00FE14D0"/>
    <w:rsid w:val="00FE1D96"/>
    <w:rsid w:val="00FE36E4"/>
    <w:rsid w:val="00FE4325"/>
    <w:rsid w:val="00FE4BCC"/>
    <w:rsid w:val="00FE4F84"/>
    <w:rsid w:val="00FE53B6"/>
    <w:rsid w:val="00FE5943"/>
    <w:rsid w:val="00FE6473"/>
    <w:rsid w:val="00FE6AA0"/>
    <w:rsid w:val="00FE7EDD"/>
    <w:rsid w:val="00FF0A54"/>
    <w:rsid w:val="00FF0F44"/>
    <w:rsid w:val="00FF117C"/>
    <w:rsid w:val="00FF1525"/>
    <w:rsid w:val="00FF2113"/>
    <w:rsid w:val="00FF2EB3"/>
    <w:rsid w:val="00FF34F1"/>
    <w:rsid w:val="00FF356F"/>
    <w:rsid w:val="00FF3C11"/>
    <w:rsid w:val="00FF48A9"/>
    <w:rsid w:val="00FF4DB0"/>
    <w:rsid w:val="00FF4F48"/>
    <w:rsid w:val="00FF577F"/>
    <w:rsid w:val="00FF5D46"/>
    <w:rsid w:val="00FF67E5"/>
    <w:rsid w:val="00FF6F2B"/>
    <w:rsid w:val="015D5A91"/>
    <w:rsid w:val="01664E10"/>
    <w:rsid w:val="01693093"/>
    <w:rsid w:val="016F4983"/>
    <w:rsid w:val="01D44DA7"/>
    <w:rsid w:val="01D76201"/>
    <w:rsid w:val="01EA6807"/>
    <w:rsid w:val="01F02BD8"/>
    <w:rsid w:val="021C6C51"/>
    <w:rsid w:val="02306664"/>
    <w:rsid w:val="02426A49"/>
    <w:rsid w:val="0283120F"/>
    <w:rsid w:val="02A341BE"/>
    <w:rsid w:val="02BF7895"/>
    <w:rsid w:val="02D8636F"/>
    <w:rsid w:val="02D87192"/>
    <w:rsid w:val="02F719C2"/>
    <w:rsid w:val="03042E16"/>
    <w:rsid w:val="03281ED0"/>
    <w:rsid w:val="03754F94"/>
    <w:rsid w:val="03845596"/>
    <w:rsid w:val="03A9388D"/>
    <w:rsid w:val="03C0142F"/>
    <w:rsid w:val="03D356DE"/>
    <w:rsid w:val="041E207D"/>
    <w:rsid w:val="0424428F"/>
    <w:rsid w:val="04557CAD"/>
    <w:rsid w:val="04703860"/>
    <w:rsid w:val="04AE6F74"/>
    <w:rsid w:val="04F324A7"/>
    <w:rsid w:val="054B1BE0"/>
    <w:rsid w:val="054E375D"/>
    <w:rsid w:val="055E59DB"/>
    <w:rsid w:val="05885B6C"/>
    <w:rsid w:val="05B00B60"/>
    <w:rsid w:val="05B7201C"/>
    <w:rsid w:val="05D84DD7"/>
    <w:rsid w:val="05DF5854"/>
    <w:rsid w:val="06521BE3"/>
    <w:rsid w:val="06642BE4"/>
    <w:rsid w:val="067D25B9"/>
    <w:rsid w:val="0680729B"/>
    <w:rsid w:val="06A3377B"/>
    <w:rsid w:val="06E666A3"/>
    <w:rsid w:val="06FD1404"/>
    <w:rsid w:val="07250EAC"/>
    <w:rsid w:val="0741768E"/>
    <w:rsid w:val="07C5293E"/>
    <w:rsid w:val="07CE6953"/>
    <w:rsid w:val="07DD1CE2"/>
    <w:rsid w:val="07F134A7"/>
    <w:rsid w:val="084904F0"/>
    <w:rsid w:val="088557E3"/>
    <w:rsid w:val="0887708E"/>
    <w:rsid w:val="08A94BE0"/>
    <w:rsid w:val="08D42FC2"/>
    <w:rsid w:val="091110D8"/>
    <w:rsid w:val="09896D9C"/>
    <w:rsid w:val="09B60939"/>
    <w:rsid w:val="09CB1068"/>
    <w:rsid w:val="09F42A08"/>
    <w:rsid w:val="0A337503"/>
    <w:rsid w:val="0A363A43"/>
    <w:rsid w:val="0A4D64B8"/>
    <w:rsid w:val="0A6945FF"/>
    <w:rsid w:val="0A8A1AB5"/>
    <w:rsid w:val="0A93594D"/>
    <w:rsid w:val="0ABA7B07"/>
    <w:rsid w:val="0AD944C2"/>
    <w:rsid w:val="0B042025"/>
    <w:rsid w:val="0B350879"/>
    <w:rsid w:val="0B4E512E"/>
    <w:rsid w:val="0B592C92"/>
    <w:rsid w:val="0B7F4894"/>
    <w:rsid w:val="0B9C7C39"/>
    <w:rsid w:val="0BB73308"/>
    <w:rsid w:val="0BBA1FAE"/>
    <w:rsid w:val="0BBE5C30"/>
    <w:rsid w:val="0BCB17DF"/>
    <w:rsid w:val="0BF226B4"/>
    <w:rsid w:val="0C205467"/>
    <w:rsid w:val="0C572884"/>
    <w:rsid w:val="0C6D2B01"/>
    <w:rsid w:val="0C711038"/>
    <w:rsid w:val="0CA765A1"/>
    <w:rsid w:val="0CCF65EA"/>
    <w:rsid w:val="0D1520D8"/>
    <w:rsid w:val="0D155D67"/>
    <w:rsid w:val="0DA32BE4"/>
    <w:rsid w:val="0DC70C62"/>
    <w:rsid w:val="0DCB6DC8"/>
    <w:rsid w:val="0DD74B8C"/>
    <w:rsid w:val="0DE85E63"/>
    <w:rsid w:val="0DF97E8F"/>
    <w:rsid w:val="0E014A24"/>
    <w:rsid w:val="0E1E1535"/>
    <w:rsid w:val="0E7679EF"/>
    <w:rsid w:val="0E84452F"/>
    <w:rsid w:val="0E883EDD"/>
    <w:rsid w:val="0EAB7473"/>
    <w:rsid w:val="0EB11D07"/>
    <w:rsid w:val="0EF61697"/>
    <w:rsid w:val="0F446D48"/>
    <w:rsid w:val="0F845190"/>
    <w:rsid w:val="0F850A4A"/>
    <w:rsid w:val="0FA226A5"/>
    <w:rsid w:val="0FCF1200"/>
    <w:rsid w:val="0FDD6C44"/>
    <w:rsid w:val="1035559B"/>
    <w:rsid w:val="104D2FF0"/>
    <w:rsid w:val="106A5374"/>
    <w:rsid w:val="10C566A8"/>
    <w:rsid w:val="11001CF2"/>
    <w:rsid w:val="11170AB4"/>
    <w:rsid w:val="111E0829"/>
    <w:rsid w:val="112920FA"/>
    <w:rsid w:val="112A0E61"/>
    <w:rsid w:val="114C1B84"/>
    <w:rsid w:val="11603582"/>
    <w:rsid w:val="11743EDB"/>
    <w:rsid w:val="11923D07"/>
    <w:rsid w:val="11A2305D"/>
    <w:rsid w:val="12075FF5"/>
    <w:rsid w:val="123132D5"/>
    <w:rsid w:val="1250341F"/>
    <w:rsid w:val="1278398C"/>
    <w:rsid w:val="12BF6E1C"/>
    <w:rsid w:val="12C2637B"/>
    <w:rsid w:val="12CF4832"/>
    <w:rsid w:val="12E21890"/>
    <w:rsid w:val="12EF602D"/>
    <w:rsid w:val="12F1110E"/>
    <w:rsid w:val="12F12CA4"/>
    <w:rsid w:val="130C3C1A"/>
    <w:rsid w:val="13AD6C13"/>
    <w:rsid w:val="13CC3DBF"/>
    <w:rsid w:val="13CE1949"/>
    <w:rsid w:val="13ED6243"/>
    <w:rsid w:val="141F0F77"/>
    <w:rsid w:val="14333DCE"/>
    <w:rsid w:val="143D5D9B"/>
    <w:rsid w:val="149A1AF6"/>
    <w:rsid w:val="149A1DAC"/>
    <w:rsid w:val="14C5523D"/>
    <w:rsid w:val="14E56AC9"/>
    <w:rsid w:val="152F41B0"/>
    <w:rsid w:val="15404AE2"/>
    <w:rsid w:val="15405204"/>
    <w:rsid w:val="155F19C3"/>
    <w:rsid w:val="15CC29EB"/>
    <w:rsid w:val="16172DF6"/>
    <w:rsid w:val="162744BE"/>
    <w:rsid w:val="168E5451"/>
    <w:rsid w:val="16BF086B"/>
    <w:rsid w:val="16C05C09"/>
    <w:rsid w:val="16CA1600"/>
    <w:rsid w:val="16CA7BB2"/>
    <w:rsid w:val="16D20031"/>
    <w:rsid w:val="16F964FD"/>
    <w:rsid w:val="17165E0A"/>
    <w:rsid w:val="1744294A"/>
    <w:rsid w:val="177404AD"/>
    <w:rsid w:val="179F04B3"/>
    <w:rsid w:val="17B530D5"/>
    <w:rsid w:val="17E3443F"/>
    <w:rsid w:val="17FA3BF3"/>
    <w:rsid w:val="17FD00E8"/>
    <w:rsid w:val="185D35DF"/>
    <w:rsid w:val="18AC57D3"/>
    <w:rsid w:val="197C2133"/>
    <w:rsid w:val="19894364"/>
    <w:rsid w:val="19AB4FBC"/>
    <w:rsid w:val="19CA3720"/>
    <w:rsid w:val="1A0E055D"/>
    <w:rsid w:val="1A8B1D8F"/>
    <w:rsid w:val="1A8D421B"/>
    <w:rsid w:val="1AFC433D"/>
    <w:rsid w:val="1B0A3ABE"/>
    <w:rsid w:val="1B354AF7"/>
    <w:rsid w:val="1B3D4305"/>
    <w:rsid w:val="1B4A35BB"/>
    <w:rsid w:val="1B5F1619"/>
    <w:rsid w:val="1B8E3E9B"/>
    <w:rsid w:val="1B912A88"/>
    <w:rsid w:val="1B914F79"/>
    <w:rsid w:val="1B9E31AA"/>
    <w:rsid w:val="1BA67808"/>
    <w:rsid w:val="1BB77FB9"/>
    <w:rsid w:val="1BF67491"/>
    <w:rsid w:val="1C1F437D"/>
    <w:rsid w:val="1C5079BE"/>
    <w:rsid w:val="1C5A25B3"/>
    <w:rsid w:val="1C5A76FD"/>
    <w:rsid w:val="1C7F24ED"/>
    <w:rsid w:val="1C9E0160"/>
    <w:rsid w:val="1CF62922"/>
    <w:rsid w:val="1D0D2D72"/>
    <w:rsid w:val="1D165CF5"/>
    <w:rsid w:val="1D2653DC"/>
    <w:rsid w:val="1D2C7CF0"/>
    <w:rsid w:val="1D3A0EC0"/>
    <w:rsid w:val="1D402005"/>
    <w:rsid w:val="1D9E02C0"/>
    <w:rsid w:val="1DA24E21"/>
    <w:rsid w:val="1DAB04B1"/>
    <w:rsid w:val="1DBF4932"/>
    <w:rsid w:val="1DC640CB"/>
    <w:rsid w:val="1E775B32"/>
    <w:rsid w:val="1F19590F"/>
    <w:rsid w:val="1F5E0833"/>
    <w:rsid w:val="200E4CB5"/>
    <w:rsid w:val="20100ED1"/>
    <w:rsid w:val="201E5906"/>
    <w:rsid w:val="2062250C"/>
    <w:rsid w:val="209C69D8"/>
    <w:rsid w:val="20C534BB"/>
    <w:rsid w:val="20D5040E"/>
    <w:rsid w:val="211504CF"/>
    <w:rsid w:val="211A5B93"/>
    <w:rsid w:val="217F20D7"/>
    <w:rsid w:val="21BC102E"/>
    <w:rsid w:val="225D7E1C"/>
    <w:rsid w:val="22636B53"/>
    <w:rsid w:val="229A4BDE"/>
    <w:rsid w:val="22AE0645"/>
    <w:rsid w:val="22BA7F72"/>
    <w:rsid w:val="22BE4A76"/>
    <w:rsid w:val="22E03B26"/>
    <w:rsid w:val="22E319E4"/>
    <w:rsid w:val="22EF17BA"/>
    <w:rsid w:val="23434F2D"/>
    <w:rsid w:val="234E6BD7"/>
    <w:rsid w:val="23657146"/>
    <w:rsid w:val="2406468C"/>
    <w:rsid w:val="24F17876"/>
    <w:rsid w:val="24FC66D0"/>
    <w:rsid w:val="251E3A36"/>
    <w:rsid w:val="256F61D3"/>
    <w:rsid w:val="2583509D"/>
    <w:rsid w:val="258921D1"/>
    <w:rsid w:val="258B584F"/>
    <w:rsid w:val="25AE510E"/>
    <w:rsid w:val="26294EA7"/>
    <w:rsid w:val="263C4BBA"/>
    <w:rsid w:val="263E364F"/>
    <w:rsid w:val="268562D7"/>
    <w:rsid w:val="269573D5"/>
    <w:rsid w:val="26C85325"/>
    <w:rsid w:val="26D618C4"/>
    <w:rsid w:val="26FE0FB0"/>
    <w:rsid w:val="273E2165"/>
    <w:rsid w:val="274D2539"/>
    <w:rsid w:val="2791644A"/>
    <w:rsid w:val="27926E8E"/>
    <w:rsid w:val="27DB719E"/>
    <w:rsid w:val="281C532D"/>
    <w:rsid w:val="28300753"/>
    <w:rsid w:val="284A383F"/>
    <w:rsid w:val="285957B6"/>
    <w:rsid w:val="289A53B6"/>
    <w:rsid w:val="28B34103"/>
    <w:rsid w:val="28E70F9F"/>
    <w:rsid w:val="299E203F"/>
    <w:rsid w:val="29B56597"/>
    <w:rsid w:val="29DC39E6"/>
    <w:rsid w:val="2A953E10"/>
    <w:rsid w:val="2AB20650"/>
    <w:rsid w:val="2AF1435F"/>
    <w:rsid w:val="2AF46ABE"/>
    <w:rsid w:val="2B23290E"/>
    <w:rsid w:val="2B922189"/>
    <w:rsid w:val="2BA80B3F"/>
    <w:rsid w:val="2BB508A9"/>
    <w:rsid w:val="2BB643C9"/>
    <w:rsid w:val="2C097040"/>
    <w:rsid w:val="2C0E2CA0"/>
    <w:rsid w:val="2C1B56D1"/>
    <w:rsid w:val="2C2C11E8"/>
    <w:rsid w:val="2D00611B"/>
    <w:rsid w:val="2D095C5D"/>
    <w:rsid w:val="2D5F6A9F"/>
    <w:rsid w:val="2D932AA8"/>
    <w:rsid w:val="2D9F1136"/>
    <w:rsid w:val="2DEE53EB"/>
    <w:rsid w:val="2DFD78DF"/>
    <w:rsid w:val="2EFF31A9"/>
    <w:rsid w:val="2F273F78"/>
    <w:rsid w:val="2F2B7841"/>
    <w:rsid w:val="2F7C1D01"/>
    <w:rsid w:val="2F7D0C42"/>
    <w:rsid w:val="2F8844EC"/>
    <w:rsid w:val="2F993B77"/>
    <w:rsid w:val="2FDF09B5"/>
    <w:rsid w:val="2FEF4B96"/>
    <w:rsid w:val="30220C93"/>
    <w:rsid w:val="306B7D2D"/>
    <w:rsid w:val="309106C3"/>
    <w:rsid w:val="30D904CE"/>
    <w:rsid w:val="30DD22B4"/>
    <w:rsid w:val="30F327B0"/>
    <w:rsid w:val="311C2F8D"/>
    <w:rsid w:val="313A7759"/>
    <w:rsid w:val="31626C94"/>
    <w:rsid w:val="31681B4A"/>
    <w:rsid w:val="31F63556"/>
    <w:rsid w:val="32046275"/>
    <w:rsid w:val="32267937"/>
    <w:rsid w:val="32413008"/>
    <w:rsid w:val="32465193"/>
    <w:rsid w:val="324E41BA"/>
    <w:rsid w:val="32517FB9"/>
    <w:rsid w:val="32883DA3"/>
    <w:rsid w:val="32AC577D"/>
    <w:rsid w:val="32F370FA"/>
    <w:rsid w:val="33397A4C"/>
    <w:rsid w:val="334B6A33"/>
    <w:rsid w:val="334C75D1"/>
    <w:rsid w:val="33643465"/>
    <w:rsid w:val="336B598C"/>
    <w:rsid w:val="33A20CE5"/>
    <w:rsid w:val="33BC2E44"/>
    <w:rsid w:val="33C658D8"/>
    <w:rsid w:val="33D94ECB"/>
    <w:rsid w:val="344207A2"/>
    <w:rsid w:val="348069BC"/>
    <w:rsid w:val="34822F54"/>
    <w:rsid w:val="34A60787"/>
    <w:rsid w:val="358052E1"/>
    <w:rsid w:val="35E00E69"/>
    <w:rsid w:val="35E476B0"/>
    <w:rsid w:val="35EC7DE6"/>
    <w:rsid w:val="36370F64"/>
    <w:rsid w:val="36516698"/>
    <w:rsid w:val="367C4475"/>
    <w:rsid w:val="3682016E"/>
    <w:rsid w:val="369F2D05"/>
    <w:rsid w:val="372A2922"/>
    <w:rsid w:val="372B22A1"/>
    <w:rsid w:val="374308C2"/>
    <w:rsid w:val="375921ED"/>
    <w:rsid w:val="37782C6A"/>
    <w:rsid w:val="37BC4D88"/>
    <w:rsid w:val="37E71F80"/>
    <w:rsid w:val="38130DC1"/>
    <w:rsid w:val="38232920"/>
    <w:rsid w:val="386E3CB5"/>
    <w:rsid w:val="389F102E"/>
    <w:rsid w:val="389F17CD"/>
    <w:rsid w:val="38CA1E28"/>
    <w:rsid w:val="38DC4F3C"/>
    <w:rsid w:val="39681120"/>
    <w:rsid w:val="39767EF9"/>
    <w:rsid w:val="397A587F"/>
    <w:rsid w:val="39812682"/>
    <w:rsid w:val="39A219B9"/>
    <w:rsid w:val="39A572A1"/>
    <w:rsid w:val="3A05757F"/>
    <w:rsid w:val="3A0A42CE"/>
    <w:rsid w:val="3A350269"/>
    <w:rsid w:val="3A4605F0"/>
    <w:rsid w:val="3A464B0D"/>
    <w:rsid w:val="3A48723E"/>
    <w:rsid w:val="3A4E4926"/>
    <w:rsid w:val="3A6B4616"/>
    <w:rsid w:val="3A7E613C"/>
    <w:rsid w:val="3A9D19B6"/>
    <w:rsid w:val="3B3A19FF"/>
    <w:rsid w:val="3B3E5864"/>
    <w:rsid w:val="3B554991"/>
    <w:rsid w:val="3B703603"/>
    <w:rsid w:val="3B8C2ABA"/>
    <w:rsid w:val="3BE42550"/>
    <w:rsid w:val="3C1A3618"/>
    <w:rsid w:val="3C253C9C"/>
    <w:rsid w:val="3C25569C"/>
    <w:rsid w:val="3C3D4FCA"/>
    <w:rsid w:val="3C5C1F4D"/>
    <w:rsid w:val="3C615C54"/>
    <w:rsid w:val="3C9C5361"/>
    <w:rsid w:val="3C9D1C25"/>
    <w:rsid w:val="3D0806CB"/>
    <w:rsid w:val="3D943BB3"/>
    <w:rsid w:val="3DA05C48"/>
    <w:rsid w:val="3DD808BD"/>
    <w:rsid w:val="3E25248C"/>
    <w:rsid w:val="3E2772CF"/>
    <w:rsid w:val="3E386D73"/>
    <w:rsid w:val="3E7161F8"/>
    <w:rsid w:val="3E837336"/>
    <w:rsid w:val="3EBA3EC9"/>
    <w:rsid w:val="3EC7283D"/>
    <w:rsid w:val="3EE22840"/>
    <w:rsid w:val="3F430FC1"/>
    <w:rsid w:val="3F5E3594"/>
    <w:rsid w:val="3F825F3A"/>
    <w:rsid w:val="3F8F2AFF"/>
    <w:rsid w:val="40016348"/>
    <w:rsid w:val="40097E3F"/>
    <w:rsid w:val="404E38C6"/>
    <w:rsid w:val="405A0FCC"/>
    <w:rsid w:val="40602582"/>
    <w:rsid w:val="406E3FD8"/>
    <w:rsid w:val="40705297"/>
    <w:rsid w:val="40A940F6"/>
    <w:rsid w:val="40B82D6E"/>
    <w:rsid w:val="40D57150"/>
    <w:rsid w:val="40E155BE"/>
    <w:rsid w:val="40F3049F"/>
    <w:rsid w:val="41363D43"/>
    <w:rsid w:val="414E272E"/>
    <w:rsid w:val="415A6A78"/>
    <w:rsid w:val="419B77EB"/>
    <w:rsid w:val="41BC42B5"/>
    <w:rsid w:val="41BE1DF2"/>
    <w:rsid w:val="41C0170C"/>
    <w:rsid w:val="41E310EE"/>
    <w:rsid w:val="424551B6"/>
    <w:rsid w:val="4261489C"/>
    <w:rsid w:val="429E1B8D"/>
    <w:rsid w:val="42BF6EFE"/>
    <w:rsid w:val="42C74649"/>
    <w:rsid w:val="42E15552"/>
    <w:rsid w:val="42E80968"/>
    <w:rsid w:val="42F945D4"/>
    <w:rsid w:val="43033479"/>
    <w:rsid w:val="430E3C7B"/>
    <w:rsid w:val="436056C8"/>
    <w:rsid w:val="43934642"/>
    <w:rsid w:val="43D02E1D"/>
    <w:rsid w:val="43D222B0"/>
    <w:rsid w:val="44091810"/>
    <w:rsid w:val="440E5E90"/>
    <w:rsid w:val="44174D7A"/>
    <w:rsid w:val="4468365B"/>
    <w:rsid w:val="44695D3B"/>
    <w:rsid w:val="447D3D4A"/>
    <w:rsid w:val="448230A5"/>
    <w:rsid w:val="44B40681"/>
    <w:rsid w:val="44C95955"/>
    <w:rsid w:val="44DE6D9E"/>
    <w:rsid w:val="44FE2C5D"/>
    <w:rsid w:val="4519187F"/>
    <w:rsid w:val="4532538A"/>
    <w:rsid w:val="454910A7"/>
    <w:rsid w:val="455F7DDD"/>
    <w:rsid w:val="45987BD8"/>
    <w:rsid w:val="45A41CDF"/>
    <w:rsid w:val="45A50099"/>
    <w:rsid w:val="45A53240"/>
    <w:rsid w:val="45A902E4"/>
    <w:rsid w:val="45C37AF1"/>
    <w:rsid w:val="46114A02"/>
    <w:rsid w:val="462D7686"/>
    <w:rsid w:val="46434A28"/>
    <w:rsid w:val="46467E33"/>
    <w:rsid w:val="46582F79"/>
    <w:rsid w:val="465F36F2"/>
    <w:rsid w:val="4662305D"/>
    <w:rsid w:val="466E250F"/>
    <w:rsid w:val="46A07D80"/>
    <w:rsid w:val="46B31B61"/>
    <w:rsid w:val="46CF4700"/>
    <w:rsid w:val="46DA68CE"/>
    <w:rsid w:val="46EC09CE"/>
    <w:rsid w:val="4716563E"/>
    <w:rsid w:val="472117BD"/>
    <w:rsid w:val="47435D44"/>
    <w:rsid w:val="475835B0"/>
    <w:rsid w:val="476F0861"/>
    <w:rsid w:val="47A6663B"/>
    <w:rsid w:val="47B251C4"/>
    <w:rsid w:val="47B40869"/>
    <w:rsid w:val="47BB091E"/>
    <w:rsid w:val="48251D8D"/>
    <w:rsid w:val="48653853"/>
    <w:rsid w:val="486F4FA2"/>
    <w:rsid w:val="48891148"/>
    <w:rsid w:val="48B931B2"/>
    <w:rsid w:val="48DD095F"/>
    <w:rsid w:val="48E74EFE"/>
    <w:rsid w:val="49450383"/>
    <w:rsid w:val="495F5E89"/>
    <w:rsid w:val="496D2328"/>
    <w:rsid w:val="49B02D3F"/>
    <w:rsid w:val="49B70135"/>
    <w:rsid w:val="49D549AA"/>
    <w:rsid w:val="4A0A0D0E"/>
    <w:rsid w:val="4A5D30AC"/>
    <w:rsid w:val="4A5E108F"/>
    <w:rsid w:val="4A5F1C58"/>
    <w:rsid w:val="4A6168E9"/>
    <w:rsid w:val="4A7B7CDF"/>
    <w:rsid w:val="4A7D7ED3"/>
    <w:rsid w:val="4A93467A"/>
    <w:rsid w:val="4AD86FD1"/>
    <w:rsid w:val="4AF74B9E"/>
    <w:rsid w:val="4B084385"/>
    <w:rsid w:val="4B4C1326"/>
    <w:rsid w:val="4B9F0946"/>
    <w:rsid w:val="4BE20B03"/>
    <w:rsid w:val="4C0E5E10"/>
    <w:rsid w:val="4C215C31"/>
    <w:rsid w:val="4C580C5A"/>
    <w:rsid w:val="4C67740F"/>
    <w:rsid w:val="4CB13D1A"/>
    <w:rsid w:val="4CC24CBA"/>
    <w:rsid w:val="4CD84875"/>
    <w:rsid w:val="4CF85B81"/>
    <w:rsid w:val="4D083A1A"/>
    <w:rsid w:val="4D685442"/>
    <w:rsid w:val="4D936AD6"/>
    <w:rsid w:val="4E2D3244"/>
    <w:rsid w:val="4E5F5629"/>
    <w:rsid w:val="4E85047E"/>
    <w:rsid w:val="4EA1060A"/>
    <w:rsid w:val="4ECA376D"/>
    <w:rsid w:val="4ECC47E0"/>
    <w:rsid w:val="4ED8133A"/>
    <w:rsid w:val="4EE6779C"/>
    <w:rsid w:val="4F042CA6"/>
    <w:rsid w:val="4F147885"/>
    <w:rsid w:val="4F630640"/>
    <w:rsid w:val="4F8C18B7"/>
    <w:rsid w:val="4F992222"/>
    <w:rsid w:val="4FBF29A6"/>
    <w:rsid w:val="4FFA78E8"/>
    <w:rsid w:val="5015541E"/>
    <w:rsid w:val="50D82D8F"/>
    <w:rsid w:val="50EC41FC"/>
    <w:rsid w:val="51260F6D"/>
    <w:rsid w:val="512E4D60"/>
    <w:rsid w:val="51534199"/>
    <w:rsid w:val="51667446"/>
    <w:rsid w:val="51697AAA"/>
    <w:rsid w:val="51934D83"/>
    <w:rsid w:val="519A7E0D"/>
    <w:rsid w:val="519D6248"/>
    <w:rsid w:val="52172DF2"/>
    <w:rsid w:val="5258065B"/>
    <w:rsid w:val="526A5ECA"/>
    <w:rsid w:val="526A7ED4"/>
    <w:rsid w:val="532D4086"/>
    <w:rsid w:val="53410B34"/>
    <w:rsid w:val="5344275E"/>
    <w:rsid w:val="536339F5"/>
    <w:rsid w:val="537031CC"/>
    <w:rsid w:val="53F22E71"/>
    <w:rsid w:val="542A5976"/>
    <w:rsid w:val="54486DBD"/>
    <w:rsid w:val="544E7089"/>
    <w:rsid w:val="547F71F5"/>
    <w:rsid w:val="54B266C8"/>
    <w:rsid w:val="54BD3ED2"/>
    <w:rsid w:val="54FF0AFF"/>
    <w:rsid w:val="55076D54"/>
    <w:rsid w:val="550E04C1"/>
    <w:rsid w:val="55457409"/>
    <w:rsid w:val="55C13962"/>
    <w:rsid w:val="55FB6ACB"/>
    <w:rsid w:val="55FE60B0"/>
    <w:rsid w:val="562C58A8"/>
    <w:rsid w:val="568C0148"/>
    <w:rsid w:val="5696784A"/>
    <w:rsid w:val="569C2D07"/>
    <w:rsid w:val="571925EA"/>
    <w:rsid w:val="572A054C"/>
    <w:rsid w:val="57311461"/>
    <w:rsid w:val="573420AD"/>
    <w:rsid w:val="577826DF"/>
    <w:rsid w:val="57971DFD"/>
    <w:rsid w:val="57A565C7"/>
    <w:rsid w:val="57BD7286"/>
    <w:rsid w:val="58006296"/>
    <w:rsid w:val="58711736"/>
    <w:rsid w:val="58B01160"/>
    <w:rsid w:val="58C41677"/>
    <w:rsid w:val="58E252A6"/>
    <w:rsid w:val="58FE75F5"/>
    <w:rsid w:val="59015C7A"/>
    <w:rsid w:val="590C08DD"/>
    <w:rsid w:val="59126D28"/>
    <w:rsid w:val="59307FC0"/>
    <w:rsid w:val="5936381C"/>
    <w:rsid w:val="59586119"/>
    <w:rsid w:val="59794C64"/>
    <w:rsid w:val="59817E06"/>
    <w:rsid w:val="59A32429"/>
    <w:rsid w:val="59BD6EB1"/>
    <w:rsid w:val="5A5244C6"/>
    <w:rsid w:val="5AC400C3"/>
    <w:rsid w:val="5AE549D6"/>
    <w:rsid w:val="5B0676EF"/>
    <w:rsid w:val="5B6470FB"/>
    <w:rsid w:val="5B6E2492"/>
    <w:rsid w:val="5B805B3B"/>
    <w:rsid w:val="5B8E3FA0"/>
    <w:rsid w:val="5B905011"/>
    <w:rsid w:val="5BA51EF1"/>
    <w:rsid w:val="5BF67CB5"/>
    <w:rsid w:val="5C11556D"/>
    <w:rsid w:val="5C5A6613"/>
    <w:rsid w:val="5C6B09BC"/>
    <w:rsid w:val="5C863246"/>
    <w:rsid w:val="5CA779FC"/>
    <w:rsid w:val="5CEA634C"/>
    <w:rsid w:val="5CF34136"/>
    <w:rsid w:val="5DA85001"/>
    <w:rsid w:val="5DB24D61"/>
    <w:rsid w:val="5DBC102B"/>
    <w:rsid w:val="5DC44940"/>
    <w:rsid w:val="5DD86EA8"/>
    <w:rsid w:val="5DF51DDF"/>
    <w:rsid w:val="5E07136C"/>
    <w:rsid w:val="5E0E2536"/>
    <w:rsid w:val="5E1C174D"/>
    <w:rsid w:val="5E3053A2"/>
    <w:rsid w:val="5E553E5D"/>
    <w:rsid w:val="5EC90911"/>
    <w:rsid w:val="5EE84C10"/>
    <w:rsid w:val="5F472169"/>
    <w:rsid w:val="5F773687"/>
    <w:rsid w:val="5FB24EB2"/>
    <w:rsid w:val="602D7F85"/>
    <w:rsid w:val="60387D3B"/>
    <w:rsid w:val="60BC59E7"/>
    <w:rsid w:val="611065DD"/>
    <w:rsid w:val="61196D5F"/>
    <w:rsid w:val="611F755B"/>
    <w:rsid w:val="613D6D2F"/>
    <w:rsid w:val="61B128E8"/>
    <w:rsid w:val="61CC29FB"/>
    <w:rsid w:val="62041869"/>
    <w:rsid w:val="62355116"/>
    <w:rsid w:val="6245130D"/>
    <w:rsid w:val="62543488"/>
    <w:rsid w:val="627853E4"/>
    <w:rsid w:val="628B33EA"/>
    <w:rsid w:val="62D456A3"/>
    <w:rsid w:val="62E65854"/>
    <w:rsid w:val="6323717D"/>
    <w:rsid w:val="6346521A"/>
    <w:rsid w:val="635A1E76"/>
    <w:rsid w:val="63BD6B2E"/>
    <w:rsid w:val="641556D9"/>
    <w:rsid w:val="64425F71"/>
    <w:rsid w:val="64700B53"/>
    <w:rsid w:val="64A853ED"/>
    <w:rsid w:val="64B62937"/>
    <w:rsid w:val="64D96790"/>
    <w:rsid w:val="64DC322B"/>
    <w:rsid w:val="64FB2D42"/>
    <w:rsid w:val="64FD196E"/>
    <w:rsid w:val="6517791A"/>
    <w:rsid w:val="65347AA7"/>
    <w:rsid w:val="65763F0B"/>
    <w:rsid w:val="658C0243"/>
    <w:rsid w:val="65BB012F"/>
    <w:rsid w:val="65CB5A39"/>
    <w:rsid w:val="65E702D6"/>
    <w:rsid w:val="65F76AF1"/>
    <w:rsid w:val="661726E9"/>
    <w:rsid w:val="66305A0B"/>
    <w:rsid w:val="667C6D3B"/>
    <w:rsid w:val="66804939"/>
    <w:rsid w:val="66894F33"/>
    <w:rsid w:val="66AF2EB0"/>
    <w:rsid w:val="66B55FA0"/>
    <w:rsid w:val="66E07E84"/>
    <w:rsid w:val="671B26FD"/>
    <w:rsid w:val="67301182"/>
    <w:rsid w:val="673D4FE6"/>
    <w:rsid w:val="67420FAA"/>
    <w:rsid w:val="6757533A"/>
    <w:rsid w:val="678C07A9"/>
    <w:rsid w:val="679E575C"/>
    <w:rsid w:val="679F49BC"/>
    <w:rsid w:val="67B53A8A"/>
    <w:rsid w:val="67C72783"/>
    <w:rsid w:val="67DF06E9"/>
    <w:rsid w:val="68B66B9A"/>
    <w:rsid w:val="68BA32B3"/>
    <w:rsid w:val="68CB1AE5"/>
    <w:rsid w:val="68F040C4"/>
    <w:rsid w:val="68FA500A"/>
    <w:rsid w:val="692C1382"/>
    <w:rsid w:val="694236C5"/>
    <w:rsid w:val="6946621F"/>
    <w:rsid w:val="69FD377A"/>
    <w:rsid w:val="6A23774F"/>
    <w:rsid w:val="6A2B46C9"/>
    <w:rsid w:val="6A422C11"/>
    <w:rsid w:val="6A85768F"/>
    <w:rsid w:val="6A9547E8"/>
    <w:rsid w:val="6AC34910"/>
    <w:rsid w:val="6B8D52DF"/>
    <w:rsid w:val="6BA945F1"/>
    <w:rsid w:val="6BAE09A2"/>
    <w:rsid w:val="6BFF56BA"/>
    <w:rsid w:val="6C150C86"/>
    <w:rsid w:val="6C226507"/>
    <w:rsid w:val="6C232A4E"/>
    <w:rsid w:val="6C5770E2"/>
    <w:rsid w:val="6C75443B"/>
    <w:rsid w:val="6C883EEC"/>
    <w:rsid w:val="6C8D2990"/>
    <w:rsid w:val="6CDF0277"/>
    <w:rsid w:val="6CE618E8"/>
    <w:rsid w:val="6D243D11"/>
    <w:rsid w:val="6D450167"/>
    <w:rsid w:val="6D5D5433"/>
    <w:rsid w:val="6D694F01"/>
    <w:rsid w:val="6D9A7ACF"/>
    <w:rsid w:val="6D9C6109"/>
    <w:rsid w:val="6DB972B6"/>
    <w:rsid w:val="6DBA1C51"/>
    <w:rsid w:val="6E002839"/>
    <w:rsid w:val="6E204194"/>
    <w:rsid w:val="6E4F0CF6"/>
    <w:rsid w:val="6E6B75DB"/>
    <w:rsid w:val="6EBA0189"/>
    <w:rsid w:val="6ED27B3A"/>
    <w:rsid w:val="6EDB795C"/>
    <w:rsid w:val="6EED35E8"/>
    <w:rsid w:val="6F3263BC"/>
    <w:rsid w:val="6F9F471D"/>
    <w:rsid w:val="6FCE6F50"/>
    <w:rsid w:val="6FEA2433"/>
    <w:rsid w:val="6FEB5CEA"/>
    <w:rsid w:val="702854F3"/>
    <w:rsid w:val="705705B1"/>
    <w:rsid w:val="707C1392"/>
    <w:rsid w:val="70824E0B"/>
    <w:rsid w:val="712E54E8"/>
    <w:rsid w:val="71AF6688"/>
    <w:rsid w:val="71B12E4F"/>
    <w:rsid w:val="71D5694C"/>
    <w:rsid w:val="71EE2658"/>
    <w:rsid w:val="71FA5163"/>
    <w:rsid w:val="72121447"/>
    <w:rsid w:val="724F1D63"/>
    <w:rsid w:val="725C1F1C"/>
    <w:rsid w:val="72661068"/>
    <w:rsid w:val="72736002"/>
    <w:rsid w:val="72D25350"/>
    <w:rsid w:val="731A4ABC"/>
    <w:rsid w:val="731F49A7"/>
    <w:rsid w:val="733B732B"/>
    <w:rsid w:val="73C20170"/>
    <w:rsid w:val="73CB3560"/>
    <w:rsid w:val="74066960"/>
    <w:rsid w:val="740B27C8"/>
    <w:rsid w:val="741352A4"/>
    <w:rsid w:val="741A0E55"/>
    <w:rsid w:val="74235E9C"/>
    <w:rsid w:val="74267A42"/>
    <w:rsid w:val="743209CA"/>
    <w:rsid w:val="74571D2B"/>
    <w:rsid w:val="746530F6"/>
    <w:rsid w:val="74783E72"/>
    <w:rsid w:val="74C37DB6"/>
    <w:rsid w:val="74CE2CE8"/>
    <w:rsid w:val="75100A32"/>
    <w:rsid w:val="75136937"/>
    <w:rsid w:val="7530498B"/>
    <w:rsid w:val="7569071A"/>
    <w:rsid w:val="7583546A"/>
    <w:rsid w:val="75906809"/>
    <w:rsid w:val="75D1179B"/>
    <w:rsid w:val="75D56788"/>
    <w:rsid w:val="75DE4662"/>
    <w:rsid w:val="75FF0B2B"/>
    <w:rsid w:val="76287514"/>
    <w:rsid w:val="76606EDE"/>
    <w:rsid w:val="766A3BAD"/>
    <w:rsid w:val="768E64D2"/>
    <w:rsid w:val="76AE5398"/>
    <w:rsid w:val="76CB52A0"/>
    <w:rsid w:val="76F20403"/>
    <w:rsid w:val="77AE27F7"/>
    <w:rsid w:val="77D56C92"/>
    <w:rsid w:val="78133746"/>
    <w:rsid w:val="78465F72"/>
    <w:rsid w:val="78505307"/>
    <w:rsid w:val="78A92D4E"/>
    <w:rsid w:val="78A97F4D"/>
    <w:rsid w:val="78D517E3"/>
    <w:rsid w:val="78D734B8"/>
    <w:rsid w:val="78E02A66"/>
    <w:rsid w:val="78E10027"/>
    <w:rsid w:val="78F422C1"/>
    <w:rsid w:val="78F61B4F"/>
    <w:rsid w:val="78F736DF"/>
    <w:rsid w:val="78FC0E38"/>
    <w:rsid w:val="79445F2D"/>
    <w:rsid w:val="79672D66"/>
    <w:rsid w:val="799619D2"/>
    <w:rsid w:val="79A963F4"/>
    <w:rsid w:val="79E55316"/>
    <w:rsid w:val="7A1C06F2"/>
    <w:rsid w:val="7A3255CC"/>
    <w:rsid w:val="7A6A7347"/>
    <w:rsid w:val="7A6E4413"/>
    <w:rsid w:val="7AD40D63"/>
    <w:rsid w:val="7AD57E2E"/>
    <w:rsid w:val="7AE26F87"/>
    <w:rsid w:val="7AF70CF6"/>
    <w:rsid w:val="7B4379CB"/>
    <w:rsid w:val="7B700C7C"/>
    <w:rsid w:val="7B743F02"/>
    <w:rsid w:val="7BBB281E"/>
    <w:rsid w:val="7BF33375"/>
    <w:rsid w:val="7C0C4318"/>
    <w:rsid w:val="7C3C7356"/>
    <w:rsid w:val="7C4A25A9"/>
    <w:rsid w:val="7C7772CA"/>
    <w:rsid w:val="7CDA33BE"/>
    <w:rsid w:val="7CF24F90"/>
    <w:rsid w:val="7D25699B"/>
    <w:rsid w:val="7D2626AD"/>
    <w:rsid w:val="7D265C7C"/>
    <w:rsid w:val="7D2702B9"/>
    <w:rsid w:val="7D2C69EB"/>
    <w:rsid w:val="7D5B19A9"/>
    <w:rsid w:val="7D9C5241"/>
    <w:rsid w:val="7DAE7865"/>
    <w:rsid w:val="7DC07A3D"/>
    <w:rsid w:val="7E2B768F"/>
    <w:rsid w:val="7E491CE2"/>
    <w:rsid w:val="7E6C321C"/>
    <w:rsid w:val="7F423715"/>
    <w:rsid w:val="7F586055"/>
    <w:rsid w:val="7F9A58E0"/>
    <w:rsid w:val="7FDF14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99"/>
    <w:pPr>
      <w:keepNext/>
      <w:widowControl/>
      <w:tabs>
        <w:tab w:val="left" w:pos="851"/>
      </w:tabs>
      <w:spacing w:before="240" w:after="60"/>
      <w:ind w:left="851" w:hanging="851"/>
      <w:jc w:val="left"/>
      <w:outlineLvl w:val="0"/>
    </w:pPr>
    <w:rPr>
      <w:rFonts w:ascii="Arial" w:hAnsi="Arial" w:eastAsia="???|±¨??ì??ò"/>
      <w:b/>
      <w:kern w:val="28"/>
      <w:sz w:val="28"/>
      <w:szCs w:val="20"/>
    </w:rPr>
  </w:style>
  <w:style w:type="paragraph" w:styleId="5">
    <w:name w:val="heading 2"/>
    <w:basedOn w:val="1"/>
    <w:next w:val="6"/>
    <w:link w:val="55"/>
    <w:qFormat/>
    <w:uiPriority w:val="99"/>
    <w:pPr>
      <w:keepNext/>
      <w:widowControl/>
      <w:tabs>
        <w:tab w:val="left" w:pos="851"/>
      </w:tabs>
      <w:spacing w:before="240" w:after="60"/>
      <w:ind w:left="851" w:hanging="851"/>
      <w:jc w:val="left"/>
      <w:outlineLvl w:val="1"/>
    </w:pPr>
    <w:rPr>
      <w:rFonts w:ascii="Arial" w:hAnsi="Arial" w:eastAsia="???|±¨??ì??ò"/>
      <w:kern w:val="0"/>
      <w:sz w:val="24"/>
      <w:szCs w:val="20"/>
    </w:rPr>
  </w:style>
  <w:style w:type="paragraph" w:styleId="8">
    <w:name w:val="heading 3"/>
    <w:basedOn w:val="1"/>
    <w:next w:val="1"/>
    <w:link w:val="56"/>
    <w:qFormat/>
    <w:uiPriority w:val="99"/>
    <w:pPr>
      <w:keepNext/>
      <w:widowControl/>
      <w:tabs>
        <w:tab w:val="left" w:pos="851"/>
      </w:tabs>
      <w:spacing w:before="240" w:after="60"/>
      <w:ind w:left="851" w:hanging="851"/>
      <w:jc w:val="left"/>
      <w:outlineLvl w:val="2"/>
    </w:pPr>
    <w:rPr>
      <w:rFonts w:ascii="Arial" w:hAnsi="Arial" w:eastAsia="???|±¨??ì??ò"/>
      <w:kern w:val="0"/>
      <w:sz w:val="24"/>
      <w:szCs w:val="20"/>
    </w:rPr>
  </w:style>
  <w:style w:type="paragraph" w:styleId="9">
    <w:name w:val="heading 4"/>
    <w:basedOn w:val="1"/>
    <w:next w:val="10"/>
    <w:link w:val="57"/>
    <w:qFormat/>
    <w:uiPriority w:val="99"/>
    <w:pPr>
      <w:keepNext/>
      <w:tabs>
        <w:tab w:val="left" w:pos="720"/>
      </w:tabs>
      <w:snapToGrid w:val="0"/>
      <w:spacing w:line="300" w:lineRule="auto"/>
      <w:ind w:left="720" w:hanging="720"/>
      <w:outlineLvl w:val="3"/>
    </w:pPr>
    <w:rPr>
      <w:rFonts w:ascii="楷体_GB2312" w:eastAsia="楷体_GB2312"/>
      <w:sz w:val="30"/>
      <w:szCs w:val="20"/>
    </w:rPr>
  </w:style>
  <w:style w:type="paragraph" w:styleId="11">
    <w:name w:val="heading 5"/>
    <w:basedOn w:val="1"/>
    <w:next w:val="10"/>
    <w:link w:val="58"/>
    <w:qFormat/>
    <w:uiPriority w:val="99"/>
    <w:pPr>
      <w:keepNext/>
      <w:widowControl/>
      <w:tabs>
        <w:tab w:val="left" w:pos="405"/>
      </w:tabs>
      <w:ind w:left="405" w:hanging="405"/>
      <w:jc w:val="left"/>
      <w:outlineLvl w:val="4"/>
    </w:pPr>
    <w:rPr>
      <w:kern w:val="0"/>
      <w:sz w:val="24"/>
      <w:szCs w:val="20"/>
    </w:rPr>
  </w:style>
  <w:style w:type="paragraph" w:styleId="12">
    <w:name w:val="heading 6"/>
    <w:basedOn w:val="1"/>
    <w:next w:val="10"/>
    <w:link w:val="59"/>
    <w:qFormat/>
    <w:uiPriority w:val="99"/>
    <w:pPr>
      <w:keepNext/>
      <w:tabs>
        <w:tab w:val="left" w:pos="-20"/>
      </w:tabs>
      <w:snapToGrid w:val="0"/>
      <w:spacing w:line="300" w:lineRule="auto"/>
      <w:ind w:left="480" w:hanging="495"/>
      <w:outlineLvl w:val="5"/>
    </w:pPr>
    <w:rPr>
      <w:rFonts w:ascii="宋体"/>
      <w:sz w:val="28"/>
      <w:szCs w:val="20"/>
    </w:rPr>
  </w:style>
  <w:style w:type="paragraph" w:styleId="13">
    <w:name w:val="heading 7"/>
    <w:basedOn w:val="1"/>
    <w:next w:val="1"/>
    <w:link w:val="60"/>
    <w:qFormat/>
    <w:uiPriority w:val="99"/>
    <w:pPr>
      <w:keepNext/>
      <w:pageBreakBefore/>
      <w:adjustRightInd w:val="0"/>
      <w:snapToGrid w:val="0"/>
      <w:spacing w:before="120" w:after="120" w:line="360" w:lineRule="auto"/>
      <w:outlineLvl w:val="6"/>
    </w:pPr>
    <w:rPr>
      <w:b/>
      <w:bCs/>
      <w:sz w:val="28"/>
      <w:szCs w:val="28"/>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after="120" w:line="240" w:lineRule="auto"/>
      <w:ind w:left="420" w:leftChars="200" w:firstLine="420" w:firstLineChars="200"/>
    </w:pPr>
    <w:rPr>
      <w:rFonts w:ascii="Calibri" w:hAnsi="Calibri" w:eastAsia="宋体" w:cs="Times New Roman"/>
      <w:sz w:val="21"/>
      <w:szCs w:val="22"/>
    </w:rPr>
  </w:style>
  <w:style w:type="paragraph" w:styleId="3">
    <w:name w:val="Body Text Indent"/>
    <w:basedOn w:val="1"/>
    <w:next w:val="1"/>
    <w:link w:val="94"/>
    <w:qFormat/>
    <w:uiPriority w:val="99"/>
    <w:pPr>
      <w:spacing w:line="440" w:lineRule="exact"/>
      <w:ind w:firstLine="480"/>
    </w:pPr>
    <w:rPr>
      <w:rFonts w:ascii="宋体" w:hAnsi="宋体"/>
      <w:sz w:val="24"/>
    </w:rPr>
  </w:style>
  <w:style w:type="paragraph" w:styleId="6">
    <w:name w:val="Body Text First Indent"/>
    <w:basedOn w:val="7"/>
    <w:link w:val="92"/>
    <w:qFormat/>
    <w:uiPriority w:val="99"/>
    <w:pPr>
      <w:spacing w:after="120"/>
      <w:ind w:firstLine="420" w:firstLineChars="100"/>
    </w:pPr>
    <w:rPr>
      <w:sz w:val="21"/>
    </w:rPr>
  </w:style>
  <w:style w:type="paragraph" w:styleId="7">
    <w:name w:val="Body Text"/>
    <w:basedOn w:val="1"/>
    <w:next w:val="6"/>
    <w:link w:val="91"/>
    <w:qFormat/>
    <w:uiPriority w:val="99"/>
    <w:rPr>
      <w:sz w:val="24"/>
    </w:rPr>
  </w:style>
  <w:style w:type="paragraph" w:styleId="10">
    <w:name w:val="Normal Indent"/>
    <w:basedOn w:val="1"/>
    <w:link w:val="152"/>
    <w:qFormat/>
    <w:uiPriority w:val="0"/>
    <w:pPr>
      <w:ind w:firstLine="420"/>
    </w:pPr>
    <w:rPr>
      <w:szCs w:val="20"/>
    </w:rPr>
  </w:style>
  <w:style w:type="paragraph" w:styleId="14">
    <w:name w:val="List 3"/>
    <w:basedOn w:val="1"/>
    <w:qFormat/>
    <w:uiPriority w:val="99"/>
    <w:pPr>
      <w:ind w:left="100" w:leftChars="400" w:hanging="200" w:hangingChars="200"/>
    </w:pPr>
  </w:style>
  <w:style w:type="paragraph" w:styleId="15">
    <w:name w:val="toc 7"/>
    <w:basedOn w:val="1"/>
    <w:next w:val="1"/>
    <w:semiHidden/>
    <w:qFormat/>
    <w:uiPriority w:val="99"/>
    <w:pPr>
      <w:widowControl/>
      <w:spacing w:afterLines="50"/>
      <w:ind w:left="1440"/>
      <w:jc w:val="left"/>
    </w:pPr>
    <w:rPr>
      <w:kern w:val="0"/>
      <w:sz w:val="18"/>
      <w:szCs w:val="18"/>
    </w:rPr>
  </w:style>
  <w:style w:type="paragraph" w:styleId="16">
    <w:name w:val="List Number 2"/>
    <w:basedOn w:val="1"/>
    <w:qFormat/>
    <w:uiPriority w:val="99"/>
    <w:pPr>
      <w:widowControl/>
      <w:tabs>
        <w:tab w:val="left" w:pos="820"/>
      </w:tabs>
      <w:spacing w:afterLines="50"/>
      <w:ind w:left="820" w:hanging="420"/>
      <w:jc w:val="left"/>
    </w:pPr>
    <w:rPr>
      <w:kern w:val="0"/>
      <w:sz w:val="24"/>
      <w:szCs w:val="20"/>
    </w:rPr>
  </w:style>
  <w:style w:type="paragraph" w:styleId="17">
    <w:name w:val="List Number"/>
    <w:basedOn w:val="1"/>
    <w:qFormat/>
    <w:uiPriority w:val="99"/>
    <w:pPr>
      <w:widowControl/>
      <w:tabs>
        <w:tab w:val="left" w:pos="820"/>
      </w:tabs>
      <w:spacing w:afterLines="50"/>
      <w:ind w:left="820" w:hanging="420"/>
      <w:jc w:val="left"/>
    </w:pPr>
    <w:rPr>
      <w:kern w:val="0"/>
      <w:sz w:val="24"/>
      <w:szCs w:val="20"/>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Document Map"/>
    <w:basedOn w:val="1"/>
    <w:link w:val="88"/>
    <w:semiHidden/>
    <w:qFormat/>
    <w:uiPriority w:val="99"/>
    <w:pPr>
      <w:widowControl/>
      <w:shd w:val="clear" w:color="auto" w:fill="000080"/>
      <w:spacing w:afterLines="50"/>
      <w:jc w:val="left"/>
    </w:pPr>
    <w:rPr>
      <w:kern w:val="0"/>
      <w:sz w:val="24"/>
      <w:szCs w:val="20"/>
    </w:rPr>
  </w:style>
  <w:style w:type="paragraph" w:styleId="20">
    <w:name w:val="toa heading"/>
    <w:basedOn w:val="1"/>
    <w:next w:val="1"/>
    <w:qFormat/>
    <w:uiPriority w:val="99"/>
    <w:pPr>
      <w:spacing w:before="120"/>
    </w:pPr>
    <w:rPr>
      <w:rFonts w:ascii="Arial" w:hAnsi="Arial"/>
      <w:sz w:val="24"/>
      <w:szCs w:val="20"/>
    </w:rPr>
  </w:style>
  <w:style w:type="paragraph" w:styleId="21">
    <w:name w:val="annotation text"/>
    <w:basedOn w:val="1"/>
    <w:link w:val="84"/>
    <w:qFormat/>
    <w:uiPriority w:val="99"/>
    <w:pPr>
      <w:widowControl/>
      <w:spacing w:afterLines="50"/>
      <w:jc w:val="left"/>
    </w:pPr>
    <w:rPr>
      <w:kern w:val="0"/>
      <w:sz w:val="24"/>
      <w:szCs w:val="20"/>
    </w:rPr>
  </w:style>
  <w:style w:type="paragraph" w:styleId="22">
    <w:name w:val="Body Text 3"/>
    <w:basedOn w:val="1"/>
    <w:link w:val="82"/>
    <w:qFormat/>
    <w:uiPriority w:val="99"/>
    <w:pPr>
      <w:spacing w:beforeLines="50" w:line="400" w:lineRule="exact"/>
      <w:jc w:val="left"/>
    </w:pPr>
    <w:rPr>
      <w:b/>
      <w:color w:val="FF6600"/>
      <w:sz w:val="24"/>
    </w:rPr>
  </w:style>
  <w:style w:type="paragraph" w:styleId="23">
    <w:name w:val="List Number 3"/>
    <w:basedOn w:val="1"/>
    <w:qFormat/>
    <w:uiPriority w:val="99"/>
    <w:pPr>
      <w:widowControl/>
      <w:tabs>
        <w:tab w:val="left" w:pos="2260"/>
      </w:tabs>
      <w:spacing w:afterLines="50"/>
      <w:ind w:left="2260" w:hanging="340"/>
      <w:jc w:val="left"/>
    </w:pPr>
    <w:rPr>
      <w:kern w:val="0"/>
      <w:sz w:val="24"/>
      <w:szCs w:val="20"/>
    </w:rPr>
  </w:style>
  <w:style w:type="paragraph" w:styleId="24">
    <w:name w:val="List 2"/>
    <w:basedOn w:val="1"/>
    <w:qFormat/>
    <w:uiPriority w:val="99"/>
    <w:pPr>
      <w:ind w:left="100" w:leftChars="200" w:hanging="200" w:hangingChars="200"/>
    </w:pPr>
  </w:style>
  <w:style w:type="paragraph" w:styleId="25">
    <w:name w:val="toc 5"/>
    <w:basedOn w:val="1"/>
    <w:next w:val="1"/>
    <w:semiHidden/>
    <w:qFormat/>
    <w:uiPriority w:val="99"/>
    <w:pPr>
      <w:widowControl/>
      <w:spacing w:afterLines="50"/>
      <w:ind w:left="960"/>
      <w:jc w:val="left"/>
    </w:pPr>
    <w:rPr>
      <w:kern w:val="0"/>
      <w:sz w:val="18"/>
      <w:szCs w:val="18"/>
    </w:rPr>
  </w:style>
  <w:style w:type="paragraph" w:styleId="26">
    <w:name w:val="toc 3"/>
    <w:basedOn w:val="1"/>
    <w:next w:val="1"/>
    <w:qFormat/>
    <w:uiPriority w:val="39"/>
    <w:pPr>
      <w:widowControl/>
      <w:spacing w:afterLines="50"/>
      <w:ind w:left="480"/>
      <w:jc w:val="left"/>
    </w:pPr>
    <w:rPr>
      <w:i/>
      <w:iCs/>
      <w:kern w:val="0"/>
      <w:sz w:val="20"/>
      <w:szCs w:val="20"/>
    </w:rPr>
  </w:style>
  <w:style w:type="paragraph" w:styleId="27">
    <w:name w:val="Plain Text"/>
    <w:basedOn w:val="1"/>
    <w:link w:val="85"/>
    <w:qFormat/>
    <w:uiPriority w:val="0"/>
    <w:rPr>
      <w:rFonts w:ascii="宋体" w:hAnsi="Courier New"/>
      <w:szCs w:val="20"/>
    </w:rPr>
  </w:style>
  <w:style w:type="paragraph" w:styleId="28">
    <w:name w:val="List Number 4"/>
    <w:basedOn w:val="1"/>
    <w:qFormat/>
    <w:uiPriority w:val="99"/>
    <w:pPr>
      <w:widowControl/>
      <w:tabs>
        <w:tab w:val="left" w:pos="1531"/>
      </w:tabs>
      <w:spacing w:afterLines="50"/>
      <w:ind w:left="1531" w:hanging="397"/>
      <w:jc w:val="left"/>
    </w:pPr>
    <w:rPr>
      <w:kern w:val="0"/>
      <w:sz w:val="24"/>
      <w:szCs w:val="20"/>
    </w:rPr>
  </w:style>
  <w:style w:type="paragraph" w:styleId="29">
    <w:name w:val="toc 8"/>
    <w:basedOn w:val="1"/>
    <w:next w:val="1"/>
    <w:semiHidden/>
    <w:qFormat/>
    <w:uiPriority w:val="99"/>
    <w:pPr>
      <w:widowControl/>
      <w:spacing w:afterLines="50"/>
      <w:ind w:left="1680"/>
      <w:jc w:val="left"/>
    </w:pPr>
    <w:rPr>
      <w:kern w:val="0"/>
      <w:sz w:val="18"/>
      <w:szCs w:val="18"/>
    </w:rPr>
  </w:style>
  <w:style w:type="paragraph" w:styleId="30">
    <w:name w:val="Date"/>
    <w:basedOn w:val="1"/>
    <w:next w:val="1"/>
    <w:link w:val="79"/>
    <w:qFormat/>
    <w:uiPriority w:val="0"/>
    <w:rPr>
      <w:sz w:val="24"/>
      <w:szCs w:val="20"/>
    </w:rPr>
  </w:style>
  <w:style w:type="paragraph" w:styleId="31">
    <w:name w:val="Body Text Indent 2"/>
    <w:basedOn w:val="1"/>
    <w:link w:val="81"/>
    <w:qFormat/>
    <w:uiPriority w:val="99"/>
    <w:pPr>
      <w:spacing w:line="420" w:lineRule="exact"/>
      <w:ind w:firstLine="473" w:firstLineChars="197"/>
    </w:pPr>
    <w:rPr>
      <w:rFonts w:ascii="宋体" w:hAnsi="宋体"/>
      <w:sz w:val="24"/>
    </w:rPr>
  </w:style>
  <w:style w:type="paragraph" w:styleId="32">
    <w:name w:val="Balloon Text"/>
    <w:basedOn w:val="1"/>
    <w:link w:val="93"/>
    <w:semiHidden/>
    <w:qFormat/>
    <w:uiPriority w:val="99"/>
    <w:rPr>
      <w:sz w:val="18"/>
      <w:szCs w:val="18"/>
    </w:rPr>
  </w:style>
  <w:style w:type="paragraph" w:styleId="33">
    <w:name w:val="footer"/>
    <w:basedOn w:val="1"/>
    <w:link w:val="89"/>
    <w:qFormat/>
    <w:uiPriority w:val="0"/>
    <w:pPr>
      <w:tabs>
        <w:tab w:val="center" w:pos="4153"/>
        <w:tab w:val="right" w:pos="8306"/>
      </w:tabs>
      <w:snapToGrid w:val="0"/>
      <w:jc w:val="left"/>
    </w:pPr>
    <w:rPr>
      <w:sz w:val="18"/>
      <w:szCs w:val="20"/>
    </w:rPr>
  </w:style>
  <w:style w:type="paragraph" w:styleId="34">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hyphen" w:pos="8302"/>
      </w:tabs>
      <w:spacing w:line="600" w:lineRule="exact"/>
      <w:jc w:val="center"/>
    </w:pPr>
    <w:rPr>
      <w:sz w:val="24"/>
    </w:rPr>
  </w:style>
  <w:style w:type="paragraph" w:styleId="36">
    <w:name w:val="toc 4"/>
    <w:basedOn w:val="1"/>
    <w:next w:val="1"/>
    <w:semiHidden/>
    <w:qFormat/>
    <w:uiPriority w:val="99"/>
    <w:pPr>
      <w:widowControl/>
      <w:spacing w:afterLines="50"/>
      <w:ind w:left="720"/>
      <w:jc w:val="left"/>
    </w:pPr>
    <w:rPr>
      <w:kern w:val="0"/>
      <w:sz w:val="18"/>
      <w:szCs w:val="18"/>
    </w:rPr>
  </w:style>
  <w:style w:type="paragraph" w:styleId="37">
    <w:name w:val="toc 6"/>
    <w:basedOn w:val="1"/>
    <w:next w:val="1"/>
    <w:semiHidden/>
    <w:qFormat/>
    <w:uiPriority w:val="99"/>
    <w:pPr>
      <w:widowControl/>
      <w:spacing w:afterLines="50"/>
      <w:ind w:left="1200"/>
      <w:jc w:val="left"/>
    </w:pPr>
    <w:rPr>
      <w:kern w:val="0"/>
      <w:sz w:val="18"/>
      <w:szCs w:val="18"/>
    </w:rPr>
  </w:style>
  <w:style w:type="paragraph" w:styleId="38">
    <w:name w:val="Body Text Indent 3"/>
    <w:basedOn w:val="1"/>
    <w:link w:val="80"/>
    <w:qFormat/>
    <w:uiPriority w:val="99"/>
    <w:pPr>
      <w:snapToGrid w:val="0"/>
      <w:spacing w:line="360" w:lineRule="auto"/>
      <w:ind w:firstLine="601"/>
    </w:pPr>
    <w:rPr>
      <w:sz w:val="28"/>
    </w:rPr>
  </w:style>
  <w:style w:type="paragraph" w:styleId="39">
    <w:name w:val="toc 2"/>
    <w:basedOn w:val="1"/>
    <w:next w:val="1"/>
    <w:qFormat/>
    <w:uiPriority w:val="39"/>
    <w:pPr>
      <w:widowControl/>
      <w:spacing w:afterLines="50"/>
      <w:ind w:left="240"/>
      <w:jc w:val="left"/>
    </w:pPr>
    <w:rPr>
      <w:smallCaps/>
      <w:kern w:val="0"/>
      <w:sz w:val="20"/>
      <w:szCs w:val="20"/>
    </w:rPr>
  </w:style>
  <w:style w:type="paragraph" w:styleId="40">
    <w:name w:val="toc 9"/>
    <w:basedOn w:val="1"/>
    <w:next w:val="1"/>
    <w:semiHidden/>
    <w:qFormat/>
    <w:uiPriority w:val="99"/>
    <w:pPr>
      <w:widowControl/>
      <w:spacing w:afterLines="50"/>
      <w:ind w:left="1920"/>
      <w:jc w:val="left"/>
    </w:pPr>
    <w:rPr>
      <w:kern w:val="0"/>
      <w:sz w:val="18"/>
      <w:szCs w:val="18"/>
    </w:rPr>
  </w:style>
  <w:style w:type="paragraph" w:styleId="41">
    <w:name w:val="Body Text 2"/>
    <w:basedOn w:val="1"/>
    <w:link w:val="83"/>
    <w:qFormat/>
    <w:uiPriority w:val="99"/>
    <w:pPr>
      <w:tabs>
        <w:tab w:val="left" w:pos="1065"/>
      </w:tabs>
      <w:spacing w:after="120" w:line="360" w:lineRule="auto"/>
      <w:ind w:left="1065" w:hanging="420"/>
    </w:pPr>
    <w:rPr>
      <w:sz w:val="24"/>
      <w:szCs w:val="20"/>
    </w:rPr>
  </w:style>
  <w:style w:type="paragraph" w:styleId="42">
    <w:name w:val="Normal (Web)"/>
    <w:basedOn w:val="1"/>
    <w:link w:val="155"/>
    <w:qFormat/>
    <w:uiPriority w:val="0"/>
    <w:pPr>
      <w:widowControl/>
      <w:spacing w:before="100" w:beforeAutospacing="1" w:after="100" w:afterAutospacing="1"/>
      <w:jc w:val="left"/>
    </w:pPr>
    <w:rPr>
      <w:rFonts w:ascii="Arial Unicode MS" w:hAnsi="Arial Unicode MS" w:cs="Arial Unicode MS"/>
      <w:color w:val="000000"/>
      <w:kern w:val="0"/>
      <w:sz w:val="19"/>
      <w:szCs w:val="19"/>
    </w:rPr>
  </w:style>
  <w:style w:type="paragraph" w:styleId="43">
    <w:name w:val="index 1"/>
    <w:basedOn w:val="1"/>
    <w:next w:val="1"/>
    <w:semiHidden/>
    <w:qFormat/>
    <w:uiPriority w:val="99"/>
    <w:pPr>
      <w:widowControl/>
      <w:snapToGrid w:val="0"/>
      <w:spacing w:beforeLines="50" w:afterLines="50" w:line="320" w:lineRule="exact"/>
      <w:jc w:val="center"/>
    </w:pPr>
    <w:rPr>
      <w:rFonts w:ascii="Arial" w:hAnsi="Arial" w:cs="Arial"/>
      <w:color w:val="FF0000"/>
      <w:kern w:val="0"/>
      <w:sz w:val="24"/>
    </w:rPr>
  </w:style>
  <w:style w:type="paragraph" w:styleId="44">
    <w:name w:val="Title"/>
    <w:basedOn w:val="1"/>
    <w:next w:val="1"/>
    <w:link w:val="86"/>
    <w:qFormat/>
    <w:uiPriority w:val="99"/>
    <w:pPr>
      <w:spacing w:before="240" w:after="60"/>
      <w:jc w:val="center"/>
      <w:outlineLvl w:val="0"/>
    </w:pPr>
    <w:rPr>
      <w:rFonts w:ascii="Calibri Light" w:hAnsi="Calibri Light"/>
      <w:b/>
      <w:sz w:val="32"/>
      <w:szCs w:val="20"/>
    </w:rPr>
  </w:style>
  <w:style w:type="paragraph" w:styleId="45">
    <w:name w:val="annotation subject"/>
    <w:basedOn w:val="21"/>
    <w:next w:val="21"/>
    <w:link w:val="90"/>
    <w:semiHidden/>
    <w:qFormat/>
    <w:uiPriority w:val="99"/>
    <w:rPr>
      <w:b/>
      <w:bCs/>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99"/>
    <w:rPr>
      <w:rFonts w:cs="Times New Roman"/>
      <w:b/>
    </w:rPr>
  </w:style>
  <w:style w:type="character" w:styleId="50">
    <w:name w:val="page number"/>
    <w:qFormat/>
    <w:uiPriority w:val="99"/>
    <w:rPr>
      <w:rFonts w:cs="Times New Roman"/>
    </w:rPr>
  </w:style>
  <w:style w:type="character" w:styleId="51">
    <w:name w:val="FollowedHyperlink"/>
    <w:qFormat/>
    <w:uiPriority w:val="99"/>
    <w:rPr>
      <w:rFonts w:cs="Times New Roman"/>
      <w:color w:val="800080"/>
      <w:u w:val="single"/>
    </w:rPr>
  </w:style>
  <w:style w:type="character" w:styleId="52">
    <w:name w:val="Hyperlink"/>
    <w:qFormat/>
    <w:uiPriority w:val="99"/>
    <w:rPr>
      <w:rFonts w:cs="Times New Roman"/>
      <w:color w:val="0000FF"/>
      <w:u w:val="single"/>
    </w:rPr>
  </w:style>
  <w:style w:type="character" w:styleId="53">
    <w:name w:val="annotation reference"/>
    <w:semiHidden/>
    <w:qFormat/>
    <w:uiPriority w:val="99"/>
    <w:rPr>
      <w:rFonts w:cs="Times New Roman"/>
      <w:sz w:val="21"/>
    </w:rPr>
  </w:style>
  <w:style w:type="character" w:customStyle="1" w:styleId="54">
    <w:name w:val="标题 1 Char"/>
    <w:link w:val="4"/>
    <w:qFormat/>
    <w:locked/>
    <w:uiPriority w:val="99"/>
    <w:rPr>
      <w:rFonts w:ascii="Arial" w:hAnsi="Arial" w:eastAsia="???|±¨??ì??ò" w:cs="Times New Roman"/>
      <w:b/>
      <w:kern w:val="28"/>
      <w:sz w:val="28"/>
    </w:rPr>
  </w:style>
  <w:style w:type="character" w:customStyle="1" w:styleId="55">
    <w:name w:val="标题 2 Char1"/>
    <w:link w:val="5"/>
    <w:semiHidden/>
    <w:qFormat/>
    <w:locked/>
    <w:uiPriority w:val="99"/>
    <w:rPr>
      <w:rFonts w:ascii="Cambria" w:hAnsi="Cambria" w:eastAsia="宋体" w:cs="Times New Roman"/>
      <w:b/>
      <w:bCs/>
      <w:sz w:val="32"/>
      <w:szCs w:val="32"/>
    </w:rPr>
  </w:style>
  <w:style w:type="character" w:customStyle="1" w:styleId="56">
    <w:name w:val="标题 3 Char"/>
    <w:link w:val="8"/>
    <w:semiHidden/>
    <w:qFormat/>
    <w:locked/>
    <w:uiPriority w:val="99"/>
    <w:rPr>
      <w:rFonts w:cs="Times New Roman"/>
      <w:b/>
      <w:bCs/>
      <w:sz w:val="32"/>
      <w:szCs w:val="32"/>
    </w:rPr>
  </w:style>
  <w:style w:type="character" w:customStyle="1" w:styleId="57">
    <w:name w:val="标题 4 Char"/>
    <w:link w:val="9"/>
    <w:semiHidden/>
    <w:qFormat/>
    <w:locked/>
    <w:uiPriority w:val="99"/>
    <w:rPr>
      <w:rFonts w:ascii="Cambria" w:hAnsi="Cambria" w:eastAsia="宋体" w:cs="Times New Roman"/>
      <w:b/>
      <w:bCs/>
      <w:sz w:val="28"/>
      <w:szCs w:val="28"/>
    </w:rPr>
  </w:style>
  <w:style w:type="character" w:customStyle="1" w:styleId="58">
    <w:name w:val="标题 5 Char"/>
    <w:link w:val="11"/>
    <w:semiHidden/>
    <w:qFormat/>
    <w:locked/>
    <w:uiPriority w:val="99"/>
    <w:rPr>
      <w:rFonts w:cs="Times New Roman"/>
      <w:b/>
      <w:bCs/>
      <w:sz w:val="28"/>
      <w:szCs w:val="28"/>
    </w:rPr>
  </w:style>
  <w:style w:type="character" w:customStyle="1" w:styleId="59">
    <w:name w:val="标题 6 Char"/>
    <w:link w:val="12"/>
    <w:semiHidden/>
    <w:qFormat/>
    <w:locked/>
    <w:uiPriority w:val="99"/>
    <w:rPr>
      <w:rFonts w:ascii="Cambria" w:hAnsi="Cambria" w:eastAsia="宋体" w:cs="Times New Roman"/>
      <w:b/>
      <w:bCs/>
      <w:sz w:val="24"/>
      <w:szCs w:val="24"/>
    </w:rPr>
  </w:style>
  <w:style w:type="character" w:customStyle="1" w:styleId="60">
    <w:name w:val="标题 7 Char"/>
    <w:link w:val="13"/>
    <w:semiHidden/>
    <w:qFormat/>
    <w:locked/>
    <w:uiPriority w:val="99"/>
    <w:rPr>
      <w:rFonts w:cs="Times New Roman"/>
      <w:b/>
      <w:bCs/>
      <w:sz w:val="24"/>
      <w:szCs w:val="24"/>
    </w:rPr>
  </w:style>
  <w:style w:type="character" w:customStyle="1" w:styleId="61">
    <w:name w:val="v81"/>
    <w:qFormat/>
    <w:uiPriority w:val="99"/>
    <w:rPr>
      <w:rFonts w:ascii="Verdana" w:hAnsi="Verdana"/>
      <w:sz w:val="16"/>
    </w:rPr>
  </w:style>
  <w:style w:type="character" w:customStyle="1" w:styleId="62">
    <w:name w:val="word141"/>
    <w:qFormat/>
    <w:uiPriority w:val="99"/>
    <w:rPr>
      <w:sz w:val="26"/>
    </w:rPr>
  </w:style>
  <w:style w:type="character" w:customStyle="1" w:styleId="63">
    <w:name w:val="font51"/>
    <w:qFormat/>
    <w:uiPriority w:val="99"/>
    <w:rPr>
      <w:rFonts w:ascii="宋体" w:hAnsi="宋体" w:eastAsia="宋体"/>
      <w:color w:val="FF0000"/>
      <w:sz w:val="21"/>
      <w:u w:val="none"/>
    </w:rPr>
  </w:style>
  <w:style w:type="character" w:customStyle="1" w:styleId="64">
    <w:name w:val="Title Char"/>
    <w:qFormat/>
    <w:locked/>
    <w:uiPriority w:val="99"/>
    <w:rPr>
      <w:rFonts w:ascii="Calibri Light" w:hAnsi="Calibri Light"/>
      <w:b/>
      <w:kern w:val="2"/>
      <w:sz w:val="32"/>
    </w:rPr>
  </w:style>
  <w:style w:type="character" w:customStyle="1" w:styleId="65">
    <w:name w:val="font31"/>
    <w:qFormat/>
    <w:uiPriority w:val="99"/>
    <w:rPr>
      <w:rFonts w:ascii="宋体" w:hAnsi="宋体" w:eastAsia="宋体"/>
      <w:color w:val="000000"/>
      <w:sz w:val="28"/>
      <w:u w:val="none"/>
    </w:rPr>
  </w:style>
  <w:style w:type="character" w:customStyle="1" w:styleId="66">
    <w:name w:val="标题 2 Char"/>
    <w:qFormat/>
    <w:uiPriority w:val="99"/>
    <w:rPr>
      <w:rFonts w:ascii="楷体_GB2312" w:hAnsi="Arial" w:eastAsia="黑体"/>
      <w:sz w:val="36"/>
      <w:lang w:val="en-US" w:eastAsia="zh-CN"/>
    </w:rPr>
  </w:style>
  <w:style w:type="character" w:customStyle="1" w:styleId="67">
    <w:name w:val="font41"/>
    <w:qFormat/>
    <w:uiPriority w:val="99"/>
    <w:rPr>
      <w:rFonts w:ascii="宋体" w:hAnsi="宋体" w:eastAsia="宋体"/>
      <w:color w:val="000000"/>
      <w:sz w:val="24"/>
      <w:u w:val="none"/>
    </w:rPr>
  </w:style>
  <w:style w:type="character" w:customStyle="1" w:styleId="68">
    <w:name w:val="font81"/>
    <w:qFormat/>
    <w:uiPriority w:val="99"/>
    <w:rPr>
      <w:rFonts w:ascii="Wingdings" w:hAnsi="Wingdings"/>
      <w:color w:val="000000"/>
      <w:sz w:val="24"/>
      <w:u w:val="none"/>
    </w:rPr>
  </w:style>
  <w:style w:type="character" w:customStyle="1" w:styleId="69">
    <w:name w:val="font21"/>
    <w:qFormat/>
    <w:uiPriority w:val="99"/>
    <w:rPr>
      <w:rFonts w:ascii="Calibri" w:hAnsi="Calibri"/>
      <w:color w:val="FF0000"/>
      <w:sz w:val="24"/>
      <w:u w:val="none"/>
    </w:rPr>
  </w:style>
  <w:style w:type="character" w:customStyle="1" w:styleId="70">
    <w:name w:val="Plain Text Char"/>
    <w:qFormat/>
    <w:locked/>
    <w:uiPriority w:val="99"/>
    <w:rPr>
      <w:rFonts w:ascii="宋体" w:hAnsi="Courier New" w:eastAsia="宋体"/>
      <w:kern w:val="2"/>
      <w:sz w:val="21"/>
      <w:lang w:val="en-US" w:eastAsia="zh-CN"/>
    </w:rPr>
  </w:style>
  <w:style w:type="character" w:customStyle="1" w:styleId="71">
    <w:name w:val="Footer Char"/>
    <w:qFormat/>
    <w:locked/>
    <w:uiPriority w:val="99"/>
    <w:rPr>
      <w:kern w:val="2"/>
      <w:sz w:val="18"/>
    </w:rPr>
  </w:style>
  <w:style w:type="character" w:customStyle="1" w:styleId="72">
    <w:name w:val="列表编号 2 Char"/>
    <w:qFormat/>
    <w:uiPriority w:val="99"/>
    <w:rPr>
      <w:rFonts w:eastAsia="宋体"/>
      <w:sz w:val="24"/>
      <w:lang w:val="en-US" w:eastAsia="zh-CN"/>
    </w:rPr>
  </w:style>
  <w:style w:type="character" w:customStyle="1" w:styleId="73">
    <w:name w:val="正文文本缩进 Char Char"/>
    <w:link w:val="74"/>
    <w:qFormat/>
    <w:locked/>
    <w:uiPriority w:val="99"/>
    <w:rPr>
      <w:kern w:val="2"/>
      <w:sz w:val="24"/>
    </w:rPr>
  </w:style>
  <w:style w:type="paragraph" w:customStyle="1" w:styleId="74">
    <w:name w:val="正文文本缩进1"/>
    <w:basedOn w:val="1"/>
    <w:link w:val="73"/>
    <w:qFormat/>
    <w:uiPriority w:val="99"/>
    <w:pPr>
      <w:spacing w:after="120"/>
      <w:ind w:left="420" w:leftChars="200"/>
    </w:pPr>
    <w:rPr>
      <w:sz w:val="24"/>
      <w:szCs w:val="20"/>
    </w:rPr>
  </w:style>
  <w:style w:type="character" w:customStyle="1" w:styleId="75">
    <w:name w:val="font01"/>
    <w:qFormat/>
    <w:uiPriority w:val="99"/>
    <w:rPr>
      <w:rFonts w:ascii="宋体" w:hAnsi="宋体" w:eastAsia="宋体"/>
      <w:color w:val="FF0000"/>
      <w:sz w:val="21"/>
      <w:u w:val="none"/>
    </w:rPr>
  </w:style>
  <w:style w:type="character" w:customStyle="1" w:styleId="76">
    <w:name w:val="wj"/>
    <w:qFormat/>
    <w:uiPriority w:val="99"/>
    <w:rPr>
      <w:rFonts w:cs="Times New Roman"/>
    </w:rPr>
  </w:style>
  <w:style w:type="character" w:customStyle="1" w:styleId="77">
    <w:name w:val="p121"/>
    <w:qFormat/>
    <w:uiPriority w:val="99"/>
    <w:rPr>
      <w:sz w:val="24"/>
      <w:u w:val="none"/>
    </w:rPr>
  </w:style>
  <w:style w:type="character" w:customStyle="1" w:styleId="78">
    <w:name w:val="font11"/>
    <w:qFormat/>
    <w:uiPriority w:val="99"/>
    <w:rPr>
      <w:rFonts w:ascii="宋体" w:hAnsi="宋体" w:eastAsia="宋体"/>
      <w:color w:val="000000"/>
      <w:sz w:val="28"/>
      <w:u w:val="none"/>
    </w:rPr>
  </w:style>
  <w:style w:type="character" w:customStyle="1" w:styleId="79">
    <w:name w:val="日期 Char"/>
    <w:link w:val="30"/>
    <w:qFormat/>
    <w:locked/>
    <w:uiPriority w:val="0"/>
    <w:rPr>
      <w:rFonts w:cs="Times New Roman"/>
      <w:sz w:val="24"/>
      <w:szCs w:val="24"/>
    </w:rPr>
  </w:style>
  <w:style w:type="character" w:customStyle="1" w:styleId="80">
    <w:name w:val="正文文本缩进 3 Char"/>
    <w:link w:val="38"/>
    <w:semiHidden/>
    <w:qFormat/>
    <w:locked/>
    <w:uiPriority w:val="99"/>
    <w:rPr>
      <w:rFonts w:cs="Times New Roman"/>
      <w:sz w:val="16"/>
      <w:szCs w:val="16"/>
    </w:rPr>
  </w:style>
  <w:style w:type="character" w:customStyle="1" w:styleId="81">
    <w:name w:val="正文文本缩进 2 Char"/>
    <w:link w:val="31"/>
    <w:semiHidden/>
    <w:qFormat/>
    <w:locked/>
    <w:uiPriority w:val="99"/>
    <w:rPr>
      <w:rFonts w:cs="Times New Roman"/>
      <w:sz w:val="24"/>
      <w:szCs w:val="24"/>
    </w:rPr>
  </w:style>
  <w:style w:type="character" w:customStyle="1" w:styleId="82">
    <w:name w:val="正文文本 3 Char"/>
    <w:link w:val="22"/>
    <w:semiHidden/>
    <w:qFormat/>
    <w:locked/>
    <w:uiPriority w:val="99"/>
    <w:rPr>
      <w:rFonts w:cs="Times New Roman"/>
      <w:sz w:val="16"/>
      <w:szCs w:val="16"/>
    </w:rPr>
  </w:style>
  <w:style w:type="character" w:customStyle="1" w:styleId="83">
    <w:name w:val="正文文本 2 Char"/>
    <w:link w:val="41"/>
    <w:semiHidden/>
    <w:qFormat/>
    <w:locked/>
    <w:uiPriority w:val="99"/>
    <w:rPr>
      <w:rFonts w:cs="Times New Roman"/>
      <w:sz w:val="24"/>
      <w:szCs w:val="24"/>
    </w:rPr>
  </w:style>
  <w:style w:type="character" w:customStyle="1" w:styleId="84">
    <w:name w:val="批注文字 Char"/>
    <w:link w:val="21"/>
    <w:semiHidden/>
    <w:qFormat/>
    <w:locked/>
    <w:uiPriority w:val="99"/>
    <w:rPr>
      <w:rFonts w:cs="Times New Roman"/>
      <w:sz w:val="24"/>
      <w:szCs w:val="24"/>
    </w:rPr>
  </w:style>
  <w:style w:type="character" w:customStyle="1" w:styleId="85">
    <w:name w:val="纯文本 Char"/>
    <w:link w:val="27"/>
    <w:semiHidden/>
    <w:qFormat/>
    <w:locked/>
    <w:uiPriority w:val="99"/>
    <w:rPr>
      <w:rFonts w:ascii="宋体" w:hAnsi="Courier New" w:cs="Courier New"/>
      <w:sz w:val="21"/>
      <w:szCs w:val="21"/>
    </w:rPr>
  </w:style>
  <w:style w:type="character" w:customStyle="1" w:styleId="86">
    <w:name w:val="标题 Char"/>
    <w:link w:val="44"/>
    <w:qFormat/>
    <w:locked/>
    <w:uiPriority w:val="99"/>
    <w:rPr>
      <w:rFonts w:ascii="Cambria" w:hAnsi="Cambria" w:cs="Times New Roman"/>
      <w:b/>
      <w:bCs/>
      <w:sz w:val="32"/>
      <w:szCs w:val="32"/>
    </w:rPr>
  </w:style>
  <w:style w:type="character" w:customStyle="1" w:styleId="87">
    <w:name w:val="页眉 Char"/>
    <w:link w:val="34"/>
    <w:qFormat/>
    <w:locked/>
    <w:uiPriority w:val="0"/>
    <w:rPr>
      <w:rFonts w:cs="Times New Roman"/>
      <w:kern w:val="2"/>
      <w:sz w:val="18"/>
      <w:szCs w:val="18"/>
    </w:rPr>
  </w:style>
  <w:style w:type="character" w:customStyle="1" w:styleId="88">
    <w:name w:val="文档结构图 Char"/>
    <w:link w:val="19"/>
    <w:semiHidden/>
    <w:qFormat/>
    <w:locked/>
    <w:uiPriority w:val="99"/>
    <w:rPr>
      <w:rFonts w:cs="Times New Roman"/>
      <w:sz w:val="2"/>
    </w:rPr>
  </w:style>
  <w:style w:type="character" w:customStyle="1" w:styleId="89">
    <w:name w:val="页脚 Char"/>
    <w:link w:val="33"/>
    <w:qFormat/>
    <w:locked/>
    <w:uiPriority w:val="0"/>
    <w:rPr>
      <w:rFonts w:cs="Times New Roman"/>
      <w:sz w:val="18"/>
      <w:szCs w:val="18"/>
    </w:rPr>
  </w:style>
  <w:style w:type="character" w:customStyle="1" w:styleId="90">
    <w:name w:val="批注主题 Char"/>
    <w:link w:val="45"/>
    <w:semiHidden/>
    <w:qFormat/>
    <w:locked/>
    <w:uiPriority w:val="99"/>
    <w:rPr>
      <w:rFonts w:cs="Times New Roman"/>
      <w:b/>
      <w:bCs/>
      <w:sz w:val="24"/>
      <w:szCs w:val="24"/>
    </w:rPr>
  </w:style>
  <w:style w:type="character" w:customStyle="1" w:styleId="91">
    <w:name w:val="正文文本 Char"/>
    <w:link w:val="7"/>
    <w:qFormat/>
    <w:locked/>
    <w:uiPriority w:val="99"/>
    <w:rPr>
      <w:rFonts w:cs="Times New Roman"/>
      <w:kern w:val="2"/>
      <w:sz w:val="24"/>
      <w:szCs w:val="24"/>
    </w:rPr>
  </w:style>
  <w:style w:type="character" w:customStyle="1" w:styleId="92">
    <w:name w:val="正文首行缩进 Char"/>
    <w:basedOn w:val="91"/>
    <w:link w:val="6"/>
    <w:semiHidden/>
    <w:qFormat/>
    <w:locked/>
    <w:uiPriority w:val="99"/>
    <w:rPr>
      <w:rFonts w:cs="Times New Roman"/>
      <w:kern w:val="2"/>
      <w:sz w:val="24"/>
      <w:szCs w:val="24"/>
    </w:rPr>
  </w:style>
  <w:style w:type="character" w:customStyle="1" w:styleId="93">
    <w:name w:val="批注框文本 Char"/>
    <w:link w:val="32"/>
    <w:semiHidden/>
    <w:qFormat/>
    <w:locked/>
    <w:uiPriority w:val="99"/>
    <w:rPr>
      <w:rFonts w:cs="Times New Roman"/>
      <w:sz w:val="2"/>
    </w:rPr>
  </w:style>
  <w:style w:type="character" w:customStyle="1" w:styleId="94">
    <w:name w:val="正文文本缩进 Char"/>
    <w:link w:val="3"/>
    <w:qFormat/>
    <w:locked/>
    <w:uiPriority w:val="99"/>
    <w:rPr>
      <w:rFonts w:ascii="宋体" w:eastAsia="宋体" w:cs="Times New Roman"/>
      <w:kern w:val="2"/>
      <w:sz w:val="24"/>
      <w:szCs w:val="24"/>
    </w:rPr>
  </w:style>
  <w:style w:type="paragraph" w:customStyle="1" w:styleId="95">
    <w:name w:val="样式 行距: 1.5 倍行距"/>
    <w:basedOn w:val="1"/>
    <w:qFormat/>
    <w:uiPriority w:val="99"/>
    <w:pPr>
      <w:widowControl/>
      <w:spacing w:line="2148" w:lineRule="atLeast"/>
      <w:ind w:firstLine="419"/>
      <w:textAlignment w:val="baseline"/>
    </w:pPr>
    <w:rPr>
      <w:rFonts w:ascii="宋体"/>
      <w:color w:val="000000"/>
      <w:kern w:val="0"/>
      <w:sz w:val="28"/>
      <w:szCs w:val="20"/>
      <w:u w:color="000000"/>
    </w:rPr>
  </w:style>
  <w:style w:type="paragraph" w:customStyle="1" w:styleId="9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color w:val="000000"/>
      <w:kern w:val="0"/>
      <w:sz w:val="20"/>
      <w:szCs w:val="20"/>
    </w:rPr>
  </w:style>
  <w:style w:type="paragraph" w:customStyle="1" w:styleId="9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98">
    <w:name w:val="样式 标题 5 + 首行缩进:  2 字符1"/>
    <w:basedOn w:val="11"/>
    <w:qFormat/>
    <w:uiPriority w:val="99"/>
    <w:pPr>
      <w:keepLines/>
      <w:widowControl w:val="0"/>
      <w:spacing w:afterLines="15" w:line="300" w:lineRule="auto"/>
      <w:ind w:left="0" w:firstLine="200" w:firstLineChars="200"/>
      <w:jc w:val="both"/>
    </w:pPr>
    <w:rPr>
      <w:b/>
      <w:bCs/>
      <w:kern w:val="2"/>
      <w:sz w:val="21"/>
    </w:rPr>
  </w:style>
  <w:style w:type="paragraph" w:customStyle="1" w:styleId="99">
    <w:name w:val="p15"/>
    <w:basedOn w:val="1"/>
    <w:qFormat/>
    <w:uiPriority w:val="99"/>
    <w:pPr>
      <w:widowControl/>
    </w:pPr>
    <w:rPr>
      <w:kern w:val="0"/>
      <w:szCs w:val="21"/>
    </w:rPr>
  </w:style>
  <w:style w:type="paragraph" w:customStyle="1" w:styleId="100">
    <w:name w:val="标准正文"/>
    <w:basedOn w:val="1"/>
    <w:qFormat/>
    <w:uiPriority w:val="99"/>
    <w:pPr>
      <w:spacing w:afterLines="50"/>
      <w:ind w:firstLine="200" w:firstLineChars="200"/>
    </w:pPr>
    <w:rPr>
      <w:sz w:val="24"/>
      <w:szCs w:val="21"/>
    </w:rPr>
  </w:style>
  <w:style w:type="paragraph" w:customStyle="1" w:styleId="101">
    <w:name w:val="font7"/>
    <w:basedOn w:val="1"/>
    <w:qFormat/>
    <w:uiPriority w:val="99"/>
    <w:pPr>
      <w:widowControl/>
      <w:spacing w:before="100" w:beforeAutospacing="1" w:after="100" w:afterAutospacing="1"/>
      <w:jc w:val="left"/>
    </w:pPr>
    <w:rPr>
      <w:rFonts w:ascii="宋体" w:hAnsi="宋体" w:cs="Arial Unicode MS"/>
      <w:b/>
      <w:bCs/>
      <w:kern w:val="0"/>
      <w:sz w:val="22"/>
      <w:szCs w:val="22"/>
    </w:rPr>
  </w:style>
  <w:style w:type="paragraph" w:customStyle="1" w:styleId="102">
    <w:name w:val="文章附标题"/>
    <w:basedOn w:val="1"/>
    <w:next w:val="1"/>
    <w:qFormat/>
    <w:uiPriority w:val="99"/>
    <w:pPr>
      <w:widowControl/>
      <w:spacing w:before="187" w:after="175" w:line="2245" w:lineRule="atLeast"/>
      <w:jc w:val="center"/>
      <w:textAlignment w:val="baseline"/>
    </w:pPr>
    <w:rPr>
      <w:color w:val="000000"/>
      <w:kern w:val="0"/>
      <w:sz w:val="36"/>
      <w:szCs w:val="20"/>
      <w:u w:color="000000"/>
    </w:rPr>
  </w:style>
  <w:style w:type="paragraph" w:customStyle="1" w:styleId="103">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04">
    <w:name w:val="样式 (西文) 宋体 段后: 0.5 行 行距: 1.5 倍行距"/>
    <w:basedOn w:val="1"/>
    <w:qFormat/>
    <w:uiPriority w:val="99"/>
    <w:pPr>
      <w:widowControl/>
      <w:spacing w:line="360" w:lineRule="auto"/>
      <w:jc w:val="left"/>
    </w:pPr>
    <w:rPr>
      <w:rFonts w:ascii="宋体" w:hAnsi="宋体" w:cs="宋体"/>
      <w:kern w:val="0"/>
      <w:sz w:val="24"/>
      <w:szCs w:val="20"/>
    </w:rPr>
  </w:style>
  <w:style w:type="paragraph" w:customStyle="1" w:styleId="105">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106">
    <w:name w:val="带上框线页脚"/>
    <w:basedOn w:val="1"/>
    <w:qFormat/>
    <w:uiPriority w:val="99"/>
    <w:pPr>
      <w:widowControl/>
      <w:pBdr>
        <w:top w:val="single" w:color="auto" w:sz="4" w:space="1"/>
      </w:pBdr>
      <w:spacing w:afterLines="50"/>
      <w:jc w:val="left"/>
    </w:pPr>
    <w:rPr>
      <w:kern w:val="0"/>
      <w:sz w:val="18"/>
      <w:szCs w:val="20"/>
    </w:rPr>
  </w:style>
  <w:style w:type="paragraph" w:customStyle="1" w:styleId="107">
    <w:name w:val="默认段落字体 Para Char Char Char Char Char Char Char"/>
    <w:basedOn w:val="1"/>
    <w:qFormat/>
    <w:uiPriority w:val="99"/>
  </w:style>
  <w:style w:type="paragraph" w:customStyle="1" w:styleId="108">
    <w:name w:val="正文不缩进"/>
    <w:basedOn w:val="1"/>
    <w:next w:val="10"/>
    <w:qFormat/>
    <w:uiPriority w:val="99"/>
    <w:pPr>
      <w:spacing w:afterLines="50"/>
      <w:ind w:firstLine="420"/>
    </w:pPr>
    <w:rPr>
      <w:szCs w:val="20"/>
    </w:rPr>
  </w:style>
  <w:style w:type="paragraph" w:customStyle="1" w:styleId="109">
    <w:name w:val="Char Char Char Char1"/>
    <w:basedOn w:val="1"/>
    <w:qFormat/>
    <w:uiPriority w:val="99"/>
    <w:rPr>
      <w:szCs w:val="20"/>
    </w:rPr>
  </w:style>
  <w:style w:type="paragraph" w:customStyle="1" w:styleId="110">
    <w:name w:val="标书正文"/>
    <w:basedOn w:val="7"/>
    <w:qFormat/>
    <w:uiPriority w:val="99"/>
    <w:pPr>
      <w:adjustRightInd w:val="0"/>
      <w:snapToGrid w:val="0"/>
      <w:spacing w:line="460" w:lineRule="exact"/>
      <w:ind w:firstLine="480" w:firstLineChars="200"/>
    </w:pPr>
    <w:rPr>
      <w:rFonts w:ascii="宋体" w:hAnsi="宋体"/>
      <w:color w:val="FF0000"/>
      <w:kern w:val="0"/>
      <w:szCs w:val="20"/>
    </w:rPr>
  </w:style>
  <w:style w:type="paragraph" w:customStyle="1" w:styleId="111">
    <w:name w:val="font6"/>
    <w:basedOn w:val="1"/>
    <w:qFormat/>
    <w:uiPriority w:val="99"/>
    <w:pPr>
      <w:widowControl/>
      <w:spacing w:before="100" w:beforeAutospacing="1" w:after="100" w:afterAutospacing="1"/>
      <w:jc w:val="left"/>
    </w:pPr>
    <w:rPr>
      <w:kern w:val="0"/>
      <w:sz w:val="24"/>
    </w:rPr>
  </w:style>
  <w:style w:type="paragraph" w:customStyle="1" w:styleId="11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14">
    <w:name w:val="Char"/>
    <w:basedOn w:val="1"/>
    <w:qFormat/>
    <w:uiPriority w:val="99"/>
    <w:rPr>
      <w:szCs w:val="20"/>
    </w:rPr>
  </w:style>
  <w:style w:type="paragraph" w:customStyle="1" w:styleId="115">
    <w:name w:val="标书标题4"/>
    <w:basedOn w:val="9"/>
    <w:qFormat/>
    <w:uiPriority w:val="99"/>
    <w:pPr>
      <w:tabs>
        <w:tab w:val="left" w:pos="851"/>
      </w:tabs>
      <w:adjustRightInd w:val="0"/>
      <w:ind w:left="851" w:hanging="851"/>
    </w:pPr>
    <w:rPr>
      <w:rFonts w:ascii="Arial Narrow" w:hAnsi="Arial Narrow" w:eastAsia="仿宋_GB2312"/>
      <w:kern w:val="0"/>
      <w:sz w:val="28"/>
      <w:szCs w:val="32"/>
    </w:rPr>
  </w:style>
  <w:style w:type="paragraph" w:customStyle="1" w:styleId="116">
    <w:name w:val="小节标题"/>
    <w:basedOn w:val="1"/>
    <w:next w:val="1"/>
    <w:qFormat/>
    <w:uiPriority w:val="99"/>
    <w:pPr>
      <w:widowControl/>
      <w:spacing w:before="175" w:after="102" w:line="1428" w:lineRule="atLeast"/>
    </w:pPr>
    <w:rPr>
      <w:rFonts w:eastAsia="黑体"/>
      <w:color w:val="000000"/>
      <w:kern w:val="0"/>
      <w:szCs w:val="20"/>
      <w:u w:color="000000"/>
    </w:rPr>
  </w:style>
  <w:style w:type="paragraph" w:customStyle="1" w:styleId="11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szCs w:val="20"/>
    </w:rPr>
  </w:style>
  <w:style w:type="paragraph" w:customStyle="1" w:styleId="119">
    <w:name w:val="样式 标题 5 + 首行缩进:  2 字符"/>
    <w:basedOn w:val="11"/>
    <w:qFormat/>
    <w:uiPriority w:val="99"/>
    <w:pPr>
      <w:keepLines/>
      <w:widowControl w:val="0"/>
      <w:spacing w:afterLines="15"/>
      <w:ind w:left="0" w:firstLine="200" w:firstLineChars="200"/>
      <w:jc w:val="both"/>
    </w:pPr>
    <w:rPr>
      <w:bCs/>
      <w:kern w:val="2"/>
      <w:sz w:val="21"/>
    </w:rPr>
  </w:style>
  <w:style w:type="paragraph" w:customStyle="1" w:styleId="12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21">
    <w:name w:val="样式 (西文) 宋体 左  2.06 字符"/>
    <w:basedOn w:val="1"/>
    <w:qFormat/>
    <w:uiPriority w:val="99"/>
    <w:pPr>
      <w:widowControl/>
      <w:spacing w:afterLines="50"/>
      <w:ind w:left="206" w:leftChars="206"/>
      <w:jc w:val="left"/>
    </w:pPr>
    <w:rPr>
      <w:rFonts w:ascii="宋体" w:hAnsi="宋体" w:cs="宋体"/>
      <w:kern w:val="0"/>
      <w:sz w:val="24"/>
      <w:szCs w:val="20"/>
    </w:rPr>
  </w:style>
  <w:style w:type="paragraph" w:customStyle="1" w:styleId="122">
    <w:name w:val="body"/>
    <w:basedOn w:val="1"/>
    <w:qFormat/>
    <w:uiPriority w:val="99"/>
    <w:pPr>
      <w:widowControl/>
    </w:pPr>
    <w:rPr>
      <w:color w:val="000000"/>
      <w:kern w:val="0"/>
      <w:sz w:val="20"/>
      <w:szCs w:val="20"/>
    </w:rPr>
  </w:style>
  <w:style w:type="paragraph" w:customStyle="1" w:styleId="123">
    <w:name w:val="默认段落字体 Para Char Char Char Char Char Char Char Char Char1 Char Char Char Char"/>
    <w:basedOn w:val="1"/>
    <w:qFormat/>
    <w:uiPriority w:val="99"/>
    <w:rPr>
      <w:rFonts w:ascii="Tahoma" w:hAnsi="Tahoma"/>
      <w:sz w:val="24"/>
      <w:szCs w:val="20"/>
    </w:rPr>
  </w:style>
  <w:style w:type="paragraph" w:customStyle="1" w:styleId="124">
    <w:name w:val="列出段落1"/>
    <w:basedOn w:val="1"/>
    <w:qFormat/>
    <w:uiPriority w:val="99"/>
    <w:pPr>
      <w:ind w:firstLine="420" w:firstLineChars="200"/>
    </w:pPr>
    <w:rPr>
      <w:rFonts w:ascii="Calibri" w:hAnsi="Calibri"/>
      <w:szCs w:val="22"/>
    </w:rPr>
  </w:style>
  <w:style w:type="paragraph" w:customStyle="1" w:styleId="12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26">
    <w:name w:val="表格文字"/>
    <w:basedOn w:val="27"/>
    <w:qFormat/>
    <w:uiPriority w:val="99"/>
    <w:pPr>
      <w:jc w:val="left"/>
    </w:pPr>
    <w:rPr>
      <w:sz w:val="24"/>
    </w:rPr>
  </w:style>
  <w:style w:type="paragraph" w:customStyle="1" w:styleId="127">
    <w:name w:val="节标题"/>
    <w:basedOn w:val="1"/>
    <w:next w:val="116"/>
    <w:qFormat/>
    <w:uiPriority w:val="99"/>
    <w:pPr>
      <w:widowControl/>
      <w:spacing w:line="1734" w:lineRule="atLeast"/>
      <w:jc w:val="center"/>
      <w:textAlignment w:val="baseline"/>
    </w:pPr>
    <w:rPr>
      <w:color w:val="000000"/>
      <w:kern w:val="0"/>
      <w:sz w:val="28"/>
      <w:szCs w:val="20"/>
      <w:u w:color="000000"/>
    </w:rPr>
  </w:style>
  <w:style w:type="paragraph" w:customStyle="1" w:styleId="128">
    <w:name w:val="样式 (西文) 宋体 行距: 多倍行距 0.9 字行"/>
    <w:basedOn w:val="1"/>
    <w:qFormat/>
    <w:uiPriority w:val="99"/>
    <w:pPr>
      <w:widowControl/>
      <w:spacing w:afterLines="50" w:line="216" w:lineRule="auto"/>
      <w:jc w:val="left"/>
    </w:pPr>
    <w:rPr>
      <w:rFonts w:ascii="宋体" w:hAnsi="宋体" w:cs="宋体"/>
      <w:kern w:val="0"/>
      <w:sz w:val="24"/>
      <w:szCs w:val="20"/>
    </w:rPr>
  </w:style>
  <w:style w:type="paragraph" w:customStyle="1" w:styleId="129">
    <w:name w:val="样式 列表编号 + 段后: 0.5 行"/>
    <w:basedOn w:val="17"/>
    <w:qFormat/>
    <w:uiPriority w:val="99"/>
    <w:pPr>
      <w:spacing w:after="120"/>
      <w:ind w:left="840"/>
    </w:pPr>
  </w:style>
  <w:style w:type="paragraph" w:customStyle="1" w:styleId="130">
    <w:name w:val="xl45"/>
    <w:basedOn w:val="1"/>
    <w:qFormat/>
    <w:uiPriority w:val="99"/>
    <w:pPr>
      <w:widowControl/>
      <w:spacing w:before="100" w:beforeAutospacing="1" w:after="100" w:afterAutospacing="1"/>
      <w:jc w:val="left"/>
      <w:textAlignment w:val="center"/>
    </w:pPr>
    <w:rPr>
      <w:rFonts w:ascii="Arial Unicode MS" w:hAnsi="Arial Unicode MS" w:cs="Arial Unicode MS"/>
      <w:b/>
      <w:bCs/>
      <w:kern w:val="0"/>
      <w:sz w:val="22"/>
      <w:szCs w:val="22"/>
    </w:rPr>
  </w:style>
  <w:style w:type="paragraph" w:customStyle="1" w:styleId="131">
    <w:name w:val="font8"/>
    <w:basedOn w:val="1"/>
    <w:qFormat/>
    <w:uiPriority w:val="99"/>
    <w:pPr>
      <w:widowControl/>
      <w:spacing w:before="100" w:beforeAutospacing="1" w:after="100" w:afterAutospacing="1"/>
      <w:jc w:val="left"/>
    </w:pPr>
    <w:rPr>
      <w:b/>
      <w:bCs/>
      <w:kern w:val="0"/>
      <w:sz w:val="22"/>
      <w:szCs w:val="22"/>
    </w:rPr>
  </w:style>
  <w:style w:type="paragraph" w:customStyle="1" w:styleId="132">
    <w:name w:val="样式 段后: 0.5 行"/>
    <w:basedOn w:val="1"/>
    <w:qFormat/>
    <w:uiPriority w:val="99"/>
    <w:pPr>
      <w:widowControl/>
      <w:spacing w:afterLines="50"/>
      <w:jc w:val="left"/>
    </w:pPr>
    <w:rPr>
      <w:rFonts w:cs="宋体"/>
      <w:kern w:val="0"/>
      <w:sz w:val="24"/>
      <w:szCs w:val="20"/>
    </w:rPr>
  </w:style>
  <w:style w:type="paragraph" w:customStyle="1" w:styleId="133">
    <w:name w:val="标书标题1"/>
    <w:basedOn w:val="4"/>
    <w:qFormat/>
    <w:uiPriority w:val="99"/>
    <w:pPr>
      <w:tabs>
        <w:tab w:val="left" w:pos="360"/>
      </w:tabs>
      <w:adjustRightInd w:val="0"/>
      <w:snapToGrid w:val="0"/>
      <w:spacing w:after="0" w:line="360" w:lineRule="auto"/>
      <w:ind w:left="284" w:hanging="284"/>
    </w:pPr>
    <w:rPr>
      <w:rFonts w:ascii="Arial Narrow" w:hAnsi="Arial Narrow" w:eastAsia="黑体"/>
      <w:b w:val="0"/>
      <w:kern w:val="0"/>
      <w:sz w:val="30"/>
    </w:rPr>
  </w:style>
  <w:style w:type="paragraph" w:customStyle="1" w:styleId="134">
    <w:name w:val="标书标题3"/>
    <w:basedOn w:val="8"/>
    <w:qFormat/>
    <w:uiPriority w:val="99"/>
    <w:pPr>
      <w:tabs>
        <w:tab w:val="left" w:pos="709"/>
      </w:tabs>
      <w:adjustRightInd w:val="0"/>
      <w:snapToGrid w:val="0"/>
      <w:spacing w:before="120" w:line="300" w:lineRule="auto"/>
      <w:ind w:left="709" w:hanging="709"/>
    </w:pPr>
    <w:rPr>
      <w:rFonts w:ascii="Arial Narrow" w:hAnsi="Arial Narrow" w:eastAsia="仿宋_GB2312"/>
      <w:b/>
      <w:sz w:val="28"/>
      <w:szCs w:val="32"/>
    </w:rPr>
  </w:style>
  <w:style w:type="paragraph" w:customStyle="1" w:styleId="135">
    <w:name w:val="表格标题"/>
    <w:basedOn w:val="126"/>
    <w:qFormat/>
    <w:uiPriority w:val="99"/>
    <w:pPr>
      <w:keepNext/>
      <w:jc w:val="center"/>
    </w:pPr>
    <w:rPr>
      <w:b/>
      <w:bCs/>
    </w:rPr>
  </w:style>
  <w:style w:type="paragraph" w:customStyle="1" w:styleId="136">
    <w:name w:val="正文段"/>
    <w:basedOn w:val="1"/>
    <w:qFormat/>
    <w:uiPriority w:val="99"/>
    <w:pPr>
      <w:widowControl/>
      <w:snapToGrid w:val="0"/>
      <w:spacing w:afterLines="50"/>
      <w:ind w:firstLine="200" w:firstLineChars="200"/>
    </w:pPr>
    <w:rPr>
      <w:kern w:val="0"/>
      <w:sz w:val="24"/>
      <w:szCs w:val="20"/>
    </w:rPr>
  </w:style>
  <w:style w:type="paragraph" w:customStyle="1" w:styleId="137">
    <w:name w:val="xl46"/>
    <w:basedOn w:val="1"/>
    <w:qFormat/>
    <w:uiPriority w:val="99"/>
    <w:pPr>
      <w:widowControl/>
      <w:spacing w:before="100" w:beforeAutospacing="1" w:after="100" w:afterAutospacing="1"/>
      <w:jc w:val="left"/>
      <w:textAlignment w:val="center"/>
    </w:pPr>
    <w:rPr>
      <w:b/>
      <w:bCs/>
      <w:kern w:val="0"/>
      <w:sz w:val="22"/>
      <w:szCs w:val="22"/>
    </w:rPr>
  </w:style>
  <w:style w:type="paragraph" w:customStyle="1" w:styleId="138">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b/>
      <w:bCs/>
      <w:kern w:val="0"/>
      <w:sz w:val="20"/>
      <w:szCs w:val="20"/>
    </w:rPr>
  </w:style>
  <w:style w:type="paragraph" w:customStyle="1" w:styleId="13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color w:val="000000"/>
      <w:kern w:val="0"/>
      <w:sz w:val="20"/>
      <w:szCs w:val="20"/>
    </w:rPr>
  </w:style>
  <w:style w:type="paragraph" w:customStyle="1" w:styleId="140">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141">
    <w:name w:val="p0"/>
    <w:basedOn w:val="1"/>
    <w:qFormat/>
    <w:uiPriority w:val="99"/>
    <w:pPr>
      <w:widowControl/>
    </w:pPr>
    <w:rPr>
      <w:kern w:val="0"/>
      <w:szCs w:val="21"/>
    </w:rPr>
  </w:style>
  <w:style w:type="paragraph" w:customStyle="1" w:styleId="142">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14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styleId="144">
    <w:name w:val="List Paragraph"/>
    <w:basedOn w:val="1"/>
    <w:qFormat/>
    <w:uiPriority w:val="0"/>
    <w:pPr>
      <w:ind w:firstLine="420" w:firstLineChars="200"/>
    </w:pPr>
  </w:style>
  <w:style w:type="paragraph" w:customStyle="1" w:styleId="145">
    <w:name w:val="正文2"/>
    <w:basedOn w:val="1"/>
    <w:link w:val="154"/>
    <w:qFormat/>
    <w:uiPriority w:val="0"/>
    <w:pPr>
      <w:spacing w:line="360" w:lineRule="auto"/>
      <w:ind w:firstLine="510" w:firstLineChars="200"/>
    </w:pPr>
    <w:rPr>
      <w:sz w:val="24"/>
      <w:szCs w:val="20"/>
    </w:rPr>
  </w:style>
  <w:style w:type="paragraph" w:customStyle="1" w:styleId="14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47">
    <w:name w:val="样式29"/>
    <w:basedOn w:val="1"/>
    <w:qFormat/>
    <w:uiPriority w:val="0"/>
    <w:pPr>
      <w:widowControl/>
      <w:spacing w:line="440" w:lineRule="exact"/>
      <w:ind w:firstLine="200" w:firstLineChars="200"/>
      <w:jc w:val="left"/>
    </w:pPr>
    <w:rPr>
      <w:spacing w:val="6"/>
      <w:kern w:val="0"/>
      <w:sz w:val="24"/>
      <w:szCs w:val="20"/>
    </w:rPr>
  </w:style>
  <w:style w:type="character" w:customStyle="1" w:styleId="148">
    <w:name w:val="标题 1 Char Char"/>
    <w:qFormat/>
    <w:uiPriority w:val="99"/>
    <w:rPr>
      <w:rFonts w:ascii="Times New Roman" w:hAnsi="Times New Roman" w:eastAsia="宋体"/>
      <w:b/>
      <w:spacing w:val="-2"/>
      <w:sz w:val="24"/>
      <w:lang w:val="en-US" w:eastAsia="zh-CN"/>
    </w:rPr>
  </w:style>
  <w:style w:type="paragraph" w:customStyle="1" w:styleId="14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150">
    <w:name w:val="正文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样式 样式 样式 样式1 + 首行缩进:  2 字符 + 左侧:  0.74 厘米 + 首行缩进:  2 字符"/>
    <w:basedOn w:val="1"/>
    <w:qFormat/>
    <w:uiPriority w:val="99"/>
    <w:pPr>
      <w:spacing w:line="360" w:lineRule="exact"/>
      <w:ind w:firstLine="480" w:firstLineChars="200"/>
    </w:pPr>
    <w:rPr>
      <w:rFonts w:ascii="Arial" w:hAnsi="Arial"/>
      <w:kern w:val="0"/>
      <w:sz w:val="28"/>
      <w:szCs w:val="20"/>
    </w:rPr>
  </w:style>
  <w:style w:type="character" w:customStyle="1" w:styleId="152">
    <w:name w:val="正文缩进 Char"/>
    <w:link w:val="10"/>
    <w:qFormat/>
    <w:uiPriority w:val="0"/>
    <w:rPr>
      <w:kern w:val="2"/>
      <w:sz w:val="21"/>
    </w:rPr>
  </w:style>
  <w:style w:type="character" w:customStyle="1" w:styleId="153">
    <w:name w:val="纯文本 Char1"/>
    <w:basedOn w:val="48"/>
    <w:qFormat/>
    <w:uiPriority w:val="0"/>
    <w:rPr>
      <w:rFonts w:ascii="宋体" w:hAnsi="Courier New" w:eastAsia="宋体" w:cs="Courier New"/>
      <w:szCs w:val="21"/>
    </w:rPr>
  </w:style>
  <w:style w:type="character" w:customStyle="1" w:styleId="154">
    <w:name w:val="正文2 Char"/>
    <w:link w:val="145"/>
    <w:qFormat/>
    <w:uiPriority w:val="0"/>
    <w:rPr>
      <w:kern w:val="2"/>
      <w:sz w:val="24"/>
    </w:rPr>
  </w:style>
  <w:style w:type="character" w:customStyle="1" w:styleId="155">
    <w:name w:val="普通(网站) Char"/>
    <w:link w:val="42"/>
    <w:qFormat/>
    <w:uiPriority w:val="0"/>
    <w:rPr>
      <w:rFonts w:ascii="Arial Unicode MS" w:hAnsi="Arial Unicode MS" w:cs="Arial Unicode MS"/>
      <w:color w:val="000000"/>
      <w:sz w:val="19"/>
      <w:szCs w:val="19"/>
    </w:rPr>
  </w:style>
  <w:style w:type="paragraph" w:customStyle="1" w:styleId="156">
    <w:name w:val="DG正文"/>
    <w:basedOn w:val="1"/>
    <w:qFormat/>
    <w:uiPriority w:val="0"/>
    <w:pPr>
      <w:widowControl/>
      <w:spacing w:line="360" w:lineRule="auto"/>
      <w:ind w:right="142" w:firstLine="640" w:firstLineChars="200"/>
      <w:jc w:val="left"/>
    </w:pPr>
    <w:rPr>
      <w:rFonts w:ascii="Calibri" w:hAnsi="Calibri" w:cs="Calibri"/>
      <w:sz w:val="24"/>
    </w:rPr>
  </w:style>
  <w:style w:type="paragraph" w:customStyle="1" w:styleId="157">
    <w:name w:val="表内文字"/>
    <w:basedOn w:val="1"/>
    <w:qFormat/>
    <w:uiPriority w:val="0"/>
    <w:pPr>
      <w:spacing w:line="500" w:lineRule="atLeast"/>
      <w:jc w:val="center"/>
    </w:pPr>
    <w:rPr>
      <w:rFonts w:ascii="Arial" w:hAnsi="Arial" w:eastAsia="楷体_GB2312"/>
      <w:sz w:val="28"/>
      <w:szCs w:val="20"/>
    </w:rPr>
  </w:style>
  <w:style w:type="paragraph" w:customStyle="1" w:styleId="158">
    <w:name w:val="Plain Text"/>
    <w:basedOn w:val="159"/>
    <w:qFormat/>
    <w:uiPriority w:val="0"/>
    <w:pPr>
      <w:widowControl/>
      <w:jc w:val="left"/>
    </w:pPr>
    <w:rPr>
      <w:rFonts w:ascii="Times New Roman" w:hAnsi="Courier New" w:cs="Times New Roman"/>
    </w:rPr>
  </w:style>
  <w:style w:type="paragraph" w:customStyle="1" w:styleId="159">
    <w:name w:val="Normal"/>
    <w:basedOn w:val="1"/>
    <w:qFormat/>
    <w:uiPriority w:val="0"/>
    <w:pPr>
      <w:spacing w:line="360" w:lineRule="auto"/>
      <w:ind w:firstLine="200" w:firstLineChars="20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9F8F3-0774-4C83-9213-223C4AF78EB5}">
  <ds:schemaRefs/>
</ds:datastoreItem>
</file>

<file path=docProps/app.xml><?xml version="1.0" encoding="utf-8"?>
<Properties xmlns="http://schemas.openxmlformats.org/officeDocument/2006/extended-properties" xmlns:vt="http://schemas.openxmlformats.org/officeDocument/2006/docPropsVTypes">
  <Template>Normal.dotm</Template>
  <Company>sxxsp</Company>
  <Pages>93</Pages>
  <Words>8719</Words>
  <Characters>49699</Characters>
  <Lines>414</Lines>
  <Paragraphs>116</Paragraphs>
  <TotalTime>0</TotalTime>
  <ScaleCrop>false</ScaleCrop>
  <LinksUpToDate>false</LinksUpToDate>
  <CharactersWithSpaces>58302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2021-02-17T17:14:00Z</dcterms:created>
  <dc:creator>lgd</dc:creator>
  <cp:lastModifiedBy>Administrator</cp:lastModifiedBy>
  <cp:lastPrinted>2021-10-27T11:13:00Z</cp:lastPrinted>
  <dcterms:modified xsi:type="dcterms:W3CDTF">2021-11-15T11:16:46Z</dcterms:modified>
  <dc:title>政府采购标文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88FE75D402494A0FBFAF26078030C3AB</vt:lpwstr>
  </property>
</Properties>
</file>