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0" w:lineRule="exact"/>
        <w:jc w:val="center"/>
        <w:rPr>
          <w:rFonts w:hint="eastAsia" w:ascii="华文新魏" w:hAnsi="华文仿宋" w:eastAsia="华文新魏"/>
          <w:b/>
          <w:bCs/>
          <w:color w:val="000000"/>
          <w:sz w:val="72"/>
        </w:rPr>
      </w:pPr>
      <w:bookmarkStart w:id="44" w:name="_GoBack"/>
      <w:bookmarkEnd w:id="44"/>
    </w:p>
    <w:p>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pPr>
        <w:spacing w:before="120" w:beforeLines="50"/>
        <w:jc w:val="center"/>
        <w:rPr>
          <w:rFonts w:hint="eastAsia" w:ascii="宋体" w:hAnsi="宋体"/>
          <w:color w:val="auto"/>
          <w:sz w:val="72"/>
          <w:szCs w:val="72"/>
          <w:highlight w:val="none"/>
          <w:lang w:eastAsia="zh-CN"/>
        </w:rPr>
      </w:pPr>
      <w:r>
        <w:rPr>
          <w:rFonts w:hint="eastAsia" w:ascii="宋体" w:hAnsi="宋体"/>
          <w:color w:val="auto"/>
          <w:sz w:val="72"/>
          <w:szCs w:val="72"/>
          <w:highlight w:val="none"/>
          <w:lang w:eastAsia="zh-CN"/>
        </w:rPr>
        <w:t>采购招标文件</w:t>
      </w:r>
    </w:p>
    <w:p>
      <w:pPr>
        <w:pStyle w:val="273"/>
        <w:jc w:val="center"/>
        <w:rPr>
          <w:rFonts w:hint="eastAsia"/>
          <w:color w:val="auto"/>
          <w:highlight w:val="none"/>
          <w:lang w:eastAsia="zh-CN"/>
        </w:rPr>
      </w:pPr>
      <w:r>
        <w:rPr>
          <w:rFonts w:hint="eastAsia" w:ascii="宋体" w:hAnsi="宋体" w:eastAsia="宋体"/>
          <w:b/>
          <w:bCs/>
          <w:color w:val="auto"/>
          <w:sz w:val="44"/>
          <w:szCs w:val="44"/>
          <w:highlight w:val="none"/>
          <w:lang w:eastAsia="zh-CN"/>
        </w:rPr>
        <w:t>（电子招投标方式）</w:t>
      </w:r>
    </w:p>
    <w:p>
      <w:pPr>
        <w:adjustRightInd w:val="0"/>
        <w:snapToGrid w:val="0"/>
        <w:spacing w:line="1200" w:lineRule="exact"/>
        <w:jc w:val="center"/>
        <w:rPr>
          <w:rFonts w:hint="eastAsia" w:ascii="华文新魏" w:hAnsi="华文仿宋" w:eastAsia="华文新魏"/>
          <w:b/>
          <w:bCs/>
          <w:color w:val="000000"/>
          <w:sz w:val="84"/>
          <w:szCs w:val="84"/>
        </w:rPr>
      </w:pPr>
    </w:p>
    <w:p>
      <w:pPr>
        <w:adjustRightInd w:val="0"/>
        <w:snapToGrid w:val="0"/>
        <w:spacing w:line="360" w:lineRule="auto"/>
        <w:rPr>
          <w:rFonts w:hint="eastAsia" w:ascii="宋体" w:hAnsi="宋体"/>
          <w:b/>
          <w:bCs/>
          <w:color w:val="000000"/>
          <w:sz w:val="28"/>
          <w:szCs w:val="28"/>
        </w:rPr>
      </w:pPr>
    </w:p>
    <w:p>
      <w:pPr>
        <w:adjustRightInd w:val="0"/>
        <w:snapToGrid w:val="0"/>
        <w:spacing w:line="360" w:lineRule="auto"/>
        <w:ind w:firstLine="562" w:firstLineChars="200"/>
        <w:rPr>
          <w:rFonts w:hint="eastAsia" w:ascii="宋体" w:hAnsi="宋体" w:eastAsia="宋体"/>
          <w:b/>
          <w:bCs/>
          <w:color w:val="000000"/>
          <w:sz w:val="28"/>
          <w:szCs w:val="28"/>
          <w:lang w:eastAsia="zh-CN"/>
        </w:rPr>
      </w:pPr>
      <w:r>
        <w:rPr>
          <w:rFonts w:hint="eastAsia" w:ascii="宋体" w:hAnsi="宋体"/>
          <w:b/>
          <w:bCs/>
          <w:color w:val="000000"/>
          <w:sz w:val="28"/>
          <w:szCs w:val="28"/>
        </w:rPr>
        <w:t xml:space="preserve">项目名称： </w:t>
      </w:r>
      <w:r>
        <w:rPr>
          <w:rFonts w:hint="eastAsia" w:ascii="宋体" w:hAnsi="宋体"/>
          <w:b/>
          <w:bCs/>
          <w:color w:val="000000"/>
          <w:sz w:val="28"/>
          <w:szCs w:val="28"/>
          <w:u w:val="single"/>
          <w:lang w:eastAsia="zh-CN"/>
        </w:rPr>
        <w:t>古城街道新时代文明实践所</w:t>
      </w:r>
    </w:p>
    <w:p>
      <w:pPr>
        <w:adjustRightInd w:val="0"/>
        <w:snapToGrid w:val="0"/>
        <w:spacing w:line="360" w:lineRule="auto"/>
        <w:ind w:left="1519" w:leftChars="268" w:hanging="956" w:hangingChars="340"/>
        <w:rPr>
          <w:rFonts w:hint="default" w:ascii="宋体" w:hAnsi="宋体" w:eastAsia="宋体"/>
          <w:b/>
          <w:bCs/>
          <w:color w:val="000000"/>
          <w:sz w:val="28"/>
          <w:szCs w:val="28"/>
          <w:highlight w:val="none"/>
          <w:lang w:val="en-US" w:eastAsia="zh-CN"/>
        </w:rPr>
      </w:pPr>
      <w:r>
        <w:rPr>
          <w:rFonts w:hint="eastAsia" w:ascii="宋体" w:hAnsi="宋体"/>
          <w:b/>
          <w:bCs/>
          <w:color w:val="000000"/>
          <w:sz w:val="28"/>
          <w:szCs w:val="28"/>
          <w:highlight w:val="none"/>
        </w:rPr>
        <w:t xml:space="preserve">项目编号： </w:t>
      </w:r>
      <w:r>
        <w:rPr>
          <w:rFonts w:hint="eastAsia" w:ascii="宋体" w:hAnsi="宋体"/>
          <w:b/>
          <w:bCs/>
          <w:color w:val="000000"/>
          <w:sz w:val="28"/>
          <w:szCs w:val="28"/>
          <w:highlight w:val="none"/>
          <w:u w:val="single"/>
        </w:rPr>
        <w:t>ZJOB-LH-2020</w:t>
      </w:r>
      <w:r>
        <w:rPr>
          <w:rFonts w:hint="eastAsia" w:ascii="宋体" w:hAnsi="宋体"/>
          <w:b/>
          <w:bCs/>
          <w:color w:val="000000"/>
          <w:sz w:val="28"/>
          <w:szCs w:val="28"/>
          <w:highlight w:val="none"/>
          <w:u w:val="single"/>
          <w:lang w:val="en-US" w:eastAsia="zh-CN"/>
        </w:rPr>
        <w:t>04</w:t>
      </w:r>
    </w:p>
    <w:p>
      <w:pPr>
        <w:adjustRightInd w:val="0"/>
        <w:snapToGrid w:val="0"/>
        <w:spacing w:line="360" w:lineRule="auto"/>
        <w:ind w:left="1521" w:hanging="1521" w:hangingChars="541"/>
        <w:rPr>
          <w:rFonts w:hint="eastAsia" w:ascii="宋体" w:hAnsi="宋体"/>
          <w:b/>
          <w:bCs/>
          <w:color w:val="000000"/>
          <w:sz w:val="28"/>
          <w:szCs w:val="28"/>
          <w:highlight w:val="yellow"/>
        </w:rPr>
      </w:pPr>
    </w:p>
    <w:p>
      <w:pPr>
        <w:adjustRightInd w:val="0"/>
        <w:snapToGrid w:val="0"/>
        <w:spacing w:line="360" w:lineRule="auto"/>
        <w:rPr>
          <w:rFonts w:hint="eastAsia" w:ascii="宋体" w:hAnsi="宋体"/>
          <w:b/>
          <w:bCs/>
          <w:color w:val="000000"/>
          <w:sz w:val="28"/>
          <w:szCs w:val="28"/>
        </w:rPr>
      </w:pPr>
    </w:p>
    <w:p>
      <w:pPr>
        <w:adjustRightInd w:val="0"/>
        <w:snapToGrid w:val="0"/>
        <w:spacing w:line="360" w:lineRule="auto"/>
        <w:ind w:firstLine="562" w:firstLineChars="200"/>
        <w:rPr>
          <w:rFonts w:hint="eastAsia" w:ascii="宋体" w:hAnsi="宋体"/>
          <w:b/>
          <w:bCs/>
          <w:sz w:val="28"/>
          <w:szCs w:val="28"/>
          <w:u w:val="single"/>
        </w:rPr>
      </w:pPr>
      <w:r>
        <w:rPr>
          <w:rFonts w:hint="eastAsia" w:ascii="宋体" w:hAnsi="宋体"/>
          <w:b/>
          <w:bCs/>
          <w:sz w:val="28"/>
          <w:szCs w:val="28"/>
        </w:rPr>
        <w:t>采购单位：临海市人民政府古城街道办事处</w:t>
      </w:r>
      <w:r>
        <w:rPr>
          <w:rFonts w:hint="eastAsia" w:ascii="宋体" w:hAnsi="宋体"/>
          <w:b/>
          <w:bCs/>
          <w:sz w:val="28"/>
          <w:szCs w:val="28"/>
          <w:u w:val="single"/>
        </w:rPr>
        <w:t xml:space="preserve"> </w:t>
      </w:r>
    </w:p>
    <w:p>
      <w:pPr>
        <w:pStyle w:val="27"/>
        <w:spacing w:before="120" w:after="120"/>
        <w:ind w:firstLine="562" w:firstLineChars="200"/>
        <w:rPr>
          <w:rFonts w:hint="eastAsia"/>
          <w:b/>
          <w:bCs/>
          <w:sz w:val="28"/>
          <w:szCs w:val="28"/>
        </w:rPr>
      </w:pPr>
      <w:r>
        <w:rPr>
          <w:b/>
          <w:bCs/>
          <w:sz w:val="28"/>
          <w:szCs w:val="28"/>
        </w:rPr>
        <w:t>联 系 人：</w:t>
      </w:r>
      <w:r>
        <w:rPr>
          <w:rFonts w:hint="eastAsia"/>
          <w:b/>
          <w:bCs/>
          <w:sz w:val="28"/>
          <w:szCs w:val="28"/>
        </w:rPr>
        <w:t xml:space="preserve">赵先生 </w:t>
      </w:r>
      <w:r>
        <w:rPr>
          <w:b/>
          <w:bCs/>
          <w:sz w:val="28"/>
          <w:szCs w:val="28"/>
        </w:rPr>
        <w:t xml:space="preserve">       联系电话：</w:t>
      </w:r>
      <w:r>
        <w:rPr>
          <w:rFonts w:hint="eastAsia"/>
          <w:b/>
          <w:bCs/>
          <w:sz w:val="28"/>
          <w:szCs w:val="28"/>
        </w:rPr>
        <w:t>13738667286</w:t>
      </w:r>
    </w:p>
    <w:p>
      <w:pPr>
        <w:pStyle w:val="27"/>
        <w:spacing w:before="120" w:after="120"/>
        <w:rPr>
          <w:rFonts w:hint="eastAsia"/>
          <w:b/>
          <w:bCs/>
          <w:sz w:val="28"/>
          <w:szCs w:val="28"/>
        </w:rPr>
      </w:pPr>
    </w:p>
    <w:p>
      <w:pPr>
        <w:adjustRightInd w:val="0"/>
        <w:snapToGrid w:val="0"/>
        <w:spacing w:line="360" w:lineRule="auto"/>
        <w:rPr>
          <w:rFonts w:ascii="宋体" w:hAnsi="宋体"/>
          <w:b/>
          <w:bCs/>
          <w:sz w:val="28"/>
          <w:szCs w:val="28"/>
        </w:rPr>
      </w:pPr>
      <w:r>
        <w:rPr>
          <w:rFonts w:hint="eastAsia" w:ascii="宋体" w:hAnsi="宋体"/>
          <w:b/>
          <w:bCs/>
          <w:sz w:val="28"/>
          <w:szCs w:val="28"/>
          <w:u w:val="single"/>
        </w:rPr>
        <w:t xml:space="preserve">   </w:t>
      </w:r>
      <w:r>
        <w:rPr>
          <w:rFonts w:hint="eastAsia" w:ascii="宋体" w:hAnsi="宋体"/>
          <w:b/>
          <w:bCs/>
          <w:sz w:val="28"/>
          <w:szCs w:val="28"/>
        </w:rPr>
        <w:t xml:space="preserve"> </w:t>
      </w:r>
    </w:p>
    <w:p>
      <w:pPr>
        <w:adjustRightInd w:val="0"/>
        <w:snapToGrid w:val="0"/>
        <w:spacing w:line="360" w:lineRule="auto"/>
        <w:ind w:firstLine="281" w:firstLineChars="100"/>
        <w:rPr>
          <w:rFonts w:hint="eastAsia" w:ascii="宋体" w:hAnsi="宋体"/>
          <w:b/>
          <w:bCs/>
          <w:color w:val="000000"/>
          <w:sz w:val="28"/>
          <w:szCs w:val="28"/>
        </w:rPr>
      </w:pPr>
      <w:r>
        <w:rPr>
          <w:rFonts w:hint="eastAsia" w:ascii="宋体" w:hAnsi="宋体"/>
          <w:b/>
          <w:bCs/>
          <w:color w:val="000000"/>
          <w:sz w:val="28"/>
          <w:szCs w:val="28"/>
        </w:rPr>
        <w:t xml:space="preserve">采购机构：欧邦工程管理有限公司 </w:t>
      </w:r>
    </w:p>
    <w:p>
      <w:pPr>
        <w:pStyle w:val="27"/>
        <w:spacing w:before="120" w:after="120"/>
        <w:ind w:firstLine="281" w:firstLineChars="100"/>
        <w:rPr>
          <w:b/>
          <w:bCs/>
          <w:sz w:val="28"/>
          <w:szCs w:val="28"/>
        </w:rPr>
      </w:pPr>
      <w:r>
        <w:rPr>
          <w:b/>
          <w:bCs/>
          <w:sz w:val="28"/>
          <w:szCs w:val="28"/>
        </w:rPr>
        <w:t>联 系 人：</w:t>
      </w:r>
      <w:r>
        <w:rPr>
          <w:rFonts w:hint="eastAsia"/>
          <w:b/>
          <w:bCs/>
          <w:sz w:val="28"/>
          <w:szCs w:val="28"/>
        </w:rPr>
        <w:t xml:space="preserve">徐女士 </w:t>
      </w:r>
      <w:r>
        <w:rPr>
          <w:b/>
          <w:bCs/>
          <w:sz w:val="28"/>
          <w:szCs w:val="28"/>
        </w:rPr>
        <w:t xml:space="preserve">       联系电话：</w:t>
      </w:r>
      <w:r>
        <w:rPr>
          <w:rFonts w:hint="eastAsia"/>
          <w:b/>
          <w:bCs/>
          <w:sz w:val="28"/>
          <w:szCs w:val="28"/>
        </w:rPr>
        <w:t>0576-89399062</w:t>
      </w:r>
    </w:p>
    <w:p>
      <w:pPr>
        <w:adjustRightInd w:val="0"/>
        <w:snapToGrid w:val="0"/>
        <w:spacing w:line="360" w:lineRule="auto"/>
        <w:rPr>
          <w:rFonts w:hint="eastAsia" w:ascii="宋体" w:hAnsi="宋体"/>
          <w:b/>
          <w:bCs/>
          <w:color w:val="000000"/>
          <w:sz w:val="28"/>
          <w:szCs w:val="28"/>
        </w:rPr>
      </w:pPr>
    </w:p>
    <w:p>
      <w:pPr>
        <w:adjustRightInd w:val="0"/>
        <w:snapToGrid w:val="0"/>
        <w:spacing w:line="360" w:lineRule="auto"/>
        <w:rPr>
          <w:rFonts w:hint="eastAsia" w:ascii="宋体" w:hAnsi="宋体"/>
          <w:b/>
          <w:bCs/>
          <w:color w:val="000000"/>
          <w:sz w:val="28"/>
          <w:szCs w:val="28"/>
        </w:rPr>
      </w:pPr>
    </w:p>
    <w:p>
      <w:pPr>
        <w:spacing w:line="500" w:lineRule="atLeast"/>
        <w:jc w:val="center"/>
        <w:rPr>
          <w:rFonts w:ascii="宋体" w:hAnsi="宋体"/>
          <w:b/>
          <w:bCs/>
          <w:color w:val="000000"/>
          <w:sz w:val="30"/>
        </w:rPr>
      </w:pPr>
    </w:p>
    <w:p>
      <w:pPr>
        <w:spacing w:line="500" w:lineRule="atLeast"/>
        <w:ind w:firstLine="3204" w:firstLineChars="1140"/>
        <w:rPr>
          <w:rFonts w:ascii="宋体" w:hAnsi="宋体"/>
          <w:color w:val="000000"/>
          <w:sz w:val="28"/>
          <w:szCs w:val="28"/>
        </w:rPr>
      </w:pPr>
      <w:r>
        <w:rPr>
          <w:rFonts w:hint="eastAsia" w:ascii="宋体" w:hAnsi="宋体"/>
          <w:b/>
          <w:bCs/>
          <w:color w:val="000000"/>
          <w:sz w:val="28"/>
          <w:szCs w:val="28"/>
        </w:rPr>
        <w:t xml:space="preserve">二0二0年七月 </w:t>
      </w:r>
    </w:p>
    <w:p>
      <w:pPr>
        <w:pStyle w:val="27"/>
        <w:spacing w:beforeLines="0" w:afterLines="0" w:line="360" w:lineRule="auto"/>
        <w:jc w:val="center"/>
        <w:rPr>
          <w:rFonts w:ascii="创艺简标宋" w:hAnsi="宋体" w:eastAsia="创艺简标宋"/>
          <w:color w:val="000000"/>
          <w:sz w:val="44"/>
          <w:szCs w:val="44"/>
        </w:rPr>
      </w:pPr>
    </w:p>
    <w:p>
      <w:pPr>
        <w:pStyle w:val="27"/>
        <w:spacing w:beforeLines="0" w:afterLines="0" w:line="540" w:lineRule="exact"/>
        <w:rPr>
          <w:rFonts w:hint="eastAsia" w:ascii="创艺简标宋" w:hAnsi="宋体" w:eastAsia="创艺简标宋"/>
          <w:color w:val="000000"/>
          <w:sz w:val="44"/>
          <w:szCs w:val="44"/>
        </w:rPr>
      </w:pPr>
    </w:p>
    <w:p>
      <w:pPr>
        <w:pStyle w:val="27"/>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pPr>
        <w:pStyle w:val="34"/>
        <w:spacing w:line="480" w:lineRule="auto"/>
        <w:rPr>
          <w:rFonts w:ascii="宋体" w:hAnsi="宋体"/>
          <w:b/>
          <w:color w:val="000000"/>
          <w:sz w:val="28"/>
          <w:szCs w:val="28"/>
        </w:rPr>
      </w:pPr>
    </w:p>
    <w:p>
      <w:pPr>
        <w:pStyle w:val="34"/>
        <w:tabs>
          <w:tab w:val="right" w:leader="dot" w:pos="8730"/>
        </w:tabs>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ascii="宋体" w:hAnsi="宋体"/>
          <w:color w:val="000000"/>
          <w:szCs w:val="28"/>
        </w:rPr>
        <w:fldChar w:fldCharType="begin"/>
      </w:r>
      <w:r>
        <w:rPr>
          <w:rFonts w:hint="eastAsia" w:ascii="宋体" w:hAnsi="宋体"/>
          <w:szCs w:val="28"/>
        </w:rPr>
        <w:instrText xml:space="preserve"> HYPERLINK \l _Toc10531 </w:instrText>
      </w:r>
      <w:r>
        <w:rPr>
          <w:rFonts w:hint="eastAsia" w:ascii="宋体" w:hAnsi="宋体"/>
          <w:szCs w:val="28"/>
        </w:rPr>
        <w:fldChar w:fldCharType="separate"/>
      </w:r>
      <w:r>
        <w:rPr>
          <w:rFonts w:hint="eastAsia"/>
          <w:szCs w:val="30"/>
        </w:rPr>
        <w:t>第一章  公开招标采购公告</w:t>
      </w:r>
      <w:r>
        <w:tab/>
      </w:r>
      <w:r>
        <w:fldChar w:fldCharType="begin"/>
      </w:r>
      <w:r>
        <w:instrText xml:space="preserve"> PAGEREF _Toc10531 </w:instrText>
      </w:r>
      <w:r>
        <w:fldChar w:fldCharType="separate"/>
      </w:r>
      <w:r>
        <w:t>3</w:t>
      </w:r>
      <w:r>
        <w:fldChar w:fldCharType="end"/>
      </w:r>
      <w:r>
        <w:rPr>
          <w:rFonts w:hint="eastAsia" w:ascii="宋体" w:hAnsi="宋体"/>
          <w:color w:val="000000"/>
          <w:szCs w:val="28"/>
        </w:rPr>
        <w:fldChar w:fldCharType="end"/>
      </w:r>
    </w:p>
    <w:p>
      <w:pPr>
        <w:pStyle w:val="34"/>
        <w:tabs>
          <w:tab w:val="right" w:leader="dot" w:pos="8730"/>
        </w:tabs>
      </w:pPr>
      <w:r>
        <w:rPr>
          <w:rFonts w:hint="eastAsia" w:ascii="宋体" w:hAnsi="宋体"/>
          <w:color w:val="000000"/>
          <w:szCs w:val="28"/>
        </w:rPr>
        <w:fldChar w:fldCharType="begin"/>
      </w:r>
      <w:r>
        <w:rPr>
          <w:rFonts w:hint="eastAsia" w:ascii="宋体" w:hAnsi="宋体"/>
          <w:szCs w:val="28"/>
        </w:rPr>
        <w:instrText xml:space="preserve"> HYPERLINK \l _Toc705 </w:instrText>
      </w:r>
      <w:r>
        <w:rPr>
          <w:rFonts w:hint="eastAsia" w:ascii="宋体" w:hAnsi="宋体"/>
          <w:szCs w:val="28"/>
        </w:rPr>
        <w:fldChar w:fldCharType="separate"/>
      </w:r>
      <w:r>
        <w:rPr>
          <w:rFonts w:hint="eastAsia" w:ascii="宋体" w:hAnsi="宋体"/>
          <w:szCs w:val="30"/>
        </w:rPr>
        <w:t>第四章  评标办法及评分标准</w:t>
      </w:r>
      <w:r>
        <w:tab/>
      </w:r>
      <w:r>
        <w:fldChar w:fldCharType="begin"/>
      </w:r>
      <w:r>
        <w:instrText xml:space="preserve"> PAGEREF _Toc705 </w:instrText>
      </w:r>
      <w:r>
        <w:fldChar w:fldCharType="separate"/>
      </w:r>
      <w:r>
        <w:t>60</w:t>
      </w:r>
      <w:r>
        <w:fldChar w:fldCharType="end"/>
      </w:r>
      <w:r>
        <w:rPr>
          <w:rFonts w:hint="eastAsia" w:ascii="宋体" w:hAnsi="宋体"/>
          <w:color w:val="000000"/>
          <w:szCs w:val="28"/>
        </w:rPr>
        <w:fldChar w:fldCharType="end"/>
      </w:r>
    </w:p>
    <w:p>
      <w:pPr>
        <w:pStyle w:val="34"/>
        <w:tabs>
          <w:tab w:val="right" w:leader="dot" w:pos="8730"/>
        </w:tabs>
      </w:pPr>
      <w:r>
        <w:rPr>
          <w:rFonts w:hint="eastAsia" w:ascii="宋体" w:hAnsi="宋体"/>
          <w:color w:val="000000"/>
          <w:szCs w:val="28"/>
        </w:rPr>
        <w:fldChar w:fldCharType="begin"/>
      </w:r>
      <w:r>
        <w:rPr>
          <w:rFonts w:hint="eastAsia" w:ascii="宋体" w:hAnsi="宋体"/>
          <w:szCs w:val="28"/>
        </w:rPr>
        <w:instrText xml:space="preserve"> HYPERLINK \l _Toc31429 </w:instrText>
      </w:r>
      <w:r>
        <w:rPr>
          <w:rFonts w:hint="eastAsia" w:ascii="宋体" w:hAnsi="宋体"/>
          <w:szCs w:val="28"/>
        </w:rPr>
        <w:fldChar w:fldCharType="separate"/>
      </w:r>
      <w:r>
        <w:rPr>
          <w:rFonts w:hint="eastAsia" w:hAnsi="宋体"/>
          <w:szCs w:val="30"/>
        </w:rPr>
        <w:t>第六章　投标文件格式</w:t>
      </w:r>
      <w:r>
        <w:tab/>
      </w:r>
      <w:r>
        <w:fldChar w:fldCharType="begin"/>
      </w:r>
      <w:r>
        <w:instrText xml:space="preserve"> PAGEREF _Toc31429 </w:instrText>
      </w:r>
      <w:r>
        <w:fldChar w:fldCharType="separate"/>
      </w:r>
      <w:r>
        <w:t>69</w:t>
      </w:r>
      <w:r>
        <w:fldChar w:fldCharType="end"/>
      </w:r>
      <w:r>
        <w:rPr>
          <w:rFonts w:hint="eastAsia" w:ascii="宋体" w:hAnsi="宋体"/>
          <w:color w:val="000000"/>
          <w:szCs w:val="28"/>
        </w:rPr>
        <w:fldChar w:fldCharType="end"/>
      </w:r>
    </w:p>
    <w:p>
      <w:pPr>
        <w:pStyle w:val="40"/>
        <w:tabs>
          <w:tab w:val="right" w:leader="dot" w:pos="8730"/>
        </w:tabs>
      </w:pPr>
      <w:r>
        <w:rPr>
          <w:rFonts w:hint="eastAsia" w:ascii="宋体" w:hAnsi="宋体"/>
          <w:color w:val="000000"/>
          <w:szCs w:val="28"/>
        </w:rPr>
        <w:fldChar w:fldCharType="begin"/>
      </w:r>
      <w:r>
        <w:rPr>
          <w:rFonts w:hint="eastAsia" w:ascii="宋体" w:hAnsi="宋体"/>
          <w:szCs w:val="28"/>
        </w:rPr>
        <w:instrText xml:space="preserve"> HYPERLINK \l _Toc29775 </w:instrText>
      </w:r>
      <w:r>
        <w:rPr>
          <w:rFonts w:hint="eastAsia" w:ascii="宋体" w:hAnsi="宋体"/>
          <w:szCs w:val="28"/>
        </w:rPr>
        <w:fldChar w:fldCharType="separate"/>
      </w:r>
      <w:r>
        <w:rPr>
          <w:rFonts w:hint="eastAsia" w:ascii="宋体" w:hAnsi="宋体"/>
          <w:bCs/>
        </w:rPr>
        <w:t>一、投标文件外层包装封面格式</w:t>
      </w:r>
      <w:r>
        <w:tab/>
      </w:r>
      <w:r>
        <w:fldChar w:fldCharType="begin"/>
      </w:r>
      <w:r>
        <w:instrText xml:space="preserve"> PAGEREF _Toc29775 </w:instrText>
      </w:r>
      <w:r>
        <w:fldChar w:fldCharType="separate"/>
      </w:r>
      <w:r>
        <w:t>69</w:t>
      </w:r>
      <w:r>
        <w:fldChar w:fldCharType="end"/>
      </w:r>
      <w:r>
        <w:rPr>
          <w:rFonts w:hint="eastAsia" w:ascii="宋体" w:hAnsi="宋体"/>
          <w:color w:val="000000"/>
          <w:szCs w:val="28"/>
        </w:rPr>
        <w:fldChar w:fldCharType="end"/>
      </w:r>
    </w:p>
    <w:p>
      <w:pPr>
        <w:pStyle w:val="40"/>
        <w:tabs>
          <w:tab w:val="right" w:leader="dot" w:pos="8730"/>
        </w:tabs>
      </w:pPr>
      <w:r>
        <w:rPr>
          <w:rFonts w:hint="eastAsia" w:ascii="宋体" w:hAnsi="宋体"/>
          <w:color w:val="000000"/>
          <w:szCs w:val="28"/>
        </w:rPr>
        <w:fldChar w:fldCharType="begin"/>
      </w:r>
      <w:r>
        <w:rPr>
          <w:rFonts w:hint="eastAsia" w:ascii="宋体" w:hAnsi="宋体"/>
          <w:szCs w:val="28"/>
        </w:rPr>
        <w:instrText xml:space="preserve"> HYPERLINK \l _Toc21090 </w:instrText>
      </w:r>
      <w:r>
        <w:rPr>
          <w:rFonts w:hint="eastAsia" w:ascii="宋体" w:hAnsi="宋体"/>
          <w:szCs w:val="28"/>
        </w:rPr>
        <w:fldChar w:fldCharType="separate"/>
      </w:r>
      <w:r>
        <w:rPr>
          <w:rFonts w:hint="eastAsia" w:ascii="宋体" w:hAnsi="宋体"/>
          <w:bCs/>
        </w:rPr>
        <w:t>二、商务技术文件格式</w:t>
      </w:r>
      <w:r>
        <w:tab/>
      </w:r>
      <w:r>
        <w:fldChar w:fldCharType="begin"/>
      </w:r>
      <w:r>
        <w:instrText xml:space="preserve"> PAGEREF _Toc21090 </w:instrText>
      </w:r>
      <w:r>
        <w:fldChar w:fldCharType="separate"/>
      </w:r>
      <w:r>
        <w:t>70</w:t>
      </w:r>
      <w:r>
        <w:fldChar w:fldCharType="end"/>
      </w:r>
      <w:r>
        <w:rPr>
          <w:rFonts w:hint="eastAsia" w:ascii="宋体" w:hAnsi="宋体"/>
          <w:color w:val="000000"/>
          <w:szCs w:val="28"/>
        </w:rPr>
        <w:fldChar w:fldCharType="end"/>
      </w:r>
    </w:p>
    <w:p>
      <w:pPr>
        <w:pStyle w:val="40"/>
        <w:tabs>
          <w:tab w:val="right" w:leader="dot" w:pos="8730"/>
        </w:tabs>
      </w:pPr>
      <w:r>
        <w:rPr>
          <w:rFonts w:hint="eastAsia" w:ascii="宋体" w:hAnsi="宋体"/>
          <w:color w:val="000000"/>
          <w:szCs w:val="28"/>
        </w:rPr>
        <w:fldChar w:fldCharType="begin"/>
      </w:r>
      <w:r>
        <w:rPr>
          <w:rFonts w:hint="eastAsia" w:ascii="宋体" w:hAnsi="宋体"/>
          <w:szCs w:val="28"/>
        </w:rPr>
        <w:instrText xml:space="preserve"> HYPERLINK \l _Toc18886 </w:instrText>
      </w:r>
      <w:r>
        <w:rPr>
          <w:rFonts w:hint="eastAsia" w:ascii="宋体" w:hAnsi="宋体"/>
          <w:szCs w:val="28"/>
        </w:rPr>
        <w:fldChar w:fldCharType="separate"/>
      </w:r>
      <w:r>
        <w:rPr>
          <w:rFonts w:hint="eastAsia" w:ascii="宋体" w:hAnsi="宋体"/>
        </w:rPr>
        <w:t>三、报价文件格式</w:t>
      </w:r>
      <w:r>
        <w:tab/>
      </w:r>
      <w:r>
        <w:fldChar w:fldCharType="begin"/>
      </w:r>
      <w:r>
        <w:instrText xml:space="preserve"> PAGEREF _Toc18886 </w:instrText>
      </w:r>
      <w:r>
        <w:fldChar w:fldCharType="separate"/>
      </w:r>
      <w:r>
        <w:t>78</w:t>
      </w:r>
      <w:r>
        <w:fldChar w:fldCharType="end"/>
      </w:r>
      <w:r>
        <w:rPr>
          <w:rFonts w:hint="eastAsia" w:ascii="宋体" w:hAnsi="宋体"/>
          <w:color w:val="000000"/>
          <w:szCs w:val="28"/>
        </w:rPr>
        <w:fldChar w:fldCharType="end"/>
      </w:r>
    </w:p>
    <w:p>
      <w:pPr>
        <w:pStyle w:val="34"/>
        <w:spacing w:line="480" w:lineRule="auto"/>
        <w:rPr>
          <w:rFonts w:ascii="宋体" w:hAnsi="宋体"/>
          <w:b/>
          <w:color w:val="000000"/>
          <w:sz w:val="28"/>
          <w:szCs w:val="28"/>
        </w:rPr>
      </w:pPr>
      <w:r>
        <w:rPr>
          <w:rFonts w:hint="eastAsia" w:ascii="宋体" w:hAnsi="宋体"/>
          <w:color w:val="000000"/>
          <w:szCs w:val="28"/>
        </w:rPr>
        <w:fldChar w:fldCharType="end"/>
      </w:r>
    </w:p>
    <w:p>
      <w:pPr>
        <w:pStyle w:val="34"/>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pPr>
        <w:pStyle w:val="27"/>
        <w:snapToGrid w:val="0"/>
        <w:spacing w:beforeLines="0" w:afterLines="0" w:line="240" w:lineRule="auto"/>
        <w:jc w:val="center"/>
        <w:outlineLvl w:val="0"/>
        <w:rPr>
          <w:rFonts w:hAnsi="宋体"/>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7"/>
        <w:snapToGrid w:val="0"/>
        <w:spacing w:beforeLines="0" w:afterLines="0" w:line="240" w:lineRule="auto"/>
        <w:jc w:val="center"/>
        <w:outlineLvl w:val="0"/>
        <w:rPr>
          <w:rFonts w:hint="eastAsia" w:ascii="黑体" w:hAnsi="宋体" w:eastAsia="黑体"/>
          <w:b/>
          <w:color w:val="000000"/>
          <w:sz w:val="30"/>
          <w:szCs w:val="30"/>
        </w:rPr>
      </w:pPr>
      <w:r>
        <w:rPr>
          <w:rFonts w:hint="eastAsia"/>
          <w:color w:val="000000"/>
        </w:rPr>
        <w:br w:type="page"/>
      </w:r>
      <w:bookmarkStart w:id="0" w:name="_Toc466534747"/>
      <w:bookmarkStart w:id="1" w:name="_Toc10531"/>
      <w:r>
        <w:rPr>
          <w:rFonts w:hint="eastAsia"/>
          <w:b/>
          <w:color w:val="000000"/>
          <w:sz w:val="30"/>
          <w:szCs w:val="30"/>
        </w:rPr>
        <w:t xml:space="preserve">第一章  </w:t>
      </w:r>
      <w:bookmarkEnd w:id="0"/>
      <w:r>
        <w:rPr>
          <w:rFonts w:hint="eastAsia"/>
          <w:b/>
          <w:color w:val="000000"/>
          <w:sz w:val="30"/>
          <w:szCs w:val="30"/>
        </w:rPr>
        <w:t>公开招标采购公告</w:t>
      </w:r>
      <w:bookmarkEnd w:id="1"/>
    </w:p>
    <w:p>
      <w:pPr>
        <w:spacing w:line="400" w:lineRule="exact"/>
        <w:ind w:firstLine="480" w:firstLineChars="200"/>
        <w:rPr>
          <w:rFonts w:ascii="宋体" w:hAnsi="宋体" w:cs="Arial"/>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kern w:val="0"/>
          <w:sz w:val="24"/>
        </w:rPr>
        <w:t>《政府采购货物与服务招标投标管理办法</w:t>
      </w:r>
      <w:r>
        <w:rPr>
          <w:rFonts w:ascii="宋体" w:hAnsi="宋体" w:cs="Arial"/>
          <w:color w:val="000000"/>
          <w:kern w:val="0"/>
          <w:sz w:val="24"/>
        </w:rPr>
        <w:t>》</w:t>
      </w:r>
      <w:r>
        <w:rPr>
          <w:rFonts w:ascii="宋体" w:hAnsi="宋体" w:cs="Arial"/>
          <w:color w:val="000000"/>
          <w:sz w:val="24"/>
        </w:rPr>
        <w:t>等规定，</w:t>
      </w:r>
      <w:r>
        <w:rPr>
          <w:rFonts w:ascii="宋体" w:hAnsi="宋体" w:cs="Arial"/>
          <w:sz w:val="24"/>
        </w:rPr>
        <w:t>经</w:t>
      </w:r>
      <w:r>
        <w:rPr>
          <w:rFonts w:ascii="宋体" w:hAnsi="宋体" w:cs="Arial"/>
          <w:b/>
          <w:sz w:val="24"/>
        </w:rPr>
        <w:t>临海市</w:t>
      </w:r>
      <w:r>
        <w:rPr>
          <w:rFonts w:hint="eastAsia" w:ascii="宋体" w:hAnsi="宋体" w:cs="Arial"/>
          <w:b/>
          <w:sz w:val="24"/>
        </w:rPr>
        <w:t>财政局</w:t>
      </w:r>
      <w:r>
        <w:rPr>
          <w:rFonts w:ascii="宋体" w:hAnsi="宋体" w:cs="Arial"/>
          <w:sz w:val="24"/>
        </w:rPr>
        <w:t>批准，受</w:t>
      </w:r>
      <w:r>
        <w:rPr>
          <w:rFonts w:hint="eastAsia" w:ascii="宋体" w:hAnsi="宋体" w:cs="Arial"/>
          <w:sz w:val="24"/>
          <w:u w:val="single"/>
        </w:rPr>
        <w:t>临海市人民政府古城街道办事处</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lang w:eastAsia="zh-CN"/>
        </w:rPr>
        <w:t>古城街道新时代文明实践所</w:t>
      </w:r>
      <w:r>
        <w:rPr>
          <w:rFonts w:hint="eastAsia" w:ascii="宋体" w:hAnsi="宋体"/>
          <w:sz w:val="24"/>
        </w:rPr>
        <w:t>进行</w:t>
      </w:r>
      <w:r>
        <w:rPr>
          <w:rFonts w:ascii="宋体" w:hAnsi="宋体" w:cs="Arial"/>
          <w:sz w:val="24"/>
        </w:rPr>
        <w:t>公开招标，</w:t>
      </w:r>
      <w:r>
        <w:rPr>
          <w:rFonts w:ascii="宋体" w:hAnsi="宋体" w:cs="Arial"/>
          <w:kern w:val="0"/>
          <w:sz w:val="24"/>
        </w:rPr>
        <w:t>欢迎</w:t>
      </w:r>
      <w:r>
        <w:rPr>
          <w:rFonts w:hint="eastAsia" w:ascii="宋体" w:hAnsi="宋体" w:cs="Arial"/>
          <w:kern w:val="0"/>
          <w:sz w:val="24"/>
        </w:rPr>
        <w:t>具备本项目投标人的资格要求且能够及时</w:t>
      </w:r>
      <w:r>
        <w:rPr>
          <w:rFonts w:ascii="宋体" w:hAnsi="宋体" w:cs="Arial"/>
          <w:kern w:val="0"/>
          <w:sz w:val="24"/>
        </w:rPr>
        <w:t>提供</w:t>
      </w:r>
      <w:r>
        <w:rPr>
          <w:rFonts w:hint="eastAsia" w:ascii="宋体" w:hAnsi="宋体" w:cs="Arial"/>
          <w:kern w:val="0"/>
          <w:sz w:val="24"/>
        </w:rPr>
        <w:t>相关货物及服务的供应商前来</w:t>
      </w:r>
      <w:r>
        <w:rPr>
          <w:rFonts w:ascii="宋体" w:hAnsi="宋体" w:cs="Arial"/>
          <w:kern w:val="0"/>
          <w:sz w:val="24"/>
        </w:rPr>
        <w:t>投标。</w:t>
      </w:r>
    </w:p>
    <w:p>
      <w:pPr>
        <w:pStyle w:val="43"/>
        <w:spacing w:before="0" w:beforeAutospacing="0" w:after="0" w:afterAutospacing="0" w:line="400" w:lineRule="exact"/>
        <w:rPr>
          <w:rFonts w:cs="Arial"/>
          <w:color w:val="000000"/>
        </w:rPr>
      </w:pPr>
      <w:r>
        <w:rPr>
          <w:rFonts w:cs="Arial"/>
          <w:b/>
          <w:bCs/>
          <w:color w:val="000000"/>
        </w:rPr>
        <w:t>1、项目概况</w:t>
      </w:r>
    </w:p>
    <w:p>
      <w:pPr>
        <w:pStyle w:val="43"/>
        <w:spacing w:before="0" w:beforeAutospacing="0" w:after="0" w:afterAutospacing="0" w:line="400" w:lineRule="exact"/>
        <w:rPr>
          <w:rFonts w:hint="eastAsia"/>
        </w:rPr>
      </w:pPr>
      <w:r>
        <w:t>项目名称：</w:t>
      </w:r>
      <w:r>
        <w:rPr>
          <w:rFonts w:hint="eastAsia"/>
          <w:lang w:eastAsia="zh-CN"/>
        </w:rPr>
        <w:t>古城街道新时代文明实践所</w:t>
      </w:r>
      <w:r>
        <w:rPr>
          <w:rFonts w:hint="eastAsia"/>
        </w:rPr>
        <w:t xml:space="preserve"> </w:t>
      </w:r>
    </w:p>
    <w:p>
      <w:pPr>
        <w:pStyle w:val="43"/>
        <w:spacing w:before="0" w:beforeAutospacing="0" w:after="0" w:afterAutospacing="0" w:line="400" w:lineRule="exact"/>
        <w:rPr>
          <w:rFonts w:hint="eastAsia"/>
        </w:rPr>
      </w:pPr>
      <w:r>
        <w:t>采购单位：</w:t>
      </w:r>
      <w:r>
        <w:rPr>
          <w:rFonts w:hint="eastAsia"/>
        </w:rPr>
        <w:t xml:space="preserve">临海市人民政府古城街道办事处 </w:t>
      </w:r>
    </w:p>
    <w:p>
      <w:pPr>
        <w:pStyle w:val="43"/>
        <w:spacing w:before="0" w:beforeAutospacing="0" w:after="0" w:afterAutospacing="0" w:line="400" w:lineRule="exact"/>
        <w:rPr>
          <w:rFonts w:hint="eastAsia" w:cs="Arial"/>
        </w:rPr>
      </w:pPr>
      <w:r>
        <w:rPr>
          <w:rFonts w:cs="Arial"/>
        </w:rPr>
        <w:t>采购规模及内容概述：</w:t>
      </w:r>
      <w:r>
        <w:rPr>
          <w:rFonts w:hint="eastAsia"/>
        </w:rPr>
        <w:t>本项目为</w:t>
      </w:r>
      <w:r>
        <w:rPr>
          <w:rFonts w:hint="eastAsia"/>
          <w:lang w:eastAsia="zh-CN"/>
        </w:rPr>
        <w:t>古城街道新时代文明实践所</w:t>
      </w:r>
      <w:r>
        <w:rPr>
          <w:rFonts w:hint="eastAsia"/>
        </w:rPr>
        <w:t>，该项目主要内容为</w:t>
      </w:r>
      <w:r>
        <w:rPr>
          <w:rFonts w:hint="eastAsia"/>
          <w:lang w:eastAsia="zh-CN"/>
        </w:rPr>
        <w:t>陈列展览</w:t>
      </w:r>
      <w:r>
        <w:rPr>
          <w:rFonts w:hint="eastAsia"/>
        </w:rPr>
        <w:t>、设备采购、数字影片、多媒体内容开发</w:t>
      </w:r>
      <w:r>
        <w:rPr>
          <w:rFonts w:hint="eastAsia"/>
          <w:lang w:eastAsia="zh-CN"/>
        </w:rPr>
        <w:t>等</w:t>
      </w:r>
      <w:r>
        <w:rPr>
          <w:rFonts w:hint="eastAsia" w:cs="Arial"/>
        </w:rPr>
        <w:t>。</w:t>
      </w:r>
    </w:p>
    <w:p>
      <w:pPr>
        <w:spacing w:line="400" w:lineRule="exact"/>
        <w:rPr>
          <w:rFonts w:hint="eastAsia" w:ascii="宋体" w:hAnsi="宋体" w:cs="Arial"/>
          <w:kern w:val="0"/>
          <w:sz w:val="24"/>
        </w:rPr>
      </w:pPr>
      <w:r>
        <w:rPr>
          <w:rFonts w:hint="eastAsia" w:ascii="宋体" w:hAnsi="宋体" w:cs="Arial"/>
          <w:kern w:val="0"/>
          <w:sz w:val="24"/>
        </w:rPr>
        <w:t>采购预算：6100000元</w:t>
      </w:r>
    </w:p>
    <w:p>
      <w:pPr>
        <w:spacing w:line="400" w:lineRule="exact"/>
        <w:rPr>
          <w:rFonts w:ascii="宋体" w:hAnsi="宋体" w:cs="Arial"/>
          <w:kern w:val="0"/>
          <w:sz w:val="24"/>
        </w:rPr>
      </w:pPr>
      <w:r>
        <w:rPr>
          <w:rFonts w:ascii="宋体" w:hAnsi="宋体" w:cs="Arial"/>
          <w:kern w:val="0"/>
          <w:sz w:val="24"/>
        </w:rPr>
        <w:t>采购组织类型：</w:t>
      </w:r>
      <w:r>
        <w:rPr>
          <w:rFonts w:hint="eastAsia" w:ascii="宋体" w:hAnsi="宋体" w:cs="Arial"/>
          <w:kern w:val="0"/>
          <w:sz w:val="24"/>
        </w:rPr>
        <w:t>分散</w:t>
      </w:r>
      <w:r>
        <w:rPr>
          <w:rFonts w:ascii="宋体" w:hAnsi="宋体" w:cs="Arial"/>
          <w:kern w:val="0"/>
          <w:sz w:val="24"/>
        </w:rPr>
        <w:t>采购</w:t>
      </w:r>
    </w:p>
    <w:p>
      <w:pPr>
        <w:pStyle w:val="43"/>
        <w:spacing w:before="0" w:beforeAutospacing="0" w:after="0" w:afterAutospacing="0" w:line="400" w:lineRule="exact"/>
        <w:rPr>
          <w:rFonts w:cs="Arial"/>
          <w:color w:val="000000"/>
        </w:rPr>
      </w:pPr>
      <w:r>
        <w:rPr>
          <w:rFonts w:cs="Arial"/>
          <w:color w:val="000000"/>
        </w:rPr>
        <w:t>采购标段数：</w:t>
      </w:r>
      <w:r>
        <w:rPr>
          <w:rFonts w:hint="eastAsia" w:cs="Arial"/>
          <w:color w:val="000000"/>
        </w:rPr>
        <w:t>1</w:t>
      </w:r>
    </w:p>
    <w:p>
      <w:pPr>
        <w:pStyle w:val="43"/>
        <w:spacing w:before="0" w:beforeAutospacing="0" w:after="0" w:afterAutospacing="0" w:line="400" w:lineRule="exact"/>
        <w:rPr>
          <w:rFonts w:cs="Arial"/>
          <w:color w:val="000000"/>
        </w:rPr>
      </w:pPr>
      <w:r>
        <w:rPr>
          <w:rFonts w:cs="Arial"/>
          <w:color w:val="000000"/>
        </w:rPr>
        <w:t>采购方式：公开招标</w:t>
      </w:r>
    </w:p>
    <w:p>
      <w:pPr>
        <w:pStyle w:val="43"/>
        <w:spacing w:before="0" w:beforeAutospacing="0" w:after="0" w:afterAutospacing="0" w:line="400" w:lineRule="exact"/>
        <w:rPr>
          <w:rFonts w:hint="eastAsia" w:cs="宋体"/>
          <w:b/>
        </w:rPr>
      </w:pPr>
      <w:r>
        <w:rPr>
          <w:rFonts w:cs="Arial"/>
          <w:b/>
        </w:rPr>
        <w:t>工期：</w:t>
      </w:r>
      <w:r>
        <w:rPr>
          <w:rFonts w:hint="eastAsia" w:cs="Arial"/>
          <w:color w:val="000000"/>
          <w:highlight w:val="none"/>
        </w:rPr>
        <w:t>合同签订后</w:t>
      </w:r>
      <w:r>
        <w:rPr>
          <w:rFonts w:hint="eastAsia" w:cs="Arial"/>
          <w:color w:val="000000"/>
          <w:highlight w:val="none"/>
          <w:lang w:val="en-US" w:eastAsia="zh-CN"/>
        </w:rPr>
        <w:t>70</w:t>
      </w:r>
      <w:r>
        <w:rPr>
          <w:rFonts w:hint="eastAsia" w:cs="Arial"/>
          <w:color w:val="000000"/>
          <w:highlight w:val="none"/>
        </w:rPr>
        <w:t>日历天完成。</w:t>
      </w:r>
    </w:p>
    <w:p>
      <w:pPr>
        <w:pStyle w:val="43"/>
        <w:spacing w:before="0" w:beforeAutospacing="0" w:after="0" w:afterAutospacing="0" w:line="400" w:lineRule="exact"/>
        <w:rPr>
          <w:rFonts w:cs="Arial"/>
          <w:color w:val="000000"/>
        </w:rPr>
      </w:pPr>
      <w:r>
        <w:rPr>
          <w:rFonts w:cs="Arial"/>
          <w:color w:val="000000"/>
        </w:rPr>
        <w:t>该项目已具备条件，现对该项目进行公开招标。</w:t>
      </w:r>
    </w:p>
    <w:p>
      <w:pPr>
        <w:numPr>
          <w:ilvl w:val="0"/>
          <w:numId w:val="4"/>
        </w:numPr>
        <w:spacing w:line="420" w:lineRule="exact"/>
        <w:contextualSpacing/>
        <w:rPr>
          <w:rFonts w:hint="eastAsia"/>
          <w:b/>
          <w:bCs/>
          <w:sz w:val="24"/>
        </w:rPr>
      </w:pPr>
      <w:r>
        <w:rPr>
          <w:rFonts w:hint="eastAsia"/>
          <w:b/>
          <w:bCs/>
          <w:sz w:val="24"/>
        </w:rPr>
        <w:t>投标人资格要求</w:t>
      </w:r>
    </w:p>
    <w:p>
      <w:pPr>
        <w:pStyle w:val="43"/>
        <w:spacing w:before="0" w:beforeAutospacing="0" w:after="0" w:afterAutospacing="0" w:line="400" w:lineRule="exact"/>
        <w:ind w:firstLine="240" w:firstLineChars="100"/>
        <w:rPr>
          <w:rFonts w:hint="eastAsia"/>
        </w:rPr>
      </w:pPr>
      <w:r>
        <w:rPr>
          <w:rFonts w:hint="eastAsia"/>
        </w:rPr>
        <w:t>（</w:t>
      </w:r>
      <w:r>
        <w:t xml:space="preserve">1）符合《中华人民共和国政府采购法》第二十二条规定的投标人资格条件； </w:t>
      </w:r>
    </w:p>
    <w:p>
      <w:pPr>
        <w:pStyle w:val="43"/>
        <w:spacing w:before="0" w:beforeAutospacing="0" w:after="0" w:afterAutospacing="0" w:line="400" w:lineRule="exact"/>
        <w:ind w:firstLine="240" w:firstLineChars="100"/>
        <w:rPr>
          <w:rFonts w:hint="eastAsia"/>
        </w:rPr>
      </w:pPr>
      <w:r>
        <w:rPr>
          <w:rFonts w:hint="eastAsia"/>
        </w:rPr>
        <w:t>（</w:t>
      </w:r>
      <w:r>
        <w:t>2）具有与本项目采购相适应的商品经营能力（包括供应能力、施工能力、售后服务能力等）的供应商；</w:t>
      </w:r>
    </w:p>
    <w:p>
      <w:pPr>
        <w:pStyle w:val="43"/>
        <w:spacing w:before="0" w:beforeAutospacing="0" w:after="0" w:afterAutospacing="0" w:line="400" w:lineRule="exact"/>
        <w:ind w:firstLine="240" w:firstLineChars="100"/>
        <w:rPr>
          <w:rFonts w:hint="eastAsia"/>
        </w:rPr>
      </w:pPr>
      <w:r>
        <w:rPr>
          <w:rFonts w:hint="eastAsia"/>
        </w:rPr>
        <w:t>（3）未被信用中国（www.creditchina.gov.cn）、中国政府采购网（www.ccgp.gov.cn）列入行政处罚、黑名单、失信被执行人、重大税收违法案件当事人名单、政府采购严重违法失信行为记录名单；</w:t>
      </w:r>
    </w:p>
    <w:p>
      <w:pPr>
        <w:pStyle w:val="43"/>
        <w:spacing w:before="0" w:beforeAutospacing="0" w:after="0" w:afterAutospacing="0" w:line="400" w:lineRule="exact"/>
        <w:ind w:firstLine="240" w:firstLineChars="100"/>
        <w:rPr>
          <w:rFonts w:hint="eastAsia"/>
        </w:rPr>
      </w:pPr>
      <w:r>
        <w:rPr>
          <w:rFonts w:hint="eastAsia"/>
        </w:rPr>
        <w:t>（4）本项目不接受联合体投标。</w:t>
      </w:r>
    </w:p>
    <w:p>
      <w:pPr>
        <w:spacing w:line="400" w:lineRule="exact"/>
        <w:rPr>
          <w:rFonts w:ascii="宋体" w:hAnsi="宋体" w:cs="Arial"/>
          <w:color w:val="000000"/>
          <w:kern w:val="0"/>
          <w:sz w:val="24"/>
        </w:rPr>
      </w:pPr>
      <w:r>
        <w:rPr>
          <w:rFonts w:ascii="宋体" w:hAnsi="宋体" w:cs="Arial"/>
          <w:color w:val="000000"/>
          <w:kern w:val="0"/>
          <w:sz w:val="24"/>
        </w:rPr>
        <w:t>3、报名</w:t>
      </w:r>
    </w:p>
    <w:p>
      <w:pPr>
        <w:spacing w:line="400" w:lineRule="exact"/>
        <w:rPr>
          <w:rFonts w:hint="eastAsia" w:ascii="宋体" w:hAnsi="宋体" w:cs="Arial"/>
          <w:color w:val="000000"/>
          <w:kern w:val="0"/>
          <w:sz w:val="24"/>
        </w:rPr>
      </w:pPr>
      <w:r>
        <w:rPr>
          <w:rFonts w:hint="eastAsia" w:ascii="宋体" w:hAnsi="宋体" w:cs="Arial"/>
          <w:color w:val="000000"/>
          <w:kern w:val="0"/>
          <w:sz w:val="24"/>
        </w:rPr>
        <w:t>本项目无需报名，投标人必须到临海市公共资源交易中心网站注册审核通过后方可参加投标</w:t>
      </w:r>
      <w:r>
        <w:rPr>
          <w:rFonts w:hint="eastAsia" w:ascii="宋体" w:hAnsi="宋体" w:cs="Arial"/>
          <w:color w:val="000000"/>
          <w:kern w:val="0"/>
          <w:sz w:val="24"/>
          <w:lang w:eastAsia="zh-CN"/>
        </w:rPr>
        <w:t>。</w:t>
      </w:r>
    </w:p>
    <w:p>
      <w:pPr>
        <w:spacing w:line="400" w:lineRule="exact"/>
        <w:rPr>
          <w:rFonts w:ascii="宋体" w:hAnsi="宋体" w:cs="Arial"/>
          <w:color w:val="000000"/>
          <w:kern w:val="0"/>
          <w:sz w:val="24"/>
        </w:rPr>
      </w:pPr>
      <w:r>
        <w:rPr>
          <w:rFonts w:ascii="宋体" w:hAnsi="宋体" w:cs="Arial"/>
          <w:color w:val="000000"/>
          <w:kern w:val="0"/>
          <w:sz w:val="24"/>
        </w:rPr>
        <w:t>4.招标文件的获取</w:t>
      </w:r>
    </w:p>
    <w:p>
      <w:pPr>
        <w:spacing w:line="400" w:lineRule="exact"/>
        <w:rPr>
          <w:rFonts w:ascii="宋体" w:hAnsi="宋体" w:cs="Arial"/>
          <w:color w:val="auto"/>
          <w:kern w:val="0"/>
          <w:sz w:val="24"/>
        </w:rPr>
      </w:pPr>
      <w:r>
        <w:rPr>
          <w:rFonts w:ascii="宋体" w:hAnsi="宋体" w:cs="Arial"/>
          <w:color w:val="auto"/>
          <w:kern w:val="0"/>
          <w:sz w:val="24"/>
        </w:rPr>
        <w:t>采购文件售价：免费</w:t>
      </w:r>
    </w:p>
    <w:p>
      <w:pPr>
        <w:spacing w:line="400" w:lineRule="exact"/>
        <w:rPr>
          <w:rFonts w:hint="eastAsia" w:ascii="宋体" w:hAnsi="宋体" w:cs="Arial"/>
          <w:bCs/>
          <w:color w:val="FF0000"/>
          <w:sz w:val="24"/>
        </w:rPr>
      </w:pPr>
      <w:r>
        <w:rPr>
          <w:rFonts w:hint="eastAsia" w:ascii="宋体" w:hAnsi="宋体" w:cs="Arial"/>
          <w:bCs/>
          <w:color w:val="auto"/>
          <w:sz w:val="24"/>
        </w:rPr>
        <w:t>获取方式：凡有意参加投标者，在2020年</w:t>
      </w:r>
      <w:r>
        <w:rPr>
          <w:rFonts w:hint="eastAsia" w:ascii="宋体" w:hAnsi="宋体" w:cs="Arial"/>
          <w:bCs/>
          <w:color w:val="auto"/>
          <w:sz w:val="24"/>
          <w:lang w:val="en-US" w:eastAsia="zh-CN"/>
        </w:rPr>
        <w:t>8</w:t>
      </w:r>
      <w:r>
        <w:rPr>
          <w:rFonts w:hint="eastAsia" w:ascii="宋体" w:hAnsi="宋体" w:cs="Arial"/>
          <w:bCs/>
          <w:color w:val="auto"/>
          <w:sz w:val="24"/>
        </w:rPr>
        <w:t>月</w:t>
      </w:r>
      <w:r>
        <w:rPr>
          <w:rFonts w:hint="eastAsia" w:ascii="宋体" w:hAnsi="宋体" w:cs="Arial"/>
          <w:bCs/>
          <w:color w:val="auto"/>
          <w:sz w:val="24"/>
          <w:lang w:val="en-US" w:eastAsia="zh-CN"/>
        </w:rPr>
        <w:t>25</w:t>
      </w:r>
      <w:r>
        <w:rPr>
          <w:rFonts w:hint="eastAsia" w:ascii="宋体" w:hAnsi="宋体" w:cs="Arial"/>
          <w:bCs/>
          <w:color w:val="auto"/>
          <w:sz w:val="24"/>
        </w:rPr>
        <w:t>日</w:t>
      </w:r>
      <w:r>
        <w:rPr>
          <w:rFonts w:hint="eastAsia" w:ascii="宋体" w:hAnsi="宋体" w:cs="Arial"/>
          <w:bCs/>
          <w:color w:val="auto"/>
          <w:sz w:val="24"/>
          <w:lang w:val="en-US" w:eastAsia="zh-CN"/>
        </w:rPr>
        <w:t>9</w:t>
      </w:r>
      <w:r>
        <w:rPr>
          <w:rFonts w:hint="eastAsia" w:ascii="宋体" w:hAnsi="宋体" w:cs="Arial"/>
          <w:bCs/>
          <w:color w:val="auto"/>
          <w:sz w:val="24"/>
          <w:lang w:eastAsia="zh-CN"/>
        </w:rPr>
        <w:t>时</w:t>
      </w:r>
      <w:r>
        <w:rPr>
          <w:rFonts w:hint="eastAsia" w:ascii="宋体" w:hAnsi="宋体" w:cs="Arial"/>
          <w:bCs/>
          <w:color w:val="auto"/>
          <w:sz w:val="24"/>
          <w:lang w:val="en-US" w:eastAsia="zh-CN"/>
        </w:rPr>
        <w:t>00</w:t>
      </w:r>
      <w:r>
        <w:rPr>
          <w:rFonts w:hint="eastAsia" w:ascii="宋体" w:hAnsi="宋体" w:cs="Arial"/>
          <w:bCs/>
          <w:color w:val="auto"/>
          <w:sz w:val="24"/>
          <w:lang w:eastAsia="zh-CN"/>
        </w:rPr>
        <w:t>分00秒前</w:t>
      </w:r>
      <w:r>
        <w:rPr>
          <w:rFonts w:hint="eastAsia" w:ascii="宋体" w:hAnsi="宋体" w:cs="Arial"/>
          <w:bCs/>
          <w:color w:val="auto"/>
          <w:sz w:val="24"/>
        </w:rPr>
        <w:t>，到临海市公共资源交易中心网站注册审核通过后可自行下载采购文件或到浙江政府采购云平台（网址</w:t>
      </w:r>
      <w:r>
        <w:rPr>
          <w:rFonts w:ascii="宋体" w:hAnsi="宋体"/>
          <w:color w:val="auto"/>
          <w:sz w:val="24"/>
        </w:rPr>
        <w:fldChar w:fldCharType="begin"/>
      </w:r>
      <w:r>
        <w:rPr>
          <w:rFonts w:ascii="宋体" w:hAnsi="宋体"/>
          <w:color w:val="auto"/>
          <w:sz w:val="24"/>
        </w:rPr>
        <w:instrText xml:space="preserve"> HYPERLINK "http://www.zcygov.cn/" </w:instrText>
      </w:r>
      <w:r>
        <w:rPr>
          <w:rFonts w:ascii="宋体" w:hAnsi="宋体"/>
          <w:color w:val="auto"/>
          <w:sz w:val="24"/>
        </w:rPr>
        <w:fldChar w:fldCharType="separate"/>
      </w:r>
      <w:r>
        <w:rPr>
          <w:rFonts w:hint="eastAsia" w:ascii="宋体" w:hAnsi="宋体" w:cs="Arial"/>
          <w:bCs/>
          <w:color w:val="auto"/>
          <w:sz w:val="24"/>
          <w:u w:val="single"/>
        </w:rPr>
        <w:t>http://www.zcygov.cn</w:t>
      </w:r>
      <w:r>
        <w:rPr>
          <w:rFonts w:ascii="宋体" w:hAnsi="宋体" w:cs="Arial"/>
          <w:bCs/>
          <w:color w:val="auto"/>
          <w:sz w:val="24"/>
          <w:u w:val="single"/>
        </w:rPr>
        <w:fldChar w:fldCharType="end"/>
      </w:r>
      <w:r>
        <w:rPr>
          <w:rFonts w:ascii="宋体" w:hAnsi="宋体" w:cs="Arial"/>
          <w:bCs/>
          <w:color w:val="auto"/>
          <w:sz w:val="24"/>
          <w:u w:val="single"/>
        </w:rPr>
        <w:t xml:space="preserve"> </w:t>
      </w:r>
      <w:r>
        <w:rPr>
          <w:rFonts w:hint="eastAsia" w:ascii="宋体" w:hAnsi="宋体" w:cs="Arial"/>
          <w:bCs/>
          <w:color w:val="auto"/>
          <w:sz w:val="24"/>
        </w:rPr>
        <w:t>）上获取。</w:t>
      </w:r>
    </w:p>
    <w:p>
      <w:pPr>
        <w:pStyle w:val="43"/>
        <w:spacing w:before="0" w:beforeAutospacing="0" w:after="0" w:afterAutospacing="0" w:line="400" w:lineRule="exact"/>
        <w:rPr>
          <w:rFonts w:hint="eastAsia" w:ascii="Arial" w:hAnsi="Arial" w:cs="Arial"/>
        </w:rPr>
      </w:pPr>
      <w:r>
        <w:rPr>
          <w:rFonts w:ascii="Arial" w:hAnsi="Arial" w:cs="Arial"/>
        </w:rPr>
        <w:t>招标文件答疑：</w:t>
      </w:r>
      <w:r>
        <w:rPr>
          <w:rFonts w:hint="eastAsia" w:ascii="Arial" w:hAnsi="Arial" w:cs="Arial"/>
        </w:rPr>
        <w:t>投标人对采购文件提出质疑的，应当在获取采购文件或者采购文件公告期限届满之日起7个工作日内以书面形式提出（供应商在法定质疑期内一次性提出针对同一采购程序环节的质疑），否则被质疑人可不予接受。</w:t>
      </w:r>
    </w:p>
    <w:p>
      <w:pPr>
        <w:pStyle w:val="43"/>
        <w:spacing w:before="0" w:beforeAutospacing="0" w:after="0" w:afterAutospacing="0" w:line="400" w:lineRule="exact"/>
        <w:rPr>
          <w:rFonts w:hint="eastAsia" w:ascii="Arial" w:hAnsi="Arial" w:cs="Arial"/>
        </w:rPr>
      </w:pPr>
      <w:r>
        <w:rPr>
          <w:rFonts w:hint="eastAsia" w:ascii="Arial" w:hAnsi="Arial" w:cs="Arial"/>
        </w:rPr>
        <w:t>5.投标保证金</w:t>
      </w:r>
    </w:p>
    <w:p>
      <w:pPr>
        <w:pStyle w:val="43"/>
        <w:spacing w:before="0" w:beforeAutospacing="0" w:after="0" w:afterAutospacing="0" w:line="400" w:lineRule="exact"/>
        <w:rPr>
          <w:rFonts w:hint="eastAsia" w:ascii="Arial" w:hAnsi="Arial" w:cs="Arial"/>
        </w:rPr>
      </w:pPr>
      <w:r>
        <w:rPr>
          <w:rFonts w:hint="eastAsia" w:ascii="Arial" w:hAnsi="Arial" w:cs="Arial"/>
        </w:rPr>
        <w:t>本项目不收取投标保证金。</w:t>
      </w:r>
    </w:p>
    <w:p>
      <w:pPr>
        <w:spacing w:line="400" w:lineRule="exact"/>
        <w:rPr>
          <w:rFonts w:hint="eastAsia"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pPr>
        <w:spacing w:line="400" w:lineRule="exact"/>
        <w:rPr>
          <w:rFonts w:hint="eastAsia" w:ascii="宋体" w:hAnsi="宋体" w:cs="Arial"/>
          <w:b/>
          <w:bCs/>
          <w:kern w:val="0"/>
          <w:sz w:val="24"/>
          <w:u w:val="single"/>
          <w:shd w:val="clear" w:color="auto" w:fill="auto"/>
          <w:lang w:eastAsia="zh-CN"/>
        </w:rPr>
      </w:pPr>
      <w:r>
        <w:rPr>
          <w:rFonts w:hint="eastAsia" w:ascii="宋体" w:hAnsi="宋体" w:cs="Arial"/>
          <w:b/>
          <w:bCs/>
          <w:kern w:val="0"/>
          <w:sz w:val="24"/>
          <w:u w:val="single"/>
          <w:shd w:val="clear" w:color="auto" w:fill="auto"/>
          <w:lang w:eastAsia="zh-CN"/>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400" w:lineRule="exact"/>
        <w:rPr>
          <w:rFonts w:hint="eastAsia" w:ascii="宋体" w:hAnsi="宋体" w:cs="Arial"/>
          <w:b/>
          <w:bCs/>
          <w:color w:val="auto"/>
          <w:kern w:val="0"/>
          <w:sz w:val="24"/>
          <w:u w:val="single"/>
          <w:shd w:val="clear" w:color="auto" w:fill="auto"/>
          <w:lang w:eastAsia="zh-CN"/>
        </w:rPr>
      </w:pPr>
      <w:r>
        <w:rPr>
          <w:rFonts w:hint="eastAsia" w:ascii="宋体" w:hAnsi="宋体" w:cs="Arial"/>
          <w:b/>
          <w:bCs/>
          <w:color w:val="auto"/>
          <w:kern w:val="0"/>
          <w:sz w:val="24"/>
          <w:u w:val="single"/>
          <w:shd w:val="clear" w:color="auto" w:fill="auto"/>
          <w:lang w:val="en-US" w:eastAsia="zh-CN"/>
        </w:rPr>
        <w:t>（2）投标人通过政采云平台电子投标工具制作投标文件，电子投标工具请供应商自行前往浙江政府采购网下载并安装，（下载网址：</w:t>
      </w:r>
      <w:r>
        <w:rPr>
          <w:rFonts w:hint="eastAsia" w:ascii="宋体" w:hAnsi="宋体" w:cs="Arial"/>
          <w:b/>
          <w:bCs/>
          <w:color w:val="auto"/>
          <w:kern w:val="0"/>
          <w:sz w:val="24"/>
          <w:u w:val="single"/>
          <w:shd w:val="clear" w:color="auto" w:fill="auto"/>
          <w:lang w:val="en-US" w:eastAsia="zh-CN"/>
        </w:rPr>
        <w:drawing>
          <wp:inline distT="0" distB="0" distL="114300" distR="114300">
            <wp:extent cx="190500" cy="142875"/>
            <wp:effectExtent l="0" t="0" r="0" b="9525"/>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eastAsia" w:ascii="宋体" w:hAnsi="宋体" w:cs="Arial"/>
          <w:b/>
          <w:bCs/>
          <w:color w:val="auto"/>
          <w:kern w:val="0"/>
          <w:sz w:val="24"/>
          <w:u w:val="single"/>
          <w:shd w:val="clear" w:color="auto" w:fill="auto"/>
          <w:lang w:val="en-US" w:eastAsia="zh-CN"/>
        </w:rPr>
        <w:t>https://customer.zcygov.cn/CA-driver-download?utm=web-login-front.75ab4087.0.0.f8e5d230c7c411ea9e54c97a8e384567）电子投标具体流程详见本招标公告附件：“政采云供应商项目采购-电子招投标操作指南.pdf”。</w:t>
      </w:r>
      <w:r>
        <w:rPr>
          <w:rFonts w:hint="eastAsia" w:ascii="宋体" w:hAnsi="宋体" w:cs="Arial"/>
          <w:b/>
          <w:bCs/>
          <w:color w:val="auto"/>
          <w:kern w:val="0"/>
          <w:sz w:val="24"/>
          <w:u w:val="single"/>
          <w:shd w:val="clear" w:color="auto" w:fill="auto"/>
          <w:lang w:val="en-US" w:eastAsia="zh-CN"/>
        </w:rPr>
        <w:br w:type="textWrapping"/>
      </w:r>
      <w:r>
        <w:rPr>
          <w:rFonts w:hint="eastAsia" w:ascii="宋体" w:hAnsi="宋体" w:cs="Arial"/>
          <w:b/>
          <w:bCs/>
          <w:color w:val="auto"/>
          <w:kern w:val="0"/>
          <w:sz w:val="24"/>
          <w:u w:val="single"/>
          <w:shd w:val="clear" w:color="auto" w:fill="auto"/>
          <w:lang w:val="en-US" w:eastAsia="zh-CN"/>
        </w:rPr>
        <w:t>（3）投标人应在开标前完成CA数字证书办理。（办理流程详见</w:t>
      </w:r>
      <w:r>
        <w:rPr>
          <w:rFonts w:hint="eastAsia" w:ascii="宋体" w:hAnsi="宋体" w:cs="Arial"/>
          <w:b/>
          <w:bCs/>
          <w:color w:val="auto"/>
          <w:kern w:val="0"/>
          <w:sz w:val="24"/>
          <w:u w:val="single"/>
          <w:shd w:val="clear" w:color="auto" w:fill="auto"/>
          <w:lang w:val="en-US" w:eastAsia="zh-CN"/>
        </w:rPr>
        <w:drawing>
          <wp:inline distT="0" distB="0" distL="114300" distR="114300">
            <wp:extent cx="190500" cy="142875"/>
            <wp:effectExtent l="0" t="0" r="0" b="9525"/>
            <wp:docPr id="2"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7"/>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eastAsia" w:ascii="宋体" w:hAnsi="宋体" w:cs="Arial"/>
          <w:b/>
          <w:bCs/>
          <w:color w:val="auto"/>
          <w:kern w:val="0"/>
          <w:sz w:val="24"/>
          <w:u w:val="single"/>
          <w:shd w:val="clear" w:color="auto" w:fill="auto"/>
          <w:lang w:val="en-US" w:eastAsia="zh-CN"/>
        </w:rPr>
        <w:t>https://middle.zcygov.cn/ca/apply/edit，完成CA数字证书办理预计一周左右，请各投标人自行把握时间）</w:t>
      </w:r>
    </w:p>
    <w:p>
      <w:pPr>
        <w:spacing w:line="400" w:lineRule="exact"/>
        <w:rPr>
          <w:rFonts w:hint="eastAsia" w:ascii="宋体" w:hAnsi="宋体" w:cs="Arial"/>
          <w:b/>
          <w:bCs/>
          <w:kern w:val="0"/>
          <w:sz w:val="24"/>
          <w:u w:val="single"/>
          <w:shd w:val="clear" w:color="auto" w:fill="auto"/>
          <w:lang w:eastAsia="zh-CN"/>
        </w:rPr>
      </w:pPr>
      <w:r>
        <w:rPr>
          <w:rFonts w:hint="eastAsia" w:ascii="宋体" w:hAnsi="宋体" w:cs="Arial"/>
          <w:b/>
          <w:bCs/>
          <w:kern w:val="0"/>
          <w:sz w:val="24"/>
          <w:u w:val="single"/>
          <w:shd w:val="clear" w:color="auto" w:fill="auto"/>
          <w:lang w:eastAsia="zh-CN"/>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pPr>
        <w:spacing w:line="400" w:lineRule="exact"/>
        <w:rPr>
          <w:rFonts w:hint="eastAsia" w:ascii="宋体" w:hAnsi="宋体" w:cs="Arial"/>
          <w:b/>
          <w:bCs/>
          <w:kern w:val="0"/>
          <w:sz w:val="24"/>
          <w:u w:val="single"/>
          <w:shd w:val="clear" w:color="auto" w:fill="auto"/>
        </w:rPr>
      </w:pPr>
      <w:r>
        <w:rPr>
          <w:rFonts w:hint="eastAsia" w:ascii="宋体" w:hAnsi="宋体" w:cs="Arial"/>
          <w:b/>
          <w:bCs/>
          <w:kern w:val="0"/>
          <w:sz w:val="24"/>
          <w:u w:val="single"/>
          <w:shd w:val="clear" w:color="auto" w:fill="auto"/>
          <w:lang w:eastAsia="zh-CN"/>
        </w:rPr>
        <w:t>（5）本招标文件中关于电子招投标内容如与政采云系统中有关内容、操作不一致的，以政采云系统中的要求为准。</w:t>
      </w:r>
    </w:p>
    <w:p>
      <w:pPr>
        <w:spacing w:line="400" w:lineRule="exact"/>
        <w:rPr>
          <w:rFonts w:hint="eastAsia"/>
          <w:b/>
          <w:sz w:val="24"/>
        </w:rPr>
      </w:pPr>
      <w:r>
        <w:rPr>
          <w:rFonts w:ascii="宋体" w:hAnsi="宋体"/>
          <w:b/>
          <w:sz w:val="24"/>
        </w:rPr>
        <w:t>7</w:t>
      </w:r>
      <w:r>
        <w:rPr>
          <w:rFonts w:ascii="宋体" w:hAnsi="宋体" w:cs="Arial"/>
          <w:b/>
          <w:kern w:val="0"/>
          <w:sz w:val="24"/>
        </w:rPr>
        <w:t>.</w:t>
      </w:r>
      <w:r>
        <w:rPr>
          <w:rFonts w:hint="eastAsia"/>
          <w:b/>
          <w:sz w:val="24"/>
        </w:rPr>
        <w:t>投标文件的组成、份数、密封、效力</w:t>
      </w:r>
    </w:p>
    <w:p>
      <w:pPr>
        <w:spacing w:line="400" w:lineRule="exact"/>
        <w:rPr>
          <w:rFonts w:hint="eastAsia"/>
          <w:sz w:val="24"/>
        </w:rPr>
      </w:pPr>
      <w:r>
        <w:rPr>
          <w:rFonts w:hint="eastAsia"/>
          <w:sz w:val="24"/>
        </w:rPr>
        <w:t>本项目实行电子投标，供应商应准备电子投标文件、纸质备份投标文件二类：</w:t>
      </w:r>
    </w:p>
    <w:p>
      <w:pPr>
        <w:spacing w:line="400" w:lineRule="exact"/>
        <w:rPr>
          <w:rFonts w:hint="eastAsia"/>
          <w:sz w:val="24"/>
        </w:rPr>
      </w:pPr>
      <w:r>
        <w:rPr>
          <w:rFonts w:hint="eastAsia"/>
          <w:sz w:val="24"/>
        </w:rPr>
        <w:t>（1）电子投标文件，按政采云平台项目采购--电子招投标操作指南及本招标文件要求编制。</w:t>
      </w:r>
    </w:p>
    <w:p>
      <w:pPr>
        <w:spacing w:line="400" w:lineRule="exact"/>
        <w:rPr>
          <w:rFonts w:hint="eastAsia"/>
          <w:sz w:val="24"/>
        </w:rPr>
      </w:pPr>
      <w:r>
        <w:rPr>
          <w:rFonts w:hint="eastAsia"/>
          <w:sz w:val="24"/>
        </w:rPr>
        <w:t>（</w:t>
      </w:r>
      <w:r>
        <w:rPr>
          <w:sz w:val="24"/>
        </w:rPr>
        <w:t>2</w:t>
      </w:r>
      <w:r>
        <w:rPr>
          <w:rFonts w:hint="eastAsia"/>
          <w:sz w:val="24"/>
        </w:rPr>
        <w:t>）</w:t>
      </w:r>
      <w:bookmarkStart w:id="2" w:name="_Hlk34638143"/>
      <w:r>
        <w:rPr>
          <w:rFonts w:hint="eastAsia"/>
          <w:sz w:val="24"/>
        </w:rPr>
        <w:t>纸质</w:t>
      </w:r>
      <w:bookmarkEnd w:id="2"/>
      <w:r>
        <w:rPr>
          <w:rFonts w:hint="eastAsia"/>
          <w:sz w:val="24"/>
        </w:rPr>
        <w:t>备份投标文件以纸质文件的形式编制，按商务技术文件、报价文件分别编制并单独装订成册，</w:t>
      </w:r>
      <w:r>
        <w:rPr>
          <w:rFonts w:hint="eastAsia"/>
          <w:b/>
          <w:bCs/>
          <w:sz w:val="24"/>
        </w:rPr>
        <w:t>数量均为</w:t>
      </w:r>
      <w:r>
        <w:rPr>
          <w:rFonts w:hint="eastAsia"/>
          <w:b/>
          <w:bCs/>
          <w:sz w:val="24"/>
          <w:lang w:val="en-US" w:eastAsia="zh-CN"/>
        </w:rPr>
        <w:t>2</w:t>
      </w:r>
      <w:r>
        <w:rPr>
          <w:rFonts w:hint="eastAsia"/>
          <w:b/>
          <w:bCs/>
          <w:sz w:val="24"/>
        </w:rPr>
        <w:t>份</w:t>
      </w:r>
      <w:r>
        <w:rPr>
          <w:rFonts w:hint="eastAsia"/>
          <w:sz w:val="24"/>
        </w:rPr>
        <w:t>。商务技术文件、报价文件二部分须分别密封封装，</w:t>
      </w:r>
      <w:r>
        <w:rPr>
          <w:rFonts w:hint="eastAsia"/>
          <w:sz w:val="24"/>
          <w:u w:val="single"/>
        </w:rPr>
        <w:t>商务技术文件、报价文件未分别密封的投标文件将为无效。</w:t>
      </w:r>
    </w:p>
    <w:p>
      <w:pPr>
        <w:spacing w:line="400" w:lineRule="exact"/>
        <w:rPr>
          <w:rFonts w:hint="eastAsia"/>
          <w:sz w:val="24"/>
          <w:u w:val="single"/>
        </w:rPr>
      </w:pPr>
      <w:bookmarkStart w:id="3" w:name="_Hlk34639647"/>
      <w:r>
        <w:rPr>
          <w:rFonts w:hint="eastAsia"/>
          <w:sz w:val="24"/>
        </w:rPr>
        <w:t>▲</w:t>
      </w:r>
      <w:r>
        <w:rPr>
          <w:rFonts w:hint="eastAsia"/>
          <w:sz w:val="24"/>
          <w:u w:val="single"/>
        </w:rPr>
        <w:t>（</w:t>
      </w:r>
      <w:r>
        <w:rPr>
          <w:sz w:val="24"/>
          <w:u w:val="single"/>
        </w:rPr>
        <w:t>3</w:t>
      </w:r>
      <w:r>
        <w:rPr>
          <w:rFonts w:hint="eastAsia"/>
          <w:sz w:val="24"/>
          <w:u w:val="single"/>
        </w:rPr>
        <w:t>）投标文件启用顺序和效力：投标文件的启用，按先后顺位分别为</w:t>
      </w:r>
      <w:bookmarkStart w:id="4" w:name="_Hlk34637932"/>
      <w:r>
        <w:rPr>
          <w:rFonts w:hint="eastAsia"/>
          <w:sz w:val="24"/>
          <w:u w:val="single"/>
        </w:rPr>
        <w:t>电子投标文件</w:t>
      </w:r>
      <w:bookmarkEnd w:id="4"/>
      <w:r>
        <w:rPr>
          <w:rFonts w:hint="eastAsia"/>
          <w:sz w:val="24"/>
          <w:u w:val="single"/>
        </w:rPr>
        <w:t>、纸质备份投标文件。</w:t>
      </w:r>
      <w:bookmarkStart w:id="5" w:name="_Hlk34637983"/>
      <w:r>
        <w:rPr>
          <w:rFonts w:hint="eastAsia"/>
          <w:sz w:val="24"/>
          <w:u w:val="single"/>
        </w:rPr>
        <w:t>全部投标人的</w:t>
      </w:r>
      <w:bookmarkStart w:id="6" w:name="_Hlk34638083"/>
      <w:r>
        <w:rPr>
          <w:rFonts w:hint="eastAsia"/>
          <w:sz w:val="24"/>
          <w:u w:val="single"/>
        </w:rPr>
        <w:t>电子投标文件均已按时解密的，</w:t>
      </w:r>
      <w:bookmarkEnd w:id="6"/>
      <w:r>
        <w:rPr>
          <w:rFonts w:hint="eastAsia"/>
          <w:sz w:val="24"/>
          <w:u w:val="single"/>
        </w:rPr>
        <w:t>纸质备份投标文件自动失效，全部投标人的电子投标文件均无法按时解密的，</w:t>
      </w:r>
      <w:bookmarkStart w:id="7" w:name="_Hlk34638161"/>
      <w:r>
        <w:rPr>
          <w:rFonts w:hint="eastAsia"/>
          <w:sz w:val="24"/>
          <w:u w:val="single"/>
        </w:rPr>
        <w:t>启用纸质备份投标文件进行线下开评标。</w:t>
      </w:r>
      <w:bookmarkEnd w:id="7"/>
      <w:r>
        <w:rPr>
          <w:rFonts w:hint="eastAsia"/>
          <w:sz w:val="24"/>
          <w:u w:val="single"/>
        </w:rPr>
        <w:t>如果某位投标人的电子</w:t>
      </w:r>
      <w:bookmarkStart w:id="8" w:name="_Hlk34638115"/>
      <w:r>
        <w:rPr>
          <w:rFonts w:hint="eastAsia"/>
          <w:sz w:val="24"/>
          <w:u w:val="single"/>
        </w:rPr>
        <w:t>投标文件</w:t>
      </w:r>
      <w:bookmarkEnd w:id="8"/>
      <w:r>
        <w:rPr>
          <w:rFonts w:hint="eastAsia"/>
          <w:sz w:val="24"/>
          <w:u w:val="single"/>
        </w:rPr>
        <w:t>无法按时解密的，其投标文件为无效标，不启用纸质备份投标文件。</w:t>
      </w:r>
    </w:p>
    <w:bookmarkEnd w:id="3"/>
    <w:bookmarkEnd w:id="5"/>
    <w:p>
      <w:pPr>
        <w:spacing w:line="400" w:lineRule="exact"/>
        <w:rPr>
          <w:rFonts w:hint="eastAsia"/>
          <w:sz w:val="24"/>
        </w:rPr>
      </w:pPr>
      <w:bookmarkStart w:id="9" w:name="_Hlk34638256"/>
      <w:r>
        <w:rPr>
          <w:rFonts w:hint="eastAsia"/>
          <w:sz w:val="24"/>
        </w:rPr>
        <w:t>▲</w:t>
      </w:r>
      <w:bookmarkEnd w:id="9"/>
      <w:r>
        <w:rPr>
          <w:rFonts w:hint="eastAsia"/>
          <w:sz w:val="24"/>
        </w:rPr>
        <w:t>未传输递交电子投标文件及未按规定提供相应的备份投标文件的，投标无效。</w:t>
      </w:r>
    </w:p>
    <w:p>
      <w:pPr>
        <w:spacing w:line="400" w:lineRule="exact"/>
        <w:rPr>
          <w:rFonts w:ascii="宋体" w:hAnsi="宋体"/>
          <w:sz w:val="24"/>
        </w:rPr>
      </w:pPr>
      <w:r>
        <w:rPr>
          <w:rFonts w:ascii="宋体" w:hAnsi="宋体"/>
          <w:b/>
          <w:sz w:val="24"/>
        </w:rPr>
        <w:t>8.投标截止时间及投标文件的递交</w:t>
      </w:r>
    </w:p>
    <w:p>
      <w:pPr>
        <w:spacing w:line="400" w:lineRule="exact"/>
        <w:rPr>
          <w:rFonts w:ascii="宋体" w:hAnsi="宋体" w:cs="Arial"/>
          <w:color w:val="auto"/>
          <w:kern w:val="0"/>
          <w:sz w:val="24"/>
        </w:rPr>
      </w:pPr>
      <w:r>
        <w:rPr>
          <w:rFonts w:hint="eastAsia" w:ascii="宋体" w:hAnsi="宋体" w:cs="Arial"/>
          <w:b/>
          <w:bCs/>
          <w:color w:val="auto"/>
          <w:kern w:val="0"/>
          <w:sz w:val="24"/>
        </w:rPr>
        <w:t>电子投标文件</w:t>
      </w:r>
      <w:r>
        <w:rPr>
          <w:rFonts w:ascii="宋体" w:hAnsi="宋体"/>
          <w:b/>
          <w:color w:val="auto"/>
          <w:sz w:val="24"/>
        </w:rPr>
        <w:t>投标截止时间</w:t>
      </w:r>
      <w:r>
        <w:rPr>
          <w:rFonts w:hint="eastAsia" w:ascii="宋体" w:hAnsi="宋体"/>
          <w:b/>
          <w:color w:val="auto"/>
          <w:sz w:val="24"/>
        </w:rPr>
        <w:t>：2020年</w:t>
      </w:r>
      <w:r>
        <w:rPr>
          <w:rFonts w:hint="eastAsia" w:ascii="宋体" w:hAnsi="宋体"/>
          <w:b/>
          <w:color w:val="auto"/>
          <w:sz w:val="24"/>
          <w:lang w:val="en-US" w:eastAsia="zh-CN"/>
        </w:rPr>
        <w:t>8</w:t>
      </w:r>
      <w:r>
        <w:rPr>
          <w:rFonts w:hint="eastAsia" w:ascii="宋体" w:hAnsi="宋体"/>
          <w:b/>
          <w:color w:val="auto"/>
          <w:sz w:val="24"/>
        </w:rPr>
        <w:t>月</w:t>
      </w:r>
      <w:r>
        <w:rPr>
          <w:rFonts w:hint="eastAsia" w:ascii="宋体" w:hAnsi="宋体"/>
          <w:b/>
          <w:color w:val="auto"/>
          <w:sz w:val="24"/>
          <w:lang w:val="en-US" w:eastAsia="zh-CN"/>
        </w:rPr>
        <w:t>25</w:t>
      </w:r>
      <w:r>
        <w:rPr>
          <w:rFonts w:hint="eastAsia" w:ascii="宋体" w:hAnsi="宋体"/>
          <w:b/>
          <w:color w:val="auto"/>
          <w:sz w:val="24"/>
        </w:rPr>
        <w:t>日</w:t>
      </w:r>
      <w:r>
        <w:rPr>
          <w:rFonts w:hint="eastAsia" w:ascii="宋体" w:hAnsi="宋体"/>
          <w:b/>
          <w:color w:val="auto"/>
          <w:sz w:val="24"/>
          <w:lang w:val="en-US" w:eastAsia="zh-CN"/>
        </w:rPr>
        <w:t>9</w:t>
      </w:r>
      <w:r>
        <w:rPr>
          <w:rFonts w:ascii="宋体" w:hAnsi="宋体"/>
          <w:b/>
          <w:color w:val="auto"/>
          <w:sz w:val="24"/>
        </w:rPr>
        <w:t>时</w:t>
      </w:r>
      <w:r>
        <w:rPr>
          <w:rFonts w:hint="eastAsia" w:ascii="宋体" w:hAnsi="宋体"/>
          <w:b/>
          <w:color w:val="auto"/>
          <w:sz w:val="24"/>
          <w:lang w:val="en-US" w:eastAsia="zh-CN"/>
        </w:rPr>
        <w:t>00</w:t>
      </w:r>
      <w:r>
        <w:rPr>
          <w:rFonts w:hint="eastAsia" w:ascii="宋体" w:hAnsi="宋体"/>
          <w:b/>
          <w:color w:val="auto"/>
          <w:sz w:val="24"/>
          <w:lang w:eastAsia="zh-CN"/>
        </w:rPr>
        <w:t>分00秒</w:t>
      </w:r>
      <w:r>
        <w:rPr>
          <w:rFonts w:hint="eastAsia" w:ascii="宋体" w:hAnsi="宋体"/>
          <w:b/>
          <w:color w:val="auto"/>
          <w:sz w:val="24"/>
        </w:rPr>
        <w:t>，</w:t>
      </w:r>
      <w:r>
        <w:rPr>
          <w:rFonts w:hint="eastAsia" w:ascii="宋体" w:hAnsi="宋体" w:cs="Arial"/>
          <w:color w:val="auto"/>
          <w:kern w:val="0"/>
          <w:sz w:val="24"/>
        </w:rPr>
        <w:t>投标人应当在投标截止时间前完成电子投标文件的传输递交。</w:t>
      </w:r>
    </w:p>
    <w:p>
      <w:pPr>
        <w:spacing w:line="400" w:lineRule="exact"/>
        <w:rPr>
          <w:rFonts w:hint="eastAsia"/>
          <w:bCs/>
          <w:color w:val="auto"/>
          <w:sz w:val="24"/>
        </w:rPr>
      </w:pPr>
      <w:r>
        <w:rPr>
          <w:rFonts w:hint="eastAsia"/>
          <w:color w:val="auto"/>
          <w:sz w:val="24"/>
        </w:rPr>
        <w:t>纸质备份</w:t>
      </w:r>
      <w:r>
        <w:rPr>
          <w:rFonts w:ascii="宋体" w:hAnsi="宋体"/>
          <w:color w:val="auto"/>
          <w:sz w:val="24"/>
        </w:rPr>
        <w:t xml:space="preserve">投标文件递交时间： </w:t>
      </w:r>
      <w:r>
        <w:rPr>
          <w:rFonts w:ascii="宋体" w:hAnsi="宋体"/>
          <w:b/>
          <w:color w:val="auto"/>
          <w:sz w:val="24"/>
        </w:rPr>
        <w:t>2020年</w:t>
      </w:r>
      <w:r>
        <w:rPr>
          <w:rFonts w:hint="eastAsia" w:ascii="宋体" w:hAnsi="宋体"/>
          <w:b/>
          <w:color w:val="auto"/>
          <w:sz w:val="24"/>
          <w:lang w:val="en-US" w:eastAsia="zh-CN"/>
        </w:rPr>
        <w:t>8</w:t>
      </w:r>
      <w:r>
        <w:rPr>
          <w:rFonts w:hint="eastAsia" w:ascii="宋体" w:hAnsi="宋体"/>
          <w:b/>
          <w:color w:val="auto"/>
          <w:sz w:val="24"/>
        </w:rPr>
        <w:t>月</w:t>
      </w:r>
      <w:r>
        <w:rPr>
          <w:rFonts w:hint="eastAsia" w:ascii="宋体" w:hAnsi="宋体"/>
          <w:b/>
          <w:color w:val="auto"/>
          <w:sz w:val="24"/>
          <w:lang w:val="en-US" w:eastAsia="zh-CN"/>
        </w:rPr>
        <w:t>25</w:t>
      </w:r>
      <w:r>
        <w:rPr>
          <w:rFonts w:hint="eastAsia" w:ascii="宋体" w:hAnsi="宋体"/>
          <w:b/>
          <w:color w:val="auto"/>
          <w:sz w:val="24"/>
        </w:rPr>
        <w:t>日</w:t>
      </w:r>
      <w:r>
        <w:rPr>
          <w:rFonts w:hint="eastAsia" w:ascii="宋体" w:hAnsi="宋体"/>
          <w:b/>
          <w:color w:val="auto"/>
          <w:sz w:val="24"/>
          <w:lang w:val="en-US" w:eastAsia="zh-CN"/>
        </w:rPr>
        <w:t>8</w:t>
      </w:r>
      <w:r>
        <w:rPr>
          <w:rFonts w:ascii="宋体" w:hAnsi="宋体"/>
          <w:b/>
          <w:color w:val="auto"/>
          <w:sz w:val="24"/>
        </w:rPr>
        <w:t>时</w:t>
      </w:r>
      <w:r>
        <w:rPr>
          <w:rFonts w:hint="eastAsia" w:ascii="宋体" w:hAnsi="宋体"/>
          <w:b/>
          <w:color w:val="auto"/>
          <w:sz w:val="24"/>
          <w:lang w:val="en-US" w:eastAsia="zh-CN"/>
        </w:rPr>
        <w:t>00</w:t>
      </w:r>
      <w:r>
        <w:rPr>
          <w:rFonts w:hint="eastAsia" w:ascii="宋体" w:hAnsi="宋体"/>
          <w:b/>
          <w:color w:val="auto"/>
          <w:sz w:val="24"/>
          <w:lang w:eastAsia="zh-CN"/>
        </w:rPr>
        <w:t>分00秒</w:t>
      </w:r>
      <w:r>
        <w:rPr>
          <w:rFonts w:ascii="宋体" w:hAnsi="宋体"/>
          <w:b/>
          <w:color w:val="auto"/>
          <w:sz w:val="24"/>
        </w:rPr>
        <w:t>至</w:t>
      </w:r>
      <w:r>
        <w:rPr>
          <w:rFonts w:hint="eastAsia" w:ascii="宋体" w:hAnsi="宋体"/>
          <w:b/>
          <w:color w:val="auto"/>
          <w:sz w:val="24"/>
        </w:rPr>
        <w:t>2020年</w:t>
      </w:r>
      <w:r>
        <w:rPr>
          <w:rFonts w:hint="eastAsia" w:ascii="宋体" w:hAnsi="宋体"/>
          <w:b/>
          <w:color w:val="auto"/>
          <w:sz w:val="24"/>
          <w:lang w:val="en-US" w:eastAsia="zh-CN"/>
        </w:rPr>
        <w:t>8</w:t>
      </w:r>
      <w:r>
        <w:rPr>
          <w:rFonts w:hint="eastAsia" w:ascii="宋体" w:hAnsi="宋体"/>
          <w:b/>
          <w:color w:val="auto"/>
          <w:sz w:val="24"/>
        </w:rPr>
        <w:t>月</w:t>
      </w:r>
      <w:r>
        <w:rPr>
          <w:rFonts w:hint="eastAsia" w:ascii="宋体" w:hAnsi="宋体"/>
          <w:b/>
          <w:color w:val="auto"/>
          <w:sz w:val="24"/>
          <w:lang w:val="en-US" w:eastAsia="zh-CN"/>
        </w:rPr>
        <w:t>25</w:t>
      </w:r>
      <w:r>
        <w:rPr>
          <w:rFonts w:hint="eastAsia" w:ascii="宋体" w:hAnsi="宋体"/>
          <w:b/>
          <w:color w:val="auto"/>
          <w:sz w:val="24"/>
        </w:rPr>
        <w:t>日</w:t>
      </w:r>
      <w:r>
        <w:rPr>
          <w:rFonts w:hint="eastAsia" w:ascii="宋体" w:hAnsi="宋体"/>
          <w:b/>
          <w:color w:val="auto"/>
          <w:sz w:val="24"/>
          <w:lang w:val="en-US" w:eastAsia="zh-CN"/>
        </w:rPr>
        <w:t>9</w:t>
      </w:r>
      <w:r>
        <w:rPr>
          <w:rFonts w:ascii="宋体" w:hAnsi="宋体"/>
          <w:b/>
          <w:color w:val="auto"/>
          <w:sz w:val="24"/>
        </w:rPr>
        <w:t>时</w:t>
      </w:r>
      <w:r>
        <w:rPr>
          <w:rFonts w:hint="eastAsia" w:ascii="宋体" w:hAnsi="宋体"/>
          <w:b/>
          <w:color w:val="auto"/>
          <w:sz w:val="24"/>
          <w:lang w:val="en-US" w:eastAsia="zh-CN"/>
        </w:rPr>
        <w:t>00</w:t>
      </w:r>
      <w:r>
        <w:rPr>
          <w:rFonts w:hint="eastAsia" w:ascii="宋体" w:hAnsi="宋体"/>
          <w:b/>
          <w:color w:val="auto"/>
          <w:sz w:val="24"/>
          <w:lang w:eastAsia="zh-CN"/>
        </w:rPr>
        <w:t>分00秒</w:t>
      </w:r>
      <w:r>
        <w:rPr>
          <w:rFonts w:hint="eastAsia"/>
          <w:b/>
          <w:color w:val="auto"/>
          <w:sz w:val="24"/>
          <w:u w:val="single"/>
        </w:rPr>
        <w:t>持在临海市公共资源交易中心后台注册的交易员身份证提交</w:t>
      </w:r>
      <w:r>
        <w:rPr>
          <w:rFonts w:hint="eastAsia"/>
          <w:b/>
          <w:color w:val="auto"/>
          <w:sz w:val="24"/>
        </w:rPr>
        <w:t>。</w:t>
      </w:r>
    </w:p>
    <w:p>
      <w:pPr>
        <w:spacing w:line="400" w:lineRule="exact"/>
        <w:rPr>
          <w:rFonts w:hint="eastAsia" w:ascii="宋体" w:hAnsi="宋体"/>
          <w:b/>
          <w:color w:val="auto"/>
          <w:sz w:val="24"/>
        </w:rPr>
      </w:pPr>
      <w:r>
        <w:rPr>
          <w:rFonts w:ascii="宋体" w:hAnsi="宋体"/>
          <w:color w:val="auto"/>
          <w:sz w:val="24"/>
        </w:rPr>
        <w:t>投标文件递交地点：</w:t>
      </w:r>
      <w:r>
        <w:rPr>
          <w:color w:val="auto"/>
          <w:sz w:val="24"/>
        </w:rPr>
        <w:t>临海市公共资源交易中心</w:t>
      </w:r>
      <w:r>
        <w:rPr>
          <w:rFonts w:hint="eastAsia" w:ascii="宋体" w:hAnsi="宋体"/>
          <w:color w:val="auto"/>
          <w:sz w:val="24"/>
        </w:rPr>
        <w:t xml:space="preserve">B区 </w:t>
      </w:r>
      <w:r>
        <w:rPr>
          <w:rFonts w:hint="eastAsia" w:ascii="宋体" w:hAnsi="宋体"/>
          <w:color w:val="auto"/>
          <w:sz w:val="24"/>
          <w:lang w:eastAsia="zh-CN"/>
        </w:rPr>
        <w:t>一</w:t>
      </w:r>
      <w:r>
        <w:rPr>
          <w:rFonts w:hint="eastAsia" w:ascii="宋体" w:hAnsi="宋体"/>
          <w:color w:val="auto"/>
          <w:sz w:val="24"/>
        </w:rPr>
        <w:t xml:space="preserve"> 楼</w:t>
      </w:r>
      <w:r>
        <w:rPr>
          <w:rFonts w:hint="eastAsia" w:ascii="宋体" w:hAnsi="宋体"/>
          <w:color w:val="auto"/>
          <w:sz w:val="24"/>
          <w:lang w:eastAsia="zh-CN"/>
        </w:rPr>
        <w:t>一</w:t>
      </w:r>
      <w:r>
        <w:rPr>
          <w:rFonts w:hint="eastAsia" w:ascii="宋体" w:hAnsi="宋体"/>
          <w:color w:val="auto"/>
          <w:sz w:val="24"/>
        </w:rPr>
        <w:t>号开标室</w:t>
      </w:r>
      <w:r>
        <w:rPr>
          <w:rFonts w:ascii="宋体" w:hAnsi="宋体"/>
          <w:color w:val="auto"/>
          <w:sz w:val="24"/>
        </w:rPr>
        <w:t>（临海市</w:t>
      </w:r>
      <w:r>
        <w:rPr>
          <w:rFonts w:hint="eastAsia" w:ascii="宋体" w:hAnsi="宋体"/>
          <w:color w:val="auto"/>
          <w:sz w:val="24"/>
        </w:rPr>
        <w:t>凯歌路6</w:t>
      </w:r>
      <w:r>
        <w:rPr>
          <w:rFonts w:ascii="宋体" w:hAnsi="宋体"/>
          <w:color w:val="auto"/>
          <w:sz w:val="24"/>
        </w:rPr>
        <w:t>号）。逾期送达的或者未送达指定地点的投标文件，招标人不予受理。</w:t>
      </w:r>
      <w:r>
        <w:rPr>
          <w:rFonts w:ascii="宋体" w:hAnsi="宋体"/>
          <w:color w:val="auto"/>
          <w:sz w:val="24"/>
        </w:rPr>
        <w:br w:type="textWrapping"/>
      </w:r>
      <w:r>
        <w:rPr>
          <w:rFonts w:ascii="宋体" w:hAnsi="宋体"/>
          <w:b/>
          <w:bCs/>
          <w:color w:val="auto"/>
          <w:sz w:val="24"/>
        </w:rPr>
        <w:t>注：接受</w:t>
      </w:r>
      <w:r>
        <w:rPr>
          <w:rFonts w:hint="eastAsia"/>
          <w:b/>
          <w:bCs/>
          <w:color w:val="auto"/>
          <w:sz w:val="24"/>
        </w:rPr>
        <w:t>纸质备份</w:t>
      </w:r>
      <w:r>
        <w:rPr>
          <w:rFonts w:ascii="宋体" w:hAnsi="宋体"/>
          <w:b/>
          <w:bCs/>
          <w:color w:val="auto"/>
          <w:sz w:val="24"/>
        </w:rPr>
        <w:t>投标文件的条件：</w:t>
      </w:r>
      <w:r>
        <w:rPr>
          <w:rFonts w:ascii="宋体" w:hAnsi="宋体"/>
          <w:color w:val="auto"/>
          <w:sz w:val="24"/>
        </w:rPr>
        <w:t>1、</w:t>
      </w:r>
      <w:r>
        <w:rPr>
          <w:rFonts w:hint="eastAsia" w:ascii="宋体" w:hAnsi="宋体"/>
          <w:color w:val="auto"/>
          <w:sz w:val="24"/>
          <w:u w:val="single"/>
        </w:rPr>
        <w:t>持</w:t>
      </w:r>
      <w:r>
        <w:rPr>
          <w:rFonts w:hint="eastAsia" w:ascii="宋体" w:hAnsi="宋体"/>
          <w:b/>
          <w:color w:val="auto"/>
          <w:sz w:val="24"/>
          <w:u w:val="single"/>
        </w:rPr>
        <w:t>在临海市公共资源交易中心后台注册的交易员身份证</w:t>
      </w:r>
      <w:r>
        <w:rPr>
          <w:rFonts w:ascii="宋体" w:hAnsi="宋体"/>
          <w:color w:val="auto"/>
          <w:sz w:val="24"/>
        </w:rPr>
        <w:t>；2、投标文件在规定的截止时间前提交。3</w:t>
      </w:r>
      <w:r>
        <w:rPr>
          <w:rFonts w:hint="eastAsia" w:ascii="宋体" w:hAnsi="宋体"/>
          <w:color w:val="auto"/>
          <w:sz w:val="24"/>
        </w:rPr>
        <w:t>、在</w:t>
      </w:r>
      <w:r>
        <w:rPr>
          <w:rFonts w:hint="eastAsia" w:ascii="宋体" w:hAnsi="宋体"/>
          <w:b/>
          <w:color w:val="auto"/>
          <w:sz w:val="24"/>
        </w:rPr>
        <w:t>投标文件规定的递交时间内采购人（代理机构)将投标人录入中心的办公管理系统方有效。</w:t>
      </w:r>
    </w:p>
    <w:p>
      <w:pPr>
        <w:spacing w:line="400" w:lineRule="exact"/>
        <w:rPr>
          <w:rFonts w:ascii="宋体" w:hAnsi="宋体"/>
          <w:b/>
          <w:color w:val="auto"/>
          <w:sz w:val="24"/>
        </w:rPr>
      </w:pPr>
      <w:r>
        <w:rPr>
          <w:rFonts w:hint="eastAsia" w:ascii="宋体" w:hAnsi="宋体"/>
          <w:b/>
          <w:color w:val="auto"/>
          <w:sz w:val="24"/>
        </w:rPr>
        <w:t>9</w:t>
      </w:r>
      <w:r>
        <w:rPr>
          <w:rFonts w:ascii="宋体" w:hAnsi="宋体"/>
          <w:b/>
          <w:color w:val="auto"/>
          <w:sz w:val="24"/>
        </w:rPr>
        <w:t>.</w:t>
      </w:r>
      <w:r>
        <w:rPr>
          <w:rFonts w:hint="eastAsia" w:ascii="宋体" w:hAnsi="宋体"/>
          <w:b/>
          <w:color w:val="auto"/>
          <w:sz w:val="24"/>
        </w:rPr>
        <w:t xml:space="preserve">公共资源交易网上办公管理系统出现网络故障或停电时的应急处理措施： </w:t>
      </w:r>
      <w:r>
        <w:rPr>
          <w:rFonts w:ascii="宋体" w:hAnsi="宋体"/>
          <w:b/>
          <w:color w:val="auto"/>
          <w:sz w:val="24"/>
        </w:rPr>
        <w:t xml:space="preserve">     </w:t>
      </w:r>
    </w:p>
    <w:p>
      <w:pPr>
        <w:spacing w:line="400" w:lineRule="exact"/>
        <w:rPr>
          <w:rFonts w:ascii="宋体" w:hAnsi="宋体"/>
          <w:b/>
          <w:color w:val="auto"/>
          <w:sz w:val="24"/>
        </w:rPr>
      </w:pPr>
      <w:r>
        <w:rPr>
          <w:rFonts w:hint="eastAsia" w:ascii="宋体" w:hAnsi="宋体"/>
          <w:b/>
          <w:color w:val="auto"/>
          <w:sz w:val="24"/>
        </w:rPr>
        <w:t>（1）收标期间出现网络故障或停电如短时间内（半天内）可以排除并能恢复正常使用的，为不耽误项目进度，招标人（代理机构）经项目行政监管部门批准后现场宣布将收标截止时间适当延长后再进行正常开标活动；</w:t>
      </w:r>
    </w:p>
    <w:p>
      <w:pPr>
        <w:spacing w:line="400" w:lineRule="exact"/>
        <w:rPr>
          <w:rFonts w:hint="eastAsia" w:ascii="宋体" w:hAnsi="宋体"/>
          <w:b/>
          <w:color w:val="auto"/>
          <w:sz w:val="24"/>
        </w:rPr>
      </w:pPr>
      <w:r>
        <w:rPr>
          <w:rFonts w:hint="eastAsia" w:ascii="宋体" w:hAnsi="宋体"/>
          <w:b/>
          <w:color w:val="auto"/>
          <w:sz w:val="24"/>
        </w:rPr>
        <w:t>（2）收标期间出现网络故障或停电在短时间内不能排除，且无法恢复正常使用的，招标人（代理机构）报项目行政监管部门批准同意后，现场宣布暂停招标活动，已收投标文件原封退回供应商，招标人（代理机构）应办理延期开标手续，并及时发布补遗公告择日另行开标。</w:t>
      </w:r>
    </w:p>
    <w:p>
      <w:pPr>
        <w:spacing w:line="400" w:lineRule="exact"/>
        <w:rPr>
          <w:rFonts w:ascii="宋体" w:hAnsi="宋体"/>
          <w:color w:val="auto"/>
          <w:sz w:val="24"/>
        </w:rPr>
      </w:pPr>
      <w:r>
        <w:rPr>
          <w:rFonts w:ascii="宋体" w:hAnsi="宋体"/>
          <w:b/>
          <w:color w:val="auto"/>
          <w:sz w:val="24"/>
        </w:rPr>
        <w:t>10.开标</w:t>
      </w:r>
    </w:p>
    <w:p>
      <w:pPr>
        <w:spacing w:line="400" w:lineRule="exact"/>
        <w:rPr>
          <w:rFonts w:ascii="宋体" w:hAnsi="宋体"/>
          <w:color w:val="auto"/>
          <w:sz w:val="24"/>
        </w:rPr>
      </w:pPr>
      <w:r>
        <w:rPr>
          <w:rFonts w:ascii="宋体" w:hAnsi="宋体"/>
          <w:color w:val="auto"/>
          <w:sz w:val="24"/>
        </w:rPr>
        <w:t>开标时间：</w:t>
      </w:r>
      <w:r>
        <w:rPr>
          <w:rFonts w:ascii="宋体" w:hAnsi="宋体"/>
          <w:b/>
          <w:color w:val="auto"/>
          <w:sz w:val="24"/>
        </w:rPr>
        <w:t>2020年</w:t>
      </w:r>
      <w:r>
        <w:rPr>
          <w:rFonts w:hint="eastAsia" w:ascii="宋体" w:hAnsi="宋体"/>
          <w:b/>
          <w:color w:val="auto"/>
          <w:sz w:val="24"/>
          <w:lang w:val="en-US" w:eastAsia="zh-CN"/>
        </w:rPr>
        <w:t>8</w:t>
      </w:r>
      <w:r>
        <w:rPr>
          <w:rFonts w:hint="eastAsia" w:ascii="宋体" w:hAnsi="宋体"/>
          <w:b/>
          <w:color w:val="auto"/>
          <w:sz w:val="24"/>
        </w:rPr>
        <w:t>月</w:t>
      </w:r>
      <w:r>
        <w:rPr>
          <w:rFonts w:hint="eastAsia" w:ascii="宋体" w:hAnsi="宋体"/>
          <w:b/>
          <w:color w:val="auto"/>
          <w:sz w:val="24"/>
          <w:lang w:val="en-US" w:eastAsia="zh-CN"/>
        </w:rPr>
        <w:t>25</w:t>
      </w:r>
      <w:r>
        <w:rPr>
          <w:rFonts w:hint="eastAsia" w:ascii="宋体" w:hAnsi="宋体"/>
          <w:b/>
          <w:color w:val="auto"/>
          <w:sz w:val="24"/>
        </w:rPr>
        <w:t>日</w:t>
      </w:r>
      <w:r>
        <w:rPr>
          <w:rFonts w:hint="eastAsia" w:ascii="宋体" w:hAnsi="宋体"/>
          <w:b/>
          <w:color w:val="auto"/>
          <w:sz w:val="24"/>
          <w:lang w:val="en-US" w:eastAsia="zh-CN"/>
        </w:rPr>
        <w:t>9</w:t>
      </w:r>
      <w:r>
        <w:rPr>
          <w:rFonts w:ascii="宋体" w:hAnsi="宋体"/>
          <w:b/>
          <w:color w:val="auto"/>
          <w:sz w:val="24"/>
        </w:rPr>
        <w:t>时</w:t>
      </w:r>
      <w:r>
        <w:rPr>
          <w:rFonts w:hint="eastAsia" w:ascii="宋体" w:hAnsi="宋体"/>
          <w:b/>
          <w:color w:val="auto"/>
          <w:sz w:val="24"/>
          <w:lang w:val="en-US" w:eastAsia="zh-CN"/>
        </w:rPr>
        <w:t>00</w:t>
      </w:r>
      <w:r>
        <w:rPr>
          <w:rFonts w:hint="eastAsia" w:ascii="宋体" w:hAnsi="宋体"/>
          <w:b/>
          <w:color w:val="auto"/>
          <w:sz w:val="24"/>
          <w:lang w:eastAsia="zh-CN"/>
        </w:rPr>
        <w:t>分00秒</w:t>
      </w:r>
      <w:r>
        <w:rPr>
          <w:rFonts w:ascii="宋体" w:hAnsi="宋体"/>
          <w:color w:val="auto"/>
          <w:sz w:val="24"/>
        </w:rPr>
        <w:t>。</w:t>
      </w:r>
      <w:r>
        <w:rPr>
          <w:rFonts w:ascii="宋体" w:hAnsi="宋体"/>
          <w:color w:val="auto"/>
          <w:sz w:val="24"/>
        </w:rPr>
        <w:br w:type="textWrapping"/>
      </w:r>
      <w:r>
        <w:rPr>
          <w:rFonts w:ascii="宋体" w:hAnsi="宋体"/>
          <w:color w:val="auto"/>
          <w:sz w:val="24"/>
        </w:rPr>
        <w:t>开标地点：</w:t>
      </w:r>
      <w:r>
        <w:rPr>
          <w:color w:val="auto"/>
          <w:sz w:val="24"/>
        </w:rPr>
        <w:t>临海市公共资源交易中心</w:t>
      </w:r>
      <w:r>
        <w:rPr>
          <w:rFonts w:hint="eastAsia" w:ascii="宋体" w:hAnsi="宋体"/>
          <w:color w:val="auto"/>
          <w:sz w:val="24"/>
        </w:rPr>
        <w:t>B区</w:t>
      </w:r>
      <w:r>
        <w:rPr>
          <w:rFonts w:hint="eastAsia" w:ascii="宋体" w:hAnsi="宋体"/>
          <w:color w:val="auto"/>
          <w:sz w:val="24"/>
          <w:lang w:eastAsia="zh-CN"/>
        </w:rPr>
        <w:t>一</w:t>
      </w:r>
      <w:r>
        <w:rPr>
          <w:rFonts w:hint="eastAsia" w:ascii="宋体" w:hAnsi="宋体"/>
          <w:color w:val="auto"/>
          <w:sz w:val="24"/>
        </w:rPr>
        <w:t xml:space="preserve"> 楼</w:t>
      </w:r>
      <w:r>
        <w:rPr>
          <w:rFonts w:hint="eastAsia" w:ascii="宋体" w:hAnsi="宋体"/>
          <w:color w:val="auto"/>
          <w:sz w:val="24"/>
          <w:lang w:eastAsia="zh-CN"/>
        </w:rPr>
        <w:t>一</w:t>
      </w:r>
      <w:r>
        <w:rPr>
          <w:rFonts w:hint="eastAsia" w:ascii="宋体" w:hAnsi="宋体"/>
          <w:color w:val="auto"/>
          <w:sz w:val="24"/>
        </w:rPr>
        <w:t>号开标室</w:t>
      </w:r>
      <w:r>
        <w:rPr>
          <w:rFonts w:ascii="宋体" w:hAnsi="宋体"/>
          <w:color w:val="auto"/>
          <w:sz w:val="24"/>
        </w:rPr>
        <w:t>（临海市</w:t>
      </w:r>
      <w:r>
        <w:rPr>
          <w:rFonts w:hint="eastAsia" w:ascii="宋体" w:hAnsi="宋体"/>
          <w:color w:val="auto"/>
          <w:sz w:val="24"/>
        </w:rPr>
        <w:t>凯歌路6</w:t>
      </w:r>
      <w:r>
        <w:rPr>
          <w:rFonts w:ascii="宋体" w:hAnsi="宋体"/>
          <w:color w:val="auto"/>
          <w:sz w:val="24"/>
        </w:rPr>
        <w:t>号）</w:t>
      </w:r>
    </w:p>
    <w:p>
      <w:pPr>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开标时间后30分钟内（</w:t>
      </w:r>
      <w:r>
        <w:rPr>
          <w:rFonts w:hint="eastAsia" w:ascii="宋体" w:hAnsi="宋体"/>
          <w:b/>
          <w:color w:val="auto"/>
          <w:sz w:val="24"/>
          <w:u w:val="single"/>
          <w:shd w:val="pct10" w:color="auto" w:fill="FFFFFF"/>
          <w:lang w:eastAsia="zh-CN"/>
        </w:rPr>
        <w:t>具体以政采云上解密截止时间为准</w:t>
      </w:r>
      <w:r>
        <w:rPr>
          <w:rFonts w:hint="eastAsia" w:ascii="宋体" w:hAnsi="宋体"/>
          <w:b/>
          <w:color w:val="auto"/>
          <w:sz w:val="24"/>
          <w:u w:val="single"/>
          <w:shd w:val="pct10" w:color="auto" w:fill="FFFFFF"/>
        </w:rPr>
        <w:t>），供应商须登录“政采云”平台，用“项目采购-开标评标”功能解密投标文件，投标人未按时解密或解密失败的，</w:t>
      </w:r>
      <w:r>
        <w:rPr>
          <w:rFonts w:hint="eastAsia"/>
          <w:b/>
          <w:color w:val="auto"/>
          <w:sz w:val="24"/>
          <w:u w:val="single"/>
          <w:shd w:val="pct10" w:color="auto" w:fill="FFFFFF"/>
        </w:rPr>
        <w:t>其投标文件为无效标。</w:t>
      </w:r>
    </w:p>
    <w:p>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rPr>
          <w:rFonts w:ascii="宋体" w:hAnsi="宋体"/>
          <w:color w:val="000000"/>
          <w:sz w:val="24"/>
          <w:u w:val="single"/>
        </w:rPr>
        <w:fldChar w:fldCharType="begin"/>
      </w:r>
      <w:r>
        <w:rPr>
          <w:rFonts w:ascii="宋体" w:hAnsi="宋体"/>
          <w:color w:val="000000"/>
          <w:sz w:val="24"/>
          <w:u w:val="single"/>
        </w:rPr>
        <w:instrText xml:space="preserve"> HYPERLINK "http://www.zjzfcg.gov.cn/new/" </w:instrText>
      </w:r>
      <w:r>
        <w:rPr>
          <w:rFonts w:ascii="宋体" w:hAnsi="宋体"/>
          <w:color w:val="000000"/>
          <w:sz w:val="24"/>
          <w:u w:val="single"/>
        </w:rPr>
        <w:fldChar w:fldCharType="separate"/>
      </w:r>
      <w:r>
        <w:rPr>
          <w:rStyle w:val="55"/>
          <w:sz w:val="24"/>
          <w:u w:val="single"/>
        </w:rPr>
        <w:t>浙江省政府采购网</w:t>
      </w:r>
      <w:r>
        <w:rPr>
          <w:rFonts w:ascii="宋体" w:hAnsi="宋体"/>
          <w:color w:val="000000"/>
          <w:sz w:val="24"/>
          <w:u w:val="single"/>
        </w:rPr>
        <w:fldChar w:fldCharType="end"/>
      </w:r>
      <w:r>
        <w:rPr>
          <w:rFonts w:ascii="宋体" w:hAnsi="宋体"/>
          <w:color w:val="000000"/>
          <w:sz w:val="24"/>
        </w:rPr>
        <w:t>、</w:t>
      </w:r>
      <w:r>
        <w:rPr>
          <w:rFonts w:ascii="宋体" w:hAnsi="宋体"/>
          <w:color w:val="000000"/>
          <w:sz w:val="24"/>
          <w:u w:val="single"/>
        </w:rPr>
        <w:fldChar w:fldCharType="begin"/>
      </w:r>
      <w:r>
        <w:rPr>
          <w:rFonts w:ascii="宋体" w:hAnsi="宋体"/>
          <w:color w:val="000000"/>
          <w:sz w:val="24"/>
          <w:u w:val="single"/>
        </w:rPr>
        <w:instrText xml:space="preserve"> HYPERLINK "http://www.lhzfcg.gov.cn" </w:instrText>
      </w:r>
      <w:r>
        <w:rPr>
          <w:rFonts w:ascii="宋体" w:hAnsi="宋体"/>
          <w:color w:val="000000"/>
          <w:sz w:val="24"/>
          <w:u w:val="single"/>
        </w:rPr>
        <w:fldChar w:fldCharType="separate"/>
      </w:r>
      <w:r>
        <w:rPr>
          <w:color w:val="000000"/>
          <w:sz w:val="24"/>
          <w:u w:val="single"/>
        </w:rPr>
        <w:t>临海市公共资源交易中心</w:t>
      </w:r>
      <w:r>
        <w:rPr>
          <w:rStyle w:val="55"/>
          <w:sz w:val="24"/>
        </w:rPr>
        <w:t>网</w:t>
      </w:r>
      <w:r>
        <w:rPr>
          <w:rFonts w:ascii="宋体" w:hAnsi="宋体"/>
          <w:color w:val="000000"/>
          <w:sz w:val="24"/>
          <w:u w:val="single"/>
        </w:rPr>
        <w:fldChar w:fldCharType="end"/>
      </w:r>
      <w:r>
        <w:rPr>
          <w:rFonts w:ascii="宋体" w:hAnsi="宋体"/>
          <w:color w:val="000000"/>
          <w:sz w:val="24"/>
        </w:rPr>
        <w:t>上发布。</w:t>
      </w:r>
    </w:p>
    <w:p>
      <w:pPr>
        <w:spacing w:line="400" w:lineRule="exact"/>
        <w:rPr>
          <w:rFonts w:hint="eastAsia" w:ascii="宋体" w:hAnsi="宋体"/>
          <w:b/>
          <w:color w:val="000000"/>
          <w:sz w:val="24"/>
        </w:rPr>
      </w:pPr>
      <w:r>
        <w:rPr>
          <w:rFonts w:ascii="宋体" w:hAnsi="宋体"/>
          <w:b/>
          <w:color w:val="000000"/>
          <w:sz w:val="24"/>
        </w:rPr>
        <w:t>12、</w:t>
      </w:r>
      <w:r>
        <w:rPr>
          <w:rFonts w:hint="eastAsia" w:ascii="宋体" w:hAnsi="宋体"/>
          <w:b/>
          <w:color w:val="000000"/>
          <w:sz w:val="24"/>
        </w:rPr>
        <w:t>其他事项</w:t>
      </w:r>
    </w:p>
    <w:p>
      <w:pPr>
        <w:adjustRightInd w:val="0"/>
        <w:snapToGrid w:val="0"/>
        <w:spacing w:line="400" w:lineRule="exact"/>
        <w:ind w:firstLine="118" w:firstLineChars="49"/>
        <w:rPr>
          <w:rFonts w:hint="eastAsia" w:ascii="宋体" w:hAnsi="宋体" w:cs="Arial"/>
          <w:b/>
          <w:sz w:val="24"/>
        </w:rPr>
      </w:pPr>
      <w:r>
        <w:rPr>
          <w:rFonts w:hint="eastAsia" w:ascii="宋体" w:hAnsi="宋体" w:cs="Arial"/>
          <w:b/>
          <w:sz w:val="24"/>
        </w:rPr>
        <w:t>（1）</w:t>
      </w:r>
      <w:r>
        <w:rPr>
          <w:rFonts w:ascii="ˎ̥" w:hAnsi="ˎ̥"/>
          <w:b/>
          <w:sz w:val="24"/>
        </w:rPr>
        <w:t>除注明要求进口产品外,投标时进口产品比例不得超过50%</w:t>
      </w:r>
      <w:r>
        <w:rPr>
          <w:rFonts w:hint="eastAsia" w:ascii="宋体" w:hAnsi="宋体" w:cs="Arial"/>
          <w:b/>
          <w:sz w:val="24"/>
        </w:rPr>
        <w:t>；</w:t>
      </w:r>
    </w:p>
    <w:p>
      <w:pPr>
        <w:spacing w:line="400" w:lineRule="exact"/>
        <w:ind w:firstLine="120" w:firstLineChars="50"/>
        <w:rPr>
          <w:rFonts w:hint="eastAsia"/>
          <w:b/>
        </w:rPr>
      </w:pPr>
      <w:r>
        <w:rPr>
          <w:rFonts w:hint="eastAsia" w:ascii="宋体" w:hAnsi="宋体" w:cs="Arial"/>
          <w:b/>
          <w:sz w:val="24"/>
        </w:rPr>
        <w:t>（2）</w:t>
      </w:r>
      <w:r>
        <w:rPr>
          <w:rFonts w:hint="eastAsia"/>
          <w:b/>
          <w:sz w:val="24"/>
        </w:rPr>
        <w:t>根据《浙江省政府采购供应商注册及诚信管理暂行办法》浙财采监字【2009】28号文件，请各投标供应商及时办理浙江政府采购网“政府采购供应商注册”手续。</w:t>
      </w:r>
    </w:p>
    <w:p>
      <w:pPr>
        <w:spacing w:line="400" w:lineRule="exact"/>
        <w:rPr>
          <w:rFonts w:ascii="宋体" w:hAnsi="宋体"/>
          <w:b/>
          <w:sz w:val="24"/>
        </w:rPr>
      </w:pPr>
      <w:r>
        <w:rPr>
          <w:rFonts w:hint="eastAsia" w:ascii="宋体" w:hAnsi="宋体"/>
          <w:b/>
          <w:sz w:val="24"/>
        </w:rPr>
        <w:t>1</w:t>
      </w:r>
      <w:r>
        <w:rPr>
          <w:rFonts w:ascii="宋体" w:hAnsi="宋体"/>
          <w:b/>
          <w:sz w:val="24"/>
        </w:rPr>
        <w:t>3</w:t>
      </w:r>
      <w:r>
        <w:rPr>
          <w:rFonts w:hint="eastAsia" w:ascii="宋体" w:hAnsi="宋体"/>
          <w:b/>
          <w:sz w:val="24"/>
        </w:rPr>
        <w:t>、</w:t>
      </w:r>
      <w:r>
        <w:rPr>
          <w:rFonts w:ascii="宋体" w:hAnsi="宋体"/>
          <w:b/>
          <w:sz w:val="24"/>
        </w:rPr>
        <w:t>联系方式</w:t>
      </w:r>
    </w:p>
    <w:p>
      <w:pPr>
        <w:spacing w:line="400" w:lineRule="exact"/>
        <w:rPr>
          <w:rFonts w:ascii="宋体" w:hAnsi="宋体"/>
          <w:sz w:val="24"/>
          <w:lang w:eastAsia="zh-CN"/>
        </w:rPr>
      </w:pPr>
      <w:r>
        <w:rPr>
          <w:rFonts w:hint="eastAsia" w:ascii="宋体" w:hAnsi="宋体"/>
          <w:sz w:val="24"/>
          <w:lang w:eastAsia="zh-CN"/>
        </w:rPr>
        <w:t>临海市政府采购中心地址：临海市行政服务中心B区一楼（临海市凯歌路6号）</w:t>
      </w:r>
    </w:p>
    <w:p>
      <w:pPr>
        <w:spacing w:line="400" w:lineRule="exact"/>
        <w:rPr>
          <w:rFonts w:ascii="宋体" w:hAnsi="宋体"/>
          <w:sz w:val="24"/>
          <w:lang w:eastAsia="zh-CN"/>
        </w:rPr>
      </w:pPr>
      <w:r>
        <w:rPr>
          <w:rFonts w:hint="eastAsia" w:ascii="宋体" w:hAnsi="宋体"/>
          <w:sz w:val="24"/>
          <w:lang w:eastAsia="zh-CN"/>
        </w:rPr>
        <w:t>注册、U盾、交易员身份证注册办理咨询联系电话：0576-85280675</w:t>
      </w:r>
    </w:p>
    <w:p>
      <w:pPr>
        <w:spacing w:line="400" w:lineRule="exact"/>
        <w:rPr>
          <w:rFonts w:hint="eastAsia" w:ascii="宋体" w:hAnsi="宋体"/>
          <w:spacing w:val="-4"/>
          <w:sz w:val="24"/>
        </w:rPr>
      </w:pPr>
      <w:r>
        <w:rPr>
          <w:rFonts w:ascii="宋体" w:hAnsi="宋体"/>
          <w:sz w:val="24"/>
        </w:rPr>
        <w:br w:type="textWrapping"/>
      </w:r>
      <w:r>
        <w:rPr>
          <w:rFonts w:ascii="宋体" w:hAnsi="宋体"/>
          <w:sz w:val="24"/>
        </w:rPr>
        <w:t>采购代理机构：</w:t>
      </w:r>
      <w:r>
        <w:rPr>
          <w:rFonts w:hint="eastAsia" w:ascii="宋体" w:hAnsi="宋体"/>
          <w:sz w:val="24"/>
        </w:rPr>
        <w:t>欧邦工程管理有限公司</w:t>
      </w:r>
      <w:r>
        <w:rPr>
          <w:rFonts w:ascii="宋体" w:hAnsi="宋体"/>
          <w:sz w:val="24"/>
        </w:rPr>
        <w:br w:type="textWrapping"/>
      </w:r>
      <w:r>
        <w:rPr>
          <w:rFonts w:ascii="宋体" w:hAnsi="宋体"/>
          <w:sz w:val="24"/>
        </w:rPr>
        <w:t xml:space="preserve">地址: </w:t>
      </w:r>
      <w:r>
        <w:rPr>
          <w:rFonts w:hint="eastAsia" w:ascii="宋体" w:hAnsi="宋体"/>
          <w:sz w:val="24"/>
        </w:rPr>
        <w:t>临海市月河路16号</w:t>
      </w:r>
      <w:r>
        <w:rPr>
          <w:rFonts w:ascii="宋体" w:hAnsi="宋体"/>
          <w:sz w:val="24"/>
        </w:rPr>
        <w:br w:type="textWrapping"/>
      </w:r>
      <w:r>
        <w:rPr>
          <w:rFonts w:ascii="宋体" w:hAnsi="宋体"/>
          <w:spacing w:val="-4"/>
          <w:sz w:val="24"/>
        </w:rPr>
        <w:t>联系人</w:t>
      </w:r>
      <w:r>
        <w:rPr>
          <w:rFonts w:hint="eastAsia" w:ascii="宋体" w:hAnsi="宋体"/>
          <w:spacing w:val="-4"/>
          <w:sz w:val="24"/>
        </w:rPr>
        <w:t>:徐女士</w:t>
      </w:r>
    </w:p>
    <w:p>
      <w:pPr>
        <w:spacing w:line="400" w:lineRule="exact"/>
        <w:rPr>
          <w:rFonts w:hint="eastAsia" w:ascii="宋体" w:hAnsi="宋体"/>
          <w:spacing w:val="-4"/>
          <w:sz w:val="24"/>
        </w:rPr>
      </w:pPr>
      <w:r>
        <w:rPr>
          <w:rFonts w:ascii="宋体" w:hAnsi="宋体"/>
          <w:spacing w:val="-4"/>
          <w:sz w:val="24"/>
        </w:rPr>
        <w:t>电话</w:t>
      </w:r>
      <w:r>
        <w:rPr>
          <w:rFonts w:hint="eastAsia" w:ascii="宋体" w:hAnsi="宋体"/>
          <w:spacing w:val="-4"/>
          <w:sz w:val="24"/>
        </w:rPr>
        <w:t xml:space="preserve">:0576-89399062     </w:t>
      </w:r>
      <w:r>
        <w:rPr>
          <w:rFonts w:ascii="宋体" w:hAnsi="宋体"/>
          <w:spacing w:val="-4"/>
          <w:sz w:val="24"/>
        </w:rPr>
        <w:fldChar w:fldCharType="begin"/>
      </w:r>
      <w:r>
        <w:rPr>
          <w:rFonts w:ascii="宋体" w:hAnsi="宋体"/>
          <w:spacing w:val="-4"/>
          <w:sz w:val="24"/>
        </w:rPr>
        <w:instrText xml:space="preserve"> HYPERLINK "mailto:l</w:instrText>
      </w:r>
      <w:r>
        <w:rPr>
          <w:rFonts w:hint="eastAsia" w:ascii="宋体" w:hAnsi="宋体"/>
          <w:spacing w:val="-4"/>
          <w:sz w:val="24"/>
        </w:rPr>
        <w:instrText xml:space="preserve">h</w:instrText>
      </w:r>
      <w:r>
        <w:rPr>
          <w:rFonts w:ascii="宋体" w:hAnsi="宋体"/>
          <w:spacing w:val="-4"/>
          <w:sz w:val="24"/>
        </w:rPr>
        <w:instrText xml:space="preserve">zb.gov.cn@163.com" </w:instrText>
      </w:r>
      <w:r>
        <w:rPr>
          <w:rFonts w:ascii="宋体" w:hAnsi="宋体"/>
          <w:spacing w:val="-4"/>
          <w:sz w:val="24"/>
        </w:rPr>
        <w:fldChar w:fldCharType="separate"/>
      </w:r>
      <w:r>
        <w:rPr>
          <w:rFonts w:ascii="宋体" w:hAnsi="宋体"/>
          <w:spacing w:val="-4"/>
          <w:sz w:val="24"/>
        </w:rPr>
        <w:fldChar w:fldCharType="end"/>
      </w:r>
      <w:r>
        <w:rPr>
          <w:rFonts w:ascii="宋体" w:hAnsi="宋体"/>
          <w:spacing w:val="-4"/>
          <w:sz w:val="24"/>
        </w:rPr>
        <w:t xml:space="preserve"> </w:t>
      </w:r>
    </w:p>
    <w:p>
      <w:pPr>
        <w:spacing w:line="400" w:lineRule="exact"/>
        <w:rPr>
          <w:rFonts w:hint="eastAsia" w:ascii="宋体" w:hAnsi="宋体"/>
          <w:sz w:val="24"/>
        </w:rPr>
      </w:pPr>
      <w:r>
        <w:rPr>
          <w:rFonts w:ascii="宋体" w:hAnsi="宋体"/>
          <w:sz w:val="24"/>
        </w:rPr>
        <w:t>采购单位</w:t>
      </w:r>
      <w:r>
        <w:rPr>
          <w:rFonts w:hint="eastAsia" w:ascii="宋体" w:hAnsi="宋体"/>
          <w:sz w:val="24"/>
        </w:rPr>
        <w:t>：临海市人民政府古城街道办事处</w:t>
      </w:r>
    </w:p>
    <w:p>
      <w:pPr>
        <w:spacing w:line="400" w:lineRule="exact"/>
        <w:rPr>
          <w:rFonts w:hint="eastAsia" w:ascii="宋体" w:hAnsi="宋体"/>
          <w:sz w:val="24"/>
        </w:rPr>
      </w:pPr>
      <w:r>
        <w:rPr>
          <w:rFonts w:ascii="宋体" w:hAnsi="宋体"/>
          <w:sz w:val="24"/>
        </w:rPr>
        <w:t>联系人：</w:t>
      </w:r>
      <w:r>
        <w:rPr>
          <w:rFonts w:hint="eastAsia" w:ascii="宋体" w:hAnsi="宋体"/>
          <w:sz w:val="24"/>
        </w:rPr>
        <w:t>赵先生</w:t>
      </w:r>
    </w:p>
    <w:p>
      <w:pPr>
        <w:spacing w:line="400" w:lineRule="exact"/>
        <w:rPr>
          <w:rFonts w:hint="eastAsia" w:ascii="宋体" w:hAnsi="宋体"/>
          <w:sz w:val="24"/>
        </w:rPr>
      </w:pPr>
      <w:r>
        <w:rPr>
          <w:rFonts w:ascii="宋体" w:hAnsi="宋体"/>
          <w:sz w:val="24"/>
        </w:rPr>
        <w:t>电话</w:t>
      </w:r>
      <w:r>
        <w:rPr>
          <w:rFonts w:hint="eastAsia" w:ascii="宋体" w:hAnsi="宋体"/>
          <w:sz w:val="24"/>
        </w:rPr>
        <w:t>：13738667286</w:t>
      </w:r>
    </w:p>
    <w:p>
      <w:pPr>
        <w:spacing w:line="400" w:lineRule="exact"/>
        <w:jc w:val="center"/>
        <w:rPr>
          <w:rFonts w:hint="eastAsia" w:ascii="宋体" w:hAnsi="宋体"/>
          <w:b/>
          <w:color w:val="000000"/>
          <w:sz w:val="24"/>
        </w:rPr>
      </w:pPr>
      <w:r>
        <w:rPr>
          <w:rFonts w:ascii="宋体" w:hAnsi="宋体"/>
          <w:color w:val="000000"/>
          <w:sz w:val="24"/>
        </w:rPr>
        <w:br w:type="page"/>
      </w:r>
      <w:bookmarkStart w:id="10" w:name="_Toc466534748"/>
      <w:bookmarkStart w:id="11" w:name="_Toc467749357"/>
      <w:r>
        <w:rPr>
          <w:rFonts w:hint="eastAsia" w:ascii="宋体" w:hAnsi="宋体"/>
          <w:b/>
          <w:color w:val="000000"/>
          <w:sz w:val="36"/>
          <w:szCs w:val="36"/>
        </w:rPr>
        <w:t>第二章   招标需求</w:t>
      </w:r>
    </w:p>
    <w:bookmarkEnd w:id="10"/>
    <w:bookmarkEnd w:id="11"/>
    <w:p>
      <w:pPr>
        <w:rPr>
          <w:rFonts w:hint="eastAsia" w:ascii="宋体" w:hAnsi="宋体"/>
          <w:b/>
          <w:sz w:val="28"/>
          <w:szCs w:val="28"/>
        </w:rPr>
      </w:pPr>
    </w:p>
    <w:p>
      <w:pPr>
        <w:rPr>
          <w:rFonts w:hint="eastAsia" w:ascii="宋体" w:hAnsi="宋体"/>
          <w:b/>
          <w:sz w:val="28"/>
          <w:szCs w:val="28"/>
        </w:rPr>
      </w:pPr>
      <w:r>
        <w:rPr>
          <w:rFonts w:hint="eastAsia" w:ascii="宋体" w:hAnsi="宋体"/>
          <w:b/>
          <w:sz w:val="28"/>
          <w:szCs w:val="28"/>
        </w:rPr>
        <w:t>一、具体技术规格及要求：</w:t>
      </w:r>
    </w:p>
    <w:p>
      <w:pPr>
        <w:rPr>
          <w:b/>
          <w:sz w:val="28"/>
          <w:szCs w:val="28"/>
        </w:rPr>
      </w:pPr>
      <w:r>
        <w:rPr>
          <w:rFonts w:hint="eastAsia" w:ascii="宋体" w:hAnsi="宋体"/>
          <w:b/>
          <w:sz w:val="28"/>
          <w:szCs w:val="28"/>
        </w:rPr>
        <w:t xml:space="preserve"> </w:t>
      </w:r>
    </w:p>
    <w:tbl>
      <w:tblPr>
        <w:tblStyle w:val="48"/>
        <w:tblW w:w="8940" w:type="dxa"/>
        <w:tblInd w:w="0" w:type="dxa"/>
        <w:tblLayout w:type="fixed"/>
        <w:tblCellMar>
          <w:top w:w="0" w:type="dxa"/>
          <w:left w:w="0" w:type="dxa"/>
          <w:bottom w:w="0" w:type="dxa"/>
          <w:right w:w="0" w:type="dxa"/>
        </w:tblCellMar>
      </w:tblPr>
      <w:tblGrid>
        <w:gridCol w:w="272"/>
        <w:gridCol w:w="1058"/>
        <w:gridCol w:w="1057"/>
        <w:gridCol w:w="1200"/>
        <w:gridCol w:w="4548"/>
        <w:gridCol w:w="427"/>
        <w:gridCol w:w="378"/>
      </w:tblGrid>
      <w:tr>
        <w:tblPrEx>
          <w:tblCellMar>
            <w:top w:w="0" w:type="dxa"/>
            <w:left w:w="0" w:type="dxa"/>
            <w:bottom w:w="0" w:type="dxa"/>
            <w:right w:w="0" w:type="dxa"/>
          </w:tblCellMar>
        </w:tblPrEx>
        <w:trPr>
          <w:trHeight w:val="436" w:hRule="atLeast"/>
        </w:trPr>
        <w:tc>
          <w:tcPr>
            <w:tcW w:w="8940" w:type="dxa"/>
            <w:gridSpan w:val="7"/>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 xml:space="preserve">二楼多媒体数字硬件软件预算清单 </w:t>
            </w:r>
          </w:p>
        </w:tc>
      </w:tr>
      <w:tr>
        <w:tblPrEx>
          <w:tblCellMar>
            <w:top w:w="0" w:type="dxa"/>
            <w:left w:w="0" w:type="dxa"/>
            <w:bottom w:w="0" w:type="dxa"/>
            <w:right w:w="0" w:type="dxa"/>
          </w:tblCellMar>
        </w:tblPrEx>
        <w:trPr>
          <w:trHeight w:val="455" w:hRule="atLeast"/>
        </w:trPr>
        <w:tc>
          <w:tcPr>
            <w:tcW w:w="272" w:type="dxa"/>
            <w:tcBorders>
              <w:top w:val="single" w:color="auto" w:sz="4" w:space="0"/>
              <w:left w:val="single" w:color="000000" w:sz="4" w:space="0"/>
              <w:bottom w:val="nil"/>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eastAsia="宋体" w:cs="宋体"/>
                <w:b/>
                <w:color w:val="000000"/>
                <w:sz w:val="21"/>
                <w:szCs w:val="21"/>
                <w:lang w:eastAsia="zh-CN"/>
              </w:rPr>
            </w:pPr>
            <w:r>
              <w:rPr>
                <w:rFonts w:hint="eastAsia" w:ascii="宋体" w:hAnsi="宋体" w:cs="宋体"/>
                <w:b/>
                <w:color w:val="000000"/>
                <w:kern w:val="0"/>
                <w:sz w:val="21"/>
                <w:szCs w:val="21"/>
                <w:lang w:eastAsia="zh-CN" w:bidi="ar"/>
              </w:rPr>
              <w:t>序号</w:t>
            </w:r>
          </w:p>
        </w:tc>
        <w:tc>
          <w:tcPr>
            <w:tcW w:w="1058" w:type="dxa"/>
            <w:tcBorders>
              <w:top w:val="single" w:color="auto" w:sz="4" w:space="0"/>
              <w:left w:val="single" w:color="000000" w:sz="4" w:space="0"/>
              <w:bottom w:val="nil"/>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分类</w:t>
            </w:r>
          </w:p>
        </w:tc>
        <w:tc>
          <w:tcPr>
            <w:tcW w:w="1057" w:type="dxa"/>
            <w:tcBorders>
              <w:top w:val="single" w:color="auto" w:sz="4" w:space="0"/>
              <w:left w:val="single" w:color="000000" w:sz="4" w:space="0"/>
              <w:bottom w:val="nil"/>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推荐品牌</w:t>
            </w:r>
          </w:p>
        </w:tc>
        <w:tc>
          <w:tcPr>
            <w:tcW w:w="1200" w:type="dxa"/>
            <w:tcBorders>
              <w:top w:val="single" w:color="auto" w:sz="4" w:space="0"/>
              <w:left w:val="single" w:color="000000" w:sz="4" w:space="0"/>
              <w:bottom w:val="nil"/>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参考型号</w:t>
            </w:r>
          </w:p>
        </w:tc>
        <w:tc>
          <w:tcPr>
            <w:tcW w:w="4548" w:type="dxa"/>
            <w:tcBorders>
              <w:top w:val="single" w:color="auto" w:sz="4" w:space="0"/>
              <w:left w:val="single" w:color="000000" w:sz="4" w:space="0"/>
              <w:bottom w:val="nil"/>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规格型号参数</w:t>
            </w:r>
          </w:p>
        </w:tc>
        <w:tc>
          <w:tcPr>
            <w:tcW w:w="427" w:type="dxa"/>
            <w:tcBorders>
              <w:top w:val="single" w:color="auto" w:sz="4" w:space="0"/>
              <w:left w:val="single" w:color="000000" w:sz="4" w:space="0"/>
              <w:bottom w:val="nil"/>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单位</w:t>
            </w:r>
          </w:p>
        </w:tc>
        <w:tc>
          <w:tcPr>
            <w:tcW w:w="378" w:type="dxa"/>
            <w:tcBorders>
              <w:top w:val="single" w:color="auto" w:sz="4" w:space="0"/>
              <w:left w:val="single" w:color="000000" w:sz="4" w:space="0"/>
              <w:bottom w:val="nil"/>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 xml:space="preserve">数量 </w:t>
            </w:r>
          </w:p>
        </w:tc>
      </w:tr>
      <w:tr>
        <w:tblPrEx>
          <w:tblCellMar>
            <w:top w:w="0" w:type="dxa"/>
            <w:left w:w="0" w:type="dxa"/>
            <w:bottom w:w="0" w:type="dxa"/>
            <w:right w:w="0" w:type="dxa"/>
          </w:tblCellMar>
        </w:tblPrEx>
        <w:trPr>
          <w:trHeight w:val="291" w:hRule="atLeast"/>
        </w:trPr>
        <w:tc>
          <w:tcPr>
            <w:tcW w:w="8940" w:type="dxa"/>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领导关怀</w:t>
            </w:r>
          </w:p>
        </w:tc>
      </w:tr>
      <w:tr>
        <w:tblPrEx>
          <w:tblCellMar>
            <w:top w:w="0" w:type="dxa"/>
            <w:left w:w="0" w:type="dxa"/>
            <w:bottom w:w="0" w:type="dxa"/>
            <w:right w:w="0" w:type="dxa"/>
          </w:tblCellMar>
        </w:tblPrEx>
        <w:trPr>
          <w:trHeight w:val="2371" w:hRule="atLeast"/>
        </w:trPr>
        <w:tc>
          <w:tcPr>
            <w:tcW w:w="2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105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触摸屏幕</w:t>
            </w:r>
          </w:p>
        </w:tc>
        <w:tc>
          <w:tcPr>
            <w:tcW w:w="1057"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三星、海康威视、大华</w:t>
            </w:r>
          </w:p>
        </w:tc>
        <w:tc>
          <w:tcPr>
            <w:tcW w:w="1200"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 55" 拼接屏 VA 液晶模组 1920×1080 500nits WLED LVDS 51pins</w:t>
            </w:r>
          </w:p>
        </w:tc>
        <w:tc>
          <w:tcPr>
            <w:tcW w:w="454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55寸 原装工业面板,单元外观尺寸：1213mm*684mm*120mm； ，分辨率1920*1080，亮度500cd/m2，开模外壳，含内置拼接专用驱动板.      触摸技术 红外线阻断检测形式，不需要表面导电镀层技术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 3mm 普通钢化玻璃（可定制）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玻璃透过率 &gt;88%(更高透过率取决于玻璃的表面处理技术如AR/AG)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触摸耐久性 不限制  触摸激活力 不需要压力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输出形式 触摸坐标输出  校准 简单的 4 点校准，无漂移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响应速度 [ms] &lt;15ms</w:t>
            </w:r>
          </w:p>
        </w:tc>
        <w:tc>
          <w:tcPr>
            <w:tcW w:w="427"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37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r>
      <w:tr>
        <w:tblPrEx>
          <w:tblCellMar>
            <w:top w:w="0" w:type="dxa"/>
            <w:left w:w="0" w:type="dxa"/>
            <w:bottom w:w="0" w:type="dxa"/>
            <w:right w:w="0" w:type="dxa"/>
          </w:tblCellMar>
        </w:tblPrEx>
        <w:trPr>
          <w:trHeight w:val="892" w:hRule="atLeast"/>
        </w:trPr>
        <w:tc>
          <w:tcPr>
            <w:tcW w:w="2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电脑</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戴尔、联想、惠普</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戴尔（3471）</w:t>
            </w:r>
          </w:p>
        </w:tc>
        <w:tc>
          <w:tcPr>
            <w:tcW w:w="4548" w:type="dxa"/>
            <w:tcBorders>
              <w:top w:val="nil"/>
              <w:left w:val="nil"/>
              <w:bottom w:val="nil"/>
              <w:right w:val="nil"/>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4U工控:Intel Core i5 2540M/4G DDR/128G SSD固态/GTX750 显卡/600W电源/HDMi、DVI输出</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427" w:hRule="atLeast"/>
        </w:trPr>
        <w:tc>
          <w:tcPr>
            <w:tcW w:w="2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领导关怀内容设计</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1、分辨率：1920*1080；2、动态页面不少于30张，3、动态视频分辨率1080P，时间不少于3分钟，其中包含至少1分钟AE特效处理；4、动态页面中的图片可以在中控程序后台可更新、更换、删除、等功能；</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91" w:hRule="atLeast"/>
        </w:trPr>
        <w:tc>
          <w:tcPr>
            <w:tcW w:w="8940" w:type="dxa"/>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飞跃临海（三维飞跃体验影院）</w:t>
            </w:r>
          </w:p>
        </w:tc>
      </w:tr>
      <w:tr>
        <w:tblPrEx>
          <w:tblCellMar>
            <w:top w:w="0" w:type="dxa"/>
            <w:left w:w="0" w:type="dxa"/>
            <w:bottom w:w="0" w:type="dxa"/>
            <w:right w:w="0" w:type="dxa"/>
          </w:tblCellMar>
        </w:tblPrEx>
        <w:trPr>
          <w:trHeight w:val="3374" w:hRule="atLeast"/>
        </w:trPr>
        <w:tc>
          <w:tcPr>
            <w:tcW w:w="2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105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激光投影机</w:t>
            </w:r>
          </w:p>
        </w:tc>
        <w:tc>
          <w:tcPr>
            <w:tcW w:w="1057"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明基、索尼、NEC</w:t>
            </w:r>
          </w:p>
        </w:tc>
        <w:tc>
          <w:tcPr>
            <w:tcW w:w="1200" w:type="dxa"/>
            <w:tcBorders>
              <w:top w:val="nil"/>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明基EU9083</w:t>
            </w:r>
          </w:p>
        </w:tc>
        <w:tc>
          <w:tcPr>
            <w:tcW w:w="4548" w:type="dxa"/>
            <w:tcBorders>
              <w:top w:val="nil"/>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投影技术 DLP</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对比度 3000000:1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标准分辨率 WUXGA（1920*1200）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最高分辨率 WUXGA（1920*1200）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扫描频率 水平：15-102kHz垂直：23-120Hz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光源类型 激光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光源寿命 正常模式：20000小时，经济模式：38000小时，智能省电模式：70000小时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投射比 1.15-1.9</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投影尺寸 300英寸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色彩数目 10.7亿色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梯形校正 水平，垂直：±30度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电脑兼容性 480i，480p，576i，567p，720p，1080i，1080p</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视频兼容性 NTSC，PAL，SECAM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输入接口 1×复合视频输入（RCA）</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1×音频L/R输入（RCA）</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1×音频输入（mini Jack）</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1×RS-232（DB-9针）</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1×PC in（D-sub 15针）</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1×Composite Video in</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3×HDMI（一个与MHL共享）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输出接口 1×Monitor out（D-sub 15针）</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1×音频输出（mini Jack）</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1×3D同步输出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控制接口 1×防盗锁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1×USB-A</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1×Lan（RJ45）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1×USB（Type Mini 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规格参数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产品噪音 正常模式：38dB，经济模式：34dB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电源性能 AC100-240V，50/60Hz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产品尺寸 454×360×164mm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产品重量 10.7kg</w:t>
            </w:r>
          </w:p>
        </w:tc>
        <w:tc>
          <w:tcPr>
            <w:tcW w:w="427"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37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r>
      <w:tr>
        <w:tblPrEx>
          <w:tblCellMar>
            <w:top w:w="0" w:type="dxa"/>
            <w:left w:w="0" w:type="dxa"/>
            <w:bottom w:w="0" w:type="dxa"/>
            <w:right w:w="0" w:type="dxa"/>
          </w:tblCellMar>
        </w:tblPrEx>
        <w:trPr>
          <w:trHeight w:val="455" w:hRule="atLeast"/>
        </w:trPr>
        <w:tc>
          <w:tcPr>
            <w:tcW w:w="2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投影机镜头</w:t>
            </w:r>
          </w:p>
        </w:tc>
        <w:tc>
          <w:tcPr>
            <w:tcW w:w="1057" w:type="dxa"/>
            <w:tcBorders>
              <w:top w:val="single" w:color="000000" w:sz="4" w:space="0"/>
              <w:left w:val="single" w:color="000000" w:sz="4" w:space="0"/>
              <w:bottom w:val="single" w:color="000000"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明基、索尼、NEC</w:t>
            </w:r>
          </w:p>
        </w:tc>
        <w:tc>
          <w:tcPr>
            <w:tcW w:w="120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NEC</w:t>
            </w:r>
          </w:p>
        </w:tc>
        <w:tc>
          <w:tcPr>
            <w:tcW w:w="454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投射比0.75-0.95:1，具备±50%垂直，±15%水平偏移量</w:t>
            </w:r>
          </w:p>
        </w:tc>
        <w:tc>
          <w:tcPr>
            <w:tcW w:w="427" w:type="dxa"/>
            <w:tcBorders>
              <w:top w:val="single" w:color="000000" w:sz="4" w:space="0"/>
              <w:left w:val="single" w:color="auto"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个</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r>
      <w:tr>
        <w:tblPrEx>
          <w:tblCellMar>
            <w:top w:w="0" w:type="dxa"/>
            <w:left w:w="0" w:type="dxa"/>
            <w:bottom w:w="0" w:type="dxa"/>
            <w:right w:w="0" w:type="dxa"/>
          </w:tblCellMar>
        </w:tblPrEx>
        <w:trPr>
          <w:trHeight w:val="1972" w:hRule="atLeast"/>
        </w:trPr>
        <w:tc>
          <w:tcPr>
            <w:tcW w:w="2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球幕融合软件</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single" w:color="auto"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single" w:color="auto"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球幕投影融合</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通过摄像头识别矫正、双曲面矫正、半球整球融合矫正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N*N模式图像上下左右四面边缘羽化融合处理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多通道投影颜色校正、亮度、色彩、饱和度、均匀性调整处理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视频播放功能，黑水平矫正，过渡融合羽化处理</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通道</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r>
      <w:tr>
        <w:tblPrEx>
          <w:tblCellMar>
            <w:top w:w="0" w:type="dxa"/>
            <w:left w:w="0" w:type="dxa"/>
            <w:bottom w:w="0" w:type="dxa"/>
            <w:right w:w="0" w:type="dxa"/>
          </w:tblCellMar>
        </w:tblPrEx>
        <w:trPr>
          <w:trHeight w:val="892" w:hRule="atLeast"/>
        </w:trPr>
        <w:tc>
          <w:tcPr>
            <w:tcW w:w="2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105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融合播控系统</w:t>
            </w:r>
          </w:p>
        </w:tc>
        <w:tc>
          <w:tcPr>
            <w:tcW w:w="1057"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1、负责多通道融合同步播放功能；2、影片切割后的视频内容自动分发给各投影机；3、同步控制融合播放；</w:t>
            </w:r>
          </w:p>
        </w:tc>
        <w:tc>
          <w:tcPr>
            <w:tcW w:w="427"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455" w:hRule="atLeast"/>
        </w:trPr>
        <w:tc>
          <w:tcPr>
            <w:tcW w:w="2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投影机支架</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定制投影机支架：万用投影机支架</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个</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r>
      <w:tr>
        <w:tblPrEx>
          <w:tblCellMar>
            <w:top w:w="0" w:type="dxa"/>
            <w:left w:w="0" w:type="dxa"/>
            <w:bottom w:w="0" w:type="dxa"/>
            <w:right w:w="0" w:type="dxa"/>
          </w:tblCellMar>
        </w:tblPrEx>
        <w:trPr>
          <w:trHeight w:val="673" w:hRule="atLeast"/>
        </w:trPr>
        <w:tc>
          <w:tcPr>
            <w:tcW w:w="2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105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视频延长器</w:t>
            </w:r>
          </w:p>
        </w:tc>
        <w:tc>
          <w:tcPr>
            <w:tcW w:w="1057"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Gefen、VNB、威讯</w:t>
            </w:r>
          </w:p>
        </w:tc>
        <w:tc>
          <w:tcPr>
            <w:tcW w:w="1200"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Gefen</w:t>
            </w:r>
          </w:p>
        </w:tc>
        <w:tc>
          <w:tcPr>
            <w:tcW w:w="454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 CAT-8双绞线延长DVI视频信号达70米；2、支持分辨率1920*1200</w:t>
            </w:r>
          </w:p>
        </w:tc>
        <w:tc>
          <w:tcPr>
            <w:tcW w:w="427"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r>
      <w:tr>
        <w:tblPrEx>
          <w:tblCellMar>
            <w:top w:w="0" w:type="dxa"/>
            <w:left w:w="0" w:type="dxa"/>
            <w:bottom w:w="0" w:type="dxa"/>
            <w:right w:w="0" w:type="dxa"/>
          </w:tblCellMar>
        </w:tblPrEx>
        <w:trPr>
          <w:trHeight w:val="673" w:hRule="atLeast"/>
        </w:trPr>
        <w:tc>
          <w:tcPr>
            <w:tcW w:w="2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融合服务器</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nil"/>
              <w:left w:val="nil"/>
              <w:bottom w:val="nil"/>
              <w:right w:val="nil"/>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Intel 酷睿i7 6950X/16G内存/120G ssid/4通道融合显卡/4U工业机箱/WIN10 PRO</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r>
      <w:tr>
        <w:tblPrEx>
          <w:tblCellMar>
            <w:top w:w="0" w:type="dxa"/>
            <w:left w:w="0" w:type="dxa"/>
            <w:bottom w:w="0" w:type="dxa"/>
            <w:right w:w="0" w:type="dxa"/>
          </w:tblCellMar>
        </w:tblPrEx>
        <w:trPr>
          <w:trHeight w:val="2583" w:hRule="atLeast"/>
        </w:trPr>
        <w:tc>
          <w:tcPr>
            <w:tcW w:w="2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主音箱</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WMMAV、ITC、漫步者</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WMMAV HZ-04</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Impedance</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 Ohms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Program power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80 Watt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Sensitivity(1w@1m)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91dB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Frequency Response (-6dB): 120 Hz-17 kHz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Calculated Max SPL.</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110dB</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只</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r>
      <w:tr>
        <w:tblPrEx>
          <w:tblCellMar>
            <w:top w:w="0" w:type="dxa"/>
            <w:left w:w="0" w:type="dxa"/>
            <w:bottom w:w="0" w:type="dxa"/>
            <w:right w:w="0" w:type="dxa"/>
          </w:tblCellMar>
        </w:tblPrEx>
        <w:trPr>
          <w:trHeight w:val="2418" w:hRule="atLeast"/>
        </w:trPr>
        <w:tc>
          <w:tcPr>
            <w:tcW w:w="2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105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低音音箱</w:t>
            </w:r>
          </w:p>
        </w:tc>
        <w:tc>
          <w:tcPr>
            <w:tcW w:w="1057"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WMMAV、ITC、漫步者</w:t>
            </w:r>
          </w:p>
        </w:tc>
        <w:tc>
          <w:tcPr>
            <w:tcW w:w="1200"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WMMAV YK-12SUB</w:t>
            </w:r>
          </w:p>
        </w:tc>
        <w:tc>
          <w:tcPr>
            <w:tcW w:w="454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12寸超低音箱：无源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频率响应：30Hz-500Hz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额定功率：400W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灵敏度：90dB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最大声压级：115dB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额定阻抗：4欧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尺寸：36.5*49*42cm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重量：19KG</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只</w:t>
            </w:r>
          </w:p>
        </w:tc>
        <w:tc>
          <w:tcPr>
            <w:tcW w:w="37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513" w:hRule="atLeast"/>
        </w:trPr>
        <w:tc>
          <w:tcPr>
            <w:tcW w:w="2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专业音箱功放</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WMMAV、ITC、漫步者</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WMMAV CX-1000</w:t>
            </w:r>
          </w:p>
        </w:tc>
        <w:tc>
          <w:tcPr>
            <w:tcW w:w="4548" w:type="dxa"/>
            <w:tcBorders>
              <w:top w:val="nil"/>
              <w:left w:val="nil"/>
              <w:bottom w:val="nil"/>
              <w:right w:val="nil"/>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全系列有二通道，四通道机型。8Ω立体声功率2×300W,4Ω立体声功率2×450W，8Ω桥接功率900W。总谐波失真&lt;0.1%，转换速率&gt;20V/μs，阻尼系数&gt;300，动态范围≥95dB，信噪比≥95dB，输入阻抗平衡20KΩ/不平衡10KΩ</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只</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r>
      <w:tr>
        <w:tblPrEx>
          <w:tblCellMar>
            <w:top w:w="0" w:type="dxa"/>
            <w:left w:w="0" w:type="dxa"/>
            <w:bottom w:w="0" w:type="dxa"/>
            <w:right w:w="0" w:type="dxa"/>
          </w:tblCellMar>
        </w:tblPrEx>
        <w:trPr>
          <w:trHeight w:val="2755" w:hRule="atLeast"/>
        </w:trPr>
        <w:tc>
          <w:tcPr>
            <w:tcW w:w="2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音频处理器</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WMMAV、ITC、漫步者</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WMMAV HY3600</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12通道调音台：6个话筒 / 12 个线路输入 (4 个单声道 + 4 个立体声) / 2 编组母线 + 1 立体声母线 / 2 AUX (包括 FX)</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6个话筒 / 12个线路输入 (4个单声道 + 4个立体声)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2编组母线 + 1立体声母线</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 AUX (包括FX)</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外观尺寸(W×H×D)： 308 mm x 118 mm x 422 mm (12.1" x4.6" x16.6")</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净重： 4.0 kg (8.8 lbs.)</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975" w:hRule="atLeast"/>
        </w:trPr>
        <w:tc>
          <w:tcPr>
            <w:tcW w:w="2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电源时序器</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WMMAV、ITC、漫步者</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WMMAV KSP8008</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8路单路功率2000W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输出电源插座规格</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13A万用插座，磷铜材质,符合欧美标准</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319" w:hRule="atLeast"/>
        </w:trPr>
        <w:tc>
          <w:tcPr>
            <w:tcW w:w="272" w:type="dxa"/>
            <w:tcBorders>
              <w:top w:val="nil"/>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w:t>
            </w:r>
          </w:p>
        </w:tc>
        <w:tc>
          <w:tcPr>
            <w:tcW w:w="1058" w:type="dxa"/>
            <w:tcBorders>
              <w:top w:val="single" w:color="000000" w:sz="4" w:space="0"/>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大巴车部分造型</w:t>
            </w:r>
          </w:p>
        </w:tc>
        <w:tc>
          <w:tcPr>
            <w:tcW w:w="1057" w:type="dxa"/>
            <w:tcBorders>
              <w:top w:val="single" w:color="000000" w:sz="4" w:space="0"/>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定制造型</w:t>
            </w:r>
          </w:p>
        </w:tc>
        <w:tc>
          <w:tcPr>
            <w:tcW w:w="1200" w:type="dxa"/>
            <w:tcBorders>
              <w:top w:val="single" w:color="000000" w:sz="4" w:space="0"/>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定制造型</w:t>
            </w:r>
          </w:p>
        </w:tc>
        <w:tc>
          <w:tcPr>
            <w:tcW w:w="4548" w:type="dxa"/>
            <w:tcBorders>
              <w:top w:val="single" w:color="000000" w:sz="4" w:space="0"/>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1、GRE材质外观结构造型；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2、外观尺寸：5.5M*4.5M*2.2M，表面材质仿真大巴外观喷漆；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3、仿真车内饰面，地面地胶塑板，两侧及前端玻璃饰面；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4、具有仿真方向盘；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5、位置匹配4D动感座椅；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6、净重：120.0 kg左右 </w:t>
            </w:r>
          </w:p>
        </w:tc>
        <w:tc>
          <w:tcPr>
            <w:tcW w:w="427" w:type="dxa"/>
            <w:tcBorders>
              <w:top w:val="single" w:color="000000" w:sz="4" w:space="0"/>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378" w:type="dxa"/>
            <w:tcBorders>
              <w:top w:val="single" w:color="000000" w:sz="4" w:space="0"/>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840" w:hRule="atLeast"/>
        </w:trPr>
        <w:tc>
          <w:tcPr>
            <w:tcW w:w="272"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w:t>
            </w:r>
          </w:p>
        </w:tc>
        <w:tc>
          <w:tcPr>
            <w:tcW w:w="105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震动座椅</w:t>
            </w:r>
          </w:p>
        </w:tc>
        <w:tc>
          <w:tcPr>
            <w:tcW w:w="105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定制造型</w:t>
            </w:r>
          </w:p>
        </w:tc>
        <w:tc>
          <w:tcPr>
            <w:tcW w:w="120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定制造型</w:t>
            </w:r>
          </w:p>
        </w:tc>
        <w:tc>
          <w:tcPr>
            <w:tcW w:w="454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型式：4D影院动感座椅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材质：真皮材质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升级高度：120MM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驱动方式：伺服电动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功率：2.25KW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尺寸：1130（长）×800（宽）×1100 （高）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功能：前后俯仰、左右倾斜、上下升降、失重突降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特效：电动震背、电动震臀、电动扫腿</w:t>
            </w:r>
          </w:p>
        </w:tc>
        <w:tc>
          <w:tcPr>
            <w:tcW w:w="42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37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w:t>
            </w:r>
          </w:p>
        </w:tc>
      </w:tr>
      <w:tr>
        <w:tblPrEx>
          <w:tblCellMar>
            <w:top w:w="0" w:type="dxa"/>
            <w:left w:w="0" w:type="dxa"/>
            <w:bottom w:w="0" w:type="dxa"/>
            <w:right w:w="0" w:type="dxa"/>
          </w:tblCellMar>
        </w:tblPrEx>
        <w:trPr>
          <w:trHeight w:val="305" w:hRule="atLeast"/>
        </w:trPr>
        <w:tc>
          <w:tcPr>
            <w:tcW w:w="8940" w:type="dxa"/>
            <w:gridSpan w:val="7"/>
            <w:tcBorders>
              <w:top w:val="single" w:color="auto"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射杀倭寇--体感互动</w:t>
            </w:r>
          </w:p>
        </w:tc>
      </w:tr>
      <w:tr>
        <w:tblPrEx>
          <w:tblCellMar>
            <w:top w:w="0" w:type="dxa"/>
            <w:left w:w="0" w:type="dxa"/>
            <w:bottom w:w="0" w:type="dxa"/>
            <w:right w:w="0" w:type="dxa"/>
          </w:tblCellMar>
        </w:tblPrEx>
        <w:trPr>
          <w:trHeight w:val="1329" w:hRule="atLeast"/>
        </w:trPr>
        <w:tc>
          <w:tcPr>
            <w:tcW w:w="2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投影机</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明基、索尼、NEC</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索尼CH373</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显示技术 DLP TM 技术/ 0.65” 1080p DMD芯片;分辨率 1920 x 1080 (对应1080i/p无失真);输出亮度(高亮模式)/对比度 3500 ANSI 流明:5000 / 22000 :1</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362" w:hRule="atLeast"/>
        </w:trPr>
        <w:tc>
          <w:tcPr>
            <w:tcW w:w="2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投影支架</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投影机支架</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投影机支架</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定制投影机支架</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711" w:hRule="atLeast"/>
        </w:trPr>
        <w:tc>
          <w:tcPr>
            <w:tcW w:w="2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音响</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Edifier、ITC、漫步者</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R2000DB </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低音单元：11cm锥形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高音单元：2.5cm半球形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输入功率(最大/一般)：110W/60W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频率响应：60 Hz-28 kHz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阻抗：6 ohms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敏感度：85 dB/2.83 V/m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尺寸(宽＊高＊深)：165 x 255 x 183 毫米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重量：3.4 千克</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547" w:hRule="atLeast"/>
        </w:trPr>
        <w:tc>
          <w:tcPr>
            <w:tcW w:w="2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电脑</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戴尔、联想、惠普</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戴尔OptiPlex7070MT i7</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1、4U工控:Intel 酷睿i7 6950X/4G DDR；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2、128G SSD固态硬盘；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3、显卡：独立显卡，GTX1080及以上；</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4、电源：600W；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5、HDMi、DVI输出；</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897" w:hRule="atLeast"/>
        </w:trPr>
        <w:tc>
          <w:tcPr>
            <w:tcW w:w="2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KINECT</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KINECT2.0</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KINECT2.0</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1、KINECT2.0设备一套；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2、SDK独立开发包一套；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3、配套线材及电源等一套；</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110" w:hRule="atLeast"/>
        </w:trPr>
        <w:tc>
          <w:tcPr>
            <w:tcW w:w="2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投影面造型</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1、L型弧面造型；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2、尺寸：8.5M*3.0M*3.5M；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2、主题结构：轻钢龙骨结合钢结构；</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3、表面：石膏板结合泥子三遍，表面喷漆三遍，弧形面一致；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3、配套线材及电源等一套；</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项</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836" w:hRule="atLeast"/>
        </w:trPr>
        <w:tc>
          <w:tcPr>
            <w:tcW w:w="2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投影区</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1、投影金属油漆；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2、亚光金属漆，15度灰；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2、漆膜硬度 ≥3h GB/T6739-1996 附着力（划圈法bai） 1级 GB1720-79（89） 耐冲击强度 50cm GB/T1732-93 柔韧du性 1mm GB/T1731-93 涂膜耐冻融性 20次不起泡、zhi不脱落、无裂纹 GB9154-88 耐水性（常温） 200小时，漆膜不起泡、不脱落 GB/T1733-93 使用温度 -40°C--140°C可正常使用 GB1735-79 耐人工老化性 5000小时无粉化、无脱落、无龟裂 GB1865-80（89）</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项</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669" w:hRule="atLeast"/>
        </w:trPr>
        <w:tc>
          <w:tcPr>
            <w:tcW w:w="2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脚本策划</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多人射杀倭寇是一款Kinect2.0体感互动游戏，支持多人一起游戏，游戏开始后玩家站在指定区域后，Kinect设备会自动识别区域内玩家，并在屏幕处出现手持弓箭的虚拟人物和生成发起进攻的倭寇角色，此时玩家按提示做出拉弓射箭的动作后，场景中的人物会做出相应动作，通过玩家协作，射杀倭寇，阻击进攻，基于该要求进行游戏内容策划等；</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910" w:hRule="atLeast"/>
        </w:trPr>
        <w:tc>
          <w:tcPr>
            <w:tcW w:w="2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场景、模型</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内容：体验游戏中的场景模型和道具，要求:所有角色模型最好站立在原点。没有特定要求下，必须以物体对象中心为轴心。面数的控制。移动设备每个网格模型控制在300-1500个多边形将会达到比较好的效果。 如果游戏中任意时刻内屏幕上出现了大量的角色，那么就应该降低每个角色的面数。整理模型文件，仔细检查模型文件，尽量做到最大优化，看不到的地方不需要的面要删除，合并断开的顶点，移除孤立的顶点，注意模型的命名规范。模型给绑定之前必须做一次重置变换。可以复制的物体尽量复制。</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4898" w:hRule="atLeast"/>
        </w:trPr>
        <w:tc>
          <w:tcPr>
            <w:tcW w:w="2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场景贴图、烘培</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高品质及细节贴图绘制：1、使用的3dsMax中不是所有材质都被软件所支持，只有standard(标准材质)和Multi/Sub-Objiect(多维/子物体材质)被软件所支持。注：Multi/Sub-Objiect(多维/子物体材质)要注意里面的子材质必须为standard(标准材质)才能被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支持Bitmap贴图类型，其它所有贴图类型均不支持。只支持DiffuseColor（漫反射）同self-Illumination(自发光，用来导出lightmap)贴图通道。Self-Illumination（不透明）贴图通道在烘焙lightmap后，需要将此贴图通道channel设置为烘焙后的新channel，同时将生成的lightmap指向到self-Illumination。</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3、贴图文件格式和尺寸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原始贴图 png，尺寸最大别超过2048，贴图文件尺寸须为2的N次方 （8、16、32、64、128、256、512、1024）最大贴图尺寸不能超过1024x1024，特殊情况下尺寸可在这些范围内做调整。</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497" w:hRule="atLeast"/>
        </w:trPr>
        <w:tc>
          <w:tcPr>
            <w:tcW w:w="2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角色模型</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内容：不同精度模型制作和优化：高模转低模，不少于20人角色，要求：模型绑定及动画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1、骨骼必须为CAT、BIP三类，unity不认虚拟体动画，单个物体骨骼数量不超过60个。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 动画帧率、帧数的控制，一般情况下为每秒10帧。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3、导出动画，分开2个文件，导出没有动作的模型、骨骼，模型需要带有蒙皮信息。之后调节好做动画后导出的就是只有骨骼的fbx文件。</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3396" w:hRule="atLeast"/>
        </w:trPr>
        <w:tc>
          <w:tcPr>
            <w:tcW w:w="2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U3D场景制作</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内容：三维虚拟场景搭建与生成，按照剧情剧本构建场景，要求：Mesh优化</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1动态模型：面片数材质数&lt;3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2骨骼数&lt;50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3静态模型:定点数&lt;500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4长时间音乐(背景音乐)压缩格式mp3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5短时间音乐(音效)非压缩格式wav(例如战斗音效，如果压缩，攻击一次就需要压缩一次)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6贴图长宽&lt;1025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Shader优化</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1减少复杂数学运算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2减少discard操作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3一贴图优化：</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4二模型优化：</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5减少顶点数量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减少冗余资源和重复资源：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1.Resources目录下不管资源是否被使用都会被打包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2.不同目录下的相同资源文件，如果被引用，那么都会打包进资源包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3.保证同一个资源文件在项目中只存放在一个目录位置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渲染优化</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LOD层级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让模型在视野的不同范围内显示不同精度的模型，距离越远模型越粗糙，渲染越简单。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在属性面板添加LOD Group组件，设置摄像机视野显示的模型。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在摄像机视野范围内的渲染显示，不在范围内的不渲染显示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2.在static里面选中OcclusionCulling Static属性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把环境的光照效果提前计算好，生成一张光照贴图，这样以后就不需要再去实时渲染环境的光照效果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1.选择环境，再static里面选择lightmap Static</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2.在window-Lightting-setting设置烘焙</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3.在资源文件夹中会生成光照贴图信息，彩色的一个属性图标</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798" w:hRule="atLeast"/>
        </w:trPr>
        <w:tc>
          <w:tcPr>
            <w:tcW w:w="2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KINECT体感互动</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通过识别肢体动作与数字展示内容结合并交互：可同时支持3人： 运用Kinect2.0 for Windows SDK。Kinect2.0 的 SDK 中的接口可以获取 Kinect2.0 采集的图像信息流数据，并进行应用开发，同时捕捉人体骨骼提取和语音识别等功能。</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3683" w:hRule="atLeast"/>
        </w:trPr>
        <w:tc>
          <w:tcPr>
            <w:tcW w:w="2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互动程序设计</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射杀倭寇是一款unity3d引擎开发的Kinect多人体感互动射击游戏，MAYA，3D.MAX建模，通过Render To Textures贴图烘焙技术把光照信息渲染成贴图而后把烘焙后的贴图贴回到场景中，人物动画绑定，MAYA导入人物模型，进行骨骼绑定，动画师按要求调相关动作（如站立、拉弓、射箭等）Kinect studiov2.0中进行自定义动作设定，将设定好的动作文件导入unity3d引擎，visual studio中通过脚本添加动作，绑定动作，判断动作，解绑动作，将脚本绑定到场景中的对象上,完成游戏互动操作功能；</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91" w:hRule="atLeast"/>
        </w:trPr>
        <w:tc>
          <w:tcPr>
            <w:tcW w:w="8940" w:type="dxa"/>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红色朗读区</w:t>
            </w:r>
          </w:p>
        </w:tc>
      </w:tr>
      <w:tr>
        <w:tblPrEx>
          <w:tblCellMar>
            <w:top w:w="0" w:type="dxa"/>
            <w:left w:w="0" w:type="dxa"/>
            <w:bottom w:w="0" w:type="dxa"/>
            <w:right w:w="0" w:type="dxa"/>
          </w:tblCellMar>
        </w:tblPrEx>
        <w:trPr>
          <w:trHeight w:val="2957"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高清摄像机</w:t>
            </w:r>
          </w:p>
        </w:tc>
        <w:tc>
          <w:tcPr>
            <w:tcW w:w="1057"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索尼、海康威视、大华</w:t>
            </w:r>
          </w:p>
        </w:tc>
        <w:tc>
          <w:tcPr>
            <w:tcW w:w="120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PXW-Z190/Z190V</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基本性能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产品类型 高清摄像机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传感器类型 3CMOS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传感器尺寸 1/3英寸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镜头参数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光学变焦 25倍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拍摄性能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摄像性能 4K+HD，4K+HD 代理纠错</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对焦方式 面部检测自动对焦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存储性能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存储介质 双SD卡槽</w:t>
            </w:r>
          </w:p>
        </w:tc>
        <w:tc>
          <w:tcPr>
            <w:tcW w:w="427"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673"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1058"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IP端口操控台</w:t>
            </w:r>
          </w:p>
        </w:tc>
        <w:tc>
          <w:tcPr>
            <w:tcW w:w="1057"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RETON、海康威视、大华</w:t>
            </w:r>
          </w:p>
        </w:tc>
        <w:tc>
          <w:tcPr>
            <w:tcW w:w="120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KVM-1908IP</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4个摄像机快捷键，可控制200+摄像机、100+记忆功能，POE供电或直流电源PT-JOY</w:t>
            </w:r>
          </w:p>
        </w:tc>
        <w:tc>
          <w:tcPr>
            <w:tcW w:w="427"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56"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058"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墙壁式</w:t>
            </w:r>
          </w:p>
        </w:tc>
        <w:tc>
          <w:tcPr>
            <w:tcW w:w="1057"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摄像机墙壁架及配件HCM-1</w:t>
            </w:r>
          </w:p>
        </w:tc>
        <w:tc>
          <w:tcPr>
            <w:tcW w:w="427"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455"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1058"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交换机</w:t>
            </w:r>
          </w:p>
        </w:tc>
        <w:tc>
          <w:tcPr>
            <w:tcW w:w="1057"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TP-LINK、H3C、华为</w:t>
            </w:r>
          </w:p>
        </w:tc>
        <w:tc>
          <w:tcPr>
            <w:tcW w:w="120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TP-LINK-SG1005P</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5口千兆PoE交换机 4口PoE非网管TL-SG1005P</w:t>
            </w:r>
          </w:p>
        </w:tc>
        <w:tc>
          <w:tcPr>
            <w:tcW w:w="427"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378"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892"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1058"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阿莱款菲涅尔螺纹聚光灯</w:t>
            </w:r>
          </w:p>
        </w:tc>
        <w:tc>
          <w:tcPr>
            <w:tcW w:w="1057" w:type="dxa"/>
            <w:tcBorders>
              <w:top w:val="single" w:color="000000" w:sz="4" w:space="0"/>
              <w:left w:val="single" w:color="000000" w:sz="4" w:space="0"/>
              <w:bottom w:val="single" w:color="000000" w:sz="4" w:space="0"/>
              <w:right w:val="nil"/>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BMD、耀诺、红富</w:t>
            </w:r>
          </w:p>
        </w:tc>
        <w:tc>
          <w:tcPr>
            <w:tcW w:w="1200" w:type="dxa"/>
            <w:tcBorders>
              <w:top w:val="single" w:color="000000" w:sz="4" w:space="0"/>
              <w:left w:val="single" w:color="000000" w:sz="4" w:space="0"/>
              <w:bottom w:val="single" w:color="000000" w:sz="4" w:space="0"/>
              <w:right w:val="nil"/>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BMD-DTW</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top"/>
          </w:tcPr>
          <w:p>
            <w:pPr>
              <w:widowControl/>
              <w:jc w:val="left"/>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进口电子元件、功率1000W/220V  中心照度5米：≥4400Lx、色温3200K， 材质：钢板DTW-1000W</w:t>
            </w:r>
          </w:p>
        </w:tc>
        <w:tc>
          <w:tcPr>
            <w:tcW w:w="427" w:type="dxa"/>
            <w:tcBorders>
              <w:top w:val="single" w:color="000000" w:sz="4" w:space="0"/>
              <w:left w:val="single" w:color="000000" w:sz="4" w:space="0"/>
              <w:bottom w:val="single" w:color="000000" w:sz="4" w:space="0"/>
              <w:right w:val="nil"/>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725"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1058"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三基色灯管</w:t>
            </w:r>
          </w:p>
        </w:tc>
        <w:tc>
          <w:tcPr>
            <w:tcW w:w="1057" w:type="dxa"/>
            <w:tcBorders>
              <w:top w:val="single" w:color="000000" w:sz="4" w:space="0"/>
              <w:left w:val="single" w:color="000000" w:sz="4" w:space="0"/>
              <w:bottom w:val="single" w:color="000000" w:sz="4" w:space="0"/>
              <w:right w:val="nil"/>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OSRAM、耀诺、红富</w:t>
            </w:r>
          </w:p>
        </w:tc>
        <w:tc>
          <w:tcPr>
            <w:tcW w:w="1200" w:type="dxa"/>
            <w:tcBorders>
              <w:top w:val="single" w:color="000000" w:sz="4" w:space="0"/>
              <w:left w:val="single" w:color="000000" w:sz="4" w:space="0"/>
              <w:bottom w:val="single" w:color="000000" w:sz="4" w:space="0"/>
              <w:right w:val="nil"/>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OSRAM</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top"/>
          </w:tcPr>
          <w:p>
            <w:pPr>
              <w:widowControl/>
              <w:jc w:val="left"/>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36W 930冷光灯管，选用国外知名品牌，使用寿命≥8000h，显色性≥90，色温3200K±100K。36W/930</w:t>
            </w:r>
          </w:p>
        </w:tc>
        <w:tc>
          <w:tcPr>
            <w:tcW w:w="427" w:type="dxa"/>
            <w:tcBorders>
              <w:top w:val="single" w:color="000000" w:sz="4" w:space="0"/>
              <w:left w:val="single" w:color="000000" w:sz="4" w:space="0"/>
              <w:bottom w:val="single" w:color="000000" w:sz="4" w:space="0"/>
              <w:right w:val="nil"/>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w:t>
            </w:r>
          </w:p>
        </w:tc>
      </w:tr>
      <w:tr>
        <w:tblPrEx>
          <w:tblCellMar>
            <w:top w:w="0" w:type="dxa"/>
            <w:left w:w="0" w:type="dxa"/>
            <w:bottom w:w="0" w:type="dxa"/>
            <w:right w:w="0" w:type="dxa"/>
          </w:tblCellMar>
        </w:tblPrEx>
        <w:trPr>
          <w:trHeight w:val="1615"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恒定色温三基色柔光灯</w:t>
            </w:r>
          </w:p>
        </w:tc>
        <w:tc>
          <w:tcPr>
            <w:tcW w:w="1057" w:type="dxa"/>
            <w:tcBorders>
              <w:top w:val="single" w:color="000000" w:sz="4" w:space="0"/>
              <w:left w:val="single" w:color="000000" w:sz="4" w:space="0"/>
              <w:bottom w:val="single" w:color="000000" w:sz="4" w:space="0"/>
              <w:right w:val="nil"/>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BMD、耀诺、红富</w:t>
            </w:r>
          </w:p>
        </w:tc>
        <w:tc>
          <w:tcPr>
            <w:tcW w:w="1200" w:type="dxa"/>
            <w:tcBorders>
              <w:top w:val="single" w:color="000000" w:sz="4" w:space="0"/>
              <w:left w:val="single" w:color="000000" w:sz="4" w:space="0"/>
              <w:bottom w:val="single" w:color="000000" w:sz="4" w:space="0"/>
              <w:right w:val="nil"/>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BMD-DSR</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top"/>
          </w:tcPr>
          <w:p>
            <w:pPr>
              <w:widowControl/>
              <w:jc w:val="left"/>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 xml:space="preserve">流明：5000   Lux ：（1.5米）  4050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有效光照距离：6米 色温：3200 显色指数：Ra≥85      输入电压： 100-250V  AC  50/60Hz额定功率：216W  尺寸：600mm*600mm*180mm  重量： 4.6kg 外壳： 铝型材 颜色：黑色DSR-6×36W </w:t>
            </w:r>
          </w:p>
        </w:tc>
        <w:tc>
          <w:tcPr>
            <w:tcW w:w="427" w:type="dxa"/>
            <w:tcBorders>
              <w:top w:val="single" w:color="000000" w:sz="4" w:space="0"/>
              <w:left w:val="single" w:color="000000" w:sz="4" w:space="0"/>
              <w:bottom w:val="single" w:color="000000" w:sz="4" w:space="0"/>
              <w:right w:val="nil"/>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r>
      <w:tr>
        <w:tblPrEx>
          <w:tblCellMar>
            <w:top w:w="0" w:type="dxa"/>
            <w:left w:w="0" w:type="dxa"/>
            <w:bottom w:w="0" w:type="dxa"/>
            <w:right w:w="0" w:type="dxa"/>
          </w:tblCellMar>
        </w:tblPrEx>
        <w:trPr>
          <w:trHeight w:val="9405"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桌面型虚拟演播室服务器</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 3迅道桌面型高清虚拟演播室服务器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软件输出格式支持标清、高清、720P等主流格式，支持逐行25P、50P或者隔行50I格式，颜色格式支持YUV422和RGB32画质。软件可以高标清混合输入输出。软件支持显卡扩展输出大屏分割信号进行预监。可以实现360度全景图片或者全景视频作为背景场景，并可以控制虚拟机位移动、调焦等跟随效果，从而实现虚实互动效果。支持场景列表播放，可以实现任意大小场景预装载，场景之间可做快速特技切换、无抖动；可边播边载入场景。实现全景抠像模式下调焦功能从而实现主持人大小、位置摆放等。内置软件色键器，可同时分别对摄像机信号和本地视频等信号进行抠像处理，每路信号可独立设置色键参数。抠像效果人物边缘无黑边、无蓝（绿）边、无闪烁、无锯齿；人物运动或摆手时无蓝（绿）边、无拖尾。可实现一键快速抠像，通过一键抠像可将水瓶、发丝等物体从背景中分离出来，被抠像物体边缘连续完整、无杂色。具有多次取色抠像、边缘处理和抑色等功能。支持流媒体直播，支持RTMP等协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硬件配置：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CPU: </w:t>
            </w:r>
            <w:r>
              <w:rPr>
                <w:rStyle w:val="214"/>
                <w:rFonts w:hint="default"/>
                <w:sz w:val="21"/>
                <w:szCs w:val="21"/>
                <w:lang w:bidi="ar"/>
              </w:rPr>
              <w:t>英特尔@酷睿@I7 多核高速处理器</w:t>
            </w:r>
            <w:r>
              <w:rPr>
                <w:rStyle w:val="161"/>
                <w:rFonts w:hint="default"/>
                <w:sz w:val="21"/>
                <w:szCs w:val="21"/>
                <w:lang w:bidi="ar"/>
              </w:rPr>
              <w:br w:type="textWrapping"/>
            </w:r>
            <w:r>
              <w:rPr>
                <w:rStyle w:val="161"/>
                <w:rFonts w:hint="default"/>
                <w:sz w:val="21"/>
                <w:szCs w:val="21"/>
                <w:lang w:bidi="ar"/>
              </w:rPr>
              <w:t>系统硬盘：128GB SATA3 固态硬盘</w:t>
            </w:r>
            <w:r>
              <w:rPr>
                <w:rStyle w:val="161"/>
                <w:rFonts w:hint="default"/>
                <w:sz w:val="21"/>
                <w:szCs w:val="21"/>
                <w:lang w:bidi="ar"/>
              </w:rPr>
              <w:br w:type="textWrapping"/>
            </w:r>
            <w:r>
              <w:rPr>
                <w:rStyle w:val="161"/>
                <w:rFonts w:hint="default"/>
                <w:sz w:val="21"/>
                <w:szCs w:val="21"/>
                <w:lang w:bidi="ar"/>
              </w:rPr>
              <w:t>数据盘：2TB企业级硬盘</w:t>
            </w:r>
            <w:r>
              <w:rPr>
                <w:rStyle w:val="161"/>
                <w:rFonts w:hint="default"/>
                <w:sz w:val="21"/>
                <w:szCs w:val="21"/>
                <w:lang w:bidi="ar"/>
              </w:rPr>
              <w:br w:type="textWrapping"/>
            </w:r>
            <w:r>
              <w:rPr>
                <w:rStyle w:val="161"/>
                <w:rFonts w:hint="default"/>
                <w:sz w:val="21"/>
                <w:szCs w:val="21"/>
                <w:lang w:bidi="ar"/>
              </w:rPr>
              <w:t>内存：16GB DDR4</w:t>
            </w:r>
            <w:r>
              <w:rPr>
                <w:rStyle w:val="161"/>
                <w:rFonts w:hint="default"/>
                <w:sz w:val="21"/>
                <w:szCs w:val="21"/>
                <w:lang w:bidi="ar"/>
              </w:rPr>
              <w:br w:type="textWrapping"/>
            </w:r>
            <w:r>
              <w:rPr>
                <w:rStyle w:val="161"/>
                <w:rFonts w:hint="default"/>
                <w:sz w:val="21"/>
                <w:szCs w:val="21"/>
                <w:lang w:bidi="ar"/>
              </w:rPr>
              <w:t>显卡：GeForce GTX1070（8G）</w:t>
            </w:r>
            <w:r>
              <w:rPr>
                <w:rStyle w:val="161"/>
                <w:rFonts w:hint="default"/>
                <w:sz w:val="21"/>
                <w:szCs w:val="21"/>
                <w:lang w:bidi="ar"/>
              </w:rPr>
              <w:br w:type="textWrapping"/>
            </w:r>
            <w:r>
              <w:rPr>
                <w:rStyle w:val="161"/>
                <w:rFonts w:hint="default"/>
                <w:sz w:val="21"/>
                <w:szCs w:val="21"/>
                <w:lang w:bidi="ar"/>
              </w:rPr>
              <w:t>内置同步锁相接口，支持外同步和内同步。</w:t>
            </w:r>
            <w:r>
              <w:rPr>
                <w:rStyle w:val="161"/>
                <w:rFonts w:hint="default"/>
                <w:sz w:val="21"/>
                <w:szCs w:val="21"/>
                <w:lang w:bidi="ar"/>
              </w:rPr>
              <w:br w:type="textWrapping"/>
            </w:r>
            <w:r>
              <w:rPr>
                <w:rStyle w:val="161"/>
                <w:rFonts w:hint="default"/>
                <w:sz w:val="21"/>
                <w:szCs w:val="21"/>
                <w:lang w:bidi="ar"/>
              </w:rPr>
              <w:t>具有4路3G/HD/SD SDI输入或者HDMI视频输入接口,至少一路3G/HD/SD SDI或者HDMI板卡输出。</w:t>
            </w:r>
            <w:r>
              <w:rPr>
                <w:rStyle w:val="161"/>
                <w:rFonts w:hint="default"/>
                <w:sz w:val="21"/>
                <w:szCs w:val="21"/>
                <w:lang w:bidi="ar"/>
              </w:rPr>
              <w:br w:type="textWrapping"/>
            </w:r>
            <w:r>
              <w:rPr>
                <w:rStyle w:val="161"/>
                <w:rFonts w:hint="default"/>
                <w:sz w:val="21"/>
                <w:szCs w:val="21"/>
                <w:lang w:bidi="ar"/>
              </w:rPr>
              <w:t>具有多路显卡HDMI视频扩展输出。</w:t>
            </w:r>
            <w:r>
              <w:rPr>
                <w:rStyle w:val="161"/>
                <w:rFonts w:hint="default"/>
                <w:sz w:val="21"/>
                <w:szCs w:val="21"/>
                <w:lang w:bidi="ar"/>
              </w:rPr>
              <w:br w:type="textWrapping"/>
            </w:r>
            <w:r>
              <w:rPr>
                <w:rStyle w:val="161"/>
                <w:rFonts w:hint="default"/>
                <w:sz w:val="21"/>
                <w:szCs w:val="21"/>
                <w:lang w:bidi="ar"/>
              </w:rPr>
              <w:t>具有8路XLR模拟或者数字音频输入接口， 2路主板模拟音频输入以及2路模拟或数字音频输出接口和2路加嵌HDMI音频输出接口。</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138"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24寸液晶显示器</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三星、海康威视、大华</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三星24E650PL</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颜色：黑色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型号：S24E650PL</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认证型号：S24E650PL</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显示亮度：250cd/m2，点距：0.2715mm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色数：16.7M，规格产品尺寸（mm）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554.6 × 487.3 × 224.0 mm（MAX）（含底座）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壁挂规格：100x100mm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VGA：1个，音频/耳机输出：1个，HDMI：1个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USB扩展/充电：2个，DP：1个</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9388"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视频分配盒</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Mini、迈拓MT、ITAV</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Mini Converter SDI Distribution</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将单个SD或HD-SDI连接同时分配到多达8路不同的SDI输出Blackmagic：DI视频输入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1路SDI视频输入，可在SD、HD和3G</w:t>
            </w:r>
            <w:r>
              <w:rPr>
                <w:rFonts w:hint="eastAsia" w:ascii="宋体" w:hAnsi="宋体" w:cs="宋体"/>
                <w:color w:val="000000"/>
                <w:kern w:val="0"/>
                <w:sz w:val="21"/>
                <w:szCs w:val="21"/>
                <w:lang w:bidi="ar"/>
              </w:rPr>
              <w:noBreakHyphen/>
            </w:r>
            <w:r>
              <w:rPr>
                <w:rFonts w:hint="eastAsia" w:ascii="宋体" w:hAnsi="宋体" w:cs="宋体"/>
                <w:color w:val="000000"/>
                <w:kern w:val="0"/>
                <w:sz w:val="21"/>
                <w:szCs w:val="21"/>
                <w:lang w:bidi="ar"/>
              </w:rPr>
              <w:t>SDI之间切换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SDI视频输出8路输出，可自动和SDI视频输入匹配、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多速率支持自动检测SD、HD或3G</w:t>
            </w:r>
            <w:r>
              <w:rPr>
                <w:rFonts w:hint="eastAsia" w:ascii="宋体" w:hAnsi="宋体" w:cs="宋体"/>
                <w:color w:val="000000"/>
                <w:kern w:val="0"/>
                <w:sz w:val="21"/>
                <w:szCs w:val="21"/>
                <w:lang w:bidi="ar"/>
              </w:rPr>
              <w:noBreakHyphen/>
            </w:r>
            <w:r>
              <w:rPr>
                <w:rFonts w:hint="eastAsia" w:ascii="宋体" w:hAnsi="宋体" w:cs="宋体"/>
                <w:color w:val="000000"/>
                <w:kern w:val="0"/>
                <w:sz w:val="21"/>
                <w:szCs w:val="21"/>
                <w:lang w:bidi="ar"/>
              </w:rPr>
              <w:t>SDI。时钟恢复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支持格式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HD视频格式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720p50、720p59.94、720p60、1080i50、1080i59.94、1080i60、1080p23.98、1080PsF23.98、1080p24、1080PsF24、1080p25、1080PsF25、1080p29.97、1080PsF29.97、1080p30、1080PsF30、1080p50、1080p59.94、1080p60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ASI支持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SD视频格式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525i59.94 NTSC、625i50 PAL</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SDI视频数据速率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SDI视频连接可在SD、HD和DCI 2K之间切换。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SDI视频采样</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4:2:2和4:4:4</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SDI音频采样</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电视标准采样率48kHz，24bit。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SDI色彩精度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4:2:2和4:4:4</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SDI色彩空间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YUV和RGB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2K视频格式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2K DCI 23.98p、2K DCI 24p、2K DCI 25p、2K DCI 23.98PsF、2K DCI 24PsF、2K DCI 25PsF</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SDI规范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SMPTE 259M、SMPTE 292M、SMPTE 296M、SMPTE 372M、SMPTE 424M</w:t>
            </w:r>
            <w:r>
              <w:rPr>
                <w:rFonts w:hint="eastAsia" w:ascii="宋体" w:hAnsi="宋体" w:cs="宋体"/>
                <w:color w:val="000000"/>
                <w:kern w:val="0"/>
                <w:sz w:val="21"/>
                <w:szCs w:val="21"/>
                <w:lang w:bidi="ar"/>
              </w:rPr>
              <w:noBreakHyphen/>
            </w:r>
            <w:r>
              <w:rPr>
                <w:rFonts w:hint="eastAsia" w:ascii="宋体" w:hAnsi="宋体" w:cs="宋体"/>
                <w:color w:val="000000"/>
                <w:kern w:val="0"/>
                <w:sz w:val="21"/>
                <w:szCs w:val="21"/>
                <w:lang w:bidi="ar"/>
              </w:rPr>
              <w:t>B和SMPTE 425M</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个</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329"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液晶大屏（用于主持人）</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索尼、三星、大华</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 KDL-42</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屏幕尺寸：42’、屏幕分辨率：1920x1080、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屏幕比例 16:9、背光源：侧光式LED、扫描方式：逐行扫描、支持格式（高清） 1080p；包含壁挂支架；</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911"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播音话筒</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HYPUS、TAKSTAR、KFW</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CM-685</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单指向、16mm直径镀金Mylar膜片纯电容音质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低失真、低噪声、宽频响、宽动态、音质清晰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精工设计制作，精致小巧、高雅大方，适用于新闻广播、高品质会谈及会议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主要技术指标：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频率范围：20—20000 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灵敏度：-30dB(20mV/Pa)</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指向性：超心型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拾音角度：120°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最大声压级：138dB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阻抗：150Ω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工作电压：DC48V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信噪比：≥78dB</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3978"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显示器</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AOC 、三星、大华</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AOC I2490</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屏幕尺寸 23.8英寸、最佳分辨率 2560x1440、屏幕比例 16:9（宽屏）、高清标准 2K、面板类型 AH-IPS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背光类型 LED背光、动态对比度 5000万:1、响应时间 5ms、显示参数点距 0.20535mm、亮度 300cd/㎡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可视面积 525.696×295.704mm、可视角度 178/178°、显示颜色 16.7M、色域 sRGB：100％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扫描频率 水平：30-99KHz、垂直：50-76Hz、刷新率 60Hz、接口参数视频接口 D-Sub（VGA），DVI-D，HDMI（MHL），Displayport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其它接口 音频输入，音频输出、外观规格、机身颜色 黑色+银色、外观设计 窄画面黑边，2mm窄边框，时尚高贵外观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产品尺寸 542.7×420.8×164mm（包含底座）、627×511×165mm（包装）、产品重量 5.14kg（净重）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6.88kg（毛重）、底座功能 倾斜：-5-23°、壁挂 支持（100×100mm）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其它参数、电源性能 100-240V交流，50-60Hz、电源功率 典型:37W、待机:＜0.5W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节能标准 二级、音箱 内置音箱（2×3W）、HDCP 支持HDCP、安规认证 CCC，FCC，CE，CH RoHS，CEL，Win 10，cTUVus</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802"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绿箱</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蓝美视讯、点构、思迅</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蓝美视讯</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1.采用美国进口工业200号标准视频虚拟抠像漆：适合各电视台为人物及物体作抠像时的背景之用，采用拖地式全身抠像。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抠除效果干净，杜绝了因蓝色不正而导致的不易抠像或抠像后人物毛边的现象发生。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2.可移动式虚拟蓝箱，采用木制和塑钢两种，ABS工程塑钢材质重量轻，强度高、耐磨损、不变形；一次模压成型，一致性好，配合性好，平整性好，组合拼装接缝小，无死角、无阴影。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3.采用平板、弧板、球面板就可以组成不同规格不同面积的虚拟蓝箱，蓝箱的支架采用数控加工钢板支架、组装灵活、运输方便、安装简单。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4.可拆卸，可移换工作场所，也可以根据需要增减蓝箱面积大小，重复利用率高。</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平方</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w:t>
            </w:r>
          </w:p>
        </w:tc>
      </w:tr>
      <w:tr>
        <w:tblPrEx>
          <w:tblCellMar>
            <w:top w:w="0" w:type="dxa"/>
            <w:left w:w="0" w:type="dxa"/>
            <w:bottom w:w="0" w:type="dxa"/>
            <w:right w:w="0" w:type="dxa"/>
          </w:tblCellMar>
        </w:tblPrEx>
        <w:trPr>
          <w:trHeight w:val="3294"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影视绿色抠像漆</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蓝美视讯、点构、思迅</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蓝美视讯</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专业蓝色影视抠像漆：覆盖率:约300平方英尺/加仑( 27平方米加仑)考虑到所使用的亮颜料的性质特点建议施加两层Digicomp HD涂层以实现均匀覆盖。</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干燥时间: 30分钟至1小时,取决于温度和湿度。 待第1层涂层完全干燥后再涂第二层。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清洗:使用温和肥皂和清水彻底清洗工具。使用后将容器关严。</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平方</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r>
      <w:tr>
        <w:tblPrEx>
          <w:tblCellMar>
            <w:top w:w="0" w:type="dxa"/>
            <w:left w:w="0" w:type="dxa"/>
            <w:bottom w:w="0" w:type="dxa"/>
            <w:right w:w="0" w:type="dxa"/>
          </w:tblCellMar>
        </w:tblPrEx>
        <w:trPr>
          <w:trHeight w:val="2640"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绿色抠像地胶</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蓝美视讯、点构、思迅</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蓝美视讯</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保护蓝箱地面不被踩踏磨损：影视抠像地胶详细参数：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颜色：蓝色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材质：PVC</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重量：根据尺寸面积以实际重量为准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长度：一卷40米长</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宽度：1.6米宽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厚度：3.5mm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特点：抠像干净 无毛边 容易清洗 有效的延长了蓝箱绿箱的使用寿命</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平方</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w:t>
            </w:r>
          </w:p>
        </w:tc>
      </w:tr>
      <w:tr>
        <w:tblPrEx>
          <w:tblCellMar>
            <w:top w:w="0" w:type="dxa"/>
            <w:left w:w="0" w:type="dxa"/>
            <w:bottom w:w="0" w:type="dxa"/>
            <w:right w:w="0" w:type="dxa"/>
          </w:tblCellMar>
        </w:tblPrEx>
        <w:trPr>
          <w:trHeight w:val="2203"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专业线材</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LANDERS、秋叶原、大华</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LANDERS</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专业HDMI高清视频线及三类线（CAT3）：在ANSI和EIA/TIA568标准中指定的电缆，该电缆的传输频率16MHz，最高传输速率为10Mbps（10Mbit/s），主要应用于语音、10Mbit/s以太网（10BASE-T）和4Mbit/s令牌环，最大网段长度为100m，采用RJ形式的连接器；</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640" w:hRule="atLeast"/>
        </w:trPr>
        <w:tc>
          <w:tcPr>
            <w:tcW w:w="27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背景动态内容</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1、分辨率：4K高清；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2、采用3DSMAX或者MAYA场景建模，角色建模，道具建模，模型达到CG动画电影要求，场景材质采用ZB雕刻的方式；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3、具有动态物理学模拟，烟火，燃烧，爆炸，破碎，流体等特效；</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4、场景共3个，每个场景长度1分钟；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5、AE后期合成输出；</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r>
      <w:tr>
        <w:tblPrEx>
          <w:tblCellMar>
            <w:top w:w="0" w:type="dxa"/>
            <w:left w:w="0" w:type="dxa"/>
            <w:bottom w:w="0" w:type="dxa"/>
            <w:right w:w="0" w:type="dxa"/>
          </w:tblCellMar>
        </w:tblPrEx>
        <w:trPr>
          <w:trHeight w:val="291" w:hRule="atLeast"/>
        </w:trPr>
        <w:tc>
          <w:tcPr>
            <w:tcW w:w="8940" w:type="dxa"/>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党建知识竞答</w:t>
            </w:r>
          </w:p>
        </w:tc>
      </w:tr>
      <w:tr>
        <w:tblPrEx>
          <w:tblCellMar>
            <w:top w:w="0" w:type="dxa"/>
            <w:left w:w="0" w:type="dxa"/>
            <w:bottom w:w="0" w:type="dxa"/>
            <w:right w:w="0" w:type="dxa"/>
          </w:tblCellMar>
        </w:tblPrEx>
        <w:trPr>
          <w:trHeight w:val="2858" w:hRule="atLeast"/>
        </w:trPr>
        <w:tc>
          <w:tcPr>
            <w:tcW w:w="2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105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液晶屏</w:t>
            </w:r>
          </w:p>
        </w:tc>
        <w:tc>
          <w:tcPr>
            <w:tcW w:w="1057"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三星、海康威视、大华</w:t>
            </w:r>
          </w:p>
        </w:tc>
        <w:tc>
          <w:tcPr>
            <w:tcW w:w="1200"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 55" 拼接屏 VA 液晶模组 1920×1080 500nits WLED LVDS 51pins</w:t>
            </w:r>
          </w:p>
        </w:tc>
        <w:tc>
          <w:tcPr>
            <w:tcW w:w="454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55寸 原装工业面板,单元外观尺寸：1213mm*684mm*120mm； ，分辨率1920*1080，亮度500cd/m2，开模外壳，含内置拼接专用驱动板.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 3mm 普通钢化玻璃（可定制）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玻璃透过率 &gt;88%(更高透过率取决于玻璃的表面处理技术如AR/AG)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触摸耐久性 不限制  触摸激活力 不需要压力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输出形式 触摸坐标输出  校准 简单的 4 点校准，无漂移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响应速度 [ms] &lt;15ms</w:t>
            </w:r>
          </w:p>
        </w:tc>
        <w:tc>
          <w:tcPr>
            <w:tcW w:w="427"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37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r>
      <w:tr>
        <w:tblPrEx>
          <w:tblCellMar>
            <w:top w:w="0" w:type="dxa"/>
            <w:left w:w="0" w:type="dxa"/>
            <w:bottom w:w="0" w:type="dxa"/>
            <w:right w:w="0" w:type="dxa"/>
          </w:tblCellMar>
        </w:tblPrEx>
        <w:trPr>
          <w:trHeight w:val="892" w:hRule="atLeast"/>
        </w:trPr>
        <w:tc>
          <w:tcPr>
            <w:tcW w:w="2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105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电脑</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戴尔、联想、惠普</w:t>
            </w:r>
          </w:p>
        </w:tc>
        <w:tc>
          <w:tcPr>
            <w:tcW w:w="120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戴尔（3471）</w:t>
            </w:r>
          </w:p>
        </w:tc>
        <w:tc>
          <w:tcPr>
            <w:tcW w:w="4548" w:type="dxa"/>
            <w:tcBorders>
              <w:top w:val="nil"/>
              <w:left w:val="nil"/>
              <w:bottom w:val="nil"/>
              <w:right w:val="nil"/>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4U工控:Intel Core i5 2540M/4G DDR/128G SSD固态/GTX750 显卡/600W电源/HDMi、DVI输出</w:t>
            </w:r>
          </w:p>
        </w:tc>
        <w:tc>
          <w:tcPr>
            <w:tcW w:w="42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3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90" w:hRule="atLeast"/>
        </w:trPr>
        <w:tc>
          <w:tcPr>
            <w:tcW w:w="272" w:type="dxa"/>
            <w:tcBorders>
              <w:top w:val="nil"/>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058" w:type="dxa"/>
            <w:tcBorders>
              <w:top w:val="single" w:color="000000" w:sz="4" w:space="0"/>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党建知识竞答</w:t>
            </w:r>
          </w:p>
        </w:tc>
        <w:tc>
          <w:tcPr>
            <w:tcW w:w="1057" w:type="dxa"/>
            <w:tcBorders>
              <w:top w:val="single" w:color="000000" w:sz="4" w:space="0"/>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200" w:type="dxa"/>
            <w:tcBorders>
              <w:top w:val="single" w:color="000000" w:sz="4" w:space="0"/>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548" w:type="dxa"/>
            <w:tcBorders>
              <w:top w:val="single" w:color="000000" w:sz="4" w:space="0"/>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1、分辨率：1920*1080；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2、动态互动界面不少于120页；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3、图片不少于30张，内容不少于100道题目；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4、问答题目具有答案错误提示功能；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5、学习强国和党建内容不同类型的模式考核；</w:t>
            </w:r>
          </w:p>
        </w:tc>
        <w:tc>
          <w:tcPr>
            <w:tcW w:w="427" w:type="dxa"/>
            <w:tcBorders>
              <w:top w:val="single" w:color="000000" w:sz="4" w:space="0"/>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378" w:type="dxa"/>
            <w:tcBorders>
              <w:top w:val="single" w:color="000000" w:sz="4" w:space="0"/>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338" w:hRule="atLeast"/>
        </w:trPr>
        <w:tc>
          <w:tcPr>
            <w:tcW w:w="272"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105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触摸一体机</w:t>
            </w:r>
          </w:p>
        </w:tc>
        <w:tc>
          <w:tcPr>
            <w:tcW w:w="105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远望、品奇、摩泰</w:t>
            </w:r>
          </w:p>
        </w:tc>
        <w:tc>
          <w:tcPr>
            <w:tcW w:w="120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远望YW-D077</w:t>
            </w:r>
          </w:p>
        </w:tc>
        <w:tc>
          <w:tcPr>
            <w:tcW w:w="454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42寸 原装工业面板,单元外观尺寸：1213mm*684mm*120mm； ，分辨率1920*1080，亮度500cd/m2，开模外壳，含内置拼接专用驱动板.      触摸技术 红外线阻断检测形式，不需要表面导电镀层技术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 3mm 普通钢化玻璃（可定制）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玻璃透过率 &gt;88%(更高透过率取决于玻璃的表面处理技术如AR/AG)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触摸耐久性 不限制  触摸激活力 不需要压力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输出形式 触摸坐标输出  校准 简单的 4 点校准，无漂移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响应速度 [ms] &lt;15ms  Intel Core i5 2540M/4G DDR/128G SSD固态/GTX750 显卡/600W电源/HDMi、DVI输出</w:t>
            </w:r>
          </w:p>
        </w:tc>
        <w:tc>
          <w:tcPr>
            <w:tcW w:w="42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37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bl>
    <w:p>
      <w:pPr>
        <w:jc w:val="left"/>
        <w:rPr>
          <w:rFonts w:hint="eastAsia"/>
          <w:sz w:val="21"/>
          <w:szCs w:val="21"/>
        </w:rPr>
      </w:pPr>
    </w:p>
    <w:p>
      <w:pPr>
        <w:jc w:val="left"/>
        <w:rPr>
          <w:rFonts w:hint="eastAsia"/>
          <w:sz w:val="21"/>
          <w:szCs w:val="21"/>
        </w:rPr>
      </w:pPr>
    </w:p>
    <w:tbl>
      <w:tblPr>
        <w:tblStyle w:val="48"/>
        <w:tblW w:w="8380" w:type="dxa"/>
        <w:tblInd w:w="0" w:type="dxa"/>
        <w:tblLayout w:type="autofit"/>
        <w:tblCellMar>
          <w:top w:w="0" w:type="dxa"/>
          <w:left w:w="0" w:type="dxa"/>
          <w:bottom w:w="0" w:type="dxa"/>
          <w:right w:w="0" w:type="dxa"/>
        </w:tblCellMar>
      </w:tblPr>
      <w:tblGrid>
        <w:gridCol w:w="318"/>
        <w:gridCol w:w="911"/>
        <w:gridCol w:w="1136"/>
        <w:gridCol w:w="1136"/>
        <w:gridCol w:w="3796"/>
        <w:gridCol w:w="555"/>
        <w:gridCol w:w="528"/>
      </w:tblGrid>
      <w:tr>
        <w:tblPrEx>
          <w:tblCellMar>
            <w:top w:w="0" w:type="dxa"/>
            <w:left w:w="0" w:type="dxa"/>
            <w:bottom w:w="0" w:type="dxa"/>
            <w:right w:w="0" w:type="dxa"/>
          </w:tblCellMar>
        </w:tblPrEx>
        <w:trPr>
          <w:trHeight w:val="593" w:hRule="atLeast"/>
        </w:trPr>
        <w:tc>
          <w:tcPr>
            <w:tcW w:w="8380" w:type="dxa"/>
            <w:gridSpan w:val="7"/>
            <w:tcBorders>
              <w:top w:val="single" w:color="000000" w:sz="4" w:space="0"/>
              <w:left w:val="single" w:color="000000" w:sz="8" w:space="0"/>
              <w:bottom w:val="single" w:color="000000" w:sz="4" w:space="0"/>
              <w:right w:val="nil"/>
            </w:tcBorders>
            <w:noWrap w:val="0"/>
            <w:tcMar>
              <w:top w:w="8" w:type="dxa"/>
              <w:left w:w="8" w:type="dxa"/>
              <w:right w:w="8" w:type="dxa"/>
            </w:tcMar>
            <w:vAlign w:val="center"/>
          </w:tcPr>
          <w:p>
            <w:pPr>
              <w:widowControl/>
              <w:jc w:val="center"/>
              <w:textAlignment w:val="center"/>
              <w:rPr>
                <w:rFonts w:ascii="方正兰亭黑简体" w:hAnsi="方正兰亭黑简体" w:eastAsia="方正兰亭黑简体" w:cs="方正兰亭黑简体"/>
                <w:b/>
                <w:color w:val="000000"/>
                <w:sz w:val="21"/>
                <w:szCs w:val="21"/>
              </w:rPr>
            </w:pPr>
            <w:r>
              <w:rPr>
                <w:rFonts w:ascii="方正兰亭黑简体" w:hAnsi="方正兰亭黑简体" w:eastAsia="方正兰亭黑简体" w:cs="方正兰亭黑简体"/>
                <w:b/>
                <w:color w:val="000000"/>
                <w:kern w:val="0"/>
                <w:sz w:val="21"/>
                <w:szCs w:val="21"/>
                <w:lang w:bidi="ar"/>
              </w:rPr>
              <w:t>四楼多媒体数字硬件软件预算清单</w:t>
            </w:r>
          </w:p>
        </w:tc>
      </w:tr>
      <w:tr>
        <w:tblPrEx>
          <w:tblCellMar>
            <w:top w:w="0" w:type="dxa"/>
            <w:left w:w="0" w:type="dxa"/>
            <w:bottom w:w="0" w:type="dxa"/>
            <w:right w:w="0" w:type="dxa"/>
          </w:tblCellMar>
        </w:tblPrEx>
        <w:trPr>
          <w:trHeight w:val="256" w:hRule="atLeast"/>
        </w:trPr>
        <w:tc>
          <w:tcPr>
            <w:tcW w:w="318" w:type="dxa"/>
            <w:tcBorders>
              <w:top w:val="single" w:color="000000" w:sz="4" w:space="0"/>
              <w:left w:val="single" w:color="000000" w:sz="4" w:space="0"/>
              <w:bottom w:val="nil"/>
              <w:right w:val="single" w:color="000000" w:sz="4" w:space="0"/>
            </w:tcBorders>
            <w:noWrap w:val="0"/>
            <w:tcMar>
              <w:top w:w="8" w:type="dxa"/>
              <w:left w:w="8" w:type="dxa"/>
              <w:right w:w="8" w:type="dxa"/>
            </w:tcMar>
            <w:vAlign w:val="center"/>
          </w:tcPr>
          <w:p>
            <w:pPr>
              <w:widowControl/>
              <w:jc w:val="center"/>
              <w:textAlignment w:val="center"/>
              <w:rPr>
                <w:rFonts w:hint="eastAsia" w:ascii="方正兰亭黑简体" w:hAnsi="方正兰亭黑简体" w:eastAsia="方正兰亭黑简体" w:cs="方正兰亭黑简体"/>
                <w:b/>
                <w:color w:val="000000"/>
                <w:sz w:val="21"/>
                <w:szCs w:val="21"/>
                <w:lang w:eastAsia="zh-CN"/>
              </w:rPr>
            </w:pPr>
            <w:r>
              <w:rPr>
                <w:rFonts w:hint="eastAsia" w:ascii="方正兰亭黑简体" w:hAnsi="方正兰亭黑简体" w:eastAsia="方正兰亭黑简体" w:cs="方正兰亭黑简体"/>
                <w:b/>
                <w:color w:val="000000"/>
                <w:kern w:val="0"/>
                <w:sz w:val="21"/>
                <w:szCs w:val="21"/>
                <w:lang w:eastAsia="zh-CN" w:bidi="ar"/>
              </w:rPr>
              <w:t>序号</w:t>
            </w:r>
          </w:p>
        </w:tc>
        <w:tc>
          <w:tcPr>
            <w:tcW w:w="911" w:type="dxa"/>
            <w:tcBorders>
              <w:top w:val="single" w:color="000000" w:sz="4" w:space="0"/>
              <w:left w:val="single" w:color="000000" w:sz="4" w:space="0"/>
              <w:bottom w:val="nil"/>
              <w:right w:val="single" w:color="000000" w:sz="4" w:space="0"/>
            </w:tcBorders>
            <w:noWrap w:val="0"/>
            <w:tcMar>
              <w:top w:w="8" w:type="dxa"/>
              <w:left w:w="8" w:type="dxa"/>
              <w:right w:w="8" w:type="dxa"/>
            </w:tcMar>
            <w:vAlign w:val="center"/>
          </w:tcPr>
          <w:p>
            <w:pPr>
              <w:widowControl/>
              <w:jc w:val="center"/>
              <w:textAlignment w:val="center"/>
              <w:rPr>
                <w:rFonts w:ascii="方正兰亭黑简体" w:hAnsi="方正兰亭黑简体" w:eastAsia="方正兰亭黑简体" w:cs="方正兰亭黑简体"/>
                <w:b/>
                <w:color w:val="000000"/>
                <w:sz w:val="21"/>
                <w:szCs w:val="21"/>
              </w:rPr>
            </w:pPr>
            <w:r>
              <w:rPr>
                <w:rFonts w:ascii="方正兰亭黑简体" w:hAnsi="方正兰亭黑简体" w:eastAsia="方正兰亭黑简体" w:cs="方正兰亭黑简体"/>
                <w:b/>
                <w:color w:val="000000"/>
                <w:kern w:val="0"/>
                <w:sz w:val="21"/>
                <w:szCs w:val="21"/>
                <w:lang w:bidi="ar"/>
              </w:rPr>
              <w:t>分类</w:t>
            </w:r>
          </w:p>
        </w:tc>
        <w:tc>
          <w:tcPr>
            <w:tcW w:w="1136" w:type="dxa"/>
            <w:tcBorders>
              <w:top w:val="single" w:color="000000" w:sz="4" w:space="0"/>
              <w:left w:val="single" w:color="000000" w:sz="4" w:space="0"/>
              <w:bottom w:val="nil"/>
              <w:right w:val="single" w:color="000000" w:sz="4" w:space="0"/>
            </w:tcBorders>
            <w:noWrap w:val="0"/>
            <w:tcMar>
              <w:top w:w="8" w:type="dxa"/>
              <w:left w:w="8" w:type="dxa"/>
              <w:right w:w="8" w:type="dxa"/>
            </w:tcMar>
            <w:vAlign w:val="center"/>
          </w:tcPr>
          <w:p>
            <w:pPr>
              <w:widowControl/>
              <w:jc w:val="center"/>
              <w:textAlignment w:val="center"/>
              <w:rPr>
                <w:rFonts w:ascii="方正兰亭黑简体" w:hAnsi="方正兰亭黑简体" w:eastAsia="方正兰亭黑简体" w:cs="方正兰亭黑简体"/>
                <w:b/>
                <w:color w:val="000000"/>
                <w:sz w:val="21"/>
                <w:szCs w:val="21"/>
              </w:rPr>
            </w:pPr>
            <w:r>
              <w:rPr>
                <w:rFonts w:ascii="方正兰亭黑简体" w:hAnsi="方正兰亭黑简体" w:eastAsia="方正兰亭黑简体" w:cs="方正兰亭黑简体"/>
                <w:b/>
                <w:color w:val="000000"/>
                <w:kern w:val="0"/>
                <w:sz w:val="21"/>
                <w:szCs w:val="21"/>
                <w:lang w:bidi="ar"/>
              </w:rPr>
              <w:t>推荐品牌</w:t>
            </w:r>
          </w:p>
        </w:tc>
        <w:tc>
          <w:tcPr>
            <w:tcW w:w="1136" w:type="dxa"/>
            <w:tcBorders>
              <w:top w:val="single" w:color="000000" w:sz="4" w:space="0"/>
              <w:left w:val="single" w:color="000000" w:sz="4" w:space="0"/>
              <w:bottom w:val="nil"/>
              <w:right w:val="single" w:color="000000" w:sz="4" w:space="0"/>
            </w:tcBorders>
            <w:noWrap w:val="0"/>
            <w:tcMar>
              <w:top w:w="8" w:type="dxa"/>
              <w:left w:w="8" w:type="dxa"/>
              <w:right w:w="8" w:type="dxa"/>
            </w:tcMar>
            <w:vAlign w:val="center"/>
          </w:tcPr>
          <w:p>
            <w:pPr>
              <w:widowControl/>
              <w:jc w:val="center"/>
              <w:textAlignment w:val="center"/>
              <w:rPr>
                <w:rFonts w:ascii="方正兰亭黑简体" w:hAnsi="方正兰亭黑简体" w:eastAsia="方正兰亭黑简体" w:cs="方正兰亭黑简体"/>
                <w:b/>
                <w:color w:val="000000"/>
                <w:sz w:val="21"/>
                <w:szCs w:val="21"/>
              </w:rPr>
            </w:pPr>
            <w:r>
              <w:rPr>
                <w:rFonts w:ascii="方正兰亭黑简体" w:hAnsi="方正兰亭黑简体" w:eastAsia="方正兰亭黑简体" w:cs="方正兰亭黑简体"/>
                <w:b/>
                <w:color w:val="000000"/>
                <w:kern w:val="0"/>
                <w:sz w:val="21"/>
                <w:szCs w:val="21"/>
                <w:lang w:bidi="ar"/>
              </w:rPr>
              <w:t>参考型号</w:t>
            </w:r>
          </w:p>
        </w:tc>
        <w:tc>
          <w:tcPr>
            <w:tcW w:w="3796" w:type="dxa"/>
            <w:tcBorders>
              <w:top w:val="single" w:color="000000" w:sz="4" w:space="0"/>
              <w:left w:val="single" w:color="000000" w:sz="4" w:space="0"/>
              <w:bottom w:val="nil"/>
              <w:right w:val="single" w:color="000000" w:sz="4" w:space="0"/>
            </w:tcBorders>
            <w:noWrap w:val="0"/>
            <w:tcMar>
              <w:top w:w="8" w:type="dxa"/>
              <w:left w:w="8" w:type="dxa"/>
              <w:right w:w="8" w:type="dxa"/>
            </w:tcMar>
            <w:vAlign w:val="center"/>
          </w:tcPr>
          <w:p>
            <w:pPr>
              <w:widowControl/>
              <w:jc w:val="center"/>
              <w:textAlignment w:val="center"/>
              <w:rPr>
                <w:rFonts w:ascii="方正兰亭黑简体" w:hAnsi="方正兰亭黑简体" w:eastAsia="方正兰亭黑简体" w:cs="方正兰亭黑简体"/>
                <w:b/>
                <w:color w:val="000000"/>
                <w:sz w:val="21"/>
                <w:szCs w:val="21"/>
              </w:rPr>
            </w:pPr>
            <w:r>
              <w:rPr>
                <w:rFonts w:ascii="方正兰亭黑简体" w:hAnsi="方正兰亭黑简体" w:eastAsia="方正兰亭黑简体" w:cs="方正兰亭黑简体"/>
                <w:b/>
                <w:color w:val="000000"/>
                <w:kern w:val="0"/>
                <w:sz w:val="21"/>
                <w:szCs w:val="21"/>
                <w:lang w:bidi="ar"/>
              </w:rPr>
              <w:t>规格型号参数</w:t>
            </w:r>
          </w:p>
        </w:tc>
        <w:tc>
          <w:tcPr>
            <w:tcW w:w="555" w:type="dxa"/>
            <w:tcBorders>
              <w:top w:val="single" w:color="000000" w:sz="4" w:space="0"/>
              <w:left w:val="single" w:color="000000" w:sz="4" w:space="0"/>
              <w:bottom w:val="nil"/>
              <w:right w:val="single" w:color="000000" w:sz="4" w:space="0"/>
            </w:tcBorders>
            <w:noWrap w:val="0"/>
            <w:tcMar>
              <w:top w:w="8" w:type="dxa"/>
              <w:left w:w="8" w:type="dxa"/>
              <w:right w:w="8" w:type="dxa"/>
            </w:tcMar>
            <w:vAlign w:val="center"/>
          </w:tcPr>
          <w:p>
            <w:pPr>
              <w:widowControl/>
              <w:jc w:val="center"/>
              <w:textAlignment w:val="center"/>
              <w:rPr>
                <w:rFonts w:ascii="方正兰亭黑简体" w:hAnsi="方正兰亭黑简体" w:eastAsia="方正兰亭黑简体" w:cs="方正兰亭黑简体"/>
                <w:b/>
                <w:color w:val="000000"/>
                <w:sz w:val="21"/>
                <w:szCs w:val="21"/>
              </w:rPr>
            </w:pPr>
            <w:r>
              <w:rPr>
                <w:rFonts w:ascii="方正兰亭黑简体" w:hAnsi="方正兰亭黑简体" w:eastAsia="方正兰亭黑简体" w:cs="方正兰亭黑简体"/>
                <w:b/>
                <w:color w:val="000000"/>
                <w:kern w:val="0"/>
                <w:sz w:val="21"/>
                <w:szCs w:val="21"/>
                <w:lang w:bidi="ar"/>
              </w:rPr>
              <w:t>单位</w:t>
            </w:r>
          </w:p>
        </w:tc>
        <w:tc>
          <w:tcPr>
            <w:tcW w:w="528" w:type="dxa"/>
            <w:tcBorders>
              <w:top w:val="single" w:color="000000" w:sz="4" w:space="0"/>
              <w:left w:val="single" w:color="000000" w:sz="4" w:space="0"/>
              <w:bottom w:val="nil"/>
              <w:right w:val="single" w:color="000000" w:sz="4" w:space="0"/>
            </w:tcBorders>
            <w:noWrap w:val="0"/>
            <w:tcMar>
              <w:top w:w="8" w:type="dxa"/>
              <w:left w:w="8" w:type="dxa"/>
              <w:right w:w="8" w:type="dxa"/>
            </w:tcMar>
            <w:vAlign w:val="center"/>
          </w:tcPr>
          <w:p>
            <w:pPr>
              <w:widowControl/>
              <w:jc w:val="center"/>
              <w:textAlignment w:val="center"/>
              <w:rPr>
                <w:rFonts w:ascii="方正兰亭黑简体" w:hAnsi="方正兰亭黑简体" w:eastAsia="方正兰亭黑简体" w:cs="方正兰亭黑简体"/>
                <w:b/>
                <w:color w:val="000000"/>
                <w:sz w:val="21"/>
                <w:szCs w:val="21"/>
              </w:rPr>
            </w:pPr>
            <w:r>
              <w:rPr>
                <w:rFonts w:ascii="方正兰亭黑简体" w:hAnsi="方正兰亭黑简体" w:eastAsia="方正兰亭黑简体" w:cs="方正兰亭黑简体"/>
                <w:b/>
                <w:color w:val="000000"/>
                <w:kern w:val="0"/>
                <w:sz w:val="21"/>
                <w:szCs w:val="21"/>
                <w:lang w:bidi="ar"/>
              </w:rPr>
              <w:t xml:space="preserve">数量 </w:t>
            </w:r>
          </w:p>
        </w:tc>
      </w:tr>
      <w:tr>
        <w:tblPrEx>
          <w:tblCellMar>
            <w:top w:w="0" w:type="dxa"/>
            <w:left w:w="0" w:type="dxa"/>
            <w:bottom w:w="0" w:type="dxa"/>
            <w:right w:w="0" w:type="dxa"/>
          </w:tblCellMar>
        </w:tblPrEx>
        <w:trPr>
          <w:trHeight w:val="337" w:hRule="atLeast"/>
        </w:trPr>
        <w:tc>
          <w:tcPr>
            <w:tcW w:w="0" w:type="auto"/>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家庭消防安全系列</w:t>
            </w:r>
          </w:p>
        </w:tc>
      </w:tr>
      <w:tr>
        <w:tblPrEx>
          <w:tblCellMar>
            <w:top w:w="0" w:type="dxa"/>
            <w:left w:w="0" w:type="dxa"/>
            <w:bottom w:w="0" w:type="dxa"/>
            <w:right w:w="0" w:type="dxa"/>
          </w:tblCellMar>
        </w:tblPrEx>
        <w:trPr>
          <w:trHeight w:val="2079"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触摸屏幕</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远望、品奇、摩泰</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远望YW-D077</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42寸 原装工业面板,单元外观尺寸：1213mm*684mm*120mm； ，分辨率1920*1080，亮度500cd/m2，开模外壳，含内置拼接专用驱动板.      触摸技术 红外线阻断检测形式，不需要表面导电镀层技术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 3mm 普通钢化玻璃（可定制）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玻璃透过率 &gt;88%(更高透过率取决于玻璃的表面处理技术如AR/AG)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触摸耐久性 不限制  触摸激活力 不需要压力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输出形式 触摸坐标输出  校准 简单的 4 点校准，无漂移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响应速度 [ms] &lt;15ms   Intel Core i5 2540M/4G DDR/128G SSD固态/GTX750 显卡/600W电源/HDMi、DVI输出</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782"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互动触摸系统</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安防体验系统：包含消防知识、家庭用电安全、煤气泄漏处理、正确燃放烟花爆竹板块，每块以2分钟动画视频为主，不少于10分钟，动画采用三维制作方式，场景要真实，画面细腻，人物角色不少6人，视频格式：PAL 1920*1080分辨率，三维动画模式，非卡通模式</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337" w:hRule="atLeast"/>
        </w:trPr>
        <w:tc>
          <w:tcPr>
            <w:tcW w:w="0" w:type="auto"/>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VR灭火器情景模拟</w:t>
            </w:r>
          </w:p>
        </w:tc>
      </w:tr>
      <w:tr>
        <w:tblPrEx>
          <w:tblCellMar>
            <w:top w:w="0" w:type="dxa"/>
            <w:left w:w="0" w:type="dxa"/>
            <w:bottom w:w="0" w:type="dxa"/>
            <w:right w:w="0" w:type="dxa"/>
          </w:tblCellMar>
        </w:tblPrEx>
        <w:trPr>
          <w:trHeight w:val="3565"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液晶屏</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三星、海康威视、大华</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 55"  WLED LVDS 51pins</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尺寸：55英寸；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分辨率：1920x1080；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视角：178°(水平)/ 178°(垂直)；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响应时间：8ms(G to 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对比度：4000:1；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亮度：500cd/㎡；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物理拼缝：3.5mm；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输入接口：VGA×1，DVI×1，BNC×1，HDMI×1，USB×1；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控制接口：RJ45 for RS-232（输入×1，输出×1）；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可定制接口 3G SDI(输入×1、输出×1)、DP、HDbaseT、TVI(输入×1、输出×1)、网络源;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功耗：≤134W；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电源要求：AC 100-240V～；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寿命：≥60000 小时；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工作温度和湿度：0℃--50℃，10%--90%(无凝露)；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外形尺寸：1078.34mm(W) x 608.36mm(H) x 115.5mm(D)；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边框宽度：2.3mm(左上),1.2mm(右下)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LCD显示单元物理拼缝≤1.8mm，亮度达到610cd/㎡，对比度达到7500:1，图像显示清晰度≥1000TVL，亮度鉴别等级为11级。</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3690"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VR头盔</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HTCvive</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HTCvive2.0</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产品类型 外接式头戴设备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显示屏 2个3.5英寸AMOLED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分辨率 2880*1600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视场角 110度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调节功能 可调整镜头距离（适配佩戴眼镜用户）</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可调整瞳距</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可调式耳机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可调式头带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主要性能 定位器2.0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功能特点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传感器 SteamVR追踪技术、G-sensor校正、gyroscope陀螺仪、瞳距感测器、proximity距离感测器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蓝牙功能 支持蓝牙</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音频输入 内置麦克风</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Hi-Res Audio认证头戴式设备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Hi-Res Audio认证耳机（可拆卸式）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支持高阻抗耳机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接口 USB3.0，Displayport1.2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其它规格</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产品尺寸 282x255x128mm纠错</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产品重量 0.754g</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403"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VR消防体验</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UE4设计，消防过程：1、熟睡中的主人公被火灾警报器吵醒，赶紧进入卫生间取毛巾弄湿捂住口鼻，取出灭火器，拔出灭火器栓，进入火场进行灭火，灭火后逃生；2、高空逃生，若火灾发生在高层，则主人公通过高空逃生索逃生，本VR包含两种逃生方式，第一人称和第三人称相互结合的方式；模型由MAYA高精度建，道具单个面不超过300。LOD优化分级，贴图PBR流程绘制，精度不低于4K。Addtitive获取背景像素叠加，shadingModel光照控制材质数据输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采用UE4 Particle Systems粒子系统创建游戏中需要的各种特效例如烟火等。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互动内容：玩家佩戴VR头盔在虚拟三维场景空间中学习如何正确使用不同类型的灭火器处理不同类型火灾，例如居家环境中，各种日常物品的火情应该如何应对。</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337" w:hRule="atLeast"/>
        </w:trPr>
        <w:tc>
          <w:tcPr>
            <w:tcW w:w="0" w:type="auto"/>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119报警模拟</w:t>
            </w:r>
          </w:p>
        </w:tc>
      </w:tr>
      <w:tr>
        <w:tblPrEx>
          <w:tblCellMar>
            <w:top w:w="0" w:type="dxa"/>
            <w:left w:w="0" w:type="dxa"/>
            <w:bottom w:w="0" w:type="dxa"/>
            <w:right w:w="0" w:type="dxa"/>
          </w:tblCellMar>
        </w:tblPrEx>
        <w:trPr>
          <w:trHeight w:val="1633"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触摸屏幕</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远望、品奇、摩泰</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远望YW-D077</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42寸 原装工业面板,单元外观尺寸：1213mm*684mm*120mm； ，分辨率1920*1080，亮度500cd/m2，开模外壳，含内置拼接专用驱动板.      触摸技术 红外线阻断检测形式，不需要表面导电镀层技术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 3mm 普通钢化玻璃（可定制）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玻璃透过率 &gt;88%(更高透过率取决于玻璃的表面处理技术如AR/AG)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触摸耐久性 不限制  触摸激活力 不需要压力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输出形式 触摸坐标输出  校准 简单的 4 点校准，无漂移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响应速度 [ms] &lt;15ms</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512"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119模拟报警器互动触摸系统</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119模拟报警器互动触摸系统：通过3D角色动画的方式来展示模拟报警的整个过程：虚拟一消防解说员，根据提示的内容进行报警，软件可识别语音，软件和电话机相互关联，情景模拟报警的具体时间，事件，经过等等，体验时间约3分钟；“119火警模拟”是一款unity3d开发的应用。平面设计师用Photoshop制作符合要求的平面UI，后期AE，PR输出1080P视频，easymovietexture/AVproVIDEO插件制作视频播放软件。Visual studio进行脚本逻辑算法编写</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25" w:hRule="atLeast"/>
        </w:trPr>
        <w:tc>
          <w:tcPr>
            <w:tcW w:w="0" w:type="auto"/>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过马路安全情景模拟</w:t>
            </w:r>
          </w:p>
        </w:tc>
      </w:tr>
      <w:tr>
        <w:tblPrEx>
          <w:tblCellMar>
            <w:top w:w="0" w:type="dxa"/>
            <w:left w:w="0" w:type="dxa"/>
            <w:bottom w:w="0" w:type="dxa"/>
            <w:right w:w="0" w:type="dxa"/>
          </w:tblCellMar>
        </w:tblPrEx>
        <w:trPr>
          <w:trHeight w:val="3511"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液晶屏</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三星、海康威视、大华</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 55"  WLED LVDS 51pins</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尺寸：55英寸；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分辨率：1920x1080；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视角：178°(水平)/ 178°(垂直)；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响应时间：8ms(G to 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对比度：4000:1；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亮度：500cd/㎡；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物理拼缝：3.5mm；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输入接口：VGA×1，DVI×1，BNC×1，HDMI×1，USB×1；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控制接口：RJ45 for RS-232（输入×1，输出×1）；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可定制接口 3G SDI(输入×1、输出×1)、DP、HDbaseT、TVI(输入×1、输出×1)、网络源;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功耗：≤134W；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电源要求：AC 100-240V～；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寿命：≥60000 小时；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工作温度和湿度：0℃--50℃，10%--90%(无凝露)；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外形尺寸：1078.34mm(W) x 608.36mm(H) x 115.5mm(D)；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边框宽度：2.3mm(左上),1.2mm(右下)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LCD显示单元物理拼缝≤1.8mm，亮度达到610cd/㎡，对比度达到7500:1，图像显示清晰度≥1000TVL，亮度鉴别等级为11级。</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608"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内容制作</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视频及三维动画：包含交通安全知识内容板块，视频格式：PAL 1920*1080分辨率，动画时间不少于3分钟，视频不少于3分钟，总时间不少于10分钟；</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608"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红绿灯装置</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色分类: 机动车红黄绿基础款 产品名称: 红绿机动车灯尺寸: 200mm电压: 12/24V或220V外壳: PC塑料安装方式: 支持横装、竖装</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84" w:hRule="atLeast"/>
        </w:trPr>
        <w:tc>
          <w:tcPr>
            <w:tcW w:w="0" w:type="auto"/>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安全驾驶模拟-定制</w:t>
            </w:r>
          </w:p>
        </w:tc>
      </w:tr>
      <w:tr>
        <w:tblPrEx>
          <w:tblCellMar>
            <w:top w:w="0" w:type="dxa"/>
            <w:left w:w="0" w:type="dxa"/>
            <w:bottom w:w="0" w:type="dxa"/>
            <w:right w:w="0" w:type="dxa"/>
          </w:tblCellMar>
        </w:tblPrEx>
        <w:trPr>
          <w:trHeight w:val="1363"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液晶电视</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小米、海信、创维</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小米4A 65</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65寸 屏幕 4K 超高清屏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分辨率 3840*2160、动态背光 不支持、NTSC 72%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可视角度 178°、动态响应 8毫秒、静态对比度 1200:1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刷新率 60Hz、处理器和存储、CPU Cortex A53 四核 高达1.5GHz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GPU Mali-450 750MHz、HDR HDR 10 和 HLG(Hybrid Log-Gamma）</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内存 2GB DDR、闪存 8GB eMMC</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无线配置、WiFi 双频 2.4/5GHz、蓝牙 支持、红外 支持、接口及数量</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809"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电脑</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戴尔、联想、惠普</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戴尔（3471）</w:t>
            </w:r>
          </w:p>
        </w:tc>
        <w:tc>
          <w:tcPr>
            <w:tcW w:w="3796" w:type="dxa"/>
            <w:tcBorders>
              <w:top w:val="nil"/>
              <w:left w:val="nil"/>
              <w:bottom w:val="nil"/>
              <w:right w:val="nil"/>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4U工控:Intel-i7/4G DDR/128G SSD固态/GTX750 显卡/600W电源/HDMi、DVI输出</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026"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设备设施</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LANDERS、秋叶原、大华</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LANDERS</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专业HDMI高清视频线及三类线（CAT3）：在ANSI和EIA/TIA568标准中指定的电缆，该电缆的传输频率16MHz，最高传输速率为10Mbps（10Mbit/s），主要应用于语音、10Mbit/s以太网（10BASE-T）和4Mbit/s令牌环，最大网段长度为100m，采用RJ形式的连接器；</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米</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450</w:t>
            </w:r>
          </w:p>
        </w:tc>
      </w:tr>
      <w:tr>
        <w:tblPrEx>
          <w:tblCellMar>
            <w:top w:w="0" w:type="dxa"/>
            <w:left w:w="0" w:type="dxa"/>
            <w:bottom w:w="0" w:type="dxa"/>
            <w:right w:w="0" w:type="dxa"/>
          </w:tblCellMar>
        </w:tblPrEx>
        <w:trPr>
          <w:trHeight w:val="3184"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模拟驾驶软件系统</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D场景，多种体验方式，车型可选择爱丽舍，桑塔纳，客车，卡车等几种车型，体验内容包含科一到科四的相关内容，自由驾驶包含城市驾驶，夜间行驶，雨天行驶，山区驾驶等，天气包含雨天，雪天，等多种模式多种情景的模拟体验，应急训练包含：路人避让，无油熄火，爆胎处理，刹车失灵，突遇大雨，高速取卡，窄路会车，酒驾毒驾，超员驾驶，超载驾驶，疲劳驾驶等多种模式；</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0531"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驾驶造型一体机</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1.座舱外壳材质：ABS外壳外观简洁大方、时尚亮丽。仪表台采用真车实件配置，转向机构采用真车方向机总成构建，实车转数；档位外罩采用坚固一体真车中央通道，具有真车实感。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2.变速器：采用大众原厂桑塔纳实车变速箱原理。档位为：倒档、一档、二档、三档、四档、五档和空挡（自动档只含前进档、倒车档、空挡和驻车档）。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3.驾驶座舱：驾驶舱是由转向器、油门、离合器、脚刹车、手刹车等操纵机件及座椅等组成。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4.传感器：方向盘（高精密编码器）一般用于数控机床。油离刹（最新技术高精密电位器）采用高精密电位器，排除因为温度等外部因素造成的干扰，是数据更准确！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5.方向盘（最新技术扭簧式齿轮组合结构，动感为力反馈方向机）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6.汽车座椅：专业汽车座椅、美观、耐用。前后可调，适合青少年使用。有标准三点式安全带。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7.其他部件：左转向灯、右转向灯、应急灯、示宽灯、雾灯、喇叭、点火开关、总电开关、雨刷、远光灯、近光灯、安全带及指示。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8.工作环境与规格</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外形尺寸（mm）: 22*3显示器（长2400mmx宽1450mmx高2400mm）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搬入口宽（mm）:1200mm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座舱重量（KG）：350kg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显示器：22*3寸液晶显示器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显示器最大分辨率：5760×1080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电力消耗：3100W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工作电压：AC220V±50HZ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工作温度：10℃-40℃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相对湿度：20％-90％</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84" w:hRule="atLeast"/>
        </w:trPr>
        <w:tc>
          <w:tcPr>
            <w:tcW w:w="0" w:type="auto"/>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交通安全常识互动</w:t>
            </w:r>
          </w:p>
        </w:tc>
      </w:tr>
      <w:tr>
        <w:tblPrEx>
          <w:tblCellMar>
            <w:top w:w="0" w:type="dxa"/>
            <w:left w:w="0" w:type="dxa"/>
            <w:bottom w:w="0" w:type="dxa"/>
            <w:right w:w="0" w:type="dxa"/>
          </w:tblCellMar>
        </w:tblPrEx>
        <w:trPr>
          <w:trHeight w:val="1565"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触摸屏幕</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远望、品奇、摩泰</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远望YW-D077</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42寸 原装工业面板,单元外观尺寸：1213mm*684mm*120mm； ，分辨率1920*1080，亮度500cd/m2，开模外壳，含内置拼接专用驱动板.      触摸技术 红外线阻断检测形式，不需要表面导电镀层技术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 3mm 普通钢化玻璃（可定制）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玻璃透过率 &gt;88%(更高透过率取决于玻璃的表面处理技术如AR/AG)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触摸耐久性 不限制  触摸激活力 不需要压力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输出形式 触摸坐标输出  校准 简单的 4 点校准，无漂移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响应速度 [ms] &lt;15ms</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519"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互动触摸系统</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1、分辨率：1920*1080；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2、动态互动界面不少于120页；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3、图片不少于30张，内容不少于100道题目；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4、问答题目具有答案错误提示功能；</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96" w:hRule="atLeast"/>
        </w:trPr>
        <w:tc>
          <w:tcPr>
            <w:tcW w:w="0" w:type="auto"/>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认识毒品的类型</w:t>
            </w:r>
          </w:p>
        </w:tc>
      </w:tr>
      <w:tr>
        <w:tblPrEx>
          <w:tblCellMar>
            <w:top w:w="0" w:type="dxa"/>
            <w:left w:w="0" w:type="dxa"/>
            <w:bottom w:w="0" w:type="dxa"/>
            <w:right w:w="0" w:type="dxa"/>
          </w:tblCellMar>
        </w:tblPrEx>
        <w:trPr>
          <w:trHeight w:val="3484"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液晶屏</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三星、海康威视、大华</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 55"  WLED LVDS 51pins</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尺寸：55英寸；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分辨率：1920x1080；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视角：178°(水平)/ 178°(垂直)；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响应时间：8ms(G to 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对比度：4000:1；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亮度：500cd/㎡；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物理拼缝：3.5mm；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输入接口：VGA×1，DVI×1，BNC×1，HDMI×1，USB×1；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控制接口：RJ45 for RS-232（输入×1，输出×1）；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可定制接口 3G SDI(输入×1、输出×1)、DP、HDbaseT、TVI(输入×1、输出×1)、网络源;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功耗：≤134W；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电源要求：AC 100-240V～；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寿命：≥60000 小时；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工作温度和湿度：0℃--50℃，10%--90%(无凝露)；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外形尺寸：1078.34mm(W) x 608.36mm(H) x 115.5mm(D)；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边框宽度：2.3mm(左上),1.2mm(右下)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LCD显示单元物理拼缝≤1.8mm，亮度达到610cd/㎡，对比度达到7500:1，图像显示清晰度≥1000TVL，亮度鉴别等级为11级。</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931"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内容制作</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1、分辨率：1920*1080；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2、动态互动界面不少于120页；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3、图片不少于30张，内容不少于100道题目；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4、问答题目具有答案错误提示功能；</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325" w:hRule="atLeast"/>
        </w:trPr>
        <w:tc>
          <w:tcPr>
            <w:tcW w:w="0" w:type="auto"/>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毒品对器官的危害</w:t>
            </w:r>
          </w:p>
        </w:tc>
      </w:tr>
      <w:tr>
        <w:tblPrEx>
          <w:tblCellMar>
            <w:top w:w="0" w:type="dxa"/>
            <w:left w:w="0" w:type="dxa"/>
            <w:bottom w:w="0" w:type="dxa"/>
            <w:right w:w="0" w:type="dxa"/>
          </w:tblCellMar>
        </w:tblPrEx>
        <w:trPr>
          <w:trHeight w:val="3389"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液晶屏</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三星、海康威视、大华</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 55"  WLED LVDS 51pins</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尺寸：55英寸；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分辨率：1920x1080；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视角：178°(水平)/ 178°(垂直)；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响应时间：8ms(G to 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对比度：4000:1；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亮度：500cd/㎡；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物理拼缝：3.5mm；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输入接口：VGA×1，DVI×1，BNC×1，HDMI×1，USB×1；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控制接口：RJ45 for RS-232（输入×1，输出×1）；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可定制接口 3G SDI(输入×1、输出×1)、DP、HDbaseT、TVI(输入×1、输出×1)、网络源;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功耗：≤134W；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电源要求：AC 100-240V～；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寿命：≥60000 小时；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工作温度和湿度：0℃--50℃，10%--90%(无凝露)；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外形尺寸：1078.34mm(W) x 608.36mm(H) x 115.5mm(D)；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边框宽度：2.3mm(左上),1.2mm(右下)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LCD显示单元物理拼缝≤1.8mm，亮度达到610cd/㎡，对比度达到7500:1，图像显示清晰度≥1000TVL，亮度鉴别等级为11级。</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647"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触摸屏幕</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远望、品奇、摩泰</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远望YW-D077</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42寸 原装工业面板,单元外观尺寸：1213mm*684mm*120mm； ，分辨率1920*1080，亮度500cd/m2，开模外壳，含内置拼接专用驱动板.      触摸技术 红外线阻断检测形式，不需要表面导电镀层技术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 3mm 普通钢化玻璃（可定制）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玻璃透过率 &gt;88%(更高透过率取决于玻璃的表面处理技术如AR/AG)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触摸耐久性 不限制  触摸激活力 不需要压力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输出形式 触摸坐标输出  校准 简单的 4 点校准，无漂移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响应速度 [ms] &lt;15ms   Intel Core i5 2540M/4G DDR/128G SSD固态/GTX750 显卡/600W电源/HDMi、DVI输出</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713"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互动触摸系统</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1、分辨率：1920*1080；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2、动态互动界面不少于100页；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3、介绍不少于35种类型的毒品及危害；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4、图片不少于70张；</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526"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三维动画</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三维动画：不同毒品的吸食方式及毒品对人体器官的危害，通过三维动画的方式进行表现，动画长度不少于2分钟；分辨率：1920*1080，PLA制，</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325" w:hRule="atLeast"/>
        </w:trPr>
        <w:tc>
          <w:tcPr>
            <w:tcW w:w="0" w:type="auto"/>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**后的模拟体验</w:t>
            </w:r>
          </w:p>
        </w:tc>
      </w:tr>
      <w:tr>
        <w:tblPrEx>
          <w:tblCellMar>
            <w:top w:w="0" w:type="dxa"/>
            <w:left w:w="0" w:type="dxa"/>
            <w:bottom w:w="0" w:type="dxa"/>
            <w:right w:w="0" w:type="dxa"/>
          </w:tblCellMar>
        </w:tblPrEx>
        <w:trPr>
          <w:trHeight w:val="3551" w:hRule="atLeast"/>
        </w:trPr>
        <w:tc>
          <w:tcPr>
            <w:tcW w:w="318" w:type="dxa"/>
            <w:tcBorders>
              <w:top w:val="nil"/>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nil"/>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液晶屏</w:t>
            </w:r>
          </w:p>
        </w:tc>
        <w:tc>
          <w:tcPr>
            <w:tcW w:w="1136" w:type="dxa"/>
            <w:tcBorders>
              <w:top w:val="nil"/>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三星、海康威视、大华</w:t>
            </w:r>
          </w:p>
        </w:tc>
        <w:tc>
          <w:tcPr>
            <w:tcW w:w="1136" w:type="dxa"/>
            <w:tcBorders>
              <w:top w:val="nil"/>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 55"  WLED LVDS 51pins</w:t>
            </w:r>
          </w:p>
        </w:tc>
        <w:tc>
          <w:tcPr>
            <w:tcW w:w="3796" w:type="dxa"/>
            <w:tcBorders>
              <w:top w:val="nil"/>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尺寸：55英寸；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分辨率：1920x1080；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视角：178°(水平)/ 178°(垂直)；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响应时间：8ms(G to 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对比度：4000:1；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亮度：500cd/㎡；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物理拼缝：3.5mm；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输入接口：VGA×1，DVI×1，BNC×1，HDMI×1，USB×1；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控制接口：RJ45 for RS-232（输入×1，输出×1）；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可定制接口 3G SDI(输入×1、输出×1)、DP、HDbaseT、TVI(输入×1、输出×1)、网络源;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功耗：≤134W；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电源要求：AC 100-240V～；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寿命：≥60000 小时；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工作温度和湿度：0℃--50℃，10%--90%(无凝露)；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外形尺寸：1078.34mm(W) x 608.36mm(H) x 115.5mm(D)；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边框宽度：2.3mm(左上),1.2mm(右下)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LCD显示单元物理拼缝≤1.8mm，亮度达到610cd/㎡，对比度达到7500:1，图像显示清晰度≥1000TVL，亮度鉴别等级为11级。</w:t>
            </w:r>
          </w:p>
        </w:tc>
        <w:tc>
          <w:tcPr>
            <w:tcW w:w="555" w:type="dxa"/>
            <w:tcBorders>
              <w:top w:val="nil"/>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auto"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715" w:hRule="atLeast"/>
        </w:trPr>
        <w:tc>
          <w:tcPr>
            <w:tcW w:w="31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电脑</w:t>
            </w:r>
          </w:p>
        </w:tc>
        <w:tc>
          <w:tcPr>
            <w:tcW w:w="1136"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戴尔、联想、惠普</w:t>
            </w:r>
          </w:p>
        </w:tc>
        <w:tc>
          <w:tcPr>
            <w:tcW w:w="1136"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戴尔（3471）</w:t>
            </w:r>
          </w:p>
        </w:tc>
        <w:tc>
          <w:tcPr>
            <w:tcW w:w="3796"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4U工控:Intel-i7/4G DDR/128G SSD固态/GTX750 显卡/600W电源/HDMi、DVI输出</w:t>
            </w:r>
          </w:p>
        </w:tc>
        <w:tc>
          <w:tcPr>
            <w:tcW w:w="55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323" w:hRule="atLeast"/>
        </w:trPr>
        <w:tc>
          <w:tcPr>
            <w:tcW w:w="31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911"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**后人脸变化</w:t>
            </w:r>
          </w:p>
        </w:tc>
        <w:tc>
          <w:tcPr>
            <w:tcW w:w="1136"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互动内容：介绍了常见毒品 如病毒 可卡因 海洛因 等毒品对人体的危害 如**1年到10内的外貌变化和内脏变化</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技术要求：unity3d作为开发引擎，高清摄像头，Opencv插件人脸识别， POST Process Profiles 插件对照片进行后期处理添加**面部效果。</w:t>
            </w:r>
          </w:p>
        </w:tc>
        <w:tc>
          <w:tcPr>
            <w:tcW w:w="555"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96" w:hRule="atLeast"/>
        </w:trPr>
        <w:tc>
          <w:tcPr>
            <w:tcW w:w="0" w:type="auto"/>
            <w:gridSpan w:val="7"/>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公交车上应对恐怖袭击</w:t>
            </w:r>
          </w:p>
        </w:tc>
      </w:tr>
      <w:tr>
        <w:tblPrEx>
          <w:tblCellMar>
            <w:top w:w="0" w:type="dxa"/>
            <w:left w:w="0" w:type="dxa"/>
            <w:bottom w:w="0" w:type="dxa"/>
            <w:right w:w="0" w:type="dxa"/>
          </w:tblCellMar>
        </w:tblPrEx>
        <w:trPr>
          <w:trHeight w:val="2682"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液晶屏</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三星、海康威视、大华</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 55"  WLED LVDS 51pins</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尺寸：55英寸；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分辨率：1920x1080；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视角：178°(水平)/ 178°(垂直)；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响应时间：8ms(G to 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对比度：4000:1；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亮度：500cd/㎡；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物理拼缝：3.5mm；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输入接口：VGA×1，DVI×1，BNC×1，HDMI×1，USB×1；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控制接口：RJ45 for RS-232（输入×1，输出×1）；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可定制接口 3G SDI(输入×1、输出×1)、DP、HDbaseT、TVI(输入×1、输出×1)、网络源;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功耗：≤134W；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电源要求：AC 100-240V～；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寿命：≥60000 小时；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工作温度和湿度：0℃--50℃，10%--90%(无凝露)；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外形尺寸：1078.34mm(W) x 608.36mm(H) x 115.5mm(D)；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边框宽度：2.3mm(左上),1.2mm(右下)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LCD显示单元物理拼缝≤1.8mm，亮度达到610cd/㎡，对比度达到7500:1，图像显示清晰度≥1000TVL，亮度鉴别等级为11级。</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350"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专用背架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专用背架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专用背架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全角度调节挂钩及背架</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362"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电脑</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戴尔、联想、惠普</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戴尔（3471）</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4U工控:Intel-i7/4G DDR/128G SSD固态/GTX1080 显卡/600W电源/HDMi、DVI输出</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3690"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VR头盔</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HTCvive2.0</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HTCvive</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产品类型 外接式头戴设备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显示屏 2个3.5英寸AMOLED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分辨率 2880*1600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视场角 110度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调节功能 可调整镜头距离（适配佩戴眼镜用户）</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可调整瞳距</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可调式耳机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可调式头带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主要性能 定位器2.0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功能特点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传感器 SteamVR追踪技术、G-sensor校正、gyroscope陀螺仪、瞳距感测器、proximity距离感测器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蓝牙功能 支持蓝牙</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音频输入 内置麦克风</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Hi-Res Audio认证头戴式设备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Hi-Res Audio认证耳机（可拆卸式）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支持高阻抗耳机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接口 USB3.0，Displayport1.2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其它规格</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产品尺寸 282x255x128mm纠错</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产品重量 0.754g</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3038"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VR**内容</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UE4设计，**过程：场景中互相配合的体验游戏，情景设置在一辆公交车上，恐怖分子携带了一个包裹，发现危险行为，请立即通知司机停车。司机停车、打开车门、拔出钥匙。年轻女子惊恐地往里面座位退，并在手机上拨打报警电话。中年男子率先冲向恐怖分子，去夺他的汽油瓶，恐怖分子前面的年轻男子A立即将恐怖分子座位边的背包拎走，顺手甩到车厢前部地上，然后也冲上去与恐怖分子搏斗。在搏斗的过程中恐怖分子的打火机被打落，搏斗3秒后画面定格，系统提示，是否提醒其他人将其他可燃液体带走。选择同意，会出现大妈听到体验者呼喊，趁机将恐怖分子的黑色提包拿着快速下车跑开的画面。选择不同意则继续下面的情节，恐怖分子看到几名乘客要来阻止他立即从身上抽出一把匕首划向周边试图与他搏斗的人，几人纷纷向后退了退。司机也正从驾驶座上走过来，5名男子一起半围着戴帽男子，试图上前制止他，用背包、袋子甩打戴帽男子。车厢后的年轻女子成功拨打报警电话.....技术要求：Unreal Engine 4引擎制作，模型采用MAYA高精度建模并设置LOD优化级别，贴图采用substance painter绘制4K高精度贴图。植被动态模拟技术，运用引擎内部simpleGrasswind节点模拟真实的植被风吹草动效果。Sequencer编辑器实现剧情动画。</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84" w:hRule="atLeast"/>
        </w:trPr>
        <w:tc>
          <w:tcPr>
            <w:tcW w:w="0" w:type="auto"/>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公共场所如何**、识恐防恐</w:t>
            </w:r>
          </w:p>
        </w:tc>
      </w:tr>
      <w:tr>
        <w:tblPrEx>
          <w:tblCellMar>
            <w:top w:w="0" w:type="dxa"/>
            <w:left w:w="0" w:type="dxa"/>
            <w:bottom w:w="0" w:type="dxa"/>
            <w:right w:w="0" w:type="dxa"/>
          </w:tblCellMar>
        </w:tblPrEx>
        <w:trPr>
          <w:trHeight w:val="3443"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液晶屏</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三星、海康威视、大华</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 55"  WLED LVDS 51pins</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尺寸：55英寸；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分辨率：1920x1080；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视角：178°(水平)/ 178°(垂直)；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响应时间：8ms(G to 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对比度：4000:1；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亮度：500cd/㎡；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物理拼缝：3.5mm；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输入接口：VGA×1，DVI×1，BNC×1，HDMI×1，USB×1；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控制接口：RJ45 for RS-232（输入×1，输出×1）；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可定制接口 3G SDI(输入×1、输出×1)、DP、HDbaseT、TVI(输入×1、输出×1)、网络源;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功耗：≤134W；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电源要求：AC 100-240V～；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寿命：≥60000 小时；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工作温度和湿度：0℃--50℃，10%--90%(无凝露)；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外形尺寸：1078.34mm(W) x 608.36mm(H) x 115.5mm(D)；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边框宽度：2.3mm(左上),1.2mm(右下)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LCD显示单元物理拼缝≤1.8mm，亮度达到610cd/㎡，对比度达到7500:1，图像显示清晰度≥1000TVL，亮度鉴别等级为11级。</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431"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内容制作</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3D动画展示：公共场合如何识别，如何避免，如何**等：长度：6分钟，全三维展示，分辨率：1920*1080，PLA制；</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365" w:hRule="atLeast"/>
        </w:trPr>
        <w:tc>
          <w:tcPr>
            <w:tcW w:w="0" w:type="auto"/>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常见电信及网络诈骗模拟</w:t>
            </w:r>
          </w:p>
        </w:tc>
      </w:tr>
      <w:tr>
        <w:tblPrEx>
          <w:tblCellMar>
            <w:top w:w="0" w:type="dxa"/>
            <w:left w:w="0" w:type="dxa"/>
            <w:bottom w:w="0" w:type="dxa"/>
            <w:right w:w="0" w:type="dxa"/>
          </w:tblCellMar>
        </w:tblPrEx>
        <w:trPr>
          <w:trHeight w:val="1589"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手机造型触摸屏</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远望、品奇、摩泰</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远望YW-D077</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42寸 原装工业面板,单元外观尺寸：1213mm*684mm*120mm； ，分辨率1920*1080，亮度500cd/m2，开模外壳，含内置拼接专用驱动板.      触摸技术 红外线阻断检测形式，不需要表面导电镀层技术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 3mm 普通钢化玻璃（可定制）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玻璃透过率 &gt;88%(更高透过率取决于玻璃的表面处理技术如AR/AG)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触摸耐久性 不限制  触摸激活力 不需要压力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输出形式 触摸坐标输出  校准 简单的 4 点校准，无漂移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响应速度 [ms] &lt;15ms   Intel Core i5 2540M/4G DDR/128G SSD固态/GTX750 显卡/600W电源/HDMi、DVI输出</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242"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手机模拟诈骗游戏</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手机模拟诈骗游戏：网络和电信诈骗的多种方式，包含电信网络通讯诈骗的30多种类型诈骗方式的情景演绎，通过情景对话，可判断的方式让参与者参与其中，达到宣传目的，内容可根据新型诈骗模式类型更新；电信诈骗互动触摸”是一款模拟当前流行的一些电信诈骗方式（电话，短信，微信等）的情景模拟软件，玩家可通过情景动画，以及互动选择等方式，了解电信诈骗的种类，本质，以及如何避免电信诈骗，守护自身财产；</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365" w:hRule="atLeast"/>
        </w:trPr>
        <w:tc>
          <w:tcPr>
            <w:tcW w:w="0" w:type="auto"/>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防盗小游戏</w:t>
            </w:r>
          </w:p>
        </w:tc>
      </w:tr>
      <w:tr>
        <w:tblPrEx>
          <w:tblCellMar>
            <w:top w:w="0" w:type="dxa"/>
            <w:left w:w="0" w:type="dxa"/>
            <w:bottom w:w="0" w:type="dxa"/>
            <w:right w:w="0" w:type="dxa"/>
          </w:tblCellMar>
        </w:tblPrEx>
        <w:trPr>
          <w:trHeight w:val="1701"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触摸屏幕</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远望、品奇、摩泰</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远望YW-D077</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42寸 原装工业面板,单元外观尺寸：1213mm*684mm*120mm； ，分辨率1920*1080，亮度500cd/m2，开模外壳，含内置拼接专用驱动板.      触摸技术 红外线阻断检测形式，不需要表面导电镀层技术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 3mm 普通钢化玻璃（可定制）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玻璃透过率 &gt;88%(更高透过率取决于玻璃的表面处理技术如AR/AG)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触摸耐久性 不限制  触摸激活力 不需要压力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输出形式 触摸坐标输出  校准 简单的 4 点校准，无漂移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响应速度 [ms] &lt;15ms   Intel Core i5 2540M/4G DDR/128G SSD固态/GTX750 显卡/600W电源/HDMi、DVI输出</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850"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界面内容设计</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1、分辨率：1920*1080；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2、动态互动界面不少于30页；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3、介绍家庭防盗的相关案例内容；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4、图片不少于50张；</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215"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防盗3D小游戏</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家庭防盗”是一款互动触摸软件，模拟白天与夜晚主人出门要做好哪些防盗措施，玩家按照提示一步步解决安全隐患，方可出门，通过游戏了解家庭防盗漏洞，加强防盗意识；“家庭防盗”是一款Flash应用，平面设计师用Photoshop制作符合要求的平面图，MAYA,3DMAX作为三维建模以及动画制作，程序上通过json进行数据的更改和存储，Action Script进行逻辑算法编写；</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377" w:hRule="atLeast"/>
        </w:trPr>
        <w:tc>
          <w:tcPr>
            <w:tcW w:w="0" w:type="auto"/>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心肺复苏模拟系统</w:t>
            </w:r>
          </w:p>
        </w:tc>
      </w:tr>
      <w:tr>
        <w:tblPrEx>
          <w:tblCellMar>
            <w:top w:w="0" w:type="dxa"/>
            <w:left w:w="0" w:type="dxa"/>
            <w:bottom w:w="0" w:type="dxa"/>
            <w:right w:w="0" w:type="dxa"/>
          </w:tblCellMar>
        </w:tblPrEx>
        <w:trPr>
          <w:trHeight w:val="3578"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液晶屏</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三星、海康威视、大华</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 55"  WLED LVDS 51pins</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尺寸：55英寸；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分辨率：1920x1080；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视角：178°(水平)/ 178°(垂直)；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响应时间：8ms(G to 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对比度：4000:1；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亮度：500cd/㎡；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物理拼缝：3.5mm；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输入接口：VGA×1，DVI×1，BNC×1，HDMI×1，USB×1；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控制接口：RJ45 for RS-232（输入×1，输出×1）；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可定制接口 3G SDI(输入×1、输出×1)、DP、HDbaseT、TVI(输入×1、输出×1)、网络源;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功耗：≤134W；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电源要求：AC 100-240V～；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寿命：≥60000 小时；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工作温度和湿度：0℃--50℃，10%--90%(无凝露)；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外形尺寸：1078.34mm(W) x 608.36mm(H) x 115.5mm(D)；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边框宽度：2.3mm(左上),1.2mm(右下)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LCD显示单元物理拼缝≤1.8mm，亮度达到610cd/㎡，对比度达到7500:1，图像显示清晰度≥1000TVL，亮度鉴别等级为11级。</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539"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内容制作</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视频及三维动画：急救处理方式及方法（止血包扎、骨折固定、烧伤烫伤、心肺复苏）每个视频长度不少于2分钟；共4套；总时间不少于8分钟，分辨率：1920*1080，PLA制；</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90"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心肺复苏术模拟（结合AED模拟操作）</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高级全自动电脑心肺复苏模拟人系统 HOM/CPR590、AED除颤仪</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r>
      <w:tr>
        <w:tblPrEx>
          <w:tblCellMar>
            <w:top w:w="0" w:type="dxa"/>
            <w:left w:w="0" w:type="dxa"/>
            <w:bottom w:w="0" w:type="dxa"/>
            <w:right w:w="0" w:type="dxa"/>
          </w:tblCellMar>
        </w:tblPrEx>
        <w:trPr>
          <w:trHeight w:val="337" w:hRule="atLeast"/>
        </w:trPr>
        <w:tc>
          <w:tcPr>
            <w:tcW w:w="0" w:type="auto"/>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成长安全体验教育系统</w:t>
            </w:r>
          </w:p>
        </w:tc>
      </w:tr>
      <w:tr>
        <w:tblPrEx>
          <w:tblCellMar>
            <w:top w:w="0" w:type="dxa"/>
            <w:left w:w="0" w:type="dxa"/>
            <w:bottom w:w="0" w:type="dxa"/>
            <w:right w:w="0" w:type="dxa"/>
          </w:tblCellMar>
        </w:tblPrEx>
        <w:trPr>
          <w:trHeight w:val="2675"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液晶屏</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三星、海康威视、大华</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 55"  WLED LVDS 51pins</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尺寸：55英寸；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分辨率：1920x1080；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视角：178°(水平)/ 178°(垂直)；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响应时间：8ms(G to 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对比度：4000:1；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亮度：500cd/㎡；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物理拼缝：3.5mm；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输入接口：VGA×1，DVI×1，BNC×1，HDMI×1，USB×1；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控制接口：RJ45 for RS-232（输入×1，输出×1）；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可定制接口 3G SDI(输入×1、输出×1)、DP、HDbaseT、TVI(输入×1、输出×1)、网络源;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功耗：≤134W；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电源要求：AC 100-240V～；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寿命：≥60000 小时；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工作温度和湿度：0℃--50℃，10%--90%(无凝露)；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外形尺寸：1078.34mm(W) x 608.36mm(H) x 115.5mm(D)；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边框宽度：2.3mm(左上),1.2mm(右下)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LCD显示单元物理拼缝≤1.8mm，亮度达到610cd/㎡，对比度达到7500:1，图像显示清晰度≥1000TVL，亮度鉴别等级为11级。</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r>
      <w:tr>
        <w:tblPrEx>
          <w:tblCellMar>
            <w:top w:w="0" w:type="dxa"/>
            <w:left w:w="0" w:type="dxa"/>
            <w:bottom w:w="0" w:type="dxa"/>
            <w:right w:w="0" w:type="dxa"/>
          </w:tblCellMar>
        </w:tblPrEx>
        <w:trPr>
          <w:trHeight w:val="1795"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成长安全体验教育系统</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成长安全体验教育系统：不少于50个内容，包含被动物咬伤怎么办、被人跟踪怎么办、乘坐地铁安全须知、搭乘扶梯安全注意事项、电梯坠落安全常识、防踩踏安全教育、火灾防范安全小学篇、火灾防范安全中学篇、家庭用电安全、溺水如何救助、骑自行车安全教育、煤气泄漏的处理方式、遇到拐骗怎么办、食物中毒预防常识、小学生交通安全注意事项、预防流行性感冒、在电梯中被困怎么办、在家中如何避震、在学校如何避震：视频格式：PAL 720度全景视频，三维动画模式，非卡通模式、平台可同时控制头盔，并获得头盔信息，同步播放、暂停等，每个三维动画内容时长不少于2分钟；</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633"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VR头盔</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PICO、大朋、松下</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PICO2.0</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显示类型 2×3.5英寸TFT屏幕、刷新率 90Hz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分辨率 单眼1440×1600，双眼2880×1600，PPI：615，3K分辨率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视角 101度、硬件配置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高通骁龙835，八核2.45GHz，64位，Kryo280架构，10nm制程工艺，3500mAh电池，4GB LPDDR4x-1866，32GB UFS2.1，支持Micro SD卡256GB扩展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通信功能 双频802.11b/g/n/ac 2.4GHz/5GHz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输入接口 USB3.0、尺寸 170×90×92mm、重量 268g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主要功能 支持佩戴眼镜，无需手动调节，观影看剧，空间游戏，游戏资源，视频资源，低延迟率，3D电影，娱乐游戏，近视可用，3h小时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其他参数 环形佩戴方式、硅胶面罩、护眼模式,自带Wedb VR浏览器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套装配件 主机、手柄、说明书、数据线、充电器</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r>
      <w:tr>
        <w:tblPrEx>
          <w:tblCellMar>
            <w:top w:w="0" w:type="dxa"/>
            <w:left w:w="0" w:type="dxa"/>
            <w:bottom w:w="0" w:type="dxa"/>
            <w:right w:w="0" w:type="dxa"/>
          </w:tblCellMar>
        </w:tblPrEx>
        <w:trPr>
          <w:trHeight w:val="2011"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触摸一体机</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远望、品奇、摩泰</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远望YW-D077</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42寸 原装工业面板,单元外观尺寸：1213mm*684mm*120mm； ，分辨率1920*1080，亮度500cd/m2，开模外壳，含内置拼接专用驱动板.      触摸技术 红外线阻断检测形式，不需要表面导电镀层技术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 3mm 普通钢化玻璃（可定制）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玻璃透过率 &gt;88%(更高透过率取决于玻璃的表面处理技术如AR/AG)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触摸耐久性 不限制  触摸激活力 不需要压力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输出形式 触摸坐标输出  校准 简单的 4 点校准，无漂移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响应速度 [ms] &lt;15ms   Intel Core i5 2540M/4G DDR/128G SSD固态/GTX750 显卡/600W电源/HDMi、DVI输出</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715"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互动触摸系统</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1、分辨率：1920*1080；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2、基于安全教育内容的互动答题；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3、互动页面不少于300多页；</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350" w:hRule="atLeast"/>
        </w:trPr>
        <w:tc>
          <w:tcPr>
            <w:tcW w:w="8380" w:type="dxa"/>
            <w:gridSpan w:val="7"/>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等线" w:hAnsi="等线" w:eastAsia="等线" w:cs="等线"/>
                <w:b/>
                <w:color w:val="000000"/>
                <w:sz w:val="21"/>
                <w:szCs w:val="21"/>
              </w:rPr>
            </w:pPr>
            <w:r>
              <w:rPr>
                <w:rFonts w:hint="eastAsia" w:ascii="等线" w:hAnsi="等线" w:eastAsia="等线" w:cs="等线"/>
                <w:b/>
                <w:color w:val="000000"/>
                <w:kern w:val="0"/>
                <w:sz w:val="21"/>
                <w:szCs w:val="21"/>
                <w:lang w:bidi="ar"/>
              </w:rPr>
              <w:t>台风模拟体验</w:t>
            </w:r>
          </w:p>
        </w:tc>
      </w:tr>
      <w:tr>
        <w:tblPrEx>
          <w:tblCellMar>
            <w:top w:w="0" w:type="dxa"/>
            <w:left w:w="0" w:type="dxa"/>
            <w:bottom w:w="0" w:type="dxa"/>
            <w:right w:w="0" w:type="dxa"/>
          </w:tblCellMar>
        </w:tblPrEx>
        <w:trPr>
          <w:trHeight w:val="1287"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投影机</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索尼、视美乐、明基</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索尼CH373</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显示技术  DLP TM 技术/ 0.65” 1080p DMD芯片;分辨率 1920 x 1080 (对应1080i/p无失真);输出亮度(高亮模式)/对比度 3500 ANSI 5000流明 / 22000 :1</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r>
      <w:tr>
        <w:tblPrEx>
          <w:tblCellMar>
            <w:top w:w="0" w:type="dxa"/>
            <w:left w:w="0" w:type="dxa"/>
            <w:bottom w:w="0" w:type="dxa"/>
            <w:right w:w="0" w:type="dxa"/>
          </w:tblCellMar>
        </w:tblPrEx>
        <w:trPr>
          <w:trHeight w:val="487"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投影支架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投影机支架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投影机支架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投影支架</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r>
      <w:tr>
        <w:tblPrEx>
          <w:tblCellMar>
            <w:top w:w="0" w:type="dxa"/>
            <w:left w:w="0" w:type="dxa"/>
            <w:bottom w:w="0" w:type="dxa"/>
            <w:right w:w="0" w:type="dxa"/>
          </w:tblCellMar>
        </w:tblPrEx>
        <w:trPr>
          <w:trHeight w:val="1566"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音响</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雅马哈、漫步者、博士</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雅马哈NX-E800</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低音单元：11cm锥形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高音单元：2.5cm半球形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输入功率(最大/一般)：110W/60W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频率响应：60 Hz-28 kHz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阻抗：6 ohms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敏感度：85 dB/2.83 V/m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尺寸(宽＊高＊深)：165 x 255 x 183 毫米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重量：3.4 千克</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674"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台风模拟风机</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天汇、沃金、思恒</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天汇SF3-2</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管道式轴流风机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SF3-2（220V 370W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转速2900 风量3000）</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877"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烟雾机</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安达利、圣鲁、金奥</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安达利 F1200R</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模拟燃烧烟雾  它是一款新颖、造型完美而又与众不同的遥控烟雾机，模拟影院环境中的制造战争、灾难、燃烧等产生的大量烟雾。电压： AC220V/240V 50Hz 加热功率：1200W 加热时间：分钟 喷出量：18000cu ft/分钟 重量：5公斤 </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782"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震动平台</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震动平台，包括栏杆造型等：规格：3.0M*2.0M*0.7M：采用整体影院控制和单座椅精确控制双控系统，单座椅控制中增加单独的控制部件解决座椅因为距离不同和高压气体衰减而产生的同步差异问题；每个气缸由单独的阀控制，精度高、无噪音、抗干扰力强；</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620"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离心风机</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BZ、天汇、思恒</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BZ-T30K4</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模拟自然风效果 影片中有刮风等场景，其就能模拟自然风让观众感受到逼真效果、直径：200mm 周速：21.8m/s 主轴转速： 2970/1390r/min</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755"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闪电模拟器</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安达利、圣鲁、金奥</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安达利 1500</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模拟电闪雷鸣 当电影中有电闪雷鸣的场景，影院大厅内便会产生耀眼的闪电，同时伴有雷击的轰鸣声，使观众仿佛置身于雷雨天中。电压： AC220V/240V 50Hz 灯泡：1500WXenon 整机尺寸： L453XW132XH214mm </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r>
      <w:tr>
        <w:tblPrEx>
          <w:tblCellMar>
            <w:top w:w="0" w:type="dxa"/>
            <w:left w:w="0" w:type="dxa"/>
            <w:bottom w:w="0" w:type="dxa"/>
            <w:right w:w="0" w:type="dxa"/>
          </w:tblCellMar>
        </w:tblPrEx>
        <w:trPr>
          <w:trHeight w:val="538"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水雾发生器</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HS、安达利、圣鲁</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HS-CS01</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下雨模拟：当影片中有下雨画面时，计算机控制安装在大厅顶上的下雨模拟器就会模拟下雨效果，观众就能感到雨水从天而降。工作压力： 8Mpa 动力源： 压缩空气 清洁度:20u</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r>
      <w:tr>
        <w:tblPrEx>
          <w:tblCellMar>
            <w:top w:w="0" w:type="dxa"/>
            <w:left w:w="0" w:type="dxa"/>
            <w:bottom w:w="0" w:type="dxa"/>
            <w:right w:w="0" w:type="dxa"/>
          </w:tblCellMar>
        </w:tblPrEx>
        <w:trPr>
          <w:trHeight w:val="5677"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平台控制系统</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控制系统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D数字工控立体媒体播放机、特效控制器、视频输出 支持HDMI,DVI,VGA等多种输出方式 影片分辨率 支持1920*1200,1280*1024,1024*768,800*600等各种分辨率 影片格式 支持MWV、avi、JPEG2000、MPEG2、MPEG4等国际通用媒体格式.并能生成字幕和对应图像的透明处理。还能完成数字音频的解码与输出。总之，它能把各种专业视频变换成能在放映机上播放的数据。如：Targa，Tiff，BMP，JPG，PNG，DDS，AVI，MPEG1，MPEG2，MPEG4，MPEG7，DIVX，JPEG、MOV，RA，RAM，ASF，WMV，RM，RMVB等。 总帧速率 支持PAL、NTSC制式，满足每秒24帧、25帧、30帧、50帧、60帧,支持1-60任意帧速率 影片 支持3D影片播放 音频 支持声道， Stereo立体声，AC3数位环绕音响，光纤输出 压缩比 1:1无损到1:100，在全分辨率下 比特量化数 RGB每颜色通道8比特 </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836"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液晶屏</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三星、海康威视、大华</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三星S24D300HS</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显示器类型：普通显示器 型号：S24D300HS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系列：其他 颜色：黑色 能效标识：一级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上市时间：2015 显示器尺寸：24英寸 显示器分辨率：1920×1080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显示比例：16:9 壁挂：不支持 面板：TN面板</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LED背光：是 响应时间：其他毫秒 对比度：典型值</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亮度：250cd/m2 可视角度：(水平/垂直)170/160 内置音箱：不支持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HDMI接口数量：2个 刷新率：1赫兹 (1/秒) 底座：普通</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电源：100-240V (50/60hz) 机身尺寸：569.0 x 417.2 x 197.0mm毫毫米 净重：1千克</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796"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高清线材等</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LANDERS、秋叶原、大华</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LANDERS</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专业HDMI高清视频线及三类线（CAT3）：在ANSI和EIA/TIA568标准中指定的电缆，该电缆的传输频率16MHz，最高传输速率为10Mbps（10Mbit/s），主要应用于语音、10Mbit/s以太网（10BASE-T）和4Mbit/s令牌环，最大网段长度为100m，采用RJ形式的连接器；</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418"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控制构架系统开发</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软件总体架构、软件总体开发实现、软件UI实现、控制软件实现、水雾控制模块、灯光控制模块、风机控制模块、软件界面设计、台风级别模块</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228"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影片内容</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1、时间：视频长度5分钟；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2、主要参与表现角色人物不少于20个，场景表现三维场景模型18套场景演绎动画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3、人物需有表情，动作自然协调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4、布料、粒子、燃烧、烟雾等动态物理学运算模拟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5、分辨率：PAL 720度全景视频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6、立体声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7、采用图形视频处理软件\合成软件\三维动画渲染和制作软件\三维动画软件\渲染软件\三维模拟软件制作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8、声音解说：一级甲等资质播音员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9、镜头语言表现按照CG动画电影的标准片长</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958" w:hRule="atLeast"/>
        </w:trPr>
        <w:tc>
          <w:tcPr>
            <w:tcW w:w="31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植物造景等</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1、GRE地面造型约2个平方；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2、植物造景4个，灌木6个；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3、画布写真12个平方；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4、其他配套环境道具营造；</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84" w:hRule="atLeast"/>
        </w:trPr>
        <w:tc>
          <w:tcPr>
            <w:tcW w:w="0" w:type="auto"/>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预防新冠病毒</w:t>
            </w:r>
          </w:p>
        </w:tc>
      </w:tr>
      <w:tr>
        <w:tblPrEx>
          <w:tblCellMar>
            <w:top w:w="0" w:type="dxa"/>
            <w:left w:w="0" w:type="dxa"/>
            <w:bottom w:w="0" w:type="dxa"/>
            <w:right w:w="0" w:type="dxa"/>
          </w:tblCellMar>
        </w:tblPrEx>
        <w:trPr>
          <w:trHeight w:val="3349"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液晶屏</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三星、海康威视、大华</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 55"  WLED LVDS 51pins</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尺寸：55英寸；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分辨率：1920x1080；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视角：178°(水平)/ 178°(垂直)；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响应时间：8ms(G to 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对比度：4000:1；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亮度：500cd/㎡；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输入接口：VGA×1，DVI×1，BNC×1，HDMI×1，USB×1；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控制接口：RJ45 for RS-232（输入×1，输出×1）；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可定制接口 3G SDI(输入×1、输出×1)、DP、HDbaseT、TVI(输入×1、输出×1)、网络源;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功耗：≤134W；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电源要求：AC 100-240V～；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寿命：≥60000 小时；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工作温度和湿度：0℃--50℃，10%--90%(无凝露)；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外形尺寸：1078.34mm(W) x 608.36mm(H) x 115.5mm(D)；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边框宽度：2.3mm(左上),1.2mm(右下)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LCD显示单元物理拼缝≤1.8mm，亮度达到610cd/㎡，对比度达到7500:1，图像显示清晰度≥1000TVL，亮度鉴别等级为11级。</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876"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内容制作</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3D动画展示：包括新冠病毒的介绍，危害，预防等：时间长度：3分钟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1、主要参与表现角色人物不少于6个，场景表现三维场景模型10套场景演绎动画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2、人物需有表情，动作自然协调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3、布料、粒子、燃烧、烟雾等动态物理学运算模拟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4、分辨率：PAL 720度全景视频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5、立体声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6、采用图形视频处理软件\合成软件\三维动画渲染和制作软件\三维动画软件\渲染软件\三维模拟软件制作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7、声音解说：一级甲等资质播音员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8、镜头语言表现按照CG动画电影的标准</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96" w:hRule="atLeast"/>
        </w:trPr>
        <w:tc>
          <w:tcPr>
            <w:tcW w:w="0" w:type="auto"/>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垃圾分类互动游戏</w:t>
            </w:r>
          </w:p>
        </w:tc>
      </w:tr>
      <w:tr>
        <w:tblPrEx>
          <w:tblCellMar>
            <w:top w:w="0" w:type="dxa"/>
            <w:left w:w="0" w:type="dxa"/>
            <w:bottom w:w="0" w:type="dxa"/>
            <w:right w:w="0" w:type="dxa"/>
          </w:tblCellMar>
        </w:tblPrEx>
        <w:trPr>
          <w:trHeight w:val="1390"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显示屏</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三星、海康威视、大华</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三星 55"  WLED LVDS 51pins</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55寸 原装工业面板,单元外观尺寸：1213mm*684mm*120mm； ，分辨率1920*1080，亮度500cd/m2，开模外壳，含内置拼接专用驱动板.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 3mm 普通钢化玻璃（可定制）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玻璃透过率 &gt;88%(更高透过率取决于玻璃的表面处理技术如AR/AG)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触摸耐久性 不限制  触摸激活力 不需要压力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输出形式 触摸坐标输出  校准 简单的 4 点校准，无漂移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响应速度 [ms] &lt;15ms</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728"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1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触摸一体机</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远望、品奇、摩泰</w:t>
            </w:r>
          </w:p>
        </w:tc>
        <w:tc>
          <w:tcPr>
            <w:tcW w:w="113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远望YW-D077</w:t>
            </w:r>
          </w:p>
        </w:tc>
        <w:tc>
          <w:tcPr>
            <w:tcW w:w="379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42寸 原装工业面板,单元外观尺寸：1213mm*684mm*120mm； ，分辨率1920*1080，亮度500cd/m2，开模外壳，含内置拼接专用驱动板.      触摸技术 红外线阻断检测形式，不需要表面导电镀层技术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 3mm 普通钢化玻璃（可定制）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玻璃透过率 &gt;88%(更高透过率取决于玻璃的表面处理技术如AR/AG)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触摸耐久性 不限制  触摸激活力 不需要压力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输出形式 触摸坐标输出  校准 简单的 4 点校准，无漂移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响应速度 [ms] &lt;15ms   Intel Core i5 2540M/4G DDR/128G SSD固态/GTX750 显卡/600W电源/HDMi、DVI输出</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2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5091" w:hRule="atLeast"/>
        </w:trPr>
        <w:tc>
          <w:tcPr>
            <w:tcW w:w="318"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91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互动触摸系统</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3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37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垃圾分类互动：采用UE4制作，包含垃圾分类连连看、垃圾分类互动识别、垃圾识别与分类互动、不文明行为互动，场景全部采用3D的制作方式， 垃圾分类游戏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技术要求：垃圾分类游戏是一款基于Unreal Engine 4引擎制作的互动游戏。游戏采用MAYA制作高精度道具模型，Substance Painter绘制4K高清贴图导入Unreal Engine 4引擎中并进行LOD优化处理，增加物理学碰撞，实现真实可信的游戏效果。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互动内容：垃圾分类游戏模拟现实生活中常见的各种生活垃圾供玩家选择，点击后会提示玩家垃圾种类，玩家最终将垃圾放置到对应的分类垃圾桶中，完成垃圾的正确分类。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垃圾分类连连看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技术要求：垃圾分类连连看是一款使用Unreal Engine 4引擎制作的互动游戏。MAYA高精度建模导入UE4引擎中根据着色器复杂程度进一步优化shader，使用法线贴图进一步优化模型面数，减少引擎性能消耗。基于蓝图编译过程完成连连看的游戏规则进行蓝图编程完成游戏制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互动内容：游戏中玩家通过连连看的方式进行垃圾的分类识别，同类型的垃圾可以1对1的方式进行消除，完成游戏的同时玩家可以了解到日常各种垃圾的正确分类。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垃圾分类识别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技术要求：垃圾分类识别是一款使用Unreal Engine 4引擎制作的互动游戏。模型的制作导入模型采用MAYA高精度建模，Substance Painter绘制4K高精度贴图。基于UE4引擎内部设置物体碰撞体，在游戏体验式提高真实度 。运用UE4引擎蓝图程序完成游戏所需要的交互要求。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互动内容：游戏中玩家可以操作拖拽随机出现的日常生活垃圾进行分类，不同类型的垃圾会有垃圾类型的提示，玩家识别正确的垃圾类型之后拖拽垃圾扔进不同分类的垃圾桶中实现正确的垃圾分类体验。</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bl>
    <w:p>
      <w:pPr>
        <w:jc w:val="left"/>
        <w:rPr>
          <w:rFonts w:hint="eastAsia"/>
          <w:sz w:val="21"/>
          <w:szCs w:val="21"/>
        </w:rPr>
      </w:pPr>
    </w:p>
    <w:p>
      <w:pPr>
        <w:jc w:val="left"/>
        <w:rPr>
          <w:rFonts w:hint="eastAsia"/>
          <w:sz w:val="21"/>
          <w:szCs w:val="21"/>
        </w:rPr>
      </w:pPr>
    </w:p>
    <w:tbl>
      <w:tblPr>
        <w:tblStyle w:val="48"/>
        <w:tblW w:w="8746" w:type="dxa"/>
        <w:tblInd w:w="0" w:type="dxa"/>
        <w:tblLayout w:type="fixed"/>
        <w:tblCellMar>
          <w:top w:w="0" w:type="dxa"/>
          <w:left w:w="0" w:type="dxa"/>
          <w:bottom w:w="0" w:type="dxa"/>
          <w:right w:w="0" w:type="dxa"/>
        </w:tblCellMar>
      </w:tblPr>
      <w:tblGrid>
        <w:gridCol w:w="576"/>
        <w:gridCol w:w="675"/>
        <w:gridCol w:w="960"/>
        <w:gridCol w:w="1125"/>
        <w:gridCol w:w="4095"/>
        <w:gridCol w:w="630"/>
        <w:gridCol w:w="685"/>
      </w:tblGrid>
      <w:tr>
        <w:tblPrEx>
          <w:tblCellMar>
            <w:top w:w="0" w:type="dxa"/>
            <w:left w:w="0" w:type="dxa"/>
            <w:bottom w:w="0" w:type="dxa"/>
            <w:right w:w="0" w:type="dxa"/>
          </w:tblCellMar>
        </w:tblPrEx>
        <w:trPr>
          <w:trHeight w:val="601" w:hRule="atLeast"/>
        </w:trPr>
        <w:tc>
          <w:tcPr>
            <w:tcW w:w="8746" w:type="dxa"/>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展厅监控及机房建设硬件及配套软件价格</w:t>
            </w:r>
          </w:p>
        </w:tc>
      </w:tr>
      <w:tr>
        <w:tblPrEx>
          <w:tblCellMar>
            <w:top w:w="0" w:type="dxa"/>
            <w:left w:w="0" w:type="dxa"/>
            <w:bottom w:w="0" w:type="dxa"/>
            <w:right w:w="0" w:type="dxa"/>
          </w:tblCellMar>
        </w:tblPrEx>
        <w:trPr>
          <w:trHeight w:val="381" w:hRule="atLeast"/>
        </w:trPr>
        <w:tc>
          <w:tcPr>
            <w:tcW w:w="576" w:type="dxa"/>
            <w:tcBorders>
              <w:top w:val="nil"/>
              <w:left w:val="single" w:color="000000" w:sz="8" w:space="0"/>
              <w:bottom w:val="single" w:color="000000" w:sz="4" w:space="0"/>
              <w:right w:val="single" w:color="000000" w:sz="4" w:space="0"/>
            </w:tcBorders>
            <w:noWrap w:val="0"/>
            <w:tcMar>
              <w:top w:w="8" w:type="dxa"/>
              <w:left w:w="8" w:type="dxa"/>
              <w:right w:w="8" w:type="dxa"/>
            </w:tcMar>
            <w:vAlign w:val="center"/>
          </w:tcPr>
          <w:p>
            <w:pPr>
              <w:jc w:val="center"/>
              <w:rPr>
                <w:rFonts w:hint="eastAsia"/>
                <w:sz w:val="21"/>
                <w:szCs w:val="21"/>
              </w:rPr>
            </w:pPr>
            <w:r>
              <w:rPr>
                <w:rFonts w:hint="eastAsia"/>
                <w:sz w:val="21"/>
                <w:szCs w:val="21"/>
              </w:rPr>
              <w:t>序号</w:t>
            </w:r>
          </w:p>
        </w:tc>
        <w:tc>
          <w:tcPr>
            <w:tcW w:w="675" w:type="dxa"/>
            <w:tcBorders>
              <w:top w:val="nil"/>
              <w:left w:val="single" w:color="000000" w:sz="4" w:space="0"/>
              <w:bottom w:val="nil"/>
              <w:right w:val="single" w:color="000000" w:sz="4" w:space="0"/>
            </w:tcBorders>
            <w:noWrap w:val="0"/>
            <w:tcMar>
              <w:top w:w="8" w:type="dxa"/>
              <w:left w:w="8" w:type="dxa"/>
              <w:right w:w="8" w:type="dxa"/>
            </w:tcMar>
            <w:vAlign w:val="center"/>
          </w:tcPr>
          <w:p>
            <w:pPr>
              <w:jc w:val="center"/>
              <w:rPr>
                <w:rFonts w:hint="eastAsia"/>
                <w:sz w:val="21"/>
                <w:szCs w:val="21"/>
              </w:rPr>
            </w:pPr>
            <w:r>
              <w:rPr>
                <w:rFonts w:hint="eastAsia"/>
                <w:sz w:val="21"/>
                <w:szCs w:val="21"/>
              </w:rPr>
              <w:t>项目</w:t>
            </w:r>
          </w:p>
        </w:tc>
        <w:tc>
          <w:tcPr>
            <w:tcW w:w="960"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sz w:val="21"/>
                <w:szCs w:val="21"/>
              </w:rPr>
            </w:pPr>
            <w:r>
              <w:rPr>
                <w:rFonts w:hint="eastAsia"/>
                <w:sz w:val="21"/>
                <w:szCs w:val="21"/>
              </w:rPr>
              <w:t>推荐品牌</w:t>
            </w:r>
          </w:p>
        </w:tc>
        <w:tc>
          <w:tcPr>
            <w:tcW w:w="112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sz w:val="21"/>
                <w:szCs w:val="21"/>
              </w:rPr>
            </w:pPr>
            <w:r>
              <w:rPr>
                <w:rFonts w:hint="eastAsia"/>
                <w:sz w:val="21"/>
                <w:szCs w:val="21"/>
              </w:rPr>
              <w:t>参考型号</w:t>
            </w:r>
          </w:p>
        </w:tc>
        <w:tc>
          <w:tcPr>
            <w:tcW w:w="409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sz w:val="21"/>
                <w:szCs w:val="21"/>
              </w:rPr>
            </w:pPr>
            <w:r>
              <w:rPr>
                <w:rFonts w:hint="eastAsia"/>
                <w:sz w:val="21"/>
                <w:szCs w:val="21"/>
              </w:rPr>
              <w:t>内容</w:t>
            </w:r>
          </w:p>
        </w:tc>
        <w:tc>
          <w:tcPr>
            <w:tcW w:w="630"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sz w:val="21"/>
                <w:szCs w:val="21"/>
              </w:rPr>
            </w:pPr>
            <w:r>
              <w:rPr>
                <w:rFonts w:hint="eastAsia"/>
                <w:sz w:val="21"/>
                <w:szCs w:val="21"/>
              </w:rPr>
              <w:t>单位</w:t>
            </w:r>
          </w:p>
        </w:tc>
        <w:tc>
          <w:tcPr>
            <w:tcW w:w="68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sz w:val="21"/>
                <w:szCs w:val="21"/>
              </w:rPr>
            </w:pPr>
            <w:r>
              <w:rPr>
                <w:rFonts w:hint="eastAsia"/>
                <w:sz w:val="21"/>
                <w:szCs w:val="21"/>
              </w:rPr>
              <w:t>数量</w:t>
            </w:r>
          </w:p>
        </w:tc>
      </w:tr>
      <w:tr>
        <w:tblPrEx>
          <w:tblCellMar>
            <w:top w:w="0" w:type="dxa"/>
            <w:left w:w="0" w:type="dxa"/>
            <w:bottom w:w="0" w:type="dxa"/>
            <w:right w:w="0" w:type="dxa"/>
          </w:tblCellMar>
        </w:tblPrEx>
        <w:trPr>
          <w:trHeight w:val="648" w:hRule="atLeast"/>
        </w:trPr>
        <w:tc>
          <w:tcPr>
            <w:tcW w:w="576" w:type="dxa"/>
            <w:tcBorders>
              <w:top w:val="single" w:color="000000" w:sz="4" w:space="0"/>
              <w:left w:val="single" w:color="000000" w:sz="8"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监控电源</w:t>
            </w:r>
          </w:p>
        </w:tc>
        <w:tc>
          <w:tcPr>
            <w:tcW w:w="96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大华、海康威视、三星</w:t>
            </w:r>
          </w:p>
        </w:tc>
        <w:tc>
          <w:tcPr>
            <w:tcW w:w="11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DH-PFM301</w:t>
            </w:r>
          </w:p>
        </w:tc>
        <w:tc>
          <w:tcPr>
            <w:tcW w:w="409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12V，2A输出，室外防水</w:t>
            </w:r>
          </w:p>
        </w:tc>
        <w:tc>
          <w:tcPr>
            <w:tcW w:w="63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个</w:t>
            </w:r>
          </w:p>
        </w:tc>
        <w:tc>
          <w:tcPr>
            <w:tcW w:w="6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 xml:space="preserve">10 </w:t>
            </w:r>
          </w:p>
        </w:tc>
      </w:tr>
      <w:tr>
        <w:tblPrEx>
          <w:tblCellMar>
            <w:top w:w="0" w:type="dxa"/>
            <w:left w:w="0" w:type="dxa"/>
            <w:bottom w:w="0" w:type="dxa"/>
            <w:right w:w="0" w:type="dxa"/>
          </w:tblCellMar>
        </w:tblPrEx>
        <w:trPr>
          <w:trHeight w:val="3796" w:hRule="atLeast"/>
        </w:trPr>
        <w:tc>
          <w:tcPr>
            <w:tcW w:w="576" w:type="dxa"/>
            <w:tcBorders>
              <w:top w:val="single" w:color="000000" w:sz="4" w:space="0"/>
              <w:left w:val="single" w:color="000000" w:sz="8"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 xml:space="preserve">2 </w:t>
            </w:r>
          </w:p>
        </w:tc>
        <w:tc>
          <w:tcPr>
            <w:tcW w:w="67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高清摄像机</w:t>
            </w:r>
          </w:p>
        </w:tc>
        <w:tc>
          <w:tcPr>
            <w:tcW w:w="96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大华、海康威视、三星</w:t>
            </w:r>
          </w:p>
        </w:tc>
        <w:tc>
          <w:tcPr>
            <w:tcW w:w="11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DH-IPC-HDBW4243R-AS-0800B</w:t>
            </w:r>
          </w:p>
        </w:tc>
        <w:tc>
          <w:tcPr>
            <w:tcW w:w="409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像素 400万</w:t>
            </w:r>
            <w:r>
              <w:rPr>
                <w:rFonts w:hint="eastAsia"/>
                <w:sz w:val="21"/>
                <w:szCs w:val="21"/>
              </w:rPr>
              <w:br w:type="textWrapping"/>
            </w:r>
            <w:r>
              <w:rPr>
                <w:rFonts w:hint="eastAsia"/>
                <w:sz w:val="21"/>
                <w:szCs w:val="21"/>
              </w:rPr>
              <w:t>最大分辨率 1920×1080 扫描方式 逐行扫描 电子快门 1/3s~1/100000s（可手动或自动调节）</w:t>
            </w:r>
            <w:r>
              <w:rPr>
                <w:rFonts w:hint="eastAsia"/>
                <w:sz w:val="21"/>
                <w:szCs w:val="21"/>
              </w:rPr>
              <w:br w:type="textWrapping"/>
            </w:r>
            <w:r>
              <w:rPr>
                <w:rFonts w:hint="eastAsia"/>
                <w:sz w:val="21"/>
                <w:szCs w:val="21"/>
              </w:rPr>
              <w:t>最低照度 0.002Lux（彩色模式）；0.0002Lux（黑白模式）；0Lux（补光灯开启） 信噪比 ＞56dB</w:t>
            </w:r>
            <w:r>
              <w:rPr>
                <w:rFonts w:hint="eastAsia"/>
                <w:sz w:val="21"/>
                <w:szCs w:val="21"/>
              </w:rPr>
              <w:br w:type="textWrapping"/>
            </w:r>
            <w:r>
              <w:rPr>
                <w:rFonts w:hint="eastAsia"/>
                <w:sz w:val="21"/>
                <w:szCs w:val="21"/>
              </w:rPr>
              <w:t>最大补光距离 30m（红外）补光灯 1颗（红外灯）调整角度 水平：0°~355°垂直：0°~75°旋转：0°~355°</w:t>
            </w:r>
            <w:r>
              <w:rPr>
                <w:rFonts w:hint="eastAsia"/>
                <w:sz w:val="21"/>
                <w:szCs w:val="21"/>
              </w:rPr>
              <w:br w:type="textWrapping"/>
            </w:r>
            <w:r>
              <w:rPr>
                <w:rFonts w:hint="eastAsia"/>
                <w:sz w:val="21"/>
                <w:szCs w:val="21"/>
              </w:rPr>
              <w:t>镜头类型 定焦镜头接口 M12镜头焦距 8mm镜头光圈 F1.6视场角 水平：40.5°垂直：22.5°对角：46.7°光圈控制 固定光圈近摄距 4.0m</w:t>
            </w:r>
            <w:r>
              <w:rPr>
                <w:rFonts w:hint="eastAsia"/>
                <w:sz w:val="21"/>
                <w:szCs w:val="21"/>
              </w:rPr>
              <w:br w:type="textWrapping"/>
            </w:r>
            <w:r>
              <w:rPr>
                <w:rFonts w:hint="eastAsia"/>
                <w:sz w:val="21"/>
                <w:szCs w:val="21"/>
              </w:rPr>
              <w:t>通用行为分析 物品遗留；物品搬移热度图 支持深度智能 支持周界防范 绊线入侵；区域入侵；快速移动（三项均支持人车分类及精准检测）；徘徊检测；人员聚集；停车检测智能检索 配合Smart NVR实现事件录像的二次智能检索、分析和浓缩播放视频压缩标准 H.265；H.264；H.264H；H.264B；MJPEG</w:t>
            </w:r>
            <w:r>
              <w:rPr>
                <w:rFonts w:hint="eastAsia"/>
                <w:sz w:val="21"/>
                <w:szCs w:val="21"/>
              </w:rPr>
              <w:br w:type="textWrapping"/>
            </w:r>
            <w:r>
              <w:rPr>
                <w:rFonts w:hint="eastAsia"/>
                <w:sz w:val="21"/>
                <w:szCs w:val="21"/>
              </w:rPr>
              <w:t>智能编码 H.264：支持H.265：支持视频帧率 50Hz主码流（1920×1080@25fps），辅码流（704×576@25fps），第三码流（704×576@25fps）</w:t>
            </w:r>
            <w:r>
              <w:rPr>
                <w:rFonts w:hint="eastAsia"/>
                <w:sz w:val="21"/>
                <w:szCs w:val="21"/>
              </w:rPr>
              <w:br w:type="textWrapping"/>
            </w:r>
            <w:r>
              <w:rPr>
                <w:rFonts w:hint="eastAsia"/>
                <w:sz w:val="21"/>
                <w:szCs w:val="21"/>
              </w:rPr>
              <w:t>主码流（1920×1080@25fps），辅码流（704×576@25fps），第三码流（1920×1080@10fps）60Hz主码流（1920×1080@30fps），辅码流（704×480@30fps），第三码流（704×480@6fps）主码流（1920×1080@30fps），辅码流（704×480@30fps），第三码流（1920×1080@1fps）</w:t>
            </w:r>
            <w:r>
              <w:rPr>
                <w:rFonts w:hint="eastAsia"/>
                <w:sz w:val="21"/>
                <w:szCs w:val="21"/>
              </w:rPr>
              <w:br w:type="textWrapping"/>
            </w:r>
            <w:r>
              <w:rPr>
                <w:rFonts w:hint="eastAsia"/>
                <w:sz w:val="21"/>
                <w:szCs w:val="21"/>
              </w:rPr>
              <w:t>视频码率 H.264：32Kbps ~ 8192KbpsH.265：19Kbps ~ 8192Kbps日夜转换 ICR自动切换背光补偿 支持强光抑制 支持宽动态 120dB白平衡 自动/自然光/路灯/室外/手动/区域自定义增益控制 手动/自动降噪 3D降噪默认分辨率下默认码流 4096kbps（1080P）透雾功能 支持</w:t>
            </w:r>
            <w:r>
              <w:rPr>
                <w:rFonts w:hint="eastAsia"/>
                <w:sz w:val="21"/>
                <w:szCs w:val="21"/>
              </w:rPr>
              <w:br w:type="textWrapping"/>
            </w:r>
            <w:r>
              <w:rPr>
                <w:rFonts w:hint="eastAsia"/>
                <w:sz w:val="21"/>
                <w:szCs w:val="21"/>
              </w:rPr>
              <w:t>图像翻转 支持走廊模式 90°：1080P（1920×1080）；1.3M（1280×960）；720P（1280×720）；D1（704× 576/704×480）；VGA（640×480）；CIF（352×288/352×240）270°：1080P（1920×1080）；1.3M（1280×960）；720P（1280×720）；D1（704× 576/704×480）；VGA（640×480）；CIF（352×288/352×240）镜像 支持隐私遮挡 4块</w:t>
            </w:r>
            <w:r>
              <w:rPr>
                <w:rFonts w:hint="eastAsia"/>
                <w:sz w:val="21"/>
                <w:szCs w:val="21"/>
              </w:rPr>
              <w:br w:type="textWrapping"/>
            </w:r>
            <w:r>
              <w:rPr>
                <w:rFonts w:hint="eastAsia"/>
                <w:sz w:val="21"/>
                <w:szCs w:val="21"/>
              </w:rPr>
              <w:t>音频接口 支持音频压缩标准 G.711a；G.711Mu；G.726；AAC；MPEG2-Layer2；G.722.1；G.729；G.723</w:t>
            </w:r>
            <w:r>
              <w:rPr>
                <w:rFonts w:hint="eastAsia"/>
                <w:sz w:val="21"/>
                <w:szCs w:val="21"/>
              </w:rPr>
              <w:br w:type="textWrapping"/>
            </w:r>
            <w:r>
              <w:rPr>
                <w:rFonts w:hint="eastAsia"/>
                <w:sz w:val="21"/>
                <w:szCs w:val="21"/>
              </w:rPr>
              <w:t>音频采样率 8KHz/16KHz/32KHz/48KHz/64KHz报警 支持</w:t>
            </w:r>
            <w:r>
              <w:rPr>
                <w:rFonts w:hint="eastAsia"/>
                <w:sz w:val="21"/>
                <w:szCs w:val="21"/>
              </w:rPr>
              <w:br w:type="textWrapping"/>
            </w:r>
            <w:r>
              <w:rPr>
                <w:rFonts w:hint="eastAsia"/>
                <w:sz w:val="21"/>
                <w:szCs w:val="21"/>
              </w:rPr>
              <w:t>报警事件 无SD卡；SD卡空间不足；SD卡出错；网络断开；IP冲突；非法访问；动态检测；视频遮挡；绊线入侵；区域入侵；快速移动；物品遗留；物品搬移；人员聚集；停车检测；场景变更；音频异常侦测；电压检测；外部报警；徘徊检测</w:t>
            </w:r>
            <w:r>
              <w:rPr>
                <w:rFonts w:hint="eastAsia"/>
                <w:sz w:val="21"/>
                <w:szCs w:val="21"/>
              </w:rPr>
              <w:br w:type="textWrapping"/>
            </w:r>
            <w:r>
              <w:rPr>
                <w:rFonts w:hint="eastAsia"/>
                <w:sz w:val="21"/>
                <w:szCs w:val="21"/>
              </w:rPr>
              <w:t>网络接口 1个（支持10M/100M 网络数据）网络协议 HTTP；TCP；ARP；RTSP；RTP；UDP；RTCP；SMTP；FTP；DHCP；DNS；DDNS；PPPoE；IPv4/v6；SNMP；QoS；UPnP；NTP接入标准 ONVIF（Profile S/Profile G）；CGI；GB/T28181；P2P</w:t>
            </w:r>
            <w:r>
              <w:rPr>
                <w:rFonts w:hint="eastAsia"/>
                <w:sz w:val="21"/>
                <w:szCs w:val="21"/>
              </w:rPr>
              <w:br w:type="textWrapping"/>
            </w:r>
            <w:r>
              <w:rPr>
                <w:rFonts w:hint="eastAsia"/>
                <w:sz w:val="21"/>
                <w:szCs w:val="21"/>
              </w:rPr>
              <w:t>预览最大用户数 20个存储功能 乐橙云；FTP；Micro SD卡（最大支持256G）；NAS</w:t>
            </w:r>
          </w:p>
        </w:tc>
        <w:tc>
          <w:tcPr>
            <w:tcW w:w="63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台</w:t>
            </w:r>
          </w:p>
        </w:tc>
        <w:tc>
          <w:tcPr>
            <w:tcW w:w="68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 xml:space="preserve">8 </w:t>
            </w:r>
          </w:p>
        </w:tc>
      </w:tr>
      <w:tr>
        <w:tblPrEx>
          <w:tblCellMar>
            <w:top w:w="0" w:type="dxa"/>
            <w:left w:w="0" w:type="dxa"/>
            <w:bottom w:w="0" w:type="dxa"/>
            <w:right w:w="0" w:type="dxa"/>
          </w:tblCellMar>
        </w:tblPrEx>
        <w:trPr>
          <w:trHeight w:val="395" w:hRule="atLeast"/>
        </w:trPr>
        <w:tc>
          <w:tcPr>
            <w:tcW w:w="8746" w:type="dxa"/>
            <w:gridSpan w:val="7"/>
            <w:tcBorders>
              <w:top w:val="single" w:color="000000" w:sz="4" w:space="0"/>
              <w:left w:val="single" w:color="000000" w:sz="8"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小计</w:t>
            </w:r>
          </w:p>
        </w:tc>
      </w:tr>
      <w:tr>
        <w:tblPrEx>
          <w:tblCellMar>
            <w:top w:w="0" w:type="dxa"/>
            <w:left w:w="0" w:type="dxa"/>
            <w:bottom w:w="0" w:type="dxa"/>
            <w:right w:w="0" w:type="dxa"/>
          </w:tblCellMar>
        </w:tblPrEx>
        <w:trPr>
          <w:trHeight w:val="1428" w:hRule="atLeast"/>
        </w:trPr>
        <w:tc>
          <w:tcPr>
            <w:tcW w:w="576" w:type="dxa"/>
            <w:tcBorders>
              <w:top w:val="single" w:color="000000" w:sz="4" w:space="0"/>
              <w:left w:val="single" w:color="000000" w:sz="8" w:space="0"/>
              <w:bottom w:val="single" w:color="000000" w:sz="4" w:space="0"/>
              <w:right w:val="nil"/>
            </w:tcBorders>
            <w:noWrap/>
            <w:tcMar>
              <w:top w:w="8" w:type="dxa"/>
              <w:left w:w="8" w:type="dxa"/>
              <w:right w:w="8" w:type="dxa"/>
            </w:tcMar>
            <w:vAlign w:val="center"/>
          </w:tcPr>
          <w:p>
            <w:pPr>
              <w:jc w:val="left"/>
              <w:rPr>
                <w:rFonts w:hint="eastAsia"/>
                <w:sz w:val="21"/>
                <w:szCs w:val="21"/>
              </w:rPr>
            </w:pPr>
            <w:r>
              <w:rPr>
                <w:rFonts w:hint="eastAsia"/>
                <w:sz w:val="21"/>
                <w:szCs w:val="21"/>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高清数字硬盘录像机</w:t>
            </w:r>
          </w:p>
        </w:tc>
        <w:tc>
          <w:tcPr>
            <w:tcW w:w="96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DVR、大华、海康威视</w:t>
            </w:r>
          </w:p>
        </w:tc>
        <w:tc>
          <w:tcPr>
            <w:tcW w:w="112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DH-DVR5816-S</w:t>
            </w:r>
          </w:p>
        </w:tc>
        <w:tc>
          <w:tcPr>
            <w:tcW w:w="4095" w:type="dxa"/>
            <w:tcBorders>
              <w:top w:val="single" w:color="000000" w:sz="4" w:space="0"/>
              <w:left w:val="nil"/>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 xml:space="preserve">支持1080P高清预览；支持TV、VGA、HDMI同步输出；支持配额录像、多路录像同步回放  </w:t>
            </w:r>
            <w:r>
              <w:rPr>
                <w:rFonts w:hint="eastAsia"/>
                <w:sz w:val="21"/>
                <w:szCs w:val="21"/>
              </w:rPr>
              <w:br w:type="textWrapping"/>
            </w:r>
            <w:r>
              <w:rPr>
                <w:rFonts w:hint="eastAsia"/>
                <w:sz w:val="21"/>
                <w:szCs w:val="21"/>
              </w:rPr>
              <w:t xml:space="preserve">支持标签回放；支持矩阵、环通输出；支持DDNS动态域名解析；支持P2P私网穿透；支持模数转换 </w:t>
            </w:r>
          </w:p>
        </w:tc>
        <w:tc>
          <w:tcPr>
            <w:tcW w:w="63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台</w:t>
            </w:r>
          </w:p>
        </w:tc>
        <w:tc>
          <w:tcPr>
            <w:tcW w:w="6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 xml:space="preserve">1 </w:t>
            </w:r>
          </w:p>
        </w:tc>
      </w:tr>
      <w:tr>
        <w:tblPrEx>
          <w:tblCellMar>
            <w:top w:w="0" w:type="dxa"/>
            <w:left w:w="0" w:type="dxa"/>
            <w:bottom w:w="0" w:type="dxa"/>
            <w:right w:w="0" w:type="dxa"/>
          </w:tblCellMar>
        </w:tblPrEx>
        <w:trPr>
          <w:trHeight w:val="586" w:hRule="atLeast"/>
        </w:trPr>
        <w:tc>
          <w:tcPr>
            <w:tcW w:w="576" w:type="dxa"/>
            <w:tcBorders>
              <w:top w:val="single" w:color="000000" w:sz="4" w:space="0"/>
              <w:left w:val="single" w:color="000000" w:sz="8" w:space="0"/>
              <w:bottom w:val="single" w:color="000000" w:sz="4" w:space="0"/>
              <w:right w:val="nil"/>
            </w:tcBorders>
            <w:noWrap/>
            <w:tcMar>
              <w:top w:w="8" w:type="dxa"/>
              <w:left w:w="8" w:type="dxa"/>
              <w:right w:w="8" w:type="dxa"/>
            </w:tcMar>
            <w:vAlign w:val="center"/>
          </w:tcPr>
          <w:p>
            <w:pPr>
              <w:jc w:val="left"/>
              <w:rPr>
                <w:rFonts w:hint="eastAsia"/>
                <w:sz w:val="21"/>
                <w:szCs w:val="21"/>
              </w:rPr>
            </w:pPr>
            <w:r>
              <w:rPr>
                <w:rFonts w:hint="eastAsia"/>
                <w:sz w:val="21"/>
                <w:szCs w:val="21"/>
              </w:rPr>
              <w:t xml:space="preserve">2 </w:t>
            </w:r>
          </w:p>
        </w:tc>
        <w:tc>
          <w:tcPr>
            <w:tcW w:w="67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数据存储硬盘</w:t>
            </w:r>
          </w:p>
        </w:tc>
        <w:tc>
          <w:tcPr>
            <w:tcW w:w="96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海康威视、日立、希捷</w:t>
            </w:r>
          </w:p>
        </w:tc>
        <w:tc>
          <w:tcPr>
            <w:tcW w:w="11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ST4000VX000</w:t>
            </w:r>
          </w:p>
        </w:tc>
        <w:tc>
          <w:tcPr>
            <w:tcW w:w="4095"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8T监控级硬盘、按有效存储30-45天计算</w:t>
            </w:r>
          </w:p>
        </w:tc>
        <w:tc>
          <w:tcPr>
            <w:tcW w:w="63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块</w:t>
            </w:r>
          </w:p>
        </w:tc>
        <w:tc>
          <w:tcPr>
            <w:tcW w:w="6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 xml:space="preserve">4 </w:t>
            </w:r>
          </w:p>
        </w:tc>
      </w:tr>
      <w:tr>
        <w:tblPrEx>
          <w:tblCellMar>
            <w:top w:w="0" w:type="dxa"/>
            <w:left w:w="0" w:type="dxa"/>
            <w:bottom w:w="0" w:type="dxa"/>
            <w:right w:w="0" w:type="dxa"/>
          </w:tblCellMar>
        </w:tblPrEx>
        <w:trPr>
          <w:trHeight w:val="667" w:hRule="atLeast"/>
        </w:trPr>
        <w:tc>
          <w:tcPr>
            <w:tcW w:w="576" w:type="dxa"/>
            <w:tcBorders>
              <w:top w:val="single" w:color="000000" w:sz="4" w:space="0"/>
              <w:left w:val="single" w:color="000000" w:sz="8" w:space="0"/>
              <w:bottom w:val="single" w:color="000000" w:sz="4" w:space="0"/>
              <w:right w:val="nil"/>
            </w:tcBorders>
            <w:noWrap/>
            <w:tcMar>
              <w:top w:w="8" w:type="dxa"/>
              <w:left w:w="8" w:type="dxa"/>
              <w:right w:w="8" w:type="dxa"/>
            </w:tcMar>
            <w:vAlign w:val="center"/>
          </w:tcPr>
          <w:p>
            <w:pPr>
              <w:jc w:val="left"/>
              <w:rPr>
                <w:rFonts w:hint="eastAsia"/>
                <w:sz w:val="21"/>
                <w:szCs w:val="21"/>
              </w:rPr>
            </w:pPr>
            <w:r>
              <w:rPr>
                <w:rFonts w:hint="eastAsia"/>
                <w:sz w:val="21"/>
                <w:szCs w:val="21"/>
              </w:rPr>
              <w:t xml:space="preserve">3 </w:t>
            </w:r>
          </w:p>
        </w:tc>
        <w:tc>
          <w:tcPr>
            <w:tcW w:w="67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系统控制电脑</w:t>
            </w:r>
          </w:p>
        </w:tc>
        <w:tc>
          <w:tcPr>
            <w:tcW w:w="96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联想、戴尔、惠普</w:t>
            </w:r>
          </w:p>
        </w:tc>
        <w:tc>
          <w:tcPr>
            <w:tcW w:w="11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L-H3050</w:t>
            </w:r>
          </w:p>
        </w:tc>
        <w:tc>
          <w:tcPr>
            <w:tcW w:w="4095" w:type="dxa"/>
            <w:tcBorders>
              <w:top w:val="single" w:color="000000" w:sz="4" w:space="0"/>
              <w:left w:val="nil"/>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Intel Core i5 6500/8G/1T/2G独显/DVD/千兆网卡/23英寸</w:t>
            </w:r>
          </w:p>
        </w:tc>
        <w:tc>
          <w:tcPr>
            <w:tcW w:w="63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台</w:t>
            </w:r>
          </w:p>
        </w:tc>
        <w:tc>
          <w:tcPr>
            <w:tcW w:w="6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 xml:space="preserve">1 </w:t>
            </w:r>
          </w:p>
        </w:tc>
      </w:tr>
      <w:tr>
        <w:tblPrEx>
          <w:tblCellMar>
            <w:top w:w="0" w:type="dxa"/>
            <w:left w:w="0" w:type="dxa"/>
            <w:bottom w:w="0" w:type="dxa"/>
            <w:right w:w="0" w:type="dxa"/>
          </w:tblCellMar>
        </w:tblPrEx>
        <w:trPr>
          <w:trHeight w:val="6229" w:hRule="atLeast"/>
        </w:trPr>
        <w:tc>
          <w:tcPr>
            <w:tcW w:w="576" w:type="dxa"/>
            <w:tcBorders>
              <w:top w:val="single" w:color="000000" w:sz="4" w:space="0"/>
              <w:left w:val="single" w:color="000000" w:sz="8" w:space="0"/>
              <w:bottom w:val="single" w:color="000000" w:sz="4" w:space="0"/>
              <w:right w:val="nil"/>
            </w:tcBorders>
            <w:noWrap/>
            <w:tcMar>
              <w:top w:w="8" w:type="dxa"/>
              <w:left w:w="8" w:type="dxa"/>
              <w:right w:w="8" w:type="dxa"/>
            </w:tcMar>
            <w:vAlign w:val="center"/>
          </w:tcPr>
          <w:p>
            <w:pPr>
              <w:jc w:val="left"/>
              <w:rPr>
                <w:rFonts w:hint="eastAsia"/>
                <w:sz w:val="21"/>
                <w:szCs w:val="21"/>
              </w:rPr>
            </w:pPr>
            <w:r>
              <w:rPr>
                <w:rFonts w:hint="eastAsia"/>
                <w:sz w:val="21"/>
                <w:szCs w:val="21"/>
              </w:rPr>
              <w:t xml:space="preserve">4 </w:t>
            </w:r>
          </w:p>
        </w:tc>
        <w:tc>
          <w:tcPr>
            <w:tcW w:w="67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千兆交换机</w:t>
            </w:r>
          </w:p>
        </w:tc>
        <w:tc>
          <w:tcPr>
            <w:tcW w:w="96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华为、TPLINK、乐光</w:t>
            </w:r>
          </w:p>
        </w:tc>
        <w:tc>
          <w:tcPr>
            <w:tcW w:w="11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S5700-24TP-SI-AC</w:t>
            </w:r>
          </w:p>
        </w:tc>
        <w:tc>
          <w:tcPr>
            <w:tcW w:w="4095" w:type="dxa"/>
            <w:tcBorders>
              <w:top w:val="single" w:color="000000" w:sz="4" w:space="0"/>
              <w:left w:val="nil"/>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产品类型 千兆以太网交换机应用层级 三层 传输速率 10/100/1000Mbps 交换方式 存储-转发  背板带宽 256Gbps</w:t>
            </w:r>
            <w:r>
              <w:rPr>
                <w:rFonts w:hint="eastAsia"/>
                <w:sz w:val="21"/>
                <w:szCs w:val="21"/>
              </w:rPr>
              <w:br w:type="textWrapping"/>
            </w:r>
            <w:r>
              <w:rPr>
                <w:rFonts w:hint="eastAsia"/>
                <w:sz w:val="21"/>
                <w:szCs w:val="21"/>
              </w:rPr>
              <w:t>包转发率 72Mpps MAC地址表 16K 端口参数 端口结构 非模块化  端口数量 24个 端口描述 24个10/100/1000Base-T端口</w:t>
            </w:r>
            <w:r>
              <w:rPr>
                <w:rFonts w:hint="eastAsia"/>
                <w:sz w:val="21"/>
                <w:szCs w:val="21"/>
              </w:rPr>
              <w:br w:type="textWrapping"/>
            </w:r>
            <w:r>
              <w:rPr>
                <w:rFonts w:hint="eastAsia"/>
                <w:sz w:val="21"/>
                <w:szCs w:val="21"/>
              </w:rPr>
              <w:t>控制端口 4个100/1000Base-X千兆Combo口 扩展模块 1个堆叠扩展插槽 传输模式 全双工/半双工自适应  功能特性</w:t>
            </w:r>
            <w:r>
              <w:rPr>
                <w:rFonts w:hint="eastAsia"/>
                <w:sz w:val="21"/>
                <w:szCs w:val="21"/>
              </w:rPr>
              <w:br w:type="textWrapping"/>
            </w:r>
            <w:r>
              <w:rPr>
                <w:rFonts w:hint="eastAsia"/>
                <w:sz w:val="21"/>
                <w:szCs w:val="21"/>
              </w:rPr>
              <w:t>网络标准 IEEE 802.3，IEEE 802.3u，IEEE 802.3ab，IEEE 802.3z，IEEE 802.3x，IEEE 802.1Q，IEEE 802.1d，IEEE 802.1X</w:t>
            </w:r>
            <w:r>
              <w:rPr>
                <w:rFonts w:hint="eastAsia"/>
                <w:sz w:val="21"/>
                <w:szCs w:val="21"/>
              </w:rPr>
              <w:br w:type="textWrapping"/>
            </w:r>
            <w:r>
              <w:rPr>
                <w:rFonts w:hint="eastAsia"/>
                <w:sz w:val="21"/>
                <w:szCs w:val="21"/>
              </w:rPr>
              <w:t>堆叠功能 可堆叠 VLAN 支持4K个VLAN 支持Guest VLAN、Voice VLAN 支持基于MAC/协议/IP子网/策略/端口的VLAN</w:t>
            </w:r>
            <w:r>
              <w:rPr>
                <w:rFonts w:hint="eastAsia"/>
                <w:sz w:val="21"/>
                <w:szCs w:val="21"/>
              </w:rPr>
              <w:br w:type="textWrapping"/>
            </w:r>
            <w:r>
              <w:rPr>
                <w:rFonts w:hint="eastAsia"/>
                <w:sz w:val="21"/>
                <w:szCs w:val="21"/>
              </w:rPr>
              <w:t>支持1:1和N:1 VLAN交换功能 QOS 支持对端口接收和发送报文的速率进行限制 支持报文重定</w:t>
            </w:r>
            <w:r>
              <w:rPr>
                <w:rFonts w:hint="eastAsia"/>
                <w:sz w:val="21"/>
                <w:szCs w:val="21"/>
              </w:rPr>
              <w:br w:type="textWrapping"/>
            </w:r>
            <w:r>
              <w:rPr>
                <w:rFonts w:hint="eastAsia"/>
                <w:sz w:val="21"/>
                <w:szCs w:val="21"/>
              </w:rPr>
              <w:t>支持基于端口的流量监管，支持双速三色CAR功能 每端口支持8个队列 支持WRR、DRR、SP、WRR＋SP、DRR+SP队列调度算法</w:t>
            </w:r>
            <w:r>
              <w:rPr>
                <w:rFonts w:hint="eastAsia"/>
                <w:sz w:val="21"/>
                <w:szCs w:val="21"/>
              </w:rPr>
              <w:br w:type="textWrapping"/>
            </w:r>
            <w:r>
              <w:rPr>
                <w:rFonts w:hint="eastAsia"/>
                <w:sz w:val="21"/>
                <w:szCs w:val="21"/>
              </w:rPr>
              <w:t>支持报文的802.1p和DSCP优先级重新标记 支持L2（Layer 2）-L4（Layer 4）包过滤功能，提供基于源MAC</w:t>
            </w:r>
            <w:r>
              <w:rPr>
                <w:rFonts w:hint="eastAsia"/>
                <w:sz w:val="21"/>
                <w:szCs w:val="21"/>
              </w:rPr>
              <w:br w:type="textWrapping"/>
            </w:r>
            <w:r>
              <w:rPr>
                <w:rFonts w:hint="eastAsia"/>
                <w:sz w:val="21"/>
                <w:szCs w:val="21"/>
              </w:rPr>
              <w:t>地址、目的MAC地址、源IP地址、目的IP地址、端口、协议、VLAN 的非法帧过滤功能</w:t>
            </w:r>
            <w:r>
              <w:rPr>
                <w:rFonts w:hint="eastAsia"/>
                <w:sz w:val="21"/>
                <w:szCs w:val="21"/>
              </w:rPr>
              <w:br w:type="textWrapping"/>
            </w:r>
            <w:r>
              <w:rPr>
                <w:rFonts w:hint="eastAsia"/>
                <w:sz w:val="21"/>
                <w:szCs w:val="21"/>
              </w:rPr>
              <w:t>支持基于队列限速和端口Shapping功能 组播管理 支持IGMP v1/v2/v3 Snooping 和快速离开机制</w:t>
            </w:r>
            <w:r>
              <w:rPr>
                <w:rFonts w:hint="eastAsia"/>
                <w:sz w:val="21"/>
                <w:szCs w:val="21"/>
              </w:rPr>
              <w:br w:type="textWrapping"/>
            </w:r>
            <w:r>
              <w:rPr>
                <w:rFonts w:hint="eastAsia"/>
                <w:sz w:val="21"/>
                <w:szCs w:val="21"/>
              </w:rPr>
              <w:t>支持VLAN内组播转发和组播 多VLAN复制 支持捆绑端口的组播负载分担 支持可控组播 基于端口的组播流量统计 网络管理 支持堆叠</w:t>
            </w:r>
            <w:r>
              <w:rPr>
                <w:rFonts w:hint="eastAsia"/>
                <w:sz w:val="21"/>
                <w:szCs w:val="21"/>
              </w:rPr>
              <w:br w:type="textWrapping"/>
            </w:r>
            <w:r>
              <w:rPr>
                <w:rFonts w:hint="eastAsia"/>
                <w:sz w:val="21"/>
                <w:szCs w:val="21"/>
              </w:rPr>
              <w:t>支持MFF 支持虚拟电缆检测（Virtual Cable Test） 支持端口镜像和RSPAN（远程端口镜像）支持Telnet远程配置、维护支持SNMPv1/v2/v3</w:t>
            </w:r>
            <w:r>
              <w:rPr>
                <w:rFonts w:hint="eastAsia"/>
                <w:sz w:val="21"/>
                <w:szCs w:val="21"/>
              </w:rPr>
              <w:br w:type="textWrapping"/>
            </w:r>
            <w:r>
              <w:rPr>
                <w:rFonts w:hint="eastAsia"/>
                <w:sz w:val="21"/>
                <w:szCs w:val="21"/>
              </w:rPr>
              <w:t>支持RMON 支持网管系统、支持WEB网管特性 支持集群管理HGMP 支持系统日志、分级告警 支持GVRP协议 支持MUX VLAN功 安全管理 用户分级管理和口令保护 支持防止DOS、ARP攻击功能、ICMP防攻击 支持IP、MAC、端口、VLAN的组合绑定 支持端口隔离、端口安全、Sticky MAC 支持黑洞MAC地址</w:t>
            </w:r>
            <w:r>
              <w:rPr>
                <w:rFonts w:hint="eastAsia"/>
                <w:sz w:val="21"/>
                <w:szCs w:val="21"/>
              </w:rPr>
              <w:br w:type="textWrapping"/>
            </w:r>
            <w:r>
              <w:rPr>
                <w:rFonts w:hint="eastAsia"/>
                <w:sz w:val="21"/>
                <w:szCs w:val="21"/>
              </w:rPr>
              <w:t>支持MAC地址学习数目限制 支持IEEE 802.1X认证，支持单端口最大用户数限制 支持AAA认证，支持Radius、TACACS+、NAC等多种方式 支持SSH V2.0</w:t>
            </w:r>
            <w:r>
              <w:rPr>
                <w:rFonts w:hint="eastAsia"/>
                <w:sz w:val="21"/>
                <w:szCs w:val="21"/>
              </w:rPr>
              <w:br w:type="textWrapping"/>
            </w:r>
            <w:r>
              <w:rPr>
                <w:rFonts w:hint="eastAsia"/>
                <w:sz w:val="21"/>
                <w:szCs w:val="21"/>
              </w:rPr>
              <w:t>支持HTTPS 支持CPU保护功能 支持 黑名单和白名单</w:t>
            </w:r>
            <w:r>
              <w:rPr>
                <w:rFonts w:hint="eastAsia"/>
                <w:sz w:val="21"/>
                <w:szCs w:val="21"/>
              </w:rPr>
              <w:br w:type="textWrapping"/>
            </w:r>
            <w:r>
              <w:rPr>
                <w:rFonts w:hint="eastAsia"/>
                <w:sz w:val="21"/>
                <w:szCs w:val="21"/>
              </w:rPr>
              <w:t>其它参数 电源电压 AC 100-240V  电源功率 &lt;40W</w:t>
            </w:r>
            <w:r>
              <w:rPr>
                <w:rFonts w:hint="eastAsia"/>
                <w:sz w:val="21"/>
                <w:szCs w:val="21"/>
              </w:rPr>
              <w:br w:type="textWrapping"/>
            </w:r>
            <w:r>
              <w:rPr>
                <w:rFonts w:hint="eastAsia"/>
                <w:sz w:val="21"/>
                <w:szCs w:val="21"/>
              </w:rPr>
              <w:t>产品尺寸 250×180×43.6mm 产品重量 &lt;1.4kg 环境标准 工作温度：0-50℃ 工作湿度：10%-90% 存储温度：-5-55℃ 存储湿度：10%-90%</w:t>
            </w:r>
          </w:p>
        </w:tc>
        <w:tc>
          <w:tcPr>
            <w:tcW w:w="63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台</w:t>
            </w:r>
          </w:p>
        </w:tc>
        <w:tc>
          <w:tcPr>
            <w:tcW w:w="6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 xml:space="preserve">1 </w:t>
            </w:r>
          </w:p>
        </w:tc>
      </w:tr>
      <w:tr>
        <w:tblPrEx>
          <w:tblCellMar>
            <w:top w:w="0" w:type="dxa"/>
            <w:left w:w="0" w:type="dxa"/>
            <w:bottom w:w="0" w:type="dxa"/>
            <w:right w:w="0" w:type="dxa"/>
          </w:tblCellMar>
        </w:tblPrEx>
        <w:trPr>
          <w:trHeight w:val="538" w:hRule="atLeast"/>
        </w:trPr>
        <w:tc>
          <w:tcPr>
            <w:tcW w:w="576" w:type="dxa"/>
            <w:tcBorders>
              <w:top w:val="single" w:color="000000" w:sz="4" w:space="0"/>
              <w:left w:val="single" w:color="000000" w:sz="8" w:space="0"/>
              <w:bottom w:val="single" w:color="000000" w:sz="4" w:space="0"/>
              <w:right w:val="nil"/>
            </w:tcBorders>
            <w:noWrap/>
            <w:tcMar>
              <w:top w:w="8" w:type="dxa"/>
              <w:left w:w="8" w:type="dxa"/>
              <w:right w:w="8" w:type="dxa"/>
            </w:tcMar>
            <w:vAlign w:val="center"/>
          </w:tcPr>
          <w:p>
            <w:pPr>
              <w:jc w:val="left"/>
              <w:rPr>
                <w:rFonts w:hint="eastAsia"/>
                <w:sz w:val="21"/>
                <w:szCs w:val="21"/>
              </w:rPr>
            </w:pPr>
            <w:r>
              <w:rPr>
                <w:rFonts w:hint="eastAsia"/>
                <w:sz w:val="21"/>
                <w:szCs w:val="21"/>
              </w:rPr>
              <w:t xml:space="preserve">5 </w:t>
            </w:r>
          </w:p>
        </w:tc>
        <w:tc>
          <w:tcPr>
            <w:tcW w:w="67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机柜</w:t>
            </w:r>
          </w:p>
        </w:tc>
        <w:tc>
          <w:tcPr>
            <w:tcW w:w="96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36U、图腾、网立方</w:t>
            </w:r>
          </w:p>
        </w:tc>
        <w:tc>
          <w:tcPr>
            <w:tcW w:w="11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sz w:val="21"/>
                <w:szCs w:val="21"/>
              </w:rPr>
            </w:pPr>
            <w:r>
              <w:rPr>
                <w:rFonts w:hint="eastAsia"/>
                <w:sz w:val="21"/>
                <w:szCs w:val="21"/>
              </w:rPr>
              <w:t>36U机柜</w:t>
            </w:r>
          </w:p>
        </w:tc>
        <w:tc>
          <w:tcPr>
            <w:tcW w:w="409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36U服务器机柜（HD=2米）</w:t>
            </w:r>
          </w:p>
        </w:tc>
        <w:tc>
          <w:tcPr>
            <w:tcW w:w="63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台</w:t>
            </w:r>
          </w:p>
        </w:tc>
        <w:tc>
          <w:tcPr>
            <w:tcW w:w="68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jc w:val="left"/>
              <w:rPr>
                <w:rFonts w:hint="eastAsia"/>
                <w:sz w:val="21"/>
                <w:szCs w:val="21"/>
              </w:rPr>
            </w:pPr>
            <w:r>
              <w:rPr>
                <w:rFonts w:hint="eastAsia"/>
                <w:sz w:val="21"/>
                <w:szCs w:val="21"/>
              </w:rPr>
              <w:t xml:space="preserve">1 </w:t>
            </w:r>
          </w:p>
        </w:tc>
      </w:tr>
    </w:tbl>
    <w:p>
      <w:pPr>
        <w:jc w:val="left"/>
        <w:rPr>
          <w:rFonts w:hint="eastAsia"/>
          <w:sz w:val="21"/>
          <w:szCs w:val="21"/>
        </w:rPr>
      </w:pPr>
    </w:p>
    <w:p>
      <w:pPr>
        <w:jc w:val="left"/>
        <w:rPr>
          <w:rFonts w:hint="eastAsia"/>
          <w:sz w:val="21"/>
          <w:szCs w:val="21"/>
        </w:rPr>
      </w:pPr>
    </w:p>
    <w:tbl>
      <w:tblPr>
        <w:tblStyle w:val="48"/>
        <w:tblW w:w="8742" w:type="dxa"/>
        <w:tblInd w:w="0" w:type="dxa"/>
        <w:tblLayout w:type="fixed"/>
        <w:tblCellMar>
          <w:top w:w="0" w:type="dxa"/>
          <w:left w:w="0" w:type="dxa"/>
          <w:bottom w:w="0" w:type="dxa"/>
          <w:right w:w="0" w:type="dxa"/>
        </w:tblCellMar>
      </w:tblPr>
      <w:tblGrid>
        <w:gridCol w:w="365"/>
        <w:gridCol w:w="772"/>
        <w:gridCol w:w="945"/>
        <w:gridCol w:w="1110"/>
        <w:gridCol w:w="4403"/>
        <w:gridCol w:w="555"/>
        <w:gridCol w:w="592"/>
      </w:tblGrid>
      <w:tr>
        <w:tblPrEx>
          <w:tblCellMar>
            <w:top w:w="0" w:type="dxa"/>
            <w:left w:w="0" w:type="dxa"/>
            <w:bottom w:w="0" w:type="dxa"/>
            <w:right w:w="0" w:type="dxa"/>
          </w:tblCellMar>
        </w:tblPrEx>
        <w:trPr>
          <w:trHeight w:val="684" w:hRule="atLeast"/>
        </w:trPr>
        <w:tc>
          <w:tcPr>
            <w:tcW w:w="8742" w:type="dxa"/>
            <w:gridSpan w:val="7"/>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中控系统集成</w:t>
            </w:r>
          </w:p>
        </w:tc>
      </w:tr>
      <w:tr>
        <w:tblPrEx>
          <w:tblCellMar>
            <w:top w:w="0" w:type="dxa"/>
            <w:left w:w="0" w:type="dxa"/>
            <w:bottom w:w="0" w:type="dxa"/>
            <w:right w:w="0" w:type="dxa"/>
          </w:tblCellMar>
        </w:tblPrEx>
        <w:trPr>
          <w:trHeight w:val="652" w:hRule="atLeast"/>
        </w:trPr>
        <w:tc>
          <w:tcPr>
            <w:tcW w:w="365" w:type="dxa"/>
            <w:tcBorders>
              <w:top w:val="nil"/>
              <w:left w:val="single" w:color="000000" w:sz="8" w:space="0"/>
              <w:bottom w:val="single" w:color="000000" w:sz="4" w:space="0"/>
              <w:right w:val="single" w:color="000000" w:sz="4" w:space="0"/>
            </w:tcBorders>
            <w:noWrap w:val="0"/>
            <w:tcMar>
              <w:top w:w="8" w:type="dxa"/>
              <w:left w:w="8" w:type="dxa"/>
              <w:right w:w="8" w:type="dxa"/>
            </w:tcMar>
            <w:vAlign w:val="center"/>
          </w:tcPr>
          <w:p>
            <w:pPr>
              <w:jc w:val="center"/>
              <w:rPr>
                <w:rFonts w:hint="eastAsia" w:ascii="方正兰亭黑简体" w:hAnsi="方正兰亭黑简体" w:eastAsia="方正兰亭黑简体" w:cs="方正兰亭黑简体"/>
                <w:b/>
                <w:color w:val="000000"/>
                <w:sz w:val="21"/>
                <w:szCs w:val="21"/>
                <w:lang w:eastAsia="zh-CN"/>
              </w:rPr>
            </w:pPr>
            <w:r>
              <w:rPr>
                <w:rFonts w:hint="eastAsia" w:ascii="方正兰亭黑简体" w:hAnsi="方正兰亭黑简体" w:eastAsia="方正兰亭黑简体" w:cs="方正兰亭黑简体"/>
                <w:b/>
                <w:color w:val="000000"/>
                <w:sz w:val="21"/>
                <w:szCs w:val="21"/>
                <w:lang w:eastAsia="zh-CN"/>
              </w:rPr>
              <w:t>序号</w:t>
            </w:r>
          </w:p>
        </w:tc>
        <w:tc>
          <w:tcPr>
            <w:tcW w:w="772" w:type="dxa"/>
            <w:tcBorders>
              <w:top w:val="nil"/>
              <w:left w:val="single" w:color="000000" w:sz="4" w:space="0"/>
              <w:bottom w:val="nil"/>
              <w:right w:val="single" w:color="000000" w:sz="4" w:space="0"/>
            </w:tcBorders>
            <w:noWrap w:val="0"/>
            <w:tcMar>
              <w:top w:w="8" w:type="dxa"/>
              <w:left w:w="8" w:type="dxa"/>
              <w:right w:w="8" w:type="dxa"/>
            </w:tcMar>
            <w:vAlign w:val="center"/>
          </w:tcPr>
          <w:p>
            <w:pPr>
              <w:widowControl/>
              <w:jc w:val="center"/>
              <w:textAlignment w:val="center"/>
              <w:rPr>
                <w:rFonts w:ascii="方正兰亭黑简体" w:hAnsi="方正兰亭黑简体" w:eastAsia="方正兰亭黑简体" w:cs="方正兰亭黑简体"/>
                <w:b/>
                <w:color w:val="000000"/>
                <w:sz w:val="21"/>
                <w:szCs w:val="21"/>
              </w:rPr>
            </w:pPr>
            <w:r>
              <w:rPr>
                <w:rFonts w:ascii="方正兰亭黑简体" w:hAnsi="方正兰亭黑简体" w:eastAsia="方正兰亭黑简体" w:cs="方正兰亭黑简体"/>
                <w:b/>
                <w:color w:val="000000"/>
                <w:kern w:val="0"/>
                <w:sz w:val="21"/>
                <w:szCs w:val="21"/>
                <w:lang w:bidi="ar"/>
              </w:rPr>
              <w:t>项目</w:t>
            </w:r>
          </w:p>
        </w:tc>
        <w:tc>
          <w:tcPr>
            <w:tcW w:w="94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方正兰亭黑简体" w:hAnsi="方正兰亭黑简体" w:eastAsia="方正兰亭黑简体" w:cs="方正兰亭黑简体"/>
                <w:b/>
                <w:color w:val="000000"/>
                <w:sz w:val="21"/>
                <w:szCs w:val="21"/>
              </w:rPr>
            </w:pPr>
            <w:r>
              <w:rPr>
                <w:rFonts w:ascii="方正兰亭黑简体" w:hAnsi="方正兰亭黑简体" w:eastAsia="方正兰亭黑简体" w:cs="方正兰亭黑简体"/>
                <w:b/>
                <w:color w:val="000000"/>
                <w:kern w:val="0"/>
                <w:sz w:val="21"/>
                <w:szCs w:val="21"/>
                <w:lang w:bidi="ar"/>
              </w:rPr>
              <w:t>推荐品牌</w:t>
            </w:r>
          </w:p>
        </w:tc>
        <w:tc>
          <w:tcPr>
            <w:tcW w:w="1110"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方正兰亭黑简体" w:hAnsi="方正兰亭黑简体" w:eastAsia="方正兰亭黑简体" w:cs="方正兰亭黑简体"/>
                <w:b/>
                <w:color w:val="000000"/>
                <w:sz w:val="21"/>
                <w:szCs w:val="21"/>
              </w:rPr>
            </w:pPr>
            <w:r>
              <w:rPr>
                <w:rFonts w:ascii="方正兰亭黑简体" w:hAnsi="方正兰亭黑简体" w:eastAsia="方正兰亭黑简体" w:cs="方正兰亭黑简体"/>
                <w:b/>
                <w:color w:val="000000"/>
                <w:kern w:val="0"/>
                <w:sz w:val="21"/>
                <w:szCs w:val="21"/>
                <w:lang w:bidi="ar"/>
              </w:rPr>
              <w:t>参考型号</w:t>
            </w:r>
          </w:p>
        </w:tc>
        <w:tc>
          <w:tcPr>
            <w:tcW w:w="4403"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方正兰亭黑简体" w:hAnsi="方正兰亭黑简体" w:eastAsia="方正兰亭黑简体" w:cs="方正兰亭黑简体"/>
                <w:b/>
                <w:color w:val="000000"/>
                <w:sz w:val="21"/>
                <w:szCs w:val="21"/>
              </w:rPr>
            </w:pPr>
            <w:r>
              <w:rPr>
                <w:rFonts w:ascii="方正兰亭黑简体" w:hAnsi="方正兰亭黑简体" w:eastAsia="方正兰亭黑简体" w:cs="方正兰亭黑简体"/>
                <w:b/>
                <w:color w:val="000000"/>
                <w:kern w:val="0"/>
                <w:sz w:val="21"/>
                <w:szCs w:val="21"/>
                <w:lang w:bidi="ar"/>
              </w:rPr>
              <w:t>内容</w:t>
            </w:r>
          </w:p>
        </w:tc>
        <w:tc>
          <w:tcPr>
            <w:tcW w:w="55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ascii="方正兰亭黑简体" w:hAnsi="方正兰亭黑简体" w:eastAsia="方正兰亭黑简体" w:cs="方正兰亭黑简体"/>
                <w:b/>
                <w:color w:val="000000"/>
                <w:sz w:val="21"/>
                <w:szCs w:val="21"/>
              </w:rPr>
            </w:pPr>
            <w:r>
              <w:rPr>
                <w:rFonts w:ascii="方正兰亭黑简体" w:hAnsi="方正兰亭黑简体" w:eastAsia="方正兰亭黑简体" w:cs="方正兰亭黑简体"/>
                <w:b/>
                <w:color w:val="000000"/>
                <w:kern w:val="0"/>
                <w:sz w:val="21"/>
                <w:szCs w:val="21"/>
                <w:lang w:bidi="ar"/>
              </w:rPr>
              <w:t>单位</w:t>
            </w:r>
          </w:p>
        </w:tc>
        <w:tc>
          <w:tcPr>
            <w:tcW w:w="592" w:type="dxa"/>
            <w:tcBorders>
              <w:top w:val="nil"/>
              <w:left w:val="single" w:color="000000" w:sz="4" w:space="0"/>
              <w:bottom w:val="nil"/>
              <w:right w:val="single" w:color="000000" w:sz="4" w:space="0"/>
            </w:tcBorders>
            <w:noWrap w:val="0"/>
            <w:tcMar>
              <w:top w:w="8" w:type="dxa"/>
              <w:left w:w="8" w:type="dxa"/>
              <w:right w:w="8" w:type="dxa"/>
            </w:tcMar>
            <w:vAlign w:val="center"/>
          </w:tcPr>
          <w:p>
            <w:pPr>
              <w:widowControl/>
              <w:jc w:val="center"/>
              <w:textAlignment w:val="center"/>
              <w:rPr>
                <w:rFonts w:ascii="方正兰亭黑简体" w:hAnsi="方正兰亭黑简体" w:eastAsia="方正兰亭黑简体" w:cs="方正兰亭黑简体"/>
                <w:b/>
                <w:color w:val="000000"/>
                <w:sz w:val="21"/>
                <w:szCs w:val="21"/>
              </w:rPr>
            </w:pPr>
            <w:r>
              <w:rPr>
                <w:rFonts w:ascii="方正兰亭黑简体" w:hAnsi="方正兰亭黑简体" w:eastAsia="方正兰亭黑简体" w:cs="方正兰亭黑简体"/>
                <w:b/>
                <w:color w:val="000000"/>
                <w:kern w:val="0"/>
                <w:sz w:val="21"/>
                <w:szCs w:val="21"/>
                <w:lang w:bidi="ar"/>
              </w:rPr>
              <w:t>数量</w:t>
            </w:r>
          </w:p>
        </w:tc>
      </w:tr>
      <w:tr>
        <w:tblPrEx>
          <w:tblCellMar>
            <w:top w:w="0" w:type="dxa"/>
            <w:left w:w="0" w:type="dxa"/>
            <w:bottom w:w="0" w:type="dxa"/>
            <w:right w:w="0" w:type="dxa"/>
          </w:tblCellMar>
        </w:tblPrEx>
        <w:trPr>
          <w:trHeight w:val="784" w:hRule="atLeast"/>
        </w:trPr>
        <w:tc>
          <w:tcPr>
            <w:tcW w:w="36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7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设备设施</w:t>
            </w:r>
          </w:p>
        </w:tc>
        <w:tc>
          <w:tcPr>
            <w:tcW w:w="94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戴尔、联想、惠普</w:t>
            </w:r>
          </w:p>
        </w:tc>
        <w:tc>
          <w:tcPr>
            <w:tcW w:w="11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戴尔（3471）</w:t>
            </w:r>
          </w:p>
        </w:tc>
        <w:tc>
          <w:tcPr>
            <w:tcW w:w="440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4U工控:Intel Core i5 2540M/4G DDR/128G SSD固态/GTX750 显卡/600W电源/HDMi、DVI/RS232/RS485</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596" w:hRule="atLeast"/>
        </w:trPr>
        <w:tc>
          <w:tcPr>
            <w:tcW w:w="36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7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机柜</w:t>
            </w:r>
          </w:p>
        </w:tc>
        <w:tc>
          <w:tcPr>
            <w:tcW w:w="945" w:type="dxa"/>
            <w:tcBorders>
              <w:top w:val="nil"/>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36U、图腾、网立方</w:t>
            </w:r>
          </w:p>
        </w:tc>
        <w:tc>
          <w:tcPr>
            <w:tcW w:w="1110" w:type="dxa"/>
            <w:tcBorders>
              <w:top w:val="nil"/>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36U</w:t>
            </w:r>
          </w:p>
        </w:tc>
        <w:tc>
          <w:tcPr>
            <w:tcW w:w="4403"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600*800*1800 1.8米 网络机柜(加3个隔板)</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369" w:hRule="atLeast"/>
        </w:trPr>
        <w:tc>
          <w:tcPr>
            <w:tcW w:w="36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7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中控系统软件</w:t>
            </w:r>
          </w:p>
        </w:tc>
        <w:tc>
          <w:tcPr>
            <w:tcW w:w="945" w:type="dxa"/>
            <w:tcBorders>
              <w:top w:val="nil"/>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10" w:type="dxa"/>
            <w:tcBorders>
              <w:top w:val="nil"/>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403"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1、控制展厅中的硬件开关；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2、控制展厅中的内容播放；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3、控制视频播放暂停停止及声音大小等；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4、控制图片的替换更新等；5、内容更新，更换、删除等功能；</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193" w:hRule="atLeast"/>
        </w:trPr>
        <w:tc>
          <w:tcPr>
            <w:tcW w:w="36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7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中控控制平台</w:t>
            </w:r>
          </w:p>
        </w:tc>
        <w:tc>
          <w:tcPr>
            <w:tcW w:w="945" w:type="dxa"/>
            <w:tcBorders>
              <w:top w:val="nil"/>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10" w:type="dxa"/>
            <w:tcBorders>
              <w:top w:val="nil"/>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403"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1、远程控制硬件开关及软件的更新更换；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2、远程管理权限的设定与赋予；</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3、远程部分功能的维护；</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4、远程系统操作，培训等；</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782" w:hRule="atLeast"/>
        </w:trPr>
        <w:tc>
          <w:tcPr>
            <w:tcW w:w="36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7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中控UI设计</w:t>
            </w:r>
          </w:p>
        </w:tc>
        <w:tc>
          <w:tcPr>
            <w:tcW w:w="945" w:type="dxa"/>
            <w:tcBorders>
              <w:top w:val="nil"/>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10" w:type="dxa"/>
            <w:tcBorders>
              <w:top w:val="nil"/>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403"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中控UI设计</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5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908" w:hRule="atLeast"/>
        </w:trPr>
        <w:tc>
          <w:tcPr>
            <w:tcW w:w="36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7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无线AP</w:t>
            </w:r>
          </w:p>
        </w:tc>
        <w:tc>
          <w:tcPr>
            <w:tcW w:w="94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华三、TP-LINK、乐光</w:t>
            </w:r>
          </w:p>
        </w:tc>
        <w:tc>
          <w:tcPr>
            <w:tcW w:w="111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EWP-WAP712C</w:t>
            </w:r>
          </w:p>
        </w:tc>
        <w:tc>
          <w:tcPr>
            <w:tcW w:w="4403" w:type="dxa"/>
            <w:tcBorders>
              <w:top w:val="single" w:color="000000" w:sz="4" w:space="0"/>
              <w:left w:val="nil"/>
              <w:bottom w:val="single" w:color="000000" w:sz="4" w:space="0"/>
              <w:right w:val="nil"/>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网络标准 IEEE 802.11b，IEEE 802.11g，IEEE 802.11n、频率范围 2.4GHz-2.483GHz(中国)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调制方式 OFDM:BPSK@6/9Mbps、QPSK@12/18Mbps、16-QAM@24Mbps、64-QAM@48/54Mbps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DSSS:DBPSK@1Mbps、DQPSK@2Mbps、CCK@5.5/11Mbps、MIMO-OFDM:MCS 0-15、网络接口 1个10/100/1000M以太网口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其它接口 1个Console口、天线类型 内置普通天线、功能参数安全性能 加密支持802.11i认证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用户隔离、转发安全、无线端点准入、SSID与VLAN绑定、智能无线业务感知(wIAA)、管理帧保护(802.11w)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实时频谱防护(RTSG)</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r>
      <w:tr>
        <w:tblPrEx>
          <w:tblCellMar>
            <w:top w:w="0" w:type="dxa"/>
            <w:left w:w="0" w:type="dxa"/>
            <w:bottom w:w="0" w:type="dxa"/>
            <w:right w:w="0" w:type="dxa"/>
          </w:tblCellMar>
        </w:tblPrEx>
        <w:trPr>
          <w:trHeight w:val="3330" w:hRule="atLeast"/>
        </w:trPr>
        <w:tc>
          <w:tcPr>
            <w:tcW w:w="36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7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电源时序器</w:t>
            </w:r>
          </w:p>
        </w:tc>
        <w:tc>
          <w:tcPr>
            <w:tcW w:w="94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LAX、得胜、沸斯</w:t>
            </w:r>
          </w:p>
        </w:tc>
        <w:tc>
          <w:tcPr>
            <w:tcW w:w="11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PSC801B</w:t>
            </w:r>
          </w:p>
        </w:tc>
        <w:tc>
          <w:tcPr>
            <w:tcW w:w="440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最大输入电流 30A</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单路最大输出电流 16A</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辅助电源输出 前面板提供1路USB接口5V辅助电源输出，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5V输助电源最大输出0.5A，5V供电可以提供例如手机充电、LED照明灯等用电设备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工作电压 90V～240V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输出电源插座 后面板8个受控16A万用插座，前面板2个直通16A万用插座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插座标准 兼容国标6A、10A、16A、英标13A、美标15A、欧标G/M插头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开关间隔时间 1 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机箱高度 2U（88mm）</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个</w:t>
            </w:r>
          </w:p>
        </w:tc>
        <w:tc>
          <w:tcPr>
            <w:tcW w:w="5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5527" w:hRule="atLeast"/>
        </w:trPr>
        <w:tc>
          <w:tcPr>
            <w:tcW w:w="36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77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后台显示器</w:t>
            </w:r>
          </w:p>
        </w:tc>
        <w:tc>
          <w:tcPr>
            <w:tcW w:w="94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AOC 、三星、大华</w:t>
            </w:r>
          </w:p>
        </w:tc>
        <w:tc>
          <w:tcPr>
            <w:tcW w:w="11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AOC</w:t>
            </w:r>
            <w:r>
              <w:rPr>
                <w:rFonts w:hint="eastAsia" w:ascii="宋体" w:hAnsi="宋体" w:cs="宋体"/>
                <w:b/>
                <w:color w:val="000000"/>
                <w:kern w:val="0"/>
                <w:sz w:val="21"/>
                <w:szCs w:val="21"/>
                <w:lang w:bidi="ar"/>
              </w:rPr>
              <w:t>I2490</w:t>
            </w:r>
          </w:p>
        </w:tc>
        <w:tc>
          <w:tcPr>
            <w:tcW w:w="440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屏幕尺寸 23.8英寸、最佳分辨率 2560x1440、屏幕比例 16:9（宽屏）、高清标准 2K、面板类型 AH-IPS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背光类型 LED背光、动态对比度 5000万:1、响应时间 5ms、显示参数点距 0.20535mm、亮度 300cd/㎡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可视面积 525.696×295.704mm、可视角度 178/178°、显示颜色 16.7M、色域 sRGB：100％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扫描频率 水平：30-99KHz、垂直：50-76Hz、刷新率 60Hz、接口参数视频接口 D-Sub（VGA），DVI-D，HDMI（MHL），Displayport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其它接口 音频输入，音频输出、外观规格、机身颜色 黑色+银色、外观设计 窄画面黑边，2mm窄边框，时尚高贵外观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产品尺寸 542.7×420.8×164mm（包含底座）、627×511×165mm（包装）、产品重量 5.14kg（净重）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6.88kg（毛重）、底座功能 倾斜：-5-23°、壁挂 支持（100×100mm）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其它参数、电源性能 100-240V交流，50-60Hz、电源功率 典型:37W、待机:＜0.5W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节能标准 二级、音箱 内置音箱（2×3W）、HDCP 支持HDCP、安规认证 CCC，FCC，CE，CH RoHS，CEL，Win 10，cTUVus</w:t>
            </w:r>
          </w:p>
        </w:tc>
        <w:tc>
          <w:tcPr>
            <w:tcW w:w="55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c>
          <w:tcPr>
            <w:tcW w:w="59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bl>
    <w:p>
      <w:pPr>
        <w:jc w:val="left"/>
        <w:rPr>
          <w:rFonts w:hint="eastAsia"/>
          <w:sz w:val="21"/>
          <w:szCs w:val="21"/>
        </w:rPr>
      </w:pPr>
      <w:r>
        <w:rPr>
          <w:rFonts w:hint="eastAsia"/>
          <w:sz w:val="21"/>
          <w:szCs w:val="21"/>
        </w:rPr>
        <w:br w:type="page"/>
      </w:r>
    </w:p>
    <w:tbl>
      <w:tblPr>
        <w:tblStyle w:val="48"/>
        <w:tblW w:w="8560" w:type="dxa"/>
        <w:tblInd w:w="0" w:type="dxa"/>
        <w:tblLayout w:type="autofit"/>
        <w:tblCellMar>
          <w:top w:w="0" w:type="dxa"/>
          <w:left w:w="0" w:type="dxa"/>
          <w:bottom w:w="0" w:type="dxa"/>
          <w:right w:w="0" w:type="dxa"/>
        </w:tblCellMar>
      </w:tblPr>
      <w:tblGrid>
        <w:gridCol w:w="805"/>
        <w:gridCol w:w="1532"/>
        <w:gridCol w:w="1063"/>
        <w:gridCol w:w="2674"/>
        <w:gridCol w:w="1242"/>
        <w:gridCol w:w="1244"/>
      </w:tblGrid>
      <w:tr>
        <w:tblPrEx>
          <w:tblCellMar>
            <w:top w:w="0" w:type="dxa"/>
            <w:left w:w="0" w:type="dxa"/>
            <w:bottom w:w="0" w:type="dxa"/>
            <w:right w:w="0" w:type="dxa"/>
          </w:tblCellMar>
        </w:tblPrEx>
        <w:trPr>
          <w:trHeight w:val="603" w:hRule="atLeast"/>
        </w:trPr>
        <w:tc>
          <w:tcPr>
            <w:tcW w:w="8560" w:type="dxa"/>
            <w:gridSpan w:val="6"/>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展品展陈</w:t>
            </w:r>
          </w:p>
        </w:tc>
      </w:tr>
      <w:tr>
        <w:tblPrEx>
          <w:tblCellMar>
            <w:top w:w="0" w:type="dxa"/>
            <w:left w:w="0" w:type="dxa"/>
            <w:bottom w:w="0" w:type="dxa"/>
            <w:right w:w="0" w:type="dxa"/>
          </w:tblCellMar>
        </w:tblPrEx>
        <w:trPr>
          <w:trHeight w:val="505" w:hRule="atLeast"/>
        </w:trPr>
        <w:tc>
          <w:tcPr>
            <w:tcW w:w="80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序号</w:t>
            </w:r>
          </w:p>
        </w:tc>
        <w:tc>
          <w:tcPr>
            <w:tcW w:w="153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项目</w:t>
            </w:r>
          </w:p>
        </w:tc>
        <w:tc>
          <w:tcPr>
            <w:tcW w:w="106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型号</w:t>
            </w:r>
          </w:p>
        </w:tc>
        <w:tc>
          <w:tcPr>
            <w:tcW w:w="267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内容</w:t>
            </w:r>
          </w:p>
        </w:tc>
        <w:tc>
          <w:tcPr>
            <w:tcW w:w="124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数量</w:t>
            </w:r>
          </w:p>
        </w:tc>
        <w:tc>
          <w:tcPr>
            <w:tcW w:w="124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单位</w:t>
            </w:r>
          </w:p>
        </w:tc>
      </w:tr>
      <w:tr>
        <w:tblPrEx>
          <w:tblCellMar>
            <w:top w:w="0" w:type="dxa"/>
            <w:left w:w="0" w:type="dxa"/>
            <w:bottom w:w="0" w:type="dxa"/>
            <w:right w:w="0" w:type="dxa"/>
          </w:tblCellMar>
        </w:tblPrEx>
        <w:trPr>
          <w:trHeight w:val="946" w:hRule="atLeast"/>
        </w:trPr>
        <w:tc>
          <w:tcPr>
            <w:tcW w:w="0" w:type="auto"/>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1 </w:t>
            </w:r>
          </w:p>
        </w:tc>
        <w:tc>
          <w:tcPr>
            <w:tcW w:w="153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设备实物</w:t>
            </w:r>
          </w:p>
        </w:tc>
        <w:tc>
          <w:tcPr>
            <w:tcW w:w="106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267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消防设备、防恐设备、等</w:t>
            </w:r>
          </w:p>
        </w:tc>
        <w:tc>
          <w:tcPr>
            <w:tcW w:w="0" w:type="auto"/>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20 </w:t>
            </w:r>
          </w:p>
        </w:tc>
        <w:tc>
          <w:tcPr>
            <w:tcW w:w="0" w:type="auto"/>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个</w:t>
            </w:r>
          </w:p>
        </w:tc>
      </w:tr>
    </w:tbl>
    <w:p>
      <w:pPr>
        <w:rPr>
          <w:rFonts w:hint="eastAsia" w:ascii="宋体" w:hAnsi="宋体"/>
          <w:b/>
          <w:color w:val="000000"/>
          <w:sz w:val="21"/>
          <w:szCs w:val="21"/>
          <w:highlight w:val="yellow"/>
        </w:rPr>
      </w:pPr>
    </w:p>
    <w:tbl>
      <w:tblPr>
        <w:tblStyle w:val="48"/>
        <w:tblW w:w="8526" w:type="dxa"/>
        <w:tblInd w:w="0" w:type="dxa"/>
        <w:tblLayout w:type="fixed"/>
        <w:tblCellMar>
          <w:top w:w="0" w:type="dxa"/>
          <w:left w:w="0" w:type="dxa"/>
          <w:bottom w:w="0" w:type="dxa"/>
          <w:right w:w="0" w:type="dxa"/>
        </w:tblCellMar>
      </w:tblPr>
      <w:tblGrid>
        <w:gridCol w:w="332"/>
        <w:gridCol w:w="1057"/>
        <w:gridCol w:w="1264"/>
        <w:gridCol w:w="1140"/>
        <w:gridCol w:w="3740"/>
        <w:gridCol w:w="470"/>
        <w:gridCol w:w="523"/>
      </w:tblGrid>
      <w:tr>
        <w:tblPrEx>
          <w:tblCellMar>
            <w:top w:w="0" w:type="dxa"/>
            <w:left w:w="0" w:type="dxa"/>
            <w:bottom w:w="0" w:type="dxa"/>
            <w:right w:w="0" w:type="dxa"/>
          </w:tblCellMar>
        </w:tblPrEx>
        <w:trPr>
          <w:trHeight w:val="614" w:hRule="atLeast"/>
        </w:trPr>
        <w:tc>
          <w:tcPr>
            <w:tcW w:w="8526" w:type="dxa"/>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会议室及多功能厅</w:t>
            </w:r>
          </w:p>
        </w:tc>
      </w:tr>
      <w:tr>
        <w:tblPrEx>
          <w:tblCellMar>
            <w:top w:w="0" w:type="dxa"/>
            <w:left w:w="0" w:type="dxa"/>
            <w:bottom w:w="0" w:type="dxa"/>
            <w:right w:w="0" w:type="dxa"/>
          </w:tblCellMar>
        </w:tblPrEx>
        <w:trPr>
          <w:trHeight w:val="714" w:hRule="atLeast"/>
        </w:trPr>
        <w:tc>
          <w:tcPr>
            <w:tcW w:w="33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序号</w:t>
            </w:r>
          </w:p>
        </w:tc>
        <w:tc>
          <w:tcPr>
            <w:tcW w:w="10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设备名称</w:t>
            </w:r>
          </w:p>
        </w:tc>
        <w:tc>
          <w:tcPr>
            <w:tcW w:w="126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推荐品牌</w:t>
            </w:r>
          </w:p>
        </w:tc>
        <w:tc>
          <w:tcPr>
            <w:tcW w:w="11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参考型号</w:t>
            </w:r>
          </w:p>
        </w:tc>
        <w:tc>
          <w:tcPr>
            <w:tcW w:w="37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主要性能参数</w:t>
            </w:r>
          </w:p>
        </w:tc>
        <w:tc>
          <w:tcPr>
            <w:tcW w:w="47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数量</w:t>
            </w:r>
          </w:p>
        </w:tc>
        <w:tc>
          <w:tcPr>
            <w:tcW w:w="52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单位</w:t>
            </w: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左右声道主扩扬声器</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Turbosound（特宝声）、雅马哈、漫步者</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TCX122</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单12全频专业音箱； 扬声器单元组成：低频：12”×1；高频：1”×1； 频率响应：100Hz–18kHz/±3dB；68Hz–20kHz/-10dB； 覆盖角度：90°H</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只</w:t>
            </w:r>
          </w:p>
        </w:tc>
      </w:tr>
      <w:tr>
        <w:tblPrEx>
          <w:tblCellMar>
            <w:top w:w="0" w:type="dxa"/>
            <w:left w:w="0" w:type="dxa"/>
            <w:bottom w:w="0" w:type="dxa"/>
            <w:right w:w="0" w:type="dxa"/>
          </w:tblCellMar>
        </w:tblPrEx>
        <w:trPr>
          <w:trHeight w:val="398"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中央声道主扩扬声器</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Turbosound（特宝声）、雅马哈、漫步者</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TCX122</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单12全频专业音箱； 扬声器单元组成：低频：12”×1；高频：1”×1； 频率响应：100Hz–18kHz/±3dB；68Hz–20kHz/-10dB； 覆盖角度：90°H</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只</w:t>
            </w:r>
          </w:p>
        </w:tc>
      </w:tr>
      <w:tr>
        <w:tblPrEx>
          <w:tblCellMar>
            <w:top w:w="0" w:type="dxa"/>
            <w:left w:w="0" w:type="dxa"/>
            <w:bottom w:w="0" w:type="dxa"/>
            <w:right w:w="0" w:type="dxa"/>
          </w:tblCellMar>
        </w:tblPrEx>
        <w:trPr>
          <w:trHeight w:val="46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主扩超低音扬声器</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Turbosound（特宝声）、雅马哈、漫步者</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TCX118B</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单18超低音音箱； 驱动单元：1x18"低频单元； 频率响应：35Hz-125Hz/±3dB，25Hz-170Hz/-10dB； 灵敏度(1W@1m)：97dB； </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只</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环绕及辅助扬声器</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Turbosound（特宝声）、雅马哈、漫步者</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TCX82</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单8吋全频专业音箱； 扬声器单元组成：二分频音箱，低频：8"×1；高频：1"×1； 频率范围：70Hz-20kHz/-10dB 频率响应：100Hz-20kHz/±3dB </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只</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左右声道功率放大器</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Crown（皇冠）、雅马哈、漫步者</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PX3000</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型号：PX3000 8Ω立体声：500W 4Ω立体声：750W 8Ω桥接：1500W 其它参数: 输入灵敏度(额定功率8Ω):0.775V或1.4V 频响特性（1W）</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中央声道功率放大器</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Crown（皇冠）、雅马哈、漫步者</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PX3000</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型号：PX3000 8Ω立体声：500W 4Ω立体声：750W 8Ω桥接：1500W 其它参数: 输入灵敏度(额定功率8Ω):0.775V或1.4V 频响特性（1W）</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超低音功率放大器</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Crown（皇冠）、雅马哈、漫步者</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CTs2800</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2欧姆，双路(每通道)1500w 4欧姆，双路(每通道)1500w 8欧姆，双路(每通道)1200w 70V，双路(每通道)1500w 100V，双路(每通道)1200w 桥接</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返送功率放大器</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QSC、TI、ST</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GX5</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型号：GX5 立体声模式 8Ω双通道驱动：500W 8Ω单通道驱动：600W 4Ω双通道驱动：700W 4Ω单通道驱动：850W 其它参数 </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环绕功率放大器</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QSC、TI、ST</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GX3</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型号：GX3 立体声模式 8Ω双通道驱动：300W 8Ω单通道驱动：350W 4Ω双通道驱动：425W 8Ω单通道驱动：500W 其它参数 </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主调音操控台</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Soundcraft（声艺）、雅马哈、威迅</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LX10/24</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24个输入通道实况调音台 各输入通道均设有独立的LED信号指示灯，信号输入时亮起，信号水平变化时颜色亦相应变化 不少于13条独立输出总线，含左/右混音输出、单声道输出、</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数字音频处理中心</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SABINE(赛宾)、雅马哈、威迅</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DIR-480</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4路输入通道，8路输出通道 输入阻抗10k欧姆 输出阻抗47欧姆  最大输入电平+20dBu 最大输出电平+20dBu 系统性能： 频率响应15Hz</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均衡器</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YAMAHA（雅马哈）、漫步者、博士</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Q2031B</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图形均衡器:高质量的立体声31段图形均衡，自动哑音线路使电源接通后，自动哑音3-5秒，6或12dB的提升或切频，在20Hz-20KHz范围内1/3倍频程中心均衡， </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无线手持话筒</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MIPRO（咪宝）、JBL、DBX</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ACT-727/ACT-7H(一托二)</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一拖二无线手持话筒ACT-727接收机 频道：双频道 机箱规格：EIA标准1U金属机箱 面板显示：彩色VFD（真空荧光管显示器）显示器，可同时显示频段代号、</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合唱及人声话筒</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Shure(舒尔)、Shure、拜亚动力</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SM27</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传感器类型:电容 拾音模式:心形 频率响应自:20Hz频率响应至:20KHz 灵敏度(dBV/Pa):-37dBV/Pa 灵敏度(mV/Pa):14,1mV/</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支</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会议主机</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ARTTOO（安度）、狮乐CMARK</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IX-1000</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IX-1000数字会议讨论系统采用一键式集成操作设计，所有功能设置均能通过SELECT-SET快速实现中文显示设置内容和功能，同时系统也可以通过RS-232接口和PC机连接</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时序器</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LAX（锐丰）、天声、博赛</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PSC801B</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PSC801B时序器能够按照系统由前级到后级的顺序逐个启动各类设备；关机时则由后级到前级的顺序关闭系统设备。这样就能有效地统一控制所连接的用电设备，避免了人为的失误操作</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话筒支架</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落地话筒支架</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落地式麦克风支架，多功能话筒支架</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支</w:t>
            </w:r>
          </w:p>
        </w:tc>
      </w:tr>
      <w:tr>
        <w:tblPrEx>
          <w:tblCellMar>
            <w:top w:w="0" w:type="dxa"/>
            <w:left w:w="0" w:type="dxa"/>
            <w:bottom w:w="0" w:type="dxa"/>
            <w:right w:w="0" w:type="dxa"/>
          </w:tblCellMar>
        </w:tblPrEx>
        <w:trPr>
          <w:trHeight w:val="312"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信号线</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时代线缆、H3C、丰旭</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128P 2*0.3mm²</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品牌:时代线缆 型号:卡侬线 工艺:其他 颜色分类:黑色100米 线材类别:平衡线 材质:纯铜 长度:其他 环保：符合ROHS标准 </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米</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音箱线</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一线丰旭、狮乐、东汇</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蓝护套2*2.5</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发烧音箱线产品特点产品：可达2000W音箱设备使用 导体：抗氧化强，高保真几何原理设计。采用了8芯总绞*33支=364支每股+10支铜箔丝的方式来抵御一部分外界电磁波干扰。</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358</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米</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音箱线</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一线丰旭、狮乐、东汇</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蓝护套2*4.0</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发烧音箱线产品特点 产品：可达3000W音箱设备使用 导体：抗氧化强，高保真几何原理设计。采用了8芯总绞*33支=364支每股+10支铜箔丝的方式来抵御一部分外界电磁波干扰。</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米</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桥架</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金属桥架100*50*0.8mm</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产品名称：桥架 产品规格：2000*100*50*0.8mm 产品材质：镀锌钢板</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米</w:t>
            </w:r>
          </w:p>
        </w:tc>
      </w:tr>
      <w:tr>
        <w:tblPrEx>
          <w:tblCellMar>
            <w:top w:w="0" w:type="dxa"/>
            <w:left w:w="0" w:type="dxa"/>
            <w:bottom w:w="0" w:type="dxa"/>
            <w:right w:w="0" w:type="dxa"/>
          </w:tblCellMar>
        </w:tblPrEx>
        <w:trPr>
          <w:trHeight w:val="312"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音响线管</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国标 Φ25mm</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品名：JDG线管 规格：Φ25mm*1.0mm 长度：4米/根 材料：镀锌铁</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260</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米</w:t>
            </w:r>
          </w:p>
        </w:tc>
      </w:tr>
      <w:tr>
        <w:tblPrEx>
          <w:tblCellMar>
            <w:top w:w="0" w:type="dxa"/>
            <w:left w:w="0" w:type="dxa"/>
            <w:bottom w:w="0" w:type="dxa"/>
            <w:right w:w="0" w:type="dxa"/>
          </w:tblCellMar>
        </w:tblPrEx>
        <w:trPr>
          <w:trHeight w:val="312"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地面信息盒</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Jinsanhu（金三湖）、西蒙、甬声</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86型舞台地插盒</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品牌:jinsanhu/金三湖 系列:86型地插铜地插 规格:86型任意组合 壳体材质:纯铜 颜色:土豪金 加工定制:是 类型:开启式地面插座 导电体材质:纯铜 孔位数</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个</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Speakon插头</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Amphenol(安费诺)、中南、甬声</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SP-4-F</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国际标准D型音箱插座 &gt;30A的电流额定值 &gt;独特外壳设计，闩锁功能快速锁定 &gt;</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个</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XLR插头</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Jinsanhu（金三湖）、西蒙、甬声</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XLR卡侬头</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包装:单个独立包装 焊接:适用于线径6.5mm左右线材 说明:内芯金属镀锡更易焊接，外壳金属材质烤漆，连接紧固，牢靠不易转动，插头整体配合精密可靠，能杜绝外界高频电磁</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70</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个</w:t>
            </w:r>
          </w:p>
        </w:tc>
      </w:tr>
      <w:tr>
        <w:tblPrEx>
          <w:tblCellMar>
            <w:top w:w="0" w:type="dxa"/>
            <w:left w:w="0" w:type="dxa"/>
            <w:bottom w:w="0" w:type="dxa"/>
            <w:right w:w="0" w:type="dxa"/>
          </w:tblCellMar>
        </w:tblPrEx>
        <w:trPr>
          <w:trHeight w:val="71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TRS插头</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SoundKing（音王）、秋叶原、林奥</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TRS 6.35大三芯</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TRS大三芯插头 材质：黄铜 镀层：镀镍,镀金 插拔寿命:＞1000次 接触电阻:依靠匹配的连接器 绝缘电阻：≥1GΩ 包装数量：500PCS</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个</w:t>
            </w:r>
          </w:p>
        </w:tc>
      </w:tr>
      <w:tr>
        <w:tblPrEx>
          <w:tblCellMar>
            <w:top w:w="0" w:type="dxa"/>
            <w:left w:w="0" w:type="dxa"/>
            <w:bottom w:w="0" w:type="dxa"/>
            <w:right w:w="0" w:type="dxa"/>
          </w:tblCellMar>
        </w:tblPrEx>
        <w:trPr>
          <w:trHeight w:val="562"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TS插头</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SoundKing（音王）、秋叶原、林奥</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TS 6.35大二芯</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TR大二芯插头 材质：黄铜 镀层：镀镍,镀金 插拔寿命:＞1000次 接触电阻:依靠匹配的连接器 绝缘电阻：≥1GΩ 包装数量：500PCS</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个</w:t>
            </w:r>
          </w:p>
        </w:tc>
      </w:tr>
      <w:tr>
        <w:tblPrEx>
          <w:tblCellMar>
            <w:top w:w="0" w:type="dxa"/>
            <w:left w:w="0" w:type="dxa"/>
            <w:bottom w:w="0" w:type="dxa"/>
            <w:right w:w="0" w:type="dxa"/>
          </w:tblCellMar>
        </w:tblPrEx>
        <w:trPr>
          <w:trHeight w:val="367"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r>
        <w:tblPrEx>
          <w:tblCellMar>
            <w:top w:w="0" w:type="dxa"/>
            <w:left w:w="0" w:type="dxa"/>
            <w:bottom w:w="0" w:type="dxa"/>
            <w:right w:w="0" w:type="dxa"/>
          </w:tblCellMar>
        </w:tblPrEx>
        <w:trPr>
          <w:trHeight w:val="714" w:hRule="atLeast"/>
        </w:trPr>
        <w:tc>
          <w:tcPr>
            <w:tcW w:w="33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w:t>
            </w: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RCA插头</w:t>
            </w:r>
          </w:p>
        </w:tc>
        <w:tc>
          <w:tcPr>
            <w:tcW w:w="1264"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SoundKing（音王）、秋叶原、林奥</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RCA莲花头</w:t>
            </w:r>
          </w:p>
        </w:tc>
        <w:tc>
          <w:tcPr>
            <w:tcW w:w="374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RCA莲花头 材质：黄铜 镀层：镀金 插拔寿命：&gt;5000次 分离力：3~30N 接触电阻：≤0.015Ω 绝缘电阻：≥100MΩ</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个</w:t>
            </w:r>
          </w:p>
        </w:tc>
      </w:tr>
      <w:tr>
        <w:tblPrEx>
          <w:tblCellMar>
            <w:top w:w="0" w:type="dxa"/>
            <w:left w:w="0" w:type="dxa"/>
            <w:bottom w:w="0" w:type="dxa"/>
            <w:right w:w="0" w:type="dxa"/>
          </w:tblCellMar>
        </w:tblPrEx>
        <w:trPr>
          <w:trHeight w:val="524" w:hRule="atLeast"/>
        </w:trPr>
        <w:tc>
          <w:tcPr>
            <w:tcW w:w="33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374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left"/>
              <w:rPr>
                <w:rFonts w:hint="eastAsia" w:ascii="宋体" w:hAnsi="宋体" w:cs="宋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cs="宋体"/>
                <w:color w:val="000000"/>
                <w:sz w:val="21"/>
                <w:szCs w:val="21"/>
              </w:rPr>
            </w:pPr>
          </w:p>
        </w:tc>
      </w:tr>
    </w:tbl>
    <w:p>
      <w:pPr>
        <w:rPr>
          <w:rFonts w:hint="eastAsia" w:ascii="宋体" w:hAnsi="宋体"/>
          <w:b/>
          <w:color w:val="000000"/>
          <w:sz w:val="21"/>
          <w:szCs w:val="21"/>
          <w:highlight w:val="yellow"/>
        </w:rPr>
      </w:pPr>
      <w:r>
        <w:rPr>
          <w:rFonts w:hint="eastAsia" w:ascii="宋体" w:hAnsi="宋体"/>
          <w:b/>
          <w:color w:val="000000"/>
          <w:sz w:val="21"/>
          <w:szCs w:val="21"/>
          <w:highlight w:val="yellow"/>
        </w:rPr>
        <w:br w:type="page"/>
      </w:r>
    </w:p>
    <w:tbl>
      <w:tblPr>
        <w:tblStyle w:val="48"/>
        <w:tblW w:w="8580" w:type="dxa"/>
        <w:tblInd w:w="0" w:type="dxa"/>
        <w:tblLayout w:type="fixed"/>
        <w:tblCellMar>
          <w:top w:w="0" w:type="dxa"/>
          <w:left w:w="0" w:type="dxa"/>
          <w:bottom w:w="0" w:type="dxa"/>
          <w:right w:w="0" w:type="dxa"/>
        </w:tblCellMar>
      </w:tblPr>
      <w:tblGrid>
        <w:gridCol w:w="628"/>
        <w:gridCol w:w="1523"/>
        <w:gridCol w:w="1515"/>
        <w:gridCol w:w="2940"/>
        <w:gridCol w:w="1005"/>
        <w:gridCol w:w="969"/>
      </w:tblGrid>
      <w:tr>
        <w:tblPrEx>
          <w:tblCellMar>
            <w:top w:w="0" w:type="dxa"/>
            <w:left w:w="0" w:type="dxa"/>
            <w:bottom w:w="0" w:type="dxa"/>
            <w:right w:w="0" w:type="dxa"/>
          </w:tblCellMar>
        </w:tblPrEx>
        <w:trPr>
          <w:trHeight w:val="695" w:hRule="atLeast"/>
        </w:trPr>
        <w:tc>
          <w:tcPr>
            <w:tcW w:w="8580" w:type="dxa"/>
            <w:gridSpan w:val="6"/>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ascii="方正兰亭黑简体" w:hAnsi="方正兰亭黑简体" w:eastAsia="方正兰亭黑简体" w:cs="方正兰亭黑简体"/>
                <w:b/>
                <w:color w:val="000000"/>
                <w:sz w:val="21"/>
                <w:szCs w:val="21"/>
              </w:rPr>
            </w:pPr>
            <w:r>
              <w:rPr>
                <w:rFonts w:ascii="方正兰亭黑简体" w:hAnsi="方正兰亭黑简体" w:eastAsia="方正兰亭黑简体" w:cs="方正兰亭黑简体"/>
                <w:b/>
                <w:color w:val="000000"/>
                <w:kern w:val="0"/>
                <w:sz w:val="21"/>
                <w:szCs w:val="21"/>
                <w:lang w:bidi="ar"/>
              </w:rPr>
              <w:t>展陈版面及设计预算清单</w:t>
            </w:r>
          </w:p>
        </w:tc>
      </w:tr>
      <w:tr>
        <w:tblPrEx>
          <w:tblCellMar>
            <w:top w:w="0" w:type="dxa"/>
            <w:left w:w="0" w:type="dxa"/>
            <w:bottom w:w="0" w:type="dxa"/>
            <w:right w:w="0" w:type="dxa"/>
          </w:tblCellMar>
        </w:tblPrEx>
        <w:trPr>
          <w:trHeight w:val="611" w:hRule="atLeast"/>
        </w:trPr>
        <w:tc>
          <w:tcPr>
            <w:tcW w:w="628" w:type="dxa"/>
            <w:tcBorders>
              <w:top w:val="nil"/>
              <w:left w:val="single" w:color="000000" w:sz="8" w:space="0"/>
              <w:bottom w:val="single" w:color="000000" w:sz="4" w:space="0"/>
              <w:right w:val="single" w:color="000000" w:sz="4" w:space="0"/>
            </w:tcBorders>
            <w:noWrap w:val="0"/>
            <w:tcMar>
              <w:top w:w="8" w:type="dxa"/>
              <w:left w:w="8" w:type="dxa"/>
              <w:right w:w="8" w:type="dxa"/>
            </w:tcMar>
            <w:vAlign w:val="center"/>
          </w:tcPr>
          <w:p>
            <w:pPr>
              <w:jc w:val="center"/>
              <w:rPr>
                <w:rFonts w:hint="eastAsia" w:ascii="宋体" w:hAnsi="宋体" w:eastAsia="宋体" w:cs="宋体"/>
                <w:b/>
                <w:color w:val="000000"/>
                <w:sz w:val="21"/>
                <w:szCs w:val="21"/>
                <w:lang w:eastAsia="zh-CN"/>
              </w:rPr>
            </w:pPr>
            <w:r>
              <w:rPr>
                <w:rFonts w:hint="eastAsia" w:ascii="宋体" w:hAnsi="宋体" w:cs="宋体"/>
                <w:b/>
                <w:color w:val="000000"/>
                <w:sz w:val="21"/>
                <w:szCs w:val="21"/>
                <w:lang w:eastAsia="zh-CN"/>
              </w:rPr>
              <w:t>序号</w:t>
            </w:r>
          </w:p>
        </w:tc>
        <w:tc>
          <w:tcPr>
            <w:tcW w:w="1523" w:type="dxa"/>
            <w:tcBorders>
              <w:top w:val="nil"/>
              <w:left w:val="single" w:color="000000" w:sz="4" w:space="0"/>
              <w:bottom w:val="nil"/>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项目</w:t>
            </w:r>
          </w:p>
        </w:tc>
        <w:tc>
          <w:tcPr>
            <w:tcW w:w="151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型号</w:t>
            </w:r>
          </w:p>
        </w:tc>
        <w:tc>
          <w:tcPr>
            <w:tcW w:w="2940"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内容</w:t>
            </w:r>
          </w:p>
        </w:tc>
        <w:tc>
          <w:tcPr>
            <w:tcW w:w="100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单位</w:t>
            </w:r>
          </w:p>
        </w:tc>
        <w:tc>
          <w:tcPr>
            <w:tcW w:w="969"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数量</w:t>
            </w:r>
          </w:p>
        </w:tc>
      </w:tr>
      <w:tr>
        <w:tblPrEx>
          <w:tblCellMar>
            <w:top w:w="0" w:type="dxa"/>
            <w:left w:w="0" w:type="dxa"/>
            <w:bottom w:w="0" w:type="dxa"/>
            <w:right w:w="0" w:type="dxa"/>
          </w:tblCellMar>
        </w:tblPrEx>
        <w:trPr>
          <w:trHeight w:val="695" w:hRule="atLeast"/>
        </w:trPr>
        <w:tc>
          <w:tcPr>
            <w:tcW w:w="628" w:type="dxa"/>
            <w:tcBorders>
              <w:top w:val="single" w:color="000000" w:sz="4" w:space="0"/>
              <w:left w:val="single" w:color="000000" w:sz="8"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152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PVC版面</w:t>
            </w:r>
          </w:p>
        </w:tc>
        <w:tc>
          <w:tcPr>
            <w:tcW w:w="151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PVC</w:t>
            </w:r>
          </w:p>
        </w:tc>
        <w:tc>
          <w:tcPr>
            <w:tcW w:w="29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场馆版面部分</w:t>
            </w:r>
          </w:p>
        </w:tc>
        <w:tc>
          <w:tcPr>
            <w:tcW w:w="100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平方</w:t>
            </w:r>
          </w:p>
        </w:tc>
        <w:tc>
          <w:tcPr>
            <w:tcW w:w="969"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157.5</w:t>
            </w:r>
          </w:p>
        </w:tc>
      </w:tr>
      <w:tr>
        <w:tblPrEx>
          <w:tblCellMar>
            <w:top w:w="0" w:type="dxa"/>
            <w:left w:w="0" w:type="dxa"/>
            <w:bottom w:w="0" w:type="dxa"/>
            <w:right w:w="0" w:type="dxa"/>
          </w:tblCellMar>
        </w:tblPrEx>
        <w:trPr>
          <w:trHeight w:val="800" w:hRule="atLeast"/>
        </w:trPr>
        <w:tc>
          <w:tcPr>
            <w:tcW w:w="628" w:type="dxa"/>
            <w:tcBorders>
              <w:top w:val="single" w:color="000000" w:sz="4" w:space="0"/>
              <w:left w:val="single" w:color="000000" w:sz="8"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152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展馆策划、文字资料、图片资料等</w:t>
            </w:r>
          </w:p>
        </w:tc>
        <w:tc>
          <w:tcPr>
            <w:tcW w:w="151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展馆策划、文字资料、图片资料等</w:t>
            </w:r>
          </w:p>
        </w:tc>
        <w:tc>
          <w:tcPr>
            <w:tcW w:w="29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展馆策划、文字资料、图片资料等</w:t>
            </w:r>
          </w:p>
        </w:tc>
        <w:tc>
          <w:tcPr>
            <w:tcW w:w="100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96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800" w:hRule="atLeast"/>
        </w:trPr>
        <w:tc>
          <w:tcPr>
            <w:tcW w:w="628" w:type="dxa"/>
            <w:tcBorders>
              <w:top w:val="single" w:color="000000" w:sz="4" w:space="0"/>
              <w:left w:val="single" w:color="000000" w:sz="8"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52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版面美工设计加工</w:t>
            </w:r>
          </w:p>
        </w:tc>
        <w:tc>
          <w:tcPr>
            <w:tcW w:w="151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29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场馆中的所有版面和造型的设计加工</w:t>
            </w:r>
          </w:p>
        </w:tc>
        <w:tc>
          <w:tcPr>
            <w:tcW w:w="100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96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591" w:hRule="atLeast"/>
        </w:trPr>
        <w:tc>
          <w:tcPr>
            <w:tcW w:w="628" w:type="dxa"/>
            <w:tcBorders>
              <w:top w:val="single" w:color="000000" w:sz="4" w:space="0"/>
              <w:left w:val="single" w:color="000000" w:sz="8"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152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亚克力字</w:t>
            </w:r>
          </w:p>
        </w:tc>
        <w:tc>
          <w:tcPr>
            <w:tcW w:w="151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PMMA</w:t>
            </w:r>
          </w:p>
        </w:tc>
        <w:tc>
          <w:tcPr>
            <w:tcW w:w="29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发光及双面字体材质</w:t>
            </w:r>
          </w:p>
        </w:tc>
        <w:tc>
          <w:tcPr>
            <w:tcW w:w="100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平方</w:t>
            </w:r>
          </w:p>
        </w:tc>
        <w:tc>
          <w:tcPr>
            <w:tcW w:w="96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46.5</w:t>
            </w:r>
          </w:p>
        </w:tc>
      </w:tr>
      <w:tr>
        <w:tblPrEx>
          <w:tblCellMar>
            <w:top w:w="0" w:type="dxa"/>
            <w:left w:w="0" w:type="dxa"/>
            <w:bottom w:w="0" w:type="dxa"/>
            <w:right w:w="0" w:type="dxa"/>
          </w:tblCellMar>
        </w:tblPrEx>
        <w:trPr>
          <w:trHeight w:val="519" w:hRule="atLeast"/>
        </w:trPr>
        <w:tc>
          <w:tcPr>
            <w:tcW w:w="628" w:type="dxa"/>
            <w:tcBorders>
              <w:top w:val="single" w:color="000000" w:sz="4" w:space="0"/>
              <w:left w:val="single" w:color="000000" w:sz="8"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152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LED灯箱</w:t>
            </w:r>
          </w:p>
        </w:tc>
        <w:tc>
          <w:tcPr>
            <w:tcW w:w="151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OPPLE</w:t>
            </w:r>
          </w:p>
        </w:tc>
        <w:tc>
          <w:tcPr>
            <w:tcW w:w="2940" w:type="dxa"/>
            <w:tcBorders>
              <w:top w:val="single" w:color="000000" w:sz="4" w:space="0"/>
              <w:left w:val="nil"/>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定制灯箱造型</w:t>
            </w:r>
          </w:p>
        </w:tc>
        <w:tc>
          <w:tcPr>
            <w:tcW w:w="1005"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平方</w:t>
            </w:r>
          </w:p>
        </w:tc>
        <w:tc>
          <w:tcPr>
            <w:tcW w:w="969"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43.5</w:t>
            </w:r>
          </w:p>
        </w:tc>
      </w:tr>
    </w:tbl>
    <w:p>
      <w:pPr>
        <w:rPr>
          <w:rFonts w:hint="eastAsia" w:ascii="宋体" w:hAnsi="宋体"/>
          <w:b/>
          <w:color w:val="000000"/>
          <w:sz w:val="21"/>
          <w:szCs w:val="21"/>
          <w:highlight w:val="yellow"/>
        </w:rPr>
      </w:pPr>
    </w:p>
    <w:tbl>
      <w:tblPr>
        <w:tblStyle w:val="48"/>
        <w:tblW w:w="8480" w:type="dxa"/>
        <w:tblInd w:w="0" w:type="dxa"/>
        <w:tblLayout w:type="autofit"/>
        <w:tblCellMar>
          <w:top w:w="0" w:type="dxa"/>
          <w:left w:w="0" w:type="dxa"/>
          <w:bottom w:w="0" w:type="dxa"/>
          <w:right w:w="0" w:type="dxa"/>
        </w:tblCellMar>
      </w:tblPr>
      <w:tblGrid>
        <w:gridCol w:w="372"/>
        <w:gridCol w:w="1254"/>
        <w:gridCol w:w="510"/>
        <w:gridCol w:w="495"/>
        <w:gridCol w:w="4001"/>
        <w:gridCol w:w="682"/>
        <w:gridCol w:w="1166"/>
      </w:tblGrid>
      <w:tr>
        <w:tblPrEx>
          <w:tblCellMar>
            <w:top w:w="0" w:type="dxa"/>
            <w:left w:w="0" w:type="dxa"/>
            <w:bottom w:w="0" w:type="dxa"/>
            <w:right w:w="0" w:type="dxa"/>
          </w:tblCellMar>
        </w:tblPrEx>
        <w:trPr>
          <w:trHeight w:val="784" w:hRule="atLeast"/>
        </w:trPr>
        <w:tc>
          <w:tcPr>
            <w:tcW w:w="8480" w:type="dxa"/>
            <w:gridSpan w:val="7"/>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飞跃临海影片清单价格</w:t>
            </w:r>
          </w:p>
        </w:tc>
      </w:tr>
      <w:tr>
        <w:tblPrEx>
          <w:tblCellMar>
            <w:top w:w="0" w:type="dxa"/>
            <w:left w:w="0" w:type="dxa"/>
            <w:bottom w:w="0" w:type="dxa"/>
            <w:right w:w="0" w:type="dxa"/>
          </w:tblCellMar>
        </w:tblPrEx>
        <w:trPr>
          <w:trHeight w:val="1344" w:hRule="atLeast"/>
        </w:trPr>
        <w:tc>
          <w:tcPr>
            <w:tcW w:w="3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1254"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脚本编辑、策划</w:t>
            </w:r>
          </w:p>
        </w:tc>
        <w:tc>
          <w:tcPr>
            <w:tcW w:w="5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9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00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1、内容资料梳理与整理；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2、影片剧本文案编写；</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3、影片脚本内容定制；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4、影片资料的拍摄、整理、资料搜集等；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5、影片的制作策划统筹；</w:t>
            </w:r>
          </w:p>
        </w:tc>
        <w:tc>
          <w:tcPr>
            <w:tcW w:w="68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项</w:t>
            </w:r>
          </w:p>
        </w:tc>
        <w:tc>
          <w:tcPr>
            <w:tcW w:w="116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446" w:hRule="atLeast"/>
        </w:trPr>
        <w:tc>
          <w:tcPr>
            <w:tcW w:w="3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125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分镜头绘制</w:t>
            </w:r>
          </w:p>
        </w:tc>
        <w:tc>
          <w:tcPr>
            <w:tcW w:w="5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9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001" w:type="dxa"/>
            <w:tcBorders>
              <w:top w:val="nil"/>
              <w:left w:val="nil"/>
              <w:bottom w:val="nil"/>
              <w:right w:val="nil"/>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1、根据脚本文字构建场景；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2、根据脚本文字构建道具；</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3、根据脚本文字构建人物造型；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4、根据场景道具和人物造型，构建每个分镜头，并绘制每个分镜头；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5、人物动作的演绎，历史故事情境的符合，故事情节演绎；</w:t>
            </w:r>
          </w:p>
        </w:tc>
        <w:tc>
          <w:tcPr>
            <w:tcW w:w="68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项</w:t>
            </w:r>
          </w:p>
        </w:tc>
        <w:tc>
          <w:tcPr>
            <w:tcW w:w="11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512" w:hRule="atLeast"/>
        </w:trPr>
        <w:tc>
          <w:tcPr>
            <w:tcW w:w="3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5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三维模型制作</w:t>
            </w:r>
          </w:p>
        </w:tc>
        <w:tc>
          <w:tcPr>
            <w:tcW w:w="5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9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00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在ZB-MAYA平台下的场景设计与制作流程下，结合Maya的优势以及Zbrush的细节雕刻和置换贴图的应用优势，制作20套不同地域风格，不同时代背景的场景模型，包括古建筑模型，古代一些山脉河川，古代市井生活的一些道具，马车，店铺等，真实展示当时的人文地理环境。依据Maya制作低模型阶段和基于Zbrush制作高模型以及绘制贴图阶段.利用三张贴图烘培出场景细节并采用VR渲染场景的过程，这样更加提高了制作大场景的效率，面数控制合理，文件优化，模型细节得到大的提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在贴图绘画方面，运用与MAYA结合度高的Substance Painter 贴图绘制，它可以定义和嵌入大量需要的材质贴图种类，能够实时的看到最后的材质的真正的样子，并且直接应用到模型信息。自动从模型中生成所需的材质，比如基于UV的矢量图遮罩，AO贴图，Curvature贴图，这样及时方便的获取到我们当时去实地取景的一些照片素材运用于三维制作中，可以1:1的真实还原当时的模型贴图细节，在处理比较原始复古的材质表现中，渲染效果得到很大的提升。</w:t>
            </w:r>
          </w:p>
        </w:tc>
        <w:tc>
          <w:tcPr>
            <w:tcW w:w="68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11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841" w:hRule="atLeast"/>
        </w:trPr>
        <w:tc>
          <w:tcPr>
            <w:tcW w:w="3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1254"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场景布局、材质、灯光</w:t>
            </w:r>
          </w:p>
        </w:tc>
        <w:tc>
          <w:tcPr>
            <w:tcW w:w="510"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95"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00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在VRay的强大渲染器的配合下，渲染组通过各个朝代，各个时期的古建筑渲染，山川河流的渲染布局，使得MAYA/MAX的性能达到最大优势，引入光线追踪这一概念，可以模拟较为真实的反射与折射效果，像光能传递、GI、FG、IBL、3S、焦散等物理算法，更加接近真实。通过模拟真实灯光渲染效果，来展示当时的一些气候，冷暖的氛围把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在灯光模拟上，采用美国迪士尼最先进的灯光引擎Mantra，可以实时根据大气环境模拟出从早晨到夜晚的真实灯光效果，特别是在处理大场景表现上，尤为突出。并且实时更新灯光色彩，阴影信息，提高工作效率，相对应的材质效果也能根据当时的灯光环境实时变化。能够让观众有一种身临其境的代入感，从飞跃古城，展示各个朝代的历史，人文背景，展示了市井生活的人间烟火，到战争的残酷，朝代的更替。</w:t>
            </w:r>
          </w:p>
        </w:tc>
        <w:tc>
          <w:tcPr>
            <w:tcW w:w="68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项</w:t>
            </w:r>
          </w:p>
        </w:tc>
        <w:tc>
          <w:tcPr>
            <w:tcW w:w="116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054" w:hRule="atLeast"/>
        </w:trPr>
        <w:tc>
          <w:tcPr>
            <w:tcW w:w="3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125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人物角色模型</w:t>
            </w:r>
          </w:p>
        </w:tc>
        <w:tc>
          <w:tcPr>
            <w:tcW w:w="5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9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001" w:type="dxa"/>
            <w:tcBorders>
              <w:top w:val="nil"/>
              <w:left w:val="nil"/>
              <w:bottom w:val="nil"/>
              <w:right w:val="nil"/>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角色制作数量大概有20多个，根据导演提供当时的不同时期，不同朝代角色的服饰，毛发，人体结构等信息，制作出符合当时时代特色的角色人物模型。角色特点符合当时市井生活，从街道中叫卖东西的小贩到轿子中的达官贵人形象，街道上巡逻的士兵，城墙上站岗的军人等，服装，服饰，人物脸部刻画，皮肤SSS材质表现真实细腻，模型从ZBrush导出到Max，Maya，Marmoset，Mudbox等进行人物模型的制作，大量节约制作时间，提供制作效率，在保持原有细节材质的同时，又不会损失因为模型面数不够，导致效果大打折扣。</w:t>
            </w:r>
          </w:p>
        </w:tc>
        <w:tc>
          <w:tcPr>
            <w:tcW w:w="68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项</w:t>
            </w:r>
          </w:p>
        </w:tc>
        <w:tc>
          <w:tcPr>
            <w:tcW w:w="11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680" w:hRule="atLeast"/>
        </w:trPr>
        <w:tc>
          <w:tcPr>
            <w:tcW w:w="3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125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动作调节</w:t>
            </w:r>
          </w:p>
        </w:tc>
        <w:tc>
          <w:tcPr>
            <w:tcW w:w="5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9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00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主要根据导演的分镜头，制作动画内容，动画表现各个朝代时期街道的市井生活中可以大声打招呼，邻里走动，早晨街巷里有叫卖声，晚上屋檐下，华灯初上的热闹，酒楼上的歌舞升平，市井里面的人们来来往往，孩子们追逐打闹，到明朝的抗倭战争，近现代的辛亥革命，再到新中国建设发展的动画演绎，表现在临海的一些历史人文事件，让观众有一种重回历史的感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在镜头处理上，运用一镜到底的运动表现手法，镜头的起幅和落幅的精准设计和控制，一个镜头从头到尾，完整记录了整个事件的发生过程，借用时间过渡造成的光影变化和实际光效中不经意的暗场等等。比如有个镜头通过乌云，树叶，丛林，飞鸟，水流等过渡到下一个历史场景，让观众有一种历史代入感。</w:t>
            </w:r>
          </w:p>
        </w:tc>
        <w:tc>
          <w:tcPr>
            <w:tcW w:w="68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秒</w:t>
            </w:r>
          </w:p>
        </w:tc>
        <w:tc>
          <w:tcPr>
            <w:tcW w:w="11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tblPrEx>
          <w:tblCellMar>
            <w:top w:w="0" w:type="dxa"/>
            <w:left w:w="0" w:type="dxa"/>
            <w:bottom w:w="0" w:type="dxa"/>
            <w:right w:w="0" w:type="dxa"/>
          </w:tblCellMar>
        </w:tblPrEx>
        <w:trPr>
          <w:trHeight w:val="2144" w:hRule="atLeast"/>
        </w:trPr>
        <w:tc>
          <w:tcPr>
            <w:tcW w:w="3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1254"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导演</w:t>
            </w:r>
          </w:p>
        </w:tc>
        <w:tc>
          <w:tcPr>
            <w:tcW w:w="5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9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00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根据提供的文案脚本策划进行分镜头剧本（storyboard）绘制，将文字转换成立体视听形象的中间媒介，充分体现导演的创作意图，创作思想，和创作风格，使画面形象简捷易懂。在展示每个朝代时期的历史背景下，确定每个镜头的景别，如远、全、中、近、特等，用精炼具体的语言描述出要表现的画面内容，必要时借助图形，符号表达。在影片策划、编剧、脚本、导演、剪辑，整体把控影片质量，指导数字三维动画影片各个环节（剧本-LAYOUT-模型-材质-灯光-渲染-特效-合成-剪辑-调色-配乐）的准备和布置工作。</w:t>
            </w:r>
          </w:p>
        </w:tc>
        <w:tc>
          <w:tcPr>
            <w:tcW w:w="68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项</w:t>
            </w:r>
          </w:p>
        </w:tc>
        <w:tc>
          <w:tcPr>
            <w:tcW w:w="116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2376" w:hRule="atLeast"/>
        </w:trPr>
        <w:tc>
          <w:tcPr>
            <w:tcW w:w="3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125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特效制作</w:t>
            </w:r>
          </w:p>
        </w:tc>
        <w:tc>
          <w:tcPr>
            <w:tcW w:w="5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9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001" w:type="dxa"/>
            <w:tcBorders>
              <w:top w:val="nil"/>
              <w:left w:val="nil"/>
              <w:bottom w:val="nil"/>
              <w:right w:val="nil"/>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运用Houdini (电影特效魔术师) Side Effects Software的软件，在处理各个朝代的战争更替，农民起义，抗倭战争中的烟火，爆炸，废墟特效的表现，那种刀光剑影的刺激感，快速的渲染运动模糊、景深和置换效果，满足观众身临其境的感觉。Houdini里的VOPs，用于以节点方式建立VEX操作和材质。你可以用VEX建立以下类型的自定义节点。利用强大插件bifrost，也包括适用于Maya的 Phoenix FD、Fumefx、Ziva VFX等等，对于大气模拟，烟雾特效，风场，力场，海浪模拟，破碎，爆炸等特效制作逼真。能够满足对于一些特殊影片，高分辨率的特效制作，渲染序列，对于后期处理合成能够提高制作效率。</w:t>
            </w:r>
          </w:p>
        </w:tc>
        <w:tc>
          <w:tcPr>
            <w:tcW w:w="68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秒</w:t>
            </w:r>
          </w:p>
        </w:tc>
        <w:tc>
          <w:tcPr>
            <w:tcW w:w="11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tblPrEx>
          <w:tblCellMar>
            <w:top w:w="0" w:type="dxa"/>
            <w:left w:w="0" w:type="dxa"/>
            <w:bottom w:w="0" w:type="dxa"/>
            <w:right w:w="0" w:type="dxa"/>
          </w:tblCellMar>
        </w:tblPrEx>
        <w:trPr>
          <w:trHeight w:val="2626" w:hRule="atLeast"/>
        </w:trPr>
        <w:tc>
          <w:tcPr>
            <w:tcW w:w="3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w:t>
            </w:r>
          </w:p>
        </w:tc>
        <w:tc>
          <w:tcPr>
            <w:tcW w:w="125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三维动画渲染</w:t>
            </w:r>
          </w:p>
        </w:tc>
        <w:tc>
          <w:tcPr>
            <w:tcW w:w="5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9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00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动画渲染，分辨率：7K，标准：CG动画电影标准；在前期流程通过的情况下，开始进行渲染的制作了，采用了CG动画电影标准制作，为了打造出光影效果优秀，阴影层次分明的画面，是渲染所需要完成的工作，设计师对场景进行分析，可以用于后期合成的分层分通道渲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因为此片属于飞跃类型影片，在表现其鸟瞰大场景的同时，考虑到植被布景，大气，春夏秋冬的变化等，3dsmax场景中可以将一些重复性高、精度高、面数比较多的模型转换为vray代理，能够加快你的工作流程，极大的提高工作效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特别是在处理古代城市群鸟瞰，古代村落的鸟瞰渲染表现中，能够提高工作效率，最大优化了渲染速度。</w:t>
            </w:r>
          </w:p>
        </w:tc>
        <w:tc>
          <w:tcPr>
            <w:tcW w:w="68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秒</w:t>
            </w:r>
          </w:p>
        </w:tc>
        <w:tc>
          <w:tcPr>
            <w:tcW w:w="11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360</w:t>
            </w:r>
          </w:p>
        </w:tc>
      </w:tr>
      <w:tr>
        <w:tblPrEx>
          <w:tblCellMar>
            <w:top w:w="0" w:type="dxa"/>
            <w:left w:w="0" w:type="dxa"/>
            <w:bottom w:w="0" w:type="dxa"/>
            <w:right w:w="0" w:type="dxa"/>
          </w:tblCellMar>
        </w:tblPrEx>
        <w:trPr>
          <w:trHeight w:val="1625" w:hRule="atLeast"/>
        </w:trPr>
        <w:tc>
          <w:tcPr>
            <w:tcW w:w="3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1254"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后期合成</w:t>
            </w:r>
          </w:p>
        </w:tc>
        <w:tc>
          <w:tcPr>
            <w:tcW w:w="5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9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00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合成采用NUKE合成方式，通过分层支持无限多的形状和笔画，单个节点或者全部的羽化，动画关键帧和追踪器的运用，混合模式与图层控制，3D摄像机追踪技术，构成了NUKE视觉效果及合成系统。在处理大型的山脉河流，古川古貌的合成表现上，突出视觉优势，运用摄像机跟踪原理，三维动画处理跟实际拍摄的影像结合，加上一些云雾缭绕，让观众置身其中，虚实结合，体现出这种特种影片的代入感。</w:t>
            </w:r>
          </w:p>
        </w:tc>
        <w:tc>
          <w:tcPr>
            <w:tcW w:w="68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分</w:t>
            </w:r>
          </w:p>
        </w:tc>
        <w:tc>
          <w:tcPr>
            <w:tcW w:w="116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r>
      <w:tr>
        <w:tblPrEx>
          <w:tblCellMar>
            <w:top w:w="0" w:type="dxa"/>
            <w:left w:w="0" w:type="dxa"/>
            <w:bottom w:w="0" w:type="dxa"/>
            <w:right w:w="0" w:type="dxa"/>
          </w:tblCellMar>
        </w:tblPrEx>
        <w:trPr>
          <w:trHeight w:val="1929" w:hRule="atLeast"/>
        </w:trPr>
        <w:tc>
          <w:tcPr>
            <w:tcW w:w="3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w:t>
            </w:r>
          </w:p>
        </w:tc>
        <w:tc>
          <w:tcPr>
            <w:tcW w:w="125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CAVE镜头对位</w:t>
            </w:r>
          </w:p>
        </w:tc>
        <w:tc>
          <w:tcPr>
            <w:tcW w:w="5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9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001" w:type="dxa"/>
            <w:tcBorders>
              <w:top w:val="nil"/>
              <w:left w:val="nil"/>
              <w:bottom w:val="nil"/>
              <w:right w:val="nil"/>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CAVE是一种先进的房间尺寸的可视化工具，它整合了多通道融合、立体投影和三维漫游等特性，可营造出完全置身于虚幻环境中的完美体验。 展项特点：所有参与者均完全沉浸在一个被立体投影画面包围的高级虚拟仿真环境中。所有参与者均完全沉浸在一个被立体投影画面包围的高级虚拟仿真环境中（通常左、中、右、上、下五组画面），获得一种身临其境的三维立体视听影像和交互感受。我们会提供这一套可实施方案，保证项目的顺利进行。</w:t>
            </w:r>
          </w:p>
        </w:tc>
        <w:tc>
          <w:tcPr>
            <w:tcW w:w="68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项</w:t>
            </w:r>
          </w:p>
        </w:tc>
        <w:tc>
          <w:tcPr>
            <w:tcW w:w="11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947" w:hRule="atLeast"/>
        </w:trPr>
        <w:tc>
          <w:tcPr>
            <w:tcW w:w="3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w:t>
            </w:r>
          </w:p>
        </w:tc>
        <w:tc>
          <w:tcPr>
            <w:tcW w:w="125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声音解说</w:t>
            </w:r>
          </w:p>
        </w:tc>
        <w:tc>
          <w:tcPr>
            <w:tcW w:w="5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9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00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一级播音员，基本上都是以主题配乐为主，旁白解说+主题配乐+画面的表现形式，此影片全面地介绍了有关于临海古城的历史传说、各个朝代，各种时期的历史人文轶事。在解说中添加了方言、评书、地方戏曲腔调等语言元素，使得影片表现出浓厚的乡土气息，体现出了强烈的地方文化色彩。这种解说，活泼，沉稳，两者的结合，使得这部影片呈现出一种轻快而不失庄重的氛围。这样的解说风格，在影片不失对于地域文化的表现力度的同时，使得影片成为一部带有较强娱乐色彩以及浓郁地方特色的人文纪录片。</w:t>
            </w:r>
          </w:p>
        </w:tc>
        <w:tc>
          <w:tcPr>
            <w:tcW w:w="68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分</w:t>
            </w:r>
          </w:p>
        </w:tc>
        <w:tc>
          <w:tcPr>
            <w:tcW w:w="11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r>
      <w:tr>
        <w:tblPrEx>
          <w:tblCellMar>
            <w:top w:w="0" w:type="dxa"/>
            <w:left w:w="0" w:type="dxa"/>
            <w:bottom w:w="0" w:type="dxa"/>
            <w:right w:w="0" w:type="dxa"/>
          </w:tblCellMar>
        </w:tblPrEx>
        <w:trPr>
          <w:trHeight w:val="1679" w:hRule="atLeast"/>
        </w:trPr>
        <w:tc>
          <w:tcPr>
            <w:tcW w:w="3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w:t>
            </w:r>
          </w:p>
        </w:tc>
        <w:tc>
          <w:tcPr>
            <w:tcW w:w="1254"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角色声音演绎</w:t>
            </w:r>
          </w:p>
        </w:tc>
        <w:tc>
          <w:tcPr>
            <w:tcW w:w="5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9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00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此片在大量运用场景音，角色音的混合处理上，Pro Tools这个软件，对于录音、混音功能优先且特别方便，比如市井生活中的叫卖声，小孩子嬉戏打闹声音，路人的说话声，最主要的是战争中的炮火，灰烬，燃烧，战士厮杀声，刀光剑影的特效音等，对音频进行调节、多文件混音、音频增益、淡入淡出等，以达到影片在观众中对于声音的临近感。</w:t>
            </w:r>
          </w:p>
        </w:tc>
        <w:tc>
          <w:tcPr>
            <w:tcW w:w="68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套</w:t>
            </w:r>
          </w:p>
        </w:tc>
        <w:tc>
          <w:tcPr>
            <w:tcW w:w="116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r>
      <w:tr>
        <w:tblPrEx>
          <w:tblCellMar>
            <w:top w:w="0" w:type="dxa"/>
            <w:left w:w="0" w:type="dxa"/>
            <w:bottom w:w="0" w:type="dxa"/>
            <w:right w:w="0" w:type="dxa"/>
          </w:tblCellMar>
        </w:tblPrEx>
        <w:trPr>
          <w:trHeight w:val="1214" w:hRule="atLeast"/>
        </w:trPr>
        <w:tc>
          <w:tcPr>
            <w:tcW w:w="37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w:t>
            </w:r>
          </w:p>
        </w:tc>
        <w:tc>
          <w:tcPr>
            <w:tcW w:w="1254"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合成输出</w:t>
            </w:r>
          </w:p>
        </w:tc>
        <w:tc>
          <w:tcPr>
            <w:tcW w:w="51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9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定制</w:t>
            </w:r>
          </w:p>
        </w:tc>
        <w:tc>
          <w:tcPr>
            <w:tcW w:w="4001"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合成剪辑，音乐，音效处理，影片输出能提高工作效率，输出MP4格式的影片，在不丢失原清晰度的情况下，可以完美跟硬件融合，达到播放不卡顿，流畅的效果。</w:t>
            </w:r>
          </w:p>
        </w:tc>
        <w:tc>
          <w:tcPr>
            <w:tcW w:w="682"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分</w:t>
            </w:r>
          </w:p>
        </w:tc>
        <w:tc>
          <w:tcPr>
            <w:tcW w:w="1166" w:type="dxa"/>
            <w:tcBorders>
              <w:top w:val="nil"/>
              <w:left w:val="single" w:color="000000" w:sz="4" w:space="0"/>
              <w:bottom w:val="single" w:color="000000" w:sz="4" w:space="0"/>
              <w:right w:val="single" w:color="000000" w:sz="4" w:space="0"/>
            </w:tcBorders>
            <w:noWrap w:val="0"/>
            <w:tcMar>
              <w:top w:w="8" w:type="dxa"/>
              <w:left w:w="8" w:type="dxa"/>
              <w:right w:w="8"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r>
    </w:tbl>
    <w:p>
      <w:pPr>
        <w:rPr>
          <w:rFonts w:hint="eastAsia" w:ascii="宋体" w:hAnsi="宋体"/>
          <w:b/>
          <w:color w:val="000000"/>
          <w:sz w:val="28"/>
          <w:szCs w:val="28"/>
        </w:rPr>
      </w:pPr>
    </w:p>
    <w:p>
      <w:pPr>
        <w:rPr>
          <w:rFonts w:hint="eastAsia" w:ascii="宋体" w:hAnsi="宋体"/>
          <w:bCs/>
          <w:sz w:val="24"/>
          <w:szCs w:val="24"/>
        </w:rPr>
      </w:pPr>
      <w:r>
        <w:rPr>
          <w:rFonts w:hint="eastAsia" w:ascii="宋体" w:hAnsi="宋体"/>
          <w:b/>
          <w:color w:val="000000"/>
          <w:sz w:val="24"/>
          <w:szCs w:val="24"/>
        </w:rPr>
        <w:t>注：</w:t>
      </w:r>
      <w:r>
        <w:rPr>
          <w:rFonts w:hint="eastAsia" w:ascii="宋体" w:hAnsi="宋体"/>
          <w:bCs/>
          <w:sz w:val="24"/>
          <w:szCs w:val="24"/>
        </w:rPr>
        <w:t>1、除招标文件推荐的品牌外，欢迎其他能满足本项目技术需求且性能与所推荐品牌相当或更优的产品参加投标。</w:t>
      </w:r>
    </w:p>
    <w:p>
      <w:pPr>
        <w:ind w:firstLine="350" w:firstLineChars="146"/>
        <w:rPr>
          <w:rFonts w:hint="eastAsia" w:ascii="宋体" w:hAnsi="宋体"/>
          <w:bCs/>
          <w:sz w:val="24"/>
          <w:szCs w:val="24"/>
          <w:u w:val="single"/>
          <w:shd w:val="pct10" w:color="auto" w:fill="FFFFFF"/>
        </w:rPr>
      </w:pPr>
      <w:r>
        <w:rPr>
          <w:rFonts w:hint="eastAsia" w:ascii="宋体" w:hAnsi="宋体"/>
          <w:bCs/>
          <w:sz w:val="24"/>
          <w:szCs w:val="24"/>
        </w:rPr>
        <w:t>2、</w:t>
      </w:r>
      <w:r>
        <w:rPr>
          <w:rFonts w:hint="eastAsia" w:ascii="宋体" w:hAnsi="宋体"/>
          <w:bCs/>
          <w:sz w:val="24"/>
          <w:szCs w:val="24"/>
          <w:u w:val="single"/>
        </w:rPr>
        <w:t xml:space="preserve"> </w:t>
      </w:r>
      <w:r>
        <w:rPr>
          <w:rFonts w:hint="eastAsia" w:ascii="宋体" w:hAnsi="宋体" w:cs="宋体"/>
          <w:bCs/>
          <w:kern w:val="0"/>
          <w:sz w:val="24"/>
          <w:szCs w:val="24"/>
          <w:u w:val="single"/>
          <w:shd w:val="pct10" w:color="auto" w:fill="FFFFFF"/>
        </w:rPr>
        <w:t>▲</w:t>
      </w:r>
      <w:r>
        <w:rPr>
          <w:rFonts w:hint="eastAsia" w:ascii="宋体" w:hAnsi="宋体"/>
          <w:bCs/>
          <w:sz w:val="24"/>
          <w:szCs w:val="24"/>
          <w:u w:val="single"/>
          <w:shd w:val="pct10" w:color="auto" w:fill="FFFFFF"/>
        </w:rPr>
        <w:t>工程量清单数量按照招标文件提供的数量报价，不得增减。</w:t>
      </w:r>
    </w:p>
    <w:p>
      <w:pPr>
        <w:ind w:firstLine="352" w:firstLineChars="146"/>
        <w:rPr>
          <w:rFonts w:hint="eastAsia" w:ascii="宋体" w:hAnsi="宋体"/>
          <w:b/>
          <w:sz w:val="24"/>
          <w:szCs w:val="24"/>
          <w:u w:val="single"/>
          <w:shd w:val="pct10" w:color="auto" w:fill="FFFFFF"/>
        </w:rPr>
      </w:pPr>
      <w:r>
        <w:rPr>
          <w:rFonts w:hint="eastAsia" w:ascii="宋体" w:hAnsi="宋体"/>
          <w:b/>
          <w:sz w:val="24"/>
          <w:szCs w:val="24"/>
          <w:u w:val="single"/>
          <w:shd w:val="pct10" w:color="auto" w:fill="FFFFFF"/>
        </w:rPr>
        <w:t>3、投标人所投设备货物的技术参数不应低于本项目的技术要求和档次。上述技术要求如出现某类品牌型号特有的技术指标或性能，则供投标人参考,不作为实质性响应条款。</w:t>
      </w:r>
    </w:p>
    <w:p>
      <w:pPr>
        <w:ind w:firstLine="236" w:firstLineChars="98"/>
        <w:rPr>
          <w:rFonts w:ascii="宋体" w:hAnsi="宋体"/>
          <w:b/>
          <w:sz w:val="28"/>
          <w:szCs w:val="28"/>
          <w:shd w:val="pct10" w:color="auto" w:fill="FFFFFF"/>
        </w:rPr>
      </w:pPr>
      <w:r>
        <w:rPr>
          <w:rFonts w:ascii="宋体" w:hAnsi="宋体"/>
          <w:b/>
          <w:sz w:val="24"/>
          <w:szCs w:val="24"/>
          <w:shd w:val="pct10" w:color="auto" w:fill="FFFFFF"/>
        </w:rPr>
        <w:t>4</w:t>
      </w:r>
      <w:r>
        <w:rPr>
          <w:rFonts w:hint="eastAsia" w:ascii="宋体" w:hAnsi="宋体"/>
          <w:b/>
          <w:sz w:val="24"/>
          <w:szCs w:val="24"/>
          <w:shd w:val="pct10" w:color="auto" w:fill="FFFFFF"/>
        </w:rPr>
        <w:t>、在政府购买服务项目中“公益一类事业单位不属于政府购买服务的承接主体，不得参与承接购买服务”。</w:t>
      </w:r>
    </w:p>
    <w:p>
      <w:pPr>
        <w:spacing w:line="440" w:lineRule="exact"/>
        <w:rPr>
          <w:rFonts w:hint="eastAsia" w:ascii="宋体" w:hAnsi="宋体"/>
          <w:b/>
          <w:color w:val="000000"/>
          <w:sz w:val="24"/>
        </w:rPr>
      </w:pPr>
      <w:r>
        <w:rPr>
          <w:rFonts w:hint="eastAsia" w:ascii="宋体" w:hAnsi="宋体"/>
          <w:b/>
          <w:color w:val="000000"/>
          <w:sz w:val="24"/>
        </w:rPr>
        <w:t>二、工作范围</w:t>
      </w:r>
    </w:p>
    <w:p>
      <w:pPr>
        <w:spacing w:line="440" w:lineRule="exact"/>
        <w:rPr>
          <w:rFonts w:hint="eastAsia" w:ascii="宋体" w:hAnsi="宋体"/>
          <w:color w:val="000000"/>
          <w:sz w:val="24"/>
        </w:rPr>
      </w:pPr>
      <w:r>
        <w:rPr>
          <w:rFonts w:hint="eastAsia" w:ascii="宋体" w:hAnsi="宋体"/>
          <w:color w:val="000000"/>
          <w:sz w:val="24"/>
        </w:rPr>
        <w:t>根据招标文件，投标人须按国家有关标准及规范完成下列工作：</w:t>
      </w:r>
    </w:p>
    <w:p>
      <w:pPr>
        <w:spacing w:line="440" w:lineRule="exact"/>
        <w:rPr>
          <w:rFonts w:hint="eastAsia" w:ascii="宋体" w:hAnsi="宋体"/>
          <w:color w:val="000000"/>
          <w:sz w:val="24"/>
        </w:rPr>
      </w:pPr>
      <w:r>
        <w:rPr>
          <w:rFonts w:hint="eastAsia" w:ascii="宋体" w:hAnsi="宋体"/>
          <w:color w:val="000000"/>
          <w:sz w:val="24"/>
        </w:rPr>
        <w:t>（1）本工程属交钥匙工程</w:t>
      </w:r>
    </w:p>
    <w:p>
      <w:pPr>
        <w:spacing w:line="440" w:lineRule="exact"/>
        <w:rPr>
          <w:rFonts w:hint="eastAsia" w:ascii="宋体" w:hAnsi="宋体"/>
          <w:color w:val="000000"/>
          <w:sz w:val="24"/>
        </w:rPr>
      </w:pPr>
      <w:r>
        <w:rPr>
          <w:rFonts w:hint="eastAsia" w:ascii="宋体" w:hAnsi="宋体"/>
          <w:color w:val="000000"/>
          <w:sz w:val="24"/>
        </w:rPr>
        <w:t>（2）材料及相关附件的提供、运输、安装、检验、通过验收；</w:t>
      </w:r>
    </w:p>
    <w:p>
      <w:pPr>
        <w:spacing w:line="440" w:lineRule="exact"/>
        <w:rPr>
          <w:rFonts w:hint="eastAsia" w:ascii="宋体" w:hAnsi="宋体"/>
          <w:color w:val="000000"/>
          <w:sz w:val="24"/>
        </w:rPr>
      </w:pPr>
      <w:r>
        <w:rPr>
          <w:rFonts w:hint="eastAsia" w:ascii="宋体" w:hAnsi="宋体"/>
          <w:color w:val="000000"/>
          <w:sz w:val="24"/>
        </w:rPr>
        <w:t>（3）中标单位在供货前须出具原厂商合格证及售后服务措施及承诺。</w:t>
      </w:r>
    </w:p>
    <w:p>
      <w:pPr>
        <w:spacing w:line="440" w:lineRule="exact"/>
        <w:rPr>
          <w:rFonts w:hint="eastAsia" w:ascii="宋体" w:hAnsi="宋体"/>
          <w:b/>
          <w:color w:val="000000"/>
          <w:sz w:val="24"/>
        </w:rPr>
      </w:pPr>
      <w:r>
        <w:rPr>
          <w:rFonts w:hint="eastAsia" w:ascii="宋体" w:hAnsi="宋体"/>
          <w:b/>
          <w:color w:val="000000"/>
          <w:sz w:val="24"/>
        </w:rPr>
        <w:t>三、中标人的工作内容</w:t>
      </w:r>
    </w:p>
    <w:p>
      <w:pPr>
        <w:spacing w:line="440" w:lineRule="exact"/>
        <w:rPr>
          <w:rFonts w:hint="eastAsia" w:ascii="宋体" w:hAnsi="宋体"/>
          <w:color w:val="000000"/>
          <w:sz w:val="24"/>
        </w:rPr>
      </w:pPr>
      <w:r>
        <w:rPr>
          <w:rFonts w:hint="eastAsia" w:ascii="宋体" w:hAnsi="宋体"/>
          <w:color w:val="000000"/>
          <w:sz w:val="24"/>
        </w:rPr>
        <w:t>中标人的工作内容需包含但不局限于以下内容：</w:t>
      </w:r>
    </w:p>
    <w:p>
      <w:pPr>
        <w:spacing w:line="440" w:lineRule="exact"/>
        <w:rPr>
          <w:rFonts w:hint="eastAsia"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设备的制造与供货及提供相关资料；</w:t>
      </w:r>
    </w:p>
    <w:p>
      <w:pPr>
        <w:spacing w:line="440" w:lineRule="exact"/>
        <w:rPr>
          <w:rFonts w:hint="eastAsia"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设备及部件的检查、检验及测试（该费用计入总价）；</w:t>
      </w:r>
    </w:p>
    <w:p>
      <w:pPr>
        <w:spacing w:line="440" w:lineRule="exact"/>
        <w:rPr>
          <w:rFonts w:hint="eastAsia" w:ascii="宋体" w:hAnsi="宋体"/>
          <w:color w:val="000000"/>
          <w:sz w:val="24"/>
        </w:rPr>
      </w:pP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设备的安装及部件的就位和固定；</w:t>
      </w:r>
    </w:p>
    <w:p>
      <w:pPr>
        <w:spacing w:line="440" w:lineRule="exact"/>
        <w:rPr>
          <w:rFonts w:hint="eastAsia" w:ascii="宋体" w:hAnsi="宋体"/>
          <w:color w:val="000000"/>
          <w:sz w:val="24"/>
        </w:rPr>
      </w:pPr>
      <w:r>
        <w:rPr>
          <w:rFonts w:hint="eastAsia" w:ascii="宋体" w:hAnsi="宋体"/>
          <w:color w:val="000000"/>
          <w:sz w:val="24"/>
        </w:rPr>
        <w:t>4.</w:t>
      </w:r>
      <w:r>
        <w:rPr>
          <w:rFonts w:hint="eastAsia" w:ascii="宋体" w:hAnsi="宋体"/>
          <w:color w:val="000000"/>
          <w:sz w:val="24"/>
        </w:rPr>
        <w:tab/>
      </w:r>
      <w:r>
        <w:rPr>
          <w:rFonts w:hint="eastAsia" w:ascii="宋体" w:hAnsi="宋体"/>
          <w:color w:val="000000"/>
          <w:sz w:val="24"/>
        </w:rPr>
        <w:t>设备及部件的连接和检查；</w:t>
      </w:r>
    </w:p>
    <w:p>
      <w:pPr>
        <w:spacing w:line="440" w:lineRule="exact"/>
        <w:rPr>
          <w:rFonts w:hint="eastAsia" w:ascii="宋体" w:hAnsi="宋体"/>
          <w:color w:val="000000"/>
          <w:sz w:val="24"/>
        </w:rPr>
      </w:pPr>
      <w:r>
        <w:rPr>
          <w:rFonts w:hint="eastAsia" w:ascii="宋体" w:hAnsi="宋体"/>
          <w:color w:val="000000"/>
          <w:sz w:val="24"/>
        </w:rPr>
        <w:t>5.</w:t>
      </w:r>
      <w:r>
        <w:rPr>
          <w:rFonts w:hint="eastAsia" w:ascii="宋体" w:hAnsi="宋体"/>
          <w:color w:val="000000"/>
          <w:sz w:val="24"/>
        </w:rPr>
        <w:tab/>
      </w:r>
      <w:r>
        <w:rPr>
          <w:rFonts w:hint="eastAsia" w:ascii="宋体" w:hAnsi="宋体"/>
          <w:color w:val="000000"/>
          <w:sz w:val="24"/>
        </w:rPr>
        <w:t>设备与系统的调试；</w:t>
      </w:r>
    </w:p>
    <w:p>
      <w:pPr>
        <w:spacing w:line="440" w:lineRule="exact"/>
        <w:rPr>
          <w:rFonts w:hint="eastAsia" w:ascii="宋体" w:hAnsi="宋体"/>
          <w:color w:val="000000"/>
          <w:sz w:val="24"/>
        </w:rPr>
      </w:pPr>
      <w:r>
        <w:rPr>
          <w:rFonts w:hint="eastAsia" w:ascii="宋体" w:hAnsi="宋体"/>
          <w:color w:val="000000"/>
          <w:sz w:val="24"/>
        </w:rPr>
        <w:t>6.</w:t>
      </w:r>
      <w:r>
        <w:rPr>
          <w:rFonts w:hint="eastAsia" w:ascii="宋体" w:hAnsi="宋体"/>
          <w:color w:val="000000"/>
          <w:sz w:val="24"/>
        </w:rPr>
        <w:tab/>
      </w:r>
      <w:r>
        <w:rPr>
          <w:rFonts w:hint="eastAsia" w:ascii="宋体" w:hAnsi="宋体"/>
          <w:color w:val="000000"/>
          <w:sz w:val="24"/>
        </w:rPr>
        <w:t>整个系统调试；</w:t>
      </w:r>
    </w:p>
    <w:p>
      <w:pPr>
        <w:spacing w:line="440" w:lineRule="exact"/>
        <w:rPr>
          <w:rFonts w:hint="eastAsia" w:ascii="宋体" w:hAnsi="宋体"/>
          <w:color w:val="000000"/>
          <w:sz w:val="24"/>
        </w:rPr>
      </w:pPr>
      <w:r>
        <w:rPr>
          <w:rFonts w:hint="eastAsia" w:ascii="宋体" w:hAnsi="宋体"/>
          <w:color w:val="000000"/>
          <w:sz w:val="24"/>
        </w:rPr>
        <w:t>7.</w:t>
      </w:r>
      <w:r>
        <w:rPr>
          <w:rFonts w:hint="eastAsia" w:ascii="宋体" w:hAnsi="宋体"/>
          <w:color w:val="000000"/>
          <w:sz w:val="24"/>
        </w:rPr>
        <w:tab/>
      </w:r>
      <w:r>
        <w:rPr>
          <w:rFonts w:hint="eastAsia" w:ascii="宋体" w:hAnsi="宋体"/>
          <w:color w:val="000000"/>
          <w:sz w:val="24"/>
        </w:rPr>
        <w:t>系统的维护、维修措施及急修接报后的响应措施；</w:t>
      </w:r>
    </w:p>
    <w:p>
      <w:pPr>
        <w:spacing w:line="440" w:lineRule="exact"/>
        <w:rPr>
          <w:rFonts w:hint="eastAsia" w:ascii="宋体" w:hAnsi="宋体"/>
          <w:color w:val="000000"/>
          <w:sz w:val="24"/>
        </w:rPr>
      </w:pPr>
      <w:r>
        <w:rPr>
          <w:rFonts w:hint="eastAsia" w:ascii="宋体" w:hAnsi="宋体"/>
          <w:color w:val="000000"/>
          <w:sz w:val="24"/>
        </w:rPr>
        <w:t>8.</w:t>
      </w:r>
      <w:r>
        <w:rPr>
          <w:rFonts w:hint="eastAsia" w:ascii="宋体" w:hAnsi="宋体"/>
          <w:color w:val="000000"/>
          <w:sz w:val="24"/>
        </w:rPr>
        <w:tab/>
      </w:r>
      <w:r>
        <w:rPr>
          <w:rFonts w:hint="eastAsia" w:ascii="宋体" w:hAnsi="宋体"/>
          <w:color w:val="000000"/>
          <w:sz w:val="24"/>
        </w:rPr>
        <w:t>验收（包括负责通过相关部门的整体验收，资料整理交接）；</w:t>
      </w:r>
    </w:p>
    <w:p>
      <w:pPr>
        <w:spacing w:line="440" w:lineRule="exact"/>
        <w:rPr>
          <w:rFonts w:hint="eastAsia" w:ascii="宋体" w:hAnsi="宋体"/>
          <w:color w:val="000000"/>
          <w:sz w:val="24"/>
        </w:rPr>
      </w:pPr>
      <w:r>
        <w:rPr>
          <w:rFonts w:hint="eastAsia" w:ascii="宋体" w:hAnsi="宋体"/>
          <w:color w:val="000000"/>
          <w:sz w:val="24"/>
        </w:rPr>
        <w:t>9.</w:t>
      </w:r>
      <w:r>
        <w:rPr>
          <w:rFonts w:hint="eastAsia" w:ascii="宋体" w:hAnsi="宋体"/>
          <w:color w:val="000000"/>
          <w:sz w:val="24"/>
        </w:rPr>
        <w:tab/>
      </w:r>
      <w:r>
        <w:rPr>
          <w:rFonts w:hint="eastAsia" w:ascii="宋体" w:hAnsi="宋体"/>
          <w:color w:val="000000"/>
          <w:sz w:val="24"/>
        </w:rPr>
        <w:t>负责培训资料的编写和技术培训；</w:t>
      </w:r>
    </w:p>
    <w:p>
      <w:pPr>
        <w:spacing w:line="440" w:lineRule="exact"/>
        <w:rPr>
          <w:rFonts w:hint="eastAsia" w:ascii="宋体" w:hAnsi="宋体"/>
          <w:color w:val="000000"/>
          <w:sz w:val="24"/>
        </w:rPr>
      </w:pPr>
      <w:r>
        <w:rPr>
          <w:rFonts w:hint="eastAsia" w:ascii="宋体" w:hAnsi="宋体"/>
          <w:color w:val="000000"/>
          <w:sz w:val="24"/>
        </w:rPr>
        <w:t>10.</w:t>
      </w:r>
      <w:r>
        <w:rPr>
          <w:rFonts w:hint="eastAsia" w:ascii="宋体" w:hAnsi="宋体"/>
          <w:color w:val="000000"/>
          <w:sz w:val="24"/>
        </w:rPr>
        <w:tab/>
      </w:r>
      <w:r>
        <w:rPr>
          <w:rFonts w:hint="eastAsia" w:ascii="宋体" w:hAnsi="宋体"/>
          <w:color w:val="000000"/>
          <w:sz w:val="24"/>
        </w:rPr>
        <w:t>售后服务。</w:t>
      </w:r>
    </w:p>
    <w:p>
      <w:pPr>
        <w:spacing w:line="440" w:lineRule="exact"/>
        <w:rPr>
          <w:rFonts w:hint="eastAsia" w:ascii="宋体" w:hAnsi="宋体"/>
          <w:b/>
          <w:color w:val="000000"/>
          <w:sz w:val="24"/>
        </w:rPr>
      </w:pPr>
      <w:r>
        <w:rPr>
          <w:rFonts w:hint="eastAsia" w:ascii="宋体" w:hAnsi="宋体"/>
          <w:b/>
          <w:color w:val="000000"/>
          <w:sz w:val="24"/>
        </w:rPr>
        <w:t>四、质量保证</w:t>
      </w:r>
    </w:p>
    <w:p>
      <w:pPr>
        <w:spacing w:line="440" w:lineRule="exact"/>
        <w:rPr>
          <w:rFonts w:hint="eastAsia" w:ascii="宋体" w:hAnsi="宋体"/>
          <w:color w:val="000000"/>
          <w:sz w:val="24"/>
        </w:rPr>
      </w:pPr>
      <w:r>
        <w:rPr>
          <w:rFonts w:hint="eastAsia" w:ascii="宋体" w:hAnsi="宋体"/>
          <w:color w:val="000000"/>
          <w:sz w:val="24"/>
        </w:rPr>
        <w:t>1、质量要求</w:t>
      </w:r>
    </w:p>
    <w:p>
      <w:pPr>
        <w:spacing w:line="440" w:lineRule="exact"/>
        <w:rPr>
          <w:rFonts w:hint="eastAsia" w:ascii="宋体" w:hAnsi="宋体"/>
          <w:color w:val="000000"/>
          <w:sz w:val="24"/>
        </w:rPr>
      </w:pPr>
      <w:r>
        <w:rPr>
          <w:rFonts w:hint="eastAsia" w:ascii="宋体" w:hAnsi="宋体"/>
          <w:color w:val="000000"/>
          <w:sz w:val="24"/>
        </w:rPr>
        <w:t>（1）合格及以上，符合国家规定的质量要求。</w:t>
      </w:r>
    </w:p>
    <w:p>
      <w:pPr>
        <w:spacing w:line="440" w:lineRule="exact"/>
        <w:rPr>
          <w:rFonts w:hint="eastAsia" w:ascii="宋体" w:hAnsi="宋体"/>
          <w:color w:val="000000"/>
          <w:sz w:val="24"/>
        </w:rPr>
      </w:pPr>
      <w:r>
        <w:rPr>
          <w:rFonts w:hint="eastAsia" w:ascii="宋体" w:hAnsi="宋体"/>
          <w:color w:val="000000"/>
          <w:sz w:val="24"/>
        </w:rPr>
        <w:t>（2）货物验收过程中，由于质量不合格或运输等原因所造成的一切费用均由供应商负责。</w:t>
      </w:r>
    </w:p>
    <w:p>
      <w:pPr>
        <w:spacing w:line="440" w:lineRule="exact"/>
        <w:rPr>
          <w:rFonts w:hint="eastAsia" w:ascii="宋体" w:hAnsi="宋体"/>
          <w:color w:val="000000"/>
          <w:sz w:val="24"/>
        </w:rPr>
      </w:pPr>
      <w:r>
        <w:rPr>
          <w:rFonts w:hint="eastAsia" w:ascii="宋体" w:hAnsi="宋体"/>
          <w:color w:val="000000"/>
          <w:sz w:val="24"/>
        </w:rPr>
        <w:t>（3）中标供应商须对因投标货物使用期内本身的固有缺陷和瑕疵承担责任。</w:t>
      </w:r>
    </w:p>
    <w:p>
      <w:pPr>
        <w:spacing w:line="440" w:lineRule="exact"/>
        <w:rPr>
          <w:rFonts w:hint="eastAsia" w:ascii="宋体" w:hAnsi="宋体"/>
          <w:b/>
          <w:sz w:val="24"/>
          <w:u w:val="single"/>
          <w:shd w:val="pct10" w:color="auto" w:fill="FFFFFF"/>
        </w:rPr>
      </w:pPr>
      <w:r>
        <w:rPr>
          <w:rFonts w:hint="eastAsia" w:ascii="宋体" w:hAnsi="宋体"/>
          <w:b/>
          <w:sz w:val="24"/>
          <w:u w:val="single"/>
          <w:shd w:val="pct10" w:color="auto" w:fill="FFFFFF"/>
        </w:rPr>
        <w:t>2、保修期：整个系统均不少于两年免费保修期（供应商可提供更优惠的保修期）。</w:t>
      </w:r>
    </w:p>
    <w:p>
      <w:pPr>
        <w:spacing w:line="440" w:lineRule="exact"/>
        <w:rPr>
          <w:rFonts w:hint="eastAsia" w:ascii="宋体" w:hAnsi="宋体"/>
          <w:color w:val="000000"/>
          <w:sz w:val="24"/>
        </w:rPr>
      </w:pPr>
      <w:r>
        <w:rPr>
          <w:rFonts w:hint="eastAsia" w:ascii="宋体" w:hAnsi="宋体"/>
          <w:color w:val="000000"/>
          <w:sz w:val="24"/>
        </w:rPr>
        <w:t>（1）保修期内，如因修理货物或更换部件，而非人为因素出现故障而造成短期停用时，则保修期和免费维修期相应顺延。如停用时间累计超过20天，则货物保修期重新计算。</w:t>
      </w:r>
    </w:p>
    <w:p>
      <w:pPr>
        <w:spacing w:line="440" w:lineRule="exact"/>
        <w:rPr>
          <w:rFonts w:hint="eastAsia" w:ascii="宋体" w:hAnsi="宋体"/>
          <w:color w:val="000000"/>
          <w:sz w:val="24"/>
        </w:rPr>
      </w:pPr>
      <w:r>
        <w:rPr>
          <w:rFonts w:hint="eastAsia" w:ascii="宋体" w:hAnsi="宋体"/>
          <w:color w:val="000000"/>
          <w:sz w:val="24"/>
        </w:rPr>
        <w:t>（2）保修期内，采购人无须自行付费，中标供应商负责修理和替换任何由于货物自身的质量问题造成的损坏及故障。</w:t>
      </w:r>
    </w:p>
    <w:p>
      <w:pPr>
        <w:spacing w:line="440" w:lineRule="exact"/>
        <w:rPr>
          <w:rFonts w:hint="eastAsia" w:ascii="宋体" w:hAnsi="宋体"/>
          <w:color w:val="000000"/>
          <w:sz w:val="24"/>
        </w:rPr>
      </w:pPr>
      <w:r>
        <w:rPr>
          <w:rFonts w:hint="eastAsia" w:ascii="宋体" w:hAnsi="宋体"/>
          <w:color w:val="000000"/>
          <w:sz w:val="24"/>
        </w:rPr>
        <w:t>（3）保修期内，须指定一名技术工程师专门负责本项目的售后服务工作；如有更换，须采购人同意。</w:t>
      </w:r>
    </w:p>
    <w:p>
      <w:pPr>
        <w:spacing w:line="440" w:lineRule="exact"/>
        <w:rPr>
          <w:rFonts w:hint="eastAsia" w:ascii="宋体" w:hAnsi="宋体"/>
          <w:color w:val="000000"/>
          <w:sz w:val="24"/>
        </w:rPr>
      </w:pPr>
      <w:r>
        <w:rPr>
          <w:rFonts w:hint="eastAsia" w:ascii="宋体" w:hAnsi="宋体"/>
          <w:color w:val="000000"/>
          <w:sz w:val="24"/>
        </w:rPr>
        <w:t>（4）中标供应商在保修期内安装（更换）的任何零配件，必须是货物制造商原产的或是经采购人认可的。</w:t>
      </w:r>
    </w:p>
    <w:p>
      <w:pPr>
        <w:spacing w:line="440" w:lineRule="exact"/>
        <w:rPr>
          <w:rFonts w:hint="eastAsia" w:ascii="宋体" w:hAnsi="宋体"/>
          <w:color w:val="000000"/>
          <w:sz w:val="24"/>
        </w:rPr>
      </w:pPr>
      <w:r>
        <w:rPr>
          <w:rFonts w:hint="eastAsia" w:ascii="宋体" w:hAnsi="宋体"/>
          <w:color w:val="000000"/>
          <w:sz w:val="24"/>
        </w:rPr>
        <w:t>（5）所有的替代零配件必须是新的未使用和未经修复的,除非最终用户提供书面许可，否则不可使用此范围外的其他（非新的）配件。</w:t>
      </w:r>
    </w:p>
    <w:p>
      <w:pPr>
        <w:spacing w:line="440" w:lineRule="exact"/>
        <w:rPr>
          <w:rFonts w:hint="eastAsia" w:ascii="宋体" w:hAnsi="宋体"/>
          <w:color w:val="000000"/>
          <w:sz w:val="24"/>
        </w:rPr>
      </w:pPr>
      <w:r>
        <w:rPr>
          <w:rFonts w:hint="eastAsia" w:ascii="宋体" w:hAnsi="宋体"/>
          <w:color w:val="000000"/>
          <w:sz w:val="24"/>
        </w:rPr>
        <w:t>（6）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pPr>
        <w:spacing w:line="440" w:lineRule="exact"/>
        <w:rPr>
          <w:rFonts w:hint="eastAsia" w:ascii="宋体" w:hAnsi="宋体"/>
          <w:color w:val="000000"/>
          <w:sz w:val="24"/>
        </w:rPr>
      </w:pPr>
      <w:r>
        <w:rPr>
          <w:rFonts w:hint="eastAsia" w:ascii="宋体" w:hAnsi="宋体"/>
          <w:color w:val="000000"/>
          <w:sz w:val="24"/>
        </w:rPr>
        <w:t>（7）中标供应商或原厂家的承诺的保修期不符的，以最高标准为准，除非供应商事前正式声明，否则均视为认同，并将在合同中载明。</w:t>
      </w:r>
    </w:p>
    <w:p>
      <w:pPr>
        <w:spacing w:line="440" w:lineRule="exact"/>
        <w:rPr>
          <w:rFonts w:hint="eastAsia" w:ascii="宋体" w:hAnsi="宋体"/>
          <w:b/>
          <w:color w:val="000000"/>
          <w:sz w:val="24"/>
        </w:rPr>
      </w:pPr>
      <w:r>
        <w:rPr>
          <w:rFonts w:hint="eastAsia" w:ascii="宋体" w:hAnsi="宋体"/>
          <w:b/>
          <w:color w:val="000000"/>
          <w:sz w:val="24"/>
        </w:rPr>
        <w:t>五、售后服务要求</w:t>
      </w:r>
    </w:p>
    <w:p>
      <w:pPr>
        <w:spacing w:line="440" w:lineRule="exact"/>
        <w:rPr>
          <w:rFonts w:hint="eastAsia" w:ascii="宋体" w:hAnsi="宋体"/>
          <w:color w:val="000000"/>
          <w:sz w:val="24"/>
        </w:rPr>
      </w:pPr>
      <w:r>
        <w:rPr>
          <w:rFonts w:hint="eastAsia" w:ascii="宋体" w:hAnsi="宋体"/>
          <w:color w:val="000000"/>
          <w:sz w:val="24"/>
        </w:rPr>
        <w:t>1、中标人必须有可靠的售后服务保障，包括但不限于在台州附近有固定的维修服务点，能提供正常的技术、备品备件服务。当发生故障时，中标人在接到采购单位通知后，临海及附近地区4小时内，外地6小时内派人赴现场处理设备质量问题。24小时内不能修复的，则无偿提供备机或备用零件供采购单位使用。</w:t>
      </w:r>
    </w:p>
    <w:p>
      <w:pPr>
        <w:spacing w:line="440" w:lineRule="exact"/>
        <w:rPr>
          <w:rFonts w:hint="eastAsia" w:ascii="宋体" w:hAnsi="宋体"/>
          <w:color w:val="000000"/>
          <w:sz w:val="24"/>
        </w:rPr>
      </w:pPr>
      <w:r>
        <w:rPr>
          <w:rFonts w:hint="eastAsia" w:ascii="宋体" w:hAnsi="宋体"/>
          <w:color w:val="000000"/>
          <w:sz w:val="24"/>
        </w:rPr>
        <w:t>2、中标人服务维修人员均经过良好的系统技术培训，并有丰富的现场维修经验。</w:t>
      </w:r>
    </w:p>
    <w:p>
      <w:pPr>
        <w:spacing w:line="440" w:lineRule="exact"/>
        <w:rPr>
          <w:rFonts w:hint="eastAsia" w:ascii="宋体" w:hAnsi="宋体"/>
          <w:color w:val="000000"/>
          <w:sz w:val="24"/>
        </w:rPr>
      </w:pPr>
      <w:r>
        <w:rPr>
          <w:rFonts w:hint="eastAsia" w:ascii="宋体" w:hAnsi="宋体"/>
          <w:color w:val="000000"/>
          <w:sz w:val="24"/>
        </w:rPr>
        <w:t>3、若中标人未能满足上述售后服务要求中的任何一条，采购单位有权委托第三方单位提供售后服务，由此产生的一切费用由中标人承担。</w:t>
      </w:r>
    </w:p>
    <w:p>
      <w:pPr>
        <w:spacing w:line="400" w:lineRule="exact"/>
        <w:rPr>
          <w:rFonts w:hint="eastAsia" w:ascii="宋体" w:hAnsi="宋体"/>
          <w:b/>
          <w:sz w:val="24"/>
        </w:rPr>
      </w:pPr>
    </w:p>
    <w:p>
      <w:pPr>
        <w:spacing w:line="400" w:lineRule="exact"/>
        <w:ind w:firstLine="443" w:firstLineChars="147"/>
        <w:jc w:val="center"/>
        <w:rPr>
          <w:rFonts w:ascii="宋体" w:hAnsi="宋体"/>
          <w:b/>
          <w:color w:val="000000"/>
          <w:sz w:val="30"/>
          <w:szCs w:val="30"/>
        </w:rPr>
      </w:pPr>
      <w:bookmarkStart w:id="12" w:name="_Toc466534749"/>
      <w:r>
        <w:rPr>
          <w:rFonts w:hint="eastAsia" w:ascii="宋体" w:hAnsi="宋体"/>
          <w:b/>
          <w:color w:val="000000"/>
          <w:sz w:val="30"/>
          <w:szCs w:val="30"/>
        </w:rPr>
        <w:br w:type="page"/>
      </w:r>
      <w:r>
        <w:rPr>
          <w:rFonts w:hint="eastAsia" w:ascii="宋体" w:hAnsi="宋体"/>
          <w:b/>
          <w:color w:val="000000"/>
          <w:sz w:val="30"/>
          <w:szCs w:val="30"/>
        </w:rPr>
        <w:t>第三章  投标人须知</w:t>
      </w:r>
      <w:bookmarkEnd w:id="12"/>
    </w:p>
    <w:p>
      <w:pPr>
        <w:snapToGrid w:val="0"/>
        <w:spacing w:before="120" w:beforeLines="50" w:after="120" w:afterLines="50"/>
        <w:ind w:left="476"/>
        <w:jc w:val="center"/>
        <w:rPr>
          <w:rFonts w:ascii="宋体" w:hAnsi="宋体"/>
          <w:b/>
          <w:color w:val="000000"/>
          <w:szCs w:val="21"/>
        </w:rPr>
      </w:pPr>
      <w:r>
        <w:rPr>
          <w:rFonts w:hint="eastAsia" w:ascii="宋体" w:hAnsi="宋体"/>
          <w:b/>
          <w:color w:val="000000"/>
          <w:szCs w:val="21"/>
        </w:rPr>
        <w:t>前附表</w:t>
      </w:r>
    </w:p>
    <w:p>
      <w:pPr>
        <w:snapToGrid w:val="0"/>
        <w:spacing w:before="120" w:beforeLines="50" w:after="120" w:afterLines="50"/>
        <w:ind w:left="476"/>
        <w:jc w:val="center"/>
        <w:rPr>
          <w:rFonts w:hint="eastAsia" w:ascii="宋体" w:hAnsi="宋体"/>
          <w:b/>
          <w:color w:val="000000"/>
          <w:szCs w:val="21"/>
        </w:rPr>
      </w:pPr>
    </w:p>
    <w:tbl>
      <w:tblPr>
        <w:tblStyle w:val="48"/>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88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color w:val="000000"/>
                <w:sz w:val="24"/>
              </w:rPr>
            </w:pPr>
            <w:r>
              <w:rPr>
                <w:rFonts w:hint="eastAsia" w:ascii="宋体" w:hAnsi="宋体"/>
                <w:b/>
                <w:color w:val="000000"/>
                <w:sz w:val="24"/>
              </w:rPr>
              <w:t>序号</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color w:val="000000"/>
                <w:sz w:val="24"/>
              </w:rPr>
            </w:pPr>
            <w:r>
              <w:rPr>
                <w:rFonts w:hint="eastAsia" w:ascii="宋体" w:hAnsi="宋体"/>
                <w:b/>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pStyle w:val="43"/>
              <w:spacing w:before="0" w:beforeAutospacing="0" w:after="0" w:afterAutospacing="0" w:line="400" w:lineRule="exact"/>
              <w:rPr>
                <w:rFonts w:hint="eastAsia" w:eastAsia="宋体"/>
                <w:color w:val="000000"/>
                <w:kern w:val="2"/>
                <w:lang w:eastAsia="zh-CN"/>
              </w:rPr>
            </w:pPr>
            <w:r>
              <w:rPr>
                <w:rFonts w:hint="eastAsia"/>
                <w:color w:val="000000"/>
                <w:kern w:val="2"/>
              </w:rPr>
              <w:t>项目名称：</w:t>
            </w:r>
            <w:r>
              <w:rPr>
                <w:rFonts w:hint="eastAsia"/>
                <w:lang w:eastAsia="zh-CN"/>
              </w:rPr>
              <w:t>古城街道新时代文明实践所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2</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 w:val="24"/>
              </w:rPr>
            </w:pPr>
            <w:r>
              <w:rPr>
                <w:rFonts w:hint="eastAsia" w:ascii="宋体" w:hAnsi="宋体"/>
                <w:color w:val="000000"/>
                <w:sz w:val="24"/>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3</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pStyle w:val="43"/>
              <w:spacing w:before="0" w:beforeAutospacing="0" w:after="0" w:afterAutospacing="0" w:line="400" w:lineRule="exact"/>
              <w:rPr>
                <w:rFonts w:cs="Arial"/>
                <w:kern w:val="2"/>
              </w:rPr>
            </w:pPr>
            <w:r>
              <w:rPr>
                <w:rFonts w:hint="eastAsia"/>
              </w:rPr>
              <w:t>▲</w:t>
            </w:r>
            <w:r>
              <w:rPr>
                <w:rFonts w:hint="eastAsia" w:cs="Arial"/>
                <w:kern w:val="2"/>
                <w:highlight w:val="none"/>
              </w:rPr>
              <w:t>工期：</w:t>
            </w:r>
            <w:r>
              <w:rPr>
                <w:rFonts w:hint="eastAsia" w:cs="Arial"/>
                <w:color w:val="000000"/>
                <w:highlight w:val="none"/>
              </w:rPr>
              <w:t>合同签订后</w:t>
            </w:r>
            <w:r>
              <w:rPr>
                <w:rFonts w:hint="eastAsia" w:cs="Arial"/>
                <w:color w:val="000000"/>
                <w:highlight w:val="none"/>
                <w:lang w:val="en-US" w:eastAsia="zh-CN"/>
              </w:rPr>
              <w:t>70</w:t>
            </w:r>
            <w:r>
              <w:rPr>
                <w:rFonts w:hint="eastAsia" w:cs="Arial"/>
                <w:color w:val="000000"/>
                <w:highlight w:val="none"/>
              </w:rPr>
              <w:t>日历天完成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4</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投标报价及费用：1、本项目投标应以人民币报价；2、不论投标结果如何，投标人均应自行承担所有与投标有关的全部费用；3、</w:t>
            </w:r>
            <w:r>
              <w:rPr>
                <w:rFonts w:hint="eastAsia" w:ascii="宋体" w:hAnsi="宋体"/>
                <w:b/>
                <w:sz w:val="24"/>
              </w:rPr>
              <w:t>本项目代理服务费根据中标价按国家计委《招标代理服务收费管理暂行办法》（计价格[2002]1980号）及发改办价格[2003]857号文件规定取费标准的70%计取，由中标人支付给采购代理机构。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5</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sz w:val="24"/>
              </w:rPr>
            </w:pPr>
            <w:r>
              <w:rPr>
                <w:rFonts w:hint="eastAsia" w:ascii="宋体" w:hAnsi="宋体"/>
                <w:b/>
                <w:bCs/>
                <w:sz w:val="24"/>
              </w:rPr>
              <w:t>现场踏勘</w:t>
            </w:r>
            <w:r>
              <w:rPr>
                <w:rFonts w:hint="eastAsia" w:ascii="宋体" w:hAnsi="宋体"/>
                <w:sz w:val="24"/>
              </w:rPr>
              <w:t>：投标人须对</w:t>
            </w:r>
            <w:r>
              <w:rPr>
                <w:rFonts w:ascii="宋体" w:hAnsi="宋体"/>
                <w:sz w:val="24"/>
              </w:rPr>
              <w:t>项目</w:t>
            </w:r>
            <w:r>
              <w:rPr>
                <w:rFonts w:hint="eastAsia" w:ascii="宋体" w:hAnsi="宋体"/>
                <w:sz w:val="24"/>
              </w:rPr>
              <w:t>现场和周围环境进行踏勘，现场踏勘时投标人按照图纸、招标文件等技术性资料比对现场实际参数，如有问题，由投标人发起书面质疑，如无质疑，即认为满足安装条件，由投标人承担相应风险。踏勘现场所发生的费用由投标人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6</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b/>
                <w:sz w:val="24"/>
              </w:rPr>
            </w:pPr>
            <w:r>
              <w:rPr>
                <w:rFonts w:hint="eastAsia" w:ascii="宋体" w:hAnsi="宋体"/>
                <w:b/>
                <w:sz w:val="24"/>
              </w:rPr>
              <w:t>答疑与澄清</w:t>
            </w:r>
            <w:r>
              <w:rPr>
                <w:rFonts w:hint="eastAsia" w:ascii="宋体" w:hAnsi="宋体"/>
                <w:sz w:val="24"/>
              </w:rPr>
              <w:t>：</w:t>
            </w:r>
            <w:r>
              <w:rPr>
                <w:rFonts w:hint="eastAsia" w:ascii="宋体" w:hAnsi="宋体"/>
                <w:b/>
                <w:sz w:val="24"/>
              </w:rPr>
              <w:t>潜在供应商已依法获取其可质疑的采购文件的，可以以书面形式向招标人就该文件提出质疑。对采购文件提出质疑的，应当在获取采购文件或者采购文件公告期限届满之日起7个工作日内以书面形式提出，否则被质疑人可不予接受。</w:t>
            </w:r>
            <w:r>
              <w:rPr>
                <w:rFonts w:hint="eastAsia" w:ascii="宋体" w:hAnsi="宋体"/>
                <w:sz w:val="24"/>
              </w:rPr>
              <w:t>招标人对已发出的招标文件进行必要的澄清、答复、修改和补充将以更正公告的形式，通过采购公告发布的网站予以发布。</w:t>
            </w: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7</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 w:val="24"/>
              </w:rPr>
            </w:pPr>
            <w:r>
              <w:rPr>
                <w:rFonts w:hint="eastAsia" w:ascii="宋体" w:hAnsi="宋体"/>
                <w:sz w:val="24"/>
              </w:rPr>
              <w:t>投标截止时间、开标时间及地点：详见“第一章  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8</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9</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天投标文件应保持有效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10</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实质性条款：带▲是实质性条款，投标人不得负偏离，否则为无效标。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11</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评标结果公示：评标结束后2天内，评标结果公示于</w:t>
            </w:r>
            <w:r>
              <w:rPr>
                <w:rFonts w:hint="eastAsia" w:ascii="宋体" w:hAnsi="宋体" w:cs="Arial"/>
                <w:sz w:val="24"/>
              </w:rPr>
              <w:t>采购公告发布的网站。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12</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中标公告及中标通知书：评标结束后5个工作日内，中标公告发布于上述媒体；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13</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14</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pStyle w:val="20"/>
              <w:jc w:val="left"/>
              <w:rPr>
                <w:szCs w:val="21"/>
              </w:rPr>
            </w:pPr>
            <w:r>
              <w:rPr>
                <w:rFonts w:hint="eastAsia"/>
              </w:rPr>
              <w:t>▲</w:t>
            </w:r>
            <w:r>
              <w:rPr>
                <w:rFonts w:hint="eastAsia" w:ascii="宋体" w:hAnsi="宋体"/>
                <w:sz w:val="24"/>
              </w:rPr>
              <w:t>付款方式：合同签订后支付合同金额40%的备料款（备料款不扣回，抵作工程款），全部货物到现场后付至合同金额的60%，智能化系统安装完毕，调试合格后付至合同金额的75%，项目验收合格后付至合同金额的85%，经业主审核后付至结算价的100%。发票应随付款进度及时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15</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sz w:val="24"/>
                <w:lang w:eastAsia="zh-CN"/>
              </w:rPr>
            </w:pPr>
            <w:r>
              <w:rPr>
                <w:rFonts w:hint="eastAsia" w:ascii="宋体" w:hAnsi="宋体"/>
                <w:sz w:val="24"/>
              </w:rPr>
              <w:t>履约保证金的收取及退还:按中标价的</w:t>
            </w:r>
            <w:r>
              <w:rPr>
                <w:rFonts w:ascii="宋体" w:hAnsi="宋体"/>
                <w:sz w:val="24"/>
              </w:rPr>
              <w:t>3</w:t>
            </w:r>
            <w:r>
              <w:rPr>
                <w:rFonts w:hint="eastAsia" w:ascii="宋体" w:hAnsi="宋体"/>
                <w:sz w:val="24"/>
              </w:rPr>
              <w:t>%收取</w:t>
            </w:r>
            <w:r>
              <w:rPr>
                <w:rFonts w:hint="eastAsia" w:ascii="宋体" w:hAnsi="宋体"/>
                <w:sz w:val="24"/>
                <w:lang w:eastAsia="zh-CN"/>
              </w:rPr>
              <w:t>。</w:t>
            </w:r>
          </w:p>
          <w:p>
            <w:pPr>
              <w:pStyle w:val="27"/>
              <w:widowControl w:val="0"/>
              <w:spacing w:before="120" w:after="120"/>
              <w:ind w:firstLine="480" w:firstLineChars="200"/>
              <w:rPr>
                <w:rFonts w:hint="eastAsia"/>
              </w:rPr>
            </w:pPr>
            <w:r>
              <w:rPr>
                <w:rFonts w:hint="eastAsia"/>
              </w:rPr>
              <w:t>①采用网上银行转帐、电汇、汇票缴纳履约保证金的，履约保证金必须通过投标人在临海市公共资源交易中心后台注册的银行账号汇入，否者无法达账（开户名：临海市公共资源交易中心，开户行：浙江临海农村商业银行股份有限公司凯歌支行，账号：201000102293922000003。财务咨询电话：0576-85280673）。</w:t>
            </w:r>
          </w:p>
          <w:p>
            <w:pPr>
              <w:pStyle w:val="27"/>
              <w:widowControl w:val="0"/>
              <w:spacing w:before="120" w:after="120"/>
              <w:ind w:firstLine="480" w:firstLineChars="200"/>
              <w:rPr>
                <w:rFonts w:hint="eastAsia"/>
              </w:rPr>
            </w:pPr>
            <w:r>
              <w:rPr>
                <w:rFonts w:hint="eastAsia"/>
              </w:rPr>
              <w:t>②采用银行、保险公司出具的保函形式提交履约保证金的，中标人将保函原件提交给采购人保管，采购人提供3份加盖公章或“原件收讫”证明印章的保函复印件给中标人，中标人或招标代理公司将经采购人确认的保函复印件提交到临海市公共资源交易中心财务窗口登记存档（地址：临海市行政服务中心一楼B区大厅）。</w:t>
            </w:r>
          </w:p>
          <w:p>
            <w:pPr>
              <w:pStyle w:val="27"/>
              <w:snapToGrid w:val="0"/>
              <w:spacing w:beforeLines="0" w:afterLines="0"/>
              <w:ind w:firstLine="480" w:firstLineChars="200"/>
              <w:rPr>
                <w:rFonts w:hint="eastAsia" w:ascii="宋体" w:hAnsi="宋体"/>
                <w:sz w:val="24"/>
                <w:lang w:eastAsia="zh-CN"/>
              </w:rPr>
            </w:pPr>
            <w:r>
              <w:rPr>
                <w:rFonts w:hint="eastAsia"/>
              </w:rPr>
              <w:t>履约保证金在中标人履行合同义务后且经验收合格，凭《临海市政府采购验收单》向临海市公共资源交易中心退还。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16</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ascii="宋体" w:hAnsi="宋体"/>
                <w:color w:val="000000"/>
                <w:sz w:val="24"/>
              </w:rPr>
            </w:pPr>
            <w:r>
              <w:rPr>
                <w:rFonts w:hint="eastAsia" w:ascii="宋体" w:hAnsi="宋体"/>
                <w:color w:val="000000"/>
                <w:sz w:val="24"/>
              </w:rPr>
              <w:t>解释：本招标文件的解释权属于招标人。</w:t>
            </w:r>
            <w:r>
              <w:rPr>
                <w:rFonts w:hint="eastAsia" w:ascii="宋体" w:hAnsi="宋体"/>
                <w:b/>
                <w:bCs/>
                <w:color w:val="auto"/>
                <w:sz w:val="24"/>
                <w:u w:val="single"/>
                <w:shd w:val="pct10" w:color="auto" w:fill="FFFFFF"/>
              </w:rPr>
              <w:t>本招标文件如临海市公共资源交易中心网站上发布的内容与浙江省政府采购网上发布的内容有不一致的，以浙江省政府采购网上发布的内容为准，并请及时告知采购项目联系人。</w:t>
            </w:r>
          </w:p>
        </w:tc>
      </w:tr>
    </w:tbl>
    <w:p>
      <w:pPr>
        <w:pStyle w:val="27"/>
        <w:snapToGrid w:val="0"/>
        <w:spacing w:beforeLines="0" w:afterLines="0"/>
        <w:rPr>
          <w:rFonts w:hint="eastAsia" w:hAnsi="宋体"/>
          <w:b/>
          <w:color w:val="000000"/>
        </w:rPr>
      </w:pPr>
      <w:r>
        <w:rPr>
          <w:rFonts w:hAnsi="宋体"/>
          <w:b/>
          <w:color w:val="000000"/>
        </w:rPr>
        <w:br w:type="page"/>
      </w:r>
    </w:p>
    <w:p>
      <w:pPr>
        <w:pStyle w:val="27"/>
        <w:snapToGrid w:val="0"/>
        <w:spacing w:beforeLines="0" w:afterLines="0"/>
        <w:rPr>
          <w:rFonts w:hAnsi="宋体"/>
          <w:b/>
          <w:color w:val="000000"/>
        </w:rPr>
      </w:pPr>
      <w:r>
        <w:rPr>
          <w:rFonts w:hint="eastAsia" w:hAnsi="宋体"/>
          <w:b/>
          <w:color w:val="000000"/>
        </w:rPr>
        <w:t>一 、总  则</w:t>
      </w:r>
    </w:p>
    <w:p>
      <w:pPr>
        <w:snapToGrid w:val="0"/>
        <w:spacing w:line="400" w:lineRule="exact"/>
        <w:ind w:firstLine="472" w:firstLineChars="196"/>
        <w:jc w:val="left"/>
        <w:rPr>
          <w:rFonts w:ascii="宋体" w:hAnsi="宋体"/>
          <w:b/>
          <w:color w:val="000000"/>
          <w:sz w:val="24"/>
        </w:rPr>
      </w:pPr>
      <w:r>
        <w:rPr>
          <w:rFonts w:hint="eastAsia" w:ascii="宋体" w:hAnsi="宋体"/>
          <w:b/>
          <w:color w:val="000000"/>
          <w:sz w:val="24"/>
        </w:rPr>
        <w:t>（一）适用范围</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本招标文件适用于本项目的招标、投标、评标、定标、验收、合同履约、付款等行为。</w:t>
      </w:r>
    </w:p>
    <w:p>
      <w:pPr>
        <w:snapToGrid w:val="0"/>
        <w:spacing w:before="120" w:beforeLines="50" w:line="400" w:lineRule="exact"/>
        <w:ind w:firstLine="354" w:firstLineChars="147"/>
        <w:jc w:val="left"/>
        <w:rPr>
          <w:rFonts w:ascii="宋体" w:hAnsi="宋体"/>
          <w:b/>
          <w:color w:val="000000"/>
          <w:sz w:val="24"/>
        </w:rPr>
      </w:pPr>
      <w:r>
        <w:rPr>
          <w:rFonts w:hint="eastAsia" w:ascii="宋体" w:hAnsi="宋体"/>
          <w:b/>
          <w:color w:val="000000"/>
          <w:sz w:val="24"/>
        </w:rPr>
        <w:t>（二）定义</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1.“招标人”系指组织本次招标</w:t>
      </w:r>
      <w:r>
        <w:rPr>
          <w:rFonts w:hint="eastAsia" w:ascii="宋体" w:hAnsi="宋体"/>
          <w:sz w:val="24"/>
        </w:rPr>
        <w:t>的</w:t>
      </w:r>
      <w:r>
        <w:rPr>
          <w:rFonts w:hint="eastAsia" w:ascii="宋体" w:hAnsi="宋体"/>
          <w:sz w:val="24"/>
          <w:u w:val="single"/>
        </w:rPr>
        <w:t>招标代理公司</w:t>
      </w:r>
      <w:r>
        <w:rPr>
          <w:rFonts w:hint="eastAsia" w:ascii="宋体" w:hAnsi="宋体"/>
          <w:sz w:val="24"/>
        </w:rPr>
        <w:t>和</w:t>
      </w:r>
      <w:r>
        <w:rPr>
          <w:rFonts w:hint="eastAsia" w:ascii="宋体" w:hAnsi="宋体"/>
          <w:color w:val="000000"/>
          <w:sz w:val="24"/>
        </w:rPr>
        <w:t>采购单位。</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2.“投标人”系指向招标人提交投标文件的单位。</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3.“产品”系指供方按招标文件规定，须向采购单位提供的一切设备、保险、税金、备品备件、工具、手册及其它有关技术资料和材料。</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5.“项目”系指投标人按招标文件规定向采购单位提供的产品和服务。</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6.“书面形式”包括信函、传真、电报等。</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7.“▲”系指实质性要求条款。</w:t>
      </w:r>
    </w:p>
    <w:p>
      <w:pPr>
        <w:snapToGrid w:val="0"/>
        <w:spacing w:before="120" w:beforeLines="50" w:line="400" w:lineRule="exact"/>
        <w:ind w:firstLine="472" w:firstLineChars="196"/>
        <w:jc w:val="left"/>
        <w:rPr>
          <w:rFonts w:ascii="宋体" w:hAnsi="宋体"/>
          <w:b/>
          <w:color w:val="000000"/>
          <w:sz w:val="24"/>
        </w:rPr>
      </w:pPr>
      <w:r>
        <w:rPr>
          <w:rFonts w:hint="eastAsia" w:ascii="宋体" w:hAnsi="宋体"/>
          <w:b/>
          <w:color w:val="000000"/>
          <w:sz w:val="24"/>
        </w:rPr>
        <w:t>（三）招标方式</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本次招标采用公开招标方式进行。</w:t>
      </w:r>
    </w:p>
    <w:p>
      <w:pPr>
        <w:snapToGrid w:val="0"/>
        <w:spacing w:before="120" w:beforeLines="50" w:line="400" w:lineRule="exact"/>
        <w:ind w:firstLine="472" w:firstLineChars="196"/>
        <w:jc w:val="left"/>
        <w:rPr>
          <w:rFonts w:ascii="宋体" w:hAnsi="宋体"/>
          <w:b/>
          <w:color w:val="000000"/>
          <w:sz w:val="24"/>
        </w:rPr>
      </w:pPr>
      <w:r>
        <w:rPr>
          <w:rFonts w:hint="eastAsia" w:ascii="宋体" w:hAnsi="宋体"/>
          <w:b/>
          <w:color w:val="000000"/>
          <w:sz w:val="24"/>
        </w:rPr>
        <w:t>（四）投标委托</w:t>
      </w:r>
    </w:p>
    <w:p>
      <w:pPr>
        <w:pStyle w:val="21"/>
        <w:snapToGrid w:val="0"/>
        <w:spacing w:line="400" w:lineRule="exact"/>
        <w:ind w:firstLine="464" w:firstLineChars="200"/>
        <w:jc w:val="left"/>
        <w:rPr>
          <w:rFonts w:hAnsi="宋体"/>
          <w:color w:val="000000"/>
          <w:sz w:val="24"/>
          <w:szCs w:val="24"/>
        </w:rPr>
      </w:pPr>
      <w:r>
        <w:rPr>
          <w:rFonts w:hint="eastAsia" w:hAnsi="宋体"/>
          <w:color w:val="000000"/>
          <w:sz w:val="24"/>
          <w:szCs w:val="24"/>
        </w:rPr>
        <w:t>投标人代表须携带有效身份证件。如投标人代表不是法定代表人，须有法定代表人出具的授权委托书。</w:t>
      </w:r>
    </w:p>
    <w:p>
      <w:pPr>
        <w:snapToGrid w:val="0"/>
        <w:spacing w:before="120" w:beforeLines="50" w:line="40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pPr>
        <w:snapToGrid w:val="0"/>
        <w:spacing w:line="400" w:lineRule="exact"/>
        <w:ind w:firstLine="480" w:firstLineChars="200"/>
        <w:jc w:val="left"/>
        <w:rPr>
          <w:rFonts w:ascii="宋体" w:hAnsi="宋体" w:cs="宋体"/>
          <w:sz w:val="24"/>
        </w:rPr>
      </w:pPr>
      <w:r>
        <w:rPr>
          <w:rFonts w:hint="eastAsia" w:ascii="宋体" w:hAnsi="宋体" w:cs="宋体"/>
          <w:sz w:val="24"/>
        </w:rPr>
        <w:t>1）不论投标结果如何，投标人均应自行承担所有与投标有关的全部费用。</w:t>
      </w:r>
    </w:p>
    <w:p>
      <w:pPr>
        <w:spacing w:line="40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可能增加的成本各投标人自行考虑并计入投标报价，中标后不予调整。</w:t>
      </w:r>
      <w:r>
        <w:rPr>
          <w:rFonts w:hint="eastAsia" w:ascii="宋体" w:hAnsi="宋体" w:cs="宋体"/>
          <w:b/>
          <w:sz w:val="24"/>
        </w:rPr>
        <w:t>投标时工程量按照招标文件中提供的工程量进行投标报价，竣工决算时按实决算。</w:t>
      </w:r>
    </w:p>
    <w:p>
      <w:pPr>
        <w:snapToGrid w:val="0"/>
        <w:spacing w:before="120" w:beforeLines="50" w:line="40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pPr>
        <w:snapToGrid w:val="0"/>
        <w:spacing w:line="400" w:lineRule="exact"/>
        <w:ind w:firstLine="720" w:firstLineChars="300"/>
        <w:rPr>
          <w:rFonts w:ascii="宋体" w:hAnsi="宋体" w:cs="宋体"/>
          <w:kern w:val="0"/>
          <w:sz w:val="24"/>
        </w:rPr>
      </w:pPr>
      <w:r>
        <w:rPr>
          <w:rFonts w:hint="eastAsia" w:ascii="宋体" w:hAnsi="宋体" w:cs="宋体"/>
          <w:kern w:val="0"/>
          <w:sz w:val="24"/>
        </w:rPr>
        <w:t>本项目不允许转包与分包。</w:t>
      </w:r>
    </w:p>
    <w:p>
      <w:pPr>
        <w:snapToGrid w:val="0"/>
        <w:spacing w:before="120" w:beforeLines="50" w:line="400" w:lineRule="exact"/>
        <w:ind w:firstLine="472" w:firstLineChars="196"/>
        <w:jc w:val="left"/>
        <w:rPr>
          <w:rFonts w:ascii="宋体" w:hAnsi="宋体"/>
          <w:b/>
          <w:sz w:val="24"/>
        </w:rPr>
      </w:pPr>
      <w:r>
        <w:rPr>
          <w:rFonts w:hint="eastAsia" w:ascii="宋体" w:hAnsi="宋体"/>
          <w:b/>
          <w:sz w:val="24"/>
        </w:rPr>
        <w:t>（七）特别说明</w:t>
      </w:r>
    </w:p>
    <w:p>
      <w:pPr>
        <w:widowControl/>
        <w:spacing w:line="400" w:lineRule="exact"/>
        <w:ind w:firstLine="482" w:firstLineChars="200"/>
        <w:jc w:val="left"/>
        <w:rPr>
          <w:rFonts w:hint="eastAsia" w:ascii="宋体" w:hAnsi="宋体"/>
          <w:b/>
          <w:sz w:val="24"/>
        </w:rPr>
      </w:pPr>
      <w:r>
        <w:rPr>
          <w:rFonts w:hint="eastAsia" w:ascii="宋体" w:hAnsi="宋体"/>
          <w:b/>
          <w:sz w:val="24"/>
        </w:rPr>
        <w:t>1.单位负责人为同一人或者存在直接控股、管理关系的不同供应商，不得参加同一合同项下的政府采购活动。如有上述行为的，评审时取其中通过资格审查后报价最低的一家为有效供应商；当报价相同时，则以技术标最优一家为有效供应商；均相同时，由评标委员会集体决定。</w:t>
      </w:r>
    </w:p>
    <w:p>
      <w:pPr>
        <w:widowControl/>
        <w:spacing w:line="400" w:lineRule="exact"/>
        <w:ind w:firstLine="240" w:firstLineChars="100"/>
        <w:jc w:val="left"/>
        <w:rPr>
          <w:rFonts w:ascii="宋体" w:hAnsi="宋体" w:cs="宋体"/>
          <w:color w:val="000000"/>
          <w:kern w:val="0"/>
          <w:sz w:val="24"/>
        </w:rPr>
      </w:pPr>
      <w:r>
        <w:rPr>
          <w:rFonts w:hint="eastAsia" w:ascii="宋体" w:hAnsi="宋体" w:cs="宋体"/>
          <w:color w:val="000000"/>
          <w:kern w:val="0"/>
          <w:sz w:val="24"/>
        </w:rPr>
        <w:t xml:space="preserve">  多家代理商或经销商参加投标，如其中两家或两家以上供应商存在分级代理或代销关系，且提供的是其所代理品牌产品的，评审时，按上述规定确定其中一家为有效供应商。</w:t>
      </w:r>
    </w:p>
    <w:p>
      <w:pPr>
        <w:pStyle w:val="27"/>
        <w:snapToGrid w:val="0"/>
        <w:spacing w:beforeLines="0" w:afterLines="0"/>
        <w:ind w:left="2" w:leftChars="1" w:firstLine="360" w:firstLineChars="150"/>
        <w:rPr>
          <w:rFonts w:hAnsi="宋体"/>
          <w:color w:val="000000"/>
        </w:rPr>
      </w:pPr>
      <w:r>
        <w:rPr>
          <w:rFonts w:hint="eastAsia" w:hAnsi="宋体"/>
          <w:color w:val="000000"/>
        </w:rPr>
        <w:t>2.投标人投标所使用的资格、信誉、荣誉、业绩与企业认证必须为本法人所拥有。投标人投标所使用的采购项目实施人员必须为本法人员工（或必须为本法人或控股公司正式员工）。</w:t>
      </w:r>
    </w:p>
    <w:p>
      <w:pPr>
        <w:pStyle w:val="27"/>
        <w:snapToGrid w:val="0"/>
        <w:spacing w:beforeLines="0" w:afterLines="0"/>
        <w:ind w:left="2" w:leftChars="1" w:firstLine="480" w:firstLineChars="200"/>
        <w:rPr>
          <w:rFonts w:hAnsi="宋体"/>
          <w:color w:val="000000"/>
        </w:rPr>
      </w:pPr>
      <w:r>
        <w:rPr>
          <w:rFonts w:hint="eastAsia" w:hAnsi="宋体"/>
          <w:color w:val="000000"/>
        </w:rPr>
        <w:t>3.投标人应仔细阅读招标文件的所有内容，按照招标文件的要求提交投标文件，并对所提供的全部资料的真实性承担法律责任。</w:t>
      </w:r>
    </w:p>
    <w:p>
      <w:pPr>
        <w:pStyle w:val="27"/>
        <w:snapToGrid w:val="0"/>
        <w:spacing w:beforeLines="0" w:afterLines="0"/>
        <w:ind w:left="2" w:leftChars="1" w:firstLine="480" w:firstLineChars="200"/>
        <w:rPr>
          <w:rFonts w:hAnsi="宋体"/>
          <w:b/>
          <w:color w:val="000000"/>
        </w:rPr>
      </w:pPr>
      <w:r>
        <w:rPr>
          <w:rFonts w:hint="eastAsia" w:hAnsi="宋体"/>
          <w:color w:val="000000"/>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pPr>
        <w:pStyle w:val="27"/>
        <w:snapToGrid w:val="0"/>
        <w:spacing w:beforeLines="0" w:afterLines="0"/>
        <w:ind w:firstLine="472" w:firstLineChars="196"/>
        <w:rPr>
          <w:rFonts w:hAnsi="宋体"/>
          <w:b/>
          <w:bCs/>
          <w:color w:val="000000"/>
        </w:rPr>
      </w:pPr>
      <w:r>
        <w:rPr>
          <w:rFonts w:hint="eastAsia" w:hAnsi="宋体"/>
          <w:b/>
          <w:bCs/>
          <w:color w:val="000000"/>
        </w:rPr>
        <w:t>（八）质疑和投诉</w:t>
      </w:r>
    </w:p>
    <w:p>
      <w:pPr>
        <w:pStyle w:val="27"/>
        <w:snapToGrid w:val="0"/>
        <w:spacing w:beforeLines="0" w:afterLines="0"/>
        <w:ind w:firstLine="480" w:firstLineChars="200"/>
        <w:rPr>
          <w:rFonts w:hAnsi="宋体"/>
          <w:bCs/>
          <w:color w:val="000000"/>
        </w:rPr>
      </w:pPr>
      <w:r>
        <w:rPr>
          <w:rFonts w:hint="eastAsia" w:hAnsi="宋体"/>
          <w:bCs/>
          <w:color w:val="000000"/>
        </w:rPr>
        <w:t>1.投标人认为招标文件、招标过程或中标结果使自己的合法权益受到损害的，应当在知道或者应知其权益受到损害之日起七个工作日内，以书面形式向招标人提出质疑。</w:t>
      </w:r>
      <w:r>
        <w:rPr>
          <w:rFonts w:hint="eastAsia" w:hAnsi="宋体"/>
          <w:color w:val="000000"/>
        </w:rPr>
        <w:t>投标人对招标人的质疑答复不满意或者招标人未在七个工作日内作出答复的，可以在答复期满后十五个工作日内向同级采购监管部门投诉。</w:t>
      </w:r>
    </w:p>
    <w:p>
      <w:pPr>
        <w:pStyle w:val="27"/>
        <w:snapToGrid w:val="0"/>
        <w:spacing w:beforeLines="0" w:afterLines="0"/>
        <w:ind w:firstLine="480" w:firstLineChars="200"/>
        <w:rPr>
          <w:rFonts w:hAnsi="宋体"/>
          <w:bCs/>
          <w:color w:val="000000"/>
        </w:rPr>
      </w:pPr>
      <w:r>
        <w:rPr>
          <w:rFonts w:hint="eastAsia" w:hAnsi="宋体"/>
          <w:bCs/>
          <w:color w:val="000000"/>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7"/>
        <w:snapToGrid w:val="0"/>
        <w:spacing w:beforeLines="0" w:afterLines="0"/>
        <w:ind w:firstLine="472" w:firstLineChars="196"/>
        <w:rPr>
          <w:rFonts w:hAnsi="宋体"/>
          <w:b/>
          <w:color w:val="000000"/>
        </w:rPr>
      </w:pPr>
      <w:r>
        <w:rPr>
          <w:rFonts w:hint="eastAsia" w:hAnsi="宋体"/>
          <w:b/>
          <w:color w:val="000000"/>
        </w:rPr>
        <w:t>二、招标文件</w:t>
      </w:r>
    </w:p>
    <w:p>
      <w:pPr>
        <w:snapToGrid w:val="0"/>
        <w:spacing w:line="400" w:lineRule="exact"/>
        <w:ind w:firstLine="472" w:firstLineChars="196"/>
        <w:jc w:val="left"/>
        <w:rPr>
          <w:rFonts w:ascii="宋体" w:hAnsi="宋体"/>
          <w:b/>
          <w:color w:val="000000"/>
          <w:sz w:val="24"/>
        </w:rPr>
      </w:pPr>
      <w:r>
        <w:rPr>
          <w:rFonts w:hint="eastAsia" w:ascii="宋体" w:hAnsi="宋体"/>
          <w:b/>
          <w:color w:val="000000"/>
          <w:sz w:val="24"/>
        </w:rPr>
        <w:t>（一）招标文件的构成</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1.招标公告</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2.招标需求</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3.投标人须知</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4.评标办法及标准</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5.合同主要条款</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6.投标文件格式</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7.本项目招标文件的澄清、答复、修改、补充的内容（如有）</w:t>
      </w:r>
    </w:p>
    <w:p>
      <w:pPr>
        <w:snapToGrid w:val="0"/>
        <w:spacing w:before="120" w:beforeLines="50" w:line="400" w:lineRule="exact"/>
        <w:ind w:firstLine="472" w:firstLineChars="196"/>
        <w:jc w:val="left"/>
        <w:rPr>
          <w:rFonts w:ascii="宋体" w:hAnsi="宋体"/>
          <w:b/>
          <w:color w:val="000000"/>
          <w:sz w:val="24"/>
        </w:rPr>
      </w:pPr>
      <w:r>
        <w:rPr>
          <w:rFonts w:hint="eastAsia" w:ascii="宋体" w:hAnsi="宋体"/>
          <w:b/>
          <w:color w:val="000000"/>
          <w:sz w:val="24"/>
        </w:rPr>
        <w:t>（二）投标人的风险</w:t>
      </w:r>
    </w:p>
    <w:p>
      <w:pPr>
        <w:pStyle w:val="38"/>
        <w:spacing w:line="400" w:lineRule="exact"/>
        <w:rPr>
          <w:rFonts w:ascii="宋体" w:eastAsia="宋体"/>
        </w:rPr>
      </w:pPr>
      <w:r>
        <w:rPr>
          <w:rFonts w:hint="eastAsia" w:ascii="宋体" w:eastAsia="宋体"/>
        </w:rPr>
        <w:t>投标人没有按照招标文件要求提供全部资料，或者投标人没有对招标文件在各方面作出实质性响应是投标人的风险，并可能导致其投标被拒绝。</w:t>
      </w:r>
    </w:p>
    <w:p>
      <w:pPr>
        <w:pStyle w:val="12"/>
        <w:widowControl w:val="0"/>
        <w:tabs>
          <w:tab w:val="left" w:pos="420"/>
        </w:tabs>
        <w:snapToGrid w:val="0"/>
        <w:spacing w:before="120" w:beforeLines="50" w:afterLines="0" w:line="400" w:lineRule="exact"/>
        <w:ind w:left="0" w:firstLine="472" w:firstLineChars="196"/>
        <w:rPr>
          <w:rFonts w:ascii="宋体" w:hAnsi="宋体"/>
          <w:b/>
          <w:color w:val="000000"/>
          <w:szCs w:val="24"/>
        </w:rPr>
      </w:pPr>
      <w:r>
        <w:rPr>
          <w:rFonts w:hint="eastAsia" w:ascii="宋体" w:hAnsi="宋体"/>
          <w:b/>
          <w:color w:val="000000"/>
          <w:szCs w:val="24"/>
        </w:rPr>
        <w:t xml:space="preserve">（三）招标文件的澄清与修改 </w:t>
      </w:r>
    </w:p>
    <w:p>
      <w:pPr>
        <w:pStyle w:val="27"/>
        <w:snapToGrid w:val="0"/>
        <w:spacing w:beforeLines="0" w:afterLines="0"/>
        <w:ind w:firstLine="480" w:firstLineChars="200"/>
        <w:rPr>
          <w:rFonts w:hAnsi="宋体"/>
          <w:color w:val="000000"/>
        </w:rPr>
      </w:pPr>
      <w:r>
        <w:rPr>
          <w:rFonts w:hint="eastAsia" w:hAnsi="宋体"/>
          <w:color w:val="000000"/>
        </w:rPr>
        <w:t>1.</w:t>
      </w:r>
      <w:r>
        <w:rPr>
          <w:rFonts w:hint="eastAsia" w:hAnsi="宋体"/>
          <w:bCs/>
          <w:color w:val="000000"/>
        </w:rPr>
        <w:t>投标人应认真阅读本招标文件，发现其中有误或有不合理要求的，投标人必须在前附表规定的时间前以书面形式要求招标人澄清</w:t>
      </w:r>
      <w:r>
        <w:rPr>
          <w:rFonts w:hint="eastAsia" w:hAnsi="宋体"/>
          <w:color w:val="000000"/>
        </w:rPr>
        <w:t>。招标人对已发出的招标文件进行必要澄清、答复、修改或补充的，应当在招标文件要求提交投标文件截止时间前，以采购公告发布的网站予以发布。</w:t>
      </w:r>
    </w:p>
    <w:p>
      <w:pPr>
        <w:pStyle w:val="27"/>
        <w:snapToGrid w:val="0"/>
        <w:spacing w:beforeLines="0" w:afterLines="0"/>
        <w:ind w:firstLine="480" w:firstLineChars="200"/>
        <w:rPr>
          <w:rFonts w:hAnsi="宋体"/>
          <w:color w:val="000000"/>
        </w:rPr>
      </w:pPr>
      <w:r>
        <w:rPr>
          <w:rFonts w:hint="eastAsia" w:hAnsi="宋体"/>
          <w:color w:val="000000"/>
        </w:rPr>
        <w:t>2.招标文件澄清、答复、修改、补充的内容为招标文件的组成部分。当招标文件与招标文件的答复、澄清、修改、补充通知就同一内容的表述不一致时，以最后发出的公告为准。</w:t>
      </w:r>
    </w:p>
    <w:p>
      <w:pPr>
        <w:pStyle w:val="27"/>
        <w:snapToGrid w:val="0"/>
        <w:spacing w:beforeLines="0" w:afterLines="0"/>
        <w:ind w:firstLine="480" w:firstLineChars="200"/>
        <w:rPr>
          <w:rFonts w:hAnsi="宋体"/>
          <w:color w:val="000000"/>
        </w:rPr>
      </w:pPr>
      <w:r>
        <w:rPr>
          <w:rFonts w:hint="eastAsia" w:hAnsi="宋体"/>
          <w:color w:val="000000"/>
        </w:rPr>
        <w:t>3.招标文件的澄清、答复、修改或补充都应该通过招标人以法定形式发布，采购单位没有通过招标人，不得擅自澄清、答复、修改或补充招标文件。</w:t>
      </w:r>
    </w:p>
    <w:p>
      <w:pPr>
        <w:pStyle w:val="27"/>
        <w:snapToGrid w:val="0"/>
        <w:spacing w:beforeLines="0" w:afterLines="0"/>
        <w:ind w:firstLine="472" w:firstLineChars="196"/>
        <w:rPr>
          <w:rFonts w:hAnsi="宋体"/>
          <w:b/>
          <w:color w:val="000000"/>
        </w:rPr>
      </w:pPr>
      <w:r>
        <w:rPr>
          <w:rFonts w:hint="eastAsia" w:hAnsi="宋体"/>
          <w:b/>
          <w:color w:val="000000"/>
        </w:rPr>
        <w:t>三、投标文件的编制</w:t>
      </w:r>
    </w:p>
    <w:p>
      <w:pPr>
        <w:snapToGrid w:val="0"/>
        <w:spacing w:line="400" w:lineRule="exact"/>
        <w:ind w:firstLine="470" w:firstLineChars="196"/>
        <w:jc w:val="left"/>
        <w:rPr>
          <w:rFonts w:hint="eastAsia" w:ascii="宋体" w:hAnsi="宋体"/>
          <w:bCs/>
          <w:color w:val="auto"/>
          <w:sz w:val="24"/>
        </w:rPr>
      </w:pPr>
      <w:r>
        <w:rPr>
          <w:rFonts w:hint="eastAsia" w:ascii="宋体" w:hAnsi="宋体"/>
          <w:bCs/>
          <w:color w:val="auto"/>
          <w:sz w:val="24"/>
        </w:rPr>
        <w:t>本项目实行电子投标，供应商应准备电子投标文件、纸质备份投标文件二类：</w:t>
      </w:r>
    </w:p>
    <w:p>
      <w:pPr>
        <w:snapToGrid w:val="0"/>
        <w:spacing w:line="400" w:lineRule="exact"/>
        <w:ind w:firstLine="470" w:firstLineChars="196"/>
        <w:jc w:val="left"/>
        <w:rPr>
          <w:rFonts w:hint="eastAsia" w:ascii="宋体" w:hAnsi="宋体"/>
          <w:bCs/>
          <w:color w:val="auto"/>
          <w:sz w:val="24"/>
        </w:rPr>
      </w:pPr>
      <w:r>
        <w:rPr>
          <w:rFonts w:hint="eastAsia" w:ascii="宋体" w:hAnsi="宋体"/>
          <w:bCs/>
          <w:color w:val="auto"/>
          <w:sz w:val="24"/>
        </w:rPr>
        <w:t>（1）电子投标文件，按政采云平台项目采购--电子招投标操作指南及本招标文件要求编制。</w:t>
      </w:r>
    </w:p>
    <w:p>
      <w:pPr>
        <w:snapToGrid w:val="0"/>
        <w:spacing w:line="400" w:lineRule="exact"/>
        <w:ind w:firstLine="470" w:firstLineChars="196"/>
        <w:jc w:val="left"/>
        <w:rPr>
          <w:rFonts w:hint="eastAsia" w:ascii="宋体" w:hAnsi="宋体"/>
          <w:bCs/>
          <w:color w:val="auto"/>
          <w:sz w:val="24"/>
        </w:rPr>
      </w:pPr>
      <w:r>
        <w:rPr>
          <w:rFonts w:hint="eastAsia" w:ascii="宋体" w:hAnsi="宋体"/>
          <w:bCs/>
          <w:color w:val="auto"/>
          <w:sz w:val="24"/>
        </w:rPr>
        <w:t>（2）纸质备份投标文件以纸质文件的形式编制，按商务技术文件、报价文件分别编制并单独装订成册，数量均为</w:t>
      </w:r>
      <w:r>
        <w:rPr>
          <w:rFonts w:hint="eastAsia" w:ascii="宋体" w:hAnsi="宋体"/>
          <w:bCs/>
          <w:color w:val="auto"/>
          <w:sz w:val="24"/>
          <w:lang w:val="en-US" w:eastAsia="zh-CN"/>
        </w:rPr>
        <w:t>2</w:t>
      </w:r>
      <w:r>
        <w:rPr>
          <w:rFonts w:hint="eastAsia" w:ascii="宋体" w:hAnsi="宋体"/>
          <w:bCs/>
          <w:color w:val="auto"/>
          <w:sz w:val="24"/>
        </w:rPr>
        <w:t>份。商务技术文件、报价文件二部分须分别密封封装，商务技术文件、报价文件未分别密封的投标文件将为无效。</w:t>
      </w:r>
    </w:p>
    <w:p>
      <w:pPr>
        <w:spacing w:line="400" w:lineRule="exact"/>
        <w:ind w:firstLine="240" w:firstLineChars="100"/>
        <w:rPr>
          <w:rFonts w:hint="eastAsia"/>
          <w:color w:val="auto"/>
          <w:sz w:val="24"/>
          <w:u w:val="single"/>
        </w:rPr>
      </w:pPr>
      <w:r>
        <w:rPr>
          <w:rFonts w:hint="eastAsia"/>
          <w:color w:val="auto"/>
          <w:sz w:val="24"/>
        </w:rPr>
        <w:t>▲</w:t>
      </w:r>
      <w:r>
        <w:rPr>
          <w:rFonts w:hint="eastAsia"/>
          <w:color w:val="auto"/>
          <w:sz w:val="24"/>
          <w:u w:val="single"/>
        </w:rPr>
        <w:t>（</w:t>
      </w:r>
      <w:r>
        <w:rPr>
          <w:color w:val="auto"/>
          <w:sz w:val="24"/>
          <w:u w:val="single"/>
        </w:rPr>
        <w:t>3</w:t>
      </w:r>
      <w:r>
        <w:rPr>
          <w:rFonts w:hint="eastAsia"/>
          <w:color w:val="auto"/>
          <w:sz w:val="24"/>
          <w:u w:val="single"/>
        </w:rPr>
        <w:t>）投标文件启用顺序和效力：投标文件的启用，按先后顺位分别为电子投标文件、纸质备份投标文件。全部投标人的电子投标文件均已按时解密的，纸质备份投标文件自动失效，全部投标人的电子投标文件均无法按时解密的，启用纸质备份投标文件进行线下开评标。如果某位投标人的电子投标文件无法按时解密的，其投标文件为无效标，不启用纸质备份投标文件。</w:t>
      </w:r>
    </w:p>
    <w:p>
      <w:pPr>
        <w:snapToGrid w:val="0"/>
        <w:spacing w:line="400" w:lineRule="exact"/>
        <w:ind w:firstLine="470" w:firstLineChars="196"/>
        <w:jc w:val="left"/>
        <w:rPr>
          <w:rFonts w:hint="eastAsia" w:ascii="宋体" w:hAnsi="宋体"/>
          <w:bCs/>
          <w:color w:val="auto"/>
          <w:sz w:val="24"/>
        </w:rPr>
      </w:pPr>
      <w:r>
        <w:rPr>
          <w:rFonts w:hint="eastAsia" w:ascii="宋体" w:hAnsi="宋体"/>
          <w:bCs/>
          <w:color w:val="auto"/>
          <w:sz w:val="24"/>
        </w:rPr>
        <w:t>▲未传输递交电子投标文件及未按规定提供相应的备份投标文件的，投标无效。</w:t>
      </w:r>
    </w:p>
    <w:p>
      <w:pPr>
        <w:snapToGrid w:val="0"/>
        <w:spacing w:line="400" w:lineRule="exact"/>
        <w:ind w:firstLine="472" w:firstLineChars="196"/>
        <w:jc w:val="left"/>
        <w:rPr>
          <w:rFonts w:hint="eastAsia" w:ascii="宋体" w:hAnsi="宋体"/>
          <w:b/>
          <w:color w:val="auto"/>
          <w:sz w:val="24"/>
        </w:rPr>
      </w:pPr>
      <w:r>
        <w:rPr>
          <w:rFonts w:hint="eastAsia" w:ascii="宋体" w:hAnsi="宋体"/>
          <w:b/>
          <w:color w:val="auto"/>
          <w:sz w:val="24"/>
        </w:rPr>
        <w:t>（一）投标文件的组成</w:t>
      </w:r>
    </w:p>
    <w:p>
      <w:pPr>
        <w:snapToGrid w:val="0"/>
        <w:spacing w:line="400" w:lineRule="exact"/>
        <w:ind w:firstLine="482" w:firstLineChars="200"/>
        <w:jc w:val="left"/>
        <w:rPr>
          <w:rFonts w:ascii="宋体" w:hAnsi="宋体"/>
          <w:sz w:val="24"/>
        </w:rPr>
      </w:pPr>
      <w:r>
        <w:rPr>
          <w:rFonts w:hint="eastAsia" w:ascii="宋体" w:hAnsi="宋体"/>
          <w:b/>
          <w:sz w:val="24"/>
        </w:rPr>
        <w:t>投标文件由商务技术文件、报价文件两部份组成。</w:t>
      </w:r>
      <w:r>
        <w:rPr>
          <w:rFonts w:hint="eastAsia" w:ascii="宋体" w:hAnsi="宋体"/>
          <w:sz w:val="24"/>
        </w:rPr>
        <w:t>相关格式见附件，其余格式自拟。</w:t>
      </w:r>
    </w:p>
    <w:p>
      <w:pPr>
        <w:snapToGrid w:val="0"/>
        <w:spacing w:line="400" w:lineRule="exact"/>
        <w:ind w:firstLine="482" w:firstLineChars="200"/>
        <w:jc w:val="left"/>
        <w:rPr>
          <w:rFonts w:ascii="宋体" w:hAnsi="宋体"/>
          <w:color w:val="000000"/>
          <w:sz w:val="24"/>
        </w:rPr>
      </w:pPr>
      <w:r>
        <w:rPr>
          <w:rFonts w:hint="eastAsia" w:ascii="宋体" w:hAnsi="宋体"/>
          <w:b/>
          <w:color w:val="000000"/>
          <w:sz w:val="24"/>
        </w:rPr>
        <w:t>1.</w:t>
      </w:r>
      <w:bookmarkStart w:id="13"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13"/>
      <w:r>
        <w:rPr>
          <w:rFonts w:hint="eastAsia" w:ascii="宋体" w:hAnsi="宋体"/>
          <w:b/>
          <w:color w:val="000000"/>
          <w:sz w:val="24"/>
        </w:rPr>
        <w:t>：</w:t>
      </w:r>
    </w:p>
    <w:p>
      <w:pPr>
        <w:snapToGrid w:val="0"/>
        <w:spacing w:line="400" w:lineRule="exact"/>
        <w:ind w:firstLine="470" w:firstLineChars="196"/>
        <w:jc w:val="left"/>
        <w:rPr>
          <w:rFonts w:ascii="宋体" w:hAnsi="宋体"/>
          <w:sz w:val="24"/>
        </w:rPr>
      </w:pPr>
      <w:r>
        <w:rPr>
          <w:rFonts w:hint="eastAsia" w:ascii="宋体" w:hAnsi="宋体"/>
          <w:sz w:val="24"/>
        </w:rPr>
        <w:t>（1）投标函；</w:t>
      </w:r>
    </w:p>
    <w:p>
      <w:pPr>
        <w:snapToGrid w:val="0"/>
        <w:spacing w:line="400" w:lineRule="exact"/>
        <w:ind w:firstLine="470" w:firstLineChars="196"/>
        <w:jc w:val="left"/>
        <w:rPr>
          <w:rFonts w:ascii="宋体" w:hAnsi="宋体"/>
          <w:sz w:val="24"/>
        </w:rPr>
      </w:pPr>
      <w:r>
        <w:rPr>
          <w:rFonts w:hint="eastAsia" w:ascii="宋体" w:hAnsi="宋体"/>
          <w:sz w:val="24"/>
        </w:rPr>
        <w:t>（2）</w:t>
      </w:r>
      <w:bookmarkStart w:id="14" w:name="_Hlk534200539"/>
      <w:r>
        <w:rPr>
          <w:rFonts w:hint="eastAsia" w:ascii="宋体" w:hAnsi="宋体"/>
          <w:sz w:val="24"/>
        </w:rPr>
        <w:t>法定代表人授权委托书</w:t>
      </w:r>
      <w:bookmarkEnd w:id="14"/>
      <w:r>
        <w:rPr>
          <w:rFonts w:hint="eastAsia" w:ascii="宋体" w:hAnsi="宋体"/>
          <w:sz w:val="24"/>
        </w:rPr>
        <w:t>；</w:t>
      </w:r>
    </w:p>
    <w:p>
      <w:pPr>
        <w:snapToGrid w:val="0"/>
        <w:spacing w:line="400" w:lineRule="exact"/>
        <w:ind w:firstLine="470" w:firstLineChars="196"/>
        <w:jc w:val="left"/>
        <w:rPr>
          <w:rFonts w:ascii="宋体" w:hAnsi="宋体"/>
          <w:sz w:val="24"/>
        </w:rPr>
      </w:pPr>
      <w:r>
        <w:rPr>
          <w:rFonts w:hint="eastAsia" w:ascii="宋体" w:hAnsi="宋体"/>
          <w:sz w:val="24"/>
        </w:rPr>
        <w:t>（3）营业执照副本复印件；</w:t>
      </w:r>
    </w:p>
    <w:p>
      <w:pPr>
        <w:snapToGrid w:val="0"/>
        <w:spacing w:line="400" w:lineRule="exact"/>
        <w:ind w:firstLine="480" w:firstLineChars="200"/>
        <w:jc w:val="left"/>
        <w:rPr>
          <w:rFonts w:ascii="宋体" w:hAnsi="宋体"/>
          <w:sz w:val="24"/>
        </w:rPr>
      </w:pPr>
      <w:r>
        <w:rPr>
          <w:rFonts w:hint="eastAsia" w:ascii="宋体" w:hAnsi="宋体"/>
          <w:sz w:val="24"/>
        </w:rPr>
        <w:t>（4）投标人按照评分标准要求提供的相应资料；</w:t>
      </w:r>
    </w:p>
    <w:p>
      <w:pPr>
        <w:snapToGrid w:val="0"/>
        <w:spacing w:line="400" w:lineRule="exact"/>
        <w:ind w:firstLine="480" w:firstLineChars="200"/>
        <w:jc w:val="left"/>
        <w:rPr>
          <w:rFonts w:ascii="宋体" w:hAnsi="宋体"/>
          <w:sz w:val="24"/>
        </w:rPr>
      </w:pPr>
      <w:r>
        <w:rPr>
          <w:rFonts w:hint="eastAsia" w:ascii="宋体" w:hAnsi="宋体"/>
          <w:sz w:val="24"/>
        </w:rPr>
        <w:t>（5）设备说明表（均不含报价）；</w:t>
      </w:r>
    </w:p>
    <w:p>
      <w:pPr>
        <w:snapToGrid w:val="0"/>
        <w:spacing w:line="400" w:lineRule="exact"/>
        <w:ind w:firstLine="480" w:firstLineChars="200"/>
        <w:jc w:val="left"/>
        <w:rPr>
          <w:rFonts w:ascii="宋体" w:hAnsi="宋体"/>
          <w:sz w:val="24"/>
        </w:rPr>
      </w:pPr>
      <w:r>
        <w:rPr>
          <w:rFonts w:hint="eastAsia" w:ascii="宋体" w:hAnsi="宋体"/>
          <w:sz w:val="24"/>
        </w:rPr>
        <w:t>（6）项目负责人简历表；</w:t>
      </w:r>
    </w:p>
    <w:p>
      <w:pPr>
        <w:snapToGrid w:val="0"/>
        <w:spacing w:line="400" w:lineRule="exact"/>
        <w:ind w:firstLine="480" w:firstLineChars="200"/>
        <w:jc w:val="left"/>
        <w:rPr>
          <w:rFonts w:ascii="宋体" w:hAnsi="宋体"/>
          <w:sz w:val="24"/>
        </w:rPr>
      </w:pPr>
      <w:r>
        <w:rPr>
          <w:rFonts w:hint="eastAsia" w:ascii="宋体" w:hAnsi="宋体"/>
          <w:sz w:val="24"/>
        </w:rPr>
        <w:t xml:space="preserve">（7）项目实施人员一览表； </w:t>
      </w:r>
    </w:p>
    <w:p>
      <w:pPr>
        <w:snapToGrid w:val="0"/>
        <w:spacing w:line="400" w:lineRule="exact"/>
        <w:ind w:firstLine="470" w:firstLineChars="196"/>
        <w:jc w:val="left"/>
        <w:rPr>
          <w:rFonts w:ascii="宋体" w:hAnsi="宋体"/>
          <w:sz w:val="24"/>
        </w:rPr>
      </w:pPr>
      <w:r>
        <w:rPr>
          <w:rFonts w:hint="eastAsia" w:ascii="宋体" w:hAnsi="宋体"/>
          <w:sz w:val="24"/>
        </w:rPr>
        <w:t>（8）售后服务网点情况表；</w:t>
      </w:r>
    </w:p>
    <w:p>
      <w:pPr>
        <w:snapToGrid w:val="0"/>
        <w:spacing w:line="400" w:lineRule="exact"/>
        <w:ind w:firstLine="470" w:firstLineChars="196"/>
        <w:jc w:val="left"/>
        <w:rPr>
          <w:rFonts w:ascii="宋体" w:hAnsi="宋体"/>
          <w:sz w:val="24"/>
        </w:rPr>
      </w:pPr>
      <w:r>
        <w:rPr>
          <w:rFonts w:hint="eastAsia" w:ascii="宋体" w:hAnsi="宋体"/>
          <w:sz w:val="24"/>
        </w:rPr>
        <w:t>（9）商务技术响应表；</w:t>
      </w:r>
    </w:p>
    <w:p>
      <w:pPr>
        <w:snapToGrid w:val="0"/>
        <w:spacing w:line="400" w:lineRule="exact"/>
        <w:ind w:firstLine="470" w:firstLineChars="196"/>
        <w:jc w:val="left"/>
        <w:rPr>
          <w:rFonts w:hint="eastAsia" w:ascii="宋体" w:hAnsi="宋体"/>
          <w:sz w:val="24"/>
        </w:rPr>
      </w:pPr>
      <w:r>
        <w:rPr>
          <w:rFonts w:hint="eastAsia" w:ascii="宋体" w:hAnsi="宋体"/>
          <w:sz w:val="24"/>
        </w:rPr>
        <w:t>（10）投标人认为需要提供的其他资料。</w:t>
      </w:r>
    </w:p>
    <w:p>
      <w:pPr>
        <w:snapToGrid w:val="0"/>
        <w:spacing w:line="400" w:lineRule="exact"/>
        <w:ind w:firstLine="472" w:firstLineChars="196"/>
        <w:jc w:val="left"/>
        <w:rPr>
          <w:rFonts w:ascii="宋体" w:hAnsi="宋体"/>
          <w:b/>
          <w:color w:val="000000"/>
          <w:sz w:val="24"/>
        </w:rPr>
      </w:pPr>
      <w:r>
        <w:rPr>
          <w:rFonts w:hint="eastAsia" w:ascii="宋体" w:hAnsi="宋体"/>
          <w:b/>
          <w:color w:val="000000"/>
          <w:sz w:val="24"/>
        </w:rPr>
        <w:t>2.报价文件</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（1）开标一览表；</w:t>
      </w:r>
    </w:p>
    <w:p>
      <w:pPr>
        <w:pStyle w:val="28"/>
        <w:snapToGrid w:val="0"/>
        <w:spacing w:line="400" w:lineRule="exact"/>
        <w:ind w:left="0" w:leftChars="0" w:firstLine="480" w:firstLineChars="200"/>
        <w:rPr>
          <w:rFonts w:hint="eastAsia" w:ascii="宋体" w:hAnsi="宋体" w:eastAsia="宋体"/>
          <w:color w:val="000000"/>
          <w:sz w:val="24"/>
          <w:szCs w:val="24"/>
        </w:rPr>
      </w:pPr>
      <w:r>
        <w:rPr>
          <w:rFonts w:hint="eastAsia" w:ascii="宋体" w:hAnsi="宋体" w:eastAsia="宋体"/>
          <w:color w:val="000000"/>
          <w:sz w:val="24"/>
          <w:szCs w:val="24"/>
        </w:rPr>
        <w:t>（2）报价明细表。</w:t>
      </w:r>
    </w:p>
    <w:p>
      <w:pPr>
        <w:pStyle w:val="28"/>
        <w:snapToGrid w:val="0"/>
        <w:spacing w:line="400" w:lineRule="exact"/>
        <w:ind w:left="0" w:leftChars="0" w:firstLine="482" w:firstLineChars="200"/>
        <w:rPr>
          <w:rFonts w:ascii="宋体" w:hAnsi="宋体" w:eastAsia="宋体"/>
          <w:b/>
          <w:sz w:val="24"/>
          <w:szCs w:val="24"/>
        </w:rPr>
      </w:pPr>
      <w:bookmarkStart w:id="15" w:name="_Hlk534190502"/>
      <w:r>
        <w:rPr>
          <w:rFonts w:hint="eastAsia" w:ascii="宋体" w:hAnsi="宋体" w:eastAsia="宋体"/>
          <w:b/>
          <w:sz w:val="24"/>
          <w:szCs w:val="24"/>
        </w:rPr>
        <w:t>（3）</w:t>
      </w:r>
      <w:bookmarkEnd w:id="15"/>
      <w:r>
        <w:rPr>
          <w:rFonts w:hint="eastAsia" w:ascii="宋体" w:hAnsi="宋体" w:eastAsia="宋体"/>
          <w:b/>
          <w:sz w:val="24"/>
          <w:szCs w:val="24"/>
        </w:rPr>
        <w:t>小微企业声明函</w:t>
      </w:r>
      <w:bookmarkStart w:id="16" w:name="_Hlk17356691"/>
      <w:r>
        <w:rPr>
          <w:rFonts w:hint="eastAsia" w:ascii="宋体" w:hAnsi="宋体" w:eastAsia="宋体"/>
          <w:b/>
          <w:sz w:val="24"/>
          <w:szCs w:val="24"/>
        </w:rPr>
        <w:t>（</w:t>
      </w:r>
      <w:bookmarkStart w:id="17" w:name="_Hlk534190668"/>
      <w:r>
        <w:rPr>
          <w:rFonts w:hint="eastAsia" w:ascii="宋体" w:hAnsi="宋体" w:eastAsia="宋体"/>
          <w:b/>
          <w:sz w:val="24"/>
          <w:szCs w:val="24"/>
        </w:rPr>
        <w:t>非小微企业无需提供</w:t>
      </w:r>
      <w:bookmarkEnd w:id="17"/>
      <w:r>
        <w:rPr>
          <w:rFonts w:hint="eastAsia" w:ascii="宋体" w:hAnsi="宋体" w:eastAsia="宋体"/>
          <w:b/>
          <w:sz w:val="24"/>
          <w:szCs w:val="24"/>
        </w:rPr>
        <w:t>）；</w:t>
      </w:r>
      <w:bookmarkEnd w:id="16"/>
    </w:p>
    <w:p>
      <w:pPr>
        <w:pStyle w:val="28"/>
        <w:snapToGrid w:val="0"/>
        <w:spacing w:line="380" w:lineRule="exact"/>
        <w:ind w:left="0" w:leftChars="0" w:firstLine="482" w:firstLineChars="200"/>
        <w:rPr>
          <w:rFonts w:hint="eastAsia" w:ascii="宋体" w:hAnsi="宋体" w:eastAsia="宋体"/>
          <w:b/>
          <w:sz w:val="24"/>
          <w:szCs w:val="24"/>
        </w:rP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）产品适用政府采购政策情况表（非小微企业无需提供）；</w:t>
      </w:r>
    </w:p>
    <w:p>
      <w:pPr>
        <w:spacing w:line="420" w:lineRule="exact"/>
        <w:ind w:firstLine="472" w:firstLineChars="196"/>
        <w:rPr>
          <w:rFonts w:hint="eastAsia" w:ascii="宋体" w:hAnsi="宋体"/>
          <w:b/>
          <w:sz w:val="24"/>
        </w:rPr>
      </w:pPr>
      <w:r>
        <w:rPr>
          <w:rFonts w:hint="eastAsia" w:ascii="宋体" w:hAnsi="宋体"/>
          <w:b/>
          <w:sz w:val="24"/>
        </w:rPr>
        <w:t>（</w:t>
      </w:r>
      <w:r>
        <w:rPr>
          <w:rFonts w:ascii="宋体" w:hAnsi="宋体"/>
          <w:b/>
          <w:sz w:val="24"/>
        </w:rPr>
        <w:t>5</w:t>
      </w:r>
      <w:r>
        <w:rPr>
          <w:rFonts w:hint="eastAsia" w:ascii="宋体" w:hAnsi="宋体"/>
          <w:b/>
          <w:sz w:val="24"/>
        </w:rPr>
        <w:t>）提供投标人开标前上一年度含有从业人员数据的统计报表或提供投标企业注册地</w:t>
      </w:r>
      <w:bookmarkStart w:id="18" w:name="_Hlk534190611"/>
      <w:r>
        <w:rPr>
          <w:rFonts w:hint="eastAsia" w:ascii="宋体" w:hAnsi="宋体"/>
          <w:b/>
          <w:sz w:val="24"/>
        </w:rPr>
        <w:t>社会保险机构盖章</w:t>
      </w:r>
      <w:bookmarkEnd w:id="18"/>
      <w:r>
        <w:rPr>
          <w:rFonts w:hint="eastAsia" w:ascii="宋体" w:hAnsi="宋体"/>
          <w:b/>
          <w:sz w:val="24"/>
        </w:rPr>
        <w:t>的单位职工缴纳社保清单，如有外地分公司的，清单中需包含各地分公司人员（如为社会保险机构盖章的网上打印件亦可）</w:t>
      </w:r>
      <w:bookmarkStart w:id="19" w:name="_Hlk534289863"/>
      <w:r>
        <w:rPr>
          <w:rFonts w:hint="eastAsia" w:ascii="宋体" w:hAnsi="宋体"/>
          <w:b/>
          <w:sz w:val="24"/>
        </w:rPr>
        <w:t>。同时提供投标人开标前上一年度</w:t>
      </w:r>
      <w:bookmarkEnd w:id="19"/>
      <w:r>
        <w:rPr>
          <w:rFonts w:hint="eastAsia" w:ascii="宋体" w:hAnsi="宋体"/>
          <w:b/>
          <w:sz w:val="24"/>
        </w:rPr>
        <w:t>经审计的企业财务报表或从税务部门“金税三期”税收征管系统下载打印且含有认证码的上一年度企业财务报表</w:t>
      </w:r>
      <w:r>
        <w:rPr>
          <w:rFonts w:hint="eastAsia"/>
          <w:b/>
          <w:sz w:val="24"/>
        </w:rPr>
        <w:t>。</w:t>
      </w:r>
      <w:r>
        <w:rPr>
          <w:rFonts w:hint="eastAsia" w:ascii="宋体" w:hAnsi="宋体"/>
          <w:b/>
          <w:sz w:val="24"/>
        </w:rPr>
        <w:t>（小微企业提供上述资料，非小微企业无需提供。不提供上述资料的，不予认定为小微企业）</w:t>
      </w:r>
    </w:p>
    <w:p>
      <w:pPr>
        <w:spacing w:line="420" w:lineRule="exact"/>
        <w:ind w:firstLine="241" w:firstLineChars="100"/>
        <w:rPr>
          <w:rFonts w:hint="eastAsia" w:ascii="宋体" w:hAnsi="宋体"/>
          <w:b/>
          <w:sz w:val="24"/>
        </w:rPr>
      </w:pPr>
    </w:p>
    <w:p>
      <w:pPr>
        <w:ind w:firstLine="470" w:firstLineChars="196"/>
        <w:rPr>
          <w:rFonts w:hint="eastAsia"/>
          <w:sz w:val="24"/>
        </w:rPr>
      </w:pPr>
      <w:r>
        <w:rPr>
          <w:rFonts w:hint="eastAsia"/>
          <w:sz w:val="24"/>
        </w:rPr>
        <w:t>评标委员会根据上述资料和工信部联企业[2011]300号、浙财采监〔2018〕2号等规定，综合评判后确认投标人是否属于小微企业。</w:t>
      </w:r>
      <w:r>
        <w:rPr>
          <w:rFonts w:hint="eastAsia" w:ascii="宋体" w:hAnsi="宋体"/>
          <w:sz w:val="24"/>
        </w:rPr>
        <w:t>如未按要求提供上述小微企业证明材料的，将不予认定为小微企业。</w:t>
      </w:r>
      <w:r>
        <w:rPr>
          <w:rFonts w:hint="eastAsia" w:ascii="宋体" w:hAnsi="宋体"/>
          <w:b/>
          <w:sz w:val="24"/>
          <w:u w:val="single"/>
          <w:shd w:val="pct10" w:color="auto" w:fill="FFFFFF"/>
        </w:rPr>
        <w:t>评标过程中如须核实投标人网上统计、社保、税务等信息的，投标人需提供配合。</w:t>
      </w:r>
    </w:p>
    <w:p>
      <w:pPr>
        <w:snapToGrid w:val="0"/>
        <w:spacing w:before="100" w:beforeAutospacing="1" w:after="100" w:afterAutospacing="1" w:line="40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pPr>
        <w:snapToGrid w:val="0"/>
        <w:spacing w:line="400" w:lineRule="exact"/>
        <w:ind w:firstLine="361" w:firstLineChars="150"/>
        <w:jc w:val="left"/>
        <w:rPr>
          <w:rFonts w:ascii="宋体" w:hAnsi="宋体"/>
          <w:b/>
          <w:color w:val="000000"/>
          <w:sz w:val="24"/>
        </w:rPr>
      </w:pPr>
      <w:r>
        <w:rPr>
          <w:rFonts w:hint="eastAsia" w:ascii="宋体" w:hAnsi="宋体"/>
          <w:b/>
          <w:color w:val="000000"/>
          <w:sz w:val="24"/>
        </w:rPr>
        <w:t>（三）投标文件的语言及计量</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2.投标计量单位，招标文件已有明确规定的，使用招标文件规定的计量单位；招标文件没有规定的，应采用中华人民共和国法定计量单位（货币单位：人民币元），否则视同未响应。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400" w:lineRule="exact"/>
        <w:ind w:firstLine="472" w:firstLineChars="196"/>
        <w:jc w:val="left"/>
        <w:rPr>
          <w:rFonts w:ascii="宋体" w:hAnsi="宋体"/>
          <w:b/>
          <w:color w:val="000000"/>
          <w:sz w:val="24"/>
        </w:rPr>
      </w:pPr>
      <w:r>
        <w:rPr>
          <w:rFonts w:hint="eastAsia" w:ascii="宋体" w:hAnsi="宋体"/>
          <w:b/>
          <w:color w:val="000000"/>
          <w:sz w:val="24"/>
        </w:rPr>
        <w:t>（四）投标报价</w:t>
      </w:r>
    </w:p>
    <w:p>
      <w:pPr>
        <w:pStyle w:val="27"/>
        <w:snapToGrid w:val="0"/>
        <w:spacing w:beforeLines="0" w:afterLines="0"/>
        <w:ind w:firstLine="480" w:firstLineChars="200"/>
        <w:jc w:val="left"/>
        <w:rPr>
          <w:rFonts w:hAnsi="宋体"/>
          <w:color w:val="000000"/>
        </w:rPr>
      </w:pPr>
      <w:r>
        <w:rPr>
          <w:rFonts w:hint="eastAsia" w:hAnsi="宋体"/>
          <w:color w:val="000000"/>
        </w:rPr>
        <w:t>1.投标报价应按招标文件中相关附表格式填写。</w:t>
      </w:r>
    </w:p>
    <w:p>
      <w:pPr>
        <w:pStyle w:val="27"/>
        <w:snapToGrid w:val="0"/>
        <w:spacing w:beforeLines="0" w:afterLines="0"/>
        <w:ind w:firstLine="480" w:firstLineChars="200"/>
        <w:jc w:val="left"/>
        <w:rPr>
          <w:rFonts w:hAnsi="宋体"/>
          <w:color w:val="000000"/>
        </w:rPr>
      </w:pPr>
      <w:r>
        <w:rPr>
          <w:rFonts w:hint="eastAsia" w:hAnsi="宋体"/>
          <w:color w:val="000000"/>
        </w:rPr>
        <w:t>▲2.投标报价是履行合同的最终价格，应包括货款、标准附件、备品备件、专用工具、包装、运输、装卸、保险、税金、货到就位以及安装、调试、保修等一切税金和费用。</w:t>
      </w:r>
    </w:p>
    <w:p>
      <w:pPr>
        <w:tabs>
          <w:tab w:val="left" w:pos="525"/>
        </w:tabs>
        <w:snapToGrid w:val="0"/>
        <w:spacing w:line="400" w:lineRule="exact"/>
        <w:ind w:firstLine="480" w:firstLineChars="200"/>
        <w:jc w:val="left"/>
        <w:rPr>
          <w:rFonts w:ascii="宋体" w:hAnsi="宋体"/>
          <w:color w:val="000000"/>
          <w:sz w:val="24"/>
        </w:rPr>
      </w:pPr>
      <w:r>
        <w:rPr>
          <w:rFonts w:hint="eastAsia" w:ascii="宋体" w:hAnsi="宋体"/>
          <w:color w:val="000000"/>
          <w:sz w:val="24"/>
        </w:rPr>
        <w:t>▲3.投标文件只允许有一个报价，有选择的或有条件的报价将不予接受。</w:t>
      </w:r>
    </w:p>
    <w:p>
      <w:pPr>
        <w:pStyle w:val="12"/>
        <w:widowControl w:val="0"/>
        <w:tabs>
          <w:tab w:val="left" w:pos="420"/>
        </w:tabs>
        <w:snapToGrid w:val="0"/>
        <w:spacing w:before="120" w:beforeLines="50" w:afterLines="0" w:line="400" w:lineRule="exact"/>
        <w:ind w:left="0" w:firstLine="472" w:firstLineChars="196"/>
        <w:rPr>
          <w:rFonts w:ascii="宋体" w:hAnsi="宋体"/>
          <w:b/>
          <w:color w:val="000000"/>
          <w:szCs w:val="24"/>
        </w:rPr>
      </w:pPr>
      <w:r>
        <w:rPr>
          <w:rFonts w:hint="eastAsia" w:ascii="宋体" w:hAnsi="宋体"/>
          <w:b/>
          <w:color w:val="000000"/>
          <w:szCs w:val="24"/>
        </w:rPr>
        <w:t>（五）投标有效期</w:t>
      </w:r>
    </w:p>
    <w:p>
      <w:pPr>
        <w:pStyle w:val="12"/>
        <w:widowControl w:val="0"/>
        <w:tabs>
          <w:tab w:val="left" w:pos="420"/>
        </w:tabs>
        <w:snapToGrid w:val="0"/>
        <w:spacing w:afterLines="0" w:line="40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天投标文件应保持有效。</w:t>
      </w:r>
    </w:p>
    <w:p>
      <w:pPr>
        <w:pStyle w:val="12"/>
        <w:widowControl w:val="0"/>
        <w:tabs>
          <w:tab w:val="left" w:pos="420"/>
        </w:tabs>
        <w:snapToGrid w:val="0"/>
        <w:spacing w:afterLines="0" w:line="400" w:lineRule="exact"/>
        <w:ind w:left="0" w:firstLine="480" w:firstLineChars="200"/>
        <w:rPr>
          <w:rFonts w:ascii="宋体" w:hAnsi="宋体"/>
          <w:color w:val="000000"/>
          <w:szCs w:val="24"/>
        </w:rPr>
      </w:pPr>
      <w:r>
        <w:rPr>
          <w:rFonts w:hint="eastAsia" w:ascii="宋体" w:hAnsi="宋体"/>
          <w:color w:val="000000"/>
          <w:szCs w:val="24"/>
        </w:rPr>
        <w:t>2.在特殊情况下，招标人可与投标人协商延长投标文件的有效期，这种要求和答复均以书面形式进行。</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 xml:space="preserve">3.投标人可拒绝接受延期要求而不会导致投标保证金不被退回。同意延长有效期的投标人需要相应延长投标保证金的有效期，但不能修改投标文件内容。 </w:t>
      </w:r>
    </w:p>
    <w:p>
      <w:pPr>
        <w:snapToGrid w:val="0"/>
        <w:spacing w:line="400" w:lineRule="exact"/>
        <w:ind w:firstLine="480" w:firstLineChars="200"/>
        <w:jc w:val="left"/>
        <w:rPr>
          <w:rFonts w:hint="eastAsia" w:ascii="宋体" w:hAnsi="宋体"/>
          <w:b/>
          <w:color w:val="000000"/>
          <w:sz w:val="24"/>
        </w:rPr>
      </w:pPr>
      <w:r>
        <w:rPr>
          <w:rFonts w:hint="eastAsia" w:ascii="宋体" w:hAnsi="宋体"/>
          <w:color w:val="000000"/>
          <w:sz w:val="24"/>
        </w:rPr>
        <w:t>4.中标人的投标文件自开标之日起至合同履行完毕止均应保持有效。</w:t>
      </w:r>
    </w:p>
    <w:p>
      <w:pPr>
        <w:snapToGrid w:val="0"/>
        <w:spacing w:line="400" w:lineRule="exact"/>
        <w:ind w:firstLine="472" w:firstLineChars="196"/>
        <w:jc w:val="left"/>
        <w:rPr>
          <w:rFonts w:ascii="宋体" w:hAnsi="宋体"/>
          <w:b/>
          <w:bCs/>
          <w:color w:val="000000"/>
          <w:sz w:val="24"/>
        </w:rPr>
      </w:pPr>
      <w:r>
        <w:rPr>
          <w:rFonts w:hint="eastAsia" w:ascii="宋体" w:hAnsi="宋体"/>
          <w:b/>
          <w:bCs/>
          <w:color w:val="000000"/>
          <w:sz w:val="24"/>
        </w:rPr>
        <w:t>5.投标人有下列情形之一的，按有关规定进行处罚：</w:t>
      </w:r>
    </w:p>
    <w:p>
      <w:pPr>
        <w:snapToGrid w:val="0"/>
        <w:spacing w:line="400" w:lineRule="exact"/>
        <w:ind w:firstLine="470" w:firstLineChars="196"/>
        <w:jc w:val="left"/>
        <w:rPr>
          <w:rFonts w:ascii="宋体" w:hAnsi="宋体"/>
          <w:color w:val="000000"/>
          <w:sz w:val="24"/>
        </w:rPr>
      </w:pPr>
      <w:r>
        <w:rPr>
          <w:rFonts w:hint="eastAsia" w:ascii="宋体" w:hAnsi="宋体"/>
          <w:color w:val="000000"/>
          <w:sz w:val="24"/>
        </w:rPr>
        <w:t>（1）投标人在投标有效期内撤回投标文件的；</w:t>
      </w:r>
    </w:p>
    <w:p>
      <w:pPr>
        <w:snapToGrid w:val="0"/>
        <w:spacing w:line="40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pPr>
        <w:snapToGrid w:val="0"/>
        <w:spacing w:line="400" w:lineRule="exact"/>
        <w:ind w:firstLine="470" w:firstLineChars="196"/>
        <w:jc w:val="left"/>
        <w:rPr>
          <w:rFonts w:ascii="宋体" w:hAnsi="宋体"/>
          <w:color w:val="000000"/>
          <w:sz w:val="24"/>
        </w:rPr>
      </w:pPr>
      <w:r>
        <w:rPr>
          <w:rFonts w:hint="eastAsia" w:ascii="宋体" w:hAnsi="宋体"/>
          <w:color w:val="000000"/>
          <w:sz w:val="24"/>
        </w:rPr>
        <w:t>（3）投标人在投标过程中弄虚作假，提供虚假材料的；</w:t>
      </w:r>
    </w:p>
    <w:p>
      <w:pPr>
        <w:snapToGrid w:val="0"/>
        <w:spacing w:line="400" w:lineRule="exact"/>
        <w:ind w:firstLine="470" w:firstLineChars="196"/>
        <w:rPr>
          <w:rFonts w:ascii="宋体" w:hAnsi="宋体"/>
          <w:color w:val="000000"/>
          <w:sz w:val="24"/>
        </w:rPr>
      </w:pPr>
      <w:r>
        <w:rPr>
          <w:rFonts w:hint="eastAsia" w:ascii="宋体" w:hAnsi="宋体"/>
          <w:color w:val="000000"/>
          <w:sz w:val="24"/>
        </w:rPr>
        <w:t>（4）中标人无正当理由不与采购单位签订合同的；</w:t>
      </w:r>
    </w:p>
    <w:p>
      <w:pPr>
        <w:snapToGrid w:val="0"/>
        <w:spacing w:line="40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将中标项目转让给他人或者在投标文件中未说明且未经招标人同意，将中标项目分包给他人的；</w:t>
      </w:r>
    </w:p>
    <w:p>
      <w:pPr>
        <w:snapToGrid w:val="0"/>
        <w:spacing w:line="400" w:lineRule="exact"/>
        <w:ind w:firstLine="480" w:firstLineChars="200"/>
        <w:rPr>
          <w:rFonts w:ascii="宋体" w:hAnsi="宋体"/>
          <w:color w:val="000000"/>
          <w:sz w:val="24"/>
        </w:rPr>
      </w:pPr>
      <w:r>
        <w:rPr>
          <w:rFonts w:hint="eastAsia" w:ascii="宋体" w:hAnsi="宋体"/>
          <w:color w:val="000000"/>
          <w:sz w:val="24"/>
        </w:rPr>
        <w:t>（6）拒绝履行合同义务的；</w:t>
      </w:r>
    </w:p>
    <w:p>
      <w:pPr>
        <w:snapToGrid w:val="0"/>
        <w:spacing w:line="400" w:lineRule="exact"/>
        <w:ind w:firstLine="480" w:firstLineChars="200"/>
        <w:rPr>
          <w:rFonts w:ascii="宋体" w:hAnsi="宋体"/>
          <w:color w:val="000000"/>
          <w:sz w:val="24"/>
        </w:rPr>
      </w:pPr>
      <w:r>
        <w:rPr>
          <w:rFonts w:hint="eastAsia" w:ascii="宋体" w:hAnsi="宋体"/>
          <w:color w:val="000000"/>
          <w:sz w:val="24"/>
        </w:rPr>
        <w:t>（7）其他严重扰乱招投标程序的。</w:t>
      </w:r>
    </w:p>
    <w:p>
      <w:pPr>
        <w:snapToGrid w:val="0"/>
        <w:spacing w:before="120" w:beforeLines="50" w:line="400" w:lineRule="exact"/>
        <w:ind w:firstLine="472" w:firstLineChars="196"/>
        <w:jc w:val="left"/>
        <w:rPr>
          <w:rFonts w:ascii="宋体" w:hAnsi="宋体"/>
          <w:b/>
          <w:color w:val="000000"/>
          <w:sz w:val="24"/>
        </w:rPr>
      </w:pPr>
      <w:r>
        <w:rPr>
          <w:rFonts w:hint="eastAsia" w:ascii="宋体" w:hAnsi="宋体"/>
          <w:b/>
          <w:color w:val="000000"/>
          <w:sz w:val="24"/>
        </w:rPr>
        <w:t>（六）投标文件的签署和份数</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1.投标人应按本招标文件规定的格式和顺序编制、装订投标文件并标注页码，投标文件内容不完整、编排混乱而导致投标文件被误读、漏读或者查找不到相关内容的，投标人责任自负。</w:t>
      </w:r>
    </w:p>
    <w:p>
      <w:pPr>
        <w:snapToGrid w:val="0"/>
        <w:spacing w:line="400" w:lineRule="exact"/>
        <w:ind w:firstLine="482" w:firstLineChars="200"/>
        <w:jc w:val="left"/>
        <w:rPr>
          <w:rFonts w:hint="eastAsia" w:ascii="宋体" w:hAnsi="宋体"/>
          <w:color w:val="auto"/>
          <w:sz w:val="24"/>
        </w:rPr>
      </w:pPr>
      <w:r>
        <w:rPr>
          <w:rFonts w:hint="eastAsia" w:ascii="宋体" w:hAnsi="宋体"/>
          <w:b/>
          <w:color w:val="auto"/>
          <w:sz w:val="24"/>
          <w:shd w:val="pct10" w:color="auto" w:fill="FFFFFF"/>
        </w:rPr>
        <w:t>2</w:t>
      </w:r>
      <w:r>
        <w:rPr>
          <w:rFonts w:hint="eastAsia" w:ascii="宋体" w:hAnsi="宋体"/>
          <w:b/>
          <w:color w:val="auto"/>
          <w:sz w:val="24"/>
          <w:u w:val="single"/>
          <w:shd w:val="pct10" w:color="auto" w:fill="FFFFFF"/>
        </w:rPr>
        <w:t>.投标人应按商务技术文件、报价文件分别编制并单独装订成册，</w:t>
      </w:r>
      <w:r>
        <w:rPr>
          <w:rFonts w:hint="eastAsia" w:ascii="宋体" w:hAnsi="宋体"/>
          <w:color w:val="auto"/>
          <w:sz w:val="24"/>
        </w:rPr>
        <w:t>活页装订的投标文件将被拒绝。投标文件需打印或用不褪色的墨水填写。</w:t>
      </w:r>
    </w:p>
    <w:p>
      <w:pPr>
        <w:snapToGrid w:val="0"/>
        <w:spacing w:line="400" w:lineRule="exact"/>
        <w:ind w:firstLine="470" w:firstLineChars="196"/>
        <w:jc w:val="left"/>
        <w:rPr>
          <w:rFonts w:hint="eastAsia" w:ascii="宋体" w:hAnsi="宋体" w:cs="仿宋_GB2312"/>
          <w:bCs/>
          <w:color w:val="auto"/>
          <w:sz w:val="24"/>
        </w:rPr>
      </w:pPr>
      <w:r>
        <w:rPr>
          <w:rFonts w:ascii="宋体" w:hAnsi="宋体"/>
          <w:color w:val="auto"/>
          <w:sz w:val="24"/>
        </w:rPr>
        <w:t>3</w:t>
      </w:r>
      <w:r>
        <w:rPr>
          <w:rFonts w:hint="eastAsia" w:ascii="宋体" w:hAnsi="宋体"/>
          <w:color w:val="auto"/>
          <w:sz w:val="24"/>
        </w:rPr>
        <w:t>.</w:t>
      </w:r>
      <w:r>
        <w:rPr>
          <w:rFonts w:hint="eastAsia" w:ascii="宋体" w:hAnsi="宋体" w:cs="仿宋_GB2312"/>
          <w:bCs/>
          <w:color w:val="auto"/>
          <w:sz w:val="24"/>
        </w:rPr>
        <w:t>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400" w:lineRule="exact"/>
        <w:ind w:firstLine="470" w:firstLineChars="196"/>
        <w:jc w:val="left"/>
        <w:rPr>
          <w:rFonts w:ascii="宋体" w:hAnsi="宋体" w:cs="仿宋_GB2312"/>
          <w:bCs/>
          <w:color w:val="auto"/>
          <w:sz w:val="24"/>
        </w:rPr>
      </w:pPr>
      <w:r>
        <w:rPr>
          <w:rFonts w:hint="eastAsia" w:ascii="宋体" w:hAnsi="宋体" w:cs="仿宋_GB2312"/>
          <w:bCs/>
          <w:color w:val="auto"/>
          <w:sz w:val="24"/>
        </w:rPr>
        <w:t>电子投标文件如内容不完整、编排混乱导致投标文件被误读、漏读，或者在按采购文件规定的部位查找不到相关内容的，由投标人自行承担。</w:t>
      </w:r>
    </w:p>
    <w:p>
      <w:pPr>
        <w:snapToGrid w:val="0"/>
        <w:spacing w:line="400" w:lineRule="exact"/>
        <w:ind w:firstLine="470" w:firstLineChars="196"/>
        <w:jc w:val="left"/>
        <w:rPr>
          <w:rFonts w:ascii="宋体" w:hAnsi="宋体"/>
          <w:color w:val="auto"/>
          <w:sz w:val="24"/>
        </w:rPr>
      </w:pPr>
      <w:r>
        <w:rPr>
          <w:rFonts w:ascii="宋体" w:hAnsi="宋体" w:cs="仿宋_GB2312"/>
          <w:bCs/>
          <w:color w:val="auto"/>
          <w:sz w:val="24"/>
        </w:rPr>
        <w:t>4</w:t>
      </w:r>
      <w:r>
        <w:rPr>
          <w:rFonts w:hint="eastAsia" w:ascii="宋体" w:hAnsi="宋体"/>
          <w:color w:val="auto"/>
          <w:sz w:val="24"/>
        </w:rPr>
        <w:t>.温馨提醒：</w:t>
      </w:r>
      <w:r>
        <w:rPr>
          <w:rFonts w:hint="eastAsia" w:ascii="宋体" w:hAnsi="宋体"/>
          <w:color w:val="auto"/>
          <w:sz w:val="24"/>
          <w:u w:val="single"/>
        </w:rPr>
        <w:t>CA签章上目前没有法人或授权代表签字信息，需要投标人联系浙江杭州汇信科技有限公司等相应公司进行办理，或在投标文件中涉及到签字的位置线下签好字然后扫描或者拍照做成PDF的格式亦可。</w:t>
      </w:r>
    </w:p>
    <w:p>
      <w:pPr>
        <w:snapToGrid w:val="0"/>
        <w:spacing w:line="400" w:lineRule="exact"/>
        <w:ind w:firstLine="480" w:firstLineChars="200"/>
        <w:jc w:val="left"/>
        <w:rPr>
          <w:rFonts w:hint="eastAsia" w:ascii="宋体" w:hAnsi="宋体"/>
          <w:color w:val="auto"/>
          <w:sz w:val="24"/>
        </w:rPr>
      </w:pPr>
      <w:r>
        <w:rPr>
          <w:rFonts w:ascii="宋体" w:hAnsi="宋体"/>
          <w:color w:val="auto"/>
          <w:sz w:val="24"/>
        </w:rPr>
        <w:t>5</w:t>
      </w:r>
      <w:r>
        <w:rPr>
          <w:rFonts w:hint="eastAsia" w:ascii="宋体" w:hAnsi="宋体"/>
          <w:color w:val="auto"/>
          <w:sz w:val="24"/>
        </w:rPr>
        <w:t>.</w:t>
      </w:r>
      <w:r>
        <w:rPr>
          <w:rFonts w:hint="eastAsia"/>
          <w:color w:val="auto"/>
          <w:sz w:val="24"/>
        </w:rPr>
        <w:t xml:space="preserve"> 纸质备份投标文件</w:t>
      </w:r>
      <w:r>
        <w:rPr>
          <w:rFonts w:hint="eastAsia" w:ascii="宋体" w:hAnsi="宋体"/>
          <w:color w:val="auto"/>
          <w:sz w:val="24"/>
        </w:rPr>
        <w:t>须由投标人在规定位置盖章并由法定代表人签署或盖章，投标人应写全称。</w:t>
      </w:r>
      <w:r>
        <w:rPr>
          <w:rFonts w:hint="eastAsia"/>
          <w:color w:val="auto"/>
          <w:sz w:val="24"/>
        </w:rPr>
        <w:t>纸质</w:t>
      </w:r>
      <w:r>
        <w:rPr>
          <w:rFonts w:hint="eastAsia" w:ascii="宋体" w:hAnsi="宋体" w:cs="仿宋_GB2312"/>
          <w:bCs/>
          <w:color w:val="auto"/>
          <w:sz w:val="24"/>
        </w:rPr>
        <w:t>投标文件未按照招标文件要求签署、盖章的，其投标无效；</w:t>
      </w:r>
    </w:p>
    <w:p>
      <w:pPr>
        <w:snapToGrid w:val="0"/>
        <w:spacing w:line="400" w:lineRule="exact"/>
        <w:ind w:firstLine="480" w:firstLineChars="200"/>
        <w:jc w:val="left"/>
        <w:rPr>
          <w:rFonts w:ascii="宋体" w:hAnsi="宋体"/>
          <w:color w:val="auto"/>
          <w:sz w:val="24"/>
        </w:rPr>
      </w:pPr>
      <w:r>
        <w:rPr>
          <w:rFonts w:ascii="宋体" w:hAnsi="宋体"/>
          <w:color w:val="auto"/>
          <w:sz w:val="24"/>
        </w:rPr>
        <w:t>6</w:t>
      </w:r>
      <w:r>
        <w:rPr>
          <w:rFonts w:hint="eastAsia" w:ascii="宋体" w:hAnsi="宋体"/>
          <w:color w:val="auto"/>
          <w:sz w:val="24"/>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exact"/>
        <w:ind w:firstLine="354" w:firstLineChars="147"/>
        <w:jc w:val="left"/>
        <w:rPr>
          <w:rFonts w:ascii="宋体" w:hAnsi="宋体"/>
          <w:b/>
          <w:color w:val="auto"/>
          <w:sz w:val="24"/>
        </w:rPr>
      </w:pPr>
      <w:r>
        <w:rPr>
          <w:rFonts w:hint="eastAsia" w:ascii="宋体" w:hAnsi="宋体"/>
          <w:b/>
          <w:color w:val="auto"/>
          <w:sz w:val="24"/>
        </w:rPr>
        <w:t>（七）</w:t>
      </w:r>
      <w:r>
        <w:rPr>
          <w:rFonts w:hint="eastAsia"/>
          <w:color w:val="auto"/>
          <w:sz w:val="24"/>
        </w:rPr>
        <w:t>纸质备份</w:t>
      </w:r>
      <w:r>
        <w:rPr>
          <w:rFonts w:hint="eastAsia" w:ascii="宋体" w:hAnsi="宋体"/>
          <w:b/>
          <w:color w:val="auto"/>
          <w:sz w:val="24"/>
        </w:rPr>
        <w:t>投标文件的包装、密封、递交、修改和撤回</w:t>
      </w:r>
    </w:p>
    <w:p>
      <w:pPr>
        <w:snapToGrid w:val="0"/>
        <w:spacing w:line="400" w:lineRule="exact"/>
        <w:ind w:firstLine="420"/>
        <w:jc w:val="left"/>
        <w:rPr>
          <w:rFonts w:ascii="宋体" w:hAnsi="宋体"/>
          <w:sz w:val="24"/>
        </w:rPr>
      </w:pPr>
      <w:r>
        <w:rPr>
          <w:rFonts w:hint="eastAsia" w:ascii="宋体" w:hAnsi="宋体"/>
          <w:color w:val="auto"/>
          <w:sz w:val="24"/>
          <w:u w:val="single"/>
          <w:shd w:val="pct10" w:color="auto" w:fill="FFFFFF"/>
        </w:rPr>
        <w:t>1.</w:t>
      </w:r>
      <w:r>
        <w:rPr>
          <w:rFonts w:hint="eastAsia" w:ascii="宋体" w:hAnsi="宋体"/>
          <w:b/>
          <w:color w:val="auto"/>
          <w:sz w:val="24"/>
          <w:u w:val="single"/>
          <w:shd w:val="pct10" w:color="auto" w:fill="FFFFFF"/>
        </w:rPr>
        <w:t>投标人应按商务技术文件、报价文件二部分</w:t>
      </w:r>
      <w:bookmarkStart w:id="20" w:name="_Hlk524534233"/>
      <w:r>
        <w:rPr>
          <w:rFonts w:hint="eastAsia" w:ascii="宋体" w:hAnsi="宋体"/>
          <w:b/>
          <w:color w:val="auto"/>
          <w:sz w:val="24"/>
          <w:u w:val="single"/>
          <w:shd w:val="pct10" w:color="auto" w:fill="FFFFFF"/>
        </w:rPr>
        <w:t>分别密封</w:t>
      </w:r>
      <w:bookmarkEnd w:id="20"/>
      <w:r>
        <w:rPr>
          <w:rFonts w:hint="eastAsia" w:ascii="宋体" w:hAnsi="宋体"/>
          <w:b/>
          <w:color w:val="auto"/>
          <w:sz w:val="24"/>
          <w:u w:val="single"/>
          <w:shd w:val="pct10" w:color="auto" w:fill="FFFFFF"/>
        </w:rPr>
        <w:t>封装</w:t>
      </w:r>
      <w:r>
        <w:rPr>
          <w:rFonts w:hint="eastAsia"/>
          <w:color w:val="auto"/>
          <w:sz w:val="24"/>
        </w:rPr>
        <w:t>纸质</w:t>
      </w:r>
      <w:r>
        <w:rPr>
          <w:rFonts w:hint="eastAsia" w:ascii="宋体" w:hAnsi="宋体"/>
          <w:b/>
          <w:color w:val="auto"/>
          <w:sz w:val="24"/>
          <w:u w:val="single"/>
          <w:shd w:val="pct10" w:color="auto" w:fill="FFFFFF"/>
        </w:rPr>
        <w:t>投标文</w:t>
      </w:r>
      <w:r>
        <w:rPr>
          <w:rFonts w:hint="eastAsia" w:ascii="宋体" w:hAnsi="宋体"/>
          <w:b/>
          <w:sz w:val="24"/>
          <w:u w:val="single"/>
          <w:shd w:val="pct10" w:color="auto" w:fill="FFFFFF"/>
        </w:rPr>
        <w:t>件。商务技术文件、报价文件未分别密封的投标文件将为无效。</w:t>
      </w:r>
      <w:r>
        <w:rPr>
          <w:rFonts w:hint="eastAsia" w:ascii="宋体" w:hAnsi="宋体"/>
          <w:sz w:val="24"/>
        </w:rPr>
        <w:t>投标文件的包装封面上请注明投标人名称、投标人地址、投标文件名称（商务技术文件、报价文件）、投标项目名称、项目编号及“开标时启封”字样。</w:t>
      </w:r>
    </w:p>
    <w:p>
      <w:pPr>
        <w:snapToGrid w:val="0"/>
        <w:spacing w:line="400" w:lineRule="exact"/>
        <w:ind w:firstLine="480" w:firstLineChars="200"/>
        <w:jc w:val="left"/>
        <w:rPr>
          <w:rFonts w:ascii="宋体" w:hAnsi="宋体"/>
          <w:sz w:val="24"/>
        </w:rPr>
      </w:pPr>
      <w:r>
        <w:rPr>
          <w:rFonts w:hint="eastAsia" w:ascii="宋体" w:hAnsi="宋体"/>
          <w:sz w:val="24"/>
        </w:rPr>
        <w:t>2.未按规定密封</w:t>
      </w:r>
      <w:r>
        <w:rPr>
          <w:rFonts w:hint="eastAsia" w:ascii="宋体" w:hAnsi="宋体"/>
          <w:b/>
          <w:sz w:val="24"/>
        </w:rPr>
        <w:t>（投标文件外包装、封口等处已作粘贴、胶封、胶粘等密封处理，不会造成开标前递交的投标文件破损而散失或被提前开启而使内容被篡改、泄露，同时密封处作一定的签署公章即为符合密封要求）</w:t>
      </w:r>
      <w:r>
        <w:rPr>
          <w:rFonts w:hint="eastAsia" w:ascii="宋体" w:hAnsi="宋体"/>
          <w:sz w:val="24"/>
        </w:rPr>
        <w:t>或标记的投标文件将被拒绝，由此造成投标文件被误投或提前拆封的风险由投标人自己承担。</w:t>
      </w:r>
    </w:p>
    <w:p>
      <w:pPr>
        <w:snapToGrid w:val="0"/>
        <w:spacing w:line="400" w:lineRule="exact"/>
        <w:ind w:firstLine="482" w:firstLineChars="200"/>
        <w:jc w:val="left"/>
        <w:rPr>
          <w:rFonts w:hint="eastAsia" w:ascii="宋体" w:hAnsi="宋体"/>
          <w:b/>
          <w:bCs/>
          <w:color w:val="FF0000"/>
          <w:sz w:val="24"/>
          <w:u w:val="single"/>
        </w:rPr>
      </w:pPr>
      <w:r>
        <w:rPr>
          <w:rFonts w:hint="eastAsia" w:ascii="宋体" w:hAnsi="宋体"/>
          <w:b/>
          <w:sz w:val="24"/>
          <w:u w:val="single"/>
        </w:rPr>
        <w:t>相关原件在投标文件递交截止时间前递交，逾期将不予接收（原件放置在档案袋中，可不用密封）</w:t>
      </w:r>
      <w:r>
        <w:rPr>
          <w:rFonts w:hint="eastAsia" w:ascii="宋体" w:hAnsi="宋体"/>
          <w:sz w:val="24"/>
          <w:u w:val="single"/>
        </w:rPr>
        <w:t>。</w:t>
      </w:r>
      <w:r>
        <w:rPr>
          <w:rFonts w:hint="eastAsia" w:ascii="宋体" w:hAnsi="宋体"/>
          <w:b/>
          <w:bCs/>
          <w:sz w:val="24"/>
          <w:u w:val="single"/>
        </w:rPr>
        <w:t>原件仅作为核查复印件真实性之用，如仅提供了原件，投标文件中未提供复印件，不予认定投标文件中具备该份资料。</w:t>
      </w:r>
    </w:p>
    <w:p>
      <w:pPr>
        <w:snapToGrid w:val="0"/>
        <w:spacing w:line="400" w:lineRule="exact"/>
        <w:ind w:firstLine="420"/>
        <w:jc w:val="left"/>
        <w:rPr>
          <w:rFonts w:ascii="宋体" w:hAnsi="宋体"/>
          <w:color w:val="auto"/>
          <w:sz w:val="24"/>
        </w:rPr>
      </w:pPr>
      <w:r>
        <w:rPr>
          <w:rFonts w:hint="eastAsia" w:ascii="宋体" w:hAnsi="宋体"/>
          <w:color w:val="000000"/>
          <w:sz w:val="24"/>
        </w:rPr>
        <w:t>3.投标人在投标截止时间之前，可以对已提交的</w:t>
      </w:r>
      <w:r>
        <w:rPr>
          <w:rFonts w:hint="eastAsia"/>
          <w:color w:val="auto"/>
          <w:sz w:val="24"/>
        </w:rPr>
        <w:t>纸质备份</w:t>
      </w:r>
      <w:r>
        <w:rPr>
          <w:rFonts w:hint="eastAsia" w:ascii="宋体" w:hAnsi="宋体"/>
          <w:color w:val="auto"/>
          <w:sz w:val="24"/>
        </w:rPr>
        <w:t>投标文件进行修改或撤回，</w:t>
      </w:r>
      <w:r>
        <w:rPr>
          <w:rFonts w:hint="eastAsia" w:ascii="宋体" w:hAnsi="宋体"/>
          <w:b/>
          <w:color w:val="auto"/>
          <w:sz w:val="24"/>
        </w:rPr>
        <w:t>但应以书面形式通知招标人，书面形式应加盖投标人公章或由法定代表人（或委托人）签署或盖章。</w:t>
      </w:r>
      <w:r>
        <w:rPr>
          <w:rFonts w:hint="eastAsia" w:ascii="宋体" w:hAnsi="宋体"/>
          <w:color w:val="auto"/>
          <w:sz w:val="24"/>
        </w:rPr>
        <w:t>投标截止时间后，投标人不得撤回、修改投标文件。修改后重新递交的投标文件应当按本招标文件的要求签署、盖章和密封。</w:t>
      </w:r>
    </w:p>
    <w:p>
      <w:pPr>
        <w:autoSpaceDE w:val="0"/>
        <w:autoSpaceDN w:val="0"/>
        <w:adjustRightInd w:val="0"/>
        <w:spacing w:line="400" w:lineRule="exact"/>
        <w:ind w:firstLine="361" w:firstLineChars="150"/>
        <w:rPr>
          <w:rFonts w:hint="eastAsia" w:ascii="宋体" w:hAnsi="宋体"/>
          <w:b/>
          <w:color w:val="auto"/>
          <w:sz w:val="24"/>
        </w:rPr>
      </w:pPr>
      <w:r>
        <w:rPr>
          <w:rFonts w:hint="eastAsia" w:ascii="宋体" w:hAnsi="宋体"/>
          <w:b/>
          <w:color w:val="auto"/>
          <w:sz w:val="24"/>
        </w:rPr>
        <w:t>4.发生下列情况之一的投标文件将不予受理：</w:t>
      </w:r>
    </w:p>
    <w:p>
      <w:pPr>
        <w:spacing w:line="400" w:lineRule="exact"/>
        <w:ind w:firstLine="240" w:firstLineChars="100"/>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）以电讯、邮寄形式提交的；</w:t>
      </w:r>
    </w:p>
    <w:p>
      <w:pPr>
        <w:spacing w:line="400" w:lineRule="exact"/>
        <w:ind w:firstLine="240" w:firstLineChars="100"/>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）逾期送达的或者未送达指定地点的。</w:t>
      </w:r>
    </w:p>
    <w:p>
      <w:pPr>
        <w:spacing w:line="400" w:lineRule="exact"/>
        <w:ind w:firstLine="240" w:firstLineChars="100"/>
        <w:rPr>
          <w:rFonts w:hint="eastAsia"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）投标截止时间前未完成传输电子投标文件的。</w:t>
      </w:r>
    </w:p>
    <w:p>
      <w:pPr>
        <w:snapToGrid w:val="0"/>
        <w:spacing w:before="120" w:beforeLines="50" w:line="400" w:lineRule="exact"/>
        <w:ind w:firstLine="472" w:firstLineChars="196"/>
        <w:rPr>
          <w:rFonts w:ascii="宋体" w:hAnsi="宋体"/>
          <w:b/>
          <w:color w:val="auto"/>
          <w:sz w:val="24"/>
        </w:rPr>
      </w:pPr>
      <w:r>
        <w:rPr>
          <w:rFonts w:hint="eastAsia" w:ascii="宋体" w:hAnsi="宋体"/>
          <w:b/>
          <w:color w:val="auto"/>
          <w:sz w:val="24"/>
        </w:rPr>
        <w:t>（八）投标无效的情形</w:t>
      </w:r>
    </w:p>
    <w:p>
      <w:pPr>
        <w:snapToGrid w:val="0"/>
        <w:spacing w:line="400" w:lineRule="exact"/>
        <w:ind w:firstLine="480" w:firstLineChars="200"/>
        <w:rPr>
          <w:rFonts w:ascii="宋体" w:hAnsi="宋体"/>
          <w:bCs/>
          <w:color w:val="auto"/>
          <w:sz w:val="24"/>
        </w:rPr>
      </w:pPr>
      <w:r>
        <w:rPr>
          <w:rFonts w:hint="eastAsia" w:ascii="宋体" w:hAnsi="宋体"/>
          <w:bCs/>
          <w:color w:val="auto"/>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57" w:firstLineChars="196"/>
        <w:rPr>
          <w:rFonts w:ascii="宋体" w:hAnsi="宋体"/>
          <w:b/>
          <w:bCs/>
          <w:color w:val="auto"/>
          <w:spacing w:val="-4"/>
          <w:sz w:val="24"/>
        </w:rPr>
      </w:pPr>
      <w:r>
        <w:rPr>
          <w:rFonts w:hint="eastAsia" w:ascii="宋体" w:hAnsi="宋体"/>
          <w:b/>
          <w:bCs/>
          <w:color w:val="auto"/>
          <w:spacing w:val="-4"/>
          <w:sz w:val="24"/>
        </w:rPr>
        <w:t>1.</w:t>
      </w:r>
      <w:bookmarkStart w:id="21" w:name="_Hlk534294335"/>
      <w:r>
        <w:rPr>
          <w:rFonts w:hint="eastAsia" w:ascii="宋体" w:hAnsi="宋体"/>
          <w:b/>
          <w:bCs/>
          <w:color w:val="auto"/>
          <w:spacing w:val="-4"/>
          <w:sz w:val="24"/>
        </w:rPr>
        <w:t>在符合性审查和商务技术评审时，如发现下列情形之一的，投标文件将被视为无效：</w:t>
      </w:r>
    </w:p>
    <w:bookmarkEnd w:id="21"/>
    <w:p>
      <w:pPr>
        <w:snapToGrid w:val="0"/>
        <w:spacing w:line="400" w:lineRule="exact"/>
        <w:ind w:firstLine="470" w:firstLineChars="196"/>
        <w:rPr>
          <w:rFonts w:ascii="宋体" w:hAnsi="宋体"/>
          <w:color w:val="auto"/>
          <w:sz w:val="24"/>
        </w:rPr>
      </w:pPr>
      <w:r>
        <w:rPr>
          <w:rFonts w:hint="eastAsia" w:ascii="宋体" w:hAnsi="宋体"/>
          <w:color w:val="auto"/>
          <w:sz w:val="24"/>
        </w:rPr>
        <w:t>（1）资格证明文件不全的，或者不符合招标文件标明的资格要求的；</w:t>
      </w:r>
    </w:p>
    <w:p>
      <w:pPr>
        <w:snapToGrid w:val="0"/>
        <w:spacing w:line="400" w:lineRule="exact"/>
        <w:ind w:firstLine="470" w:firstLineChars="196"/>
        <w:rPr>
          <w:rFonts w:ascii="宋体" w:hAnsi="宋体"/>
          <w:bCs/>
          <w:color w:val="auto"/>
          <w:kern w:val="0"/>
          <w:sz w:val="24"/>
        </w:rPr>
      </w:pPr>
      <w:r>
        <w:rPr>
          <w:rFonts w:hint="eastAsia" w:ascii="宋体" w:hAnsi="宋体"/>
          <w:color w:val="auto"/>
          <w:sz w:val="24"/>
        </w:rPr>
        <w:t>（2）</w:t>
      </w:r>
      <w:r>
        <w:rPr>
          <w:rFonts w:hint="eastAsia" w:ascii="宋体" w:hAnsi="宋体"/>
          <w:bCs/>
          <w:color w:val="auto"/>
          <w:sz w:val="24"/>
        </w:rPr>
        <w:t>电子投标文件及</w:t>
      </w:r>
      <w:r>
        <w:rPr>
          <w:rFonts w:hint="eastAsia"/>
          <w:color w:val="auto"/>
          <w:sz w:val="24"/>
        </w:rPr>
        <w:t>纸质备份</w:t>
      </w:r>
      <w:r>
        <w:rPr>
          <w:rFonts w:hint="eastAsia" w:ascii="宋体" w:hAnsi="宋体"/>
          <w:bCs/>
          <w:color w:val="auto"/>
          <w:kern w:val="0"/>
          <w:sz w:val="24"/>
        </w:rPr>
        <w:t>投标文件</w:t>
      </w:r>
      <w:r>
        <w:rPr>
          <w:rFonts w:hint="eastAsia" w:ascii="宋体" w:hAnsi="宋体"/>
          <w:b/>
          <w:bCs/>
          <w:color w:val="auto"/>
          <w:kern w:val="0"/>
          <w:sz w:val="24"/>
        </w:rPr>
        <w:t>在指定页面</w:t>
      </w:r>
      <w:r>
        <w:rPr>
          <w:rFonts w:hint="eastAsia" w:ascii="宋体" w:hAnsi="宋体"/>
          <w:bCs/>
          <w:color w:val="auto"/>
          <w:kern w:val="0"/>
          <w:sz w:val="24"/>
        </w:rPr>
        <w:t>无法定代表人盖章或签字、</w:t>
      </w:r>
      <w:r>
        <w:rPr>
          <w:rFonts w:hint="eastAsia" w:ascii="宋体" w:hAnsi="宋体"/>
          <w:b/>
          <w:bCs/>
          <w:color w:val="auto"/>
          <w:kern w:val="0"/>
          <w:sz w:val="24"/>
        </w:rPr>
        <w:t>未在指定页面盖公章、在指定页面无被授权人签字、投标文件份数少于招标文件要求、未提供法定代表人授权委托书、未提供投标函或者投标函格式不符合招标文件要求或填写项目不齐全的；</w:t>
      </w:r>
    </w:p>
    <w:p>
      <w:pPr>
        <w:snapToGrid w:val="0"/>
        <w:spacing w:line="400" w:lineRule="exact"/>
        <w:ind w:firstLine="470" w:firstLineChars="196"/>
        <w:rPr>
          <w:rFonts w:ascii="宋体" w:hAnsi="宋体"/>
          <w:color w:val="auto"/>
          <w:sz w:val="24"/>
        </w:rPr>
      </w:pPr>
      <w:r>
        <w:rPr>
          <w:rFonts w:hint="eastAsia" w:ascii="宋体" w:hAnsi="宋体"/>
          <w:color w:val="auto"/>
          <w:sz w:val="24"/>
        </w:rPr>
        <w:t>（3）投标代表人未能出具身份证明或与法定代表人授权委托人身份不符的；</w:t>
      </w:r>
    </w:p>
    <w:p>
      <w:pPr>
        <w:pStyle w:val="21"/>
        <w:snapToGrid w:val="0"/>
        <w:spacing w:line="400" w:lineRule="exact"/>
        <w:ind w:firstLine="454" w:firstLineChars="196"/>
        <w:rPr>
          <w:rFonts w:hAnsi="宋体"/>
          <w:snapToGrid w:val="0"/>
          <w:color w:val="auto"/>
          <w:sz w:val="24"/>
          <w:szCs w:val="24"/>
        </w:rPr>
      </w:pPr>
      <w:r>
        <w:rPr>
          <w:rFonts w:hint="eastAsia" w:hAnsi="宋体"/>
          <w:color w:val="auto"/>
          <w:sz w:val="24"/>
          <w:szCs w:val="24"/>
        </w:rPr>
        <w:t>（</w:t>
      </w:r>
      <w:r>
        <w:rPr>
          <w:rFonts w:hint="eastAsia" w:hAnsi="宋体"/>
          <w:snapToGrid w:val="0"/>
          <w:color w:val="auto"/>
          <w:sz w:val="24"/>
          <w:szCs w:val="24"/>
        </w:rPr>
        <w:t>4）</w:t>
      </w:r>
      <w:r>
        <w:rPr>
          <w:rFonts w:hint="eastAsia" w:hAnsi="宋体"/>
          <w:color w:val="auto"/>
          <w:sz w:val="24"/>
          <w:szCs w:val="24"/>
        </w:rPr>
        <w:t>投标文件格式不规范、项目不齐全或者内容虚假的；</w:t>
      </w:r>
    </w:p>
    <w:p>
      <w:pPr>
        <w:pStyle w:val="21"/>
        <w:snapToGrid w:val="0"/>
        <w:spacing w:line="400" w:lineRule="exact"/>
        <w:ind w:firstLine="454" w:firstLineChars="196"/>
        <w:rPr>
          <w:rFonts w:hAnsi="宋体"/>
          <w:snapToGrid w:val="0"/>
          <w:color w:val="auto"/>
          <w:sz w:val="24"/>
          <w:szCs w:val="24"/>
        </w:rPr>
      </w:pPr>
      <w:r>
        <w:rPr>
          <w:rFonts w:hint="eastAsia" w:hAnsi="宋体"/>
          <w:color w:val="auto"/>
          <w:sz w:val="24"/>
          <w:szCs w:val="24"/>
        </w:rPr>
        <w:t>（5）投标文件的实质性内容未使用中文表述、意思表述不明确、前后矛盾（经评标委员会认定并允许其当场更正的笔误除外）；</w:t>
      </w:r>
    </w:p>
    <w:p>
      <w:pPr>
        <w:pStyle w:val="21"/>
        <w:snapToGrid w:val="0"/>
        <w:spacing w:before="120" w:after="120" w:line="400" w:lineRule="exact"/>
        <w:ind w:firstLine="464" w:firstLineChars="200"/>
        <w:rPr>
          <w:rFonts w:hAnsi="宋体"/>
          <w:snapToGrid w:val="0"/>
          <w:color w:val="auto"/>
          <w:sz w:val="24"/>
          <w:szCs w:val="24"/>
        </w:rPr>
      </w:pPr>
      <w:r>
        <w:rPr>
          <w:rFonts w:hint="eastAsia" w:hAnsi="宋体"/>
          <w:color w:val="auto"/>
          <w:sz w:val="24"/>
          <w:szCs w:val="24"/>
        </w:rPr>
        <w:t>（</w:t>
      </w:r>
      <w:r>
        <w:rPr>
          <w:rFonts w:hint="eastAsia" w:hAnsi="宋体"/>
          <w:snapToGrid w:val="0"/>
          <w:color w:val="auto"/>
          <w:sz w:val="24"/>
          <w:szCs w:val="24"/>
        </w:rPr>
        <w:t>6）投标有效期、工期（供货期、交货时间、服务期）、保修期（质保期）、付款方式等商务条款不能满足招标文件要求或缺失的；</w:t>
      </w:r>
    </w:p>
    <w:p>
      <w:pPr>
        <w:pStyle w:val="21"/>
        <w:snapToGrid w:val="0"/>
        <w:spacing w:line="400" w:lineRule="exact"/>
        <w:ind w:firstLine="454" w:firstLineChars="196"/>
        <w:rPr>
          <w:rFonts w:hAnsi="宋体"/>
          <w:color w:val="auto"/>
          <w:sz w:val="24"/>
          <w:szCs w:val="24"/>
        </w:rPr>
      </w:pPr>
      <w:r>
        <w:rPr>
          <w:rFonts w:hint="eastAsia" w:hAnsi="宋体"/>
          <w:color w:val="auto"/>
          <w:sz w:val="24"/>
          <w:szCs w:val="24"/>
        </w:rPr>
        <w:t>（7）未实质性响应招标文件要求或者投标文件有招标方不能接受的附加条件的；</w:t>
      </w:r>
    </w:p>
    <w:p>
      <w:pPr>
        <w:pStyle w:val="21"/>
        <w:snapToGrid w:val="0"/>
        <w:spacing w:line="400" w:lineRule="exact"/>
        <w:ind w:firstLine="454" w:firstLineChars="196"/>
        <w:rPr>
          <w:rFonts w:hAnsi="宋体"/>
          <w:color w:val="auto"/>
          <w:sz w:val="24"/>
          <w:szCs w:val="24"/>
        </w:rPr>
      </w:pPr>
      <w:r>
        <w:rPr>
          <w:rFonts w:hint="eastAsia" w:hAnsi="宋体"/>
          <w:color w:val="auto"/>
          <w:sz w:val="24"/>
          <w:szCs w:val="24"/>
        </w:rPr>
        <w:t>（8）未提供或未如实提供投标货物的技术参数，或者投标文件标明的响应或偏离与事实不符或虚假投标的；</w:t>
      </w:r>
    </w:p>
    <w:p>
      <w:pPr>
        <w:pStyle w:val="21"/>
        <w:snapToGrid w:val="0"/>
        <w:spacing w:line="400" w:lineRule="exact"/>
        <w:ind w:firstLine="464" w:firstLineChars="200"/>
        <w:rPr>
          <w:rFonts w:hAnsi="宋体"/>
          <w:color w:val="auto"/>
          <w:sz w:val="24"/>
          <w:szCs w:val="24"/>
        </w:rPr>
      </w:pPr>
      <w:r>
        <w:rPr>
          <w:rFonts w:hint="eastAsia" w:hAnsi="宋体"/>
          <w:color w:val="auto"/>
          <w:sz w:val="24"/>
          <w:szCs w:val="24"/>
        </w:rPr>
        <w:t>（9）商务技术文件中出现报价的；</w:t>
      </w:r>
    </w:p>
    <w:p>
      <w:pPr>
        <w:pStyle w:val="21"/>
        <w:snapToGrid w:val="0"/>
        <w:spacing w:line="400" w:lineRule="exact"/>
        <w:ind w:firstLine="454" w:firstLineChars="196"/>
        <w:rPr>
          <w:rFonts w:hAnsi="宋体"/>
          <w:color w:val="auto"/>
          <w:sz w:val="24"/>
          <w:szCs w:val="24"/>
        </w:rPr>
      </w:pPr>
      <w:r>
        <w:rPr>
          <w:rFonts w:hint="eastAsia" w:hAnsi="宋体"/>
          <w:color w:val="auto"/>
          <w:sz w:val="24"/>
          <w:szCs w:val="24"/>
        </w:rPr>
        <w:t>（10）</w:t>
      </w:r>
      <w:r>
        <w:rPr>
          <w:rFonts w:hint="eastAsia" w:hAnsi="宋体"/>
          <w:snapToGrid w:val="0"/>
          <w:color w:val="auto"/>
          <w:sz w:val="24"/>
          <w:szCs w:val="24"/>
        </w:rPr>
        <w:t>明显不符合招标文件要求的规格型号、质量标准，或者与</w:t>
      </w:r>
      <w:r>
        <w:rPr>
          <w:rFonts w:hint="eastAsia" w:hAnsi="宋体"/>
          <w:color w:val="auto"/>
          <w:sz w:val="24"/>
          <w:szCs w:val="24"/>
        </w:rPr>
        <w:t>招标文件中标“▲”的技术指标、主要功能项目发生实质性偏离的；</w:t>
      </w:r>
    </w:p>
    <w:p>
      <w:pPr>
        <w:pStyle w:val="21"/>
        <w:snapToGrid w:val="0"/>
        <w:spacing w:line="400" w:lineRule="exact"/>
        <w:ind w:firstLine="454" w:firstLineChars="196"/>
        <w:rPr>
          <w:rFonts w:hAnsi="宋体"/>
          <w:color w:val="auto"/>
          <w:sz w:val="24"/>
          <w:szCs w:val="24"/>
        </w:rPr>
      </w:pPr>
      <w:r>
        <w:rPr>
          <w:rFonts w:hint="eastAsia" w:hAnsi="宋体"/>
          <w:color w:val="auto"/>
          <w:sz w:val="24"/>
          <w:szCs w:val="24"/>
        </w:rPr>
        <w:t>（11）投标技术方案不明确，存在一个或一个以上备选（替代）投标方案的；</w:t>
      </w:r>
    </w:p>
    <w:p>
      <w:pPr>
        <w:pStyle w:val="21"/>
        <w:snapToGrid w:val="0"/>
        <w:spacing w:line="400" w:lineRule="exact"/>
        <w:ind w:firstLine="454" w:firstLineChars="196"/>
        <w:rPr>
          <w:rFonts w:hAnsi="宋体"/>
          <w:color w:val="auto"/>
          <w:sz w:val="24"/>
          <w:szCs w:val="24"/>
        </w:rPr>
      </w:pPr>
      <w:r>
        <w:rPr>
          <w:rFonts w:hint="eastAsia" w:hAnsi="宋体"/>
          <w:color w:val="auto"/>
          <w:sz w:val="24"/>
          <w:szCs w:val="24"/>
        </w:rPr>
        <w:t>（1</w:t>
      </w:r>
      <w:r>
        <w:rPr>
          <w:rFonts w:hAnsi="宋体"/>
          <w:color w:val="auto"/>
          <w:sz w:val="24"/>
          <w:szCs w:val="24"/>
        </w:rPr>
        <w:t>2</w:t>
      </w:r>
      <w:r>
        <w:rPr>
          <w:rFonts w:hint="eastAsia" w:hAnsi="宋体"/>
          <w:color w:val="auto"/>
          <w:sz w:val="24"/>
          <w:szCs w:val="24"/>
        </w:rPr>
        <w:t>）投标人的电子投标文件无法按时解密的。</w:t>
      </w:r>
    </w:p>
    <w:p>
      <w:pPr>
        <w:pStyle w:val="21"/>
        <w:snapToGrid w:val="0"/>
        <w:spacing w:line="400" w:lineRule="exact"/>
        <w:ind w:firstLine="454" w:firstLineChars="196"/>
        <w:rPr>
          <w:rFonts w:hint="eastAsia" w:hAnsi="宋体"/>
          <w:color w:val="auto"/>
          <w:sz w:val="24"/>
          <w:szCs w:val="24"/>
        </w:rPr>
      </w:pPr>
      <w:bookmarkStart w:id="22" w:name="_Hlk34643717"/>
      <w:r>
        <w:rPr>
          <w:rFonts w:hint="eastAsia" w:hAnsi="宋体"/>
          <w:color w:val="auto"/>
          <w:sz w:val="24"/>
          <w:szCs w:val="24"/>
        </w:rPr>
        <w:t>（1</w:t>
      </w:r>
      <w:r>
        <w:rPr>
          <w:rFonts w:hAnsi="宋体"/>
          <w:color w:val="auto"/>
          <w:sz w:val="24"/>
          <w:szCs w:val="24"/>
        </w:rPr>
        <w:t>3</w:t>
      </w:r>
      <w:r>
        <w:rPr>
          <w:rFonts w:hint="eastAsia" w:hAnsi="宋体"/>
          <w:color w:val="auto"/>
          <w:sz w:val="24"/>
          <w:szCs w:val="24"/>
        </w:rPr>
        <w:t>）不同投标人的投标文件,由同一台电脑编制。</w:t>
      </w:r>
    </w:p>
    <w:bookmarkEnd w:id="22"/>
    <w:p>
      <w:pPr>
        <w:pStyle w:val="21"/>
        <w:snapToGrid w:val="0"/>
        <w:spacing w:line="40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2.在报价评审时，如发现下列情形之一的，投标文件将被视为无效：</w:t>
      </w:r>
    </w:p>
    <w:p>
      <w:pPr>
        <w:pStyle w:val="21"/>
        <w:snapToGrid w:val="0"/>
        <w:spacing w:after="120" w:line="400" w:lineRule="exact"/>
        <w:ind w:firstLine="454" w:firstLineChars="196"/>
        <w:rPr>
          <w:rFonts w:hAnsi="宋体"/>
          <w:color w:val="auto"/>
          <w:sz w:val="24"/>
          <w:szCs w:val="24"/>
        </w:rPr>
      </w:pPr>
      <w:r>
        <w:rPr>
          <w:rFonts w:hint="eastAsia" w:hAnsi="宋体"/>
          <w:color w:val="auto"/>
          <w:sz w:val="24"/>
          <w:szCs w:val="24"/>
        </w:rPr>
        <w:t>（1）未采用人民币报价或者未按照招标文件标明的币种报价的；</w:t>
      </w:r>
    </w:p>
    <w:p>
      <w:pPr>
        <w:pStyle w:val="21"/>
        <w:snapToGrid w:val="0"/>
        <w:spacing w:after="120" w:line="400" w:lineRule="exact"/>
        <w:ind w:firstLine="454" w:firstLineChars="196"/>
        <w:rPr>
          <w:rFonts w:hint="eastAsia" w:hAnsi="宋体"/>
          <w:color w:val="auto"/>
          <w:spacing w:val="0"/>
          <w:sz w:val="24"/>
          <w:szCs w:val="24"/>
        </w:rPr>
      </w:pPr>
      <w:r>
        <w:rPr>
          <w:rFonts w:hint="eastAsia" w:hAnsi="宋体"/>
          <w:color w:val="auto"/>
          <w:sz w:val="24"/>
          <w:szCs w:val="24"/>
        </w:rPr>
        <w:t>（2）</w:t>
      </w:r>
      <w:r>
        <w:rPr>
          <w:rFonts w:hint="eastAsia" w:hAnsi="宋体"/>
          <w:color w:val="auto"/>
          <w:spacing w:val="0"/>
          <w:sz w:val="24"/>
          <w:szCs w:val="24"/>
        </w:rPr>
        <w:t>投标报价具有选择性，或者开标价格与投标文件承诺的优惠（折扣）价格不一致的；</w:t>
      </w:r>
    </w:p>
    <w:p>
      <w:pPr>
        <w:pStyle w:val="21"/>
        <w:snapToGrid w:val="0"/>
        <w:spacing w:after="120" w:line="400" w:lineRule="exact"/>
        <w:ind w:firstLine="457" w:firstLineChars="196"/>
        <w:rPr>
          <w:rFonts w:hAnsi="宋体"/>
          <w:b/>
          <w:color w:val="auto"/>
          <w:sz w:val="24"/>
          <w:szCs w:val="24"/>
        </w:rPr>
      </w:pPr>
      <w:r>
        <w:rPr>
          <w:rFonts w:hint="eastAsia" w:hAnsi="宋体"/>
          <w:b/>
          <w:color w:val="auto"/>
          <w:sz w:val="24"/>
          <w:szCs w:val="24"/>
        </w:rPr>
        <w:t>（3）报价超过招标文件中规定的预算金额或者最高限价的；</w:t>
      </w:r>
    </w:p>
    <w:p>
      <w:pPr>
        <w:pStyle w:val="21"/>
        <w:snapToGrid w:val="0"/>
        <w:spacing w:after="120" w:line="400" w:lineRule="exact"/>
        <w:ind w:firstLine="480" w:firstLineChars="200"/>
        <w:rPr>
          <w:rFonts w:hAnsi="宋体"/>
          <w:color w:val="auto"/>
          <w:spacing w:val="0"/>
          <w:sz w:val="24"/>
          <w:szCs w:val="24"/>
        </w:rPr>
      </w:pPr>
      <w:r>
        <w:rPr>
          <w:rFonts w:hint="eastAsia" w:hAnsi="宋体"/>
          <w:color w:val="auto"/>
          <w:spacing w:val="0"/>
          <w:sz w:val="24"/>
          <w:szCs w:val="24"/>
        </w:rPr>
        <w:t>（4）</w:t>
      </w:r>
      <w:r>
        <w:rPr>
          <w:rFonts w:hAnsi="宋体"/>
          <w:color w:val="auto"/>
          <w:sz w:val="24"/>
          <w:szCs w:val="24"/>
        </w:rPr>
        <w:t>二分之一以上的评审人员认为供应商报价明显高于市场平均价的</w:t>
      </w:r>
      <w:r>
        <w:rPr>
          <w:rFonts w:hint="eastAsia" w:hAnsi="宋体"/>
          <w:color w:val="auto"/>
          <w:sz w:val="24"/>
          <w:szCs w:val="24"/>
        </w:rPr>
        <w:t>。</w:t>
      </w:r>
    </w:p>
    <w:p>
      <w:pPr>
        <w:pStyle w:val="21"/>
        <w:snapToGrid w:val="0"/>
        <w:spacing w:line="400" w:lineRule="exact"/>
        <w:ind w:firstLine="457" w:firstLineChars="196"/>
        <w:rPr>
          <w:rFonts w:hAnsi="宋体"/>
          <w:b/>
          <w:color w:val="auto"/>
          <w:sz w:val="24"/>
          <w:szCs w:val="24"/>
        </w:rPr>
      </w:pPr>
      <w:r>
        <w:rPr>
          <w:rFonts w:hint="eastAsia" w:hAnsi="宋体"/>
          <w:b/>
          <w:color w:val="auto"/>
          <w:sz w:val="24"/>
          <w:szCs w:val="24"/>
        </w:rPr>
        <w:t>3.被拒绝的投标文件为无效。</w:t>
      </w:r>
    </w:p>
    <w:p>
      <w:pPr>
        <w:spacing w:line="400" w:lineRule="exact"/>
        <w:ind w:firstLine="354" w:firstLineChars="147"/>
        <w:rPr>
          <w:rFonts w:ascii="宋体" w:hAnsi="宋体"/>
          <w:b/>
          <w:color w:val="auto"/>
          <w:sz w:val="24"/>
          <w:u w:val="single"/>
        </w:rPr>
      </w:pPr>
      <w:r>
        <w:rPr>
          <w:rFonts w:hint="eastAsia" w:ascii="宋体" w:hAnsi="宋体"/>
          <w:b/>
          <w:color w:val="auto"/>
          <w:sz w:val="24"/>
        </w:rPr>
        <w:t>（九）在招标采购中，出现下列情形之一的，应予废标</w:t>
      </w:r>
    </w:p>
    <w:p>
      <w:pPr>
        <w:autoSpaceDE w:val="0"/>
        <w:autoSpaceDN w:val="0"/>
        <w:spacing w:line="400" w:lineRule="exact"/>
        <w:ind w:firstLine="480" w:firstLineChars="200"/>
        <w:textAlignment w:val="bottom"/>
        <w:rPr>
          <w:rFonts w:ascii="宋体" w:hAnsi="宋体"/>
          <w:color w:val="auto"/>
          <w:sz w:val="24"/>
        </w:rPr>
      </w:pPr>
      <w:r>
        <w:rPr>
          <w:rFonts w:hint="eastAsia" w:ascii="宋体" w:hAnsi="宋体"/>
          <w:color w:val="auto"/>
          <w:sz w:val="24"/>
        </w:rPr>
        <w:t>1、</w:t>
      </w:r>
      <w:r>
        <w:rPr>
          <w:rFonts w:ascii="宋体" w:hAnsi="宋体"/>
          <w:color w:val="auto"/>
          <w:sz w:val="24"/>
        </w:rPr>
        <w:t>出现影响采购公正的违法、违规</w:t>
      </w:r>
      <w:r>
        <w:rPr>
          <w:rFonts w:hint="eastAsia" w:ascii="宋体" w:hAnsi="宋体"/>
          <w:color w:val="auto"/>
          <w:sz w:val="24"/>
        </w:rPr>
        <w:t>行为</w:t>
      </w:r>
      <w:r>
        <w:rPr>
          <w:rFonts w:ascii="宋体" w:hAnsi="宋体"/>
          <w:color w:val="auto"/>
          <w:sz w:val="24"/>
        </w:rPr>
        <w:t>的；</w:t>
      </w:r>
    </w:p>
    <w:p>
      <w:pPr>
        <w:autoSpaceDE w:val="0"/>
        <w:autoSpaceDN w:val="0"/>
        <w:spacing w:line="400" w:lineRule="exact"/>
        <w:ind w:firstLine="480" w:firstLineChars="200"/>
        <w:textAlignment w:val="bottom"/>
        <w:rPr>
          <w:rFonts w:ascii="宋体" w:hAnsi="宋体"/>
          <w:color w:val="auto"/>
          <w:sz w:val="24"/>
        </w:rPr>
      </w:pPr>
      <w:r>
        <w:rPr>
          <w:rFonts w:hint="eastAsia" w:ascii="宋体" w:hAnsi="宋体"/>
          <w:color w:val="auto"/>
          <w:sz w:val="24"/>
        </w:rPr>
        <w:t>2、</w:t>
      </w:r>
      <w:r>
        <w:rPr>
          <w:rFonts w:ascii="宋体" w:hAnsi="宋体"/>
          <w:color w:val="auto"/>
          <w:sz w:val="24"/>
        </w:rPr>
        <w:t>因重大变故，采购任务取消的；</w:t>
      </w:r>
    </w:p>
    <w:p>
      <w:pPr>
        <w:autoSpaceDE w:val="0"/>
        <w:autoSpaceDN w:val="0"/>
        <w:spacing w:line="400" w:lineRule="exact"/>
        <w:ind w:firstLine="480" w:firstLineChars="200"/>
        <w:textAlignment w:val="bottom"/>
        <w:rPr>
          <w:rFonts w:ascii="宋体" w:hAnsi="宋体"/>
          <w:color w:val="auto"/>
          <w:sz w:val="24"/>
        </w:rPr>
      </w:pPr>
      <w:r>
        <w:rPr>
          <w:rFonts w:hint="eastAsia" w:ascii="宋体" w:hAnsi="宋体"/>
          <w:color w:val="auto"/>
          <w:sz w:val="24"/>
        </w:rPr>
        <w:t>3、投标人的报价均超过了采购预算价，采购单位不能支付的。</w:t>
      </w:r>
    </w:p>
    <w:p>
      <w:pPr>
        <w:pStyle w:val="21"/>
        <w:snapToGrid w:val="0"/>
        <w:spacing w:before="100" w:beforeAutospacing="1" w:after="100" w:afterAutospacing="1" w:line="400" w:lineRule="exact"/>
        <w:ind w:firstLine="256" w:firstLineChars="110"/>
        <w:rPr>
          <w:rFonts w:hAnsi="宋体"/>
          <w:b/>
          <w:snapToGrid w:val="0"/>
          <w:color w:val="auto"/>
          <w:sz w:val="24"/>
          <w:szCs w:val="24"/>
        </w:rPr>
      </w:pPr>
      <w:r>
        <w:rPr>
          <w:rFonts w:hint="eastAsia" w:hAnsi="宋体"/>
          <w:b/>
          <w:color w:val="auto"/>
          <w:sz w:val="24"/>
          <w:szCs w:val="24"/>
        </w:rPr>
        <w:t>四、开标</w:t>
      </w:r>
    </w:p>
    <w:p>
      <w:pPr>
        <w:pStyle w:val="27"/>
        <w:snapToGrid w:val="0"/>
        <w:spacing w:beforeLines="0" w:afterLines="0"/>
        <w:rPr>
          <w:rFonts w:hAnsi="宋体"/>
          <w:b/>
          <w:color w:val="auto"/>
        </w:rPr>
      </w:pPr>
      <w:r>
        <w:rPr>
          <w:rFonts w:hint="eastAsia" w:hAnsi="宋体"/>
          <w:b/>
          <w:color w:val="auto"/>
        </w:rPr>
        <w:t>（一）开标准备</w:t>
      </w:r>
    </w:p>
    <w:p>
      <w:pPr>
        <w:pStyle w:val="27"/>
        <w:snapToGrid w:val="0"/>
        <w:spacing w:beforeLines="0" w:afterLines="0"/>
        <w:ind w:firstLine="470" w:firstLineChars="196"/>
        <w:rPr>
          <w:rFonts w:hAnsi="宋体"/>
          <w:bCs/>
          <w:color w:val="auto"/>
        </w:rPr>
      </w:pPr>
      <w:r>
        <w:rPr>
          <w:rFonts w:hint="eastAsia" w:hAnsi="宋体"/>
          <w:bCs/>
          <w:color w:val="auto"/>
        </w:rPr>
        <w:t xml:space="preserve">招标人将在规定的时间和地点进行开标，投标人的法定代表人或其授权代表携带身份证明、授权委托书等参加开标会并签到。投标人的法定代表人或其授权代表未按时签到的，视同放弃开标监督权利、认可开标结果，事后不得对开标过程和开标结果提出异议。 </w:t>
      </w:r>
    </w:p>
    <w:p>
      <w:pPr>
        <w:pStyle w:val="27"/>
        <w:snapToGrid w:val="0"/>
        <w:spacing w:beforeLines="0" w:afterLines="0"/>
        <w:ind w:firstLine="480" w:firstLineChars="200"/>
        <w:rPr>
          <w:rFonts w:hint="eastAsia" w:hAnsi="宋体"/>
          <w:bCs/>
          <w:color w:val="auto"/>
        </w:rPr>
      </w:pPr>
      <w:r>
        <w:rPr>
          <w:rFonts w:hint="eastAsia" w:hAnsi="宋体"/>
          <w:bCs/>
          <w:color w:val="auto"/>
        </w:rPr>
        <w:t>采购过程中出现以下情形，导致电子交易平台无法正常运行，或者无法保证电子交易的公平、公正和安全时，采购组织机构可中止电子交易活动：</w:t>
      </w:r>
    </w:p>
    <w:p>
      <w:pPr>
        <w:pStyle w:val="27"/>
        <w:snapToGrid w:val="0"/>
        <w:spacing w:beforeLines="0" w:afterLines="0"/>
        <w:ind w:firstLine="470" w:firstLineChars="196"/>
        <w:rPr>
          <w:rFonts w:hint="eastAsia" w:hAnsi="宋体"/>
          <w:bCs/>
          <w:color w:val="auto"/>
        </w:rPr>
      </w:pPr>
      <w:r>
        <w:rPr>
          <w:rFonts w:hint="eastAsia" w:hAnsi="宋体"/>
          <w:bCs/>
          <w:color w:val="auto"/>
        </w:rPr>
        <w:t xml:space="preserve">（1）电子交易平台发生故障而无法登录访问的； </w:t>
      </w:r>
    </w:p>
    <w:p>
      <w:pPr>
        <w:pStyle w:val="27"/>
        <w:snapToGrid w:val="0"/>
        <w:spacing w:beforeLines="0" w:afterLines="0"/>
        <w:ind w:firstLine="470" w:firstLineChars="196"/>
        <w:rPr>
          <w:rFonts w:hint="eastAsia" w:hAnsi="宋体"/>
          <w:bCs/>
          <w:color w:val="auto"/>
        </w:rPr>
      </w:pPr>
      <w:r>
        <w:rPr>
          <w:rFonts w:hint="eastAsia" w:hAnsi="宋体"/>
          <w:bCs/>
          <w:color w:val="auto"/>
        </w:rPr>
        <w:t>（2）电子交易平台应用或数据库出现错误，不能进行正常操作的；</w:t>
      </w:r>
    </w:p>
    <w:p>
      <w:pPr>
        <w:pStyle w:val="27"/>
        <w:snapToGrid w:val="0"/>
        <w:spacing w:beforeLines="0" w:afterLines="0"/>
        <w:ind w:firstLine="470" w:firstLineChars="196"/>
        <w:rPr>
          <w:rFonts w:hint="eastAsia" w:hAnsi="宋体"/>
          <w:bCs/>
          <w:color w:val="auto"/>
        </w:rPr>
      </w:pPr>
      <w:r>
        <w:rPr>
          <w:rFonts w:hint="eastAsia" w:hAnsi="宋体"/>
          <w:bCs/>
          <w:color w:val="auto"/>
        </w:rPr>
        <w:t>（3）电子交易平台发现严重安全漏洞，有潜在泄密危险的；</w:t>
      </w:r>
    </w:p>
    <w:p>
      <w:pPr>
        <w:pStyle w:val="27"/>
        <w:snapToGrid w:val="0"/>
        <w:spacing w:beforeLines="0" w:afterLines="0"/>
        <w:ind w:firstLine="470" w:firstLineChars="196"/>
        <w:rPr>
          <w:rFonts w:hint="eastAsia" w:hAnsi="宋体"/>
          <w:bCs/>
          <w:color w:val="auto"/>
        </w:rPr>
      </w:pPr>
      <w:r>
        <w:rPr>
          <w:rFonts w:hint="eastAsia" w:hAnsi="宋体"/>
          <w:bCs/>
          <w:color w:val="auto"/>
        </w:rPr>
        <w:t xml:space="preserve">（4）病毒发作导致不能进行正常操作的； </w:t>
      </w:r>
    </w:p>
    <w:p>
      <w:pPr>
        <w:pStyle w:val="27"/>
        <w:snapToGrid w:val="0"/>
        <w:spacing w:beforeLines="0" w:afterLines="0"/>
        <w:ind w:firstLine="470" w:firstLineChars="196"/>
        <w:rPr>
          <w:rFonts w:hint="eastAsia" w:hAnsi="宋体"/>
          <w:bCs/>
          <w:color w:val="auto"/>
        </w:rPr>
      </w:pPr>
      <w:r>
        <w:rPr>
          <w:rFonts w:hint="eastAsia" w:hAnsi="宋体"/>
          <w:bCs/>
          <w:color w:val="auto"/>
        </w:rPr>
        <w:t>（5）其他无法保证电子交易的公平、公正和安全的情况。</w:t>
      </w:r>
    </w:p>
    <w:p>
      <w:pPr>
        <w:pStyle w:val="27"/>
        <w:snapToGrid w:val="0"/>
        <w:spacing w:beforeLines="0" w:afterLines="0"/>
        <w:ind w:firstLine="470" w:firstLineChars="196"/>
        <w:rPr>
          <w:rFonts w:hAnsi="宋体"/>
          <w:bCs/>
          <w:color w:val="auto"/>
        </w:rPr>
      </w:pPr>
      <w:r>
        <w:rPr>
          <w:rFonts w:hint="eastAsia" w:hAnsi="宋体"/>
          <w:bCs/>
          <w:color w:val="auto"/>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27"/>
        <w:snapToGrid w:val="0"/>
        <w:spacing w:beforeLines="0" w:afterLines="0"/>
        <w:ind w:firstLine="472" w:firstLineChars="196"/>
        <w:rPr>
          <w:rFonts w:hAnsi="宋体"/>
          <w:bCs/>
          <w:color w:val="auto"/>
        </w:rPr>
      </w:pPr>
      <w:r>
        <w:rPr>
          <w:rFonts w:hint="eastAsia" w:hAnsi="宋体"/>
          <w:b/>
          <w:color w:val="auto"/>
        </w:rPr>
        <w:t xml:space="preserve">（二）开标程序    </w:t>
      </w:r>
    </w:p>
    <w:p>
      <w:pPr>
        <w:pStyle w:val="27"/>
        <w:snapToGrid w:val="0"/>
        <w:spacing w:beforeLines="0" w:afterLines="0"/>
        <w:ind w:firstLine="480" w:firstLineChars="200"/>
        <w:rPr>
          <w:rFonts w:hAnsi="宋体"/>
          <w:color w:val="auto"/>
        </w:rPr>
      </w:pPr>
      <w:r>
        <w:rPr>
          <w:rFonts w:hint="eastAsia" w:hAnsi="宋体"/>
          <w:color w:val="auto"/>
        </w:rPr>
        <w:t>1.开标会由招标人主持；</w:t>
      </w:r>
    </w:p>
    <w:p>
      <w:pPr>
        <w:pStyle w:val="27"/>
        <w:snapToGrid w:val="0"/>
        <w:spacing w:beforeLines="0" w:afterLines="0"/>
        <w:ind w:firstLine="480" w:firstLineChars="200"/>
        <w:rPr>
          <w:rFonts w:hAnsi="宋体"/>
          <w:color w:val="auto"/>
        </w:rPr>
      </w:pPr>
      <w:r>
        <w:rPr>
          <w:rFonts w:hint="eastAsia" w:hAnsi="宋体"/>
          <w:color w:val="auto"/>
        </w:rPr>
        <w:t>2.主持人介绍参加开标会的人员名单，告知应当回避的情形,提请有关人员回避；对投标人进行签到验证。</w:t>
      </w:r>
    </w:p>
    <w:p>
      <w:pPr>
        <w:pStyle w:val="27"/>
        <w:snapToGrid w:val="0"/>
        <w:spacing w:beforeLines="0" w:afterLines="0"/>
        <w:ind w:firstLine="480" w:firstLineChars="200"/>
        <w:rPr>
          <w:rFonts w:hAnsi="宋体"/>
          <w:color w:val="auto"/>
          <w:u w:val="single"/>
        </w:rPr>
      </w:pPr>
      <w:r>
        <w:rPr>
          <w:rFonts w:hAnsi="宋体"/>
          <w:color w:val="auto"/>
        </w:rPr>
        <w:t>3</w:t>
      </w:r>
      <w:r>
        <w:rPr>
          <w:rFonts w:hint="eastAsia" w:hAnsi="宋体"/>
          <w:color w:val="auto"/>
        </w:rPr>
        <w:t>.向各投标人发出电子加密投标文件【开始解密】通知，由投标人按招标文件规定的时间内自行进行投标文件解密。</w:t>
      </w:r>
      <w:r>
        <w:rPr>
          <w:rFonts w:hint="eastAsia" w:hAnsi="宋体"/>
          <w:color w:val="auto"/>
          <w:u w:val="single"/>
        </w:rPr>
        <w:t>投标文件的制作和解密应使用同一个数字证书，否则将可能解密失败。</w:t>
      </w:r>
    </w:p>
    <w:p>
      <w:pPr>
        <w:pStyle w:val="27"/>
        <w:snapToGrid w:val="0"/>
        <w:spacing w:beforeLines="0" w:afterLines="0"/>
        <w:ind w:firstLine="480" w:firstLineChars="200"/>
        <w:rPr>
          <w:rFonts w:hAnsi="宋体"/>
          <w:color w:val="auto"/>
        </w:rPr>
      </w:pPr>
      <w:r>
        <w:rPr>
          <w:rFonts w:hint="eastAsia" w:hAnsi="宋体"/>
          <w:color w:val="auto"/>
        </w:rPr>
        <w:t>4.采购组织机构点击【开启标书信息】，开启标书成功后进入开标流程。</w:t>
      </w:r>
    </w:p>
    <w:p>
      <w:pPr>
        <w:pStyle w:val="27"/>
        <w:snapToGrid w:val="0"/>
        <w:spacing w:beforeLines="0" w:afterLines="0"/>
        <w:ind w:firstLine="480" w:firstLineChars="200"/>
        <w:rPr>
          <w:rFonts w:hAnsi="宋体"/>
          <w:color w:val="auto"/>
        </w:rPr>
      </w:pPr>
      <w:r>
        <w:rPr>
          <w:rFonts w:hAnsi="宋体"/>
          <w:color w:val="auto"/>
        </w:rPr>
        <w:t>5</w:t>
      </w:r>
      <w:r>
        <w:rPr>
          <w:rFonts w:hint="eastAsia" w:hAnsi="宋体"/>
          <w:color w:val="auto"/>
        </w:rPr>
        <w:t>.商务技术文件评审；</w:t>
      </w:r>
    </w:p>
    <w:p>
      <w:pPr>
        <w:pStyle w:val="27"/>
        <w:snapToGrid w:val="0"/>
        <w:spacing w:beforeLines="0" w:afterLines="0"/>
        <w:ind w:firstLine="480" w:firstLineChars="200"/>
        <w:rPr>
          <w:rFonts w:hAnsi="宋体"/>
          <w:color w:val="auto"/>
        </w:rPr>
      </w:pPr>
      <w:r>
        <w:rPr>
          <w:rFonts w:hAnsi="宋体"/>
          <w:color w:val="auto"/>
        </w:rPr>
        <w:t>6</w:t>
      </w:r>
      <w:r>
        <w:rPr>
          <w:rFonts w:hint="eastAsia" w:hAnsi="宋体"/>
          <w:color w:val="auto"/>
        </w:rPr>
        <w:t>.由主持人公布无效投标的投标人名单、投标无效的原因及其他有效投标的评分汇总分；</w:t>
      </w:r>
    </w:p>
    <w:p>
      <w:pPr>
        <w:pStyle w:val="27"/>
        <w:snapToGrid w:val="0"/>
        <w:spacing w:beforeLines="0" w:afterLines="0"/>
        <w:ind w:firstLine="480" w:firstLineChars="200"/>
        <w:rPr>
          <w:rFonts w:hAnsi="宋体"/>
          <w:color w:val="auto"/>
        </w:rPr>
      </w:pPr>
      <w:r>
        <w:rPr>
          <w:rFonts w:hAnsi="宋体"/>
          <w:color w:val="auto"/>
        </w:rPr>
        <w:t>7</w:t>
      </w:r>
      <w:r>
        <w:rPr>
          <w:rFonts w:hint="eastAsia" w:hAnsi="宋体"/>
          <w:color w:val="auto"/>
        </w:rPr>
        <w:t>.开启报价响应文件：采购代理机构成功开启报价响应文件后，方可查看各供应商报价情况。</w:t>
      </w:r>
    </w:p>
    <w:p>
      <w:pPr>
        <w:pStyle w:val="27"/>
        <w:snapToGrid w:val="0"/>
        <w:spacing w:beforeLines="0" w:afterLines="0"/>
        <w:ind w:left="719" w:leftChars="228" w:hanging="240" w:hangingChars="100"/>
        <w:rPr>
          <w:rFonts w:hAnsi="宋体"/>
          <w:color w:val="auto"/>
        </w:rPr>
      </w:pPr>
      <w:r>
        <w:rPr>
          <w:rFonts w:hint="eastAsia" w:hAnsi="宋体"/>
          <w:color w:val="auto"/>
        </w:rPr>
        <w:t>8.报价文件评审；</w:t>
      </w:r>
    </w:p>
    <w:p>
      <w:pPr>
        <w:pStyle w:val="27"/>
        <w:snapToGrid w:val="0"/>
        <w:spacing w:beforeLines="0" w:afterLines="0"/>
        <w:ind w:firstLine="480" w:firstLineChars="200"/>
        <w:rPr>
          <w:rFonts w:hAnsi="宋体"/>
          <w:color w:val="auto"/>
        </w:rPr>
      </w:pPr>
      <w:r>
        <w:rPr>
          <w:rFonts w:hint="eastAsia" w:hAnsi="宋体"/>
          <w:color w:val="auto"/>
        </w:rPr>
        <w:t>9．由主持人公布无效投标的投标人名单、投标无效的原因及其他有效投标的报价文件得分；</w:t>
      </w:r>
    </w:p>
    <w:p>
      <w:pPr>
        <w:pStyle w:val="27"/>
        <w:snapToGrid w:val="0"/>
        <w:spacing w:beforeLines="0" w:afterLines="0"/>
        <w:ind w:left="719" w:leftChars="228" w:hanging="240" w:hangingChars="100"/>
        <w:rPr>
          <w:rFonts w:hAnsi="宋体"/>
          <w:color w:val="auto"/>
        </w:rPr>
      </w:pPr>
      <w:r>
        <w:rPr>
          <w:rFonts w:hint="eastAsia" w:hAnsi="宋体"/>
          <w:color w:val="auto"/>
        </w:rPr>
        <w:t>10．宣布综合得分结果及中标候选人名单；</w:t>
      </w:r>
    </w:p>
    <w:p>
      <w:pPr>
        <w:pStyle w:val="27"/>
        <w:snapToGrid w:val="0"/>
        <w:spacing w:beforeLines="0" w:afterLines="0"/>
        <w:ind w:left="719" w:leftChars="228" w:hanging="240" w:hangingChars="100"/>
        <w:rPr>
          <w:rFonts w:hAnsi="宋体"/>
          <w:color w:val="auto"/>
        </w:rPr>
      </w:pPr>
      <w:r>
        <w:rPr>
          <w:rFonts w:hint="eastAsia" w:hAnsi="宋体"/>
          <w:color w:val="auto"/>
        </w:rPr>
        <w:t>11．开标会议结束。</w:t>
      </w:r>
    </w:p>
    <w:p>
      <w:pPr>
        <w:pStyle w:val="27"/>
        <w:snapToGrid w:val="0"/>
        <w:spacing w:beforeLines="0" w:afterLines="0"/>
        <w:rPr>
          <w:rFonts w:hAnsi="宋体"/>
          <w:b/>
          <w:color w:val="auto"/>
        </w:rPr>
      </w:pPr>
      <w:r>
        <w:rPr>
          <w:rFonts w:hint="eastAsia" w:hAnsi="宋体"/>
          <w:b/>
          <w:color w:val="auto"/>
        </w:rPr>
        <w:t>五、评标</w:t>
      </w:r>
    </w:p>
    <w:p>
      <w:pPr>
        <w:pStyle w:val="27"/>
        <w:snapToGrid w:val="0"/>
        <w:spacing w:beforeLines="0" w:afterLines="0"/>
        <w:rPr>
          <w:rFonts w:hAnsi="宋体"/>
          <w:b/>
          <w:color w:val="auto"/>
        </w:rPr>
      </w:pPr>
      <w:r>
        <w:rPr>
          <w:rFonts w:hint="eastAsia" w:hAnsi="宋体"/>
          <w:b/>
          <w:color w:val="auto"/>
        </w:rPr>
        <w:t>（一）组建评标委员会</w:t>
      </w:r>
    </w:p>
    <w:p>
      <w:pPr>
        <w:pStyle w:val="27"/>
        <w:snapToGrid w:val="0"/>
        <w:spacing w:beforeLines="0" w:afterLines="0"/>
        <w:ind w:firstLine="480" w:firstLineChars="200"/>
        <w:rPr>
          <w:rFonts w:hAnsi="宋体"/>
          <w:color w:val="auto"/>
        </w:rPr>
      </w:pPr>
      <w:r>
        <w:rPr>
          <w:rFonts w:hint="eastAsia" w:hAnsi="宋体"/>
          <w:color w:val="auto"/>
        </w:rPr>
        <w:t>本项目评标委员会由招标人依法组建。</w:t>
      </w:r>
    </w:p>
    <w:p>
      <w:pPr>
        <w:pStyle w:val="27"/>
        <w:snapToGrid w:val="0"/>
        <w:spacing w:beforeLines="0" w:afterLines="0"/>
        <w:rPr>
          <w:rFonts w:hAnsi="宋体"/>
          <w:b/>
          <w:color w:val="auto"/>
        </w:rPr>
      </w:pPr>
      <w:r>
        <w:rPr>
          <w:rFonts w:hint="eastAsia" w:hAnsi="宋体"/>
          <w:b/>
          <w:color w:val="auto"/>
        </w:rPr>
        <w:t>（二）评标的方式</w:t>
      </w:r>
    </w:p>
    <w:p>
      <w:pPr>
        <w:pStyle w:val="27"/>
        <w:snapToGrid w:val="0"/>
        <w:spacing w:beforeLines="0" w:afterLines="0"/>
        <w:ind w:firstLine="480" w:firstLineChars="200"/>
        <w:rPr>
          <w:rFonts w:hAnsi="宋体"/>
          <w:color w:val="auto"/>
        </w:rPr>
      </w:pPr>
      <w:r>
        <w:rPr>
          <w:rFonts w:hint="eastAsia" w:hAnsi="宋体"/>
          <w:color w:val="auto"/>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pStyle w:val="27"/>
        <w:snapToGrid w:val="0"/>
        <w:spacing w:beforeLines="0" w:afterLines="0"/>
        <w:rPr>
          <w:rFonts w:hAnsi="宋体"/>
          <w:b/>
          <w:color w:val="auto"/>
        </w:rPr>
      </w:pPr>
      <w:r>
        <w:rPr>
          <w:rFonts w:hint="eastAsia" w:hAnsi="宋体"/>
          <w:b/>
          <w:color w:val="auto"/>
        </w:rPr>
        <w:t>（三）</w:t>
      </w:r>
      <w:r>
        <w:rPr>
          <w:rFonts w:hint="eastAsia" w:hAnsi="宋体"/>
          <w:b/>
          <w:bCs/>
          <w:color w:val="auto"/>
        </w:rPr>
        <w:t>评标程序</w:t>
      </w:r>
    </w:p>
    <w:p>
      <w:pPr>
        <w:snapToGrid w:val="0"/>
        <w:spacing w:line="400" w:lineRule="exact"/>
        <w:ind w:firstLine="472" w:firstLineChars="196"/>
        <w:rPr>
          <w:rFonts w:ascii="宋体" w:hAnsi="宋体"/>
          <w:b/>
          <w:bCs/>
          <w:color w:val="auto"/>
          <w:sz w:val="24"/>
        </w:rPr>
      </w:pPr>
      <w:r>
        <w:rPr>
          <w:rFonts w:hint="eastAsia" w:ascii="宋体" w:hAnsi="宋体"/>
          <w:b/>
          <w:bCs/>
          <w:color w:val="auto"/>
          <w:sz w:val="24"/>
        </w:rPr>
        <w:t>1.形式审查</w:t>
      </w:r>
    </w:p>
    <w:p>
      <w:pPr>
        <w:snapToGrid w:val="0"/>
        <w:spacing w:line="400" w:lineRule="exact"/>
        <w:ind w:firstLine="480" w:firstLineChars="200"/>
        <w:rPr>
          <w:rFonts w:ascii="宋体" w:hAnsi="宋体"/>
          <w:b/>
          <w:color w:val="auto"/>
          <w:sz w:val="24"/>
        </w:rPr>
      </w:pPr>
      <w:r>
        <w:rPr>
          <w:rFonts w:hint="eastAsia" w:ascii="宋体" w:hAnsi="宋体"/>
          <w:color w:val="auto"/>
          <w:sz w:val="24"/>
        </w:rPr>
        <w:t>采购单位代表和</w:t>
      </w:r>
      <w:bookmarkStart w:id="23" w:name="_Hlk32836277"/>
      <w:r>
        <w:rPr>
          <w:rFonts w:hint="eastAsia" w:ascii="宋体" w:hAnsi="宋体"/>
          <w:color w:val="auto"/>
          <w:sz w:val="24"/>
        </w:rPr>
        <w:t>代理机构</w:t>
      </w:r>
      <w:bookmarkEnd w:id="23"/>
      <w:r>
        <w:rPr>
          <w:rFonts w:hint="eastAsia" w:ascii="宋体" w:hAnsi="宋体"/>
          <w:color w:val="auto"/>
          <w:sz w:val="24"/>
        </w:rPr>
        <w:t>工作人员协助评标委员会对投标人的资格和投标文件的完整性、合法性等进行审查。</w:t>
      </w:r>
    </w:p>
    <w:p>
      <w:pPr>
        <w:snapToGrid w:val="0"/>
        <w:spacing w:line="400" w:lineRule="exact"/>
        <w:ind w:firstLine="472" w:firstLineChars="196"/>
        <w:rPr>
          <w:rFonts w:ascii="宋体" w:hAnsi="宋体"/>
          <w:b/>
          <w:bCs/>
          <w:color w:val="auto"/>
          <w:sz w:val="24"/>
        </w:rPr>
      </w:pPr>
      <w:r>
        <w:rPr>
          <w:rFonts w:hint="eastAsia" w:ascii="宋体" w:hAnsi="宋体"/>
          <w:b/>
          <w:bCs/>
          <w:color w:val="auto"/>
          <w:sz w:val="24"/>
        </w:rPr>
        <w:t>2.实质审查与比较</w:t>
      </w:r>
    </w:p>
    <w:p>
      <w:pPr>
        <w:snapToGrid w:val="0"/>
        <w:spacing w:line="400" w:lineRule="exact"/>
        <w:ind w:firstLine="360" w:firstLineChars="150"/>
        <w:rPr>
          <w:rFonts w:ascii="宋体" w:hAnsi="宋体"/>
          <w:color w:val="auto"/>
          <w:sz w:val="24"/>
        </w:rPr>
      </w:pPr>
      <w:r>
        <w:rPr>
          <w:rFonts w:hint="eastAsia" w:ascii="宋体" w:hAnsi="宋体"/>
          <w:color w:val="auto"/>
          <w:sz w:val="24"/>
        </w:rPr>
        <w:t>（1）评标委员会审查投标文件的实质性内容是否符合招标文件的实质性要求。</w:t>
      </w:r>
    </w:p>
    <w:p>
      <w:pPr>
        <w:snapToGrid w:val="0"/>
        <w:spacing w:line="400" w:lineRule="exact"/>
        <w:ind w:firstLine="360" w:firstLineChars="150"/>
        <w:rPr>
          <w:rFonts w:ascii="宋体" w:hAnsi="宋体"/>
          <w:color w:val="000000"/>
          <w:sz w:val="24"/>
        </w:rPr>
      </w:pPr>
      <w:r>
        <w:rPr>
          <w:rFonts w:hint="eastAsia" w:ascii="宋体" w:hAnsi="宋体"/>
          <w:color w:val="auto"/>
          <w:sz w:val="24"/>
        </w:rPr>
        <w:t>（2）评标委员会将根据投标人的投标文件进行审查、核对,如有疑问,将对投标</w:t>
      </w:r>
      <w:r>
        <w:rPr>
          <w:rFonts w:hint="eastAsia" w:ascii="宋体" w:hAnsi="宋体"/>
          <w:color w:val="000000"/>
          <w:sz w:val="24"/>
        </w:rPr>
        <w:t>人进行询标,投标人要向评标委员会澄清有关问题,并最终以书面形式进行答复。</w:t>
      </w:r>
    </w:p>
    <w:p>
      <w:pPr>
        <w:snapToGrid w:val="0"/>
        <w:spacing w:line="400" w:lineRule="exact"/>
        <w:ind w:firstLine="480" w:firstLineChars="200"/>
        <w:rPr>
          <w:rFonts w:ascii="宋体" w:hAnsi="宋体"/>
          <w:color w:val="000000"/>
          <w:sz w:val="24"/>
        </w:rPr>
      </w:pPr>
      <w:r>
        <w:rPr>
          <w:rFonts w:hint="eastAsia" w:ascii="宋体" w:hAnsi="宋体"/>
          <w:color w:val="000000"/>
          <w:sz w:val="24"/>
        </w:rPr>
        <w:t>投标人代表未到场或者拒绝澄清或者澄清的内容改变了投标文件的实质性内容的，评标委员会有权对该投标文件作出不利于投标人的评判。</w:t>
      </w:r>
    </w:p>
    <w:p>
      <w:pPr>
        <w:snapToGrid w:val="0"/>
        <w:spacing w:line="400" w:lineRule="exact"/>
        <w:ind w:firstLine="360" w:firstLineChars="150"/>
        <w:rPr>
          <w:rFonts w:ascii="宋体" w:hAnsi="宋体"/>
          <w:color w:val="000000"/>
          <w:sz w:val="24"/>
        </w:rPr>
      </w:pPr>
      <w:r>
        <w:rPr>
          <w:rFonts w:hint="eastAsia" w:ascii="宋体" w:hAnsi="宋体"/>
          <w:color w:val="000000"/>
          <w:sz w:val="24"/>
        </w:rPr>
        <w:t>（3）商务技术及其他分按照评标委员会成员的独立评分结果汇总数后，取全部评标委员会成员评分值的算术平均分，由指定专人进行计算复核。</w:t>
      </w:r>
    </w:p>
    <w:p>
      <w:pPr>
        <w:snapToGrid w:val="0"/>
        <w:spacing w:line="400" w:lineRule="exact"/>
        <w:ind w:firstLine="360" w:firstLineChars="150"/>
        <w:rPr>
          <w:rFonts w:ascii="宋体" w:hAnsi="宋体"/>
          <w:color w:val="000000"/>
          <w:sz w:val="24"/>
        </w:rPr>
      </w:pPr>
      <w:r>
        <w:rPr>
          <w:rFonts w:hint="eastAsia" w:ascii="宋体" w:hAnsi="宋体"/>
          <w:color w:val="000000"/>
          <w:sz w:val="24"/>
        </w:rPr>
        <w:t>（4）代理机构工作人员协助评标委员会根据本项目的评分标准计算各投标人的报价得分。</w:t>
      </w:r>
    </w:p>
    <w:p>
      <w:pPr>
        <w:snapToGrid w:val="0"/>
        <w:spacing w:line="400" w:lineRule="exact"/>
        <w:ind w:firstLine="360" w:firstLineChars="150"/>
        <w:rPr>
          <w:rFonts w:ascii="宋体" w:hAnsi="宋体"/>
          <w:color w:val="000000"/>
          <w:sz w:val="24"/>
        </w:rPr>
      </w:pPr>
      <w:r>
        <w:rPr>
          <w:rFonts w:hint="eastAsia" w:ascii="宋体" w:hAnsi="宋体"/>
          <w:color w:val="000000"/>
          <w:sz w:val="24"/>
        </w:rPr>
        <w:t>（5）评标委员会完成评标后,评委对各部分得分汇总,计算出本项目最终得分。评标委员会按评标原则推荐中标候选人同时起草评标报告。</w:t>
      </w:r>
    </w:p>
    <w:p>
      <w:pPr>
        <w:snapToGrid w:val="0"/>
        <w:spacing w:line="400" w:lineRule="exact"/>
        <w:rPr>
          <w:rFonts w:ascii="宋体" w:hAnsi="宋体"/>
          <w:b/>
          <w:color w:val="000000"/>
          <w:sz w:val="24"/>
        </w:rPr>
      </w:pPr>
      <w:r>
        <w:rPr>
          <w:rFonts w:hint="eastAsia" w:ascii="宋体" w:hAnsi="宋体"/>
          <w:b/>
          <w:color w:val="000000"/>
          <w:sz w:val="24"/>
        </w:rPr>
        <w:t>（四）澄清问题的形式</w:t>
      </w:r>
    </w:p>
    <w:p>
      <w:pPr>
        <w:snapToGrid w:val="0"/>
        <w:spacing w:line="400" w:lineRule="exact"/>
        <w:ind w:firstLine="480" w:firstLineChars="200"/>
        <w:rPr>
          <w:rFonts w:ascii="宋体" w:hAnsi="宋体"/>
          <w:color w:val="000000"/>
          <w:sz w:val="24"/>
        </w:rPr>
      </w:pPr>
      <w:r>
        <w:rPr>
          <w:rFonts w:hint="eastAsia" w:ascii="宋体" w:hAnsi="宋体"/>
          <w:color w:val="000000"/>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napToGrid w:val="0"/>
        <w:spacing w:line="400" w:lineRule="exact"/>
        <w:rPr>
          <w:rFonts w:ascii="宋体" w:hAnsi="宋体"/>
          <w:b/>
          <w:color w:val="000000"/>
          <w:sz w:val="24"/>
        </w:rPr>
      </w:pPr>
      <w:r>
        <w:rPr>
          <w:rFonts w:hint="eastAsia" w:ascii="宋体" w:hAnsi="宋体"/>
          <w:b/>
          <w:color w:val="000000"/>
          <w:sz w:val="24"/>
        </w:rPr>
        <w:t>（五）错误修正</w:t>
      </w:r>
    </w:p>
    <w:p>
      <w:pPr>
        <w:snapToGrid w:val="0"/>
        <w:spacing w:line="400" w:lineRule="exact"/>
        <w:ind w:firstLine="480" w:firstLineChars="200"/>
        <w:rPr>
          <w:rFonts w:hint="eastAsia" w:ascii="宋体" w:hAnsi="宋体"/>
          <w:sz w:val="24"/>
        </w:rPr>
      </w:pPr>
      <w:r>
        <w:rPr>
          <w:rFonts w:hint="eastAsia" w:ascii="宋体" w:hAnsi="宋体"/>
          <w:sz w:val="24"/>
        </w:rPr>
        <w:t>投标文件报价出现前后不一致的，按照下列规定修正：</w:t>
      </w:r>
    </w:p>
    <w:p>
      <w:pPr>
        <w:snapToGrid w:val="0"/>
        <w:spacing w:line="400" w:lineRule="exact"/>
        <w:ind w:firstLine="480" w:firstLineChars="200"/>
        <w:rPr>
          <w:rFonts w:hint="eastAsia" w:ascii="宋体" w:hAnsi="宋体"/>
          <w:sz w:val="24"/>
        </w:rPr>
      </w:pPr>
      <w:r>
        <w:rPr>
          <w:rFonts w:hint="eastAsia" w:ascii="宋体" w:hAnsi="宋体"/>
          <w:sz w:val="24"/>
        </w:rPr>
        <w:t>（一）投标文件中开标一览表（报价表）内容与投标文件中相应内容不一致的，以开标一览表（报价表）为准；</w:t>
      </w:r>
    </w:p>
    <w:p>
      <w:pPr>
        <w:snapToGrid w:val="0"/>
        <w:spacing w:line="400" w:lineRule="exact"/>
        <w:ind w:firstLine="480" w:firstLineChars="200"/>
        <w:rPr>
          <w:rFonts w:hint="eastAsia" w:ascii="宋体" w:hAnsi="宋体"/>
          <w:sz w:val="24"/>
        </w:rPr>
      </w:pPr>
      <w:r>
        <w:rPr>
          <w:rFonts w:hint="eastAsia" w:ascii="宋体" w:hAnsi="宋体"/>
          <w:sz w:val="24"/>
        </w:rPr>
        <w:t>（二）大写金额和小写金额不一致的，以大写金额为准；</w:t>
      </w:r>
    </w:p>
    <w:p>
      <w:pPr>
        <w:snapToGrid w:val="0"/>
        <w:spacing w:line="400" w:lineRule="exact"/>
        <w:ind w:firstLine="480" w:firstLineChars="200"/>
        <w:rPr>
          <w:rFonts w:hint="eastAsia" w:ascii="宋体" w:hAnsi="宋体"/>
          <w:sz w:val="24"/>
        </w:rPr>
      </w:pPr>
      <w:r>
        <w:rPr>
          <w:rFonts w:hint="eastAsia" w:ascii="宋体" w:hAnsi="宋体"/>
          <w:sz w:val="24"/>
        </w:rPr>
        <w:t>（三）单价金额小数点或者百分比有明显错位的，以开标一览表的总价为准，并修改单价；</w:t>
      </w:r>
    </w:p>
    <w:p>
      <w:pPr>
        <w:snapToGrid w:val="0"/>
        <w:spacing w:line="400" w:lineRule="exact"/>
        <w:ind w:firstLine="480" w:firstLineChars="200"/>
        <w:rPr>
          <w:rFonts w:ascii="宋体" w:hAnsi="宋体"/>
          <w:color w:val="000000"/>
          <w:sz w:val="24"/>
        </w:rPr>
      </w:pPr>
      <w:r>
        <w:rPr>
          <w:rFonts w:hint="eastAsia" w:ascii="宋体" w:hAnsi="宋体"/>
          <w:sz w:val="24"/>
        </w:rPr>
        <w:t>（四）总价金额与按单价汇总金额不一致的，</w:t>
      </w:r>
      <w:r>
        <w:rPr>
          <w:rFonts w:hint="eastAsia" w:ascii="宋体" w:hAnsi="宋体"/>
          <w:color w:val="000000"/>
          <w:sz w:val="24"/>
        </w:rPr>
        <w:t>以单价金额计算结果为准。</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（五）对不同文字文本投标文件的解释发生异议的，以中文文本为准。</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同时出现两种以上不一致的，按照前款规定的顺序修正，修正后的报价经投标人同意并签字确认后，调整后的投标报价对投标人具有约束作用。如果投标人不接受修正后的报价，则其投标将作为无效投标处理。</w:t>
      </w:r>
    </w:p>
    <w:p>
      <w:pPr>
        <w:pStyle w:val="27"/>
        <w:snapToGrid w:val="0"/>
        <w:spacing w:beforeLines="0" w:afterLines="0"/>
        <w:rPr>
          <w:rFonts w:hAnsi="宋体"/>
          <w:b/>
          <w:bCs/>
          <w:color w:val="000000"/>
        </w:rPr>
      </w:pPr>
    </w:p>
    <w:p>
      <w:pPr>
        <w:pStyle w:val="27"/>
        <w:tabs>
          <w:tab w:val="left" w:pos="630"/>
        </w:tabs>
        <w:snapToGrid w:val="0"/>
        <w:spacing w:beforeLines="0" w:afterLines="0"/>
        <w:rPr>
          <w:rFonts w:hAnsi="宋体"/>
          <w:b/>
          <w:color w:val="000000"/>
        </w:rPr>
      </w:pPr>
      <w:r>
        <w:rPr>
          <w:rFonts w:hint="eastAsia" w:hAnsi="宋体"/>
          <w:b/>
          <w:color w:val="000000"/>
        </w:rPr>
        <w:t>（六）评标原则和评标办法</w:t>
      </w:r>
    </w:p>
    <w:p>
      <w:pPr>
        <w:pStyle w:val="27"/>
        <w:snapToGrid w:val="0"/>
        <w:spacing w:beforeLines="0" w:afterLines="0"/>
        <w:ind w:firstLine="480" w:firstLineChars="200"/>
        <w:rPr>
          <w:rFonts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napToGrid w:val="0"/>
        <w:spacing w:beforeLines="0" w:afterLines="0"/>
        <w:ind w:firstLine="480" w:firstLineChars="200"/>
        <w:rPr>
          <w:rFonts w:hAnsi="宋体"/>
          <w:color w:val="000000"/>
        </w:rPr>
      </w:pPr>
      <w:r>
        <w:rPr>
          <w:rFonts w:hint="eastAsia" w:hAnsi="宋体"/>
          <w:color w:val="000000"/>
        </w:rPr>
        <w:t>2.评标办法。本项目评标办法是</w:t>
      </w:r>
      <w:r>
        <w:rPr>
          <w:rFonts w:hint="eastAsia" w:hAnsi="宋体"/>
          <w:b/>
          <w:color w:val="000000"/>
          <w:u w:val="single"/>
        </w:rPr>
        <w:t>综合评分法</w:t>
      </w:r>
      <w:r>
        <w:rPr>
          <w:rFonts w:hint="eastAsia" w:hAnsi="宋体"/>
          <w:color w:val="000000"/>
        </w:rPr>
        <w:t>，具体评标内容及评分标准等详见《第四章：评标办法及评分标准》。</w:t>
      </w:r>
    </w:p>
    <w:p>
      <w:pPr>
        <w:pStyle w:val="27"/>
        <w:snapToGrid w:val="0"/>
        <w:spacing w:beforeLines="0" w:beforeAutospacing="1" w:afterLines="0" w:afterAutospacing="1"/>
        <w:rPr>
          <w:rFonts w:hAnsi="宋体"/>
          <w:b/>
          <w:color w:val="000000"/>
        </w:rPr>
      </w:pPr>
      <w:r>
        <w:rPr>
          <w:rFonts w:hint="eastAsia" w:hAnsi="宋体"/>
          <w:b/>
          <w:color w:val="000000"/>
        </w:rPr>
        <w:t>六、定标</w:t>
      </w:r>
    </w:p>
    <w:p>
      <w:pPr>
        <w:pStyle w:val="27"/>
        <w:snapToGrid w:val="0"/>
        <w:spacing w:beforeLines="0" w:afterLines="0"/>
        <w:ind w:firstLine="472" w:firstLineChars="196"/>
        <w:rPr>
          <w:rFonts w:hAnsi="宋体"/>
          <w:b/>
          <w:bCs/>
          <w:color w:val="000000"/>
        </w:rPr>
      </w:pPr>
      <w:r>
        <w:rPr>
          <w:rFonts w:hint="eastAsia" w:hAnsi="宋体"/>
          <w:b/>
          <w:bCs/>
          <w:color w:val="000000"/>
        </w:rPr>
        <w:t>（一）确定中标人</w:t>
      </w:r>
    </w:p>
    <w:p>
      <w:pPr>
        <w:snapToGrid w:val="0"/>
        <w:spacing w:line="400" w:lineRule="exact"/>
        <w:ind w:firstLine="480" w:firstLineChars="200"/>
        <w:rPr>
          <w:rFonts w:ascii="宋体" w:hAnsi="宋体"/>
          <w:color w:val="000000"/>
          <w:sz w:val="24"/>
        </w:rPr>
      </w:pPr>
      <w:r>
        <w:rPr>
          <w:rFonts w:hint="eastAsia" w:ascii="宋体" w:hAnsi="宋体"/>
          <w:color w:val="000000"/>
          <w:sz w:val="24"/>
        </w:rPr>
        <w:t>1.招标人在评标结束后2个工作日内将评标报告交采购单位确认，同时在发布招标公告的网站上对评标结果进行公示。</w:t>
      </w:r>
    </w:p>
    <w:p>
      <w:pPr>
        <w:snapToGrid w:val="0"/>
        <w:spacing w:line="400" w:lineRule="exact"/>
        <w:ind w:firstLine="480" w:firstLineChars="200"/>
        <w:rPr>
          <w:rFonts w:ascii="宋体" w:hAnsi="宋体"/>
          <w:color w:val="000000"/>
          <w:sz w:val="24"/>
        </w:rPr>
      </w:pPr>
      <w:r>
        <w:rPr>
          <w:rFonts w:hint="eastAsia" w:ascii="宋体" w:hAnsi="宋体"/>
          <w:color w:val="000000"/>
          <w:sz w:val="24"/>
        </w:rPr>
        <w:t>2.投标人对评标结果无异议的，采购单位应在收到评标报告后5个工作日内对评标结果进行确认。如有投标人对评标结果提出质疑的，采购单位可在质疑处理完毕后确定中标人。</w:t>
      </w:r>
    </w:p>
    <w:p>
      <w:pPr>
        <w:snapToGrid w:val="0"/>
        <w:spacing w:line="400" w:lineRule="exact"/>
        <w:ind w:firstLine="480" w:firstLineChars="200"/>
        <w:rPr>
          <w:rFonts w:ascii="宋体" w:hAnsi="宋体"/>
          <w:color w:val="000000"/>
          <w:sz w:val="24"/>
        </w:rPr>
      </w:pPr>
      <w:r>
        <w:rPr>
          <w:rFonts w:hint="eastAsia" w:ascii="宋体" w:hAnsi="宋体"/>
          <w:color w:val="000000"/>
          <w:sz w:val="24"/>
        </w:rPr>
        <w:t>3.采购单位依法确定中标人后2个工作日内，招标人以书面形式发出《中标通知书》,并同时在相关网站上发布中标公告。</w:t>
      </w:r>
    </w:p>
    <w:p>
      <w:pPr>
        <w:snapToGrid w:val="0"/>
        <w:spacing w:line="400" w:lineRule="exact"/>
        <w:ind w:firstLine="480" w:firstLineChars="200"/>
        <w:rPr>
          <w:rFonts w:ascii="宋体" w:hAnsi="宋体"/>
          <w:sz w:val="24"/>
        </w:rPr>
      </w:pPr>
      <w:r>
        <w:rPr>
          <w:rFonts w:hint="eastAsia" w:ascii="宋体" w:hAnsi="宋体"/>
          <w:color w:val="000000"/>
          <w:sz w:val="24"/>
        </w:rPr>
        <w:t>4.定标中，应坚持第一中标候选人为首选中标人，但出现其它原因的，采购单位可以直接确定排名第二的候选人为中标</w:t>
      </w:r>
      <w:r>
        <w:rPr>
          <w:rFonts w:hint="eastAsia" w:ascii="宋体" w:hAnsi="宋体"/>
          <w:sz w:val="24"/>
        </w:rPr>
        <w:t>人，</w:t>
      </w:r>
      <w:r>
        <w:rPr>
          <w:rFonts w:hint="eastAsia" w:ascii="宋体" w:hAnsi="宋体"/>
          <w:b/>
          <w:sz w:val="24"/>
        </w:rPr>
        <w:t>或重新组织招标。</w:t>
      </w:r>
    </w:p>
    <w:p>
      <w:pPr>
        <w:snapToGrid w:val="0"/>
        <w:spacing w:line="400" w:lineRule="exact"/>
        <w:ind w:firstLine="480" w:firstLineChars="200"/>
        <w:rPr>
          <w:rFonts w:ascii="宋体" w:hAnsi="宋体"/>
          <w:sz w:val="24"/>
        </w:rPr>
      </w:pPr>
      <w:r>
        <w:rPr>
          <w:rFonts w:hint="eastAsia" w:ascii="宋体" w:hAnsi="宋体"/>
          <w:sz w:val="24"/>
        </w:rPr>
        <w:t>5.采购单位在确定第二中标候选人为中标人的，应当在确定前向</w:t>
      </w:r>
      <w:r>
        <w:rPr>
          <w:rFonts w:hint="eastAsia" w:ascii="宋体" w:hAnsi="宋体"/>
          <w:b/>
          <w:sz w:val="24"/>
        </w:rPr>
        <w:t>临海市财政局</w:t>
      </w:r>
      <w:r>
        <w:rPr>
          <w:rFonts w:hint="eastAsia" w:ascii="宋体" w:hAnsi="宋体"/>
          <w:sz w:val="24"/>
        </w:rPr>
        <w:t>报告说明。</w:t>
      </w:r>
    </w:p>
    <w:p>
      <w:pPr>
        <w:spacing w:line="400" w:lineRule="exact"/>
        <w:rPr>
          <w:rFonts w:ascii="宋体" w:hAnsi="宋体"/>
          <w:b/>
          <w:sz w:val="24"/>
        </w:rPr>
      </w:pPr>
      <w:r>
        <w:rPr>
          <w:rFonts w:hint="eastAsia" w:ascii="宋体" w:hAnsi="宋体"/>
          <w:b/>
          <w:sz w:val="24"/>
        </w:rPr>
        <w:t>七、合同授予</w:t>
      </w:r>
    </w:p>
    <w:p>
      <w:pPr>
        <w:snapToGrid w:val="0"/>
        <w:spacing w:line="400" w:lineRule="exact"/>
        <w:ind w:firstLine="472" w:firstLineChars="196"/>
        <w:rPr>
          <w:rFonts w:ascii="宋体" w:hAnsi="宋体"/>
          <w:b/>
          <w:bCs/>
          <w:sz w:val="24"/>
        </w:rPr>
      </w:pPr>
      <w:r>
        <w:rPr>
          <w:rFonts w:hint="eastAsia" w:ascii="宋体" w:hAnsi="宋体"/>
          <w:b/>
          <w:bCs/>
          <w:sz w:val="24"/>
        </w:rPr>
        <w:t>（一）签订合同</w:t>
      </w:r>
    </w:p>
    <w:p>
      <w:pPr>
        <w:snapToGrid w:val="0"/>
        <w:spacing w:line="400" w:lineRule="exact"/>
        <w:ind w:firstLine="480" w:firstLineChars="200"/>
        <w:rPr>
          <w:rFonts w:ascii="宋体" w:hAnsi="宋体"/>
          <w:sz w:val="24"/>
        </w:rPr>
      </w:pPr>
      <w:r>
        <w:rPr>
          <w:rFonts w:hint="eastAsia" w:ascii="宋体" w:hAnsi="宋体"/>
          <w:sz w:val="24"/>
        </w:rPr>
        <w:t>1.采购单位与中标</w:t>
      </w:r>
      <w:r>
        <w:rPr>
          <w:rFonts w:hint="eastAsia" w:ascii="宋体" w:hAnsi="宋体"/>
          <w:b/>
          <w:sz w:val="24"/>
        </w:rPr>
        <w:t>人应当在《中标通知书》发出之日起30日内签订政府采</w:t>
      </w:r>
      <w:r>
        <w:rPr>
          <w:rFonts w:hint="eastAsia" w:ascii="宋体" w:hAnsi="宋体"/>
          <w:sz w:val="24"/>
        </w:rPr>
        <w:t>购合同，，并且在同一时间送至</w:t>
      </w:r>
      <w:bookmarkStart w:id="24" w:name="_Hlk32995135"/>
      <w:r>
        <w:rPr>
          <w:rFonts w:hint="eastAsia" w:ascii="宋体" w:hAnsi="宋体"/>
          <w:sz w:val="24"/>
        </w:rPr>
        <w:t>招标代理</w:t>
      </w:r>
      <w:bookmarkEnd w:id="24"/>
      <w:r>
        <w:rPr>
          <w:rFonts w:hint="eastAsia" w:ascii="宋体" w:hAnsi="宋体"/>
          <w:sz w:val="24"/>
        </w:rPr>
        <w:t>公司见证盖章（合同一式四份，采购单位与中标人各执一份，</w:t>
      </w:r>
      <w:bookmarkStart w:id="25" w:name="_Hlk32995171"/>
      <w:r>
        <w:rPr>
          <w:rFonts w:hint="eastAsia" w:ascii="宋体" w:hAnsi="宋体"/>
          <w:sz w:val="24"/>
        </w:rPr>
        <w:t>招标代理</w:t>
      </w:r>
      <w:bookmarkEnd w:id="25"/>
      <w:r>
        <w:rPr>
          <w:rFonts w:hint="eastAsia" w:ascii="宋体" w:hAnsi="宋体"/>
          <w:sz w:val="24"/>
        </w:rPr>
        <w:t>公司二份），招标人对合同内容进行审查，如发现与采购结果和投标承诺内容不一致的，予以纠正。</w:t>
      </w:r>
    </w:p>
    <w:p>
      <w:pPr>
        <w:pStyle w:val="27"/>
        <w:snapToGrid w:val="0"/>
        <w:spacing w:beforeLines="0" w:afterLines="0"/>
        <w:ind w:firstLine="472" w:firstLineChars="196"/>
        <w:rPr>
          <w:rFonts w:hint="eastAsia" w:hAnsi="宋体"/>
          <w:b/>
          <w:lang w:eastAsia="zh-CN"/>
        </w:rPr>
      </w:pPr>
      <w:r>
        <w:rPr>
          <w:rFonts w:hint="eastAsia" w:hAnsi="宋体"/>
          <w:b/>
          <w:lang w:eastAsia="zh-CN"/>
        </w:rPr>
        <w:t>2.中标或者成交供应商拒绝与采购人签订合同的，采购人可以按照评审报告推荐的中标或者成交候选人名单排序，确定下一候选人为中标或者成交供应商，也可以重新开展政府采购活动。</w:t>
      </w:r>
    </w:p>
    <w:p>
      <w:pPr>
        <w:pStyle w:val="27"/>
        <w:snapToGrid w:val="0"/>
        <w:spacing w:beforeLines="0" w:afterLines="0"/>
        <w:ind w:firstLine="472" w:firstLineChars="196"/>
        <w:rPr>
          <w:rFonts w:hAnsi="宋体"/>
          <w:b/>
        </w:rPr>
      </w:pPr>
      <w:r>
        <w:rPr>
          <w:rFonts w:hint="eastAsia" w:hAnsi="宋体"/>
          <w:b/>
        </w:rPr>
        <w:t>（二）履约保证金</w:t>
      </w:r>
    </w:p>
    <w:p>
      <w:pPr>
        <w:pStyle w:val="27"/>
        <w:widowControl w:val="0"/>
        <w:spacing w:before="120" w:after="120"/>
        <w:ind w:firstLine="480" w:firstLineChars="200"/>
        <w:rPr>
          <w:rFonts w:hint="eastAsia"/>
        </w:rPr>
      </w:pPr>
      <w:r>
        <w:rPr>
          <w:rFonts w:hint="eastAsia"/>
        </w:rPr>
        <w:t>1.签订合同前，中标人应根据招标文件确定的履约保证金的金额，交纳履约保证金：①采用网上银行转帐、电汇、汇票缴纳履约保证金的，履约保证金必须通过投标人在临海市公共资源交易中心后台注册的银行账号汇入，否者无法达账（开户名：临海市公共资源交易中心，开户行：浙江临海农村商业银行股份有限公司凯歌支行，账号：201000102293922000003。财务咨询电话：0576-85280673）。</w:t>
      </w:r>
    </w:p>
    <w:p>
      <w:pPr>
        <w:pStyle w:val="27"/>
        <w:widowControl w:val="0"/>
        <w:spacing w:before="120" w:after="120"/>
        <w:ind w:firstLine="480" w:firstLineChars="200"/>
        <w:rPr>
          <w:rFonts w:hint="eastAsia"/>
        </w:rPr>
      </w:pPr>
      <w:r>
        <w:rPr>
          <w:rFonts w:hint="eastAsia"/>
        </w:rPr>
        <w:t>②采用银行、保险公司出具的保函形式提交履约保证金的，中标人将保函原件提交给采购人保管，采购人提供3份加盖公章或“原件收讫”证明印章的保函复印件给中标人，中标人或招标代理公司将经采购人确认的保函复印件提交到临海市公共资源交易中心财务窗口登记存档（地址：临海市行政服务中心一楼B区大厅）。</w:t>
      </w:r>
    </w:p>
    <w:p>
      <w:pPr>
        <w:pStyle w:val="27"/>
        <w:widowControl w:val="0"/>
        <w:spacing w:before="120" w:after="120"/>
        <w:ind w:firstLine="480" w:firstLineChars="200"/>
        <w:rPr>
          <w:rFonts w:hint="eastAsia"/>
        </w:rPr>
      </w:pPr>
      <w:r>
        <w:rPr>
          <w:rFonts w:hint="eastAsia"/>
        </w:rPr>
        <w:t>2.签订合同后，如中标人不按双方合同约定履约，则没收其全部履约保证金，履约保证金不足以赔偿损失的，按实际损失赔偿。</w:t>
      </w:r>
    </w:p>
    <w:p>
      <w:pPr>
        <w:pStyle w:val="27"/>
        <w:snapToGrid w:val="0"/>
        <w:spacing w:beforeLines="0" w:afterLines="0"/>
        <w:ind w:firstLine="480" w:firstLineChars="200"/>
        <w:rPr>
          <w:rFonts w:hAnsi="宋体"/>
          <w:color w:val="000000"/>
        </w:rPr>
      </w:pPr>
      <w:r>
        <w:rPr>
          <w:rFonts w:hint="eastAsia"/>
        </w:rPr>
        <w:t>3.履约保证金在中标人履行合同义务后且经验收合格，凭《临海市政府采购验收单》向临海市公共资源交易中心退还。</w:t>
      </w:r>
    </w:p>
    <w:p>
      <w:pPr>
        <w:spacing w:before="120" w:beforeLines="50" w:after="120" w:afterLines="50" w:line="400" w:lineRule="exact"/>
        <w:jc w:val="center"/>
        <w:outlineLvl w:val="0"/>
        <w:rPr>
          <w:rFonts w:ascii="宋体" w:hAnsi="宋体"/>
          <w:b/>
          <w:color w:val="000000"/>
          <w:sz w:val="24"/>
        </w:rPr>
      </w:pPr>
    </w:p>
    <w:p>
      <w:pPr>
        <w:spacing w:before="120" w:beforeLines="50" w:after="120" w:afterLines="50" w:line="400" w:lineRule="exact"/>
        <w:jc w:val="center"/>
        <w:outlineLvl w:val="0"/>
        <w:rPr>
          <w:rFonts w:ascii="宋体" w:hAnsi="宋体"/>
          <w:b/>
          <w:color w:val="000000"/>
          <w:sz w:val="24"/>
        </w:rPr>
      </w:pPr>
    </w:p>
    <w:p>
      <w:pPr>
        <w:spacing w:before="120" w:beforeLines="50" w:after="120" w:afterLines="50" w:line="400" w:lineRule="exact"/>
        <w:jc w:val="center"/>
        <w:outlineLvl w:val="0"/>
        <w:rPr>
          <w:rFonts w:hint="eastAsia" w:ascii="宋体" w:hAnsi="宋体"/>
          <w:b/>
          <w:color w:val="000000"/>
          <w:sz w:val="24"/>
        </w:rPr>
      </w:pPr>
      <w:r>
        <w:rPr>
          <w:rFonts w:ascii="宋体" w:hAnsi="宋体"/>
          <w:b/>
          <w:color w:val="000000"/>
          <w:sz w:val="24"/>
        </w:rPr>
        <w:br w:type="page"/>
      </w:r>
      <w:bookmarkStart w:id="26" w:name="_Toc466534750"/>
    </w:p>
    <w:p>
      <w:pPr>
        <w:spacing w:before="120" w:beforeLines="50" w:after="120" w:afterLines="50" w:line="400" w:lineRule="exact"/>
        <w:jc w:val="center"/>
        <w:outlineLvl w:val="0"/>
        <w:rPr>
          <w:rFonts w:hint="eastAsia" w:ascii="宋体" w:hAnsi="宋体"/>
          <w:b/>
          <w:color w:val="000000"/>
          <w:sz w:val="30"/>
          <w:szCs w:val="30"/>
        </w:rPr>
      </w:pPr>
      <w:bookmarkStart w:id="27" w:name="_Toc705"/>
      <w:r>
        <w:rPr>
          <w:rFonts w:hint="eastAsia" w:ascii="宋体" w:hAnsi="宋体"/>
          <w:b/>
          <w:color w:val="000000"/>
          <w:sz w:val="30"/>
          <w:szCs w:val="30"/>
        </w:rPr>
        <w:t>第四章 评标办法及评分标准</w:t>
      </w:r>
      <w:bookmarkEnd w:id="26"/>
      <w:bookmarkEnd w:id="27"/>
    </w:p>
    <w:p>
      <w:pPr>
        <w:spacing w:before="120" w:beforeLines="50" w:after="120" w:afterLines="50" w:line="400" w:lineRule="exact"/>
        <w:jc w:val="center"/>
        <w:outlineLvl w:val="0"/>
        <w:rPr>
          <w:rFonts w:hint="eastAsia" w:ascii="宋体" w:hAnsi="宋体"/>
          <w:b/>
          <w:color w:val="000000"/>
          <w:sz w:val="30"/>
          <w:szCs w:val="30"/>
        </w:rPr>
      </w:pPr>
    </w:p>
    <w:p>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为公正、公平、科学地选择中标人，根据《中华人民共和国政府采购法》等有关法律法规的规定，并结合本项目的实际，制定本办法。</w:t>
      </w:r>
    </w:p>
    <w:p>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pPr>
        <w:spacing w:before="120" w:beforeLines="50" w:after="120" w:afterLines="50" w:line="400" w:lineRule="exact"/>
        <w:ind w:firstLine="480" w:firstLineChars="200"/>
        <w:rPr>
          <w:rFonts w:ascii="宋体" w:hAnsi="宋体"/>
          <w:bCs/>
          <w:color w:val="auto"/>
          <w:sz w:val="24"/>
          <w:highlight w:val="none"/>
        </w:rPr>
      </w:pPr>
      <w:r>
        <w:rPr>
          <w:rFonts w:hint="eastAsia" w:ascii="宋体" w:hAnsi="宋体"/>
          <w:color w:val="000000"/>
          <w:sz w:val="24"/>
        </w:rPr>
        <w:t>本次评标采用综合评分法，总分为100分，其</w:t>
      </w:r>
      <w:r>
        <w:rPr>
          <w:rFonts w:hint="eastAsia" w:ascii="宋体" w:hAnsi="宋体"/>
          <w:color w:val="auto"/>
          <w:sz w:val="24"/>
          <w:highlight w:val="none"/>
        </w:rPr>
        <w:t>中价格分25分、</w:t>
      </w:r>
      <w:r>
        <w:rPr>
          <w:rFonts w:hint="eastAsia" w:ascii="宋体" w:hAnsi="宋体"/>
          <w:bCs/>
          <w:color w:val="auto"/>
          <w:sz w:val="24"/>
          <w:highlight w:val="none"/>
        </w:rPr>
        <w:t>商务</w:t>
      </w:r>
      <w:r>
        <w:rPr>
          <w:rFonts w:hint="eastAsia" w:ascii="宋体" w:hAnsi="宋体"/>
          <w:color w:val="auto"/>
          <w:sz w:val="24"/>
          <w:highlight w:val="none"/>
        </w:rPr>
        <w:t>技术分75分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color w:val="auto"/>
          <w:sz w:val="24"/>
          <w:highlight w:val="none"/>
        </w:rPr>
        <w:t>评分过程中采用四舍五入法，并保留小数2位。</w:t>
      </w:r>
    </w:p>
    <w:p>
      <w:pPr>
        <w:spacing w:before="120" w:beforeLines="50" w:after="120" w:afterLines="50" w:line="400" w:lineRule="exact"/>
        <w:ind w:firstLine="480" w:firstLineChars="200"/>
        <w:rPr>
          <w:rFonts w:ascii="宋体" w:hAnsi="宋体"/>
          <w:color w:val="auto"/>
          <w:sz w:val="24"/>
          <w:highlight w:val="none"/>
        </w:rPr>
      </w:pPr>
      <w:r>
        <w:rPr>
          <w:rFonts w:ascii="宋体" w:hAnsi="宋体"/>
          <w:color w:val="auto"/>
          <w:sz w:val="24"/>
          <w:highlight w:val="none"/>
        </w:rPr>
        <w:t>节能环保产品，不发达地区、少数民族地区、</w:t>
      </w:r>
      <w:r>
        <w:rPr>
          <w:rFonts w:hint="eastAsia" w:ascii="宋体" w:hAnsi="宋体"/>
          <w:b/>
          <w:color w:val="auto"/>
          <w:sz w:val="24"/>
          <w:highlight w:val="none"/>
        </w:rPr>
        <w:t>监狱企业、残疾人企业</w:t>
      </w:r>
      <w:r>
        <w:rPr>
          <w:rFonts w:hint="eastAsia" w:ascii="宋体" w:hAnsi="宋体"/>
          <w:color w:val="auto"/>
          <w:sz w:val="24"/>
          <w:highlight w:val="none"/>
        </w:rPr>
        <w:t>、</w:t>
      </w:r>
      <w:r>
        <w:rPr>
          <w:rFonts w:ascii="宋体" w:hAnsi="宋体"/>
          <w:color w:val="auto"/>
          <w:sz w:val="24"/>
          <w:highlight w:val="none"/>
        </w:rPr>
        <w:t>中小企业的产品在价格、技术、服务相同的情况下，优先采用。</w:t>
      </w:r>
    </w:p>
    <w:p>
      <w:pPr>
        <w:spacing w:before="120" w:beforeLines="50" w:after="120" w:afterLines="50" w:line="400" w:lineRule="exact"/>
        <w:ind w:firstLine="480" w:firstLineChars="200"/>
        <w:rPr>
          <w:rFonts w:ascii="宋体" w:hAnsi="宋体"/>
          <w:color w:val="auto"/>
          <w:sz w:val="24"/>
          <w:highlight w:val="none"/>
        </w:rPr>
      </w:pPr>
      <w:r>
        <w:rPr>
          <w:rFonts w:hint="eastAsia" w:ascii="宋体" w:hAnsi="宋体"/>
          <w:color w:val="auto"/>
          <w:sz w:val="24"/>
          <w:highlight w:val="none"/>
        </w:rPr>
        <w:t>投标人评标</w:t>
      </w:r>
      <w:r>
        <w:rPr>
          <w:rFonts w:hint="eastAsia" w:ascii="宋体" w:hAnsi="宋体"/>
          <w:bCs/>
          <w:color w:val="auto"/>
          <w:sz w:val="24"/>
          <w:highlight w:val="none"/>
        </w:rPr>
        <w:t>综合得分=价格分+商务技术分</w:t>
      </w:r>
    </w:p>
    <w:p>
      <w:pPr>
        <w:spacing w:before="120" w:beforeLines="50" w:after="120" w:afterLines="50" w:line="400" w:lineRule="exact"/>
        <w:ind w:firstLine="482" w:firstLineChars="200"/>
        <w:rPr>
          <w:rFonts w:ascii="宋体" w:hAnsi="宋体"/>
          <w:b/>
          <w:color w:val="auto"/>
          <w:sz w:val="24"/>
          <w:highlight w:val="none"/>
        </w:rPr>
      </w:pPr>
      <w:r>
        <w:rPr>
          <w:rFonts w:hint="eastAsia" w:ascii="宋体" w:hAnsi="宋体"/>
          <w:b/>
          <w:color w:val="auto"/>
          <w:sz w:val="24"/>
          <w:highlight w:val="none"/>
        </w:rPr>
        <w:t>二、评标内容及标准</w:t>
      </w:r>
    </w:p>
    <w:p>
      <w:pPr>
        <w:pStyle w:val="21"/>
        <w:spacing w:before="120" w:beforeLines="50" w:after="120" w:afterLines="50" w:line="400" w:lineRule="exact"/>
        <w:ind w:firstLine="466" w:firstLineChars="200"/>
        <w:rPr>
          <w:rFonts w:hAnsi="宋体"/>
          <w:b/>
          <w:bCs/>
          <w:color w:val="auto"/>
          <w:sz w:val="24"/>
          <w:szCs w:val="24"/>
          <w:highlight w:val="none"/>
        </w:rPr>
      </w:pPr>
      <w:r>
        <w:rPr>
          <w:rFonts w:hint="eastAsia" w:hAnsi="宋体"/>
          <w:b/>
          <w:color w:val="auto"/>
          <w:sz w:val="24"/>
          <w:szCs w:val="24"/>
          <w:highlight w:val="none"/>
        </w:rPr>
        <w:t>（一）</w:t>
      </w:r>
      <w:r>
        <w:rPr>
          <w:rFonts w:hint="eastAsia" w:hAnsi="宋体"/>
          <w:b/>
          <w:bCs/>
          <w:color w:val="auto"/>
          <w:sz w:val="24"/>
          <w:szCs w:val="24"/>
          <w:highlight w:val="none"/>
        </w:rPr>
        <w:t>价格分（25</w:t>
      </w:r>
      <w:r>
        <w:rPr>
          <w:rFonts w:hint="eastAsia" w:hAnsi="宋体"/>
          <w:b/>
          <w:color w:val="auto"/>
          <w:spacing w:val="0"/>
          <w:sz w:val="24"/>
          <w:szCs w:val="24"/>
          <w:highlight w:val="none"/>
        </w:rPr>
        <w:t>分</w:t>
      </w:r>
      <w:r>
        <w:rPr>
          <w:rFonts w:hint="eastAsia" w:hAnsi="宋体"/>
          <w:b/>
          <w:bCs/>
          <w:color w:val="auto"/>
          <w:sz w:val="24"/>
          <w:szCs w:val="24"/>
          <w:highlight w:val="none"/>
        </w:rPr>
        <w:t>）</w:t>
      </w:r>
    </w:p>
    <w:p>
      <w:pPr>
        <w:pStyle w:val="21"/>
        <w:spacing w:before="120" w:beforeLines="50" w:after="120" w:afterLines="50" w:line="400" w:lineRule="exact"/>
        <w:ind w:firstLine="464" w:firstLineChars="200"/>
        <w:rPr>
          <w:rFonts w:hAnsi="宋体"/>
          <w:bCs/>
          <w:color w:val="auto"/>
          <w:sz w:val="24"/>
          <w:szCs w:val="24"/>
          <w:highlight w:val="none"/>
        </w:rPr>
      </w:pPr>
      <w:r>
        <w:rPr>
          <w:rFonts w:hint="eastAsia" w:hAnsi="宋体"/>
          <w:bCs/>
          <w:color w:val="auto"/>
          <w:sz w:val="24"/>
          <w:szCs w:val="24"/>
          <w:highlight w:val="none"/>
        </w:rPr>
        <w:t>1.价格分采用低价优先法计算，即满足招标文件要求且投标价格最低的投标报价为评标基准价，其他投标人的价格分按照下列公式计算：</w:t>
      </w:r>
    </w:p>
    <w:p>
      <w:pPr>
        <w:spacing w:before="120" w:beforeLines="50" w:after="120" w:afterLines="50"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价格分=（评标基准价/投标报价）×25%×100</w:t>
      </w:r>
    </w:p>
    <w:p>
      <w:pPr>
        <w:pStyle w:val="21"/>
        <w:spacing w:before="120" w:beforeLines="50" w:after="120" w:afterLines="50" w:line="400" w:lineRule="exact"/>
        <w:ind w:firstLine="466" w:firstLineChars="200"/>
        <w:rPr>
          <w:rFonts w:hAnsi="宋体"/>
          <w:b/>
          <w:bCs/>
          <w:color w:val="auto"/>
          <w:sz w:val="24"/>
          <w:szCs w:val="24"/>
          <w:highlight w:val="none"/>
        </w:rPr>
      </w:pPr>
      <w:r>
        <w:rPr>
          <w:rFonts w:hint="eastAsia" w:hAnsi="宋体"/>
          <w:b/>
          <w:bCs/>
          <w:color w:val="auto"/>
          <w:sz w:val="24"/>
          <w:szCs w:val="24"/>
          <w:highlight w:val="none"/>
        </w:rPr>
        <w:t>对于小型和微型企业产品的价格给予6%的扣除，用扣除后的价格参与评审。评标委员会根据投标人提供的资料综合评判后确认投标人是否属于小微企业。如未按要求提供小微企业证明材料的，将不予认定为小微企业。</w:t>
      </w:r>
    </w:p>
    <w:p>
      <w:pPr>
        <w:spacing w:before="120" w:beforeLines="50" w:after="120" w:afterLines="50" w:line="400" w:lineRule="exact"/>
        <w:rPr>
          <w:rFonts w:hint="eastAsia" w:ascii="宋体" w:hAnsi="宋体"/>
          <w:b/>
          <w:color w:val="auto"/>
          <w:sz w:val="24"/>
          <w:highlight w:val="none"/>
        </w:rPr>
      </w:pPr>
      <w:r>
        <w:rPr>
          <w:rFonts w:hint="eastAsia" w:ascii="宋体" w:hAnsi="宋体"/>
          <w:b/>
          <w:bCs/>
          <w:color w:val="auto"/>
          <w:sz w:val="24"/>
          <w:highlight w:val="none"/>
        </w:rPr>
        <w:t>（二）商务</w:t>
      </w:r>
      <w:r>
        <w:rPr>
          <w:rFonts w:hint="eastAsia" w:ascii="宋体" w:hAnsi="宋体"/>
          <w:b/>
          <w:color w:val="auto"/>
          <w:sz w:val="24"/>
          <w:highlight w:val="none"/>
        </w:rPr>
        <w:t>技术分（75分）</w:t>
      </w:r>
    </w:p>
    <w:p>
      <w:pPr>
        <w:spacing w:line="400" w:lineRule="exact"/>
        <w:ind w:firstLine="480" w:firstLineChars="200"/>
        <w:rPr>
          <w:rFonts w:hint="eastAsia" w:hAnsi="宋体"/>
          <w:color w:val="auto"/>
          <w:sz w:val="24"/>
          <w:lang w:val="zh-CN"/>
        </w:rPr>
      </w:pPr>
      <w:r>
        <w:rPr>
          <w:rFonts w:hint="eastAsia" w:hAnsi="宋体"/>
          <w:color w:val="auto"/>
          <w:sz w:val="24"/>
          <w:highlight w:val="none"/>
          <w:lang w:val="zh-CN"/>
        </w:rPr>
        <w:t>评标委员会对通过符合性审查的投标人的投标技术参数或方案充分审核</w:t>
      </w:r>
      <w:r>
        <w:rPr>
          <w:rFonts w:hint="eastAsia" w:hAnsi="宋体"/>
          <w:color w:val="auto"/>
          <w:sz w:val="24"/>
          <w:lang w:val="zh-CN"/>
        </w:rPr>
        <w:t>后，进行综合评定独立打分。</w:t>
      </w:r>
    </w:p>
    <w:tbl>
      <w:tblPr>
        <w:tblStyle w:val="48"/>
        <w:tblpPr w:leftFromText="180" w:rightFromText="180" w:vertAnchor="text" w:horzAnchor="page" w:tblpX="1800" w:tblpY="320"/>
        <w:tblOverlap w:val="never"/>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427"/>
        <w:gridCol w:w="6086"/>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88" w:type="dxa"/>
            <w:noWrap w:val="0"/>
            <w:vAlign w:val="center"/>
          </w:tcPr>
          <w:p>
            <w:pPr>
              <w:pStyle w:val="264"/>
              <w:autoSpaceDE/>
              <w:autoSpaceDN/>
              <w:adjustRightInd/>
              <w:jc w:val="center"/>
              <w:rPr>
                <w:rFonts w:hint="eastAsia" w:ascii="宋体" w:hAnsi="宋体" w:cs="宋体"/>
                <w:bCs/>
                <w:color w:val="auto"/>
                <w:kern w:val="2"/>
                <w:sz w:val="24"/>
                <w:szCs w:val="24"/>
              </w:rPr>
            </w:pPr>
            <w:r>
              <w:rPr>
                <w:rFonts w:hint="eastAsia" w:ascii="宋体" w:hAnsi="宋体" w:cs="宋体"/>
                <w:bCs/>
                <w:color w:val="auto"/>
                <w:kern w:val="2"/>
                <w:sz w:val="24"/>
                <w:szCs w:val="24"/>
              </w:rPr>
              <w:t>序号</w:t>
            </w:r>
          </w:p>
        </w:tc>
        <w:tc>
          <w:tcPr>
            <w:tcW w:w="1427" w:type="dxa"/>
            <w:noWrap w:val="0"/>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考核项目</w:t>
            </w:r>
          </w:p>
        </w:tc>
        <w:tc>
          <w:tcPr>
            <w:tcW w:w="6086" w:type="dxa"/>
            <w:noWrap w:val="0"/>
            <w:vAlign w:val="center"/>
          </w:tcPr>
          <w:p>
            <w:pPr>
              <w:jc w:val="center"/>
              <w:rPr>
                <w:rFonts w:hint="eastAsia" w:ascii="宋体" w:hAnsi="宋体" w:cs="宋体"/>
                <w:color w:val="auto"/>
                <w:sz w:val="24"/>
                <w:szCs w:val="24"/>
              </w:rPr>
            </w:pPr>
            <w:r>
              <w:rPr>
                <w:rFonts w:hint="eastAsia" w:ascii="宋体" w:hAnsi="宋体" w:cs="宋体"/>
                <w:b/>
                <w:bCs/>
                <w:color w:val="auto"/>
                <w:sz w:val="24"/>
                <w:szCs w:val="24"/>
              </w:rPr>
              <w:t>主要评判因素</w:t>
            </w:r>
          </w:p>
        </w:tc>
        <w:tc>
          <w:tcPr>
            <w:tcW w:w="541" w:type="dxa"/>
            <w:noWrap w:val="0"/>
            <w:vAlign w:val="center"/>
          </w:tcPr>
          <w:p>
            <w:pPr>
              <w:pStyle w:val="264"/>
              <w:autoSpaceDE/>
              <w:autoSpaceDN/>
              <w:adjustRightInd/>
              <w:ind w:left="103"/>
              <w:rPr>
                <w:rFonts w:hint="eastAsia" w:ascii="宋体" w:hAnsi="宋体" w:cs="宋体"/>
                <w:b/>
                <w:bCs/>
                <w:color w:val="auto"/>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Merge w:val="restart"/>
            <w:noWrap w:val="0"/>
            <w:vAlign w:val="center"/>
          </w:tcPr>
          <w:p>
            <w:pPr>
              <w:jc w:val="left"/>
              <w:rPr>
                <w:rFonts w:hint="eastAsia" w:ascii="宋体" w:hAnsi="宋体" w:cs="宋体"/>
                <w:bCs/>
                <w:color w:val="auto"/>
                <w:sz w:val="24"/>
                <w:szCs w:val="24"/>
              </w:rPr>
            </w:pPr>
            <w:r>
              <w:rPr>
                <w:rFonts w:hint="eastAsia" w:ascii="宋体" w:hAnsi="宋体" w:cs="宋体"/>
                <w:bCs/>
                <w:color w:val="auto"/>
                <w:sz w:val="24"/>
                <w:szCs w:val="24"/>
              </w:rPr>
              <w:t>1</w:t>
            </w:r>
          </w:p>
        </w:tc>
        <w:tc>
          <w:tcPr>
            <w:tcW w:w="1427" w:type="dxa"/>
            <w:vMerge w:val="restart"/>
            <w:noWrap w:val="0"/>
            <w:vAlign w:val="center"/>
          </w:tcPr>
          <w:p>
            <w:pPr>
              <w:jc w:val="left"/>
              <w:rPr>
                <w:rFonts w:hint="eastAsia" w:ascii="宋体" w:hAnsi="宋体" w:cs="宋体"/>
                <w:bCs/>
                <w:color w:val="auto"/>
                <w:sz w:val="24"/>
                <w:szCs w:val="24"/>
              </w:rPr>
            </w:pPr>
            <w:r>
              <w:rPr>
                <w:rFonts w:hint="eastAsia" w:ascii="宋体" w:hAnsi="宋体" w:cs="宋体"/>
                <w:bCs/>
                <w:color w:val="auto"/>
                <w:sz w:val="24"/>
                <w:szCs w:val="24"/>
              </w:rPr>
              <w:t>展馆方案设计（</w:t>
            </w:r>
            <w:r>
              <w:rPr>
                <w:rFonts w:ascii="宋体" w:hAnsi="宋体" w:cs="宋体"/>
                <w:bCs/>
                <w:color w:val="auto"/>
                <w:sz w:val="24"/>
                <w:szCs w:val="24"/>
              </w:rPr>
              <w:t>26</w:t>
            </w:r>
            <w:r>
              <w:rPr>
                <w:rFonts w:hint="eastAsia" w:ascii="宋体" w:hAnsi="宋体" w:cs="宋体"/>
                <w:bCs/>
                <w:color w:val="auto"/>
                <w:sz w:val="24"/>
                <w:szCs w:val="24"/>
              </w:rPr>
              <w:t>分）</w:t>
            </w:r>
          </w:p>
          <w:p>
            <w:pPr>
              <w:jc w:val="left"/>
              <w:rPr>
                <w:rFonts w:hint="eastAsia" w:ascii="宋体" w:hAnsi="宋体" w:cs="宋体"/>
                <w:bCs/>
                <w:color w:val="auto"/>
                <w:sz w:val="24"/>
                <w:szCs w:val="24"/>
              </w:rPr>
            </w:pPr>
          </w:p>
        </w:tc>
        <w:tc>
          <w:tcPr>
            <w:tcW w:w="6086" w:type="dxa"/>
            <w:noWrap w:val="0"/>
            <w:vAlign w:val="center"/>
          </w:tcPr>
          <w:p>
            <w:pPr>
              <w:jc w:val="left"/>
              <w:rPr>
                <w:rFonts w:hint="default" w:ascii="宋体" w:hAnsi="宋体" w:eastAsia="宋体" w:cs="宋体"/>
                <w:color w:val="auto"/>
                <w:sz w:val="24"/>
                <w:szCs w:val="24"/>
                <w:lang w:val="en-US" w:eastAsia="zh-CN"/>
              </w:rPr>
            </w:pPr>
            <w:r>
              <w:rPr>
                <w:rFonts w:hint="eastAsia" w:ascii="宋体" w:hAnsi="宋体" w:cs="宋体"/>
                <w:color w:val="auto"/>
                <w:sz w:val="24"/>
                <w:szCs w:val="24"/>
              </w:rPr>
              <w:t>设计理念、展示主体、整体构思、环境营造充分展现展馆的独特性、互动性、趣味性。展馆功能分区、空间布局、流线组织符合原建筑设计和展示功能需求，布局科学、合理，流线组织满足不同参观者需求，有完善的平面功能布置图、参观动线图。对发包人要求理解透彻，展示内容与形式完美统一，细节处理注重艺术性和独特性</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6-0分）</w:t>
            </w:r>
          </w:p>
        </w:tc>
        <w:tc>
          <w:tcPr>
            <w:tcW w:w="541" w:type="dxa"/>
            <w:noWrap w:val="0"/>
            <w:vAlign w:val="center"/>
          </w:tcPr>
          <w:p>
            <w:pPr>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Merge w:val="continue"/>
            <w:noWrap w:val="0"/>
            <w:vAlign w:val="center"/>
          </w:tcPr>
          <w:p>
            <w:pPr>
              <w:jc w:val="left"/>
              <w:rPr>
                <w:rFonts w:hint="eastAsia" w:ascii="宋体" w:hAnsi="宋体" w:cs="宋体"/>
                <w:bCs/>
                <w:color w:val="auto"/>
                <w:sz w:val="24"/>
                <w:szCs w:val="24"/>
              </w:rPr>
            </w:pPr>
          </w:p>
        </w:tc>
        <w:tc>
          <w:tcPr>
            <w:tcW w:w="1427" w:type="dxa"/>
            <w:vMerge w:val="continue"/>
            <w:noWrap w:val="0"/>
            <w:vAlign w:val="center"/>
          </w:tcPr>
          <w:p>
            <w:pPr>
              <w:jc w:val="left"/>
              <w:rPr>
                <w:rFonts w:hint="eastAsia" w:ascii="宋体" w:hAnsi="宋体" w:cs="宋体"/>
                <w:bCs/>
                <w:color w:val="auto"/>
                <w:sz w:val="24"/>
                <w:szCs w:val="24"/>
              </w:rPr>
            </w:pPr>
          </w:p>
        </w:tc>
        <w:tc>
          <w:tcPr>
            <w:tcW w:w="6086" w:type="dxa"/>
            <w:noWrap w:val="0"/>
            <w:vAlign w:val="center"/>
          </w:tcPr>
          <w:p>
            <w:pPr>
              <w:jc w:val="left"/>
              <w:rPr>
                <w:rFonts w:hint="eastAsia" w:ascii="宋体" w:hAnsi="宋体" w:cs="宋体"/>
                <w:color w:val="auto"/>
                <w:sz w:val="24"/>
                <w:szCs w:val="24"/>
              </w:rPr>
            </w:pPr>
            <w:r>
              <w:rPr>
                <w:rFonts w:hint="eastAsia" w:ascii="宋体" w:hAnsi="宋体" w:cs="宋体"/>
                <w:color w:val="auto"/>
                <w:sz w:val="24"/>
                <w:szCs w:val="24"/>
              </w:rPr>
              <w:t>展馆主题突出、鲜明，内容条块清晰，能够全面展示主题要求，并体现主体展区的重点和特色。设计方案平面布局合理，展示脉络清晰，人流动线流畅。展区创意表现力强、有特色，具有视觉上的震撼和艺术性。 针对建筑结构，通过装饰装修及布展设计，使各个展示空间和公共空 间相对独立又能合理过渡，具有较强的美观性、实用性和可实施性。设计成果符合招标要求和相关设计规范，深度达到初步设计要求，图纸规范、完整，版面清晰</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6-0分）</w:t>
            </w:r>
          </w:p>
        </w:tc>
        <w:tc>
          <w:tcPr>
            <w:tcW w:w="541" w:type="dxa"/>
            <w:noWrap w:val="0"/>
            <w:vAlign w:val="center"/>
          </w:tcPr>
          <w:p>
            <w:pPr>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8" w:type="dxa"/>
            <w:vMerge w:val="continue"/>
            <w:noWrap w:val="0"/>
            <w:vAlign w:val="center"/>
          </w:tcPr>
          <w:p>
            <w:pPr>
              <w:jc w:val="left"/>
              <w:rPr>
                <w:rFonts w:hint="eastAsia" w:ascii="宋体" w:hAnsi="宋体" w:cs="宋体"/>
                <w:bCs/>
                <w:color w:val="auto"/>
                <w:sz w:val="24"/>
                <w:szCs w:val="24"/>
              </w:rPr>
            </w:pPr>
          </w:p>
        </w:tc>
        <w:tc>
          <w:tcPr>
            <w:tcW w:w="1427" w:type="dxa"/>
            <w:vMerge w:val="continue"/>
            <w:noWrap w:val="0"/>
            <w:vAlign w:val="center"/>
          </w:tcPr>
          <w:p>
            <w:pPr>
              <w:jc w:val="left"/>
              <w:rPr>
                <w:rFonts w:hint="eastAsia" w:ascii="宋体" w:hAnsi="宋体" w:cs="宋体"/>
                <w:bCs/>
                <w:color w:val="auto"/>
                <w:sz w:val="24"/>
                <w:szCs w:val="24"/>
              </w:rPr>
            </w:pPr>
          </w:p>
        </w:tc>
        <w:tc>
          <w:tcPr>
            <w:tcW w:w="6086" w:type="dxa"/>
            <w:noWrap w:val="0"/>
            <w:vAlign w:val="center"/>
          </w:tcPr>
          <w:p>
            <w:pPr>
              <w:jc w:val="left"/>
              <w:rPr>
                <w:rFonts w:hint="default" w:ascii="宋体" w:hAnsi="宋体" w:eastAsia="宋体" w:cs="宋体"/>
                <w:color w:val="auto"/>
                <w:sz w:val="24"/>
                <w:szCs w:val="24"/>
                <w:lang w:val="en-US" w:eastAsia="zh-CN"/>
              </w:rPr>
            </w:pPr>
            <w:r>
              <w:rPr>
                <w:rFonts w:hint="eastAsia" w:ascii="宋体" w:hAnsi="宋体" w:cs="宋体"/>
                <w:color w:val="auto"/>
                <w:sz w:val="24"/>
                <w:szCs w:val="24"/>
              </w:rPr>
              <w:t>轴测图、详细的节点图、水电布局图等详细的实施施工方案图；</w:t>
            </w:r>
            <w:r>
              <w:rPr>
                <w:rFonts w:hint="eastAsia" w:ascii="宋体" w:hAnsi="宋体" w:cs="宋体"/>
                <w:color w:val="auto"/>
                <w:sz w:val="24"/>
                <w:szCs w:val="24"/>
                <w:lang w:eastAsia="zh-CN"/>
              </w:rPr>
              <w:t>方案图好的得</w:t>
            </w:r>
            <w:r>
              <w:rPr>
                <w:rFonts w:hint="eastAsia" w:ascii="宋体" w:hAnsi="宋体" w:cs="宋体"/>
                <w:color w:val="auto"/>
                <w:sz w:val="24"/>
                <w:szCs w:val="24"/>
              </w:rPr>
              <w:t>12-</w:t>
            </w:r>
            <w:r>
              <w:rPr>
                <w:rFonts w:hint="eastAsia" w:ascii="宋体" w:hAnsi="宋体" w:cs="宋体"/>
                <w:color w:val="auto"/>
                <w:sz w:val="24"/>
                <w:szCs w:val="24"/>
                <w:lang w:val="en-US" w:eastAsia="zh-CN"/>
              </w:rPr>
              <w:t>9</w:t>
            </w:r>
            <w:r>
              <w:rPr>
                <w:rFonts w:hint="eastAsia" w:ascii="宋体" w:hAnsi="宋体" w:cs="宋体"/>
                <w:color w:val="auto"/>
                <w:sz w:val="24"/>
                <w:szCs w:val="24"/>
                <w:lang w:val="zh-CN"/>
              </w:rPr>
              <w:t>分，</w:t>
            </w:r>
            <w:r>
              <w:rPr>
                <w:rFonts w:hint="eastAsia" w:ascii="宋体" w:hAnsi="宋体" w:cs="宋体"/>
                <w:color w:val="auto"/>
                <w:sz w:val="24"/>
                <w:szCs w:val="24"/>
                <w:lang w:eastAsia="zh-CN"/>
              </w:rPr>
              <w:t>方案图较好的</w:t>
            </w:r>
            <w:r>
              <w:rPr>
                <w:rFonts w:hint="eastAsia" w:ascii="宋体" w:hAnsi="宋体" w:cs="宋体"/>
                <w:color w:val="auto"/>
                <w:sz w:val="24"/>
                <w:szCs w:val="24"/>
                <w:lang w:val="zh-CN"/>
              </w:rPr>
              <w:t>得</w:t>
            </w:r>
            <w:r>
              <w:rPr>
                <w:rFonts w:hint="eastAsia" w:ascii="宋体" w:hAnsi="宋体" w:cs="宋体"/>
                <w:color w:val="auto"/>
                <w:sz w:val="24"/>
                <w:szCs w:val="24"/>
                <w:lang w:val="en-US" w:eastAsia="zh-CN"/>
              </w:rPr>
              <w:t>8.9</w:t>
            </w: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lang w:val="zh-CN"/>
              </w:rPr>
              <w:t>分，方案图一般得</w:t>
            </w:r>
            <w:r>
              <w:rPr>
                <w:rFonts w:hint="eastAsia" w:ascii="宋体" w:hAnsi="宋体" w:cs="宋体"/>
                <w:color w:val="auto"/>
                <w:sz w:val="24"/>
                <w:szCs w:val="24"/>
                <w:lang w:val="en-US" w:eastAsia="zh-CN"/>
              </w:rPr>
              <w:t>5.9</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val="zh-CN"/>
              </w:rPr>
              <w:t>分，方案图差的得</w:t>
            </w:r>
            <w:r>
              <w:rPr>
                <w:rFonts w:hint="eastAsia" w:ascii="宋体" w:hAnsi="宋体" w:cs="宋体"/>
                <w:color w:val="auto"/>
                <w:sz w:val="24"/>
                <w:szCs w:val="24"/>
                <w:lang w:val="en-US" w:eastAsia="zh-CN"/>
              </w:rPr>
              <w:t>2.9-0分。</w:t>
            </w:r>
          </w:p>
        </w:tc>
        <w:tc>
          <w:tcPr>
            <w:tcW w:w="541" w:type="dxa"/>
            <w:noWrap w:val="0"/>
            <w:vAlign w:val="center"/>
          </w:tcPr>
          <w:p>
            <w:pPr>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88" w:type="dxa"/>
            <w:vMerge w:val="continue"/>
            <w:noWrap w:val="0"/>
            <w:vAlign w:val="center"/>
          </w:tcPr>
          <w:p>
            <w:pPr>
              <w:jc w:val="left"/>
              <w:rPr>
                <w:rFonts w:hint="eastAsia" w:ascii="宋体" w:hAnsi="宋体" w:cs="宋体"/>
                <w:bCs/>
                <w:color w:val="auto"/>
                <w:sz w:val="24"/>
                <w:szCs w:val="24"/>
              </w:rPr>
            </w:pPr>
          </w:p>
        </w:tc>
        <w:tc>
          <w:tcPr>
            <w:tcW w:w="1427" w:type="dxa"/>
            <w:vMerge w:val="continue"/>
            <w:noWrap w:val="0"/>
            <w:vAlign w:val="center"/>
          </w:tcPr>
          <w:p>
            <w:pPr>
              <w:jc w:val="left"/>
              <w:rPr>
                <w:rFonts w:hint="eastAsia" w:ascii="宋体" w:hAnsi="宋体" w:cs="宋体"/>
                <w:bCs/>
                <w:color w:val="auto"/>
                <w:sz w:val="24"/>
                <w:szCs w:val="24"/>
              </w:rPr>
            </w:pPr>
          </w:p>
        </w:tc>
        <w:tc>
          <w:tcPr>
            <w:tcW w:w="6086" w:type="dxa"/>
            <w:noWrap w:val="0"/>
            <w:vAlign w:val="center"/>
          </w:tcPr>
          <w:p>
            <w:pPr>
              <w:jc w:val="left"/>
              <w:rPr>
                <w:rFonts w:hint="default" w:ascii="宋体" w:hAnsi="宋体" w:eastAsia="宋体" w:cs="宋体"/>
                <w:color w:val="auto"/>
                <w:sz w:val="24"/>
                <w:szCs w:val="24"/>
                <w:lang w:val="en-US" w:eastAsia="zh-CN"/>
              </w:rPr>
            </w:pPr>
            <w:r>
              <w:rPr>
                <w:rFonts w:hint="eastAsia" w:ascii="宋体" w:hAnsi="宋体" w:cs="宋体"/>
                <w:color w:val="auto"/>
                <w:sz w:val="24"/>
                <w:szCs w:val="24"/>
              </w:rPr>
              <w:t>数字互动内容表现方式的新型性、可实施度以及重点和亮点的突出</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2-0分）</w:t>
            </w:r>
          </w:p>
        </w:tc>
        <w:tc>
          <w:tcPr>
            <w:tcW w:w="541" w:type="dxa"/>
            <w:noWrap w:val="0"/>
            <w:vAlign w:val="center"/>
          </w:tcPr>
          <w:p>
            <w:pPr>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88" w:type="dxa"/>
            <w:vMerge w:val="restart"/>
            <w:noWrap w:val="0"/>
            <w:vAlign w:val="center"/>
          </w:tcPr>
          <w:p>
            <w:pPr>
              <w:jc w:val="left"/>
              <w:rPr>
                <w:rFonts w:hint="eastAsia" w:ascii="宋体" w:hAnsi="宋体" w:cs="宋体"/>
                <w:bCs/>
                <w:color w:val="auto"/>
                <w:sz w:val="24"/>
                <w:szCs w:val="24"/>
              </w:rPr>
            </w:pPr>
            <w:r>
              <w:rPr>
                <w:rFonts w:hint="eastAsia" w:ascii="宋体" w:hAnsi="宋体" w:cs="宋体"/>
                <w:bCs/>
                <w:color w:val="auto"/>
                <w:sz w:val="24"/>
                <w:szCs w:val="24"/>
              </w:rPr>
              <w:t>2</w:t>
            </w:r>
          </w:p>
        </w:tc>
        <w:tc>
          <w:tcPr>
            <w:tcW w:w="1427" w:type="dxa"/>
            <w:vMerge w:val="restart"/>
            <w:noWrap w:val="0"/>
            <w:vAlign w:val="center"/>
          </w:tcPr>
          <w:p>
            <w:pPr>
              <w:jc w:val="left"/>
              <w:rPr>
                <w:rFonts w:hint="eastAsia" w:ascii="宋体" w:hAnsi="宋体" w:cs="宋体"/>
                <w:bCs/>
                <w:color w:val="auto"/>
                <w:sz w:val="24"/>
                <w:szCs w:val="24"/>
              </w:rPr>
            </w:pPr>
            <w:r>
              <w:rPr>
                <w:rFonts w:hint="eastAsia" w:ascii="宋体" w:hAnsi="宋体" w:cs="宋体"/>
                <w:bCs/>
                <w:color w:val="auto"/>
                <w:sz w:val="24"/>
                <w:szCs w:val="24"/>
              </w:rPr>
              <w:t>内容设计展示（48分）</w:t>
            </w:r>
          </w:p>
          <w:p>
            <w:pPr>
              <w:jc w:val="left"/>
              <w:rPr>
                <w:rFonts w:hint="eastAsia" w:ascii="宋体" w:hAnsi="宋体" w:cs="宋体"/>
                <w:bCs/>
                <w:color w:val="auto"/>
                <w:sz w:val="24"/>
                <w:szCs w:val="24"/>
              </w:rPr>
            </w:pPr>
            <w:r>
              <w:rPr>
                <w:rFonts w:hint="eastAsia" w:ascii="宋体" w:hAnsi="宋体" w:cs="宋体"/>
                <w:bCs/>
                <w:color w:val="auto"/>
                <w:sz w:val="24"/>
                <w:szCs w:val="24"/>
              </w:rPr>
              <w:t>本展项不提供或者提供数量达不到展项要求的该展项不得分；</w:t>
            </w:r>
          </w:p>
          <w:p>
            <w:pPr>
              <w:jc w:val="left"/>
              <w:rPr>
                <w:rFonts w:ascii="宋体" w:hAnsi="宋体" w:cs="宋体"/>
                <w:bCs/>
                <w:color w:val="auto"/>
                <w:sz w:val="24"/>
                <w:szCs w:val="24"/>
              </w:rPr>
            </w:pPr>
            <w:r>
              <w:rPr>
                <w:rFonts w:hint="eastAsia" w:ascii="宋体" w:hAnsi="宋体" w:cs="宋体"/>
                <w:bCs/>
                <w:color w:val="auto"/>
                <w:sz w:val="24"/>
                <w:szCs w:val="24"/>
              </w:rPr>
              <w:t>演示设备自带</w:t>
            </w:r>
          </w:p>
          <w:p>
            <w:pPr>
              <w:jc w:val="left"/>
              <w:rPr>
                <w:rFonts w:hint="eastAsia" w:ascii="宋体" w:hAnsi="宋体" w:cs="宋体"/>
                <w:bCs/>
                <w:color w:val="auto"/>
                <w:sz w:val="24"/>
                <w:szCs w:val="24"/>
              </w:rPr>
            </w:pPr>
          </w:p>
        </w:tc>
        <w:tc>
          <w:tcPr>
            <w:tcW w:w="6086" w:type="dxa"/>
            <w:noWrap w:val="0"/>
            <w:vAlign w:val="center"/>
          </w:tcPr>
          <w:p>
            <w:pPr>
              <w:jc w:val="left"/>
              <w:rPr>
                <w:rFonts w:hint="default" w:ascii="宋体" w:hAnsi="宋体" w:eastAsia="宋体" w:cs="宋体"/>
                <w:color w:val="auto"/>
                <w:sz w:val="24"/>
                <w:szCs w:val="24"/>
                <w:lang w:val="en-US" w:eastAsia="zh-CN"/>
              </w:rPr>
            </w:pPr>
            <w:r>
              <w:rPr>
                <w:rFonts w:hint="eastAsia" w:ascii="宋体" w:hAnsi="宋体" w:cs="宋体"/>
                <w:b/>
                <w:bCs/>
                <w:color w:val="auto"/>
                <w:sz w:val="24"/>
                <w:szCs w:val="24"/>
              </w:rPr>
              <w:t>VR灭火器使用演示及消防逃生演示：</w:t>
            </w:r>
            <w:r>
              <w:rPr>
                <w:rFonts w:hint="eastAsia" w:ascii="宋体" w:hAnsi="宋体" w:cs="宋体"/>
                <w:color w:val="auto"/>
                <w:sz w:val="24"/>
                <w:szCs w:val="24"/>
              </w:rPr>
              <w:t>1、体验内容均需要现场演示；2、UE4引擎制作的VRHTC VIVE演示DEMO两份；3、VR体验场景详细策划及分镜头脚本</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4-0分）</w:t>
            </w:r>
          </w:p>
        </w:tc>
        <w:tc>
          <w:tcPr>
            <w:tcW w:w="541" w:type="dxa"/>
            <w:noWrap w:val="0"/>
            <w:vAlign w:val="center"/>
          </w:tcPr>
          <w:p>
            <w:pPr>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88" w:type="dxa"/>
            <w:vMerge w:val="continue"/>
            <w:noWrap w:val="0"/>
            <w:vAlign w:val="center"/>
          </w:tcPr>
          <w:p>
            <w:pPr>
              <w:jc w:val="left"/>
              <w:rPr>
                <w:rFonts w:hint="eastAsia" w:ascii="宋体" w:hAnsi="宋体" w:cs="宋体"/>
                <w:bCs/>
                <w:color w:val="auto"/>
                <w:sz w:val="24"/>
                <w:szCs w:val="24"/>
              </w:rPr>
            </w:pPr>
          </w:p>
        </w:tc>
        <w:tc>
          <w:tcPr>
            <w:tcW w:w="1427" w:type="dxa"/>
            <w:vMerge w:val="continue"/>
            <w:noWrap w:val="0"/>
            <w:vAlign w:val="center"/>
          </w:tcPr>
          <w:p>
            <w:pPr>
              <w:jc w:val="left"/>
              <w:rPr>
                <w:rFonts w:hint="eastAsia" w:ascii="宋体" w:hAnsi="宋体" w:cs="宋体"/>
                <w:bCs/>
                <w:color w:val="auto"/>
                <w:sz w:val="24"/>
                <w:szCs w:val="24"/>
              </w:rPr>
            </w:pPr>
          </w:p>
        </w:tc>
        <w:tc>
          <w:tcPr>
            <w:tcW w:w="6086" w:type="dxa"/>
            <w:noWrap w:val="0"/>
            <w:vAlign w:val="center"/>
          </w:tcPr>
          <w:p>
            <w:pPr>
              <w:jc w:val="left"/>
              <w:rPr>
                <w:rFonts w:hint="default" w:ascii="宋体 (正文)" w:hAnsi="宋体 (正文)" w:eastAsia="宋体" w:cs="宋体 (正文)"/>
                <w:color w:val="auto"/>
                <w:sz w:val="24"/>
                <w:szCs w:val="24"/>
                <w:lang w:val="en-US" w:eastAsia="zh-CN"/>
              </w:rPr>
            </w:pPr>
            <w:r>
              <w:rPr>
                <w:rFonts w:hint="eastAsia" w:ascii="宋体" w:hAnsi="宋体" w:cs="宋体"/>
                <w:b/>
                <w:bCs/>
                <w:color w:val="auto"/>
                <w:sz w:val="24"/>
                <w:szCs w:val="24"/>
              </w:rPr>
              <w:t>V</w:t>
            </w:r>
            <w:r>
              <w:rPr>
                <w:rFonts w:hint="eastAsia" w:ascii="宋体" w:hAnsi="宋体" w:cs="宋体"/>
                <w:b/>
                <w:bCs/>
                <w:color w:val="auto"/>
                <w:kern w:val="0"/>
                <w:sz w:val="24"/>
                <w:szCs w:val="24"/>
              </w:rPr>
              <w:t>R**演示：</w:t>
            </w:r>
            <w:r>
              <w:rPr>
                <w:rFonts w:hint="eastAsia" w:ascii="宋体" w:hAnsi="宋体" w:cs="宋体"/>
                <w:color w:val="auto"/>
                <w:sz w:val="24"/>
                <w:szCs w:val="24"/>
              </w:rPr>
              <w:t>1、体验内容均需要现场演示；2、UE4引擎制作的VRHTC VIVE演示DEMO两份；3、VR体验场景详细策划及分镜头脚本</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5-0分）</w:t>
            </w:r>
          </w:p>
        </w:tc>
        <w:tc>
          <w:tcPr>
            <w:tcW w:w="541" w:type="dxa"/>
            <w:noWrap w:val="0"/>
            <w:vAlign w:val="center"/>
          </w:tcPr>
          <w:p>
            <w:pPr>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88" w:type="dxa"/>
            <w:vMerge w:val="continue"/>
            <w:noWrap w:val="0"/>
            <w:vAlign w:val="center"/>
          </w:tcPr>
          <w:p>
            <w:pPr>
              <w:jc w:val="left"/>
              <w:rPr>
                <w:rFonts w:hint="eastAsia" w:ascii="宋体" w:hAnsi="宋体" w:cs="宋体"/>
                <w:bCs/>
                <w:color w:val="auto"/>
                <w:sz w:val="24"/>
                <w:szCs w:val="24"/>
              </w:rPr>
            </w:pPr>
          </w:p>
        </w:tc>
        <w:tc>
          <w:tcPr>
            <w:tcW w:w="1427" w:type="dxa"/>
            <w:vMerge w:val="continue"/>
            <w:noWrap w:val="0"/>
            <w:vAlign w:val="center"/>
          </w:tcPr>
          <w:p>
            <w:pPr>
              <w:jc w:val="left"/>
              <w:rPr>
                <w:rFonts w:hint="eastAsia" w:ascii="宋体" w:hAnsi="宋体" w:cs="宋体"/>
                <w:bCs/>
                <w:color w:val="auto"/>
                <w:sz w:val="24"/>
                <w:szCs w:val="24"/>
              </w:rPr>
            </w:pPr>
          </w:p>
        </w:tc>
        <w:tc>
          <w:tcPr>
            <w:tcW w:w="6086" w:type="dxa"/>
            <w:noWrap w:val="0"/>
            <w:vAlign w:val="center"/>
          </w:tcPr>
          <w:p>
            <w:pPr>
              <w:jc w:val="left"/>
              <w:rPr>
                <w:rFonts w:hint="default" w:ascii="宋体" w:hAnsi="宋体" w:eastAsia="宋体" w:cs="宋体"/>
                <w:color w:val="auto"/>
                <w:sz w:val="24"/>
                <w:szCs w:val="24"/>
                <w:lang w:val="en-US" w:eastAsia="zh-CN"/>
              </w:rPr>
            </w:pPr>
            <w:r>
              <w:rPr>
                <w:rFonts w:hint="eastAsia" w:ascii="宋体" w:hAnsi="宋体" w:cs="宋体"/>
                <w:b/>
                <w:bCs/>
                <w:color w:val="auto"/>
                <w:sz w:val="24"/>
                <w:szCs w:val="24"/>
              </w:rPr>
              <w:t>禁毒缉毒互动三维内容演示：</w:t>
            </w:r>
            <w:r>
              <w:rPr>
                <w:rFonts w:hint="eastAsia" w:ascii="宋体" w:hAnsi="宋体" w:cs="宋体"/>
                <w:color w:val="auto"/>
                <w:sz w:val="24"/>
                <w:szCs w:val="24"/>
              </w:rPr>
              <w:t>体验内容均需要现场演示；展示毒品对人体器官的危害及**后的状态模拟，每个板块通过3D及互动制作均需要完整的演示内容，展示内容均需要有详细策划脚本，三维动画不少于1.5分钟</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3-0分）</w:t>
            </w:r>
          </w:p>
        </w:tc>
        <w:tc>
          <w:tcPr>
            <w:tcW w:w="541" w:type="dxa"/>
            <w:noWrap w:val="0"/>
            <w:vAlign w:val="center"/>
          </w:tcPr>
          <w:p>
            <w:pPr>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88" w:type="dxa"/>
            <w:vMerge w:val="continue"/>
            <w:noWrap w:val="0"/>
            <w:vAlign w:val="center"/>
          </w:tcPr>
          <w:p>
            <w:pPr>
              <w:jc w:val="left"/>
              <w:rPr>
                <w:rFonts w:hint="eastAsia" w:ascii="宋体" w:hAnsi="宋体" w:cs="宋体"/>
                <w:bCs/>
                <w:color w:val="auto"/>
                <w:sz w:val="24"/>
                <w:szCs w:val="24"/>
              </w:rPr>
            </w:pPr>
          </w:p>
        </w:tc>
        <w:tc>
          <w:tcPr>
            <w:tcW w:w="1427" w:type="dxa"/>
            <w:vMerge w:val="continue"/>
            <w:noWrap w:val="0"/>
            <w:vAlign w:val="center"/>
          </w:tcPr>
          <w:p>
            <w:pPr>
              <w:jc w:val="left"/>
              <w:rPr>
                <w:rFonts w:hint="eastAsia" w:ascii="宋体" w:hAnsi="宋体" w:cs="宋体"/>
                <w:bCs/>
                <w:color w:val="auto"/>
                <w:sz w:val="24"/>
                <w:szCs w:val="24"/>
              </w:rPr>
            </w:pPr>
          </w:p>
        </w:tc>
        <w:tc>
          <w:tcPr>
            <w:tcW w:w="6086" w:type="dxa"/>
            <w:noWrap w:val="0"/>
            <w:vAlign w:val="center"/>
          </w:tcPr>
          <w:p>
            <w:pPr>
              <w:jc w:val="left"/>
              <w:rPr>
                <w:rFonts w:hint="default" w:ascii="宋体" w:hAnsi="宋体" w:eastAsia="宋体" w:cs="宋体"/>
                <w:color w:val="auto"/>
                <w:sz w:val="24"/>
                <w:szCs w:val="24"/>
                <w:lang w:val="en-US" w:eastAsia="zh-CN"/>
              </w:rPr>
            </w:pPr>
            <w:r>
              <w:rPr>
                <w:rFonts w:hint="eastAsia" w:ascii="宋体" w:hAnsi="宋体" w:cs="宋体"/>
                <w:b/>
                <w:bCs/>
                <w:color w:val="auto"/>
                <w:sz w:val="24"/>
                <w:szCs w:val="24"/>
              </w:rPr>
              <w:t>青少年成长安全教育体验平台演示：</w:t>
            </w:r>
            <w:r>
              <w:rPr>
                <w:rFonts w:hint="eastAsia" w:ascii="宋体" w:hAnsi="宋体" w:cs="宋体"/>
                <w:color w:val="auto"/>
                <w:sz w:val="24"/>
                <w:szCs w:val="24"/>
              </w:rPr>
              <w:t>平台内容要求达到120个以上的安全教育体验内容，</w:t>
            </w:r>
            <w:bookmarkStart w:id="28" w:name="_Hlk46581477"/>
            <w:r>
              <w:rPr>
                <w:rFonts w:hint="eastAsia" w:ascii="宋体" w:hAnsi="宋体" w:cs="宋体"/>
                <w:color w:val="auto"/>
                <w:sz w:val="24"/>
                <w:szCs w:val="24"/>
              </w:rPr>
              <w:t>列举数量清单，</w:t>
            </w:r>
            <w:bookmarkEnd w:id="28"/>
            <w:r>
              <w:rPr>
                <w:rFonts w:hint="eastAsia" w:ascii="宋体" w:hAnsi="宋体" w:cs="宋体"/>
                <w:color w:val="auto"/>
                <w:sz w:val="24"/>
                <w:szCs w:val="24"/>
              </w:rPr>
              <w:t xml:space="preserve"> 3年内免费更新，每年更新不少于15个动画展示内容；本次按照要求演示不少于40个内容，提供本次演示的详细策划分镜头脚本和原创三维图，并提供每个演示内容的完整版的原创成品动画；</w:t>
            </w:r>
            <w:r>
              <w:rPr>
                <w:rFonts w:hint="eastAsia" w:ascii="宋体" w:hAnsi="宋体" w:cs="宋体"/>
                <w:color w:val="auto"/>
                <w:kern w:val="0"/>
                <w:sz w:val="24"/>
                <w:szCs w:val="24"/>
              </w:rPr>
              <w:t>FLASH及拍摄视频剪辑视为无效样片</w:t>
            </w:r>
            <w:r>
              <w:rPr>
                <w:rFonts w:hint="eastAsia" w:ascii="宋体" w:hAnsi="宋体" w:cs="宋体"/>
                <w:color w:val="auto"/>
                <w:sz w:val="24"/>
                <w:szCs w:val="24"/>
              </w:rPr>
              <w:t>；</w:t>
            </w:r>
            <w:r>
              <w:rPr>
                <w:color w:val="auto"/>
                <w:sz w:val="24"/>
                <w:szCs w:val="32"/>
              </w:rPr>
              <w:t>问答考核</w:t>
            </w:r>
            <w:r>
              <w:rPr>
                <w:rFonts w:hint="eastAsia"/>
                <w:color w:val="auto"/>
                <w:sz w:val="24"/>
                <w:szCs w:val="32"/>
              </w:rPr>
              <w:t>每项满足10个答题，均列举，考核对</w:t>
            </w:r>
            <w:r>
              <w:rPr>
                <w:color w:val="auto"/>
                <w:sz w:val="24"/>
                <w:szCs w:val="32"/>
              </w:rPr>
              <w:t>答题进行记录统计分析</w:t>
            </w:r>
            <w:r>
              <w:rPr>
                <w:rFonts w:hint="eastAsia"/>
                <w:color w:val="auto"/>
                <w:sz w:val="24"/>
                <w:szCs w:val="32"/>
              </w:rPr>
              <w:t>功能；</w:t>
            </w:r>
            <w:r>
              <w:rPr>
                <w:rFonts w:hint="eastAsia" w:ascii="宋体" w:hAnsi="宋体" w:cs="宋体"/>
                <w:color w:val="auto"/>
                <w:kern w:val="0"/>
                <w:sz w:val="24"/>
                <w:szCs w:val="24"/>
                <w:lang w:val="zh-CN"/>
              </w:rPr>
              <w:t>演示好的得1</w:t>
            </w:r>
            <w:r>
              <w:rPr>
                <w:rFonts w:hint="eastAsia" w:ascii="宋体" w:hAnsi="宋体" w:cs="宋体"/>
                <w:color w:val="auto"/>
                <w:kern w:val="0"/>
                <w:sz w:val="24"/>
                <w:szCs w:val="24"/>
              </w:rPr>
              <w:t>6-</w:t>
            </w:r>
            <w:r>
              <w:rPr>
                <w:rFonts w:hint="eastAsia" w:ascii="宋体" w:hAnsi="宋体" w:cs="宋体"/>
                <w:color w:val="auto"/>
                <w:kern w:val="0"/>
                <w:sz w:val="24"/>
                <w:szCs w:val="24"/>
                <w:lang w:val="en-US" w:eastAsia="zh-CN"/>
              </w:rPr>
              <w:t>12</w:t>
            </w:r>
            <w:r>
              <w:rPr>
                <w:rFonts w:hint="eastAsia" w:ascii="宋体" w:hAnsi="宋体" w:cs="宋体"/>
                <w:color w:val="auto"/>
                <w:kern w:val="0"/>
                <w:sz w:val="24"/>
                <w:szCs w:val="24"/>
                <w:lang w:val="zh-CN"/>
              </w:rPr>
              <w:t>分，演示较好的得</w:t>
            </w:r>
            <w:r>
              <w:rPr>
                <w:rFonts w:hint="eastAsia" w:ascii="宋体" w:hAnsi="宋体" w:cs="宋体"/>
                <w:color w:val="auto"/>
                <w:kern w:val="0"/>
                <w:sz w:val="24"/>
                <w:szCs w:val="24"/>
                <w:lang w:val="en-US" w:eastAsia="zh-CN"/>
              </w:rPr>
              <w:t>11.9</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lang w:val="zh-CN"/>
              </w:rPr>
              <w:t>分，演示一般的得</w:t>
            </w:r>
            <w:r>
              <w:rPr>
                <w:rFonts w:hint="eastAsia" w:ascii="宋体" w:hAnsi="宋体" w:cs="宋体"/>
                <w:color w:val="auto"/>
                <w:kern w:val="0"/>
                <w:sz w:val="24"/>
                <w:szCs w:val="24"/>
                <w:lang w:val="en-US" w:eastAsia="zh-CN"/>
              </w:rPr>
              <w:t>7.9</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lang w:val="zh-CN"/>
              </w:rPr>
              <w:t>分，演示差的得</w:t>
            </w:r>
            <w:r>
              <w:rPr>
                <w:rFonts w:hint="eastAsia" w:ascii="宋体" w:hAnsi="宋体" w:cs="宋体"/>
                <w:color w:val="auto"/>
                <w:kern w:val="0"/>
                <w:sz w:val="24"/>
                <w:szCs w:val="24"/>
                <w:lang w:val="en-US" w:eastAsia="zh-CN"/>
              </w:rPr>
              <w:t>3.9-0分。</w:t>
            </w:r>
          </w:p>
        </w:tc>
        <w:tc>
          <w:tcPr>
            <w:tcW w:w="541" w:type="dxa"/>
            <w:noWrap w:val="0"/>
            <w:vAlign w:val="center"/>
          </w:tcPr>
          <w:p>
            <w:pPr>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88" w:type="dxa"/>
            <w:vMerge w:val="continue"/>
            <w:noWrap w:val="0"/>
            <w:vAlign w:val="center"/>
          </w:tcPr>
          <w:p>
            <w:pPr>
              <w:jc w:val="left"/>
              <w:rPr>
                <w:rFonts w:hint="eastAsia" w:ascii="宋体" w:hAnsi="宋体" w:cs="宋体"/>
                <w:bCs/>
                <w:color w:val="auto"/>
                <w:sz w:val="24"/>
                <w:szCs w:val="24"/>
              </w:rPr>
            </w:pPr>
          </w:p>
        </w:tc>
        <w:tc>
          <w:tcPr>
            <w:tcW w:w="1427" w:type="dxa"/>
            <w:vMerge w:val="continue"/>
            <w:noWrap w:val="0"/>
            <w:vAlign w:val="center"/>
          </w:tcPr>
          <w:p>
            <w:pPr>
              <w:jc w:val="left"/>
              <w:rPr>
                <w:rFonts w:hint="eastAsia" w:ascii="宋体" w:hAnsi="宋体" w:cs="宋体"/>
                <w:bCs/>
                <w:color w:val="auto"/>
                <w:sz w:val="24"/>
                <w:szCs w:val="24"/>
              </w:rPr>
            </w:pPr>
          </w:p>
        </w:tc>
        <w:tc>
          <w:tcPr>
            <w:tcW w:w="6086" w:type="dxa"/>
            <w:noWrap w:val="0"/>
            <w:vAlign w:val="center"/>
          </w:tcPr>
          <w:p>
            <w:pPr>
              <w:jc w:val="left"/>
              <w:rPr>
                <w:rFonts w:hint="eastAsia" w:ascii="宋体" w:hAnsi="宋体" w:cs="宋体"/>
                <w:color w:val="auto"/>
                <w:kern w:val="0"/>
                <w:sz w:val="24"/>
                <w:szCs w:val="24"/>
              </w:rPr>
            </w:pPr>
            <w:r>
              <w:rPr>
                <w:rFonts w:hint="eastAsia" w:ascii="宋体" w:hAnsi="宋体" w:cs="宋体"/>
                <w:b/>
                <w:bCs/>
                <w:color w:val="auto"/>
                <w:kern w:val="0"/>
                <w:sz w:val="24"/>
                <w:szCs w:val="24"/>
              </w:rPr>
              <w:t>飞跃临海古城展项：</w:t>
            </w:r>
            <w:r>
              <w:rPr>
                <w:rFonts w:hint="eastAsia" w:ascii="宋体" w:hAnsi="宋体" w:cs="宋体"/>
                <w:color w:val="auto"/>
                <w:kern w:val="0"/>
                <w:sz w:val="24"/>
                <w:szCs w:val="24"/>
              </w:rPr>
              <w:t>创意表现力强、有特色，具有视觉上的震撼和艺术性，展项要提供详细的策划文案及分镜头脚本。以及三维CG动画演示（临海古长城、空心敌台、临海古街、桃渚城、空心敌台、中津浮桥）：</w:t>
            </w:r>
          </w:p>
          <w:p>
            <w:pPr>
              <w:numPr>
                <w:ilvl w:val="0"/>
                <w:numId w:val="5"/>
              </w:numPr>
              <w:jc w:val="left"/>
              <w:rPr>
                <w:rFonts w:hint="eastAsia" w:ascii="宋体" w:hAnsi="宋体" w:cs="宋体"/>
                <w:color w:val="auto"/>
                <w:kern w:val="0"/>
                <w:sz w:val="24"/>
                <w:szCs w:val="24"/>
              </w:rPr>
            </w:pPr>
            <w:r>
              <w:rPr>
                <w:rFonts w:hint="eastAsia" w:ascii="宋体" w:hAnsi="宋体" w:cs="宋体"/>
                <w:color w:val="auto"/>
                <w:kern w:val="0"/>
                <w:sz w:val="24"/>
                <w:szCs w:val="24"/>
              </w:rPr>
              <w:t>原创样片时间不少于4分钟；</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5-0分）</w:t>
            </w:r>
          </w:p>
          <w:p>
            <w:pPr>
              <w:numPr>
                <w:ilvl w:val="0"/>
                <w:numId w:val="5"/>
              </w:numPr>
              <w:ind w:left="0" w:leftChars="0" w:firstLine="0" w:firstLineChars="0"/>
              <w:jc w:val="left"/>
              <w:rPr>
                <w:rFonts w:hint="eastAsia" w:ascii="宋体" w:hAnsi="宋体" w:cs="宋体"/>
                <w:color w:val="auto"/>
                <w:kern w:val="0"/>
                <w:sz w:val="24"/>
                <w:szCs w:val="24"/>
              </w:rPr>
            </w:pPr>
            <w:r>
              <w:rPr>
                <w:rFonts w:hint="eastAsia" w:ascii="宋体" w:hAnsi="宋体" w:cs="宋体"/>
                <w:color w:val="auto"/>
                <w:kern w:val="0"/>
                <w:sz w:val="24"/>
                <w:szCs w:val="24"/>
              </w:rPr>
              <w:t>必须为准确反映上述五项内容的三维CG动画标准；</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4-0分）</w:t>
            </w:r>
          </w:p>
          <w:p>
            <w:pPr>
              <w:numPr>
                <w:ilvl w:val="0"/>
                <w:numId w:val="0"/>
              </w:numPr>
              <w:ind w:leftChars="0"/>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3、FLASH及拍摄视频剪辑非三维视为无效样片；</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4-0分）</w:t>
            </w:r>
          </w:p>
          <w:p>
            <w:pPr>
              <w:numPr>
                <w:ilvl w:val="0"/>
                <w:numId w:val="0"/>
              </w:numPr>
              <w:ind w:leftChars="0"/>
              <w:jc w:val="left"/>
              <w:rPr>
                <w:rFonts w:hint="default" w:ascii="宋体" w:hAnsi="宋体" w:eastAsia="宋体" w:cs="宋体"/>
                <w:color w:val="auto"/>
                <w:sz w:val="24"/>
                <w:szCs w:val="24"/>
                <w:lang w:val="en-US" w:eastAsia="zh-CN"/>
              </w:rPr>
            </w:pPr>
            <w:r>
              <w:rPr>
                <w:rFonts w:hint="eastAsia" w:ascii="宋体" w:hAnsi="宋体" w:cs="宋体"/>
                <w:color w:val="auto"/>
                <w:kern w:val="0"/>
                <w:sz w:val="24"/>
                <w:szCs w:val="24"/>
              </w:rPr>
              <w:t>4、提供至少3分钟相对应镜头的三维动画预演（预演为三维线框或无渲染的模型动态），不提供该项的样片视为无效样片</w:t>
            </w:r>
            <w:r>
              <w:rPr>
                <w:rFonts w:hint="eastAsia" w:ascii="宋体" w:hAnsi="宋体" w:cs="宋体"/>
                <w:color w:val="auto"/>
                <w:kern w:val="0"/>
                <w:sz w:val="24"/>
                <w:szCs w:val="24"/>
                <w:lang w:val="zh-CN"/>
              </w:rPr>
              <w:t>。（</w:t>
            </w:r>
            <w:r>
              <w:rPr>
                <w:rFonts w:hint="eastAsia" w:ascii="宋体" w:hAnsi="宋体" w:cs="宋体"/>
                <w:color w:val="auto"/>
                <w:kern w:val="0"/>
                <w:sz w:val="24"/>
                <w:szCs w:val="24"/>
                <w:lang w:val="en-US" w:eastAsia="zh-CN"/>
              </w:rPr>
              <w:t>4-0分）</w:t>
            </w:r>
          </w:p>
        </w:tc>
        <w:tc>
          <w:tcPr>
            <w:tcW w:w="541" w:type="dxa"/>
            <w:noWrap w:val="0"/>
            <w:vAlign w:val="center"/>
          </w:tcPr>
          <w:p>
            <w:pPr>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88" w:type="dxa"/>
            <w:vMerge w:val="continue"/>
            <w:noWrap w:val="0"/>
            <w:vAlign w:val="center"/>
          </w:tcPr>
          <w:p>
            <w:pPr>
              <w:jc w:val="left"/>
              <w:rPr>
                <w:rFonts w:hint="eastAsia" w:ascii="宋体" w:hAnsi="宋体" w:cs="宋体"/>
                <w:bCs/>
                <w:color w:val="auto"/>
                <w:sz w:val="24"/>
                <w:szCs w:val="24"/>
              </w:rPr>
            </w:pPr>
          </w:p>
        </w:tc>
        <w:tc>
          <w:tcPr>
            <w:tcW w:w="1427" w:type="dxa"/>
            <w:vMerge w:val="continue"/>
            <w:noWrap w:val="0"/>
            <w:vAlign w:val="center"/>
          </w:tcPr>
          <w:p>
            <w:pPr>
              <w:jc w:val="left"/>
              <w:rPr>
                <w:rFonts w:hint="eastAsia" w:ascii="宋体" w:hAnsi="宋体" w:cs="宋体"/>
                <w:bCs/>
                <w:color w:val="auto"/>
                <w:sz w:val="24"/>
                <w:szCs w:val="24"/>
              </w:rPr>
            </w:pPr>
          </w:p>
        </w:tc>
        <w:tc>
          <w:tcPr>
            <w:tcW w:w="6086" w:type="dxa"/>
            <w:noWrap w:val="0"/>
            <w:vAlign w:val="center"/>
          </w:tcPr>
          <w:p>
            <w:pPr>
              <w:jc w:val="left"/>
              <w:rPr>
                <w:rFonts w:hint="default" w:ascii="宋体" w:hAnsi="宋体" w:eastAsia="宋体" w:cs="宋体"/>
                <w:color w:val="auto"/>
                <w:sz w:val="24"/>
                <w:szCs w:val="24"/>
                <w:lang w:val="en-US" w:eastAsia="zh-CN"/>
              </w:rPr>
            </w:pPr>
            <w:r>
              <w:rPr>
                <w:rFonts w:hint="eastAsia" w:ascii="宋体" w:hAnsi="宋体" w:cs="宋体"/>
                <w:b/>
                <w:bCs/>
                <w:color w:val="auto"/>
                <w:sz w:val="24"/>
                <w:szCs w:val="24"/>
              </w:rPr>
              <w:t>垃圾分类互动演示：</w:t>
            </w:r>
            <w:r>
              <w:rPr>
                <w:rFonts w:hint="eastAsia" w:ascii="宋体" w:hAnsi="宋体" w:cs="宋体"/>
                <w:color w:val="auto"/>
                <w:sz w:val="24"/>
                <w:szCs w:val="24"/>
              </w:rPr>
              <w:t>体验内容均需要现场演示；采用UE4制作，包含垃圾分类连连看、垃圾分类互动识别、垃圾识别与分类互动、不文明行为互动，场景全部采用3D的制作方式；展示内容均需要有详细策划脚本和现场视频演示，演示时间不少于2分钟</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3-0分）</w:t>
            </w:r>
          </w:p>
        </w:tc>
        <w:tc>
          <w:tcPr>
            <w:tcW w:w="541" w:type="dxa"/>
            <w:noWrap w:val="0"/>
            <w:vAlign w:val="center"/>
          </w:tcPr>
          <w:p>
            <w:pPr>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88" w:type="dxa"/>
            <w:noWrap w:val="0"/>
            <w:vAlign w:val="center"/>
          </w:tcPr>
          <w:p>
            <w:pPr>
              <w:jc w:val="left"/>
              <w:rPr>
                <w:rFonts w:hint="eastAsia" w:ascii="宋体" w:hAnsi="宋体" w:cs="宋体"/>
                <w:bCs/>
                <w:color w:val="auto"/>
                <w:sz w:val="24"/>
                <w:szCs w:val="24"/>
              </w:rPr>
            </w:pPr>
            <w:r>
              <w:rPr>
                <w:rFonts w:hint="eastAsia" w:ascii="宋体" w:hAnsi="宋体" w:cs="宋体"/>
                <w:bCs/>
                <w:color w:val="auto"/>
                <w:sz w:val="24"/>
                <w:szCs w:val="24"/>
              </w:rPr>
              <w:t>3</w:t>
            </w:r>
          </w:p>
        </w:tc>
        <w:tc>
          <w:tcPr>
            <w:tcW w:w="1427" w:type="dxa"/>
            <w:noWrap w:val="0"/>
            <w:vAlign w:val="center"/>
          </w:tcPr>
          <w:p>
            <w:pPr>
              <w:jc w:val="left"/>
              <w:rPr>
                <w:rFonts w:hint="eastAsia" w:ascii="宋体" w:hAnsi="宋体" w:cs="宋体"/>
                <w:bCs/>
                <w:color w:val="auto"/>
                <w:sz w:val="24"/>
                <w:szCs w:val="24"/>
              </w:rPr>
            </w:pPr>
            <w:r>
              <w:rPr>
                <w:rFonts w:hint="eastAsia" w:ascii="宋体" w:hAnsi="宋体" w:cs="宋体"/>
                <w:bCs/>
                <w:color w:val="auto"/>
                <w:sz w:val="24"/>
                <w:szCs w:val="24"/>
              </w:rPr>
              <w:t>售后服务、培训（1分）</w:t>
            </w:r>
          </w:p>
        </w:tc>
        <w:tc>
          <w:tcPr>
            <w:tcW w:w="6086" w:type="dxa"/>
            <w:noWrap w:val="0"/>
            <w:vAlign w:val="center"/>
          </w:tcPr>
          <w:p>
            <w:pPr>
              <w:jc w:val="left"/>
              <w:rPr>
                <w:rFonts w:hint="default" w:ascii="宋体" w:hAnsi="宋体" w:eastAsia="宋体" w:cs="宋体"/>
                <w:color w:val="auto"/>
                <w:sz w:val="24"/>
                <w:szCs w:val="24"/>
                <w:lang w:val="en-US" w:eastAsia="zh-CN"/>
              </w:rPr>
            </w:pPr>
            <w:r>
              <w:rPr>
                <w:rFonts w:hint="eastAsia" w:ascii="宋体" w:hAnsi="宋体" w:cs="宋体"/>
                <w:color w:val="auto"/>
                <w:sz w:val="24"/>
                <w:szCs w:val="24"/>
              </w:rPr>
              <w:t>由各评委对供应商的售后服务保障承诺、售后服务机构设置和保修条款进行评估打分，能承诺标书中售后服务要求</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1-0分）</w:t>
            </w:r>
          </w:p>
        </w:tc>
        <w:tc>
          <w:tcPr>
            <w:tcW w:w="541" w:type="dxa"/>
            <w:noWrap w:val="0"/>
            <w:vAlign w:val="center"/>
          </w:tcPr>
          <w:p>
            <w:pPr>
              <w:jc w:val="center"/>
              <w:rPr>
                <w:rFonts w:hint="eastAsia" w:ascii="宋体" w:hAnsi="宋体" w:cs="宋体"/>
                <w:color w:val="auto"/>
                <w:sz w:val="24"/>
                <w:szCs w:val="24"/>
              </w:rPr>
            </w:pPr>
          </w:p>
        </w:tc>
      </w:tr>
    </w:tbl>
    <w:p>
      <w:pPr>
        <w:jc w:val="left"/>
        <w:rPr>
          <w:rFonts w:hint="eastAsia" w:hAnsi="宋体"/>
          <w:color w:val="auto"/>
          <w:sz w:val="24"/>
        </w:rPr>
      </w:pPr>
    </w:p>
    <w:p>
      <w:pPr>
        <w:spacing w:line="360" w:lineRule="auto"/>
        <w:jc w:val="left"/>
        <w:rPr>
          <w:rFonts w:hint="eastAsia" w:hAnsi="宋体"/>
          <w:sz w:val="24"/>
        </w:rPr>
      </w:pPr>
      <w:r>
        <w:rPr>
          <w:rFonts w:hint="eastAsia" w:hAnsi="宋体"/>
          <w:sz w:val="24"/>
        </w:rPr>
        <w:t xml:space="preserve"> </w:t>
      </w:r>
    </w:p>
    <w:p>
      <w:pPr>
        <w:spacing w:line="360" w:lineRule="auto"/>
        <w:jc w:val="left"/>
        <w:rPr>
          <w:rFonts w:hint="eastAsia"/>
          <w:sz w:val="24"/>
        </w:rPr>
      </w:pPr>
      <w:r>
        <w:rPr>
          <w:rFonts w:hint="eastAsia"/>
          <w:b/>
          <w:bCs/>
          <w:sz w:val="28"/>
          <w:szCs w:val="28"/>
        </w:rPr>
        <w:t>演示内容要求：</w:t>
      </w:r>
    </w:p>
    <w:p>
      <w:pPr>
        <w:spacing w:line="360" w:lineRule="auto"/>
        <w:rPr>
          <w:rFonts w:hint="eastAsia" w:ascii="宋体" w:hAnsi="宋体" w:cs="宋体"/>
          <w:bCs/>
          <w:sz w:val="24"/>
        </w:rPr>
      </w:pPr>
      <w:r>
        <w:rPr>
          <w:rFonts w:hint="eastAsia" w:ascii="宋体" w:hAnsi="宋体" w:cs="宋体"/>
          <w:b/>
          <w:bCs/>
          <w:kern w:val="0"/>
          <w:sz w:val="24"/>
        </w:rPr>
        <w:t>VR灭火器使用演示及消防逃生演示：</w:t>
      </w:r>
      <w:r>
        <w:rPr>
          <w:rFonts w:hint="eastAsia" w:ascii="宋体" w:hAnsi="宋体" w:cs="宋体"/>
          <w:bCs/>
          <w:sz w:val="24"/>
        </w:rPr>
        <w:t>1、不同种类的灭火器对应不同种类的火源，每个灭火器的使用等；2、熟睡中的主人公被火灾警报器吵醒，进入卫生间取毛巾弄湿捂住口鼻，取出灭火器，拔出灭火器栓，进入火场进行灭火，灭火后逃生；3、高空逃生，若火灾发生在高层，则主人公通过高空逃生索逃生，本VR包含两种逃生方式，第一人称和第三人称相互结合的方式，场景包括：卧室、客厅、厨房、楼道，电梯厅等；</w:t>
      </w:r>
    </w:p>
    <w:p>
      <w:pPr>
        <w:spacing w:line="360" w:lineRule="auto"/>
        <w:rPr>
          <w:rFonts w:hint="eastAsia" w:ascii="宋体" w:hAnsi="宋体" w:cs="宋体"/>
          <w:b/>
          <w:bCs/>
          <w:kern w:val="0"/>
          <w:sz w:val="24"/>
        </w:rPr>
      </w:pPr>
      <w:r>
        <w:rPr>
          <w:rFonts w:hint="eastAsia" w:ascii="宋体" w:hAnsi="宋体" w:cs="宋体"/>
          <w:b/>
          <w:bCs/>
          <w:kern w:val="0"/>
          <w:sz w:val="24"/>
        </w:rPr>
        <w:t>VR**演示：</w:t>
      </w:r>
    </w:p>
    <w:p>
      <w:pPr>
        <w:spacing w:line="360" w:lineRule="auto"/>
        <w:rPr>
          <w:rFonts w:hint="eastAsia" w:ascii="宋体" w:hAnsi="宋体" w:cs="宋体"/>
          <w:kern w:val="0"/>
          <w:sz w:val="24"/>
        </w:rPr>
      </w:pPr>
      <w:r>
        <w:rPr>
          <w:rFonts w:hint="eastAsia" w:ascii="宋体" w:hAnsi="宋体" w:cs="宋体"/>
          <w:b/>
          <w:bCs/>
          <w:kern w:val="0"/>
          <w:sz w:val="24"/>
        </w:rPr>
        <w:t>场景一：</w:t>
      </w:r>
      <w:r>
        <w:rPr>
          <w:rFonts w:hint="eastAsia" w:ascii="宋体" w:hAnsi="宋体" w:cs="宋体"/>
          <w:kern w:val="0"/>
          <w:sz w:val="24"/>
        </w:rPr>
        <w:t>体验在学校遭遇恐怖袭击的场景，如怎样逃跑、怎样躲藏、以及在无法逃跑躲藏情况下，如何与恐怖分子进行搏斗以争取逃生机会。</w:t>
      </w:r>
    </w:p>
    <w:p>
      <w:pPr>
        <w:spacing w:line="360" w:lineRule="auto"/>
        <w:rPr>
          <w:rFonts w:hint="eastAsia" w:ascii="宋体" w:hAnsi="宋体" w:cs="宋体"/>
          <w:kern w:val="0"/>
          <w:szCs w:val="21"/>
        </w:rPr>
      </w:pPr>
      <w:r>
        <w:rPr>
          <w:rFonts w:hint="eastAsia" w:ascii="宋体" w:hAnsi="宋体" w:cs="宋体"/>
          <w:kern w:val="0"/>
          <w:sz w:val="24"/>
        </w:rPr>
        <w:t>遇到恐怖袭击的“三准则” （1）跑：不围观，立即撤离跑开； （2）躲：如果正处在恐怖袭击事件现场，且无法逃避时，应利用地形、遮蔽物遮掩、躲藏； （3）拼：无法安全撤离或隐藏时，应该勇敢反抗，利用随身携带物品和随手能拿到的物品作为武器与暴徒进行搏斗，同时，鼓励身边其他人一起与暴徒进行搏斗。</w:t>
      </w:r>
      <w:r>
        <w:rPr>
          <w:rFonts w:hint="eastAsia" w:ascii="宋体" w:hAnsi="宋体" w:cs="宋体"/>
          <w:kern w:val="0"/>
          <w:szCs w:val="21"/>
        </w:rPr>
        <w:t xml:space="preserve"> </w:t>
      </w:r>
    </w:p>
    <w:p>
      <w:pPr>
        <w:spacing w:line="360" w:lineRule="auto"/>
        <w:rPr>
          <w:rFonts w:hint="eastAsia" w:ascii="宋体" w:hAnsi="宋体" w:cs="宋体"/>
          <w:bCs/>
          <w:sz w:val="24"/>
        </w:rPr>
      </w:pPr>
      <w:r>
        <w:rPr>
          <w:rFonts w:hint="eastAsia" w:ascii="宋体" w:hAnsi="宋体" w:cs="宋体"/>
          <w:b/>
          <w:sz w:val="24"/>
        </w:rPr>
        <w:t>场景二：</w:t>
      </w:r>
      <w:r>
        <w:rPr>
          <w:rFonts w:hint="eastAsia" w:ascii="宋体" w:hAnsi="宋体" w:cs="宋体"/>
          <w:bCs/>
          <w:sz w:val="24"/>
        </w:rPr>
        <w:t>场景中互相配合的体验游戏，情景设置在一辆公交车上，恐怖分子携带了一个包裹，发现危险行为，请立即通知司机停车。司机停车、打开车门、拔出钥匙。年轻女子惊恐地往里面座位退，并在手机上拨打报警电话。中年男子率先冲向恐怖分子，去夺他的汽油瓶，恐怖分子前面的年轻男子A立即将恐怖分子座位边的背包拎走，顺手甩到车厢前部地上，然后也冲上去与恐怖分子搏斗。在搏斗的过程中恐怖分子的打火机被打落，搏斗3秒后画面定格，系统提示，是否提醒其他人将其他可燃液体带走。选择同意，会出现大妈听到体验者呼喊，趁机将恐怖分子的黑色提包拿着快速下车跑开的画面。选择不同意则继续下面的情节，恐怖分子看到几名乘客要来阻止他立即从身上抽出一把匕首划向周边试图与他搏斗的人，几人纷纷向后退了退。司机也正从驾驶座上走过来，5名男子一起半围着戴帽男子，试图上前制止他，用背包、袋子甩打戴帽男子。车厢后的年轻女子成功拨打报警电话；</w:t>
      </w:r>
    </w:p>
    <w:p>
      <w:pPr>
        <w:spacing w:line="360" w:lineRule="auto"/>
        <w:rPr>
          <w:rFonts w:hint="eastAsia" w:ascii="宋体" w:hAnsi="宋体" w:cs="宋体"/>
          <w:sz w:val="24"/>
        </w:rPr>
      </w:pPr>
      <w:r>
        <w:rPr>
          <w:rFonts w:hint="eastAsia" w:ascii="宋体" w:hAnsi="宋体" w:cs="宋体"/>
          <w:b/>
          <w:bCs/>
          <w:kern w:val="0"/>
          <w:sz w:val="24"/>
        </w:rPr>
        <w:t>青少年成长安全教育体验平台演示：</w:t>
      </w:r>
      <w:r>
        <w:rPr>
          <w:rFonts w:hint="eastAsia" w:ascii="宋体" w:hAnsi="宋体" w:cs="宋体"/>
          <w:kern w:val="0"/>
          <w:sz w:val="24"/>
        </w:rPr>
        <w:t>平台内容要求达到120个以上的安全教育体验内容，列举数量清单，3年内免费更新，每年更新不少于15个动画展示内容；</w:t>
      </w:r>
      <w:r>
        <w:rPr>
          <w:rFonts w:hint="eastAsia" w:ascii="宋体" w:hAnsi="宋体" w:cs="宋体"/>
          <w:b/>
          <w:bCs/>
          <w:kern w:val="0"/>
          <w:sz w:val="24"/>
        </w:rPr>
        <w:t>本次按照要求演示不少于40个内容，演示的内容包含以下内容：包含被动物咬伤怎么办？被人跟踪怎么办？乘坐地铁安全须知、搭乘扶梯安全注意事项、电梯坠落安全常识、如何做到预防踩踏事故、火灾安全防范小学篇、火灾安全防范中学篇、用电安全常识、溺水救助、骑自行车安全注意事项、燃气泄露的处理方式、遇到拐骗怎么办、食物中毒预防常识、小学生交通安全注意事项、流行感冒的预防、在电梯中被困怎么办、在家里如何正确避震、在学校如何正确避震、课后游戏安全常识 、骨折急救应急处理、脚扭伤了怎么办 、流鼻血了怎么办 、日常刀具使用安全常识、如何预防网瘾、小学生防煤气安全知识 、小学生课间安全教育、预防中暑 、遇到绑架怎么办、饮食卫生安全常识、外伤急救之包扎、心肺复苏技巧及方法、烫伤怎么处理、护眼小常识、乘坐公交安全须知、怎么样防止被诈骗、空调房让我生病了、防雷知识、如何面对校园霸凌、鱼刺卡喉怎么办？；</w:t>
      </w:r>
      <w:r>
        <w:rPr>
          <w:rFonts w:ascii="宋体" w:hAnsi="宋体" w:cs="宋体"/>
          <w:b/>
          <w:bCs/>
          <w:kern w:val="0"/>
          <w:sz w:val="24"/>
        </w:rPr>
        <w:t>问答考核每项</w:t>
      </w:r>
      <w:r>
        <w:rPr>
          <w:rFonts w:hint="eastAsia" w:ascii="宋体" w:hAnsi="宋体" w:cs="宋体"/>
          <w:b/>
          <w:bCs/>
          <w:kern w:val="0"/>
          <w:sz w:val="24"/>
        </w:rPr>
        <w:t>满足10个答题，均列举，考核对</w:t>
      </w:r>
      <w:r>
        <w:rPr>
          <w:rFonts w:ascii="宋体" w:hAnsi="宋体" w:cs="宋体"/>
          <w:b/>
          <w:bCs/>
          <w:kern w:val="0"/>
          <w:sz w:val="24"/>
        </w:rPr>
        <w:t>答题进行记录统计分析</w:t>
      </w:r>
      <w:r>
        <w:rPr>
          <w:rFonts w:hint="eastAsia" w:ascii="宋体" w:hAnsi="宋体" w:cs="宋体"/>
          <w:b/>
          <w:bCs/>
          <w:kern w:val="0"/>
          <w:sz w:val="24"/>
        </w:rPr>
        <w:t>功能</w:t>
      </w:r>
      <w:r>
        <w:rPr>
          <w:rFonts w:ascii="宋体" w:hAnsi="宋体" w:cs="宋体"/>
          <w:b/>
          <w:bCs/>
          <w:kern w:val="0"/>
          <w:sz w:val="24"/>
        </w:rPr>
        <w:t>；</w:t>
      </w:r>
      <w:r>
        <w:rPr>
          <w:rFonts w:hint="eastAsia" w:ascii="宋体" w:hAnsi="宋体" w:cs="宋体"/>
          <w:b/>
          <w:bCs/>
          <w:kern w:val="0"/>
          <w:sz w:val="24"/>
        </w:rPr>
        <w:t>完整视频格式：PAL1920*1080，其中至少30个内容以上要求均同时具有720度全景视频格式</w:t>
      </w:r>
      <w:r>
        <w:rPr>
          <w:rFonts w:hint="eastAsia" w:ascii="宋体" w:hAnsi="宋体" w:cs="宋体"/>
          <w:kern w:val="0"/>
          <w:sz w:val="24"/>
        </w:rPr>
        <w:t>，三维动画模式，以上要求均需现场演示；</w:t>
      </w:r>
    </w:p>
    <w:p>
      <w:pPr>
        <w:spacing w:line="360" w:lineRule="auto"/>
        <w:rPr>
          <w:rFonts w:ascii="宋体" w:hAnsi="宋体" w:cs="宋体"/>
          <w:bCs/>
          <w:sz w:val="24"/>
        </w:rPr>
      </w:pPr>
      <w:r>
        <w:rPr>
          <w:rFonts w:hint="eastAsia" w:ascii="宋体" w:hAnsi="宋体" w:cs="宋体"/>
          <w:b/>
          <w:bCs/>
          <w:kern w:val="0"/>
          <w:sz w:val="24"/>
        </w:rPr>
        <w:t>飞跃古城展项演示：</w:t>
      </w:r>
      <w:r>
        <w:rPr>
          <w:rFonts w:hint="eastAsia" w:ascii="宋体" w:hAnsi="宋体" w:cs="宋体"/>
          <w:kern w:val="0"/>
          <w:sz w:val="24"/>
        </w:rPr>
        <w:t>临海古长城、空心敌台</w:t>
      </w:r>
      <w:r>
        <w:rPr>
          <w:rFonts w:hint="eastAsia" w:ascii="宋体" w:hAnsi="宋体" w:cs="宋体"/>
          <w:bCs/>
          <w:sz w:val="24"/>
        </w:rPr>
        <w:t>、临海古街、桃渚城、空心敌台、中津浮桥等模型均要根据历史遗迹或真实场景建模，能准确的复原和还原历史造型，外部构造，内容构造等，CG动画电影标准，三维动画时长不少于3分钟，角色人物不少于10个，且分别具有不同的状态演绎，布料、粒子、燃烧、烟雾等动态物理学运算模拟，分辨率：2K高清 PLA制式，MP4格式；</w:t>
      </w:r>
    </w:p>
    <w:p>
      <w:pPr>
        <w:spacing w:before="120" w:beforeLines="50" w:after="120" w:afterLines="50" w:line="400" w:lineRule="exact"/>
        <w:ind w:right="480" w:firstLine="361" w:firstLineChars="150"/>
        <w:rPr>
          <w:rFonts w:ascii="宋体" w:hAnsi="宋体"/>
          <w:b/>
          <w:bCs/>
          <w:color w:val="000000"/>
          <w:sz w:val="24"/>
        </w:rPr>
      </w:pPr>
      <w:r>
        <w:rPr>
          <w:rFonts w:hint="eastAsia" w:ascii="宋体" w:hAnsi="宋体"/>
          <w:b/>
          <w:bCs/>
          <w:color w:val="000000"/>
          <w:sz w:val="24"/>
        </w:rPr>
        <w:t>（三）商务技术分的计算方式</w:t>
      </w:r>
    </w:p>
    <w:p>
      <w:pPr>
        <w:spacing w:line="360" w:lineRule="exact"/>
        <w:ind w:firstLine="480" w:firstLineChars="200"/>
        <w:rPr>
          <w:rFonts w:ascii="宋体" w:hAnsi="宋体"/>
          <w:color w:val="000000"/>
          <w:sz w:val="24"/>
        </w:rPr>
      </w:pPr>
      <w:r>
        <w:rPr>
          <w:rFonts w:hint="eastAsia" w:ascii="宋体" w:hAnsi="宋体"/>
          <w:color w:val="000000"/>
          <w:sz w:val="24"/>
        </w:rPr>
        <w:t>商务技术分按照评标委员会成员的独立评分结果汇总后，取全部评标委员会成员评分值的算术平均分，计算公式为：</w:t>
      </w:r>
    </w:p>
    <w:p>
      <w:pPr>
        <w:spacing w:line="360" w:lineRule="exact"/>
        <w:ind w:firstLine="495"/>
        <w:rPr>
          <w:rFonts w:ascii="宋体" w:hAnsi="宋体"/>
          <w:color w:val="000000"/>
          <w:sz w:val="24"/>
        </w:rPr>
      </w:pPr>
      <w:r>
        <w:rPr>
          <w:rFonts w:hint="eastAsia" w:ascii="宋体" w:hAnsi="宋体"/>
          <w:color w:val="000000"/>
          <w:sz w:val="24"/>
        </w:rPr>
        <w:t>商务技术分=（评标委员会所有成员评分合计数）/（评标委员会组成人员数）</w:t>
      </w:r>
    </w:p>
    <w:p>
      <w:pPr>
        <w:pStyle w:val="21"/>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三、投标人义务</w:t>
      </w:r>
    </w:p>
    <w:p>
      <w:pPr>
        <w:pStyle w:val="21"/>
        <w:spacing w:before="120" w:beforeLines="50" w:after="120" w:afterLines="50" w:line="360" w:lineRule="auto"/>
        <w:ind w:firstLine="464" w:firstLineChars="200"/>
        <w:rPr>
          <w:rFonts w:hint="eastAsia" w:hAnsi="宋体"/>
          <w:bCs/>
          <w:color w:val="000000"/>
          <w:sz w:val="24"/>
          <w:szCs w:val="24"/>
        </w:rPr>
      </w:pPr>
      <w:r>
        <w:rPr>
          <w:rFonts w:hint="eastAsia" w:hAnsi="宋体"/>
          <w:bCs/>
          <w:color w:val="000000"/>
          <w:sz w:val="24"/>
          <w:szCs w:val="24"/>
        </w:rPr>
        <w:t>评标期间，投标人应随时随地答复评标委员会的询标，解答包括有关的商务、技术问题等。</w:t>
      </w:r>
    </w:p>
    <w:p>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采购项目评分索引表（范例）</w:t>
      </w:r>
    </w:p>
    <w:p>
      <w:pPr>
        <w:snapToGrid w:val="0"/>
        <w:spacing w:before="100" w:beforeAutospacing="1" w:after="100" w:afterAutospacing="1" w:line="400" w:lineRule="exact"/>
        <w:jc w:val="left"/>
        <w:rPr>
          <w:rFonts w:hint="eastAsia" w:ascii="宋体" w:hAnsi="宋体"/>
          <w:spacing w:val="-4"/>
          <w:sz w:val="24"/>
        </w:rPr>
      </w:pPr>
      <w:r>
        <w:rPr>
          <w:rFonts w:hint="eastAsia" w:ascii="宋体" w:hAnsi="宋体"/>
          <w:b/>
          <w:spacing w:val="-4"/>
          <w:sz w:val="24"/>
        </w:rPr>
        <w:t>（本采购项目评分索引表</w:t>
      </w:r>
      <w:r>
        <w:rPr>
          <w:rFonts w:ascii="宋体" w:hAnsi="宋体"/>
          <w:b/>
          <w:spacing w:val="-4"/>
          <w:sz w:val="24"/>
        </w:rPr>
        <w:t>放在商务技术文件目录的前</w:t>
      </w:r>
      <w:r>
        <w:rPr>
          <w:rFonts w:hint="eastAsia" w:ascii="宋体" w:hAnsi="宋体"/>
          <w:b/>
          <w:spacing w:val="-4"/>
          <w:sz w:val="24"/>
        </w:rPr>
        <w:t>页</w:t>
      </w:r>
      <w:r>
        <w:rPr>
          <w:rFonts w:ascii="宋体" w:hAnsi="宋体"/>
          <w:b/>
          <w:spacing w:val="-4"/>
          <w:sz w:val="24"/>
        </w:rPr>
        <w:t>，</w:t>
      </w:r>
      <w:r>
        <w:rPr>
          <w:rFonts w:hint="eastAsia" w:ascii="宋体" w:hAnsi="宋体"/>
          <w:b/>
          <w:spacing w:val="-4"/>
          <w:sz w:val="24"/>
        </w:rPr>
        <w:t>以方便评委进行评审)</w:t>
      </w:r>
    </w:p>
    <w:p>
      <w:pPr>
        <w:rPr>
          <w:rFonts w:hint="eastAsia" w:ascii="宋体" w:hAnsi="宋体"/>
          <w:b/>
          <w:color w:val="000000"/>
          <w:sz w:val="24"/>
        </w:rPr>
      </w:pPr>
      <w:r>
        <w:rPr>
          <w:rFonts w:hint="eastAsia" w:ascii="宋体" w:hAnsi="宋体"/>
          <w:b/>
          <w:color w:val="000000"/>
          <w:sz w:val="24"/>
        </w:rPr>
        <w:t>项目名称：</w:t>
      </w:r>
    </w:p>
    <w:p>
      <w:pPr>
        <w:rPr>
          <w:rFonts w:ascii="宋体" w:hAnsi="宋体"/>
          <w:b/>
          <w:color w:val="000000"/>
          <w:sz w:val="24"/>
        </w:rPr>
      </w:pPr>
    </w:p>
    <w:p>
      <w:pPr>
        <w:rPr>
          <w:rFonts w:ascii="宋体" w:hAnsi="宋体"/>
          <w:b/>
          <w:color w:val="000000"/>
          <w:sz w:val="24"/>
        </w:rPr>
      </w:pPr>
      <w:r>
        <w:rPr>
          <w:rFonts w:hint="eastAsia" w:ascii="宋体" w:hAnsi="宋体"/>
          <w:b/>
          <w:color w:val="000000"/>
          <w:sz w:val="24"/>
        </w:rPr>
        <w:t>投标人名称：</w:t>
      </w:r>
    </w:p>
    <w:p>
      <w:pPr>
        <w:rPr>
          <w:rFonts w:hint="eastAsia" w:ascii="宋体" w:hAnsi="宋体"/>
          <w:b/>
          <w:color w:val="000000"/>
          <w:sz w:val="24"/>
        </w:rPr>
      </w:pPr>
    </w:p>
    <w:p>
      <w:pPr>
        <w:rPr>
          <w:rFonts w:ascii="宋体" w:hAnsi="宋体"/>
          <w:b/>
          <w:color w:val="000000"/>
          <w:sz w:val="24"/>
        </w:rPr>
      </w:pPr>
      <w:r>
        <w:rPr>
          <w:rFonts w:hint="eastAsia" w:ascii="宋体" w:hAnsi="宋体"/>
          <w:b/>
          <w:color w:val="000000"/>
          <w:sz w:val="24"/>
        </w:rPr>
        <w:t xml:space="preserve"> </w:t>
      </w:r>
    </w:p>
    <w:tbl>
      <w:tblPr>
        <w:tblStyle w:val="48"/>
        <w:tblW w:w="893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3610"/>
        <w:gridCol w:w="1134"/>
        <w:gridCol w:w="1276"/>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4116" w:type="dxa"/>
            <w:gridSpan w:val="2"/>
            <w:noWrap w:val="0"/>
            <w:vAlign w:val="center"/>
          </w:tcPr>
          <w:p>
            <w:pPr>
              <w:widowControl/>
              <w:jc w:val="center"/>
              <w:rPr>
                <w:rFonts w:ascii="宋体" w:hAnsi="宋体"/>
                <w:color w:val="000000"/>
                <w:szCs w:val="21"/>
              </w:rPr>
            </w:pPr>
            <w:r>
              <w:rPr>
                <w:rFonts w:hint="eastAsia" w:ascii="宋体" w:hAnsi="宋体"/>
                <w:color w:val="000000"/>
                <w:szCs w:val="21"/>
              </w:rPr>
              <w:t>评标内容</w:t>
            </w:r>
          </w:p>
        </w:tc>
        <w:tc>
          <w:tcPr>
            <w:tcW w:w="1134" w:type="dxa"/>
            <w:noWrap w:val="0"/>
            <w:vAlign w:val="center"/>
          </w:tcPr>
          <w:p>
            <w:pPr>
              <w:widowControl/>
              <w:jc w:val="center"/>
              <w:rPr>
                <w:rFonts w:ascii="宋体"/>
                <w:color w:val="000000"/>
                <w:szCs w:val="21"/>
              </w:rPr>
            </w:pPr>
            <w:r>
              <w:rPr>
                <w:rFonts w:hint="eastAsia" w:ascii="宋体"/>
                <w:color w:val="000000"/>
                <w:szCs w:val="21"/>
              </w:rPr>
              <w:t>分值</w:t>
            </w:r>
          </w:p>
        </w:tc>
        <w:tc>
          <w:tcPr>
            <w:tcW w:w="1276" w:type="dxa"/>
            <w:noWrap w:val="0"/>
            <w:vAlign w:val="center"/>
          </w:tcPr>
          <w:p>
            <w:pPr>
              <w:widowControl/>
              <w:jc w:val="center"/>
              <w:rPr>
                <w:rFonts w:ascii="宋体"/>
                <w:color w:val="000000"/>
                <w:szCs w:val="21"/>
              </w:rPr>
            </w:pPr>
            <w:r>
              <w:rPr>
                <w:rFonts w:hint="eastAsia" w:ascii="宋体" w:hAnsi="宋体"/>
                <w:color w:val="000000"/>
                <w:szCs w:val="21"/>
              </w:rPr>
              <w:t>投标文件响应页码</w:t>
            </w:r>
          </w:p>
        </w:tc>
        <w:tc>
          <w:tcPr>
            <w:tcW w:w="2412" w:type="dxa"/>
            <w:noWrap w:val="0"/>
            <w:vAlign w:val="center"/>
          </w:tcPr>
          <w:p>
            <w:pPr>
              <w:widowControl/>
              <w:jc w:val="center"/>
              <w:rPr>
                <w:rFonts w:hint="eastAsia" w:ascii="宋体" w:hAnsi="宋体"/>
                <w:color w:val="000000"/>
                <w:szCs w:val="21"/>
              </w:rPr>
            </w:pPr>
            <w:r>
              <w:rPr>
                <w:rFonts w:hint="eastAsia" w:ascii="宋体" w:hAnsi="宋体"/>
                <w:color w:val="000000"/>
                <w:szCs w:val="21"/>
              </w:rPr>
              <w:t>需要说明内容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06" w:type="dxa"/>
            <w:noWrap w:val="0"/>
            <w:vAlign w:val="center"/>
          </w:tcPr>
          <w:p>
            <w:pPr>
              <w:jc w:val="center"/>
              <w:rPr>
                <w:rFonts w:ascii="宋体" w:hAnsi="宋体"/>
                <w:bCs/>
                <w:color w:val="000000"/>
                <w:sz w:val="24"/>
              </w:rPr>
            </w:pPr>
            <w:r>
              <w:rPr>
                <w:rFonts w:ascii="宋体" w:hAnsi="宋体"/>
                <w:bCs/>
                <w:color w:val="000000"/>
                <w:sz w:val="24"/>
              </w:rPr>
              <w:t>1</w:t>
            </w:r>
          </w:p>
        </w:tc>
        <w:tc>
          <w:tcPr>
            <w:tcW w:w="3610" w:type="dxa"/>
            <w:noWrap w:val="0"/>
            <w:vAlign w:val="center"/>
          </w:tcPr>
          <w:p>
            <w:pPr>
              <w:rPr>
                <w:rFonts w:hint="eastAsia"/>
                <w:sz w:val="24"/>
              </w:rPr>
            </w:pPr>
            <w:r>
              <w:rPr>
                <w:rFonts w:hint="eastAsia" w:ascii="宋体" w:hAnsi="宋体" w:cs="宋体"/>
                <w:bCs/>
                <w:szCs w:val="21"/>
              </w:rPr>
              <w:t>展馆方案设计</w:t>
            </w:r>
          </w:p>
        </w:tc>
        <w:tc>
          <w:tcPr>
            <w:tcW w:w="1134" w:type="dxa"/>
            <w:noWrap w:val="0"/>
            <w:vAlign w:val="center"/>
          </w:tcPr>
          <w:p>
            <w:pPr>
              <w:jc w:val="center"/>
              <w:rPr>
                <w:rFonts w:ascii="宋体"/>
                <w:color w:val="000000"/>
                <w:sz w:val="24"/>
              </w:rPr>
            </w:pPr>
            <w:r>
              <w:rPr>
                <w:rFonts w:hint="eastAsia" w:ascii="宋体"/>
                <w:color w:val="000000"/>
                <w:sz w:val="24"/>
              </w:rPr>
              <w:t>26分</w:t>
            </w:r>
          </w:p>
        </w:tc>
        <w:tc>
          <w:tcPr>
            <w:tcW w:w="1276" w:type="dxa"/>
            <w:noWrap w:val="0"/>
            <w:vAlign w:val="center"/>
          </w:tcPr>
          <w:p>
            <w:pPr>
              <w:jc w:val="left"/>
              <w:rPr>
                <w:rFonts w:ascii="宋体"/>
                <w:bCs/>
                <w:color w:val="000000"/>
                <w:szCs w:val="21"/>
              </w:rPr>
            </w:pPr>
          </w:p>
        </w:tc>
        <w:tc>
          <w:tcPr>
            <w:tcW w:w="2412" w:type="dxa"/>
            <w:noWrap w:val="0"/>
            <w:vAlign w:val="top"/>
          </w:tcPr>
          <w:p>
            <w:pPr>
              <w:rPr>
                <w:rFonts w:hint="eastAsia" w:asci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506" w:type="dxa"/>
            <w:noWrap w:val="0"/>
            <w:vAlign w:val="center"/>
          </w:tcPr>
          <w:p>
            <w:pPr>
              <w:jc w:val="center"/>
              <w:rPr>
                <w:rFonts w:ascii="宋体" w:hAnsi="宋体"/>
                <w:bCs/>
                <w:color w:val="000000"/>
                <w:sz w:val="24"/>
              </w:rPr>
            </w:pPr>
            <w:r>
              <w:rPr>
                <w:rFonts w:ascii="宋体" w:hAnsi="宋体"/>
                <w:bCs/>
                <w:color w:val="000000"/>
                <w:sz w:val="24"/>
              </w:rPr>
              <w:t>2</w:t>
            </w:r>
          </w:p>
        </w:tc>
        <w:tc>
          <w:tcPr>
            <w:tcW w:w="3610" w:type="dxa"/>
            <w:noWrap w:val="0"/>
            <w:vAlign w:val="center"/>
          </w:tcPr>
          <w:p>
            <w:pPr>
              <w:rPr>
                <w:rFonts w:hint="eastAsia" w:ascii="宋体" w:hAnsi="宋体" w:cs="宋体"/>
                <w:kern w:val="0"/>
                <w:sz w:val="24"/>
              </w:rPr>
            </w:pPr>
            <w:r>
              <w:rPr>
                <w:rFonts w:hint="eastAsia" w:ascii="宋体" w:hAnsi="宋体" w:cs="宋体"/>
                <w:bCs/>
                <w:szCs w:val="21"/>
              </w:rPr>
              <w:t>内容设计展示</w:t>
            </w:r>
          </w:p>
        </w:tc>
        <w:tc>
          <w:tcPr>
            <w:tcW w:w="1134" w:type="dxa"/>
            <w:noWrap w:val="0"/>
            <w:vAlign w:val="center"/>
          </w:tcPr>
          <w:p>
            <w:pPr>
              <w:jc w:val="center"/>
              <w:rPr>
                <w:rFonts w:ascii="宋体" w:hAnsi="宋体"/>
                <w:color w:val="000000"/>
                <w:sz w:val="24"/>
              </w:rPr>
            </w:pPr>
            <w:r>
              <w:rPr>
                <w:rFonts w:hint="eastAsia" w:ascii="宋体"/>
                <w:color w:val="000000"/>
                <w:sz w:val="24"/>
              </w:rPr>
              <w:t>48分</w:t>
            </w:r>
          </w:p>
        </w:tc>
        <w:tc>
          <w:tcPr>
            <w:tcW w:w="1276" w:type="dxa"/>
            <w:noWrap w:val="0"/>
            <w:vAlign w:val="center"/>
          </w:tcPr>
          <w:p>
            <w:pPr>
              <w:jc w:val="left"/>
              <w:rPr>
                <w:rFonts w:ascii="宋体"/>
                <w:bCs/>
                <w:color w:val="000000"/>
                <w:szCs w:val="21"/>
              </w:rPr>
            </w:pPr>
          </w:p>
        </w:tc>
        <w:tc>
          <w:tcPr>
            <w:tcW w:w="2412" w:type="dxa"/>
            <w:noWrap w:val="0"/>
            <w:vAlign w:val="top"/>
          </w:tcPr>
          <w:p>
            <w:pPr>
              <w:jc w:val="left"/>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06" w:type="dxa"/>
            <w:noWrap w:val="0"/>
            <w:vAlign w:val="center"/>
          </w:tcPr>
          <w:p>
            <w:pPr>
              <w:jc w:val="center"/>
              <w:rPr>
                <w:rFonts w:hint="eastAsia" w:ascii="宋体" w:hAnsi="宋体"/>
                <w:bCs/>
                <w:color w:val="000000"/>
                <w:sz w:val="24"/>
              </w:rPr>
            </w:pPr>
            <w:r>
              <w:rPr>
                <w:rFonts w:hint="eastAsia" w:ascii="宋体" w:hAnsi="宋体"/>
                <w:bCs/>
                <w:color w:val="000000"/>
                <w:sz w:val="24"/>
              </w:rPr>
              <w:t>3</w:t>
            </w:r>
          </w:p>
        </w:tc>
        <w:tc>
          <w:tcPr>
            <w:tcW w:w="3610" w:type="dxa"/>
            <w:noWrap w:val="0"/>
            <w:vAlign w:val="center"/>
          </w:tcPr>
          <w:p>
            <w:pPr>
              <w:rPr>
                <w:rFonts w:hint="eastAsia" w:ascii="宋体" w:hAnsi="宋体" w:cs="宋体"/>
                <w:kern w:val="0"/>
                <w:sz w:val="24"/>
              </w:rPr>
            </w:pPr>
            <w:r>
              <w:rPr>
                <w:rFonts w:hint="eastAsia" w:ascii="宋体" w:hAnsi="宋体" w:cs="宋体"/>
                <w:bCs/>
                <w:szCs w:val="21"/>
              </w:rPr>
              <w:t>售后服务、培训</w:t>
            </w:r>
          </w:p>
        </w:tc>
        <w:tc>
          <w:tcPr>
            <w:tcW w:w="1134" w:type="dxa"/>
            <w:noWrap w:val="0"/>
            <w:vAlign w:val="center"/>
          </w:tcPr>
          <w:p>
            <w:pPr>
              <w:jc w:val="center"/>
              <w:rPr>
                <w:rFonts w:ascii="宋体" w:hAnsi="宋体"/>
                <w:color w:val="000000"/>
                <w:sz w:val="24"/>
              </w:rPr>
            </w:pPr>
            <w:r>
              <w:rPr>
                <w:rFonts w:hint="eastAsia" w:ascii="宋体" w:hAnsi="宋体"/>
                <w:color w:val="000000"/>
                <w:sz w:val="24"/>
              </w:rPr>
              <w:t>1分</w:t>
            </w:r>
          </w:p>
        </w:tc>
        <w:tc>
          <w:tcPr>
            <w:tcW w:w="1276" w:type="dxa"/>
            <w:noWrap w:val="0"/>
            <w:vAlign w:val="center"/>
          </w:tcPr>
          <w:p>
            <w:pPr>
              <w:jc w:val="left"/>
              <w:rPr>
                <w:rFonts w:ascii="宋体"/>
                <w:bCs/>
                <w:color w:val="000000"/>
                <w:szCs w:val="21"/>
              </w:rPr>
            </w:pPr>
          </w:p>
        </w:tc>
        <w:tc>
          <w:tcPr>
            <w:tcW w:w="2412" w:type="dxa"/>
            <w:noWrap w:val="0"/>
            <w:vAlign w:val="top"/>
          </w:tcPr>
          <w:p>
            <w:pPr>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4116" w:type="dxa"/>
            <w:gridSpan w:val="2"/>
            <w:noWrap w:val="0"/>
            <w:vAlign w:val="center"/>
          </w:tcPr>
          <w:p>
            <w:pPr>
              <w:jc w:val="center"/>
              <w:rPr>
                <w:rFonts w:ascii="宋体"/>
                <w:color w:val="000000"/>
                <w:sz w:val="24"/>
              </w:rPr>
            </w:pPr>
            <w:r>
              <w:rPr>
                <w:rFonts w:hint="eastAsia" w:ascii="宋体" w:hAnsi="宋体"/>
                <w:color w:val="000000"/>
                <w:sz w:val="24"/>
              </w:rPr>
              <w:t>合计</w:t>
            </w:r>
          </w:p>
        </w:tc>
        <w:tc>
          <w:tcPr>
            <w:tcW w:w="1134" w:type="dxa"/>
            <w:noWrap w:val="0"/>
            <w:vAlign w:val="center"/>
          </w:tcPr>
          <w:p>
            <w:pPr>
              <w:jc w:val="center"/>
              <w:rPr>
                <w:rFonts w:hint="eastAsia" w:ascii="宋体"/>
                <w:color w:val="000000"/>
                <w:sz w:val="24"/>
              </w:rPr>
            </w:pPr>
            <w:r>
              <w:rPr>
                <w:rFonts w:hint="eastAsia" w:ascii="宋体"/>
                <w:color w:val="000000"/>
                <w:sz w:val="24"/>
              </w:rPr>
              <w:t>75分</w:t>
            </w:r>
          </w:p>
        </w:tc>
        <w:tc>
          <w:tcPr>
            <w:tcW w:w="1276" w:type="dxa"/>
            <w:noWrap w:val="0"/>
            <w:vAlign w:val="center"/>
          </w:tcPr>
          <w:p>
            <w:pPr>
              <w:snapToGrid w:val="0"/>
              <w:jc w:val="left"/>
              <w:rPr>
                <w:rFonts w:ascii="宋体"/>
                <w:bCs/>
                <w:color w:val="000000"/>
                <w:szCs w:val="21"/>
                <w:lang w:val="zh-CN"/>
              </w:rPr>
            </w:pPr>
          </w:p>
        </w:tc>
        <w:tc>
          <w:tcPr>
            <w:tcW w:w="2412" w:type="dxa"/>
            <w:noWrap w:val="0"/>
            <w:vAlign w:val="top"/>
          </w:tcPr>
          <w:p>
            <w:pPr>
              <w:snapToGrid w:val="0"/>
              <w:rPr>
                <w:rFonts w:ascii="宋体"/>
                <w:bCs/>
                <w:color w:val="000000"/>
                <w:szCs w:val="21"/>
                <w:lang w:val="zh-CN"/>
              </w:rPr>
            </w:pPr>
          </w:p>
        </w:tc>
      </w:tr>
    </w:tbl>
    <w:p>
      <w:pPr>
        <w:rPr>
          <w:rFonts w:hint="eastAsia" w:ascii="宋体" w:hAnsi="宋体"/>
          <w:b/>
          <w:color w:val="000000"/>
          <w:sz w:val="24"/>
        </w:rPr>
      </w:pPr>
    </w:p>
    <w:p>
      <w:pPr>
        <w:spacing w:line="480" w:lineRule="exact"/>
        <w:jc w:val="center"/>
        <w:rPr>
          <w:rFonts w:hAnsi="宋体"/>
          <w:b/>
          <w:color w:val="000000"/>
          <w:sz w:val="30"/>
          <w:szCs w:val="30"/>
        </w:rPr>
      </w:pPr>
      <w:r>
        <w:rPr>
          <w:rFonts w:hAnsi="宋体"/>
          <w:b/>
          <w:color w:val="000000"/>
          <w:sz w:val="30"/>
          <w:szCs w:val="30"/>
        </w:rPr>
        <w:br w:type="page"/>
      </w:r>
      <w:r>
        <w:rPr>
          <w:rFonts w:hint="eastAsia" w:hAnsi="宋体"/>
          <w:b/>
          <w:color w:val="000000"/>
          <w:sz w:val="30"/>
          <w:szCs w:val="30"/>
        </w:rPr>
        <w:t>第五章  合同主要条款</w:t>
      </w:r>
    </w:p>
    <w:p>
      <w:pPr>
        <w:pStyle w:val="27"/>
        <w:snapToGrid w:val="0"/>
        <w:spacing w:beforeLines="0" w:afterLines="0" w:line="480" w:lineRule="exact"/>
        <w:rPr>
          <w:rFonts w:hAnsi="宋体"/>
          <w:color w:val="000000"/>
        </w:rPr>
      </w:pPr>
      <w:r>
        <w:rPr>
          <w:rFonts w:hint="eastAsia" w:hAnsi="宋体"/>
          <w:color w:val="000000"/>
        </w:rPr>
        <w:t xml:space="preserve">项目名称：                                 </w:t>
      </w:r>
      <w:r>
        <w:rPr>
          <w:rFonts w:hAnsi="宋体"/>
          <w:color w:val="000000"/>
        </w:rPr>
        <w:t xml:space="preserve"> </w:t>
      </w:r>
      <w:r>
        <w:rPr>
          <w:rFonts w:hint="eastAsia" w:hAnsi="宋体"/>
          <w:color w:val="000000"/>
        </w:rPr>
        <w:t>项目编号：</w:t>
      </w:r>
    </w:p>
    <w:p>
      <w:pPr>
        <w:pStyle w:val="27"/>
        <w:snapToGrid w:val="0"/>
        <w:spacing w:beforeLines="0" w:afterLines="0" w:line="480" w:lineRule="exact"/>
        <w:rPr>
          <w:rFonts w:hAnsi="宋体"/>
          <w:color w:val="000000"/>
        </w:rPr>
      </w:pPr>
      <w:r>
        <w:rPr>
          <w:rFonts w:hint="eastAsia" w:hAnsi="宋体"/>
          <w:color w:val="000000"/>
        </w:rPr>
        <w:t>甲方：（买方）                              乙方：（卖方）</w:t>
      </w:r>
    </w:p>
    <w:p>
      <w:pPr>
        <w:pStyle w:val="27"/>
        <w:snapToGrid w:val="0"/>
        <w:spacing w:beforeLines="0" w:afterLines="0" w:line="480" w:lineRule="exact"/>
        <w:rPr>
          <w:rFonts w:hint="eastAsia" w:hAnsi="宋体"/>
          <w:b/>
        </w:rPr>
      </w:pPr>
      <w:r>
        <w:rPr>
          <w:rFonts w:hint="eastAsia" w:hAnsi="宋体"/>
        </w:rPr>
        <w:t>见证方：欧邦工程管理有限公司</w:t>
      </w:r>
    </w:p>
    <w:p>
      <w:pPr>
        <w:pStyle w:val="27"/>
        <w:snapToGrid w:val="0"/>
        <w:spacing w:before="120" w:after="120" w:line="480" w:lineRule="exact"/>
        <w:ind w:firstLine="480" w:firstLineChars="200"/>
        <w:rPr>
          <w:rFonts w:hAnsi="宋体"/>
          <w:b/>
          <w:color w:val="000000"/>
        </w:rPr>
      </w:pPr>
      <w:r>
        <w:rPr>
          <w:rFonts w:hint="eastAsia" w:hAnsi="宋体"/>
          <w:color w:val="000000"/>
        </w:rPr>
        <w:t>甲、乙双方根据《中华人民共和国政府采购法》、《中华人民共和国合同法》和_______________________项目招标文件的相关规定，双方达成一致签署本合同。</w:t>
      </w:r>
    </w:p>
    <w:p>
      <w:pPr>
        <w:pStyle w:val="27"/>
        <w:snapToGrid w:val="0"/>
        <w:spacing w:beforeLines="0" w:afterLines="0" w:line="480" w:lineRule="exact"/>
        <w:rPr>
          <w:rFonts w:hAnsi="宋体"/>
          <w:b/>
          <w:color w:val="000000"/>
        </w:rPr>
      </w:pPr>
      <w:r>
        <w:rPr>
          <w:rFonts w:hint="eastAsia" w:hAnsi="宋体"/>
          <w:b/>
          <w:color w:val="000000"/>
        </w:rPr>
        <w:t>一、货物内容</w:t>
      </w:r>
    </w:p>
    <w:p>
      <w:pPr>
        <w:pStyle w:val="27"/>
        <w:snapToGrid w:val="0"/>
        <w:spacing w:beforeLines="0" w:afterLines="0" w:line="480" w:lineRule="exact"/>
        <w:rPr>
          <w:rFonts w:hAnsi="宋体"/>
          <w:color w:val="000000"/>
        </w:rPr>
      </w:pPr>
      <w:r>
        <w:rPr>
          <w:rFonts w:hint="eastAsia" w:hAnsi="宋体"/>
          <w:color w:val="000000"/>
        </w:rPr>
        <w:t>1. 货物名称：</w:t>
      </w:r>
    </w:p>
    <w:p>
      <w:pPr>
        <w:pStyle w:val="27"/>
        <w:snapToGrid w:val="0"/>
        <w:spacing w:beforeLines="0" w:afterLines="0" w:line="480" w:lineRule="exact"/>
        <w:rPr>
          <w:rFonts w:hAnsi="宋体"/>
          <w:color w:val="000000"/>
        </w:rPr>
      </w:pPr>
      <w:r>
        <w:rPr>
          <w:rFonts w:hint="eastAsia" w:hAnsi="宋体"/>
          <w:color w:val="000000"/>
        </w:rPr>
        <w:t>2. 型号规格：</w:t>
      </w:r>
    </w:p>
    <w:p>
      <w:pPr>
        <w:pStyle w:val="27"/>
        <w:snapToGrid w:val="0"/>
        <w:spacing w:beforeLines="0" w:afterLines="0" w:line="480" w:lineRule="exact"/>
        <w:rPr>
          <w:rFonts w:hAnsi="宋体"/>
          <w:color w:val="000000"/>
        </w:rPr>
      </w:pPr>
      <w:r>
        <w:rPr>
          <w:rFonts w:hint="eastAsia" w:hAnsi="宋体"/>
          <w:color w:val="000000"/>
        </w:rPr>
        <w:t>3. 技术参数：</w:t>
      </w:r>
    </w:p>
    <w:p>
      <w:pPr>
        <w:pStyle w:val="27"/>
        <w:snapToGrid w:val="0"/>
        <w:spacing w:beforeLines="0" w:afterLines="0" w:line="480" w:lineRule="exact"/>
        <w:rPr>
          <w:rFonts w:hAnsi="宋体"/>
          <w:color w:val="000000"/>
        </w:rPr>
      </w:pPr>
      <w:r>
        <w:rPr>
          <w:rFonts w:hint="eastAsia" w:hAnsi="宋体"/>
          <w:color w:val="000000"/>
        </w:rPr>
        <w:t>4. 数量（单位）：</w:t>
      </w:r>
    </w:p>
    <w:p>
      <w:pPr>
        <w:pStyle w:val="27"/>
        <w:snapToGrid w:val="0"/>
        <w:spacing w:beforeLines="0" w:afterLines="0" w:line="480" w:lineRule="exact"/>
        <w:rPr>
          <w:rFonts w:hAnsi="宋体"/>
          <w:b/>
          <w:color w:val="000000"/>
        </w:rPr>
      </w:pPr>
      <w:r>
        <w:rPr>
          <w:rFonts w:hint="eastAsia" w:hAnsi="宋体"/>
          <w:b/>
          <w:color w:val="000000"/>
        </w:rPr>
        <w:t>二、合同金额</w:t>
      </w:r>
    </w:p>
    <w:p>
      <w:pPr>
        <w:pStyle w:val="27"/>
        <w:snapToGrid w:val="0"/>
        <w:spacing w:beforeLines="0" w:afterLines="0" w:line="480" w:lineRule="exact"/>
        <w:rPr>
          <w:rFonts w:hAnsi="宋体"/>
          <w:b/>
          <w:color w:val="000000"/>
        </w:rPr>
      </w:pPr>
      <w:r>
        <w:rPr>
          <w:rFonts w:hint="eastAsia" w:hAnsi="宋体"/>
          <w:color w:val="000000"/>
        </w:rPr>
        <w:t>本合同金额为（大写）：_____________________________元（￥_____元）人民币。</w:t>
      </w:r>
    </w:p>
    <w:p>
      <w:pPr>
        <w:pStyle w:val="27"/>
        <w:snapToGrid w:val="0"/>
        <w:spacing w:beforeLines="0" w:afterLines="0" w:line="480" w:lineRule="exact"/>
        <w:rPr>
          <w:rFonts w:hAnsi="宋体"/>
          <w:b/>
          <w:color w:val="000000"/>
        </w:rPr>
      </w:pPr>
      <w:r>
        <w:rPr>
          <w:rFonts w:hint="eastAsia" w:hAnsi="宋体"/>
          <w:b/>
          <w:color w:val="000000"/>
        </w:rPr>
        <w:t>三、技术资料</w:t>
      </w:r>
    </w:p>
    <w:p>
      <w:pPr>
        <w:pStyle w:val="27"/>
        <w:snapToGrid w:val="0"/>
        <w:spacing w:beforeLines="0" w:afterLines="0" w:line="480" w:lineRule="exact"/>
        <w:ind w:left="410" w:hanging="410" w:hangingChars="171"/>
        <w:rPr>
          <w:rFonts w:hAnsi="宋体"/>
          <w:color w:val="000000"/>
        </w:rPr>
      </w:pPr>
      <w:r>
        <w:rPr>
          <w:rFonts w:hint="eastAsia" w:hAnsi="宋体"/>
          <w:color w:val="000000"/>
        </w:rPr>
        <w:t>1.乙方应按招标文件规定的时间向甲方提供使用货物的有关技术资料。</w:t>
      </w:r>
    </w:p>
    <w:p>
      <w:pPr>
        <w:pStyle w:val="27"/>
        <w:snapToGrid w:val="0"/>
        <w:spacing w:beforeLines="0" w:afterLines="0" w:line="480" w:lineRule="exact"/>
        <w:rPr>
          <w:rFonts w:hAnsi="宋体"/>
          <w:color w:val="000000"/>
        </w:rPr>
      </w:pPr>
      <w:r>
        <w:rPr>
          <w:rFonts w:hint="eastAsia" w:hAnsi="宋体"/>
          <w:color w:val="00000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snapToGrid w:val="0"/>
        <w:spacing w:beforeLines="0" w:afterLines="0" w:line="480" w:lineRule="exact"/>
        <w:ind w:left="412" w:hanging="412" w:hangingChars="171"/>
        <w:rPr>
          <w:rFonts w:hAnsi="宋体"/>
          <w:b/>
          <w:color w:val="000000"/>
        </w:rPr>
      </w:pPr>
      <w:r>
        <w:rPr>
          <w:rFonts w:hint="eastAsia" w:hAnsi="宋体"/>
          <w:b/>
          <w:color w:val="000000"/>
        </w:rPr>
        <w:t>四、知识产权</w:t>
      </w:r>
    </w:p>
    <w:p>
      <w:pPr>
        <w:pStyle w:val="27"/>
        <w:snapToGrid w:val="0"/>
        <w:spacing w:beforeLines="0" w:afterLines="0" w:line="480" w:lineRule="exact"/>
        <w:rPr>
          <w:rFonts w:hAnsi="宋体"/>
          <w:bCs/>
          <w:color w:val="000000"/>
        </w:rPr>
      </w:pPr>
      <w:r>
        <w:rPr>
          <w:rFonts w:hint="eastAsia" w:hAnsi="宋体"/>
          <w:color w:val="000000"/>
        </w:rPr>
        <w:t>乙方应保证所提供的货物或其任何一部分均不会侵犯任何第三方的知识产权</w:t>
      </w:r>
      <w:r>
        <w:rPr>
          <w:rFonts w:hint="eastAsia" w:hAnsi="宋体"/>
          <w:bCs/>
          <w:color w:val="000000"/>
        </w:rPr>
        <w:t>。</w:t>
      </w:r>
    </w:p>
    <w:p>
      <w:pPr>
        <w:pStyle w:val="27"/>
        <w:snapToGrid w:val="0"/>
        <w:spacing w:beforeLines="0" w:afterLines="0" w:line="480" w:lineRule="exact"/>
        <w:rPr>
          <w:rFonts w:hAnsi="宋体"/>
          <w:color w:val="000000"/>
          <w:u w:val="single"/>
        </w:rPr>
      </w:pPr>
      <w:r>
        <w:rPr>
          <w:rFonts w:hint="eastAsia" w:hAnsi="宋体"/>
          <w:b/>
          <w:color w:val="000000"/>
        </w:rPr>
        <w:t>五、产权担保</w:t>
      </w:r>
    </w:p>
    <w:p>
      <w:pPr>
        <w:pStyle w:val="27"/>
        <w:snapToGrid w:val="0"/>
        <w:spacing w:beforeLines="0" w:afterLines="0" w:line="480" w:lineRule="exact"/>
        <w:ind w:left="408" w:hanging="408" w:hangingChars="170"/>
        <w:rPr>
          <w:rFonts w:hAnsi="宋体"/>
          <w:color w:val="000000"/>
          <w:u w:val="single"/>
        </w:rPr>
      </w:pPr>
      <w:r>
        <w:rPr>
          <w:rFonts w:hint="eastAsia" w:hAnsi="宋体"/>
          <w:color w:val="000000"/>
        </w:rPr>
        <w:t>乙方保证所交付的货物的所有权完全属于乙方且无任何抵押、查封等产权瑕疵。</w:t>
      </w:r>
    </w:p>
    <w:p>
      <w:pPr>
        <w:pStyle w:val="27"/>
        <w:snapToGrid w:val="0"/>
        <w:spacing w:beforeLines="0" w:afterLines="0" w:line="480" w:lineRule="exact"/>
        <w:ind w:left="410" w:hanging="410" w:hangingChars="170"/>
        <w:rPr>
          <w:rFonts w:hAnsi="宋体"/>
          <w:b/>
          <w:color w:val="000000"/>
        </w:rPr>
      </w:pPr>
      <w:r>
        <w:rPr>
          <w:rFonts w:hint="eastAsia" w:hAnsi="宋体"/>
          <w:b/>
          <w:color w:val="000000"/>
        </w:rPr>
        <w:t>六、履约保证金</w:t>
      </w:r>
    </w:p>
    <w:p>
      <w:pPr>
        <w:pStyle w:val="27"/>
        <w:snapToGrid w:val="0"/>
        <w:spacing w:beforeLines="0" w:afterLines="0" w:line="480" w:lineRule="exact"/>
        <w:ind w:left="408" w:hanging="408" w:hangingChars="170"/>
        <w:rPr>
          <w:rFonts w:hAnsi="宋体"/>
          <w:color w:val="000000"/>
        </w:rPr>
      </w:pPr>
      <w:r>
        <w:rPr>
          <w:rFonts w:hint="eastAsia" w:hAnsi="宋体"/>
          <w:color w:val="000000"/>
        </w:rPr>
        <w:t>乙方交纳</w:t>
      </w:r>
      <w:r>
        <w:rPr>
          <w:rFonts w:hint="eastAsia" w:hAnsi="宋体"/>
          <w:color w:val="000000"/>
          <w:u w:val="single"/>
        </w:rPr>
        <w:t xml:space="preserve">      </w:t>
      </w:r>
      <w:r>
        <w:rPr>
          <w:rFonts w:hint="eastAsia" w:hAnsi="宋体"/>
          <w:color w:val="000000"/>
        </w:rPr>
        <w:t>元作为本合同的履约保证金。</w:t>
      </w:r>
    </w:p>
    <w:p>
      <w:pPr>
        <w:spacing w:line="480" w:lineRule="exact"/>
        <w:rPr>
          <w:rFonts w:ascii="宋体" w:hAnsi="宋体"/>
          <w:b/>
          <w:color w:val="000000"/>
          <w:sz w:val="24"/>
        </w:rPr>
      </w:pPr>
      <w:r>
        <w:rPr>
          <w:rFonts w:hint="eastAsia" w:ascii="宋体" w:hAnsi="宋体"/>
          <w:b/>
          <w:color w:val="000000"/>
          <w:sz w:val="24"/>
        </w:rPr>
        <w:t>七、转包或分包</w:t>
      </w:r>
    </w:p>
    <w:p>
      <w:pPr>
        <w:spacing w:line="480" w:lineRule="exact"/>
        <w:rPr>
          <w:rFonts w:ascii="宋体" w:hAnsi="宋体"/>
          <w:color w:val="000000"/>
          <w:sz w:val="24"/>
        </w:rPr>
      </w:pPr>
      <w:r>
        <w:rPr>
          <w:rFonts w:hint="eastAsia" w:ascii="宋体" w:hAnsi="宋体"/>
          <w:color w:val="000000"/>
          <w:sz w:val="24"/>
        </w:rPr>
        <w:t>1.本合同范围的货物，应由乙方直接供应，不得转让他人供应；</w:t>
      </w:r>
    </w:p>
    <w:p>
      <w:pPr>
        <w:spacing w:line="480" w:lineRule="exact"/>
        <w:rPr>
          <w:rFonts w:ascii="宋体" w:hAnsi="宋体"/>
          <w:color w:val="000000"/>
          <w:sz w:val="24"/>
        </w:rPr>
      </w:pPr>
      <w:r>
        <w:rPr>
          <w:rFonts w:hint="eastAsia" w:ascii="宋体" w:hAnsi="宋体"/>
          <w:color w:val="000000"/>
          <w:sz w:val="24"/>
        </w:rPr>
        <w:t>2.除非得到甲方的书面同意，乙方不得将本合同范围的货物全部或部分分包给他人供应；</w:t>
      </w:r>
    </w:p>
    <w:p>
      <w:pPr>
        <w:spacing w:line="480" w:lineRule="exact"/>
        <w:rPr>
          <w:rFonts w:ascii="宋体" w:hAnsi="宋体"/>
          <w:color w:val="000000"/>
          <w:sz w:val="24"/>
        </w:rPr>
      </w:pPr>
      <w:r>
        <w:rPr>
          <w:rFonts w:hint="eastAsia" w:ascii="宋体" w:hAnsi="宋体"/>
          <w:color w:val="000000"/>
          <w:sz w:val="24"/>
        </w:rPr>
        <w:t>3.如有转让和未经甲方同意的分包行为，甲方有权解除合同，履约保证金不予退回并追究乙方的违约责任。</w:t>
      </w:r>
    </w:p>
    <w:p>
      <w:pPr>
        <w:pStyle w:val="27"/>
        <w:snapToGrid w:val="0"/>
        <w:spacing w:beforeLines="0" w:afterLines="0" w:line="480" w:lineRule="exact"/>
        <w:rPr>
          <w:rFonts w:hAnsi="宋体"/>
          <w:color w:val="000000"/>
        </w:rPr>
      </w:pPr>
      <w:r>
        <w:rPr>
          <w:rFonts w:hint="eastAsia" w:hAnsi="宋体"/>
          <w:b/>
          <w:color w:val="000000"/>
        </w:rPr>
        <w:t>八、保修期和质保金</w:t>
      </w:r>
    </w:p>
    <w:p>
      <w:pPr>
        <w:pStyle w:val="27"/>
        <w:snapToGrid w:val="0"/>
        <w:spacing w:beforeLines="0" w:afterLines="0" w:line="480" w:lineRule="exact"/>
        <w:ind w:left="410" w:hanging="410" w:hangingChars="171"/>
        <w:rPr>
          <w:rFonts w:hAnsi="宋体"/>
          <w:color w:val="000000"/>
        </w:rPr>
      </w:pPr>
      <w:r>
        <w:rPr>
          <w:rFonts w:hint="eastAsia" w:hAnsi="宋体"/>
          <w:color w:val="000000"/>
        </w:rPr>
        <w:t>1.保修期</w:t>
      </w:r>
      <w:r>
        <w:rPr>
          <w:rFonts w:hint="eastAsia" w:hAnsi="宋体"/>
          <w:color w:val="000000"/>
          <w:u w:val="single"/>
        </w:rPr>
        <w:t xml:space="preserve">  </w:t>
      </w:r>
      <w:r>
        <w:rPr>
          <w:rFonts w:hAnsi="宋体"/>
          <w:color w:val="000000"/>
          <w:u w:val="single"/>
        </w:rPr>
        <w:t xml:space="preserve">  </w:t>
      </w:r>
      <w:r>
        <w:rPr>
          <w:rFonts w:hint="eastAsia" w:hAnsi="宋体"/>
          <w:color w:val="000000"/>
        </w:rPr>
        <w:t>年。（自交货验收合格之日起计）</w:t>
      </w:r>
    </w:p>
    <w:p>
      <w:pPr>
        <w:pStyle w:val="27"/>
        <w:snapToGrid w:val="0"/>
        <w:spacing w:beforeLines="0" w:afterLines="0" w:line="480" w:lineRule="exact"/>
        <w:ind w:left="410" w:hanging="410" w:hangingChars="171"/>
        <w:rPr>
          <w:rFonts w:hAnsi="宋体"/>
          <w:color w:val="000000"/>
        </w:rPr>
      </w:pPr>
      <w:r>
        <w:rPr>
          <w:rFonts w:hint="eastAsia" w:hAnsi="宋体"/>
          <w:color w:val="000000"/>
        </w:rPr>
        <w:t>2.保修金。</w:t>
      </w:r>
    </w:p>
    <w:p>
      <w:pPr>
        <w:pStyle w:val="27"/>
        <w:snapToGrid w:val="0"/>
        <w:spacing w:beforeLines="0" w:afterLines="0" w:line="480" w:lineRule="exact"/>
        <w:rPr>
          <w:rFonts w:hAnsi="宋体"/>
          <w:b/>
          <w:color w:val="000000"/>
        </w:rPr>
      </w:pPr>
      <w:r>
        <w:rPr>
          <w:rFonts w:hint="eastAsia" w:hAnsi="宋体"/>
          <w:b/>
          <w:color w:val="000000"/>
        </w:rPr>
        <w:t>九、交货期、交货方式及交货地点</w:t>
      </w:r>
    </w:p>
    <w:p>
      <w:pPr>
        <w:pStyle w:val="27"/>
        <w:snapToGrid w:val="0"/>
        <w:spacing w:beforeLines="0" w:afterLines="0" w:line="480" w:lineRule="exact"/>
        <w:rPr>
          <w:rFonts w:hAnsi="宋体"/>
          <w:bCs/>
          <w:color w:val="000000"/>
        </w:rPr>
      </w:pPr>
      <w:r>
        <w:rPr>
          <w:rFonts w:hint="eastAsia" w:hAnsi="宋体"/>
          <w:bCs/>
          <w:color w:val="000000"/>
        </w:rPr>
        <w:t>1. 交货期：</w:t>
      </w:r>
    </w:p>
    <w:p>
      <w:pPr>
        <w:pStyle w:val="27"/>
        <w:snapToGrid w:val="0"/>
        <w:spacing w:beforeLines="0" w:afterLines="0" w:line="480" w:lineRule="exact"/>
        <w:rPr>
          <w:rFonts w:hint="eastAsia" w:hAnsi="宋体"/>
          <w:bCs/>
          <w:color w:val="000000"/>
        </w:rPr>
      </w:pPr>
      <w:r>
        <w:rPr>
          <w:rFonts w:hint="eastAsia" w:hAnsi="宋体"/>
          <w:bCs/>
          <w:color w:val="000000"/>
        </w:rPr>
        <w:t>2. 交货方式：</w:t>
      </w:r>
    </w:p>
    <w:p>
      <w:pPr>
        <w:pStyle w:val="27"/>
        <w:snapToGrid w:val="0"/>
        <w:spacing w:beforeLines="0" w:afterLines="0" w:line="480" w:lineRule="exact"/>
        <w:rPr>
          <w:rFonts w:hAnsi="宋体"/>
          <w:b/>
          <w:color w:val="000000"/>
        </w:rPr>
      </w:pPr>
      <w:r>
        <w:rPr>
          <w:rFonts w:hint="eastAsia" w:hAnsi="宋体"/>
          <w:bCs/>
          <w:color w:val="000000"/>
        </w:rPr>
        <w:t>3. 交货地点：</w:t>
      </w:r>
    </w:p>
    <w:p>
      <w:pPr>
        <w:pStyle w:val="27"/>
        <w:snapToGrid w:val="0"/>
        <w:spacing w:beforeLines="0" w:afterLines="0" w:line="480" w:lineRule="exact"/>
        <w:rPr>
          <w:rFonts w:hAnsi="宋体"/>
          <w:b/>
          <w:color w:val="000000"/>
        </w:rPr>
      </w:pPr>
      <w:r>
        <w:rPr>
          <w:rFonts w:hint="eastAsia" w:hAnsi="宋体"/>
          <w:b/>
          <w:color w:val="000000"/>
        </w:rPr>
        <w:t>十、货款支付</w:t>
      </w:r>
    </w:p>
    <w:p>
      <w:pPr>
        <w:pStyle w:val="23"/>
        <w:adjustRightInd w:val="0"/>
        <w:snapToGrid w:val="0"/>
        <w:spacing w:line="480" w:lineRule="exact"/>
        <w:ind w:left="0" w:leftChars="0" w:firstLine="480" w:firstLineChars="200"/>
        <w:jc w:val="left"/>
        <w:rPr>
          <w:rFonts w:hint="eastAsia" w:ascii="宋体" w:hAnsi="宋体"/>
          <w:color w:val="000000"/>
          <w:sz w:val="24"/>
        </w:rPr>
      </w:pPr>
      <w:r>
        <w:rPr>
          <w:rFonts w:hint="eastAsia" w:ascii="宋体" w:hAnsi="宋体"/>
          <w:sz w:val="24"/>
        </w:rPr>
        <w:t>合同签订后支付合同金额40%的备料款（备料款不扣回，抵作工程款），全部货物到现场后付至合同金额的60%，智能化系统安装完毕，调试合格后付至合同金额的75%，项目验收合格后付至合同金额的85%，经业主审核后付至结算价的100%。发票应随付款进度及时提供。</w:t>
      </w:r>
      <w:r>
        <w:rPr>
          <w:rFonts w:hint="eastAsia" w:ascii="宋体" w:hAnsi="宋体"/>
          <w:color w:val="000000"/>
          <w:sz w:val="24"/>
        </w:rPr>
        <w:t xml:space="preserve"> </w:t>
      </w:r>
    </w:p>
    <w:p>
      <w:pPr>
        <w:pStyle w:val="27"/>
        <w:snapToGrid w:val="0"/>
        <w:spacing w:beforeLines="0" w:afterLines="0" w:line="480" w:lineRule="exact"/>
        <w:rPr>
          <w:b/>
          <w:color w:val="000000"/>
        </w:rPr>
      </w:pPr>
      <w:r>
        <w:rPr>
          <w:rFonts w:hint="eastAsia"/>
          <w:b/>
          <w:color w:val="000000"/>
        </w:rPr>
        <w:t>十一、税费</w:t>
      </w:r>
    </w:p>
    <w:p>
      <w:pPr>
        <w:spacing w:line="480" w:lineRule="exact"/>
        <w:rPr>
          <w:color w:val="000000"/>
          <w:sz w:val="24"/>
        </w:rPr>
      </w:pPr>
      <w:r>
        <w:rPr>
          <w:rFonts w:hint="eastAsia"/>
          <w:color w:val="000000"/>
          <w:sz w:val="24"/>
        </w:rPr>
        <w:t>本合同执行中相关的一切税费均由乙方负担。</w:t>
      </w:r>
    </w:p>
    <w:p>
      <w:pPr>
        <w:pStyle w:val="27"/>
        <w:snapToGrid w:val="0"/>
        <w:spacing w:beforeLines="0" w:afterLines="0" w:line="480" w:lineRule="exact"/>
        <w:ind w:left="412" w:hanging="412" w:hangingChars="171"/>
        <w:rPr>
          <w:rFonts w:hAnsi="宋体"/>
          <w:color w:val="000000"/>
        </w:rPr>
      </w:pPr>
      <w:r>
        <w:rPr>
          <w:rFonts w:hint="eastAsia" w:hAnsi="宋体"/>
          <w:b/>
          <w:color w:val="000000"/>
        </w:rPr>
        <w:t>十二、质量保证及售后服务</w:t>
      </w:r>
    </w:p>
    <w:p>
      <w:pPr>
        <w:pStyle w:val="27"/>
        <w:snapToGrid w:val="0"/>
        <w:spacing w:beforeLines="0" w:afterLines="0" w:line="480" w:lineRule="exact"/>
        <w:rPr>
          <w:rFonts w:hAnsi="宋体"/>
          <w:color w:val="000000"/>
        </w:rPr>
      </w:pPr>
      <w:r>
        <w:rPr>
          <w:rFonts w:hint="eastAsia" w:hAnsi="宋体"/>
          <w:color w:val="000000"/>
        </w:rPr>
        <w:t>1. 乙方应按招标文件规定的货物性能、技术要求、质量标准向甲方提供未经使用的全新产品。</w:t>
      </w:r>
    </w:p>
    <w:p>
      <w:pPr>
        <w:pStyle w:val="27"/>
        <w:snapToGrid w:val="0"/>
        <w:spacing w:beforeLines="0" w:afterLines="0" w:line="480" w:lineRule="exact"/>
        <w:rPr>
          <w:rFonts w:hAnsi="宋体"/>
          <w:color w:val="000000"/>
        </w:rPr>
      </w:pPr>
      <w:r>
        <w:rPr>
          <w:rFonts w:hint="eastAsia" w:hAnsi="宋体"/>
          <w:color w:val="000000"/>
        </w:rPr>
        <w:t>2.乙方提供的货物在保修期内因货物本身的质量问题发生故障，乙方应负责免费更换。</w:t>
      </w:r>
    </w:p>
    <w:p>
      <w:pPr>
        <w:pStyle w:val="27"/>
        <w:snapToGrid w:val="0"/>
        <w:spacing w:beforeLines="0" w:afterLines="0" w:line="480" w:lineRule="exact"/>
        <w:ind w:left="480" w:hanging="480" w:hangingChars="200"/>
        <w:rPr>
          <w:rFonts w:hAnsi="宋体"/>
          <w:color w:val="000000"/>
        </w:rPr>
      </w:pPr>
      <w:r>
        <w:rPr>
          <w:rFonts w:hint="eastAsia" w:hAnsi="宋体"/>
          <w:color w:val="000000"/>
        </w:rPr>
        <w:t>对达不到技术要求者，根据实际情况，经双方协商，可按以下办法处理：</w:t>
      </w:r>
    </w:p>
    <w:p>
      <w:pPr>
        <w:pStyle w:val="27"/>
        <w:snapToGrid w:val="0"/>
        <w:spacing w:beforeLines="0" w:afterLines="0" w:line="480" w:lineRule="exact"/>
        <w:ind w:firstLine="420"/>
        <w:rPr>
          <w:rFonts w:hAnsi="宋体"/>
          <w:color w:val="000000"/>
        </w:rPr>
      </w:pPr>
      <w:r>
        <w:rPr>
          <w:rFonts w:hint="eastAsia" w:hAnsi="宋体"/>
          <w:color w:val="000000"/>
        </w:rPr>
        <w:t>⑴更换：由乙方承担所发生的全部费用。</w:t>
      </w:r>
    </w:p>
    <w:p>
      <w:pPr>
        <w:pStyle w:val="27"/>
        <w:snapToGrid w:val="0"/>
        <w:spacing w:beforeLines="0" w:afterLines="0" w:line="480" w:lineRule="exact"/>
        <w:ind w:firstLine="420"/>
        <w:rPr>
          <w:rFonts w:hAnsi="宋体"/>
          <w:color w:val="000000"/>
        </w:rPr>
      </w:pPr>
      <w:r>
        <w:rPr>
          <w:rFonts w:hint="eastAsia" w:hAnsi="宋体"/>
          <w:color w:val="000000"/>
        </w:rPr>
        <w:t>⑵贬值处理：由甲乙双方合议定价。</w:t>
      </w:r>
    </w:p>
    <w:p>
      <w:pPr>
        <w:pStyle w:val="27"/>
        <w:snapToGrid w:val="0"/>
        <w:spacing w:beforeLines="0" w:afterLines="0" w:line="480" w:lineRule="exact"/>
        <w:ind w:left="420" w:leftChars="200"/>
        <w:rPr>
          <w:rFonts w:hAnsi="宋体"/>
          <w:color w:val="000000"/>
        </w:rPr>
      </w:pPr>
      <w:r>
        <w:rPr>
          <w:rFonts w:hint="eastAsia" w:hAnsi="宋体"/>
          <w:color w:val="000000"/>
        </w:rPr>
        <w:t>⑶退货处理：乙方应退还甲方支付的合同款，同时应承担该货物的直接费用（运输、保险、检验、货款利息及银行手续费等）。</w:t>
      </w:r>
    </w:p>
    <w:p>
      <w:pPr>
        <w:pStyle w:val="27"/>
        <w:snapToGrid w:val="0"/>
        <w:spacing w:beforeLines="0" w:afterLines="0" w:line="480" w:lineRule="exact"/>
        <w:rPr>
          <w:rFonts w:hAnsi="宋体"/>
          <w:color w:val="000000"/>
        </w:rPr>
      </w:pPr>
      <w:r>
        <w:rPr>
          <w:rFonts w:hint="eastAsia" w:hAnsi="宋体"/>
          <w:color w:val="000000"/>
        </w:rPr>
        <w:t>3.如在使用过程中发生质量问题，乙方在接到甲方通知后在小时内到达甲方现场。</w:t>
      </w:r>
    </w:p>
    <w:p>
      <w:pPr>
        <w:pStyle w:val="27"/>
        <w:snapToGrid w:val="0"/>
        <w:spacing w:beforeLines="0" w:afterLines="0" w:line="480" w:lineRule="exact"/>
        <w:rPr>
          <w:rFonts w:hAnsi="宋体"/>
          <w:color w:val="000000"/>
        </w:rPr>
      </w:pPr>
      <w:r>
        <w:rPr>
          <w:rFonts w:hint="eastAsia" w:hAnsi="宋体"/>
          <w:color w:val="000000"/>
        </w:rPr>
        <w:t>4.在保修期内，乙方应对货物出现的质量及安全问题负责处理解决并承担一切费用。</w:t>
      </w:r>
    </w:p>
    <w:p>
      <w:pPr>
        <w:pStyle w:val="27"/>
        <w:snapToGrid w:val="0"/>
        <w:spacing w:beforeLines="0" w:afterLines="0" w:line="480" w:lineRule="exact"/>
        <w:rPr>
          <w:rFonts w:hAnsi="宋体"/>
          <w:color w:val="000000"/>
        </w:rPr>
      </w:pPr>
      <w:r>
        <w:rPr>
          <w:rFonts w:hint="eastAsia" w:hAnsi="宋体"/>
          <w:color w:val="000000"/>
        </w:rPr>
        <w:t>5.上述的货物免费保修期为年，因人为因素出现的故障不在免费保修范围内。超过保修期的机器设备，终生维修，维修时只收部件成本费。</w:t>
      </w:r>
    </w:p>
    <w:p>
      <w:pPr>
        <w:pStyle w:val="27"/>
        <w:snapToGrid w:val="0"/>
        <w:spacing w:beforeLines="0" w:afterLines="0" w:line="480" w:lineRule="exact"/>
        <w:rPr>
          <w:rFonts w:hAnsi="宋体"/>
          <w:b/>
          <w:color w:val="000000"/>
        </w:rPr>
      </w:pPr>
      <w:r>
        <w:rPr>
          <w:rFonts w:hint="eastAsia" w:hAnsi="宋体"/>
          <w:b/>
          <w:color w:val="000000"/>
        </w:rPr>
        <w:t>十三、调试和验收</w:t>
      </w:r>
    </w:p>
    <w:p>
      <w:pPr>
        <w:pStyle w:val="27"/>
        <w:snapToGrid w:val="0"/>
        <w:spacing w:beforeLines="0" w:afterLines="0" w:line="480" w:lineRule="exact"/>
        <w:jc w:val="left"/>
        <w:rPr>
          <w:rFonts w:hAnsi="宋体"/>
          <w:color w:val="000000"/>
        </w:rPr>
      </w:pPr>
      <w:r>
        <w:rPr>
          <w:rFonts w:hint="eastAsia" w:hAnsi="宋体"/>
          <w:color w:val="000000"/>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7"/>
        <w:snapToGrid w:val="0"/>
        <w:spacing w:beforeLines="0" w:afterLines="0" w:line="480" w:lineRule="exact"/>
        <w:rPr>
          <w:rFonts w:hAnsi="宋体"/>
          <w:color w:val="000000"/>
        </w:rPr>
      </w:pPr>
      <w:r>
        <w:rPr>
          <w:rFonts w:hint="eastAsia" w:hAnsi="宋体"/>
          <w:color w:val="000000"/>
        </w:rPr>
        <w:t>2.乙方交货前应对产品作出全面检查和对验收文件进行整理，并列出清单，作为甲方收货验收和使用的技术条件依据，检验的结果应随货物交甲方。</w:t>
      </w:r>
    </w:p>
    <w:p>
      <w:pPr>
        <w:pStyle w:val="27"/>
        <w:snapToGrid w:val="0"/>
        <w:spacing w:beforeLines="0" w:afterLines="0" w:line="480" w:lineRule="exact"/>
        <w:rPr>
          <w:rFonts w:hAnsi="宋体"/>
          <w:color w:val="000000"/>
        </w:rPr>
      </w:pPr>
      <w:r>
        <w:rPr>
          <w:rFonts w:hint="eastAsia" w:hAnsi="宋体"/>
          <w:color w:val="000000"/>
        </w:rPr>
        <w:t>3.甲方对乙方提供的货物在使用前进行调试时，乙方需负责安装并培训甲方的使用操作人员，并协助甲方一起调试，直到符合技术要求，甲方才做最终验收。</w:t>
      </w:r>
    </w:p>
    <w:p>
      <w:pPr>
        <w:pStyle w:val="27"/>
        <w:snapToGrid w:val="0"/>
        <w:spacing w:beforeLines="0" w:afterLines="0" w:line="480" w:lineRule="exact"/>
        <w:rPr>
          <w:rFonts w:hAnsi="宋体"/>
          <w:color w:val="000000"/>
        </w:rPr>
      </w:pPr>
      <w:r>
        <w:rPr>
          <w:rFonts w:hint="eastAsia" w:hAnsi="宋体"/>
          <w:color w:val="000000"/>
        </w:rPr>
        <w:t>4.对技术复杂的货物，甲方应请国家认可的专业检测机构参与初步验收及最终验收，并由其出具质量检测报告。</w:t>
      </w:r>
    </w:p>
    <w:p>
      <w:pPr>
        <w:pStyle w:val="27"/>
        <w:snapToGrid w:val="0"/>
        <w:spacing w:beforeLines="0" w:afterLines="0" w:line="480" w:lineRule="exact"/>
        <w:rPr>
          <w:rFonts w:hAnsi="宋体"/>
          <w:color w:val="000000"/>
        </w:rPr>
      </w:pPr>
      <w:r>
        <w:rPr>
          <w:rFonts w:hint="eastAsia" w:hAnsi="宋体"/>
          <w:color w:val="000000"/>
        </w:rPr>
        <w:t>5.验收时乙方必须在现场，验收完毕后作出验收结果报告；验收费用由乙方负责。</w:t>
      </w:r>
    </w:p>
    <w:p>
      <w:pPr>
        <w:pStyle w:val="27"/>
        <w:snapToGrid w:val="0"/>
        <w:spacing w:beforeLines="0" w:afterLines="0" w:line="480" w:lineRule="exact"/>
        <w:rPr>
          <w:rFonts w:hAnsi="宋体"/>
          <w:b/>
          <w:color w:val="000000"/>
        </w:rPr>
      </w:pPr>
      <w:r>
        <w:rPr>
          <w:rFonts w:hint="eastAsia" w:hAnsi="宋体"/>
          <w:b/>
          <w:color w:val="000000"/>
        </w:rPr>
        <w:t>十四、货物包装、发运及运输</w:t>
      </w:r>
    </w:p>
    <w:p>
      <w:pPr>
        <w:pStyle w:val="27"/>
        <w:snapToGrid w:val="0"/>
        <w:spacing w:beforeLines="0" w:afterLines="0" w:line="480" w:lineRule="exact"/>
        <w:rPr>
          <w:rFonts w:hAnsi="宋体"/>
          <w:color w:val="000000"/>
        </w:rPr>
      </w:pPr>
      <w:r>
        <w:rPr>
          <w:rFonts w:hint="eastAsia" w:hAnsi="宋体"/>
          <w:color w:val="000000"/>
        </w:rPr>
        <w:t>1.乙方应在货物发运前对其进行满足运输距离、防潮、防震、防锈和防破损装卸等要求包装，以保证货物安全运达甲方指定地点。</w:t>
      </w:r>
    </w:p>
    <w:p>
      <w:pPr>
        <w:pStyle w:val="27"/>
        <w:snapToGrid w:val="0"/>
        <w:spacing w:beforeLines="0" w:afterLines="0" w:line="480" w:lineRule="exact"/>
        <w:ind w:left="480" w:hanging="480" w:hangingChars="200"/>
        <w:rPr>
          <w:rFonts w:hAnsi="宋体"/>
          <w:color w:val="000000"/>
        </w:rPr>
      </w:pPr>
      <w:r>
        <w:rPr>
          <w:rFonts w:hint="eastAsia" w:hAnsi="宋体"/>
          <w:color w:val="000000"/>
        </w:rPr>
        <w:t>2.使用说明书、质量检验证明书、随配附件和工具以及清单一并附于货物内。</w:t>
      </w:r>
    </w:p>
    <w:p>
      <w:pPr>
        <w:pStyle w:val="27"/>
        <w:snapToGrid w:val="0"/>
        <w:spacing w:beforeLines="0" w:afterLines="0" w:line="480" w:lineRule="exact"/>
        <w:rPr>
          <w:rFonts w:hAnsi="宋体"/>
          <w:color w:val="000000"/>
        </w:rPr>
      </w:pPr>
      <w:r>
        <w:rPr>
          <w:rFonts w:hint="eastAsia" w:hAnsi="宋体"/>
          <w:color w:val="000000"/>
        </w:rPr>
        <w:t>3.乙方在货物发运手续办理完毕后24小时内或货到甲方48小时前通知甲方，以准备接货。</w:t>
      </w:r>
    </w:p>
    <w:p>
      <w:pPr>
        <w:pStyle w:val="27"/>
        <w:snapToGrid w:val="0"/>
        <w:spacing w:beforeLines="0" w:afterLines="0" w:line="480" w:lineRule="exact"/>
        <w:ind w:left="480" w:hanging="480" w:hangingChars="200"/>
        <w:rPr>
          <w:rFonts w:hAnsi="宋体"/>
          <w:color w:val="000000"/>
        </w:rPr>
      </w:pPr>
      <w:r>
        <w:rPr>
          <w:rFonts w:hint="eastAsia" w:hAnsi="宋体"/>
          <w:color w:val="000000"/>
        </w:rPr>
        <w:t>4.货物在交付甲方前发生的风险均由乙方负责。</w:t>
      </w:r>
    </w:p>
    <w:p>
      <w:pPr>
        <w:pStyle w:val="27"/>
        <w:snapToGrid w:val="0"/>
        <w:spacing w:beforeLines="0" w:afterLines="0" w:line="480" w:lineRule="exact"/>
        <w:ind w:right="26"/>
        <w:rPr>
          <w:rFonts w:hAnsi="宋体"/>
          <w:color w:val="000000"/>
        </w:rPr>
      </w:pPr>
      <w:r>
        <w:rPr>
          <w:rFonts w:hint="eastAsia" w:hAnsi="宋体"/>
          <w:color w:val="000000"/>
        </w:rPr>
        <w:t>5.货物在规定的交付期限内由乙方送达甲方指定的地点视为交付，乙方同时需通知甲方货物已送达。</w:t>
      </w:r>
    </w:p>
    <w:p>
      <w:pPr>
        <w:pStyle w:val="27"/>
        <w:snapToGrid w:val="0"/>
        <w:spacing w:beforeLines="0" w:afterLines="0" w:line="480" w:lineRule="exact"/>
        <w:rPr>
          <w:rFonts w:hAnsi="宋体"/>
          <w:b/>
          <w:color w:val="000000"/>
        </w:rPr>
      </w:pPr>
      <w:r>
        <w:rPr>
          <w:rFonts w:hint="eastAsia" w:hAnsi="宋体"/>
          <w:b/>
          <w:color w:val="000000"/>
        </w:rPr>
        <w:t>十五、违约责任</w:t>
      </w:r>
    </w:p>
    <w:p>
      <w:pPr>
        <w:pStyle w:val="27"/>
        <w:snapToGrid w:val="0"/>
        <w:spacing w:beforeLines="0" w:afterLines="0" w:line="480" w:lineRule="exact"/>
        <w:ind w:left="410" w:hanging="410" w:hangingChars="171"/>
        <w:rPr>
          <w:rFonts w:hAnsi="宋体"/>
          <w:color w:val="000000"/>
        </w:rPr>
      </w:pPr>
      <w:r>
        <w:rPr>
          <w:rFonts w:hint="eastAsia" w:hAnsi="宋体"/>
          <w:color w:val="000000"/>
        </w:rPr>
        <w:t>1.甲方无正当理由拒收货物的，甲方向乙方偿付拒收货款总值的百分之五违约金。</w:t>
      </w:r>
    </w:p>
    <w:p>
      <w:pPr>
        <w:pStyle w:val="27"/>
        <w:snapToGrid w:val="0"/>
        <w:spacing w:beforeLines="0" w:afterLines="0" w:line="480" w:lineRule="exact"/>
        <w:rPr>
          <w:rFonts w:hAnsi="宋体"/>
          <w:color w:val="000000"/>
        </w:rPr>
      </w:pPr>
      <w:r>
        <w:rPr>
          <w:rFonts w:hint="eastAsia" w:hAnsi="宋体"/>
          <w:color w:val="000000"/>
        </w:rPr>
        <w:t>2.甲方无故逾期验收和办理货款支付手续的,甲方应按逾期付款总额每日万分之五向乙</w:t>
      </w:r>
    </w:p>
    <w:p>
      <w:pPr>
        <w:pStyle w:val="27"/>
        <w:snapToGrid w:val="0"/>
        <w:spacing w:beforeLines="0" w:afterLines="0" w:line="480" w:lineRule="exact"/>
        <w:ind w:left="410" w:hanging="410" w:hangingChars="171"/>
        <w:rPr>
          <w:rFonts w:hAnsi="宋体"/>
          <w:color w:val="000000"/>
        </w:rPr>
      </w:pPr>
      <w:r>
        <w:rPr>
          <w:rFonts w:hint="eastAsia" w:hAnsi="宋体"/>
          <w:color w:val="000000"/>
        </w:rPr>
        <w:t>方支付违约金。</w:t>
      </w:r>
    </w:p>
    <w:p>
      <w:pPr>
        <w:pStyle w:val="27"/>
        <w:snapToGrid w:val="0"/>
        <w:spacing w:beforeLines="0" w:afterLines="0" w:line="480" w:lineRule="exact"/>
        <w:rPr>
          <w:rFonts w:hAnsi="宋体"/>
          <w:color w:val="000000"/>
        </w:rPr>
      </w:pPr>
      <w:r>
        <w:rPr>
          <w:rFonts w:hint="eastAsia" w:hAnsi="宋体"/>
          <w:color w:val="000000"/>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履约保证金不予退回。 </w:t>
      </w:r>
    </w:p>
    <w:p>
      <w:pPr>
        <w:pStyle w:val="27"/>
        <w:snapToGrid w:val="0"/>
        <w:spacing w:beforeLines="0" w:afterLines="0" w:line="480" w:lineRule="exact"/>
        <w:rPr>
          <w:rFonts w:hAnsi="宋体"/>
          <w:color w:val="000000"/>
        </w:rPr>
      </w:pPr>
      <w:r>
        <w:rPr>
          <w:rFonts w:hint="eastAsia" w:hAnsi="宋体"/>
          <w:color w:val="000000"/>
        </w:rPr>
        <w:t>4.乙方所交的货物品种、型号、规格、技术参数、质量不符合合同规定及招标文件规定标准的，甲方有权拒收该货物，乙方愿意更换货物但逾期交货的，按乙方逾期交货处理。乙方拒绝更换货物的，甲方可单方面解除合同，履约保证金不予退回。</w:t>
      </w:r>
    </w:p>
    <w:p>
      <w:pPr>
        <w:pStyle w:val="27"/>
        <w:snapToGrid w:val="0"/>
        <w:spacing w:beforeLines="0" w:afterLines="0" w:line="480" w:lineRule="exact"/>
        <w:rPr>
          <w:rFonts w:hAnsi="宋体"/>
          <w:b/>
          <w:color w:val="000000"/>
        </w:rPr>
      </w:pPr>
      <w:r>
        <w:rPr>
          <w:rFonts w:hint="eastAsia" w:hAnsi="宋体"/>
          <w:b/>
          <w:color w:val="000000"/>
        </w:rPr>
        <w:t>十六、不可抗力事件处理</w:t>
      </w:r>
    </w:p>
    <w:p>
      <w:pPr>
        <w:pStyle w:val="27"/>
        <w:snapToGrid w:val="0"/>
        <w:spacing w:beforeLines="0" w:afterLines="0" w:line="480" w:lineRule="exact"/>
        <w:rPr>
          <w:rFonts w:hAnsi="宋体"/>
          <w:color w:val="000000"/>
        </w:rPr>
      </w:pPr>
      <w:r>
        <w:rPr>
          <w:rFonts w:hint="eastAsia" w:hAnsi="宋体"/>
          <w:color w:val="000000"/>
        </w:rPr>
        <w:t>1.在合同有效期内，任何一方因不可抗力事件导致不能履行合同，则合同履行期可延长，其延长期与不可抗力影响期相同。</w:t>
      </w:r>
    </w:p>
    <w:p>
      <w:pPr>
        <w:pStyle w:val="27"/>
        <w:snapToGrid w:val="0"/>
        <w:spacing w:beforeLines="0" w:afterLines="0" w:line="480" w:lineRule="exact"/>
        <w:rPr>
          <w:rFonts w:hAnsi="宋体"/>
          <w:color w:val="000000"/>
        </w:rPr>
      </w:pPr>
      <w:r>
        <w:rPr>
          <w:rFonts w:hint="eastAsia" w:hAnsi="宋体"/>
          <w:color w:val="000000"/>
        </w:rPr>
        <w:t>2.不可抗力事件发生后，应立即通知对方，并寄送有关权威机构出具的证明。</w:t>
      </w:r>
    </w:p>
    <w:p>
      <w:pPr>
        <w:pStyle w:val="27"/>
        <w:snapToGrid w:val="0"/>
        <w:spacing w:beforeLines="0" w:afterLines="0" w:line="480" w:lineRule="exact"/>
        <w:rPr>
          <w:rFonts w:hAnsi="宋体"/>
          <w:color w:val="000000"/>
        </w:rPr>
      </w:pPr>
      <w:r>
        <w:rPr>
          <w:rFonts w:hint="eastAsia" w:hAnsi="宋体"/>
          <w:color w:val="000000"/>
        </w:rPr>
        <w:t>3.不可抗力事件延续120天以上，双方应通过友好协商，确定是否继续履行合同。</w:t>
      </w:r>
    </w:p>
    <w:p>
      <w:pPr>
        <w:pStyle w:val="27"/>
        <w:snapToGrid w:val="0"/>
        <w:spacing w:beforeLines="0" w:afterLines="0" w:line="480" w:lineRule="exact"/>
        <w:rPr>
          <w:rFonts w:hAnsi="宋体"/>
          <w:b/>
          <w:color w:val="000000"/>
        </w:rPr>
      </w:pPr>
      <w:r>
        <w:rPr>
          <w:rFonts w:hint="eastAsia" w:hAnsi="宋体"/>
          <w:b/>
          <w:color w:val="000000"/>
        </w:rPr>
        <w:t>十七、诉讼</w:t>
      </w:r>
    </w:p>
    <w:p>
      <w:pPr>
        <w:pStyle w:val="27"/>
        <w:snapToGrid w:val="0"/>
        <w:spacing w:beforeLines="0" w:afterLines="0" w:line="480" w:lineRule="exact"/>
        <w:ind w:firstLine="480" w:firstLineChars="200"/>
        <w:rPr>
          <w:rFonts w:hAnsi="宋体"/>
          <w:color w:val="000000"/>
        </w:rPr>
      </w:pPr>
      <w:r>
        <w:rPr>
          <w:rFonts w:hint="eastAsia" w:hAnsi="宋体"/>
          <w:color w:val="000000"/>
        </w:rPr>
        <w:t>双方在执行合同中所发生的一切争议，应通过协商解决。如协商不成，可向甲方所在地人民法院起诉。</w:t>
      </w:r>
    </w:p>
    <w:p>
      <w:pPr>
        <w:pStyle w:val="27"/>
        <w:snapToGrid w:val="0"/>
        <w:spacing w:beforeLines="0" w:afterLines="0" w:line="480" w:lineRule="exact"/>
        <w:rPr>
          <w:rFonts w:hAnsi="宋体"/>
          <w:b/>
          <w:color w:val="000000"/>
        </w:rPr>
      </w:pPr>
      <w:r>
        <w:rPr>
          <w:rFonts w:hint="eastAsia" w:hAnsi="宋体"/>
          <w:b/>
          <w:color w:val="000000"/>
        </w:rPr>
        <w:t>十八、合同生效及其它</w:t>
      </w:r>
    </w:p>
    <w:p>
      <w:pPr>
        <w:pStyle w:val="27"/>
        <w:snapToGrid w:val="0"/>
        <w:spacing w:beforeLines="0" w:afterLines="0" w:line="480" w:lineRule="exact"/>
        <w:rPr>
          <w:rFonts w:hAnsi="宋体"/>
          <w:color w:val="000000"/>
        </w:rPr>
      </w:pPr>
      <w:r>
        <w:rPr>
          <w:rFonts w:hint="eastAsia" w:hAnsi="宋体"/>
          <w:color w:val="000000"/>
        </w:rPr>
        <w:t>1.合同经双方法定代表人或授权代表签字并加盖单位公章后生效。</w:t>
      </w:r>
    </w:p>
    <w:p>
      <w:pPr>
        <w:pStyle w:val="27"/>
        <w:snapToGrid w:val="0"/>
        <w:spacing w:beforeLines="0" w:afterLines="0" w:line="480" w:lineRule="exact"/>
        <w:rPr>
          <w:rFonts w:hAnsi="宋体"/>
          <w:color w:val="000000"/>
        </w:rPr>
      </w:pPr>
      <w:r>
        <w:rPr>
          <w:rFonts w:hint="eastAsia" w:hAnsi="宋体"/>
          <w:color w:val="000000"/>
        </w:rPr>
        <w:t>2.合同执行中涉及采购资金和采购内容修改或补充的，须经财政部门审批，并签书面补充协</w:t>
      </w:r>
      <w:r>
        <w:rPr>
          <w:rFonts w:hint="eastAsia" w:hAnsi="宋体"/>
        </w:rPr>
        <w:t>议报</w:t>
      </w:r>
      <w:r>
        <w:rPr>
          <w:rFonts w:hint="eastAsia" w:hAnsi="宋体"/>
          <w:b/>
        </w:rPr>
        <w:t>临海市财政局</w:t>
      </w:r>
      <w:r>
        <w:rPr>
          <w:rFonts w:hint="eastAsia" w:hAnsi="宋体"/>
        </w:rPr>
        <w:t>备案，方</w:t>
      </w:r>
      <w:r>
        <w:rPr>
          <w:rFonts w:hint="eastAsia" w:hAnsi="宋体"/>
          <w:color w:val="000000"/>
        </w:rPr>
        <w:t>可作为主合同不可分割的一部分。</w:t>
      </w:r>
    </w:p>
    <w:p>
      <w:pPr>
        <w:pStyle w:val="27"/>
        <w:snapToGrid w:val="0"/>
        <w:spacing w:beforeLines="0" w:afterLines="0" w:line="480" w:lineRule="exact"/>
        <w:ind w:left="480" w:hanging="480" w:hangingChars="200"/>
        <w:rPr>
          <w:rFonts w:hAnsi="宋体"/>
          <w:color w:val="000000"/>
        </w:rPr>
      </w:pPr>
      <w:r>
        <w:rPr>
          <w:rFonts w:hint="eastAsia" w:hAnsi="宋体"/>
          <w:color w:val="000000"/>
        </w:rPr>
        <w:t>3.本合同未尽事宜，遵照《合同法》有关条文执行。</w:t>
      </w:r>
    </w:p>
    <w:p>
      <w:pPr>
        <w:pStyle w:val="27"/>
        <w:snapToGrid w:val="0"/>
        <w:spacing w:beforeLines="0" w:afterLines="0" w:line="480" w:lineRule="exact"/>
        <w:rPr>
          <w:rFonts w:hAnsi="宋体"/>
          <w:color w:val="000000"/>
        </w:rPr>
      </w:pPr>
      <w:r>
        <w:rPr>
          <w:rFonts w:hint="eastAsia" w:hAnsi="宋体"/>
          <w:color w:val="000000"/>
        </w:rPr>
        <w:t>4. 本合同正本一式四份,甲乙双方签订后送</w:t>
      </w:r>
      <w:r>
        <w:rPr>
          <w:rFonts w:hint="eastAsia" w:hAnsi="宋体"/>
        </w:rPr>
        <w:t>至招标代理公司见证盖章</w:t>
      </w:r>
      <w:r>
        <w:rPr>
          <w:rFonts w:hint="eastAsia" w:hAnsi="宋体"/>
          <w:color w:val="000000"/>
        </w:rPr>
        <w:t>后生效。</w:t>
      </w:r>
    </w:p>
    <w:p>
      <w:pPr>
        <w:pStyle w:val="27"/>
        <w:snapToGrid w:val="0"/>
        <w:spacing w:beforeLines="0" w:afterLines="0" w:line="480" w:lineRule="exact"/>
        <w:ind w:firstLine="240" w:firstLineChars="100"/>
        <w:rPr>
          <w:rFonts w:hint="eastAsia" w:hAnsi="宋体"/>
          <w:color w:val="000000"/>
        </w:rPr>
      </w:pPr>
    </w:p>
    <w:p>
      <w:pPr>
        <w:pStyle w:val="27"/>
        <w:snapToGrid w:val="0"/>
        <w:spacing w:beforeLines="0" w:afterLines="0" w:line="480" w:lineRule="exact"/>
        <w:ind w:firstLine="240" w:firstLineChars="100"/>
        <w:rPr>
          <w:rFonts w:hAnsi="宋体"/>
          <w:color w:val="000000"/>
        </w:rPr>
      </w:pPr>
      <w:r>
        <w:rPr>
          <w:rFonts w:hint="eastAsia" w:hAnsi="宋体"/>
          <w:color w:val="000000"/>
        </w:rPr>
        <w:t xml:space="preserve">甲方：                                   乙方： </w:t>
      </w:r>
    </w:p>
    <w:p>
      <w:pPr>
        <w:pStyle w:val="27"/>
        <w:snapToGrid w:val="0"/>
        <w:spacing w:beforeLines="0" w:afterLines="0" w:line="480" w:lineRule="exact"/>
        <w:rPr>
          <w:rFonts w:hAnsi="宋体"/>
          <w:color w:val="000000"/>
        </w:rPr>
      </w:pPr>
      <w:r>
        <w:rPr>
          <w:rFonts w:hint="eastAsia" w:hAnsi="宋体"/>
          <w:color w:val="000000"/>
        </w:rPr>
        <w:t xml:space="preserve">  地址：                                   地址： </w:t>
      </w:r>
    </w:p>
    <w:p>
      <w:pPr>
        <w:pStyle w:val="27"/>
        <w:snapToGrid w:val="0"/>
        <w:spacing w:beforeLines="0" w:afterLines="0" w:line="480" w:lineRule="exact"/>
        <w:rPr>
          <w:rFonts w:hAnsi="宋体"/>
          <w:color w:val="000000"/>
        </w:rPr>
      </w:pPr>
      <w:r>
        <w:rPr>
          <w:rFonts w:hint="eastAsia" w:hAnsi="宋体"/>
          <w:color w:val="000000"/>
        </w:rPr>
        <w:t xml:space="preserve">  法定（授权）代表人：                     法定（授权）代表人：</w:t>
      </w:r>
    </w:p>
    <w:p>
      <w:pPr>
        <w:pStyle w:val="27"/>
        <w:snapToGrid w:val="0"/>
        <w:spacing w:beforeLines="0" w:afterLines="0" w:line="480" w:lineRule="exact"/>
        <w:ind w:firstLine="240" w:firstLineChars="100"/>
        <w:rPr>
          <w:rFonts w:hAnsi="宋体"/>
          <w:color w:val="000000"/>
        </w:rPr>
      </w:pPr>
      <w:r>
        <w:rPr>
          <w:rFonts w:hint="eastAsia" w:hAnsi="宋体"/>
          <w:color w:val="000000"/>
        </w:rPr>
        <w:t>签订日期：     年　  月　 日             签订日期：     年　  月　 日</w:t>
      </w:r>
    </w:p>
    <w:p>
      <w:pPr>
        <w:pStyle w:val="27"/>
        <w:snapToGrid w:val="0"/>
        <w:spacing w:beforeLines="0" w:afterLines="0" w:line="480" w:lineRule="exact"/>
        <w:ind w:firstLine="360" w:firstLineChars="150"/>
        <w:rPr>
          <w:rFonts w:hint="eastAsia" w:hAnsi="宋体"/>
          <w:color w:val="000000"/>
        </w:rPr>
      </w:pPr>
      <w:bookmarkStart w:id="29" w:name="_Toc251160747"/>
    </w:p>
    <w:p>
      <w:pPr>
        <w:pStyle w:val="27"/>
        <w:snapToGrid w:val="0"/>
        <w:spacing w:beforeLines="0" w:afterLines="0" w:line="480" w:lineRule="exact"/>
        <w:ind w:firstLine="360" w:firstLineChars="150"/>
        <w:rPr>
          <w:rFonts w:hint="eastAsia" w:hAnsi="宋体"/>
          <w:color w:val="000000"/>
        </w:rPr>
      </w:pPr>
    </w:p>
    <w:p>
      <w:pPr>
        <w:pStyle w:val="27"/>
        <w:snapToGrid w:val="0"/>
        <w:spacing w:beforeLines="0" w:afterLines="0" w:line="480" w:lineRule="exact"/>
        <w:ind w:firstLine="360" w:firstLineChars="150"/>
        <w:rPr>
          <w:rFonts w:hint="eastAsia" w:hAnsi="宋体"/>
          <w:color w:val="000000"/>
        </w:rPr>
      </w:pPr>
    </w:p>
    <w:p>
      <w:pPr>
        <w:pStyle w:val="27"/>
        <w:snapToGrid w:val="0"/>
        <w:spacing w:beforeLines="0" w:afterLines="0" w:line="480" w:lineRule="exact"/>
        <w:ind w:firstLine="360" w:firstLineChars="150"/>
        <w:rPr>
          <w:rFonts w:hint="eastAsia" w:hAnsi="宋体"/>
          <w:color w:val="000000"/>
        </w:rPr>
      </w:pPr>
    </w:p>
    <w:p>
      <w:pPr>
        <w:pStyle w:val="27"/>
        <w:snapToGrid w:val="0"/>
        <w:spacing w:beforeLines="0" w:afterLines="0" w:line="480" w:lineRule="exact"/>
        <w:ind w:firstLine="360" w:firstLineChars="150"/>
        <w:rPr>
          <w:rFonts w:hAnsi="宋体"/>
          <w:b/>
          <w:color w:val="000000"/>
          <w:sz w:val="30"/>
          <w:szCs w:val="30"/>
        </w:rPr>
      </w:pPr>
      <w:r>
        <w:rPr>
          <w:rFonts w:hint="eastAsia" w:hAnsi="宋体"/>
          <w:color w:val="000000"/>
        </w:rPr>
        <w:t xml:space="preserve">见证方：（盖章）                        </w:t>
      </w:r>
      <w:bookmarkEnd w:id="29"/>
      <w:bookmarkStart w:id="30" w:name="_Toc466534751"/>
      <w:r>
        <w:rPr>
          <w:rFonts w:hAnsi="宋体"/>
          <w:color w:val="000000"/>
        </w:rPr>
        <w:br w:type="page"/>
      </w:r>
    </w:p>
    <w:p>
      <w:pPr>
        <w:pStyle w:val="27"/>
        <w:snapToGrid w:val="0"/>
        <w:spacing w:beforeLines="0" w:afterLines="0" w:line="420" w:lineRule="exact"/>
        <w:jc w:val="center"/>
        <w:outlineLvl w:val="0"/>
        <w:rPr>
          <w:rFonts w:hAnsi="宋体"/>
          <w:b/>
          <w:color w:val="000000"/>
          <w:sz w:val="30"/>
          <w:szCs w:val="30"/>
        </w:rPr>
      </w:pPr>
      <w:bookmarkStart w:id="31" w:name="_Toc31429"/>
      <w:r>
        <w:rPr>
          <w:rFonts w:hint="eastAsia" w:hAnsi="宋体"/>
          <w:b/>
          <w:color w:val="000000"/>
          <w:sz w:val="30"/>
          <w:szCs w:val="30"/>
        </w:rPr>
        <w:t>第六章　投标文件格式</w:t>
      </w:r>
      <w:bookmarkEnd w:id="30"/>
      <w:bookmarkEnd w:id="31"/>
    </w:p>
    <w:p>
      <w:pPr>
        <w:pStyle w:val="27"/>
        <w:snapToGrid w:val="0"/>
        <w:spacing w:beforeLines="0" w:afterLines="0" w:line="420" w:lineRule="exact"/>
        <w:jc w:val="center"/>
        <w:rPr>
          <w:rFonts w:hAnsi="宋体"/>
          <w:color w:val="000000"/>
          <w:sz w:val="30"/>
          <w:szCs w:val="30"/>
        </w:rPr>
      </w:pPr>
    </w:p>
    <w:p>
      <w:pPr>
        <w:pStyle w:val="27"/>
        <w:snapToGrid w:val="0"/>
        <w:spacing w:beforeLines="0" w:afterLines="0" w:line="420" w:lineRule="exact"/>
        <w:jc w:val="center"/>
        <w:rPr>
          <w:rFonts w:hAnsi="宋体"/>
          <w:color w:val="000000"/>
          <w:sz w:val="30"/>
          <w:szCs w:val="30"/>
        </w:rPr>
      </w:pPr>
    </w:p>
    <w:p>
      <w:pPr>
        <w:snapToGrid w:val="0"/>
        <w:spacing w:before="120" w:beforeLines="50" w:after="50" w:line="360" w:lineRule="auto"/>
        <w:jc w:val="center"/>
        <w:outlineLvl w:val="1"/>
        <w:rPr>
          <w:rFonts w:ascii="宋体" w:hAnsi="宋体"/>
          <w:b/>
          <w:bCs/>
          <w:color w:val="000000"/>
          <w:sz w:val="24"/>
          <w:szCs w:val="20"/>
        </w:rPr>
      </w:pPr>
      <w:bookmarkStart w:id="32" w:name="_Toc466534752"/>
      <w:bookmarkStart w:id="33" w:name="_Toc265669849"/>
      <w:bookmarkStart w:id="34" w:name="_Toc29775"/>
      <w:r>
        <w:rPr>
          <w:rFonts w:hint="eastAsia" w:ascii="宋体" w:hAnsi="宋体"/>
          <w:b/>
          <w:bCs/>
          <w:color w:val="000000"/>
          <w:sz w:val="24"/>
        </w:rPr>
        <w:t>一、投标文件外层包装封面格式</w:t>
      </w:r>
      <w:bookmarkEnd w:id="32"/>
      <w:bookmarkEnd w:id="33"/>
      <w:bookmarkEnd w:id="34"/>
    </w:p>
    <w:p>
      <w:pPr>
        <w:snapToGrid w:val="0"/>
        <w:spacing w:before="120" w:beforeLines="50" w:after="50" w:line="360" w:lineRule="auto"/>
        <w:rPr>
          <w:rFonts w:ascii="宋体" w:hAnsi="宋体"/>
          <w:color w:val="000000"/>
          <w:sz w:val="24"/>
          <w:szCs w:val="20"/>
        </w:rPr>
      </w:pPr>
      <w:r>
        <w:rPr>
          <w:rFonts w:hint="eastAsia" w:ascii="宋体" w:hAnsi="宋体"/>
          <w:color w:val="000000"/>
          <w:sz w:val="24"/>
        </w:rPr>
        <w:t>1.所有投标文件的外包装封面格式：</w:t>
      </w:r>
    </w:p>
    <w:p>
      <w:pPr>
        <w:snapToGrid w:val="0"/>
        <w:spacing w:before="120" w:beforeLines="50" w:after="50" w:line="360" w:lineRule="auto"/>
        <w:rPr>
          <w:rFonts w:ascii="宋体" w:hAnsi="宋体"/>
          <w:color w:val="000000"/>
          <w:sz w:val="24"/>
          <w:szCs w:val="20"/>
        </w:rPr>
      </w:pPr>
    </w:p>
    <w:p>
      <w:pPr>
        <w:snapToGrid w:val="0"/>
        <w:spacing w:before="120" w:beforeLines="50" w:after="50" w:line="360" w:lineRule="auto"/>
        <w:jc w:val="center"/>
        <w:rPr>
          <w:rFonts w:ascii="宋体" w:hAnsi="宋体"/>
          <w:bCs/>
          <w:color w:val="000000"/>
          <w:sz w:val="24"/>
        </w:rPr>
      </w:pPr>
      <w:r>
        <w:rPr>
          <w:rFonts w:hint="eastAsia" w:ascii="宋体" w:hAnsi="宋体"/>
          <w:bCs/>
          <w:color w:val="000000"/>
          <w:sz w:val="24"/>
        </w:rPr>
        <w:t>投 标 文 件</w:t>
      </w:r>
    </w:p>
    <w:p>
      <w:pPr>
        <w:snapToGrid w:val="0"/>
        <w:spacing w:before="120" w:beforeLines="50" w:after="50" w:line="360" w:lineRule="auto"/>
        <w:jc w:val="center"/>
        <w:rPr>
          <w:rFonts w:ascii="宋体" w:hAnsi="宋体"/>
          <w:bCs/>
          <w:color w:val="000000"/>
          <w:sz w:val="24"/>
        </w:rPr>
      </w:pPr>
    </w:p>
    <w:p>
      <w:pPr>
        <w:snapToGrid w:val="0"/>
        <w:spacing w:before="120" w:beforeLines="50" w:after="50" w:line="360" w:lineRule="auto"/>
        <w:ind w:firstLine="960" w:firstLineChars="400"/>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ind w:firstLine="480" w:firstLineChars="200"/>
        <w:rPr>
          <w:rFonts w:ascii="宋体" w:hAnsi="宋体"/>
          <w:bCs/>
          <w:color w:val="000000"/>
          <w:sz w:val="24"/>
          <w:szCs w:val="20"/>
        </w:rPr>
      </w:pPr>
      <w:r>
        <w:rPr>
          <w:rFonts w:hint="eastAsia" w:ascii="宋体" w:hAnsi="宋体"/>
          <w:bCs/>
          <w:color w:val="000000"/>
          <w:sz w:val="24"/>
        </w:rPr>
        <w:t xml:space="preserve">    项目编号： </w:t>
      </w:r>
    </w:p>
    <w:p>
      <w:pPr>
        <w:pStyle w:val="13"/>
        <w:snapToGrid w:val="0"/>
        <w:spacing w:before="50" w:after="50" w:line="480" w:lineRule="auto"/>
        <w:ind w:firstLine="900" w:firstLineChars="375"/>
        <w:rPr>
          <w:rFonts w:ascii="宋体" w:hAnsi="宋体"/>
          <w:bCs/>
          <w:color w:val="000000"/>
          <w:sz w:val="24"/>
        </w:rPr>
      </w:pPr>
      <w:r>
        <w:rPr>
          <w:rFonts w:hint="eastAsia" w:ascii="宋体" w:hAnsi="宋体"/>
          <w:bCs/>
          <w:color w:val="000000"/>
          <w:sz w:val="24"/>
        </w:rPr>
        <w:t>投标文件名称：商务技术文件、报价文件</w:t>
      </w:r>
    </w:p>
    <w:p>
      <w:pPr>
        <w:pStyle w:val="13"/>
        <w:snapToGrid w:val="0"/>
        <w:spacing w:before="50" w:after="50" w:line="480" w:lineRule="auto"/>
        <w:ind w:firstLine="900" w:firstLineChars="375"/>
        <w:rPr>
          <w:rFonts w:ascii="宋体" w:hAnsi="宋体"/>
          <w:bCs/>
          <w:color w:val="000000"/>
          <w:sz w:val="24"/>
        </w:rPr>
      </w:pPr>
      <w:r>
        <w:rPr>
          <w:rFonts w:hint="eastAsia" w:ascii="宋体" w:hAnsi="宋体"/>
          <w:bCs/>
          <w:color w:val="000000"/>
          <w:sz w:val="24"/>
        </w:rPr>
        <w:t>投标人名称：</w:t>
      </w:r>
    </w:p>
    <w:p>
      <w:pPr>
        <w:pStyle w:val="13"/>
        <w:snapToGrid w:val="0"/>
        <w:spacing w:before="50" w:after="50" w:line="480" w:lineRule="auto"/>
        <w:ind w:firstLine="900" w:firstLineChars="375"/>
        <w:rPr>
          <w:rFonts w:ascii="宋体" w:hAnsi="宋体"/>
          <w:bCs/>
          <w:color w:val="000000"/>
          <w:sz w:val="24"/>
        </w:rPr>
      </w:pPr>
      <w:r>
        <w:rPr>
          <w:rFonts w:hint="eastAsia" w:ascii="宋体" w:hAnsi="宋体"/>
          <w:bCs/>
          <w:color w:val="000000"/>
          <w:sz w:val="24"/>
        </w:rPr>
        <w:t>投标人地址：</w:t>
      </w:r>
    </w:p>
    <w:p>
      <w:pPr>
        <w:pStyle w:val="13"/>
        <w:snapToGrid w:val="0"/>
        <w:spacing w:before="50" w:after="50" w:line="480" w:lineRule="auto"/>
        <w:ind w:firstLine="960" w:firstLineChars="400"/>
        <w:jc w:val="center"/>
        <w:rPr>
          <w:rFonts w:ascii="宋体" w:hAnsi="宋体"/>
          <w:bCs/>
          <w:color w:val="000000"/>
          <w:sz w:val="24"/>
        </w:rPr>
      </w:pPr>
      <w:r>
        <w:rPr>
          <w:rFonts w:hint="eastAsia" w:ascii="宋体" w:hAnsi="宋体"/>
          <w:bCs/>
          <w:color w:val="000000"/>
          <w:sz w:val="24"/>
        </w:rPr>
        <w:t>开标时启封</w:t>
      </w:r>
    </w:p>
    <w:p>
      <w:pPr>
        <w:snapToGrid w:val="0"/>
        <w:spacing w:before="120" w:beforeLines="50" w:after="50" w:line="360" w:lineRule="auto"/>
        <w:ind w:firstLine="4080" w:firstLineChars="1700"/>
        <w:rPr>
          <w:rFonts w:ascii="宋体" w:hAnsi="宋体"/>
          <w:bCs/>
          <w:color w:val="000000"/>
          <w:sz w:val="24"/>
          <w:szCs w:val="20"/>
        </w:rPr>
      </w:pPr>
    </w:p>
    <w:p>
      <w:pPr>
        <w:snapToGrid w:val="0"/>
        <w:spacing w:before="120" w:beforeLines="50" w:after="50" w:line="360" w:lineRule="auto"/>
        <w:ind w:firstLine="645"/>
        <w:jc w:val="center"/>
        <w:rPr>
          <w:rFonts w:ascii="宋体" w:hAnsi="宋体"/>
          <w:bCs/>
          <w:color w:val="000000"/>
          <w:sz w:val="24"/>
        </w:rPr>
      </w:pPr>
      <w:r>
        <w:rPr>
          <w:rFonts w:hint="eastAsia" w:ascii="宋体" w:hAnsi="宋体"/>
          <w:bCs/>
          <w:color w:val="000000"/>
          <w:sz w:val="24"/>
        </w:rPr>
        <w:t xml:space="preserve">                        年  月  日</w:t>
      </w:r>
    </w:p>
    <w:p>
      <w:pPr>
        <w:snapToGrid w:val="0"/>
        <w:spacing w:before="120" w:beforeLines="50" w:after="50"/>
        <w:jc w:val="center"/>
        <w:outlineLvl w:val="1"/>
        <w:rPr>
          <w:rFonts w:ascii="宋体" w:hAnsi="宋体"/>
          <w:b/>
          <w:bCs/>
          <w:color w:val="000000"/>
          <w:sz w:val="24"/>
        </w:rPr>
      </w:pPr>
      <w:bookmarkStart w:id="35" w:name="_Toc265669850"/>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hint="eastAsia" w:ascii="宋体" w:hAnsi="宋体"/>
          <w:b/>
          <w:bCs/>
          <w:color w:val="000000"/>
          <w:sz w:val="24"/>
        </w:rPr>
      </w:pPr>
    </w:p>
    <w:p>
      <w:pPr>
        <w:snapToGrid w:val="0"/>
        <w:spacing w:before="120" w:beforeLines="50" w:after="50"/>
        <w:jc w:val="center"/>
        <w:outlineLvl w:val="1"/>
        <w:rPr>
          <w:rFonts w:hint="eastAsia" w:ascii="宋体" w:hAnsi="宋体"/>
          <w:b/>
          <w:bCs/>
          <w:color w:val="000000"/>
          <w:sz w:val="24"/>
        </w:rPr>
      </w:pPr>
    </w:p>
    <w:p>
      <w:pPr>
        <w:snapToGrid w:val="0"/>
        <w:spacing w:before="120" w:beforeLines="50" w:after="50"/>
        <w:jc w:val="center"/>
        <w:outlineLvl w:val="1"/>
        <w:rPr>
          <w:rFonts w:hint="eastAsia" w:ascii="宋体" w:hAnsi="宋体"/>
          <w:b/>
          <w:bCs/>
          <w:color w:val="000000"/>
          <w:sz w:val="24"/>
        </w:rPr>
      </w:pPr>
    </w:p>
    <w:p>
      <w:pPr>
        <w:snapToGrid w:val="0"/>
        <w:spacing w:before="120" w:beforeLines="50" w:after="50"/>
        <w:jc w:val="center"/>
        <w:outlineLvl w:val="1"/>
        <w:rPr>
          <w:rFonts w:ascii="宋体" w:hAnsi="宋体"/>
          <w:b/>
          <w:bCs/>
          <w:color w:val="000000"/>
          <w:sz w:val="24"/>
        </w:rPr>
      </w:pPr>
      <w:bookmarkStart w:id="36" w:name="_Toc21090"/>
      <w:bookmarkStart w:id="37" w:name="_Toc466534753"/>
      <w:r>
        <w:rPr>
          <w:rFonts w:hint="eastAsia" w:ascii="宋体" w:hAnsi="宋体"/>
          <w:b/>
          <w:bCs/>
          <w:color w:val="000000"/>
          <w:sz w:val="24"/>
        </w:rPr>
        <w:t>二、商务技术文件格式</w:t>
      </w:r>
      <w:bookmarkEnd w:id="35"/>
      <w:bookmarkEnd w:id="36"/>
      <w:bookmarkEnd w:id="37"/>
    </w:p>
    <w:p>
      <w:pPr>
        <w:snapToGrid w:val="0"/>
        <w:spacing w:before="120" w:beforeLines="50" w:after="50"/>
        <w:jc w:val="center"/>
        <w:rPr>
          <w:rFonts w:ascii="宋体" w:hAnsi="宋体"/>
          <w:color w:val="000000"/>
          <w:sz w:val="24"/>
          <w:szCs w:val="20"/>
        </w:rPr>
      </w:pPr>
    </w:p>
    <w:p>
      <w:pPr>
        <w:snapToGrid w:val="0"/>
        <w:spacing w:before="120" w:beforeLines="50" w:after="50"/>
        <w:rPr>
          <w:rFonts w:ascii="宋体" w:hAnsi="宋体"/>
          <w:bCs/>
          <w:color w:val="000000"/>
          <w:sz w:val="24"/>
          <w:szCs w:val="20"/>
        </w:rPr>
      </w:pPr>
      <w:r>
        <w:rPr>
          <w:rFonts w:hint="eastAsia" w:ascii="宋体" w:hAnsi="宋体"/>
          <w:color w:val="000000"/>
          <w:sz w:val="24"/>
        </w:rPr>
        <w:t>2.商务技术</w:t>
      </w:r>
      <w:r>
        <w:rPr>
          <w:rFonts w:hint="eastAsia" w:ascii="宋体" w:hAnsi="宋体"/>
          <w:bCs/>
          <w:color w:val="000000"/>
          <w:sz w:val="24"/>
        </w:rPr>
        <w:t>文件的外包装封面格式：</w:t>
      </w:r>
    </w:p>
    <w:p>
      <w:pPr>
        <w:snapToGrid w:val="0"/>
        <w:spacing w:before="120" w:beforeLines="50" w:after="50"/>
        <w:rPr>
          <w:rFonts w:ascii="宋体" w:hAnsi="宋体"/>
          <w:bCs/>
          <w:color w:val="000000"/>
          <w:sz w:val="24"/>
          <w:szCs w:val="20"/>
        </w:rPr>
      </w:pPr>
    </w:p>
    <w:p>
      <w:pPr>
        <w:snapToGrid w:val="0"/>
        <w:spacing w:before="120" w:beforeLines="50" w:after="50"/>
        <w:jc w:val="center"/>
        <w:rPr>
          <w:rFonts w:ascii="宋体" w:hAnsi="宋体"/>
          <w:bCs/>
          <w:color w:val="000000"/>
          <w:sz w:val="24"/>
          <w:szCs w:val="20"/>
        </w:rPr>
      </w:pPr>
      <w:r>
        <w:rPr>
          <w:rFonts w:hint="eastAsia" w:ascii="宋体" w:hAnsi="宋体"/>
          <w:bCs/>
          <w:color w:val="000000"/>
          <w:sz w:val="24"/>
        </w:rPr>
        <w:t>商务技术文件</w:t>
      </w:r>
    </w:p>
    <w:p>
      <w:pPr>
        <w:snapToGrid w:val="0"/>
        <w:spacing w:before="120" w:beforeLines="50" w:after="50" w:line="360" w:lineRule="auto"/>
        <w:jc w:val="center"/>
        <w:rPr>
          <w:rFonts w:ascii="宋体" w:hAnsi="宋体"/>
          <w:bCs/>
          <w:color w:val="000000"/>
          <w:sz w:val="24"/>
        </w:rPr>
      </w:pPr>
    </w:p>
    <w:p>
      <w:pPr>
        <w:snapToGrid w:val="0"/>
        <w:spacing w:before="120" w:beforeLines="50" w:after="50" w:line="360" w:lineRule="auto"/>
        <w:jc w:val="center"/>
        <w:rPr>
          <w:rFonts w:ascii="宋体" w:hAnsi="宋体"/>
          <w:bCs/>
          <w:color w:val="000000"/>
          <w:sz w:val="24"/>
        </w:rPr>
      </w:pPr>
    </w:p>
    <w:p>
      <w:pPr>
        <w:snapToGrid w:val="0"/>
        <w:spacing w:before="120" w:beforeLines="50" w:after="50" w:line="360" w:lineRule="auto"/>
        <w:ind w:firstLine="1068" w:firstLineChars="4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ind w:firstLine="480" w:firstLineChars="200"/>
        <w:rPr>
          <w:rFonts w:ascii="宋体" w:hAnsi="宋体"/>
          <w:bCs/>
          <w:color w:val="000000"/>
          <w:sz w:val="24"/>
          <w:szCs w:val="20"/>
        </w:rPr>
      </w:pPr>
      <w:r>
        <w:rPr>
          <w:rFonts w:hint="eastAsia" w:ascii="宋体" w:hAnsi="宋体"/>
          <w:bCs/>
          <w:color w:val="000000"/>
          <w:sz w:val="24"/>
        </w:rPr>
        <w:t xml:space="preserve">     项目编号：</w:t>
      </w:r>
    </w:p>
    <w:p>
      <w:pPr>
        <w:snapToGrid w:val="0"/>
        <w:spacing w:before="120" w:beforeLines="50" w:after="50" w:line="360" w:lineRule="auto"/>
        <w:ind w:firstLine="480" w:firstLineChars="200"/>
        <w:rPr>
          <w:rFonts w:ascii="宋体" w:hAnsi="宋体"/>
          <w:bCs/>
          <w:color w:val="000000"/>
          <w:sz w:val="24"/>
          <w:szCs w:val="20"/>
        </w:rPr>
      </w:pPr>
    </w:p>
    <w:p>
      <w:pPr>
        <w:pStyle w:val="13"/>
        <w:snapToGrid w:val="0"/>
        <w:spacing w:before="50" w:after="50" w:line="360" w:lineRule="auto"/>
        <w:ind w:firstLine="998" w:firstLineChars="416"/>
        <w:rPr>
          <w:rFonts w:ascii="宋体" w:hAnsi="宋体"/>
          <w:bCs/>
          <w:color w:val="000000"/>
          <w:sz w:val="24"/>
        </w:rPr>
      </w:pPr>
      <w:r>
        <w:rPr>
          <w:rFonts w:hint="eastAsia" w:ascii="宋体" w:hAnsi="宋体"/>
          <w:bCs/>
          <w:color w:val="000000"/>
          <w:sz w:val="24"/>
        </w:rPr>
        <w:t>投标人名称：</w:t>
      </w:r>
    </w:p>
    <w:p>
      <w:pPr>
        <w:pStyle w:val="13"/>
        <w:snapToGrid w:val="0"/>
        <w:spacing w:before="50" w:after="50" w:line="360" w:lineRule="auto"/>
        <w:ind w:firstLine="998" w:firstLineChars="416"/>
        <w:rPr>
          <w:rFonts w:ascii="宋体" w:hAnsi="宋体"/>
          <w:bCs/>
          <w:color w:val="000000"/>
          <w:sz w:val="24"/>
        </w:rPr>
      </w:pPr>
      <w:r>
        <w:rPr>
          <w:rFonts w:hint="eastAsia" w:ascii="宋体" w:hAnsi="宋体"/>
          <w:bCs/>
          <w:color w:val="000000"/>
          <w:sz w:val="24"/>
        </w:rPr>
        <w:t>投标人地址：</w:t>
      </w:r>
    </w:p>
    <w:p>
      <w:pPr>
        <w:pStyle w:val="13"/>
        <w:snapToGrid w:val="0"/>
        <w:spacing w:before="50" w:after="50" w:line="360" w:lineRule="auto"/>
        <w:ind w:firstLine="960" w:firstLineChars="400"/>
        <w:jc w:val="center"/>
        <w:rPr>
          <w:rFonts w:ascii="宋体" w:hAnsi="宋体"/>
          <w:bCs/>
          <w:color w:val="000000"/>
          <w:sz w:val="24"/>
        </w:rPr>
      </w:pPr>
      <w:r>
        <w:rPr>
          <w:rFonts w:hint="eastAsia" w:ascii="宋体" w:hAnsi="宋体"/>
          <w:bCs/>
          <w:color w:val="000000"/>
          <w:sz w:val="24"/>
        </w:rPr>
        <w:t>开标时启封</w:t>
      </w:r>
    </w:p>
    <w:p>
      <w:pPr>
        <w:snapToGrid w:val="0"/>
        <w:spacing w:before="120" w:beforeLines="50" w:after="50" w:line="360" w:lineRule="auto"/>
        <w:ind w:firstLine="645"/>
        <w:jc w:val="center"/>
        <w:rPr>
          <w:rFonts w:ascii="宋体" w:hAnsi="宋体"/>
          <w:color w:val="000000"/>
          <w:sz w:val="24"/>
          <w:szCs w:val="20"/>
        </w:rPr>
      </w:pPr>
      <w:r>
        <w:rPr>
          <w:rFonts w:hint="eastAsia" w:ascii="宋体" w:hAnsi="宋体"/>
          <w:color w:val="000000"/>
          <w:sz w:val="24"/>
        </w:rPr>
        <w:t xml:space="preserve">                        年    月    日</w:t>
      </w:r>
    </w:p>
    <w:p>
      <w:pPr>
        <w:snapToGrid w:val="0"/>
        <w:spacing w:before="120" w:beforeLines="50" w:after="50"/>
        <w:jc w:val="center"/>
        <w:rPr>
          <w:rFonts w:ascii="宋体" w:hAnsi="宋体"/>
          <w:color w:val="000000"/>
          <w:sz w:val="24"/>
          <w:szCs w:val="20"/>
        </w:rPr>
      </w:pPr>
    </w:p>
    <w:p>
      <w:pPr>
        <w:snapToGrid w:val="0"/>
        <w:spacing w:before="120" w:beforeLines="50" w:after="50"/>
        <w:rPr>
          <w:rFonts w:ascii="宋体" w:hAnsi="宋体"/>
          <w:color w:val="000000"/>
          <w:sz w:val="24"/>
          <w:szCs w:val="20"/>
        </w:rPr>
      </w:pPr>
      <w:r>
        <w:rPr>
          <w:rFonts w:hint="eastAsia" w:ascii="宋体" w:hAnsi="宋体"/>
          <w:color w:val="000000"/>
          <w:sz w:val="24"/>
        </w:rPr>
        <w:t xml:space="preserve">3.商务技术文件封面格式： </w:t>
      </w:r>
    </w:p>
    <w:p>
      <w:pPr>
        <w:snapToGrid w:val="0"/>
        <w:spacing w:before="120" w:beforeLines="50" w:after="50"/>
        <w:rPr>
          <w:rFonts w:ascii="宋体" w:hAnsi="宋体"/>
          <w:b/>
          <w:bCs/>
          <w:color w:val="000000"/>
          <w:sz w:val="32"/>
          <w:szCs w:val="20"/>
        </w:rPr>
      </w:pPr>
      <w:r>
        <w:rPr>
          <w:rFonts w:hint="eastAsia" w:ascii="宋体" w:hAnsi="宋体"/>
          <w:b/>
          <w:bCs/>
          <w:color w:val="000000"/>
        </w:rPr>
        <w:t>正本/或副本</w:t>
      </w:r>
    </w:p>
    <w:p>
      <w:pPr>
        <w:snapToGrid w:val="0"/>
        <w:spacing w:before="120" w:beforeLines="50" w:after="50"/>
        <w:rPr>
          <w:rFonts w:ascii="宋体" w:hAnsi="宋体"/>
          <w:color w:val="000000"/>
          <w:sz w:val="24"/>
          <w:szCs w:val="20"/>
        </w:rPr>
      </w:pPr>
    </w:p>
    <w:p>
      <w:pPr>
        <w:snapToGrid w:val="0"/>
        <w:spacing w:before="120" w:beforeLines="50" w:after="50"/>
        <w:jc w:val="center"/>
        <w:rPr>
          <w:rFonts w:ascii="宋体" w:hAnsi="宋体"/>
          <w:bCs/>
          <w:color w:val="000000"/>
          <w:sz w:val="24"/>
          <w:szCs w:val="20"/>
        </w:rPr>
      </w:pPr>
    </w:p>
    <w:p>
      <w:pPr>
        <w:snapToGrid w:val="0"/>
        <w:spacing w:before="120" w:beforeLines="50" w:after="50"/>
        <w:jc w:val="center"/>
        <w:rPr>
          <w:rFonts w:ascii="宋体" w:hAnsi="宋体"/>
          <w:bCs/>
          <w:color w:val="000000"/>
          <w:sz w:val="24"/>
        </w:rPr>
      </w:pPr>
      <w:r>
        <w:rPr>
          <w:rFonts w:hint="eastAsia" w:ascii="宋体" w:hAnsi="宋体"/>
          <w:bCs/>
          <w:color w:val="000000"/>
          <w:sz w:val="24"/>
        </w:rPr>
        <w:t>商务技术文件</w:t>
      </w:r>
    </w:p>
    <w:p>
      <w:pPr>
        <w:snapToGrid w:val="0"/>
        <w:spacing w:before="120" w:beforeLines="50" w:after="50" w:line="360" w:lineRule="auto"/>
        <w:jc w:val="center"/>
        <w:rPr>
          <w:rFonts w:ascii="宋体" w:hAnsi="宋体"/>
          <w:bCs/>
          <w:color w:val="000000"/>
          <w:sz w:val="24"/>
        </w:rPr>
      </w:pPr>
    </w:p>
    <w:p>
      <w:pPr>
        <w:snapToGrid w:val="0"/>
        <w:spacing w:before="120" w:beforeLines="50" w:after="50" w:line="360" w:lineRule="auto"/>
        <w:jc w:val="center"/>
        <w:rPr>
          <w:rFonts w:ascii="宋体" w:hAnsi="宋体"/>
          <w:bCs/>
          <w:color w:val="000000"/>
          <w:sz w:val="24"/>
        </w:rPr>
      </w:pPr>
    </w:p>
    <w:p>
      <w:pPr>
        <w:snapToGrid w:val="0"/>
        <w:spacing w:before="120" w:beforeLines="50" w:after="50" w:line="360" w:lineRule="auto"/>
        <w:ind w:firstLine="1068" w:firstLineChars="4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ind w:firstLine="480" w:firstLineChars="200"/>
        <w:rPr>
          <w:rFonts w:ascii="宋体" w:hAnsi="宋体"/>
          <w:bCs/>
          <w:color w:val="000000"/>
          <w:sz w:val="24"/>
          <w:szCs w:val="20"/>
        </w:rPr>
      </w:pPr>
      <w:r>
        <w:rPr>
          <w:rFonts w:hint="eastAsia" w:ascii="宋体" w:hAnsi="宋体"/>
          <w:bCs/>
          <w:color w:val="000000"/>
          <w:sz w:val="24"/>
        </w:rPr>
        <w:t xml:space="preserve">     项目编号：    </w:t>
      </w:r>
    </w:p>
    <w:p>
      <w:pPr>
        <w:pStyle w:val="13"/>
        <w:snapToGrid w:val="0"/>
        <w:spacing w:before="50" w:after="50" w:line="360" w:lineRule="auto"/>
        <w:ind w:firstLine="998" w:firstLineChars="416"/>
        <w:rPr>
          <w:rFonts w:ascii="宋体" w:hAnsi="宋体"/>
          <w:bCs/>
          <w:color w:val="000000"/>
          <w:sz w:val="24"/>
        </w:rPr>
      </w:pPr>
    </w:p>
    <w:p>
      <w:pPr>
        <w:pStyle w:val="13"/>
        <w:snapToGrid w:val="0"/>
        <w:spacing w:before="50" w:after="50" w:line="360" w:lineRule="auto"/>
        <w:ind w:firstLine="998" w:firstLineChars="416"/>
        <w:rPr>
          <w:rFonts w:ascii="宋体" w:hAnsi="宋体"/>
          <w:bCs/>
          <w:color w:val="000000"/>
          <w:sz w:val="24"/>
        </w:rPr>
      </w:pPr>
      <w:r>
        <w:rPr>
          <w:rFonts w:hint="eastAsia" w:ascii="宋体" w:hAnsi="宋体"/>
          <w:bCs/>
          <w:color w:val="000000"/>
          <w:sz w:val="24"/>
        </w:rPr>
        <w:t>投标人名称：</w:t>
      </w:r>
    </w:p>
    <w:p>
      <w:pPr>
        <w:pStyle w:val="13"/>
        <w:snapToGrid w:val="0"/>
        <w:spacing w:before="50" w:after="50" w:line="360" w:lineRule="auto"/>
        <w:ind w:firstLine="998" w:firstLineChars="416"/>
        <w:rPr>
          <w:rFonts w:ascii="宋体" w:hAnsi="宋体"/>
          <w:bCs/>
          <w:color w:val="000000"/>
          <w:sz w:val="24"/>
        </w:rPr>
      </w:pPr>
      <w:r>
        <w:rPr>
          <w:rFonts w:hint="eastAsia" w:ascii="宋体" w:hAnsi="宋体"/>
          <w:bCs/>
          <w:color w:val="000000"/>
          <w:sz w:val="24"/>
        </w:rPr>
        <w:t>投标人地址：</w:t>
      </w:r>
    </w:p>
    <w:p>
      <w:pPr>
        <w:pStyle w:val="13"/>
        <w:snapToGrid w:val="0"/>
        <w:spacing w:before="50" w:after="50"/>
        <w:ind w:firstLine="960" w:firstLineChars="400"/>
        <w:rPr>
          <w:rFonts w:ascii="宋体" w:hAnsi="宋体"/>
          <w:bCs/>
          <w:color w:val="000000"/>
          <w:sz w:val="24"/>
        </w:rPr>
      </w:pPr>
    </w:p>
    <w:p>
      <w:pPr>
        <w:snapToGrid w:val="0"/>
        <w:spacing w:before="120" w:beforeLines="50" w:after="50"/>
        <w:ind w:firstLine="645"/>
        <w:jc w:val="center"/>
        <w:rPr>
          <w:rFonts w:ascii="宋体" w:hAnsi="宋体"/>
          <w:color w:val="000000"/>
          <w:sz w:val="24"/>
        </w:rPr>
      </w:pPr>
      <w:r>
        <w:rPr>
          <w:rFonts w:hint="eastAsia" w:ascii="宋体" w:hAnsi="宋体"/>
          <w:color w:val="000000"/>
          <w:sz w:val="24"/>
        </w:rPr>
        <w:t xml:space="preserve">                        年  月  日</w:t>
      </w:r>
    </w:p>
    <w:p>
      <w:pPr>
        <w:snapToGrid w:val="0"/>
        <w:spacing w:before="120" w:beforeLines="50" w:after="50"/>
        <w:ind w:firstLine="645"/>
        <w:jc w:val="center"/>
        <w:rPr>
          <w:rFonts w:ascii="宋体" w:hAnsi="宋体"/>
          <w:color w:val="000000"/>
          <w:sz w:val="24"/>
          <w:szCs w:val="20"/>
        </w:rPr>
      </w:pPr>
    </w:p>
    <w:p>
      <w:pPr>
        <w:snapToGrid w:val="0"/>
        <w:spacing w:before="50" w:after="120" w:afterLines="50"/>
        <w:jc w:val="left"/>
        <w:rPr>
          <w:rFonts w:ascii="宋体" w:hAnsi="宋体"/>
          <w:color w:val="000000"/>
          <w:sz w:val="24"/>
          <w:szCs w:val="20"/>
        </w:rPr>
      </w:pPr>
      <w:r>
        <w:rPr>
          <w:rFonts w:hint="eastAsia" w:ascii="宋体" w:hAnsi="宋体"/>
          <w:color w:val="000000"/>
          <w:sz w:val="24"/>
        </w:rPr>
        <w:t>4.投标函格式：</w:t>
      </w:r>
    </w:p>
    <w:p>
      <w:pPr>
        <w:snapToGrid w:val="0"/>
        <w:spacing w:before="120" w:beforeLines="50" w:after="50"/>
        <w:jc w:val="center"/>
        <w:rPr>
          <w:rFonts w:ascii="宋体" w:hAnsi="宋体"/>
          <w:b/>
          <w:color w:val="000000"/>
          <w:sz w:val="24"/>
        </w:rPr>
      </w:pPr>
      <w:r>
        <w:rPr>
          <w:rFonts w:hint="eastAsia" w:ascii="宋体" w:hAnsi="宋体"/>
          <w:b/>
          <w:color w:val="000000"/>
          <w:sz w:val="24"/>
        </w:rPr>
        <w:t>投 标 函</w:t>
      </w:r>
    </w:p>
    <w:p>
      <w:pPr>
        <w:snapToGrid w:val="0"/>
        <w:spacing w:before="120" w:beforeLines="50" w:after="50"/>
        <w:jc w:val="center"/>
        <w:rPr>
          <w:rFonts w:ascii="宋体" w:hAnsi="宋体"/>
          <w:b/>
          <w:color w:val="000000"/>
          <w:sz w:val="24"/>
        </w:rPr>
      </w:pPr>
    </w:p>
    <w:p>
      <w:pPr>
        <w:snapToGrid w:val="0"/>
        <w:spacing w:before="120" w:beforeLines="50" w:after="50" w:line="380" w:lineRule="exact"/>
        <w:rPr>
          <w:rFonts w:ascii="宋体" w:hAnsi="宋体"/>
          <w:color w:val="000000"/>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sz w:val="24"/>
        </w:rPr>
        <w:t>_（招标采购单位名称）：</w:t>
      </w:r>
    </w:p>
    <w:p>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_     _</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、我方完全理解并接受招标文件（包括修改补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再对招标文件</w:t>
      </w:r>
      <w:r>
        <w:rPr>
          <w:rFonts w:hint="eastAsia" w:ascii="宋体" w:hAnsi="宋体"/>
          <w:color w:val="000000"/>
          <w:sz w:val="24"/>
        </w:rPr>
        <w:t>的合理性、合法性等</w:t>
      </w:r>
      <w:r>
        <w:rPr>
          <w:rFonts w:ascii="宋体" w:hAnsi="宋体"/>
          <w:color w:val="000000"/>
          <w:sz w:val="24"/>
        </w:rPr>
        <w:t>相关内容提出质疑或投诉。</w:t>
      </w:r>
    </w:p>
    <w:p>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pPr>
        <w:snapToGri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.、我方向贵方提交的所有投标文件、资料都是准确的和真实的。</w:t>
      </w:r>
    </w:p>
    <w:p>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、本投标自开标日起 90天</w:t>
      </w:r>
      <w:r>
        <w:rPr>
          <w:rFonts w:ascii="宋体" w:hAnsi="宋体"/>
          <w:color w:val="000000"/>
          <w:sz w:val="24"/>
        </w:rPr>
        <w:t>内</w:t>
      </w:r>
      <w:r>
        <w:rPr>
          <w:rFonts w:hint="eastAsia" w:ascii="宋体" w:hAnsi="宋体"/>
          <w:color w:val="000000"/>
          <w:sz w:val="24"/>
        </w:rPr>
        <w:t>有效。</w:t>
      </w:r>
    </w:p>
    <w:p>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、如中标，本投标文件至本项目合同履行完毕均保持有效，同意按照贵方要求提供与投标有关的一切数据或资料，并按“招标文件”及政府采购法律、法规的规定履行合同责任和义务。</w:t>
      </w:r>
    </w:p>
    <w:p>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同意我方的投标保证金</w:t>
      </w:r>
      <w:r>
        <w:rPr>
          <w:rFonts w:hint="eastAsia" w:ascii="宋体" w:hAnsi="宋体"/>
          <w:color w:val="000000"/>
          <w:sz w:val="24"/>
        </w:rPr>
        <w:t>（</w:t>
      </w:r>
      <w:r>
        <w:rPr>
          <w:rFonts w:ascii="宋体" w:hAnsi="宋体"/>
          <w:color w:val="000000"/>
          <w:sz w:val="24"/>
        </w:rPr>
        <w:t>或履约保证金）不予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pPr>
        <w:snapToGrid w:val="0"/>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办理针对上述项目的投标、开标、评标、签约等具体事务和签署相关文件，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项行为负全部责任</w:t>
      </w:r>
      <w:r>
        <w:rPr>
          <w:rFonts w:hint="eastAsia" w:ascii="宋体" w:hAnsi="宋体"/>
          <w:color w:val="000000"/>
          <w:sz w:val="24"/>
        </w:rPr>
        <w:t>，在撤销授权的书面通知以前，本授权书一直有效，被授权人无转委托权。</w:t>
      </w:r>
    </w:p>
    <w:p>
      <w:pPr>
        <w:snapToGrid w:val="0"/>
        <w:spacing w:line="360" w:lineRule="auto"/>
        <w:ind w:firstLine="480" w:firstLineChars="200"/>
        <w:rPr>
          <w:rFonts w:ascii="宋体" w:hAnsi="宋体"/>
          <w:color w:val="000000"/>
          <w:sz w:val="24"/>
        </w:rPr>
      </w:pPr>
      <w:r>
        <w:rPr>
          <w:rFonts w:hint="eastAsia" w:ascii="宋体" w:hAnsi="宋体"/>
          <w:color w:val="000000"/>
          <w:sz w:val="24"/>
        </w:rPr>
        <w:t>与本投标有关的一切正式往来信函请寄：</w:t>
      </w:r>
    </w:p>
    <w:p>
      <w:pPr>
        <w:snapToGrid w:val="0"/>
        <w:spacing w:line="360" w:lineRule="auto"/>
        <w:ind w:firstLine="360" w:firstLineChars="150"/>
        <w:rPr>
          <w:rFonts w:ascii="宋体" w:hAnsi="宋体"/>
          <w:color w:val="000000"/>
          <w:sz w:val="24"/>
        </w:rPr>
      </w:pPr>
      <w:r>
        <w:rPr>
          <w:rFonts w:hint="eastAsia" w:ascii="宋体" w:hAnsi="宋体"/>
          <w:color w:val="000000"/>
          <w:sz w:val="24"/>
        </w:rPr>
        <w:t>地址：__________</w:t>
      </w:r>
      <w:r>
        <w:rPr>
          <w:rFonts w:hint="eastAsia" w:ascii="宋体" w:hAnsi="宋体"/>
          <w:color w:val="000000"/>
          <w:sz w:val="24"/>
          <w:u w:val="single"/>
        </w:rPr>
        <w:t xml:space="preserve">        _</w:t>
      </w:r>
      <w:r>
        <w:rPr>
          <w:rFonts w:hint="eastAsia" w:ascii="宋体" w:hAnsi="宋体"/>
          <w:color w:val="000000"/>
          <w:sz w:val="24"/>
        </w:rPr>
        <w:t>____</w:t>
      </w:r>
    </w:p>
    <w:p>
      <w:pPr>
        <w:snapToGrid w:val="0"/>
        <w:spacing w:line="360" w:lineRule="auto"/>
        <w:ind w:firstLine="360" w:firstLineChars="150"/>
        <w:rPr>
          <w:rFonts w:ascii="宋体" w:hAnsi="宋体"/>
          <w:color w:val="000000"/>
          <w:sz w:val="24"/>
        </w:rPr>
      </w:pPr>
      <w:r>
        <w:rPr>
          <w:rFonts w:hint="eastAsia" w:ascii="宋体" w:hAnsi="宋体"/>
          <w:color w:val="000000"/>
          <w:sz w:val="24"/>
        </w:rPr>
        <w:t>邮编：__________   电话：_______</w:t>
      </w:r>
      <w:r>
        <w:rPr>
          <w:rFonts w:hint="eastAsia" w:ascii="宋体" w:hAnsi="宋体"/>
          <w:color w:val="000000"/>
          <w:sz w:val="24"/>
          <w:u w:val="single"/>
        </w:rPr>
        <w:t>_</w:t>
      </w:r>
      <w:r>
        <w:rPr>
          <w:rFonts w:hint="eastAsia" w:ascii="宋体" w:hAnsi="宋体"/>
          <w:color w:val="000000"/>
          <w:sz w:val="24"/>
        </w:rPr>
        <w:t>______传真：______________</w:t>
      </w:r>
    </w:p>
    <w:p>
      <w:pPr>
        <w:snapToGrid w:val="0"/>
        <w:spacing w:line="360" w:lineRule="auto"/>
        <w:ind w:firstLine="361" w:firstLineChars="150"/>
        <w:jc w:val="left"/>
        <w:rPr>
          <w:rFonts w:ascii="宋体" w:hAnsi="宋体"/>
          <w:b/>
          <w:color w:val="000000"/>
          <w:sz w:val="24"/>
          <w:u w:val="single"/>
          <w:shd w:val="clear" w:color="auto" w:fill="auto"/>
        </w:rPr>
      </w:pPr>
      <w:r>
        <w:rPr>
          <w:rFonts w:hint="eastAsia" w:ascii="宋体" w:hAnsi="宋体"/>
          <w:b/>
          <w:color w:val="000000"/>
          <w:sz w:val="24"/>
          <w:shd w:val="clear" w:color="auto" w:fill="auto"/>
        </w:rPr>
        <w:t>法定代表人（签字或盖章）：</w:t>
      </w:r>
    </w:p>
    <w:p>
      <w:pPr>
        <w:snapToGrid w:val="0"/>
        <w:spacing w:line="360" w:lineRule="auto"/>
        <w:ind w:firstLine="361" w:firstLineChars="150"/>
        <w:jc w:val="left"/>
        <w:rPr>
          <w:rFonts w:ascii="宋体" w:hAnsi="宋体"/>
          <w:color w:val="000000"/>
          <w:sz w:val="24"/>
        </w:rPr>
      </w:pPr>
      <w:r>
        <w:rPr>
          <w:rFonts w:hint="eastAsia" w:ascii="宋体" w:hAnsi="宋体"/>
          <w:b/>
          <w:color w:val="000000"/>
          <w:sz w:val="24"/>
          <w:shd w:val="clear" w:color="auto" w:fill="auto"/>
        </w:rPr>
        <w:t>被授权人（签字）:_</w:t>
      </w:r>
      <w:r>
        <w:rPr>
          <w:rFonts w:hint="eastAsia" w:ascii="宋体" w:hAnsi="宋体"/>
          <w:color w:val="000000"/>
          <w:sz w:val="24"/>
        </w:rPr>
        <w:t>_</w:t>
      </w:r>
      <w:r>
        <w:rPr>
          <w:rFonts w:hint="eastAsia" w:ascii="宋体" w:hAnsi="宋体"/>
          <w:color w:val="000000"/>
          <w:sz w:val="24"/>
          <w:u w:val="single"/>
        </w:rPr>
        <w:t>_</w:t>
      </w:r>
      <w:r>
        <w:rPr>
          <w:rFonts w:hint="eastAsia" w:ascii="宋体" w:hAnsi="宋体"/>
          <w:color w:val="000000"/>
          <w:sz w:val="24"/>
        </w:rPr>
        <w:t xml:space="preserve">________ </w:t>
      </w:r>
      <w:r>
        <w:rPr>
          <w:rFonts w:hint="eastAsia" w:ascii="宋体" w:hAnsi="宋体"/>
          <w:b/>
          <w:bCs/>
          <w:color w:val="auto"/>
          <w:sz w:val="24"/>
        </w:rPr>
        <w:t>被授权人手机号码：</w:t>
      </w:r>
      <w:r>
        <w:rPr>
          <w:rFonts w:hint="eastAsia" w:ascii="宋体" w:hAnsi="宋体"/>
          <w:b/>
          <w:color w:val="000000"/>
          <w:sz w:val="24"/>
        </w:rPr>
        <w:t>_</w:t>
      </w:r>
      <w:r>
        <w:rPr>
          <w:rFonts w:hint="eastAsia" w:ascii="宋体" w:hAnsi="宋体"/>
          <w:color w:val="000000"/>
          <w:sz w:val="24"/>
        </w:rPr>
        <w:t>_</w:t>
      </w:r>
      <w:r>
        <w:rPr>
          <w:rFonts w:hint="eastAsia" w:ascii="宋体" w:hAnsi="宋体"/>
          <w:color w:val="000000"/>
          <w:sz w:val="24"/>
          <w:u w:val="single"/>
        </w:rPr>
        <w:t>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p>
    <w:p>
      <w:pPr>
        <w:snapToGrid w:val="0"/>
        <w:spacing w:line="360" w:lineRule="auto"/>
        <w:ind w:firstLine="4080" w:firstLineChars="1700"/>
        <w:jc w:val="left"/>
        <w:rPr>
          <w:rFonts w:ascii="宋体" w:hAnsi="宋体"/>
          <w:color w:val="000000"/>
          <w:sz w:val="24"/>
        </w:rPr>
      </w:pPr>
      <w:r>
        <w:rPr>
          <w:rFonts w:hint="eastAsia" w:ascii="宋体" w:hAnsi="宋体"/>
          <w:color w:val="000000"/>
          <w:sz w:val="24"/>
        </w:rPr>
        <w:t>投标人:(公章)</w:t>
      </w:r>
    </w:p>
    <w:p>
      <w:pPr>
        <w:snapToGrid w:val="0"/>
        <w:spacing w:line="360" w:lineRule="auto"/>
        <w:ind w:firstLine="240" w:firstLineChars="100"/>
        <w:jc w:val="left"/>
        <w:rPr>
          <w:rFonts w:ascii="宋体" w:hAnsi="宋体"/>
          <w:color w:val="000000"/>
          <w:sz w:val="24"/>
        </w:rPr>
      </w:pPr>
    </w:p>
    <w:p>
      <w:pPr>
        <w:snapToGrid w:val="0"/>
        <w:spacing w:line="360" w:lineRule="auto"/>
        <w:ind w:firstLine="4080" w:firstLineChars="1700"/>
        <w:jc w:val="left"/>
        <w:rPr>
          <w:rFonts w:ascii="宋体" w:hAnsi="宋体"/>
          <w:color w:val="000000"/>
          <w:sz w:val="24"/>
        </w:rPr>
      </w:pPr>
      <w:r>
        <w:rPr>
          <w:rFonts w:hint="eastAsia" w:ascii="宋体" w:hAnsi="宋体"/>
          <w:color w:val="000000"/>
          <w:sz w:val="24"/>
        </w:rPr>
        <w:t>日期:_____年___月___日</w:t>
      </w:r>
    </w:p>
    <w:p>
      <w:pPr>
        <w:snapToGrid w:val="0"/>
        <w:spacing w:before="120" w:beforeLines="50" w:after="50"/>
        <w:rPr>
          <w:rFonts w:hint="eastAsia" w:ascii="宋体" w:hAnsi="宋体"/>
          <w:color w:val="000000"/>
          <w:sz w:val="24"/>
          <w:szCs w:val="20"/>
        </w:rPr>
      </w:pPr>
      <w:r>
        <w:rPr>
          <w:rFonts w:hint="eastAsia" w:ascii="宋体" w:hAnsi="宋体"/>
          <w:color w:val="000000"/>
        </w:rPr>
        <w:br w:type="page"/>
      </w:r>
      <w:r>
        <w:rPr>
          <w:rFonts w:hint="eastAsia" w:ascii="宋体" w:hAnsi="宋体"/>
          <w:color w:val="000000"/>
          <w:sz w:val="24"/>
        </w:rPr>
        <w:t>5.法定代表人授权委托书格式：</w:t>
      </w:r>
    </w:p>
    <w:p>
      <w:pPr>
        <w:snapToGrid w:val="0"/>
        <w:spacing w:before="120" w:beforeLines="50" w:after="50"/>
        <w:jc w:val="center"/>
        <w:rPr>
          <w:rFonts w:hint="eastAsia" w:ascii="宋体" w:hAnsi="宋体"/>
          <w:b/>
          <w:sz w:val="24"/>
        </w:rPr>
      </w:pPr>
      <w:r>
        <w:rPr>
          <w:rFonts w:hint="eastAsia" w:ascii="宋体" w:hAnsi="宋体"/>
          <w:b/>
          <w:sz w:val="24"/>
        </w:rPr>
        <w:t>法定代表人授权委托书</w:t>
      </w:r>
    </w:p>
    <w:p>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_（招标采购单位名称）：</w:t>
      </w:r>
    </w:p>
    <w:p>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38"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38"/>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_（投标单位名称）的法定代表人，现授权委托本单位在职职工 </w:t>
      </w:r>
      <w:bookmarkStart w:id="39" w:name="_Hlk12177819"/>
      <w:r>
        <w:rPr>
          <w:rFonts w:hint="eastAsia" w:ascii="宋体" w:hAnsi="宋体"/>
          <w:color w:val="000000"/>
          <w:sz w:val="24"/>
        </w:rPr>
        <w:t>______</w:t>
      </w:r>
      <w:r>
        <w:rPr>
          <w:rFonts w:hint="eastAsia" w:ascii="宋体" w:hAnsi="宋体"/>
          <w:color w:val="000000"/>
          <w:sz w:val="24"/>
          <w:u w:val="single"/>
        </w:rPr>
        <w:t xml:space="preserve">_ </w:t>
      </w:r>
      <w:bookmarkEnd w:id="39"/>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项目的投标活动，并代表我方全权办理针对上述项目的投标、开标、评标、签约等具体事务和签署相关文件。</w:t>
      </w:r>
    </w:p>
    <w:p>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pPr>
        <w:snapToGrid w:val="0"/>
        <w:spacing w:before="120" w:beforeLines="50" w:after="50" w:line="460" w:lineRule="exact"/>
        <w:ind w:firstLine="480"/>
        <w:rPr>
          <w:rFonts w:hint="eastAsia" w:ascii="宋体" w:hAnsi="宋体"/>
          <w:color w:val="000000"/>
          <w:sz w:val="24"/>
          <w:szCs w:val="20"/>
        </w:rPr>
      </w:pPr>
      <w:r>
        <w:rPr>
          <w:rFonts w:hint="eastAsia" w:ascii="宋体" w:hAnsi="宋体"/>
          <w:color w:val="000000"/>
          <w:sz w:val="24"/>
        </w:rPr>
        <w:t>被授权人无转委托权，特此委托。</w:t>
      </w:r>
    </w:p>
    <w:p>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被授权人签名： </w:t>
      </w:r>
      <w:r>
        <w:rPr>
          <w:rFonts w:hint="eastAsia" w:ascii="宋体" w:hAnsi="宋体"/>
          <w:color w:val="000000"/>
          <w:sz w:val="28"/>
          <w:szCs w:val="28"/>
        </w:rPr>
        <w:t xml:space="preserve">               </w:t>
      </w:r>
    </w:p>
    <w:p>
      <w:pPr>
        <w:snapToGrid w:val="0"/>
        <w:spacing w:before="120" w:beforeLines="50" w:after="50" w:line="460" w:lineRule="exact"/>
        <w:rPr>
          <w:rFonts w:hint="eastAsia" w:ascii="宋体" w:hAnsi="宋体"/>
          <w:color w:val="000000"/>
          <w:sz w:val="24"/>
          <w:szCs w:val="20"/>
          <w:u w:val="single"/>
        </w:rPr>
      </w:pPr>
    </w:p>
    <w:p>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pPr>
              <w:spacing w:line="360" w:lineRule="auto"/>
              <w:rPr>
                <w:sz w:val="30"/>
                <w:szCs w:val="30"/>
              </w:rPr>
            </w:pPr>
            <w:r>
              <w:rPr>
                <w:rFonts w:hint="eastAsia"/>
                <w:sz w:val="30"/>
                <w:szCs w:val="30"/>
              </w:rPr>
              <w:t>身份证复印件粘贴处，正反两面均复印，复印件清晰可认。</w:t>
            </w:r>
          </w:p>
        </w:tc>
        <w:tc>
          <w:tcPr>
            <w:tcW w:w="4961" w:type="dxa"/>
            <w:noWrap w:val="0"/>
            <w:vAlign w:val="top"/>
          </w:tcPr>
          <w:p>
            <w:pPr>
              <w:spacing w:line="360" w:lineRule="auto"/>
              <w:rPr>
                <w:sz w:val="30"/>
                <w:szCs w:val="30"/>
              </w:rPr>
            </w:pPr>
            <w:r>
              <w:rPr>
                <w:rFonts w:hint="eastAsia"/>
                <w:sz w:val="30"/>
                <w:szCs w:val="30"/>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pPr>
              <w:spacing w:line="360" w:lineRule="auto"/>
              <w:rPr>
                <w:sz w:val="30"/>
                <w:szCs w:val="30"/>
              </w:rPr>
            </w:pPr>
          </w:p>
        </w:tc>
        <w:tc>
          <w:tcPr>
            <w:tcW w:w="4961" w:type="dxa"/>
            <w:noWrap w:val="0"/>
            <w:vAlign w:val="top"/>
          </w:tcPr>
          <w:p>
            <w:pPr>
              <w:spacing w:line="360" w:lineRule="auto"/>
              <w:rPr>
                <w:sz w:val="30"/>
                <w:szCs w:val="30"/>
              </w:rPr>
            </w:pPr>
          </w:p>
        </w:tc>
      </w:tr>
    </w:tbl>
    <w:p>
      <w:pPr>
        <w:snapToGrid w:val="0"/>
        <w:spacing w:before="120" w:beforeLines="50" w:after="50" w:line="460" w:lineRule="exact"/>
        <w:rPr>
          <w:rFonts w:hint="eastAsia" w:ascii="宋体" w:hAnsi="宋体"/>
          <w:color w:val="000000"/>
          <w:sz w:val="24"/>
        </w:rPr>
      </w:pPr>
      <w:r>
        <w:rPr>
          <w:rFonts w:hint="eastAsia" w:ascii="宋体" w:hAnsi="宋体"/>
          <w:color w:val="000000"/>
          <w:sz w:val="24"/>
        </w:rPr>
        <w:t xml:space="preserve">                                                投标人公章：</w:t>
      </w:r>
    </w:p>
    <w:p>
      <w:pPr>
        <w:snapToGrid w:val="0"/>
        <w:spacing w:before="120" w:beforeLines="50" w:after="50"/>
        <w:jc w:val="center"/>
        <w:rPr>
          <w:rFonts w:ascii="宋体" w:hAnsi="宋体"/>
          <w:color w:val="000000"/>
          <w:sz w:val="24"/>
          <w:szCs w:val="20"/>
        </w:rPr>
      </w:pPr>
      <w:r>
        <w:rPr>
          <w:rFonts w:hint="eastAsia" w:ascii="宋体" w:hAnsi="宋体"/>
          <w:color w:val="000000"/>
          <w:sz w:val="24"/>
        </w:rPr>
        <w:t xml:space="preserve">                                        年    月    日</w:t>
      </w:r>
    </w:p>
    <w:p>
      <w:pPr>
        <w:snapToGrid w:val="0"/>
        <w:spacing w:before="50" w:after="120" w:afterLines="50"/>
        <w:jc w:val="left"/>
        <w:rPr>
          <w:rFonts w:ascii="宋体" w:hAnsi="宋体"/>
          <w:color w:val="000000"/>
          <w:sz w:val="24"/>
        </w:rPr>
      </w:pPr>
      <w:r>
        <w:rPr>
          <w:rFonts w:hint="eastAsia" w:ascii="宋体" w:hAnsi="宋体"/>
          <w:color w:val="000000"/>
          <w:sz w:val="24"/>
        </w:rPr>
        <w:t>6. 设备说明表格式：</w:t>
      </w:r>
    </w:p>
    <w:p>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设备说明表</w:t>
      </w:r>
    </w:p>
    <w:p>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rPr>
          <w:rFonts w:hint="eastAsia" w:ascii="宋体" w:hAnsi="宋体"/>
          <w:bCs/>
          <w:color w:val="000000"/>
          <w:sz w:val="24"/>
        </w:rPr>
      </w:pPr>
      <w:r>
        <w:rPr>
          <w:rFonts w:hint="eastAsia" w:ascii="宋体" w:hAnsi="宋体"/>
          <w:bCs/>
          <w:color w:val="000000"/>
          <w:sz w:val="24"/>
        </w:rPr>
        <w:t>项目编号：</w:t>
      </w:r>
    </w:p>
    <w:tbl>
      <w:tblPr>
        <w:tblStyle w:val="48"/>
        <w:tblW w:w="0" w:type="auto"/>
        <w:tblInd w:w="93" w:type="dxa"/>
        <w:tblLayout w:type="fixed"/>
        <w:tblCellMar>
          <w:top w:w="0" w:type="dxa"/>
          <w:left w:w="108" w:type="dxa"/>
          <w:bottom w:w="0" w:type="dxa"/>
          <w:right w:w="108" w:type="dxa"/>
        </w:tblCellMar>
      </w:tblPr>
      <w:tblGrid>
        <w:gridCol w:w="728"/>
        <w:gridCol w:w="2122"/>
        <w:gridCol w:w="1701"/>
        <w:gridCol w:w="3402"/>
        <w:gridCol w:w="1266"/>
      </w:tblGrid>
      <w:tr>
        <w:tblPrEx>
          <w:tblCellMar>
            <w:top w:w="0" w:type="dxa"/>
            <w:left w:w="108" w:type="dxa"/>
            <w:bottom w:w="0" w:type="dxa"/>
            <w:right w:w="108" w:type="dxa"/>
          </w:tblCellMar>
        </w:tblPrEx>
        <w:trPr>
          <w:trHeight w:val="435"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1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设备名称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b/>
                <w:color w:val="000000"/>
                <w:kern w:val="0"/>
                <w:sz w:val="24"/>
              </w:rPr>
            </w:pPr>
            <w:r>
              <w:rPr>
                <w:rFonts w:hint="eastAsia" w:ascii="宋体" w:hAnsi="宋体" w:cs="宋体"/>
                <w:b/>
                <w:color w:val="000000"/>
                <w:kern w:val="0"/>
                <w:sz w:val="24"/>
              </w:rPr>
              <w:t>品牌</w:t>
            </w:r>
          </w:p>
        </w:tc>
        <w:tc>
          <w:tcPr>
            <w:tcW w:w="34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b/>
                <w:color w:val="000000"/>
                <w:kern w:val="0"/>
                <w:sz w:val="24"/>
              </w:rPr>
            </w:pPr>
            <w:r>
              <w:rPr>
                <w:rFonts w:hint="eastAsia" w:ascii="宋体" w:hAnsi="宋体" w:cs="宋体"/>
                <w:b/>
                <w:color w:val="000000"/>
                <w:kern w:val="0"/>
                <w:sz w:val="24"/>
              </w:rPr>
              <w:t>详细参数</w:t>
            </w:r>
          </w:p>
        </w:tc>
        <w:tc>
          <w:tcPr>
            <w:tcW w:w="1266" w:type="dxa"/>
            <w:vMerge w:val="restar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tblPrEx>
          <w:tblCellMar>
            <w:top w:w="0" w:type="dxa"/>
            <w:left w:w="108" w:type="dxa"/>
            <w:bottom w:w="0" w:type="dxa"/>
            <w:right w:w="108" w:type="dxa"/>
          </w:tblCellMar>
        </w:tblPrEx>
        <w:trPr>
          <w:trHeight w:val="311" w:hRule="atLeast"/>
        </w:trPr>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34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266"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bl>
    <w:p>
      <w:pPr>
        <w:snapToGrid w:val="0"/>
        <w:spacing w:before="50" w:after="120" w:afterLines="50"/>
        <w:jc w:val="left"/>
        <w:rPr>
          <w:rFonts w:ascii="宋体" w:hAnsi="宋体"/>
          <w:spacing w:val="20"/>
          <w:sz w:val="24"/>
        </w:rPr>
      </w:pPr>
    </w:p>
    <w:p>
      <w:pPr>
        <w:snapToGrid w:val="0"/>
        <w:spacing w:before="50" w:after="120" w:afterLines="50"/>
        <w:jc w:val="left"/>
        <w:rPr>
          <w:rFonts w:hint="eastAsia" w:ascii="宋体" w:hAnsi="宋体"/>
          <w:b/>
          <w:sz w:val="24"/>
        </w:rPr>
      </w:pPr>
      <w:r>
        <w:rPr>
          <w:rFonts w:hint="eastAsia" w:ascii="宋体" w:hAnsi="宋体"/>
          <w:b/>
          <w:sz w:val="24"/>
        </w:rPr>
        <w:t>注：投标人根据采购清单中的内容进行填写，清单表中不包含价格信息。</w:t>
      </w:r>
    </w:p>
    <w:p>
      <w:pPr>
        <w:snapToGrid w:val="0"/>
        <w:spacing w:before="50" w:after="120" w:afterLines="50"/>
        <w:jc w:val="left"/>
        <w:rPr>
          <w:rFonts w:ascii="宋体" w:hAnsi="宋体"/>
          <w:spacing w:val="20"/>
          <w:sz w:val="24"/>
        </w:rPr>
      </w:pPr>
      <w:r>
        <w:rPr>
          <w:rFonts w:hint="eastAsia" w:ascii="宋体" w:hAnsi="宋体"/>
          <w:spacing w:val="20"/>
          <w:sz w:val="24"/>
        </w:rPr>
        <w:t>法定代表人签字（或盖章）：            投标人（盖章）：</w:t>
      </w:r>
    </w:p>
    <w:p>
      <w:pPr>
        <w:snapToGrid w:val="0"/>
        <w:spacing w:before="50" w:after="120" w:afterLines="50"/>
        <w:jc w:val="left"/>
        <w:rPr>
          <w:rFonts w:ascii="宋体" w:hAnsi="宋体"/>
          <w:color w:val="000000"/>
          <w:sz w:val="24"/>
          <w:szCs w:val="20"/>
        </w:rPr>
      </w:pPr>
      <w:r>
        <w:rPr>
          <w:rFonts w:hint="eastAsia" w:ascii="宋体" w:hAnsi="宋体"/>
          <w:color w:val="000000"/>
          <w:sz w:val="24"/>
          <w:szCs w:val="20"/>
        </w:rPr>
        <w:t>日期：</w:t>
      </w: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r>
        <w:rPr>
          <w:rFonts w:hint="eastAsia" w:ascii="宋体" w:hAnsi="宋体"/>
          <w:color w:val="000000"/>
          <w:sz w:val="24"/>
        </w:rPr>
        <w:t>7.项目负责人简历：</w:t>
      </w:r>
    </w:p>
    <w:p>
      <w:pPr>
        <w:snapToGrid w:val="0"/>
        <w:spacing w:before="50" w:after="120" w:afterLines="50"/>
        <w:jc w:val="left"/>
        <w:rPr>
          <w:rFonts w:ascii="宋体" w:hAnsi="宋体"/>
          <w:color w:val="000000"/>
          <w:sz w:val="24"/>
          <w:szCs w:val="20"/>
        </w:rPr>
      </w:pPr>
    </w:p>
    <w:p>
      <w:pPr>
        <w:jc w:val="center"/>
        <w:rPr>
          <w:rFonts w:ascii="宋体" w:hAnsi="宋体"/>
          <w:snapToGrid w:val="0"/>
          <w:color w:val="000000"/>
          <w:sz w:val="28"/>
        </w:rPr>
      </w:pPr>
      <w:r>
        <w:rPr>
          <w:rFonts w:hint="eastAsia" w:ascii="宋体" w:hAnsi="宋体"/>
          <w:snapToGrid w:val="0"/>
          <w:color w:val="000000"/>
          <w:sz w:val="28"/>
        </w:rPr>
        <w:t>项目负责人简历表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8"/>
        <w:tblpPr w:leftFromText="180" w:rightFromText="180" w:vertAnchor="text" w:tblpY="2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0"/>
            <w:vAlign w:val="center"/>
          </w:tcPr>
          <w:p>
            <w:pPr>
              <w:spacing w:line="351" w:lineRule="atLeast"/>
              <w:ind w:firstLine="557" w:firstLineChars="199"/>
              <w:rPr>
                <w:rFonts w:ascii="宋体" w:hAnsi="宋体"/>
                <w:color w:val="000000"/>
                <w:sz w:val="28"/>
                <w:u w:val="none"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noWrap w:val="0"/>
            <w:vAlign w:val="center"/>
          </w:tcPr>
          <w:p>
            <w:pPr>
              <w:spacing w:line="351" w:lineRule="atLeast"/>
              <w:ind w:firstLine="419"/>
              <w:jc w:val="center"/>
              <w:rPr>
                <w:rFonts w:ascii="宋体" w:hAnsi="宋体"/>
                <w:color w:val="000000"/>
                <w:sz w:val="28"/>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pPr>
              <w:spacing w:line="351" w:lineRule="atLeast"/>
              <w:ind w:firstLine="554" w:firstLineChars="198"/>
              <w:rPr>
                <w:rFonts w:ascii="宋体" w:hAnsi="宋体"/>
                <w:color w:val="000000"/>
                <w:sz w:val="28"/>
                <w:u w:val="none"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u w:val="none" w:color="000000"/>
              </w:rPr>
              <w:t>手机号</w:t>
            </w:r>
          </w:p>
        </w:tc>
        <w:tc>
          <w:tcPr>
            <w:tcW w:w="2733" w:type="dxa"/>
            <w:tcBorders>
              <w:top w:val="single" w:color="auto" w:sz="4"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u w:val="none" w:color="000000"/>
              </w:rPr>
              <w:t>联系电话</w:t>
            </w:r>
          </w:p>
        </w:tc>
        <w:tc>
          <w:tcPr>
            <w:tcW w:w="2928" w:type="dxa"/>
            <w:tcBorders>
              <w:top w:val="single" w:color="auto" w:sz="4"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pPr>
              <w:jc w:val="center"/>
              <w:rPr>
                <w:rFonts w:ascii="宋体" w:hAnsi="宋体"/>
                <w:color w:val="000000"/>
                <w:sz w:val="28"/>
                <w:u w:val="none" w:color="000000"/>
              </w:rPr>
            </w:pPr>
            <w:r>
              <w:rPr>
                <w:rFonts w:hint="eastAsia" w:ascii="宋体" w:hAnsi="宋体"/>
                <w:color w:val="000000"/>
                <w:sz w:val="28"/>
              </w:rPr>
              <w:t>简</w:t>
            </w:r>
          </w:p>
          <w:p>
            <w:pPr>
              <w:jc w:val="center"/>
              <w:rPr>
                <w:rFonts w:ascii="宋体" w:hAnsi="宋体"/>
                <w:color w:val="000000"/>
                <w:sz w:val="28"/>
              </w:rPr>
            </w:pPr>
          </w:p>
          <w:p>
            <w:pPr>
              <w:jc w:val="center"/>
              <w:rPr>
                <w:rFonts w:ascii="宋体" w:hAnsi="宋体"/>
                <w:color w:val="000000"/>
                <w:sz w:val="28"/>
              </w:rPr>
            </w:pPr>
          </w:p>
          <w:p>
            <w:pPr>
              <w:spacing w:line="351" w:lineRule="atLeast"/>
              <w:jc w:val="center"/>
              <w:rPr>
                <w:rFonts w:ascii="宋体" w:hAnsi="宋体"/>
                <w:color w:val="000000"/>
                <w:u w:val="none"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noWrap w:val="0"/>
            <w:vAlign w:val="center"/>
          </w:tcPr>
          <w:p>
            <w:pPr>
              <w:spacing w:line="351" w:lineRule="atLeast"/>
              <w:jc w:val="center"/>
              <w:rPr>
                <w:rFonts w:ascii="宋体" w:hAnsi="宋体"/>
                <w:color w:val="000000"/>
                <w:u w:val="none" w:color="000000"/>
              </w:rPr>
            </w:pPr>
          </w:p>
        </w:tc>
      </w:tr>
    </w:tbl>
    <w:p>
      <w:pPr>
        <w:rPr>
          <w:rFonts w:ascii="宋体" w:hAnsi="宋体"/>
          <w:bCs/>
          <w:snapToGrid w:val="0"/>
          <w:color w:val="000000"/>
        </w:rPr>
      </w:pPr>
    </w:p>
    <w:p>
      <w:pPr>
        <w:snapToGrid w:val="0"/>
        <w:spacing w:before="50" w:after="120" w:afterLines="50"/>
        <w:jc w:val="left"/>
        <w:rPr>
          <w:rFonts w:ascii="宋体" w:hAnsi="宋体"/>
          <w:color w:val="000000"/>
          <w:spacing w:val="20"/>
          <w:sz w:val="24"/>
        </w:rPr>
      </w:pPr>
      <w:r>
        <w:rPr>
          <w:rFonts w:hint="eastAsia" w:ascii="宋体" w:hAnsi="宋体"/>
          <w:color w:val="000000"/>
          <w:spacing w:val="20"/>
          <w:sz w:val="24"/>
        </w:rPr>
        <w:t>法定代表人签字（或盖章）：            投标人（盖章）：</w:t>
      </w:r>
    </w:p>
    <w:p>
      <w:pPr>
        <w:snapToGrid w:val="0"/>
        <w:spacing w:before="50" w:after="120" w:afterLines="50"/>
        <w:jc w:val="left"/>
        <w:rPr>
          <w:rFonts w:ascii="宋体" w:hAnsi="宋体"/>
          <w:color w:val="000000"/>
          <w:sz w:val="24"/>
          <w:szCs w:val="20"/>
        </w:rPr>
      </w:pPr>
      <w:r>
        <w:rPr>
          <w:rFonts w:hint="eastAsia" w:ascii="宋体" w:hAnsi="宋体"/>
          <w:color w:val="000000"/>
          <w:sz w:val="24"/>
          <w:szCs w:val="20"/>
        </w:rPr>
        <w:t>日期：</w:t>
      </w: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ascii="宋体" w:hAnsi="宋体"/>
          <w:color w:val="000000"/>
          <w:sz w:val="24"/>
          <w:szCs w:val="20"/>
        </w:rPr>
      </w:pPr>
      <w:r>
        <w:rPr>
          <w:rFonts w:hint="eastAsia" w:ascii="宋体" w:hAnsi="宋体"/>
          <w:color w:val="000000"/>
          <w:sz w:val="24"/>
        </w:rPr>
        <w:t>8、项目实施人员一览表格式</w:t>
      </w:r>
    </w:p>
    <w:p>
      <w:pPr>
        <w:snapToGrid w:val="0"/>
        <w:spacing w:before="50" w:after="120" w:afterLines="50"/>
        <w:jc w:val="left"/>
        <w:rPr>
          <w:rFonts w:ascii="宋体" w:hAnsi="宋体"/>
          <w:color w:val="000000"/>
          <w:sz w:val="24"/>
          <w:szCs w:val="20"/>
        </w:rPr>
      </w:pPr>
    </w:p>
    <w:p>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color w:val="000000"/>
                <w:sz w:val="24"/>
              </w:rPr>
            </w:pPr>
            <w:r>
              <w:rPr>
                <w:rFonts w:hint="eastAsia" w:ascii="宋体" w:hAnsi="宋体"/>
                <w:color w:val="000000"/>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color w:val="000000"/>
                <w:sz w:val="24"/>
              </w:rPr>
            </w:pPr>
            <w:r>
              <w:rPr>
                <w:rFonts w:hint="eastAsia" w:ascii="宋体" w:hAnsi="宋体"/>
                <w:color w:val="000000"/>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color w:val="000000"/>
                <w:sz w:val="24"/>
              </w:rPr>
            </w:pPr>
            <w:r>
              <w:rPr>
                <w:rFonts w:hint="eastAsia" w:ascii="宋体" w:hAnsi="宋体"/>
                <w:color w:val="000000"/>
                <w:sz w:val="24"/>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color w:val="000000"/>
                <w:sz w:val="24"/>
              </w:rPr>
            </w:pPr>
            <w:r>
              <w:rPr>
                <w:rFonts w:hint="eastAsia" w:ascii="宋体" w:hAnsi="宋体"/>
                <w:color w:val="000000"/>
                <w:sz w:val="24"/>
              </w:rPr>
              <w:t>证书编号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bCs/>
                <w:color w:val="000000"/>
                <w:sz w:val="24"/>
              </w:rPr>
            </w:pPr>
            <w:r>
              <w:rPr>
                <w:rFonts w:hint="eastAsia" w:ascii="宋体" w:hAnsi="宋体"/>
                <w:bCs/>
                <w:color w:val="000000"/>
                <w:sz w:val="24"/>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bCs/>
                <w:color w:val="000000"/>
                <w:sz w:val="24"/>
              </w:rPr>
            </w:pPr>
            <w:r>
              <w:rPr>
                <w:rFonts w:hint="eastAsia" w:ascii="宋体" w:hAnsi="宋体"/>
                <w:bCs/>
                <w:color w:val="000000"/>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beforeLines="50" w:after="50" w:line="360" w:lineRule="auto"/>
              <w:ind w:left="5250"/>
              <w:rPr>
                <w:rFonts w:ascii="宋体" w:hAnsi="宋体" w:eastAsia="宋体"/>
                <w:color w:val="000000"/>
                <w:kern w:val="2"/>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bl>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r>
        <w:rPr>
          <w:rFonts w:hint="eastAsia" w:ascii="宋体" w:hAnsi="宋体"/>
          <w:color w:val="000000"/>
          <w:sz w:val="24"/>
        </w:rPr>
        <w:t>注：在填写时，如本表格不适合投标人的实际情况，可根据本表格式自行划表填写。</w:t>
      </w:r>
    </w:p>
    <w:p>
      <w:pPr>
        <w:snapToGrid w:val="0"/>
        <w:spacing w:before="50" w:after="120" w:afterLines="50" w:line="360" w:lineRule="auto"/>
        <w:jc w:val="left"/>
        <w:rPr>
          <w:rFonts w:ascii="宋体" w:hAnsi="宋体"/>
          <w:color w:val="000000"/>
          <w:sz w:val="24"/>
          <w:szCs w:val="20"/>
        </w:rPr>
      </w:pPr>
    </w:p>
    <w:p>
      <w:pPr>
        <w:snapToGrid w:val="0"/>
        <w:spacing w:before="50" w:after="50" w:line="360" w:lineRule="auto"/>
        <w:rPr>
          <w:rFonts w:ascii="宋体" w:hAnsi="宋体"/>
          <w:color w:val="000000"/>
          <w:sz w:val="24"/>
          <w:szCs w:val="20"/>
        </w:rPr>
      </w:pPr>
      <w:r>
        <w:rPr>
          <w:rFonts w:hint="eastAsia" w:ascii="宋体" w:hAnsi="宋体"/>
          <w:color w:val="000000"/>
          <w:spacing w:val="20"/>
          <w:sz w:val="24"/>
        </w:rPr>
        <w:t xml:space="preserve">法定代表人签字（或盖章）：            投标人（盖章）：          </w:t>
      </w:r>
    </w:p>
    <w:p>
      <w:pPr>
        <w:pStyle w:val="27"/>
        <w:snapToGrid w:val="0"/>
        <w:spacing w:beforeLines="0" w:afterLines="0" w:line="240" w:lineRule="auto"/>
        <w:rPr>
          <w:rFonts w:hAnsi="宋体"/>
          <w:color w:val="000000"/>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r>
        <w:rPr>
          <w:rFonts w:hint="eastAsia" w:hAnsi="宋体"/>
          <w:color w:val="000000"/>
        </w:rPr>
        <w:t>日期：</w:t>
      </w:r>
    </w:p>
    <w:p>
      <w:pPr>
        <w:snapToGrid w:val="0"/>
        <w:spacing w:before="50" w:after="120" w:afterLines="50"/>
        <w:jc w:val="left"/>
        <w:rPr>
          <w:rFonts w:ascii="宋体" w:hAnsi="宋体"/>
          <w:color w:val="000000"/>
          <w:sz w:val="24"/>
          <w:szCs w:val="20"/>
        </w:rPr>
      </w:pPr>
      <w:r>
        <w:rPr>
          <w:rFonts w:hint="eastAsia" w:ascii="宋体" w:hAnsi="宋体"/>
          <w:color w:val="000000"/>
          <w:sz w:val="24"/>
        </w:rPr>
        <w:t>9.售后服务网点情况表格式：</w:t>
      </w:r>
    </w:p>
    <w:p>
      <w:pPr>
        <w:pStyle w:val="36"/>
        <w:snapToGrid w:val="0"/>
        <w:ind w:left="480" w:hanging="480"/>
        <w:rPr>
          <w:rFonts w:ascii="宋体" w:hAnsi="宋体"/>
          <w:color w:val="000000"/>
          <w:sz w:val="24"/>
        </w:rPr>
      </w:pPr>
    </w:p>
    <w:p>
      <w:pPr>
        <w:pStyle w:val="36"/>
        <w:snapToGrid w:val="0"/>
        <w:ind w:left="482" w:hanging="482"/>
        <w:jc w:val="center"/>
        <w:rPr>
          <w:rFonts w:ascii="宋体" w:hAnsi="宋体"/>
          <w:b/>
          <w:color w:val="000000"/>
          <w:sz w:val="24"/>
        </w:rPr>
      </w:pPr>
      <w:r>
        <w:rPr>
          <w:rFonts w:hint="eastAsia" w:ascii="宋体" w:hAnsi="宋体"/>
          <w:b/>
          <w:color w:val="000000"/>
          <w:sz w:val="24"/>
        </w:rPr>
        <w:t>售后服务网点情况表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pPr w:leftFromText="180" w:rightFromText="180" w:vertAnchor="text" w:horzAnchor="margin" w:tblpY="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其中：投标人出资比例</w:t>
            </w:r>
          </w:p>
        </w:tc>
        <w:tc>
          <w:tcPr>
            <w:tcW w:w="21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经营期限</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工作业绩</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bl>
    <w:p>
      <w:pPr>
        <w:pStyle w:val="36"/>
        <w:snapToGrid w:val="0"/>
        <w:ind w:left="199" w:hanging="199" w:hangingChars="83"/>
        <w:rPr>
          <w:rFonts w:ascii="宋体" w:hAnsi="宋体"/>
          <w:color w:val="000000"/>
          <w:sz w:val="24"/>
        </w:rPr>
      </w:pPr>
    </w:p>
    <w:p>
      <w:pPr>
        <w:pStyle w:val="36"/>
        <w:snapToGrid w:val="0"/>
        <w:ind w:left="199" w:hanging="199" w:hangingChars="83"/>
        <w:rPr>
          <w:rFonts w:ascii="宋体" w:hAnsi="宋体"/>
          <w:color w:val="000000"/>
          <w:sz w:val="24"/>
        </w:rPr>
      </w:pPr>
    </w:p>
    <w:p>
      <w:pPr>
        <w:pStyle w:val="14"/>
        <w:snapToGrid w:val="0"/>
        <w:rPr>
          <w:rFonts w:ascii="宋体" w:hAnsi="宋体" w:eastAsia="宋体"/>
          <w:color w:val="000000"/>
          <w:sz w:val="24"/>
        </w:rPr>
      </w:pPr>
    </w:p>
    <w:p>
      <w:pPr>
        <w:pStyle w:val="20"/>
        <w:snapToGrid w:val="0"/>
        <w:rPr>
          <w:rFonts w:hint="eastAsia" w:ascii="宋体" w:hAnsi="宋体"/>
          <w:color w:val="000000"/>
          <w:spacing w:val="20"/>
          <w:sz w:val="24"/>
        </w:rPr>
      </w:pPr>
    </w:p>
    <w:p>
      <w:pPr>
        <w:pStyle w:val="20"/>
        <w:snapToGrid w:val="0"/>
        <w:rPr>
          <w:rFonts w:hint="eastAsia" w:ascii="宋体" w:hAnsi="宋体"/>
          <w:color w:val="000000"/>
          <w:spacing w:val="20"/>
          <w:sz w:val="24"/>
        </w:rPr>
      </w:pPr>
    </w:p>
    <w:p>
      <w:pPr>
        <w:pStyle w:val="20"/>
        <w:snapToGrid w:val="0"/>
        <w:rPr>
          <w:rFonts w:hint="eastAsia" w:ascii="宋体" w:hAnsi="宋体"/>
          <w:color w:val="000000"/>
          <w:spacing w:val="20"/>
          <w:sz w:val="24"/>
        </w:rPr>
      </w:pPr>
    </w:p>
    <w:p>
      <w:pPr>
        <w:pStyle w:val="20"/>
        <w:snapToGrid w:val="0"/>
        <w:rPr>
          <w:rFonts w:hint="eastAsia" w:ascii="宋体" w:hAnsi="宋体"/>
          <w:color w:val="000000"/>
          <w:spacing w:val="20"/>
          <w:sz w:val="24"/>
        </w:rPr>
      </w:pPr>
    </w:p>
    <w:p>
      <w:pPr>
        <w:pStyle w:val="20"/>
        <w:snapToGrid w:val="0"/>
        <w:rPr>
          <w:rFonts w:hint="eastAsia" w:ascii="宋体" w:hAnsi="宋体"/>
          <w:color w:val="000000"/>
          <w:spacing w:val="20"/>
          <w:sz w:val="24"/>
        </w:rPr>
      </w:pPr>
    </w:p>
    <w:p>
      <w:pPr>
        <w:pStyle w:val="20"/>
        <w:snapToGrid w:val="0"/>
        <w:rPr>
          <w:rFonts w:hint="eastAsia" w:ascii="宋体" w:hAnsi="宋体"/>
          <w:color w:val="000000"/>
          <w:spacing w:val="20"/>
          <w:sz w:val="24"/>
        </w:rPr>
      </w:pPr>
    </w:p>
    <w:p>
      <w:pPr>
        <w:pStyle w:val="20"/>
        <w:snapToGrid w:val="0"/>
        <w:rPr>
          <w:rFonts w:hint="eastAsia" w:ascii="宋体" w:hAnsi="宋体"/>
          <w:color w:val="000000"/>
          <w:spacing w:val="20"/>
          <w:sz w:val="24"/>
        </w:rPr>
      </w:pPr>
    </w:p>
    <w:p>
      <w:pPr>
        <w:pStyle w:val="20"/>
        <w:snapToGrid w:val="0"/>
        <w:rPr>
          <w:rFonts w:hint="eastAsia" w:ascii="宋体" w:hAnsi="宋体"/>
          <w:color w:val="000000"/>
          <w:spacing w:val="20"/>
          <w:sz w:val="24"/>
        </w:rPr>
      </w:pPr>
    </w:p>
    <w:p>
      <w:pPr>
        <w:pStyle w:val="20"/>
        <w:snapToGrid w:val="0"/>
        <w:rPr>
          <w:rFonts w:hint="eastAsia" w:ascii="宋体" w:hAnsi="宋体"/>
          <w:color w:val="000000"/>
          <w:spacing w:val="20"/>
          <w:sz w:val="24"/>
        </w:rPr>
      </w:pPr>
    </w:p>
    <w:p>
      <w:pPr>
        <w:pStyle w:val="20"/>
        <w:snapToGrid w:val="0"/>
        <w:rPr>
          <w:rFonts w:hint="eastAsia" w:ascii="宋体" w:hAnsi="宋体"/>
          <w:color w:val="000000"/>
          <w:spacing w:val="20"/>
          <w:sz w:val="24"/>
        </w:rPr>
      </w:pPr>
    </w:p>
    <w:p>
      <w:pPr>
        <w:pStyle w:val="20"/>
        <w:snapToGrid w:val="0"/>
        <w:rPr>
          <w:rFonts w:hint="eastAsia" w:ascii="宋体" w:hAnsi="宋体"/>
          <w:color w:val="000000"/>
          <w:spacing w:val="20"/>
          <w:sz w:val="24"/>
        </w:rPr>
      </w:pPr>
    </w:p>
    <w:p>
      <w:pPr>
        <w:pStyle w:val="20"/>
        <w:snapToGrid w:val="0"/>
        <w:rPr>
          <w:rFonts w:hint="eastAsia" w:ascii="宋体" w:hAnsi="宋体"/>
          <w:color w:val="000000"/>
          <w:spacing w:val="20"/>
          <w:sz w:val="24"/>
        </w:rPr>
      </w:pPr>
    </w:p>
    <w:p>
      <w:pPr>
        <w:pStyle w:val="20"/>
        <w:snapToGrid w:val="0"/>
        <w:rPr>
          <w:rFonts w:hint="eastAsia" w:ascii="宋体" w:hAnsi="宋体"/>
          <w:color w:val="000000"/>
          <w:spacing w:val="20"/>
          <w:sz w:val="24"/>
        </w:rPr>
      </w:pPr>
    </w:p>
    <w:p>
      <w:pPr>
        <w:pStyle w:val="20"/>
        <w:snapToGrid w:val="0"/>
        <w:rPr>
          <w:rFonts w:hint="eastAsia" w:ascii="宋体" w:hAnsi="宋体"/>
          <w:color w:val="000000"/>
          <w:spacing w:val="20"/>
          <w:sz w:val="24"/>
        </w:rPr>
      </w:pPr>
    </w:p>
    <w:p>
      <w:pPr>
        <w:pStyle w:val="20"/>
        <w:snapToGrid w:val="0"/>
        <w:rPr>
          <w:rFonts w:ascii="宋体" w:hAnsi="宋体"/>
          <w:color w:val="000000"/>
          <w:sz w:val="24"/>
        </w:rPr>
      </w:pPr>
      <w:r>
        <w:rPr>
          <w:rFonts w:hint="eastAsia" w:ascii="宋体" w:hAnsi="宋体"/>
          <w:color w:val="000000"/>
          <w:spacing w:val="20"/>
          <w:sz w:val="24"/>
        </w:rPr>
        <w:t xml:space="preserve">法定代表人签字（或盖章）：            投标人（盖章）： </w:t>
      </w:r>
      <w:r>
        <w:rPr>
          <w:rFonts w:hint="eastAsia" w:ascii="宋体" w:hAnsi="宋体"/>
          <w:color w:val="000000"/>
          <w:sz w:val="24"/>
        </w:rPr>
        <w:t xml:space="preserve">           　 </w:t>
      </w:r>
    </w:p>
    <w:p>
      <w:pPr>
        <w:pStyle w:val="20"/>
        <w:snapToGrid w:val="0"/>
        <w:rPr>
          <w:rFonts w:ascii="宋体" w:hAnsi="宋体"/>
          <w:color w:val="000000"/>
          <w:sz w:val="24"/>
        </w:rPr>
      </w:pPr>
    </w:p>
    <w:p>
      <w:pPr>
        <w:pStyle w:val="20"/>
        <w:snapToGrid w:val="0"/>
        <w:ind w:firstLine="5520" w:firstLineChars="2300"/>
        <w:rPr>
          <w:rFonts w:ascii="宋体" w:hAnsi="宋体"/>
          <w:color w:val="000000"/>
          <w:sz w:val="24"/>
        </w:rPr>
      </w:pPr>
      <w:r>
        <w:rPr>
          <w:rFonts w:hint="eastAsia" w:ascii="宋体" w:hAnsi="宋体"/>
          <w:color w:val="000000"/>
          <w:sz w:val="24"/>
        </w:rPr>
        <w:t>年    月　 日</w:t>
      </w:r>
    </w:p>
    <w:p>
      <w:pPr>
        <w:snapToGrid w:val="0"/>
        <w:spacing w:before="50" w:after="120" w:afterLines="50"/>
        <w:jc w:val="left"/>
        <w:rPr>
          <w:rFonts w:ascii="宋体" w:hAnsi="宋体"/>
          <w:color w:val="000000"/>
          <w:sz w:val="24"/>
          <w:szCs w:val="20"/>
        </w:rPr>
      </w:pPr>
    </w:p>
    <w:p>
      <w:pPr>
        <w:snapToGrid w:val="0"/>
        <w:spacing w:before="50"/>
        <w:jc w:val="left"/>
        <w:rPr>
          <w:rFonts w:ascii="宋体" w:hAnsi="宋体"/>
          <w:color w:val="000000"/>
          <w:sz w:val="24"/>
        </w:rPr>
      </w:pPr>
    </w:p>
    <w:p>
      <w:pPr>
        <w:snapToGrid w:val="0"/>
        <w:spacing w:before="50"/>
        <w:jc w:val="left"/>
        <w:rPr>
          <w:rFonts w:ascii="宋体" w:hAnsi="宋体"/>
          <w:color w:val="000000"/>
          <w:sz w:val="24"/>
        </w:rPr>
      </w:pPr>
    </w:p>
    <w:p>
      <w:pPr>
        <w:snapToGrid w:val="0"/>
        <w:spacing w:before="50"/>
        <w:jc w:val="left"/>
        <w:rPr>
          <w:rFonts w:hint="eastAsia" w:ascii="宋体" w:hAnsi="宋体"/>
          <w:color w:val="000000"/>
          <w:sz w:val="24"/>
        </w:rPr>
      </w:pPr>
    </w:p>
    <w:p>
      <w:pPr>
        <w:snapToGrid w:val="0"/>
        <w:spacing w:before="50"/>
        <w:jc w:val="left"/>
        <w:rPr>
          <w:rFonts w:hint="eastAsia" w:ascii="宋体" w:hAnsi="宋体"/>
          <w:color w:val="000000"/>
          <w:sz w:val="24"/>
        </w:rPr>
      </w:pPr>
    </w:p>
    <w:p>
      <w:pPr>
        <w:snapToGrid w:val="0"/>
        <w:spacing w:before="50"/>
        <w:jc w:val="left"/>
        <w:rPr>
          <w:rFonts w:ascii="宋体" w:hAnsi="宋体"/>
          <w:color w:val="000000"/>
          <w:sz w:val="24"/>
        </w:rPr>
      </w:pPr>
      <w:r>
        <w:rPr>
          <w:rFonts w:hint="eastAsia" w:ascii="宋体" w:hAnsi="宋体"/>
          <w:color w:val="000000"/>
          <w:sz w:val="24"/>
        </w:rPr>
        <w:br w:type="page"/>
      </w:r>
      <w:r>
        <w:rPr>
          <w:rFonts w:hint="eastAsia" w:ascii="宋体" w:hAnsi="宋体"/>
          <w:color w:val="000000"/>
          <w:sz w:val="24"/>
        </w:rPr>
        <w:t>10.商务技术响应表格式：</w:t>
      </w:r>
    </w:p>
    <w:p>
      <w:pPr>
        <w:snapToGrid w:val="0"/>
        <w:spacing w:before="50"/>
        <w:jc w:val="left"/>
        <w:rPr>
          <w:rFonts w:ascii="宋体" w:hAnsi="宋体"/>
          <w:color w:val="000000"/>
          <w:sz w:val="24"/>
        </w:rPr>
      </w:pPr>
    </w:p>
    <w:p>
      <w:pPr>
        <w:snapToGrid w:val="0"/>
        <w:spacing w:before="50"/>
        <w:jc w:val="center"/>
        <w:rPr>
          <w:rFonts w:ascii="宋体" w:hAnsi="宋体"/>
          <w:b/>
          <w:color w:val="000000"/>
          <w:sz w:val="24"/>
        </w:rPr>
      </w:pPr>
      <w:r>
        <w:rPr>
          <w:rFonts w:hint="eastAsia" w:ascii="宋体" w:hAnsi="宋体"/>
          <w:b/>
          <w:color w:val="000000"/>
          <w:sz w:val="24"/>
        </w:rPr>
        <w:t>商务技术响应表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2877"/>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项目、页码</w:t>
            </w: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bl>
    <w:p>
      <w:pPr>
        <w:snapToGrid w:val="0"/>
        <w:spacing w:before="120" w:beforeLines="50"/>
        <w:rPr>
          <w:rFonts w:ascii="宋体" w:hAnsi="宋体"/>
          <w:b/>
          <w:sz w:val="24"/>
          <w:szCs w:val="20"/>
          <w:u w:val="single"/>
          <w:shd w:val="pct10" w:color="auto" w:fill="FFFFFF"/>
        </w:rPr>
      </w:pPr>
      <w:r>
        <w:rPr>
          <w:rFonts w:hint="eastAsia" w:ascii="宋体" w:hAnsi="宋体"/>
          <w:b/>
          <w:sz w:val="24"/>
          <w:szCs w:val="20"/>
          <w:u w:val="single"/>
          <w:shd w:val="pct10" w:color="auto" w:fill="FFFFFF"/>
        </w:rPr>
        <w:t>注：投标人应在此表中将招标文件中列明</w:t>
      </w:r>
      <w:bookmarkStart w:id="40" w:name="_Hlk535995896"/>
      <w:r>
        <w:rPr>
          <w:rFonts w:hint="eastAsia" w:ascii="宋体" w:hAnsi="宋体"/>
          <w:b/>
          <w:sz w:val="24"/>
          <w:szCs w:val="20"/>
          <w:u w:val="single"/>
          <w:shd w:val="pct10" w:color="auto" w:fill="FFFFFF"/>
        </w:rPr>
        <w:t>的商务和技术要求的正偏离或负偏离的应标内容写明，</w:t>
      </w:r>
      <w:bookmarkEnd w:id="40"/>
      <w:r>
        <w:rPr>
          <w:rFonts w:hint="eastAsia" w:ascii="宋体" w:hAnsi="宋体"/>
          <w:b/>
          <w:sz w:val="24"/>
          <w:szCs w:val="20"/>
          <w:u w:val="single"/>
          <w:shd w:val="pct10" w:color="auto" w:fill="FFFFFF"/>
        </w:rPr>
        <w:t>特别是勿遗漏打▲的商务和技术要求的应标内容。</w:t>
      </w:r>
    </w:p>
    <w:p>
      <w:pPr>
        <w:pStyle w:val="27"/>
        <w:snapToGrid w:val="0"/>
        <w:spacing w:beforeLines="0" w:afterLines="0" w:line="240" w:lineRule="auto"/>
        <w:ind w:firstLine="280" w:firstLineChars="100"/>
        <w:rPr>
          <w:rFonts w:hAnsi="宋体"/>
          <w:color w:val="000000"/>
        </w:rPr>
      </w:pPr>
      <w:r>
        <w:rPr>
          <w:rFonts w:hint="eastAsia" w:hAnsi="宋体"/>
          <w:color w:val="000000"/>
          <w:spacing w:val="20"/>
        </w:rPr>
        <w:t>法定代表人签字（或盖章）：            投标人（盖章）：</w:t>
      </w:r>
    </w:p>
    <w:p>
      <w:pPr>
        <w:widowControl/>
        <w:jc w:val="left"/>
        <w:rPr>
          <w:rFonts w:ascii="宋体" w:hAnsi="宋体"/>
          <w:color w:val="000000"/>
          <w:sz w:val="24"/>
        </w:rPr>
      </w:pPr>
      <w:r>
        <w:rPr>
          <w:rFonts w:hint="eastAsia" w:ascii="宋体" w:hAnsi="宋体"/>
          <w:color w:val="000000"/>
          <w:sz w:val="24"/>
        </w:rPr>
        <w:t xml:space="preserve">  日期：</w:t>
      </w:r>
    </w:p>
    <w:p>
      <w:pPr>
        <w:widowControl/>
        <w:jc w:val="left"/>
        <w:rPr>
          <w:rFonts w:ascii="宋体" w:hAnsi="宋体"/>
          <w:color w:val="000000"/>
          <w:sz w:val="24"/>
        </w:rPr>
      </w:pPr>
    </w:p>
    <w:p>
      <w:pPr>
        <w:widowControl/>
        <w:jc w:val="left"/>
        <w:rPr>
          <w:rFonts w:ascii="宋体" w:hAnsi="宋体"/>
          <w:color w:val="000000"/>
          <w:sz w:val="24"/>
        </w:rPr>
      </w:pPr>
    </w:p>
    <w:p>
      <w:pPr>
        <w:snapToGrid w:val="0"/>
        <w:spacing w:before="50" w:after="120" w:afterLines="50"/>
        <w:jc w:val="center"/>
        <w:outlineLvl w:val="1"/>
        <w:rPr>
          <w:rFonts w:hint="eastAsia" w:ascii="宋体" w:hAnsi="宋体"/>
          <w:b/>
          <w:color w:val="000000"/>
          <w:sz w:val="24"/>
        </w:rPr>
      </w:pPr>
      <w:bookmarkStart w:id="41" w:name="_Toc265669851"/>
    </w:p>
    <w:p>
      <w:pPr>
        <w:snapToGrid w:val="0"/>
        <w:spacing w:before="50" w:after="120" w:afterLines="50"/>
        <w:outlineLvl w:val="1"/>
        <w:rPr>
          <w:rFonts w:hint="eastAsia" w:ascii="宋体" w:hAnsi="宋体"/>
          <w:b/>
          <w:color w:val="000000"/>
          <w:sz w:val="24"/>
        </w:rPr>
      </w:pPr>
      <w:r>
        <w:rPr>
          <w:rFonts w:ascii="宋体" w:hAnsi="宋体"/>
          <w:b/>
          <w:color w:val="000000"/>
          <w:sz w:val="24"/>
        </w:rPr>
        <w:br w:type="page"/>
      </w:r>
    </w:p>
    <w:p>
      <w:pPr>
        <w:snapToGrid w:val="0"/>
        <w:spacing w:before="50" w:after="120" w:afterLines="50"/>
        <w:jc w:val="center"/>
        <w:outlineLvl w:val="1"/>
        <w:rPr>
          <w:rFonts w:ascii="宋体" w:hAnsi="宋体"/>
          <w:b/>
          <w:color w:val="000000"/>
          <w:sz w:val="24"/>
        </w:rPr>
      </w:pPr>
    </w:p>
    <w:p>
      <w:pPr>
        <w:snapToGrid w:val="0"/>
        <w:spacing w:before="50" w:after="120" w:afterLines="50"/>
        <w:jc w:val="center"/>
        <w:outlineLvl w:val="1"/>
        <w:rPr>
          <w:rFonts w:ascii="宋体" w:hAnsi="宋体"/>
          <w:b/>
          <w:color w:val="000000"/>
          <w:sz w:val="24"/>
        </w:rPr>
      </w:pPr>
      <w:bookmarkStart w:id="42" w:name="_Toc18886"/>
      <w:bookmarkStart w:id="43" w:name="_Toc466534754"/>
      <w:r>
        <w:rPr>
          <w:rFonts w:hint="eastAsia" w:ascii="宋体" w:hAnsi="宋体"/>
          <w:b/>
          <w:color w:val="000000"/>
          <w:sz w:val="24"/>
        </w:rPr>
        <w:t>三、报价文件格式</w:t>
      </w:r>
      <w:bookmarkEnd w:id="41"/>
      <w:bookmarkEnd w:id="42"/>
      <w:bookmarkEnd w:id="43"/>
    </w:p>
    <w:p>
      <w:pPr>
        <w:snapToGrid w:val="0"/>
        <w:spacing w:before="120" w:beforeLines="50" w:after="50"/>
        <w:rPr>
          <w:rFonts w:ascii="宋体" w:hAnsi="宋体"/>
          <w:bCs/>
          <w:color w:val="000000"/>
          <w:sz w:val="24"/>
          <w:szCs w:val="20"/>
        </w:rPr>
      </w:pPr>
      <w:r>
        <w:rPr>
          <w:rFonts w:hint="eastAsia" w:ascii="宋体" w:hAnsi="宋体"/>
          <w:bCs/>
          <w:color w:val="000000"/>
          <w:sz w:val="24"/>
        </w:rPr>
        <w:t>11.报价文件的外包装封面格式：</w:t>
      </w:r>
    </w:p>
    <w:p>
      <w:pPr>
        <w:snapToGrid w:val="0"/>
        <w:spacing w:before="120" w:beforeLines="50" w:after="50"/>
        <w:rPr>
          <w:rFonts w:ascii="宋体" w:hAnsi="宋体"/>
          <w:bCs/>
          <w:color w:val="000000"/>
          <w:sz w:val="24"/>
          <w:szCs w:val="20"/>
        </w:rPr>
      </w:pPr>
    </w:p>
    <w:p>
      <w:pPr>
        <w:snapToGrid w:val="0"/>
        <w:spacing w:before="120" w:beforeLines="50" w:after="50"/>
        <w:jc w:val="center"/>
        <w:rPr>
          <w:rFonts w:ascii="宋体" w:hAnsi="宋体"/>
          <w:bCs/>
          <w:color w:val="000000"/>
          <w:sz w:val="24"/>
        </w:rPr>
      </w:pPr>
      <w:r>
        <w:rPr>
          <w:rFonts w:hint="eastAsia" w:ascii="宋体" w:hAnsi="宋体"/>
          <w:bCs/>
          <w:color w:val="000000"/>
          <w:sz w:val="24"/>
        </w:rPr>
        <w:t>报 价 文 件</w:t>
      </w:r>
    </w:p>
    <w:p>
      <w:pPr>
        <w:snapToGrid w:val="0"/>
        <w:spacing w:before="120" w:beforeLines="50" w:after="50" w:line="360" w:lineRule="auto"/>
        <w:jc w:val="center"/>
        <w:rPr>
          <w:rFonts w:ascii="宋体" w:hAnsi="宋体"/>
          <w:bCs/>
          <w:color w:val="000000"/>
          <w:sz w:val="24"/>
        </w:rPr>
      </w:pPr>
    </w:p>
    <w:p>
      <w:pPr>
        <w:snapToGrid w:val="0"/>
        <w:spacing w:before="120" w:beforeLines="50" w:after="50"/>
        <w:rPr>
          <w:rFonts w:ascii="宋体" w:hAnsi="宋体"/>
          <w:bCs/>
          <w:color w:val="000000"/>
          <w:sz w:val="24"/>
          <w:szCs w:val="20"/>
        </w:rPr>
      </w:pPr>
    </w:p>
    <w:p>
      <w:pPr>
        <w:snapToGrid w:val="0"/>
        <w:spacing w:before="120" w:beforeLines="50" w:after="50" w:line="480" w:lineRule="auto"/>
        <w:ind w:firstLine="1068" w:firstLineChars="4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ind w:firstLine="480" w:firstLineChars="200"/>
        <w:rPr>
          <w:rFonts w:ascii="宋体" w:hAnsi="宋体"/>
          <w:bCs/>
          <w:color w:val="000000"/>
          <w:sz w:val="24"/>
          <w:szCs w:val="20"/>
        </w:rPr>
      </w:pPr>
      <w:r>
        <w:rPr>
          <w:rFonts w:hint="eastAsia" w:ascii="宋体" w:hAnsi="宋体"/>
          <w:bCs/>
          <w:color w:val="000000"/>
          <w:sz w:val="24"/>
        </w:rPr>
        <w:t xml:space="preserve">     项目编号： </w:t>
      </w:r>
    </w:p>
    <w:p>
      <w:pPr>
        <w:pStyle w:val="13"/>
        <w:snapToGrid w:val="0"/>
        <w:spacing w:before="50" w:after="50" w:line="480" w:lineRule="auto"/>
        <w:ind w:firstLine="998" w:firstLineChars="416"/>
        <w:rPr>
          <w:rFonts w:ascii="宋体" w:hAnsi="宋体"/>
          <w:bCs/>
          <w:color w:val="000000"/>
          <w:sz w:val="24"/>
        </w:rPr>
      </w:pPr>
      <w:r>
        <w:rPr>
          <w:rFonts w:hint="eastAsia" w:ascii="宋体" w:hAnsi="宋体"/>
          <w:bCs/>
          <w:color w:val="000000"/>
          <w:sz w:val="24"/>
        </w:rPr>
        <w:t>投标人名称：</w:t>
      </w:r>
    </w:p>
    <w:p>
      <w:pPr>
        <w:pStyle w:val="13"/>
        <w:snapToGrid w:val="0"/>
        <w:spacing w:before="50" w:after="50" w:line="480" w:lineRule="auto"/>
        <w:ind w:firstLine="998" w:firstLineChars="416"/>
        <w:rPr>
          <w:rFonts w:ascii="宋体" w:hAnsi="宋体"/>
          <w:bCs/>
          <w:color w:val="000000"/>
          <w:sz w:val="24"/>
        </w:rPr>
      </w:pPr>
      <w:r>
        <w:rPr>
          <w:rFonts w:hint="eastAsia" w:ascii="宋体" w:hAnsi="宋体"/>
          <w:bCs/>
          <w:color w:val="000000"/>
          <w:sz w:val="24"/>
        </w:rPr>
        <w:t>投标人地址：</w:t>
      </w:r>
    </w:p>
    <w:p>
      <w:pPr>
        <w:pStyle w:val="13"/>
        <w:snapToGrid w:val="0"/>
        <w:spacing w:before="50" w:after="50" w:line="480" w:lineRule="auto"/>
        <w:ind w:firstLine="960" w:firstLineChars="400"/>
        <w:jc w:val="center"/>
        <w:rPr>
          <w:rFonts w:ascii="宋体" w:hAnsi="宋体"/>
          <w:bCs/>
          <w:color w:val="000000"/>
          <w:sz w:val="24"/>
        </w:rPr>
      </w:pPr>
      <w:r>
        <w:rPr>
          <w:rFonts w:hint="eastAsia" w:ascii="宋体" w:hAnsi="宋体"/>
          <w:bCs/>
          <w:color w:val="000000"/>
          <w:sz w:val="24"/>
        </w:rPr>
        <w:t>开标时启封</w:t>
      </w:r>
    </w:p>
    <w:p>
      <w:pPr>
        <w:snapToGrid w:val="0"/>
        <w:spacing w:before="120" w:beforeLines="50" w:after="50"/>
        <w:ind w:firstLine="645"/>
        <w:jc w:val="center"/>
        <w:rPr>
          <w:rFonts w:ascii="宋体" w:hAnsi="宋体"/>
          <w:color w:val="000000"/>
          <w:sz w:val="24"/>
          <w:szCs w:val="20"/>
        </w:rPr>
      </w:pPr>
      <w:r>
        <w:rPr>
          <w:rFonts w:hint="eastAsia" w:ascii="宋体" w:hAnsi="宋体"/>
          <w:color w:val="000000"/>
          <w:sz w:val="24"/>
        </w:rPr>
        <w:t xml:space="preserve">                        年    月    日</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r>
        <w:rPr>
          <w:rFonts w:hint="eastAsia" w:ascii="宋体" w:hAnsi="宋体"/>
          <w:color w:val="000000"/>
          <w:sz w:val="24"/>
        </w:rPr>
        <w:t xml:space="preserve">12.报价文件封面格式： </w:t>
      </w:r>
    </w:p>
    <w:p>
      <w:pPr>
        <w:snapToGrid w:val="0"/>
        <w:spacing w:before="120" w:beforeLines="50" w:after="50"/>
        <w:jc w:val="center"/>
        <w:rPr>
          <w:rFonts w:ascii="宋体" w:hAnsi="宋体"/>
          <w:bCs/>
          <w:color w:val="000000"/>
          <w:sz w:val="24"/>
        </w:rPr>
      </w:pPr>
      <w:r>
        <w:rPr>
          <w:rFonts w:hint="eastAsia" w:ascii="宋体" w:hAnsi="宋体"/>
          <w:bCs/>
          <w:color w:val="000000"/>
          <w:sz w:val="24"/>
        </w:rPr>
        <w:t>报 价 文 件</w:t>
      </w:r>
    </w:p>
    <w:p>
      <w:pPr>
        <w:snapToGrid w:val="0"/>
        <w:spacing w:before="120" w:beforeLines="50" w:after="50"/>
        <w:jc w:val="center"/>
        <w:rPr>
          <w:rFonts w:ascii="宋体" w:hAnsi="宋体"/>
          <w:b/>
          <w:bCs/>
          <w:color w:val="000000"/>
          <w:sz w:val="32"/>
          <w:szCs w:val="20"/>
        </w:rPr>
      </w:pPr>
      <w:r>
        <w:rPr>
          <w:rFonts w:hint="eastAsia" w:ascii="宋体" w:hAnsi="宋体"/>
          <w:b/>
          <w:bCs/>
          <w:color w:val="000000"/>
        </w:rPr>
        <w:t>正本/或副本</w:t>
      </w:r>
    </w:p>
    <w:p>
      <w:pPr>
        <w:snapToGrid w:val="0"/>
        <w:spacing w:before="120" w:beforeLines="50" w:after="50" w:line="360" w:lineRule="auto"/>
        <w:jc w:val="center"/>
        <w:rPr>
          <w:rFonts w:ascii="宋体" w:hAnsi="宋体"/>
          <w:bCs/>
          <w:color w:val="000000"/>
          <w:sz w:val="24"/>
        </w:rPr>
      </w:pPr>
    </w:p>
    <w:p>
      <w:pPr>
        <w:snapToGrid w:val="0"/>
        <w:spacing w:before="120" w:beforeLines="50" w:after="50" w:line="360" w:lineRule="auto"/>
        <w:ind w:firstLine="1068" w:firstLineChars="4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ind w:firstLine="480" w:firstLineChars="200"/>
        <w:rPr>
          <w:rFonts w:ascii="宋体" w:hAnsi="宋体"/>
          <w:bCs/>
          <w:color w:val="000000"/>
          <w:sz w:val="24"/>
          <w:szCs w:val="20"/>
        </w:rPr>
      </w:pPr>
      <w:r>
        <w:rPr>
          <w:rFonts w:hint="eastAsia" w:ascii="宋体" w:hAnsi="宋体"/>
          <w:bCs/>
          <w:color w:val="000000"/>
          <w:sz w:val="24"/>
        </w:rPr>
        <w:t xml:space="preserve">     项目编号：</w:t>
      </w:r>
    </w:p>
    <w:p>
      <w:pPr>
        <w:pStyle w:val="13"/>
        <w:snapToGrid w:val="0"/>
        <w:spacing w:before="50" w:after="50" w:line="360" w:lineRule="auto"/>
        <w:ind w:firstLine="998" w:firstLineChars="416"/>
        <w:rPr>
          <w:rFonts w:ascii="宋体" w:hAnsi="宋体"/>
          <w:bCs/>
          <w:color w:val="000000"/>
          <w:sz w:val="24"/>
        </w:rPr>
      </w:pPr>
    </w:p>
    <w:p>
      <w:pPr>
        <w:pStyle w:val="13"/>
        <w:snapToGrid w:val="0"/>
        <w:spacing w:before="50" w:after="50" w:line="360" w:lineRule="auto"/>
        <w:ind w:firstLine="998" w:firstLineChars="416"/>
        <w:rPr>
          <w:rFonts w:ascii="宋体" w:hAnsi="宋体"/>
          <w:bCs/>
          <w:color w:val="000000"/>
          <w:sz w:val="24"/>
        </w:rPr>
      </w:pPr>
      <w:r>
        <w:rPr>
          <w:rFonts w:hint="eastAsia" w:ascii="宋体" w:hAnsi="宋体"/>
          <w:bCs/>
          <w:color w:val="000000"/>
          <w:sz w:val="24"/>
        </w:rPr>
        <w:t>投标人名称：</w:t>
      </w:r>
    </w:p>
    <w:p>
      <w:pPr>
        <w:pStyle w:val="13"/>
        <w:snapToGrid w:val="0"/>
        <w:spacing w:before="50" w:after="50" w:line="360" w:lineRule="auto"/>
        <w:ind w:firstLine="998" w:firstLineChars="416"/>
        <w:rPr>
          <w:rFonts w:ascii="宋体" w:hAnsi="宋体"/>
          <w:bCs/>
          <w:color w:val="000000"/>
          <w:sz w:val="24"/>
        </w:rPr>
      </w:pPr>
      <w:r>
        <w:rPr>
          <w:rFonts w:hint="eastAsia" w:ascii="宋体" w:hAnsi="宋体"/>
          <w:bCs/>
          <w:color w:val="000000"/>
          <w:sz w:val="24"/>
        </w:rPr>
        <w:t>投标人地址：</w:t>
      </w:r>
    </w:p>
    <w:p>
      <w:pPr>
        <w:snapToGrid w:val="0"/>
        <w:spacing w:before="120" w:beforeLines="50" w:after="50" w:line="360" w:lineRule="auto"/>
        <w:jc w:val="center"/>
        <w:rPr>
          <w:rFonts w:ascii="宋体" w:hAnsi="宋体"/>
          <w:color w:val="000000"/>
          <w:sz w:val="30"/>
          <w:szCs w:val="20"/>
        </w:rPr>
      </w:pPr>
      <w:r>
        <w:rPr>
          <w:rFonts w:hint="eastAsia" w:ascii="宋体" w:hAnsi="宋体"/>
          <w:color w:val="000000"/>
          <w:sz w:val="24"/>
        </w:rPr>
        <w:t xml:space="preserve">                        年  月  日</w:t>
      </w:r>
    </w:p>
    <w:p>
      <w:pPr>
        <w:pStyle w:val="27"/>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13.开标一览表格式：</w:t>
      </w:r>
    </w:p>
    <w:p>
      <w:pPr>
        <w:pStyle w:val="27"/>
        <w:snapToGrid w:val="0"/>
        <w:spacing w:beforeLines="0" w:afterLines="0" w:line="240" w:lineRule="auto"/>
        <w:jc w:val="center"/>
        <w:rPr>
          <w:rFonts w:hAnsi="宋体"/>
          <w:b/>
          <w:color w:val="000000"/>
        </w:rPr>
      </w:pPr>
      <w:r>
        <w:rPr>
          <w:rFonts w:hint="eastAsia" w:hAnsi="宋体"/>
          <w:b/>
          <w:color w:val="000000"/>
        </w:rPr>
        <w:t>开标一览表</w:t>
      </w:r>
    </w:p>
    <w:p>
      <w:pPr>
        <w:snapToGrid w:val="0"/>
        <w:spacing w:before="120" w:beforeLines="50" w:after="50" w:line="480" w:lineRule="auto"/>
        <w:rPr>
          <w:rFonts w:ascii="宋体" w:hAnsi="宋体"/>
          <w:b/>
          <w:color w:val="000000"/>
          <w:sz w:val="24"/>
        </w:rPr>
      </w:pPr>
    </w:p>
    <w:p>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noWrap w:val="0"/>
            <w:vAlign w:val="center"/>
          </w:tcPr>
          <w:p>
            <w:pPr>
              <w:pStyle w:val="27"/>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noWrap w:val="0"/>
            <w:vAlign w:val="center"/>
          </w:tcPr>
          <w:p>
            <w:pPr>
              <w:pStyle w:val="27"/>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620" w:type="dxa"/>
            <w:noWrap w:val="0"/>
            <w:vAlign w:val="center"/>
          </w:tcPr>
          <w:p>
            <w:pPr>
              <w:pStyle w:val="27"/>
              <w:snapToGrid w:val="0"/>
              <w:spacing w:beforeLines="0" w:afterLines="0" w:line="240" w:lineRule="auto"/>
              <w:jc w:val="center"/>
              <w:rPr>
                <w:rFonts w:hAnsi="宋体"/>
                <w:b/>
                <w:color w:val="000000"/>
                <w:kern w:val="2"/>
              </w:rPr>
            </w:pPr>
            <w:r>
              <w:rPr>
                <w:rFonts w:hint="eastAsia" w:hAnsi="宋体"/>
                <w:b/>
                <w:color w:val="000000"/>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noWrap w:val="0"/>
            <w:vAlign w:val="center"/>
          </w:tcPr>
          <w:p>
            <w:pPr>
              <w:pStyle w:val="27"/>
              <w:snapToGrid w:val="0"/>
              <w:spacing w:beforeLines="0" w:afterLines="0" w:line="240" w:lineRule="auto"/>
              <w:jc w:val="center"/>
              <w:rPr>
                <w:rFonts w:hAnsi="宋体"/>
                <w:b/>
                <w:color w:val="000000"/>
                <w:kern w:val="2"/>
              </w:rPr>
            </w:pPr>
          </w:p>
          <w:p>
            <w:pPr>
              <w:pStyle w:val="27"/>
              <w:snapToGrid w:val="0"/>
              <w:spacing w:beforeLines="0" w:afterLines="0" w:line="240" w:lineRule="auto"/>
              <w:jc w:val="center"/>
              <w:rPr>
                <w:rFonts w:hAnsi="宋体"/>
                <w:color w:val="000000"/>
                <w:kern w:val="2"/>
              </w:rPr>
            </w:pPr>
            <w:r>
              <w:rPr>
                <w:rFonts w:hint="eastAsia" w:hAnsi="宋体"/>
                <w:color w:val="000000"/>
                <w:kern w:val="2"/>
              </w:rPr>
              <w:t>投标报价</w:t>
            </w:r>
          </w:p>
          <w:p>
            <w:pPr>
              <w:pStyle w:val="27"/>
              <w:snapToGrid w:val="0"/>
              <w:spacing w:beforeLines="0" w:afterLines="0" w:line="240" w:lineRule="auto"/>
              <w:jc w:val="center"/>
              <w:rPr>
                <w:rFonts w:hAnsi="宋体"/>
                <w:b/>
                <w:color w:val="000000"/>
                <w:kern w:val="2"/>
              </w:rPr>
            </w:pPr>
          </w:p>
          <w:p>
            <w:pPr>
              <w:pStyle w:val="27"/>
              <w:snapToGrid w:val="0"/>
              <w:spacing w:beforeLines="0" w:afterLines="0" w:line="240" w:lineRule="auto"/>
              <w:jc w:val="center"/>
              <w:rPr>
                <w:rFonts w:hAnsi="宋体"/>
                <w:b/>
                <w:color w:val="000000"/>
                <w:kern w:val="2"/>
              </w:rPr>
            </w:pPr>
          </w:p>
          <w:p>
            <w:pPr>
              <w:pStyle w:val="27"/>
              <w:snapToGrid w:val="0"/>
              <w:spacing w:beforeLines="0" w:afterLines="0" w:line="240" w:lineRule="auto"/>
              <w:jc w:val="center"/>
              <w:rPr>
                <w:rFonts w:hAnsi="宋体"/>
                <w:b/>
                <w:color w:val="000000"/>
                <w:kern w:val="2"/>
              </w:rPr>
            </w:pPr>
          </w:p>
        </w:tc>
        <w:tc>
          <w:tcPr>
            <w:tcW w:w="5760" w:type="dxa"/>
            <w:noWrap w:val="0"/>
            <w:vAlign w:val="center"/>
          </w:tcPr>
          <w:p>
            <w:pPr>
              <w:pStyle w:val="27"/>
              <w:snapToGrid w:val="0"/>
              <w:spacing w:beforeLines="0" w:afterLines="0" w:line="240" w:lineRule="auto"/>
              <w:rPr>
                <w:rFonts w:hAnsi="宋体"/>
                <w:color w:val="000000"/>
                <w:kern w:val="2"/>
              </w:rPr>
            </w:pPr>
          </w:p>
          <w:p>
            <w:pPr>
              <w:pStyle w:val="27"/>
              <w:snapToGrid w:val="0"/>
              <w:spacing w:beforeLines="0" w:afterLines="0" w:line="240" w:lineRule="auto"/>
              <w:rPr>
                <w:rFonts w:hint="eastAsia"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_</w:t>
            </w:r>
            <w:r>
              <w:rPr>
                <w:rFonts w:hint="eastAsia" w:hAnsi="宋体"/>
                <w:kern w:val="2"/>
              </w:rPr>
              <w:t>_______________________元整</w:t>
            </w:r>
          </w:p>
          <w:p>
            <w:pPr>
              <w:pStyle w:val="27"/>
              <w:snapToGrid w:val="0"/>
              <w:spacing w:beforeLines="0" w:afterLines="0" w:line="240" w:lineRule="auto"/>
              <w:rPr>
                <w:rFonts w:hAnsi="宋体"/>
                <w:kern w:val="2"/>
              </w:rPr>
            </w:pPr>
          </w:p>
          <w:p>
            <w:pPr>
              <w:pStyle w:val="27"/>
              <w:snapToGrid w:val="0"/>
              <w:spacing w:beforeLines="0" w:afterLines="0" w:line="240" w:lineRule="auto"/>
              <w:rPr>
                <w:rFonts w:hAnsi="宋体"/>
                <w:kern w:val="2"/>
              </w:rPr>
            </w:pPr>
            <w:r>
              <w:rPr>
                <w:rFonts w:hint="eastAsia" w:hAnsi="宋体"/>
                <w:kern w:val="2"/>
              </w:rPr>
              <w:t>小写：</w:t>
            </w:r>
            <w:r>
              <w:rPr>
                <w:rFonts w:hint="eastAsia" w:hAnsi="宋体"/>
                <w:kern w:val="2"/>
                <w:u w:val="single"/>
              </w:rPr>
              <w:t>￥_</w:t>
            </w:r>
            <w:r>
              <w:rPr>
                <w:rFonts w:hint="eastAsia" w:hAnsi="宋体"/>
                <w:kern w:val="2"/>
              </w:rPr>
              <w:t>_______________________元整</w:t>
            </w:r>
          </w:p>
          <w:p>
            <w:pPr>
              <w:pStyle w:val="27"/>
              <w:snapToGrid w:val="0"/>
              <w:spacing w:beforeLines="0" w:afterLines="0" w:line="240" w:lineRule="auto"/>
              <w:rPr>
                <w:rFonts w:hAnsi="宋体"/>
                <w:b/>
                <w:color w:val="000000"/>
                <w:kern w:val="2"/>
              </w:rPr>
            </w:pPr>
          </w:p>
        </w:tc>
        <w:tc>
          <w:tcPr>
            <w:tcW w:w="1620" w:type="dxa"/>
            <w:noWrap w:val="0"/>
            <w:vAlign w:val="top"/>
          </w:tcPr>
          <w:p>
            <w:pPr>
              <w:pStyle w:val="27"/>
              <w:snapToGrid w:val="0"/>
              <w:spacing w:beforeLines="0" w:afterLines="0" w:line="240" w:lineRule="auto"/>
              <w:rPr>
                <w:rFonts w:hAnsi="宋体"/>
                <w:b/>
                <w:color w:val="000000"/>
                <w:kern w:val="2"/>
              </w:rPr>
            </w:pPr>
          </w:p>
        </w:tc>
      </w:tr>
    </w:tbl>
    <w:p>
      <w:pPr>
        <w:pStyle w:val="27"/>
        <w:snapToGrid w:val="0"/>
        <w:spacing w:beforeLines="0" w:afterLines="0" w:line="240" w:lineRule="auto"/>
        <w:rPr>
          <w:rFonts w:hAnsi="宋体"/>
          <w:b/>
          <w:color w:val="000000"/>
        </w:rPr>
      </w:pPr>
    </w:p>
    <w:p>
      <w:pPr>
        <w:snapToGrid w:val="0"/>
        <w:spacing w:before="50" w:after="120" w:afterLines="50" w:line="360" w:lineRule="auto"/>
        <w:jc w:val="left"/>
        <w:rPr>
          <w:rFonts w:ascii="宋体" w:hAnsi="宋体"/>
          <w:color w:val="000000"/>
          <w:sz w:val="24"/>
          <w:szCs w:val="20"/>
        </w:rPr>
      </w:pPr>
    </w:p>
    <w:p>
      <w:pPr>
        <w:pStyle w:val="27"/>
        <w:snapToGrid w:val="0"/>
        <w:spacing w:beforeLines="0" w:afterLines="0" w:line="240" w:lineRule="auto"/>
        <w:rPr>
          <w:rFonts w:hAnsi="宋体"/>
          <w:color w:val="000000"/>
          <w:spacing w:val="20"/>
        </w:rPr>
      </w:pPr>
      <w:r>
        <w:rPr>
          <w:rFonts w:hint="eastAsia" w:hAnsi="宋体"/>
          <w:color w:val="000000"/>
          <w:spacing w:val="20"/>
        </w:rPr>
        <w:t xml:space="preserve">法定代表人签字（或盖章）：            投标人（盖章）：  </w:t>
      </w:r>
    </w:p>
    <w:p>
      <w:pPr>
        <w:pStyle w:val="27"/>
        <w:snapToGrid w:val="0"/>
        <w:spacing w:beforeLines="0" w:afterLines="0" w:line="240" w:lineRule="auto"/>
        <w:rPr>
          <w:rFonts w:hAnsi="宋体"/>
          <w:color w:val="000000"/>
        </w:rPr>
      </w:pPr>
    </w:p>
    <w:p>
      <w:pPr>
        <w:pStyle w:val="27"/>
        <w:snapToGrid w:val="0"/>
        <w:spacing w:beforeLines="0" w:afterLines="0" w:line="240" w:lineRule="auto"/>
        <w:rPr>
          <w:rFonts w:hAnsi="宋体"/>
          <w:color w:val="000000"/>
        </w:rPr>
      </w:pPr>
      <w:r>
        <w:rPr>
          <w:rFonts w:hint="eastAsia" w:hAnsi="宋体"/>
          <w:color w:val="000000"/>
        </w:rPr>
        <w:t>日期：</w:t>
      </w:r>
    </w:p>
    <w:p>
      <w:pPr>
        <w:pStyle w:val="27"/>
        <w:snapToGrid w:val="0"/>
        <w:spacing w:beforeLines="0" w:afterLines="0" w:line="240" w:lineRule="auto"/>
        <w:rPr>
          <w:rFonts w:hAnsi="宋体"/>
          <w:color w:val="000000"/>
        </w:rPr>
      </w:pPr>
    </w:p>
    <w:p>
      <w:pPr>
        <w:pStyle w:val="27"/>
        <w:snapToGrid w:val="0"/>
        <w:spacing w:beforeLines="0" w:afterLines="0" w:line="240" w:lineRule="auto"/>
        <w:rPr>
          <w:rFonts w:hAnsi="宋体"/>
          <w:color w:val="000000"/>
        </w:rPr>
      </w:pPr>
    </w:p>
    <w:p>
      <w:pPr>
        <w:pStyle w:val="27"/>
        <w:snapToGrid w:val="0"/>
        <w:spacing w:beforeLines="0" w:afterLines="0" w:line="240" w:lineRule="auto"/>
        <w:rPr>
          <w:rFonts w:hAnsi="宋体"/>
          <w:color w:val="000000"/>
        </w:rPr>
      </w:pPr>
    </w:p>
    <w:p>
      <w:pPr>
        <w:pStyle w:val="27"/>
        <w:snapToGrid w:val="0"/>
        <w:spacing w:beforeLines="0" w:afterLines="0" w:line="240" w:lineRule="auto"/>
        <w:rPr>
          <w:rFonts w:hAnsi="宋体"/>
          <w:color w:val="000000"/>
        </w:rPr>
      </w:pPr>
    </w:p>
    <w:p>
      <w:pPr>
        <w:pStyle w:val="27"/>
        <w:snapToGrid w:val="0"/>
        <w:spacing w:beforeLines="0" w:afterLines="0" w:line="240" w:lineRule="auto"/>
        <w:rPr>
          <w:rFonts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Ansi="宋体"/>
          <w:color w:val="000000"/>
        </w:rPr>
      </w:pPr>
    </w:p>
    <w:p>
      <w:pPr>
        <w:pStyle w:val="27"/>
        <w:snapToGrid w:val="0"/>
        <w:spacing w:beforeLines="0" w:afterLines="0" w:line="240" w:lineRule="auto"/>
        <w:rPr>
          <w:rFonts w:hint="eastAsia" w:hAnsi="宋体"/>
          <w:color w:val="000000"/>
        </w:rPr>
      </w:pPr>
      <w:r>
        <w:rPr>
          <w:rFonts w:hint="eastAsia" w:hAnsi="宋体"/>
          <w:color w:val="000000"/>
        </w:rPr>
        <w:t xml:space="preserve">14.报价明细表格式：  </w:t>
      </w:r>
    </w:p>
    <w:p>
      <w:pPr>
        <w:jc w:val="left"/>
        <w:rPr>
          <w:rFonts w:hint="eastAsia"/>
        </w:rPr>
      </w:pPr>
    </w:p>
    <w:p>
      <w:pPr>
        <w:pStyle w:val="27"/>
        <w:snapToGrid w:val="0"/>
        <w:spacing w:beforeLines="0" w:afterLines="0" w:line="240" w:lineRule="auto"/>
        <w:ind w:firstLine="4096" w:firstLineChars="1700"/>
        <w:jc w:val="both"/>
        <w:rPr>
          <w:rFonts w:hAnsi="宋体"/>
          <w:bCs/>
          <w:color w:val="000000"/>
        </w:rPr>
      </w:pPr>
      <w:r>
        <w:rPr>
          <w:rFonts w:hint="eastAsia" w:hAnsi="宋体"/>
          <w:b/>
          <w:color w:val="000000"/>
        </w:rPr>
        <w:t>报价明细表</w:t>
      </w:r>
    </w:p>
    <w:p>
      <w:pPr>
        <w:snapToGrid w:val="0"/>
        <w:spacing w:before="120" w:beforeLines="50" w:after="50" w:line="360" w:lineRule="auto"/>
        <w:rPr>
          <w:rFonts w:ascii="宋体" w:hAnsi="宋体"/>
          <w:bCs/>
          <w:color w:val="000000"/>
        </w:rPr>
      </w:pPr>
      <w:r>
        <w:rPr>
          <w:rFonts w:hint="eastAsia" w:ascii="宋体" w:hAnsi="宋体"/>
          <w:bCs/>
          <w:color w:val="000000"/>
        </w:rPr>
        <w:t>项目名称：</w:t>
      </w:r>
      <w:r>
        <w:rPr>
          <w:rFonts w:hint="eastAsia" w:ascii="宋体" w:hAnsi="宋体"/>
          <w:bCs/>
          <w:color w:val="000000"/>
          <w:lang w:eastAsia="zh-CN"/>
        </w:rPr>
        <w:t xml:space="preserve">                              </w:t>
      </w:r>
      <w:r>
        <w:rPr>
          <w:rFonts w:hint="eastAsia" w:ascii="宋体" w:hAnsi="宋体"/>
          <w:color w:val="000000"/>
        </w:rPr>
        <w:t>项目编号：</w:t>
      </w:r>
    </w:p>
    <w:tbl>
      <w:tblPr>
        <w:tblStyle w:val="48"/>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672"/>
        <w:gridCol w:w="1725"/>
        <w:gridCol w:w="1500"/>
        <w:gridCol w:w="138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noWrap w:val="0"/>
            <w:vAlign w:val="center"/>
          </w:tcPr>
          <w:p>
            <w:pPr>
              <w:jc w:val="center"/>
              <w:rPr>
                <w:rFonts w:hint="eastAsia" w:ascii="宋体" w:hAnsi="宋体"/>
                <w:b/>
              </w:rPr>
            </w:pPr>
            <w:r>
              <w:rPr>
                <w:rFonts w:hint="eastAsia" w:ascii="宋体" w:hAnsi="宋体"/>
                <w:b/>
              </w:rPr>
              <w:t>序号</w:t>
            </w:r>
          </w:p>
        </w:tc>
        <w:tc>
          <w:tcPr>
            <w:tcW w:w="2672" w:type="dxa"/>
            <w:noWrap w:val="0"/>
            <w:vAlign w:val="center"/>
          </w:tcPr>
          <w:p>
            <w:pPr>
              <w:jc w:val="center"/>
              <w:rPr>
                <w:rFonts w:hint="eastAsia" w:ascii="宋体" w:hAnsi="宋体"/>
                <w:b/>
              </w:rPr>
            </w:pPr>
            <w:r>
              <w:rPr>
                <w:rFonts w:hint="eastAsia" w:ascii="宋体" w:hAnsi="宋体"/>
                <w:b/>
              </w:rPr>
              <w:t>项目名称</w:t>
            </w:r>
          </w:p>
        </w:tc>
        <w:tc>
          <w:tcPr>
            <w:tcW w:w="1725" w:type="dxa"/>
            <w:noWrap w:val="0"/>
            <w:vAlign w:val="center"/>
          </w:tcPr>
          <w:p>
            <w:pPr>
              <w:jc w:val="center"/>
              <w:rPr>
                <w:rFonts w:hint="eastAsia" w:ascii="宋体" w:hAnsi="宋体"/>
                <w:b/>
              </w:rPr>
            </w:pPr>
            <w:r>
              <w:rPr>
                <w:rFonts w:hint="eastAsia" w:ascii="宋体" w:hAnsi="宋体"/>
                <w:b/>
              </w:rPr>
              <w:t>品牌型号</w:t>
            </w:r>
          </w:p>
        </w:tc>
        <w:tc>
          <w:tcPr>
            <w:tcW w:w="1500" w:type="dxa"/>
            <w:noWrap w:val="0"/>
            <w:vAlign w:val="center"/>
          </w:tcPr>
          <w:p>
            <w:pPr>
              <w:jc w:val="center"/>
              <w:rPr>
                <w:rFonts w:hint="eastAsia" w:ascii="宋体" w:hAnsi="宋体"/>
                <w:b/>
              </w:rPr>
            </w:pPr>
            <w:r>
              <w:rPr>
                <w:rFonts w:hint="eastAsia" w:ascii="宋体" w:hAnsi="宋体"/>
                <w:b/>
              </w:rPr>
              <w:t>数量</w:t>
            </w:r>
          </w:p>
        </w:tc>
        <w:tc>
          <w:tcPr>
            <w:tcW w:w="1380" w:type="dxa"/>
            <w:noWrap w:val="0"/>
            <w:vAlign w:val="center"/>
          </w:tcPr>
          <w:p>
            <w:pPr>
              <w:jc w:val="center"/>
              <w:rPr>
                <w:rFonts w:hint="eastAsia" w:ascii="宋体" w:hAnsi="宋体"/>
                <w:b/>
              </w:rPr>
            </w:pPr>
            <w:r>
              <w:rPr>
                <w:rFonts w:hint="eastAsia" w:ascii="宋体" w:hAnsi="宋体"/>
                <w:b/>
              </w:rPr>
              <w:t>单价</w:t>
            </w:r>
          </w:p>
        </w:tc>
        <w:tc>
          <w:tcPr>
            <w:tcW w:w="1404" w:type="dxa"/>
            <w:noWrap w:val="0"/>
            <w:vAlign w:val="center"/>
          </w:tcPr>
          <w:p>
            <w:pPr>
              <w:jc w:val="center"/>
              <w:rPr>
                <w:rFonts w:hint="eastAsia"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noWrap w:val="0"/>
            <w:vAlign w:val="center"/>
          </w:tcPr>
          <w:p>
            <w:pPr>
              <w:jc w:val="center"/>
              <w:rPr>
                <w:rFonts w:hint="eastAsia" w:ascii="宋体" w:hAnsi="宋体"/>
                <w:b/>
              </w:rPr>
            </w:pPr>
          </w:p>
        </w:tc>
        <w:tc>
          <w:tcPr>
            <w:tcW w:w="2672" w:type="dxa"/>
            <w:noWrap w:val="0"/>
            <w:vAlign w:val="center"/>
          </w:tcPr>
          <w:p>
            <w:pPr>
              <w:jc w:val="center"/>
              <w:rPr>
                <w:rFonts w:hint="eastAsia" w:ascii="宋体" w:hAnsi="宋体"/>
              </w:rPr>
            </w:pPr>
          </w:p>
        </w:tc>
        <w:tc>
          <w:tcPr>
            <w:tcW w:w="1725" w:type="dxa"/>
            <w:noWrap w:val="0"/>
            <w:vAlign w:val="center"/>
          </w:tcPr>
          <w:p>
            <w:pPr>
              <w:jc w:val="center"/>
              <w:rPr>
                <w:rFonts w:hint="eastAsia" w:ascii="宋体" w:hAnsi="宋体"/>
                <w:b/>
              </w:rPr>
            </w:pPr>
          </w:p>
        </w:tc>
        <w:tc>
          <w:tcPr>
            <w:tcW w:w="1500" w:type="dxa"/>
            <w:noWrap w:val="0"/>
            <w:vAlign w:val="center"/>
          </w:tcPr>
          <w:p>
            <w:pPr>
              <w:jc w:val="center"/>
              <w:rPr>
                <w:rFonts w:hint="eastAsia" w:ascii="宋体" w:hAnsi="宋体"/>
                <w:b/>
              </w:rPr>
            </w:pPr>
          </w:p>
        </w:tc>
        <w:tc>
          <w:tcPr>
            <w:tcW w:w="1380" w:type="dxa"/>
            <w:noWrap w:val="0"/>
            <w:vAlign w:val="center"/>
          </w:tcPr>
          <w:p>
            <w:pPr>
              <w:jc w:val="center"/>
              <w:rPr>
                <w:rFonts w:hint="eastAsia" w:ascii="宋体" w:hAnsi="宋体"/>
                <w:b/>
              </w:rPr>
            </w:pPr>
          </w:p>
        </w:tc>
        <w:tc>
          <w:tcPr>
            <w:tcW w:w="1404" w:type="dxa"/>
            <w:noWrap w:val="0"/>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noWrap w:val="0"/>
            <w:vAlign w:val="center"/>
          </w:tcPr>
          <w:p>
            <w:pPr>
              <w:jc w:val="center"/>
              <w:rPr>
                <w:rFonts w:hint="eastAsia" w:ascii="宋体" w:hAnsi="宋体"/>
                <w:b/>
              </w:rPr>
            </w:pPr>
          </w:p>
        </w:tc>
        <w:tc>
          <w:tcPr>
            <w:tcW w:w="2672" w:type="dxa"/>
            <w:noWrap w:val="0"/>
            <w:vAlign w:val="center"/>
          </w:tcPr>
          <w:p>
            <w:pPr>
              <w:jc w:val="center"/>
              <w:rPr>
                <w:rFonts w:hint="eastAsia" w:ascii="宋体" w:hAnsi="宋体"/>
              </w:rPr>
            </w:pPr>
          </w:p>
        </w:tc>
        <w:tc>
          <w:tcPr>
            <w:tcW w:w="1725" w:type="dxa"/>
            <w:noWrap w:val="0"/>
            <w:vAlign w:val="center"/>
          </w:tcPr>
          <w:p>
            <w:pPr>
              <w:jc w:val="center"/>
              <w:rPr>
                <w:rFonts w:hint="eastAsia" w:ascii="宋体" w:hAnsi="宋体"/>
                <w:b/>
              </w:rPr>
            </w:pPr>
          </w:p>
        </w:tc>
        <w:tc>
          <w:tcPr>
            <w:tcW w:w="1500" w:type="dxa"/>
            <w:noWrap w:val="0"/>
            <w:vAlign w:val="center"/>
          </w:tcPr>
          <w:p>
            <w:pPr>
              <w:jc w:val="center"/>
              <w:rPr>
                <w:rFonts w:ascii="宋体" w:hAnsi="宋体"/>
              </w:rPr>
            </w:pPr>
          </w:p>
        </w:tc>
        <w:tc>
          <w:tcPr>
            <w:tcW w:w="1380" w:type="dxa"/>
            <w:noWrap w:val="0"/>
            <w:vAlign w:val="center"/>
          </w:tcPr>
          <w:p>
            <w:pPr>
              <w:jc w:val="center"/>
              <w:rPr>
                <w:rFonts w:hint="eastAsia" w:ascii="宋体" w:hAnsi="宋体"/>
                <w:b/>
              </w:rPr>
            </w:pPr>
          </w:p>
        </w:tc>
        <w:tc>
          <w:tcPr>
            <w:tcW w:w="1404" w:type="dxa"/>
            <w:noWrap w:val="0"/>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noWrap w:val="0"/>
            <w:vAlign w:val="center"/>
          </w:tcPr>
          <w:p>
            <w:pPr>
              <w:jc w:val="center"/>
              <w:rPr>
                <w:rFonts w:hint="eastAsia" w:ascii="宋体" w:hAnsi="宋体"/>
                <w:b/>
              </w:rPr>
            </w:pPr>
          </w:p>
        </w:tc>
        <w:tc>
          <w:tcPr>
            <w:tcW w:w="2672" w:type="dxa"/>
            <w:noWrap w:val="0"/>
            <w:vAlign w:val="center"/>
          </w:tcPr>
          <w:p>
            <w:pPr>
              <w:jc w:val="center"/>
              <w:rPr>
                <w:rFonts w:hint="eastAsia" w:ascii="宋体" w:hAnsi="宋体"/>
              </w:rPr>
            </w:pPr>
          </w:p>
        </w:tc>
        <w:tc>
          <w:tcPr>
            <w:tcW w:w="1725" w:type="dxa"/>
            <w:noWrap w:val="0"/>
            <w:vAlign w:val="center"/>
          </w:tcPr>
          <w:p>
            <w:pPr>
              <w:jc w:val="center"/>
              <w:rPr>
                <w:rFonts w:hint="eastAsia" w:ascii="宋体" w:hAnsi="宋体"/>
                <w:b/>
              </w:rPr>
            </w:pPr>
          </w:p>
        </w:tc>
        <w:tc>
          <w:tcPr>
            <w:tcW w:w="1500" w:type="dxa"/>
            <w:noWrap w:val="0"/>
            <w:vAlign w:val="center"/>
          </w:tcPr>
          <w:p>
            <w:pPr>
              <w:jc w:val="center"/>
              <w:rPr>
                <w:rFonts w:ascii="宋体" w:hAnsi="宋体"/>
              </w:rPr>
            </w:pPr>
          </w:p>
        </w:tc>
        <w:tc>
          <w:tcPr>
            <w:tcW w:w="1380" w:type="dxa"/>
            <w:noWrap w:val="0"/>
            <w:vAlign w:val="center"/>
          </w:tcPr>
          <w:p>
            <w:pPr>
              <w:jc w:val="center"/>
              <w:rPr>
                <w:rFonts w:hint="eastAsia" w:ascii="宋体" w:hAnsi="宋体"/>
                <w:b/>
              </w:rPr>
            </w:pPr>
          </w:p>
        </w:tc>
        <w:tc>
          <w:tcPr>
            <w:tcW w:w="1404" w:type="dxa"/>
            <w:noWrap w:val="0"/>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noWrap w:val="0"/>
            <w:vAlign w:val="center"/>
          </w:tcPr>
          <w:p>
            <w:pPr>
              <w:jc w:val="center"/>
              <w:rPr>
                <w:rFonts w:hint="eastAsia" w:ascii="宋体" w:hAnsi="宋体"/>
                <w:b/>
              </w:rPr>
            </w:pPr>
          </w:p>
        </w:tc>
        <w:tc>
          <w:tcPr>
            <w:tcW w:w="2672" w:type="dxa"/>
            <w:noWrap w:val="0"/>
            <w:vAlign w:val="center"/>
          </w:tcPr>
          <w:p>
            <w:pPr>
              <w:jc w:val="center"/>
              <w:rPr>
                <w:rFonts w:hint="eastAsia" w:ascii="宋体" w:hAnsi="宋体"/>
              </w:rPr>
            </w:pPr>
          </w:p>
        </w:tc>
        <w:tc>
          <w:tcPr>
            <w:tcW w:w="1725" w:type="dxa"/>
            <w:noWrap w:val="0"/>
            <w:vAlign w:val="center"/>
          </w:tcPr>
          <w:p>
            <w:pPr>
              <w:jc w:val="center"/>
              <w:rPr>
                <w:rFonts w:hint="eastAsia" w:ascii="宋体" w:hAnsi="宋体"/>
                <w:b/>
              </w:rPr>
            </w:pPr>
          </w:p>
        </w:tc>
        <w:tc>
          <w:tcPr>
            <w:tcW w:w="1500" w:type="dxa"/>
            <w:noWrap w:val="0"/>
            <w:vAlign w:val="center"/>
          </w:tcPr>
          <w:p>
            <w:pPr>
              <w:jc w:val="center"/>
              <w:rPr>
                <w:rFonts w:ascii="宋体" w:hAnsi="宋体"/>
              </w:rPr>
            </w:pPr>
          </w:p>
        </w:tc>
        <w:tc>
          <w:tcPr>
            <w:tcW w:w="1380" w:type="dxa"/>
            <w:noWrap w:val="0"/>
            <w:vAlign w:val="center"/>
          </w:tcPr>
          <w:p>
            <w:pPr>
              <w:jc w:val="center"/>
              <w:rPr>
                <w:rFonts w:hint="eastAsia" w:ascii="宋体" w:hAnsi="宋体"/>
                <w:b/>
              </w:rPr>
            </w:pPr>
          </w:p>
        </w:tc>
        <w:tc>
          <w:tcPr>
            <w:tcW w:w="1404" w:type="dxa"/>
            <w:noWrap w:val="0"/>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noWrap w:val="0"/>
            <w:vAlign w:val="center"/>
          </w:tcPr>
          <w:p>
            <w:pPr>
              <w:jc w:val="center"/>
              <w:rPr>
                <w:rFonts w:hint="eastAsia" w:ascii="宋体" w:hAnsi="宋体"/>
                <w:b/>
              </w:rPr>
            </w:pPr>
          </w:p>
        </w:tc>
        <w:tc>
          <w:tcPr>
            <w:tcW w:w="2672" w:type="dxa"/>
            <w:noWrap w:val="0"/>
            <w:vAlign w:val="center"/>
          </w:tcPr>
          <w:p>
            <w:pPr>
              <w:jc w:val="center"/>
              <w:rPr>
                <w:rFonts w:hint="eastAsia" w:ascii="宋体" w:hAnsi="宋体"/>
              </w:rPr>
            </w:pPr>
          </w:p>
        </w:tc>
        <w:tc>
          <w:tcPr>
            <w:tcW w:w="1725" w:type="dxa"/>
            <w:noWrap w:val="0"/>
            <w:vAlign w:val="center"/>
          </w:tcPr>
          <w:p>
            <w:pPr>
              <w:jc w:val="center"/>
              <w:rPr>
                <w:rFonts w:hint="eastAsia" w:ascii="宋体" w:hAnsi="宋体"/>
                <w:b/>
              </w:rPr>
            </w:pPr>
          </w:p>
        </w:tc>
        <w:tc>
          <w:tcPr>
            <w:tcW w:w="1500" w:type="dxa"/>
            <w:noWrap w:val="0"/>
            <w:vAlign w:val="center"/>
          </w:tcPr>
          <w:p>
            <w:pPr>
              <w:jc w:val="center"/>
              <w:rPr>
                <w:rFonts w:ascii="宋体" w:hAnsi="宋体"/>
              </w:rPr>
            </w:pPr>
          </w:p>
        </w:tc>
        <w:tc>
          <w:tcPr>
            <w:tcW w:w="1380" w:type="dxa"/>
            <w:noWrap w:val="0"/>
            <w:vAlign w:val="center"/>
          </w:tcPr>
          <w:p>
            <w:pPr>
              <w:jc w:val="center"/>
              <w:rPr>
                <w:rFonts w:hint="eastAsia" w:ascii="宋体" w:hAnsi="宋体"/>
                <w:b/>
              </w:rPr>
            </w:pPr>
          </w:p>
        </w:tc>
        <w:tc>
          <w:tcPr>
            <w:tcW w:w="1404" w:type="dxa"/>
            <w:noWrap w:val="0"/>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noWrap w:val="0"/>
            <w:vAlign w:val="center"/>
          </w:tcPr>
          <w:p>
            <w:pPr>
              <w:jc w:val="center"/>
              <w:rPr>
                <w:rFonts w:hint="eastAsia" w:ascii="宋体" w:hAnsi="宋体"/>
                <w:b/>
              </w:rPr>
            </w:pPr>
          </w:p>
        </w:tc>
        <w:tc>
          <w:tcPr>
            <w:tcW w:w="2672" w:type="dxa"/>
            <w:noWrap w:val="0"/>
            <w:vAlign w:val="center"/>
          </w:tcPr>
          <w:p>
            <w:pPr>
              <w:jc w:val="center"/>
              <w:rPr>
                <w:rFonts w:hint="eastAsia" w:ascii="宋体" w:hAnsi="宋体"/>
              </w:rPr>
            </w:pPr>
          </w:p>
        </w:tc>
        <w:tc>
          <w:tcPr>
            <w:tcW w:w="1725" w:type="dxa"/>
            <w:noWrap w:val="0"/>
            <w:vAlign w:val="center"/>
          </w:tcPr>
          <w:p>
            <w:pPr>
              <w:jc w:val="center"/>
              <w:rPr>
                <w:rFonts w:hint="eastAsia" w:ascii="宋体" w:hAnsi="宋体"/>
                <w:b/>
              </w:rPr>
            </w:pPr>
          </w:p>
        </w:tc>
        <w:tc>
          <w:tcPr>
            <w:tcW w:w="1500" w:type="dxa"/>
            <w:noWrap w:val="0"/>
            <w:vAlign w:val="center"/>
          </w:tcPr>
          <w:p>
            <w:pPr>
              <w:jc w:val="center"/>
              <w:rPr>
                <w:rFonts w:ascii="宋体" w:hAnsi="宋体"/>
              </w:rPr>
            </w:pPr>
          </w:p>
        </w:tc>
        <w:tc>
          <w:tcPr>
            <w:tcW w:w="1380" w:type="dxa"/>
            <w:noWrap w:val="0"/>
            <w:vAlign w:val="center"/>
          </w:tcPr>
          <w:p>
            <w:pPr>
              <w:jc w:val="center"/>
              <w:rPr>
                <w:rFonts w:hint="eastAsia" w:ascii="宋体" w:hAnsi="宋体"/>
                <w:b/>
              </w:rPr>
            </w:pPr>
          </w:p>
        </w:tc>
        <w:tc>
          <w:tcPr>
            <w:tcW w:w="1404" w:type="dxa"/>
            <w:noWrap w:val="0"/>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noWrap w:val="0"/>
            <w:vAlign w:val="center"/>
          </w:tcPr>
          <w:p>
            <w:pPr>
              <w:jc w:val="center"/>
              <w:rPr>
                <w:rFonts w:hint="eastAsia" w:ascii="宋体" w:hAnsi="宋体"/>
                <w:b/>
              </w:rPr>
            </w:pPr>
          </w:p>
        </w:tc>
        <w:tc>
          <w:tcPr>
            <w:tcW w:w="2672" w:type="dxa"/>
            <w:noWrap w:val="0"/>
            <w:vAlign w:val="center"/>
          </w:tcPr>
          <w:p>
            <w:pPr>
              <w:jc w:val="center"/>
              <w:rPr>
                <w:rFonts w:hint="eastAsia" w:ascii="宋体" w:hAnsi="宋体"/>
              </w:rPr>
            </w:pPr>
          </w:p>
        </w:tc>
        <w:tc>
          <w:tcPr>
            <w:tcW w:w="1725" w:type="dxa"/>
            <w:noWrap w:val="0"/>
            <w:vAlign w:val="center"/>
          </w:tcPr>
          <w:p>
            <w:pPr>
              <w:jc w:val="center"/>
              <w:rPr>
                <w:rFonts w:hint="eastAsia" w:ascii="宋体" w:hAnsi="宋体"/>
                <w:b/>
              </w:rPr>
            </w:pPr>
          </w:p>
        </w:tc>
        <w:tc>
          <w:tcPr>
            <w:tcW w:w="1500" w:type="dxa"/>
            <w:noWrap w:val="0"/>
            <w:vAlign w:val="center"/>
          </w:tcPr>
          <w:p>
            <w:pPr>
              <w:jc w:val="center"/>
              <w:rPr>
                <w:rFonts w:ascii="宋体" w:hAnsi="宋体"/>
              </w:rPr>
            </w:pPr>
          </w:p>
        </w:tc>
        <w:tc>
          <w:tcPr>
            <w:tcW w:w="1380" w:type="dxa"/>
            <w:noWrap w:val="0"/>
            <w:vAlign w:val="center"/>
          </w:tcPr>
          <w:p>
            <w:pPr>
              <w:jc w:val="center"/>
              <w:rPr>
                <w:rFonts w:hint="eastAsia" w:ascii="宋体" w:hAnsi="宋体"/>
                <w:b/>
              </w:rPr>
            </w:pPr>
          </w:p>
        </w:tc>
        <w:tc>
          <w:tcPr>
            <w:tcW w:w="1404" w:type="dxa"/>
            <w:noWrap w:val="0"/>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noWrap w:val="0"/>
            <w:vAlign w:val="center"/>
          </w:tcPr>
          <w:p>
            <w:pPr>
              <w:jc w:val="center"/>
              <w:rPr>
                <w:rFonts w:hint="eastAsia" w:ascii="宋体" w:hAnsi="宋体"/>
                <w:b/>
              </w:rPr>
            </w:pPr>
          </w:p>
        </w:tc>
        <w:tc>
          <w:tcPr>
            <w:tcW w:w="2672" w:type="dxa"/>
            <w:noWrap w:val="0"/>
            <w:vAlign w:val="center"/>
          </w:tcPr>
          <w:p>
            <w:pPr>
              <w:jc w:val="center"/>
              <w:rPr>
                <w:rFonts w:hint="eastAsia" w:ascii="宋体" w:hAnsi="宋体"/>
              </w:rPr>
            </w:pPr>
          </w:p>
        </w:tc>
        <w:tc>
          <w:tcPr>
            <w:tcW w:w="1725" w:type="dxa"/>
            <w:noWrap w:val="0"/>
            <w:vAlign w:val="center"/>
          </w:tcPr>
          <w:p>
            <w:pPr>
              <w:jc w:val="center"/>
              <w:rPr>
                <w:rFonts w:hint="eastAsia" w:ascii="宋体" w:hAnsi="宋体"/>
                <w:b/>
              </w:rPr>
            </w:pPr>
          </w:p>
        </w:tc>
        <w:tc>
          <w:tcPr>
            <w:tcW w:w="1500" w:type="dxa"/>
            <w:noWrap w:val="0"/>
            <w:vAlign w:val="center"/>
          </w:tcPr>
          <w:p>
            <w:pPr>
              <w:jc w:val="center"/>
              <w:rPr>
                <w:rFonts w:ascii="宋体" w:hAnsi="宋体"/>
              </w:rPr>
            </w:pPr>
          </w:p>
        </w:tc>
        <w:tc>
          <w:tcPr>
            <w:tcW w:w="1380" w:type="dxa"/>
            <w:noWrap w:val="0"/>
            <w:vAlign w:val="center"/>
          </w:tcPr>
          <w:p>
            <w:pPr>
              <w:jc w:val="center"/>
              <w:rPr>
                <w:rFonts w:hint="eastAsia" w:ascii="宋体" w:hAnsi="宋体"/>
                <w:b/>
              </w:rPr>
            </w:pPr>
          </w:p>
        </w:tc>
        <w:tc>
          <w:tcPr>
            <w:tcW w:w="1404" w:type="dxa"/>
            <w:noWrap w:val="0"/>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noWrap w:val="0"/>
            <w:vAlign w:val="center"/>
          </w:tcPr>
          <w:p>
            <w:pPr>
              <w:jc w:val="center"/>
              <w:rPr>
                <w:rFonts w:hint="eastAsia" w:ascii="宋体" w:hAnsi="宋体"/>
                <w:b/>
              </w:rPr>
            </w:pPr>
          </w:p>
        </w:tc>
        <w:tc>
          <w:tcPr>
            <w:tcW w:w="2672" w:type="dxa"/>
            <w:noWrap w:val="0"/>
            <w:vAlign w:val="center"/>
          </w:tcPr>
          <w:p>
            <w:pPr>
              <w:jc w:val="center"/>
              <w:rPr>
                <w:rFonts w:hint="eastAsia" w:ascii="宋体" w:hAnsi="宋体"/>
              </w:rPr>
            </w:pPr>
          </w:p>
        </w:tc>
        <w:tc>
          <w:tcPr>
            <w:tcW w:w="1725" w:type="dxa"/>
            <w:noWrap w:val="0"/>
            <w:vAlign w:val="center"/>
          </w:tcPr>
          <w:p>
            <w:pPr>
              <w:jc w:val="center"/>
              <w:rPr>
                <w:rFonts w:hint="eastAsia" w:ascii="宋体" w:hAnsi="宋体"/>
                <w:b/>
              </w:rPr>
            </w:pPr>
          </w:p>
        </w:tc>
        <w:tc>
          <w:tcPr>
            <w:tcW w:w="1500" w:type="dxa"/>
            <w:noWrap w:val="0"/>
            <w:vAlign w:val="center"/>
          </w:tcPr>
          <w:p>
            <w:pPr>
              <w:jc w:val="center"/>
              <w:rPr>
                <w:rFonts w:ascii="宋体" w:hAnsi="宋体"/>
              </w:rPr>
            </w:pPr>
          </w:p>
        </w:tc>
        <w:tc>
          <w:tcPr>
            <w:tcW w:w="1380" w:type="dxa"/>
            <w:noWrap w:val="0"/>
            <w:vAlign w:val="center"/>
          </w:tcPr>
          <w:p>
            <w:pPr>
              <w:jc w:val="center"/>
              <w:rPr>
                <w:rFonts w:hint="eastAsia" w:ascii="宋体" w:hAnsi="宋体"/>
                <w:b/>
              </w:rPr>
            </w:pPr>
          </w:p>
        </w:tc>
        <w:tc>
          <w:tcPr>
            <w:tcW w:w="1404" w:type="dxa"/>
            <w:noWrap w:val="0"/>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noWrap w:val="0"/>
            <w:vAlign w:val="center"/>
          </w:tcPr>
          <w:p>
            <w:pPr>
              <w:jc w:val="center"/>
              <w:rPr>
                <w:rFonts w:hint="eastAsia" w:ascii="宋体" w:hAnsi="宋体"/>
                <w:b/>
              </w:rPr>
            </w:pPr>
          </w:p>
        </w:tc>
        <w:tc>
          <w:tcPr>
            <w:tcW w:w="2672" w:type="dxa"/>
            <w:noWrap w:val="0"/>
            <w:vAlign w:val="center"/>
          </w:tcPr>
          <w:p>
            <w:pPr>
              <w:jc w:val="center"/>
              <w:rPr>
                <w:rFonts w:hint="eastAsia" w:ascii="宋体" w:hAnsi="宋体"/>
              </w:rPr>
            </w:pPr>
          </w:p>
        </w:tc>
        <w:tc>
          <w:tcPr>
            <w:tcW w:w="1725" w:type="dxa"/>
            <w:noWrap w:val="0"/>
            <w:vAlign w:val="center"/>
          </w:tcPr>
          <w:p>
            <w:pPr>
              <w:jc w:val="center"/>
              <w:rPr>
                <w:rFonts w:hint="eastAsia" w:ascii="宋体" w:hAnsi="宋体"/>
                <w:b/>
              </w:rPr>
            </w:pPr>
          </w:p>
        </w:tc>
        <w:tc>
          <w:tcPr>
            <w:tcW w:w="1500" w:type="dxa"/>
            <w:noWrap w:val="0"/>
            <w:vAlign w:val="center"/>
          </w:tcPr>
          <w:p>
            <w:pPr>
              <w:jc w:val="center"/>
              <w:rPr>
                <w:rFonts w:ascii="宋体" w:hAnsi="宋体"/>
              </w:rPr>
            </w:pPr>
          </w:p>
        </w:tc>
        <w:tc>
          <w:tcPr>
            <w:tcW w:w="1380" w:type="dxa"/>
            <w:noWrap w:val="0"/>
            <w:vAlign w:val="center"/>
          </w:tcPr>
          <w:p>
            <w:pPr>
              <w:jc w:val="center"/>
              <w:rPr>
                <w:rFonts w:hint="eastAsia" w:ascii="宋体" w:hAnsi="宋体"/>
                <w:b/>
              </w:rPr>
            </w:pPr>
          </w:p>
        </w:tc>
        <w:tc>
          <w:tcPr>
            <w:tcW w:w="1404" w:type="dxa"/>
            <w:noWrap w:val="0"/>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noWrap w:val="0"/>
            <w:vAlign w:val="center"/>
          </w:tcPr>
          <w:p>
            <w:pPr>
              <w:jc w:val="center"/>
              <w:rPr>
                <w:rFonts w:hint="eastAsia" w:ascii="宋体" w:hAnsi="宋体"/>
                <w:b/>
              </w:rPr>
            </w:pPr>
          </w:p>
        </w:tc>
        <w:tc>
          <w:tcPr>
            <w:tcW w:w="2672" w:type="dxa"/>
            <w:noWrap w:val="0"/>
            <w:vAlign w:val="center"/>
          </w:tcPr>
          <w:p>
            <w:pPr>
              <w:jc w:val="center"/>
              <w:rPr>
                <w:rFonts w:hint="eastAsia" w:ascii="宋体" w:hAnsi="宋体"/>
              </w:rPr>
            </w:pPr>
          </w:p>
        </w:tc>
        <w:tc>
          <w:tcPr>
            <w:tcW w:w="1725" w:type="dxa"/>
            <w:noWrap w:val="0"/>
            <w:vAlign w:val="center"/>
          </w:tcPr>
          <w:p>
            <w:pPr>
              <w:jc w:val="center"/>
              <w:rPr>
                <w:rFonts w:hint="eastAsia" w:ascii="宋体" w:hAnsi="宋体"/>
                <w:b/>
              </w:rPr>
            </w:pPr>
          </w:p>
        </w:tc>
        <w:tc>
          <w:tcPr>
            <w:tcW w:w="1500" w:type="dxa"/>
            <w:noWrap w:val="0"/>
            <w:vAlign w:val="center"/>
          </w:tcPr>
          <w:p>
            <w:pPr>
              <w:jc w:val="center"/>
              <w:rPr>
                <w:rFonts w:ascii="宋体" w:hAnsi="宋体"/>
              </w:rPr>
            </w:pPr>
          </w:p>
        </w:tc>
        <w:tc>
          <w:tcPr>
            <w:tcW w:w="1380" w:type="dxa"/>
            <w:noWrap w:val="0"/>
            <w:vAlign w:val="center"/>
          </w:tcPr>
          <w:p>
            <w:pPr>
              <w:jc w:val="center"/>
              <w:rPr>
                <w:rFonts w:hint="eastAsia" w:ascii="宋体" w:hAnsi="宋体"/>
                <w:b/>
              </w:rPr>
            </w:pPr>
          </w:p>
        </w:tc>
        <w:tc>
          <w:tcPr>
            <w:tcW w:w="1404" w:type="dxa"/>
            <w:noWrap w:val="0"/>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78" w:type="dxa"/>
            <w:noWrap w:val="0"/>
            <w:vAlign w:val="center"/>
          </w:tcPr>
          <w:p>
            <w:pPr>
              <w:jc w:val="center"/>
              <w:rPr>
                <w:rFonts w:ascii="宋体" w:hAnsi="宋体"/>
                <w:b/>
                <w:sz w:val="28"/>
                <w:szCs w:val="28"/>
              </w:rPr>
            </w:pPr>
          </w:p>
        </w:tc>
        <w:tc>
          <w:tcPr>
            <w:tcW w:w="7277" w:type="dxa"/>
            <w:gridSpan w:val="4"/>
            <w:noWrap w:val="0"/>
            <w:vAlign w:val="center"/>
          </w:tcPr>
          <w:p>
            <w:pPr>
              <w:jc w:val="center"/>
              <w:rPr>
                <w:rFonts w:hint="eastAsia" w:ascii="宋体" w:hAnsi="宋体"/>
                <w:b/>
                <w:sz w:val="28"/>
                <w:szCs w:val="28"/>
              </w:rPr>
            </w:pPr>
            <w:r>
              <w:rPr>
                <w:rFonts w:ascii="宋体" w:hAnsi="宋体"/>
                <w:b/>
                <w:sz w:val="28"/>
                <w:szCs w:val="28"/>
              </w:rPr>
              <w:t>合计大写（人民币）</w:t>
            </w:r>
            <w:r>
              <w:rPr>
                <w:rFonts w:hint="eastAsia" w:ascii="宋体" w:hAnsi="宋体"/>
                <w:b/>
                <w:sz w:val="28"/>
                <w:szCs w:val="28"/>
              </w:rPr>
              <w:t>：</w:t>
            </w:r>
          </w:p>
        </w:tc>
        <w:tc>
          <w:tcPr>
            <w:tcW w:w="1404" w:type="dxa"/>
            <w:noWrap w:val="0"/>
            <w:vAlign w:val="center"/>
          </w:tcPr>
          <w:p>
            <w:pPr>
              <w:jc w:val="center"/>
              <w:rPr>
                <w:rFonts w:hint="eastAsia" w:ascii="宋体" w:hAnsi="宋体"/>
                <w:b/>
                <w:sz w:val="28"/>
                <w:szCs w:val="28"/>
              </w:rPr>
            </w:pPr>
            <w:r>
              <w:rPr>
                <w:rFonts w:hint="eastAsia" w:ascii="宋体" w:hAnsi="宋体"/>
                <w:b/>
                <w:sz w:val="28"/>
                <w:szCs w:val="28"/>
              </w:rPr>
              <w:t>￥</w:t>
            </w:r>
          </w:p>
        </w:tc>
      </w:tr>
    </w:tbl>
    <w:p>
      <w:pPr>
        <w:jc w:val="left"/>
        <w:rPr>
          <w:rFonts w:ascii="宋体" w:hAnsi="宋体"/>
          <w:color w:val="000000"/>
          <w:sz w:val="24"/>
        </w:rPr>
      </w:pPr>
      <w:r>
        <w:rPr>
          <w:rFonts w:hint="eastAsia" w:ascii="宋体" w:hAnsi="宋体"/>
          <w:color w:val="000000"/>
          <w:sz w:val="24"/>
        </w:rPr>
        <w:t xml:space="preserve">注: </w:t>
      </w:r>
    </w:p>
    <w:p>
      <w:pPr>
        <w:snapToGrid w:val="0"/>
        <w:spacing w:before="50" w:after="50" w:line="420" w:lineRule="exact"/>
        <w:ind w:firstLine="240" w:firstLineChars="100"/>
        <w:jc w:val="left"/>
        <w:rPr>
          <w:rFonts w:ascii="宋体" w:hAnsi="宋体"/>
          <w:sz w:val="24"/>
        </w:rPr>
      </w:pPr>
      <w:r>
        <w:rPr>
          <w:rFonts w:hint="eastAsia" w:ascii="宋体" w:hAnsi="宋体"/>
          <w:sz w:val="24"/>
        </w:rPr>
        <w:t>1、</w:t>
      </w:r>
      <w:r>
        <w:rPr>
          <w:rFonts w:hint="eastAsia" w:ascii="宋体" w:hAnsi="宋体"/>
          <w:b/>
          <w:sz w:val="24"/>
        </w:rPr>
        <w:t>即系统的分项工程清单计价表，投标人根据采购清单中的内容进行填写。</w:t>
      </w:r>
    </w:p>
    <w:p>
      <w:pPr>
        <w:snapToGrid w:val="0"/>
        <w:spacing w:before="50" w:after="50" w:line="420" w:lineRule="exact"/>
        <w:ind w:firstLine="240" w:firstLineChars="100"/>
        <w:jc w:val="left"/>
        <w:rPr>
          <w:rFonts w:ascii="宋体" w:hAnsi="宋体"/>
          <w:sz w:val="24"/>
        </w:rPr>
      </w:pPr>
      <w:r>
        <w:rPr>
          <w:rFonts w:hint="eastAsia" w:ascii="宋体" w:hAnsi="宋体"/>
          <w:sz w:val="24"/>
        </w:rPr>
        <w:t>2、报价一经涂改，应在涂改处加盖单位公章或者由法定代表人签字或盖章</w:t>
      </w:r>
      <w:r>
        <w:rPr>
          <w:rFonts w:hint="eastAsia" w:ascii="宋体" w:hAnsi="宋体"/>
          <w:b/>
          <w:sz w:val="24"/>
          <w:szCs w:val="20"/>
        </w:rPr>
        <w:t>或授权委托人签字或盖章</w:t>
      </w:r>
      <w:r>
        <w:rPr>
          <w:rFonts w:hint="eastAsia" w:ascii="宋体" w:hAnsi="宋体"/>
          <w:b/>
          <w:sz w:val="24"/>
        </w:rPr>
        <w:t>，</w:t>
      </w:r>
      <w:r>
        <w:rPr>
          <w:rFonts w:hint="eastAsia" w:ascii="宋体" w:hAnsi="宋体"/>
          <w:sz w:val="24"/>
        </w:rPr>
        <w:t>否则其投标作无效标处理。</w:t>
      </w:r>
    </w:p>
    <w:p>
      <w:pPr>
        <w:snapToGrid w:val="0"/>
        <w:spacing w:before="50" w:after="120" w:afterLines="50" w:line="360" w:lineRule="auto"/>
        <w:jc w:val="left"/>
        <w:rPr>
          <w:rFonts w:ascii="宋体" w:hAnsi="宋体"/>
          <w:color w:val="000000"/>
          <w:sz w:val="24"/>
          <w:szCs w:val="20"/>
        </w:rPr>
      </w:pPr>
      <w:r>
        <w:rPr>
          <w:rFonts w:hint="eastAsia" w:ascii="宋体" w:hAnsi="宋体"/>
          <w:sz w:val="24"/>
        </w:rPr>
        <w:t xml:space="preserve"> </w:t>
      </w:r>
      <w:r>
        <w:rPr>
          <w:rFonts w:ascii="宋体" w:hAnsi="宋体"/>
          <w:sz w:val="24"/>
        </w:rPr>
        <w:t xml:space="preserve"> </w:t>
      </w:r>
      <w:r>
        <w:rPr>
          <w:rFonts w:hint="eastAsia" w:ascii="宋体" w:hAnsi="宋体"/>
          <w:sz w:val="24"/>
        </w:rPr>
        <w:t>3、包括货款、标准附件</w:t>
      </w:r>
      <w:r>
        <w:rPr>
          <w:rFonts w:hint="eastAsia" w:ascii="宋体" w:hAnsi="宋体"/>
          <w:color w:val="000000"/>
          <w:sz w:val="24"/>
        </w:rPr>
        <w:t>、专用工具、包装、运输、装卸、保险、税金、货到就位以及安装、调试、培训、保修、第三方检测等一切税金和费用。</w:t>
      </w:r>
    </w:p>
    <w:p>
      <w:pPr>
        <w:tabs>
          <w:tab w:val="left" w:pos="606"/>
        </w:tabs>
        <w:rPr>
          <w:rFonts w:ascii="宋体" w:hAnsi="宋体"/>
          <w:b/>
          <w:color w:val="000000"/>
          <w:spacing w:val="20"/>
          <w:sz w:val="24"/>
        </w:rPr>
      </w:pPr>
      <w:r>
        <w:rPr>
          <w:rFonts w:hint="eastAsia" w:ascii="宋体" w:hAnsi="宋体"/>
          <w:b/>
          <w:color w:val="000000"/>
          <w:spacing w:val="20"/>
          <w:sz w:val="24"/>
        </w:rPr>
        <w:t>法定代表人签字（或盖章）：            投标人（盖章）：</w:t>
      </w:r>
    </w:p>
    <w:p>
      <w:pPr>
        <w:tabs>
          <w:tab w:val="left" w:pos="606"/>
        </w:tabs>
        <w:rPr>
          <w:rFonts w:ascii="宋体" w:hAnsi="宋体"/>
          <w:b/>
          <w:color w:val="000000"/>
          <w:spacing w:val="20"/>
          <w:sz w:val="24"/>
        </w:rPr>
      </w:pPr>
    </w:p>
    <w:p>
      <w:pPr>
        <w:tabs>
          <w:tab w:val="left" w:pos="606"/>
        </w:tabs>
        <w:rPr>
          <w:rFonts w:ascii="宋体" w:hAnsi="宋体"/>
          <w:b/>
          <w:color w:val="000000"/>
        </w:rPr>
      </w:pPr>
      <w:r>
        <w:rPr>
          <w:rFonts w:hint="eastAsia" w:ascii="宋体" w:hAnsi="宋体"/>
          <w:b/>
          <w:color w:val="000000"/>
          <w:spacing w:val="20"/>
          <w:sz w:val="24"/>
        </w:rPr>
        <w:t>日期：</w:t>
      </w:r>
    </w:p>
    <w:p>
      <w:pPr>
        <w:pStyle w:val="27"/>
        <w:pageBreakBefore/>
        <w:snapToGrid w:val="0"/>
        <w:spacing w:before="120" w:beforeLines="0" w:after="120" w:afterLines="0" w:line="240" w:lineRule="auto"/>
        <w:rPr>
          <w:rFonts w:hint="eastAsia" w:hAnsi="宋体"/>
        </w:rPr>
      </w:pPr>
      <w:r>
        <w:rPr>
          <w:rFonts w:hint="eastAsia" w:hAnsi="宋体"/>
        </w:rPr>
        <w:t>15.小微企业声明函</w:t>
      </w:r>
    </w:p>
    <w:p>
      <w:pPr>
        <w:pStyle w:val="27"/>
        <w:snapToGrid w:val="0"/>
        <w:spacing w:before="120" w:beforeLines="0" w:after="120" w:afterLines="0" w:line="240" w:lineRule="auto"/>
        <w:rPr>
          <w:rFonts w:hint="eastAsia" w:hAnsi="宋体"/>
          <w:color w:val="FF0000"/>
        </w:rPr>
      </w:pPr>
    </w:p>
    <w:p>
      <w:pPr>
        <w:pStyle w:val="27"/>
        <w:snapToGrid w:val="0"/>
        <w:spacing w:before="120" w:beforeLines="0" w:after="120" w:afterLines="0" w:line="240" w:lineRule="auto"/>
        <w:jc w:val="center"/>
        <w:rPr>
          <w:rFonts w:hint="eastAsia"/>
          <w:b/>
        </w:rPr>
      </w:pPr>
      <w:r>
        <w:rPr>
          <w:rFonts w:hint="eastAsia"/>
          <w:b/>
        </w:rPr>
        <w:t>小微企业声明函</w:t>
      </w:r>
    </w:p>
    <w:p>
      <w:pPr>
        <w:snapToGrid w:val="0"/>
        <w:spacing w:before="120" w:beforeLines="50" w:after="50" w:line="360" w:lineRule="auto"/>
        <w:rPr>
          <w:rFonts w:hint="eastAsia" w:ascii="宋体" w:hAnsi="宋体"/>
          <w:bCs/>
          <w:color w:val="000000"/>
          <w:sz w:val="24"/>
        </w:rPr>
      </w:pPr>
    </w:p>
    <w:p>
      <w:pPr>
        <w:pStyle w:val="27"/>
        <w:snapToGrid w:val="0"/>
        <w:spacing w:before="120" w:beforeLines="0" w:after="120" w:afterLines="0" w:line="360" w:lineRule="auto"/>
        <w:ind w:firstLine="480"/>
        <w:jc w:val="left"/>
        <w:rPr>
          <w:rFonts w:hint="eastAsia"/>
          <w:bCs/>
        </w:rPr>
      </w:pPr>
      <w:r>
        <w:rPr>
          <w:rFonts w:hint="eastAsia"/>
          <w:bCs/>
        </w:rPr>
        <w:t>本公司郑重声明，根据《政府采购促进中小企业发展暂行办法》（财库［2011］181号）的规定，本公司为</w:t>
      </w:r>
      <w:r>
        <w:rPr>
          <w:rFonts w:hint="eastAsia"/>
          <w:bCs/>
          <w:u w:val="single"/>
        </w:rPr>
        <w:t xml:space="preserve">         </w:t>
      </w:r>
      <w:r>
        <w:rPr>
          <w:rFonts w:hint="eastAsia"/>
          <w:bCs/>
        </w:rPr>
        <w:t>（请填写:小型、微型）企业。即，本公司满足以下条件：</w:t>
      </w:r>
    </w:p>
    <w:p>
      <w:pPr>
        <w:pStyle w:val="27"/>
        <w:numPr>
          <w:ilvl w:val="0"/>
          <w:numId w:val="6"/>
        </w:numPr>
        <w:snapToGrid w:val="0"/>
        <w:spacing w:before="120" w:beforeLines="0" w:after="120" w:afterLines="0" w:line="360" w:lineRule="auto"/>
        <w:ind w:firstLine="480"/>
        <w:jc w:val="left"/>
        <w:rPr>
          <w:rFonts w:hint="eastAsia"/>
          <w:bCs/>
        </w:rPr>
      </w:pPr>
      <w:r>
        <w:rPr>
          <w:rFonts w:hint="eastAsia"/>
          <w:bCs/>
        </w:rPr>
        <w:t>根据《工业和信息化部、国家统计局、国家发展和改革委员会、财政部关于印发中小企业划型标准规定的通知》（工信部联企业[2011]300号）规定的划分标准：本公司属于第四条第</w:t>
      </w:r>
      <w:r>
        <w:rPr>
          <w:rFonts w:hint="eastAsia"/>
          <w:bCs/>
          <w:u w:val="single"/>
        </w:rPr>
        <w:t xml:space="preserve">      </w:t>
      </w:r>
      <w:r>
        <w:rPr>
          <w:rFonts w:hint="eastAsia"/>
          <w:bCs/>
        </w:rPr>
        <w:t>项</w:t>
      </w:r>
      <w:r>
        <w:rPr>
          <w:rFonts w:hint="eastAsia"/>
          <w:bCs/>
          <w:u w:val="single"/>
        </w:rPr>
        <w:t xml:space="preserve">      </w:t>
      </w:r>
      <w:r>
        <w:rPr>
          <w:rFonts w:hint="eastAsia"/>
          <w:bCs/>
        </w:rPr>
        <w:t>行业，本公司</w:t>
      </w:r>
      <w:r>
        <w:rPr>
          <w:rFonts w:hint="eastAsia"/>
          <w:b/>
          <w:bCs/>
          <w:u w:val="single"/>
          <w:shd w:val="pct10" w:color="auto" w:fill="FFFFFF"/>
        </w:rPr>
        <w:t>上一年度</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万元，为</w:t>
      </w:r>
      <w:r>
        <w:rPr>
          <w:bCs/>
          <w:u w:val="single"/>
        </w:rPr>
        <w:t xml:space="preserve">    </w:t>
      </w:r>
      <w:r>
        <w:rPr>
          <w:rFonts w:hint="eastAsia"/>
          <w:bCs/>
        </w:rPr>
        <w:t>（请填写：小型、微型）企业。</w:t>
      </w:r>
    </w:p>
    <w:p>
      <w:pPr>
        <w:pStyle w:val="27"/>
        <w:snapToGrid w:val="0"/>
        <w:spacing w:before="120" w:beforeLines="0" w:after="120" w:afterLines="0" w:line="360" w:lineRule="auto"/>
        <w:jc w:val="left"/>
        <w:rPr>
          <w:rFonts w:hint="eastAsia"/>
          <w:b/>
          <w:bCs/>
          <w:sz w:val="28"/>
          <w:szCs w:val="28"/>
          <w:u w:val="single"/>
          <w:shd w:val="pct10" w:color="auto" w:fill="FFFFFF"/>
        </w:rPr>
      </w:pPr>
      <w:r>
        <w:rPr>
          <w:rFonts w:hint="eastAsia"/>
          <w:b/>
          <w:bCs/>
          <w:sz w:val="28"/>
          <w:szCs w:val="28"/>
          <w:u w:val="single"/>
          <w:shd w:val="pct10" w:color="auto" w:fill="FFFFFF"/>
        </w:rPr>
        <w:t>备注：上述空格内容应填写而未进行填写的，不予认定为小微企业。</w:t>
      </w:r>
    </w:p>
    <w:p>
      <w:pPr>
        <w:pStyle w:val="27"/>
        <w:snapToGrid w:val="0"/>
        <w:spacing w:before="120" w:beforeLines="0" w:after="120" w:afterLines="0" w:line="360" w:lineRule="auto"/>
        <w:ind w:firstLine="480" w:firstLineChars="200"/>
        <w:jc w:val="left"/>
        <w:rPr>
          <w:rFonts w:hint="eastAsia"/>
          <w:bCs/>
        </w:rPr>
      </w:pPr>
      <w:r>
        <w:rPr>
          <w:rFonts w:hint="eastAsia"/>
          <w:bCs/>
        </w:rPr>
        <w:t>2、本公司参加本项目采购活动提供本企业制造的货物，由本企业承担工程、提供服务，或者提供其他</w:t>
      </w:r>
      <w:r>
        <w:rPr>
          <w:rFonts w:hint="eastAsia"/>
          <w:bCs/>
          <w:u w:val="single"/>
        </w:rPr>
        <w:t xml:space="preserve">       </w:t>
      </w:r>
      <w:r>
        <w:rPr>
          <w:rFonts w:hint="eastAsia"/>
          <w:bCs/>
        </w:rPr>
        <w:t>（请填写：小型、微型）企业制造的货物。本条所称货物不包括使用中大型企业注册商标的货物。</w:t>
      </w:r>
    </w:p>
    <w:p>
      <w:pPr>
        <w:pStyle w:val="27"/>
        <w:snapToGrid w:val="0"/>
        <w:spacing w:before="120" w:beforeLines="0" w:after="120" w:afterLines="0" w:line="360" w:lineRule="auto"/>
        <w:ind w:firstLine="482" w:firstLineChars="200"/>
        <w:jc w:val="left"/>
        <w:rPr>
          <w:rFonts w:hint="eastAsia"/>
          <w:b/>
          <w:bCs/>
          <w:u w:val="single"/>
          <w:shd w:val="pct10" w:color="auto" w:fill="FFFFFF"/>
        </w:rPr>
      </w:pPr>
      <w:r>
        <w:rPr>
          <w:rFonts w:hint="eastAsia"/>
          <w:b/>
          <w:bCs/>
          <w:u w:val="single"/>
          <w:shd w:val="pct10" w:color="auto" w:fill="FFFFFF"/>
        </w:rPr>
        <w:t>本公司对上述声明的真实性负责。如有虚假，将依法承担相应责任。</w:t>
      </w:r>
    </w:p>
    <w:p>
      <w:pPr>
        <w:pStyle w:val="27"/>
        <w:snapToGrid w:val="0"/>
        <w:spacing w:before="120" w:beforeLines="0" w:after="120" w:afterLines="0" w:line="360" w:lineRule="auto"/>
        <w:jc w:val="left"/>
        <w:rPr>
          <w:rFonts w:hint="eastAsia"/>
          <w:bCs/>
        </w:rPr>
      </w:pPr>
    </w:p>
    <w:p>
      <w:pPr>
        <w:pStyle w:val="27"/>
        <w:snapToGrid w:val="0"/>
        <w:spacing w:before="120" w:beforeLines="0" w:after="120" w:afterLines="0" w:line="360" w:lineRule="auto"/>
        <w:jc w:val="left"/>
        <w:rPr>
          <w:rFonts w:hint="eastAsia"/>
          <w:bCs/>
        </w:rPr>
      </w:pPr>
    </w:p>
    <w:p>
      <w:pPr>
        <w:pStyle w:val="27"/>
        <w:snapToGrid w:val="0"/>
        <w:spacing w:before="120" w:beforeLines="0" w:after="120" w:afterLines="0" w:line="240" w:lineRule="auto"/>
        <w:rPr>
          <w:rFonts w:hint="eastAsia" w:hAnsi="宋体"/>
          <w:spacing w:val="20"/>
        </w:rPr>
      </w:pPr>
      <w:r>
        <w:rPr>
          <w:rFonts w:hint="eastAsia" w:hAnsi="宋体"/>
          <w:spacing w:val="20"/>
        </w:rPr>
        <w:t xml:space="preserve">法定代表人签字（或盖章）：            投标人（盖章）： </w:t>
      </w:r>
    </w:p>
    <w:p>
      <w:pPr>
        <w:snapToGrid w:val="0"/>
        <w:spacing w:line="360" w:lineRule="auto"/>
        <w:jc w:val="center"/>
        <w:rPr>
          <w:rFonts w:hint="eastAsia" w:ascii="宋体" w:hAnsi="宋体"/>
          <w:sz w:val="24"/>
        </w:rPr>
      </w:pPr>
      <w:r>
        <w:rPr>
          <w:rFonts w:hint="eastAsia" w:ascii="宋体" w:hAnsi="宋体"/>
          <w:sz w:val="24"/>
        </w:rPr>
        <w:t xml:space="preserve">                                              </w:t>
      </w:r>
    </w:p>
    <w:p>
      <w:pPr>
        <w:snapToGrid w:val="0"/>
        <w:spacing w:line="360" w:lineRule="auto"/>
        <w:jc w:val="center"/>
        <w:rPr>
          <w:rFonts w:hint="eastAsia"/>
        </w:rPr>
      </w:pPr>
      <w:r>
        <w:rPr>
          <w:rFonts w:hint="eastAsia"/>
        </w:rPr>
        <w:t xml:space="preserve">                                             日期:_____年___月___日</w:t>
      </w:r>
    </w:p>
    <w:p>
      <w:pPr>
        <w:pStyle w:val="27"/>
        <w:snapToGrid w:val="0"/>
        <w:spacing w:before="120" w:beforeLines="0" w:after="120" w:afterLines="0" w:line="240" w:lineRule="auto"/>
        <w:rPr>
          <w:rFonts w:hint="eastAsia" w:hAnsi="宋体"/>
        </w:rPr>
      </w:pPr>
    </w:p>
    <w:p>
      <w:pPr>
        <w:snapToGrid w:val="0"/>
        <w:spacing w:line="360" w:lineRule="auto"/>
        <w:rPr>
          <w:rFonts w:hint="eastAsia"/>
        </w:rPr>
      </w:pPr>
    </w:p>
    <w:p>
      <w:pPr>
        <w:pStyle w:val="27"/>
        <w:pageBreakBefore/>
        <w:snapToGrid w:val="0"/>
        <w:spacing w:before="120" w:beforeLines="0" w:after="120" w:afterLines="0" w:line="240" w:lineRule="auto"/>
        <w:rPr>
          <w:rFonts w:hint="eastAsia" w:hAnsi="宋体"/>
        </w:rPr>
      </w:pPr>
      <w:r>
        <w:rPr>
          <w:rFonts w:hint="eastAsia" w:hAnsi="宋体"/>
        </w:rPr>
        <w:t>16.产品适用政府采购政策情况表</w:t>
      </w:r>
    </w:p>
    <w:p>
      <w:pPr>
        <w:pStyle w:val="27"/>
        <w:snapToGrid w:val="0"/>
        <w:spacing w:before="120" w:beforeLines="0" w:after="120" w:afterLines="0" w:line="240" w:lineRule="auto"/>
        <w:jc w:val="center"/>
        <w:rPr>
          <w:rFonts w:hint="eastAsia"/>
          <w:b/>
        </w:rPr>
      </w:pPr>
    </w:p>
    <w:p>
      <w:pPr>
        <w:pStyle w:val="27"/>
        <w:snapToGrid w:val="0"/>
        <w:spacing w:before="120" w:beforeLines="0" w:after="120" w:afterLines="0" w:line="240" w:lineRule="auto"/>
        <w:jc w:val="center"/>
        <w:rPr>
          <w:rFonts w:hint="eastAsia" w:hAnsi="宋体"/>
          <w:bCs/>
          <w:color w:val="000000"/>
        </w:rPr>
      </w:pPr>
      <w:r>
        <w:rPr>
          <w:rFonts w:hint="eastAsia"/>
          <w:b/>
        </w:rPr>
        <w:t>产品适用政府采购政策情况表</w:t>
      </w:r>
    </w:p>
    <w:p>
      <w:pPr>
        <w:pStyle w:val="27"/>
        <w:snapToGrid w:val="0"/>
        <w:spacing w:before="120" w:beforeLines="0" w:after="120" w:afterLines="0" w:line="240" w:lineRule="auto"/>
        <w:jc w:val="center"/>
        <w:rPr>
          <w:rFonts w:hint="eastAsia"/>
          <w:b/>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noWrap w:val="0"/>
            <w:vAlign w:val="center"/>
          </w:tcPr>
          <w:p>
            <w:pPr>
              <w:pStyle w:val="27"/>
              <w:snapToGrid w:val="0"/>
              <w:spacing w:before="120" w:beforeLines="0" w:after="120" w:afterLines="0" w:line="240" w:lineRule="auto"/>
              <w:jc w:val="center"/>
              <w:rPr>
                <w:rFonts w:hint="eastAsia"/>
                <w:sz w:val="21"/>
                <w:szCs w:val="21"/>
              </w:rPr>
            </w:pPr>
            <w:r>
              <w:rPr>
                <w:rFonts w:hint="eastAsia"/>
                <w:sz w:val="21"/>
                <w:szCs w:val="21"/>
              </w:rPr>
              <w:t>小企业扶持政策</w:t>
            </w:r>
          </w:p>
        </w:tc>
        <w:tc>
          <w:tcPr>
            <w:tcW w:w="7386" w:type="dxa"/>
            <w:gridSpan w:val="4"/>
            <w:noWrap w:val="0"/>
            <w:vAlign w:val="top"/>
          </w:tcPr>
          <w:p>
            <w:pPr>
              <w:pStyle w:val="27"/>
              <w:snapToGrid w:val="0"/>
              <w:spacing w:before="120" w:beforeLines="0" w:after="120" w:afterLines="0" w:line="240" w:lineRule="auto"/>
              <w:jc w:val="left"/>
              <w:rPr>
                <w:rFonts w:hint="eastAsia"/>
                <w:sz w:val="21"/>
                <w:szCs w:val="21"/>
              </w:rPr>
            </w:pPr>
            <w:r>
              <w:rPr>
                <w:rFonts w:hint="eastAsia"/>
                <w:sz w:val="21"/>
                <w:szCs w:val="21"/>
              </w:rPr>
              <w:t>如属所列情形的，请在括号内打“√”</w:t>
            </w:r>
          </w:p>
          <w:p>
            <w:pPr>
              <w:pStyle w:val="27"/>
              <w:snapToGrid w:val="0"/>
              <w:spacing w:before="120" w:beforeLines="0" w:after="120" w:afterLines="0" w:line="240" w:lineRule="auto"/>
              <w:jc w:val="left"/>
              <w:rPr>
                <w:rFonts w:hint="eastAsia"/>
                <w:sz w:val="21"/>
                <w:szCs w:val="21"/>
              </w:rPr>
            </w:pPr>
            <w:r>
              <w:rPr>
                <w:rFonts w:hint="eastAsia"/>
                <w:sz w:val="21"/>
                <w:szCs w:val="21"/>
              </w:rPr>
              <w:t>（ ）小型、微型企业投标且提供本企业制造的产品。</w:t>
            </w:r>
          </w:p>
          <w:p>
            <w:pPr>
              <w:pStyle w:val="27"/>
              <w:snapToGrid w:val="0"/>
              <w:spacing w:before="120" w:beforeLines="0" w:after="120" w:afterLines="0" w:line="240" w:lineRule="auto"/>
              <w:jc w:val="left"/>
              <w:rPr>
                <w:rFonts w:hint="eastAsia"/>
                <w:sz w:val="21"/>
                <w:szCs w:val="21"/>
              </w:rPr>
            </w:pPr>
            <w:r>
              <w:rPr>
                <w:rFonts w:hint="eastAsia"/>
                <w:sz w:val="21"/>
                <w:szCs w:val="21"/>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noWrap w:val="0"/>
            <w:vAlign w:val="top"/>
          </w:tcPr>
          <w:p>
            <w:pPr>
              <w:pStyle w:val="27"/>
              <w:snapToGrid w:val="0"/>
              <w:spacing w:before="120" w:beforeLines="0" w:after="120" w:afterLines="0" w:line="240" w:lineRule="auto"/>
              <w:jc w:val="center"/>
              <w:rPr>
                <w:rFonts w:hint="eastAsia"/>
                <w:sz w:val="21"/>
                <w:szCs w:val="21"/>
              </w:rPr>
            </w:pPr>
          </w:p>
        </w:tc>
        <w:tc>
          <w:tcPr>
            <w:tcW w:w="2268" w:type="dxa"/>
            <w:noWrap w:val="0"/>
            <w:vAlign w:val="top"/>
          </w:tcPr>
          <w:p>
            <w:pPr>
              <w:pStyle w:val="27"/>
              <w:snapToGrid w:val="0"/>
              <w:spacing w:before="120" w:beforeLines="0" w:after="120" w:afterLines="0" w:line="240" w:lineRule="auto"/>
              <w:jc w:val="center"/>
              <w:rPr>
                <w:rFonts w:hint="eastAsia"/>
                <w:sz w:val="21"/>
                <w:szCs w:val="21"/>
              </w:rPr>
            </w:pPr>
            <w:r>
              <w:rPr>
                <w:rFonts w:hint="eastAsia"/>
                <w:sz w:val="21"/>
                <w:szCs w:val="21"/>
              </w:rPr>
              <w:t>产品名称（品牌、型号）</w:t>
            </w:r>
          </w:p>
        </w:tc>
        <w:tc>
          <w:tcPr>
            <w:tcW w:w="1706" w:type="dxa"/>
            <w:noWrap w:val="0"/>
            <w:vAlign w:val="top"/>
          </w:tcPr>
          <w:p>
            <w:pPr>
              <w:pStyle w:val="27"/>
              <w:snapToGrid w:val="0"/>
              <w:spacing w:before="120" w:beforeLines="0" w:after="120" w:afterLines="0" w:line="240" w:lineRule="auto"/>
              <w:jc w:val="center"/>
              <w:rPr>
                <w:rFonts w:hint="eastAsia"/>
                <w:sz w:val="21"/>
                <w:szCs w:val="21"/>
              </w:rPr>
            </w:pPr>
            <w:r>
              <w:rPr>
                <w:rFonts w:hint="eastAsia"/>
                <w:sz w:val="21"/>
                <w:szCs w:val="21"/>
              </w:rPr>
              <w:t>制造商</w:t>
            </w:r>
          </w:p>
        </w:tc>
        <w:tc>
          <w:tcPr>
            <w:tcW w:w="1706" w:type="dxa"/>
            <w:noWrap w:val="0"/>
            <w:vAlign w:val="top"/>
          </w:tcPr>
          <w:p>
            <w:pPr>
              <w:pStyle w:val="27"/>
              <w:snapToGrid w:val="0"/>
              <w:spacing w:before="120" w:beforeLines="0" w:after="120" w:afterLines="0" w:line="240" w:lineRule="auto"/>
              <w:jc w:val="center"/>
              <w:rPr>
                <w:rFonts w:hint="eastAsia"/>
                <w:sz w:val="21"/>
                <w:szCs w:val="21"/>
              </w:rPr>
            </w:pPr>
            <w:r>
              <w:rPr>
                <w:rFonts w:hint="eastAsia"/>
                <w:sz w:val="21"/>
                <w:szCs w:val="21"/>
              </w:rPr>
              <w:t>制造商企业类型</w:t>
            </w:r>
          </w:p>
        </w:tc>
        <w:tc>
          <w:tcPr>
            <w:tcW w:w="1706" w:type="dxa"/>
            <w:noWrap w:val="0"/>
            <w:vAlign w:val="top"/>
          </w:tcPr>
          <w:p>
            <w:pPr>
              <w:pStyle w:val="27"/>
              <w:snapToGrid w:val="0"/>
              <w:spacing w:before="120" w:beforeLines="0" w:after="120" w:afterLines="0" w:line="240" w:lineRule="auto"/>
              <w:jc w:val="center"/>
              <w:rPr>
                <w:rFonts w:hint="eastAsia"/>
                <w:sz w:val="21"/>
                <w:szCs w:val="21"/>
              </w:rPr>
            </w:pPr>
            <w:r>
              <w:rPr>
                <w:rFonts w:hint="eastAsia"/>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noWrap w:val="0"/>
            <w:vAlign w:val="top"/>
          </w:tcPr>
          <w:p>
            <w:pPr>
              <w:pStyle w:val="27"/>
              <w:snapToGrid w:val="0"/>
              <w:spacing w:before="120" w:beforeLines="0" w:after="120" w:afterLines="0" w:line="240" w:lineRule="auto"/>
              <w:jc w:val="center"/>
              <w:rPr>
                <w:rFonts w:hint="eastAsia"/>
                <w:sz w:val="21"/>
                <w:szCs w:val="21"/>
              </w:rPr>
            </w:pPr>
          </w:p>
        </w:tc>
        <w:tc>
          <w:tcPr>
            <w:tcW w:w="2268" w:type="dxa"/>
            <w:noWrap w:val="0"/>
            <w:vAlign w:val="top"/>
          </w:tcPr>
          <w:p>
            <w:pPr>
              <w:pStyle w:val="27"/>
              <w:snapToGrid w:val="0"/>
              <w:spacing w:before="120" w:beforeLines="0" w:after="120" w:afterLines="0" w:line="240" w:lineRule="auto"/>
              <w:jc w:val="center"/>
              <w:rPr>
                <w:rFonts w:hint="eastAsia"/>
                <w:sz w:val="21"/>
                <w:szCs w:val="21"/>
              </w:rPr>
            </w:pPr>
          </w:p>
        </w:tc>
        <w:tc>
          <w:tcPr>
            <w:tcW w:w="1706" w:type="dxa"/>
            <w:noWrap w:val="0"/>
            <w:vAlign w:val="top"/>
          </w:tcPr>
          <w:p>
            <w:pPr>
              <w:pStyle w:val="27"/>
              <w:snapToGrid w:val="0"/>
              <w:spacing w:before="120" w:beforeLines="0" w:after="120" w:afterLines="0" w:line="240" w:lineRule="auto"/>
              <w:jc w:val="center"/>
              <w:rPr>
                <w:rFonts w:hint="eastAsia"/>
                <w:sz w:val="21"/>
                <w:szCs w:val="21"/>
              </w:rPr>
            </w:pPr>
          </w:p>
        </w:tc>
        <w:tc>
          <w:tcPr>
            <w:tcW w:w="1706" w:type="dxa"/>
            <w:noWrap w:val="0"/>
            <w:vAlign w:val="top"/>
          </w:tcPr>
          <w:p>
            <w:pPr>
              <w:pStyle w:val="27"/>
              <w:snapToGrid w:val="0"/>
              <w:spacing w:before="120" w:beforeLines="0" w:after="120" w:afterLines="0" w:line="240" w:lineRule="auto"/>
              <w:jc w:val="center"/>
              <w:rPr>
                <w:rFonts w:hint="eastAsia"/>
                <w:sz w:val="21"/>
                <w:szCs w:val="21"/>
              </w:rPr>
            </w:pPr>
          </w:p>
        </w:tc>
        <w:tc>
          <w:tcPr>
            <w:tcW w:w="1706" w:type="dxa"/>
            <w:noWrap w:val="0"/>
            <w:vAlign w:val="top"/>
          </w:tcPr>
          <w:p>
            <w:pPr>
              <w:pStyle w:val="27"/>
              <w:snapToGrid w:val="0"/>
              <w:spacing w:before="120" w:beforeLines="0" w:after="120" w:afterLines="0" w:line="24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noWrap w:val="0"/>
            <w:vAlign w:val="top"/>
          </w:tcPr>
          <w:p>
            <w:pPr>
              <w:pStyle w:val="27"/>
              <w:snapToGrid w:val="0"/>
              <w:spacing w:before="120" w:beforeLines="0" w:after="120" w:afterLines="0" w:line="240" w:lineRule="auto"/>
              <w:jc w:val="center"/>
              <w:rPr>
                <w:rFonts w:hint="eastAsia"/>
                <w:sz w:val="21"/>
                <w:szCs w:val="21"/>
              </w:rPr>
            </w:pPr>
          </w:p>
        </w:tc>
        <w:tc>
          <w:tcPr>
            <w:tcW w:w="2268" w:type="dxa"/>
            <w:noWrap w:val="0"/>
            <w:vAlign w:val="top"/>
          </w:tcPr>
          <w:p>
            <w:pPr>
              <w:pStyle w:val="27"/>
              <w:snapToGrid w:val="0"/>
              <w:spacing w:before="120" w:beforeLines="0" w:after="120" w:afterLines="0" w:line="240" w:lineRule="auto"/>
              <w:jc w:val="center"/>
              <w:rPr>
                <w:rFonts w:hint="eastAsia"/>
                <w:sz w:val="21"/>
                <w:szCs w:val="21"/>
              </w:rPr>
            </w:pPr>
          </w:p>
        </w:tc>
        <w:tc>
          <w:tcPr>
            <w:tcW w:w="1706" w:type="dxa"/>
            <w:noWrap w:val="0"/>
            <w:vAlign w:val="top"/>
          </w:tcPr>
          <w:p>
            <w:pPr>
              <w:pStyle w:val="27"/>
              <w:snapToGrid w:val="0"/>
              <w:spacing w:before="120" w:beforeLines="0" w:after="120" w:afterLines="0" w:line="240" w:lineRule="auto"/>
              <w:jc w:val="center"/>
              <w:rPr>
                <w:rFonts w:hint="eastAsia"/>
                <w:sz w:val="21"/>
                <w:szCs w:val="21"/>
              </w:rPr>
            </w:pPr>
          </w:p>
        </w:tc>
        <w:tc>
          <w:tcPr>
            <w:tcW w:w="1706" w:type="dxa"/>
            <w:noWrap w:val="0"/>
            <w:vAlign w:val="top"/>
          </w:tcPr>
          <w:p>
            <w:pPr>
              <w:pStyle w:val="27"/>
              <w:snapToGrid w:val="0"/>
              <w:spacing w:before="120" w:beforeLines="0" w:after="120" w:afterLines="0" w:line="240" w:lineRule="auto"/>
              <w:jc w:val="center"/>
              <w:rPr>
                <w:rFonts w:hint="eastAsia"/>
                <w:sz w:val="21"/>
                <w:szCs w:val="21"/>
              </w:rPr>
            </w:pPr>
          </w:p>
        </w:tc>
        <w:tc>
          <w:tcPr>
            <w:tcW w:w="1706" w:type="dxa"/>
            <w:noWrap w:val="0"/>
            <w:vAlign w:val="top"/>
          </w:tcPr>
          <w:p>
            <w:pPr>
              <w:pStyle w:val="27"/>
              <w:snapToGrid w:val="0"/>
              <w:spacing w:before="120" w:beforeLines="0" w:after="120" w:afterLines="0" w:line="24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noWrap w:val="0"/>
            <w:vAlign w:val="top"/>
          </w:tcPr>
          <w:p>
            <w:pPr>
              <w:pStyle w:val="27"/>
              <w:snapToGrid w:val="0"/>
              <w:spacing w:before="120" w:beforeLines="0" w:after="120" w:afterLines="0" w:line="240" w:lineRule="auto"/>
              <w:jc w:val="center"/>
              <w:rPr>
                <w:rFonts w:hint="eastAsia"/>
                <w:sz w:val="21"/>
                <w:szCs w:val="21"/>
              </w:rPr>
            </w:pPr>
          </w:p>
        </w:tc>
        <w:tc>
          <w:tcPr>
            <w:tcW w:w="2268" w:type="dxa"/>
            <w:noWrap w:val="0"/>
            <w:vAlign w:val="top"/>
          </w:tcPr>
          <w:p>
            <w:pPr>
              <w:pStyle w:val="27"/>
              <w:snapToGrid w:val="0"/>
              <w:spacing w:before="120" w:beforeLines="0" w:after="120" w:afterLines="0" w:line="240" w:lineRule="auto"/>
              <w:jc w:val="center"/>
              <w:rPr>
                <w:rFonts w:hint="eastAsia"/>
                <w:sz w:val="21"/>
                <w:szCs w:val="21"/>
              </w:rPr>
            </w:pPr>
          </w:p>
        </w:tc>
        <w:tc>
          <w:tcPr>
            <w:tcW w:w="1706" w:type="dxa"/>
            <w:noWrap w:val="0"/>
            <w:vAlign w:val="top"/>
          </w:tcPr>
          <w:p>
            <w:pPr>
              <w:pStyle w:val="27"/>
              <w:snapToGrid w:val="0"/>
              <w:spacing w:before="120" w:beforeLines="0" w:after="120" w:afterLines="0" w:line="240" w:lineRule="auto"/>
              <w:jc w:val="center"/>
              <w:rPr>
                <w:rFonts w:hint="eastAsia"/>
                <w:sz w:val="21"/>
                <w:szCs w:val="21"/>
              </w:rPr>
            </w:pPr>
          </w:p>
        </w:tc>
        <w:tc>
          <w:tcPr>
            <w:tcW w:w="1706" w:type="dxa"/>
            <w:noWrap w:val="0"/>
            <w:vAlign w:val="top"/>
          </w:tcPr>
          <w:p>
            <w:pPr>
              <w:pStyle w:val="27"/>
              <w:snapToGrid w:val="0"/>
              <w:spacing w:before="120" w:beforeLines="0" w:after="120" w:afterLines="0" w:line="240" w:lineRule="auto"/>
              <w:jc w:val="center"/>
              <w:rPr>
                <w:rFonts w:hint="eastAsia"/>
                <w:sz w:val="21"/>
                <w:szCs w:val="21"/>
              </w:rPr>
            </w:pPr>
          </w:p>
        </w:tc>
        <w:tc>
          <w:tcPr>
            <w:tcW w:w="1706" w:type="dxa"/>
            <w:noWrap w:val="0"/>
            <w:vAlign w:val="top"/>
          </w:tcPr>
          <w:p>
            <w:pPr>
              <w:pStyle w:val="27"/>
              <w:snapToGrid w:val="0"/>
              <w:spacing w:before="120" w:beforeLines="0" w:after="120" w:afterLines="0" w:line="24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noWrap w:val="0"/>
            <w:vAlign w:val="top"/>
          </w:tcPr>
          <w:p>
            <w:pPr>
              <w:pStyle w:val="27"/>
              <w:snapToGrid w:val="0"/>
              <w:spacing w:before="120" w:beforeLines="0" w:after="120" w:afterLines="0" w:line="240" w:lineRule="auto"/>
              <w:jc w:val="center"/>
              <w:rPr>
                <w:rFonts w:hint="eastAsia"/>
                <w:sz w:val="21"/>
                <w:szCs w:val="21"/>
              </w:rPr>
            </w:pPr>
          </w:p>
        </w:tc>
        <w:tc>
          <w:tcPr>
            <w:tcW w:w="5680" w:type="dxa"/>
            <w:gridSpan w:val="3"/>
            <w:noWrap w:val="0"/>
            <w:vAlign w:val="top"/>
          </w:tcPr>
          <w:p>
            <w:pPr>
              <w:pStyle w:val="27"/>
              <w:snapToGrid w:val="0"/>
              <w:spacing w:before="120" w:beforeLines="0" w:after="120" w:afterLines="0" w:line="240" w:lineRule="auto"/>
              <w:jc w:val="center"/>
              <w:rPr>
                <w:rFonts w:hint="eastAsia"/>
                <w:sz w:val="21"/>
                <w:szCs w:val="21"/>
              </w:rPr>
            </w:pPr>
            <w:r>
              <w:rPr>
                <w:rFonts w:hint="eastAsia"/>
                <w:sz w:val="21"/>
                <w:szCs w:val="21"/>
              </w:rPr>
              <w:t>小型、微型企业产品金额合计</w:t>
            </w:r>
          </w:p>
        </w:tc>
        <w:tc>
          <w:tcPr>
            <w:tcW w:w="1706" w:type="dxa"/>
            <w:noWrap w:val="0"/>
            <w:vAlign w:val="top"/>
          </w:tcPr>
          <w:p>
            <w:pPr>
              <w:pStyle w:val="27"/>
              <w:snapToGrid w:val="0"/>
              <w:spacing w:before="120" w:beforeLines="0" w:after="120" w:afterLines="0" w:line="240" w:lineRule="auto"/>
              <w:jc w:val="center"/>
              <w:rPr>
                <w:rFonts w:hint="eastAsia"/>
                <w:sz w:val="21"/>
                <w:szCs w:val="21"/>
              </w:rPr>
            </w:pPr>
          </w:p>
        </w:tc>
      </w:tr>
    </w:tbl>
    <w:p>
      <w:pPr>
        <w:pStyle w:val="27"/>
        <w:snapToGrid w:val="0"/>
        <w:spacing w:before="120" w:beforeLines="0" w:after="120" w:afterLines="0" w:line="240" w:lineRule="auto"/>
        <w:jc w:val="left"/>
        <w:rPr>
          <w:rFonts w:hint="eastAsia"/>
          <w:sz w:val="21"/>
          <w:szCs w:val="21"/>
        </w:rPr>
      </w:pPr>
      <w:r>
        <w:rPr>
          <w:rFonts w:hint="eastAsia"/>
          <w:sz w:val="21"/>
          <w:szCs w:val="21"/>
        </w:rPr>
        <w:t>填报要求：</w:t>
      </w:r>
    </w:p>
    <w:p>
      <w:pPr>
        <w:pStyle w:val="27"/>
        <w:numPr>
          <w:ilvl w:val="0"/>
          <w:numId w:val="7"/>
        </w:numPr>
        <w:snapToGrid w:val="0"/>
        <w:spacing w:before="120" w:beforeLines="0" w:after="120" w:afterLines="0" w:line="240" w:lineRule="auto"/>
        <w:jc w:val="left"/>
        <w:rPr>
          <w:rFonts w:hint="eastAsia"/>
          <w:sz w:val="21"/>
          <w:szCs w:val="21"/>
        </w:rPr>
      </w:pPr>
      <w:r>
        <w:rPr>
          <w:rFonts w:hint="eastAsia"/>
          <w:sz w:val="21"/>
          <w:szCs w:val="21"/>
        </w:rPr>
        <w:t>本表的产品名称、规格型号和注册商标、金额与《报价明细表》一致。</w:t>
      </w:r>
    </w:p>
    <w:p>
      <w:pPr>
        <w:pStyle w:val="27"/>
        <w:numPr>
          <w:ilvl w:val="0"/>
          <w:numId w:val="7"/>
        </w:numPr>
        <w:snapToGrid w:val="0"/>
        <w:spacing w:before="120" w:beforeLines="0" w:after="120" w:afterLines="0" w:line="240" w:lineRule="auto"/>
        <w:jc w:val="left"/>
        <w:rPr>
          <w:rFonts w:hint="eastAsia"/>
          <w:b/>
          <w:sz w:val="21"/>
          <w:szCs w:val="21"/>
          <w:u w:val="single"/>
          <w:shd w:val="pct10" w:color="auto" w:fill="FFFFFF"/>
        </w:rPr>
      </w:pPr>
      <w:r>
        <w:rPr>
          <w:rFonts w:hint="eastAsia"/>
          <w:b/>
          <w:sz w:val="21"/>
          <w:szCs w:val="21"/>
          <w:u w:val="single"/>
          <w:shd w:val="pct10" w:color="auto" w:fill="FFFFFF"/>
        </w:rPr>
        <w:t>报价明细表中产品制造商如为小型或微型企业的，需填写“制造商企业类型”栏，填写内容为“小型”或微型，同时按招标文件要求相应提供该制造商为小型或微型企业的证明资料，否则不予认定为小微企业资格。</w:t>
      </w:r>
    </w:p>
    <w:p>
      <w:pPr>
        <w:pStyle w:val="27"/>
        <w:numPr>
          <w:ilvl w:val="0"/>
          <w:numId w:val="7"/>
        </w:numPr>
        <w:snapToGrid w:val="0"/>
        <w:spacing w:before="120" w:beforeLines="0" w:after="120" w:afterLines="0" w:line="240" w:lineRule="auto"/>
        <w:jc w:val="left"/>
        <w:rPr>
          <w:rFonts w:hint="eastAsia"/>
          <w:b/>
          <w:sz w:val="21"/>
          <w:szCs w:val="21"/>
          <w:u w:val="single"/>
          <w:shd w:val="pct10" w:color="auto" w:fill="FFFFFF"/>
        </w:rPr>
      </w:pPr>
      <w:r>
        <w:rPr>
          <w:rFonts w:hint="eastAsia"/>
          <w:sz w:val="21"/>
          <w:szCs w:val="21"/>
        </w:rPr>
        <w:t>小型、微型企业提供中型企业制造的货物的，视同为中型企业。</w:t>
      </w:r>
    </w:p>
    <w:p>
      <w:pPr>
        <w:rPr>
          <w:rFonts w:hint="eastAsia" w:ascii="宋体" w:hAnsi="宋体"/>
          <w:color w:val="FF0000"/>
        </w:rPr>
      </w:pPr>
    </w:p>
    <w:p>
      <w:pPr>
        <w:rPr>
          <w:rFonts w:hint="eastAsia" w:ascii="宋体" w:hAnsi="宋体"/>
          <w:color w:val="000000"/>
        </w:rPr>
      </w:pPr>
    </w:p>
    <w:p>
      <w:pPr>
        <w:pStyle w:val="27"/>
        <w:snapToGrid w:val="0"/>
        <w:spacing w:before="120" w:beforeLines="0" w:after="120" w:afterLines="0" w:line="360" w:lineRule="auto"/>
        <w:jc w:val="left"/>
        <w:rPr>
          <w:bCs/>
        </w:rPr>
      </w:pPr>
    </w:p>
    <w:p>
      <w:pPr>
        <w:pStyle w:val="27"/>
        <w:snapToGrid w:val="0"/>
        <w:spacing w:before="120" w:beforeLines="0" w:after="120" w:afterLines="0" w:line="240" w:lineRule="auto"/>
        <w:rPr>
          <w:rFonts w:hAnsi="宋体"/>
          <w:spacing w:val="20"/>
        </w:rPr>
      </w:pPr>
      <w:r>
        <w:rPr>
          <w:rFonts w:hint="eastAsia" w:hAnsi="宋体"/>
          <w:spacing w:val="20"/>
        </w:rPr>
        <w:t xml:space="preserve">法定代表人签字（或盖章）：            投标人（盖章）： </w:t>
      </w:r>
    </w:p>
    <w:p>
      <w:pPr>
        <w:snapToGrid w:val="0"/>
        <w:spacing w:line="360" w:lineRule="auto"/>
        <w:jc w:val="center"/>
        <w:rPr>
          <w:rFonts w:ascii="宋体" w:hAnsi="宋体"/>
          <w:sz w:val="24"/>
        </w:rPr>
      </w:pPr>
      <w:r>
        <w:rPr>
          <w:rFonts w:hint="eastAsia" w:ascii="宋体" w:hAnsi="宋体"/>
          <w:sz w:val="24"/>
        </w:rPr>
        <w:t xml:space="preserve">                                              </w:t>
      </w:r>
    </w:p>
    <w:p>
      <w:pPr>
        <w:snapToGrid w:val="0"/>
        <w:spacing w:line="360" w:lineRule="auto"/>
        <w:jc w:val="center"/>
      </w:pPr>
      <w:r>
        <w:rPr>
          <w:rFonts w:hint="eastAsia"/>
        </w:rPr>
        <w:t xml:space="preserve">                                             日期:_____年___月___日</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ascii="宋体" w:hAnsi="宋体"/>
          <w:b/>
          <w:color w:val="00B050"/>
        </w:rPr>
      </w:pPr>
    </w:p>
    <w:sectPr>
      <w:footerReference r:id="rId6" w:type="default"/>
      <w:footerReference r:id="rId7" w:type="even"/>
      <w:pgSz w:w="11906" w:h="16838"/>
      <w:pgMar w:top="1021" w:right="438" w:bottom="851" w:left="158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HelveticaNeueLT Std Lt">
    <w:altName w:val="新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EtGsHeiBold">
    <w:altName w:val="黑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30204"/>
    <w:charset w:val="00"/>
    <w:family w:val="swiss"/>
    <w:pitch w:val="default"/>
    <w:sig w:usb0="00000000" w:usb1="00000000" w:usb2="00000000" w:usb3="00000000" w:csb0="00000093" w:csb1="00000000"/>
  </w:font>
  <w:font w:name="昆仑仿宋">
    <w:altName w:val="仿宋"/>
    <w:panose1 w:val="00000000000000000000"/>
    <w:charset w:val="86"/>
    <w:family w:val="modern"/>
    <w:pitch w:val="default"/>
    <w:sig w:usb0="00000000" w:usb1="00000000" w:usb2="00000010" w:usb3="00000000" w:csb0="00040000" w:csb1="00000000"/>
  </w:font>
  <w:font w:name="Swis721 Lt BT">
    <w:altName w:val="Malgun Gothic"/>
    <w:panose1 w:val="020B0403020202020204"/>
    <w:charset w:val="00"/>
    <w:family w:val="swiss"/>
    <w:pitch w:val="default"/>
    <w:sig w:usb0="00000000" w:usb1="00000000" w:usb2="00000000" w:usb3="00000000" w:csb0="0000001B" w:csb1="00000000"/>
  </w:font>
  <w:font w:name="Garamond">
    <w:panose1 w:val="02020404030301010803"/>
    <w:charset w:val="00"/>
    <w:family w:val="roman"/>
    <w:pitch w:val="default"/>
    <w:sig w:usb0="00000287" w:usb1="00000000" w:usb2="00000000" w:usb3="00000000" w:csb0="0000009F" w:csb1="DFD7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方正兰亭黑简体">
    <w:altName w:val="黑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宋体 (正文)">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r>
      <w:fldChar w:fldCharType="begin"/>
    </w:r>
    <w:r>
      <w:instrText xml:space="preserve">PAGE   \* MERGEFORMAT</w:instrText>
    </w:r>
    <w:r>
      <w:fldChar w:fldCharType="separate"/>
    </w:r>
    <w:r>
      <w:rPr>
        <w:lang w:val="zh-CN"/>
      </w:rPr>
      <w:t>58</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fldChar w:fldCharType="begin"/>
    </w:r>
    <w:r>
      <w:rPr>
        <w:rStyle w:val="52"/>
      </w:rPr>
      <w:instrText xml:space="preserve">PAGE  </w:instrText>
    </w:r>
    <w: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87</w:t>
    </w:r>
    <w:r>
      <w:fldChar w:fldCharType="end"/>
    </w:r>
  </w:p>
  <w:p>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EAE00"/>
    <w:multiLevelType w:val="singleLevel"/>
    <w:tmpl w:val="814EAE00"/>
    <w:lvl w:ilvl="0" w:tentative="0">
      <w:start w:val="1"/>
      <w:numFmt w:val="decimal"/>
      <w:suff w:val="nothing"/>
      <w:lvlText w:val="%1、"/>
      <w:lvlJc w:val="left"/>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54"/>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25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15D37413"/>
    <w:multiLevelType w:val="multilevel"/>
    <w:tmpl w:val="15D37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8C33F9"/>
    <w:multiLevelType w:val="singleLevel"/>
    <w:tmpl w:val="578C33F9"/>
    <w:lvl w:ilvl="0" w:tentative="0">
      <w:start w:val="1"/>
      <w:numFmt w:val="decimal"/>
      <w:suff w:val="nothing"/>
      <w:lvlText w:val="%1、"/>
      <w:lvlJc w:val="left"/>
    </w:lvl>
  </w:abstractNum>
  <w:abstractNum w:abstractNumId="6">
    <w:nsid w:val="688CF0EA"/>
    <w:multiLevelType w:val="singleLevel"/>
    <w:tmpl w:val="688CF0EA"/>
    <w:lvl w:ilvl="0" w:tentative="0">
      <w:start w:val="2"/>
      <w:numFmt w:val="decimal"/>
      <w:suff w:val="nothing"/>
      <w:lvlText w:val="%1、"/>
      <w:lvlJc w:val="left"/>
    </w:lvl>
  </w:abstractNum>
  <w:num w:numId="1">
    <w:abstractNumId w:val="3"/>
  </w:num>
  <w:num w:numId="2">
    <w:abstractNumId w:val="2"/>
  </w:num>
  <w:num w:numId="3">
    <w:abstractNumId w:val="1"/>
    <w:lvlOverride w:ilvl="0">
      <w:lvl w:ilvl="0" w:tentative="1">
        <w:start w:val="0"/>
        <w:numFmt w:val="bullet"/>
        <w:pStyle w:val="262"/>
        <w:lvlText w:val=""/>
        <w:legacy w:legacy="1" w:legacySpace="0" w:legacyIndent="360"/>
        <w:lvlJc w:val="left"/>
        <w:rPr>
          <w:rFonts w:hint="default" w:ascii="Symbol" w:hAnsi="Symbol"/>
        </w:rPr>
      </w:lvl>
    </w:lvlOverride>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D7"/>
    <w:rsid w:val="000000D7"/>
    <w:rsid w:val="000003D8"/>
    <w:rsid w:val="000008D7"/>
    <w:rsid w:val="00000982"/>
    <w:rsid w:val="00002483"/>
    <w:rsid w:val="00002CF8"/>
    <w:rsid w:val="00003E16"/>
    <w:rsid w:val="00004E71"/>
    <w:rsid w:val="0001068C"/>
    <w:rsid w:val="0001070D"/>
    <w:rsid w:val="0001174B"/>
    <w:rsid w:val="00011CD2"/>
    <w:rsid w:val="00013773"/>
    <w:rsid w:val="00014DDC"/>
    <w:rsid w:val="0001630F"/>
    <w:rsid w:val="00022148"/>
    <w:rsid w:val="000247A9"/>
    <w:rsid w:val="0002495D"/>
    <w:rsid w:val="00025397"/>
    <w:rsid w:val="000260AE"/>
    <w:rsid w:val="00030FFB"/>
    <w:rsid w:val="00031A8C"/>
    <w:rsid w:val="0003234E"/>
    <w:rsid w:val="00032882"/>
    <w:rsid w:val="000332A1"/>
    <w:rsid w:val="00033366"/>
    <w:rsid w:val="000349CC"/>
    <w:rsid w:val="00035249"/>
    <w:rsid w:val="00035E6B"/>
    <w:rsid w:val="00036E4C"/>
    <w:rsid w:val="000405F2"/>
    <w:rsid w:val="000408BF"/>
    <w:rsid w:val="0004133E"/>
    <w:rsid w:val="00042D09"/>
    <w:rsid w:val="0004358C"/>
    <w:rsid w:val="000443E9"/>
    <w:rsid w:val="00046410"/>
    <w:rsid w:val="000506AD"/>
    <w:rsid w:val="000564F0"/>
    <w:rsid w:val="000613FD"/>
    <w:rsid w:val="000619E3"/>
    <w:rsid w:val="00064A5C"/>
    <w:rsid w:val="00066AE1"/>
    <w:rsid w:val="00067CD6"/>
    <w:rsid w:val="00071FDA"/>
    <w:rsid w:val="00072A89"/>
    <w:rsid w:val="00073448"/>
    <w:rsid w:val="0007482A"/>
    <w:rsid w:val="0007562E"/>
    <w:rsid w:val="0007575E"/>
    <w:rsid w:val="000772F2"/>
    <w:rsid w:val="00082E88"/>
    <w:rsid w:val="000833F6"/>
    <w:rsid w:val="00083FA4"/>
    <w:rsid w:val="00085C05"/>
    <w:rsid w:val="000862C5"/>
    <w:rsid w:val="00090AB3"/>
    <w:rsid w:val="0009159F"/>
    <w:rsid w:val="000918BE"/>
    <w:rsid w:val="000926D9"/>
    <w:rsid w:val="000930D4"/>
    <w:rsid w:val="000933E2"/>
    <w:rsid w:val="0009341D"/>
    <w:rsid w:val="00094A6B"/>
    <w:rsid w:val="0009696A"/>
    <w:rsid w:val="00097A26"/>
    <w:rsid w:val="000A0F94"/>
    <w:rsid w:val="000A47A9"/>
    <w:rsid w:val="000A6163"/>
    <w:rsid w:val="000A7940"/>
    <w:rsid w:val="000B14E8"/>
    <w:rsid w:val="000B490E"/>
    <w:rsid w:val="000B515B"/>
    <w:rsid w:val="000B6D7C"/>
    <w:rsid w:val="000C467E"/>
    <w:rsid w:val="000D13FC"/>
    <w:rsid w:val="000D3740"/>
    <w:rsid w:val="000D4D35"/>
    <w:rsid w:val="000D4F44"/>
    <w:rsid w:val="000D6F06"/>
    <w:rsid w:val="000D727B"/>
    <w:rsid w:val="000D7912"/>
    <w:rsid w:val="000D7B12"/>
    <w:rsid w:val="000E7566"/>
    <w:rsid w:val="000F1697"/>
    <w:rsid w:val="000F1A7E"/>
    <w:rsid w:val="000F27C0"/>
    <w:rsid w:val="000F3CF8"/>
    <w:rsid w:val="000F49E3"/>
    <w:rsid w:val="0010004F"/>
    <w:rsid w:val="00101ECD"/>
    <w:rsid w:val="00104CD7"/>
    <w:rsid w:val="001061BD"/>
    <w:rsid w:val="001075D4"/>
    <w:rsid w:val="0011500F"/>
    <w:rsid w:val="00115208"/>
    <w:rsid w:val="0011540B"/>
    <w:rsid w:val="00115C8D"/>
    <w:rsid w:val="0012002A"/>
    <w:rsid w:val="00123304"/>
    <w:rsid w:val="00123691"/>
    <w:rsid w:val="001247D7"/>
    <w:rsid w:val="00124E16"/>
    <w:rsid w:val="00125469"/>
    <w:rsid w:val="001272E8"/>
    <w:rsid w:val="00127390"/>
    <w:rsid w:val="00130BDE"/>
    <w:rsid w:val="001323AE"/>
    <w:rsid w:val="00132447"/>
    <w:rsid w:val="0013579A"/>
    <w:rsid w:val="00135814"/>
    <w:rsid w:val="00136FAE"/>
    <w:rsid w:val="0013719D"/>
    <w:rsid w:val="00141CF1"/>
    <w:rsid w:val="00143217"/>
    <w:rsid w:val="001442E6"/>
    <w:rsid w:val="00144A4B"/>
    <w:rsid w:val="00144BC0"/>
    <w:rsid w:val="00150B67"/>
    <w:rsid w:val="001540FF"/>
    <w:rsid w:val="00154E8A"/>
    <w:rsid w:val="00155E87"/>
    <w:rsid w:val="00157935"/>
    <w:rsid w:val="0016040E"/>
    <w:rsid w:val="00160693"/>
    <w:rsid w:val="001612A1"/>
    <w:rsid w:val="00161FC4"/>
    <w:rsid w:val="001628F1"/>
    <w:rsid w:val="00162D1F"/>
    <w:rsid w:val="00162F86"/>
    <w:rsid w:val="00163000"/>
    <w:rsid w:val="00164FE2"/>
    <w:rsid w:val="00165FBB"/>
    <w:rsid w:val="001709B8"/>
    <w:rsid w:val="00171E5A"/>
    <w:rsid w:val="00172A4C"/>
    <w:rsid w:val="00174A28"/>
    <w:rsid w:val="00177E86"/>
    <w:rsid w:val="001803B9"/>
    <w:rsid w:val="00180825"/>
    <w:rsid w:val="00180C98"/>
    <w:rsid w:val="00181048"/>
    <w:rsid w:val="00181673"/>
    <w:rsid w:val="00183647"/>
    <w:rsid w:val="001850AE"/>
    <w:rsid w:val="00185E47"/>
    <w:rsid w:val="0019157E"/>
    <w:rsid w:val="00191B2D"/>
    <w:rsid w:val="00193193"/>
    <w:rsid w:val="0019594D"/>
    <w:rsid w:val="001A040C"/>
    <w:rsid w:val="001A11A5"/>
    <w:rsid w:val="001A1FD5"/>
    <w:rsid w:val="001A2AA0"/>
    <w:rsid w:val="001A2C2D"/>
    <w:rsid w:val="001A3DAC"/>
    <w:rsid w:val="001A5BBC"/>
    <w:rsid w:val="001A6F81"/>
    <w:rsid w:val="001B161F"/>
    <w:rsid w:val="001B2813"/>
    <w:rsid w:val="001B2AB2"/>
    <w:rsid w:val="001B3E84"/>
    <w:rsid w:val="001B4D87"/>
    <w:rsid w:val="001B4DF3"/>
    <w:rsid w:val="001B5C48"/>
    <w:rsid w:val="001B6E16"/>
    <w:rsid w:val="001B723B"/>
    <w:rsid w:val="001B7769"/>
    <w:rsid w:val="001C2997"/>
    <w:rsid w:val="001C5E5D"/>
    <w:rsid w:val="001C5F4F"/>
    <w:rsid w:val="001C710B"/>
    <w:rsid w:val="001D14D8"/>
    <w:rsid w:val="001D27ED"/>
    <w:rsid w:val="001D49BC"/>
    <w:rsid w:val="001D5F4B"/>
    <w:rsid w:val="001D79CF"/>
    <w:rsid w:val="001E127E"/>
    <w:rsid w:val="001E31D0"/>
    <w:rsid w:val="001E5205"/>
    <w:rsid w:val="001E5BEF"/>
    <w:rsid w:val="001E5E95"/>
    <w:rsid w:val="001E5F02"/>
    <w:rsid w:val="001E6332"/>
    <w:rsid w:val="001F2640"/>
    <w:rsid w:val="001F392B"/>
    <w:rsid w:val="001F3E92"/>
    <w:rsid w:val="001F4D58"/>
    <w:rsid w:val="001F6544"/>
    <w:rsid w:val="00200040"/>
    <w:rsid w:val="00202F5D"/>
    <w:rsid w:val="00203374"/>
    <w:rsid w:val="00203987"/>
    <w:rsid w:val="002048B3"/>
    <w:rsid w:val="00205E8B"/>
    <w:rsid w:val="00206BD1"/>
    <w:rsid w:val="00207100"/>
    <w:rsid w:val="00211E99"/>
    <w:rsid w:val="00213376"/>
    <w:rsid w:val="002140DF"/>
    <w:rsid w:val="00216145"/>
    <w:rsid w:val="00216B81"/>
    <w:rsid w:val="00222CC7"/>
    <w:rsid w:val="00224AC6"/>
    <w:rsid w:val="00225F3C"/>
    <w:rsid w:val="00230405"/>
    <w:rsid w:val="00231102"/>
    <w:rsid w:val="0023377F"/>
    <w:rsid w:val="00233ECD"/>
    <w:rsid w:val="00234B9D"/>
    <w:rsid w:val="00234C51"/>
    <w:rsid w:val="00234DBC"/>
    <w:rsid w:val="0023522F"/>
    <w:rsid w:val="00236025"/>
    <w:rsid w:val="00237311"/>
    <w:rsid w:val="002416B3"/>
    <w:rsid w:val="00241B26"/>
    <w:rsid w:val="002423EE"/>
    <w:rsid w:val="0024470F"/>
    <w:rsid w:val="002447DE"/>
    <w:rsid w:val="00245367"/>
    <w:rsid w:val="00245FD3"/>
    <w:rsid w:val="0024795F"/>
    <w:rsid w:val="002502E5"/>
    <w:rsid w:val="00250F86"/>
    <w:rsid w:val="00251E02"/>
    <w:rsid w:val="002523A0"/>
    <w:rsid w:val="00257DAF"/>
    <w:rsid w:val="002610B7"/>
    <w:rsid w:val="00262746"/>
    <w:rsid w:val="0026279E"/>
    <w:rsid w:val="002629B8"/>
    <w:rsid w:val="002637B7"/>
    <w:rsid w:val="00266697"/>
    <w:rsid w:val="00267E1E"/>
    <w:rsid w:val="002703F5"/>
    <w:rsid w:val="002704A0"/>
    <w:rsid w:val="00270AF3"/>
    <w:rsid w:val="00271033"/>
    <w:rsid w:val="002732F3"/>
    <w:rsid w:val="0027564C"/>
    <w:rsid w:val="00275BEC"/>
    <w:rsid w:val="0028211A"/>
    <w:rsid w:val="00287A4C"/>
    <w:rsid w:val="00290279"/>
    <w:rsid w:val="002917A2"/>
    <w:rsid w:val="002919BB"/>
    <w:rsid w:val="002931D7"/>
    <w:rsid w:val="00293D18"/>
    <w:rsid w:val="00293E83"/>
    <w:rsid w:val="00294734"/>
    <w:rsid w:val="0029727E"/>
    <w:rsid w:val="002974EF"/>
    <w:rsid w:val="002A13A2"/>
    <w:rsid w:val="002A20AE"/>
    <w:rsid w:val="002A42AF"/>
    <w:rsid w:val="002A6BEB"/>
    <w:rsid w:val="002B1021"/>
    <w:rsid w:val="002B28C1"/>
    <w:rsid w:val="002B4F74"/>
    <w:rsid w:val="002B51A0"/>
    <w:rsid w:val="002B6EF8"/>
    <w:rsid w:val="002B7E49"/>
    <w:rsid w:val="002C13D2"/>
    <w:rsid w:val="002C1617"/>
    <w:rsid w:val="002C225E"/>
    <w:rsid w:val="002C2458"/>
    <w:rsid w:val="002C3A42"/>
    <w:rsid w:val="002D0460"/>
    <w:rsid w:val="002D0E9E"/>
    <w:rsid w:val="002D0EF1"/>
    <w:rsid w:val="002D30A1"/>
    <w:rsid w:val="002D3F3F"/>
    <w:rsid w:val="002D4FD4"/>
    <w:rsid w:val="002D64F0"/>
    <w:rsid w:val="002D7319"/>
    <w:rsid w:val="002D7A6C"/>
    <w:rsid w:val="002E248E"/>
    <w:rsid w:val="002E2720"/>
    <w:rsid w:val="002E693C"/>
    <w:rsid w:val="002E778F"/>
    <w:rsid w:val="002E7FB0"/>
    <w:rsid w:val="002F0145"/>
    <w:rsid w:val="002F12EA"/>
    <w:rsid w:val="002F1A1A"/>
    <w:rsid w:val="002F1B2E"/>
    <w:rsid w:val="002F5B07"/>
    <w:rsid w:val="002F6102"/>
    <w:rsid w:val="002F675E"/>
    <w:rsid w:val="002F7C39"/>
    <w:rsid w:val="00300A2B"/>
    <w:rsid w:val="0030519A"/>
    <w:rsid w:val="003053BE"/>
    <w:rsid w:val="003067E9"/>
    <w:rsid w:val="00306E05"/>
    <w:rsid w:val="00312670"/>
    <w:rsid w:val="00312D66"/>
    <w:rsid w:val="003133DD"/>
    <w:rsid w:val="00313F64"/>
    <w:rsid w:val="00315F21"/>
    <w:rsid w:val="00316299"/>
    <w:rsid w:val="00316E19"/>
    <w:rsid w:val="00316FEF"/>
    <w:rsid w:val="00317517"/>
    <w:rsid w:val="00320665"/>
    <w:rsid w:val="00321869"/>
    <w:rsid w:val="003238AA"/>
    <w:rsid w:val="00324DA4"/>
    <w:rsid w:val="00327650"/>
    <w:rsid w:val="00331D49"/>
    <w:rsid w:val="00334654"/>
    <w:rsid w:val="003351C3"/>
    <w:rsid w:val="0034357F"/>
    <w:rsid w:val="00346144"/>
    <w:rsid w:val="00346CD0"/>
    <w:rsid w:val="00347F44"/>
    <w:rsid w:val="00350821"/>
    <w:rsid w:val="003508EA"/>
    <w:rsid w:val="00351E50"/>
    <w:rsid w:val="0035289E"/>
    <w:rsid w:val="00352EF4"/>
    <w:rsid w:val="003530A6"/>
    <w:rsid w:val="00354704"/>
    <w:rsid w:val="00357199"/>
    <w:rsid w:val="00362BDE"/>
    <w:rsid w:val="00363A6F"/>
    <w:rsid w:val="00365026"/>
    <w:rsid w:val="00365F00"/>
    <w:rsid w:val="00367823"/>
    <w:rsid w:val="003679A6"/>
    <w:rsid w:val="00371097"/>
    <w:rsid w:val="003720F9"/>
    <w:rsid w:val="0037222D"/>
    <w:rsid w:val="0037269D"/>
    <w:rsid w:val="00375E4B"/>
    <w:rsid w:val="00376A08"/>
    <w:rsid w:val="00381AEA"/>
    <w:rsid w:val="00382054"/>
    <w:rsid w:val="00382960"/>
    <w:rsid w:val="00382CFD"/>
    <w:rsid w:val="00383812"/>
    <w:rsid w:val="00383B8D"/>
    <w:rsid w:val="00387FE6"/>
    <w:rsid w:val="003907BF"/>
    <w:rsid w:val="00390F53"/>
    <w:rsid w:val="003A0AF6"/>
    <w:rsid w:val="003A16DC"/>
    <w:rsid w:val="003A5A64"/>
    <w:rsid w:val="003B00AB"/>
    <w:rsid w:val="003B0824"/>
    <w:rsid w:val="003B7350"/>
    <w:rsid w:val="003C4BD9"/>
    <w:rsid w:val="003D0193"/>
    <w:rsid w:val="003D03F0"/>
    <w:rsid w:val="003D09B1"/>
    <w:rsid w:val="003D0A44"/>
    <w:rsid w:val="003D3178"/>
    <w:rsid w:val="003D5F19"/>
    <w:rsid w:val="003D6A6D"/>
    <w:rsid w:val="003D7692"/>
    <w:rsid w:val="003E24A2"/>
    <w:rsid w:val="003E3D48"/>
    <w:rsid w:val="003E4AD6"/>
    <w:rsid w:val="003E5158"/>
    <w:rsid w:val="003F007C"/>
    <w:rsid w:val="003F1D9D"/>
    <w:rsid w:val="003F3313"/>
    <w:rsid w:val="003F369B"/>
    <w:rsid w:val="003F395C"/>
    <w:rsid w:val="003F6F79"/>
    <w:rsid w:val="003F7193"/>
    <w:rsid w:val="003F78B3"/>
    <w:rsid w:val="004001FA"/>
    <w:rsid w:val="00403482"/>
    <w:rsid w:val="0040384F"/>
    <w:rsid w:val="00403AEF"/>
    <w:rsid w:val="00404DAC"/>
    <w:rsid w:val="00407644"/>
    <w:rsid w:val="00411C92"/>
    <w:rsid w:val="00412585"/>
    <w:rsid w:val="00417561"/>
    <w:rsid w:val="00421D9C"/>
    <w:rsid w:val="00422546"/>
    <w:rsid w:val="004225FB"/>
    <w:rsid w:val="00422F36"/>
    <w:rsid w:val="00423C9E"/>
    <w:rsid w:val="0042526A"/>
    <w:rsid w:val="004258F5"/>
    <w:rsid w:val="00425EFE"/>
    <w:rsid w:val="00426CD5"/>
    <w:rsid w:val="00427253"/>
    <w:rsid w:val="00427DCB"/>
    <w:rsid w:val="00433C4B"/>
    <w:rsid w:val="00434468"/>
    <w:rsid w:val="004347A9"/>
    <w:rsid w:val="00434A1C"/>
    <w:rsid w:val="0043590F"/>
    <w:rsid w:val="00436794"/>
    <w:rsid w:val="00436FAE"/>
    <w:rsid w:val="00437350"/>
    <w:rsid w:val="00437DC0"/>
    <w:rsid w:val="00442284"/>
    <w:rsid w:val="00443C56"/>
    <w:rsid w:val="004444DD"/>
    <w:rsid w:val="00447856"/>
    <w:rsid w:val="00450403"/>
    <w:rsid w:val="004506DD"/>
    <w:rsid w:val="0045107F"/>
    <w:rsid w:val="00454A07"/>
    <w:rsid w:val="004555F4"/>
    <w:rsid w:val="00455AC8"/>
    <w:rsid w:val="0046094E"/>
    <w:rsid w:val="00461E0C"/>
    <w:rsid w:val="00462163"/>
    <w:rsid w:val="00462530"/>
    <w:rsid w:val="00462AB2"/>
    <w:rsid w:val="00463AF0"/>
    <w:rsid w:val="004644B7"/>
    <w:rsid w:val="00464715"/>
    <w:rsid w:val="004668EC"/>
    <w:rsid w:val="004710C1"/>
    <w:rsid w:val="0047123A"/>
    <w:rsid w:val="00471EB1"/>
    <w:rsid w:val="004739EE"/>
    <w:rsid w:val="00473D2C"/>
    <w:rsid w:val="00474A3A"/>
    <w:rsid w:val="00475EB4"/>
    <w:rsid w:val="00477D1D"/>
    <w:rsid w:val="004827BA"/>
    <w:rsid w:val="00483C67"/>
    <w:rsid w:val="004855F0"/>
    <w:rsid w:val="00486498"/>
    <w:rsid w:val="004864AB"/>
    <w:rsid w:val="004868DB"/>
    <w:rsid w:val="004869F7"/>
    <w:rsid w:val="0048709E"/>
    <w:rsid w:val="00490F0C"/>
    <w:rsid w:val="00490FEB"/>
    <w:rsid w:val="00492EE9"/>
    <w:rsid w:val="004948B7"/>
    <w:rsid w:val="00497111"/>
    <w:rsid w:val="0049728A"/>
    <w:rsid w:val="00497453"/>
    <w:rsid w:val="00497BFB"/>
    <w:rsid w:val="004A2E19"/>
    <w:rsid w:val="004A496A"/>
    <w:rsid w:val="004A4991"/>
    <w:rsid w:val="004A6419"/>
    <w:rsid w:val="004A6488"/>
    <w:rsid w:val="004A7021"/>
    <w:rsid w:val="004A77AC"/>
    <w:rsid w:val="004A77E7"/>
    <w:rsid w:val="004B2F9A"/>
    <w:rsid w:val="004B307F"/>
    <w:rsid w:val="004B531D"/>
    <w:rsid w:val="004B6D98"/>
    <w:rsid w:val="004B724F"/>
    <w:rsid w:val="004B785E"/>
    <w:rsid w:val="004C2271"/>
    <w:rsid w:val="004C30B4"/>
    <w:rsid w:val="004C3515"/>
    <w:rsid w:val="004C3EE0"/>
    <w:rsid w:val="004C58A2"/>
    <w:rsid w:val="004D0667"/>
    <w:rsid w:val="004D0FED"/>
    <w:rsid w:val="004D1268"/>
    <w:rsid w:val="004D12A0"/>
    <w:rsid w:val="004D2568"/>
    <w:rsid w:val="004D2A7E"/>
    <w:rsid w:val="004D3359"/>
    <w:rsid w:val="004D4305"/>
    <w:rsid w:val="004D5406"/>
    <w:rsid w:val="004D5425"/>
    <w:rsid w:val="004D6017"/>
    <w:rsid w:val="004D78B1"/>
    <w:rsid w:val="004D7D94"/>
    <w:rsid w:val="004E0989"/>
    <w:rsid w:val="004E0B76"/>
    <w:rsid w:val="004E2595"/>
    <w:rsid w:val="004E269A"/>
    <w:rsid w:val="004E372B"/>
    <w:rsid w:val="004E3A76"/>
    <w:rsid w:val="004E3B99"/>
    <w:rsid w:val="004E5C31"/>
    <w:rsid w:val="004E64F8"/>
    <w:rsid w:val="004E6F43"/>
    <w:rsid w:val="004F3681"/>
    <w:rsid w:val="004F3858"/>
    <w:rsid w:val="004F4945"/>
    <w:rsid w:val="004F4B10"/>
    <w:rsid w:val="004F5653"/>
    <w:rsid w:val="004F5F8A"/>
    <w:rsid w:val="0050047C"/>
    <w:rsid w:val="0050194A"/>
    <w:rsid w:val="00502075"/>
    <w:rsid w:val="00503A6E"/>
    <w:rsid w:val="005042E3"/>
    <w:rsid w:val="00504E50"/>
    <w:rsid w:val="005139EC"/>
    <w:rsid w:val="0051671C"/>
    <w:rsid w:val="00517BEE"/>
    <w:rsid w:val="005224B8"/>
    <w:rsid w:val="00522816"/>
    <w:rsid w:val="005243E7"/>
    <w:rsid w:val="00524AEE"/>
    <w:rsid w:val="00524F8C"/>
    <w:rsid w:val="00531BA8"/>
    <w:rsid w:val="00531C72"/>
    <w:rsid w:val="00533367"/>
    <w:rsid w:val="00533DE1"/>
    <w:rsid w:val="00536F15"/>
    <w:rsid w:val="00537418"/>
    <w:rsid w:val="005378CE"/>
    <w:rsid w:val="005408A6"/>
    <w:rsid w:val="00540916"/>
    <w:rsid w:val="005416BB"/>
    <w:rsid w:val="00541ED5"/>
    <w:rsid w:val="005426D0"/>
    <w:rsid w:val="0054347C"/>
    <w:rsid w:val="0055479C"/>
    <w:rsid w:val="005559C3"/>
    <w:rsid w:val="00556BA3"/>
    <w:rsid w:val="00557077"/>
    <w:rsid w:val="0056335F"/>
    <w:rsid w:val="00567F26"/>
    <w:rsid w:val="0057032B"/>
    <w:rsid w:val="0057062B"/>
    <w:rsid w:val="0057161D"/>
    <w:rsid w:val="00572753"/>
    <w:rsid w:val="00572F07"/>
    <w:rsid w:val="00574C13"/>
    <w:rsid w:val="00576152"/>
    <w:rsid w:val="005774B7"/>
    <w:rsid w:val="00580545"/>
    <w:rsid w:val="00581F83"/>
    <w:rsid w:val="00582007"/>
    <w:rsid w:val="0058350E"/>
    <w:rsid w:val="005844B0"/>
    <w:rsid w:val="00584E81"/>
    <w:rsid w:val="00587E98"/>
    <w:rsid w:val="00590DC6"/>
    <w:rsid w:val="005935DB"/>
    <w:rsid w:val="0059448D"/>
    <w:rsid w:val="005A0057"/>
    <w:rsid w:val="005A0AB9"/>
    <w:rsid w:val="005A237B"/>
    <w:rsid w:val="005A3E34"/>
    <w:rsid w:val="005A464E"/>
    <w:rsid w:val="005A6BD3"/>
    <w:rsid w:val="005A6D1C"/>
    <w:rsid w:val="005B117A"/>
    <w:rsid w:val="005B48BE"/>
    <w:rsid w:val="005B53B9"/>
    <w:rsid w:val="005B56B3"/>
    <w:rsid w:val="005B586D"/>
    <w:rsid w:val="005B5CF7"/>
    <w:rsid w:val="005B6B41"/>
    <w:rsid w:val="005B6C02"/>
    <w:rsid w:val="005B732E"/>
    <w:rsid w:val="005C2087"/>
    <w:rsid w:val="005C3304"/>
    <w:rsid w:val="005C43A7"/>
    <w:rsid w:val="005C5B0C"/>
    <w:rsid w:val="005C6998"/>
    <w:rsid w:val="005C7347"/>
    <w:rsid w:val="005D2495"/>
    <w:rsid w:val="005D4E36"/>
    <w:rsid w:val="005D61DB"/>
    <w:rsid w:val="005D7C55"/>
    <w:rsid w:val="005E1852"/>
    <w:rsid w:val="005E1C7F"/>
    <w:rsid w:val="005E5100"/>
    <w:rsid w:val="005E6403"/>
    <w:rsid w:val="005E720C"/>
    <w:rsid w:val="005E7354"/>
    <w:rsid w:val="005F01EF"/>
    <w:rsid w:val="005F0421"/>
    <w:rsid w:val="005F0D31"/>
    <w:rsid w:val="005F0D3C"/>
    <w:rsid w:val="005F2B05"/>
    <w:rsid w:val="005F6106"/>
    <w:rsid w:val="00600200"/>
    <w:rsid w:val="00600738"/>
    <w:rsid w:val="00603D00"/>
    <w:rsid w:val="006041D0"/>
    <w:rsid w:val="0060471A"/>
    <w:rsid w:val="006121F0"/>
    <w:rsid w:val="00614220"/>
    <w:rsid w:val="00615758"/>
    <w:rsid w:val="006158A0"/>
    <w:rsid w:val="00615F69"/>
    <w:rsid w:val="00616129"/>
    <w:rsid w:val="00617319"/>
    <w:rsid w:val="00620782"/>
    <w:rsid w:val="0062210A"/>
    <w:rsid w:val="0062578B"/>
    <w:rsid w:val="00627CE5"/>
    <w:rsid w:val="00627F93"/>
    <w:rsid w:val="006300AF"/>
    <w:rsid w:val="00630666"/>
    <w:rsid w:val="00631751"/>
    <w:rsid w:val="0063287B"/>
    <w:rsid w:val="00632901"/>
    <w:rsid w:val="00632944"/>
    <w:rsid w:val="006342C2"/>
    <w:rsid w:val="00636C8F"/>
    <w:rsid w:val="006375BA"/>
    <w:rsid w:val="006378DD"/>
    <w:rsid w:val="00641D07"/>
    <w:rsid w:val="00643660"/>
    <w:rsid w:val="00644991"/>
    <w:rsid w:val="00645148"/>
    <w:rsid w:val="006452B0"/>
    <w:rsid w:val="00647FCD"/>
    <w:rsid w:val="00652B8D"/>
    <w:rsid w:val="0065473B"/>
    <w:rsid w:val="00654A8A"/>
    <w:rsid w:val="006561AA"/>
    <w:rsid w:val="0065671E"/>
    <w:rsid w:val="00657814"/>
    <w:rsid w:val="0066038A"/>
    <w:rsid w:val="00660D0C"/>
    <w:rsid w:val="00661575"/>
    <w:rsid w:val="0066160E"/>
    <w:rsid w:val="00661D14"/>
    <w:rsid w:val="0066343A"/>
    <w:rsid w:val="00663924"/>
    <w:rsid w:val="0066429D"/>
    <w:rsid w:val="006648BD"/>
    <w:rsid w:val="00664962"/>
    <w:rsid w:val="00664B50"/>
    <w:rsid w:val="006658E7"/>
    <w:rsid w:val="00665F27"/>
    <w:rsid w:val="00667963"/>
    <w:rsid w:val="00672E9E"/>
    <w:rsid w:val="00672FCC"/>
    <w:rsid w:val="00675881"/>
    <w:rsid w:val="00675F26"/>
    <w:rsid w:val="006812EB"/>
    <w:rsid w:val="00682274"/>
    <w:rsid w:val="006823A7"/>
    <w:rsid w:val="00685BAB"/>
    <w:rsid w:val="00687381"/>
    <w:rsid w:val="0068759E"/>
    <w:rsid w:val="00690168"/>
    <w:rsid w:val="0069049A"/>
    <w:rsid w:val="00690EA2"/>
    <w:rsid w:val="00690FAD"/>
    <w:rsid w:val="00694E4B"/>
    <w:rsid w:val="00696638"/>
    <w:rsid w:val="006967BC"/>
    <w:rsid w:val="00697919"/>
    <w:rsid w:val="006A126F"/>
    <w:rsid w:val="006A13B5"/>
    <w:rsid w:val="006A3559"/>
    <w:rsid w:val="006A4382"/>
    <w:rsid w:val="006A61C9"/>
    <w:rsid w:val="006A68C8"/>
    <w:rsid w:val="006A719A"/>
    <w:rsid w:val="006A7B8A"/>
    <w:rsid w:val="006B1323"/>
    <w:rsid w:val="006B483B"/>
    <w:rsid w:val="006B4F08"/>
    <w:rsid w:val="006B57F6"/>
    <w:rsid w:val="006B59C3"/>
    <w:rsid w:val="006C4690"/>
    <w:rsid w:val="006C46A0"/>
    <w:rsid w:val="006C50FA"/>
    <w:rsid w:val="006C610F"/>
    <w:rsid w:val="006C68A0"/>
    <w:rsid w:val="006C6A67"/>
    <w:rsid w:val="006D07CC"/>
    <w:rsid w:val="006D0F4A"/>
    <w:rsid w:val="006D1734"/>
    <w:rsid w:val="006D198F"/>
    <w:rsid w:val="006D3CD2"/>
    <w:rsid w:val="006D41B1"/>
    <w:rsid w:val="006D5E60"/>
    <w:rsid w:val="006D7637"/>
    <w:rsid w:val="006E0469"/>
    <w:rsid w:val="006E0D69"/>
    <w:rsid w:val="006E193B"/>
    <w:rsid w:val="006E1A0A"/>
    <w:rsid w:val="006E3E26"/>
    <w:rsid w:val="006E48C8"/>
    <w:rsid w:val="006E77FD"/>
    <w:rsid w:val="006F2C39"/>
    <w:rsid w:val="006F456A"/>
    <w:rsid w:val="006F46A2"/>
    <w:rsid w:val="006F6602"/>
    <w:rsid w:val="00701CCF"/>
    <w:rsid w:val="00701F11"/>
    <w:rsid w:val="00703865"/>
    <w:rsid w:val="007045B0"/>
    <w:rsid w:val="0070579E"/>
    <w:rsid w:val="00707799"/>
    <w:rsid w:val="0071017B"/>
    <w:rsid w:val="00711528"/>
    <w:rsid w:val="00714313"/>
    <w:rsid w:val="00714B64"/>
    <w:rsid w:val="00714C0F"/>
    <w:rsid w:val="0071511B"/>
    <w:rsid w:val="00716CDB"/>
    <w:rsid w:val="0071790B"/>
    <w:rsid w:val="007210E0"/>
    <w:rsid w:val="0072315A"/>
    <w:rsid w:val="007231B9"/>
    <w:rsid w:val="00723EB9"/>
    <w:rsid w:val="007271B2"/>
    <w:rsid w:val="0072796F"/>
    <w:rsid w:val="0073127C"/>
    <w:rsid w:val="007328F9"/>
    <w:rsid w:val="007340BD"/>
    <w:rsid w:val="00735363"/>
    <w:rsid w:val="00741813"/>
    <w:rsid w:val="00743045"/>
    <w:rsid w:val="007436D9"/>
    <w:rsid w:val="00745231"/>
    <w:rsid w:val="00745B75"/>
    <w:rsid w:val="00747E60"/>
    <w:rsid w:val="00750121"/>
    <w:rsid w:val="00753DD0"/>
    <w:rsid w:val="007546D3"/>
    <w:rsid w:val="007551C4"/>
    <w:rsid w:val="00755FA9"/>
    <w:rsid w:val="0075692C"/>
    <w:rsid w:val="00757AE5"/>
    <w:rsid w:val="00757B9F"/>
    <w:rsid w:val="00760400"/>
    <w:rsid w:val="00761E4C"/>
    <w:rsid w:val="007657C5"/>
    <w:rsid w:val="007670D7"/>
    <w:rsid w:val="00773673"/>
    <w:rsid w:val="007743EF"/>
    <w:rsid w:val="007748FD"/>
    <w:rsid w:val="00780A8F"/>
    <w:rsid w:val="00782B2E"/>
    <w:rsid w:val="00782B6C"/>
    <w:rsid w:val="007838C2"/>
    <w:rsid w:val="00784AA8"/>
    <w:rsid w:val="00785689"/>
    <w:rsid w:val="00785AC9"/>
    <w:rsid w:val="0078631F"/>
    <w:rsid w:val="0078720E"/>
    <w:rsid w:val="007878D5"/>
    <w:rsid w:val="00791DF1"/>
    <w:rsid w:val="007926AC"/>
    <w:rsid w:val="007954D1"/>
    <w:rsid w:val="00796C11"/>
    <w:rsid w:val="007A0594"/>
    <w:rsid w:val="007A23EF"/>
    <w:rsid w:val="007A367C"/>
    <w:rsid w:val="007A6B44"/>
    <w:rsid w:val="007A715E"/>
    <w:rsid w:val="007B0B97"/>
    <w:rsid w:val="007B0C07"/>
    <w:rsid w:val="007B2989"/>
    <w:rsid w:val="007B2E5E"/>
    <w:rsid w:val="007B331B"/>
    <w:rsid w:val="007B5287"/>
    <w:rsid w:val="007B7ED0"/>
    <w:rsid w:val="007C43A1"/>
    <w:rsid w:val="007C5229"/>
    <w:rsid w:val="007C58FB"/>
    <w:rsid w:val="007D12F8"/>
    <w:rsid w:val="007D1EA4"/>
    <w:rsid w:val="007D4D4F"/>
    <w:rsid w:val="007D71ED"/>
    <w:rsid w:val="007D7CAE"/>
    <w:rsid w:val="007E0810"/>
    <w:rsid w:val="007E1E71"/>
    <w:rsid w:val="007E2296"/>
    <w:rsid w:val="007E38EF"/>
    <w:rsid w:val="007E5AC0"/>
    <w:rsid w:val="007F29F7"/>
    <w:rsid w:val="007F37A9"/>
    <w:rsid w:val="007F7320"/>
    <w:rsid w:val="00801578"/>
    <w:rsid w:val="00803231"/>
    <w:rsid w:val="008046D0"/>
    <w:rsid w:val="008049BF"/>
    <w:rsid w:val="00806541"/>
    <w:rsid w:val="00810171"/>
    <w:rsid w:val="0081067F"/>
    <w:rsid w:val="0081091C"/>
    <w:rsid w:val="00810F36"/>
    <w:rsid w:val="00812515"/>
    <w:rsid w:val="00812862"/>
    <w:rsid w:val="00814050"/>
    <w:rsid w:val="00814667"/>
    <w:rsid w:val="00814F9E"/>
    <w:rsid w:val="0081589A"/>
    <w:rsid w:val="00816D5D"/>
    <w:rsid w:val="008173AC"/>
    <w:rsid w:val="00817F91"/>
    <w:rsid w:val="00821E23"/>
    <w:rsid w:val="008246B8"/>
    <w:rsid w:val="0082778E"/>
    <w:rsid w:val="00827FBC"/>
    <w:rsid w:val="00833191"/>
    <w:rsid w:val="00834BF2"/>
    <w:rsid w:val="00841512"/>
    <w:rsid w:val="0084329B"/>
    <w:rsid w:val="00844647"/>
    <w:rsid w:val="0084670F"/>
    <w:rsid w:val="00847501"/>
    <w:rsid w:val="008503F9"/>
    <w:rsid w:val="00852252"/>
    <w:rsid w:val="00853C8E"/>
    <w:rsid w:val="00855720"/>
    <w:rsid w:val="00856092"/>
    <w:rsid w:val="00857617"/>
    <w:rsid w:val="008605B3"/>
    <w:rsid w:val="00861D30"/>
    <w:rsid w:val="00862432"/>
    <w:rsid w:val="00862F66"/>
    <w:rsid w:val="008630D7"/>
    <w:rsid w:val="008646C4"/>
    <w:rsid w:val="008702BD"/>
    <w:rsid w:val="00870E39"/>
    <w:rsid w:val="00874874"/>
    <w:rsid w:val="00875877"/>
    <w:rsid w:val="00877580"/>
    <w:rsid w:val="00877ADF"/>
    <w:rsid w:val="00880CEC"/>
    <w:rsid w:val="00880DE5"/>
    <w:rsid w:val="00881A6C"/>
    <w:rsid w:val="00882DC2"/>
    <w:rsid w:val="00883742"/>
    <w:rsid w:val="00884B37"/>
    <w:rsid w:val="00884F96"/>
    <w:rsid w:val="00885738"/>
    <w:rsid w:val="00886C0F"/>
    <w:rsid w:val="00886D59"/>
    <w:rsid w:val="00887FA2"/>
    <w:rsid w:val="008925C1"/>
    <w:rsid w:val="008931C4"/>
    <w:rsid w:val="00894AE4"/>
    <w:rsid w:val="008959E2"/>
    <w:rsid w:val="00896D1E"/>
    <w:rsid w:val="00897DFF"/>
    <w:rsid w:val="008A1EA0"/>
    <w:rsid w:val="008A40D8"/>
    <w:rsid w:val="008A6E6A"/>
    <w:rsid w:val="008A7E18"/>
    <w:rsid w:val="008B21E2"/>
    <w:rsid w:val="008B40EA"/>
    <w:rsid w:val="008B4939"/>
    <w:rsid w:val="008C177D"/>
    <w:rsid w:val="008C251B"/>
    <w:rsid w:val="008C2DFF"/>
    <w:rsid w:val="008C69FF"/>
    <w:rsid w:val="008C6B14"/>
    <w:rsid w:val="008C7B22"/>
    <w:rsid w:val="008C7FDE"/>
    <w:rsid w:val="008D0443"/>
    <w:rsid w:val="008D1960"/>
    <w:rsid w:val="008D27C3"/>
    <w:rsid w:val="008D2F7B"/>
    <w:rsid w:val="008D587C"/>
    <w:rsid w:val="008E0497"/>
    <w:rsid w:val="008E1C7A"/>
    <w:rsid w:val="008E1DD5"/>
    <w:rsid w:val="008E27D5"/>
    <w:rsid w:val="008E2CE5"/>
    <w:rsid w:val="008E4231"/>
    <w:rsid w:val="008E5006"/>
    <w:rsid w:val="008E593E"/>
    <w:rsid w:val="008E6C72"/>
    <w:rsid w:val="008F0063"/>
    <w:rsid w:val="008F03E1"/>
    <w:rsid w:val="008F1670"/>
    <w:rsid w:val="008F16F8"/>
    <w:rsid w:val="008F18E9"/>
    <w:rsid w:val="008F394E"/>
    <w:rsid w:val="008F62A5"/>
    <w:rsid w:val="008F783E"/>
    <w:rsid w:val="008F7BC8"/>
    <w:rsid w:val="00900273"/>
    <w:rsid w:val="00900DF9"/>
    <w:rsid w:val="00905BDA"/>
    <w:rsid w:val="0090701B"/>
    <w:rsid w:val="00907215"/>
    <w:rsid w:val="00907547"/>
    <w:rsid w:val="009077FE"/>
    <w:rsid w:val="00910496"/>
    <w:rsid w:val="00913C06"/>
    <w:rsid w:val="0091442B"/>
    <w:rsid w:val="00915712"/>
    <w:rsid w:val="009162CA"/>
    <w:rsid w:val="009171B2"/>
    <w:rsid w:val="00917F23"/>
    <w:rsid w:val="00921E59"/>
    <w:rsid w:val="00922605"/>
    <w:rsid w:val="009228EF"/>
    <w:rsid w:val="00923B05"/>
    <w:rsid w:val="00923E4B"/>
    <w:rsid w:val="00927270"/>
    <w:rsid w:val="0093007F"/>
    <w:rsid w:val="009304C7"/>
    <w:rsid w:val="00930B3F"/>
    <w:rsid w:val="00930EDB"/>
    <w:rsid w:val="0093317A"/>
    <w:rsid w:val="0093756C"/>
    <w:rsid w:val="009375A7"/>
    <w:rsid w:val="00943482"/>
    <w:rsid w:val="00943F43"/>
    <w:rsid w:val="00944B76"/>
    <w:rsid w:val="00946EE7"/>
    <w:rsid w:val="0094738E"/>
    <w:rsid w:val="00950D3C"/>
    <w:rsid w:val="00952822"/>
    <w:rsid w:val="0095350E"/>
    <w:rsid w:val="009538B5"/>
    <w:rsid w:val="00954827"/>
    <w:rsid w:val="00955819"/>
    <w:rsid w:val="0095635E"/>
    <w:rsid w:val="00956595"/>
    <w:rsid w:val="00957F39"/>
    <w:rsid w:val="00960993"/>
    <w:rsid w:val="00962264"/>
    <w:rsid w:val="00962555"/>
    <w:rsid w:val="00962AE7"/>
    <w:rsid w:val="00962B4A"/>
    <w:rsid w:val="00964260"/>
    <w:rsid w:val="00964891"/>
    <w:rsid w:val="00964BD2"/>
    <w:rsid w:val="00964E95"/>
    <w:rsid w:val="00966543"/>
    <w:rsid w:val="0096665F"/>
    <w:rsid w:val="00966AB7"/>
    <w:rsid w:val="00967024"/>
    <w:rsid w:val="00970C87"/>
    <w:rsid w:val="009711AC"/>
    <w:rsid w:val="009717DF"/>
    <w:rsid w:val="00972BC6"/>
    <w:rsid w:val="00973A0E"/>
    <w:rsid w:val="0097692E"/>
    <w:rsid w:val="00977C10"/>
    <w:rsid w:val="009816E0"/>
    <w:rsid w:val="009824C4"/>
    <w:rsid w:val="009827D9"/>
    <w:rsid w:val="00982A7A"/>
    <w:rsid w:val="009841E5"/>
    <w:rsid w:val="009846B3"/>
    <w:rsid w:val="0098573D"/>
    <w:rsid w:val="00985D38"/>
    <w:rsid w:val="00985DA0"/>
    <w:rsid w:val="00986F96"/>
    <w:rsid w:val="00991E77"/>
    <w:rsid w:val="00993BCB"/>
    <w:rsid w:val="009943A5"/>
    <w:rsid w:val="009950E4"/>
    <w:rsid w:val="009A01D6"/>
    <w:rsid w:val="009A2B42"/>
    <w:rsid w:val="009A47F8"/>
    <w:rsid w:val="009A4AAD"/>
    <w:rsid w:val="009A7ABF"/>
    <w:rsid w:val="009B1619"/>
    <w:rsid w:val="009B1981"/>
    <w:rsid w:val="009B4500"/>
    <w:rsid w:val="009B478C"/>
    <w:rsid w:val="009B47A3"/>
    <w:rsid w:val="009C1156"/>
    <w:rsid w:val="009C26FB"/>
    <w:rsid w:val="009C6681"/>
    <w:rsid w:val="009C6D60"/>
    <w:rsid w:val="009C7B86"/>
    <w:rsid w:val="009C7F85"/>
    <w:rsid w:val="009D0AE8"/>
    <w:rsid w:val="009D1011"/>
    <w:rsid w:val="009D198E"/>
    <w:rsid w:val="009D4743"/>
    <w:rsid w:val="009D493D"/>
    <w:rsid w:val="009D4E45"/>
    <w:rsid w:val="009D60B5"/>
    <w:rsid w:val="009E13FA"/>
    <w:rsid w:val="009E2141"/>
    <w:rsid w:val="009E2D19"/>
    <w:rsid w:val="009E3A4F"/>
    <w:rsid w:val="009E3F0D"/>
    <w:rsid w:val="009E3FAF"/>
    <w:rsid w:val="009E408B"/>
    <w:rsid w:val="009E5402"/>
    <w:rsid w:val="009F0CC2"/>
    <w:rsid w:val="009F12A2"/>
    <w:rsid w:val="009F19E1"/>
    <w:rsid w:val="009F21DE"/>
    <w:rsid w:val="009F2453"/>
    <w:rsid w:val="009F3983"/>
    <w:rsid w:val="009F3A4D"/>
    <w:rsid w:val="009F4178"/>
    <w:rsid w:val="009F725E"/>
    <w:rsid w:val="00A01DB4"/>
    <w:rsid w:val="00A01DE9"/>
    <w:rsid w:val="00A03F5B"/>
    <w:rsid w:val="00A047FF"/>
    <w:rsid w:val="00A0656D"/>
    <w:rsid w:val="00A10DC6"/>
    <w:rsid w:val="00A11404"/>
    <w:rsid w:val="00A12A0C"/>
    <w:rsid w:val="00A13EA9"/>
    <w:rsid w:val="00A143F7"/>
    <w:rsid w:val="00A146EE"/>
    <w:rsid w:val="00A14F96"/>
    <w:rsid w:val="00A152C8"/>
    <w:rsid w:val="00A15503"/>
    <w:rsid w:val="00A169C6"/>
    <w:rsid w:val="00A1778D"/>
    <w:rsid w:val="00A17CA6"/>
    <w:rsid w:val="00A20EAC"/>
    <w:rsid w:val="00A21F92"/>
    <w:rsid w:val="00A24F1F"/>
    <w:rsid w:val="00A25013"/>
    <w:rsid w:val="00A26195"/>
    <w:rsid w:val="00A26BE8"/>
    <w:rsid w:val="00A27EB6"/>
    <w:rsid w:val="00A27FC6"/>
    <w:rsid w:val="00A33226"/>
    <w:rsid w:val="00A33B35"/>
    <w:rsid w:val="00A362B4"/>
    <w:rsid w:val="00A442A0"/>
    <w:rsid w:val="00A44AF7"/>
    <w:rsid w:val="00A46CD5"/>
    <w:rsid w:val="00A56463"/>
    <w:rsid w:val="00A56B41"/>
    <w:rsid w:val="00A577BE"/>
    <w:rsid w:val="00A57A27"/>
    <w:rsid w:val="00A6303B"/>
    <w:rsid w:val="00A640A1"/>
    <w:rsid w:val="00A64565"/>
    <w:rsid w:val="00A65007"/>
    <w:rsid w:val="00A674CB"/>
    <w:rsid w:val="00A703E2"/>
    <w:rsid w:val="00A711AE"/>
    <w:rsid w:val="00A73A59"/>
    <w:rsid w:val="00A7606B"/>
    <w:rsid w:val="00A77A50"/>
    <w:rsid w:val="00A81CFD"/>
    <w:rsid w:val="00A826E5"/>
    <w:rsid w:val="00A8272E"/>
    <w:rsid w:val="00A838FF"/>
    <w:rsid w:val="00A9085C"/>
    <w:rsid w:val="00A909F4"/>
    <w:rsid w:val="00A918FA"/>
    <w:rsid w:val="00A9281D"/>
    <w:rsid w:val="00A94028"/>
    <w:rsid w:val="00A9477F"/>
    <w:rsid w:val="00A976D4"/>
    <w:rsid w:val="00A979A7"/>
    <w:rsid w:val="00AA03BB"/>
    <w:rsid w:val="00AA0C41"/>
    <w:rsid w:val="00AA0DC5"/>
    <w:rsid w:val="00AA28A2"/>
    <w:rsid w:val="00AA3B1F"/>
    <w:rsid w:val="00AA53A7"/>
    <w:rsid w:val="00AA7118"/>
    <w:rsid w:val="00AB0855"/>
    <w:rsid w:val="00AB0CE1"/>
    <w:rsid w:val="00AB34F8"/>
    <w:rsid w:val="00AB44E7"/>
    <w:rsid w:val="00AB49E8"/>
    <w:rsid w:val="00AB51D1"/>
    <w:rsid w:val="00AB5AB3"/>
    <w:rsid w:val="00AB6396"/>
    <w:rsid w:val="00AB7309"/>
    <w:rsid w:val="00AB7328"/>
    <w:rsid w:val="00AC0ACB"/>
    <w:rsid w:val="00AC3432"/>
    <w:rsid w:val="00AC6CAE"/>
    <w:rsid w:val="00AD0CAF"/>
    <w:rsid w:val="00AD1F1F"/>
    <w:rsid w:val="00AD3394"/>
    <w:rsid w:val="00AD41C8"/>
    <w:rsid w:val="00AD455A"/>
    <w:rsid w:val="00AD46FD"/>
    <w:rsid w:val="00AD577C"/>
    <w:rsid w:val="00AD591C"/>
    <w:rsid w:val="00AD61E2"/>
    <w:rsid w:val="00AD6F21"/>
    <w:rsid w:val="00AE0321"/>
    <w:rsid w:val="00AE11CC"/>
    <w:rsid w:val="00AE203C"/>
    <w:rsid w:val="00AE4294"/>
    <w:rsid w:val="00AE4CCE"/>
    <w:rsid w:val="00AE4DA4"/>
    <w:rsid w:val="00AE5290"/>
    <w:rsid w:val="00AE6E0B"/>
    <w:rsid w:val="00AF0DD2"/>
    <w:rsid w:val="00AF1679"/>
    <w:rsid w:val="00AF2BC0"/>
    <w:rsid w:val="00AF3B8D"/>
    <w:rsid w:val="00AF3BDD"/>
    <w:rsid w:val="00AF478C"/>
    <w:rsid w:val="00AF6246"/>
    <w:rsid w:val="00B029AC"/>
    <w:rsid w:val="00B03C52"/>
    <w:rsid w:val="00B0522C"/>
    <w:rsid w:val="00B056EF"/>
    <w:rsid w:val="00B0653E"/>
    <w:rsid w:val="00B069BF"/>
    <w:rsid w:val="00B07174"/>
    <w:rsid w:val="00B07748"/>
    <w:rsid w:val="00B07BEF"/>
    <w:rsid w:val="00B134BA"/>
    <w:rsid w:val="00B136F5"/>
    <w:rsid w:val="00B1370E"/>
    <w:rsid w:val="00B1457E"/>
    <w:rsid w:val="00B21D75"/>
    <w:rsid w:val="00B22951"/>
    <w:rsid w:val="00B233B6"/>
    <w:rsid w:val="00B23AF6"/>
    <w:rsid w:val="00B2468D"/>
    <w:rsid w:val="00B259CE"/>
    <w:rsid w:val="00B30946"/>
    <w:rsid w:val="00B3244D"/>
    <w:rsid w:val="00B331A7"/>
    <w:rsid w:val="00B338D0"/>
    <w:rsid w:val="00B361D3"/>
    <w:rsid w:val="00B37B3D"/>
    <w:rsid w:val="00B402E7"/>
    <w:rsid w:val="00B41D1B"/>
    <w:rsid w:val="00B41E3A"/>
    <w:rsid w:val="00B41F3A"/>
    <w:rsid w:val="00B43793"/>
    <w:rsid w:val="00B44771"/>
    <w:rsid w:val="00B465A5"/>
    <w:rsid w:val="00B46C3D"/>
    <w:rsid w:val="00B474C2"/>
    <w:rsid w:val="00B5039A"/>
    <w:rsid w:val="00B523A1"/>
    <w:rsid w:val="00B5307A"/>
    <w:rsid w:val="00B550F5"/>
    <w:rsid w:val="00B570DB"/>
    <w:rsid w:val="00B61C47"/>
    <w:rsid w:val="00B61EB5"/>
    <w:rsid w:val="00B61FD3"/>
    <w:rsid w:val="00B63AB7"/>
    <w:rsid w:val="00B63C33"/>
    <w:rsid w:val="00B64AED"/>
    <w:rsid w:val="00B65B95"/>
    <w:rsid w:val="00B664BB"/>
    <w:rsid w:val="00B71215"/>
    <w:rsid w:val="00B72580"/>
    <w:rsid w:val="00B72659"/>
    <w:rsid w:val="00B72F74"/>
    <w:rsid w:val="00B735E0"/>
    <w:rsid w:val="00B75C14"/>
    <w:rsid w:val="00B80A62"/>
    <w:rsid w:val="00B811E6"/>
    <w:rsid w:val="00B8344E"/>
    <w:rsid w:val="00B850D6"/>
    <w:rsid w:val="00B86D3F"/>
    <w:rsid w:val="00B907C2"/>
    <w:rsid w:val="00B92CE1"/>
    <w:rsid w:val="00B95C7E"/>
    <w:rsid w:val="00BA0203"/>
    <w:rsid w:val="00BA062E"/>
    <w:rsid w:val="00BA0B26"/>
    <w:rsid w:val="00BA1350"/>
    <w:rsid w:val="00BA142F"/>
    <w:rsid w:val="00BA5CE6"/>
    <w:rsid w:val="00BA6098"/>
    <w:rsid w:val="00BA7123"/>
    <w:rsid w:val="00BA7145"/>
    <w:rsid w:val="00BB1F53"/>
    <w:rsid w:val="00BB4C45"/>
    <w:rsid w:val="00BB5D6E"/>
    <w:rsid w:val="00BB5DAB"/>
    <w:rsid w:val="00BB7D68"/>
    <w:rsid w:val="00BC13D7"/>
    <w:rsid w:val="00BC4F80"/>
    <w:rsid w:val="00BC66B6"/>
    <w:rsid w:val="00BC6F66"/>
    <w:rsid w:val="00BD0956"/>
    <w:rsid w:val="00BD162E"/>
    <w:rsid w:val="00BD63F9"/>
    <w:rsid w:val="00BD7989"/>
    <w:rsid w:val="00BD7FB4"/>
    <w:rsid w:val="00BE1276"/>
    <w:rsid w:val="00BE1EE3"/>
    <w:rsid w:val="00BE2BCC"/>
    <w:rsid w:val="00BE3AB9"/>
    <w:rsid w:val="00BE4600"/>
    <w:rsid w:val="00BE59E5"/>
    <w:rsid w:val="00BF054B"/>
    <w:rsid w:val="00BF0B01"/>
    <w:rsid w:val="00BF2369"/>
    <w:rsid w:val="00BF3FC9"/>
    <w:rsid w:val="00C01B42"/>
    <w:rsid w:val="00C01DA4"/>
    <w:rsid w:val="00C023B7"/>
    <w:rsid w:val="00C066DE"/>
    <w:rsid w:val="00C07E4D"/>
    <w:rsid w:val="00C131B1"/>
    <w:rsid w:val="00C150C0"/>
    <w:rsid w:val="00C16464"/>
    <w:rsid w:val="00C23A2B"/>
    <w:rsid w:val="00C25445"/>
    <w:rsid w:val="00C25FF4"/>
    <w:rsid w:val="00C268A8"/>
    <w:rsid w:val="00C278D1"/>
    <w:rsid w:val="00C30832"/>
    <w:rsid w:val="00C30A3D"/>
    <w:rsid w:val="00C33984"/>
    <w:rsid w:val="00C34679"/>
    <w:rsid w:val="00C3539C"/>
    <w:rsid w:val="00C3557F"/>
    <w:rsid w:val="00C360D3"/>
    <w:rsid w:val="00C3764D"/>
    <w:rsid w:val="00C37B43"/>
    <w:rsid w:val="00C37D46"/>
    <w:rsid w:val="00C413E8"/>
    <w:rsid w:val="00C4157D"/>
    <w:rsid w:val="00C42AE2"/>
    <w:rsid w:val="00C43005"/>
    <w:rsid w:val="00C449E8"/>
    <w:rsid w:val="00C44AB5"/>
    <w:rsid w:val="00C44E1A"/>
    <w:rsid w:val="00C45453"/>
    <w:rsid w:val="00C45B12"/>
    <w:rsid w:val="00C4701D"/>
    <w:rsid w:val="00C4753C"/>
    <w:rsid w:val="00C50F78"/>
    <w:rsid w:val="00C51453"/>
    <w:rsid w:val="00C51994"/>
    <w:rsid w:val="00C52B6C"/>
    <w:rsid w:val="00C52EF6"/>
    <w:rsid w:val="00C55D1C"/>
    <w:rsid w:val="00C57AEF"/>
    <w:rsid w:val="00C57CD2"/>
    <w:rsid w:val="00C633A9"/>
    <w:rsid w:val="00C63A8B"/>
    <w:rsid w:val="00C65322"/>
    <w:rsid w:val="00C65AD8"/>
    <w:rsid w:val="00C669A4"/>
    <w:rsid w:val="00C71632"/>
    <w:rsid w:val="00C74C95"/>
    <w:rsid w:val="00C76451"/>
    <w:rsid w:val="00C77B40"/>
    <w:rsid w:val="00C80E68"/>
    <w:rsid w:val="00C80F4B"/>
    <w:rsid w:val="00C830DB"/>
    <w:rsid w:val="00C8395D"/>
    <w:rsid w:val="00C83A12"/>
    <w:rsid w:val="00C84ABD"/>
    <w:rsid w:val="00C8674B"/>
    <w:rsid w:val="00C94DA7"/>
    <w:rsid w:val="00C94EFC"/>
    <w:rsid w:val="00C96196"/>
    <w:rsid w:val="00C978C2"/>
    <w:rsid w:val="00C97E63"/>
    <w:rsid w:val="00CA1018"/>
    <w:rsid w:val="00CA1E64"/>
    <w:rsid w:val="00CA204E"/>
    <w:rsid w:val="00CA27D2"/>
    <w:rsid w:val="00CA2D95"/>
    <w:rsid w:val="00CA5120"/>
    <w:rsid w:val="00CA5770"/>
    <w:rsid w:val="00CA584F"/>
    <w:rsid w:val="00CB03BA"/>
    <w:rsid w:val="00CB4630"/>
    <w:rsid w:val="00CB4C8B"/>
    <w:rsid w:val="00CB4EE5"/>
    <w:rsid w:val="00CB574F"/>
    <w:rsid w:val="00CB7382"/>
    <w:rsid w:val="00CC4BA0"/>
    <w:rsid w:val="00CC639B"/>
    <w:rsid w:val="00CC6A74"/>
    <w:rsid w:val="00CC7295"/>
    <w:rsid w:val="00CD084C"/>
    <w:rsid w:val="00CD11EF"/>
    <w:rsid w:val="00CD13C6"/>
    <w:rsid w:val="00CE129F"/>
    <w:rsid w:val="00CE29D4"/>
    <w:rsid w:val="00CE2A4C"/>
    <w:rsid w:val="00CE31BA"/>
    <w:rsid w:val="00CE33D2"/>
    <w:rsid w:val="00CE61DD"/>
    <w:rsid w:val="00CE6234"/>
    <w:rsid w:val="00CE78F3"/>
    <w:rsid w:val="00CF07F9"/>
    <w:rsid w:val="00CF0BDE"/>
    <w:rsid w:val="00CF0CC6"/>
    <w:rsid w:val="00CF26E0"/>
    <w:rsid w:val="00CF491E"/>
    <w:rsid w:val="00CF6441"/>
    <w:rsid w:val="00CF6497"/>
    <w:rsid w:val="00D00A7E"/>
    <w:rsid w:val="00D05828"/>
    <w:rsid w:val="00D06BCF"/>
    <w:rsid w:val="00D12646"/>
    <w:rsid w:val="00D15850"/>
    <w:rsid w:val="00D16571"/>
    <w:rsid w:val="00D175DF"/>
    <w:rsid w:val="00D1760E"/>
    <w:rsid w:val="00D2424A"/>
    <w:rsid w:val="00D246DF"/>
    <w:rsid w:val="00D25158"/>
    <w:rsid w:val="00D25C84"/>
    <w:rsid w:val="00D26167"/>
    <w:rsid w:val="00D3123A"/>
    <w:rsid w:val="00D31838"/>
    <w:rsid w:val="00D3279B"/>
    <w:rsid w:val="00D35ABE"/>
    <w:rsid w:val="00D40319"/>
    <w:rsid w:val="00D414ED"/>
    <w:rsid w:val="00D431ED"/>
    <w:rsid w:val="00D45500"/>
    <w:rsid w:val="00D50F12"/>
    <w:rsid w:val="00D52788"/>
    <w:rsid w:val="00D52E51"/>
    <w:rsid w:val="00D537C1"/>
    <w:rsid w:val="00D55F7A"/>
    <w:rsid w:val="00D5624F"/>
    <w:rsid w:val="00D609BA"/>
    <w:rsid w:val="00D61311"/>
    <w:rsid w:val="00D65042"/>
    <w:rsid w:val="00D670EC"/>
    <w:rsid w:val="00D71491"/>
    <w:rsid w:val="00D73B66"/>
    <w:rsid w:val="00D7463E"/>
    <w:rsid w:val="00D74746"/>
    <w:rsid w:val="00D75015"/>
    <w:rsid w:val="00D75DEE"/>
    <w:rsid w:val="00D761E9"/>
    <w:rsid w:val="00D7631C"/>
    <w:rsid w:val="00D76640"/>
    <w:rsid w:val="00D8070E"/>
    <w:rsid w:val="00D81613"/>
    <w:rsid w:val="00D91698"/>
    <w:rsid w:val="00D91DB4"/>
    <w:rsid w:val="00D95012"/>
    <w:rsid w:val="00DA32F7"/>
    <w:rsid w:val="00DA5246"/>
    <w:rsid w:val="00DA659F"/>
    <w:rsid w:val="00DA6D8D"/>
    <w:rsid w:val="00DB2062"/>
    <w:rsid w:val="00DB35C6"/>
    <w:rsid w:val="00DB5321"/>
    <w:rsid w:val="00DB608F"/>
    <w:rsid w:val="00DB7183"/>
    <w:rsid w:val="00DB776B"/>
    <w:rsid w:val="00DC1125"/>
    <w:rsid w:val="00DC1CDA"/>
    <w:rsid w:val="00DC2BE1"/>
    <w:rsid w:val="00DC400E"/>
    <w:rsid w:val="00DD3779"/>
    <w:rsid w:val="00DD642F"/>
    <w:rsid w:val="00DD6BE7"/>
    <w:rsid w:val="00DD6F90"/>
    <w:rsid w:val="00DD7805"/>
    <w:rsid w:val="00DE2935"/>
    <w:rsid w:val="00DE58E8"/>
    <w:rsid w:val="00DE6F54"/>
    <w:rsid w:val="00DF0D83"/>
    <w:rsid w:val="00DF1164"/>
    <w:rsid w:val="00DF76D9"/>
    <w:rsid w:val="00E00AB6"/>
    <w:rsid w:val="00E05C15"/>
    <w:rsid w:val="00E06ECF"/>
    <w:rsid w:val="00E10044"/>
    <w:rsid w:val="00E1241D"/>
    <w:rsid w:val="00E12669"/>
    <w:rsid w:val="00E133D4"/>
    <w:rsid w:val="00E20FFA"/>
    <w:rsid w:val="00E22D89"/>
    <w:rsid w:val="00E22ED8"/>
    <w:rsid w:val="00E247E1"/>
    <w:rsid w:val="00E24882"/>
    <w:rsid w:val="00E254CB"/>
    <w:rsid w:val="00E26121"/>
    <w:rsid w:val="00E269C4"/>
    <w:rsid w:val="00E33727"/>
    <w:rsid w:val="00E353AE"/>
    <w:rsid w:val="00E36AC1"/>
    <w:rsid w:val="00E373BD"/>
    <w:rsid w:val="00E40DDA"/>
    <w:rsid w:val="00E43B81"/>
    <w:rsid w:val="00E45C24"/>
    <w:rsid w:val="00E45FFF"/>
    <w:rsid w:val="00E47D4B"/>
    <w:rsid w:val="00E47D56"/>
    <w:rsid w:val="00E52B60"/>
    <w:rsid w:val="00E53045"/>
    <w:rsid w:val="00E53664"/>
    <w:rsid w:val="00E55B78"/>
    <w:rsid w:val="00E56B4F"/>
    <w:rsid w:val="00E60141"/>
    <w:rsid w:val="00E6029A"/>
    <w:rsid w:val="00E6083C"/>
    <w:rsid w:val="00E6433C"/>
    <w:rsid w:val="00E65DE8"/>
    <w:rsid w:val="00E67F88"/>
    <w:rsid w:val="00E70A31"/>
    <w:rsid w:val="00E71214"/>
    <w:rsid w:val="00E71820"/>
    <w:rsid w:val="00E7383D"/>
    <w:rsid w:val="00E8179F"/>
    <w:rsid w:val="00E817AA"/>
    <w:rsid w:val="00E821F4"/>
    <w:rsid w:val="00E82C8C"/>
    <w:rsid w:val="00E83FBE"/>
    <w:rsid w:val="00E90699"/>
    <w:rsid w:val="00E90B73"/>
    <w:rsid w:val="00E90E72"/>
    <w:rsid w:val="00E92173"/>
    <w:rsid w:val="00E9316F"/>
    <w:rsid w:val="00E93724"/>
    <w:rsid w:val="00E949BF"/>
    <w:rsid w:val="00E94FC6"/>
    <w:rsid w:val="00E9529F"/>
    <w:rsid w:val="00E95919"/>
    <w:rsid w:val="00E95E4F"/>
    <w:rsid w:val="00E96856"/>
    <w:rsid w:val="00E977BA"/>
    <w:rsid w:val="00E97E83"/>
    <w:rsid w:val="00EA0BEC"/>
    <w:rsid w:val="00EA193F"/>
    <w:rsid w:val="00EA3F73"/>
    <w:rsid w:val="00EA3FF0"/>
    <w:rsid w:val="00EA46DC"/>
    <w:rsid w:val="00EA484B"/>
    <w:rsid w:val="00EA5C2F"/>
    <w:rsid w:val="00EA7AA7"/>
    <w:rsid w:val="00EB20C0"/>
    <w:rsid w:val="00EB2339"/>
    <w:rsid w:val="00EB2737"/>
    <w:rsid w:val="00EB568D"/>
    <w:rsid w:val="00EB67D4"/>
    <w:rsid w:val="00EC0280"/>
    <w:rsid w:val="00EC13EE"/>
    <w:rsid w:val="00EC1974"/>
    <w:rsid w:val="00EC2DAC"/>
    <w:rsid w:val="00EC2DE1"/>
    <w:rsid w:val="00EC3473"/>
    <w:rsid w:val="00EC3805"/>
    <w:rsid w:val="00EC626F"/>
    <w:rsid w:val="00EC6FF7"/>
    <w:rsid w:val="00EC7B8E"/>
    <w:rsid w:val="00ED04F8"/>
    <w:rsid w:val="00ED163C"/>
    <w:rsid w:val="00ED2957"/>
    <w:rsid w:val="00ED4FC5"/>
    <w:rsid w:val="00ED56CB"/>
    <w:rsid w:val="00ED68D6"/>
    <w:rsid w:val="00ED6925"/>
    <w:rsid w:val="00ED6D26"/>
    <w:rsid w:val="00ED7A10"/>
    <w:rsid w:val="00EE051F"/>
    <w:rsid w:val="00EE10FD"/>
    <w:rsid w:val="00EE1524"/>
    <w:rsid w:val="00EE3187"/>
    <w:rsid w:val="00EE32ED"/>
    <w:rsid w:val="00EE360F"/>
    <w:rsid w:val="00EE65E3"/>
    <w:rsid w:val="00EE6660"/>
    <w:rsid w:val="00EE6DA8"/>
    <w:rsid w:val="00EE7056"/>
    <w:rsid w:val="00EE7690"/>
    <w:rsid w:val="00EE7E39"/>
    <w:rsid w:val="00EF2B62"/>
    <w:rsid w:val="00EF3A95"/>
    <w:rsid w:val="00EF5D7B"/>
    <w:rsid w:val="00EF6038"/>
    <w:rsid w:val="00EF78A7"/>
    <w:rsid w:val="00F01865"/>
    <w:rsid w:val="00F02C8F"/>
    <w:rsid w:val="00F02F46"/>
    <w:rsid w:val="00F03C7D"/>
    <w:rsid w:val="00F03E24"/>
    <w:rsid w:val="00F04599"/>
    <w:rsid w:val="00F04A34"/>
    <w:rsid w:val="00F05B35"/>
    <w:rsid w:val="00F06D3D"/>
    <w:rsid w:val="00F07C54"/>
    <w:rsid w:val="00F107E5"/>
    <w:rsid w:val="00F109ED"/>
    <w:rsid w:val="00F111FA"/>
    <w:rsid w:val="00F120D4"/>
    <w:rsid w:val="00F12C52"/>
    <w:rsid w:val="00F142C7"/>
    <w:rsid w:val="00F14608"/>
    <w:rsid w:val="00F16151"/>
    <w:rsid w:val="00F164A8"/>
    <w:rsid w:val="00F1699F"/>
    <w:rsid w:val="00F2154B"/>
    <w:rsid w:val="00F25639"/>
    <w:rsid w:val="00F257D7"/>
    <w:rsid w:val="00F26960"/>
    <w:rsid w:val="00F26AFA"/>
    <w:rsid w:val="00F27C36"/>
    <w:rsid w:val="00F30869"/>
    <w:rsid w:val="00F32FAA"/>
    <w:rsid w:val="00F3512E"/>
    <w:rsid w:val="00F36029"/>
    <w:rsid w:val="00F36E5C"/>
    <w:rsid w:val="00F37238"/>
    <w:rsid w:val="00F3731A"/>
    <w:rsid w:val="00F404D4"/>
    <w:rsid w:val="00F44947"/>
    <w:rsid w:val="00F44ED5"/>
    <w:rsid w:val="00F4618A"/>
    <w:rsid w:val="00F46F96"/>
    <w:rsid w:val="00F50644"/>
    <w:rsid w:val="00F508A6"/>
    <w:rsid w:val="00F50BBB"/>
    <w:rsid w:val="00F52125"/>
    <w:rsid w:val="00F52503"/>
    <w:rsid w:val="00F53E33"/>
    <w:rsid w:val="00F547EF"/>
    <w:rsid w:val="00F57071"/>
    <w:rsid w:val="00F61421"/>
    <w:rsid w:val="00F62400"/>
    <w:rsid w:val="00F62FFF"/>
    <w:rsid w:val="00F63F39"/>
    <w:rsid w:val="00F66E3B"/>
    <w:rsid w:val="00F67762"/>
    <w:rsid w:val="00F71AF7"/>
    <w:rsid w:val="00F741FD"/>
    <w:rsid w:val="00F756EF"/>
    <w:rsid w:val="00F75C9C"/>
    <w:rsid w:val="00F775DA"/>
    <w:rsid w:val="00F81D2D"/>
    <w:rsid w:val="00F82468"/>
    <w:rsid w:val="00F862E9"/>
    <w:rsid w:val="00F902CE"/>
    <w:rsid w:val="00F95CFE"/>
    <w:rsid w:val="00F96D81"/>
    <w:rsid w:val="00F9735B"/>
    <w:rsid w:val="00F978C1"/>
    <w:rsid w:val="00FA02BD"/>
    <w:rsid w:val="00FA07A5"/>
    <w:rsid w:val="00FA211D"/>
    <w:rsid w:val="00FA291D"/>
    <w:rsid w:val="00FA33DD"/>
    <w:rsid w:val="00FA3A1D"/>
    <w:rsid w:val="00FA4110"/>
    <w:rsid w:val="00FA6096"/>
    <w:rsid w:val="00FB1133"/>
    <w:rsid w:val="00FB168B"/>
    <w:rsid w:val="00FB5D60"/>
    <w:rsid w:val="00FB5E0A"/>
    <w:rsid w:val="00FC00BE"/>
    <w:rsid w:val="00FC0A44"/>
    <w:rsid w:val="00FC1D60"/>
    <w:rsid w:val="00FC253B"/>
    <w:rsid w:val="00FC3243"/>
    <w:rsid w:val="00FC3425"/>
    <w:rsid w:val="00FC4155"/>
    <w:rsid w:val="00FC4C23"/>
    <w:rsid w:val="00FC6F4F"/>
    <w:rsid w:val="00FC7DF8"/>
    <w:rsid w:val="00FD00E4"/>
    <w:rsid w:val="00FD058A"/>
    <w:rsid w:val="00FD1744"/>
    <w:rsid w:val="00FD2061"/>
    <w:rsid w:val="00FD2157"/>
    <w:rsid w:val="00FD2965"/>
    <w:rsid w:val="00FD557D"/>
    <w:rsid w:val="00FD5699"/>
    <w:rsid w:val="00FE1109"/>
    <w:rsid w:val="00FE256A"/>
    <w:rsid w:val="00FE2955"/>
    <w:rsid w:val="00FE3DA6"/>
    <w:rsid w:val="00FE4298"/>
    <w:rsid w:val="00FE74A7"/>
    <w:rsid w:val="00FF1458"/>
    <w:rsid w:val="00FF14B0"/>
    <w:rsid w:val="00FF39B0"/>
    <w:rsid w:val="00FF6EF2"/>
    <w:rsid w:val="00FF78FC"/>
    <w:rsid w:val="01DC2608"/>
    <w:rsid w:val="02001CE7"/>
    <w:rsid w:val="032970BC"/>
    <w:rsid w:val="038871C5"/>
    <w:rsid w:val="03917BCD"/>
    <w:rsid w:val="03A708BE"/>
    <w:rsid w:val="03E70564"/>
    <w:rsid w:val="03EE0233"/>
    <w:rsid w:val="043A2CAA"/>
    <w:rsid w:val="04E51396"/>
    <w:rsid w:val="05214C05"/>
    <w:rsid w:val="06B9008F"/>
    <w:rsid w:val="06F71830"/>
    <w:rsid w:val="070D2731"/>
    <w:rsid w:val="07D53F5C"/>
    <w:rsid w:val="07D6509F"/>
    <w:rsid w:val="081166BF"/>
    <w:rsid w:val="08917570"/>
    <w:rsid w:val="08A73CD5"/>
    <w:rsid w:val="08CC135A"/>
    <w:rsid w:val="08DF24AE"/>
    <w:rsid w:val="0A426953"/>
    <w:rsid w:val="0AFA65D1"/>
    <w:rsid w:val="0C022676"/>
    <w:rsid w:val="0C9719F7"/>
    <w:rsid w:val="0CAC46AB"/>
    <w:rsid w:val="0CBE7C36"/>
    <w:rsid w:val="0D3409B8"/>
    <w:rsid w:val="0D50686A"/>
    <w:rsid w:val="0E5B0DD6"/>
    <w:rsid w:val="0E8154D6"/>
    <w:rsid w:val="0EB625FF"/>
    <w:rsid w:val="0F590B67"/>
    <w:rsid w:val="0F815AFF"/>
    <w:rsid w:val="0FD20CA4"/>
    <w:rsid w:val="11E5626B"/>
    <w:rsid w:val="120A4721"/>
    <w:rsid w:val="121C714D"/>
    <w:rsid w:val="12640F99"/>
    <w:rsid w:val="12722CE6"/>
    <w:rsid w:val="12E14B19"/>
    <w:rsid w:val="12E85F6E"/>
    <w:rsid w:val="13C93E5A"/>
    <w:rsid w:val="13D85EBA"/>
    <w:rsid w:val="142B42DF"/>
    <w:rsid w:val="148B47BE"/>
    <w:rsid w:val="15664A3B"/>
    <w:rsid w:val="15B761EC"/>
    <w:rsid w:val="15C704CC"/>
    <w:rsid w:val="15E61C80"/>
    <w:rsid w:val="160D6759"/>
    <w:rsid w:val="16A62CF3"/>
    <w:rsid w:val="16AC0ACE"/>
    <w:rsid w:val="16B15161"/>
    <w:rsid w:val="16ED26CC"/>
    <w:rsid w:val="173D05D6"/>
    <w:rsid w:val="18CD525F"/>
    <w:rsid w:val="19417346"/>
    <w:rsid w:val="197A1C29"/>
    <w:rsid w:val="19BE580A"/>
    <w:rsid w:val="19F036EF"/>
    <w:rsid w:val="1A247C62"/>
    <w:rsid w:val="1ABD34AE"/>
    <w:rsid w:val="1AE74CBC"/>
    <w:rsid w:val="1C106D3D"/>
    <w:rsid w:val="1C186AE3"/>
    <w:rsid w:val="1C1D3F52"/>
    <w:rsid w:val="1C2B0E73"/>
    <w:rsid w:val="1D5F0710"/>
    <w:rsid w:val="1D995B07"/>
    <w:rsid w:val="1DC00B0D"/>
    <w:rsid w:val="1DED226C"/>
    <w:rsid w:val="1E2E1990"/>
    <w:rsid w:val="1E3F5CB8"/>
    <w:rsid w:val="1E6F0AF0"/>
    <w:rsid w:val="1ED817C2"/>
    <w:rsid w:val="1EDD3DCB"/>
    <w:rsid w:val="1EF97B02"/>
    <w:rsid w:val="1F5E479D"/>
    <w:rsid w:val="1FDD67FE"/>
    <w:rsid w:val="1FFE2E25"/>
    <w:rsid w:val="20BA4148"/>
    <w:rsid w:val="20C252A1"/>
    <w:rsid w:val="20FC0E0D"/>
    <w:rsid w:val="22605A4F"/>
    <w:rsid w:val="22FC594E"/>
    <w:rsid w:val="239705FC"/>
    <w:rsid w:val="23D1475F"/>
    <w:rsid w:val="23F4388F"/>
    <w:rsid w:val="242547C8"/>
    <w:rsid w:val="24560BA5"/>
    <w:rsid w:val="254A0E36"/>
    <w:rsid w:val="25B003C5"/>
    <w:rsid w:val="270C2C59"/>
    <w:rsid w:val="27561F18"/>
    <w:rsid w:val="275B6B33"/>
    <w:rsid w:val="27976073"/>
    <w:rsid w:val="27D6316E"/>
    <w:rsid w:val="27E138F2"/>
    <w:rsid w:val="27FA0D7D"/>
    <w:rsid w:val="27FC00D6"/>
    <w:rsid w:val="28E662A7"/>
    <w:rsid w:val="2A0A650D"/>
    <w:rsid w:val="2A410199"/>
    <w:rsid w:val="2A777809"/>
    <w:rsid w:val="2B000781"/>
    <w:rsid w:val="2C182496"/>
    <w:rsid w:val="2C64151E"/>
    <w:rsid w:val="2D3E67CF"/>
    <w:rsid w:val="2D8D531A"/>
    <w:rsid w:val="2DCF35A7"/>
    <w:rsid w:val="2E881805"/>
    <w:rsid w:val="2EAB79EF"/>
    <w:rsid w:val="2EFE3AA4"/>
    <w:rsid w:val="2FD644D8"/>
    <w:rsid w:val="304E394B"/>
    <w:rsid w:val="3057025F"/>
    <w:rsid w:val="30CE3525"/>
    <w:rsid w:val="31792A49"/>
    <w:rsid w:val="31844F5E"/>
    <w:rsid w:val="32123283"/>
    <w:rsid w:val="32B67544"/>
    <w:rsid w:val="332C659E"/>
    <w:rsid w:val="33452270"/>
    <w:rsid w:val="334641F4"/>
    <w:rsid w:val="334748EF"/>
    <w:rsid w:val="335E712E"/>
    <w:rsid w:val="33FF68BB"/>
    <w:rsid w:val="340F6E1C"/>
    <w:rsid w:val="3456213E"/>
    <w:rsid w:val="346175BF"/>
    <w:rsid w:val="346A1169"/>
    <w:rsid w:val="348D608E"/>
    <w:rsid w:val="34CC0BDE"/>
    <w:rsid w:val="34E40DE3"/>
    <w:rsid w:val="3543033E"/>
    <w:rsid w:val="35B50FAB"/>
    <w:rsid w:val="35D62A64"/>
    <w:rsid w:val="3686235A"/>
    <w:rsid w:val="37A82620"/>
    <w:rsid w:val="37BD1B82"/>
    <w:rsid w:val="3863619E"/>
    <w:rsid w:val="393F29AD"/>
    <w:rsid w:val="39D06B69"/>
    <w:rsid w:val="39F51A93"/>
    <w:rsid w:val="3A275286"/>
    <w:rsid w:val="3BFE7C4B"/>
    <w:rsid w:val="3C634883"/>
    <w:rsid w:val="3CB93B7A"/>
    <w:rsid w:val="3CBB20EA"/>
    <w:rsid w:val="3CE62F5F"/>
    <w:rsid w:val="3CF53082"/>
    <w:rsid w:val="3CFC3DC5"/>
    <w:rsid w:val="3D21311F"/>
    <w:rsid w:val="3D9C4796"/>
    <w:rsid w:val="3EA0634B"/>
    <w:rsid w:val="41347FDE"/>
    <w:rsid w:val="42F535F3"/>
    <w:rsid w:val="44D96402"/>
    <w:rsid w:val="456520F2"/>
    <w:rsid w:val="459B49D6"/>
    <w:rsid w:val="45B32A4B"/>
    <w:rsid w:val="46A600AC"/>
    <w:rsid w:val="46BE35E4"/>
    <w:rsid w:val="47CF01DF"/>
    <w:rsid w:val="481774C1"/>
    <w:rsid w:val="484A0BD8"/>
    <w:rsid w:val="48AB0B2E"/>
    <w:rsid w:val="48CD48B9"/>
    <w:rsid w:val="494C7C61"/>
    <w:rsid w:val="4A0232B4"/>
    <w:rsid w:val="4AB32FFC"/>
    <w:rsid w:val="4AE147F6"/>
    <w:rsid w:val="4AF334D6"/>
    <w:rsid w:val="4B802543"/>
    <w:rsid w:val="4D421BF2"/>
    <w:rsid w:val="4D7A388E"/>
    <w:rsid w:val="4D864AA9"/>
    <w:rsid w:val="4F35414C"/>
    <w:rsid w:val="4F6E3929"/>
    <w:rsid w:val="50443BFB"/>
    <w:rsid w:val="51110E27"/>
    <w:rsid w:val="51CF33E3"/>
    <w:rsid w:val="51DE1CCF"/>
    <w:rsid w:val="51F82088"/>
    <w:rsid w:val="52237BD1"/>
    <w:rsid w:val="52DE56D7"/>
    <w:rsid w:val="5313502F"/>
    <w:rsid w:val="53511311"/>
    <w:rsid w:val="53D140AC"/>
    <w:rsid w:val="55104C67"/>
    <w:rsid w:val="55DD7405"/>
    <w:rsid w:val="566B4229"/>
    <w:rsid w:val="58521AFD"/>
    <w:rsid w:val="59A02AE4"/>
    <w:rsid w:val="59DF4322"/>
    <w:rsid w:val="5B2A14B9"/>
    <w:rsid w:val="5BA03BE2"/>
    <w:rsid w:val="5C467409"/>
    <w:rsid w:val="5C8866C0"/>
    <w:rsid w:val="5CB839E6"/>
    <w:rsid w:val="5D966507"/>
    <w:rsid w:val="5DBF39ED"/>
    <w:rsid w:val="5DD63F15"/>
    <w:rsid w:val="5DE74CFD"/>
    <w:rsid w:val="5ECA6134"/>
    <w:rsid w:val="5F0810FF"/>
    <w:rsid w:val="60747A45"/>
    <w:rsid w:val="609F058F"/>
    <w:rsid w:val="611F05B7"/>
    <w:rsid w:val="618B1B67"/>
    <w:rsid w:val="61E34380"/>
    <w:rsid w:val="625E4788"/>
    <w:rsid w:val="62FB507B"/>
    <w:rsid w:val="63AC1206"/>
    <w:rsid w:val="63E34498"/>
    <w:rsid w:val="64D71775"/>
    <w:rsid w:val="65A06CAA"/>
    <w:rsid w:val="65E0794B"/>
    <w:rsid w:val="65FC2867"/>
    <w:rsid w:val="664701C5"/>
    <w:rsid w:val="66877F04"/>
    <w:rsid w:val="66886A01"/>
    <w:rsid w:val="66A97960"/>
    <w:rsid w:val="66F86D31"/>
    <w:rsid w:val="6759224D"/>
    <w:rsid w:val="68241053"/>
    <w:rsid w:val="68E374F0"/>
    <w:rsid w:val="6B6B52A8"/>
    <w:rsid w:val="6B6B7A82"/>
    <w:rsid w:val="6C4277FB"/>
    <w:rsid w:val="6C8B52A2"/>
    <w:rsid w:val="6C8E708E"/>
    <w:rsid w:val="6D226437"/>
    <w:rsid w:val="6DC97A11"/>
    <w:rsid w:val="6E687ABC"/>
    <w:rsid w:val="6EC76F77"/>
    <w:rsid w:val="6F046DA3"/>
    <w:rsid w:val="6F263B9C"/>
    <w:rsid w:val="6F3351CB"/>
    <w:rsid w:val="6FFA5F7A"/>
    <w:rsid w:val="70853B04"/>
    <w:rsid w:val="71755741"/>
    <w:rsid w:val="718630A5"/>
    <w:rsid w:val="72087244"/>
    <w:rsid w:val="722D34B0"/>
    <w:rsid w:val="72720C7C"/>
    <w:rsid w:val="73186E18"/>
    <w:rsid w:val="738E00C5"/>
    <w:rsid w:val="73CB279D"/>
    <w:rsid w:val="74254A06"/>
    <w:rsid w:val="748F3B16"/>
    <w:rsid w:val="7520433B"/>
    <w:rsid w:val="758D7689"/>
    <w:rsid w:val="75956604"/>
    <w:rsid w:val="76774AFF"/>
    <w:rsid w:val="76DC69FA"/>
    <w:rsid w:val="776D3699"/>
    <w:rsid w:val="77E70D5F"/>
    <w:rsid w:val="77FF7607"/>
    <w:rsid w:val="7897188B"/>
    <w:rsid w:val="78F71EB6"/>
    <w:rsid w:val="79933128"/>
    <w:rsid w:val="799A649F"/>
    <w:rsid w:val="79CA5B85"/>
    <w:rsid w:val="7A063FE5"/>
    <w:rsid w:val="7A814F71"/>
    <w:rsid w:val="7A8D7DCC"/>
    <w:rsid w:val="7AF131DA"/>
    <w:rsid w:val="7B857A1D"/>
    <w:rsid w:val="7C582376"/>
    <w:rsid w:val="7C697567"/>
    <w:rsid w:val="7C8F35BB"/>
    <w:rsid w:val="7CF74DDE"/>
    <w:rsid w:val="7D514EAC"/>
    <w:rsid w:val="7DE75FA4"/>
    <w:rsid w:val="7E990386"/>
    <w:rsid w:val="7F7D48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nhideWhenUsed="0" w:uiPriority="39" w:semiHidden="0" w:name="toc 5"/>
    <w:lsdException w:qFormat="1" w:uiPriority="39" w:semiHidden="0" w:name="toc 6"/>
    <w:lsdException w:unhideWhenUsed="0" w:uiPriority="39" w:semiHidden="0" w:name="toc 7"/>
    <w:lsdException w:uiPriority="39" w:semiHidden="0" w:name="toc 8"/>
    <w:lsdException w:qFormat="1" w:uiPriority="39" w:semiHidden="0" w:name="toc 9"/>
    <w:lsdException w:unhideWhenUsed="0" w:uiPriority="0" w:semiHidden="0"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6"/>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134"/>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135"/>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20"/>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94"/>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174"/>
    <w:qFormat/>
    <w:uiPriority w:val="0"/>
    <w:pPr>
      <w:keepNext/>
      <w:keepLines/>
      <w:spacing w:before="240" w:after="64" w:line="320" w:lineRule="auto"/>
      <w:outlineLvl w:val="6"/>
    </w:pPr>
    <w:rPr>
      <w:b/>
      <w:bCs/>
      <w:kern w:val="0"/>
      <w:sz w:val="24"/>
    </w:rPr>
  </w:style>
  <w:style w:type="paragraph" w:styleId="9">
    <w:name w:val="heading 8"/>
    <w:basedOn w:val="1"/>
    <w:next w:val="1"/>
    <w:link w:val="82"/>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82"/>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unhideWhenUsed/>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11">
    <w:name w:val="toc 7"/>
    <w:basedOn w:val="1"/>
    <w:next w:val="1"/>
    <w:uiPriority w:val="39"/>
    <w:pPr>
      <w:ind w:left="2520" w:leftChars="1200"/>
    </w:pPr>
  </w:style>
  <w:style w:type="paragraph" w:styleId="12">
    <w:name w:val="List Number"/>
    <w:basedOn w:val="1"/>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39"/>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uiPriority w:val="0"/>
    <w:pPr>
      <w:spacing w:line="360" w:lineRule="auto"/>
      <w:jc w:val="left"/>
    </w:pPr>
    <w:rPr>
      <w:rFonts w:ascii="宋体"/>
      <w:b/>
      <w:sz w:val="24"/>
    </w:rPr>
  </w:style>
  <w:style w:type="paragraph" w:styleId="16">
    <w:name w:val="Document Map"/>
    <w:basedOn w:val="1"/>
    <w:link w:val="108"/>
    <w:uiPriority w:val="99"/>
    <w:pPr>
      <w:shd w:val="clear" w:color="auto" w:fill="000080"/>
    </w:pPr>
    <w:rPr>
      <w:kern w:val="0"/>
      <w:sz w:val="20"/>
    </w:rPr>
  </w:style>
  <w:style w:type="paragraph" w:styleId="17">
    <w:name w:val="toa heading"/>
    <w:basedOn w:val="1"/>
    <w:next w:val="1"/>
    <w:link w:val="73"/>
    <w:uiPriority w:val="0"/>
    <w:pPr>
      <w:tabs>
        <w:tab w:val="left" w:pos="0"/>
      </w:tabs>
      <w:spacing w:before="120" w:line="360" w:lineRule="auto"/>
    </w:pPr>
    <w:rPr>
      <w:rFonts w:ascii="Arial" w:hAnsi="Arial"/>
      <w:kern w:val="0"/>
      <w:sz w:val="24"/>
      <w:szCs w:val="20"/>
    </w:rPr>
  </w:style>
  <w:style w:type="paragraph" w:styleId="18">
    <w:name w:val="annotation text"/>
    <w:basedOn w:val="1"/>
    <w:link w:val="57"/>
    <w:uiPriority w:val="0"/>
    <w:pPr>
      <w:jc w:val="left"/>
    </w:pPr>
    <w:rPr>
      <w:kern w:val="0"/>
      <w:sz w:val="20"/>
    </w:rPr>
  </w:style>
  <w:style w:type="paragraph" w:styleId="19">
    <w:name w:val="Body Text 3"/>
    <w:basedOn w:val="1"/>
    <w:link w:val="87"/>
    <w:uiPriority w:val="0"/>
    <w:pPr>
      <w:snapToGrid w:val="0"/>
      <w:spacing w:before="50" w:after="50"/>
    </w:pPr>
    <w:rPr>
      <w:rFonts w:hAnsi="宋体" w:eastAsia="仿宋_GB2312"/>
      <w:b/>
      <w:bCs/>
      <w:kern w:val="0"/>
      <w:sz w:val="24"/>
      <w:szCs w:val="20"/>
    </w:rPr>
  </w:style>
  <w:style w:type="paragraph" w:styleId="20">
    <w:name w:val="Body Text"/>
    <w:basedOn w:val="1"/>
    <w:next w:val="1"/>
    <w:link w:val="65"/>
    <w:uiPriority w:val="0"/>
    <w:pPr>
      <w:spacing w:after="120"/>
    </w:pPr>
    <w:rPr>
      <w:kern w:val="0"/>
      <w:sz w:val="28"/>
    </w:rPr>
  </w:style>
  <w:style w:type="paragraph" w:styleId="21">
    <w:name w:val="Body Text Indent"/>
    <w:basedOn w:val="1"/>
    <w:link w:val="96"/>
    <w:uiPriority w:val="0"/>
    <w:pPr>
      <w:spacing w:line="200" w:lineRule="exact"/>
      <w:ind w:firstLine="301"/>
    </w:pPr>
    <w:rPr>
      <w:rFonts w:ascii="宋体" w:hAnsi="Courier New"/>
      <w:spacing w:val="-4"/>
      <w:kern w:val="0"/>
      <w:sz w:val="18"/>
      <w:szCs w:val="20"/>
    </w:rPr>
  </w:style>
  <w:style w:type="paragraph" w:styleId="22">
    <w:name w:val="List Number 3"/>
    <w:basedOn w:val="1"/>
    <w:uiPriority w:val="0"/>
    <w:pPr>
      <w:tabs>
        <w:tab w:val="left" w:pos="1200"/>
      </w:tabs>
      <w:ind w:left="1200" w:hanging="360"/>
    </w:pPr>
  </w:style>
  <w:style w:type="paragraph" w:styleId="23">
    <w:name w:val="List 2"/>
    <w:basedOn w:val="1"/>
    <w:uiPriority w:val="0"/>
    <w:pPr>
      <w:ind w:left="100" w:leftChars="200" w:hanging="200" w:hangingChars="200"/>
    </w:pPr>
    <w:rPr>
      <w:sz w:val="28"/>
    </w:rPr>
  </w:style>
  <w:style w:type="paragraph" w:styleId="24">
    <w:name w:val="List Bullet 2"/>
    <w:basedOn w:val="1"/>
    <w:uiPriority w:val="0"/>
    <w:pPr>
      <w:tabs>
        <w:tab w:val="left" w:pos="840"/>
      </w:tabs>
      <w:spacing w:line="360" w:lineRule="auto"/>
      <w:ind w:left="989" w:leftChars="471" w:firstLine="2" w:firstLineChars="1"/>
    </w:pPr>
    <w:rPr>
      <w:rFonts w:ascii="宋体"/>
      <w:sz w:val="24"/>
    </w:rPr>
  </w:style>
  <w:style w:type="paragraph" w:styleId="25">
    <w:name w:val="toc 5"/>
    <w:basedOn w:val="1"/>
    <w:next w:val="1"/>
    <w:uiPriority w:val="39"/>
    <w:pPr>
      <w:ind w:left="1680" w:leftChars="800"/>
    </w:pPr>
  </w:style>
  <w:style w:type="paragraph" w:styleId="26">
    <w:name w:val="toc 3"/>
    <w:basedOn w:val="1"/>
    <w:next w:val="1"/>
    <w:qFormat/>
    <w:uiPriority w:val="39"/>
    <w:pPr>
      <w:ind w:left="840" w:leftChars="400"/>
    </w:pPr>
  </w:style>
  <w:style w:type="paragraph" w:styleId="27">
    <w:name w:val="Plain Text"/>
    <w:basedOn w:val="1"/>
    <w:next w:val="28"/>
    <w:link w:val="219"/>
    <w:qFormat/>
    <w:uiPriority w:val="0"/>
    <w:pPr>
      <w:spacing w:beforeLines="50" w:afterLines="50" w:line="400" w:lineRule="exact"/>
    </w:pPr>
    <w:rPr>
      <w:rFonts w:ascii="宋体" w:hAnsi="Courier New"/>
      <w:kern w:val="0"/>
      <w:sz w:val="24"/>
    </w:rPr>
  </w:style>
  <w:style w:type="paragraph" w:styleId="28">
    <w:name w:val="Date"/>
    <w:basedOn w:val="1"/>
    <w:next w:val="1"/>
    <w:link w:val="205"/>
    <w:uiPriority w:val="0"/>
    <w:pPr>
      <w:ind w:left="2500" w:leftChars="2500"/>
    </w:pPr>
    <w:rPr>
      <w:rFonts w:eastAsia="楷体_GB2312"/>
      <w:kern w:val="0"/>
      <w:sz w:val="32"/>
      <w:szCs w:val="20"/>
    </w:rPr>
  </w:style>
  <w:style w:type="paragraph" w:styleId="29">
    <w:name w:val="toc 8"/>
    <w:basedOn w:val="1"/>
    <w:next w:val="1"/>
    <w:unhideWhenUsed/>
    <w:uiPriority w:val="39"/>
    <w:pPr>
      <w:ind w:left="2940" w:leftChars="1400"/>
    </w:pPr>
    <w:rPr>
      <w:rFonts w:ascii="Calibri" w:hAnsi="Calibri"/>
      <w:szCs w:val="22"/>
    </w:rPr>
  </w:style>
  <w:style w:type="paragraph" w:styleId="30">
    <w:name w:val="Body Text Indent 2"/>
    <w:basedOn w:val="1"/>
    <w:link w:val="188"/>
    <w:uiPriority w:val="0"/>
    <w:pPr>
      <w:snapToGrid w:val="0"/>
      <w:ind w:firstLine="542" w:firstLineChars="225"/>
    </w:pPr>
    <w:rPr>
      <w:rFonts w:ascii="仿宋_GB2312" w:hAnsi="宋体"/>
      <w:b/>
      <w:bCs/>
      <w:color w:val="000000"/>
      <w:kern w:val="0"/>
      <w:sz w:val="24"/>
    </w:rPr>
  </w:style>
  <w:style w:type="paragraph" w:styleId="31">
    <w:name w:val="Balloon Text"/>
    <w:basedOn w:val="1"/>
    <w:link w:val="164"/>
    <w:qFormat/>
    <w:uiPriority w:val="99"/>
    <w:rPr>
      <w:kern w:val="0"/>
      <w:sz w:val="18"/>
      <w:szCs w:val="18"/>
    </w:rPr>
  </w:style>
  <w:style w:type="paragraph" w:styleId="32">
    <w:name w:val="footer"/>
    <w:basedOn w:val="1"/>
    <w:link w:val="231"/>
    <w:autoRedefine/>
    <w:qFormat/>
    <w:uiPriority w:val="99"/>
    <w:pPr>
      <w:tabs>
        <w:tab w:val="center" w:pos="4153"/>
        <w:tab w:val="right" w:pos="8306"/>
      </w:tabs>
      <w:snapToGrid w:val="0"/>
      <w:jc w:val="left"/>
    </w:pPr>
    <w:rPr>
      <w:rFonts w:eastAsia="黑体"/>
      <w:kern w:val="0"/>
      <w:sz w:val="18"/>
      <w:szCs w:val="18"/>
    </w:rPr>
  </w:style>
  <w:style w:type="paragraph" w:styleId="33">
    <w:name w:val="header"/>
    <w:basedOn w:val="1"/>
    <w:link w:val="193"/>
    <w:autoRedefine/>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4">
    <w:name w:val="toc 1"/>
    <w:basedOn w:val="1"/>
    <w:next w:val="1"/>
    <w:autoRedefine/>
    <w:qFormat/>
    <w:uiPriority w:val="39"/>
  </w:style>
  <w:style w:type="paragraph" w:styleId="35">
    <w:name w:val="toc 4"/>
    <w:basedOn w:val="1"/>
    <w:next w:val="1"/>
    <w:autoRedefine/>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15"/>
    <w:qFormat/>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0">
    <w:name w:val="toc 2"/>
    <w:basedOn w:val="1"/>
    <w:next w:val="1"/>
    <w:autoRedefine/>
    <w:qFormat/>
    <w:uiPriority w:val="39"/>
    <w:pPr>
      <w:ind w:left="420" w:leftChars="200"/>
    </w:pPr>
  </w:style>
  <w:style w:type="paragraph" w:styleId="41">
    <w:name w:val="toc 9"/>
    <w:basedOn w:val="1"/>
    <w:next w:val="1"/>
    <w:autoRedefine/>
    <w:unhideWhenUsed/>
    <w:qFormat/>
    <w:uiPriority w:val="39"/>
    <w:pPr>
      <w:ind w:left="3360" w:leftChars="1600"/>
    </w:pPr>
    <w:rPr>
      <w:rFonts w:ascii="Calibri" w:hAnsi="Calibri"/>
      <w:szCs w:val="22"/>
    </w:rPr>
  </w:style>
  <w:style w:type="paragraph" w:styleId="42">
    <w:name w:val="Body Text 2"/>
    <w:basedOn w:val="1"/>
    <w:link w:val="165"/>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215"/>
    <w:autoRedefine/>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autoRedefine/>
    <w:qFormat/>
    <w:uiPriority w:val="0"/>
    <w:pPr>
      <w:spacing w:line="360" w:lineRule="auto"/>
      <w:jc w:val="center"/>
    </w:pPr>
    <w:rPr>
      <w:rFonts w:ascii="宋体" w:hAnsi="宋体"/>
      <w:bCs/>
    </w:rPr>
  </w:style>
  <w:style w:type="paragraph" w:styleId="45">
    <w:name w:val="Title"/>
    <w:basedOn w:val="1"/>
    <w:next w:val="1"/>
    <w:link w:val="195"/>
    <w:autoRedefine/>
    <w:qFormat/>
    <w:uiPriority w:val="0"/>
    <w:pPr>
      <w:spacing w:before="240" w:after="60"/>
      <w:jc w:val="center"/>
      <w:outlineLvl w:val="0"/>
    </w:pPr>
    <w:rPr>
      <w:rFonts w:ascii="Cambria" w:hAnsi="Cambria"/>
      <w:b/>
      <w:bCs/>
      <w:kern w:val="0"/>
      <w:sz w:val="32"/>
      <w:szCs w:val="32"/>
    </w:rPr>
  </w:style>
  <w:style w:type="paragraph" w:styleId="46">
    <w:name w:val="annotation subject"/>
    <w:basedOn w:val="18"/>
    <w:next w:val="18"/>
    <w:link w:val="145"/>
    <w:autoRedefine/>
    <w:qFormat/>
    <w:uiPriority w:val="99"/>
    <w:rPr>
      <w:b/>
      <w:bCs/>
    </w:rPr>
  </w:style>
  <w:style w:type="paragraph" w:styleId="47">
    <w:name w:val="Body Text First Indent"/>
    <w:basedOn w:val="20"/>
    <w:next w:val="37"/>
    <w:link w:val="192"/>
    <w:qFormat/>
    <w:uiPriority w:val="0"/>
    <w:pPr>
      <w:spacing w:beforeLines="50" w:afterLines="50" w:line="360" w:lineRule="auto"/>
      <w:ind w:firstLine="480" w:firstLineChars="200"/>
    </w:pPr>
    <w:rPr>
      <w:sz w:val="24"/>
    </w:rPr>
  </w:style>
  <w:style w:type="table" w:styleId="49">
    <w:name w:val="Table Grid"/>
    <w:basedOn w:val="48"/>
    <w:autoRedefine/>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autoRedefine/>
    <w:qFormat/>
    <w:uiPriority w:val="0"/>
  </w:style>
  <w:style w:type="character" w:styleId="53">
    <w:name w:val="FollowedHyperlink"/>
    <w:autoRedefine/>
    <w:qFormat/>
    <w:uiPriority w:val="99"/>
    <w:rPr>
      <w:color w:val="000000"/>
      <w:spacing w:val="21"/>
      <w:u w:val="none"/>
    </w:rPr>
  </w:style>
  <w:style w:type="character" w:styleId="54">
    <w:name w:val="Emphasis"/>
    <w:qFormat/>
    <w:uiPriority w:val="0"/>
  </w:style>
  <w:style w:type="character" w:styleId="55">
    <w:name w:val="Hyperlink"/>
    <w:autoRedefine/>
    <w:qFormat/>
    <w:uiPriority w:val="99"/>
    <w:rPr>
      <w:color w:val="000000"/>
      <w:spacing w:val="21"/>
      <w:u w:val="none"/>
    </w:rPr>
  </w:style>
  <w:style w:type="character" w:styleId="56">
    <w:name w:val="annotation reference"/>
    <w:autoRedefine/>
    <w:qFormat/>
    <w:uiPriority w:val="0"/>
    <w:rPr>
      <w:sz w:val="21"/>
      <w:szCs w:val="21"/>
    </w:rPr>
  </w:style>
  <w:style w:type="character" w:customStyle="1" w:styleId="57">
    <w:name w:val="批注文字 字符"/>
    <w:link w:val="18"/>
    <w:autoRedefine/>
    <w:qFormat/>
    <w:uiPriority w:val="0"/>
    <w:rPr>
      <w:szCs w:val="24"/>
    </w:rPr>
  </w:style>
  <w:style w:type="character" w:customStyle="1" w:styleId="58">
    <w:name w:val="￥正文 Char"/>
    <w:link w:val="59"/>
    <w:autoRedefine/>
    <w:qFormat/>
    <w:uiPriority w:val="0"/>
    <w:rPr>
      <w:rFonts w:ascii="Calibri" w:hAnsi="Calibri" w:eastAsia="宋体"/>
      <w:sz w:val="24"/>
      <w:lang w:bidi="ar-SA"/>
    </w:rPr>
  </w:style>
  <w:style w:type="paragraph" w:customStyle="1" w:styleId="59">
    <w:name w:val="￥正文"/>
    <w:basedOn w:val="1"/>
    <w:link w:val="58"/>
    <w:qFormat/>
    <w:uiPriority w:val="0"/>
    <w:pPr>
      <w:spacing w:line="360" w:lineRule="auto"/>
      <w:ind w:firstLine="200" w:firstLineChars="200"/>
    </w:pPr>
    <w:rPr>
      <w:rFonts w:ascii="Calibri" w:hAnsi="Calibri"/>
      <w:kern w:val="0"/>
      <w:sz w:val="24"/>
      <w:szCs w:val="20"/>
    </w:rPr>
  </w:style>
  <w:style w:type="character" w:customStyle="1" w:styleId="60">
    <w:name w:val="Plain Text Char"/>
    <w:autoRedefine/>
    <w:semiHidden/>
    <w:qFormat/>
    <w:locked/>
    <w:uiPriority w:val="0"/>
    <w:rPr>
      <w:rFonts w:ascii="宋体" w:hAnsi="Courier New" w:cs="Courier New"/>
      <w:kern w:val="0"/>
      <w:sz w:val="21"/>
      <w:szCs w:val="21"/>
    </w:rPr>
  </w:style>
  <w:style w:type="character" w:customStyle="1" w:styleId="61">
    <w:name w:val="Char Char2"/>
    <w:autoRedefine/>
    <w:qFormat/>
    <w:uiPriority w:val="0"/>
    <w:rPr>
      <w:rFonts w:ascii="宋体" w:hAnsi="宋体"/>
      <w:color w:val="000000"/>
      <w:kern w:val="2"/>
      <w:sz w:val="24"/>
      <w:szCs w:val="24"/>
    </w:rPr>
  </w:style>
  <w:style w:type="character" w:customStyle="1" w:styleId="62">
    <w:name w:val="标题 Char1"/>
    <w:qFormat/>
    <w:uiPriority w:val="10"/>
    <w:rPr>
      <w:rFonts w:ascii="Cambria" w:hAnsi="Cambria" w:eastAsia="宋体" w:cs="Times New Roman"/>
      <w:b/>
      <w:bCs/>
      <w:sz w:val="32"/>
      <w:szCs w:val="32"/>
    </w:rPr>
  </w:style>
  <w:style w:type="character" w:customStyle="1" w:styleId="63">
    <w:name w:val="Heading 8 Char"/>
    <w:autoRedefine/>
    <w:semiHidden/>
    <w:qFormat/>
    <w:locked/>
    <w:uiPriority w:val="0"/>
    <w:rPr>
      <w:rFonts w:ascii="Cambria" w:hAnsi="Cambria" w:eastAsia="宋体" w:cs="Times New Roman"/>
      <w:kern w:val="0"/>
      <w:sz w:val="24"/>
      <w:szCs w:val="24"/>
    </w:rPr>
  </w:style>
  <w:style w:type="character" w:customStyle="1" w:styleId="64">
    <w:name w:val="正文文本缩进 Char1"/>
    <w:semiHidden/>
    <w:qFormat/>
    <w:uiPriority w:val="99"/>
    <w:rPr>
      <w:rFonts w:ascii="Times New Roman" w:hAnsi="Times New Roman" w:eastAsia="宋体" w:cs="Times New Roman"/>
      <w:szCs w:val="24"/>
    </w:rPr>
  </w:style>
  <w:style w:type="character" w:customStyle="1" w:styleId="65">
    <w:name w:val="正文文本 字符"/>
    <w:link w:val="20"/>
    <w:qFormat/>
    <w:uiPriority w:val="0"/>
    <w:rPr>
      <w:rFonts w:ascii="Times New Roman" w:hAnsi="Times New Roman" w:eastAsia="宋体" w:cs="Times New Roman"/>
      <w:kern w:val="0"/>
      <w:sz w:val="28"/>
      <w:szCs w:val="24"/>
    </w:rPr>
  </w:style>
  <w:style w:type="character" w:customStyle="1" w:styleId="66">
    <w:name w:val="Char Char17"/>
    <w:autoRedefine/>
    <w:qFormat/>
    <w:uiPriority w:val="0"/>
    <w:rPr>
      <w:rFonts w:ascii="仿宋_GB2312" w:hAnsi="宋体" w:cs="Arial"/>
      <w:b/>
      <w:bCs/>
      <w:color w:val="000000"/>
      <w:kern w:val="2"/>
      <w:sz w:val="24"/>
      <w:szCs w:val="24"/>
    </w:rPr>
  </w:style>
  <w:style w:type="character" w:customStyle="1" w:styleId="67">
    <w:name w:val="标题 3 Char1"/>
    <w:autoRedefine/>
    <w:qFormat/>
    <w:uiPriority w:val="0"/>
    <w:rPr>
      <w:rFonts w:ascii="Times New Roman" w:hAnsi="Times New Roman" w:eastAsia="宋体" w:cs="Times New Roman"/>
      <w:b/>
      <w:bCs/>
      <w:sz w:val="32"/>
      <w:szCs w:val="32"/>
    </w:rPr>
  </w:style>
  <w:style w:type="character" w:customStyle="1" w:styleId="68">
    <w:name w:val="标书正文格式 Char"/>
    <w:link w:val="69"/>
    <w:autoRedefine/>
    <w:qFormat/>
    <w:uiPriority w:val="0"/>
    <w:rPr>
      <w:rFonts w:eastAsia="楷体_GB2312"/>
      <w:kern w:val="2"/>
      <w:sz w:val="24"/>
      <w:szCs w:val="24"/>
      <w:lang w:val="en-US" w:eastAsia="zh-CN" w:bidi="ar-SA"/>
    </w:rPr>
  </w:style>
  <w:style w:type="paragraph" w:customStyle="1" w:styleId="69">
    <w:name w:val="标书正文格式"/>
    <w:link w:val="68"/>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70">
    <w:name w:val="正文文本缩进 3 Char1"/>
    <w:semiHidden/>
    <w:qFormat/>
    <w:uiPriority w:val="99"/>
    <w:rPr>
      <w:rFonts w:ascii="Times New Roman" w:hAnsi="Times New Roman" w:eastAsia="宋体" w:cs="Times New Roman"/>
      <w:sz w:val="16"/>
      <w:szCs w:val="16"/>
    </w:rPr>
  </w:style>
  <w:style w:type="character" w:customStyle="1" w:styleId="71">
    <w:name w:val="Heading 3 - old Char"/>
    <w:qFormat/>
    <w:uiPriority w:val="0"/>
    <w:rPr>
      <w:rFonts w:ascii="Times New Roman" w:hAnsi="Times New Roman" w:eastAsia="宋体" w:cs="Times New Roman"/>
      <w:b/>
      <w:bCs/>
      <w:sz w:val="32"/>
      <w:szCs w:val="32"/>
    </w:rPr>
  </w:style>
  <w:style w:type="character" w:customStyle="1" w:styleId="72">
    <w:name w:val="Heading 9 Char"/>
    <w:autoRedefine/>
    <w:semiHidden/>
    <w:qFormat/>
    <w:locked/>
    <w:uiPriority w:val="0"/>
    <w:rPr>
      <w:rFonts w:ascii="Cambria" w:hAnsi="Cambria" w:eastAsia="宋体" w:cs="Times New Roman"/>
      <w:kern w:val="0"/>
      <w:sz w:val="21"/>
      <w:szCs w:val="21"/>
    </w:rPr>
  </w:style>
  <w:style w:type="character" w:customStyle="1" w:styleId="73">
    <w:name w:val="引文目录标题 字符"/>
    <w:link w:val="17"/>
    <w:autoRedefine/>
    <w:qFormat/>
    <w:uiPriority w:val="0"/>
    <w:rPr>
      <w:rFonts w:ascii="Arial" w:hAnsi="Arial" w:eastAsia="宋体" w:cs="Times New Roman"/>
      <w:kern w:val="0"/>
      <w:sz w:val="24"/>
      <w:szCs w:val="20"/>
    </w:rPr>
  </w:style>
  <w:style w:type="character" w:customStyle="1" w:styleId="74">
    <w:name w:val="Char Char25"/>
    <w:autoRedefine/>
    <w:qFormat/>
    <w:uiPriority w:val="0"/>
    <w:rPr>
      <w:rFonts w:eastAsia="楷体_GB2312"/>
      <w:b/>
      <w:bCs/>
      <w:kern w:val="2"/>
      <w:sz w:val="32"/>
      <w:szCs w:val="32"/>
    </w:rPr>
  </w:style>
  <w:style w:type="character" w:customStyle="1" w:styleId="75">
    <w:name w:val="Char Char14"/>
    <w:autoRedefine/>
    <w:qFormat/>
    <w:uiPriority w:val="0"/>
    <w:rPr>
      <w:kern w:val="2"/>
      <w:sz w:val="18"/>
      <w:szCs w:val="18"/>
    </w:rPr>
  </w:style>
  <w:style w:type="character" w:customStyle="1" w:styleId="76">
    <w:name w:val="Heading 1 Char"/>
    <w:qFormat/>
    <w:locked/>
    <w:uiPriority w:val="0"/>
    <w:rPr>
      <w:rFonts w:cs="Times New Roman"/>
      <w:b/>
      <w:bCs/>
      <w:kern w:val="44"/>
      <w:sz w:val="44"/>
      <w:szCs w:val="44"/>
    </w:rPr>
  </w:style>
  <w:style w:type="character" w:customStyle="1" w:styleId="77">
    <w:name w:val="Heading 7 Char"/>
    <w:semiHidden/>
    <w:qFormat/>
    <w:locked/>
    <w:uiPriority w:val="0"/>
    <w:rPr>
      <w:rFonts w:cs="Times New Roman"/>
      <w:b/>
      <w:bCs/>
      <w:kern w:val="0"/>
      <w:sz w:val="24"/>
      <w:szCs w:val="24"/>
    </w:rPr>
  </w:style>
  <w:style w:type="character" w:customStyle="1" w:styleId="78">
    <w:name w:val="3zw"/>
    <w:autoRedefine/>
    <w:qFormat/>
    <w:uiPriority w:val="0"/>
  </w:style>
  <w:style w:type="character" w:customStyle="1" w:styleId="79">
    <w:name w:val="Heading 6 Char"/>
    <w:autoRedefine/>
    <w:semiHidden/>
    <w:qFormat/>
    <w:locked/>
    <w:uiPriority w:val="0"/>
    <w:rPr>
      <w:rFonts w:ascii="Cambria" w:hAnsi="Cambria" w:eastAsia="宋体" w:cs="Times New Roman"/>
      <w:b/>
      <w:bCs/>
      <w:kern w:val="0"/>
      <w:sz w:val="24"/>
      <w:szCs w:val="24"/>
    </w:rPr>
  </w:style>
  <w:style w:type="character" w:customStyle="1" w:styleId="80">
    <w:name w:val="font61"/>
    <w:qFormat/>
    <w:uiPriority w:val="0"/>
    <w:rPr>
      <w:rFonts w:hint="eastAsia" w:ascii="宋体" w:hAnsi="宋体" w:eastAsia="宋体" w:cs="宋体"/>
      <w:color w:val="000000"/>
      <w:sz w:val="24"/>
      <w:szCs w:val="24"/>
      <w:u w:val="none"/>
    </w:rPr>
  </w:style>
  <w:style w:type="character" w:customStyle="1" w:styleId="81">
    <w:name w:val="Footer Char"/>
    <w:qFormat/>
    <w:locked/>
    <w:uiPriority w:val="0"/>
    <w:rPr>
      <w:rFonts w:ascii="Calibri" w:hAnsi="Calibri" w:eastAsia="宋体" w:cs="Times New Roman"/>
      <w:sz w:val="18"/>
      <w:szCs w:val="18"/>
    </w:rPr>
  </w:style>
  <w:style w:type="character" w:customStyle="1" w:styleId="82">
    <w:name w:val="标题 8 字符"/>
    <w:link w:val="9"/>
    <w:qFormat/>
    <w:uiPriority w:val="0"/>
    <w:rPr>
      <w:rFonts w:ascii="Arial" w:hAnsi="Arial" w:eastAsia="黑体" w:cs="Times New Roman"/>
      <w:kern w:val="0"/>
      <w:sz w:val="24"/>
      <w:szCs w:val="24"/>
    </w:rPr>
  </w:style>
  <w:style w:type="character" w:customStyle="1" w:styleId="83">
    <w:name w:val="Char Char9"/>
    <w:autoRedefine/>
    <w:qFormat/>
    <w:uiPriority w:val="0"/>
    <w:rPr>
      <w:rFonts w:eastAsia="仿宋_GB2312"/>
      <w:kern w:val="2"/>
      <w:sz w:val="18"/>
    </w:rPr>
  </w:style>
  <w:style w:type="character" w:customStyle="1" w:styleId="84">
    <w:name w:val="标题 1 Char Char"/>
    <w:autoRedefine/>
    <w:qFormat/>
    <w:uiPriority w:val="0"/>
    <w:rPr>
      <w:rFonts w:eastAsia="宋体"/>
      <w:b/>
      <w:spacing w:val="-2"/>
      <w:sz w:val="24"/>
      <w:lang w:val="en-US" w:eastAsia="zh-CN" w:bidi="ar-SA"/>
    </w:rPr>
  </w:style>
  <w:style w:type="character" w:customStyle="1" w:styleId="85">
    <w:name w:val="普通 (Web) Char1"/>
    <w:autoRedefine/>
    <w:qFormat/>
    <w:locked/>
    <w:uiPriority w:val="0"/>
    <w:rPr>
      <w:rFonts w:ascii="宋体" w:hAnsi="宋体" w:eastAsia="宋体"/>
      <w:sz w:val="24"/>
      <w:szCs w:val="24"/>
      <w:lang w:val="en-US" w:eastAsia="zh-CN" w:bidi="ar-SA"/>
    </w:rPr>
  </w:style>
  <w:style w:type="character" w:customStyle="1" w:styleId="86">
    <w:name w:val="txt1"/>
    <w:autoRedefine/>
    <w:qFormat/>
    <w:uiPriority w:val="0"/>
    <w:rPr>
      <w:rFonts w:hint="default" w:ascii="ˎ̥" w:hAnsi="ˎ̥"/>
      <w:sz w:val="18"/>
      <w:szCs w:val="18"/>
    </w:rPr>
  </w:style>
  <w:style w:type="character" w:customStyle="1" w:styleId="87">
    <w:name w:val="正文文本 3 字符"/>
    <w:link w:val="19"/>
    <w:autoRedefine/>
    <w:qFormat/>
    <w:uiPriority w:val="0"/>
    <w:rPr>
      <w:rFonts w:hAnsi="宋体" w:eastAsia="仿宋_GB2312"/>
      <w:b/>
      <w:bCs/>
      <w:sz w:val="24"/>
    </w:rPr>
  </w:style>
  <w:style w:type="character" w:customStyle="1" w:styleId="88">
    <w:name w:val="常规 Char"/>
    <w:link w:val="89"/>
    <w:qFormat/>
    <w:uiPriority w:val="0"/>
    <w:rPr>
      <w:rFonts w:eastAsia="宋体"/>
      <w:szCs w:val="21"/>
      <w:lang w:bidi="ar-SA"/>
    </w:rPr>
  </w:style>
  <w:style w:type="paragraph" w:customStyle="1" w:styleId="89">
    <w:name w:val="常规"/>
    <w:basedOn w:val="1"/>
    <w:link w:val="88"/>
    <w:autoRedefine/>
    <w:qFormat/>
    <w:uiPriority w:val="0"/>
    <w:pPr>
      <w:spacing w:before="100" w:beforeLines="100" w:after="100" w:afterLines="100"/>
      <w:ind w:left="1134"/>
    </w:pPr>
    <w:rPr>
      <w:kern w:val="0"/>
      <w:sz w:val="20"/>
      <w:szCs w:val="21"/>
    </w:rPr>
  </w:style>
  <w:style w:type="character" w:customStyle="1" w:styleId="90">
    <w:name w:val="样式 (中文) 放宋 小四号"/>
    <w:autoRedefine/>
    <w:qFormat/>
    <w:uiPriority w:val="0"/>
    <w:rPr>
      <w:rFonts w:eastAsia="仿宋_GB2312"/>
      <w:sz w:val="24"/>
    </w:rPr>
  </w:style>
  <w:style w:type="character" w:customStyle="1" w:styleId="91">
    <w:name w:val="Char Char22"/>
    <w:autoRedefine/>
    <w:qFormat/>
    <w:uiPriority w:val="0"/>
    <w:rPr>
      <w:rFonts w:ascii="Arial" w:hAnsi="Arial" w:eastAsia="黑体"/>
      <w:b/>
      <w:bCs/>
      <w:kern w:val="2"/>
      <w:sz w:val="24"/>
      <w:szCs w:val="24"/>
    </w:rPr>
  </w:style>
  <w:style w:type="character" w:customStyle="1" w:styleId="92">
    <w:name w:val="Char Char15"/>
    <w:autoRedefine/>
    <w:qFormat/>
    <w:uiPriority w:val="0"/>
    <w:rPr>
      <w:rFonts w:hAnsi="宋体" w:eastAsia="仿宋_GB2312"/>
      <w:b/>
      <w:bCs/>
      <w:kern w:val="2"/>
      <w:sz w:val="24"/>
    </w:rPr>
  </w:style>
  <w:style w:type="character" w:customStyle="1" w:styleId="93">
    <w:name w:val="H2 Char"/>
    <w:qFormat/>
    <w:uiPriority w:val="0"/>
    <w:rPr>
      <w:rFonts w:ascii="Cambria" w:hAnsi="Cambria" w:eastAsia="宋体" w:cs="Times New Roman"/>
      <w:b/>
      <w:bCs/>
      <w:sz w:val="32"/>
      <w:szCs w:val="32"/>
    </w:rPr>
  </w:style>
  <w:style w:type="character" w:customStyle="1" w:styleId="94">
    <w:name w:val="标题 6 字符"/>
    <w:link w:val="7"/>
    <w:autoRedefine/>
    <w:qFormat/>
    <w:uiPriority w:val="0"/>
    <w:rPr>
      <w:rFonts w:ascii="Arial" w:hAnsi="Arial" w:eastAsia="黑体" w:cs="Times New Roman"/>
      <w:b/>
      <w:bCs/>
      <w:kern w:val="0"/>
      <w:sz w:val="24"/>
      <w:szCs w:val="24"/>
    </w:rPr>
  </w:style>
  <w:style w:type="character" w:customStyle="1" w:styleId="95">
    <w:name w:val="Char Char13"/>
    <w:qFormat/>
    <w:uiPriority w:val="0"/>
    <w:rPr>
      <w:b/>
      <w:bCs/>
      <w:kern w:val="2"/>
      <w:sz w:val="21"/>
      <w:szCs w:val="24"/>
    </w:rPr>
  </w:style>
  <w:style w:type="character" w:customStyle="1" w:styleId="96">
    <w:name w:val="正文文本缩进 字符1"/>
    <w:link w:val="21"/>
    <w:qFormat/>
    <w:uiPriority w:val="0"/>
    <w:rPr>
      <w:rFonts w:ascii="宋体" w:hAnsi="Courier New"/>
      <w:spacing w:val="-4"/>
      <w:sz w:val="18"/>
    </w:rPr>
  </w:style>
  <w:style w:type="character" w:customStyle="1" w:styleId="97">
    <w:name w:val="纯文本 Char1"/>
    <w:autoRedefine/>
    <w:qFormat/>
    <w:uiPriority w:val="0"/>
    <w:rPr>
      <w:rFonts w:ascii="宋体" w:hAnsi="Courier New" w:eastAsia="宋体"/>
      <w:kern w:val="2"/>
      <w:sz w:val="24"/>
      <w:szCs w:val="24"/>
      <w:lang w:val="en-US" w:eastAsia="zh-CN" w:bidi="ar-SA"/>
    </w:rPr>
  </w:style>
  <w:style w:type="character" w:customStyle="1" w:styleId="98">
    <w:name w:val="Heading 2 Char"/>
    <w:autoRedefine/>
    <w:semiHidden/>
    <w:qFormat/>
    <w:locked/>
    <w:uiPriority w:val="0"/>
    <w:rPr>
      <w:rFonts w:ascii="Cambria" w:hAnsi="Cambria" w:eastAsia="宋体" w:cs="Times New Roman"/>
      <w:b/>
      <w:bCs/>
      <w:kern w:val="0"/>
      <w:sz w:val="32"/>
      <w:szCs w:val="32"/>
    </w:rPr>
  </w:style>
  <w:style w:type="character" w:customStyle="1" w:styleId="99">
    <w:name w:val="font51"/>
    <w:autoRedefine/>
    <w:qFormat/>
    <w:uiPriority w:val="0"/>
    <w:rPr>
      <w:rFonts w:hint="eastAsia" w:ascii="宋体" w:hAnsi="宋体" w:eastAsia="宋体" w:cs="宋体"/>
      <w:color w:val="auto"/>
      <w:sz w:val="18"/>
      <w:szCs w:val="18"/>
      <w:u w:val="none"/>
    </w:rPr>
  </w:style>
  <w:style w:type="character" w:customStyle="1" w:styleId="100">
    <w:name w:val="批注主题 Char1"/>
    <w:semiHidden/>
    <w:qFormat/>
    <w:uiPriority w:val="99"/>
    <w:rPr>
      <w:rFonts w:ascii="Times New Roman" w:hAnsi="Times New Roman" w:eastAsia="宋体" w:cs="Times New Roman"/>
      <w:b/>
      <w:bCs/>
      <w:szCs w:val="24"/>
    </w:rPr>
  </w:style>
  <w:style w:type="character" w:customStyle="1" w:styleId="101">
    <w:name w:val="style211"/>
    <w:autoRedefine/>
    <w:qFormat/>
    <w:uiPriority w:val="0"/>
    <w:rPr>
      <w:color w:val="0000FF"/>
    </w:rPr>
  </w:style>
  <w:style w:type="character" w:customStyle="1" w:styleId="102">
    <w:name w:val="Char Char21"/>
    <w:qFormat/>
    <w:uiPriority w:val="0"/>
    <w:rPr>
      <w:b/>
      <w:bCs/>
      <w:kern w:val="2"/>
      <w:sz w:val="24"/>
      <w:szCs w:val="24"/>
    </w:rPr>
  </w:style>
  <w:style w:type="character" w:customStyle="1" w:styleId="103">
    <w:name w:val="Char Char19"/>
    <w:qFormat/>
    <w:uiPriority w:val="0"/>
    <w:rPr>
      <w:rFonts w:ascii="Arial" w:hAnsi="Arial" w:eastAsia="黑体"/>
      <w:kern w:val="2"/>
      <w:sz w:val="21"/>
      <w:szCs w:val="21"/>
    </w:rPr>
  </w:style>
  <w:style w:type="character" w:customStyle="1" w:styleId="104">
    <w:name w:val="Char Char3"/>
    <w:autoRedefine/>
    <w:qFormat/>
    <w:uiPriority w:val="0"/>
    <w:rPr>
      <w:kern w:val="2"/>
      <w:sz w:val="24"/>
      <w:szCs w:val="24"/>
    </w:rPr>
  </w:style>
  <w:style w:type="character" w:customStyle="1" w:styleId="105">
    <w:name w:val="普通段落 Char"/>
    <w:link w:val="106"/>
    <w:autoRedefine/>
    <w:qFormat/>
    <w:uiPriority w:val="0"/>
    <w:rPr>
      <w:rFonts w:ascii="Arial" w:hAnsi="Arial" w:eastAsia="宋体"/>
      <w:lang w:bidi="ar-SA"/>
    </w:rPr>
  </w:style>
  <w:style w:type="paragraph" w:customStyle="1" w:styleId="106">
    <w:name w:val="普通段落"/>
    <w:basedOn w:val="1"/>
    <w:link w:val="105"/>
    <w:autoRedefine/>
    <w:qFormat/>
    <w:uiPriority w:val="0"/>
    <w:pPr>
      <w:spacing w:after="240" w:line="276" w:lineRule="auto"/>
    </w:pPr>
    <w:rPr>
      <w:rFonts w:ascii="Arial" w:hAnsi="Arial"/>
      <w:kern w:val="0"/>
      <w:sz w:val="20"/>
      <w:szCs w:val="20"/>
    </w:rPr>
  </w:style>
  <w:style w:type="character" w:customStyle="1" w:styleId="107">
    <w:name w:val="页脚 Char1"/>
    <w:autoRedefine/>
    <w:semiHidden/>
    <w:qFormat/>
    <w:uiPriority w:val="99"/>
    <w:rPr>
      <w:rFonts w:ascii="Times New Roman" w:hAnsi="Times New Roman" w:eastAsia="宋体" w:cs="Times New Roman"/>
      <w:sz w:val="18"/>
      <w:szCs w:val="18"/>
    </w:rPr>
  </w:style>
  <w:style w:type="character" w:customStyle="1" w:styleId="108">
    <w:name w:val="文档结构图 字符"/>
    <w:link w:val="16"/>
    <w:autoRedefine/>
    <w:qFormat/>
    <w:uiPriority w:val="99"/>
    <w:rPr>
      <w:szCs w:val="24"/>
      <w:shd w:val="clear" w:color="auto" w:fill="000080"/>
    </w:rPr>
  </w:style>
  <w:style w:type="character" w:customStyle="1" w:styleId="109">
    <w:name w:val="纯文本 Char2"/>
    <w:autoRedefine/>
    <w:semiHidden/>
    <w:qFormat/>
    <w:uiPriority w:val="99"/>
    <w:rPr>
      <w:rFonts w:ascii="宋体" w:hAnsi="Courier New" w:eastAsia="宋体" w:cs="Courier New"/>
      <w:szCs w:val="21"/>
    </w:rPr>
  </w:style>
  <w:style w:type="character" w:customStyle="1" w:styleId="110">
    <w:name w:val="Item List Char"/>
    <w:link w:val="111"/>
    <w:autoRedefine/>
    <w:qFormat/>
    <w:uiPriority w:val="0"/>
    <w:rPr>
      <w:rFonts w:cs="Arial"/>
      <w:kern w:val="2"/>
      <w:sz w:val="21"/>
      <w:szCs w:val="21"/>
      <w:lang w:val="en-US" w:eastAsia="zh-CN" w:bidi="ar-SA"/>
    </w:rPr>
  </w:style>
  <w:style w:type="paragraph" w:customStyle="1" w:styleId="111">
    <w:name w:val="Item List"/>
    <w:link w:val="110"/>
    <w:autoRedefine/>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112">
    <w:name w:val="正文样式 Char"/>
    <w:link w:val="113"/>
    <w:autoRedefine/>
    <w:qFormat/>
    <w:uiPriority w:val="0"/>
    <w:rPr>
      <w:rFonts w:ascii="宋体" w:hAnsi="Calibri" w:eastAsia="宋体" w:cs="宋体"/>
      <w:sz w:val="24"/>
      <w:szCs w:val="24"/>
      <w:lang w:val="zh-CN" w:eastAsia="en-US" w:bidi="he-IL"/>
    </w:rPr>
  </w:style>
  <w:style w:type="paragraph" w:customStyle="1" w:styleId="113">
    <w:name w:val="正文样式"/>
    <w:basedOn w:val="1"/>
    <w:link w:val="112"/>
    <w:autoRedefine/>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14">
    <w:name w:val="font41"/>
    <w:autoRedefine/>
    <w:qFormat/>
    <w:uiPriority w:val="0"/>
    <w:rPr>
      <w:rFonts w:hint="eastAsia" w:ascii="宋体" w:hAnsi="宋体" w:eastAsia="宋体" w:cs="宋体"/>
      <w:color w:val="000000"/>
      <w:sz w:val="20"/>
      <w:szCs w:val="20"/>
      <w:u w:val="none"/>
    </w:rPr>
  </w:style>
  <w:style w:type="character" w:customStyle="1" w:styleId="115">
    <w:name w:val="正文文本缩进 3 字符"/>
    <w:link w:val="38"/>
    <w:autoRedefine/>
    <w:qFormat/>
    <w:uiPriority w:val="0"/>
    <w:rPr>
      <w:rFonts w:ascii="仿宋_GB2312" w:hAnsi="宋体" w:eastAsia="仿宋_GB2312"/>
      <w:color w:val="000000"/>
      <w:sz w:val="24"/>
      <w:szCs w:val="24"/>
    </w:rPr>
  </w:style>
  <w:style w:type="character" w:customStyle="1" w:styleId="116">
    <w:name w:val="纯文本 Char3"/>
    <w:autoRedefine/>
    <w:qFormat/>
    <w:uiPriority w:val="0"/>
    <w:rPr>
      <w:rFonts w:ascii="宋体" w:hAnsi="Courier New" w:eastAsia="宋体"/>
      <w:sz w:val="24"/>
      <w:szCs w:val="24"/>
    </w:rPr>
  </w:style>
  <w:style w:type="character" w:customStyle="1" w:styleId="117">
    <w:name w:val="批注框文本 Char1"/>
    <w:autoRedefine/>
    <w:semiHidden/>
    <w:qFormat/>
    <w:uiPriority w:val="99"/>
    <w:rPr>
      <w:rFonts w:ascii="Times New Roman" w:hAnsi="Times New Roman" w:eastAsia="宋体" w:cs="Times New Roman"/>
      <w:sz w:val="18"/>
      <w:szCs w:val="18"/>
    </w:rPr>
  </w:style>
  <w:style w:type="character" w:customStyle="1" w:styleId="118">
    <w:name w:val="font81"/>
    <w:autoRedefine/>
    <w:qFormat/>
    <w:uiPriority w:val="0"/>
    <w:rPr>
      <w:rFonts w:hint="eastAsia" w:ascii="宋体" w:hAnsi="宋体" w:eastAsia="宋体" w:cs="宋体"/>
      <w:color w:val="000000"/>
      <w:sz w:val="20"/>
      <w:szCs w:val="20"/>
      <w:u w:val="none"/>
      <w:vertAlign w:val="superscript"/>
    </w:rPr>
  </w:style>
  <w:style w:type="character" w:customStyle="1" w:styleId="119">
    <w:name w:val="h Char"/>
    <w:autoRedefine/>
    <w:qFormat/>
    <w:uiPriority w:val="0"/>
    <w:rPr>
      <w:rFonts w:ascii="Times New Roman" w:hAnsi="Times New Roman" w:eastAsia="宋体" w:cs="Times New Roman"/>
      <w:sz w:val="18"/>
      <w:szCs w:val="18"/>
    </w:rPr>
  </w:style>
  <w:style w:type="character" w:customStyle="1" w:styleId="120">
    <w:name w:val="标题 5 字符"/>
    <w:link w:val="6"/>
    <w:qFormat/>
    <w:uiPriority w:val="9"/>
    <w:rPr>
      <w:rFonts w:ascii="Times New Roman" w:hAnsi="Times New Roman" w:eastAsia="宋体" w:cs="Times New Roman"/>
      <w:b/>
      <w:bCs/>
      <w:kern w:val="0"/>
      <w:sz w:val="28"/>
      <w:szCs w:val="28"/>
    </w:rPr>
  </w:style>
  <w:style w:type="character" w:customStyle="1" w:styleId="121">
    <w:name w:val="style171"/>
    <w:autoRedefine/>
    <w:qFormat/>
    <w:uiPriority w:val="0"/>
    <w:rPr>
      <w:sz w:val="20"/>
      <w:szCs w:val="20"/>
    </w:rPr>
  </w:style>
  <w:style w:type="character" w:customStyle="1" w:styleId="122">
    <w:name w:val="纯文本 字符1"/>
    <w:autoRedefine/>
    <w:qFormat/>
    <w:uiPriority w:val="0"/>
    <w:rPr>
      <w:rFonts w:ascii="宋体" w:hAnsi="Courier New" w:eastAsia="宋体"/>
      <w:sz w:val="24"/>
      <w:szCs w:val="24"/>
    </w:rPr>
  </w:style>
  <w:style w:type="character" w:customStyle="1" w:styleId="123">
    <w:name w:val="Char Char5"/>
    <w:autoRedefine/>
    <w:qFormat/>
    <w:uiPriority w:val="0"/>
    <w:rPr>
      <w:rFonts w:ascii="宋体" w:hAnsi="宋体"/>
      <w:sz w:val="24"/>
      <w:szCs w:val="24"/>
    </w:rPr>
  </w:style>
  <w:style w:type="character" w:customStyle="1" w:styleId="124">
    <w:name w:val="Char Char6"/>
    <w:qFormat/>
    <w:uiPriority w:val="0"/>
    <w:rPr>
      <w:rFonts w:ascii="Cambria" w:hAnsi="Cambria"/>
      <w:b/>
      <w:bCs/>
      <w:kern w:val="2"/>
      <w:sz w:val="32"/>
      <w:szCs w:val="32"/>
    </w:rPr>
  </w:style>
  <w:style w:type="character" w:customStyle="1" w:styleId="125">
    <w:name w:val="BOD 4 Char Char"/>
    <w:qFormat/>
    <w:uiPriority w:val="0"/>
    <w:rPr>
      <w:rFonts w:ascii="Arial" w:hAnsi="Arial" w:eastAsia="黑体" w:cs="Times New Roman"/>
      <w:b/>
      <w:bCs/>
      <w:sz w:val="24"/>
      <w:szCs w:val="24"/>
    </w:rPr>
  </w:style>
  <w:style w:type="character" w:customStyle="1" w:styleId="126">
    <w:name w:val="段落文本 Char"/>
    <w:link w:val="127"/>
    <w:autoRedefine/>
    <w:qFormat/>
    <w:uiPriority w:val="0"/>
    <w:rPr>
      <w:rFonts w:eastAsia="宋体"/>
      <w:szCs w:val="21"/>
      <w:lang w:bidi="ar-SA"/>
    </w:rPr>
  </w:style>
  <w:style w:type="paragraph" w:customStyle="1" w:styleId="127">
    <w:name w:val="段落文本"/>
    <w:basedOn w:val="1"/>
    <w:link w:val="126"/>
    <w:qFormat/>
    <w:uiPriority w:val="0"/>
    <w:pPr>
      <w:spacing w:line="360" w:lineRule="auto"/>
      <w:ind w:firstLine="420"/>
    </w:pPr>
    <w:rPr>
      <w:kern w:val="0"/>
      <w:sz w:val="20"/>
      <w:szCs w:val="21"/>
    </w:rPr>
  </w:style>
  <w:style w:type="character" w:customStyle="1" w:styleId="128">
    <w:name w:val="Header Char"/>
    <w:qFormat/>
    <w:locked/>
    <w:uiPriority w:val="0"/>
    <w:rPr>
      <w:rFonts w:ascii="Calibri" w:hAnsi="Calibri" w:eastAsia="宋体" w:cs="Times New Roman"/>
      <w:sz w:val="18"/>
      <w:szCs w:val="18"/>
    </w:rPr>
  </w:style>
  <w:style w:type="character" w:customStyle="1" w:styleId="129">
    <w:name w:val="页眉 Char1"/>
    <w:autoRedefine/>
    <w:semiHidden/>
    <w:qFormat/>
    <w:uiPriority w:val="99"/>
    <w:rPr>
      <w:rFonts w:ascii="Times New Roman" w:hAnsi="Times New Roman" w:eastAsia="宋体" w:cs="Times New Roman"/>
      <w:sz w:val="18"/>
      <w:szCs w:val="18"/>
    </w:rPr>
  </w:style>
  <w:style w:type="character" w:customStyle="1" w:styleId="130">
    <w:name w:val="cn1"/>
    <w:autoRedefine/>
    <w:qFormat/>
    <w:uiPriority w:val="0"/>
  </w:style>
  <w:style w:type="character" w:customStyle="1" w:styleId="131">
    <w:name w:val="font71"/>
    <w:autoRedefine/>
    <w:qFormat/>
    <w:uiPriority w:val="0"/>
    <w:rPr>
      <w:rFonts w:hint="default" w:ascii="Arial" w:hAnsi="Arial" w:cs="Arial"/>
      <w:color w:val="auto"/>
      <w:sz w:val="20"/>
      <w:szCs w:val="20"/>
      <w:u w:val="none"/>
    </w:rPr>
  </w:style>
  <w:style w:type="character" w:customStyle="1" w:styleId="132">
    <w:name w:val="Char Char1111"/>
    <w:autoRedefine/>
    <w:qFormat/>
    <w:uiPriority w:val="0"/>
    <w:rPr>
      <w:kern w:val="2"/>
      <w:sz w:val="28"/>
      <w:szCs w:val="24"/>
    </w:rPr>
  </w:style>
  <w:style w:type="character" w:customStyle="1" w:styleId="133">
    <w:name w:val="zhenwen14"/>
    <w:autoRedefine/>
    <w:qFormat/>
    <w:uiPriority w:val="0"/>
    <w:rPr>
      <w:color w:val="085994"/>
      <w:sz w:val="18"/>
      <w:szCs w:val="18"/>
    </w:rPr>
  </w:style>
  <w:style w:type="character" w:customStyle="1" w:styleId="134">
    <w:name w:val="标题 3 字符"/>
    <w:link w:val="4"/>
    <w:autoRedefine/>
    <w:qFormat/>
    <w:uiPriority w:val="0"/>
    <w:rPr>
      <w:rFonts w:ascii="Times New Roman" w:hAnsi="Times New Roman" w:eastAsia="楷体_GB2312" w:cs="Times New Roman"/>
      <w:b/>
      <w:bCs/>
      <w:kern w:val="0"/>
      <w:sz w:val="32"/>
      <w:szCs w:val="32"/>
    </w:rPr>
  </w:style>
  <w:style w:type="character" w:customStyle="1" w:styleId="135">
    <w:name w:val="标题 4 字符"/>
    <w:link w:val="5"/>
    <w:qFormat/>
    <w:uiPriority w:val="0"/>
    <w:rPr>
      <w:rFonts w:ascii="Arial" w:hAnsi="Arial" w:eastAsia="黑体" w:cs="Times New Roman"/>
      <w:b/>
      <w:bCs/>
      <w:kern w:val="0"/>
      <w:sz w:val="28"/>
      <w:szCs w:val="28"/>
    </w:rPr>
  </w:style>
  <w:style w:type="character" w:customStyle="1" w:styleId="136">
    <w:name w:val="style551"/>
    <w:autoRedefine/>
    <w:qFormat/>
    <w:uiPriority w:val="0"/>
    <w:rPr>
      <w:rFonts w:hint="default" w:ascii="Arial" w:hAnsi="Arial" w:cs="Arial"/>
      <w:color w:val="333333"/>
      <w:sz w:val="18"/>
      <w:szCs w:val="18"/>
    </w:rPr>
  </w:style>
  <w:style w:type="character" w:customStyle="1" w:styleId="137">
    <w:name w:val="H4 Char"/>
    <w:autoRedefine/>
    <w:qFormat/>
    <w:uiPriority w:val="0"/>
    <w:rPr>
      <w:rFonts w:ascii="Arial" w:hAnsi="Arial" w:eastAsia="黑体" w:cs="Times New Roman"/>
      <w:b/>
      <w:bCs/>
      <w:sz w:val="28"/>
      <w:szCs w:val="28"/>
    </w:rPr>
  </w:style>
  <w:style w:type="character" w:customStyle="1" w:styleId="138">
    <w:name w:val="font21"/>
    <w:qFormat/>
    <w:uiPriority w:val="0"/>
    <w:rPr>
      <w:rFonts w:hint="eastAsia" w:ascii="宋体" w:hAnsi="宋体" w:eastAsia="宋体" w:cs="宋体"/>
      <w:color w:val="000000"/>
      <w:sz w:val="20"/>
      <w:szCs w:val="20"/>
      <w:u w:val="none"/>
    </w:rPr>
  </w:style>
  <w:style w:type="character" w:customStyle="1" w:styleId="139">
    <w:name w:val="正文缩进 字符"/>
    <w:link w:val="13"/>
    <w:autoRedefine/>
    <w:qFormat/>
    <w:uiPriority w:val="0"/>
    <w:rPr>
      <w:rFonts w:eastAsia="宋体"/>
    </w:rPr>
  </w:style>
  <w:style w:type="character" w:customStyle="1" w:styleId="140">
    <w:name w:val="正文文本 3 Char1"/>
    <w:semiHidden/>
    <w:qFormat/>
    <w:uiPriority w:val="99"/>
    <w:rPr>
      <w:rFonts w:ascii="Times New Roman" w:hAnsi="Times New Roman" w:eastAsia="宋体" w:cs="Times New Roman"/>
      <w:sz w:val="16"/>
      <w:szCs w:val="16"/>
    </w:rPr>
  </w:style>
  <w:style w:type="character" w:customStyle="1" w:styleId="141">
    <w:name w:val="Char Char18"/>
    <w:autoRedefine/>
    <w:qFormat/>
    <w:uiPriority w:val="0"/>
    <w:rPr>
      <w:rFonts w:eastAsia="黑体"/>
      <w:sz w:val="18"/>
      <w:szCs w:val="18"/>
    </w:rPr>
  </w:style>
  <w:style w:type="character" w:customStyle="1" w:styleId="142">
    <w:name w:val="正文首行缩进 Char1"/>
    <w:autoRedefine/>
    <w:semiHidden/>
    <w:qFormat/>
    <w:uiPriority w:val="99"/>
    <w:rPr>
      <w:rFonts w:ascii="Times New Roman" w:hAnsi="Times New Roman" w:eastAsia="宋体" w:cs="Times New Roman"/>
      <w:szCs w:val="24"/>
    </w:rPr>
  </w:style>
  <w:style w:type="character" w:customStyle="1" w:styleId="143">
    <w:name w:val="Char Char10"/>
    <w:qFormat/>
    <w:uiPriority w:val="0"/>
    <w:rPr>
      <w:kern w:val="2"/>
      <w:sz w:val="21"/>
      <w:szCs w:val="24"/>
      <w:shd w:val="clear" w:color="auto" w:fill="000080"/>
    </w:rPr>
  </w:style>
  <w:style w:type="character" w:customStyle="1" w:styleId="144">
    <w:name w:val="表正文 Char"/>
    <w:qFormat/>
    <w:uiPriority w:val="0"/>
    <w:rPr>
      <w:rFonts w:ascii="Times New Roman" w:hAnsi="Times New Roman" w:eastAsia="宋体" w:cs="Times New Roman"/>
      <w:szCs w:val="24"/>
    </w:rPr>
  </w:style>
  <w:style w:type="character" w:customStyle="1" w:styleId="145">
    <w:name w:val="批注主题 字符"/>
    <w:link w:val="46"/>
    <w:qFormat/>
    <w:uiPriority w:val="99"/>
    <w:rPr>
      <w:b/>
      <w:bCs/>
      <w:szCs w:val="24"/>
    </w:rPr>
  </w:style>
  <w:style w:type="character" w:customStyle="1" w:styleId="146">
    <w:name w:val="A7"/>
    <w:qFormat/>
    <w:uiPriority w:val="0"/>
    <w:rPr>
      <w:rFonts w:ascii="HelveticaNeueLT Std Lt" w:eastAsia="HelveticaNeueLT Std Lt" w:cs="HelveticaNeueLT Std Lt"/>
      <w:color w:val="000000"/>
      <w:sz w:val="20"/>
      <w:szCs w:val="20"/>
    </w:rPr>
  </w:style>
  <w:style w:type="character" w:customStyle="1" w:styleId="147">
    <w:name w:val="标题 1 字符"/>
    <w:link w:val="2"/>
    <w:autoRedefine/>
    <w:qFormat/>
    <w:uiPriority w:val="9"/>
    <w:rPr>
      <w:rFonts w:ascii="Times New Roman" w:hAnsi="Times New Roman" w:eastAsia="宋体" w:cs="Times New Roman"/>
      <w:b/>
      <w:bCs/>
      <w:kern w:val="44"/>
      <w:sz w:val="44"/>
      <w:szCs w:val="44"/>
    </w:rPr>
  </w:style>
  <w:style w:type="character" w:customStyle="1" w:styleId="148">
    <w:name w:val="Char Char26"/>
    <w:autoRedefine/>
    <w:qFormat/>
    <w:uiPriority w:val="0"/>
    <w:rPr>
      <w:rFonts w:ascii="Arial" w:hAnsi="Arial" w:eastAsia="黑体"/>
      <w:b/>
      <w:bCs/>
      <w:kern w:val="2"/>
      <w:sz w:val="32"/>
      <w:szCs w:val="32"/>
    </w:rPr>
  </w:style>
  <w:style w:type="character" w:customStyle="1" w:styleId="149">
    <w:name w:val="Balloon Text Char"/>
    <w:autoRedefine/>
    <w:qFormat/>
    <w:locked/>
    <w:uiPriority w:val="0"/>
    <w:rPr>
      <w:rFonts w:cs="Times New Roman"/>
      <w:sz w:val="18"/>
      <w:szCs w:val="18"/>
    </w:rPr>
  </w:style>
  <w:style w:type="character" w:customStyle="1" w:styleId="150">
    <w:name w:val="Char Char8"/>
    <w:autoRedefine/>
    <w:qFormat/>
    <w:uiPriority w:val="0"/>
    <w:rPr>
      <w:rFonts w:eastAsia="楷体_GB2312"/>
      <w:kern w:val="2"/>
      <w:sz w:val="32"/>
    </w:rPr>
  </w:style>
  <w:style w:type="character" w:customStyle="1" w:styleId="151">
    <w:name w:val="Heading 5 Char"/>
    <w:semiHidden/>
    <w:locked/>
    <w:uiPriority w:val="0"/>
    <w:rPr>
      <w:rFonts w:cs="Times New Roman"/>
      <w:b/>
      <w:bCs/>
      <w:kern w:val="0"/>
      <w:sz w:val="28"/>
      <w:szCs w:val="28"/>
    </w:rPr>
  </w:style>
  <w:style w:type="character" w:customStyle="1" w:styleId="152">
    <w:name w:val="body1"/>
    <w:uiPriority w:val="0"/>
    <w:rPr>
      <w:rFonts w:hint="default"/>
      <w:sz w:val="18"/>
    </w:rPr>
  </w:style>
  <w:style w:type="character" w:customStyle="1" w:styleId="153">
    <w:name w:val="Char Char12"/>
    <w:uiPriority w:val="0"/>
    <w:rPr>
      <w:rFonts w:ascii="仿宋_GB2312" w:hAnsi="宋体" w:eastAsia="仿宋_GB2312"/>
      <w:color w:val="000000"/>
      <w:kern w:val="2"/>
      <w:sz w:val="24"/>
      <w:szCs w:val="24"/>
    </w:rPr>
  </w:style>
  <w:style w:type="character" w:customStyle="1" w:styleId="154">
    <w:name w:val="* table text Char"/>
    <w:link w:val="155"/>
    <w:locked/>
    <w:uiPriority w:val="0"/>
    <w:rPr>
      <w:rFonts w:ascii="Arial" w:hAnsi="Arial" w:eastAsia="宋体"/>
      <w:color w:val="333333"/>
      <w:sz w:val="18"/>
      <w:szCs w:val="18"/>
      <w:lang w:bidi="ar-SA"/>
    </w:rPr>
  </w:style>
  <w:style w:type="paragraph" w:customStyle="1" w:styleId="155">
    <w:name w:val="* table text"/>
    <w:basedOn w:val="1"/>
    <w:link w:val="154"/>
    <w:uiPriority w:val="0"/>
    <w:pPr>
      <w:widowControl/>
    </w:pPr>
    <w:rPr>
      <w:rFonts w:ascii="Arial" w:hAnsi="Arial"/>
      <w:color w:val="333333"/>
      <w:kern w:val="0"/>
      <w:sz w:val="18"/>
      <w:szCs w:val="18"/>
    </w:rPr>
  </w:style>
  <w:style w:type="character" w:customStyle="1" w:styleId="156">
    <w:name w:val="Heading 4 Char"/>
    <w:locked/>
    <w:uiPriority w:val="0"/>
    <w:rPr>
      <w:rFonts w:cs="Times New Roman"/>
      <w:b/>
      <w:sz w:val="21"/>
    </w:rPr>
  </w:style>
  <w:style w:type="character" w:customStyle="1" w:styleId="157">
    <w:name w:val="中等深浅网格 1 - 强调文字颜色 2 Char"/>
    <w:link w:val="158"/>
    <w:uiPriority w:val="0"/>
    <w:rPr>
      <w:rFonts w:ascii="Calibri" w:hAnsi="Calibri" w:eastAsia="宋体"/>
      <w:sz w:val="24"/>
      <w:lang w:bidi="ar-SA"/>
    </w:rPr>
  </w:style>
  <w:style w:type="paragraph" w:customStyle="1" w:styleId="158">
    <w:name w:val="中等深浅网格 1 - 强调文字颜色 21"/>
    <w:basedOn w:val="1"/>
    <w:link w:val="157"/>
    <w:qFormat/>
    <w:uiPriority w:val="0"/>
    <w:pPr>
      <w:spacing w:line="360" w:lineRule="auto"/>
      <w:ind w:firstLine="420" w:firstLineChars="200"/>
    </w:pPr>
    <w:rPr>
      <w:rFonts w:ascii="Calibri" w:hAnsi="Calibri"/>
      <w:kern w:val="0"/>
      <w:sz w:val="24"/>
      <w:szCs w:val="20"/>
    </w:rPr>
  </w:style>
  <w:style w:type="character" w:customStyle="1" w:styleId="159">
    <w:name w:val="def正文 Char Char"/>
    <w:link w:val="160"/>
    <w:uiPriority w:val="0"/>
    <w:rPr>
      <w:sz w:val="24"/>
      <w:szCs w:val="24"/>
    </w:rPr>
  </w:style>
  <w:style w:type="paragraph" w:customStyle="1" w:styleId="160">
    <w:name w:val="def正文"/>
    <w:basedOn w:val="20"/>
    <w:link w:val="159"/>
    <w:uiPriority w:val="0"/>
    <w:pPr>
      <w:widowControl/>
      <w:spacing w:after="0" w:line="360" w:lineRule="auto"/>
      <w:ind w:firstLine="510"/>
      <w:jc w:val="left"/>
    </w:pPr>
    <w:rPr>
      <w:sz w:val="24"/>
    </w:rPr>
  </w:style>
  <w:style w:type="character" w:customStyle="1" w:styleId="161">
    <w:name w:val="font121"/>
    <w:uiPriority w:val="0"/>
    <w:rPr>
      <w:rFonts w:hint="eastAsia" w:ascii="宋体" w:hAnsi="宋体" w:eastAsia="宋体" w:cs="宋体"/>
      <w:color w:val="000000"/>
      <w:sz w:val="20"/>
      <w:szCs w:val="20"/>
      <w:u w:val="none"/>
    </w:rPr>
  </w:style>
  <w:style w:type="character" w:customStyle="1" w:styleId="162">
    <w:name w:val="样式 加粗"/>
    <w:uiPriority w:val="0"/>
    <w:rPr>
      <w:rFonts w:eastAsia="仿宋_GB2312"/>
      <w:b/>
      <w:bCs/>
      <w:sz w:val="24"/>
    </w:rPr>
  </w:style>
  <w:style w:type="character" w:customStyle="1" w:styleId="163">
    <w:name w:val="font31"/>
    <w:uiPriority w:val="0"/>
    <w:rPr>
      <w:rFonts w:hint="default" w:ascii="Times New Roman" w:hAnsi="Times New Roman" w:cs="Times New Roman"/>
      <w:color w:val="000000"/>
      <w:sz w:val="20"/>
      <w:szCs w:val="20"/>
      <w:u w:val="none"/>
    </w:rPr>
  </w:style>
  <w:style w:type="character" w:customStyle="1" w:styleId="164">
    <w:name w:val="批注框文本 字符"/>
    <w:link w:val="31"/>
    <w:uiPriority w:val="99"/>
    <w:rPr>
      <w:sz w:val="18"/>
      <w:szCs w:val="18"/>
    </w:rPr>
  </w:style>
  <w:style w:type="character" w:customStyle="1" w:styleId="165">
    <w:name w:val="正文文本 2 字符"/>
    <w:link w:val="42"/>
    <w:uiPriority w:val="99"/>
    <w:rPr>
      <w:rFonts w:ascii="宋体" w:hAnsi="宋体"/>
      <w:color w:val="000000"/>
      <w:sz w:val="24"/>
      <w:szCs w:val="24"/>
    </w:rPr>
  </w:style>
  <w:style w:type="character" w:customStyle="1" w:styleId="166">
    <w:name w:val="H1 Char"/>
    <w:uiPriority w:val="0"/>
    <w:rPr>
      <w:rFonts w:ascii="Times New Roman" w:hAnsi="Times New Roman" w:eastAsia="宋体" w:cs="Times New Roman"/>
      <w:b/>
      <w:bCs/>
      <w:kern w:val="44"/>
      <w:sz w:val="44"/>
      <w:szCs w:val="44"/>
    </w:rPr>
  </w:style>
  <w:style w:type="character" w:customStyle="1" w:styleId="167">
    <w:name w:val="正文文字缩进4字符 Char"/>
    <w:uiPriority w:val="0"/>
    <w:rPr>
      <w:rFonts w:ascii="Times New Roman" w:hAnsi="Times New Roman" w:eastAsia="宋体" w:cs="Times New Roman"/>
      <w:sz w:val="24"/>
      <w:szCs w:val="24"/>
    </w:rPr>
  </w:style>
  <w:style w:type="character" w:customStyle="1" w:styleId="168">
    <w:name w:val="unnamed21"/>
    <w:uiPriority w:val="0"/>
    <w:rPr>
      <w:b/>
      <w:bCs/>
      <w:spacing w:val="330"/>
      <w:sz w:val="21"/>
      <w:szCs w:val="21"/>
    </w:rPr>
  </w:style>
  <w:style w:type="character" w:customStyle="1" w:styleId="169">
    <w:name w:val="wj1"/>
    <w:uiPriority w:val="0"/>
    <w:rPr>
      <w:color w:val="000000"/>
      <w:sz w:val="18"/>
      <w:szCs w:val="18"/>
      <w:u w:val="none"/>
    </w:rPr>
  </w:style>
  <w:style w:type="character" w:customStyle="1" w:styleId="170">
    <w:name w:val="Body Text Indent 3 Char"/>
    <w:locked/>
    <w:uiPriority w:val="0"/>
    <w:rPr>
      <w:rFonts w:cs="Times New Roman"/>
      <w:kern w:val="2"/>
      <w:sz w:val="16"/>
      <w:szCs w:val="16"/>
    </w:rPr>
  </w:style>
  <w:style w:type="character" w:customStyle="1" w:styleId="171">
    <w:name w:val="￥正文 Char Char"/>
    <w:uiPriority w:val="0"/>
    <w:rPr>
      <w:rFonts w:ascii="Calibri" w:hAnsi="Calibri"/>
      <w:sz w:val="24"/>
    </w:rPr>
  </w:style>
  <w:style w:type="character" w:customStyle="1" w:styleId="172">
    <w:name w:val="word14"/>
    <w:basedOn w:val="50"/>
    <w:uiPriority w:val="0"/>
  </w:style>
  <w:style w:type="character" w:customStyle="1" w:styleId="173">
    <w:name w:val="样式7 Char"/>
    <w:uiPriority w:val="0"/>
    <w:rPr>
      <w:rFonts w:eastAsia="宋体" w:cs="宋体"/>
      <w:kern w:val="2"/>
      <w:sz w:val="24"/>
      <w:szCs w:val="24"/>
      <w:lang w:val="en-US" w:eastAsia="zh-CN" w:bidi="ar-SA"/>
    </w:rPr>
  </w:style>
  <w:style w:type="character" w:customStyle="1" w:styleId="174">
    <w:name w:val="标题 7 字符"/>
    <w:link w:val="8"/>
    <w:uiPriority w:val="0"/>
    <w:rPr>
      <w:rFonts w:ascii="Times New Roman" w:hAnsi="Times New Roman" w:eastAsia="宋体" w:cs="Times New Roman"/>
      <w:b/>
      <w:bCs/>
      <w:kern w:val="0"/>
      <w:sz w:val="24"/>
      <w:szCs w:val="24"/>
    </w:rPr>
  </w:style>
  <w:style w:type="character" w:customStyle="1" w:styleId="175">
    <w:name w:val="文章正文 Char Char"/>
    <w:link w:val="176"/>
    <w:uiPriority w:val="0"/>
    <w:rPr>
      <w:rFonts w:ascii="宋体" w:hAnsi="宋体"/>
      <w:sz w:val="24"/>
      <w:szCs w:val="24"/>
    </w:rPr>
  </w:style>
  <w:style w:type="paragraph" w:customStyle="1" w:styleId="176">
    <w:name w:val="文章正文"/>
    <w:basedOn w:val="1"/>
    <w:link w:val="175"/>
    <w:uiPriority w:val="0"/>
    <w:pPr>
      <w:spacing w:line="360" w:lineRule="auto"/>
      <w:ind w:firstLine="200" w:firstLineChars="200"/>
      <w:jc w:val="left"/>
    </w:pPr>
    <w:rPr>
      <w:rFonts w:ascii="宋体" w:hAnsi="宋体"/>
      <w:kern w:val="0"/>
      <w:sz w:val="24"/>
    </w:rPr>
  </w:style>
  <w:style w:type="character" w:customStyle="1" w:styleId="177">
    <w:name w:val="无格式标题 Char"/>
    <w:link w:val="178"/>
    <w:uiPriority w:val="0"/>
    <w:rPr>
      <w:rFonts w:ascii="微软雅黑" w:hAnsi="微软雅黑" w:eastAsia="微软雅黑"/>
      <w:b/>
      <w:szCs w:val="24"/>
      <w:lang w:bidi="ar-SA"/>
    </w:rPr>
  </w:style>
  <w:style w:type="paragraph" w:customStyle="1" w:styleId="178">
    <w:name w:val="无格式标题"/>
    <w:basedOn w:val="1"/>
    <w:link w:val="177"/>
    <w:qFormat/>
    <w:uiPriority w:val="0"/>
    <w:pPr>
      <w:spacing w:line="360" w:lineRule="auto"/>
    </w:pPr>
    <w:rPr>
      <w:rFonts w:ascii="微软雅黑" w:hAnsi="微软雅黑" w:eastAsia="微软雅黑"/>
      <w:b/>
      <w:kern w:val="0"/>
      <w:sz w:val="20"/>
    </w:rPr>
  </w:style>
  <w:style w:type="character" w:customStyle="1" w:styleId="179">
    <w:name w:val="正文1 Char Char"/>
    <w:link w:val="180"/>
    <w:uiPriority w:val="0"/>
    <w:rPr>
      <w:rFonts w:ascii="宋体" w:hAnsi="宋体" w:eastAsia="宋体"/>
      <w:color w:val="000000"/>
      <w:sz w:val="24"/>
    </w:rPr>
  </w:style>
  <w:style w:type="paragraph" w:customStyle="1" w:styleId="180">
    <w:name w:val="正文1"/>
    <w:basedOn w:val="1"/>
    <w:link w:val="179"/>
    <w:uiPriority w:val="0"/>
    <w:pPr>
      <w:spacing w:line="360" w:lineRule="auto"/>
      <w:ind w:firstLine="200" w:firstLineChars="200"/>
      <w:jc w:val="left"/>
    </w:pPr>
    <w:rPr>
      <w:rFonts w:ascii="宋体" w:hAnsi="宋体"/>
      <w:color w:val="000000"/>
      <w:kern w:val="0"/>
      <w:sz w:val="24"/>
      <w:szCs w:val="20"/>
    </w:rPr>
  </w:style>
  <w:style w:type="character" w:customStyle="1" w:styleId="181">
    <w:name w:val="日期 Char1"/>
    <w:semiHidden/>
    <w:uiPriority w:val="99"/>
    <w:rPr>
      <w:rFonts w:ascii="Times New Roman" w:hAnsi="Times New Roman" w:eastAsia="宋体" w:cs="Times New Roman"/>
      <w:szCs w:val="24"/>
    </w:rPr>
  </w:style>
  <w:style w:type="character" w:customStyle="1" w:styleId="182">
    <w:name w:val="标题 9 字符"/>
    <w:link w:val="10"/>
    <w:uiPriority w:val="0"/>
    <w:rPr>
      <w:rFonts w:ascii="Arial" w:hAnsi="Arial" w:eastAsia="黑体" w:cs="Times New Roman"/>
      <w:kern w:val="0"/>
      <w:sz w:val="20"/>
      <w:szCs w:val="21"/>
    </w:rPr>
  </w:style>
  <w:style w:type="character" w:customStyle="1" w:styleId="183">
    <w:name w:val="文档结构图 Char1"/>
    <w:semiHidden/>
    <w:uiPriority w:val="99"/>
    <w:rPr>
      <w:rFonts w:ascii="宋体" w:hAnsi="Times New Roman" w:eastAsia="宋体" w:cs="Times New Roman"/>
      <w:sz w:val="18"/>
      <w:szCs w:val="18"/>
    </w:rPr>
  </w:style>
  <w:style w:type="character" w:customStyle="1" w:styleId="184">
    <w:name w:val="彩色列表 - 强调文字颜色 1 Char"/>
    <w:link w:val="185"/>
    <w:uiPriority w:val="0"/>
    <w:rPr>
      <w:rFonts w:ascii="微软雅黑" w:hAnsi="微软雅黑" w:eastAsia="微软雅黑" w:cs="宋体"/>
      <w:kern w:val="2"/>
      <w:sz w:val="24"/>
      <w:szCs w:val="21"/>
      <w:lang w:val="en-US" w:eastAsia="zh-CN" w:bidi="ar-SA"/>
    </w:rPr>
  </w:style>
  <w:style w:type="paragraph" w:customStyle="1" w:styleId="185">
    <w:name w:val="列出段落2"/>
    <w:basedOn w:val="1"/>
    <w:link w:val="184"/>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186">
    <w:name w:val="A正文 Char"/>
    <w:link w:val="187"/>
    <w:uiPriority w:val="0"/>
    <w:rPr>
      <w:szCs w:val="24"/>
    </w:rPr>
  </w:style>
  <w:style w:type="paragraph" w:customStyle="1" w:styleId="187">
    <w:name w:val="A正文"/>
    <w:basedOn w:val="1"/>
    <w:link w:val="186"/>
    <w:uiPriority w:val="0"/>
    <w:pPr>
      <w:spacing w:line="360" w:lineRule="auto"/>
      <w:ind w:firstLine="200" w:firstLineChars="200"/>
    </w:pPr>
    <w:rPr>
      <w:kern w:val="0"/>
      <w:sz w:val="20"/>
    </w:rPr>
  </w:style>
  <w:style w:type="character" w:customStyle="1" w:styleId="188">
    <w:name w:val="正文文本缩进 2 字符"/>
    <w:link w:val="30"/>
    <w:uiPriority w:val="0"/>
    <w:rPr>
      <w:rFonts w:ascii="仿宋_GB2312" w:hAnsi="宋体" w:cs="Arial"/>
      <w:b/>
      <w:bCs/>
      <w:color w:val="000000"/>
      <w:sz w:val="24"/>
      <w:szCs w:val="24"/>
    </w:rPr>
  </w:style>
  <w:style w:type="character" w:customStyle="1" w:styleId="189">
    <w:name w:val="Char Char23"/>
    <w:uiPriority w:val="0"/>
    <w:rPr>
      <w:b/>
      <w:bCs/>
      <w:kern w:val="2"/>
      <w:sz w:val="28"/>
      <w:szCs w:val="28"/>
    </w:rPr>
  </w:style>
  <w:style w:type="character" w:customStyle="1" w:styleId="190">
    <w:name w:val="纯文本 字符"/>
    <w:uiPriority w:val="0"/>
    <w:rPr>
      <w:rFonts w:ascii="宋体" w:hAnsi="Courier New"/>
      <w:sz w:val="24"/>
      <w:szCs w:val="24"/>
    </w:rPr>
  </w:style>
  <w:style w:type="character" w:customStyle="1" w:styleId="191">
    <w:name w:val="正文文本 Char"/>
    <w:uiPriority w:val="0"/>
    <w:rPr>
      <w:rFonts w:ascii="Times New Roman" w:hAnsi="Times New Roman" w:eastAsia="宋体" w:cs="Times New Roman"/>
      <w:szCs w:val="24"/>
    </w:rPr>
  </w:style>
  <w:style w:type="character" w:customStyle="1" w:styleId="192">
    <w:name w:val="正文文本首行缩进 字符"/>
    <w:link w:val="47"/>
    <w:uiPriority w:val="0"/>
    <w:rPr>
      <w:sz w:val="24"/>
      <w:szCs w:val="24"/>
    </w:rPr>
  </w:style>
  <w:style w:type="character" w:customStyle="1" w:styleId="193">
    <w:name w:val="页眉 字符"/>
    <w:link w:val="33"/>
    <w:uiPriority w:val="99"/>
    <w:rPr>
      <w:rFonts w:eastAsia="仿宋_GB2312"/>
      <w:sz w:val="18"/>
    </w:rPr>
  </w:style>
  <w:style w:type="character" w:customStyle="1" w:styleId="194">
    <w:name w:val="Char Char24"/>
    <w:uiPriority w:val="0"/>
    <w:rPr>
      <w:rFonts w:ascii="Arial" w:hAnsi="Arial" w:eastAsia="黑体"/>
      <w:b/>
      <w:bCs/>
      <w:kern w:val="2"/>
      <w:sz w:val="28"/>
      <w:szCs w:val="28"/>
    </w:rPr>
  </w:style>
  <w:style w:type="character" w:customStyle="1" w:styleId="195">
    <w:name w:val="标题 字符"/>
    <w:link w:val="45"/>
    <w:uiPriority w:val="0"/>
    <w:rPr>
      <w:rFonts w:ascii="Cambria" w:hAnsi="Cambria"/>
      <w:b/>
      <w:bCs/>
      <w:sz w:val="32"/>
      <w:szCs w:val="32"/>
    </w:rPr>
  </w:style>
  <w:style w:type="character" w:customStyle="1" w:styleId="196">
    <w:name w:val="正文首行缩进1 Char"/>
    <w:uiPriority w:val="0"/>
    <w:rPr>
      <w:rFonts w:ascii="Arial" w:hAnsi="Arial" w:eastAsia="宋体"/>
      <w:sz w:val="24"/>
      <w:szCs w:val="21"/>
      <w:lang w:bidi="ar-SA"/>
    </w:rPr>
  </w:style>
  <w:style w:type="character" w:customStyle="1" w:styleId="197">
    <w:name w:val="Char Char16"/>
    <w:uiPriority w:val="0"/>
    <w:rPr>
      <w:rFonts w:ascii="宋体" w:hAnsi="Courier New"/>
      <w:spacing w:val="-4"/>
      <w:kern w:val="2"/>
      <w:sz w:val="18"/>
    </w:rPr>
  </w:style>
  <w:style w:type="character" w:customStyle="1" w:styleId="198">
    <w:name w:val="正文文本缩进 2 Char1"/>
    <w:semiHidden/>
    <w:uiPriority w:val="99"/>
    <w:rPr>
      <w:rFonts w:ascii="Times New Roman" w:hAnsi="Times New Roman" w:eastAsia="宋体" w:cs="Times New Roman"/>
      <w:szCs w:val="24"/>
    </w:rPr>
  </w:style>
  <w:style w:type="character" w:customStyle="1" w:styleId="199">
    <w:name w:val="页脚 Char"/>
    <w:uiPriority w:val="99"/>
    <w:rPr>
      <w:rFonts w:eastAsia="Calibri"/>
      <w:sz w:val="21"/>
    </w:rPr>
  </w:style>
  <w:style w:type="character" w:customStyle="1" w:styleId="200">
    <w:name w:val="批注文字 Char1"/>
    <w:semiHidden/>
    <w:uiPriority w:val="99"/>
    <w:rPr>
      <w:rFonts w:ascii="Times New Roman" w:hAnsi="Times New Roman" w:eastAsia="宋体" w:cs="Times New Roman"/>
      <w:szCs w:val="24"/>
    </w:rPr>
  </w:style>
  <w:style w:type="character" w:customStyle="1" w:styleId="201">
    <w:name w:val="Normal Indent Char"/>
    <w:locked/>
    <w:uiPriority w:val="0"/>
    <w:rPr>
      <w:sz w:val="20"/>
    </w:rPr>
  </w:style>
  <w:style w:type="character" w:customStyle="1" w:styleId="202">
    <w:name w:val="Char Char7"/>
    <w:uiPriority w:val="0"/>
    <w:rPr>
      <w:rFonts w:eastAsia="宋体"/>
      <w:kern w:val="2"/>
      <w:sz w:val="21"/>
      <w:lang w:val="en-US" w:eastAsia="zh-CN" w:bidi="ar-SA"/>
    </w:rPr>
  </w:style>
  <w:style w:type="character" w:customStyle="1" w:styleId="203">
    <w:name w:val="粘贴正文 Char"/>
    <w:link w:val="204"/>
    <w:uiPriority w:val="0"/>
    <w:rPr>
      <w:kern w:val="2"/>
      <w:sz w:val="24"/>
      <w:szCs w:val="21"/>
      <w:lang w:val="en-US" w:eastAsia="zh-CN" w:bidi="ar-SA"/>
    </w:rPr>
  </w:style>
  <w:style w:type="paragraph" w:customStyle="1" w:styleId="204">
    <w:name w:val="粘贴正文"/>
    <w:link w:val="203"/>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205">
    <w:name w:val="日期 字符"/>
    <w:link w:val="28"/>
    <w:uiPriority w:val="0"/>
    <w:rPr>
      <w:rFonts w:eastAsia="楷体_GB2312"/>
      <w:sz w:val="32"/>
    </w:rPr>
  </w:style>
  <w:style w:type="character" w:customStyle="1" w:styleId="206">
    <w:name w:val="con-all2"/>
    <w:uiPriority w:val="0"/>
  </w:style>
  <w:style w:type="character" w:customStyle="1" w:styleId="207">
    <w:name w:val="表格文本 Char Char"/>
    <w:link w:val="208"/>
    <w:uiPriority w:val="0"/>
    <w:rPr>
      <w:rFonts w:ascii="Arial" w:hAnsi="Arial"/>
      <w:kern w:val="2"/>
      <w:sz w:val="21"/>
      <w:szCs w:val="21"/>
      <w:lang w:val="en-US" w:eastAsia="zh-CN" w:bidi="ar-SA"/>
    </w:rPr>
  </w:style>
  <w:style w:type="paragraph" w:customStyle="1" w:styleId="208">
    <w:name w:val="表格文本 Char"/>
    <w:link w:val="207"/>
    <w:qFormat/>
    <w:uiPriority w:val="0"/>
    <w:pPr>
      <w:tabs>
        <w:tab w:val="decimal" w:pos="0"/>
      </w:tabs>
    </w:pPr>
    <w:rPr>
      <w:rFonts w:ascii="Arial" w:hAnsi="Arial" w:eastAsia="宋体" w:cs="Times New Roman"/>
      <w:kern w:val="2"/>
      <w:sz w:val="21"/>
      <w:szCs w:val="21"/>
      <w:lang w:val="en-US" w:eastAsia="zh-CN" w:bidi="ar-SA"/>
    </w:rPr>
  </w:style>
  <w:style w:type="character" w:customStyle="1" w:styleId="209">
    <w:name w:val="font91"/>
    <w:qFormat/>
    <w:uiPriority w:val="0"/>
    <w:rPr>
      <w:rFonts w:hint="default" w:ascii="Arial" w:hAnsi="Arial" w:cs="Arial"/>
      <w:b/>
      <w:color w:val="auto"/>
      <w:sz w:val="20"/>
      <w:szCs w:val="20"/>
      <w:u w:val="none"/>
    </w:rPr>
  </w:style>
  <w:style w:type="character" w:customStyle="1" w:styleId="210">
    <w:name w:val="Char Char1"/>
    <w:uiPriority w:val="0"/>
    <w:rPr>
      <w:kern w:val="2"/>
      <w:sz w:val="21"/>
      <w:szCs w:val="24"/>
    </w:rPr>
  </w:style>
  <w:style w:type="character" w:customStyle="1" w:styleId="211">
    <w:name w:val="正文文本 2 Char1"/>
    <w:semiHidden/>
    <w:uiPriority w:val="99"/>
    <w:rPr>
      <w:rFonts w:ascii="Times New Roman" w:hAnsi="Times New Roman" w:eastAsia="宋体" w:cs="Times New Roman"/>
      <w:szCs w:val="24"/>
    </w:rPr>
  </w:style>
  <w:style w:type="character" w:customStyle="1" w:styleId="212">
    <w:name w:val="内容文本 Char"/>
    <w:link w:val="213"/>
    <w:uiPriority w:val="0"/>
    <w:rPr>
      <w:rFonts w:ascii="宋体" w:hAnsi="宋体" w:eastAsia="宋体"/>
      <w:kern w:val="2"/>
      <w:sz w:val="24"/>
      <w:szCs w:val="24"/>
      <w:lang w:bidi="ar-SA"/>
    </w:rPr>
  </w:style>
  <w:style w:type="paragraph" w:customStyle="1" w:styleId="213">
    <w:name w:val="内容文本"/>
    <w:basedOn w:val="1"/>
    <w:link w:val="212"/>
    <w:qFormat/>
    <w:uiPriority w:val="0"/>
    <w:pPr>
      <w:spacing w:line="360" w:lineRule="auto"/>
      <w:ind w:firstLine="480" w:firstLineChars="200"/>
    </w:pPr>
    <w:rPr>
      <w:rFonts w:ascii="宋体" w:hAnsi="宋体"/>
      <w:sz w:val="24"/>
    </w:rPr>
  </w:style>
  <w:style w:type="character" w:customStyle="1" w:styleId="214">
    <w:name w:val="font131"/>
    <w:uiPriority w:val="0"/>
    <w:rPr>
      <w:rFonts w:hint="eastAsia" w:ascii="宋体" w:hAnsi="宋体" w:eastAsia="宋体" w:cs="宋体"/>
      <w:color w:val="000000"/>
      <w:sz w:val="20"/>
      <w:szCs w:val="20"/>
      <w:u w:val="none"/>
    </w:rPr>
  </w:style>
  <w:style w:type="character" w:customStyle="1" w:styleId="215">
    <w:name w:val="普通(网站) 字符"/>
    <w:link w:val="43"/>
    <w:uiPriority w:val="0"/>
    <w:rPr>
      <w:rFonts w:ascii="宋体" w:hAnsi="宋体"/>
      <w:sz w:val="24"/>
      <w:szCs w:val="24"/>
    </w:rPr>
  </w:style>
  <w:style w:type="character" w:customStyle="1" w:styleId="216">
    <w:name w:val="标题 2 字符"/>
    <w:link w:val="3"/>
    <w:uiPriority w:val="9"/>
    <w:rPr>
      <w:rFonts w:ascii="Arial" w:hAnsi="Arial" w:eastAsia="黑体" w:cs="Times New Roman"/>
      <w:b/>
      <w:bCs/>
      <w:kern w:val="0"/>
      <w:sz w:val="32"/>
      <w:szCs w:val="32"/>
    </w:rPr>
  </w:style>
  <w:style w:type="character" w:customStyle="1" w:styleId="217">
    <w:name w:val="!标题3 Ctrl+3 Char"/>
    <w:link w:val="218"/>
    <w:locked/>
    <w:uiPriority w:val="0"/>
    <w:rPr>
      <w:rFonts w:ascii="Arial" w:hAnsi="Arial" w:eastAsia="黑体"/>
      <w:b/>
      <w:kern w:val="2"/>
      <w:sz w:val="32"/>
      <w:szCs w:val="32"/>
    </w:rPr>
  </w:style>
  <w:style w:type="paragraph" w:customStyle="1" w:styleId="218">
    <w:name w:val="!标题3 Ctrl+3"/>
    <w:basedOn w:val="4"/>
    <w:next w:val="1"/>
    <w:link w:val="217"/>
    <w:uiPriority w:val="0"/>
    <w:pPr>
      <w:keepNext w:val="0"/>
      <w:keepLines w:val="0"/>
      <w:tabs>
        <w:tab w:val="left" w:pos="709"/>
      </w:tabs>
      <w:adjustRightInd w:val="0"/>
      <w:snapToGrid w:val="0"/>
      <w:spacing w:before="234" w:beforeLines="75" w:after="78" w:afterLines="25" w:line="360" w:lineRule="auto"/>
      <w:ind w:left="709" w:hanging="709"/>
      <w:jc w:val="both"/>
    </w:pPr>
    <w:rPr>
      <w:rFonts w:ascii="Arial" w:hAnsi="Arial" w:eastAsia="黑体"/>
      <w:bCs w:val="0"/>
      <w:kern w:val="2"/>
    </w:rPr>
  </w:style>
  <w:style w:type="character" w:customStyle="1" w:styleId="219">
    <w:name w:val="纯文本 字符2"/>
    <w:link w:val="27"/>
    <w:uiPriority w:val="0"/>
    <w:rPr>
      <w:rFonts w:ascii="宋体" w:hAnsi="Courier New" w:eastAsia="宋体"/>
      <w:sz w:val="24"/>
      <w:szCs w:val="24"/>
    </w:rPr>
  </w:style>
  <w:style w:type="character" w:customStyle="1" w:styleId="220">
    <w:name w:val="Body Text Char"/>
    <w:semiHidden/>
    <w:locked/>
    <w:uiPriority w:val="0"/>
    <w:rPr>
      <w:rFonts w:cs="Times New Roman"/>
      <w:kern w:val="0"/>
      <w:sz w:val="21"/>
      <w:szCs w:val="21"/>
    </w:rPr>
  </w:style>
  <w:style w:type="character" w:customStyle="1" w:styleId="221">
    <w:name w:val="Heading 3 Char"/>
    <w:semiHidden/>
    <w:locked/>
    <w:uiPriority w:val="0"/>
    <w:rPr>
      <w:rFonts w:cs="Times New Roman"/>
      <w:b/>
      <w:bCs/>
      <w:kern w:val="0"/>
      <w:sz w:val="32"/>
      <w:szCs w:val="32"/>
    </w:rPr>
  </w:style>
  <w:style w:type="character" w:customStyle="1" w:styleId="222">
    <w:name w:val="彩色列表 - 着色 1 字符"/>
    <w:link w:val="223"/>
    <w:locked/>
    <w:uiPriority w:val="34"/>
    <w:rPr>
      <w:rFonts w:ascii="Times New Roman" w:hAnsi="Times New Roman"/>
      <w:kern w:val="2"/>
      <w:sz w:val="21"/>
      <w:szCs w:val="24"/>
    </w:rPr>
  </w:style>
  <w:style w:type="paragraph" w:customStyle="1" w:styleId="223">
    <w:name w:val="彩色列表 - 着色 11"/>
    <w:basedOn w:val="1"/>
    <w:link w:val="222"/>
    <w:qFormat/>
    <w:uiPriority w:val="34"/>
    <w:pPr>
      <w:ind w:firstLine="420" w:firstLineChars="200"/>
    </w:pPr>
  </w:style>
  <w:style w:type="character" w:customStyle="1" w:styleId="224">
    <w:name w:val="正文文本缩进 字符"/>
    <w:uiPriority w:val="0"/>
    <w:rPr>
      <w:rFonts w:ascii="宋体" w:hAnsi="Courier New"/>
      <w:spacing w:val="-4"/>
      <w:sz w:val="18"/>
    </w:rPr>
  </w:style>
  <w:style w:type="character" w:customStyle="1" w:styleId="225">
    <w:name w:val="Char Char4"/>
    <w:uiPriority w:val="0"/>
    <w:rPr>
      <w:rFonts w:ascii="宋体" w:hAnsi="Courier New" w:eastAsia="宋体"/>
      <w:kern w:val="2"/>
      <w:sz w:val="24"/>
      <w:szCs w:val="24"/>
      <w:lang w:val="en-US" w:eastAsia="zh-CN" w:bidi="ar-SA"/>
    </w:rPr>
  </w:style>
  <w:style w:type="character" w:customStyle="1" w:styleId="226">
    <w:name w:val="普通 (Web) Char"/>
    <w:uiPriority w:val="0"/>
    <w:rPr>
      <w:rFonts w:ascii="宋体" w:hAnsi="宋体" w:eastAsia="宋体" w:cs="Times New Roman"/>
      <w:kern w:val="0"/>
      <w:sz w:val="24"/>
      <w:szCs w:val="24"/>
    </w:rPr>
  </w:style>
  <w:style w:type="character" w:customStyle="1" w:styleId="227">
    <w:name w:val="普通文字 Char Char"/>
    <w:uiPriority w:val="0"/>
    <w:rPr>
      <w:rFonts w:ascii="宋体" w:hAnsi="Courier New" w:eastAsia="宋体" w:cs="Times New Roman"/>
      <w:szCs w:val="20"/>
    </w:rPr>
  </w:style>
  <w:style w:type="character" w:customStyle="1" w:styleId="228">
    <w:name w:val="Char Char111"/>
    <w:uiPriority w:val="0"/>
    <w:rPr>
      <w:kern w:val="2"/>
      <w:sz w:val="28"/>
      <w:szCs w:val="24"/>
    </w:rPr>
  </w:style>
  <w:style w:type="character" w:customStyle="1" w:styleId="229">
    <w:name w:val="Char Char27"/>
    <w:uiPriority w:val="0"/>
    <w:rPr>
      <w:b/>
      <w:bCs/>
      <w:kern w:val="44"/>
      <w:sz w:val="44"/>
      <w:szCs w:val="44"/>
    </w:rPr>
  </w:style>
  <w:style w:type="character" w:customStyle="1" w:styleId="230">
    <w:name w:val="newscontent1"/>
    <w:uiPriority w:val="0"/>
    <w:rPr>
      <w:rFonts w:hint="default" w:ascii="Verdana" w:hAnsi="Verdana"/>
      <w:color w:val="333333"/>
      <w:sz w:val="18"/>
      <w:szCs w:val="18"/>
    </w:rPr>
  </w:style>
  <w:style w:type="character" w:customStyle="1" w:styleId="231">
    <w:name w:val="页脚 字符"/>
    <w:link w:val="32"/>
    <w:uiPriority w:val="99"/>
    <w:rPr>
      <w:rFonts w:eastAsia="黑体"/>
      <w:sz w:val="18"/>
      <w:szCs w:val="18"/>
    </w:rPr>
  </w:style>
  <w:style w:type="character" w:customStyle="1" w:styleId="232">
    <w:name w:val="font11"/>
    <w:uiPriority w:val="0"/>
    <w:rPr>
      <w:rFonts w:hint="default" w:ascii="Times New Roman" w:hAnsi="Times New Roman" w:cs="Times New Roman"/>
      <w:color w:val="000000"/>
      <w:sz w:val="20"/>
      <w:szCs w:val="20"/>
      <w:u w:val="none"/>
    </w:rPr>
  </w:style>
  <w:style w:type="character" w:customStyle="1" w:styleId="233">
    <w:name w:val="Char Char20"/>
    <w:uiPriority w:val="0"/>
    <w:rPr>
      <w:rFonts w:ascii="Arial" w:hAnsi="Arial" w:eastAsia="黑体"/>
      <w:kern w:val="2"/>
      <w:sz w:val="24"/>
      <w:szCs w:val="24"/>
    </w:rPr>
  </w:style>
  <w:style w:type="character" w:customStyle="1" w:styleId="234">
    <w:name w:val="缺省文本 Char"/>
    <w:link w:val="235"/>
    <w:uiPriority w:val="0"/>
    <w:rPr>
      <w:rFonts w:ascii="Arial" w:hAnsi="Arial"/>
      <w:szCs w:val="21"/>
    </w:rPr>
  </w:style>
  <w:style w:type="paragraph" w:customStyle="1" w:styleId="235">
    <w:name w:val="缺省文本"/>
    <w:basedOn w:val="1"/>
    <w:link w:val="234"/>
    <w:uiPriority w:val="0"/>
    <w:pPr>
      <w:autoSpaceDE w:val="0"/>
      <w:autoSpaceDN w:val="0"/>
      <w:adjustRightInd w:val="0"/>
      <w:spacing w:line="360" w:lineRule="auto"/>
      <w:jc w:val="left"/>
    </w:pPr>
    <w:rPr>
      <w:rFonts w:ascii="Arial" w:hAnsi="Arial"/>
      <w:kern w:val="0"/>
      <w:sz w:val="20"/>
      <w:szCs w:val="21"/>
    </w:rPr>
  </w:style>
  <w:style w:type="character" w:customStyle="1" w:styleId="236">
    <w:name w:val="中等深浅网格 2 字符"/>
    <w:link w:val="237"/>
    <w:uiPriority w:val="1"/>
    <w:rPr>
      <w:kern w:val="2"/>
      <w:sz w:val="21"/>
      <w:szCs w:val="24"/>
      <w:lang w:val="en-US" w:eastAsia="zh-CN" w:bidi="ar-SA"/>
    </w:rPr>
  </w:style>
  <w:style w:type="paragraph" w:customStyle="1" w:styleId="237">
    <w:name w:val="中等深浅网格 21"/>
    <w:link w:val="236"/>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9">
    <w:name w:val="样式23"/>
    <w:basedOn w:val="240"/>
    <w:uiPriority w:val="0"/>
    <w:pPr>
      <w:tabs>
        <w:tab w:val="left" w:pos="420"/>
      </w:tabs>
      <w:adjustRightInd w:val="0"/>
      <w:snapToGrid w:val="0"/>
      <w:spacing w:after="0" w:line="240" w:lineRule="auto"/>
    </w:pPr>
    <w:rPr>
      <w:szCs w:val="20"/>
    </w:rPr>
  </w:style>
  <w:style w:type="paragraph" w:customStyle="1" w:styleId="240">
    <w:name w:val="小点说明"/>
    <w:basedOn w:val="1"/>
    <w:uiPriority w:val="0"/>
    <w:pPr>
      <w:tabs>
        <w:tab w:val="left" w:pos="420"/>
      </w:tabs>
      <w:spacing w:after="80" w:line="360" w:lineRule="auto"/>
      <w:ind w:left="420" w:hanging="420"/>
    </w:pPr>
    <w:rPr>
      <w:sz w:val="24"/>
    </w:rPr>
  </w:style>
  <w:style w:type="paragraph" w:customStyle="1" w:styleId="241">
    <w:name w:val="Block"/>
    <w:basedOn w:val="1"/>
    <w:next w:val="89"/>
    <w:uiPriority w:val="0"/>
    <w:pPr>
      <w:tabs>
        <w:tab w:val="left" w:pos="0"/>
      </w:tabs>
    </w:pPr>
    <w:rPr>
      <w:rFonts w:ascii="Arial" w:hAnsi="Arial" w:eastAsia="楷体_GB2312"/>
      <w:color w:val="000080"/>
      <w:sz w:val="28"/>
      <w:szCs w:val="28"/>
    </w:rPr>
  </w:style>
  <w:style w:type="paragraph" w:customStyle="1" w:styleId="242">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75"/>
    <w:basedOn w:val="1"/>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44">
    <w:name w:val="首行缩进"/>
    <w:basedOn w:val="1"/>
    <w:uiPriority w:val="0"/>
    <w:pPr>
      <w:spacing w:line="360" w:lineRule="auto"/>
      <w:ind w:firstLine="720"/>
    </w:pPr>
    <w:rPr>
      <w:szCs w:val="21"/>
    </w:rPr>
  </w:style>
  <w:style w:type="paragraph" w:customStyle="1" w:styleId="245">
    <w:name w:val="Char Char Char Char Char Char"/>
    <w:basedOn w:val="1"/>
    <w:uiPriority w:val="0"/>
    <w:pPr>
      <w:ind w:firstLine="200" w:firstLineChars="200"/>
    </w:pPr>
    <w:rPr>
      <w:szCs w:val="20"/>
    </w:rPr>
  </w:style>
  <w:style w:type="paragraph" w:customStyle="1" w:styleId="246">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Figure Description"/>
    <w:basedOn w:val="248"/>
    <w:next w:val="89"/>
    <w:qFormat/>
    <w:uiPriority w:val="0"/>
    <w:pPr>
      <w:tabs>
        <w:tab w:val="left" w:pos="680"/>
      </w:tabs>
      <w:spacing w:after="312" w:afterLines="100"/>
    </w:pPr>
    <w:rPr>
      <w:sz w:val="18"/>
    </w:rPr>
  </w:style>
  <w:style w:type="paragraph" w:customStyle="1" w:styleId="248">
    <w:name w:val="Figure"/>
    <w:basedOn w:val="1"/>
    <w:next w:val="247"/>
    <w:uiPriority w:val="0"/>
    <w:pPr>
      <w:keepNext/>
      <w:keepLines/>
      <w:ind w:left="1134"/>
      <w:jc w:val="center"/>
    </w:pPr>
  </w:style>
  <w:style w:type="paragraph" w:customStyle="1" w:styleId="249">
    <w:name w:val="xl78"/>
    <w:basedOn w:val="1"/>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50">
    <w:name w:val="正文缩进2"/>
    <w:basedOn w:val="1"/>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251">
    <w:name w:val="xl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52">
    <w:name w:val="Item Step"/>
    <w:basedOn w:val="1"/>
    <w:uiPriority w:val="0"/>
    <w:pPr>
      <w:widowControl/>
      <w:numPr>
        <w:ilvl w:val="0"/>
        <w:numId w:val="1"/>
      </w:numPr>
      <w:spacing w:afterLines="50"/>
      <w:jc w:val="left"/>
    </w:pPr>
  </w:style>
  <w:style w:type="paragraph" w:customStyle="1" w:styleId="253">
    <w:name w:val="样式 A正文 + 首行缩进:  0 字符"/>
    <w:basedOn w:val="187"/>
    <w:uiPriority w:val="0"/>
    <w:pPr>
      <w:spacing w:line="240" w:lineRule="auto"/>
      <w:ind w:firstLine="0" w:firstLineChars="0"/>
    </w:pPr>
    <w:rPr>
      <w:rFonts w:cs="宋体"/>
      <w:szCs w:val="20"/>
    </w:rPr>
  </w:style>
  <w:style w:type="paragraph" w:customStyle="1" w:styleId="254">
    <w:name w:val="Item List in Table"/>
    <w:basedOn w:val="1"/>
    <w:uiPriority w:val="0"/>
    <w:pPr>
      <w:numPr>
        <w:ilvl w:val="0"/>
        <w:numId w:val="2"/>
      </w:numPr>
      <w:jc w:val="left"/>
    </w:pPr>
  </w:style>
  <w:style w:type="paragraph" w:customStyle="1" w:styleId="255">
    <w:name w:val="xl77"/>
    <w:basedOn w:val="1"/>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È±Ê¡ÎÄ±¾"/>
    <w:basedOn w:val="1"/>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57">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8">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259">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60">
    <w:name w:val="font9"/>
    <w:basedOn w:val="1"/>
    <w:uiPriority w:val="0"/>
    <w:pPr>
      <w:widowControl/>
      <w:spacing w:before="100" w:beforeAutospacing="1" w:after="100" w:afterAutospacing="1"/>
      <w:jc w:val="left"/>
    </w:pPr>
    <w:rPr>
      <w:color w:val="000000"/>
      <w:kern w:val="0"/>
      <w:sz w:val="20"/>
      <w:szCs w:val="20"/>
    </w:rPr>
  </w:style>
  <w:style w:type="paragraph" w:customStyle="1" w:styleId="261">
    <w:name w:val="正文2 Char Char Char Char Char Char Char Char Char Char Char Char1 Char Char Char Char Char Char Char Char1 Char Char Char Char Char Char Char Char Char"/>
    <w:basedOn w:val="1"/>
    <w:uiPriority w:val="0"/>
    <w:pPr>
      <w:widowControl/>
      <w:spacing w:line="400" w:lineRule="exact"/>
      <w:jc w:val="center"/>
    </w:pPr>
    <w:rPr>
      <w:rFonts w:ascii="Verdana" w:hAnsi="Verdana"/>
      <w:kern w:val="0"/>
      <w:szCs w:val="20"/>
      <w:lang w:eastAsia="en-US"/>
    </w:rPr>
  </w:style>
  <w:style w:type="paragraph" w:customStyle="1" w:styleId="262">
    <w:name w:val="标题1"/>
    <w:basedOn w:val="2"/>
    <w:next w:val="1"/>
    <w:qFormat/>
    <w:uiPriority w:val="0"/>
    <w:pPr>
      <w:numPr>
        <w:ilvl w:val="0"/>
        <w:numId w:val="3"/>
      </w:numPr>
      <w:spacing w:before="0" w:after="0" w:line="360" w:lineRule="auto"/>
      <w:jc w:val="left"/>
    </w:pPr>
    <w:rPr>
      <w:rFonts w:ascii="华文中宋" w:hAnsi="华文中宋" w:eastAsia="华文中宋"/>
      <w:szCs w:val="36"/>
      <w:lang w:val="en-US" w:eastAsia="zh-CN"/>
    </w:rPr>
  </w:style>
  <w:style w:type="paragraph" w:customStyle="1" w:styleId="263">
    <w:name w:val="Normal Indent1"/>
    <w:basedOn w:val="1"/>
    <w:qFormat/>
    <w:uiPriority w:val="0"/>
    <w:pPr>
      <w:ind w:firstLine="420" w:firstLineChars="200"/>
    </w:pPr>
  </w:style>
  <w:style w:type="paragraph" w:customStyle="1" w:styleId="264">
    <w:name w:val="Table Paragraph"/>
    <w:basedOn w:val="1"/>
    <w:qFormat/>
    <w:uiPriority w:val="1"/>
    <w:pPr>
      <w:autoSpaceDE w:val="0"/>
      <w:autoSpaceDN w:val="0"/>
      <w:adjustRightInd w:val="0"/>
      <w:jc w:val="left"/>
    </w:pPr>
    <w:rPr>
      <w:rFonts w:eastAsia="宋体"/>
      <w:kern w:val="0"/>
      <w:sz w:val="24"/>
    </w:rPr>
  </w:style>
  <w:style w:type="paragraph" w:customStyle="1" w:styleId="265">
    <w:name w:val="正文文本2"/>
    <w:basedOn w:val="1"/>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266">
    <w:name w:val="ÕýÎÄ 1"/>
    <w:basedOn w:val="1"/>
    <w:autoRedefine/>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267">
    <w:name w:val="xl79"/>
    <w:basedOn w:val="1"/>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268">
    <w:name w:val="正文段"/>
    <w:basedOn w:val="1"/>
    <w:uiPriority w:val="0"/>
    <w:pPr>
      <w:widowControl/>
      <w:snapToGrid w:val="0"/>
      <w:spacing w:afterLines="50"/>
      <w:ind w:firstLine="200" w:firstLineChars="200"/>
    </w:pPr>
    <w:rPr>
      <w:kern w:val="0"/>
      <w:sz w:val="24"/>
      <w:szCs w:val="20"/>
    </w:rPr>
  </w:style>
  <w:style w:type="paragraph" w:customStyle="1" w:styleId="269">
    <w:name w:val="p19"/>
    <w:basedOn w:val="1"/>
    <w:uiPriority w:val="0"/>
    <w:pPr>
      <w:widowControl/>
      <w:spacing w:beforeLines="100" w:afterLines="100"/>
      <w:ind w:left="1134"/>
    </w:pPr>
    <w:rPr>
      <w:kern w:val="0"/>
      <w:szCs w:val="21"/>
    </w:rPr>
  </w:style>
  <w:style w:type="paragraph" w:customStyle="1" w:styleId="270">
    <w:name w:val="首行缩进:  2 字符"/>
    <w:basedOn w:val="1"/>
    <w:uiPriority w:val="0"/>
    <w:pPr>
      <w:kinsoku w:val="0"/>
      <w:overflowPunct w:val="0"/>
      <w:snapToGrid w:val="0"/>
      <w:spacing w:line="360" w:lineRule="auto"/>
      <w:ind w:firstLine="200" w:firstLineChars="200"/>
      <w:jc w:val="left"/>
    </w:pPr>
    <w:rPr>
      <w:rFonts w:cs="宋体"/>
      <w:kern w:val="0"/>
      <w:szCs w:val="21"/>
    </w:rPr>
  </w:style>
  <w:style w:type="paragraph" w:customStyle="1" w:styleId="271">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272">
    <w:name w:val="列出段落21"/>
    <w:basedOn w:val="1"/>
    <w:uiPriority w:val="0"/>
    <w:pPr>
      <w:kinsoku w:val="0"/>
      <w:overflowPunct w:val="0"/>
      <w:snapToGrid w:val="0"/>
      <w:spacing w:line="360" w:lineRule="auto"/>
      <w:ind w:firstLine="420" w:firstLineChars="200"/>
      <w:jc w:val="left"/>
    </w:pPr>
    <w:rPr>
      <w:kern w:val="0"/>
      <w:szCs w:val="21"/>
    </w:rPr>
  </w:style>
  <w:style w:type="paragraph" w:customStyle="1" w:styleId="273">
    <w:name w:val="表格文字"/>
    <w:basedOn w:val="1"/>
    <w:next w:val="20"/>
    <w:qFormat/>
    <w:uiPriority w:val="0"/>
    <w:pPr>
      <w:adjustRightInd w:val="0"/>
      <w:spacing w:after="160" w:line="420" w:lineRule="atLeast"/>
      <w:jc w:val="left"/>
      <w:textAlignment w:val="baseline"/>
    </w:pPr>
    <w:rPr>
      <w:rFonts w:ascii="长城仿宋" w:hAnsi="长城仿宋" w:eastAsia="Arial Unicode MS" w:cs="长城仿宋"/>
      <w:kern w:val="0"/>
    </w:rPr>
  </w:style>
  <w:style w:type="paragraph" w:customStyle="1" w:styleId="274">
    <w:name w:val="Pa5"/>
    <w:basedOn w:val="1"/>
    <w:next w:val="1"/>
    <w:uiPriority w:val="0"/>
    <w:pPr>
      <w:spacing w:line="241" w:lineRule="auto"/>
      <w:ind w:firstLine="1680" w:firstLineChars="200"/>
    </w:pPr>
    <w:rPr>
      <w:rFonts w:ascii="EtGsHeiBold" w:eastAsia="EtGsHeiBold"/>
      <w:sz w:val="24"/>
    </w:rPr>
  </w:style>
  <w:style w:type="paragraph" w:customStyle="1" w:styleId="275">
    <w:name w:val="xl11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6">
    <w:name w:val="Table Heading"/>
    <w:basedOn w:val="1"/>
    <w:uiPriority w:val="0"/>
    <w:pPr>
      <w:jc w:val="center"/>
    </w:pPr>
    <w:rPr>
      <w:rFonts w:ascii="Arial" w:hAnsi="Arial" w:eastAsia="黑体"/>
      <w:b/>
    </w:rPr>
  </w:style>
  <w:style w:type="paragraph" w:customStyle="1" w:styleId="277">
    <w:name w:val="xl80"/>
    <w:basedOn w:val="1"/>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78">
    <w:name w:val="TOC 标题1"/>
    <w:basedOn w:val="2"/>
    <w:next w:val="1"/>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279">
    <w:name w:val="p16"/>
    <w:basedOn w:val="1"/>
    <w:uiPriority w:val="0"/>
    <w:pPr>
      <w:widowControl/>
    </w:pPr>
    <w:rPr>
      <w:rFonts w:ascii="Arial" w:hAnsi="Arial" w:cs="Arial"/>
      <w:color w:val="333333"/>
      <w:kern w:val="0"/>
      <w:sz w:val="18"/>
      <w:szCs w:val="18"/>
    </w:rPr>
  </w:style>
  <w:style w:type="paragraph" w:customStyle="1" w:styleId="280">
    <w:name w:val="List Paragraph"/>
    <w:basedOn w:val="1"/>
    <w:qFormat/>
    <w:uiPriority w:val="34"/>
    <w:pPr>
      <w:ind w:firstLine="420" w:firstLineChars="200"/>
    </w:pPr>
  </w:style>
  <w:style w:type="paragraph" w:customStyle="1" w:styleId="281">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82">
    <w:name w:val="小标题 1"/>
    <w:basedOn w:val="1"/>
    <w:uiPriority w:val="0"/>
    <w:pPr>
      <w:autoSpaceDE w:val="0"/>
      <w:autoSpaceDN w:val="0"/>
      <w:adjustRightInd w:val="0"/>
      <w:spacing w:line="360" w:lineRule="atLeast"/>
    </w:pPr>
    <w:rPr>
      <w:rFonts w:ascii="文鼎粗黑" w:eastAsia="文鼎粗黑"/>
      <w:kern w:val="0"/>
      <w:sz w:val="22"/>
      <w:szCs w:val="20"/>
    </w:rPr>
  </w:style>
  <w:style w:type="paragraph" w:customStyle="1" w:styleId="283">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84">
    <w:name w:val="style1"/>
    <w:basedOn w:val="1"/>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5">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86">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87">
    <w:name w:val="Char Char Char Char Char Char1"/>
    <w:basedOn w:val="1"/>
    <w:uiPriority w:val="0"/>
    <w:pPr>
      <w:spacing w:line="360" w:lineRule="auto"/>
      <w:ind w:firstLine="200" w:firstLineChars="200"/>
    </w:pPr>
    <w:rPr>
      <w:rFonts w:ascii="Tahoma" w:hAnsi="Tahoma" w:cs="Tahoma"/>
      <w:sz w:val="24"/>
    </w:rPr>
  </w:style>
  <w:style w:type="paragraph" w:customStyle="1" w:styleId="288">
    <w:name w:val="Char Char11"/>
    <w:basedOn w:val="1"/>
    <w:uiPriority w:val="0"/>
    <w:pPr>
      <w:widowControl/>
      <w:jc w:val="left"/>
    </w:pPr>
    <w:rPr>
      <w:sz w:val="36"/>
    </w:rPr>
  </w:style>
  <w:style w:type="paragraph" w:customStyle="1" w:styleId="289">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0">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91">
    <w:name w:val="项目正文"/>
    <w:basedOn w:val="1"/>
    <w:uiPriority w:val="0"/>
    <w:pPr>
      <w:ind w:left="420" w:hanging="420"/>
    </w:pPr>
    <w:rPr>
      <w:sz w:val="28"/>
      <w:szCs w:val="20"/>
    </w:rPr>
  </w:style>
  <w:style w:type="paragraph" w:customStyle="1" w:styleId="292">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3">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4">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5">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6">
    <w:name w:val="Char11"/>
    <w:basedOn w:val="1"/>
    <w:uiPriority w:val="0"/>
    <w:rPr>
      <w:rFonts w:ascii="仿宋_GB2312" w:hAnsi="宋体" w:eastAsia="仿宋_GB2312" w:cs="宋体"/>
      <w:b/>
      <w:sz w:val="32"/>
      <w:szCs w:val="32"/>
    </w:rPr>
  </w:style>
  <w:style w:type="paragraph" w:customStyle="1" w:styleId="297">
    <w:name w:val="样式22"/>
    <w:basedOn w:val="4"/>
    <w:uiPriority w:val="0"/>
    <w:pPr>
      <w:tabs>
        <w:tab w:val="left" w:pos="1080"/>
      </w:tabs>
      <w:spacing w:before="0" w:after="0" w:line="240" w:lineRule="auto"/>
      <w:ind w:left="1260" w:hanging="420"/>
      <w:jc w:val="both"/>
    </w:pPr>
    <w:rPr>
      <w:rFonts w:eastAsia="宋体"/>
      <w:sz w:val="28"/>
    </w:rPr>
  </w:style>
  <w:style w:type="paragraph" w:customStyle="1" w:styleId="298">
    <w:name w:val="5"/>
    <w:uiPriority w:val="0"/>
    <w:rPr>
      <w:rFonts w:ascii="Times New Roman" w:hAnsi="Times New Roman" w:eastAsia="宋体" w:cs="Times New Roman"/>
      <w:kern w:val="2"/>
      <w:sz w:val="21"/>
      <w:szCs w:val="22"/>
      <w:lang w:val="en-US" w:eastAsia="zh-CN" w:bidi="ar-SA"/>
    </w:rPr>
  </w:style>
  <w:style w:type="paragraph" w:customStyle="1" w:styleId="299">
    <w:name w:val="xl9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0">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01">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02">
    <w:name w:val="a"/>
    <w:basedOn w:val="1"/>
    <w:uiPriority w:val="0"/>
    <w:pPr>
      <w:widowControl/>
      <w:spacing w:before="100" w:beforeAutospacing="1" w:after="100" w:afterAutospacing="1"/>
      <w:jc w:val="left"/>
    </w:pPr>
    <w:rPr>
      <w:rFonts w:ascii="宋体" w:hAnsi="宋体" w:cs="宋体"/>
      <w:kern w:val="0"/>
      <w:sz w:val="24"/>
    </w:rPr>
  </w:style>
  <w:style w:type="paragraph" w:customStyle="1" w:styleId="303">
    <w:name w:val="样式 楷体_GB2312 小四 Char Char Char Char Char Char Char Char Char Char Char Char"/>
    <w:basedOn w:val="1"/>
    <w:next w:val="1"/>
    <w:uiPriority w:val="0"/>
    <w:pPr>
      <w:spacing w:line="360" w:lineRule="auto"/>
    </w:pPr>
    <w:rPr>
      <w:rFonts w:ascii="楷体_GB2312" w:eastAsia="楷体_GB2312"/>
      <w:sz w:val="24"/>
    </w:rPr>
  </w:style>
  <w:style w:type="paragraph" w:customStyle="1" w:styleId="304">
    <w:name w:val="Ê×ÐÐËõ½ø"/>
    <w:basedOn w:val="1"/>
    <w:uiPriority w:val="0"/>
    <w:pPr>
      <w:widowControl/>
      <w:overflowPunct w:val="0"/>
      <w:autoSpaceDE w:val="0"/>
      <w:autoSpaceDN w:val="0"/>
      <w:adjustRightInd w:val="0"/>
      <w:textAlignment w:val="baseline"/>
    </w:pPr>
    <w:rPr>
      <w:kern w:val="0"/>
      <w:sz w:val="28"/>
      <w:szCs w:val="20"/>
    </w:rPr>
  </w:style>
  <w:style w:type="paragraph" w:customStyle="1" w:styleId="30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6">
    <w:name w:val="默认段落字体 Para Char Char Char Char Char Char Char Char Char1 Char Char Char Char"/>
    <w:basedOn w:val="1"/>
    <w:uiPriority w:val="0"/>
    <w:rPr>
      <w:rFonts w:ascii="Tahoma" w:hAnsi="Tahoma"/>
      <w:sz w:val="24"/>
      <w:szCs w:val="20"/>
    </w:rPr>
  </w:style>
  <w:style w:type="paragraph" w:customStyle="1" w:styleId="307">
    <w:name w:val="样式 宋体 小四 段前: 7.8 磅 段后: 7.8 磅 行距: 1.5 倍行距"/>
    <w:basedOn w:val="1"/>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08">
    <w:name w:val="样式7"/>
    <w:basedOn w:val="1"/>
    <w:uiPriority w:val="0"/>
    <w:pPr>
      <w:spacing w:beforeLines="30" w:afterLines="30" w:line="480" w:lineRule="exact"/>
      <w:ind w:left="840" w:leftChars="400" w:firstLine="480" w:firstLineChars="200"/>
    </w:pPr>
    <w:rPr>
      <w:rFonts w:cs="宋体"/>
      <w:sz w:val="24"/>
    </w:rPr>
  </w:style>
  <w:style w:type="paragraph" w:customStyle="1" w:styleId="309">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0">
    <w:name w:val="列出段落1"/>
    <w:basedOn w:val="1"/>
    <w:uiPriority w:val="0"/>
    <w:pPr>
      <w:spacing w:line="360" w:lineRule="auto"/>
      <w:ind w:firstLine="420" w:firstLineChars="200"/>
    </w:pPr>
    <w:rPr>
      <w:rFonts w:ascii="宋体" w:hAnsi="宋体"/>
      <w:sz w:val="24"/>
    </w:rPr>
  </w:style>
  <w:style w:type="paragraph" w:customStyle="1" w:styleId="311">
    <w:name w:val="Char"/>
    <w:basedOn w:val="1"/>
    <w:uiPriority w:val="0"/>
    <w:rPr>
      <w:rFonts w:ascii="仿宋_GB2312" w:eastAsia="仿宋_GB2312"/>
      <w:b/>
      <w:sz w:val="32"/>
      <w:szCs w:val="32"/>
    </w:rPr>
  </w:style>
  <w:style w:type="paragraph" w:customStyle="1" w:styleId="312">
    <w:name w:val="±íÏî"/>
    <w:basedOn w:val="1"/>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313">
    <w:name w:val="方案正文"/>
    <w:basedOn w:val="1"/>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14">
    <w:name w:val="xl10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5">
    <w:name w:val="彩色底纹 - 着色 11"/>
    <w:semiHidden/>
    <w:uiPriority w:val="99"/>
    <w:rPr>
      <w:rFonts w:ascii="Times New Roman" w:hAnsi="Times New Roman" w:eastAsia="宋体" w:cs="Times New Roman"/>
      <w:kern w:val="2"/>
      <w:sz w:val="21"/>
      <w:szCs w:val="24"/>
      <w:lang w:val="en-US" w:eastAsia="zh-CN" w:bidi="ar-SA"/>
    </w:rPr>
  </w:style>
  <w:style w:type="paragraph" w:customStyle="1" w:styleId="316">
    <w:name w:val="font5"/>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317">
    <w:name w:val="Char111"/>
    <w:basedOn w:val="1"/>
    <w:uiPriority w:val="0"/>
    <w:rPr>
      <w:rFonts w:ascii="仿宋_GB2312" w:hAnsi="宋体" w:eastAsia="仿宋_GB2312" w:cs="宋体"/>
      <w:b/>
      <w:sz w:val="32"/>
      <w:szCs w:val="32"/>
    </w:rPr>
  </w:style>
  <w:style w:type="paragraph" w:customStyle="1" w:styleId="318">
    <w:name w:val="样式25"/>
    <w:basedOn w:val="1"/>
    <w:uiPriority w:val="0"/>
    <w:pPr>
      <w:tabs>
        <w:tab w:val="left" w:pos="180"/>
      </w:tabs>
      <w:ind w:left="1260" w:hanging="720"/>
    </w:pPr>
    <w:rPr>
      <w:sz w:val="24"/>
      <w:szCs w:val="20"/>
    </w:rPr>
  </w:style>
  <w:style w:type="paragraph" w:customStyle="1" w:styleId="319">
    <w:name w:val="此正文"/>
    <w:basedOn w:val="1"/>
    <w:uiPriority w:val="0"/>
    <w:pPr>
      <w:spacing w:line="360" w:lineRule="auto"/>
      <w:ind w:firstLine="200" w:firstLineChars="200"/>
    </w:pPr>
    <w:rPr>
      <w:sz w:val="24"/>
    </w:rPr>
  </w:style>
  <w:style w:type="paragraph" w:customStyle="1" w:styleId="320">
    <w:name w:val="样式 标题 3列表编号3h33rd level + 段前: 1 行"/>
    <w:basedOn w:val="4"/>
    <w:uiPriority w:val="0"/>
    <w:pPr>
      <w:keepNext w:val="0"/>
      <w:keepLines w:val="0"/>
      <w:adjustRightInd w:val="0"/>
      <w:spacing w:before="312" w:after="156" w:afterLines="50" w:line="360" w:lineRule="auto"/>
      <w:jc w:val="both"/>
    </w:pPr>
    <w:rPr>
      <w:rFonts w:ascii="宋体" w:eastAsia="宋体"/>
      <w:bCs w:val="0"/>
      <w:sz w:val="21"/>
      <w:szCs w:val="20"/>
      <w:lang w:val="en-US" w:eastAsia="zh-CN"/>
    </w:rPr>
  </w:style>
  <w:style w:type="paragraph" w:customStyle="1" w:styleId="321">
    <w:name w:val="默认段落字体 Para Char Char Char Char"/>
    <w:basedOn w:val="1"/>
    <w:uiPriority w:val="0"/>
    <w:pPr>
      <w:adjustRightInd w:val="0"/>
      <w:spacing w:line="360" w:lineRule="auto"/>
      <w:ind w:firstLine="1680" w:firstLineChars="200"/>
    </w:pPr>
    <w:rPr>
      <w:kern w:val="0"/>
      <w:sz w:val="24"/>
      <w:szCs w:val="20"/>
    </w:rPr>
  </w:style>
  <w:style w:type="paragraph" w:customStyle="1" w:styleId="322">
    <w:name w:val="正文文本缩进 21"/>
    <w:basedOn w:val="1"/>
    <w:uiPriority w:val="0"/>
    <w:pPr>
      <w:autoSpaceDE w:val="0"/>
      <w:autoSpaceDN w:val="0"/>
      <w:adjustRightInd w:val="0"/>
      <w:spacing w:line="360" w:lineRule="auto"/>
      <w:ind w:firstLine="540" w:firstLineChars="200"/>
      <w:textAlignment w:val="baseline"/>
    </w:pPr>
    <w:rPr>
      <w:sz w:val="24"/>
      <w:szCs w:val="20"/>
    </w:rPr>
  </w:style>
  <w:style w:type="paragraph" w:customStyle="1" w:styleId="323">
    <w:name w:val="xl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24">
    <w:name w:val="Char Char1 Char"/>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325">
    <w:name w:val="p0"/>
    <w:basedOn w:val="1"/>
    <w:uiPriority w:val="0"/>
    <w:pPr>
      <w:widowControl/>
      <w:jc w:val="left"/>
    </w:pPr>
    <w:rPr>
      <w:rFonts w:ascii="宋体" w:hAnsi="宋体"/>
      <w:kern w:val="0"/>
      <w:sz w:val="20"/>
      <w:szCs w:val="20"/>
    </w:rPr>
  </w:style>
  <w:style w:type="paragraph" w:customStyle="1" w:styleId="326">
    <w:name w:val="itemlistintable"/>
    <w:basedOn w:val="1"/>
    <w:uiPriority w:val="0"/>
    <w:pPr>
      <w:widowControl/>
      <w:spacing w:before="100" w:beforeAutospacing="1" w:after="100" w:afterAutospacing="1"/>
      <w:jc w:val="left"/>
    </w:pPr>
    <w:rPr>
      <w:rFonts w:ascii="宋体" w:hAnsi="宋体" w:cs="宋体"/>
      <w:kern w:val="0"/>
      <w:sz w:val="24"/>
    </w:rPr>
  </w:style>
  <w:style w:type="paragraph" w:customStyle="1" w:styleId="327">
    <w:name w:val="正文文本1"/>
    <w:basedOn w:val="1"/>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28">
    <w:name w:val="正文符号1"/>
    <w:basedOn w:val="329"/>
    <w:uiPriority w:val="0"/>
    <w:pPr>
      <w:tabs>
        <w:tab w:val="left" w:pos="1080"/>
      </w:tabs>
      <w:ind w:left="1134" w:firstLine="0" w:firstLineChars="0"/>
    </w:pPr>
  </w:style>
  <w:style w:type="paragraph" w:customStyle="1" w:styleId="329">
    <w:name w:val="正文首行缩进2字"/>
    <w:basedOn w:val="1"/>
    <w:uiPriority w:val="0"/>
    <w:pPr>
      <w:spacing w:line="360" w:lineRule="auto"/>
      <w:ind w:firstLine="412" w:firstLineChars="196"/>
    </w:pPr>
    <w:rPr>
      <w:rFonts w:ascii="宋体" w:hAnsi="宋体"/>
      <w:kern w:val="0"/>
      <w:szCs w:val="21"/>
    </w:rPr>
  </w:style>
  <w:style w:type="paragraph" w:customStyle="1" w:styleId="330">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31">
    <w:name w:val="xl11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2">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33">
    <w:name w:val="Char Char Char Char"/>
    <w:basedOn w:val="1"/>
    <w:uiPriority w:val="0"/>
    <w:pPr>
      <w:widowControl/>
      <w:spacing w:line="400" w:lineRule="exact"/>
      <w:jc w:val="center"/>
    </w:pPr>
    <w:rPr>
      <w:rFonts w:ascii="Verdana" w:hAnsi="Verdana"/>
      <w:kern w:val="0"/>
      <w:szCs w:val="20"/>
      <w:lang w:eastAsia="en-US"/>
    </w:rPr>
  </w:style>
  <w:style w:type="paragraph" w:customStyle="1" w:styleId="334">
    <w:name w:val="xl11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35">
    <w:name w:val="列表1"/>
    <w:basedOn w:val="1"/>
    <w:uiPriority w:val="0"/>
    <w:pPr>
      <w:adjustRightInd w:val="0"/>
      <w:spacing w:line="360" w:lineRule="auto"/>
      <w:ind w:left="902" w:hanging="482"/>
      <w:textAlignment w:val="baseline"/>
    </w:pPr>
    <w:rPr>
      <w:rFonts w:ascii="昆仑仿宋" w:eastAsia="昆仑仿宋"/>
      <w:kern w:val="0"/>
      <w:szCs w:val="20"/>
    </w:rPr>
  </w:style>
  <w:style w:type="paragraph" w:customStyle="1" w:styleId="336">
    <w:name w:val="正文首行缩进11"/>
    <w:basedOn w:val="20"/>
    <w:uiPriority w:val="0"/>
    <w:pPr>
      <w:spacing w:line="360" w:lineRule="auto"/>
      <w:ind w:firstLine="420" w:firstLineChars="100"/>
    </w:pPr>
    <w:rPr>
      <w:rFonts w:ascii="Courier New" w:hAnsi="Courier New" w:eastAsia="仿宋_GB2312"/>
      <w:szCs w:val="22"/>
    </w:rPr>
  </w:style>
  <w:style w:type="paragraph" w:customStyle="1" w:styleId="337">
    <w:name w:val="段落正文 Char Char"/>
    <w:basedOn w:val="1"/>
    <w:uiPriority w:val="0"/>
    <w:pPr>
      <w:spacing w:line="360" w:lineRule="auto"/>
      <w:ind w:firstLine="461" w:firstLineChars="192"/>
    </w:pPr>
    <w:rPr>
      <w:rFonts w:ascii="宋体" w:hAnsi="宋体"/>
      <w:sz w:val="24"/>
    </w:rPr>
  </w:style>
  <w:style w:type="paragraph" w:customStyle="1" w:styleId="338">
    <w:name w:val="二级编号"/>
    <w:basedOn w:val="1"/>
    <w:uiPriority w:val="0"/>
    <w:pPr>
      <w:tabs>
        <w:tab w:val="left" w:pos="851"/>
      </w:tabs>
      <w:spacing w:line="360" w:lineRule="auto"/>
      <w:jc w:val="left"/>
    </w:pPr>
    <w:rPr>
      <w:rFonts w:cs="宋体"/>
      <w:sz w:val="24"/>
      <w:szCs w:val="20"/>
    </w:rPr>
  </w:style>
  <w:style w:type="paragraph" w:customStyle="1" w:styleId="339">
    <w:name w:val="xl10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0">
    <w:name w:val="Char2"/>
    <w:basedOn w:val="1"/>
    <w:uiPriority w:val="0"/>
    <w:pPr>
      <w:spacing w:line="240" w:lineRule="atLeast"/>
      <w:ind w:left="420" w:firstLine="420"/>
    </w:pPr>
  </w:style>
  <w:style w:type="paragraph" w:customStyle="1" w:styleId="341">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42">
    <w:name w:val="次小点说明"/>
    <w:basedOn w:val="13"/>
    <w:uiPriority w:val="0"/>
    <w:pPr>
      <w:tabs>
        <w:tab w:val="left" w:pos="720"/>
      </w:tabs>
      <w:spacing w:line="360" w:lineRule="auto"/>
      <w:ind w:left="777" w:hanging="417"/>
    </w:pPr>
    <w:rPr>
      <w:sz w:val="24"/>
    </w:rPr>
  </w:style>
  <w:style w:type="paragraph" w:customStyle="1" w:styleId="343">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Char Char Char Char Char Char11"/>
    <w:basedOn w:val="1"/>
    <w:uiPriority w:val="0"/>
    <w:pPr>
      <w:spacing w:line="360" w:lineRule="auto"/>
      <w:ind w:firstLine="200" w:firstLineChars="200"/>
    </w:pPr>
    <w:rPr>
      <w:rFonts w:ascii="Tahoma" w:hAnsi="Tahoma" w:cs="Tahoma"/>
      <w:sz w:val="24"/>
    </w:rPr>
  </w:style>
  <w:style w:type="paragraph" w:customStyle="1" w:styleId="345">
    <w:name w:val="样式 Swis721 Lt BT 左 行距: 固定值 12.5 磅"/>
    <w:basedOn w:val="1"/>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346">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48">
    <w:name w:val="_Style 3"/>
    <w:basedOn w:val="1"/>
    <w:qFormat/>
    <w:uiPriority w:val="34"/>
    <w:pPr>
      <w:spacing w:line="360" w:lineRule="auto"/>
      <w:ind w:firstLine="420" w:firstLineChars="200"/>
    </w:pPr>
    <w:rPr>
      <w:rFonts w:ascii="Calibri" w:hAnsi="Calibri"/>
      <w:szCs w:val="22"/>
    </w:rPr>
  </w:style>
  <w:style w:type="paragraph" w:customStyle="1" w:styleId="349">
    <w:name w:val="样式 正文文本正文文字 + 首行缩进:  2 字符"/>
    <w:basedOn w:val="20"/>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50">
    <w:name w:val="样式 正文缩进 + 首行缩进:  2 字符"/>
    <w:basedOn w:val="13"/>
    <w:uiPriority w:val="0"/>
    <w:pPr>
      <w:spacing w:after="80" w:line="360" w:lineRule="auto"/>
      <w:ind w:firstLine="480" w:firstLineChars="200"/>
    </w:pPr>
    <w:rPr>
      <w:sz w:val="24"/>
    </w:rPr>
  </w:style>
  <w:style w:type="paragraph" w:customStyle="1" w:styleId="351">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2">
    <w:name w:val="p18"/>
    <w:basedOn w:val="1"/>
    <w:uiPriority w:val="0"/>
    <w:pPr>
      <w:widowControl/>
      <w:spacing w:afterLines="100"/>
      <w:ind w:left="1134"/>
      <w:jc w:val="center"/>
    </w:pPr>
    <w:rPr>
      <w:kern w:val="0"/>
      <w:sz w:val="18"/>
      <w:szCs w:val="18"/>
    </w:rPr>
  </w:style>
  <w:style w:type="paragraph" w:customStyle="1" w:styleId="353">
    <w:name w:val="列项——"/>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54">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57">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8">
    <w:name w:val="contentnoteheader"/>
    <w:basedOn w:val="1"/>
    <w:uiPriority w:val="0"/>
    <w:pPr>
      <w:widowControl/>
      <w:spacing w:before="30" w:after="100" w:afterAutospacing="1"/>
      <w:ind w:left="90"/>
      <w:jc w:val="left"/>
    </w:pPr>
    <w:rPr>
      <w:rFonts w:ascii="宋体" w:hAnsi="宋体"/>
      <w:b/>
      <w:bCs/>
      <w:color w:val="990000"/>
      <w:kern w:val="0"/>
      <w:sz w:val="18"/>
      <w:szCs w:val="18"/>
    </w:rPr>
  </w:style>
  <w:style w:type="paragraph" w:customStyle="1" w:styleId="359">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0">
    <w:name w:val="Table Text"/>
    <w:basedOn w:val="1"/>
    <w:uiPriority w:val="0"/>
    <w:rPr>
      <w:sz w:val="18"/>
    </w:rPr>
  </w:style>
  <w:style w:type="paragraph" w:customStyle="1" w:styleId="361">
    <w:name w:val="样式26"/>
    <w:basedOn w:val="318"/>
    <w:uiPriority w:val="0"/>
    <w:pPr>
      <w:tabs>
        <w:tab w:val="left" w:pos="1580"/>
        <w:tab w:val="clear" w:pos="180"/>
      </w:tabs>
      <w:ind w:left="1603" w:hanging="363"/>
    </w:pPr>
  </w:style>
  <w:style w:type="paragraph" w:customStyle="1" w:styleId="362">
    <w:name w:val="样式1"/>
    <w:basedOn w:val="1"/>
    <w:uiPriority w:val="0"/>
    <w:pPr>
      <w:adjustRightInd w:val="0"/>
      <w:snapToGrid w:val="0"/>
      <w:spacing w:line="360" w:lineRule="auto"/>
      <w:ind w:left="315" w:leftChars="150" w:firstLine="480" w:firstLineChars="200"/>
      <w:textAlignment w:val="baseline"/>
    </w:pPr>
    <w:rPr>
      <w:sz w:val="24"/>
      <w:szCs w:val="20"/>
    </w:rPr>
  </w:style>
  <w:style w:type="paragraph" w:customStyle="1" w:styleId="363">
    <w:name w:val="简单回函地址"/>
    <w:basedOn w:val="1"/>
    <w:uiPriority w:val="0"/>
    <w:rPr>
      <w:szCs w:val="20"/>
    </w:rPr>
  </w:style>
  <w:style w:type="paragraph" w:customStyle="1" w:styleId="364">
    <w:name w:val="È±Ê¡ÎÄ±¾:1"/>
    <w:basedOn w:val="1"/>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365">
    <w:name w:val="方案标题4"/>
    <w:basedOn w:val="5"/>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66">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7">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8">
    <w:name w:val="正文首行缩进1"/>
    <w:uiPriority w:val="0"/>
    <w:pPr>
      <w:spacing w:after="120"/>
      <w:ind w:firstLine="420" w:firstLineChars="100"/>
    </w:pPr>
    <w:rPr>
      <w:rFonts w:ascii="Times New Roman" w:hAnsi="Times New Roman" w:eastAsia="宋体" w:cs="Times New Roman"/>
      <w:lang w:val="en-US" w:eastAsia="zh-CN" w:bidi="ar-SA"/>
    </w:rPr>
  </w:style>
  <w:style w:type="paragraph" w:customStyle="1" w:styleId="369">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370">
    <w:name w:val="xl76"/>
    <w:basedOn w:val="1"/>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1">
    <w:name w:val="xl9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2">
    <w:name w:val="Item Step in Table"/>
    <w:basedOn w:val="1"/>
    <w:uiPriority w:val="0"/>
    <w:pPr>
      <w:tabs>
        <w:tab w:val="left" w:pos="420"/>
      </w:tabs>
      <w:ind w:left="420" w:hanging="420"/>
      <w:jc w:val="left"/>
    </w:pPr>
  </w:style>
  <w:style w:type="paragraph" w:customStyle="1" w:styleId="373">
    <w:name w:val="标题4"/>
    <w:basedOn w:val="1"/>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74">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75">
    <w:name w:val="默认段落字体 Para Char"/>
    <w:basedOn w:val="1"/>
    <w:uiPriority w:val="0"/>
    <w:rPr>
      <w:szCs w:val="20"/>
    </w:rPr>
  </w:style>
  <w:style w:type="paragraph" w:customStyle="1" w:styleId="376">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7">
    <w:name w:val="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样式 标题 2H2子系统子系统1子系统2子系统3子系统4子系统11子系统21子系统31子系统5子系统12...1"/>
    <w:basedOn w:val="3"/>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lang w:val="en-US" w:eastAsia="zh-CN"/>
    </w:rPr>
  </w:style>
  <w:style w:type="paragraph" w:customStyle="1" w:styleId="379">
    <w:name w:val="xl74"/>
    <w:basedOn w:val="1"/>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80">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81">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82">
    <w:name w:val="±íÉí"/>
    <w:basedOn w:val="1"/>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83">
    <w:name w:val="xl26"/>
    <w:basedOn w:val="1"/>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84">
    <w:name w:val="xl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5">
    <w:name w:val="font8"/>
    <w:basedOn w:val="1"/>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86">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87">
    <w:name w:val="±íÌâ"/>
    <w:basedOn w:val="1"/>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88">
    <w:name w:val="Char Char1 Char1"/>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389">
    <w:name w:val="Char Char1 Char11"/>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390">
    <w:name w:val="图片"/>
    <w:basedOn w:val="1"/>
    <w:next w:val="1"/>
    <w:uiPriority w:val="0"/>
    <w:pPr>
      <w:jc w:val="center"/>
    </w:pPr>
  </w:style>
  <w:style w:type="paragraph" w:customStyle="1" w:styleId="391">
    <w:name w:val="Char Char"/>
    <w:basedOn w:val="1"/>
    <w:uiPriority w:val="0"/>
    <w:pPr>
      <w:jc w:val="center"/>
    </w:pPr>
    <w:rPr>
      <w:rFonts w:ascii="仿宋_GB2312" w:eastAsia="仿宋_GB2312"/>
      <w:b/>
      <w:kern w:val="0"/>
      <w:sz w:val="32"/>
      <w:szCs w:val="32"/>
      <w:lang w:val="en-GB"/>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109</Pages>
  <Words>16004</Words>
  <Characters>91226</Characters>
  <Lines>760</Lines>
  <Paragraphs>214</Paragraphs>
  <TotalTime>7</TotalTime>
  <ScaleCrop>false</ScaleCrop>
  <LinksUpToDate>false</LinksUpToDate>
  <CharactersWithSpaces>107016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2019-11-26T02:59:00Z</dcterms:created>
  <dc:creator>Sky123.Org</dc:creator>
  <cp:lastModifiedBy>WPS_1701756769</cp:lastModifiedBy>
  <cp:lastPrinted>2020-08-04T09:25:00Z</cp:lastPrinted>
  <dcterms:modified xsi:type="dcterms:W3CDTF">2024-02-22T07:55:42Z</dcterms:modified>
  <cp:revision>21</cp:revision>
  <dc:title>临海市政府采购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5141DF85AEBA4A2B9EAC4126338AF588_13</vt:lpwstr>
  </property>
</Properties>
</file>