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bookmarkStart w:id="519" w:name="_GoBack"/>
      <w:bookmarkEnd w:id="519"/>
    </w:p>
    <w:p>
      <w:pPr>
        <w:adjustRightInd/>
        <w:spacing w:line="360" w:lineRule="auto"/>
        <w:jc w:val="center"/>
        <w:rPr>
          <w:rFonts w:hint="eastAsia" w:ascii="仿宋" w:hAnsi="仿宋" w:eastAsia="仿宋" w:cs="仿宋"/>
          <w:color w:val="auto"/>
          <w:sz w:val="52"/>
          <w:szCs w:val="52"/>
          <w:lang w:val="en-US" w:eastAsia="zh-CN"/>
        </w:rPr>
      </w:pPr>
      <w:r>
        <w:rPr>
          <w:rFonts w:hint="eastAsia" w:ascii="仿宋" w:hAnsi="仿宋" w:eastAsia="仿宋" w:cs="仿宋"/>
          <w:color w:val="auto"/>
          <w:sz w:val="52"/>
          <w:szCs w:val="52"/>
          <w:lang w:val="en-US" w:eastAsia="zh-CN"/>
        </w:rPr>
        <w:t>钱塘区机关大楼物业服务采购项目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7"/>
        <w:rPr>
          <w:rFonts w:ascii="仿宋" w:hAnsi="仿宋" w:eastAsia="仿宋" w:cs="仿宋"/>
        </w:rPr>
      </w:pPr>
    </w:p>
    <w:p>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编号:QTCG-GK-202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211</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6"/>
          <w:szCs w:val="36"/>
          <w:lang w:eastAsia="zh-CN"/>
        </w:rPr>
      </w:pPr>
    </w:p>
    <w:p>
      <w:pPr>
        <w:pStyle w:val="2"/>
        <w:jc w:val="center"/>
        <w:rPr>
          <w:rFonts w:hint="eastAsia" w:ascii="仿宋" w:hAnsi="仿宋" w:eastAsia="仿宋" w:cs="仿宋"/>
          <w:b w:val="0"/>
          <w:bCs w:val="0"/>
          <w:sz w:val="36"/>
          <w:szCs w:val="36"/>
          <w:lang w:eastAsia="zh-CN"/>
        </w:rPr>
      </w:pPr>
      <w:r>
        <w:rPr>
          <w:rFonts w:hint="eastAsia" w:ascii="仿宋" w:eastAsia="仿宋" w:cs="仿宋"/>
          <w:b w:val="0"/>
          <w:bCs w:val="0"/>
          <w:sz w:val="36"/>
          <w:szCs w:val="36"/>
          <w:lang w:eastAsia="zh-CN"/>
        </w:rPr>
        <w:t>杭州市钱塘区人民政府办公室</w:t>
      </w:r>
    </w:p>
    <w:p>
      <w:pPr>
        <w:rPr>
          <w:rFonts w:hint="eastAsia"/>
          <w:lang w:eastAsia="zh-CN"/>
        </w:rPr>
      </w:pP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color w:val="auto"/>
          <w:sz w:val="24"/>
        </w:rPr>
      </w:pPr>
      <w:r>
        <w:rPr>
          <w:rFonts w:hint="eastAsia" w:ascii="仿宋" w:hAnsi="仿宋" w:eastAsia="仿宋" w:cs="仿宋"/>
          <w:color w:val="auto"/>
          <w:sz w:val="36"/>
          <w:szCs w:val="36"/>
        </w:rPr>
        <w:t>二〇二</w:t>
      </w:r>
      <w:r>
        <w:rPr>
          <w:rFonts w:hint="eastAsia" w:ascii="仿宋" w:hAnsi="仿宋" w:eastAsia="仿宋" w:cs="仿宋"/>
          <w:color w:val="auto"/>
          <w:sz w:val="36"/>
          <w:szCs w:val="36"/>
          <w:lang w:eastAsia="zh-CN"/>
        </w:rPr>
        <w:t>三</w:t>
      </w:r>
      <w:r>
        <w:rPr>
          <w:rFonts w:hint="eastAsia" w:ascii="仿宋" w:hAnsi="仿宋" w:eastAsia="仿宋" w:cs="仿宋"/>
          <w:color w:val="auto"/>
          <w:sz w:val="36"/>
          <w:szCs w:val="36"/>
        </w:rPr>
        <w:t>年</w:t>
      </w:r>
      <w:r>
        <w:rPr>
          <w:rFonts w:hint="eastAsia" w:ascii="仿宋" w:hAnsi="仿宋" w:eastAsia="仿宋" w:cs="仿宋"/>
          <w:color w:val="auto"/>
          <w:sz w:val="36"/>
          <w:szCs w:val="36"/>
          <w:lang w:val="en-US" w:eastAsia="zh-CN"/>
        </w:rPr>
        <w:t>七</w:t>
      </w:r>
      <w:r>
        <w:rPr>
          <w:rFonts w:hint="eastAsia" w:ascii="仿宋" w:hAnsi="仿宋" w:eastAsia="仿宋" w:cs="仿宋"/>
          <w:color w:val="auto"/>
          <w:sz w:val="36"/>
          <w:szCs w:val="36"/>
        </w:rPr>
        <w:t>月</w:t>
      </w:r>
      <w:r>
        <w:rPr>
          <w:rFonts w:hint="eastAsia" w:ascii="仿宋" w:hAnsi="仿宋" w:eastAsia="仿宋" w:cs="仿宋"/>
          <w:color w:val="auto"/>
          <w:sz w:val="36"/>
          <w:szCs w:val="36"/>
          <w:lang w:val="en-US" w:eastAsia="zh-CN"/>
        </w:rPr>
        <w:t>七</w:t>
      </w:r>
      <w:r>
        <w:rPr>
          <w:rFonts w:hint="eastAsia" w:ascii="仿宋" w:hAnsi="仿宋" w:eastAsia="仿宋" w:cs="仿宋"/>
          <w:color w:val="auto"/>
          <w:sz w:val="36"/>
          <w:szCs w:val="36"/>
        </w:rPr>
        <w:t>日</w:t>
      </w:r>
      <w:r>
        <w:rPr>
          <w:rFonts w:hint="eastAsia" w:ascii="仿宋" w:hAnsi="仿宋" w:eastAsia="仿宋" w:cs="仿宋"/>
          <w:color w:val="auto"/>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钱塘区机关大楼物业服务采购项目</w:t>
      </w:r>
      <w:r>
        <w:rPr>
          <w:rFonts w:hint="eastAsia" w:ascii="仿宋" w:hAnsi="仿宋" w:eastAsia="仿宋" w:cs="仿宋"/>
          <w:sz w:val="24"/>
        </w:rPr>
        <w:t>招标项目</w:t>
      </w:r>
      <w:r>
        <w:rPr>
          <w:rFonts w:hint="eastAsia" w:ascii="仿宋" w:hAnsi="仿宋" w:eastAsia="仿宋" w:cs="仿宋"/>
          <w:color w:val="auto"/>
          <w:sz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1"/>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w:t>
      </w:r>
      <w:r>
        <w:rPr>
          <w:rFonts w:hint="eastAsia" w:ascii="仿宋" w:hAnsi="仿宋" w:eastAsia="仿宋" w:cs="仿宋"/>
          <w:bCs/>
          <w:sz w:val="24"/>
        </w:rPr>
        <w:t>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项目编号：QTCG-GK-202</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211</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rPr>
        <w:t>项</w:t>
      </w:r>
      <w:r>
        <w:rPr>
          <w:rFonts w:hint="eastAsia" w:ascii="仿宋" w:hAnsi="仿宋" w:eastAsia="仿宋" w:cs="仿宋"/>
          <w:sz w:val="24"/>
          <w:highlight w:val="none"/>
        </w:rPr>
        <w:t>目名称：</w:t>
      </w:r>
      <w:r>
        <w:rPr>
          <w:rFonts w:hint="eastAsia" w:ascii="仿宋" w:hAnsi="仿宋" w:eastAsia="仿宋" w:cs="仿宋"/>
          <w:sz w:val="24"/>
          <w:highlight w:val="none"/>
          <w:lang w:eastAsia="zh-CN"/>
        </w:rPr>
        <w:t>钱塘区机关大楼物业服务采购项目</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15</w:t>
      </w:r>
      <w:r>
        <w:rPr>
          <w:rFonts w:hint="default"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00000</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15</w:t>
      </w:r>
      <w:r>
        <w:rPr>
          <w:rFonts w:hint="default"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00000</w:t>
      </w:r>
    </w:p>
    <w:p>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采购需求：</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标项名称：</w:t>
      </w:r>
      <w:r>
        <w:rPr>
          <w:rFonts w:hint="eastAsia" w:ascii="仿宋" w:hAnsi="仿宋" w:eastAsia="仿宋" w:cs="仿宋"/>
          <w:sz w:val="24"/>
          <w:highlight w:val="none"/>
          <w:lang w:eastAsia="zh-CN"/>
        </w:rPr>
        <w:t>钱塘区机关大楼物业服务采购项目</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数量:</w:t>
      </w:r>
      <w:r>
        <w:rPr>
          <w:rFonts w:hint="eastAsia" w:ascii="仿宋" w:hAnsi="仿宋" w:eastAsia="仿宋" w:cs="仿宋"/>
          <w:sz w:val="24"/>
          <w:highlight w:val="none"/>
          <w:lang w:eastAsia="zh-CN"/>
        </w:rPr>
        <w:t>不限</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15</w:t>
      </w:r>
      <w:r>
        <w:rPr>
          <w:rFonts w:hint="default"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00000</w:t>
      </w:r>
    </w:p>
    <w:p>
      <w:pPr>
        <w:pStyle w:val="2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总建筑面积约17.3万平方米，包括和茂大厦附楼和地面停车场，东部国际商务中心和地下一、二层，钱塘中心，综合楼（含钱塘荟、规划馆、招商中心、退役军人事务局、公车平台）、江东行政服务中心。主要物业服务内容包括：清卫保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秩序维护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绿化养护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高（低）压线路、照明及供电设备管理维护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弱电系统管理维护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给排水设备运行维护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空调系统运行维护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石材日常维护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电梯管理维护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房屋及设备设施日常养护和巡查维修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消防设备维护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设备机房标准化管理和要求</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其它要求</w:t>
      </w:r>
      <w:r>
        <w:rPr>
          <w:rFonts w:hint="eastAsia" w:ascii="仿宋" w:hAnsi="仿宋" w:eastAsia="仿宋" w:cs="仿宋"/>
          <w:color w:val="auto"/>
          <w:sz w:val="24"/>
          <w:szCs w:val="24"/>
          <w:lang w:eastAsia="zh-CN"/>
        </w:rPr>
        <w:t>。</w:t>
      </w:r>
      <w:r>
        <w:rPr>
          <w:rFonts w:hint="eastAsia" w:ascii="仿宋" w:hAnsi="仿宋" w:eastAsia="仿宋" w:cs="仿宋"/>
          <w:bCs/>
          <w:snapToGrid/>
          <w:color w:val="auto"/>
          <w:kern w:val="2"/>
          <w:sz w:val="24"/>
          <w:szCs w:val="24"/>
        </w:rPr>
        <w:t>详见招标文件第三部分采购需求</w:t>
      </w:r>
      <w:r>
        <w:rPr>
          <w:rFonts w:hint="eastAsia" w:ascii="仿宋" w:hAnsi="仿宋" w:eastAsia="仿宋" w:cs="仿宋"/>
          <w:snapToGrid/>
          <w:color w:val="auto"/>
          <w:kern w:val="2"/>
          <w:sz w:val="24"/>
          <w:szCs w:val="24"/>
          <w:highlight w:val="none"/>
        </w:rPr>
        <w:t>，供应商可点击本公告下方“浏览采购文件”查看采购需求。</w:t>
      </w:r>
    </w:p>
    <w:p>
      <w:pPr>
        <w:pStyle w:val="2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合同履约期限：自前期合同期限结束之日起1年。</w:t>
      </w:r>
    </w:p>
    <w:p>
      <w:pPr>
        <w:pStyle w:val="61"/>
        <w:autoSpaceDE w:val="0"/>
        <w:snapToGrid w:val="0"/>
        <w:spacing w:before="0" w:beforeAutospacing="0" w:after="0" w:afterAutospacing="0" w:line="360" w:lineRule="auto"/>
        <w:ind w:firstLine="480" w:firstLineChars="200"/>
        <w:jc w:val="both"/>
        <w:rPr>
          <w:rFonts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ascii="Wingdings" w:hAnsi="Wingdings" w:eastAsia="仿宋" w:cs="仿宋"/>
              <w:snapToGrid w:val="0"/>
            </w:rPr>
            <w:t></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highlight w:val="yellow"/>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服务全部由符合政策要求的小微企业承接，提供中小企业声明函；</w:t>
      </w:r>
    </w:p>
    <w:p>
      <w:pPr>
        <w:rPr>
          <w:rFonts w:ascii="仿宋" w:hAnsi="仿宋" w:eastAsia="仿宋" w:cs="仿宋"/>
          <w:highlight w:val="yellow"/>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z w:val="24"/>
        </w:rPr>
        <w:t>并相应达到了前述比例要求，视</w:t>
      </w:r>
      <w:r>
        <w:rPr>
          <w:rFonts w:hint="eastAsia" w:ascii="仿宋" w:hAnsi="仿宋" w:eastAsia="仿宋" w:cs="仿宋"/>
          <w:spacing w:val="8"/>
          <w:kern w:val="0"/>
          <w:sz w:val="24"/>
        </w:rPr>
        <w:t>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z w:val="24"/>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4.本项目的特定资格要求：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有特定资格要求：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，该特定条件的法律法规依据：</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w:t>
      </w:r>
      <w:r>
        <w:rPr>
          <w:rFonts w:hint="eastAsia" w:ascii="仿宋" w:hAnsi="仿宋" w:eastAsia="仿宋" w:cs="仿宋"/>
          <w:sz w:val="24"/>
        </w:rPr>
        <w:t>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政采云平台线上获取（https://www.zcygov.cn/）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 请登录政采云投标客户端投标</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b w:val="0"/>
          <w:bCs/>
          <w:color w:val="auto"/>
          <w:sz w:val="24"/>
        </w:rPr>
        <w:t>浙江省杭州市钱塘区下沙街道金沙大道600号东楼6楼</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号开标室</w:t>
      </w:r>
      <w:r>
        <w:rPr>
          <w:rFonts w:hint="eastAsia" w:ascii="仿宋" w:hAnsi="仿宋" w:eastAsia="仿宋" w:cs="仿宋"/>
          <w:b w:val="0"/>
          <w:bCs/>
          <w:color w:val="auto"/>
          <w:sz w:val="24"/>
          <w:lang w:val="en-US" w:eastAsia="zh-CN"/>
        </w:rPr>
        <w:t>。</w:t>
      </w:r>
      <w:r>
        <w:rPr>
          <w:rFonts w:hint="eastAsia" w:ascii="仿宋" w:hAnsi="仿宋" w:eastAsia="仿宋" w:cs="仿宋"/>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https://zfcg.czt.zj.gov.cn/innerUsed_noticeDetails/index.html?noticeId=9364184</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1.采购人信息</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杭州市钱塘区人民政府办公室</w:t>
      </w:r>
    </w:p>
    <w:p>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杭州市钱塘区河庄街道青六北路499号</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sz w:val="24"/>
          <w:highlight w:val="none"/>
        </w:rPr>
        <w:t>项目联系人（询问）：</w:t>
      </w:r>
      <w:r>
        <w:rPr>
          <w:rFonts w:hint="eastAsia" w:ascii="仿宋" w:hAnsi="仿宋" w:eastAsia="仿宋"/>
          <w:sz w:val="24"/>
          <w:highlight w:val="none"/>
          <w:lang w:eastAsia="zh-CN"/>
        </w:rPr>
        <w:t>高华明</w:t>
      </w:r>
    </w:p>
    <w:p>
      <w:pPr>
        <w:spacing w:line="360" w:lineRule="auto"/>
        <w:ind w:firstLine="480" w:firstLineChars="200"/>
        <w:rPr>
          <w:rFonts w:hint="default" w:ascii="仿宋" w:hAnsi="仿宋" w:eastAsia="仿宋"/>
          <w:color w:val="000000" w:themeColor="text1"/>
          <w:sz w:val="24"/>
          <w:highlight w:val="none"/>
          <w:lang w:val="en"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项目联系方式（询问）：</w:t>
      </w:r>
      <w:r>
        <w:rPr>
          <w:rFonts w:hint="eastAsia" w:ascii="仿宋" w:hAnsi="仿宋" w:eastAsia="仿宋"/>
          <w:color w:val="000000" w:themeColor="text1"/>
          <w:sz w:val="24"/>
          <w:highlight w:val="none"/>
          <w14:textFill>
            <w14:solidFill>
              <w14:schemeClr w14:val="tx1"/>
            </w14:solidFill>
          </w14:textFill>
        </w:rPr>
        <w:t>0571-89535147</w:t>
      </w:r>
    </w:p>
    <w:p>
      <w:pPr>
        <w:spacing w:line="360" w:lineRule="auto"/>
        <w:ind w:firstLine="480" w:firstLineChars="200"/>
        <w:rPr>
          <w:rFonts w:hint="eastAsia" w:ascii="仿宋" w:hAnsi="仿宋" w:eastAsia="仿宋"/>
          <w:color w:val="000000" w:themeColor="text1"/>
          <w:sz w:val="24"/>
          <w:highlight w:val="none"/>
          <w:lang w:val="en"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质疑联系人：</w:t>
      </w:r>
      <w:r>
        <w:rPr>
          <w:rFonts w:hint="eastAsia" w:ascii="仿宋" w:hAnsi="仿宋" w:eastAsia="仿宋"/>
          <w:color w:val="000000" w:themeColor="text1"/>
          <w:sz w:val="24"/>
          <w:highlight w:val="none"/>
          <w:lang w:eastAsia="zh-CN"/>
          <w14:textFill>
            <w14:solidFill>
              <w14:schemeClr w14:val="tx1"/>
            </w14:solidFill>
          </w14:textFill>
        </w:rPr>
        <w:t>张金达</w:t>
      </w:r>
    </w:p>
    <w:p>
      <w:pPr>
        <w:spacing w:line="360" w:lineRule="auto"/>
        <w:ind w:firstLine="480" w:firstLineChars="200"/>
        <w:rPr>
          <w:rFonts w:hint="eastAsia" w:ascii="仿宋" w:hAnsi="仿宋" w:eastAsia="仿宋" w:cs="Times New Roman"/>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质疑联系方式：</w:t>
      </w:r>
      <w:r>
        <w:rPr>
          <w:rFonts w:hint="eastAsia" w:ascii="仿宋" w:hAnsi="仿宋" w:eastAsia="仿宋"/>
          <w:color w:val="000000" w:themeColor="text1"/>
          <w:sz w:val="24"/>
          <w:highlight w:val="none"/>
          <w14:textFill>
            <w14:solidFill>
              <w14:schemeClr w14:val="tx1"/>
            </w14:solidFill>
          </w14:textFill>
        </w:rPr>
        <w:t>0571-89535139</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址：杭州市钱塘区下沙街道金沙大道600号东楼</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赵</w:t>
      </w:r>
      <w:r>
        <w:rPr>
          <w:rFonts w:hint="eastAsia" w:ascii="仿宋" w:hAnsi="仿宋" w:eastAsia="仿宋" w:cs="仿宋"/>
          <w:sz w:val="24"/>
        </w:rPr>
        <w:t xml:space="preserve">工         </w:t>
      </w:r>
    </w:p>
    <w:p>
      <w:pPr>
        <w:spacing w:line="360" w:lineRule="auto"/>
        <w:ind w:firstLine="480" w:firstLineChars="200"/>
        <w:rPr>
          <w:rFonts w:hint="default" w:ascii="仿宋" w:hAnsi="仿宋" w:eastAsia="仿宋" w:cs="仿宋"/>
          <w:sz w:val="24"/>
          <w:lang w:val="en-US"/>
        </w:rPr>
      </w:pPr>
      <w:r>
        <w:rPr>
          <w:rFonts w:hint="eastAsia" w:ascii="仿宋" w:hAnsi="仿宋" w:eastAsia="仿宋" w:cs="仿宋"/>
          <w:sz w:val="24"/>
        </w:rPr>
        <w:t>项目联系方式（询问）：0571-</w:t>
      </w:r>
      <w:r>
        <w:rPr>
          <w:rFonts w:hint="eastAsia" w:ascii="仿宋" w:hAnsi="仿宋" w:eastAsia="仿宋" w:cs="仿宋"/>
          <w:sz w:val="24"/>
          <w:lang w:val="en-US" w:eastAsia="zh-CN"/>
        </w:rPr>
        <w:t>82987995</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质疑联系人：沈工             </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质疑联系方式：0571-898991</w:t>
      </w:r>
      <w:r>
        <w:rPr>
          <w:rFonts w:hint="eastAsia" w:ascii="仿宋" w:hAnsi="仿宋" w:eastAsia="仿宋" w:cs="仿宋"/>
          <w:sz w:val="24"/>
          <w:lang w:val="en-US" w:eastAsia="zh-CN"/>
        </w:rPr>
        <w:t>69</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76"/>
        <w:tblW w:w="85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物业管理服务 </w:t>
            </w:r>
            <w:r>
              <w:rPr>
                <w:rFonts w:hint="eastAsia" w:ascii="仿宋" w:hAnsi="仿宋" w:eastAsia="仿宋" w:cs="仿宋"/>
                <w:kern w:val="0"/>
                <w:sz w:val="24"/>
              </w:rPr>
              <w:t>，属于</w:t>
            </w:r>
            <w:r>
              <w:rPr>
                <w:rFonts w:hint="eastAsia" w:ascii="仿宋" w:hAnsi="仿宋" w:eastAsia="仿宋" w:cs="仿宋"/>
                <w:kern w:val="0"/>
                <w:sz w:val="24"/>
                <w:u w:val="single"/>
              </w:rPr>
              <w:t xml:space="preserve"> 物业管理 </w:t>
            </w:r>
            <w:r>
              <w:rPr>
                <w:rFonts w:hint="eastAsia" w:ascii="仿宋" w:hAnsi="仿宋" w:eastAsia="仿宋" w:cs="仿宋"/>
                <w:kern w:val="0"/>
                <w:sz w:val="24"/>
              </w:rPr>
              <w:t>行业</w:t>
            </w:r>
          </w:p>
          <w:p>
            <w:pPr>
              <w:snapToGrid w:val="0"/>
              <w:spacing w:line="360" w:lineRule="auto"/>
              <w:rPr>
                <w:rFonts w:ascii="仿宋" w:hAnsi="仿宋" w:eastAsia="仿宋" w:cs="仿宋"/>
                <w:sz w:val="24"/>
              </w:rPr>
            </w:pPr>
            <w:r>
              <w:rPr>
                <w:rFonts w:hint="eastAsia" w:ascii="仿宋" w:hAnsi="仿宋" w:eastAsia="仿宋" w:cs="仿宋"/>
                <w:sz w:val="24"/>
              </w:rPr>
              <w:t>备注：《关于印发中小企业划型标准规定的通知》（工信部联企业〔2011〕300号）中关于物业管理行业划型标准如下：</w:t>
            </w:r>
          </w:p>
          <w:p>
            <w:pPr>
              <w:snapToGrid w:val="0"/>
              <w:spacing w:line="360" w:lineRule="auto"/>
              <w:rPr>
                <w:rFonts w:ascii="仿宋" w:hAnsi="仿宋" w:eastAsia="仿宋" w:cs="仿宋"/>
                <w:sz w:val="24"/>
              </w:rPr>
            </w:pPr>
            <w:r>
              <w:rPr>
                <w:rFonts w:hint="eastAsia" w:ascii="仿宋" w:hAnsi="仿宋" w:eastAsia="仿宋" w:cs="仿宋"/>
                <w:sz w:val="24"/>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宋体" w:hAnsi="宋体" w:cs="宋体"/>
                <w:sz w:val="24"/>
                <w:u w:val="single"/>
              </w:rPr>
              <w:t xml:space="preserve">    </w:t>
            </w:r>
            <w:r>
              <w:rPr>
                <w:rFonts w:hint="eastAsia" w:ascii="仿宋" w:hAnsi="仿宋" w:eastAsia="仿宋" w:cs="仿宋"/>
                <w:kern w:val="0"/>
                <w:sz w:val="24"/>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电梯、消防等专业设施设备维护 </w:t>
            </w:r>
            <w:r>
              <w:rPr>
                <w:rFonts w:hint="eastAsia" w:ascii="仿宋" w:hAnsi="仿宋" w:eastAsia="仿宋" w:cs="仿宋"/>
                <w:kern w:val="0"/>
                <w:sz w:val="24"/>
              </w:rPr>
              <w:t>工作分包。</w:t>
            </w:r>
          </w:p>
          <w:p>
            <w:pPr>
              <w:spacing w:line="360" w:lineRule="auto"/>
            </w:pPr>
            <w:sdt>
              <w:sdtPr>
                <w:rPr>
                  <w:rFonts w:hint="eastAsia" w:ascii="仿宋_GB2312" w:hAnsi="仿宋" w:eastAsia="仿宋_GB2312" w:cs="Arial"/>
                  <w:kern w:val="0"/>
                  <w:sz w:val="24"/>
                </w:rPr>
                <w:id w:val="0"/>
              </w:sdtPr>
              <w:sdtEndPr>
                <w:rPr>
                  <w:rFonts w:hint="eastAsia" w:ascii="仿宋" w:hAnsi="仿宋" w:eastAsia="仿宋" w:cs="仿宋"/>
                  <w:kern w:val="0"/>
                  <w:sz w:val="24"/>
                </w:rPr>
              </w:sdtEndPr>
              <w:sdtContent>
                <w:sdt>
                  <w:sdtPr>
                    <w:rPr>
                      <w:rFonts w:hint="eastAsia" w:ascii="仿宋" w:hAnsi="仿宋" w:eastAsia="仿宋" w:cs="仿宋"/>
                      <w:kern w:val="0"/>
                      <w:sz w:val="24"/>
                    </w:rPr>
                    <w:id w:val="154499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w:t>
                </w:r>
              </w:sdtContent>
            </w:sdt>
            <w:r>
              <w:rPr>
                <w:rFonts w:hint="eastAsia" w:ascii="仿宋" w:hAnsi="仿宋" w:eastAsia="仿宋" w:cs="仿宋"/>
                <w:kern w:val="0"/>
                <w:sz w:val="24"/>
              </w:rPr>
              <w:t>B同意大型企业向小微企业、中型企业向小微企业、小微企业向小微企业合理分包。</w:t>
            </w:r>
          </w:p>
          <w:p>
            <w:pPr>
              <w:spacing w:line="360" w:lineRule="auto"/>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C</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B要求提供（未提供样品或提供样品不满足采购需求实质性条件的供应商，投标无效）。</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（3）样品的评审方法以及评审标准：</w:t>
            </w:r>
          </w:p>
          <w:p>
            <w:pPr>
              <w:spacing w:line="360" w:lineRule="auto"/>
              <w:ind w:firstLine="240" w:firstLineChars="100"/>
              <w:rPr>
                <w:rFonts w:ascii="仿宋" w:hAnsi="仿宋" w:eastAsia="仿宋" w:cs="仿宋"/>
                <w:sz w:val="24"/>
              </w:rPr>
            </w:pPr>
            <w:sdt>
              <w:sdtPr>
                <w:rPr>
                  <w:rFonts w:hint="eastAsia" w:ascii="仿宋" w:hAnsi="仿宋" w:eastAsia="仿宋" w:cs="仿宋"/>
                  <w:sz w:val="24"/>
                </w:rPr>
                <w:id w:val="0"/>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样品分未超过价格分的50%；</w:t>
            </w:r>
          </w:p>
          <w:p>
            <w:pPr>
              <w:spacing w:line="360" w:lineRule="auto"/>
              <w:ind w:firstLine="240" w:firstLineChars="100"/>
              <w:rPr>
                <w:rFonts w:ascii="仿宋" w:hAnsi="仿宋" w:eastAsia="仿宋" w:cs="仿宋"/>
                <w:sz w:val="24"/>
              </w:rPr>
            </w:pPr>
            <w:sdt>
              <w:sdtPr>
                <w:rPr>
                  <w:rFonts w:hint="eastAsia" w:ascii="仿宋" w:hAnsi="仿宋" w:eastAsia="仿宋" w:cs="仿宋"/>
                  <w:sz w:val="24"/>
                </w:rPr>
                <w:id w:val="0"/>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样品分超过价格分的50%，理由</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240" w:firstLineChars="100"/>
            </w:pPr>
            <w:r>
              <w:rPr>
                <w:rFonts w:hint="eastAsia" w:ascii="仿宋" w:hAnsi="仿宋" w:eastAsia="仿宋" w:cs="仿宋"/>
                <w:sz w:val="24"/>
              </w:rPr>
              <w:t xml:space="preserve">详见招标文件第四部分评标办分法。 </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778211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lang w:val="zh-CN"/>
              </w:rPr>
            </w:pPr>
            <w:sdt>
              <w:sdtPr>
                <w:rPr>
                  <w:rFonts w:hint="eastAsia" w:ascii="仿宋" w:hAnsi="仿宋" w:eastAsia="仿宋" w:cs="仿宋"/>
                  <w:sz w:val="24"/>
                </w:rPr>
                <w:id w:val="386232013"/>
                <w14:checkbox>
                  <w14:checked w14:val="0"/>
                  <w14:checkedState w14:val="00FE" w14:font="Wingdings"/>
                  <w14:uncheckedState w14:val="2610" w14:font="MS Gothic"/>
                </w14:checkbox>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依据国家确定的认证机构出具的、处于有效期之内的节能产品认证证书，对获得证书的产品实施政府优先采购或强制采购；其中，</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w:t>
            </w:r>
            <w:r>
              <w:rPr>
                <w:rFonts w:hint="eastAsia" w:ascii="仿宋" w:hAnsi="仿宋" w:eastAsia="仿宋" w:cs="仿宋"/>
                <w:sz w:val="24"/>
              </w:rPr>
              <w:t>详</w:t>
            </w:r>
            <w:r>
              <w:rPr>
                <w:rFonts w:hint="eastAsia" w:ascii="仿宋" w:hAnsi="仿宋" w:eastAsia="仿宋" w:cs="仿宋"/>
                <w:sz w:val="24"/>
                <w:lang w:val="zh-CN"/>
              </w:rPr>
              <w:t>见评分标准；</w:t>
            </w:r>
            <w:r>
              <w:rPr>
                <w:rFonts w:hint="eastAsia" w:ascii="仿宋" w:hAnsi="仿宋" w:eastAsia="仿宋" w:cs="仿宋"/>
                <w:sz w:val="24"/>
              </w:rPr>
              <w:t>▲</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实施政府强制采购，</w:t>
            </w:r>
            <w:r>
              <w:rPr>
                <w:rFonts w:hint="eastAsia" w:ascii="仿宋" w:hAnsi="仿宋" w:eastAsia="仿宋" w:cs="仿宋"/>
                <w:sz w:val="24"/>
                <w:lang w:val="zh-CN"/>
              </w:rPr>
              <w:t>投标人</w:t>
            </w:r>
            <w:r>
              <w:rPr>
                <w:rFonts w:hint="eastAsia" w:ascii="仿宋" w:hAnsi="仿宋" w:eastAsia="仿宋" w:cs="仿宋"/>
                <w:sz w:val="24"/>
              </w:rPr>
              <w:t>就</w:t>
            </w:r>
            <w:r>
              <w:rPr>
                <w:rFonts w:hint="eastAsia" w:ascii="仿宋" w:hAnsi="仿宋" w:eastAsia="仿宋" w:cs="仿宋"/>
                <w:sz w:val="24"/>
                <w:lang w:val="zh-CN"/>
              </w:rPr>
              <w:t>相应的投标产品未</w:t>
            </w:r>
            <w:r>
              <w:rPr>
                <w:rFonts w:hint="eastAsia" w:ascii="仿宋" w:hAnsi="仿宋" w:eastAsia="仿宋" w:cs="仿宋"/>
                <w:sz w:val="24"/>
              </w:rPr>
              <w:t>提供</w:t>
            </w:r>
            <w:r>
              <w:rPr>
                <w:rFonts w:hint="eastAsia" w:ascii="仿宋" w:hAnsi="仿宋" w:eastAsia="仿宋" w:cs="仿宋"/>
                <w:sz w:val="24"/>
                <w:lang w:val="zh-CN"/>
              </w:rPr>
              <w:t>国家确定的认证机构出具的、处于有效期之内的节能产品认证证书的，投标无效。</w:t>
            </w:r>
          </w:p>
          <w:p>
            <w:pPr>
              <w:snapToGrid w:val="0"/>
              <w:spacing w:line="360" w:lineRule="auto"/>
              <w:rPr>
                <w:rFonts w:ascii="仿宋" w:hAnsi="仿宋" w:eastAsia="仿宋" w:cs="仿宋"/>
                <w:kern w:val="0"/>
                <w:sz w:val="24"/>
                <w:lang w:val="zh-CN"/>
              </w:rPr>
            </w:pPr>
            <w:sdt>
              <w:sdtPr>
                <w:rPr>
                  <w:rFonts w:hint="eastAsia" w:ascii="仿宋" w:hAnsi="仿宋" w:eastAsia="仿宋" w:cs="仿宋"/>
                  <w:sz w:val="24"/>
                  <w:lang w:val="zh-CN"/>
                </w:rPr>
                <w:id w:val="93515011"/>
                <w14:checkbox>
                  <w14:checked w14:val="0"/>
                  <w14:checkedState w14:val="00FE" w14:font="Wingdings"/>
                  <w14:uncheckedState w14:val="2610" w14:font="MS Gothic"/>
                </w14:checkbox>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依据国家确定的认证机构出具的、处于有效期之内的环境标志产品认证证书，</w:t>
            </w:r>
            <w:r>
              <w:rPr>
                <w:rFonts w:hint="eastAsia" w:ascii="仿宋" w:hAnsi="仿宋" w:eastAsia="仿宋" w:cs="仿宋"/>
                <w:kern w:val="0"/>
                <w:sz w:val="24"/>
                <w:lang w:val="zh-CN"/>
              </w:rPr>
              <w:t>对获得证书的产品名称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实施政府优先采购，详见评分标准。</w:t>
            </w:r>
          </w:p>
          <w:p>
            <w:pPr>
              <w:snapToGrid w:val="0"/>
              <w:spacing w:line="360" w:lineRule="auto"/>
              <w:rPr>
                <w:rFonts w:ascii="仿宋" w:hAnsi="仿宋" w:eastAsia="仿宋" w:cs="仿宋"/>
              </w:rPr>
            </w:pPr>
            <w:sdt>
              <w:sdtPr>
                <w:rPr>
                  <w:rFonts w:hint="eastAsia" w:ascii="仿宋" w:hAnsi="仿宋" w:eastAsia="仿宋" w:cs="仿宋"/>
                  <w:sz w:val="24"/>
                </w:rPr>
                <w:id w:val="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ascii="Wingdings" w:hAnsi="Wingdings" w:eastAsia="仿宋" w:cs="仿宋"/>
                    <w:sz w:val="24"/>
                  </w:rPr>
                  <w:t></w:t>
                </w:r>
              </w:sdtContent>
            </w:sdt>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ascii="仿宋" w:hAnsi="仿宋" w:eastAsia="仿宋" w:cs="仿宋"/>
                <w:b/>
                <w:bCs/>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bCs/>
                <w:kern w:val="0"/>
                <w:sz w:val="24"/>
                <w:lang w:val="zh-CN"/>
              </w:rPr>
              <w:t>提醒：验收时检测费用由采购人承担，不包含在投标总价中。</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投标报价出现下列情形的，投标无效：</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投标文件出现不是唯一的、有选择性投标报价的；</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投标报价超过招标文件中规定的预算金额或者最高限价的;</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ascii="仿宋" w:hAnsi="仿宋" w:eastAsia="仿宋" w:cs="仿宋"/>
                <w:sz w:val="24"/>
              </w:rPr>
            </w:pPr>
            <w:r>
              <w:rPr>
                <w:rFonts w:hint="eastAsia" w:ascii="仿宋" w:hAnsi="仿宋" w:eastAsia="仿宋" w:cs="仿宋"/>
                <w:b/>
                <w:bCs/>
                <w:kern w:val="0"/>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964" w:hRule="atLeast"/>
          <w:jc w:val="center"/>
        </w:trPr>
        <w:tc>
          <w:tcPr>
            <w:tcW w:w="629" w:type="dxa"/>
            <w:vMerge w:val="continue"/>
            <w:tcBorders>
              <w:left w:val="single" w:color="000000" w:sz="8" w:space="0"/>
              <w:right w:val="single" w:color="000000" w:sz="2" w:space="0"/>
            </w:tcBorders>
            <w:vAlign w:val="center"/>
          </w:tcPr>
          <w:p>
            <w:pPr>
              <w:spacing w:line="360" w:lineRule="auto"/>
            </w:pPr>
          </w:p>
        </w:tc>
        <w:tc>
          <w:tcPr>
            <w:tcW w:w="1777" w:type="dxa"/>
            <w:vMerge w:val="continue"/>
            <w:tcBorders>
              <w:left w:val="single" w:color="000000" w:sz="2"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2" w:hRule="atLeast"/>
          <w:jc w:val="center"/>
        </w:trPr>
        <w:tc>
          <w:tcPr>
            <w:tcW w:w="629" w:type="dxa"/>
            <w:vMerge w:val="continue"/>
            <w:tcBorders>
              <w:left w:val="single" w:color="000000" w:sz="8" w:space="0"/>
              <w:bottom w:val="single" w:color="000000" w:sz="8" w:space="0"/>
              <w:right w:val="single" w:color="000000" w:sz="2" w:space="0"/>
            </w:tcBorders>
            <w:vAlign w:val="center"/>
          </w:tcPr>
          <w:p>
            <w:pPr>
              <w:spacing w:line="360" w:lineRule="auto"/>
            </w:pPr>
          </w:p>
        </w:tc>
        <w:tc>
          <w:tcPr>
            <w:tcW w:w="1777"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2"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仿宋"/>
              </w:rPr>
            </w:pPr>
            <w:r>
              <w:rPr>
                <w:rFonts w:hint="eastAsia" w:ascii="仿宋" w:hAnsi="仿宋" w:eastAsia="仿宋" w:cs="仿宋"/>
              </w:rPr>
              <w:t>13</w:t>
            </w:r>
          </w:p>
        </w:tc>
        <w:tc>
          <w:tcPr>
            <w:tcW w:w="177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rPr>
            </w:pPr>
            <w:r>
              <w:rPr>
                <w:rFonts w:hint="eastAsia" w:ascii="仿宋" w:hAnsi="仿宋" w:eastAsia="仿宋" w:cs="仿宋"/>
                <w:b/>
                <w:bCs/>
              </w:rPr>
              <w:t>钱塘区公共资源交易领域突出问题专项整治线索征集公告</w:t>
            </w:r>
          </w:p>
        </w:tc>
        <w:tc>
          <w:tcPr>
            <w:tcW w:w="6161"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为进一步贯彻落实省市区“招投标领域专项整治与提升”工作要求，维护公平竞争的市场环境，现开设公共资源交易领域违法线索征集渠道，线索反馈联系方式如下：</w:t>
            </w:r>
          </w:p>
          <w:p>
            <w:pPr>
              <w:spacing w:line="360" w:lineRule="auto"/>
              <w:rPr>
                <w:rFonts w:ascii="仿宋" w:hAnsi="仿宋" w:eastAsia="仿宋" w:cs="仿宋"/>
                <w:kern w:val="0"/>
                <w:sz w:val="24"/>
              </w:rPr>
            </w:pPr>
            <w:r>
              <w:rPr>
                <w:rFonts w:hint="eastAsia" w:ascii="仿宋" w:hAnsi="仿宋" w:eastAsia="仿宋" w:cs="仿宋"/>
                <w:kern w:val="0"/>
                <w:sz w:val="24"/>
              </w:rPr>
              <w:t>钱塘区财政局：               ryp2001@</w:t>
            </w:r>
            <w:r>
              <w:fldChar w:fldCharType="begin"/>
            </w:r>
            <w:r>
              <w:instrText xml:space="preserve"> HYPERLINK "http://163.com/" \t "/tmp/22591/wps-root/x/_blank" </w:instrText>
            </w:r>
            <w:r>
              <w:fldChar w:fldCharType="separate"/>
            </w:r>
            <w:r>
              <w:rPr>
                <w:rFonts w:hint="eastAsia" w:ascii="仿宋" w:hAnsi="仿宋" w:eastAsia="仿宋" w:cs="仿宋"/>
                <w:kern w:val="0"/>
                <w:sz w:val="24"/>
              </w:rPr>
              <w:t>163.com</w:t>
            </w:r>
            <w:r>
              <w:rPr>
                <w:rFonts w:hint="eastAsia" w:ascii="仿宋" w:hAnsi="仿宋" w:eastAsia="仿宋" w:cs="仿宋"/>
                <w:kern w:val="0"/>
                <w:sz w:val="24"/>
              </w:rPr>
              <w:fldChar w:fldCharType="end"/>
            </w:r>
            <w:r>
              <w:rPr>
                <w:rFonts w:hint="eastAsia" w:ascii="仿宋" w:hAnsi="仿宋" w:eastAsia="仿宋" w:cs="仿宋"/>
                <w:kern w:val="0"/>
                <w:sz w:val="24"/>
              </w:rPr>
              <w:t xml:space="preserve"> </w:t>
            </w:r>
          </w:p>
          <w:p>
            <w:pPr>
              <w:spacing w:line="360" w:lineRule="auto"/>
              <w:rPr>
                <w:rFonts w:ascii="仿宋" w:hAnsi="仿宋" w:eastAsia="仿宋" w:cs="仿宋"/>
                <w:kern w:val="0"/>
                <w:sz w:val="24"/>
              </w:rPr>
            </w:pPr>
            <w:r>
              <w:rPr>
                <w:rFonts w:hint="eastAsia" w:ascii="仿宋" w:hAnsi="仿宋" w:eastAsia="仿宋" w:cs="仿宋"/>
                <w:kern w:val="0"/>
                <w:sz w:val="24"/>
              </w:rPr>
              <w:t>钱塘区公共资源交易管理办公室:qtqgzb@163.com</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ascii="仿宋" w:hAnsi="仿宋" w:eastAsia="仿宋" w:cs="仿宋"/>
        </w:rPr>
      </w:pPr>
      <w:r>
        <w:rPr>
          <w:rFonts w:hint="eastAsia" w:ascii="仿宋" w:hAnsi="仿宋" w:eastAsia="仿宋" w:cs="仿宋"/>
        </w:rPr>
        <w:t>4.1在线询问、质疑、投诉</w:t>
      </w:r>
    </w:p>
    <w:p>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ascii="仿宋" w:hAnsi="仿宋" w:eastAsia="仿宋" w:cs="仿宋"/>
          <w:kern w:val="2"/>
        </w:rPr>
      </w:pPr>
      <w:r>
        <w:rPr>
          <w:rFonts w:hint="eastAsia" w:ascii="仿宋" w:hAnsi="仿宋" w:eastAsia="仿宋" w:cs="仿宋"/>
          <w:kern w:val="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rPr>
        <w:t>2</w:t>
      </w:r>
      <w:r>
        <w:rPr>
          <w:rFonts w:hint="eastAsia" w:ascii="仿宋" w:hAnsi="仿宋" w:eastAsia="仿宋" w:cs="仿宋"/>
          <w:lang w:val="zh-CN"/>
        </w:rPr>
        <w:t>供应商询问</w:t>
      </w:r>
    </w:p>
    <w:p>
      <w:pPr>
        <w:keepNext w:val="0"/>
        <w:keepLines w:val="0"/>
        <w:pageBreakBefore w:val="0"/>
        <w:kinsoku/>
        <w:wordWrap/>
        <w:overflowPunct/>
        <w:topLinePunct w:val="0"/>
        <w:autoSpaceDE w:val="0"/>
        <w:autoSpaceDN w:val="0"/>
        <w:bidi w:val="0"/>
        <w:spacing w:beforeAutospacing="0" w:afterAutospacing="0" w:line="360" w:lineRule="auto"/>
        <w:ind w:firstLine="480" w:firstLineChars="200"/>
        <w:jc w:val="left"/>
        <w:textAlignment w:val="auto"/>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供应商质疑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.3.1供应商的姓名或者名称、地址、邮编、联系人及联系电话；</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.3.2质疑项目的名称、编号；</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.3.3具体、明确的质疑事项和与质疑事项相关的请求；</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.3.4事实依据；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.3.5必要的法律依据；</w:t>
      </w:r>
    </w:p>
    <w:p>
      <w:pPr>
        <w:pStyle w:val="3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3.6询问或者质疑事项可能影响采购结果的，采购人应当暂停签订合同，已经签订合同的，应当中止履行合同。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rPr>
        <w:t>4</w:t>
      </w:r>
      <w:r>
        <w:rPr>
          <w:rFonts w:hint="eastAsia" w:ascii="仿宋" w:hAnsi="仿宋" w:eastAsia="仿宋" w:cs="仿宋"/>
          <w:lang w:val="zh-CN"/>
        </w:rPr>
        <w:t>供应商投诉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132"/>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20"/>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（如果有）</w:t>
      </w:r>
      <w:r>
        <w:rPr>
          <w:rFonts w:hint="eastAsia" w:ascii="仿宋" w:hAnsi="仿宋" w:eastAsia="仿宋" w:cs="仿宋"/>
          <w:b/>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ascii="仿宋" w:hAnsi="仿宋" w:eastAsia="仿宋" w:cs="仿宋"/>
          <w:bCs/>
          <w:sz w:val="24"/>
          <w:szCs w:val="21"/>
        </w:rPr>
      </w:pPr>
      <w:r>
        <w:rPr>
          <w:rFonts w:hint="eastAsia" w:ascii="仿宋" w:hAnsi="仿宋" w:eastAsia="仿宋" w:cs="仿宋"/>
          <w:bCs/>
          <w:sz w:val="24"/>
          <w:szCs w:val="21"/>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Cs/>
          <w:sz w:val="24"/>
          <w:szCs w:val="21"/>
        </w:rPr>
      </w:pPr>
      <w:r>
        <w:rPr>
          <w:rFonts w:hint="eastAsia" w:ascii="仿宋" w:hAnsi="仿宋" w:eastAsia="仿宋" w:cs="仿宋"/>
          <w:bCs/>
          <w:sz w:val="24"/>
          <w:szCs w:val="21"/>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2"/>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480"/>
        <w:rPr>
          <w:rFonts w:ascii="仿宋" w:hAnsi="仿宋" w:eastAsia="仿宋" w:cs="仿宋"/>
        </w:rPr>
      </w:pPr>
      <w:r>
        <w:rPr>
          <w:rFonts w:hint="eastAsia" w:ascii="仿宋" w:hAnsi="仿宋" w:eastAsia="仿宋" w:cs="仿宋"/>
          <w:bCs/>
          <w:szCs w:val="16"/>
        </w:rPr>
        <w:t>16.4在投标截止时间起至投标有效期届满，供应商投标文件不可撤销。</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bidi w:val="0"/>
        <w:adjustRightInd w:val="0"/>
        <w:spacing w:beforeAutospacing="0" w:line="360" w:lineRule="auto"/>
        <w:jc w:val="left"/>
        <w:textAlignment w:val="auto"/>
        <w:rPr>
          <w:rFonts w:ascii="仿宋" w:hAnsi="仿宋" w:eastAsia="仿宋" w:cs="仿宋"/>
          <w:b/>
          <w:sz w:val="24"/>
          <w:szCs w:val="20"/>
        </w:rPr>
      </w:pPr>
      <w:r>
        <w:rPr>
          <w:rFonts w:hint="eastAsia" w:ascii="仿宋" w:hAnsi="仿宋" w:eastAsia="仿宋" w:cs="仿宋"/>
          <w:b/>
          <w:sz w:val="24"/>
          <w:szCs w:val="20"/>
        </w:rPr>
        <w:t>18.资格审查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仿宋" w:hAnsi="仿宋" w:eastAsia="仿宋" w:cs="仿宋"/>
          <w:sz w:val="24"/>
        </w:rPr>
      </w:pPr>
      <w:r>
        <w:rPr>
          <w:rFonts w:hint="eastAsia" w:ascii="仿宋" w:hAnsi="仿宋" w:eastAsia="仿宋" w:cs="仿宋"/>
          <w:kern w:val="0"/>
          <w:sz w:val="24"/>
        </w:rPr>
        <w:t>18.1开标后，</w:t>
      </w:r>
      <w:r>
        <w:rPr>
          <w:rFonts w:hint="eastAsia" w:ascii="仿宋" w:hAnsi="仿宋" w:eastAsia="仿宋" w:cs="仿宋"/>
          <w:sz w:val="24"/>
        </w:rPr>
        <w:t>采购人将依据法律法规和招标文件的规定，对投标人的资格进行审查。</w:t>
      </w:r>
    </w:p>
    <w:p>
      <w:pPr>
        <w:pStyle w:val="132"/>
        <w:keepNext w:val="0"/>
        <w:keepLines w:val="0"/>
        <w:pageBreakBefore w:val="0"/>
        <w:kinsoku/>
        <w:wordWrap/>
        <w:overflowPunct/>
        <w:topLinePunct w:val="0"/>
        <w:bidi w:val="0"/>
        <w:adjustRightInd w:val="0"/>
        <w:spacing w:before="0" w:beforeAutospacing="0"/>
        <w:ind w:firstLine="480" w:firstLineChars="200"/>
        <w:textAlignment w:val="auto"/>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keepNext w:val="0"/>
        <w:keepLines w:val="0"/>
        <w:pageBreakBefore w:val="0"/>
        <w:kinsoku/>
        <w:wordWrap/>
        <w:overflowPunct/>
        <w:topLinePunct w:val="0"/>
        <w:bidi w:val="0"/>
        <w:adjustRightInd w:val="0"/>
        <w:spacing w:before="0" w:beforeAutospacing="0"/>
        <w:ind w:firstLine="480" w:firstLineChars="200"/>
        <w:textAlignment w:val="auto"/>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3对未通过资格审查的投标人，采告知其未通过的原因。</w:t>
      </w:r>
    </w:p>
    <w:p>
      <w:pPr>
        <w:pStyle w:val="132"/>
        <w:keepNext w:val="0"/>
        <w:keepLines w:val="0"/>
        <w:pageBreakBefore w:val="0"/>
        <w:kinsoku/>
        <w:wordWrap/>
        <w:overflowPunct/>
        <w:topLinePunct w:val="0"/>
        <w:bidi w:val="0"/>
        <w:adjustRightInd w:val="0"/>
        <w:spacing w:before="0" w:beforeAutospacing="0"/>
        <w:ind w:firstLine="480" w:firstLineChars="200"/>
        <w:textAlignment w:val="auto"/>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7"/>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2"/>
        <w:keepNext w:val="0"/>
        <w:keepLines w:val="0"/>
        <w:pageBreakBefore w:val="0"/>
        <w:widowControl w:val="0"/>
        <w:kinsoku/>
        <w:wordWrap/>
        <w:overflowPunct/>
        <w:topLinePunct w:val="0"/>
        <w:autoSpaceDE/>
        <w:autoSpaceDN/>
        <w:bidi w:val="0"/>
        <w:adjustRightInd w:val="0"/>
        <w:snapToGrid w:val="0"/>
        <w:spacing w:before="0"/>
        <w:ind w:left="0" w:firstLine="480" w:firstLineChars="200"/>
        <w:textAlignment w:val="auto"/>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7"/>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ascii="仿宋" w:hAnsi="仿宋" w:eastAsia="仿宋" w:cs="仿宋"/>
          <w:b/>
        </w:rPr>
      </w:pPr>
      <w:r>
        <w:rPr>
          <w:rFonts w:hint="eastAsia" w:ascii="仿宋" w:hAnsi="仿宋" w:eastAsia="仿宋" w:cs="仿宋"/>
          <w:b/>
        </w:rPr>
        <w:t>25. 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left="0" w:firstLine="480" w:firstLineChars="200"/>
        <w:textAlignment w:val="auto"/>
        <w:rPr>
          <w:rFonts w:ascii="仿宋" w:hAnsi="仿宋" w:eastAsia="仿宋" w:cs="仿宋"/>
          <w:sz w:val="24"/>
          <w:szCs w:val="20"/>
        </w:rPr>
      </w:pPr>
      <w:r>
        <w:rPr>
          <w:rFonts w:hint="eastAsia" w:ascii="仿宋" w:hAnsi="仿宋" w:eastAsia="仿宋" w:cs="仿宋"/>
          <w:sz w:val="24"/>
          <w:szCs w:val="20"/>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7"/>
        <w:numPr>
          <w:ilvl w:val="0"/>
          <w:numId w:val="1"/>
        </w:numPr>
        <w:spacing w:line="360" w:lineRule="auto"/>
        <w:ind w:left="479" w:hanging="479" w:hangingChars="199"/>
        <w:rPr>
          <w:rFonts w:ascii="仿宋" w:hAnsi="仿宋" w:eastAsia="仿宋" w:cs="仿宋"/>
          <w:b/>
        </w:rPr>
      </w:pPr>
      <w:r>
        <w:rPr>
          <w:rFonts w:hint="eastAsia" w:ascii="仿宋" w:hAnsi="仿宋" w:eastAsia="仿宋" w:cs="仿宋"/>
          <w:b/>
        </w:rPr>
        <w:t>预付款</w:t>
      </w:r>
    </w:p>
    <w:p>
      <w:pPr>
        <w:adjustRightInd/>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27</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7"/>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pgNumType w:fmt="decimal"/>
          <w:cols w:space="720" w:num="1"/>
          <w:titlePg/>
          <w:docGrid w:linePitch="312" w:charSpace="0"/>
        </w:sectPr>
      </w:pPr>
      <w:bookmarkStart w:id="15" w:name="_Hlt68073093"/>
      <w:bookmarkEnd w:id="15"/>
      <w:bookmarkStart w:id="16" w:name="_Hlt74714665"/>
      <w:bookmarkEnd w:id="16"/>
      <w:bookmarkStart w:id="17" w:name="_Hlt74730295"/>
      <w:bookmarkEnd w:id="17"/>
      <w:bookmarkStart w:id="18" w:name="_Hlt74707468"/>
      <w:bookmarkEnd w:id="18"/>
      <w:bookmarkStart w:id="19" w:name="_Hlt68057669"/>
      <w:bookmarkEnd w:id="19"/>
      <w:bookmarkStart w:id="20" w:name="_Hlt68072990"/>
      <w:bookmarkEnd w:id="20"/>
      <w:bookmarkStart w:id="21" w:name="_Hlt68072998"/>
      <w:bookmarkEnd w:id="21"/>
      <w:bookmarkStart w:id="22" w:name="_Hlt75236011"/>
      <w:bookmarkEnd w:id="22"/>
      <w:bookmarkStart w:id="23" w:name="_Hlt74729768"/>
      <w:bookmarkEnd w:id="23"/>
      <w:bookmarkStart w:id="24" w:name="_Hlt75236101"/>
      <w:bookmarkEnd w:id="24"/>
      <w:bookmarkStart w:id="25" w:name="_Hlt75236290"/>
      <w:bookmarkEnd w:id="25"/>
      <w:bookmarkStart w:id="26" w:name="_Hlt68403820"/>
      <w:bookmarkEnd w:id="26"/>
    </w:p>
    <w:p>
      <w:pPr>
        <w:numPr>
          <w:ilvl w:val="0"/>
          <w:numId w:val="2"/>
        </w:num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 xml:space="preserve">  采购需求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、物业管理基本情况</w:t>
      </w:r>
    </w:p>
    <w:p>
      <w:pPr>
        <w:pStyle w:val="12"/>
        <w:snapToGrid w:val="0"/>
        <w:spacing w:before="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lang w:eastAsia="zh-CN"/>
        </w:rPr>
        <w:t>总</w:t>
      </w:r>
      <w:r>
        <w:rPr>
          <w:rFonts w:hint="eastAsia" w:ascii="仿宋" w:hAnsi="仿宋" w:eastAsia="仿宋" w:cs="仿宋"/>
          <w:sz w:val="24"/>
          <w:szCs w:val="24"/>
        </w:rPr>
        <w:t>建筑面积约</w:t>
      </w:r>
      <w:r>
        <w:rPr>
          <w:rFonts w:hint="eastAsia" w:ascii="仿宋" w:hAnsi="仿宋" w:eastAsia="仿宋" w:cs="仿宋"/>
          <w:sz w:val="24"/>
          <w:szCs w:val="24"/>
          <w:lang w:val="en" w:eastAsia="zh-CN"/>
        </w:rPr>
        <w:t>17.3万</w:t>
      </w:r>
      <w:r>
        <w:rPr>
          <w:rFonts w:hint="eastAsia" w:ascii="仿宋" w:hAnsi="仿宋" w:eastAsia="仿宋" w:cs="仿宋"/>
          <w:sz w:val="24"/>
          <w:szCs w:val="24"/>
        </w:rPr>
        <w:t>平方米，包括</w:t>
      </w:r>
      <w:r>
        <w:rPr>
          <w:rFonts w:hint="eastAsia" w:ascii="仿宋" w:hAnsi="仿宋" w:eastAsia="仿宋" w:cs="仿宋"/>
          <w:sz w:val="24"/>
          <w:szCs w:val="24"/>
          <w:lang w:eastAsia="zh-CN"/>
        </w:rPr>
        <w:t>和茂大厦附楼和地面停车场</w:t>
      </w:r>
      <w:r>
        <w:rPr>
          <w:rFonts w:hint="eastAsia" w:ascii="仿宋" w:hAnsi="仿宋" w:eastAsia="仿宋" w:cs="仿宋"/>
          <w:sz w:val="24"/>
          <w:szCs w:val="24"/>
        </w:rPr>
        <w:t>，</w:t>
      </w:r>
      <w:r>
        <w:rPr>
          <w:rFonts w:hint="eastAsia" w:ascii="仿宋" w:hAnsi="仿宋" w:eastAsia="仿宋" w:cs="仿宋"/>
          <w:sz w:val="24"/>
          <w:szCs w:val="24"/>
          <w:lang w:eastAsia="zh-CN"/>
        </w:rPr>
        <w:t>东部国际商务中心</w:t>
      </w:r>
      <w:r>
        <w:rPr>
          <w:rFonts w:hint="eastAsia" w:ascii="仿宋" w:hAnsi="仿宋" w:eastAsia="仿宋" w:cs="仿宋"/>
          <w:sz w:val="24"/>
          <w:szCs w:val="24"/>
        </w:rPr>
        <w:t>和地下一、二层</w:t>
      </w:r>
      <w:r>
        <w:rPr>
          <w:rFonts w:hint="eastAsia" w:ascii="仿宋" w:hAnsi="仿宋" w:eastAsia="仿宋" w:cs="仿宋"/>
          <w:sz w:val="24"/>
          <w:szCs w:val="24"/>
          <w:lang w:eastAsia="zh-CN"/>
        </w:rPr>
        <w:t>，钱塘中心，综</w:t>
      </w:r>
      <w:r>
        <w:rPr>
          <w:rFonts w:hint="eastAsia" w:ascii="仿宋" w:hAnsi="仿宋" w:eastAsia="仿宋" w:cs="仿宋"/>
          <w:sz w:val="24"/>
          <w:szCs w:val="24"/>
          <w:lang w:val="en-US" w:eastAsia="zh-CN"/>
        </w:rPr>
        <w:t>合楼（含钱塘荟、规划馆、招商中心、退役军人事务局、公车平台</w:t>
      </w:r>
      <w:r>
        <w:rPr>
          <w:rFonts w:hint="eastAsia" w:ascii="仿宋" w:hAnsi="仿宋" w:eastAsia="仿宋" w:cs="仿宋"/>
          <w:sz w:val="24"/>
          <w:szCs w:val="24"/>
          <w:lang w:eastAsia="zh-CN"/>
        </w:rPr>
        <w:t>）、江东行政服务中心。</w:t>
      </w:r>
    </w:p>
    <w:tbl>
      <w:tblPr>
        <w:tblStyle w:val="7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物业名称</w:t>
            </w:r>
          </w:p>
        </w:tc>
        <w:tc>
          <w:tcPr>
            <w:tcW w:w="5070" w:type="dxa"/>
            <w:vAlign w:val="center"/>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和茂大厦附楼和地面停车场</w:t>
            </w:r>
          </w:p>
        </w:tc>
        <w:tc>
          <w:tcPr>
            <w:tcW w:w="5070" w:type="dxa"/>
            <w:vAlign w:val="center"/>
          </w:tcPr>
          <w:p>
            <w:pPr>
              <w:pStyle w:val="132"/>
              <w:snapToGrid w:val="0"/>
              <w:spacing w:before="0" w:line="240" w:lineRule="auto"/>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钱塘区云沙街与顺安巷交叉口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东部国际商务中心</w:t>
            </w:r>
            <w:r>
              <w:rPr>
                <w:rFonts w:hint="eastAsia" w:ascii="仿宋" w:hAnsi="仿宋" w:eastAsia="仿宋" w:cs="仿宋"/>
                <w:sz w:val="24"/>
                <w:szCs w:val="24"/>
              </w:rPr>
              <w:t>和地下一、二层</w:t>
            </w:r>
          </w:p>
        </w:tc>
        <w:tc>
          <w:tcPr>
            <w:tcW w:w="5070" w:type="dxa"/>
            <w:vAlign w:val="center"/>
          </w:tcPr>
          <w:p>
            <w:pPr>
              <w:pStyle w:val="132"/>
              <w:snapToGrid w:val="0"/>
              <w:spacing w:before="0"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钱塘区金沙大道</w:t>
            </w:r>
            <w:r>
              <w:rPr>
                <w:rFonts w:hint="eastAsia" w:ascii="仿宋" w:hAnsi="仿宋" w:eastAsia="仿宋" w:cs="仿宋"/>
                <w:sz w:val="24"/>
                <w:szCs w:val="24"/>
                <w:vertAlign w:val="baseline"/>
                <w:lang w:val="en-US" w:eastAsia="zh-CN"/>
              </w:rPr>
              <w:t>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钱塘中心</w:t>
            </w:r>
          </w:p>
        </w:tc>
        <w:tc>
          <w:tcPr>
            <w:tcW w:w="5070" w:type="dxa"/>
            <w:vAlign w:val="center"/>
          </w:tcPr>
          <w:p>
            <w:pPr>
              <w:pStyle w:val="132"/>
              <w:snapToGrid w:val="0"/>
              <w:spacing w:before="0"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钱塘区青六北路</w:t>
            </w:r>
            <w:r>
              <w:rPr>
                <w:rFonts w:hint="eastAsia" w:ascii="仿宋" w:hAnsi="仿宋" w:eastAsia="仿宋" w:cs="仿宋"/>
                <w:sz w:val="24"/>
                <w:szCs w:val="24"/>
                <w:vertAlign w:val="baseline"/>
                <w:lang w:val="en-US" w:eastAsia="zh-CN"/>
              </w:rPr>
              <w:t>499号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综</w:t>
            </w:r>
            <w:r>
              <w:rPr>
                <w:rFonts w:hint="eastAsia" w:ascii="仿宋" w:hAnsi="仿宋" w:eastAsia="仿宋" w:cs="仿宋"/>
                <w:sz w:val="24"/>
                <w:szCs w:val="24"/>
                <w:lang w:val="en-US" w:eastAsia="zh-CN"/>
              </w:rPr>
              <w:t>合楼</w:t>
            </w:r>
          </w:p>
        </w:tc>
        <w:tc>
          <w:tcPr>
            <w:tcW w:w="5070" w:type="dxa"/>
            <w:vAlign w:val="center"/>
          </w:tcPr>
          <w:p>
            <w:pPr>
              <w:pStyle w:val="132"/>
              <w:snapToGrid w:val="0"/>
              <w:spacing w:before="0"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钱塘区迎康路</w:t>
            </w:r>
            <w:r>
              <w:rPr>
                <w:rFonts w:hint="eastAsia" w:ascii="仿宋" w:hAnsi="仿宋" w:eastAsia="仿宋" w:cs="仿宋"/>
                <w:sz w:val="24"/>
                <w:szCs w:val="24"/>
                <w:vertAlign w:val="baseline"/>
                <w:lang w:val="en-US" w:eastAsia="zh-CN"/>
              </w:rPr>
              <w:t>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6" w:type="dxa"/>
            <w:vAlign w:val="center"/>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江东行政服务中心</w:t>
            </w:r>
          </w:p>
        </w:tc>
        <w:tc>
          <w:tcPr>
            <w:tcW w:w="5070" w:type="dxa"/>
            <w:vAlign w:val="center"/>
          </w:tcPr>
          <w:p>
            <w:pPr>
              <w:pStyle w:val="132"/>
              <w:snapToGrid w:val="0"/>
              <w:spacing w:before="0"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钱塘区江东大道</w:t>
            </w:r>
            <w:r>
              <w:rPr>
                <w:rFonts w:hint="eastAsia" w:ascii="仿宋" w:hAnsi="仿宋" w:eastAsia="仿宋" w:cs="仿宋"/>
                <w:sz w:val="24"/>
                <w:szCs w:val="24"/>
                <w:vertAlign w:val="baseline"/>
                <w:lang w:val="en-US" w:eastAsia="zh-CN"/>
              </w:rPr>
              <w:t>3899号</w:t>
            </w:r>
          </w:p>
        </w:tc>
      </w:tr>
    </w:tbl>
    <w:p>
      <w:pPr>
        <w:pStyle w:val="132"/>
        <w:snapToGrid w:val="0"/>
        <w:spacing w:before="0" w:line="360" w:lineRule="auto"/>
        <w:ind w:firstLine="48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70"/>
        <w:gridCol w:w="1148"/>
        <w:gridCol w:w="1117"/>
        <w:gridCol w:w="1117"/>
        <w:gridCol w:w="1117"/>
        <w:gridCol w:w="1086"/>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100"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物业名称</w:t>
            </w:r>
          </w:p>
        </w:tc>
        <w:tc>
          <w:tcPr>
            <w:tcW w:w="1070"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建筑物数量</w:t>
            </w:r>
          </w:p>
        </w:tc>
        <w:tc>
          <w:tcPr>
            <w:tcW w:w="1148"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1117"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室外面积</w:t>
            </w:r>
          </w:p>
        </w:tc>
        <w:tc>
          <w:tcPr>
            <w:tcW w:w="1117"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绿化面积</w:t>
            </w:r>
          </w:p>
        </w:tc>
        <w:tc>
          <w:tcPr>
            <w:tcW w:w="1117"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地下室面积</w:t>
            </w:r>
          </w:p>
        </w:tc>
        <w:tc>
          <w:tcPr>
            <w:tcW w:w="1086"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地下室车位数</w:t>
            </w:r>
          </w:p>
        </w:tc>
        <w:tc>
          <w:tcPr>
            <w:tcW w:w="1101" w:type="dxa"/>
          </w:tcPr>
          <w:p>
            <w:pPr>
              <w:pStyle w:val="132"/>
              <w:snapToGrid w:val="0"/>
              <w:spacing w:before="0" w:line="240" w:lineRule="auto"/>
              <w:ind w:firstLine="0" w:firstLineChars="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地面车位数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和茂大厦附楼和地面停车场</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4370.37</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1770</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 w:eastAsia="zh-CN"/>
              </w:rPr>
            </w:pPr>
            <w:r>
              <w:rPr>
                <w:rFonts w:hint="eastAsia" w:ascii="仿宋" w:hAnsi="仿宋" w:eastAsia="仿宋" w:cs="仿宋"/>
                <w:sz w:val="24"/>
                <w:szCs w:val="24"/>
                <w:vertAlign w:val="baseline"/>
                <w:lang w:val="en" w:eastAsia="zh-CN"/>
              </w:rPr>
              <w:t>/</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30</w:t>
            </w:r>
            <w:r>
              <w:rPr>
                <w:rFonts w:hint="eastAsia" w:ascii="仿宋" w:hAnsi="仿宋" w:eastAsia="仿宋" w:cs="仿宋"/>
                <w:sz w:val="24"/>
                <w:szCs w:val="24"/>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东部国际商务中心</w:t>
            </w:r>
            <w:r>
              <w:rPr>
                <w:rFonts w:hint="eastAsia" w:ascii="仿宋" w:hAnsi="仿宋" w:eastAsia="仿宋" w:cs="仿宋"/>
                <w:sz w:val="24"/>
                <w:szCs w:val="24"/>
              </w:rPr>
              <w:t>和地下一、二层</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 w:eastAsia="zh-CN"/>
              </w:rPr>
            </w:pPr>
            <w:r>
              <w:rPr>
                <w:rFonts w:hint="eastAsia" w:ascii="仿宋" w:hAnsi="仿宋" w:eastAsia="仿宋" w:cs="仿宋"/>
                <w:sz w:val="24"/>
                <w:szCs w:val="24"/>
                <w:vertAlign w:val="baseline"/>
                <w:lang w:val="en" w:eastAsia="zh-CN"/>
              </w:rPr>
              <w:t>53355</w:t>
            </w:r>
            <w:r>
              <w:rPr>
                <w:rFonts w:hint="eastAsia" w:ascii="仿宋" w:hAnsi="仿宋" w:eastAsia="仿宋" w:cs="仿宋"/>
                <w:sz w:val="24"/>
                <w:szCs w:val="24"/>
                <w:vertAlign w:val="baseline"/>
                <w:lang w:eastAsia="zh-CN"/>
              </w:rPr>
              <w:t>平方米</w:t>
            </w:r>
          </w:p>
        </w:tc>
        <w:tc>
          <w:tcPr>
            <w:tcW w:w="1117" w:type="dxa"/>
            <w:vAlign w:val="center"/>
          </w:tcPr>
          <w:p>
            <w:pPr>
              <w:keepNext w:val="0"/>
              <w:keepLines w:val="0"/>
              <w:widowControl/>
              <w:suppressLineNumbers w:val="0"/>
              <w:spacing w:line="240" w:lineRule="auto"/>
              <w:jc w:val="center"/>
              <w:rPr>
                <w:rFonts w:hint="eastAsia" w:ascii="仿宋" w:hAnsi="仿宋" w:eastAsia="仿宋" w:cs="仿宋"/>
                <w:sz w:val="24"/>
                <w:szCs w:val="24"/>
              </w:rPr>
            </w:pPr>
            <w:r>
              <w:rPr>
                <w:rFonts w:hint="eastAsia" w:ascii="仿宋" w:hAnsi="仿宋" w:eastAsia="仿宋" w:cs="仿宋"/>
                <w:i w:val="0"/>
                <w:caps w:val="0"/>
                <w:color w:val="171A1D"/>
                <w:spacing w:val="0"/>
                <w:kern w:val="0"/>
                <w:sz w:val="24"/>
                <w:szCs w:val="24"/>
                <w:shd w:val="clear" w:fill="FFFFFF"/>
                <w:lang w:val="en-US" w:eastAsia="zh-CN" w:bidi="ar"/>
              </w:rPr>
              <w:t>10858平方米</w:t>
            </w:r>
          </w:p>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p>
        </w:tc>
        <w:tc>
          <w:tcPr>
            <w:tcW w:w="1117" w:type="dxa"/>
            <w:vAlign w:val="center"/>
          </w:tcPr>
          <w:p>
            <w:pPr>
              <w:keepNext w:val="0"/>
              <w:keepLines w:val="0"/>
              <w:widowControl/>
              <w:suppressLineNumbers w:val="0"/>
              <w:spacing w:line="240" w:lineRule="auto"/>
              <w:jc w:val="center"/>
              <w:rPr>
                <w:rFonts w:hint="eastAsia" w:ascii="仿宋" w:hAnsi="仿宋" w:eastAsia="仿宋" w:cs="仿宋"/>
                <w:sz w:val="24"/>
                <w:szCs w:val="24"/>
              </w:rPr>
            </w:pPr>
            <w:r>
              <w:rPr>
                <w:rFonts w:hint="eastAsia" w:ascii="仿宋" w:hAnsi="仿宋" w:eastAsia="仿宋" w:cs="仿宋"/>
                <w:i w:val="0"/>
                <w:caps w:val="0"/>
                <w:color w:val="171A1D"/>
                <w:spacing w:val="0"/>
                <w:kern w:val="0"/>
                <w:sz w:val="24"/>
                <w:szCs w:val="24"/>
                <w:shd w:val="clear" w:fill="FFFFFF"/>
                <w:lang w:val="en-US" w:eastAsia="zh-CN" w:bidi="ar"/>
              </w:rPr>
              <w:t>3293平方米</w:t>
            </w:r>
          </w:p>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p>
        </w:tc>
        <w:tc>
          <w:tcPr>
            <w:tcW w:w="1117" w:type="dxa"/>
            <w:vAlign w:val="center"/>
          </w:tcPr>
          <w:p>
            <w:pPr>
              <w:keepNext w:val="0"/>
              <w:keepLines w:val="0"/>
              <w:widowControl/>
              <w:suppressLineNumbers w:val="0"/>
              <w:spacing w:line="240" w:lineRule="auto"/>
              <w:jc w:val="center"/>
              <w:rPr>
                <w:rFonts w:hint="eastAsia" w:ascii="仿宋" w:hAnsi="仿宋" w:eastAsia="仿宋" w:cs="仿宋"/>
                <w:sz w:val="24"/>
                <w:szCs w:val="24"/>
              </w:rPr>
            </w:pPr>
            <w:r>
              <w:rPr>
                <w:rFonts w:hint="eastAsia" w:ascii="仿宋" w:hAnsi="仿宋" w:eastAsia="仿宋" w:cs="仿宋"/>
                <w:i w:val="0"/>
                <w:caps w:val="0"/>
                <w:color w:val="171A1D"/>
                <w:spacing w:val="0"/>
                <w:kern w:val="0"/>
                <w:sz w:val="24"/>
                <w:szCs w:val="24"/>
                <w:shd w:val="clear" w:fill="FFFFFF"/>
                <w:lang w:val="en-US" w:eastAsia="zh-CN" w:bidi="ar"/>
              </w:rPr>
              <w:t>22850平方米</w:t>
            </w:r>
          </w:p>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 w:eastAsia="zh-CN"/>
              </w:rPr>
            </w:pPr>
            <w:r>
              <w:rPr>
                <w:rFonts w:hint="eastAsia" w:ascii="仿宋" w:hAnsi="仿宋" w:eastAsia="仿宋" w:cs="仿宋"/>
                <w:sz w:val="24"/>
                <w:szCs w:val="24"/>
                <w:vertAlign w:val="baseline"/>
                <w:lang w:val="en" w:eastAsia="zh-CN"/>
              </w:rPr>
              <w:t>380个</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100" w:type="dxa"/>
            <w:vAlign w:val="center"/>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钱塘中心</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43218</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23326</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12951</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 w:eastAsia="zh-CN"/>
              </w:rPr>
            </w:pPr>
            <w:r>
              <w:rPr>
                <w:rFonts w:hint="eastAsia" w:ascii="仿宋" w:hAnsi="仿宋" w:eastAsia="仿宋" w:cs="仿宋"/>
                <w:sz w:val="24"/>
                <w:szCs w:val="24"/>
                <w:vertAlign w:val="baseline"/>
                <w:lang w:val="en-US" w:eastAsia="zh-CN"/>
              </w:rPr>
              <w:t>388个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center"/>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综</w:t>
            </w:r>
            <w:r>
              <w:rPr>
                <w:rFonts w:hint="eastAsia" w:ascii="仿宋" w:hAnsi="仿宋" w:eastAsia="仿宋" w:cs="仿宋"/>
                <w:sz w:val="24"/>
                <w:szCs w:val="24"/>
                <w:lang w:val="en-US" w:eastAsia="zh-CN"/>
              </w:rPr>
              <w:t>合楼</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49190</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117" w:type="dxa"/>
            <w:vAlign w:val="center"/>
          </w:tcPr>
          <w:p>
            <w:pPr>
              <w:keepNext w:val="0"/>
              <w:keepLines w:val="0"/>
              <w:widowControl/>
              <w:suppressLineNumbers w:val="0"/>
              <w:spacing w:line="240" w:lineRule="auto"/>
              <w:jc w:val="cente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30</w:t>
            </w:r>
            <w:r>
              <w:rPr>
                <w:rFonts w:hint="eastAsia" w:ascii="仿宋" w:hAnsi="仿宋" w:eastAsia="仿宋" w:cs="仿宋"/>
                <w:i w:val="0"/>
                <w:caps w:val="0"/>
                <w:color w:val="171A1D"/>
                <w:spacing w:val="0"/>
                <w:kern w:val="0"/>
                <w:sz w:val="24"/>
                <w:szCs w:val="24"/>
                <w:shd w:val="clear" w:fill="FFFFFF"/>
                <w:lang w:val="en-US" w:eastAsia="zh-CN" w:bidi="ar"/>
              </w:rPr>
              <w:t>平方米</w:t>
            </w:r>
          </w:p>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tcPr>
          <w:p>
            <w:pPr>
              <w:pStyle w:val="132"/>
              <w:snapToGrid w:val="0"/>
              <w:spacing w:before="0"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江东行政服务中心</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23266</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11734</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 w:eastAsia="zh-CN"/>
              </w:rPr>
            </w:pPr>
            <w:r>
              <w:rPr>
                <w:rFonts w:hint="eastAsia" w:ascii="仿宋" w:hAnsi="仿宋" w:eastAsia="仿宋" w:cs="仿宋"/>
                <w:sz w:val="24"/>
                <w:szCs w:val="24"/>
                <w:vertAlign w:val="baseline"/>
                <w:lang w:val="en" w:eastAsia="zh-CN"/>
              </w:rPr>
              <w:t>/</w:t>
            </w:r>
          </w:p>
        </w:tc>
        <w:tc>
          <w:tcPr>
            <w:tcW w:w="1117" w:type="dxa"/>
            <w:vAlign w:val="center"/>
          </w:tcPr>
          <w:p>
            <w:pPr>
              <w:keepNext w:val="0"/>
              <w:keepLines w:val="0"/>
              <w:widowControl/>
              <w:suppressLineNumbers w:val="0"/>
              <w:spacing w:line="240" w:lineRule="auto"/>
              <w:jc w:val="cente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3500</w:t>
            </w:r>
            <w:r>
              <w:rPr>
                <w:rFonts w:hint="eastAsia" w:ascii="仿宋" w:hAnsi="仿宋" w:eastAsia="仿宋" w:cs="仿宋"/>
                <w:i w:val="0"/>
                <w:caps w:val="0"/>
                <w:color w:val="171A1D"/>
                <w:spacing w:val="0"/>
                <w:kern w:val="0"/>
                <w:sz w:val="24"/>
                <w:szCs w:val="24"/>
                <w:shd w:val="clear" w:fill="FFFFFF"/>
                <w:lang w:val="en-US" w:eastAsia="zh-CN" w:bidi="ar"/>
              </w:rPr>
              <w:t>平方米</w:t>
            </w:r>
          </w:p>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13个</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总计</w:t>
            </w:r>
          </w:p>
        </w:tc>
        <w:tc>
          <w:tcPr>
            <w:tcW w:w="1070"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12</w:t>
            </w:r>
            <w:r>
              <w:rPr>
                <w:rFonts w:hint="eastAsia" w:ascii="仿宋" w:hAnsi="仿宋" w:eastAsia="仿宋" w:cs="仿宋"/>
                <w:sz w:val="24"/>
                <w:szCs w:val="24"/>
                <w:vertAlign w:val="baseline"/>
                <w:lang w:eastAsia="zh-CN"/>
              </w:rPr>
              <w:t>幢</w:t>
            </w:r>
          </w:p>
        </w:tc>
        <w:tc>
          <w:tcPr>
            <w:tcW w:w="1148"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173399</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47688</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16244</w:t>
            </w:r>
            <w:r>
              <w:rPr>
                <w:rFonts w:hint="eastAsia" w:ascii="仿宋" w:hAnsi="仿宋" w:eastAsia="仿宋" w:cs="仿宋"/>
                <w:sz w:val="24"/>
                <w:szCs w:val="24"/>
                <w:vertAlign w:val="baseline"/>
                <w:lang w:eastAsia="zh-CN"/>
              </w:rPr>
              <w:t>平方米</w:t>
            </w:r>
          </w:p>
        </w:tc>
        <w:tc>
          <w:tcPr>
            <w:tcW w:w="1117"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26380</w:t>
            </w:r>
            <w:r>
              <w:rPr>
                <w:rFonts w:hint="eastAsia" w:ascii="仿宋" w:hAnsi="仿宋" w:eastAsia="仿宋" w:cs="仿宋"/>
                <w:sz w:val="24"/>
                <w:szCs w:val="24"/>
                <w:vertAlign w:val="baseline"/>
                <w:lang w:eastAsia="zh-CN"/>
              </w:rPr>
              <w:t>平方米</w:t>
            </w:r>
          </w:p>
        </w:tc>
        <w:tc>
          <w:tcPr>
            <w:tcW w:w="1086"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393</w:t>
            </w:r>
            <w:r>
              <w:rPr>
                <w:rFonts w:hint="eastAsia" w:ascii="仿宋" w:hAnsi="仿宋" w:eastAsia="仿宋" w:cs="仿宋"/>
                <w:sz w:val="24"/>
                <w:szCs w:val="24"/>
                <w:vertAlign w:val="baseline"/>
                <w:lang w:eastAsia="zh-CN"/>
              </w:rPr>
              <w:t>个</w:t>
            </w:r>
          </w:p>
        </w:tc>
        <w:tc>
          <w:tcPr>
            <w:tcW w:w="1101" w:type="dxa"/>
            <w:vAlign w:val="center"/>
          </w:tcPr>
          <w:p>
            <w:pPr>
              <w:pStyle w:val="132"/>
              <w:snapToGrid w:val="0"/>
              <w:spacing w:before="0" w:line="240" w:lineRule="auto"/>
              <w:ind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1728</w:t>
            </w:r>
            <w:r>
              <w:rPr>
                <w:rFonts w:hint="eastAsia" w:ascii="仿宋" w:hAnsi="仿宋" w:eastAsia="仿宋" w:cs="仿宋"/>
                <w:sz w:val="24"/>
                <w:szCs w:val="24"/>
                <w:vertAlign w:val="baseline"/>
                <w:lang w:eastAsia="zh-CN"/>
              </w:rPr>
              <w:t>个</w:t>
            </w:r>
          </w:p>
        </w:tc>
      </w:tr>
    </w:tbl>
    <w:p>
      <w:pPr>
        <w:pStyle w:val="132"/>
        <w:snapToGrid w:val="0"/>
        <w:spacing w:before="0" w:line="360" w:lineRule="auto"/>
        <w:ind w:firstLine="0" w:firstLineChars="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720"/>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7" w:type="dxa"/>
            <w:gridSpan w:val="2"/>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建筑名称</w:t>
            </w:r>
          </w:p>
        </w:tc>
        <w:tc>
          <w:tcPr>
            <w:tcW w:w="583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和茂大厦附楼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restart"/>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面积指标</w:t>
            </w: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583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4370.37</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tcPr>
          <w:p>
            <w:pPr>
              <w:spacing w:line="360" w:lineRule="auto"/>
              <w:rPr>
                <w:rFonts w:hint="eastAsia" w:ascii="仿宋" w:hAnsi="仿宋" w:eastAsia="仿宋" w:cs="仿宋"/>
                <w:b/>
                <w:bCs/>
                <w:sz w:val="24"/>
                <w:szCs w:val="24"/>
                <w:vertAlign w:val="baseline"/>
                <w:lang w:eastAsia="zh-CN"/>
              </w:rPr>
            </w:pP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每层面积</w:t>
            </w:r>
          </w:p>
        </w:tc>
        <w:tc>
          <w:tcPr>
            <w:tcW w:w="583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1层：1063.72m²、2层：1049.11m²、3层：1049.11m²、4层：1095.98m²、顶层：112.45m²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tcPr>
          <w:p>
            <w:pPr>
              <w:spacing w:line="360" w:lineRule="auto"/>
              <w:rPr>
                <w:rFonts w:hint="eastAsia" w:ascii="仿宋" w:hAnsi="仿宋" w:eastAsia="仿宋" w:cs="仿宋"/>
                <w:b/>
                <w:bCs/>
                <w:sz w:val="24"/>
                <w:szCs w:val="24"/>
                <w:vertAlign w:val="baseline"/>
                <w:lang w:eastAsia="zh-CN"/>
              </w:rPr>
            </w:pP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每层需保洁面积</w:t>
            </w:r>
          </w:p>
        </w:tc>
        <w:tc>
          <w:tcPr>
            <w:tcW w:w="583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行政办公</w:t>
            </w:r>
            <w:r>
              <w:rPr>
                <w:rFonts w:hint="eastAsia" w:ascii="仿宋" w:hAnsi="仿宋" w:eastAsia="仿宋" w:cs="仿宋"/>
                <w:sz w:val="24"/>
                <w:szCs w:val="24"/>
                <w:vertAlign w:val="baseline"/>
                <w:lang w:eastAsia="zh-CN"/>
              </w:rPr>
              <w:t>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层数指标</w:t>
            </w: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w:t>
            </w:r>
          </w:p>
        </w:tc>
        <w:tc>
          <w:tcPr>
            <w:tcW w:w="583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restart"/>
          </w:tcPr>
          <w:p>
            <w:pPr>
              <w:spacing w:line="360" w:lineRule="auto"/>
              <w:ind w:firstLine="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大型设施设备指标</w:t>
            </w: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电梯</w:t>
            </w:r>
          </w:p>
        </w:tc>
        <w:tc>
          <w:tcPr>
            <w:tcW w:w="583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】；品牌【东芝】；型号【CV320 5层5站5门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tcPr>
          <w:p>
            <w:pPr>
              <w:spacing w:line="360" w:lineRule="auto"/>
              <w:rPr>
                <w:rFonts w:hint="eastAsia" w:ascii="仿宋" w:hAnsi="仿宋" w:eastAsia="仿宋" w:cs="仿宋"/>
                <w:b/>
                <w:bCs/>
                <w:sz w:val="24"/>
                <w:szCs w:val="24"/>
                <w:vertAlign w:val="baseline"/>
                <w:lang w:eastAsia="zh-CN"/>
              </w:rPr>
            </w:pPr>
          </w:p>
        </w:tc>
        <w:tc>
          <w:tcPr>
            <w:tcW w:w="1720"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空调</w:t>
            </w:r>
          </w:p>
        </w:tc>
        <w:tc>
          <w:tcPr>
            <w:tcW w:w="583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vertAlign w:val="baseline"/>
                <w:lang w:eastAsia="zh-CN"/>
              </w:rPr>
              <w:t>】；品牌【三星】；型号【</w:t>
            </w:r>
            <w:r>
              <w:rPr>
                <w:rFonts w:hint="eastAsia" w:ascii="仿宋" w:hAnsi="仿宋" w:eastAsia="仿宋" w:cs="仿宋"/>
                <w:sz w:val="24"/>
                <w:szCs w:val="24"/>
                <w:vertAlign w:val="baseline"/>
                <w:lang w:val="en-US" w:eastAsia="zh-CN"/>
              </w:rPr>
              <w:t>ADX160VRGHA</w:t>
            </w:r>
            <w:r>
              <w:rPr>
                <w:rFonts w:hint="eastAsia" w:ascii="仿宋" w:hAnsi="仿宋" w:eastAsia="仿宋" w:cs="仿宋"/>
                <w:sz w:val="24"/>
                <w:szCs w:val="24"/>
                <w:vertAlign w:val="baseline"/>
                <w:lang w:eastAsia="zh-CN"/>
              </w:rPr>
              <w:t>】</w:t>
            </w:r>
          </w:p>
        </w:tc>
      </w:tr>
    </w:tbl>
    <w:p>
      <w:pPr>
        <w:pStyle w:val="132"/>
        <w:snapToGrid w:val="0"/>
        <w:spacing w:before="0" w:line="360" w:lineRule="auto"/>
        <w:ind w:firstLine="48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684"/>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7" w:type="dxa"/>
            <w:gridSpan w:val="2"/>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建筑名称</w:t>
            </w:r>
          </w:p>
        </w:tc>
        <w:tc>
          <w:tcPr>
            <w:tcW w:w="589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东部国际商务中心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面积指标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 w:eastAsia="zh-CN"/>
              </w:rPr>
              <w:t>53355</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每层面积</w:t>
            </w:r>
          </w:p>
        </w:tc>
        <w:tc>
          <w:tcPr>
            <w:tcW w:w="589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约3800</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每层需保洁面积</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行政办公</w:t>
            </w:r>
            <w:r>
              <w:rPr>
                <w:rFonts w:hint="eastAsia" w:ascii="仿宋" w:hAnsi="仿宋" w:eastAsia="仿宋" w:cs="仿宋"/>
                <w:sz w:val="24"/>
                <w:szCs w:val="24"/>
                <w:vertAlign w:val="baseline"/>
                <w:lang w:eastAsia="zh-CN"/>
              </w:rPr>
              <w:t>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w:t>
            </w:r>
          </w:p>
        </w:tc>
        <w:tc>
          <w:tcPr>
            <w:tcW w:w="589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spacing w:line="360" w:lineRule="auto"/>
              <w:ind w:firstLine="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大型设施设备指标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电梯</w:t>
            </w:r>
          </w:p>
        </w:tc>
        <w:tc>
          <w:tcPr>
            <w:tcW w:w="5899"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vertAlign w:val="baseline"/>
                <w:lang w:eastAsia="zh-CN"/>
              </w:rPr>
              <w:t>】；品牌【三菱】；型号【曳引驱动乘客电梯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空调</w:t>
            </w:r>
          </w:p>
        </w:tc>
        <w:tc>
          <w:tcPr>
            <w:tcW w:w="5899"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112</w:t>
            </w:r>
            <w:r>
              <w:rPr>
                <w:rFonts w:hint="eastAsia" w:ascii="仿宋" w:hAnsi="仿宋" w:eastAsia="仿宋" w:cs="仿宋"/>
                <w:sz w:val="24"/>
                <w:szCs w:val="24"/>
                <w:vertAlign w:val="baseline"/>
                <w:lang w:eastAsia="zh-CN"/>
              </w:rPr>
              <w:t>】；品牌【大金】；型号【</w:t>
            </w:r>
            <w:r>
              <w:rPr>
                <w:rFonts w:hint="eastAsia" w:ascii="仿宋" w:hAnsi="仿宋" w:eastAsia="仿宋" w:cs="仿宋"/>
                <w:sz w:val="24"/>
                <w:szCs w:val="24"/>
                <w:vertAlign w:val="baseline"/>
                <w:lang w:val="en-US" w:eastAsia="zh-CN"/>
              </w:rPr>
              <w:t>VRV</w:t>
            </w:r>
            <w:r>
              <w:rPr>
                <w:rFonts w:hint="eastAsia" w:ascii="仿宋" w:hAnsi="仿宋" w:eastAsia="仿宋" w:cs="仿宋"/>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给排水设备</w:t>
            </w:r>
          </w:p>
        </w:tc>
        <w:tc>
          <w:tcPr>
            <w:tcW w:w="5899"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26</w:t>
            </w:r>
            <w:r>
              <w:rPr>
                <w:rFonts w:hint="eastAsia" w:ascii="仿宋" w:hAnsi="仿宋" w:eastAsia="仿宋" w:cs="仿宋"/>
                <w:sz w:val="24"/>
                <w:szCs w:val="24"/>
                <w:vertAlign w:val="baseline"/>
                <w:lang w:eastAsia="zh-CN"/>
              </w:rPr>
              <w:t>】；品牌【扬程】；型号【MV11606N-3/16/E/3-380-50-2】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消防设备</w:t>
            </w:r>
          </w:p>
        </w:tc>
        <w:tc>
          <w:tcPr>
            <w:tcW w:w="5899"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】；品牌【西门子】；型号【JB-TGZL-FC186-GQ/M】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供电设备</w:t>
            </w:r>
          </w:p>
        </w:tc>
        <w:tc>
          <w:tcPr>
            <w:tcW w:w="5899" w:type="dxa"/>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142</w:t>
            </w:r>
            <w:r>
              <w:rPr>
                <w:rFonts w:hint="eastAsia" w:ascii="仿宋" w:hAnsi="仿宋" w:eastAsia="仿宋" w:cs="仿宋"/>
                <w:sz w:val="24"/>
                <w:szCs w:val="24"/>
                <w:vertAlign w:val="baseline"/>
                <w:lang w:eastAsia="zh-CN"/>
              </w:rPr>
              <w:t>】；品牌【</w:t>
            </w:r>
            <w:r>
              <w:rPr>
                <w:rFonts w:hint="eastAsia" w:ascii="仿宋" w:hAnsi="仿宋" w:eastAsia="仿宋" w:cs="仿宋"/>
                <w:sz w:val="24"/>
                <w:szCs w:val="24"/>
                <w:vertAlign w:val="baseline"/>
                <w:lang w:val="en-US" w:eastAsia="zh-CN"/>
              </w:rPr>
              <w:t>ABB</w:t>
            </w:r>
            <w:r>
              <w:rPr>
                <w:rFonts w:hint="eastAsia" w:ascii="仿宋" w:hAnsi="仿宋" w:eastAsia="仿宋" w:cs="仿宋"/>
                <w:sz w:val="24"/>
                <w:szCs w:val="24"/>
                <w:vertAlign w:val="baseline"/>
                <w:lang w:eastAsia="zh-CN"/>
              </w:rPr>
              <w:t>】</w:t>
            </w:r>
          </w:p>
        </w:tc>
      </w:tr>
    </w:tbl>
    <w:p>
      <w:pPr>
        <w:pStyle w:val="132"/>
        <w:snapToGrid w:val="0"/>
        <w:spacing w:before="0" w:line="360" w:lineRule="auto"/>
        <w:ind w:firstLine="0" w:firstLineChars="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719"/>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4" w:type="dxa"/>
            <w:gridSpan w:val="2"/>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建筑名称</w:t>
            </w:r>
          </w:p>
        </w:tc>
        <w:tc>
          <w:tcPr>
            <w:tcW w:w="5842"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钱塘中心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restart"/>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面积指标</w:t>
            </w: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43218</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每层面积</w:t>
            </w:r>
          </w:p>
        </w:tc>
        <w:tc>
          <w:tcPr>
            <w:tcW w:w="5842"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约</w:t>
            </w:r>
            <w:r>
              <w:rPr>
                <w:rFonts w:hint="eastAsia" w:ascii="仿宋" w:hAnsi="仿宋" w:eastAsia="仿宋" w:cs="仿宋"/>
                <w:sz w:val="24"/>
                <w:szCs w:val="24"/>
                <w:vertAlign w:val="baseline"/>
                <w:lang w:val="en-US" w:eastAsia="zh-CN"/>
              </w:rPr>
              <w:t>960</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每层需保洁面积</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行政办公</w:t>
            </w:r>
            <w:r>
              <w:rPr>
                <w:rFonts w:hint="eastAsia" w:ascii="仿宋" w:hAnsi="仿宋" w:eastAsia="仿宋" w:cs="仿宋"/>
                <w:sz w:val="24"/>
                <w:szCs w:val="24"/>
                <w:vertAlign w:val="baseline"/>
                <w:lang w:eastAsia="zh-CN"/>
              </w:rPr>
              <w:t>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层数指标</w:t>
            </w: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w:t>
            </w:r>
          </w:p>
        </w:tc>
        <w:tc>
          <w:tcPr>
            <w:tcW w:w="5842"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restart"/>
          </w:tcPr>
          <w:p>
            <w:pPr>
              <w:spacing w:line="360" w:lineRule="auto"/>
              <w:ind w:firstLine="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大型设施设备指标</w:t>
            </w: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电梯</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24</w:t>
            </w:r>
            <w:r>
              <w:rPr>
                <w:rFonts w:hint="eastAsia" w:ascii="仿宋" w:hAnsi="仿宋" w:eastAsia="仿宋" w:cs="仿宋"/>
                <w:sz w:val="24"/>
                <w:szCs w:val="24"/>
                <w:vertAlign w:val="baseline"/>
                <w:lang w:eastAsia="zh-CN"/>
              </w:rPr>
              <w:t>】；品牌【奥的斯】；型号【西子奥的斯无齿轮乘客电梯】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空调</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635</w:t>
            </w:r>
            <w:r>
              <w:rPr>
                <w:rFonts w:hint="eastAsia" w:ascii="仿宋" w:hAnsi="仿宋" w:eastAsia="仿宋" w:cs="仿宋"/>
                <w:sz w:val="24"/>
                <w:szCs w:val="24"/>
                <w:vertAlign w:val="baseline"/>
                <w:lang w:eastAsia="zh-CN"/>
              </w:rPr>
              <w:t>】；品牌【格力】；型号【MDN-D112Q4】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给排水设备</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】；品牌【山东中锐供水设备有限公司】；型号【6*4*2】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消防设备</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 w:eastAsia="zh-CN"/>
              </w:rPr>
              <w:t>1</w:t>
            </w:r>
            <w:r>
              <w:rPr>
                <w:rFonts w:hint="eastAsia" w:ascii="仿宋" w:hAnsi="仿宋" w:eastAsia="仿宋" w:cs="仿宋"/>
                <w:sz w:val="24"/>
                <w:szCs w:val="24"/>
                <w:vertAlign w:val="baseline"/>
                <w:lang w:eastAsia="zh-CN"/>
              </w:rPr>
              <w:t>】；品牌【北京利达华信电子有限公司】；型号【JB-QG-LD128E】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Merge w:val="continue"/>
          </w:tcPr>
          <w:p>
            <w:pPr>
              <w:spacing w:line="360" w:lineRule="auto"/>
              <w:rPr>
                <w:rFonts w:hint="eastAsia" w:ascii="仿宋" w:hAnsi="仿宋" w:eastAsia="仿宋" w:cs="仿宋"/>
                <w:b/>
                <w:bCs/>
                <w:sz w:val="24"/>
                <w:szCs w:val="24"/>
                <w:vertAlign w:val="baseline"/>
                <w:lang w:eastAsia="zh-CN"/>
              </w:rPr>
            </w:pPr>
          </w:p>
        </w:tc>
        <w:tc>
          <w:tcPr>
            <w:tcW w:w="1719" w:type="dxa"/>
          </w:tcPr>
          <w:p>
            <w:pPr>
              <w:spacing w:line="360" w:lineRule="auto"/>
              <w:rPr>
                <w:rFonts w:hint="eastAsia" w:ascii="仿宋" w:hAnsi="仿宋" w:eastAsia="仿宋" w:cs="仿宋"/>
                <w:b/>
                <w:bCs/>
                <w:sz w:val="24"/>
                <w:szCs w:val="24"/>
                <w:vertAlign w:val="baseline"/>
                <w:lang w:val="en" w:eastAsia="zh-CN"/>
              </w:rPr>
            </w:pPr>
            <w:r>
              <w:rPr>
                <w:rFonts w:hint="eastAsia" w:ascii="仿宋" w:hAnsi="仿宋" w:eastAsia="仿宋" w:cs="仿宋"/>
                <w:b/>
                <w:bCs/>
                <w:sz w:val="24"/>
                <w:szCs w:val="24"/>
                <w:vertAlign w:val="baseline"/>
                <w:lang w:val="en" w:eastAsia="zh-CN"/>
              </w:rPr>
              <w:t>供电设备</w:t>
            </w:r>
          </w:p>
        </w:tc>
        <w:tc>
          <w:tcPr>
            <w:tcW w:w="584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86</w:t>
            </w:r>
            <w:r>
              <w:rPr>
                <w:rFonts w:hint="eastAsia" w:ascii="仿宋" w:hAnsi="仿宋" w:eastAsia="仿宋" w:cs="仿宋"/>
                <w:sz w:val="24"/>
                <w:szCs w:val="24"/>
                <w:vertAlign w:val="baseline"/>
                <w:lang w:eastAsia="zh-CN"/>
              </w:rPr>
              <w:t>】；品牌【杭州亚威】；型号【YSD】</w:t>
            </w:r>
          </w:p>
        </w:tc>
      </w:tr>
    </w:tbl>
    <w:p>
      <w:pPr>
        <w:pStyle w:val="132"/>
        <w:snapToGrid w:val="0"/>
        <w:spacing w:before="0" w:line="360" w:lineRule="auto"/>
        <w:ind w:firstLine="48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706"/>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4" w:type="dxa"/>
            <w:gridSpan w:val="2"/>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建筑名称</w:t>
            </w:r>
          </w:p>
        </w:tc>
        <w:tc>
          <w:tcPr>
            <w:tcW w:w="5862"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综</w:t>
            </w:r>
            <w:r>
              <w:rPr>
                <w:rFonts w:hint="eastAsia" w:ascii="仿宋" w:hAnsi="仿宋" w:eastAsia="仿宋" w:cs="仿宋"/>
                <w:b/>
                <w:bCs/>
                <w:sz w:val="24"/>
                <w:szCs w:val="24"/>
                <w:lang w:val="en-US" w:eastAsia="zh-CN"/>
              </w:rPr>
              <w:t>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restart"/>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面积指标</w:t>
            </w: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49190</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每层面积</w:t>
            </w:r>
          </w:p>
        </w:tc>
        <w:tc>
          <w:tcPr>
            <w:tcW w:w="5862"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约3200</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每层需保洁面积</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行政办公</w:t>
            </w:r>
            <w:r>
              <w:rPr>
                <w:rFonts w:hint="eastAsia" w:ascii="仿宋" w:hAnsi="仿宋" w:eastAsia="仿宋" w:cs="仿宋"/>
                <w:sz w:val="24"/>
                <w:szCs w:val="24"/>
                <w:vertAlign w:val="baseline"/>
                <w:lang w:eastAsia="zh-CN"/>
              </w:rPr>
              <w:t>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层数指标</w:t>
            </w: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w:t>
            </w:r>
          </w:p>
        </w:tc>
        <w:tc>
          <w:tcPr>
            <w:tcW w:w="5862"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restart"/>
          </w:tcPr>
          <w:p>
            <w:pPr>
              <w:spacing w:line="360" w:lineRule="auto"/>
              <w:ind w:firstLine="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大型设施设备指标</w:t>
            </w: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电梯</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】；品牌【奥的斯】；型号【GEN1-MR】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空调</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47</w:t>
            </w:r>
            <w:r>
              <w:rPr>
                <w:rFonts w:hint="eastAsia" w:ascii="仿宋" w:hAnsi="仿宋" w:eastAsia="仿宋" w:cs="仿宋"/>
                <w:sz w:val="24"/>
                <w:szCs w:val="24"/>
                <w:vertAlign w:val="baseline"/>
                <w:lang w:eastAsia="zh-CN"/>
              </w:rPr>
              <w:t>】；品牌【格力】；型号【KFR/35GW】</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138</w:t>
            </w:r>
            <w:r>
              <w:rPr>
                <w:rFonts w:hint="eastAsia" w:ascii="仿宋" w:hAnsi="仿宋" w:eastAsia="仿宋" w:cs="仿宋"/>
                <w:sz w:val="24"/>
                <w:szCs w:val="24"/>
                <w:vertAlign w:val="baseline"/>
                <w:lang w:eastAsia="zh-CN"/>
              </w:rPr>
              <w:t>】；品牌【美的】；型号【MDV-400W</w:t>
            </w:r>
            <w:r>
              <w:rPr>
                <w:rFonts w:hint="eastAsia" w:ascii="仿宋" w:hAnsi="仿宋" w:eastAsia="仿宋" w:cs="仿宋"/>
                <w:sz w:val="24"/>
                <w:szCs w:val="24"/>
                <w:vertAlign w:val="baseline"/>
                <w:lang w:val="en" w:eastAsia="zh-CN"/>
              </w:rPr>
              <w:t>/560W/730</w:t>
            </w:r>
            <w:r>
              <w:rPr>
                <w:rFonts w:hint="eastAsia" w:ascii="仿宋" w:hAnsi="仿宋" w:eastAsia="仿宋" w:cs="仿宋"/>
                <w:sz w:val="24"/>
                <w:szCs w:val="24"/>
                <w:vertAlign w:val="baseline"/>
                <w:lang w:val="en-US" w:eastAsia="zh-CN"/>
              </w:rPr>
              <w:t>W</w:t>
            </w:r>
            <w:r>
              <w:rPr>
                <w:rFonts w:hint="eastAsia" w:ascii="仿宋" w:hAnsi="仿宋" w:eastAsia="仿宋" w:cs="仿宋"/>
                <w:sz w:val="24"/>
                <w:szCs w:val="24"/>
                <w:vertAlign w:val="baseline"/>
                <w:lang w:eastAsia="zh-CN"/>
              </w:rPr>
              <w:t>】</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34</w:t>
            </w:r>
            <w:r>
              <w:rPr>
                <w:rFonts w:hint="eastAsia" w:ascii="仿宋" w:hAnsi="仿宋" w:eastAsia="仿宋" w:cs="仿宋"/>
                <w:sz w:val="24"/>
                <w:szCs w:val="24"/>
                <w:vertAlign w:val="baseline"/>
                <w:lang w:eastAsia="zh-CN"/>
              </w:rPr>
              <w:t>】；品牌【奥克斯】；型号【KFR-35GW】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给排水设备</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】；品牌【华孚环境】；型号【HGS-2M11】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消防设备</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】；品牌【上海松江】；型号【JB-9108A】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tcPr>
          <w:p>
            <w:pPr>
              <w:spacing w:line="360" w:lineRule="auto"/>
              <w:rPr>
                <w:rFonts w:hint="eastAsia" w:ascii="仿宋" w:hAnsi="仿宋" w:eastAsia="仿宋" w:cs="仿宋"/>
                <w:b/>
                <w:bCs/>
                <w:sz w:val="24"/>
                <w:szCs w:val="24"/>
                <w:vertAlign w:val="baseline"/>
                <w:lang w:eastAsia="zh-CN"/>
              </w:rPr>
            </w:pPr>
          </w:p>
        </w:tc>
        <w:tc>
          <w:tcPr>
            <w:tcW w:w="1706"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供电设备</w:t>
            </w:r>
          </w:p>
        </w:tc>
        <w:tc>
          <w:tcPr>
            <w:tcW w:w="5862"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】；品牌【浙江广天】；型号【SCB10-630/20】</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eastAsia="zh-CN"/>
              </w:rPr>
              <w:t>】；品牌【杭州欣美】；型号【GCS-KCC】</w:t>
            </w:r>
          </w:p>
        </w:tc>
      </w:tr>
    </w:tbl>
    <w:p>
      <w:pPr>
        <w:pStyle w:val="132"/>
        <w:snapToGrid w:val="0"/>
        <w:spacing w:before="0" w:line="360" w:lineRule="auto"/>
        <w:ind w:firstLine="480"/>
        <w:rPr>
          <w:rFonts w:hint="eastAsia" w:ascii="仿宋" w:hAnsi="仿宋" w:eastAsia="仿宋" w:cs="仿宋"/>
          <w:sz w:val="24"/>
          <w:szCs w:val="24"/>
          <w:lang w:eastAsia="zh-CN"/>
        </w:rPr>
      </w:pPr>
    </w:p>
    <w:tbl>
      <w:tblPr>
        <w:tblStyle w:val="7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684"/>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57" w:type="dxa"/>
            <w:gridSpan w:val="2"/>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建筑名称</w:t>
            </w:r>
          </w:p>
        </w:tc>
        <w:tc>
          <w:tcPr>
            <w:tcW w:w="5899"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江东行政服务中心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面积指标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建筑面积</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23266</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每层面积</w:t>
            </w:r>
          </w:p>
        </w:tc>
        <w:tc>
          <w:tcPr>
            <w:tcW w:w="589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约</w:t>
            </w:r>
            <w:r>
              <w:rPr>
                <w:rFonts w:hint="eastAsia" w:ascii="仿宋" w:hAnsi="仿宋" w:eastAsia="仿宋" w:cs="仿宋"/>
                <w:sz w:val="24"/>
                <w:szCs w:val="24"/>
                <w:vertAlign w:val="baseline"/>
                <w:lang w:val="en-US" w:eastAsia="zh-CN"/>
              </w:rPr>
              <w:t>1600</w:t>
            </w:r>
            <w:r>
              <w:rPr>
                <w:rFonts w:hint="eastAsia" w:ascii="仿宋" w:hAnsi="仿宋" w:eastAsia="仿宋" w:cs="仿宋"/>
                <w:sz w:val="24"/>
                <w:szCs w:val="24"/>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每层需保洁面积</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行政办公</w:t>
            </w:r>
            <w:r>
              <w:rPr>
                <w:rFonts w:hint="eastAsia" w:ascii="仿宋" w:hAnsi="仿宋" w:eastAsia="仿宋" w:cs="仿宋"/>
                <w:sz w:val="24"/>
                <w:szCs w:val="24"/>
                <w:vertAlign w:val="baseline"/>
                <w:lang w:eastAsia="zh-CN"/>
              </w:rPr>
              <w:t>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层数</w:t>
            </w:r>
          </w:p>
        </w:tc>
        <w:tc>
          <w:tcPr>
            <w:tcW w:w="5899" w:type="dxa"/>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spacing w:line="360" w:lineRule="auto"/>
              <w:ind w:firstLine="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大型设施设备指标</w:t>
            </w: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电梯</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7</w:t>
            </w:r>
            <w:r>
              <w:rPr>
                <w:rFonts w:hint="eastAsia" w:ascii="仿宋" w:hAnsi="仿宋" w:eastAsia="仿宋" w:cs="仿宋"/>
                <w:sz w:val="24"/>
                <w:szCs w:val="24"/>
                <w:vertAlign w:val="baseline"/>
                <w:lang w:eastAsia="zh-CN"/>
              </w:rPr>
              <w:t>】；品牌【奥的斯】；型号【TKJ1000/1.75】</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lang w:eastAsia="zh-CN"/>
              </w:rPr>
              <w:t>】；品牌【奥的斯】；型号【XO-508】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空调</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vertAlign w:val="baseline"/>
                <w:lang w:eastAsia="zh-CN"/>
              </w:rPr>
              <w:t>】；品牌【格力】；型号【KFR-72W/FNI04-A3】</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lang w:eastAsia="zh-CN"/>
              </w:rPr>
              <w:t>】；品牌【威乐】；型号【W200L-4】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给排水设备</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】；品牌【威乐】；型号【MV11606N-3/16/E/3-380-50-2】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消防设备</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】；品牌【上海阿扎比】；型号【YE2-90S-2】</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】；品牌【上海阿扎比】；型号【YE2-280S-2】</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24</w:t>
            </w:r>
            <w:r>
              <w:rPr>
                <w:rFonts w:hint="eastAsia" w:ascii="仿宋" w:hAnsi="仿宋" w:eastAsia="仿宋" w:cs="仿宋"/>
                <w:sz w:val="24"/>
                <w:szCs w:val="24"/>
                <w:vertAlign w:val="baseline"/>
                <w:lang w:eastAsia="zh-CN"/>
              </w:rPr>
              <w:t>】；品牌【上虞国风风机】；型号【GDF-2.5-8】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spacing w:line="360" w:lineRule="auto"/>
              <w:rPr>
                <w:rFonts w:hint="eastAsia" w:ascii="仿宋" w:hAnsi="仿宋" w:eastAsia="仿宋" w:cs="仿宋"/>
                <w:b/>
                <w:bCs/>
                <w:sz w:val="24"/>
                <w:szCs w:val="24"/>
                <w:vertAlign w:val="baseline"/>
                <w:lang w:eastAsia="zh-CN"/>
              </w:rPr>
            </w:pPr>
          </w:p>
        </w:tc>
        <w:tc>
          <w:tcPr>
            <w:tcW w:w="1684" w:type="dxa"/>
          </w:tcPr>
          <w:p>
            <w:pPr>
              <w:spacing w:line="360" w:lineRule="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供电设备</w:t>
            </w:r>
          </w:p>
        </w:tc>
        <w:tc>
          <w:tcPr>
            <w:tcW w:w="5899" w:type="dxa"/>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】；品牌【浙江群力】；型号【SCB10-1250kVA】</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】；品牌【杭州二开】；型号【HKD】</w:t>
            </w:r>
          </w:p>
        </w:tc>
      </w:tr>
    </w:tbl>
    <w:p>
      <w:pPr>
        <w:pStyle w:val="132"/>
        <w:snapToGrid w:val="0"/>
        <w:spacing w:before="0" w:line="360" w:lineRule="auto"/>
        <w:ind w:firstLine="480"/>
        <w:rPr>
          <w:rFonts w:hint="eastAsia" w:ascii="仿宋" w:hAnsi="仿宋" w:eastAsia="仿宋" w:cs="仿宋"/>
          <w:sz w:val="24"/>
          <w:szCs w:val="24"/>
          <w:lang w:eastAsia="zh-CN"/>
        </w:rPr>
      </w:pPr>
    </w:p>
    <w:p>
      <w:pPr>
        <w:pStyle w:val="132"/>
        <w:snapToGrid w:val="0"/>
        <w:spacing w:before="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lang w:eastAsia="zh-CN"/>
        </w:rPr>
        <w:t>二、列入本次采购的物业管理内容为：</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行政办公区域</w:t>
      </w:r>
      <w:r>
        <w:rPr>
          <w:rFonts w:hint="eastAsia" w:ascii="仿宋" w:hAnsi="仿宋" w:eastAsia="仿宋" w:cs="仿宋"/>
          <w:sz w:val="24"/>
          <w:szCs w:val="24"/>
        </w:rPr>
        <w:t>物业管理内容包含但不限于下列内容:</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清卫保洁</w:t>
      </w:r>
      <w:r>
        <w:rPr>
          <w:rFonts w:hint="eastAsia" w:ascii="仿宋" w:hAnsi="仿宋" w:eastAsia="仿宋" w:cs="仿宋"/>
          <w:sz w:val="24"/>
          <w:szCs w:val="24"/>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秩序维护</w:t>
      </w:r>
      <w:r>
        <w:rPr>
          <w:rFonts w:hint="eastAsia" w:ascii="仿宋" w:hAnsi="仿宋" w:eastAsia="仿宋" w:cs="仿宋"/>
          <w:sz w:val="24"/>
          <w:szCs w:val="24"/>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.绿化养护；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.高（低）压线路、照明及供电设备管理维护；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.弱电系统管理维护；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.给排水设备运行维护；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.空调系统运行维护；</w:t>
      </w:r>
    </w:p>
    <w:p>
      <w:pPr>
        <w:pStyle w:val="132"/>
        <w:snapToGrid w:val="0"/>
        <w:spacing w:before="0"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8.石材日常维护；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.电梯管理维护；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.房屋及设备设施日常养护和巡查维修；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.消防设备维护；</w:t>
      </w:r>
    </w:p>
    <w:p>
      <w:pPr>
        <w:pStyle w:val="132"/>
        <w:snapToGrid w:val="0"/>
        <w:spacing w:before="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.设备机房标准化管理和要求</w:t>
      </w:r>
      <w:r>
        <w:rPr>
          <w:rFonts w:hint="eastAsia" w:ascii="仿宋" w:hAnsi="仿宋" w:eastAsia="仿宋" w:cs="仿宋"/>
          <w:sz w:val="24"/>
          <w:szCs w:val="24"/>
          <w:lang w:eastAsia="zh-CN"/>
        </w:rPr>
        <w:t>；</w:t>
      </w:r>
    </w:p>
    <w:p>
      <w:pPr>
        <w:pStyle w:val="132"/>
        <w:snapToGrid w:val="0"/>
        <w:spacing w:before="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.其它要求</w:t>
      </w:r>
      <w:r>
        <w:rPr>
          <w:rFonts w:hint="eastAsia" w:ascii="仿宋" w:hAnsi="仿宋" w:eastAsia="仿宋" w:cs="仿宋"/>
          <w:sz w:val="24"/>
          <w:szCs w:val="24"/>
          <w:lang w:eastAsia="zh-CN"/>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以上项目中，管理项目及工程综合维修人员为物业管理服务公司自备人员和必备项目。消防设备管理项目、绿化管理项目、给排水设备运行维护项目、低压线路照明及供电设备管理维护项目、空调系统运行维护项目、大楼石材维护项目、房屋及设备设施日常养护维修项目、电梯管理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秩序维护项目</w:t>
      </w:r>
      <w:r>
        <w:rPr>
          <w:rFonts w:hint="eastAsia" w:ascii="仿宋" w:hAnsi="仿宋" w:eastAsia="仿宋" w:cs="仿宋"/>
          <w:sz w:val="24"/>
          <w:szCs w:val="24"/>
        </w:rPr>
        <w:t>和环境卫生管理项目中的相关服务，为有相应资质的专业单位和设施设备生产单位专项服务（即电梯、高低压配电柜、消防设备、石材、中央空调年度专项维保、消防远程监控报警系统年度维保、消防设备维保年检由成交单位承办，费用包含在本次投标价中，不再另行计费）。</w:t>
      </w:r>
      <w:bookmarkStart w:id="28" w:name="_Toc448072861"/>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、物业管理服务</w:t>
      </w:r>
      <w:bookmarkEnd w:id="28"/>
      <w:r>
        <w:rPr>
          <w:rFonts w:hint="eastAsia" w:ascii="仿宋" w:hAnsi="仿宋" w:eastAsia="仿宋" w:cs="仿宋"/>
          <w:sz w:val="24"/>
          <w:szCs w:val="24"/>
        </w:rPr>
        <w:t>内容及标准</w:t>
      </w:r>
    </w:p>
    <w:p>
      <w:pPr>
        <w:autoSpaceDE w:val="0"/>
        <w:autoSpaceDN w:val="0"/>
        <w:snapToGrid w:val="0"/>
        <w:spacing w:line="360" w:lineRule="auto"/>
        <w:ind w:firstLine="482"/>
        <w:rPr>
          <w:rFonts w:hint="eastAsia" w:ascii="仿宋" w:hAnsi="仿宋" w:eastAsia="仿宋" w:cs="仿宋"/>
          <w:kern w:val="0"/>
          <w:sz w:val="24"/>
          <w:szCs w:val="24"/>
        </w:rPr>
      </w:pPr>
      <w:bookmarkStart w:id="29" w:name="OLE_LINK3"/>
      <w:r>
        <w:rPr>
          <w:rFonts w:hint="eastAsia" w:ascii="仿宋" w:hAnsi="仿宋" w:eastAsia="仿宋" w:cs="仿宋"/>
          <w:kern w:val="0"/>
          <w:sz w:val="24"/>
          <w:szCs w:val="24"/>
        </w:rPr>
        <w:t>（一）清卫保洁</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w:t>
      </w:r>
      <w:r>
        <w:rPr>
          <w:rFonts w:hint="eastAsia" w:ascii="仿宋" w:hAnsi="仿宋" w:eastAsia="仿宋" w:cs="仿宋"/>
          <w:sz w:val="24"/>
          <w:szCs w:val="24"/>
          <w:lang w:val="en-US" w:eastAsia="zh-CN"/>
        </w:rPr>
        <w:t>行政办公</w:t>
      </w:r>
      <w:r>
        <w:rPr>
          <w:rFonts w:hint="eastAsia" w:ascii="仿宋" w:hAnsi="仿宋" w:eastAsia="仿宋" w:cs="仿宋"/>
          <w:sz w:val="24"/>
          <w:szCs w:val="24"/>
        </w:rPr>
        <w:t>区域内的楼梯、大厅、走廊、屋顶天台、吊顶、平台、雨棚、电梯厅、电梯间、卫生间、茶水间、服务间、</w:t>
      </w:r>
      <w:r>
        <w:rPr>
          <w:rFonts w:hint="eastAsia" w:ascii="仿宋" w:hAnsi="仿宋" w:eastAsia="仿宋" w:cs="仿宋"/>
          <w:sz w:val="24"/>
          <w:szCs w:val="24"/>
          <w:lang w:eastAsia="zh-CN"/>
        </w:rPr>
        <w:t>地下室、</w:t>
      </w:r>
      <w:r>
        <w:rPr>
          <w:rFonts w:hint="eastAsia" w:ascii="仿宋" w:hAnsi="仿宋" w:eastAsia="仿宋" w:cs="仿宋"/>
          <w:sz w:val="24"/>
          <w:szCs w:val="24"/>
        </w:rPr>
        <w:t>公共活动场所的台（地）面、明沟、墙面、门、窗、灯具、果壳箱等设施和器皿，楼宇外墙等所有公共部位设施，</w:t>
      </w:r>
      <w:r>
        <w:rPr>
          <w:rFonts w:hint="eastAsia" w:ascii="仿宋" w:hAnsi="仿宋" w:eastAsia="仿宋" w:cs="仿宋"/>
          <w:sz w:val="24"/>
          <w:szCs w:val="24"/>
          <w:lang w:eastAsia="zh-CN"/>
        </w:rPr>
        <w:t>建筑红线</w:t>
      </w:r>
      <w:r>
        <w:rPr>
          <w:rFonts w:hint="eastAsia" w:ascii="仿宋" w:hAnsi="仿宋" w:eastAsia="仿宋" w:cs="仿宋"/>
          <w:sz w:val="24"/>
          <w:szCs w:val="24"/>
        </w:rPr>
        <w:t>内所有公共场地及设施和门前“三包”区域的日常保洁保养以及垃圾、废弃物清理和灭“四害”、白蚁防治和消杀等所有环境卫生保洁。建立环境卫生管理制度并认真落实，环卫设施设置合理、完备，清洁保洁及时，垃圾清运及时，四害、白蚁消杀及防治及时。保洁工作满足政府办公环境特点要求。具体如下：</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公共场所日常服务内容：水泥地面、石材地面、地毯地面、扶手、门窗玻璃、门及门窗框、玻璃幕墙及有关附体，沙发、桌子、各类宣传牌、橱窗及有关附体，天花板、栏杆、消防楼梯区域等，及时清除各种垃圾等杂物，无积灰、印迹、污渍；地毯要定时吸尘，保持干净清洁</w:t>
      </w:r>
      <w:r>
        <w:rPr>
          <w:rFonts w:hint="eastAsia" w:ascii="仿宋" w:hAnsi="仿宋" w:eastAsia="仿宋" w:cs="仿宋"/>
          <w:sz w:val="24"/>
          <w:szCs w:val="24"/>
          <w:lang w:eastAsia="zh-CN"/>
        </w:rPr>
        <w:t>；幕墙清洗每年一次</w:t>
      </w:r>
      <w:r>
        <w:rPr>
          <w:rFonts w:hint="eastAsia" w:ascii="仿宋" w:hAnsi="仿宋" w:eastAsia="仿宋" w:cs="仿宋"/>
          <w:sz w:val="24"/>
          <w:szCs w:val="24"/>
        </w:rPr>
        <w:t>。</w:t>
      </w:r>
    </w:p>
    <w:p>
      <w:pPr>
        <w:pStyle w:val="132"/>
        <w:snapToGrid w:val="0"/>
        <w:spacing w:before="0"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rPr>
        <w:t>（2）门厅等特定区域保洁服务内容：地面、天花板、大厅、门窗玻璃、门及门窗框、墙壁附体，灯具、音响、垃圾桶等公用设施表面，电梯及卫生间、茶水间、服务间严格按要求做好清洁、清运及日常消杀工作，无积灰、印迹、污渍，随时保持清洁。外墙每年清洗</w:t>
      </w:r>
      <w:r>
        <w:rPr>
          <w:rFonts w:hint="eastAsia" w:ascii="仿宋" w:hAnsi="仿宋" w:eastAsia="仿宋" w:cs="仿宋"/>
          <w:sz w:val="24"/>
          <w:szCs w:val="24"/>
          <w:lang w:val="en-US" w:eastAsia="zh-CN"/>
        </w:rPr>
        <w:t>一</w:t>
      </w:r>
      <w:r>
        <w:rPr>
          <w:rFonts w:hint="eastAsia" w:ascii="仿宋" w:hAnsi="仿宋" w:eastAsia="仿宋" w:cs="仿宋"/>
          <w:sz w:val="24"/>
          <w:szCs w:val="24"/>
        </w:rPr>
        <w:t>次，石材、灯具每季度进行一次清洁</w:t>
      </w:r>
      <w:r>
        <w:rPr>
          <w:rFonts w:hint="eastAsia" w:ascii="仿宋" w:hAnsi="仿宋" w:eastAsia="仿宋" w:cs="仿宋"/>
          <w:sz w:val="24"/>
          <w:szCs w:val="24"/>
          <w:lang w:eastAsia="zh-CN"/>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）顶篷等边缘区域服务内容：屋顶屋面、沟槽、地面、雨篷及边角区域，各种附体的表面清洁。雨（雪）前后，应加强屋顶屋面、沟槽检查，及时清除各类堵塞（阻滞）物（每月一次）。</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）水电和设备等设施类服务内容：一般机器表面清洁（有特殊规定的设备除外），消防设施、空调的过滤网机外壳洗尘与保洁。</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）玻璃门、地、屏上无污渍、无灰尘及手印，表面光亮色泽一致；地面无污渍、灰尘、水渍及鞋印，洁净光亮、无灰尘及手印，整洁光亮。</w:t>
      </w:r>
    </w:p>
    <w:p>
      <w:pPr>
        <w:pStyle w:val="132"/>
        <w:snapToGrid w:val="0"/>
        <w:spacing w:before="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)电梯服务内容：保持电梯轿厢内外无果壳、纸屑等杂物，无污渍、无灰尘、手印、鞋印。每周对轿厢内进行消毒一次。</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）不锈钢保洁服务内容：包括所有不锈钢制品、设施、设备，除有明确规定的保洁要求外，至少每二个月用不锈钢油保养一次。哑光不锈钢表面无污渍、无灰尘。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垃圾清运服务内容：垃圾箱、筒、桶的垃圾存量不超过上缘，垃圾不在筒、桶、箱内过夜。垃圾中转站垃圾分类设施保持按要求配置齐全，做到标识清晰，摆放整齐，垃圾存量不超过三分之二且做到日产日清。分类垃圾桶定期清洗，每周消毒一次。垃圾中转站无明显积水，无蚊蝇飞舞。垃圾清运工具应保持清洁无破损，清运过程中不得产生二次污染。各类垃圾运到规定的集置点（转运站或房）。垃圾中转站、集置点（转运站或房）分类设施内垃圾分类准确，并做好垃圾资源化、减量化工作。其中公共区、卫生间无堆积垃圾。污水池、管道及时清理，确保管路畅通，确保正常排放，杜绝污水满溢现象。</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门前“三包”及</w:t>
      </w:r>
      <w:r>
        <w:rPr>
          <w:rFonts w:hint="eastAsia" w:ascii="仿宋" w:hAnsi="仿宋" w:eastAsia="仿宋" w:cs="仿宋"/>
          <w:sz w:val="24"/>
          <w:szCs w:val="24"/>
          <w:lang w:val="en-US" w:eastAsia="zh-CN"/>
        </w:rPr>
        <w:t>行政办公</w:t>
      </w:r>
      <w:r>
        <w:rPr>
          <w:rFonts w:hint="eastAsia" w:ascii="仿宋" w:hAnsi="仿宋" w:eastAsia="仿宋" w:cs="仿宋"/>
          <w:sz w:val="24"/>
          <w:szCs w:val="24"/>
        </w:rPr>
        <w:t>公共区域的地面，无垃圾、无堆积杂物、无积灰、无积水和淤泥、无阻塞等。做到每日至少清扫两次，巡回保洁。</w:t>
      </w:r>
    </w:p>
    <w:tbl>
      <w:tblPr>
        <w:tblStyle w:val="7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09"/>
        <w:gridCol w:w="2076"/>
        <w:gridCol w:w="177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blHeade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区域</w:t>
            </w:r>
          </w:p>
        </w:tc>
        <w:tc>
          <w:tcPr>
            <w:tcW w:w="190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项  目</w:t>
            </w:r>
          </w:p>
        </w:tc>
        <w:tc>
          <w:tcPr>
            <w:tcW w:w="20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工作内容</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标  准</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保洁频率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kern w:val="0"/>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kern w:val="0"/>
                <w:sz w:val="24"/>
                <w:szCs w:val="24"/>
              </w:rPr>
            </w:pPr>
          </w:p>
        </w:tc>
        <w:tc>
          <w:tcPr>
            <w:tcW w:w="20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kern w:val="0"/>
                <w:sz w:val="24"/>
                <w:szCs w:val="24"/>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总</w:t>
            </w:r>
          </w:p>
          <w:p>
            <w:pPr>
              <w:autoSpaceDE w:val="0"/>
              <w:autoSpaceDN w:val="0"/>
              <w:snapToGrid w:val="0"/>
              <w:spacing w:line="240" w:lineRule="auto"/>
              <w:jc w:val="center"/>
              <w:rPr>
                <w:rFonts w:hint="eastAsia" w:ascii="仿宋" w:hAnsi="仿宋" w:eastAsia="仿宋" w:cs="仿宋"/>
                <w:kern w:val="0"/>
                <w:sz w:val="24"/>
                <w:szCs w:val="24"/>
              </w:rPr>
            </w:pP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体</w:t>
            </w:r>
          </w:p>
          <w:p>
            <w:pPr>
              <w:autoSpaceDE w:val="0"/>
              <w:autoSpaceDN w:val="0"/>
              <w:snapToGrid w:val="0"/>
              <w:spacing w:line="240" w:lineRule="auto"/>
              <w:jc w:val="center"/>
              <w:rPr>
                <w:rFonts w:hint="eastAsia" w:ascii="仿宋" w:hAnsi="仿宋" w:eastAsia="仿宋" w:cs="仿宋"/>
                <w:kern w:val="0"/>
                <w:sz w:val="24"/>
                <w:szCs w:val="24"/>
              </w:rPr>
            </w:pP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外</w:t>
            </w:r>
          </w:p>
          <w:p>
            <w:pPr>
              <w:autoSpaceDE w:val="0"/>
              <w:autoSpaceDN w:val="0"/>
              <w:snapToGrid w:val="0"/>
              <w:spacing w:line="240" w:lineRule="auto"/>
              <w:jc w:val="center"/>
              <w:rPr>
                <w:rFonts w:hint="eastAsia" w:ascii="仿宋" w:hAnsi="仿宋" w:eastAsia="仿宋" w:cs="仿宋"/>
                <w:kern w:val="0"/>
                <w:sz w:val="24"/>
                <w:szCs w:val="24"/>
              </w:rPr>
            </w:pP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围</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各出入口、道路地面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清扫、收集垃圾、水力冲洗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无垃圾、烟头、杂物、明显泥沙和无明显地砖松动</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明沟</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清扫、收集垃圾、刷洗、清除堵塞物</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无垃圾、杂物、无苔藓，无堵塞</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每日清扫，设置温馨提示牌</w:t>
            </w:r>
          </w:p>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室外场地面及周边</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清扫、收集垃圾、水力冲洗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无垃圾、积水、烟头、杂物、明显泥沙</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外露管道</w:t>
            </w:r>
          </w:p>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（二米以下）</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除尘、防锈</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无积灰、污渍、无锈蚀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每日清抹一次、及时涮防锈漆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屋顶及周边</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清扫、收集垃圾、刷洗、清除堵塞物</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无垃圾、杂物、树叶、积水、无堵塞</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外墙金属嵌条</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无积灰、污渍、无锈蚀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标志牌</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无积灰、无锈蚀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大楼铬牌</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无灰尘、无锈蚀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2米以下外墙</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刷洗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2米以上外墙（含大理石、玻璃、墙、窗台）及大厅构件整体</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无灰尘、污渍、无破损，洁净光亮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每年清洗一次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大</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厅</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会</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议</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室</w:t>
            </w:r>
            <w:r>
              <w:rPr>
                <w:rFonts w:hint="eastAsia" w:ascii="仿宋" w:hAnsi="仿宋" w:eastAsia="仿宋" w:cs="仿宋"/>
                <w:kern w:val="0"/>
                <w:sz w:val="24"/>
                <w:szCs w:val="24"/>
              </w:rPr>
              <w:t>及</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各</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楼</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层</w:t>
            </w:r>
          </w:p>
          <w:p>
            <w:pPr>
              <w:autoSpaceDE w:val="0"/>
              <w:autoSpaceDN w:val="0"/>
              <w:snapToGrid w:val="0"/>
              <w:spacing w:line="240" w:lineRule="auto"/>
              <w:jc w:val="center"/>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地毯、踏垫</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保持地毯干净、松软、无污渍斑点，洗后无色差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每日清扫，每周除尘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大厅内</w:t>
            </w:r>
            <w:r>
              <w:rPr>
                <w:rFonts w:hint="eastAsia" w:ascii="仿宋" w:hAnsi="仿宋" w:eastAsia="仿宋" w:cs="仿宋"/>
                <w:kern w:val="0"/>
                <w:sz w:val="24"/>
                <w:szCs w:val="24"/>
                <w:lang w:val="en-US" w:eastAsia="zh-CN"/>
              </w:rPr>
              <w:t>两米以下</w:t>
            </w:r>
            <w:r>
              <w:rPr>
                <w:rFonts w:hint="eastAsia" w:ascii="仿宋" w:hAnsi="仿宋" w:eastAsia="仿宋" w:cs="仿宋"/>
                <w:kern w:val="0"/>
                <w:sz w:val="24"/>
                <w:szCs w:val="24"/>
              </w:rPr>
              <w:t>玻璃</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w:t>
            </w:r>
          </w:p>
        </w:tc>
        <w:tc>
          <w:tcPr>
            <w:tcW w:w="1770" w:type="dxa"/>
            <w:tcBorders>
              <w:top w:val="single" w:color="auto" w:sz="4" w:space="0"/>
              <w:left w:val="single" w:color="auto" w:sz="4" w:space="0"/>
              <w:bottom w:val="single" w:color="auto" w:sz="4" w:space="0"/>
              <w:right w:val="single" w:color="auto" w:sz="4" w:space="0"/>
            </w:tcBorders>
            <w:vAlign w:val="center"/>
          </w:tcPr>
          <w:p>
            <w:pPr>
              <w:pStyle w:val="40"/>
              <w:snapToGrid w:val="0"/>
              <w:spacing w:line="240" w:lineRule="auto"/>
              <w:ind w:firstLine="0"/>
              <w:rPr>
                <w:rFonts w:hint="eastAsia" w:ascii="仿宋" w:hAnsi="仿宋" w:eastAsia="仿宋" w:cs="仿宋"/>
                <w:sz w:val="24"/>
                <w:szCs w:val="24"/>
              </w:rPr>
            </w:pPr>
            <w:r>
              <w:rPr>
                <w:rFonts w:hint="eastAsia" w:ascii="仿宋" w:hAnsi="仿宋" w:eastAsia="仿宋" w:cs="仿宋"/>
                <w:sz w:val="24"/>
                <w:szCs w:val="24"/>
              </w:rPr>
              <w:t>无尘，光亮</w:t>
            </w:r>
          </w:p>
        </w:tc>
        <w:tc>
          <w:tcPr>
            <w:tcW w:w="21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仿宋" w:hAnsi="仿宋" w:eastAsia="仿宋" w:cs="仿宋"/>
                <w:sz w:val="24"/>
                <w:szCs w:val="24"/>
              </w:rPr>
            </w:pPr>
            <w:r>
              <w:rPr>
                <w:rFonts w:hint="eastAsia" w:ascii="仿宋" w:hAnsi="仿宋" w:eastAsia="仿宋" w:cs="仿宋"/>
                <w:sz w:val="24"/>
                <w:szCs w:val="24"/>
              </w:rPr>
              <w:t>每</w:t>
            </w:r>
            <w:r>
              <w:rPr>
                <w:rFonts w:hint="eastAsia" w:ascii="仿宋" w:hAnsi="仿宋" w:eastAsia="仿宋" w:cs="仿宋"/>
                <w:sz w:val="24"/>
                <w:szCs w:val="24"/>
                <w:lang w:val="en-US" w:eastAsia="zh-CN"/>
              </w:rPr>
              <w:t>月</w:t>
            </w:r>
            <w:r>
              <w:rPr>
                <w:rFonts w:hint="eastAsia" w:ascii="仿宋" w:hAnsi="仿宋" w:eastAsia="仿宋" w:cs="仿宋"/>
                <w:sz w:val="24"/>
                <w:szCs w:val="24"/>
              </w:rPr>
              <w:t>全面清尘一次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窗帘</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无灰尘、无污渍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窗帘循环保洁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石材地面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除尘、清洗、打蜡</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无灰尘、水迹及脚印，光亮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循环清洁，每月打腊抛光一次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地胶板地面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无灰尘、水迹及脚印，光亮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循环除尘，每日清洗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抹灰墙面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无积灰、无蜘蛛网</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每月清洁两次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石材墙面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清洁无灰尘，光亮、无蜘蛛网</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循环清洁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墙脚线</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无积灰、无开裂</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大理石柱</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2米以下每日清抹，2米以上每月清抹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木质墙面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每日保洁，每季保养一次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软包墙面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无污渍斑点，洗后无色差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每日保洁，每季保养一次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布质沙发、座椅</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即时清洁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皮质沙发、座椅</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即时清洁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木质沙发、桌椅</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即时清洁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标识牌（各类）</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灯箱</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外表除尘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每周清抹一次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各类消防设施</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每月清抹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风口</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每周清抹一次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垃圾箱</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清除垃圾、外表抹净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无垃圾满溢及拖挂</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门框</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b/>
                <w:bCs/>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大玻璃窗</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无积灰及划痕 </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花盆套</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无灰尘、盆内无垃圾</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每日保洁，每周清洗一次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灯具</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循环保洁，2米以上灯具每季度清洁一次。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机房</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室内、机柜</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梯</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地毯</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无灰尘、垃圾及污渍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w:t>
            </w:r>
            <w:r>
              <w:rPr>
                <w:rFonts w:hint="eastAsia" w:ascii="仿宋" w:hAnsi="仿宋" w:eastAsia="仿宋" w:cs="仿宋"/>
                <w:kern w:val="0"/>
                <w:sz w:val="24"/>
                <w:szCs w:val="24"/>
                <w:lang w:val="en-US" w:eastAsia="zh-CN"/>
              </w:rPr>
              <w:t>周</w:t>
            </w:r>
            <w:r>
              <w:rPr>
                <w:rFonts w:hint="eastAsia" w:ascii="仿宋" w:hAnsi="仿宋" w:eastAsia="仿宋" w:cs="仿宋"/>
                <w:kern w:val="0"/>
                <w:sz w:val="24"/>
                <w:szCs w:val="24"/>
              </w:rPr>
              <w:t>吸尘</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木质（除尘）铝合金、镜面清洁</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无灰尘及手印，光亮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门（内外）</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无灰尘及垃圾，亮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门槽</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清除垃圾、杂物</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无灰尘及垃圾，光亮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每日及时清除，每半月清洁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指示牌和按钮</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无灰尘、无手印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灯片和风口</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洗</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手</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间</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茶</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水</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间</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务</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间</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尿斗、坐厕、面盆</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除污垢（用中性药剂）除锈斑、消毒</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无污垢及积垢，洁净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畅通，无漏水、异味及污垢，垃圾袋定时更换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隔断</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除尘、除污垢</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无灰尘、涂画及污垢，门锁无损坏</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水龙头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无水锈、无污渍，无出水不畅、无滴水</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镜面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无水迹及污渍，明亮</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地面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清洗、消毒</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无垃圾、水迹及污渍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无灰尘、无污渍、无蜘蛛网</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灯片、天花及风口</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每月清洁一次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门和门框</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台面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b/>
                <w:bCs/>
                <w:kern w:val="0"/>
                <w:sz w:val="24"/>
                <w:szCs w:val="24"/>
              </w:rPr>
            </w:pPr>
            <w:r>
              <w:rPr>
                <w:rFonts w:hint="eastAsia" w:ascii="仿宋" w:hAnsi="仿宋" w:eastAsia="仿宋" w:cs="仿宋"/>
                <w:kern w:val="0"/>
                <w:sz w:val="24"/>
                <w:szCs w:val="24"/>
              </w:rPr>
              <w:t>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无水迹、无污渍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循环保洁，每日清洗一次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垃圾箱</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清除垃圾、外表清洁</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无垃圾满溢、无污渍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玻璃窗</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清洗、除尘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无灰尘、无水迹</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洗手液、卫生纸、擦手纸</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洗手液、卫生纸、擦手纸</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无短缺</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添加及时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楼</w:t>
            </w:r>
          </w:p>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梯</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台阶和平台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清扫垃圾、清洗</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无垃圾、死角及积灰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w:t>
            </w:r>
            <w:r>
              <w:rPr>
                <w:rFonts w:hint="eastAsia" w:ascii="仿宋" w:hAnsi="仿宋" w:eastAsia="仿宋" w:cs="仿宋"/>
                <w:kern w:val="0"/>
                <w:sz w:val="24"/>
                <w:szCs w:val="24"/>
                <w:lang w:val="en-US" w:eastAsia="zh-CN"/>
              </w:rPr>
              <w:t>周</w:t>
            </w:r>
            <w:r>
              <w:rPr>
                <w:rFonts w:hint="eastAsia" w:ascii="仿宋" w:hAnsi="仿宋" w:eastAsia="仿宋" w:cs="仿宋"/>
                <w:kern w:val="0"/>
                <w:sz w:val="24"/>
                <w:szCs w:val="24"/>
              </w:rPr>
              <w:t>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墙面</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大理石（除尘、抹净）</w:t>
            </w:r>
          </w:p>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涂料（除尘）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无灰尘，无污渍</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每周清洁一次，污渍及时清理及修复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扶手、栏杆</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外露管道</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无灰尘，无锈蚀</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w:t>
            </w:r>
            <w:r>
              <w:rPr>
                <w:rFonts w:hint="eastAsia" w:ascii="仿宋" w:hAnsi="仿宋" w:eastAsia="仿宋" w:cs="仿宋"/>
                <w:kern w:val="0"/>
                <w:sz w:val="24"/>
                <w:szCs w:val="24"/>
                <w:lang w:val="en-US" w:eastAsia="zh-CN"/>
              </w:rPr>
              <w:t>月</w:t>
            </w:r>
            <w:r>
              <w:rPr>
                <w:rFonts w:hint="eastAsia" w:ascii="仿宋" w:hAnsi="仿宋" w:eastAsia="仿宋" w:cs="仿宋"/>
                <w:kern w:val="0"/>
                <w:sz w:val="24"/>
                <w:szCs w:val="24"/>
              </w:rPr>
              <w:t>清洁</w:t>
            </w:r>
            <w:r>
              <w:rPr>
                <w:rFonts w:hint="eastAsia" w:ascii="仿宋" w:hAnsi="仿宋" w:eastAsia="仿宋" w:cs="仿宋"/>
                <w:kern w:val="0"/>
                <w:sz w:val="24"/>
                <w:szCs w:val="24"/>
                <w:lang w:val="en-US" w:eastAsia="zh-CN"/>
              </w:rPr>
              <w:t>两</w:t>
            </w:r>
            <w:r>
              <w:rPr>
                <w:rFonts w:hint="eastAsia" w:ascii="仿宋" w:hAnsi="仿宋" w:eastAsia="仿宋" w:cs="仿宋"/>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其它</w:t>
            </w: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各类消防设施</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无积灰</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每</w:t>
            </w:r>
            <w:r>
              <w:rPr>
                <w:rFonts w:hint="eastAsia" w:ascii="仿宋" w:hAnsi="仿宋" w:eastAsia="仿宋" w:cs="仿宋"/>
                <w:kern w:val="0"/>
                <w:sz w:val="24"/>
                <w:szCs w:val="24"/>
                <w:lang w:val="en-US" w:eastAsia="zh-CN"/>
              </w:rPr>
              <w:t>月</w:t>
            </w:r>
            <w:r>
              <w:rPr>
                <w:rFonts w:hint="eastAsia" w:ascii="仿宋" w:hAnsi="仿宋" w:eastAsia="仿宋" w:cs="仿宋"/>
                <w:kern w:val="0"/>
                <w:sz w:val="24"/>
                <w:szCs w:val="24"/>
              </w:rPr>
              <w:t>清洁</w:t>
            </w:r>
            <w:r>
              <w:rPr>
                <w:rFonts w:hint="eastAsia" w:ascii="仿宋" w:hAnsi="仿宋" w:eastAsia="仿宋" w:cs="仿宋"/>
                <w:kern w:val="0"/>
                <w:sz w:val="24"/>
                <w:szCs w:val="24"/>
                <w:lang w:val="en-US" w:eastAsia="zh-CN"/>
              </w:rPr>
              <w:t>两</w:t>
            </w:r>
            <w:r>
              <w:rPr>
                <w:rFonts w:hint="eastAsia" w:ascii="仿宋" w:hAnsi="仿宋" w:eastAsia="仿宋" w:cs="仿宋"/>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书架、书橱</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家具</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活动场地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公共区域电视设备</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kern w:val="0"/>
                <w:sz w:val="24"/>
                <w:szCs w:val="24"/>
              </w:rPr>
            </w:pPr>
          </w:p>
        </w:tc>
        <w:tc>
          <w:tcPr>
            <w:tcW w:w="19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公共区域其它物品</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除尘、抹净</w:t>
            </w:r>
          </w:p>
        </w:tc>
        <w:tc>
          <w:tcPr>
            <w:tcW w:w="17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无灰尘</w:t>
            </w:r>
          </w:p>
        </w:tc>
        <w:tc>
          <w:tcPr>
            <w:tcW w:w="21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循环保洁，随时清抹</w:t>
            </w:r>
          </w:p>
        </w:tc>
      </w:tr>
    </w:tbl>
    <w:p>
      <w:pPr>
        <w:autoSpaceDE w:val="0"/>
        <w:autoSpaceDN w:val="0"/>
        <w:snapToGrid w:val="0"/>
        <w:spacing w:line="360" w:lineRule="auto"/>
        <w:ind w:firstLine="360"/>
        <w:rPr>
          <w:rFonts w:hint="eastAsia" w:ascii="仿宋" w:hAnsi="仿宋" w:eastAsia="仿宋" w:cs="仿宋"/>
          <w:sz w:val="24"/>
          <w:szCs w:val="24"/>
        </w:rPr>
      </w:pPr>
      <w:r>
        <w:rPr>
          <w:rFonts w:hint="eastAsia" w:ascii="仿宋" w:hAnsi="仿宋" w:eastAsia="仿宋" w:cs="仿宋"/>
          <w:sz w:val="24"/>
          <w:szCs w:val="24"/>
        </w:rPr>
        <w:t xml:space="preserve"> </w:t>
      </w:r>
    </w:p>
    <w:p>
      <w:pPr>
        <w:pStyle w:val="132"/>
        <w:snapToGrid w:val="0"/>
        <w:spacing w:before="0"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以上服务范围为机关大楼行政办公公共区域的轻微工作（未包含因业务开展需要增加的其他清卫工作，施工改造后的开荒保洁等特殊情况 ）。</w:t>
      </w:r>
    </w:p>
    <w:p>
      <w:pPr>
        <w:pStyle w:val="132"/>
        <w:snapToGrid w:val="0"/>
        <w:spacing w:before="0" w:line="360" w:lineRule="auto"/>
        <w:ind w:firstLine="480"/>
        <w:rPr>
          <w:rFonts w:hint="eastAsia" w:ascii="仿宋" w:hAnsi="仿宋" w:eastAsia="仿宋" w:cs="仿宋"/>
          <w:sz w:val="24"/>
          <w:szCs w:val="24"/>
          <w:highlight w:val="yellow"/>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行政办公公共区域使用的</w:t>
      </w:r>
      <w:r>
        <w:rPr>
          <w:rFonts w:hint="eastAsia" w:ascii="仿宋" w:hAnsi="仿宋" w:eastAsia="仿宋" w:cs="仿宋"/>
          <w:sz w:val="24"/>
          <w:szCs w:val="24"/>
          <w:highlight w:val="none"/>
        </w:rPr>
        <w:t>保洁工具</w:t>
      </w:r>
      <w:r>
        <w:rPr>
          <w:rFonts w:hint="eastAsia" w:ascii="仿宋" w:hAnsi="仿宋" w:eastAsia="仿宋" w:cs="仿宋"/>
          <w:sz w:val="24"/>
          <w:szCs w:val="24"/>
          <w:highlight w:val="none"/>
          <w:lang w:eastAsia="zh-CN"/>
        </w:rPr>
        <w:t>（扫帚、簸箕、尘推架、水桶、抹布、百洁布、厕刷、洁厕粉、尘拖罩、芳香球、皮手套、涂水器毛套、玻璃刮胶条、钢丝棉、玻璃铲刀、玻璃刀、玻璃刮、三节伸缩杆、长竹扫把））</w:t>
      </w:r>
      <w:r>
        <w:rPr>
          <w:rFonts w:hint="eastAsia" w:ascii="仿宋" w:hAnsi="仿宋" w:eastAsia="仿宋" w:cs="仿宋"/>
          <w:sz w:val="24"/>
          <w:szCs w:val="24"/>
          <w:highlight w:val="none"/>
        </w:rPr>
        <w:t>所需费用</w:t>
      </w:r>
      <w:r>
        <w:rPr>
          <w:rFonts w:hint="eastAsia" w:ascii="仿宋" w:hAnsi="仿宋" w:eastAsia="仿宋" w:cs="仿宋"/>
          <w:sz w:val="24"/>
          <w:szCs w:val="24"/>
          <w:highlight w:val="none"/>
          <w:lang w:val="en-US" w:eastAsia="zh-CN"/>
        </w:rPr>
        <w:t>已</w:t>
      </w:r>
      <w:r>
        <w:rPr>
          <w:rFonts w:hint="eastAsia" w:ascii="仿宋" w:hAnsi="仿宋" w:eastAsia="仿宋" w:cs="仿宋"/>
          <w:sz w:val="24"/>
          <w:szCs w:val="24"/>
          <w:highlight w:val="none"/>
        </w:rPr>
        <w:t>包括在服务费中</w:t>
      </w:r>
      <w:r>
        <w:rPr>
          <w:rFonts w:hint="eastAsia" w:ascii="仿宋" w:hAnsi="仿宋" w:eastAsia="仿宋" w:cs="仿宋"/>
          <w:sz w:val="24"/>
          <w:szCs w:val="24"/>
          <w:highlight w:val="none"/>
          <w:lang w:eastAsia="zh-CN"/>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建立“四害”消杀工作管理制度，根据实际情况和有关要求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计入服务费。</w:t>
      </w:r>
    </w:p>
    <w:p>
      <w:pPr>
        <w:pStyle w:val="132"/>
        <w:snapToGrid w:val="0"/>
        <w:spacing w:before="0" w:line="360" w:lineRule="auto"/>
        <w:ind w:firstLine="480"/>
        <w:rPr>
          <w:rFonts w:hint="eastAsia" w:ascii="仿宋" w:hAnsi="仿宋" w:eastAsia="仿宋" w:cs="仿宋"/>
          <w:bCs/>
          <w:sz w:val="24"/>
          <w:szCs w:val="24"/>
          <w:lang w:val="en-US" w:eastAsia="zh-CN"/>
        </w:rPr>
      </w:pPr>
      <w:r>
        <w:rPr>
          <w:rFonts w:hint="eastAsia" w:ascii="仿宋" w:hAnsi="仿宋" w:eastAsia="仿宋" w:cs="仿宋"/>
          <w:bCs/>
          <w:sz w:val="24"/>
          <w:szCs w:val="24"/>
        </w:rPr>
        <w:t>(二)</w:t>
      </w:r>
      <w:r>
        <w:rPr>
          <w:rFonts w:hint="eastAsia" w:ascii="仿宋" w:hAnsi="仿宋" w:eastAsia="仿宋" w:cs="仿宋"/>
          <w:bCs/>
          <w:sz w:val="24"/>
          <w:szCs w:val="24"/>
          <w:lang w:val="en-US" w:eastAsia="zh-CN"/>
        </w:rPr>
        <w:t>秩序维护</w:t>
      </w:r>
    </w:p>
    <w:p>
      <w:pPr>
        <w:pStyle w:val="132"/>
        <w:snapToGrid w:val="0"/>
        <w:spacing w:before="0" w:line="360" w:lineRule="auto"/>
        <w:ind w:firstLine="48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1、服务内容：大楼出入口秩序管理、安全检查巡逻、安全监控、</w:t>
      </w:r>
      <w:r>
        <w:rPr>
          <w:rFonts w:hint="eastAsia" w:ascii="仿宋" w:hAnsi="仿宋" w:eastAsia="仿宋" w:cs="仿宋"/>
          <w:bCs/>
          <w:sz w:val="24"/>
          <w:szCs w:val="24"/>
        </w:rPr>
        <w:t>交通和车辆停放管理</w:t>
      </w:r>
      <w:r>
        <w:rPr>
          <w:rFonts w:hint="eastAsia" w:ascii="仿宋" w:hAnsi="仿宋" w:eastAsia="仿宋" w:cs="仿宋"/>
          <w:bCs/>
          <w:sz w:val="24"/>
          <w:szCs w:val="24"/>
          <w:lang w:eastAsia="zh-CN"/>
        </w:rPr>
        <w:t>、</w:t>
      </w:r>
      <w:r>
        <w:rPr>
          <w:rFonts w:hint="eastAsia" w:ascii="仿宋" w:hAnsi="仿宋" w:eastAsia="仿宋" w:cs="仿宋"/>
          <w:bCs/>
          <w:sz w:val="24"/>
          <w:szCs w:val="24"/>
        </w:rPr>
        <w:t>安全管理</w:t>
      </w:r>
      <w:r>
        <w:rPr>
          <w:rFonts w:hint="eastAsia" w:ascii="仿宋" w:hAnsi="仿宋" w:eastAsia="仿宋" w:cs="仿宋"/>
          <w:bCs/>
          <w:sz w:val="24"/>
          <w:szCs w:val="24"/>
          <w:lang w:eastAsia="zh-CN"/>
        </w:rPr>
        <w:t>。具体如下：</w:t>
      </w:r>
    </w:p>
    <w:p>
      <w:pPr>
        <w:pStyle w:val="132"/>
        <w:snapToGrid w:val="0"/>
        <w:spacing w:before="0" w:line="360" w:lineRule="auto"/>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2、服务标准：</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主出入口24小时值班，举止文明、态度和蔼，用语规范、礼仪规范，按时到岗，坚守岗位不脱岗；</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保持个人仪表整洁、门岗周围环境清洁，注意观察人员进出情况，发现疑点应当及时询问，劝阻小商小贩不要在物业管理区域内乱设摊点；</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对进出物业管理区域的各类车辆进行有效疏导，保持出入口的畅通；</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对外来人员（办事、施工、送货、参观等）实行进出管理，必要时引导至电梯厅或指定区域；对非工作时间进入办公楼的人员应进行详细登记；</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对物品进出实施分类管理，大件物品进出应进行审验，拒绝危险物品进入。</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巡逻</w:t>
      </w:r>
      <w:r>
        <w:rPr>
          <w:rFonts w:hint="eastAsia" w:ascii="仿宋" w:hAnsi="仿宋" w:eastAsia="仿宋" w:cs="仿宋"/>
          <w:bCs/>
          <w:sz w:val="24"/>
          <w:szCs w:val="24"/>
          <w:lang w:eastAsia="zh-CN"/>
        </w:rPr>
        <w:t>。</w:t>
      </w:r>
      <w:r>
        <w:rPr>
          <w:rFonts w:hint="eastAsia" w:ascii="仿宋" w:hAnsi="仿宋" w:eastAsia="仿宋" w:cs="仿宋"/>
          <w:bCs/>
          <w:sz w:val="24"/>
          <w:szCs w:val="24"/>
        </w:rPr>
        <w:t>科学、合理安排巡逻路线，重点、要害部位每2小时至少巡逻一次，发现违法、违章行为应及时制止；按规定时间、路线巡回检查，多看、多听、多问，排除各种不安全因素；发现疑点应追查原因，同时通知有关部门；巡视中发现异常情况，应立即通知有关部门并在现场采取必要措施，随时准备启动相应的应急预案；收到监控室发出的指令后，巡逻人员应及时到达，并采取相应措施；对物业管理区域内设置的消火栓（箱）、窨井盖、安全警示标志等涉及公共安全的设施设备进行巡查，发现缺失，损坏或不能正常使用等情况，应及时报告并记录。</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安全监控</w:t>
      </w:r>
      <w:r>
        <w:rPr>
          <w:rFonts w:hint="eastAsia" w:ascii="仿宋" w:hAnsi="仿宋" w:eastAsia="仿宋" w:cs="仿宋"/>
          <w:bCs/>
          <w:sz w:val="24"/>
          <w:szCs w:val="24"/>
          <w:lang w:eastAsia="zh-CN"/>
        </w:rPr>
        <w:t>。</w:t>
      </w:r>
      <w:r>
        <w:rPr>
          <w:rFonts w:hint="eastAsia" w:ascii="仿宋" w:hAnsi="仿宋" w:eastAsia="仿宋" w:cs="仿宋"/>
          <w:bCs/>
          <w:sz w:val="24"/>
          <w:szCs w:val="24"/>
        </w:rPr>
        <w:t>监控设施应24小时开通，保证对安全出入口、内部重点区域的安全监控，保持完整的监控记录； 监控中心收到火情、险情及其他异常情况报警信号后，应及时报警，并通知相关人员及时赶到现场进行处理；监控的录入资料应参照相关规定或行业标准执行；保持治安电话畅通，接听及时。</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交通和车辆停放管理</w:t>
      </w:r>
      <w:r>
        <w:rPr>
          <w:rFonts w:hint="eastAsia" w:ascii="仿宋" w:hAnsi="仿宋" w:eastAsia="仿宋" w:cs="仿宋"/>
          <w:bCs/>
          <w:sz w:val="24"/>
          <w:szCs w:val="24"/>
          <w:lang w:eastAsia="zh-CN"/>
        </w:rPr>
        <w:t>。</w:t>
      </w:r>
      <w:r>
        <w:rPr>
          <w:rFonts w:hint="eastAsia" w:ascii="仿宋" w:hAnsi="仿宋" w:eastAsia="仿宋" w:cs="仿宋"/>
          <w:bCs/>
          <w:sz w:val="24"/>
          <w:szCs w:val="24"/>
        </w:rPr>
        <w:t>根据实际情况设置行车指示标志，规定车辆行驶路线，指定车辆停放区域；车辆管理人员应对进出的各类车辆进行管理，维护交通秩序，保证车辆便于通行、易于停放；若对进出车辆有疑问，应向驾驶员敬礼后再进行询问；车辆停放有序，车库场地定时清洁，无易燃、易爆等物品存放；防止漏油、漏气车辆进入停车场；地面、墙面按车辆道路行驶要求设立明显指示牌，照明、消防器械配置齐全；非机动车应定点停放。</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安全管理消防安全管理</w:t>
      </w:r>
      <w:r>
        <w:rPr>
          <w:rFonts w:hint="eastAsia" w:ascii="仿宋" w:hAnsi="仿宋" w:eastAsia="仿宋" w:cs="仿宋"/>
          <w:bCs/>
          <w:sz w:val="24"/>
          <w:szCs w:val="24"/>
          <w:lang w:eastAsia="zh-CN"/>
        </w:rPr>
        <w:t>。</w:t>
      </w:r>
      <w:r>
        <w:rPr>
          <w:rFonts w:hint="eastAsia" w:ascii="仿宋" w:hAnsi="仿宋" w:eastAsia="仿宋" w:cs="仿宋"/>
          <w:bCs/>
          <w:sz w:val="24"/>
          <w:szCs w:val="24"/>
        </w:rPr>
        <w:t>应建立健全消防管理制度，建立消防责任制；楼内应设置消防设施，保持消防通道畅通，在楼内明显位置设置消防疏散示意图；定期对消防设备设施进行巡视、检查和维护，保持其完整、完好，能正常使用；消防带圈绕均匀，灭火器材保险栓及喷嘴外壳良好，压力指示在区域线范围内，器材不超过有效期，各类设备设施能正常运行与使用；检查记录详细，如发现消防器材有异常情况，应及时予以调换或报修；制订火险应急预案，定期进行消防宣传和消防演习；对易燃易爆品设专人专区管理。</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安全生产及灾害预防</w:t>
      </w:r>
      <w:r>
        <w:rPr>
          <w:rFonts w:hint="eastAsia" w:ascii="仿宋" w:hAnsi="仿宋" w:eastAsia="仿宋" w:cs="仿宋"/>
          <w:bCs/>
          <w:sz w:val="24"/>
          <w:szCs w:val="24"/>
          <w:lang w:eastAsia="zh-CN"/>
        </w:rPr>
        <w:t>。</w:t>
      </w:r>
      <w:r>
        <w:rPr>
          <w:rFonts w:hint="eastAsia" w:ascii="仿宋" w:hAnsi="仿宋" w:eastAsia="仿宋" w:cs="仿宋"/>
          <w:bCs/>
          <w:sz w:val="24"/>
          <w:szCs w:val="24"/>
        </w:rPr>
        <w:t>建立健全安全生产规章制度和操作规程，普及安全用电、用气知识。如遇暴雨或其他灾害性天气时，应采取以下应急措施：</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——对设备机房、停车场、广告牌、电线杆等露天设施的抗强风能力进行检查和加固；</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——对集水井水泵运转情况进行检查，保证正常排涝；</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——对排水系统进行检查疏通，清除杂物，确保排水畅通；</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——及时准备必要的抢险物资，安排值班人员进行巡查。</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11</w:t>
      </w:r>
      <w:r>
        <w:rPr>
          <w:rFonts w:hint="eastAsia" w:ascii="仿宋" w:hAnsi="仿宋" w:eastAsia="仿宋" w:cs="仿宋"/>
          <w:bCs/>
          <w:sz w:val="24"/>
          <w:szCs w:val="24"/>
          <w:lang w:eastAsia="zh-CN"/>
        </w:rPr>
        <w:t>）</w:t>
      </w:r>
      <w:r>
        <w:rPr>
          <w:rFonts w:hint="eastAsia" w:ascii="仿宋" w:hAnsi="仿宋" w:eastAsia="仿宋" w:cs="仿宋"/>
          <w:bCs/>
          <w:sz w:val="24"/>
          <w:szCs w:val="24"/>
        </w:rPr>
        <w:t>突发事件管理</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——根据各办公楼的实际情况，制定突发性公共事件应急预案，每年根据实际情况组织1次应急演习；</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——当发生突发性事件时，应按预定方案进行处理，全力配合有关部门，保护业主人身安全并尽量减少财产损失。</w:t>
      </w:r>
    </w:p>
    <w:p>
      <w:pPr>
        <w:pStyle w:val="132"/>
        <w:snapToGrid w:val="0"/>
        <w:spacing w:before="0" w:line="360" w:lineRule="auto"/>
        <w:ind w:firstLine="480"/>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lang w:eastAsia="zh-CN"/>
        </w:rPr>
        <w:t>）</w:t>
      </w:r>
      <w:r>
        <w:rPr>
          <w:rFonts w:hint="eastAsia" w:ascii="仿宋" w:hAnsi="仿宋" w:eastAsia="仿宋" w:cs="仿宋"/>
          <w:bCs/>
          <w:sz w:val="24"/>
          <w:szCs w:val="24"/>
        </w:rPr>
        <w:t>绿化养护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1、服务内容：根据服务区域内实际情况提出更好的设计方案，做好室外绿化养护等工作，并根据甲方的要求进行调整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未包含钱塘中心绿化</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2、服务质量标准:确保室外绿化（含花箱内）养护期内100%以上存活。具体要求如下：</w:t>
      </w:r>
    </w:p>
    <w:tbl>
      <w:tblPr>
        <w:tblStyle w:val="7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18"/>
        <w:gridCol w:w="3443"/>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内容</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频次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乔木</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修剪</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每年</w:t>
            </w:r>
            <w:r>
              <w:rPr>
                <w:rFonts w:hint="eastAsia" w:ascii="仿宋" w:hAnsi="仿宋" w:eastAsia="仿宋" w:cs="仿宋"/>
                <w:bCs/>
                <w:kern w:val="0"/>
                <w:sz w:val="24"/>
                <w:szCs w:val="24"/>
              </w:rPr>
              <w:t>至少</w:t>
            </w:r>
            <w:r>
              <w:rPr>
                <w:rFonts w:hint="eastAsia" w:ascii="仿宋" w:hAnsi="仿宋" w:eastAsia="仿宋" w:cs="仿宋"/>
                <w:sz w:val="24"/>
                <w:szCs w:val="24"/>
              </w:rPr>
              <w:t>一次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生长良好，无脱节、无枯枝，残叶及时清理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抹芽</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4月—10月每月</w:t>
            </w:r>
            <w:r>
              <w:rPr>
                <w:rFonts w:hint="eastAsia" w:ascii="仿宋" w:hAnsi="仿宋" w:eastAsia="仿宋" w:cs="仿宋"/>
                <w:bCs/>
                <w:kern w:val="0"/>
                <w:sz w:val="24"/>
                <w:szCs w:val="24"/>
              </w:rPr>
              <w:t>至少</w:t>
            </w:r>
            <w:r>
              <w:rPr>
                <w:rFonts w:hint="eastAsia" w:ascii="仿宋" w:hAnsi="仿宋" w:eastAsia="仿宋" w:cs="仿宋"/>
                <w:sz w:val="24"/>
                <w:szCs w:val="24"/>
              </w:rPr>
              <w:t>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无孽生芽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浇水</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7月—9月</w:t>
            </w:r>
            <w:r>
              <w:rPr>
                <w:rFonts w:hint="eastAsia" w:ascii="仿宋" w:hAnsi="仿宋" w:eastAsia="仿宋" w:cs="仿宋"/>
                <w:bCs/>
                <w:kern w:val="0"/>
                <w:sz w:val="24"/>
                <w:szCs w:val="24"/>
              </w:rPr>
              <w:t>至少</w:t>
            </w:r>
            <w:r>
              <w:rPr>
                <w:rFonts w:hint="eastAsia" w:ascii="仿宋" w:hAnsi="仿宋" w:eastAsia="仿宋" w:cs="仿宋"/>
                <w:sz w:val="24"/>
                <w:szCs w:val="24"/>
              </w:rPr>
              <w:t>每2天1次；10月—次年6月</w:t>
            </w:r>
            <w:r>
              <w:rPr>
                <w:rFonts w:hint="eastAsia" w:ascii="仿宋" w:hAnsi="仿宋" w:eastAsia="仿宋" w:cs="仿宋"/>
                <w:bCs/>
                <w:kern w:val="0"/>
                <w:sz w:val="24"/>
                <w:szCs w:val="24"/>
              </w:rPr>
              <w:t>至少</w:t>
            </w:r>
            <w:r>
              <w:rPr>
                <w:rFonts w:hint="eastAsia" w:ascii="仿宋" w:hAnsi="仿宋" w:eastAsia="仿宋" w:cs="仿宋"/>
                <w:sz w:val="24"/>
                <w:szCs w:val="24"/>
              </w:rPr>
              <w:t>每2周1次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无干枯死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排涝</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遇雨季积水每天排涝</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施肥</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春、秋</w:t>
            </w:r>
            <w:r>
              <w:rPr>
                <w:rFonts w:hint="eastAsia" w:ascii="仿宋" w:hAnsi="仿宋" w:eastAsia="仿宋" w:cs="仿宋"/>
                <w:bCs/>
                <w:kern w:val="0"/>
                <w:sz w:val="24"/>
                <w:szCs w:val="24"/>
              </w:rPr>
              <w:t>至少</w:t>
            </w:r>
            <w:r>
              <w:rPr>
                <w:rFonts w:hint="eastAsia" w:ascii="仿宋" w:hAnsi="仿宋" w:eastAsia="仿宋" w:cs="仿宋"/>
                <w:sz w:val="24"/>
                <w:szCs w:val="24"/>
              </w:rPr>
              <w:t>各1次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养分充足，生长良好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病虫害</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视病虫害情况及时防治</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主要病虫害发生率低于5％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灌木</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修剪</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4月—10月</w:t>
            </w:r>
            <w:r>
              <w:rPr>
                <w:rFonts w:hint="eastAsia" w:ascii="仿宋" w:hAnsi="仿宋" w:eastAsia="仿宋" w:cs="仿宋"/>
                <w:bCs/>
                <w:kern w:val="0"/>
                <w:sz w:val="24"/>
                <w:szCs w:val="24"/>
              </w:rPr>
              <w:t>至少</w:t>
            </w:r>
            <w:r>
              <w:rPr>
                <w:rFonts w:hint="eastAsia" w:ascii="仿宋" w:hAnsi="仿宋" w:eastAsia="仿宋" w:cs="仿宋"/>
                <w:sz w:val="24"/>
                <w:szCs w:val="24"/>
              </w:rPr>
              <w:t>每月1次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整洁、美观、枝叶紧密、圆整、无脱节、无枯枝，残叶及时清理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浇水</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7月—9月</w:t>
            </w:r>
            <w:r>
              <w:rPr>
                <w:rFonts w:hint="eastAsia" w:ascii="仿宋" w:hAnsi="仿宋" w:eastAsia="仿宋" w:cs="仿宋"/>
                <w:bCs/>
                <w:kern w:val="0"/>
                <w:sz w:val="24"/>
                <w:szCs w:val="24"/>
              </w:rPr>
              <w:t>至少</w:t>
            </w:r>
            <w:r>
              <w:rPr>
                <w:rFonts w:hint="eastAsia" w:ascii="仿宋" w:hAnsi="仿宋" w:eastAsia="仿宋" w:cs="仿宋"/>
                <w:sz w:val="24"/>
                <w:szCs w:val="24"/>
              </w:rPr>
              <w:t>每2天1次；10月—次年6月</w:t>
            </w:r>
            <w:r>
              <w:rPr>
                <w:rFonts w:hint="eastAsia" w:ascii="仿宋" w:hAnsi="仿宋" w:eastAsia="仿宋" w:cs="仿宋"/>
                <w:bCs/>
                <w:kern w:val="0"/>
                <w:sz w:val="24"/>
                <w:szCs w:val="24"/>
              </w:rPr>
              <w:t>至少</w:t>
            </w:r>
            <w:r>
              <w:rPr>
                <w:rFonts w:hint="eastAsia" w:ascii="仿宋" w:hAnsi="仿宋" w:eastAsia="仿宋" w:cs="仿宋"/>
                <w:sz w:val="24"/>
                <w:szCs w:val="24"/>
              </w:rPr>
              <w:t>每2周1次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无枯死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排涝</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遇雨季积水每天排涝</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施肥</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春、秋</w:t>
            </w:r>
            <w:r>
              <w:rPr>
                <w:rFonts w:hint="eastAsia" w:ascii="仿宋" w:hAnsi="仿宋" w:eastAsia="仿宋" w:cs="仿宋"/>
                <w:bCs/>
                <w:kern w:val="0"/>
                <w:sz w:val="24"/>
                <w:szCs w:val="24"/>
              </w:rPr>
              <w:t>至少</w:t>
            </w:r>
            <w:r>
              <w:rPr>
                <w:rFonts w:hint="eastAsia" w:ascii="仿宋" w:hAnsi="仿宋" w:eastAsia="仿宋" w:cs="仿宋"/>
                <w:sz w:val="24"/>
                <w:szCs w:val="24"/>
              </w:rPr>
              <w:t>各1次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养分充足，生长良好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病虫害</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视病虫害情况及时防治</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主要病虫害发生率低于5％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草坪</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修剪</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5月、7月、9月、11月</w:t>
            </w:r>
            <w:r>
              <w:rPr>
                <w:rFonts w:hint="eastAsia" w:ascii="仿宋" w:hAnsi="仿宋" w:eastAsia="仿宋" w:cs="仿宋"/>
                <w:bCs/>
                <w:kern w:val="0"/>
                <w:sz w:val="24"/>
                <w:szCs w:val="24"/>
              </w:rPr>
              <w:t>至少</w:t>
            </w:r>
            <w:r>
              <w:rPr>
                <w:rFonts w:hint="eastAsia" w:ascii="仿宋" w:hAnsi="仿宋" w:eastAsia="仿宋" w:cs="仿宋"/>
                <w:sz w:val="24"/>
                <w:szCs w:val="24"/>
              </w:rPr>
              <w:t>各一次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整洁、美观，草高不超过8cm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除草</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4月—10月循环清除，11月—次年3月</w:t>
            </w:r>
            <w:r>
              <w:rPr>
                <w:rFonts w:hint="eastAsia" w:ascii="仿宋" w:hAnsi="仿宋" w:eastAsia="仿宋" w:cs="仿宋"/>
                <w:bCs/>
                <w:kern w:val="0"/>
                <w:sz w:val="24"/>
                <w:szCs w:val="24"/>
              </w:rPr>
              <w:t>至少</w:t>
            </w:r>
            <w:r>
              <w:rPr>
                <w:rFonts w:hint="eastAsia" w:ascii="仿宋" w:hAnsi="仿宋" w:eastAsia="仿宋" w:cs="仿宋"/>
                <w:sz w:val="24"/>
                <w:szCs w:val="24"/>
              </w:rPr>
              <w:t>每月1次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杂草面积不大于5%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切边</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5月、7月、9月、11月</w:t>
            </w:r>
            <w:r>
              <w:rPr>
                <w:rFonts w:hint="eastAsia" w:ascii="仿宋" w:hAnsi="仿宋" w:eastAsia="仿宋" w:cs="仿宋"/>
                <w:bCs/>
                <w:kern w:val="0"/>
                <w:sz w:val="24"/>
                <w:szCs w:val="24"/>
              </w:rPr>
              <w:t>至少</w:t>
            </w:r>
            <w:r>
              <w:rPr>
                <w:rFonts w:hint="eastAsia" w:ascii="仿宋" w:hAnsi="仿宋" w:eastAsia="仿宋" w:cs="仿宋"/>
                <w:sz w:val="24"/>
                <w:szCs w:val="24"/>
              </w:rPr>
              <w:t>各一次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与乔灌木界限明显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浇水</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7月—9月</w:t>
            </w:r>
            <w:r>
              <w:rPr>
                <w:rFonts w:hint="eastAsia" w:ascii="仿宋" w:hAnsi="仿宋" w:eastAsia="仿宋" w:cs="仿宋"/>
                <w:bCs/>
                <w:kern w:val="0"/>
                <w:sz w:val="24"/>
                <w:szCs w:val="24"/>
              </w:rPr>
              <w:t>至少</w:t>
            </w:r>
            <w:r>
              <w:rPr>
                <w:rFonts w:hint="eastAsia" w:ascii="仿宋" w:hAnsi="仿宋" w:eastAsia="仿宋" w:cs="仿宋"/>
                <w:sz w:val="24"/>
                <w:szCs w:val="24"/>
              </w:rPr>
              <w:t>每天1次；10月—次年6月</w:t>
            </w:r>
            <w:r>
              <w:rPr>
                <w:rFonts w:hint="eastAsia" w:ascii="仿宋" w:hAnsi="仿宋" w:eastAsia="仿宋" w:cs="仿宋"/>
                <w:bCs/>
                <w:kern w:val="0"/>
                <w:sz w:val="24"/>
                <w:szCs w:val="24"/>
              </w:rPr>
              <w:t>至少</w:t>
            </w:r>
            <w:r>
              <w:rPr>
                <w:rFonts w:hint="eastAsia" w:ascii="仿宋" w:hAnsi="仿宋" w:eastAsia="仿宋" w:cs="仿宋"/>
                <w:sz w:val="24"/>
                <w:szCs w:val="24"/>
              </w:rPr>
              <w:t>每2周1次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无枯死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排涝</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遇雨季积水每天排涝</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施肥</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春、秋</w:t>
            </w:r>
            <w:r>
              <w:rPr>
                <w:rFonts w:hint="eastAsia" w:ascii="仿宋" w:hAnsi="仿宋" w:eastAsia="仿宋" w:cs="仿宋"/>
                <w:bCs/>
                <w:kern w:val="0"/>
                <w:sz w:val="24"/>
                <w:szCs w:val="24"/>
              </w:rPr>
              <w:t>至少</w:t>
            </w:r>
            <w:r>
              <w:rPr>
                <w:rFonts w:hint="eastAsia" w:ascii="仿宋" w:hAnsi="仿宋" w:eastAsia="仿宋" w:cs="仿宋"/>
                <w:sz w:val="24"/>
                <w:szCs w:val="24"/>
              </w:rPr>
              <w:t>各1次</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养分充足，生长良好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病虫</w:t>
            </w:r>
            <w:r>
              <w:rPr>
                <w:rFonts w:hint="eastAsia" w:ascii="仿宋" w:hAnsi="仿宋" w:eastAsia="仿宋" w:cs="仿宋"/>
                <w:sz w:val="24"/>
                <w:szCs w:val="24"/>
                <w:lang w:eastAsia="zh-CN"/>
              </w:rPr>
              <w:t>害</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视病虫害情况及时防治</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及时防治，斑秃黄萎低于5%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9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室外</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花卉</w:t>
            </w:r>
          </w:p>
        </w:tc>
        <w:tc>
          <w:tcPr>
            <w:tcW w:w="1218"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室外花卉</w:t>
            </w:r>
          </w:p>
        </w:tc>
        <w:tc>
          <w:tcPr>
            <w:tcW w:w="3443" w:type="dxa"/>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bCs/>
                <w:kern w:val="0"/>
                <w:sz w:val="24"/>
                <w:szCs w:val="24"/>
              </w:rPr>
              <w:t>至少</w:t>
            </w:r>
            <w:r>
              <w:rPr>
                <w:rFonts w:hint="eastAsia" w:ascii="仿宋" w:hAnsi="仿宋" w:eastAsia="仿宋" w:cs="仿宋"/>
                <w:sz w:val="24"/>
                <w:szCs w:val="24"/>
              </w:rPr>
              <w:t>每3天一次，循环清理、适时浇水、修剪</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无杂草，枯叶，无枯死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施肥</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根据植物生长需要适时增肥</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养分充足，生长良好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病虫害</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视病虫害情况及时防治</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无明显病虫害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重大节日摆花</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主楼各主要入口，摆花营造节日氛围</w:t>
            </w:r>
          </w:p>
        </w:tc>
        <w:tc>
          <w:tcPr>
            <w:tcW w:w="29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注重节日特色</w:t>
            </w:r>
          </w:p>
        </w:tc>
      </w:tr>
    </w:tbl>
    <w:p>
      <w:pPr>
        <w:pStyle w:val="132"/>
        <w:snapToGrid w:val="0"/>
        <w:spacing w:before="0" w:line="360" w:lineRule="auto"/>
        <w:ind w:firstLine="480"/>
        <w:rPr>
          <w:rFonts w:hint="eastAsia" w:ascii="仿宋" w:hAnsi="仿宋" w:eastAsia="仿宋" w:cs="仿宋"/>
          <w:sz w:val="24"/>
          <w:szCs w:val="24"/>
        </w:rPr>
      </w:pP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）高（低）压线路、照明及供电设备管理维护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 对区域内的变压器、高低压配电柜、能源监控管理系统、楼层配电间低压配电柜、设备机房电气控制柜、疏散指示系统、大厅电动遮阳卷帘、电气管线、电线电缆、电源开关、动力插座、电开水炉（专项维保除外）、水泵、排污泵等低压用电设施进行日常管理和维护、维修，保持设施正常运行。</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（1）建立严格的高配室供电岗位责任制，高低配交接班制度、高低配室操作规程制度、高配倒闸操作制度、工作票制度、高低配及维修巡回检查等制度；</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（2）高配变电房24小时值班，夜间能应急维修，保证整个大楼的供电安全；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（3）按照规定周期对变配电设备设施进行检查、维护、清洁，并做好记录，确保高（低）压变（配）电柜操作运行正常，各类表计显示正常；</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（4）变（配）电柜、低压配电柜运行正常，符合工作要求，各类表计显示正常；</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（5）功率因素自动补偿电容器（组）、有源滤波系统等运行正常，自动切换准确可靠；</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（6）变(配)电系统联络切换正常；</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（7）负责各类照明灯具、泛光照明系统、供用电设备设施（包括配电箱柜、桥架、井道、分电箱、开关、插座等）的日常管理和维护修理；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（8）通过有效的管理措施及技术措施，积极开展节能管理工作；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（9）每年必须组织一次防雷检测及预防性试验。</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五</w:t>
      </w:r>
      <w:r>
        <w:rPr>
          <w:rFonts w:hint="eastAsia" w:ascii="仿宋" w:hAnsi="仿宋" w:eastAsia="仿宋" w:cs="仿宋"/>
          <w:sz w:val="24"/>
          <w:szCs w:val="24"/>
        </w:rPr>
        <w:t>）弱电系统管理维护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1．服务内容：协助做好区域内综合布线、楼宇设备自控系统、安全防范系统、显示屏系统、有线电视系统、弱电井道（涉密除外）等日常管理，确保各系统正常运行。</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（1）配合各弱电系统管理责任主体，按规定标准工作时间排除故障，保证各弱电系统正常工作；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（2）严格执行用电安全规范，确保用电安全；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（3）保证避雷设备完好、有效、安全。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六</w:t>
      </w:r>
      <w:r>
        <w:rPr>
          <w:rFonts w:hint="eastAsia" w:ascii="仿宋" w:hAnsi="仿宋" w:eastAsia="仿宋" w:cs="仿宋"/>
          <w:sz w:val="24"/>
          <w:szCs w:val="24"/>
        </w:rPr>
        <w:t>）给排水设备运行维护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对标项内给排水系统设备、设施，如水泵、水箱、气压给水装置、水处理设备、管道、管件、阀门、水嘴、卫生洁具、排水管、透气管、水封设备、室外排水管及附属构筑物等进行日常养护维修，保持正常运行。</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（1）每半年对给排水系统进行维护、润滑。</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每周检查一次污水泵、提升泵、排水泵、阀门等，确保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（3）用户末端的水压及流量满足使用要求。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（4）每季对楼宇给排水总管进行检查，每半年对水泵、管道进行养护。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七</w:t>
      </w:r>
      <w:r>
        <w:rPr>
          <w:rFonts w:hint="eastAsia" w:ascii="仿宋" w:hAnsi="仿宋" w:eastAsia="仿宋" w:cs="仿宋"/>
          <w:sz w:val="24"/>
          <w:szCs w:val="24"/>
        </w:rPr>
        <w:t>）空调系统运行维护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1．服务内容：所有空调系统的日常养护维修；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（1）建立空调系统运行管理制度和安全操作规程，保证空调系统安全运行和正常使用，运行中无超标噪音和严重滴漏水现象；</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（2）制定科学合理的经济运行和节能降耗措施；</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（3）定期对冷冻水、冷却水系统进行杀菌灭藻处理及除浮锈、除油化学清洗；</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（4）定期检修养护空调设备，定期清洗过滤网、风口，保证空调设备、设施处于良好状态；</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（5）空调系统出现运行故障后，维修人员应及时到达现场维修，并做好记录，零修合格率100%；</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（6）锅炉系统管理要求符合杭州市特种设备检测院及杭州市锅炉检测所有关特种设备使用和管理安全要求。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八</w:t>
      </w:r>
      <w:r>
        <w:rPr>
          <w:rFonts w:hint="eastAsia" w:ascii="仿宋" w:hAnsi="仿宋" w:eastAsia="仿宋" w:cs="仿宋"/>
          <w:sz w:val="24"/>
          <w:szCs w:val="24"/>
        </w:rPr>
        <w:t>）石材日常维护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1．服务内容：对大楼内地面、晶面处理等各项养护服务。所需费用全部包含在本次物业服务费中。</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（1）根据采购单位的要求建立定期养护制度，按要求完成石材的每季打蜡、抛光保养工作；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（2）通过保养，确保石材光亮如新，无明显接缝高低差、缝条清晰、色泽一致；</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（3）雨天注意做好石材防水处理，如因漏水造成石材色泽、品质差异，应在2天内紧急处理，通过对石材的修补、保养达到光亮如新的效果。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九</w:t>
      </w:r>
      <w:r>
        <w:rPr>
          <w:rFonts w:hint="eastAsia" w:ascii="仿宋" w:hAnsi="仿宋" w:eastAsia="仿宋" w:cs="仿宋"/>
          <w:sz w:val="24"/>
          <w:szCs w:val="24"/>
        </w:rPr>
        <w:t>）电梯管理维护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1．服务内容：电梯专业维保及日常管理。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（1）建立电梯运行管理、设备管理、安全管理制度；</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（2）电梯安全措施齐全、有效，准时开启关闭，督促专业维保单位定期进行维修保养，做好工作单的确认；</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（3）确保通风、照明、空调及其他附属设施完好；</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（4）轿厢、井道保持清洁；</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（5）电梯按实际需求正常运行、运行养护记录完备；</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（6）编制电梯应急预案，规定应急处理人员抵达现场时限，及时、正确、有效处理电梯困人等故障；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（7）严格执行杭州市特种设备检测院等有关规定，电梯准用证、年检合格证、维修保养合同完备。</w:t>
      </w:r>
    </w:p>
    <w:p>
      <w:pPr>
        <w:autoSpaceDE w:val="0"/>
        <w:autoSpaceDN w:val="0"/>
        <w:snapToGrid w:val="0"/>
        <w:spacing w:line="360" w:lineRule="auto"/>
        <w:ind w:firstLine="482"/>
        <w:rPr>
          <w:rFonts w:hint="eastAsia" w:ascii="仿宋" w:hAnsi="仿宋" w:eastAsia="仿宋" w:cs="仿宋"/>
          <w:bCs/>
          <w:kern w:val="0"/>
          <w:sz w:val="24"/>
          <w:szCs w:val="24"/>
        </w:rPr>
      </w:pPr>
      <w:r>
        <w:rPr>
          <w:rFonts w:hint="eastAsia" w:ascii="仿宋" w:hAnsi="仿宋" w:eastAsia="仿宋" w:cs="仿宋"/>
          <w:bCs/>
          <w:kern w:val="0"/>
          <w:sz w:val="24"/>
          <w:szCs w:val="24"/>
        </w:rPr>
        <w:t>（</w:t>
      </w:r>
      <w:r>
        <w:rPr>
          <w:rFonts w:hint="eastAsia" w:ascii="仿宋" w:hAnsi="仿宋" w:eastAsia="仿宋" w:cs="仿宋"/>
          <w:bCs/>
          <w:kern w:val="0"/>
          <w:sz w:val="24"/>
          <w:szCs w:val="24"/>
          <w:lang w:eastAsia="zh-CN"/>
        </w:rPr>
        <w:t>十</w:t>
      </w:r>
      <w:r>
        <w:rPr>
          <w:rFonts w:hint="eastAsia" w:ascii="仿宋" w:hAnsi="仿宋" w:eastAsia="仿宋" w:cs="仿宋"/>
          <w:bCs/>
          <w:kern w:val="0"/>
          <w:sz w:val="24"/>
          <w:szCs w:val="24"/>
        </w:rPr>
        <w:t>）房屋及设备设施日常养护和巡查维修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1．服务内容：</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（1）包含标项内房屋及相关设备设施</w:t>
      </w:r>
      <w:r>
        <w:rPr>
          <w:rFonts w:hint="eastAsia" w:ascii="仿宋" w:hAnsi="仿宋" w:eastAsia="仿宋" w:cs="仿宋"/>
          <w:sz w:val="24"/>
          <w:szCs w:val="24"/>
          <w:lang w:val="en-US" w:eastAsia="zh-CN"/>
        </w:rPr>
        <w:t>共用部位公共区域</w:t>
      </w:r>
      <w:r>
        <w:rPr>
          <w:rFonts w:hint="eastAsia" w:ascii="仿宋" w:hAnsi="仿宋" w:eastAsia="仿宋" w:cs="仿宋"/>
          <w:sz w:val="24"/>
          <w:szCs w:val="24"/>
        </w:rPr>
        <w:t>的日常养护和巡查维修。主要包括但不限于：大楼办公楼(区)房屋地面、墙面、台面、吊顶、门窗、楼梯、通风道、卫生洁具、大厅大面积玻璃顶、外墙幕墙、各类设备及管道、室内外标识标牌、室外栏杆、扶手及钢架、室外铺装及道路等。</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（2）不包括本项目范围内的房屋大中修以及因办公用房功能调整而进行的改造。</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（3）单项是指发生在单栋建筑物内独立的不可分割进行的房屋维修项目。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2．服务质量标准: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（1）大楼办公楼(区) 房屋地面、墙、台面、吊顶、门窗、楼梯、通风道、卫生洁具，各类管道通畅无锈蚀、无滴漏，室内外标识标牌、室外栏杆、扶手及钢架完好无锈蚀，室外铺装及道路平整无坑洼、无破损。</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（2）每年向采购单位提交建筑物年度维修养护计划，每月向采购单位提交建筑物月度维修养护计划。</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建筑物及附属设施按计划维修、维护，确保玻璃无破裂，五金配件完好，门窗开闭灵活、密封性好、无异常声响；粉刷无明显剥落开裂，墙面砖、地坪、地砖、地板平整不起壳、无遗缺，吊顶无污（水）渍、开缝和破损。建立维修回访制度且记录完整。</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（4）避雷设施日常养护检测。每年的雷雨季节前需具有资质检测机构对避雷设施进行一次全面的检测，并出具检测报告。</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（5）屋面排水沟、室内室外排水管保障畅通；雨前及时巡查，排除隐患。发现过滤网及管道破损及时修复或更换。</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（6）发现屋面或其他防水层有气鼓、破裂，隔热板有断裂、缺损的，屋面、墙面有渗漏的，应在3个工作日内安排专项修理。</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（7）及时完成家具、设备等各项零星维修任务，一般维修任务应确保在24小时内完成，确保建筑物本体完好率98%以上，物业零修、急修及时率98%以上，维修合格率100%，标项内场地、道路的完好率98%以上。</w:t>
      </w:r>
    </w:p>
    <w:bookmarkEnd w:id="29"/>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8）大楼设施设备做到安全运行和节能操作，发现故障立即报告并及时排除；水、电、卫浴设备、门锁及时修复；遇电路故障断电、水管爆裂、水龙头漏水、门锁开不了、门窗毁坏及墙面破损要及时修复；排水管、排污管要保持畅通，如有堵塞应立即疏通，厕所堵塞应当天疏通（需换厕盆的除外）。公共照明、水电设施每天检查一遍。大厅墙面灯具每季清洗，楼宇内门窗、卫浴设施、内墙面、所有照明设施的检查每月不少于一次。</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（9）日常维修接到报修信息后，必须15分钟内赶到现场进行处理。若无能力修复，及时报告相关部门的有关人员及领导。</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（10）配合专业单位进行保养及维修工作。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（11）所有空调过滤网及风口清洗频率：空调滤网、风口每半年清洗一次。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3、服务要求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（1）工程综合维修人员日常工作除特定工作外，实行（每天）巡查维修制度；</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（2）巡查内容包括配电设施、照明及供电设施、空调设施、消防设施、通风设施、给排水设施、房屋及装修设施、室外构筑设施、办公与阅览家具、其它公用设施 </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（3）每天对标项内公共区域进行巡查，并随时记录和处理</w:t>
      </w:r>
    </w:p>
    <w:p>
      <w:pPr>
        <w:pStyle w:val="132"/>
        <w:snapToGrid w:val="0"/>
        <w:spacing w:before="0"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（十</w:t>
      </w:r>
      <w:r>
        <w:rPr>
          <w:rFonts w:hint="eastAsia" w:ascii="仿宋" w:hAnsi="仿宋" w:eastAsia="仿宋" w:cs="仿宋"/>
          <w:bCs/>
          <w:kern w:val="0"/>
          <w:sz w:val="24"/>
          <w:szCs w:val="24"/>
          <w:lang w:eastAsia="zh-CN"/>
        </w:rPr>
        <w:t>一</w:t>
      </w:r>
      <w:r>
        <w:rPr>
          <w:rFonts w:hint="eastAsia" w:ascii="仿宋" w:hAnsi="仿宋" w:eastAsia="仿宋" w:cs="仿宋"/>
          <w:bCs/>
          <w:kern w:val="0"/>
          <w:sz w:val="24"/>
          <w:szCs w:val="24"/>
        </w:rPr>
        <w:t>）消防设备维护</w:t>
      </w:r>
    </w:p>
    <w:p>
      <w:pPr>
        <w:pStyle w:val="132"/>
        <w:snapToGrid w:val="0"/>
        <w:spacing w:before="0" w:line="360" w:lineRule="auto"/>
        <w:ind w:firstLine="480" w:firstLineChars="0"/>
        <w:rPr>
          <w:rFonts w:hint="eastAsia" w:ascii="仿宋" w:hAnsi="仿宋" w:eastAsia="仿宋" w:cs="仿宋"/>
          <w:sz w:val="24"/>
          <w:szCs w:val="24"/>
        </w:rPr>
      </w:pPr>
      <w:r>
        <w:rPr>
          <w:rFonts w:hint="eastAsia" w:ascii="仿宋" w:hAnsi="仿宋" w:eastAsia="仿宋" w:cs="仿宋"/>
          <w:sz w:val="24"/>
          <w:szCs w:val="24"/>
        </w:rPr>
        <w:t>1.服务内容：消防设备的维保、维修和管理</w:t>
      </w:r>
    </w:p>
    <w:p>
      <w:pPr>
        <w:pStyle w:val="132"/>
        <w:snapToGrid w:val="0"/>
        <w:spacing w:before="0" w:line="360" w:lineRule="auto"/>
        <w:ind w:firstLine="480" w:firstLineChars="0"/>
        <w:rPr>
          <w:rFonts w:hint="eastAsia" w:ascii="仿宋" w:hAnsi="仿宋" w:eastAsia="仿宋" w:cs="仿宋"/>
          <w:sz w:val="24"/>
          <w:szCs w:val="24"/>
        </w:rPr>
      </w:pPr>
      <w:r>
        <w:rPr>
          <w:rFonts w:hint="eastAsia" w:ascii="仿宋" w:hAnsi="仿宋" w:eastAsia="仿宋" w:cs="仿宋"/>
          <w:sz w:val="24"/>
          <w:szCs w:val="24"/>
        </w:rPr>
        <w:t>2.服务质量标准：（1）建立健全消防管理制度，建立消防责任制；（2）明确专人维护；（3）定期对消防设备设施进行巡视、检查和维护，保持其完整、完好，能正常使用；（4）各类设备设施能正常运行与使用；（5）检查记录详细，如发现消防设施设备有异常情况，应及时予以调换或报修；（6）对易燃易爆物品设专人专区管理</w:t>
      </w:r>
    </w:p>
    <w:p>
      <w:pPr>
        <w:pStyle w:val="132"/>
        <w:snapToGrid w:val="0"/>
        <w:spacing w:before="0"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（十</w:t>
      </w:r>
      <w:r>
        <w:rPr>
          <w:rFonts w:hint="eastAsia" w:ascii="仿宋" w:hAnsi="仿宋" w:eastAsia="仿宋" w:cs="仿宋"/>
          <w:bCs/>
          <w:kern w:val="0"/>
          <w:sz w:val="24"/>
          <w:szCs w:val="24"/>
          <w:lang w:eastAsia="zh-CN"/>
        </w:rPr>
        <w:t>二</w:t>
      </w:r>
      <w:r>
        <w:rPr>
          <w:rFonts w:hint="eastAsia" w:ascii="仿宋" w:hAnsi="仿宋" w:eastAsia="仿宋" w:cs="仿宋"/>
          <w:bCs/>
          <w:kern w:val="0"/>
          <w:sz w:val="24"/>
          <w:szCs w:val="24"/>
        </w:rPr>
        <w:t>）设备机房标准化管理和要求</w:t>
      </w:r>
    </w:p>
    <w:p>
      <w:pPr>
        <w:pStyle w:val="132"/>
        <w:snapToGrid w:val="0"/>
        <w:spacing w:before="0" w:line="36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1、供配电类设备房标准（33项）</w:t>
      </w:r>
    </w:p>
    <w:tbl>
      <w:tblPr>
        <w:tblStyle w:val="76"/>
        <w:tblW w:w="7797" w:type="dxa"/>
        <w:tblInd w:w="108" w:type="dxa"/>
        <w:tblLayout w:type="fixed"/>
        <w:tblCellMar>
          <w:top w:w="0" w:type="dxa"/>
          <w:left w:w="108" w:type="dxa"/>
          <w:bottom w:w="0" w:type="dxa"/>
          <w:right w:w="108" w:type="dxa"/>
        </w:tblCellMar>
      </w:tblPr>
      <w:tblGrid>
        <w:gridCol w:w="960"/>
        <w:gridCol w:w="6837"/>
      </w:tblGrid>
      <w:tr>
        <w:tblPrEx>
          <w:tblLayout w:type="fixed"/>
          <w:tblCellMar>
            <w:top w:w="0" w:type="dxa"/>
            <w:left w:w="108" w:type="dxa"/>
            <w:bottom w:w="0" w:type="dxa"/>
            <w:right w:w="108" w:type="dxa"/>
          </w:tblCellMar>
        </w:tblPrEx>
        <w:trPr>
          <w:trHeight w:val="24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837" w:type="dxa"/>
            <w:tcBorders>
              <w:top w:val="single" w:color="auto" w:sz="4" w:space="0"/>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设备房门外环境干净、整洁。</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设备房门、门框完好，无锈蚀。</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房门上锁，开启方便，存放备用钥匙。</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项目设备房统一本体标识，有"设备重地，非请勿进"提示。</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门口设有铁或铝皮挡鼠板，高度</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0cm,有提示标识。</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照明开关设在门边，开关方便。</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可以分区域控制照明回路，照明灯具完好，照度良好。</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室内通风良好，风机设备（或空调）运行正常。</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有消防应急照明，测试正常。（可双头应急灯）</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按分区配置有效灭火器，放置于门边，每15平方米1具2KG灭火器。</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消防电话通畅，语音清楚。</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地面平坦、干燥、防滑、干净，有地砖更优。</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柜前有绝缘胶垫，刷有警示带，无裂口，无起拱。</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墙面刷白，无污渍，脚踏线等收口完整，接地排刷漆。</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相关单位联系方式和电话上墙。</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高、低压系统图（或模拟图）上墙。</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管理制度、安全操作流程、应急预案3上墙，悬挂整齐美观。</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设备人员熟悉制度和应急预案。</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人员上岗证复印件上墙，高压入网证、电工证2证。</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高、低压系统图或模拟图上墙，采用PVC板。</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设备房记录干净整洁，字迹清晰。巡查、运行、维修、来访4记录。</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配置有温、湿度计，读数在标准值以内。上方贴提示标识。</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工具摆放整齐，要照要求定期安检。</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变压器负荷适中，三相电流平衡不超过25%，风扇能运行。</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柜面干净，无污渍；柜内走线规范，目视无明显积尘。</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电缆走向明确，有标识。</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电容柜处于自投，Φ＞0.9，电容无漏液，无鼓包。</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电容柜手投测试正常， 直流屏工作正常。</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各类指示灯显示正常。</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电缆沟内排水正常，电缆有支撑。</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设有积水坑的，排水功能正常，手自动控制正常。</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积水坑有高水位报警，报警信息能被及时发现。</w:t>
            </w:r>
          </w:p>
        </w:tc>
      </w:tr>
      <w:tr>
        <w:tblPrEx>
          <w:tblLayout w:type="fixed"/>
          <w:tblCellMar>
            <w:top w:w="0" w:type="dxa"/>
            <w:left w:w="108" w:type="dxa"/>
            <w:bottom w:w="0" w:type="dxa"/>
            <w:right w:w="108" w:type="dxa"/>
          </w:tblCellMar>
        </w:tblPrEx>
        <w:trPr>
          <w:trHeight w:val="240" w:hRule="atLeast"/>
        </w:trPr>
        <w:tc>
          <w:tcPr>
            <w:tcW w:w="960" w:type="dxa"/>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6837" w:type="dxa"/>
            <w:tcBorders>
              <w:top w:val="nil"/>
              <w:left w:val="nil"/>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保洁工具在指定位置，摆放整齐，笤帚、簸箕、抹布、拖把、水桶。</w:t>
            </w:r>
          </w:p>
        </w:tc>
      </w:tr>
    </w:tbl>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2.电梯机房标准（29项）</w:t>
      </w:r>
    </w:p>
    <w:tbl>
      <w:tblPr>
        <w:tblStyle w:val="76"/>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设备房门外环境干净、整洁。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设备房门、门框完好，无锈蚀。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房门上锁，开启方便，监控中心存放备用钥匙。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4</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项目设备房统一本体标识，有“设备重地，非请勿进”提示。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5</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门口设有铁或铝皮挡鼠板，高度50cm,有提示标识。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6</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照明开关设在门边，开关方便。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7</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照明灯具完好，照度良好。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8</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通风良好，风机运行正常。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9</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窗台或通风口有防雨措施，有纱窗防鸟。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10</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有消防应急照明，测试正常。（可双头应急灯）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11</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按分区配置有效灭火器，放置于门边，每15平方米1具2KG灭火器。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12</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消防电话通畅，语音清楚。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13</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地面平坦、干燥、防滑、干净，有地砖、地垫更优。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14</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地面刷有黄色警示带、标识、接地排刷漆，黄绿15cm相间。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15</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墙面、顶面刷白，无污渍。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16</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吊钩干净，限吊标识清晰。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17</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管理制度、安全操作制度、应急预案上墙，悬挂整齐美观。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18</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设备人员熟悉制度和应急预案。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19</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人员上岗证复印件上墙，管理员证、维修证。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20</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设备房记录干净整洁，字迹清晰。巡查、维保、来访3记录。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21</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配置有温、湿度计，读数在标准值以内。上方有提示标识。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22</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工具摆放整齐，能有效盘车，上方有提示标识。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23</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线槽封闭完好，缆线走向标识清晰。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24</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预留插座完好，能有效使用。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25</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设备干净，光亮，无锈蚀，无污渍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26</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柜面，柜内清洁，无积尘。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27</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机房高差台面设有步梯和栏杆，安全方便。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28</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各类指示灯显示正常。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624"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29</w:t>
            </w:r>
          </w:p>
        </w:tc>
        <w:tc>
          <w:tcPr>
            <w:tcW w:w="742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保洁工具在指定位置，摆放整齐，笤帚、簸箕、抹布、拖把、水桶。</w:t>
            </w:r>
          </w:p>
        </w:tc>
      </w:tr>
    </w:tbl>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sz w:val="24"/>
          <w:szCs w:val="24"/>
        </w:rPr>
        <w:t>3.</w:t>
      </w:r>
      <w:r>
        <w:rPr>
          <w:rFonts w:hint="eastAsia" w:ascii="仿宋" w:hAnsi="仿宋" w:eastAsia="仿宋" w:cs="仿宋"/>
          <w:b/>
          <w:bCs/>
          <w:sz w:val="24"/>
          <w:szCs w:val="24"/>
        </w:rPr>
        <w:t xml:space="preserve"> 水泵房（生活、消防等）标准（37项）</w:t>
      </w:r>
    </w:p>
    <w:tbl>
      <w:tblPr>
        <w:tblStyle w:val="76"/>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设备房门外环境干净、整洁。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设备房门、门框完好，无锈蚀。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房门上锁，开启方便，存放备用钥匙。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4</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项目设备房统一本体标识，有“设备重地，非请勿进”提示。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5</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门口设有铁或铝皮挡鼠板，高度50cm,有提示标识。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6</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照明开关设在门边，开关方便。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7</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可以分区域控制照明回路，照明灯具完好，照度良好。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8</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有消防应急照明，测试正常。（可双头应急灯）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9</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按分区配置有效灭火器，放置于门边，每15平方米1具2KG灭火器。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10</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消防电话通畅，语音清楚。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11</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地面平坦、干燥、防滑、干净，有地砖、地垫更优。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12</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室内设置有排水浅沟，沟内干净；或有其他排水设施，排水顺畅。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13</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墙面刷白，无污渍，脚踏线等收口完整，接地排刷漆。黄绿相间15cm。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14</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相关单位联系方式和电话上墙于制度旁插盒，消防维保、水泵维修。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15</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管理制度、安全操作制度、应急预案上墙，悬挂整齐美观。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16</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设备人员熟悉制度和应急预案。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17</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生活泵房需卫生许可证、水质检验合格证、人员健康证3证上墙。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18</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设备房记录干净整洁，字迹清晰。巡查、运行、维修、来访4记录。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19</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配置有温、湿度计，读数在标准值以内。上方贴提示标识。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20</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控制柜下有30cm左右的基础，刷灰漆。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21</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控制柜与水管接头、阀门有2米以上间距，或有防爆管水浸的措施。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22</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控制柜、设备干净，无污渍；柜内走线规范，目视无明显积尘。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23</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电缆走向明确，有标识。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24</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水泵运转正常，无跑冒滴漏，消防泵能远程控制。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25</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阀门控制自如，无卡死，丝杆有黄油即套管，有状态标识。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26</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管道卡口、支撑稳固，支撑架无锈蚀。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27</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管道清洁、无锈蚀，水流流向标识清晰。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28</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各类指示灯显示正常。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29</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设有积水坑，排水功能正常，手、自动控制正常。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30</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积水坑有高水位报警，报警信息能被及时发现。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31</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水箱房与泵房设置有挡水坎。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32</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水箱盖上锁，监控中心配备钥匙。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33</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溢水口和排水口有防虫网，且干净。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34</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水箱、水池有水位观察管或高低水位报警装置。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35</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双生活水箱的可独立使用和清洗，清洗时不停水。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36</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各类标识清晰、无残缺、无模糊不清，且项目内统一。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37</w:t>
            </w:r>
          </w:p>
        </w:tc>
        <w:tc>
          <w:tcPr>
            <w:tcW w:w="7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sz w:val="24"/>
                <w:szCs w:val="24"/>
              </w:rPr>
            </w:pPr>
            <w:r>
              <w:rPr>
                <w:rFonts w:hint="eastAsia" w:ascii="仿宋" w:hAnsi="仿宋" w:eastAsia="仿宋" w:cs="仿宋"/>
                <w:sz w:val="24"/>
                <w:szCs w:val="24"/>
              </w:rPr>
              <w:t>保洁工具在指定位置，摆放整齐，笤帚、簸箕、抹布、拖把、水桶。</w:t>
            </w:r>
          </w:p>
        </w:tc>
      </w:tr>
    </w:tbl>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三</w:t>
      </w:r>
      <w:r>
        <w:rPr>
          <w:rFonts w:hint="eastAsia" w:ascii="仿宋" w:hAnsi="仿宋" w:eastAsia="仿宋" w:cs="仿宋"/>
          <w:sz w:val="24"/>
          <w:szCs w:val="24"/>
        </w:rPr>
        <w:t>）其它要求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1、本项目范围内，单次单项结算费用在</w:t>
      </w:r>
      <w:r>
        <w:rPr>
          <w:rFonts w:hint="eastAsia" w:ascii="仿宋" w:hAnsi="仿宋" w:eastAsia="仿宋" w:cs="仿宋"/>
          <w:sz w:val="24"/>
          <w:szCs w:val="24"/>
          <w:lang w:val="en-US" w:eastAsia="zh-CN"/>
        </w:rPr>
        <w:t>叁</w:t>
      </w:r>
      <w:r>
        <w:rPr>
          <w:rFonts w:hint="eastAsia" w:ascii="仿宋" w:hAnsi="仿宋" w:eastAsia="仿宋" w:cs="仿宋"/>
          <w:sz w:val="24"/>
          <w:szCs w:val="24"/>
          <w:lang w:eastAsia="zh-CN"/>
        </w:rPr>
        <w:t>佰</w:t>
      </w:r>
      <w:r>
        <w:rPr>
          <w:rFonts w:hint="eastAsia" w:ascii="仿宋" w:hAnsi="仿宋" w:eastAsia="仿宋" w:cs="仿宋"/>
          <w:sz w:val="24"/>
          <w:szCs w:val="24"/>
        </w:rPr>
        <w:t>元（含）以内的维修项目，由中标人包干负责，费用全部包含在本次投标价中。单次单项结算费用在</w:t>
      </w:r>
      <w:r>
        <w:rPr>
          <w:rFonts w:hint="eastAsia" w:ascii="仿宋" w:hAnsi="仿宋" w:eastAsia="仿宋" w:cs="仿宋"/>
          <w:sz w:val="24"/>
          <w:szCs w:val="24"/>
          <w:lang w:val="en-US" w:eastAsia="zh-CN"/>
        </w:rPr>
        <w:t>叁</w:t>
      </w:r>
      <w:r>
        <w:rPr>
          <w:rFonts w:hint="eastAsia" w:ascii="仿宋" w:hAnsi="仿宋" w:eastAsia="仿宋" w:cs="仿宋"/>
          <w:sz w:val="24"/>
          <w:szCs w:val="24"/>
          <w:lang w:eastAsia="zh-CN"/>
        </w:rPr>
        <w:t>佰</w:t>
      </w:r>
      <w:r>
        <w:rPr>
          <w:rFonts w:hint="eastAsia" w:ascii="仿宋" w:hAnsi="仿宋" w:eastAsia="仿宋" w:cs="仿宋"/>
          <w:sz w:val="24"/>
          <w:szCs w:val="24"/>
        </w:rPr>
        <w:t>元（不含）以上的维修项目，由采购单位负责，中标单位做好相关配合工作。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、服务内容：来访人员接待、通报，按规定做好与被访人员（单位）的联络，经被访人员（单位）同意后做好来访人员的证件核验、信息记录并发放《访客条》等。</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服务质量标准：上岗时穿戴物业公司统一的工作服，佩戴统一标志，仪容仪表规范整齐，当值时坐姿端正。态度热情，礼貌待客；表情自然，语言得体；严格查验，认真负责。发现问题及时上报。工作日提前半小时到岗，中午安排人员值班。</w:t>
      </w:r>
    </w:p>
    <w:p>
      <w:pPr>
        <w:pStyle w:val="132"/>
        <w:snapToGrid w:val="0"/>
        <w:spacing w:before="0" w:line="360" w:lineRule="auto"/>
        <w:ind w:firstLine="480"/>
        <w:rPr>
          <w:rFonts w:hint="eastAsia" w:ascii="仿宋" w:hAnsi="仿宋" w:eastAsia="仿宋" w:cs="仿宋"/>
          <w:sz w:val="24"/>
          <w:szCs w:val="24"/>
        </w:rPr>
      </w:pPr>
      <w:bookmarkStart w:id="30" w:name="_Toc448072862"/>
      <w:r>
        <w:rPr>
          <w:rFonts w:hint="eastAsia" w:ascii="仿宋" w:hAnsi="仿宋" w:eastAsia="仿宋" w:cs="仿宋"/>
          <w:sz w:val="24"/>
          <w:szCs w:val="24"/>
          <w:lang w:eastAsia="zh-CN"/>
        </w:rPr>
        <w:t>四</w:t>
      </w:r>
      <w:r>
        <w:rPr>
          <w:rFonts w:hint="eastAsia" w:ascii="仿宋" w:hAnsi="仿宋" w:eastAsia="仿宋" w:cs="仿宋"/>
          <w:sz w:val="24"/>
          <w:szCs w:val="24"/>
        </w:rPr>
        <w:t>、设备系统专项维保要求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根据国家、地方法规以及大型机电设备必须进行专项维保的要求，由中标方负责组织招标。基本原则如下：</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专项维保招标文件必须经过</w:t>
      </w:r>
      <w:r>
        <w:rPr>
          <w:rFonts w:hint="eastAsia" w:ascii="仿宋" w:hAnsi="仿宋" w:eastAsia="仿宋" w:cs="仿宋"/>
          <w:sz w:val="24"/>
          <w:szCs w:val="24"/>
          <w:lang w:eastAsia="zh-CN"/>
        </w:rPr>
        <w:t>区机关事务服务</w:t>
      </w:r>
      <w:r>
        <w:rPr>
          <w:rFonts w:hint="eastAsia" w:ascii="仿宋" w:hAnsi="仿宋" w:eastAsia="仿宋" w:cs="仿宋"/>
          <w:sz w:val="24"/>
          <w:szCs w:val="24"/>
        </w:rPr>
        <w:t>中心核准，对维保合同履约不合格单位，中心有权要求物业单位提前中止合同，督促物业单位重新组织招标。</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、管理服务人员要求</w:t>
      </w:r>
      <w:bookmarkEnd w:id="30"/>
    </w:p>
    <w:p>
      <w:pPr>
        <w:pStyle w:val="132"/>
        <w:snapToGrid w:val="0"/>
        <w:spacing w:before="0"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（一）人员配置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最低配置要求</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本项目人员配置一览表</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4267"/>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4267"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color w:val="auto"/>
                <w:sz w:val="24"/>
                <w:szCs w:val="24"/>
                <w:lang w:val="en-US" w:eastAsia="zh-CN"/>
              </w:rPr>
            </w:pPr>
            <w:r>
              <w:rPr>
                <w:rFonts w:hint="eastAsia" w:ascii="仿宋" w:hAnsi="仿宋" w:eastAsia="仿宋" w:cs="仿宋"/>
                <w:b/>
                <w:color w:val="auto"/>
                <w:kern w:val="0"/>
                <w:sz w:val="24"/>
                <w:szCs w:val="24"/>
                <w:lang w:val="en-US" w:eastAsia="zh-CN" w:bidi="ar"/>
              </w:rPr>
              <w:t>岗位名称</w:t>
            </w:r>
          </w:p>
        </w:tc>
        <w:tc>
          <w:tcPr>
            <w:tcW w:w="2450"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1</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项目经理</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2</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综合主管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3</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4</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秩序主管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shd w:val="clear" w:color="auto" w:fill="FFFFFF"/>
            <w:vAlign w:val="center"/>
          </w:tcPr>
          <w:p>
            <w:pPr>
              <w:widowControl/>
              <w:spacing w:beforeLines="0" w:afterLines="0" w:line="360" w:lineRule="auto"/>
              <w:jc w:val="center"/>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5</w:t>
            </w:r>
          </w:p>
        </w:tc>
        <w:tc>
          <w:tcPr>
            <w:tcW w:w="42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line="360" w:lineRule="auto"/>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保洁主管</w:t>
            </w:r>
          </w:p>
        </w:tc>
        <w:tc>
          <w:tcPr>
            <w:tcW w:w="24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line="360" w:lineRule="auto"/>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6</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楼座服务员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7</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综合服务人员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8</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9</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秩序维护员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10</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保洁员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4267"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总计</w:t>
            </w:r>
          </w:p>
        </w:tc>
        <w:tc>
          <w:tcPr>
            <w:tcW w:w="2450"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beforeLines="0" w:afterLines="0"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310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1、和茂大厦附楼</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4267"/>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4267"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岗位名称</w:t>
            </w:r>
          </w:p>
        </w:tc>
        <w:tc>
          <w:tcPr>
            <w:tcW w:w="2450"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1</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rPr>
              <w:t>楼座服务员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4"/>
                <w:szCs w:val="24"/>
                <w:lang w:val="en-US" w:eastAsia="zh-CN" w:bidi="ar"/>
              </w:rPr>
            </w:pPr>
            <w:r>
              <w:rPr>
                <w:rFonts w:hint="eastAsia" w:ascii="仿宋" w:hAnsi="仿宋" w:eastAsia="仿宋" w:cs="仿宋"/>
                <w:b w:val="0"/>
                <w:bCs w:val="0"/>
                <w:i w:val="0"/>
                <w:iCs w:val="0"/>
                <w:color w:val="auto"/>
                <w:kern w:val="0"/>
                <w:sz w:val="24"/>
                <w:szCs w:val="24"/>
                <w:lang w:val="en-US" w:eastAsia="zh-CN" w:bidi="ar"/>
              </w:rPr>
              <w:t>2</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rPr>
              <w:t>秩序维护员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4"/>
                <w:szCs w:val="24"/>
                <w:lang w:val="en-US" w:eastAsia="zh-CN" w:bidi="ar"/>
              </w:rPr>
            </w:pPr>
            <w:r>
              <w:rPr>
                <w:rFonts w:hint="eastAsia" w:ascii="仿宋" w:hAnsi="仿宋" w:eastAsia="仿宋" w:cs="仿宋"/>
                <w:b w:val="0"/>
                <w:bCs w:val="0"/>
                <w:i w:val="0"/>
                <w:iCs w:val="0"/>
                <w:color w:val="auto"/>
                <w:kern w:val="0"/>
                <w:sz w:val="24"/>
                <w:szCs w:val="24"/>
                <w:lang w:val="en-US" w:eastAsia="zh-CN" w:bidi="ar"/>
              </w:rPr>
              <w:t>3</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rPr>
              <w:t>保洁员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4</w:t>
            </w:r>
          </w:p>
        </w:tc>
        <w:tc>
          <w:tcPr>
            <w:tcW w:w="4267"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kern w:val="0"/>
                <w:sz w:val="24"/>
                <w:szCs w:val="24"/>
                <w:lang w:bidi="ar"/>
              </w:rPr>
              <w:t>总计</w:t>
            </w:r>
          </w:p>
        </w:tc>
        <w:tc>
          <w:tcPr>
            <w:tcW w:w="2450"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8</w:t>
            </w:r>
          </w:p>
        </w:tc>
      </w:tr>
    </w:tbl>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、东部国际商务中心和地下一、二层人员配置</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4267"/>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4267"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岗位名称</w:t>
            </w:r>
          </w:p>
        </w:tc>
        <w:tc>
          <w:tcPr>
            <w:tcW w:w="2450"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42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保洁主管</w:t>
            </w:r>
          </w:p>
        </w:tc>
        <w:tc>
          <w:tcPr>
            <w:tcW w:w="24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楼座服务员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综合服务人员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秩序维护员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保洁员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w:t>
            </w:r>
          </w:p>
        </w:tc>
        <w:tc>
          <w:tcPr>
            <w:tcW w:w="4267"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总计</w:t>
            </w:r>
          </w:p>
        </w:tc>
        <w:tc>
          <w:tcPr>
            <w:tcW w:w="2450"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70</w:t>
            </w:r>
          </w:p>
        </w:tc>
      </w:tr>
    </w:tbl>
    <w:p>
      <w:pPr>
        <w:spacing w:line="360" w:lineRule="auto"/>
        <w:ind w:firstLine="482" w:firstLineChars="200"/>
        <w:rPr>
          <w:rFonts w:hint="eastAsia" w:ascii="仿宋" w:hAnsi="仿宋" w:eastAsia="仿宋" w:cs="仿宋"/>
          <w:b/>
          <w:sz w:val="24"/>
          <w:szCs w:val="24"/>
          <w:lang w:val="en-US" w:eastAsia="zh-CN"/>
        </w:rPr>
      </w:pPr>
    </w:p>
    <w:p>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sz w:val="24"/>
          <w:szCs w:val="24"/>
          <w:lang w:val="en-US" w:eastAsia="zh-CN"/>
        </w:rPr>
        <w:t>钱塘中心人员配置</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4267"/>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4267"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岗位名称</w:t>
            </w:r>
          </w:p>
        </w:tc>
        <w:tc>
          <w:tcPr>
            <w:tcW w:w="2450"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42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保洁主管</w:t>
            </w:r>
          </w:p>
        </w:tc>
        <w:tc>
          <w:tcPr>
            <w:tcW w:w="24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楼座服务员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综合服务人员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秩序维护员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保洁员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4267"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总计</w:t>
            </w:r>
          </w:p>
        </w:tc>
        <w:tc>
          <w:tcPr>
            <w:tcW w:w="2450"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84</w:t>
            </w:r>
          </w:p>
        </w:tc>
      </w:tr>
    </w:tbl>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、综合楼（含钱塘荟、规划馆、</w:t>
      </w:r>
      <w:r>
        <w:rPr>
          <w:rFonts w:hint="eastAsia" w:ascii="仿宋" w:hAnsi="仿宋" w:eastAsia="仿宋" w:cs="仿宋"/>
          <w:b/>
          <w:sz w:val="24"/>
          <w:szCs w:val="24"/>
          <w:lang w:val="en-US" w:eastAsia="zh-CN"/>
        </w:rPr>
        <w:t>东沙湖会议中心、</w:t>
      </w:r>
      <w:r>
        <w:rPr>
          <w:rFonts w:hint="eastAsia" w:ascii="仿宋" w:hAnsi="仿宋" w:eastAsia="仿宋" w:cs="仿宋"/>
          <w:b/>
          <w:sz w:val="24"/>
          <w:szCs w:val="24"/>
        </w:rPr>
        <w:t>招商中心、退役军人事务局、公车平台）人员配置</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2753"/>
        <w:gridCol w:w="3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2753"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岗位名称</w:t>
            </w:r>
          </w:p>
        </w:tc>
        <w:tc>
          <w:tcPr>
            <w:tcW w:w="3964"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综合主管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兼项目经理</w:t>
            </w:r>
            <w:r>
              <w:rPr>
                <w:rFonts w:hint="eastAsia" w:ascii="仿宋" w:hAnsi="仿宋" w:eastAsia="仿宋" w:cs="仿宋"/>
                <w:color w:val="auto"/>
                <w:sz w:val="24"/>
                <w:szCs w:val="24"/>
                <w:lang w:eastAsia="zh-CN"/>
              </w:rPr>
              <w:t>）</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工程主管</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可兼任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秩序主管</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可兼任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275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保洁主管</w:t>
            </w:r>
          </w:p>
        </w:tc>
        <w:tc>
          <w:tcPr>
            <w:tcW w:w="3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可兼任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楼座服务员</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综合服务人员</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工程人员</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秩序维护员</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275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保洁员</w:t>
            </w:r>
          </w:p>
        </w:tc>
        <w:tc>
          <w:tcPr>
            <w:tcW w:w="39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2753"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总计</w:t>
            </w:r>
          </w:p>
        </w:tc>
        <w:tc>
          <w:tcPr>
            <w:tcW w:w="3964"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96</w:t>
            </w:r>
          </w:p>
        </w:tc>
      </w:tr>
    </w:tbl>
    <w:p>
      <w:pPr>
        <w:spacing w:line="360" w:lineRule="auto"/>
        <w:ind w:firstLine="482" w:firstLineChars="200"/>
        <w:rPr>
          <w:rFonts w:hint="eastAsia" w:ascii="仿宋" w:hAnsi="仿宋" w:eastAsia="仿宋" w:cs="仿宋"/>
          <w:b/>
          <w:sz w:val="24"/>
          <w:szCs w:val="24"/>
          <w:lang w:val="en-US" w:eastAsia="zh-CN"/>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、江东行政服务中心人员配置</w:t>
      </w:r>
    </w:p>
    <w:tbl>
      <w:tblPr>
        <w:tblStyle w:val="76"/>
        <w:tblW w:w="7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4267"/>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8"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4267"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岗位名称</w:t>
            </w:r>
          </w:p>
        </w:tc>
        <w:tc>
          <w:tcPr>
            <w:tcW w:w="2450" w:type="dxa"/>
            <w:tcBorders>
              <w:top w:val="single" w:color="000000" w:sz="8"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秩序主管</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42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保洁主管</w:t>
            </w:r>
          </w:p>
        </w:tc>
        <w:tc>
          <w:tcPr>
            <w:tcW w:w="24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楼座服务员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综合服务人员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工程人员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秩序维护员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4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保洁员</w:t>
            </w:r>
          </w:p>
        </w:tc>
        <w:tc>
          <w:tcPr>
            <w:tcW w:w="24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81" w:type="dxa"/>
            <w:tcBorders>
              <w:top w:val="single" w:color="000000" w:sz="4" w:space="0"/>
              <w:left w:val="single" w:color="000000" w:sz="8"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4267"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总计</w:t>
            </w:r>
          </w:p>
        </w:tc>
        <w:tc>
          <w:tcPr>
            <w:tcW w:w="2450" w:type="dxa"/>
            <w:tcBorders>
              <w:top w:val="single" w:color="000000" w:sz="4" w:space="0"/>
              <w:left w:val="single" w:color="000000" w:sz="4" w:space="0"/>
              <w:bottom w:val="single" w:color="000000" w:sz="8" w:space="0"/>
              <w:right w:val="single" w:color="000000" w:sz="4" w:space="0"/>
              <w:tl2br w:val="nil"/>
              <w:tr2bl w:val="nil"/>
            </w:tcBorders>
            <w:vAlign w:val="center"/>
          </w:tcPr>
          <w:p>
            <w:pPr>
              <w:widowControl/>
              <w:spacing w:line="360" w:lineRule="auto"/>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52</w:t>
            </w:r>
          </w:p>
        </w:tc>
      </w:tr>
    </w:tbl>
    <w:p>
      <w:pPr>
        <w:pStyle w:val="132"/>
        <w:snapToGrid w:val="0"/>
        <w:spacing w:before="0" w:line="360" w:lineRule="auto"/>
        <w:ind w:firstLine="480"/>
        <w:rPr>
          <w:rFonts w:hint="eastAsia" w:ascii="仿宋" w:hAnsi="仿宋" w:eastAsia="仿宋" w:cs="仿宋"/>
          <w:sz w:val="24"/>
          <w:szCs w:val="24"/>
        </w:rPr>
      </w:pP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（二）人员资质</w:t>
      </w:r>
    </w:p>
    <w:p>
      <w:pPr>
        <w:snapToGrid w:val="0"/>
        <w:spacing w:line="360" w:lineRule="auto"/>
        <w:ind w:left="105" w:leftChars="50" w:firstLine="352" w:firstLineChars="147"/>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1、项目经理：项目经理截止投标截止时间年龄45周岁（含）以下、具有本科及以上学历、取得HeartSaver First Aid CPR AED急救员证书或红十字救护员证、取得工程师或物业管理师证书</w:t>
      </w:r>
      <w:r>
        <w:rPr>
          <w:rFonts w:hint="eastAsia" w:ascii="仿宋" w:hAnsi="仿宋" w:eastAsia="仿宋" w:cs="仿宋"/>
          <w:sz w:val="24"/>
          <w:szCs w:val="24"/>
          <w:highlight w:val="none"/>
          <w:lang w:eastAsia="zh-CN"/>
        </w:rPr>
        <w:t>；</w:t>
      </w:r>
    </w:p>
    <w:p>
      <w:pPr>
        <w:pStyle w:val="132"/>
        <w:snapToGrid w:val="0"/>
        <w:spacing w:before="0"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2、保洁主管：保洁主管截止投标截止时间年龄45周岁（含）以下、具有大专及以上学历、取得HeartSaver First Aid CPR AED急救员证书或红十字救护员证</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3、保洁服务人员：55岁以下、小学及以上学历、服务前体检合格；</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4、工程主管：工程主管截止投标截止时间年龄50周岁（含）以下、具有大专及以上学历、取得HeartSaver First Aid CPR AED急救员证书或红十字救护员证、具有智能楼宇管理员职业资格证书（三级及以上）或工程师证书、具有特种作业操作证（低压电工作业或高压电工作业或制冷设备维修工）、具有其它特种设备证书（电梯安全管理或锅炉）</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5、拟派工程人员要求：截止投标截止时间年龄5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周岁（含）以下；</w:t>
      </w:r>
      <w:r>
        <w:rPr>
          <w:rFonts w:hint="eastAsia" w:ascii="仿宋" w:hAnsi="仿宋" w:eastAsia="仿宋" w:cs="仿宋"/>
          <w:b w:val="0"/>
          <w:bCs/>
          <w:sz w:val="24"/>
          <w:szCs w:val="24"/>
          <w:highlight w:val="none"/>
        </w:rPr>
        <w:t>人员配置须符合国家相关规定，有相关行业证书。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秩序</w:t>
      </w:r>
      <w:r>
        <w:rPr>
          <w:rFonts w:hint="eastAsia" w:ascii="仿宋" w:hAnsi="仿宋" w:eastAsia="仿宋" w:cs="仿宋"/>
          <w:sz w:val="24"/>
          <w:szCs w:val="24"/>
          <w:highlight w:val="none"/>
        </w:rPr>
        <w:t>主管：秩序主管截止投标截止时间年龄45周岁（含）以下，具有大专及以上学历、取得HeartSaver First Aid CPR AED急救员证书或红十字救护员证、具有二级及以上保安等级证书或中级及以上建（构）筑物消防员证（消防设施操作员证）；</w:t>
      </w:r>
    </w:p>
    <w:p>
      <w:pPr>
        <w:spacing w:beforeLines="0" w:afterLines="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、秩序主管：秩序主管截止投标截止时间年龄45周岁（含）以下，具有大专及以上学历、取得HeartSaver First Aid CPR AED急救员证书或红十字救护员证、具有二级及以上保安等级证书或中级及以上建（构）筑物消防员证（消防设施操作员证）；</w:t>
      </w:r>
    </w:p>
    <w:p>
      <w:pPr>
        <w:pStyle w:val="132"/>
        <w:snapToGrid w:val="0"/>
        <w:spacing w:before="0" w:line="360" w:lineRule="auto"/>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▲投标人承诺中标后一个工作日内向采购人提供所有专业人员的有效职称证、技工证、上岗证等原件供审核认可。投标时，在符合性审查资料中提供相关材料，如承诺等。</w:t>
      </w:r>
    </w:p>
    <w:p>
      <w:pPr>
        <w:pStyle w:val="132"/>
        <w:snapToGrid w:val="0"/>
        <w:spacing w:before="0"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（三）素质能力</w:t>
      </w:r>
    </w:p>
    <w:p>
      <w:pPr>
        <w:pStyle w:val="132"/>
        <w:snapToGrid w:val="0"/>
        <w:spacing w:before="0"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1．所有相关人员的配备如需获得相关主管部门认证的，均需配证并持证上岗，且根据不同岗位要求统一着装、言行规范，注意仪容仪表。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2．中标人对所录用人员要严格政审，所有相关人员要报采购单位备案审查，保证录用人员政治上可靠，身体素质好，没有刑事犯罪记录，无不良行为记录，知晓本岗位的服务礼仪，中标人须与所有相关人员签订《保密协议书》。</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3．重要岗位人员必须经采购单位审核通过后方可录用。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4．中标候选人必须在合同签订前提供所有工程人员的有效职称证、技工证、上岗证等原件供采购人审核。所有人员必须专职在采购人单位服务，不得兼职，中标后工程主管如需要更换，须及时上报采购单位，经采购单位同意后方可更换。</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5．为提高物业管理水平，所有物业人员还需进行宾馆礼仪等相关培训。除投标人对服务人员的培训外，还需接受采购人对服务人员的集中培训。</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6．采购人将对前期进场主要管理人员、工程技术人员进行考核，如在培训、熟悉环境过程中发现其不能胜任的，采购人可要求更换，直至胜任为止。</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（四）工作时间</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按采购人上班时间为准，每天上班时间应提前1小时到，下班时间后移1小时，休息日安排值班；高配24小时安排人员值班；凡遇雨雪冰冻等特殊时期，根据任务需要落实24小时值班。</w:t>
      </w:r>
    </w:p>
    <w:p>
      <w:pPr>
        <w:autoSpaceDE w:val="0"/>
        <w:autoSpaceDN w:val="0"/>
        <w:snapToGrid w:val="0"/>
        <w:spacing w:line="360" w:lineRule="auto"/>
        <w:ind w:firstLine="630"/>
        <w:rPr>
          <w:rFonts w:hint="eastAsia" w:ascii="仿宋" w:hAnsi="仿宋" w:eastAsia="仿宋" w:cs="仿宋"/>
          <w:sz w:val="24"/>
          <w:szCs w:val="24"/>
          <w:lang w:val="zh-CN"/>
        </w:rPr>
      </w:pPr>
      <w:r>
        <w:rPr>
          <w:rFonts w:hint="eastAsia" w:ascii="仿宋" w:hAnsi="仿宋" w:eastAsia="仿宋" w:cs="仿宋"/>
          <w:sz w:val="24"/>
          <w:szCs w:val="24"/>
          <w:lang w:val="zh-CN"/>
        </w:rPr>
        <w:t>六、管理服务指标</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1．杜绝火灾责任事故和刑事案件；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2．环境卫生、清洁率达99%；</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3．维修、报修及时率100%；</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4．智能化系统运行正常率100%；</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5．服务有效投诉及时处理率100%；</w:t>
      </w:r>
    </w:p>
    <w:p>
      <w:pPr>
        <w:autoSpaceDE w:val="0"/>
        <w:autoSpaceDN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6．满意率95%以上。</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七、服务期限</w:t>
      </w:r>
    </w:p>
    <w:p>
      <w:pPr>
        <w:autoSpaceDE w:val="0"/>
        <w:autoSpaceDN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w:t>
      </w:r>
      <w:r>
        <w:rPr>
          <w:rFonts w:hint="eastAsia" w:ascii="仿宋" w:hAnsi="仿宋" w:eastAsia="仿宋" w:cs="仿宋"/>
          <w:sz w:val="24"/>
          <w:szCs w:val="24"/>
          <w:lang w:eastAsia="zh-CN"/>
        </w:rPr>
        <w:t>前期</w:t>
      </w:r>
      <w:r>
        <w:rPr>
          <w:rFonts w:hint="eastAsia" w:ascii="仿宋" w:hAnsi="仿宋" w:eastAsia="仿宋" w:cs="仿宋"/>
          <w:sz w:val="24"/>
          <w:szCs w:val="24"/>
        </w:rPr>
        <w:t>合同</w:t>
      </w:r>
      <w:r>
        <w:rPr>
          <w:rFonts w:hint="eastAsia" w:ascii="仿宋" w:hAnsi="仿宋" w:eastAsia="仿宋" w:cs="仿宋"/>
          <w:sz w:val="24"/>
          <w:szCs w:val="24"/>
          <w:lang w:eastAsia="zh-CN"/>
        </w:rPr>
        <w:t>期限结束</w:t>
      </w:r>
      <w:r>
        <w:rPr>
          <w:rFonts w:hint="eastAsia" w:ascii="仿宋" w:hAnsi="仿宋" w:eastAsia="仿宋" w:cs="仿宋"/>
          <w:sz w:val="24"/>
          <w:szCs w:val="24"/>
        </w:rPr>
        <w:t>之日起</w:t>
      </w:r>
      <w:r>
        <w:rPr>
          <w:rFonts w:hint="eastAsia" w:ascii="仿宋" w:hAnsi="仿宋" w:eastAsia="仿宋" w:cs="仿宋"/>
          <w:sz w:val="24"/>
          <w:szCs w:val="24"/>
          <w:lang w:val="en-US" w:eastAsia="zh-CN"/>
        </w:rPr>
        <w:t>1</w:t>
      </w:r>
      <w:r>
        <w:rPr>
          <w:rFonts w:hint="eastAsia" w:ascii="仿宋" w:hAnsi="仿宋" w:eastAsia="仿宋" w:cs="仿宋"/>
          <w:sz w:val="24"/>
          <w:szCs w:val="24"/>
        </w:rPr>
        <w:t>年。</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八、管理服务费用及财务管理要求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（一）物业费用报价及支付方式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1.投标报价</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投标单位须按</w:t>
      </w:r>
      <w:r>
        <w:rPr>
          <w:rFonts w:hint="eastAsia" w:ascii="仿宋" w:hAnsi="仿宋" w:eastAsia="仿宋" w:cs="仿宋"/>
          <w:sz w:val="24"/>
          <w:szCs w:val="24"/>
          <w:lang w:val="en-US" w:eastAsia="zh-CN"/>
        </w:rPr>
        <w:t>招标</w:t>
      </w:r>
      <w:r>
        <w:rPr>
          <w:rFonts w:hint="eastAsia" w:ascii="仿宋" w:hAnsi="仿宋" w:eastAsia="仿宋" w:cs="仿宋"/>
          <w:sz w:val="24"/>
          <w:szCs w:val="24"/>
          <w:lang w:val="zh-CN"/>
        </w:rPr>
        <w:t>内容进行组合报价。</w:t>
      </w:r>
    </w:p>
    <w:p>
      <w:pPr>
        <w:snapToGrid w:val="0"/>
        <w:spacing w:line="360" w:lineRule="auto"/>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zh-CN"/>
        </w:rPr>
        <w:t>2.报价依据、支付方式</w:t>
      </w:r>
      <w:r>
        <w:rPr>
          <w:rFonts w:hint="eastAsia" w:ascii="仿宋" w:hAnsi="仿宋" w:eastAsia="仿宋" w:cs="仿宋"/>
          <w:b/>
          <w:sz w:val="24"/>
          <w:szCs w:val="24"/>
          <w:lang w:val="en-US" w:eastAsia="zh-CN"/>
        </w:rPr>
        <w:t>及履约保证金</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（一）物业管理服务费用标准参照国家行业标准及《杭州市级机关事业单位办公楼物业服务外包量的经费申报核定》标准，以签订的合同价为准，</w:t>
      </w:r>
      <w:r>
        <w:rPr>
          <w:rFonts w:hint="eastAsia" w:ascii="仿宋" w:hAnsi="仿宋" w:eastAsia="仿宋" w:cs="仿宋"/>
          <w:sz w:val="24"/>
          <w:szCs w:val="24"/>
          <w:lang w:val="zh-CN"/>
        </w:rPr>
        <w:t>由物业对口监管职能处室单位考核核准后，</w:t>
      </w:r>
      <w:r>
        <w:rPr>
          <w:rFonts w:hint="eastAsia" w:ascii="仿宋" w:hAnsi="仿宋" w:eastAsia="仿宋" w:cs="仿宋"/>
          <w:snapToGrid w:val="0"/>
          <w:kern w:val="0"/>
          <w:sz w:val="24"/>
          <w:szCs w:val="24"/>
        </w:rPr>
        <w:t>甲方支付给</w:t>
      </w:r>
      <w:r>
        <w:rPr>
          <w:rFonts w:hint="eastAsia" w:ascii="仿宋" w:hAnsi="仿宋" w:eastAsia="仿宋" w:cs="仿宋"/>
          <w:kern w:val="0"/>
          <w:sz w:val="24"/>
          <w:szCs w:val="24"/>
          <w:lang w:val="zh-CN"/>
        </w:rPr>
        <w:t>供应商</w:t>
      </w:r>
      <w:r>
        <w:rPr>
          <w:rFonts w:hint="eastAsia" w:ascii="仿宋" w:hAnsi="仿宋" w:eastAsia="仿宋" w:cs="仿宋"/>
          <w:snapToGrid w:val="0"/>
          <w:kern w:val="0"/>
          <w:sz w:val="24"/>
          <w:szCs w:val="24"/>
        </w:rPr>
        <w:t>物业管理费</w:t>
      </w:r>
      <w:r>
        <w:rPr>
          <w:rFonts w:hint="eastAsia" w:ascii="仿宋" w:hAnsi="仿宋" w:eastAsia="仿宋" w:cs="仿宋"/>
          <w:bCs/>
          <w:sz w:val="24"/>
          <w:szCs w:val="24"/>
        </w:rPr>
        <w:t>。</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0"/>
          <w:lang w:val="zh-CN"/>
        </w:rPr>
        <w:t>合同生效以及具备实施条件后5个工作日内支付</w:t>
      </w:r>
      <w:r>
        <w:rPr>
          <w:rFonts w:hint="eastAsia" w:ascii="仿宋" w:hAnsi="仿宋" w:eastAsia="仿宋" w:cs="仿宋"/>
          <w:sz w:val="24"/>
          <w:szCs w:val="20"/>
          <w:lang w:val="en-US" w:eastAsia="zh-CN"/>
        </w:rPr>
        <w:t>中标单位合同金额的20%作为预付款。</w:t>
      </w:r>
      <w:r>
        <w:rPr>
          <w:rFonts w:hint="eastAsia" w:ascii="仿宋" w:hAnsi="仿宋" w:eastAsia="仿宋" w:cs="仿宋"/>
          <w:bCs/>
          <w:sz w:val="24"/>
          <w:szCs w:val="24"/>
          <w:lang w:val="en-US" w:eastAsia="zh-CN"/>
        </w:rPr>
        <w:t>第一季度支付合同金额的20%（以预付款抵扣），其余三个季度均支付合同金额的25%，剩余合同金额的5%作为</w:t>
      </w:r>
      <w:r>
        <w:rPr>
          <w:rFonts w:hint="eastAsia" w:ascii="仿宋" w:hAnsi="仿宋" w:eastAsia="仿宋" w:cs="仿宋"/>
          <w:sz w:val="24"/>
          <w:szCs w:val="24"/>
          <w:highlight w:val="none"/>
          <w:lang w:val="zh-CN"/>
        </w:rPr>
        <w:t>年度考核奖励或扣款。</w:t>
      </w:r>
    </w:p>
    <w:p>
      <w:pPr>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bCs/>
          <w:sz w:val="24"/>
          <w:szCs w:val="24"/>
        </w:rPr>
        <w:t>各投标人报价按项目分项列出项目年支出费用，在实施过程中具体列支可在物业管理服务期限内统筹安排，调剂使用。设施设备专项维保费用支付必须经物业相关</w:t>
      </w:r>
      <w:r>
        <w:rPr>
          <w:rFonts w:hint="eastAsia" w:ascii="仿宋" w:hAnsi="仿宋" w:eastAsia="仿宋" w:cs="仿宋"/>
          <w:sz w:val="24"/>
          <w:szCs w:val="24"/>
          <w:lang w:val="zh-CN"/>
        </w:rPr>
        <w:t>对口</w:t>
      </w:r>
      <w:r>
        <w:rPr>
          <w:rFonts w:hint="eastAsia" w:ascii="仿宋" w:hAnsi="仿宋" w:eastAsia="仿宋" w:cs="仿宋"/>
          <w:bCs/>
          <w:sz w:val="24"/>
          <w:szCs w:val="24"/>
        </w:rPr>
        <w:t>监管部门同意；</w:t>
      </w:r>
      <w:r>
        <w:rPr>
          <w:rFonts w:hint="eastAsia" w:ascii="仿宋" w:hAnsi="仿宋" w:eastAsia="仿宋" w:cs="仿宋"/>
          <w:sz w:val="24"/>
          <w:szCs w:val="24"/>
          <w:highlight w:val="none"/>
          <w:lang w:val="zh-CN"/>
        </w:rPr>
        <w:t>合同总价5%金额作为甲方年度考核奖励或扣款，具体详见《考核细则》。</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w:t>
      </w:r>
      <w:r>
        <w:rPr>
          <w:rFonts w:hint="eastAsia" w:ascii="仿宋" w:hAnsi="仿宋" w:eastAsia="仿宋" w:cs="仿宋"/>
          <w:sz w:val="24"/>
          <w:szCs w:val="24"/>
          <w:lang w:val="zh-CN"/>
        </w:rPr>
        <w:t>物业保洁和维护设备、工具</w:t>
      </w:r>
      <w:r>
        <w:rPr>
          <w:rFonts w:hint="eastAsia" w:ascii="仿宋" w:hAnsi="仿宋" w:eastAsia="仿宋" w:cs="仿宋"/>
          <w:sz w:val="24"/>
          <w:szCs w:val="24"/>
        </w:rPr>
        <w:t>工程综合维修需更换的耗材已计入投标总价；</w:t>
      </w:r>
      <w:r>
        <w:rPr>
          <w:rFonts w:hint="eastAsia" w:ascii="仿宋" w:hAnsi="仿宋" w:eastAsia="仿宋" w:cs="仿宋"/>
          <w:sz w:val="24"/>
          <w:szCs w:val="24"/>
          <w:lang w:val="zh-CN"/>
        </w:rPr>
        <w:t>中标人</w:t>
      </w:r>
      <w:r>
        <w:rPr>
          <w:rFonts w:hint="eastAsia" w:ascii="仿宋" w:hAnsi="仿宋" w:eastAsia="仿宋" w:cs="仿宋"/>
          <w:sz w:val="24"/>
          <w:szCs w:val="24"/>
        </w:rPr>
        <w:t>必须配置办公设备独立放置于采购单位提供的办公区域内，且不能与承包区域外单位、部门或团体共用，其所需耗材应由中标人自行承担。（办公设备包括电脑、打印机、复印机、扫描仪、对讲机、电话、传真机、照相机、录像机等等物品）</w:t>
      </w:r>
      <w:r>
        <w:rPr>
          <w:rFonts w:hint="eastAsia" w:ascii="仿宋" w:hAnsi="仿宋" w:eastAsia="仿宋" w:cs="仿宋"/>
          <w:bCs/>
          <w:sz w:val="24"/>
          <w:szCs w:val="24"/>
        </w:rPr>
        <w:t>。</w:t>
      </w:r>
    </w:p>
    <w:p>
      <w:pPr>
        <w:tabs>
          <w:tab w:val="left" w:pos="840"/>
        </w:tabs>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（三）物业管理服务人员缺岗的，按其岗位平均每月人员开支的标准扣除服务费。扣除的费用业主可用于其他顶岗人员的加班或奖励费用。</w:t>
      </w:r>
    </w:p>
    <w:p>
      <w:pPr>
        <w:tabs>
          <w:tab w:val="left" w:pos="0"/>
        </w:tabs>
        <w:spacing w:line="360" w:lineRule="auto"/>
        <w:ind w:firstLine="480" w:firstLineChars="200"/>
        <w:outlineLvl w:val="0"/>
        <w:rPr>
          <w:rFonts w:hint="eastAsia" w:ascii="仿宋" w:hAnsi="仿宋" w:eastAsia="仿宋" w:cs="仿宋"/>
          <w:sz w:val="24"/>
          <w:lang w:val="en-US" w:eastAsia="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val="zh-CN"/>
        </w:rPr>
        <w:t>）</w:t>
      </w:r>
      <w:r>
        <w:rPr>
          <w:rFonts w:hint="eastAsia" w:ascii="仿宋" w:hAnsi="仿宋" w:eastAsia="仿宋" w:cs="仿宋"/>
          <w:sz w:val="24"/>
          <w:lang w:val="en-US" w:eastAsia="zh-CN"/>
        </w:rPr>
        <w:t>履约保证金</w:t>
      </w:r>
    </w:p>
    <w:p>
      <w:pPr>
        <w:tabs>
          <w:tab w:val="left" w:pos="0"/>
        </w:tabs>
        <w:spacing w:line="360" w:lineRule="auto"/>
        <w:ind w:firstLine="480" w:firstLineChars="200"/>
        <w:outlineLvl w:val="0"/>
        <w:rPr>
          <w:rFonts w:hint="eastAsia" w:ascii="仿宋" w:hAnsi="仿宋" w:eastAsia="仿宋" w:cs="仿宋"/>
          <w:sz w:val="24"/>
          <w:szCs w:val="24"/>
          <w:lang w:val="zh-CN"/>
        </w:rPr>
      </w:pPr>
      <w:r>
        <w:rPr>
          <w:rFonts w:hint="eastAsia" w:ascii="仿宋" w:hAnsi="仿宋" w:eastAsia="仿宋" w:cs="仿宋"/>
          <w:sz w:val="24"/>
          <w:lang w:val="en-US" w:eastAsia="zh-CN"/>
        </w:rPr>
        <w:t>合同签订后5个工作日内，中标人向采购人支付合同金额的1%作为履约保证金。</w:t>
      </w:r>
      <w:r>
        <w:rPr>
          <w:rFonts w:hint="eastAsia" w:ascii="仿宋" w:hAnsi="仿宋" w:eastAsia="仿宋" w:cs="仿宋"/>
          <w:sz w:val="24"/>
          <w:highlight w:val="none"/>
          <w:lang w:val="en-US" w:eastAsia="zh-CN"/>
        </w:rPr>
        <w:t>接受投标人以支票、汇票、本票、保函等非现金形式缴纳或提交履约保证金。</w:t>
      </w:r>
      <w:r>
        <w:rPr>
          <w:rFonts w:hint="eastAsia" w:ascii="仿宋" w:hAnsi="仿宋" w:eastAsia="仿宋" w:cs="仿宋"/>
          <w:sz w:val="24"/>
          <w:lang w:val="en-US" w:eastAsia="zh-CN"/>
        </w:rPr>
        <w:t>项目全部义务履约完毕，履约保证金无息退还。（如有违约款项，则扣除相应违约款项后无息退还）</w:t>
      </w:r>
    </w:p>
    <w:p>
      <w:pPr>
        <w:autoSpaceDE w:val="0"/>
        <w:autoSpaceDN w:val="0"/>
        <w:snapToGrid w:val="0"/>
        <w:spacing w:line="360" w:lineRule="auto"/>
        <w:ind w:firstLine="630"/>
        <w:rPr>
          <w:rFonts w:hint="eastAsia" w:ascii="仿宋" w:hAnsi="仿宋" w:eastAsia="仿宋" w:cs="仿宋"/>
          <w:sz w:val="24"/>
          <w:szCs w:val="24"/>
          <w:lang w:val="zh-CN"/>
        </w:rPr>
      </w:pPr>
      <w:r>
        <w:rPr>
          <w:rFonts w:hint="eastAsia" w:ascii="仿宋" w:hAnsi="仿宋" w:eastAsia="仿宋" w:cs="仿宋"/>
          <w:sz w:val="24"/>
          <w:szCs w:val="24"/>
          <w:lang w:val="zh-CN"/>
        </w:rPr>
        <w:t>九、采购人提供的相关场地</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（一）工作场地</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1．办公楼中物业办公室1间。</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2．根据需要在适当的楼层配备洁具堆放间，其它房间如工程管理需要的应急备件仓库、设备工具间、工程值班室、保洁仓库、保洁工作间、员工更衣室、会议工作间等，进场后视情况协调解决。</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（二）办公用品</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物业服务所需电脑、打印机、复印纸、对讲机等等自身办公所用的必需品，由中标人自行解决。</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十、其他要求</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（一）中标人对该项目的物业服务方案、组织架构、人员录用等建立的各项规章制度，在实施前要报告采购单位，采购单位有审核权。</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（二）中标人应制订具体的质量保证措施及质量保证及相关服务的承诺。如因服务质量未达到目标，中标人应因此承担责任和经济赔偿。在维保范围项目，中标人无任何理由拒绝保养维修。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（三）中标人在合同签订前须提供管理主管、工程综合维修人员等重要岗位人员的相关有效证件和信息，如果中标人不能提供，则采购单位有权终止合同签订。其他人员聘用须将人员信息向甲方有关单位备案。</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四）按要求和事项发生量及时配备足够和胜任的相关管理和服务人员，并保持人员的稳定。遇调动或辞职时，管理主管和工程综合维修人员提前30天告知业主并得到同意后才能更换，按要求及时补充相应人员，提前做好交接班。对业主认为无能力、工作失职或不合适人员，应立即更换。岗位人数不足时，按相应岗位成本扣除服务费。</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（五）按国家和当地政府有关劳动法规、条例，向管理服务人员提供相应工种的劳动工资、加班工资、劳动保护等待遇。为保证服务人员的技能素质、队伍的相对稳定，应保障关键技术岗位，如楼座</w:t>
      </w:r>
      <w:r>
        <w:rPr>
          <w:rFonts w:hint="eastAsia" w:ascii="仿宋" w:hAnsi="仿宋" w:eastAsia="仿宋" w:cs="仿宋"/>
          <w:sz w:val="24"/>
          <w:szCs w:val="24"/>
          <w:lang w:val="en-US" w:eastAsia="zh-CN"/>
        </w:rPr>
        <w:t>服务员</w:t>
      </w:r>
      <w:r>
        <w:rPr>
          <w:rFonts w:hint="eastAsia" w:ascii="仿宋" w:hAnsi="仿宋" w:eastAsia="仿宋" w:cs="仿宋"/>
          <w:sz w:val="24"/>
          <w:szCs w:val="24"/>
        </w:rPr>
        <w:t>、设备维护人员的工资待遇。采购单位有权查阅中标人的财务状况及财务报表。</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（六）管理服务人员工作服装由中标人自行配备，费用自理，计入投标总价；服装样式体现岗位特色和方便不同岗位操作。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（七）中标人需建立上岗前培训制度，须取得相关资质证书的岗位必接受过相关培训并通过考试考核，做到持证上岗。所有管理服务人员在服务期间按岗位要求进行短期培训，必要时应安排专门的集中培训。</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（八）中标人应承诺在合同期内，为承包区域内提供清卫保洁、</w:t>
      </w:r>
      <w:r>
        <w:rPr>
          <w:rFonts w:hint="eastAsia" w:ascii="仿宋" w:hAnsi="仿宋" w:eastAsia="仿宋" w:cs="仿宋"/>
          <w:sz w:val="24"/>
          <w:szCs w:val="24"/>
          <w:lang w:val="en-US" w:eastAsia="zh-CN"/>
        </w:rPr>
        <w:t>秩序维护</w:t>
      </w:r>
      <w:r>
        <w:rPr>
          <w:rFonts w:hint="eastAsia" w:ascii="仿宋" w:hAnsi="仿宋" w:eastAsia="仿宋" w:cs="仿宋"/>
          <w:sz w:val="24"/>
          <w:szCs w:val="24"/>
        </w:rPr>
        <w:t>、设备维护及其他相关服务，并承担由此带来的一切风险。</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（九）如物业服务范围增加，采购单位将按成交单价根据有关规定另行签订补充协议。</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（十）中标人有义务协助采购单位完成除维修维护外零星的电器安装、线路铺设、改动等工作，费用包含在本次投标价中，不再另行计费（所需设备及耗材由业主单位负责）。</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（十一）中标人在做好工作的同时，有责任向采购单位提供合理化建议，以提高管理效率和管理质量。参照大楼实际情况，提出更好的绿化设计方案，明确绿化盆景种类、数量、摆放位置、更换时间等。</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（十二）中标人应积极配合采购单位做好节能工作。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（十三）采购单位工作人员及其他物业使用人对中标单位的满意率在90％以下，采购单位可随时要求中标人在采购单位的监督下进行满意率调查。</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（十四）在处理特殊事件和紧急、突发事故时，采购单位对中标物业服务公司的人员有直接指挥权。</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（十五）中标人须按《杭州市物业管理条例》及国家其他有关标准和规范完成招标文件要求的物业管理工作。</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（十六）中标人员工</w:t>
      </w:r>
      <w:r>
        <w:rPr>
          <w:rFonts w:hint="eastAsia" w:ascii="仿宋" w:hAnsi="仿宋" w:eastAsia="仿宋" w:cs="仿宋"/>
          <w:sz w:val="24"/>
          <w:szCs w:val="24"/>
          <w:lang w:eastAsia="zh-CN"/>
        </w:rPr>
        <w:t>在本项目用餐无需承担搭伙费</w:t>
      </w:r>
      <w:r>
        <w:rPr>
          <w:rFonts w:hint="eastAsia" w:ascii="仿宋" w:hAnsi="仿宋" w:eastAsia="仿宋" w:cs="仿宋"/>
          <w:sz w:val="24"/>
          <w:szCs w:val="24"/>
        </w:rPr>
        <w:t>。</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（十七）中标人应购买公共责任保险。</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（十八）中标人与服务范围内的经营单位签订物业服务合同，直接向经营单位收取物业服务费。</w:t>
      </w:r>
    </w:p>
    <w:p>
      <w:pPr>
        <w:pStyle w:val="132"/>
        <w:snapToGrid w:val="0"/>
        <w:spacing w:before="0" w:line="360" w:lineRule="auto"/>
        <w:ind w:firstLine="480"/>
        <w:rPr>
          <w:rFonts w:hint="eastAsia" w:ascii="仿宋" w:hAnsi="仿宋" w:eastAsia="仿宋" w:cs="仿宋"/>
          <w:sz w:val="24"/>
          <w:szCs w:val="24"/>
        </w:rPr>
      </w:pPr>
      <w:r>
        <w:rPr>
          <w:rFonts w:hint="eastAsia" w:ascii="仿宋" w:hAnsi="仿宋" w:eastAsia="仿宋" w:cs="仿宋"/>
          <w:sz w:val="24"/>
          <w:szCs w:val="24"/>
        </w:rPr>
        <w:t>（十九）原中标人如在此轮招标中不中标，要确保与新中标人完成相关物业服务工作的交接，交接时间为一个月。交接当月，物业服务费用以实际服务时间分别核算。</w:t>
      </w:r>
    </w:p>
    <w:p>
      <w:pPr>
        <w:autoSpaceDE w:val="0"/>
        <w:autoSpaceDN w:val="0"/>
        <w:snapToGrid w:val="0"/>
        <w:spacing w:line="360" w:lineRule="auto"/>
        <w:ind w:firstLine="630"/>
        <w:rPr>
          <w:rFonts w:hint="eastAsia" w:ascii="仿宋" w:hAnsi="仿宋" w:eastAsia="仿宋" w:cs="仿宋"/>
          <w:sz w:val="24"/>
          <w:szCs w:val="24"/>
          <w:lang w:val="zh-CN"/>
        </w:rPr>
      </w:pPr>
      <w:r>
        <w:rPr>
          <w:rFonts w:hint="eastAsia" w:ascii="仿宋" w:hAnsi="仿宋" w:eastAsia="仿宋" w:cs="仿宋"/>
          <w:sz w:val="24"/>
          <w:szCs w:val="24"/>
          <w:lang w:val="zh-CN"/>
        </w:rPr>
        <w:t>十一、检查与考核</w:t>
      </w:r>
    </w:p>
    <w:p>
      <w:pPr>
        <w:snapToGrid w:val="0"/>
        <w:spacing w:line="360" w:lineRule="auto"/>
        <w:ind w:firstLine="480" w:firstLineChars="200"/>
        <w:outlineLvl w:val="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一）中标人应制订具体的质量保证措施及质量保证和相关服务承诺。中标人所有的工作除应按中标人的内部流程实施外还应接受采购单位或第三方的检查。中标人达不到采购单位要求及各项服务承诺，采购单位有权要求其整改，直至扣款或终止合同。</w:t>
      </w:r>
    </w:p>
    <w:p>
      <w:pPr>
        <w:snapToGrid w:val="0"/>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napToGrid w:val="0"/>
          <w:kern w:val="0"/>
          <w:sz w:val="24"/>
          <w:szCs w:val="24"/>
        </w:rPr>
        <w:t>（二）采购单位定期和不定期地对供应商管理服务进行检查和抽查，检查记录和整改时限反馈</w:t>
      </w:r>
      <w:r>
        <w:rPr>
          <w:rFonts w:hint="eastAsia" w:ascii="仿宋" w:hAnsi="仿宋" w:eastAsia="仿宋" w:cs="仿宋"/>
          <w:sz w:val="24"/>
          <w:szCs w:val="24"/>
        </w:rPr>
        <w:t>中标人</w:t>
      </w:r>
      <w:r>
        <w:rPr>
          <w:rFonts w:hint="eastAsia" w:ascii="仿宋" w:hAnsi="仿宋" w:eastAsia="仿宋" w:cs="仿宋"/>
          <w:snapToGrid w:val="0"/>
          <w:kern w:val="0"/>
          <w:sz w:val="24"/>
          <w:szCs w:val="24"/>
        </w:rPr>
        <w:t>。并每季对 “清卫保洁”、</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秩序维护</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、“设施设备维护”等内容的检查结果进行考核</w:t>
      </w:r>
      <w:r>
        <w:rPr>
          <w:rFonts w:hint="eastAsia" w:ascii="仿宋" w:hAnsi="仿宋" w:eastAsia="仿宋" w:cs="仿宋"/>
          <w:sz w:val="24"/>
          <w:szCs w:val="24"/>
        </w:rPr>
        <w:t>。</w:t>
      </w:r>
    </w:p>
    <w:p>
      <w:pPr>
        <w:snapToGrid w:val="0"/>
        <w:spacing w:line="360" w:lineRule="auto"/>
        <w:ind w:firstLine="480" w:firstLineChars="200"/>
        <w:rPr>
          <w:rFonts w:cs="仿宋_GB2312" w:asciiTheme="minorEastAsia" w:hAnsiTheme="minorEastAsia" w:eastAsiaTheme="minorEastAsia"/>
          <w:sz w:val="24"/>
        </w:rPr>
      </w:pPr>
      <w:r>
        <w:rPr>
          <w:rFonts w:hint="eastAsia" w:ascii="仿宋" w:hAnsi="仿宋" w:eastAsia="仿宋" w:cs="仿宋"/>
          <w:sz w:val="24"/>
          <w:szCs w:val="24"/>
        </w:rPr>
        <w:t>（三）对采购单位、入驻单位检查和反映的物业服务管理方面的问题，经采购单位认定应由中标人负责整改的，如中标人未按照采购单位要求落实，视情一次扣罚1000元至10000元；如造成严重不良后果或较重的安全隐患，一次扣罚季度考核奖。</w:t>
      </w:r>
    </w:p>
    <w:p>
      <w:pPr>
        <w:spacing w:after="156" w:afterLines="50"/>
        <w:jc w:val="center"/>
        <w:rPr>
          <w:rFonts w:ascii="黑体" w:hAnsi="宋体" w:eastAsia="黑体" w:cs="Times New Roman"/>
          <w:b/>
          <w:sz w:val="24"/>
          <w:szCs w:val="24"/>
        </w:rPr>
      </w:pPr>
      <w:r>
        <w:rPr>
          <w:rFonts w:hint="eastAsia" w:ascii="黑体" w:hAnsi="宋体" w:eastAsia="黑体" w:cs="Times New Roman"/>
          <w:b/>
          <w:sz w:val="24"/>
          <w:szCs w:val="24"/>
          <w:lang w:val="en-US" w:eastAsia="zh-CN"/>
        </w:rPr>
        <w:t>物业服务</w:t>
      </w:r>
      <w:r>
        <w:rPr>
          <w:rFonts w:hint="eastAsia" w:ascii="黑体" w:hAnsi="宋体" w:eastAsia="黑体" w:cs="Times New Roman"/>
          <w:b/>
          <w:sz w:val="24"/>
          <w:szCs w:val="24"/>
        </w:rPr>
        <w:t>满意度调查问卷</w:t>
      </w:r>
    </w:p>
    <w:p>
      <w:pPr>
        <w:spacing w:before="156" w:beforeLines="50" w:after="156" w:afterLines="50"/>
        <w:rPr>
          <w:rFonts w:hint="default" w:ascii="黑体" w:hAnsi="Trebuchet MS" w:eastAsia="黑体" w:cs="宋体"/>
          <w:b/>
          <w:bCs/>
          <w:kern w:val="0"/>
          <w:szCs w:val="21"/>
          <w:lang w:val="en-US" w:eastAsia="zh-CN"/>
        </w:rPr>
      </w:pPr>
      <w:r>
        <w:rPr>
          <w:rFonts w:hint="eastAsia" w:ascii="黑体" w:hAnsi="Trebuchet MS" w:eastAsia="黑体" w:cs="宋体"/>
          <w:b/>
          <w:bCs/>
          <w:kern w:val="0"/>
          <w:szCs w:val="21"/>
        </w:rPr>
        <w:t>一、根据您最近一段时间的感受，</w:t>
      </w:r>
      <w:r>
        <w:rPr>
          <w:rFonts w:ascii="黑体" w:hAnsi="Trebuchet MS" w:eastAsia="黑体" w:cs="宋体"/>
          <w:b/>
          <w:bCs/>
          <w:kern w:val="0"/>
          <w:szCs w:val="21"/>
        </w:rPr>
        <w:t>您对物业服务</w:t>
      </w:r>
      <w:r>
        <w:rPr>
          <w:rFonts w:hint="eastAsia" w:ascii="黑体" w:hAnsi="Trebuchet MS" w:eastAsia="黑体" w:cs="宋体"/>
          <w:b/>
          <w:bCs/>
          <w:kern w:val="0"/>
          <w:szCs w:val="21"/>
        </w:rPr>
        <w:t>/</w:t>
      </w:r>
      <w:r>
        <w:rPr>
          <w:rFonts w:ascii="黑体" w:hAnsi="Trebuchet MS" w:eastAsia="黑体" w:cs="宋体"/>
          <w:b/>
          <w:bCs/>
          <w:kern w:val="0"/>
          <w:szCs w:val="21"/>
        </w:rPr>
        <w:t>管理的评价</w:t>
      </w:r>
      <w:r>
        <w:rPr>
          <w:rFonts w:hint="eastAsia" w:ascii="黑体" w:hAnsi="Trebuchet MS" w:eastAsia="黑体" w:cs="宋体"/>
          <w:b/>
          <w:bCs/>
          <w:kern w:val="0"/>
          <w:szCs w:val="21"/>
        </w:rPr>
        <w:t>如下：【</w:t>
      </w:r>
      <w:r>
        <w:rPr>
          <w:rFonts w:hint="eastAsia" w:ascii="黑体" w:hAnsi="Trebuchet MS" w:eastAsia="黑体" w:cs="宋体"/>
          <w:bCs/>
          <w:kern w:val="0"/>
          <w:szCs w:val="21"/>
        </w:rPr>
        <w:t>注：若您对某个项目不太了解，无法评价，请在“不了解”一栏打“√</w:t>
      </w:r>
      <w:r>
        <w:rPr>
          <w:rFonts w:ascii="黑体" w:hAnsi="Trebuchet MS" w:eastAsia="黑体" w:cs="宋体"/>
          <w:bCs/>
          <w:kern w:val="0"/>
          <w:szCs w:val="21"/>
        </w:rPr>
        <w:t>”</w:t>
      </w:r>
      <w:r>
        <w:rPr>
          <w:rFonts w:hint="eastAsia" w:ascii="黑体" w:hAnsi="Trebuchet MS" w:eastAsia="黑体" w:cs="宋体"/>
          <w:b/>
          <w:bCs/>
          <w:kern w:val="0"/>
          <w:szCs w:val="21"/>
        </w:rPr>
        <w:t>】</w:t>
      </w:r>
      <w:r>
        <w:rPr>
          <w:rFonts w:hint="eastAsia" w:ascii="黑体" w:hAnsi="Trebuchet MS" w:eastAsia="黑体" w:cs="宋体"/>
          <w:b/>
          <w:bCs/>
          <w:kern w:val="0"/>
          <w:szCs w:val="21"/>
          <w:lang w:val="en-US" w:eastAsia="zh-CN"/>
        </w:rPr>
        <w:t>很满意：10分 满意：8分 一般：6分 不满意：4分 很不满意：0分，不了解：不计分</w:t>
      </w:r>
    </w:p>
    <w:tbl>
      <w:tblPr>
        <w:tblStyle w:val="977"/>
        <w:tblW w:w="8925" w:type="dxa"/>
        <w:tblInd w:w="-156"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345"/>
        <w:gridCol w:w="4069"/>
        <w:gridCol w:w="791"/>
        <w:gridCol w:w="600"/>
        <w:gridCol w:w="585"/>
        <w:gridCol w:w="765"/>
        <w:gridCol w:w="990"/>
        <w:gridCol w:w="780"/>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69" w:hRule="atLeast"/>
        </w:trPr>
        <w:tc>
          <w:tcPr>
            <w:tcW w:w="4414"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ascii="黑体" w:hAnsi="Trebuchet MS" w:eastAsia="黑体" w:cs="宋体"/>
                <w:b/>
                <w:bCs w:val="0"/>
                <w:color w:val="FFFFFF" w:themeColor="background1"/>
                <w:kern w:val="0"/>
                <w:sz w:val="20"/>
                <w:szCs w:val="20"/>
                <w14:textFill>
                  <w14:solidFill>
                    <w14:schemeClr w14:val="bg1"/>
                  </w14:solidFill>
                </w14:textFill>
              </w:rPr>
            </w:pPr>
            <w:r>
              <w:rPr>
                <w:rFonts w:hint="eastAsia" w:ascii="黑体" w:hAnsi="Trebuchet MS" w:eastAsia="黑体" w:cs="Times New Roman"/>
                <w:b/>
                <w:bCs/>
                <w:color w:val="auto"/>
                <w:kern w:val="0"/>
                <w:sz w:val="20"/>
                <w:szCs w:val="20"/>
              </w:rPr>
              <w:t>（一）客户服务</w:t>
            </w:r>
          </w:p>
        </w:tc>
        <w:tc>
          <w:tcPr>
            <w:tcW w:w="791"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rPr>
              <w:t>很</w:t>
            </w:r>
            <w:r>
              <w:rPr>
                <w:rFonts w:ascii="Trebuchet MS" w:hAnsi="Trebuchet MS" w:eastAsia="宋体" w:cs="宋体"/>
                <w:b/>
                <w:bCs/>
                <w:color w:val="auto"/>
                <w:kern w:val="0"/>
                <w:sz w:val="18"/>
                <w:szCs w:val="18"/>
              </w:rPr>
              <w:t>满意</w:t>
            </w:r>
          </w:p>
        </w:tc>
        <w:tc>
          <w:tcPr>
            <w:tcW w:w="60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满意</w:t>
            </w:r>
          </w:p>
        </w:tc>
        <w:tc>
          <w:tcPr>
            <w:tcW w:w="58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一般</w:t>
            </w:r>
          </w:p>
        </w:tc>
        <w:tc>
          <w:tcPr>
            <w:tcW w:w="76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不满意</w:t>
            </w:r>
          </w:p>
        </w:tc>
        <w:tc>
          <w:tcPr>
            <w:tcW w:w="99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宋体"/>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rPr>
              <w:t>很</w:t>
            </w:r>
            <w:r>
              <w:rPr>
                <w:rFonts w:ascii="Trebuchet MS" w:hAnsi="Trebuchet MS" w:eastAsia="宋体" w:cs="宋体"/>
                <w:b/>
                <w:bCs/>
                <w:color w:val="auto"/>
                <w:kern w:val="0"/>
                <w:sz w:val="18"/>
                <w:szCs w:val="18"/>
              </w:rPr>
              <w:t>不满意</w:t>
            </w:r>
          </w:p>
        </w:tc>
        <w:tc>
          <w:tcPr>
            <w:tcW w:w="780"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Times New Roman"/>
                <w:b/>
                <w:bCs/>
                <w:color w:val="auto"/>
                <w:kern w:val="0"/>
                <w:sz w:val="18"/>
                <w:szCs w:val="18"/>
              </w:rPr>
              <w:t>不了解</w:t>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4" w:hRule="atLeast"/>
        </w:trPr>
        <w:tc>
          <w:tcPr>
            <w:tcW w:w="345" w:type="dxa"/>
          </w:tcPr>
          <w:p>
            <w:pPr>
              <w:jc w:val="center"/>
              <w:rPr>
                <w:rFonts w:ascii="Trebuchet MS" w:hAnsi="Trebuchet MS" w:eastAsia="宋体" w:cs="Times New Roman"/>
                <w:b w:val="0"/>
                <w:bCs w:val="0"/>
                <w:kern w:val="0"/>
                <w:sz w:val="20"/>
                <w:szCs w:val="20"/>
              </w:rPr>
            </w:pPr>
            <w:r>
              <w:rPr>
                <w:rFonts w:hint="eastAsia" w:ascii="Trebuchet MS" w:hAnsi="Trebuchet MS" w:eastAsia="宋体" w:cs="Times New Roman"/>
                <w:b/>
                <w:bCs/>
                <w:kern w:val="0"/>
                <w:sz w:val="20"/>
                <w:szCs w:val="20"/>
              </w:rPr>
              <w:t>1</w:t>
            </w:r>
          </w:p>
        </w:tc>
        <w:tc>
          <w:tcPr>
            <w:tcW w:w="4069"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服务</w:t>
            </w:r>
            <w:r>
              <w:rPr>
                <w:rFonts w:hint="eastAsia" w:ascii="Times New Roman" w:hAnsi="Times New Roman" w:eastAsia="宋体" w:cs="Times New Roman"/>
                <w:kern w:val="0"/>
                <w:sz w:val="20"/>
                <w:szCs w:val="20"/>
              </w:rPr>
              <w:t>人员的礼貌和态度</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业务能力</w:t>
            </w:r>
          </w:p>
        </w:tc>
        <w:tc>
          <w:tcPr>
            <w:tcW w:w="791"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600"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585"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765"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990"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780"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00A8"/>
            </w:r>
          </w:p>
        </w:tc>
      </w:tr>
    </w:tbl>
    <w:tbl>
      <w:tblPr>
        <w:tblStyle w:val="977"/>
        <w:tblpPr w:leftFromText="180" w:rightFromText="180" w:vertAnchor="text" w:horzAnchor="page" w:tblpX="1645" w:tblpY="32"/>
        <w:tblOverlap w:val="never"/>
        <w:tblW w:w="8925"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330"/>
        <w:gridCol w:w="4081"/>
        <w:gridCol w:w="794"/>
        <w:gridCol w:w="585"/>
        <w:gridCol w:w="600"/>
        <w:gridCol w:w="750"/>
        <w:gridCol w:w="990"/>
        <w:gridCol w:w="795"/>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5" w:hRule="atLeast"/>
        </w:trPr>
        <w:tc>
          <w:tcPr>
            <w:tcW w:w="4411"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ascii="黑体" w:hAnsi="Trebuchet MS" w:eastAsia="黑体" w:cs="宋体"/>
                <w:b/>
                <w:bCs w:val="0"/>
                <w:color w:val="FFFFFF" w:themeColor="background1"/>
                <w:kern w:val="0"/>
                <w:sz w:val="20"/>
                <w:szCs w:val="20"/>
                <w14:textFill>
                  <w14:solidFill>
                    <w14:schemeClr w14:val="bg1"/>
                  </w14:solidFill>
                </w14:textFill>
              </w:rPr>
            </w:pPr>
            <w:r>
              <w:rPr>
                <w:rFonts w:hint="eastAsia" w:ascii="黑体" w:hAnsi="Trebuchet MS" w:eastAsia="黑体" w:cs="Times New Roman"/>
                <w:b/>
                <w:bCs/>
                <w:color w:val="auto"/>
                <w:kern w:val="0"/>
                <w:sz w:val="20"/>
                <w:szCs w:val="20"/>
              </w:rPr>
              <w:t>（二）秩序维护服务</w:t>
            </w:r>
          </w:p>
        </w:tc>
        <w:tc>
          <w:tcPr>
            <w:tcW w:w="794"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rPr>
              <w:t>很</w:t>
            </w:r>
            <w:r>
              <w:rPr>
                <w:rFonts w:ascii="Trebuchet MS" w:hAnsi="Trebuchet MS" w:eastAsia="宋体" w:cs="宋体"/>
                <w:b/>
                <w:bCs/>
                <w:color w:val="auto"/>
                <w:kern w:val="0"/>
                <w:sz w:val="18"/>
                <w:szCs w:val="18"/>
              </w:rPr>
              <w:t>满意</w:t>
            </w:r>
          </w:p>
        </w:tc>
        <w:tc>
          <w:tcPr>
            <w:tcW w:w="58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满意</w:t>
            </w:r>
          </w:p>
        </w:tc>
        <w:tc>
          <w:tcPr>
            <w:tcW w:w="60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一般</w:t>
            </w:r>
          </w:p>
        </w:tc>
        <w:tc>
          <w:tcPr>
            <w:tcW w:w="75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107" w:leftChars="-51"/>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不满意</w:t>
            </w:r>
          </w:p>
        </w:tc>
        <w:tc>
          <w:tcPr>
            <w:tcW w:w="99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134" w:leftChars="-64"/>
              <w:jc w:val="center"/>
              <w:rPr>
                <w:rFonts w:ascii="Trebuchet MS" w:hAnsi="Trebuchet MS" w:eastAsia="宋体" w:cs="宋体"/>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rPr>
              <w:t xml:space="preserve"> 很</w:t>
            </w:r>
            <w:r>
              <w:rPr>
                <w:rFonts w:ascii="Trebuchet MS" w:hAnsi="Trebuchet MS" w:eastAsia="宋体" w:cs="宋体"/>
                <w:b/>
                <w:bCs/>
                <w:color w:val="auto"/>
                <w:kern w:val="0"/>
                <w:sz w:val="18"/>
                <w:szCs w:val="18"/>
              </w:rPr>
              <w:t>不满意</w:t>
            </w:r>
          </w:p>
        </w:tc>
        <w:tc>
          <w:tcPr>
            <w:tcW w:w="79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jc w:val="both"/>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Times New Roman"/>
                <w:b/>
                <w:bCs/>
                <w:color w:val="auto"/>
                <w:kern w:val="0"/>
                <w:sz w:val="18"/>
                <w:szCs w:val="18"/>
              </w:rPr>
              <w:t>不了解</w:t>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c>
          <w:tcPr>
            <w:tcW w:w="330" w:type="dxa"/>
          </w:tcPr>
          <w:p>
            <w:pPr>
              <w:jc w:val="center"/>
              <w:rPr>
                <w:rFonts w:hint="default" w:ascii="Trebuchet MS" w:hAnsi="Trebuchet MS" w:eastAsia="宋体" w:cs="Times New Roman"/>
                <w:b/>
                <w:bCs/>
                <w:kern w:val="0"/>
                <w:sz w:val="20"/>
                <w:szCs w:val="20"/>
                <w:lang w:val="en-US" w:eastAsia="zh-CN"/>
              </w:rPr>
            </w:pPr>
            <w:r>
              <w:rPr>
                <w:rFonts w:hint="eastAsia" w:ascii="Trebuchet MS" w:hAnsi="Trebuchet MS" w:eastAsia="宋体" w:cs="Times New Roman"/>
                <w:b/>
                <w:bCs/>
                <w:kern w:val="0"/>
                <w:sz w:val="20"/>
                <w:szCs w:val="20"/>
                <w:lang w:val="en-US" w:eastAsia="zh-CN"/>
              </w:rPr>
              <w:t>2</w:t>
            </w:r>
          </w:p>
        </w:tc>
        <w:tc>
          <w:tcPr>
            <w:tcW w:w="4081"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人员、</w:t>
            </w:r>
            <w:r>
              <w:rPr>
                <w:rFonts w:hint="eastAsia" w:ascii="Times New Roman" w:hAnsi="Times New Roman" w:eastAsia="宋体" w:cs="Times New Roman"/>
                <w:kern w:val="0"/>
                <w:sz w:val="20"/>
                <w:szCs w:val="20"/>
              </w:rPr>
              <w:t>车辆出入管理有序，行驶秩序良好</w:t>
            </w:r>
          </w:p>
        </w:tc>
        <w:tc>
          <w:tcPr>
            <w:tcW w:w="794"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585"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600"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750"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990" w:type="dxa"/>
          </w:tcPr>
          <w:p>
            <w:pPr>
              <w:jc w:val="center"/>
              <w:rPr>
                <w:rFonts w:ascii="Times New Roman" w:hAnsi="Times New Roman" w:eastAsia="宋体" w:cs="Times New Roman"/>
                <w:kern w:val="0"/>
                <w:sz w:val="20"/>
                <w:szCs w:val="20"/>
              </w:rPr>
            </w:pPr>
            <w:r>
              <w:rPr>
                <w:rFonts w:ascii="Trebuchet MS" w:hAnsi="Trebuchet MS" w:eastAsia="宋体" w:cs="宋体"/>
                <w:kern w:val="0"/>
                <w:sz w:val="20"/>
                <w:szCs w:val="20"/>
              </w:rPr>
              <w:sym w:font="Wingdings" w:char="F0A8"/>
            </w:r>
          </w:p>
        </w:tc>
        <w:tc>
          <w:tcPr>
            <w:tcW w:w="795"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c>
          <w:tcPr>
            <w:tcW w:w="330" w:type="dxa"/>
          </w:tcPr>
          <w:p>
            <w:pPr>
              <w:widowControl/>
              <w:jc w:val="center"/>
              <w:rPr>
                <w:rFonts w:hint="default" w:ascii="Trebuchet MS" w:hAnsi="Trebuchet MS" w:eastAsia="宋体" w:cs="Times New Roman"/>
                <w:b/>
                <w:bCs/>
                <w:kern w:val="0"/>
                <w:sz w:val="20"/>
                <w:szCs w:val="20"/>
                <w:lang w:val="en-US" w:eastAsia="zh-CN"/>
              </w:rPr>
            </w:pPr>
            <w:r>
              <w:rPr>
                <w:rFonts w:hint="eastAsia" w:ascii="Trebuchet MS" w:hAnsi="Trebuchet MS" w:eastAsia="宋体" w:cs="Times New Roman"/>
                <w:b/>
                <w:bCs/>
                <w:kern w:val="0"/>
                <w:sz w:val="20"/>
                <w:szCs w:val="20"/>
                <w:lang w:val="en-US" w:eastAsia="zh-CN"/>
              </w:rPr>
              <w:t>3</w:t>
            </w:r>
          </w:p>
        </w:tc>
        <w:tc>
          <w:tcPr>
            <w:tcW w:w="4081"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安保人员到岗到位，岗亭24小时规范执勤</w:t>
            </w:r>
          </w:p>
        </w:tc>
        <w:tc>
          <w:tcPr>
            <w:tcW w:w="794"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8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60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5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99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9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tbl>
    <w:tbl>
      <w:tblPr>
        <w:tblStyle w:val="977"/>
        <w:tblpPr w:leftFromText="180" w:rightFromText="180" w:vertAnchor="text" w:horzAnchor="page" w:tblpX="1630" w:tblpY="73"/>
        <w:tblOverlap w:val="never"/>
        <w:tblW w:w="8925"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345"/>
        <w:gridCol w:w="4081"/>
        <w:gridCol w:w="794"/>
        <w:gridCol w:w="585"/>
        <w:gridCol w:w="585"/>
        <w:gridCol w:w="750"/>
        <w:gridCol w:w="1005"/>
        <w:gridCol w:w="780"/>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5" w:hRule="atLeast"/>
        </w:trPr>
        <w:tc>
          <w:tcPr>
            <w:tcW w:w="4426"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ascii="黑体" w:hAnsi="Trebuchet MS" w:eastAsia="黑体" w:cs="宋体"/>
                <w:b/>
                <w:bCs w:val="0"/>
                <w:color w:val="FFFFFF" w:themeColor="background1"/>
                <w:kern w:val="0"/>
                <w:sz w:val="20"/>
                <w:szCs w:val="20"/>
                <w14:textFill>
                  <w14:solidFill>
                    <w14:schemeClr w14:val="bg1"/>
                  </w14:solidFill>
                </w14:textFill>
              </w:rPr>
            </w:pPr>
            <w:r>
              <w:rPr>
                <w:rFonts w:hint="eastAsia" w:ascii="黑体" w:hAnsi="Trebuchet MS" w:eastAsia="黑体" w:cs="Times New Roman"/>
                <w:b/>
                <w:bCs/>
                <w:color w:val="auto"/>
                <w:kern w:val="0"/>
                <w:sz w:val="20"/>
                <w:szCs w:val="20"/>
              </w:rPr>
              <w:t>（三）</w:t>
            </w:r>
            <w:r>
              <w:rPr>
                <w:rFonts w:hint="eastAsia" w:ascii="黑体" w:hAnsi="Trebuchet MS" w:eastAsia="黑体" w:cs="Times New Roman"/>
                <w:b/>
                <w:bCs/>
                <w:color w:val="auto"/>
                <w:kern w:val="0"/>
                <w:sz w:val="20"/>
                <w:szCs w:val="20"/>
                <w:lang w:val="en-US" w:eastAsia="zh-CN"/>
              </w:rPr>
              <w:t>环境</w:t>
            </w:r>
            <w:r>
              <w:rPr>
                <w:rFonts w:hint="eastAsia" w:ascii="黑体" w:hAnsi="Trebuchet MS" w:eastAsia="黑体" w:cs="Times New Roman"/>
                <w:b/>
                <w:bCs/>
                <w:color w:val="auto"/>
                <w:kern w:val="0"/>
                <w:sz w:val="20"/>
                <w:szCs w:val="20"/>
              </w:rPr>
              <w:t>卫生</w:t>
            </w:r>
            <w:r>
              <w:rPr>
                <w:rFonts w:hint="eastAsia" w:ascii="黑体" w:hAnsi="Trebuchet MS" w:eastAsia="黑体" w:cs="Times New Roman"/>
                <w:b/>
                <w:bCs/>
                <w:color w:val="auto"/>
                <w:kern w:val="0"/>
                <w:sz w:val="20"/>
                <w:szCs w:val="20"/>
                <w:lang w:val="en-US" w:eastAsia="zh-CN"/>
              </w:rPr>
              <w:t>及绿化</w:t>
            </w:r>
            <w:r>
              <w:rPr>
                <w:rFonts w:hint="eastAsia" w:ascii="黑体" w:hAnsi="Trebuchet MS" w:eastAsia="黑体" w:cs="Times New Roman"/>
                <w:b/>
                <w:bCs/>
                <w:color w:val="auto"/>
                <w:kern w:val="0"/>
                <w:sz w:val="20"/>
                <w:szCs w:val="20"/>
              </w:rPr>
              <w:t>服务</w:t>
            </w:r>
          </w:p>
        </w:tc>
        <w:tc>
          <w:tcPr>
            <w:tcW w:w="794"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108" w:firstLineChars="60"/>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lang w:val="en-US" w:eastAsia="zh-CN"/>
              </w:rPr>
              <w:t xml:space="preserve"> </w:t>
            </w:r>
            <w:r>
              <w:rPr>
                <w:rFonts w:hint="eastAsia" w:ascii="Trebuchet MS" w:hAnsi="Trebuchet MS" w:eastAsia="宋体" w:cs="宋体"/>
                <w:b/>
                <w:bCs/>
                <w:color w:val="auto"/>
                <w:kern w:val="0"/>
                <w:sz w:val="18"/>
                <w:szCs w:val="18"/>
              </w:rPr>
              <w:t>很</w:t>
            </w:r>
            <w:r>
              <w:rPr>
                <w:rFonts w:ascii="Trebuchet MS" w:hAnsi="Trebuchet MS" w:eastAsia="宋体" w:cs="宋体"/>
                <w:b/>
                <w:bCs/>
                <w:color w:val="auto"/>
                <w:kern w:val="0"/>
                <w:sz w:val="18"/>
                <w:szCs w:val="18"/>
              </w:rPr>
              <w:t>满意</w:t>
            </w:r>
          </w:p>
        </w:tc>
        <w:tc>
          <w:tcPr>
            <w:tcW w:w="58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满意</w:t>
            </w:r>
          </w:p>
        </w:tc>
        <w:tc>
          <w:tcPr>
            <w:tcW w:w="58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107" w:leftChars="-51"/>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一般</w:t>
            </w:r>
          </w:p>
        </w:tc>
        <w:tc>
          <w:tcPr>
            <w:tcW w:w="75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107" w:leftChars="-51"/>
              <w:jc w:val="center"/>
              <w:rPr>
                <w:rFonts w:ascii="Trebuchet MS" w:hAnsi="Trebuchet MS" w:eastAsia="宋体" w:cs="Times New Roman"/>
                <w:b/>
                <w:bCs/>
                <w:color w:val="FFFFFF" w:themeColor="background1"/>
                <w:kern w:val="0"/>
                <w:sz w:val="18"/>
                <w:szCs w:val="18"/>
                <w14:textFill>
                  <w14:solidFill>
                    <w14:schemeClr w14:val="bg1"/>
                  </w14:solidFill>
                </w14:textFill>
              </w:rPr>
            </w:pPr>
            <w:r>
              <w:rPr>
                <w:rFonts w:ascii="Trebuchet MS" w:hAnsi="Trebuchet MS" w:eastAsia="宋体" w:cs="宋体"/>
                <w:b/>
                <w:bCs/>
                <w:color w:val="auto"/>
                <w:kern w:val="0"/>
                <w:sz w:val="18"/>
                <w:szCs w:val="18"/>
              </w:rPr>
              <w:t>不满意</w:t>
            </w:r>
          </w:p>
        </w:tc>
        <w:tc>
          <w:tcPr>
            <w:tcW w:w="100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134" w:leftChars="-64"/>
              <w:jc w:val="center"/>
              <w:rPr>
                <w:rFonts w:ascii="Trebuchet MS" w:hAnsi="Trebuchet MS" w:eastAsia="宋体" w:cs="宋体"/>
                <w:b/>
                <w:bCs/>
                <w:color w:val="FFFFFF" w:themeColor="background1"/>
                <w:kern w:val="0"/>
                <w:sz w:val="18"/>
                <w:szCs w:val="18"/>
                <w14:textFill>
                  <w14:solidFill>
                    <w14:schemeClr w14:val="bg1"/>
                  </w14:solidFill>
                </w14:textFill>
              </w:rPr>
            </w:pPr>
            <w:r>
              <w:rPr>
                <w:rFonts w:hint="eastAsia" w:ascii="Trebuchet MS" w:hAnsi="Trebuchet MS" w:eastAsia="宋体" w:cs="宋体"/>
                <w:b/>
                <w:bCs/>
                <w:color w:val="auto"/>
                <w:kern w:val="0"/>
                <w:sz w:val="18"/>
                <w:szCs w:val="18"/>
              </w:rPr>
              <w:t>很</w:t>
            </w:r>
            <w:r>
              <w:rPr>
                <w:rFonts w:ascii="Trebuchet MS" w:hAnsi="Trebuchet MS" w:eastAsia="宋体" w:cs="宋体"/>
                <w:b/>
                <w:bCs/>
                <w:color w:val="auto"/>
                <w:kern w:val="0"/>
                <w:sz w:val="18"/>
                <w:szCs w:val="18"/>
              </w:rPr>
              <w:t>不满意</w:t>
            </w:r>
          </w:p>
        </w:tc>
        <w:tc>
          <w:tcPr>
            <w:tcW w:w="780"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ind w:right="-250" w:rightChars="-119"/>
              <w:rPr>
                <w:rFonts w:ascii="Trebuchet MS" w:hAnsi="Trebuchet MS" w:eastAsia="宋体" w:cs="Times New Roman"/>
                <w:b/>
                <w:bCs/>
                <w:color w:val="FFFFFF" w:themeColor="background1"/>
                <w:kern w:val="0"/>
                <w:sz w:val="18"/>
                <w:szCs w:val="18"/>
                <w14:textFill>
                  <w14:solidFill>
                    <w14:schemeClr w14:val="bg1"/>
                  </w14:solidFill>
                </w14:textFill>
              </w:rPr>
            </w:pPr>
            <w:r>
              <w:rPr>
                <w:rFonts w:hint="eastAsia" w:ascii="Trebuchet MS" w:hAnsi="Trebuchet MS" w:eastAsia="宋体" w:cs="Times New Roman"/>
                <w:b/>
                <w:bCs/>
                <w:color w:val="auto"/>
                <w:kern w:val="0"/>
                <w:sz w:val="18"/>
                <w:szCs w:val="18"/>
              </w:rPr>
              <w:t>不了解</w:t>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c>
          <w:tcPr>
            <w:tcW w:w="345" w:type="dxa"/>
          </w:tcPr>
          <w:p>
            <w:pPr>
              <w:jc w:val="center"/>
              <w:rPr>
                <w:rFonts w:hint="default" w:ascii="Trebuchet MS" w:hAnsi="Trebuchet MS" w:eastAsia="宋体" w:cs="Times New Roman"/>
                <w:b/>
                <w:bCs/>
                <w:kern w:val="0"/>
                <w:sz w:val="20"/>
                <w:szCs w:val="20"/>
                <w:lang w:val="en-US" w:eastAsia="zh-CN"/>
              </w:rPr>
            </w:pPr>
            <w:r>
              <w:rPr>
                <w:rFonts w:hint="eastAsia" w:ascii="Trebuchet MS" w:hAnsi="Trebuchet MS" w:eastAsia="宋体" w:cs="Times New Roman"/>
                <w:b/>
                <w:bCs/>
                <w:kern w:val="0"/>
                <w:sz w:val="20"/>
                <w:szCs w:val="20"/>
                <w:lang w:val="en-US" w:eastAsia="zh-CN"/>
              </w:rPr>
              <w:t>4</w:t>
            </w:r>
          </w:p>
        </w:tc>
        <w:tc>
          <w:tcPr>
            <w:tcW w:w="4081"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室外</w:t>
            </w:r>
            <w:r>
              <w:rPr>
                <w:rFonts w:hint="eastAsia" w:ascii="Times New Roman" w:hAnsi="Times New Roman" w:eastAsia="宋体" w:cs="Times New Roman"/>
                <w:kern w:val="0"/>
                <w:sz w:val="20"/>
                <w:szCs w:val="20"/>
              </w:rPr>
              <w:t>公共区域卫生清洁工作</w:t>
            </w:r>
          </w:p>
        </w:tc>
        <w:tc>
          <w:tcPr>
            <w:tcW w:w="794"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8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8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5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100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8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c>
          <w:tcPr>
            <w:tcW w:w="345" w:type="dxa"/>
            <w:vAlign w:val="top"/>
          </w:tcPr>
          <w:p>
            <w:pPr>
              <w:jc w:val="center"/>
              <w:rPr>
                <w:rFonts w:hint="default" w:ascii="Trebuchet MS" w:hAnsi="Trebuchet MS" w:eastAsia="宋体" w:cs="Times New Roman"/>
                <w:b/>
                <w:bCs/>
                <w:kern w:val="0"/>
                <w:sz w:val="20"/>
                <w:szCs w:val="20"/>
                <w:lang w:val="en-US" w:eastAsia="zh-CN" w:bidi="ar-SA"/>
              </w:rPr>
            </w:pPr>
            <w:r>
              <w:rPr>
                <w:rFonts w:hint="eastAsia" w:ascii="Trebuchet MS" w:hAnsi="Trebuchet MS" w:eastAsia="宋体" w:cs="Times New Roman"/>
                <w:b/>
                <w:bCs/>
                <w:kern w:val="0"/>
                <w:sz w:val="20"/>
                <w:szCs w:val="20"/>
                <w:lang w:val="en-US" w:eastAsia="zh-CN" w:bidi="ar-SA"/>
              </w:rPr>
              <w:t>5</w:t>
            </w:r>
          </w:p>
        </w:tc>
        <w:tc>
          <w:tcPr>
            <w:tcW w:w="4081"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垃圾清运快速及时，无长时间</w:t>
            </w:r>
            <w:r>
              <w:rPr>
                <w:rFonts w:ascii="Times New Roman" w:hAnsi="Times New Roman" w:eastAsia="宋体" w:cs="Times New Roman"/>
                <w:kern w:val="0"/>
                <w:sz w:val="20"/>
                <w:szCs w:val="20"/>
              </w:rPr>
              <w:t>满溢现象</w:t>
            </w:r>
          </w:p>
        </w:tc>
        <w:tc>
          <w:tcPr>
            <w:tcW w:w="794"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c>
          <w:tcPr>
            <w:tcW w:w="585"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c>
          <w:tcPr>
            <w:tcW w:w="585"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c>
          <w:tcPr>
            <w:tcW w:w="750"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c>
          <w:tcPr>
            <w:tcW w:w="1005"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c>
          <w:tcPr>
            <w:tcW w:w="780" w:type="dxa"/>
          </w:tcPr>
          <w:p>
            <w:pPr>
              <w:jc w:val="center"/>
              <w:rPr>
                <w:rFonts w:ascii="Trebuchet MS" w:hAnsi="Trebuchet MS" w:eastAsia="宋体" w:cs="宋体"/>
                <w:kern w:val="0"/>
                <w:sz w:val="20"/>
                <w:szCs w:val="20"/>
              </w:rPr>
            </w:pPr>
            <w:r>
              <w:rPr>
                <w:rFonts w:ascii="Trebuchet MS" w:hAnsi="Trebuchet MS" w:eastAsia="宋体" w:cs="宋体"/>
                <w:kern w:val="0"/>
                <w:sz w:val="20"/>
                <w:szCs w:val="20"/>
              </w:rPr>
              <w:sym w:font="Wingdings" w:char="F0A8"/>
            </w:r>
          </w:p>
        </w:tc>
      </w:tr>
    </w:tbl>
    <w:tbl>
      <w:tblPr>
        <w:tblStyle w:val="977"/>
        <w:tblpPr w:leftFromText="180" w:rightFromText="180" w:vertAnchor="text" w:horzAnchor="page" w:tblpX="1609" w:tblpY="50"/>
        <w:tblOverlap w:val="never"/>
        <w:tblW w:w="8897"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381"/>
        <w:gridCol w:w="4066"/>
        <w:gridCol w:w="794"/>
        <w:gridCol w:w="570"/>
        <w:gridCol w:w="630"/>
        <w:gridCol w:w="705"/>
        <w:gridCol w:w="1005"/>
        <w:gridCol w:w="746"/>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c>
          <w:tcPr>
            <w:tcW w:w="381" w:type="dxa"/>
          </w:tcPr>
          <w:p>
            <w:pPr>
              <w:widowControl/>
              <w:jc w:val="center"/>
              <w:rPr>
                <w:rFonts w:hint="default" w:ascii="Trebuchet MS" w:hAnsi="Trebuchet MS" w:eastAsia="宋体" w:cs="Times New Roman"/>
                <w:b/>
                <w:bCs/>
                <w:kern w:val="0"/>
                <w:sz w:val="20"/>
                <w:szCs w:val="20"/>
                <w:lang w:val="en-US" w:eastAsia="zh-CN"/>
              </w:rPr>
            </w:pPr>
            <w:r>
              <w:rPr>
                <w:rFonts w:hint="eastAsia" w:ascii="Trebuchet MS" w:hAnsi="Trebuchet MS" w:eastAsia="宋体" w:cs="Times New Roman"/>
                <w:b/>
                <w:bCs/>
                <w:kern w:val="0"/>
                <w:sz w:val="20"/>
                <w:szCs w:val="20"/>
                <w:lang w:val="en-US" w:eastAsia="zh-CN"/>
              </w:rPr>
              <w:t>6</w:t>
            </w:r>
          </w:p>
        </w:tc>
        <w:tc>
          <w:tcPr>
            <w:tcW w:w="4066"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绿化整洁、美观情况，绿地保护、保洁情况</w:t>
            </w:r>
          </w:p>
        </w:tc>
        <w:tc>
          <w:tcPr>
            <w:tcW w:w="794"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7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63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05" w:type="dxa"/>
          </w:tcPr>
          <w:p>
            <w:pPr>
              <w:jc w:val="center"/>
              <w:rPr>
                <w:rFonts w:ascii="Times New Roman" w:hAnsi="Times New Roman" w:eastAsia="宋体" w:cs="Times New Roman"/>
                <w:kern w:val="0"/>
                <w:sz w:val="20"/>
                <w:szCs w:val="24"/>
              </w:rPr>
            </w:pPr>
            <w:r>
              <w:rPr>
                <w:rFonts w:hint="eastAsia" w:ascii="Trebuchet MS" w:hAnsi="Trebuchet MS" w:eastAsia="宋体" w:cs="宋体"/>
                <w:kern w:val="0"/>
                <w:sz w:val="20"/>
                <w:szCs w:val="20"/>
              </w:rPr>
              <w:t xml:space="preserve"> </w:t>
            </w:r>
            <w:r>
              <w:rPr>
                <w:rFonts w:ascii="Trebuchet MS" w:hAnsi="Trebuchet MS" w:eastAsia="宋体" w:cs="宋体"/>
                <w:kern w:val="0"/>
                <w:sz w:val="20"/>
                <w:szCs w:val="20"/>
              </w:rPr>
              <w:sym w:font="Wingdings" w:char="F0A8"/>
            </w:r>
          </w:p>
        </w:tc>
        <w:tc>
          <w:tcPr>
            <w:tcW w:w="100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46"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tbl>
    <w:tbl>
      <w:tblPr>
        <w:tblStyle w:val="977"/>
        <w:tblpPr w:leftFromText="180" w:rightFromText="180" w:vertAnchor="text" w:horzAnchor="page" w:tblpX="1626" w:tblpY="78"/>
        <w:tblOverlap w:val="never"/>
        <w:tblW w:w="8897"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379"/>
        <w:gridCol w:w="4066"/>
        <w:gridCol w:w="780"/>
        <w:gridCol w:w="599"/>
        <w:gridCol w:w="615"/>
        <w:gridCol w:w="720"/>
        <w:gridCol w:w="960"/>
        <w:gridCol w:w="778"/>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5" w:hRule="atLeast"/>
        </w:trPr>
        <w:tc>
          <w:tcPr>
            <w:tcW w:w="4445"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ascii="黑体" w:hAnsi="Trebuchet MS" w:eastAsia="黑体" w:cs="Times New Roman"/>
                <w:b/>
                <w:bCs/>
                <w:color w:val="FFFFFF" w:themeColor="background1"/>
                <w:kern w:val="0"/>
                <w:sz w:val="20"/>
                <w:szCs w:val="20"/>
                <w14:textFill>
                  <w14:solidFill>
                    <w14:schemeClr w14:val="bg1"/>
                  </w14:solidFill>
                </w14:textFill>
              </w:rPr>
            </w:pPr>
            <w:bookmarkStart w:id="31" w:name="_Hlk27662997"/>
            <w:r>
              <w:rPr>
                <w:rFonts w:hint="eastAsia" w:ascii="黑体" w:hAnsi="Trebuchet MS" w:eastAsia="黑体" w:cs="Times New Roman"/>
                <w:b/>
                <w:bCs/>
                <w:color w:val="auto"/>
                <w:kern w:val="0"/>
                <w:sz w:val="20"/>
                <w:szCs w:val="20"/>
              </w:rPr>
              <w:t>（</w:t>
            </w:r>
            <w:r>
              <w:rPr>
                <w:rFonts w:hint="eastAsia" w:ascii="黑体" w:hAnsi="Trebuchet MS" w:eastAsia="黑体" w:cs="Times New Roman"/>
                <w:b/>
                <w:bCs/>
                <w:color w:val="auto"/>
                <w:kern w:val="0"/>
                <w:sz w:val="20"/>
                <w:szCs w:val="20"/>
                <w:lang w:val="en-US" w:eastAsia="zh-CN"/>
              </w:rPr>
              <w:t>四</w:t>
            </w:r>
            <w:r>
              <w:rPr>
                <w:rFonts w:hint="eastAsia" w:ascii="黑体" w:hAnsi="Trebuchet MS" w:eastAsia="黑体" w:cs="Times New Roman"/>
                <w:b/>
                <w:bCs/>
                <w:color w:val="auto"/>
                <w:kern w:val="0"/>
                <w:sz w:val="20"/>
                <w:szCs w:val="20"/>
              </w:rPr>
              <w:t>）</w:t>
            </w:r>
            <w:r>
              <w:rPr>
                <w:rFonts w:hint="eastAsia" w:ascii="黑体" w:hAnsi="Trebuchet MS" w:eastAsia="黑体" w:cs="Times New Roman"/>
                <w:b/>
                <w:bCs/>
                <w:color w:val="auto"/>
                <w:kern w:val="0"/>
                <w:sz w:val="20"/>
                <w:szCs w:val="20"/>
                <w:lang w:val="en-US" w:eastAsia="zh-CN"/>
              </w:rPr>
              <w:t>工程</w:t>
            </w:r>
            <w:r>
              <w:rPr>
                <w:rFonts w:hint="eastAsia" w:ascii="黑体" w:hAnsi="Trebuchet MS" w:eastAsia="黑体" w:cs="Times New Roman"/>
                <w:b/>
                <w:bCs/>
                <w:color w:val="auto"/>
                <w:kern w:val="0"/>
                <w:sz w:val="20"/>
                <w:szCs w:val="20"/>
              </w:rPr>
              <w:t>维修服务</w:t>
            </w:r>
          </w:p>
        </w:tc>
        <w:tc>
          <w:tcPr>
            <w:tcW w:w="78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right"/>
              <w:rPr>
                <w:rFonts w:cs="Times New Roman" w:asciiTheme="majorEastAsia" w:hAnsiTheme="majorEastAsia" w:eastAsiaTheme="majorEastAsia"/>
                <w:b/>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rPr>
              <w:t>很</w:t>
            </w:r>
            <w:r>
              <w:rPr>
                <w:rFonts w:cs="Times New Roman" w:asciiTheme="majorEastAsia" w:hAnsiTheme="majorEastAsia" w:eastAsiaTheme="majorEastAsia"/>
                <w:b/>
                <w:bCs/>
                <w:color w:val="auto"/>
                <w:kern w:val="0"/>
                <w:sz w:val="18"/>
                <w:szCs w:val="18"/>
              </w:rPr>
              <w:t>满意</w:t>
            </w:r>
          </w:p>
        </w:tc>
        <w:tc>
          <w:tcPr>
            <w:tcW w:w="599"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cs="Times New Roman" w:asciiTheme="majorEastAsia" w:hAnsiTheme="majorEastAsia" w:eastAsiaTheme="majorEastAsia"/>
                <w:b/>
                <w:bCs/>
                <w:color w:val="FFFFFF" w:themeColor="background1"/>
                <w:kern w:val="0"/>
                <w:sz w:val="18"/>
                <w:szCs w:val="18"/>
                <w14:textFill>
                  <w14:solidFill>
                    <w14:schemeClr w14:val="bg1"/>
                  </w14:solidFill>
                </w14:textFill>
              </w:rPr>
            </w:pPr>
            <w:r>
              <w:rPr>
                <w:rFonts w:cs="Times New Roman" w:asciiTheme="majorEastAsia" w:hAnsiTheme="majorEastAsia" w:eastAsiaTheme="majorEastAsia"/>
                <w:b/>
                <w:bCs/>
                <w:color w:val="auto"/>
                <w:kern w:val="0"/>
                <w:sz w:val="18"/>
                <w:szCs w:val="18"/>
              </w:rPr>
              <w:t>满意</w:t>
            </w:r>
          </w:p>
        </w:tc>
        <w:tc>
          <w:tcPr>
            <w:tcW w:w="61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both"/>
              <w:rPr>
                <w:rFonts w:cs="Times New Roman" w:asciiTheme="majorEastAsia" w:hAnsiTheme="majorEastAsia" w:eastAsiaTheme="majorEastAsia"/>
                <w:b/>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lang w:val="en-US" w:eastAsia="zh-CN"/>
              </w:rPr>
              <w:t>一</w:t>
            </w:r>
            <w:r>
              <w:rPr>
                <w:rFonts w:cs="Times New Roman" w:asciiTheme="majorEastAsia" w:hAnsiTheme="majorEastAsia" w:eastAsiaTheme="majorEastAsia"/>
                <w:b/>
                <w:bCs/>
                <w:color w:val="auto"/>
                <w:kern w:val="0"/>
                <w:sz w:val="18"/>
                <w:szCs w:val="18"/>
              </w:rPr>
              <w:t>般</w:t>
            </w:r>
          </w:p>
        </w:tc>
        <w:tc>
          <w:tcPr>
            <w:tcW w:w="72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right="-250" w:rightChars="-119"/>
              <w:rPr>
                <w:rFonts w:cs="Times New Roman" w:asciiTheme="majorEastAsia" w:hAnsiTheme="majorEastAsia" w:eastAsiaTheme="majorEastAsia"/>
                <w:b/>
                <w:bCs/>
                <w:color w:val="FFFFFF" w:themeColor="background1"/>
                <w:kern w:val="0"/>
                <w:sz w:val="18"/>
                <w:szCs w:val="18"/>
                <w14:textFill>
                  <w14:solidFill>
                    <w14:schemeClr w14:val="bg1"/>
                  </w14:solidFill>
                </w14:textFill>
              </w:rPr>
            </w:pPr>
            <w:r>
              <w:rPr>
                <w:rFonts w:cs="Times New Roman" w:asciiTheme="majorEastAsia" w:hAnsiTheme="majorEastAsia" w:eastAsiaTheme="majorEastAsia"/>
                <w:b/>
                <w:bCs/>
                <w:color w:val="auto"/>
                <w:kern w:val="0"/>
                <w:sz w:val="18"/>
                <w:szCs w:val="18"/>
              </w:rPr>
              <w:t>不满意</w:t>
            </w:r>
          </w:p>
        </w:tc>
        <w:tc>
          <w:tcPr>
            <w:tcW w:w="96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right="-250" w:rightChars="-119"/>
              <w:jc w:val="left"/>
              <w:rPr>
                <w:rFonts w:cs="宋体" w:asciiTheme="majorEastAsia" w:hAnsiTheme="majorEastAsia" w:eastAsiaTheme="majorEastAsia"/>
                <w:b/>
                <w:bCs/>
                <w:color w:val="FFFFFF" w:themeColor="background1"/>
                <w:kern w:val="0"/>
                <w:sz w:val="18"/>
                <w:szCs w:val="18"/>
                <w14:textFill>
                  <w14:solidFill>
                    <w14:schemeClr w14:val="bg1"/>
                  </w14:solidFill>
                </w14:textFill>
              </w:rPr>
            </w:pPr>
            <w:r>
              <w:rPr>
                <w:rFonts w:hint="eastAsia" w:cs="宋体" w:asciiTheme="majorEastAsia" w:hAnsiTheme="majorEastAsia" w:eastAsiaTheme="majorEastAsia"/>
                <w:b/>
                <w:bCs/>
                <w:color w:val="auto"/>
                <w:kern w:val="0"/>
                <w:sz w:val="18"/>
                <w:szCs w:val="18"/>
              </w:rPr>
              <w:t>很</w:t>
            </w:r>
            <w:r>
              <w:rPr>
                <w:rFonts w:cs="宋体" w:asciiTheme="majorEastAsia" w:hAnsiTheme="majorEastAsia" w:eastAsiaTheme="majorEastAsia"/>
                <w:b/>
                <w:bCs/>
                <w:color w:val="auto"/>
                <w:kern w:val="0"/>
                <w:sz w:val="18"/>
                <w:szCs w:val="18"/>
              </w:rPr>
              <w:t>不满意</w:t>
            </w:r>
          </w:p>
        </w:tc>
        <w:tc>
          <w:tcPr>
            <w:tcW w:w="77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ind w:right="-250" w:rightChars="-119"/>
              <w:rPr>
                <w:rFonts w:cs="宋体" w:asciiTheme="majorEastAsia" w:hAnsiTheme="majorEastAsia" w:eastAsiaTheme="majorEastAsia"/>
                <w:b/>
                <w:bCs/>
                <w:color w:val="FFFFFF" w:themeColor="background1"/>
                <w:kern w:val="0"/>
                <w:sz w:val="18"/>
                <w:szCs w:val="18"/>
                <w14:textFill>
                  <w14:solidFill>
                    <w14:schemeClr w14:val="bg1"/>
                  </w14:solidFill>
                </w14:textFill>
              </w:rPr>
            </w:pPr>
            <w:r>
              <w:rPr>
                <w:rFonts w:hint="eastAsia" w:cs="宋体" w:asciiTheme="majorEastAsia" w:hAnsiTheme="majorEastAsia" w:eastAsiaTheme="majorEastAsia"/>
                <w:b/>
                <w:bCs/>
                <w:color w:val="auto"/>
                <w:kern w:val="0"/>
                <w:sz w:val="18"/>
                <w:szCs w:val="18"/>
              </w:rPr>
              <w:t>不了解</w:t>
            </w:r>
          </w:p>
        </w:tc>
      </w:tr>
      <w:bookmarkEnd w:id="31"/>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18" w:hRule="atLeast"/>
        </w:trPr>
        <w:tc>
          <w:tcPr>
            <w:tcW w:w="379" w:type="dxa"/>
          </w:tcPr>
          <w:p>
            <w:pPr>
              <w:jc w:val="center"/>
              <w:rPr>
                <w:rFonts w:hint="eastAsia" w:ascii="Trebuchet MS" w:hAnsi="Trebuchet MS" w:eastAsia="宋体" w:cs="Times New Roman"/>
                <w:b/>
                <w:bCs/>
                <w:kern w:val="0"/>
                <w:sz w:val="20"/>
                <w:szCs w:val="20"/>
                <w:lang w:val="en-US" w:eastAsia="zh-CN"/>
              </w:rPr>
            </w:pPr>
            <w:r>
              <w:rPr>
                <w:rFonts w:hint="eastAsia" w:ascii="Trebuchet MS" w:hAnsi="Trebuchet MS" w:eastAsia="宋体" w:cs="Times New Roman"/>
                <w:b/>
                <w:bCs/>
                <w:kern w:val="0"/>
                <w:sz w:val="20"/>
                <w:szCs w:val="20"/>
                <w:lang w:val="en-US" w:eastAsia="zh-CN"/>
              </w:rPr>
              <w:t>7</w:t>
            </w:r>
          </w:p>
        </w:tc>
        <w:tc>
          <w:tcPr>
            <w:tcW w:w="4066" w:type="dxa"/>
          </w:tcPr>
          <w:p>
            <w:pPr>
              <w:rPr>
                <w:rFonts w:eastAsia="宋体" w:cs="Times New Roman" w:asciiTheme="minorEastAsia" w:hAnsiTheme="minorEastAsia"/>
                <w:kern w:val="0"/>
                <w:sz w:val="20"/>
                <w:szCs w:val="20"/>
              </w:rPr>
            </w:pPr>
            <w:r>
              <w:rPr>
                <w:rFonts w:hint="eastAsia" w:ascii="Times New Roman" w:hAnsi="Times New Roman" w:eastAsia="宋体" w:cs="Times New Roman"/>
                <w:kern w:val="0"/>
                <w:sz w:val="20"/>
                <w:szCs w:val="20"/>
                <w:lang w:val="en-US" w:eastAsia="zh-CN"/>
              </w:rPr>
              <w:t>公共区域</w:t>
            </w:r>
            <w:r>
              <w:rPr>
                <w:rFonts w:hint="eastAsia" w:ascii="Times New Roman" w:hAnsi="Times New Roman" w:eastAsia="宋体" w:cs="Times New Roman"/>
                <w:kern w:val="0"/>
                <w:sz w:val="20"/>
                <w:szCs w:val="20"/>
              </w:rPr>
              <w:t>设备</w:t>
            </w:r>
            <w:r>
              <w:rPr>
                <w:rFonts w:hint="eastAsia" w:ascii="Times New Roman" w:hAnsi="Times New Roman" w:eastAsia="宋体" w:cs="Times New Roman"/>
                <w:kern w:val="0"/>
                <w:sz w:val="20"/>
                <w:szCs w:val="20"/>
                <w:lang w:val="en-US" w:eastAsia="zh-CN"/>
              </w:rPr>
              <w:t>设施的维护管理</w:t>
            </w:r>
          </w:p>
        </w:tc>
        <w:tc>
          <w:tcPr>
            <w:tcW w:w="780" w:type="dxa"/>
          </w:tcPr>
          <w:p>
            <w:pPr>
              <w:tabs>
                <w:tab w:val="left" w:pos="0"/>
                <w:tab w:val="left" w:pos="395"/>
              </w:tabs>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c>
          <w:tcPr>
            <w:tcW w:w="599" w:type="dxa"/>
          </w:tcPr>
          <w:p>
            <w:pPr>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c>
          <w:tcPr>
            <w:tcW w:w="615" w:type="dxa"/>
          </w:tcPr>
          <w:p>
            <w:pPr>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c>
          <w:tcPr>
            <w:tcW w:w="720" w:type="dxa"/>
          </w:tcPr>
          <w:p>
            <w:pPr>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c>
          <w:tcPr>
            <w:tcW w:w="960" w:type="dxa"/>
          </w:tcPr>
          <w:p>
            <w:pPr>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c>
          <w:tcPr>
            <w:tcW w:w="778" w:type="dxa"/>
          </w:tcPr>
          <w:p>
            <w:pPr>
              <w:jc w:val="center"/>
              <w:rPr>
                <w:rFonts w:ascii="黑体" w:hAnsi="Trebuchet MS" w:eastAsia="黑体" w:cs="Times New Roman"/>
                <w:kern w:val="0"/>
                <w:sz w:val="20"/>
                <w:szCs w:val="20"/>
              </w:rPr>
            </w:pPr>
            <w:r>
              <w:rPr>
                <w:rFonts w:ascii="黑体" w:hAnsi="Trebuchet MS" w:eastAsia="黑体" w:cs="Times New Roman"/>
                <w:kern w:val="0"/>
                <w:sz w:val="20"/>
                <w:szCs w:val="20"/>
              </w:rPr>
              <w:sym w:font="Wingdings" w:char="F0A8"/>
            </w:r>
          </w:p>
        </w:tc>
      </w:tr>
    </w:tbl>
    <w:tbl>
      <w:tblPr>
        <w:tblStyle w:val="977"/>
        <w:tblpPr w:leftFromText="180" w:rightFromText="180" w:vertAnchor="text" w:horzAnchor="page" w:tblpX="1626" w:tblpY="19"/>
        <w:tblOverlap w:val="never"/>
        <w:tblW w:w="8897"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407"/>
        <w:gridCol w:w="4040"/>
        <w:gridCol w:w="778"/>
        <w:gridCol w:w="599"/>
        <w:gridCol w:w="600"/>
        <w:gridCol w:w="735"/>
        <w:gridCol w:w="945"/>
        <w:gridCol w:w="793"/>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5" w:hRule="atLeast"/>
        </w:trPr>
        <w:tc>
          <w:tcPr>
            <w:tcW w:w="4447"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ascii="黑体" w:hAnsi="Trebuchet MS" w:eastAsia="黑体" w:cs="宋体"/>
                <w:b/>
                <w:bCs w:val="0"/>
                <w:color w:val="FFFFFF" w:themeColor="background1"/>
                <w:kern w:val="0"/>
                <w:sz w:val="20"/>
                <w:szCs w:val="20"/>
                <w14:textFill>
                  <w14:solidFill>
                    <w14:schemeClr w14:val="bg1"/>
                  </w14:solidFill>
                </w14:textFill>
              </w:rPr>
            </w:pPr>
            <w:bookmarkStart w:id="32" w:name="_Hlk27644540"/>
            <w:r>
              <w:rPr>
                <w:rFonts w:hint="eastAsia" w:ascii="黑体" w:hAnsi="Trebuchet MS" w:eastAsia="黑体" w:cs="Times New Roman"/>
                <w:b/>
                <w:bCs/>
                <w:color w:val="auto"/>
                <w:kern w:val="0"/>
                <w:sz w:val="20"/>
                <w:szCs w:val="20"/>
              </w:rPr>
              <w:t>（</w:t>
            </w:r>
            <w:r>
              <w:rPr>
                <w:rFonts w:hint="eastAsia" w:ascii="黑体" w:hAnsi="Trebuchet MS" w:eastAsia="黑体" w:cs="Times New Roman"/>
                <w:b/>
                <w:bCs/>
                <w:color w:val="auto"/>
                <w:kern w:val="0"/>
                <w:sz w:val="20"/>
                <w:szCs w:val="20"/>
                <w:lang w:val="en-US" w:eastAsia="zh-CN"/>
              </w:rPr>
              <w:t>五</w:t>
            </w:r>
            <w:r>
              <w:rPr>
                <w:rFonts w:hint="eastAsia" w:ascii="黑体" w:hAnsi="Trebuchet MS" w:eastAsia="黑体" w:cs="Times New Roman"/>
                <w:b/>
                <w:bCs/>
                <w:color w:val="auto"/>
                <w:kern w:val="0"/>
                <w:sz w:val="20"/>
                <w:szCs w:val="20"/>
              </w:rPr>
              <w:t>）公共设施设备维护管理</w:t>
            </w:r>
          </w:p>
        </w:tc>
        <w:tc>
          <w:tcPr>
            <w:tcW w:w="778"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hint="eastAsia" w:eastAsia="宋体" w:cs="宋体" w:asciiTheme="minorEastAsia" w:hAnsiTheme="minorEastAsia"/>
                <w:b/>
                <w:bCs/>
                <w:color w:val="auto"/>
                <w:kern w:val="0"/>
                <w:sz w:val="18"/>
                <w:szCs w:val="18"/>
              </w:rPr>
              <w:t>很</w:t>
            </w:r>
            <w:r>
              <w:rPr>
                <w:rFonts w:eastAsia="宋体" w:cs="宋体" w:asciiTheme="minorEastAsia" w:hAnsiTheme="minorEastAsia"/>
                <w:b/>
                <w:bCs/>
                <w:color w:val="auto"/>
                <w:kern w:val="0"/>
                <w:sz w:val="18"/>
                <w:szCs w:val="18"/>
              </w:rPr>
              <w:t>满意</w:t>
            </w:r>
          </w:p>
        </w:tc>
        <w:tc>
          <w:tcPr>
            <w:tcW w:w="599"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eastAsia="宋体" w:cs="宋体" w:asciiTheme="minorEastAsia" w:hAnsiTheme="minorEastAsia"/>
                <w:b/>
                <w:bCs/>
                <w:color w:val="auto"/>
                <w:kern w:val="0"/>
                <w:sz w:val="18"/>
                <w:szCs w:val="18"/>
              </w:rPr>
              <w:t>满意</w:t>
            </w:r>
          </w:p>
        </w:tc>
        <w:tc>
          <w:tcPr>
            <w:tcW w:w="600"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center"/>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eastAsia="宋体" w:cs="宋体" w:asciiTheme="minorEastAsia" w:hAnsiTheme="minorEastAsia"/>
                <w:b/>
                <w:bCs/>
                <w:color w:val="auto"/>
                <w:kern w:val="0"/>
                <w:sz w:val="18"/>
                <w:szCs w:val="18"/>
              </w:rPr>
              <w:t>一般</w:t>
            </w:r>
          </w:p>
        </w:tc>
        <w:tc>
          <w:tcPr>
            <w:tcW w:w="73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right="-250" w:rightChars="-119"/>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rPr>
              <w:t>不</w:t>
            </w:r>
            <w:r>
              <w:rPr>
                <w:rFonts w:cs="Times New Roman" w:asciiTheme="majorEastAsia" w:hAnsiTheme="majorEastAsia" w:eastAsiaTheme="majorEastAsia"/>
                <w:b/>
                <w:bCs/>
                <w:color w:val="auto"/>
                <w:kern w:val="0"/>
                <w:sz w:val="18"/>
                <w:szCs w:val="18"/>
              </w:rPr>
              <w:t>满意</w:t>
            </w:r>
          </w:p>
        </w:tc>
        <w:tc>
          <w:tcPr>
            <w:tcW w:w="94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jc w:val="left"/>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hint="eastAsia" w:cs="宋体" w:asciiTheme="majorEastAsia" w:hAnsiTheme="majorEastAsia" w:eastAsiaTheme="majorEastAsia"/>
                <w:b/>
                <w:bCs/>
                <w:color w:val="auto"/>
                <w:kern w:val="0"/>
                <w:sz w:val="18"/>
                <w:szCs w:val="18"/>
              </w:rPr>
              <w:t>很</w:t>
            </w:r>
            <w:r>
              <w:rPr>
                <w:rFonts w:cs="宋体" w:asciiTheme="majorEastAsia" w:hAnsiTheme="majorEastAsia" w:eastAsiaTheme="majorEastAsia"/>
                <w:b/>
                <w:bCs/>
                <w:color w:val="auto"/>
                <w:kern w:val="0"/>
                <w:sz w:val="18"/>
                <w:szCs w:val="18"/>
              </w:rPr>
              <w:t>不满意</w:t>
            </w:r>
          </w:p>
        </w:tc>
        <w:tc>
          <w:tcPr>
            <w:tcW w:w="79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ind w:right="-250" w:rightChars="-119"/>
              <w:rPr>
                <w:rFonts w:eastAsia="宋体" w:cs="Times New Roman" w:asciiTheme="minorEastAsia" w:hAnsiTheme="minorEastAsia"/>
                <w:b/>
                <w:bCs/>
                <w:color w:val="FFFFFF" w:themeColor="background1"/>
                <w:kern w:val="0"/>
                <w:sz w:val="18"/>
                <w:szCs w:val="18"/>
                <w14:textFill>
                  <w14:solidFill>
                    <w14:schemeClr w14:val="bg1"/>
                  </w14:solidFill>
                </w14:textFill>
              </w:rPr>
            </w:pPr>
            <w:r>
              <w:rPr>
                <w:rFonts w:hint="eastAsia" w:cs="宋体" w:asciiTheme="majorEastAsia" w:hAnsiTheme="majorEastAsia" w:eastAsiaTheme="majorEastAsia"/>
                <w:b/>
                <w:bCs/>
                <w:color w:val="auto"/>
                <w:kern w:val="0"/>
                <w:sz w:val="18"/>
                <w:szCs w:val="18"/>
              </w:rPr>
              <w:t>不了解</w:t>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22" w:hRule="atLeast"/>
        </w:trPr>
        <w:tc>
          <w:tcPr>
            <w:tcW w:w="407" w:type="dxa"/>
          </w:tcPr>
          <w:p>
            <w:pPr>
              <w:jc w:val="center"/>
              <w:rPr>
                <w:rFonts w:hint="eastAsia" w:ascii="Trebuchet MS" w:hAnsi="Trebuchet MS" w:eastAsia="宋体" w:cs="Times New Roman"/>
                <w:b w:val="0"/>
                <w:bCs w:val="0"/>
                <w:kern w:val="0"/>
                <w:sz w:val="20"/>
                <w:szCs w:val="20"/>
                <w:lang w:val="en-US" w:eastAsia="zh-CN"/>
              </w:rPr>
            </w:pPr>
            <w:r>
              <w:rPr>
                <w:rFonts w:hint="eastAsia" w:ascii="Trebuchet MS" w:hAnsi="Trebuchet MS" w:eastAsia="宋体" w:cs="Times New Roman"/>
                <w:b/>
                <w:bCs/>
                <w:kern w:val="0"/>
                <w:sz w:val="20"/>
                <w:szCs w:val="20"/>
                <w:lang w:val="en-US" w:eastAsia="zh-CN"/>
              </w:rPr>
              <w:t>8</w:t>
            </w:r>
          </w:p>
        </w:tc>
        <w:tc>
          <w:tcPr>
            <w:tcW w:w="404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电梯</w:t>
            </w:r>
            <w:r>
              <w:rPr>
                <w:rFonts w:hint="eastAsia" w:ascii="Times New Roman" w:hAnsi="Times New Roman" w:eastAsia="宋体" w:cs="Times New Roman"/>
                <w:kern w:val="0"/>
                <w:sz w:val="20"/>
                <w:szCs w:val="20"/>
                <w:lang w:val="en-US" w:eastAsia="zh-CN"/>
              </w:rPr>
              <w:t>维保、</w:t>
            </w:r>
            <w:r>
              <w:rPr>
                <w:rFonts w:hint="eastAsia" w:ascii="Times New Roman" w:hAnsi="Times New Roman" w:eastAsia="宋体" w:cs="Times New Roman"/>
                <w:kern w:val="0"/>
                <w:sz w:val="20"/>
                <w:szCs w:val="20"/>
              </w:rPr>
              <w:t>运行情况</w:t>
            </w:r>
          </w:p>
        </w:tc>
        <w:tc>
          <w:tcPr>
            <w:tcW w:w="778"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99"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60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3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94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93"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22" w:hRule="atLeast"/>
        </w:trPr>
        <w:tc>
          <w:tcPr>
            <w:tcW w:w="407" w:type="dxa"/>
          </w:tcPr>
          <w:p>
            <w:pPr>
              <w:widowControl/>
              <w:jc w:val="center"/>
              <w:rPr>
                <w:rFonts w:hint="eastAsia" w:ascii="Trebuchet MS" w:hAnsi="Trebuchet MS" w:eastAsia="宋体" w:cs="Times New Roman"/>
                <w:b w:val="0"/>
                <w:bCs w:val="0"/>
                <w:kern w:val="0"/>
                <w:sz w:val="20"/>
                <w:szCs w:val="20"/>
                <w:lang w:val="en-US" w:eastAsia="zh-CN"/>
              </w:rPr>
            </w:pPr>
            <w:r>
              <w:rPr>
                <w:rFonts w:hint="eastAsia" w:ascii="Trebuchet MS" w:hAnsi="Trebuchet MS" w:eastAsia="宋体" w:cs="Times New Roman"/>
                <w:b/>
                <w:bCs/>
                <w:kern w:val="0"/>
                <w:sz w:val="20"/>
                <w:szCs w:val="20"/>
                <w:lang w:val="en-US" w:eastAsia="zh-CN"/>
              </w:rPr>
              <w:t>9</w:t>
            </w:r>
          </w:p>
        </w:tc>
        <w:tc>
          <w:tcPr>
            <w:tcW w:w="40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中央空调供冷（热）效果</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噪音情况</w:t>
            </w:r>
          </w:p>
        </w:tc>
        <w:tc>
          <w:tcPr>
            <w:tcW w:w="778"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99"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60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3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94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93"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bookmarkEnd w:id="32"/>
    </w:tbl>
    <w:tbl>
      <w:tblPr>
        <w:tblStyle w:val="977"/>
        <w:tblpPr w:leftFromText="180" w:rightFromText="180" w:vertAnchor="text" w:horzAnchor="page" w:tblpX="1630" w:tblpY="33"/>
        <w:tblOverlap w:val="never"/>
        <w:tblW w:w="8916" w:type="dxa"/>
        <w:tblInd w:w="0" w:type="dxa"/>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
      <w:tblGrid>
        <w:gridCol w:w="495"/>
        <w:gridCol w:w="4012"/>
        <w:gridCol w:w="735"/>
        <w:gridCol w:w="589"/>
        <w:gridCol w:w="624"/>
        <w:gridCol w:w="715"/>
        <w:gridCol w:w="936"/>
        <w:gridCol w:w="810"/>
      </w:tblGrid>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335" w:hRule="atLeast"/>
        </w:trPr>
        <w:tc>
          <w:tcPr>
            <w:tcW w:w="4507" w:type="dxa"/>
            <w:gridSpan w:val="2"/>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rPr>
                <w:rFonts w:hint="eastAsia" w:ascii="黑体" w:hAnsi="Trebuchet MS" w:eastAsia="黑体" w:cs="宋体"/>
                <w:b w:val="0"/>
                <w:bCs w:val="0"/>
                <w:color w:val="FFFFFF" w:themeColor="background1"/>
                <w:kern w:val="0"/>
                <w:sz w:val="20"/>
                <w:szCs w:val="20"/>
                <w:lang w:eastAsia="zh-CN"/>
                <w14:textFill>
                  <w14:solidFill>
                    <w14:schemeClr w14:val="bg1"/>
                  </w14:solidFill>
                </w14:textFill>
              </w:rPr>
            </w:pPr>
            <w:r>
              <w:rPr>
                <w:rFonts w:hint="eastAsia" w:ascii="黑体" w:hAnsi="Trebuchet MS" w:eastAsia="黑体" w:cs="Times New Roman"/>
                <w:b/>
                <w:bCs w:val="0"/>
                <w:color w:val="auto"/>
                <w:kern w:val="0"/>
                <w:sz w:val="20"/>
                <w:szCs w:val="20"/>
              </w:rPr>
              <w:t>（</w:t>
            </w:r>
            <w:r>
              <w:rPr>
                <w:rFonts w:hint="eastAsia" w:ascii="黑体" w:hAnsi="Trebuchet MS" w:eastAsia="黑体" w:cs="Times New Roman"/>
                <w:b/>
                <w:bCs w:val="0"/>
                <w:color w:val="auto"/>
                <w:kern w:val="0"/>
                <w:sz w:val="20"/>
                <w:szCs w:val="20"/>
                <w:lang w:val="en-US" w:eastAsia="zh-CN"/>
              </w:rPr>
              <w:t>六</w:t>
            </w:r>
            <w:r>
              <w:rPr>
                <w:rFonts w:hint="eastAsia" w:ascii="黑体" w:hAnsi="Trebuchet MS" w:eastAsia="黑体" w:cs="Times New Roman"/>
                <w:b/>
                <w:bCs w:val="0"/>
                <w:color w:val="auto"/>
                <w:kern w:val="0"/>
                <w:sz w:val="20"/>
                <w:szCs w:val="20"/>
              </w:rPr>
              <w:t>）</w:t>
            </w:r>
            <w:r>
              <w:rPr>
                <w:rFonts w:hint="eastAsia" w:ascii="黑体" w:hAnsi="Trebuchet MS" w:eastAsia="黑体" w:cs="Times New Roman"/>
                <w:b/>
                <w:bCs w:val="0"/>
                <w:color w:val="auto"/>
                <w:kern w:val="0"/>
                <w:sz w:val="20"/>
                <w:szCs w:val="20"/>
                <w:lang w:val="en-US" w:eastAsia="zh-CN"/>
              </w:rPr>
              <w:t>消防安全</w:t>
            </w:r>
          </w:p>
        </w:tc>
        <w:tc>
          <w:tcPr>
            <w:tcW w:w="73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center"/>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lang w:val="en-US" w:eastAsia="zh-CN"/>
              </w:rPr>
              <w:t xml:space="preserve"> </w:t>
            </w:r>
            <w:r>
              <w:rPr>
                <w:rFonts w:hint="eastAsia" w:cs="Times New Roman" w:asciiTheme="majorEastAsia" w:hAnsiTheme="majorEastAsia" w:eastAsiaTheme="majorEastAsia"/>
                <w:b/>
                <w:bCs/>
                <w:color w:val="auto"/>
                <w:kern w:val="0"/>
                <w:sz w:val="18"/>
                <w:szCs w:val="18"/>
              </w:rPr>
              <w:t>很</w:t>
            </w:r>
            <w:r>
              <w:rPr>
                <w:rFonts w:cs="Times New Roman" w:asciiTheme="majorEastAsia" w:hAnsiTheme="majorEastAsia" w:eastAsiaTheme="majorEastAsia"/>
                <w:b/>
                <w:bCs/>
                <w:color w:val="auto"/>
                <w:kern w:val="0"/>
                <w:sz w:val="18"/>
                <w:szCs w:val="18"/>
              </w:rPr>
              <w:t>满意</w:t>
            </w:r>
          </w:p>
        </w:tc>
        <w:tc>
          <w:tcPr>
            <w:tcW w:w="589"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right"/>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cs="Times New Roman" w:asciiTheme="majorEastAsia" w:hAnsiTheme="majorEastAsia" w:eastAsiaTheme="majorEastAsia"/>
                <w:b/>
                <w:bCs/>
                <w:color w:val="auto"/>
                <w:kern w:val="0"/>
                <w:sz w:val="18"/>
                <w:szCs w:val="18"/>
              </w:rPr>
              <w:t>满意</w:t>
            </w:r>
          </w:p>
        </w:tc>
        <w:tc>
          <w:tcPr>
            <w:tcW w:w="624"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center"/>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lang w:val="en-US" w:eastAsia="zh-CN"/>
              </w:rPr>
              <w:t xml:space="preserve">  </w:t>
            </w:r>
            <w:r>
              <w:rPr>
                <w:rFonts w:cs="Times New Roman" w:asciiTheme="majorEastAsia" w:hAnsiTheme="majorEastAsia" w:eastAsiaTheme="majorEastAsia"/>
                <w:b/>
                <w:bCs/>
                <w:color w:val="auto"/>
                <w:kern w:val="0"/>
                <w:sz w:val="18"/>
                <w:szCs w:val="18"/>
              </w:rPr>
              <w:t>一般</w:t>
            </w:r>
          </w:p>
        </w:tc>
        <w:tc>
          <w:tcPr>
            <w:tcW w:w="715"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right"/>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cs="Times New Roman" w:asciiTheme="majorEastAsia" w:hAnsiTheme="majorEastAsia" w:eastAsiaTheme="majorEastAsia"/>
                <w:b/>
                <w:bCs/>
                <w:color w:val="auto"/>
                <w:kern w:val="0"/>
                <w:sz w:val="18"/>
                <w:szCs w:val="18"/>
              </w:rPr>
              <w:t>不满意</w:t>
            </w:r>
          </w:p>
        </w:tc>
        <w:tc>
          <w:tcPr>
            <w:tcW w:w="936" w:type="dxa"/>
            <w:tcBorders>
              <w:top w:val="single" w:color="4F81BD" w:themeColor="accent1" w:sz="4" w:space="0"/>
              <w:bottom w:val="single" w:color="4F81BD" w:themeColor="accent1" w:sz="4" w:space="0"/>
              <w:right w:val="nil"/>
              <w:insideH w:val="single" w:sz="4" w:space="0"/>
              <w:insideV w:val="nil"/>
            </w:tcBorders>
            <w:shd w:val="clear" w:color="auto" w:fill="D8D8D8" w:themeFill="background1" w:themeFillShade="D9"/>
          </w:tcPr>
          <w:p>
            <w:pPr>
              <w:widowControl/>
              <w:ind w:left="-250" w:leftChars="-119" w:firstLine="65" w:firstLineChars="36"/>
              <w:jc w:val="right"/>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rPr>
              <w:t>很</w:t>
            </w:r>
            <w:r>
              <w:rPr>
                <w:rFonts w:cs="Times New Roman" w:asciiTheme="majorEastAsia" w:hAnsiTheme="majorEastAsia" w:eastAsiaTheme="majorEastAsia"/>
                <w:b/>
                <w:bCs/>
                <w:color w:val="auto"/>
                <w:kern w:val="0"/>
                <w:sz w:val="18"/>
                <w:szCs w:val="18"/>
              </w:rPr>
              <w:t>不满意</w:t>
            </w:r>
          </w:p>
        </w:tc>
        <w:tc>
          <w:tcPr>
            <w:tcW w:w="810"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8D8D8" w:themeFill="background1" w:themeFillShade="D9"/>
          </w:tcPr>
          <w:p>
            <w:pPr>
              <w:widowControl/>
              <w:ind w:left="-250" w:leftChars="-119" w:firstLine="65" w:firstLineChars="36"/>
              <w:jc w:val="center"/>
              <w:rPr>
                <w:rFonts w:cs="Times New Roman" w:asciiTheme="majorEastAsia" w:hAnsiTheme="majorEastAsia" w:eastAsiaTheme="majorEastAsia"/>
                <w:b w:val="0"/>
                <w:bCs/>
                <w:color w:val="FFFFFF" w:themeColor="background1"/>
                <w:kern w:val="0"/>
                <w:sz w:val="18"/>
                <w:szCs w:val="18"/>
                <w14:textFill>
                  <w14:solidFill>
                    <w14:schemeClr w14:val="bg1"/>
                  </w14:solidFill>
                </w14:textFill>
              </w:rPr>
            </w:pPr>
            <w:r>
              <w:rPr>
                <w:rFonts w:hint="eastAsia" w:cs="Times New Roman" w:asciiTheme="majorEastAsia" w:hAnsiTheme="majorEastAsia" w:eastAsiaTheme="majorEastAsia"/>
                <w:b/>
                <w:bCs/>
                <w:color w:val="auto"/>
                <w:kern w:val="0"/>
                <w:sz w:val="18"/>
                <w:szCs w:val="18"/>
              </w:rPr>
              <w:t>不了解</w:t>
            </w:r>
          </w:p>
        </w:tc>
      </w:tr>
      <w:tr>
        <w:tblPrEx>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CellMar>
            <w:top w:w="0" w:type="dxa"/>
            <w:left w:w="108" w:type="dxa"/>
            <w:bottom w:w="0" w:type="dxa"/>
            <w:right w:w="108" w:type="dxa"/>
          </w:tblCellMar>
        </w:tblPrEx>
        <w:trPr>
          <w:trHeight w:val="90" w:hRule="atLeast"/>
        </w:trPr>
        <w:tc>
          <w:tcPr>
            <w:tcW w:w="495" w:type="dxa"/>
          </w:tcPr>
          <w:p>
            <w:pPr>
              <w:rPr>
                <w:rFonts w:hint="eastAsia" w:ascii="Trebuchet MS" w:hAnsi="Trebuchet MS" w:eastAsia="宋体" w:cs="Times New Roman"/>
                <w:b w:val="0"/>
                <w:bCs w:val="0"/>
                <w:kern w:val="0"/>
                <w:sz w:val="20"/>
                <w:szCs w:val="20"/>
                <w:lang w:val="en-US" w:eastAsia="zh-CN"/>
              </w:rPr>
            </w:pPr>
            <w:r>
              <w:rPr>
                <w:rFonts w:hint="eastAsia" w:ascii="Trebuchet MS" w:hAnsi="Trebuchet MS" w:eastAsia="宋体" w:cs="Times New Roman"/>
                <w:b/>
                <w:bCs/>
                <w:kern w:val="0"/>
                <w:sz w:val="20"/>
                <w:szCs w:val="20"/>
              </w:rPr>
              <w:t>1</w:t>
            </w:r>
            <w:r>
              <w:rPr>
                <w:rFonts w:hint="eastAsia" w:ascii="Trebuchet MS" w:hAnsi="Trebuchet MS" w:eastAsia="宋体" w:cs="Times New Roman"/>
                <w:b/>
                <w:bCs/>
                <w:kern w:val="0"/>
                <w:sz w:val="20"/>
                <w:szCs w:val="20"/>
                <w:lang w:val="en-US" w:eastAsia="zh-CN"/>
              </w:rPr>
              <w:t>0</w:t>
            </w:r>
          </w:p>
        </w:tc>
        <w:tc>
          <w:tcPr>
            <w:tcW w:w="4012" w:type="dxa"/>
          </w:tcPr>
          <w:p>
            <w:pPr>
              <w:rPr>
                <w:rFonts w:hint="default" w:ascii="Times New Roman" w:hAnsi="Times New Roman" w:eastAsia="宋体" w:cs="Times New Roman"/>
                <w:kern w:val="0"/>
                <w:sz w:val="20"/>
                <w:szCs w:val="20"/>
                <w:lang w:val="en-US" w:eastAsia="zh-CN"/>
              </w:rPr>
            </w:pPr>
            <w:r>
              <w:rPr>
                <w:rFonts w:hint="eastAsia" w:ascii="Trebuchet MS" w:hAnsi="Trebuchet MS" w:eastAsia="宋体" w:cs="Times New Roman"/>
                <w:color w:val="000000"/>
                <w:kern w:val="0"/>
                <w:sz w:val="20"/>
                <w:szCs w:val="20"/>
                <w:lang w:val="en-US" w:eastAsia="zh-CN"/>
              </w:rPr>
              <w:t>消控室值班及消防设施设备管理维护情况</w:t>
            </w:r>
          </w:p>
        </w:tc>
        <w:tc>
          <w:tcPr>
            <w:tcW w:w="73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589"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624"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715"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936"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c>
          <w:tcPr>
            <w:tcW w:w="810" w:type="dxa"/>
          </w:tcPr>
          <w:p>
            <w:pPr>
              <w:jc w:val="center"/>
              <w:rPr>
                <w:rFonts w:ascii="Times New Roman" w:hAnsi="Times New Roman" w:eastAsia="宋体" w:cs="Times New Roman"/>
                <w:kern w:val="0"/>
                <w:sz w:val="20"/>
                <w:szCs w:val="24"/>
              </w:rPr>
            </w:pPr>
            <w:r>
              <w:rPr>
                <w:rFonts w:ascii="Trebuchet MS" w:hAnsi="Trebuchet MS" w:eastAsia="宋体" w:cs="宋体"/>
                <w:kern w:val="0"/>
                <w:sz w:val="20"/>
                <w:szCs w:val="20"/>
              </w:rPr>
              <w:sym w:font="Wingdings" w:char="F0A8"/>
            </w:r>
          </w:p>
        </w:tc>
      </w:tr>
    </w:tbl>
    <w:p>
      <w:pPr>
        <w:rPr>
          <w:rFonts w:ascii="黑体" w:hAnsi="Trebuchet MS" w:eastAsia="黑体" w:cs="宋体"/>
          <w:b/>
          <w:bCs/>
          <w:kern w:val="0"/>
          <w:szCs w:val="21"/>
        </w:rPr>
      </w:pPr>
      <w:r>
        <w:rPr>
          <w:rFonts w:hint="eastAsia" w:ascii="黑体" w:hAnsi="Trebuchet MS" w:eastAsia="黑体" w:cs="宋体"/>
          <w:b/>
          <w:bCs/>
          <w:kern w:val="0"/>
          <w:szCs w:val="21"/>
        </w:rPr>
        <w:t>二、</w:t>
      </w:r>
      <w:r>
        <w:rPr>
          <w:rFonts w:ascii="黑体" w:hAnsi="Trebuchet MS" w:eastAsia="黑体" w:cs="宋体"/>
          <w:b/>
          <w:bCs/>
          <w:kern w:val="0"/>
          <w:szCs w:val="21"/>
        </w:rPr>
        <w:t>综合管理与服务评价</w:t>
      </w:r>
    </w:p>
    <w:p>
      <w:pPr>
        <w:tabs>
          <w:tab w:val="left" w:pos="1085"/>
          <w:tab w:val="left" w:pos="2170"/>
          <w:tab w:val="left" w:pos="3255"/>
          <w:tab w:val="left" w:pos="4340"/>
        </w:tabs>
        <w:ind w:firstLine="400" w:firstLineChars="200"/>
        <w:jc w:val="left"/>
        <w:rPr>
          <w:rFonts w:ascii="Trebuchet MS" w:hAnsi="Trebuchet MS"/>
          <w:kern w:val="0"/>
          <w:sz w:val="20"/>
          <w:szCs w:val="20"/>
        </w:rPr>
      </w:pPr>
      <w:r>
        <w:rPr>
          <w:rFonts w:hint="eastAsia" w:ascii="Trebuchet MS" w:hAnsi="Trebuchet MS"/>
          <w:kern w:val="0"/>
          <w:sz w:val="20"/>
          <w:szCs w:val="20"/>
        </w:rPr>
        <w:t xml:space="preserve">1. </w:t>
      </w:r>
      <w:r>
        <w:rPr>
          <w:rFonts w:ascii="Trebuchet MS" w:hAnsi="Trebuchet MS"/>
          <w:kern w:val="0"/>
          <w:sz w:val="20"/>
          <w:szCs w:val="20"/>
        </w:rPr>
        <w:t>您对物业管理服务</w:t>
      </w:r>
      <w:r>
        <w:rPr>
          <w:rFonts w:hint="eastAsia" w:ascii="Trebuchet MS" w:hAnsi="Trebuchet MS"/>
          <w:kern w:val="0"/>
          <w:sz w:val="20"/>
          <w:szCs w:val="20"/>
        </w:rPr>
        <w:t>的</w:t>
      </w:r>
      <w:r>
        <w:rPr>
          <w:rFonts w:ascii="Trebuchet MS" w:hAnsi="Trebuchet MS"/>
          <w:kern w:val="0"/>
          <w:sz w:val="20"/>
          <w:szCs w:val="20"/>
        </w:rPr>
        <w:t>整体水平评价为</w:t>
      </w:r>
      <w:r>
        <w:rPr>
          <w:rFonts w:hint="eastAsia" w:ascii="Trebuchet MS" w:hAnsi="Trebuchet MS"/>
          <w:kern w:val="0"/>
          <w:sz w:val="20"/>
          <w:szCs w:val="20"/>
        </w:rPr>
        <w:t>：</w:t>
      </w:r>
    </w:p>
    <w:p>
      <w:pPr>
        <w:tabs>
          <w:tab w:val="left" w:pos="1085"/>
          <w:tab w:val="left" w:pos="2170"/>
          <w:tab w:val="left" w:pos="3255"/>
          <w:tab w:val="left" w:pos="4340"/>
        </w:tabs>
        <w:ind w:firstLine="400" w:firstLineChars="200"/>
        <w:jc w:val="left"/>
        <w:rPr>
          <w:rFonts w:ascii="Trebuchet MS" w:hAnsi="Trebuchet MS" w:cs="宋体"/>
          <w:kern w:val="0"/>
          <w:sz w:val="20"/>
          <w:szCs w:val="20"/>
        </w:rPr>
      </w:pPr>
      <w:r>
        <w:rPr>
          <w:rFonts w:ascii="Trebuchet MS" w:hAnsi="Trebuchet MS" w:cs="宋体"/>
          <w:kern w:val="0"/>
          <w:sz w:val="20"/>
          <w:szCs w:val="20"/>
        </w:rPr>
        <w:sym w:font="Wingdings" w:char="F0A8"/>
      </w:r>
      <w:r>
        <w:rPr>
          <w:rFonts w:hint="eastAsia" w:ascii="Trebuchet MS" w:hAnsi="Trebuchet MS" w:cs="宋体"/>
          <w:kern w:val="0"/>
          <w:sz w:val="20"/>
          <w:szCs w:val="20"/>
        </w:rPr>
        <w:t xml:space="preserve"> 很满意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hint="eastAsia" w:ascii="Trebuchet MS" w:hAnsi="Trebuchet MS"/>
          <w:kern w:val="0"/>
          <w:sz w:val="20"/>
          <w:szCs w:val="20"/>
        </w:rPr>
        <w:t xml:space="preserve">满意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ascii="Trebuchet MS" w:hAnsi="Trebuchet MS" w:cs="宋体"/>
          <w:kern w:val="0"/>
          <w:sz w:val="20"/>
          <w:szCs w:val="20"/>
        </w:rPr>
        <w:t>一般</w:t>
      </w:r>
      <w:r>
        <w:rPr>
          <w:rFonts w:hint="eastAsia"/>
        </w:rPr>
        <w:t xml:space="preserve">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不满意</w:t>
      </w:r>
      <w:r>
        <w:rPr>
          <w:rFonts w:hint="eastAsia"/>
        </w:rPr>
        <w:t xml:space="preserve">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ascii="Trebuchet MS" w:hAnsi="Trebuchet MS" w:cs="宋体"/>
          <w:kern w:val="0"/>
          <w:sz w:val="20"/>
          <w:szCs w:val="20"/>
        </w:rPr>
        <w:t>很</w:t>
      </w:r>
      <w:r>
        <w:rPr>
          <w:rFonts w:hint="eastAsia" w:ascii="Trebuchet MS" w:hAnsi="Trebuchet MS" w:cs="宋体"/>
          <w:kern w:val="0"/>
          <w:sz w:val="20"/>
          <w:szCs w:val="20"/>
        </w:rPr>
        <w:t>不满意</w:t>
      </w:r>
    </w:p>
    <w:p>
      <w:pPr>
        <w:tabs>
          <w:tab w:val="left" w:pos="1085"/>
          <w:tab w:val="left" w:pos="2170"/>
          <w:tab w:val="left" w:pos="3255"/>
          <w:tab w:val="left" w:pos="4340"/>
        </w:tabs>
        <w:spacing w:before="156" w:beforeLines="50"/>
        <w:ind w:firstLine="400" w:firstLineChars="200"/>
        <w:jc w:val="left"/>
        <w:rPr>
          <w:rFonts w:ascii="Trebuchet MS" w:hAnsi="Trebuchet MS"/>
          <w:kern w:val="0"/>
          <w:sz w:val="20"/>
          <w:szCs w:val="20"/>
        </w:rPr>
      </w:pPr>
      <w:r>
        <w:rPr>
          <w:rFonts w:hint="eastAsia" w:ascii="Trebuchet MS" w:hAnsi="Trebuchet MS"/>
          <w:kern w:val="0"/>
          <w:sz w:val="20"/>
          <w:szCs w:val="20"/>
        </w:rPr>
        <w:t>2. 与上</w:t>
      </w:r>
      <w:r>
        <w:rPr>
          <w:rFonts w:hint="eastAsia" w:ascii="Trebuchet MS" w:hAnsi="Trebuchet MS"/>
          <w:kern w:val="0"/>
          <w:sz w:val="20"/>
          <w:szCs w:val="20"/>
          <w:lang w:val="en-US" w:eastAsia="zh-CN"/>
        </w:rPr>
        <w:t>一季度</w:t>
      </w:r>
      <w:r>
        <w:rPr>
          <w:rFonts w:hint="eastAsia" w:ascii="Trebuchet MS" w:hAnsi="Trebuchet MS"/>
          <w:kern w:val="0"/>
          <w:sz w:val="20"/>
          <w:szCs w:val="20"/>
        </w:rPr>
        <w:t>相比，您认为在规范服务人员行为，提高物业管理水平等方面变化如何：</w:t>
      </w:r>
    </w:p>
    <w:p>
      <w:pPr>
        <w:tabs>
          <w:tab w:val="left" w:pos="1085"/>
          <w:tab w:val="left" w:pos="2170"/>
          <w:tab w:val="left" w:pos="3255"/>
          <w:tab w:val="left" w:pos="4340"/>
        </w:tabs>
        <w:ind w:firstLine="400" w:firstLineChars="200"/>
        <w:jc w:val="left"/>
        <w:rPr>
          <w:rFonts w:ascii="Trebuchet MS" w:hAnsi="Trebuchet MS"/>
          <w:kern w:val="0"/>
          <w:sz w:val="20"/>
          <w:szCs w:val="20"/>
        </w:rPr>
      </w:pPr>
      <w:r>
        <w:rPr>
          <w:rFonts w:ascii="Trebuchet MS" w:hAnsi="Trebuchet MS"/>
          <w:kern w:val="0"/>
          <w:sz w:val="20"/>
          <w:szCs w:val="20"/>
        </w:rPr>
        <w:sym w:font="Wingdings" w:char="F0A8"/>
      </w:r>
      <w:r>
        <w:rPr>
          <w:rFonts w:hint="eastAsia" w:ascii="Trebuchet MS" w:hAnsi="Trebuchet MS"/>
          <w:kern w:val="0"/>
          <w:sz w:val="20"/>
          <w:szCs w:val="20"/>
        </w:rPr>
        <w:t xml:space="preserve"> 明显加强    </w:t>
      </w:r>
      <w:r>
        <w:rPr>
          <w:rFonts w:ascii="Trebuchet MS" w:hAnsi="Trebuchet MS"/>
          <w:kern w:val="0"/>
          <w:sz w:val="20"/>
          <w:szCs w:val="20"/>
        </w:rPr>
        <w:sym w:font="Wingdings" w:char="F0A8"/>
      </w:r>
      <w:r>
        <w:rPr>
          <w:rFonts w:hint="eastAsia" w:ascii="Trebuchet MS" w:hAnsi="Trebuchet MS"/>
          <w:kern w:val="0"/>
          <w:sz w:val="20"/>
          <w:szCs w:val="20"/>
        </w:rPr>
        <w:t xml:space="preserve"> 加强    </w:t>
      </w:r>
      <w:r>
        <w:rPr>
          <w:rFonts w:ascii="Trebuchet MS" w:hAnsi="Trebuchet MS"/>
          <w:kern w:val="0"/>
          <w:sz w:val="20"/>
          <w:szCs w:val="20"/>
        </w:rPr>
        <w:sym w:font="Wingdings" w:char="F0A8"/>
      </w:r>
      <w:r>
        <w:rPr>
          <w:rFonts w:hint="eastAsia" w:ascii="Trebuchet MS" w:hAnsi="Trebuchet MS"/>
          <w:kern w:val="0"/>
          <w:sz w:val="20"/>
          <w:szCs w:val="20"/>
        </w:rPr>
        <w:t xml:space="preserve"> 没有变化    </w:t>
      </w:r>
      <w:r>
        <w:rPr>
          <w:rFonts w:ascii="Trebuchet MS" w:hAnsi="Trebuchet MS"/>
          <w:kern w:val="0"/>
          <w:sz w:val="20"/>
          <w:szCs w:val="20"/>
        </w:rPr>
        <w:sym w:font="Wingdings" w:char="F0A8"/>
      </w:r>
      <w:r>
        <w:rPr>
          <w:rFonts w:hint="eastAsia" w:ascii="Trebuchet MS" w:hAnsi="Trebuchet MS"/>
          <w:kern w:val="0"/>
          <w:sz w:val="20"/>
          <w:szCs w:val="20"/>
        </w:rPr>
        <w:t xml:space="preserve"> 减弱    </w:t>
      </w:r>
      <w:r>
        <w:rPr>
          <w:rFonts w:ascii="Trebuchet MS" w:hAnsi="Trebuchet MS"/>
          <w:kern w:val="0"/>
          <w:sz w:val="20"/>
          <w:szCs w:val="20"/>
        </w:rPr>
        <w:sym w:font="Wingdings" w:char="F0A8"/>
      </w:r>
      <w:r>
        <w:rPr>
          <w:rFonts w:hint="eastAsia" w:ascii="Trebuchet MS" w:hAnsi="Trebuchet MS"/>
          <w:kern w:val="0"/>
          <w:sz w:val="20"/>
          <w:szCs w:val="20"/>
        </w:rPr>
        <w:t xml:space="preserve"> 明显减弱    </w:t>
      </w:r>
      <w:r>
        <w:rPr>
          <w:rFonts w:ascii="Trebuchet MS" w:hAnsi="Trebuchet MS"/>
          <w:kern w:val="0"/>
          <w:sz w:val="20"/>
          <w:szCs w:val="20"/>
        </w:rPr>
        <w:sym w:font="Wingdings" w:char="F0A8"/>
      </w:r>
      <w:r>
        <w:rPr>
          <w:rFonts w:hint="eastAsia" w:ascii="Trebuchet MS" w:hAnsi="Trebuchet MS"/>
          <w:kern w:val="0"/>
          <w:sz w:val="20"/>
          <w:szCs w:val="20"/>
        </w:rPr>
        <w:t xml:space="preserve"> 讲不清楚</w:t>
      </w:r>
    </w:p>
    <w:p>
      <w:pPr>
        <w:tabs>
          <w:tab w:val="left" w:pos="1085"/>
          <w:tab w:val="left" w:pos="2170"/>
          <w:tab w:val="left" w:pos="3255"/>
          <w:tab w:val="left" w:pos="4340"/>
        </w:tabs>
        <w:spacing w:before="156" w:beforeLines="50"/>
        <w:ind w:firstLine="400" w:firstLineChars="200"/>
        <w:jc w:val="left"/>
        <w:rPr>
          <w:rFonts w:hint="eastAsia" w:ascii="Trebuchet MS" w:hAnsi="Trebuchet MS"/>
          <w:kern w:val="0"/>
          <w:sz w:val="20"/>
          <w:szCs w:val="20"/>
        </w:rPr>
      </w:pPr>
      <w:r>
        <w:rPr>
          <w:rFonts w:hint="eastAsia" w:ascii="Trebuchet MS" w:hAnsi="Trebuchet MS"/>
          <w:kern w:val="0"/>
          <w:sz w:val="20"/>
          <w:szCs w:val="20"/>
          <w:lang w:val="en-US" w:eastAsia="zh-CN"/>
        </w:rPr>
        <w:t>3</w:t>
      </w:r>
      <w:r>
        <w:rPr>
          <w:rFonts w:hint="eastAsia" w:ascii="Trebuchet MS" w:hAnsi="Trebuchet MS"/>
          <w:kern w:val="0"/>
          <w:sz w:val="20"/>
          <w:szCs w:val="20"/>
        </w:rPr>
        <w:t>. 您对物业项目经理（项目主任）的评价？</w:t>
      </w:r>
    </w:p>
    <w:p>
      <w:pPr>
        <w:tabs>
          <w:tab w:val="left" w:pos="1085"/>
          <w:tab w:val="left" w:pos="2170"/>
          <w:tab w:val="left" w:pos="3255"/>
          <w:tab w:val="left" w:pos="4340"/>
        </w:tabs>
        <w:spacing w:line="240" w:lineRule="auto"/>
        <w:ind w:firstLine="400" w:firstLineChars="200"/>
        <w:jc w:val="left"/>
        <w:rPr>
          <w:rFonts w:hint="eastAsia" w:ascii="Trebuchet MS" w:hAnsi="Trebuchet MS"/>
          <w:kern w:val="0"/>
          <w:sz w:val="20"/>
          <w:szCs w:val="20"/>
        </w:rPr>
      </w:pPr>
      <w:r>
        <w:rPr>
          <w:rFonts w:ascii="Trebuchet MS" w:hAnsi="Trebuchet MS" w:cs="宋体"/>
          <w:kern w:val="0"/>
          <w:sz w:val="20"/>
          <w:szCs w:val="20"/>
        </w:rPr>
        <w:sym w:font="Wingdings" w:char="F0A8"/>
      </w:r>
      <w:r>
        <w:rPr>
          <w:rFonts w:hint="eastAsia" w:ascii="Trebuchet MS" w:hAnsi="Trebuchet MS" w:cs="宋体"/>
          <w:kern w:val="0"/>
          <w:sz w:val="20"/>
          <w:szCs w:val="20"/>
        </w:rPr>
        <w:t xml:space="preserve"> 很满意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hint="eastAsia" w:ascii="Trebuchet MS" w:hAnsi="Trebuchet MS"/>
          <w:kern w:val="0"/>
          <w:sz w:val="20"/>
          <w:szCs w:val="20"/>
        </w:rPr>
        <w:t xml:space="preserve">满意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ascii="Trebuchet MS" w:hAnsi="Trebuchet MS" w:cs="宋体"/>
          <w:kern w:val="0"/>
          <w:sz w:val="20"/>
          <w:szCs w:val="20"/>
        </w:rPr>
        <w:t>一般</w:t>
      </w:r>
      <w:r>
        <w:rPr>
          <w:rFonts w:hint="eastAsia"/>
        </w:rPr>
        <w:t xml:space="preserve">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不满意</w:t>
      </w:r>
      <w:r>
        <w:rPr>
          <w:rFonts w:hint="eastAsia"/>
        </w:rPr>
        <w:t xml:space="preserve">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ascii="Trebuchet MS" w:hAnsi="Trebuchet MS" w:cs="宋体"/>
          <w:kern w:val="0"/>
          <w:sz w:val="20"/>
          <w:szCs w:val="20"/>
        </w:rPr>
        <w:t>很</w:t>
      </w:r>
      <w:r>
        <w:rPr>
          <w:rFonts w:hint="eastAsia" w:ascii="Trebuchet MS" w:hAnsi="Trebuchet MS" w:cs="宋体"/>
          <w:kern w:val="0"/>
          <w:sz w:val="20"/>
          <w:szCs w:val="20"/>
        </w:rPr>
        <w:t>不满意</w:t>
      </w:r>
    </w:p>
    <w:p>
      <w:pPr>
        <w:spacing w:before="156" w:beforeLines="50" w:after="156" w:afterLines="50"/>
        <w:rPr>
          <w:rFonts w:ascii="黑体" w:hAnsi="Trebuchet MS" w:eastAsia="黑体" w:cs="宋体"/>
          <w:b/>
          <w:bCs/>
          <w:kern w:val="0"/>
          <w:szCs w:val="21"/>
        </w:rPr>
      </w:pPr>
      <w:r>
        <w:rPr>
          <w:rFonts w:hint="eastAsia" w:ascii="黑体" w:hAnsi="Trebuchet MS" w:eastAsia="黑体" w:cs="宋体"/>
          <w:b/>
          <w:bCs/>
          <w:kern w:val="0"/>
          <w:szCs w:val="21"/>
        </w:rPr>
        <w:t>三、如果您对物业管理服务还有其他意见或建议，请写在此处：</w:t>
      </w:r>
    </w:p>
    <w:tbl>
      <w:tblPr>
        <w:tblStyle w:val="76"/>
        <w:tblW w:w="7938" w:type="dxa"/>
        <w:tblInd w:w="584"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65" w:hRule="atLeast"/>
        </w:trPr>
        <w:tc>
          <w:tcPr>
            <w:tcW w:w="7938" w:type="dxa"/>
          </w:tcPr>
          <w:p>
            <w:pPr>
              <w:rPr>
                <w:rFonts w:ascii="Trebuchet MS" w:hAnsi="Trebuchet MS"/>
                <w:kern w:val="0"/>
                <w:sz w:val="20"/>
                <w:szCs w:val="2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65" w:hRule="atLeast"/>
        </w:trPr>
        <w:tc>
          <w:tcPr>
            <w:tcW w:w="7938" w:type="dxa"/>
          </w:tcPr>
          <w:p>
            <w:pPr>
              <w:rPr>
                <w:rFonts w:ascii="Trebuchet MS" w:hAnsi="Trebuchet MS"/>
                <w:kern w:val="0"/>
                <w:sz w:val="20"/>
                <w:szCs w:val="20"/>
              </w:rPr>
            </w:pPr>
          </w:p>
        </w:tc>
      </w:tr>
    </w:tbl>
    <w:p>
      <w:pPr>
        <w:ind w:firstLine="200" w:firstLineChars="100"/>
        <w:rPr>
          <w:rFonts w:hint="eastAsia" w:ascii="黑体" w:hAnsi="Trebuchet MS" w:eastAsia="黑体"/>
          <w:sz w:val="20"/>
          <w:szCs w:val="20"/>
        </w:rPr>
      </w:pPr>
    </w:p>
    <w:p>
      <w:pPr>
        <w:ind w:firstLine="200" w:firstLineChars="100"/>
        <w:rPr>
          <w:rFonts w:ascii="黑体" w:hAnsi="Trebuchet MS" w:eastAsia="黑体"/>
          <w:sz w:val="20"/>
          <w:szCs w:val="20"/>
        </w:rPr>
      </w:pPr>
      <w:r>
        <w:rPr>
          <w:rFonts w:hint="eastAsia" w:ascii="黑体" w:hAnsi="Trebuchet MS" w:eastAsia="黑体"/>
          <w:sz w:val="20"/>
          <w:szCs w:val="20"/>
        </w:rPr>
        <w:t>最后，为了便于分析统计，请您填写简单的个人资料，我们承诺严格保密。</w:t>
      </w:r>
    </w:p>
    <w:p>
      <w:pPr>
        <w:tabs>
          <w:tab w:val="left" w:pos="1085"/>
          <w:tab w:val="left" w:pos="2170"/>
          <w:tab w:val="left" w:pos="3255"/>
          <w:tab w:val="left" w:pos="4340"/>
        </w:tabs>
        <w:spacing w:line="140" w:lineRule="exact"/>
        <w:ind w:firstLine="400" w:firstLineChars="200"/>
        <w:jc w:val="left"/>
        <w:rPr>
          <w:rFonts w:ascii="Trebuchet MS" w:hAnsi="Trebuchet MS"/>
          <w:sz w:val="20"/>
          <w:szCs w:val="20"/>
        </w:rPr>
      </w:pPr>
    </w:p>
    <w:p>
      <w:pPr>
        <w:ind w:firstLine="400" w:firstLineChars="200"/>
        <w:rPr>
          <w:rFonts w:hint="default" w:ascii="Trebuchet MS" w:hAnsi="Trebuchet MS" w:eastAsiaTheme="minorEastAsia"/>
          <w:sz w:val="20"/>
          <w:szCs w:val="20"/>
          <w:lang w:val="en-US" w:eastAsia="zh-CN"/>
        </w:rPr>
      </w:pPr>
      <w:r>
        <w:rPr>
          <w:rFonts w:hint="eastAsia" w:ascii="Trebuchet MS" w:hAnsi="Trebuchet MS"/>
          <w:sz w:val="20"/>
          <w:szCs w:val="20"/>
        </w:rPr>
        <w:t>姓</w:t>
      </w:r>
      <w:r>
        <w:rPr>
          <w:rFonts w:hint="eastAsia" w:ascii="Trebuchet MS" w:hAnsi="Trebuchet MS"/>
          <w:sz w:val="20"/>
          <w:szCs w:val="20"/>
          <w:lang w:val="en-US" w:eastAsia="zh-CN"/>
        </w:rPr>
        <w:t xml:space="preserve">    </w:t>
      </w:r>
      <w:r>
        <w:rPr>
          <w:rFonts w:hint="eastAsia" w:ascii="Trebuchet MS" w:hAnsi="Trebuchet MS"/>
          <w:sz w:val="20"/>
          <w:szCs w:val="20"/>
        </w:rPr>
        <w:t>名：</w:t>
      </w:r>
      <w:r>
        <w:rPr>
          <w:rFonts w:hint="eastAsia" w:ascii="Trebuchet MS" w:hAnsi="Trebuchet MS"/>
          <w:sz w:val="20"/>
          <w:szCs w:val="20"/>
          <w:u w:val="single"/>
        </w:rPr>
        <w:t xml:space="preserve">     </w:t>
      </w:r>
      <w:r>
        <w:rPr>
          <w:rFonts w:hint="eastAsia" w:ascii="Trebuchet MS" w:hAnsi="Trebuchet MS"/>
          <w:sz w:val="20"/>
          <w:szCs w:val="20"/>
          <w:u w:val="single"/>
          <w:lang w:val="en-US" w:eastAsia="zh-CN"/>
        </w:rPr>
        <w:t xml:space="preserve">       </w:t>
      </w:r>
      <w:r>
        <w:rPr>
          <w:rFonts w:hint="eastAsia" w:ascii="Trebuchet MS" w:hAnsi="Trebuchet MS"/>
          <w:sz w:val="20"/>
          <w:szCs w:val="20"/>
          <w:u w:val="single"/>
        </w:rPr>
        <w:t xml:space="preserve">      </w:t>
      </w:r>
      <w:r>
        <w:rPr>
          <w:rFonts w:hint="eastAsia" w:ascii="Trebuchet MS" w:hAnsi="Trebuchet MS"/>
          <w:sz w:val="20"/>
          <w:szCs w:val="20"/>
          <w:u w:val="single"/>
          <w:lang w:val="en-US" w:eastAsia="zh-CN"/>
        </w:rPr>
        <w:t xml:space="preserve">              </w:t>
      </w:r>
      <w:r>
        <w:rPr>
          <w:rFonts w:hint="eastAsia" w:ascii="Trebuchet MS" w:hAnsi="Trebuchet MS"/>
          <w:sz w:val="20"/>
          <w:szCs w:val="20"/>
        </w:rPr>
        <w:t xml:space="preserve">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hint="eastAsia" w:ascii="Trebuchet MS" w:hAnsi="Trebuchet MS"/>
          <w:sz w:val="20"/>
          <w:szCs w:val="20"/>
        </w:rPr>
        <w:t xml:space="preserve">先生 </w:t>
      </w:r>
      <w:r>
        <w:rPr>
          <w:rFonts w:ascii="Trebuchet MS" w:hAnsi="Trebuchet MS" w:cs="宋体"/>
          <w:kern w:val="0"/>
          <w:sz w:val="20"/>
          <w:szCs w:val="20"/>
        </w:rPr>
        <w:sym w:font="Wingdings" w:char="F0A8"/>
      </w:r>
      <w:r>
        <w:rPr>
          <w:rFonts w:hint="eastAsia" w:ascii="Trebuchet MS" w:hAnsi="Trebuchet MS" w:cs="宋体"/>
          <w:kern w:val="0"/>
          <w:sz w:val="20"/>
          <w:szCs w:val="20"/>
        </w:rPr>
        <w:t xml:space="preserve"> </w:t>
      </w:r>
      <w:r>
        <w:rPr>
          <w:rFonts w:hint="eastAsia" w:ascii="Trebuchet MS" w:hAnsi="Trebuchet MS"/>
          <w:sz w:val="20"/>
          <w:szCs w:val="20"/>
        </w:rPr>
        <w:t>女士）</w:t>
      </w:r>
    </w:p>
    <w:p>
      <w:pPr>
        <w:spacing w:before="156" w:beforeLines="50"/>
        <w:ind w:firstLine="400" w:firstLineChars="200"/>
        <w:rPr>
          <w:rFonts w:ascii="Trebuchet MS" w:hAnsi="Trebuchet MS"/>
          <w:sz w:val="20"/>
          <w:szCs w:val="20"/>
        </w:rPr>
      </w:pPr>
      <w:r>
        <w:rPr>
          <w:rFonts w:hint="eastAsia" w:ascii="Trebuchet MS" w:hAnsi="Trebuchet MS"/>
          <w:sz w:val="20"/>
          <w:szCs w:val="20"/>
        </w:rPr>
        <w:t>办公地点：</w:t>
      </w:r>
      <w:r>
        <w:rPr>
          <w:rFonts w:hint="eastAsia" w:ascii="Trebuchet MS" w:hAnsi="Trebuchet MS"/>
          <w:sz w:val="20"/>
          <w:szCs w:val="20"/>
          <w:u w:val="single"/>
        </w:rPr>
        <w:t xml:space="preserve">  </w:t>
      </w:r>
      <w:r>
        <w:rPr>
          <w:rFonts w:ascii="Trebuchet MS" w:hAnsi="Trebuchet MS"/>
          <w:sz w:val="20"/>
          <w:szCs w:val="20"/>
          <w:u w:val="single"/>
        </w:rPr>
        <w:t xml:space="preserve">                       </w:t>
      </w:r>
      <w:r>
        <w:rPr>
          <w:rFonts w:hint="eastAsia" w:ascii="Trebuchet MS" w:hAnsi="Trebuchet MS"/>
          <w:sz w:val="20"/>
          <w:szCs w:val="20"/>
          <w:u w:val="single"/>
          <w:lang w:val="en-US" w:eastAsia="zh-CN"/>
        </w:rPr>
        <w:t xml:space="preserve">  </w:t>
      </w:r>
      <w:r>
        <w:rPr>
          <w:rFonts w:ascii="Trebuchet MS" w:hAnsi="Trebuchet MS"/>
          <w:sz w:val="20"/>
          <w:szCs w:val="20"/>
          <w:u w:val="single"/>
        </w:rPr>
        <w:t xml:space="preserve">     </w:t>
      </w:r>
      <w:r>
        <w:rPr>
          <w:rFonts w:hint="eastAsia" w:ascii="Trebuchet MS" w:hAnsi="Trebuchet MS"/>
          <w:sz w:val="20"/>
          <w:szCs w:val="20"/>
        </w:rPr>
        <w:t xml:space="preserve"> </w:t>
      </w:r>
      <w:r>
        <w:rPr>
          <w:rFonts w:ascii="Trebuchet MS" w:hAnsi="Trebuchet MS"/>
          <w:sz w:val="20"/>
          <w:szCs w:val="20"/>
        </w:rPr>
        <w:t xml:space="preserve">  </w:t>
      </w:r>
    </w:p>
    <w:p>
      <w:pPr>
        <w:spacing w:before="156" w:beforeLines="50"/>
        <w:ind w:firstLine="400" w:firstLineChars="20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rebuchet MS" w:hAnsi="Trebuchet MS"/>
          <w:sz w:val="20"/>
          <w:szCs w:val="20"/>
        </w:rPr>
        <w:t>联系电话：</w:t>
      </w:r>
      <w:r>
        <w:rPr>
          <w:rFonts w:hint="eastAsia" w:ascii="Trebuchet MS" w:hAnsi="Trebuchet MS"/>
          <w:sz w:val="20"/>
          <w:szCs w:val="20"/>
          <w:u w:val="single"/>
        </w:rPr>
        <w:t xml:space="preserve">                         </w:t>
      </w:r>
      <w:r>
        <w:rPr>
          <w:rFonts w:hint="eastAsia" w:ascii="Trebuchet MS" w:hAnsi="Trebuchet MS"/>
          <w:sz w:val="20"/>
          <w:szCs w:val="20"/>
          <w:u w:val="single"/>
          <w:lang w:val="en-US" w:eastAsia="zh-CN"/>
        </w:rPr>
        <w:t xml:space="preserve">      </w:t>
      </w:r>
      <w:r>
        <w:rPr>
          <w:rFonts w:hint="eastAsia" w:ascii="Trebuchet MS" w:hAnsi="Trebuchet MS"/>
          <w:sz w:val="20"/>
          <w:szCs w:val="20"/>
          <w:u w:val="single"/>
        </w:rPr>
        <w:t xml:space="preserve"> </w:t>
      </w:r>
    </w:p>
    <w:p>
      <w:pPr>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
          <w:bCs/>
          <w:sz w:val="24"/>
          <w:szCs w:val="24"/>
        </w:rPr>
        <w:t>（     ）物业服务</w:t>
      </w:r>
      <w:r>
        <w:rPr>
          <w:rFonts w:hint="eastAsia" w:ascii="仿宋" w:hAnsi="仿宋" w:eastAsia="仿宋" w:cs="仿宋"/>
          <w:b/>
          <w:bCs/>
          <w:sz w:val="24"/>
          <w:szCs w:val="24"/>
          <w:lang w:eastAsia="zh-CN"/>
        </w:rPr>
        <w:t>业主考核表</w:t>
      </w:r>
    </w:p>
    <w:p>
      <w:pPr>
        <w:spacing w:line="360" w:lineRule="auto"/>
        <w:ind w:firstLine="560"/>
        <w:jc w:val="righ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考核时间：</w:t>
      </w:r>
      <w:r>
        <w:rPr>
          <w:rFonts w:hint="eastAsia" w:ascii="仿宋" w:hAnsi="仿宋" w:eastAsia="仿宋" w:cs="仿宋"/>
          <w:bCs/>
          <w:color w:val="000000"/>
          <w:kern w:val="0"/>
          <w:sz w:val="24"/>
          <w:szCs w:val="24"/>
          <w:u w:val="single"/>
        </w:rPr>
        <w:t xml:space="preserve">      </w:t>
      </w:r>
      <w:r>
        <w:rPr>
          <w:rFonts w:hint="eastAsia" w:ascii="仿宋" w:hAnsi="仿宋" w:eastAsia="仿宋" w:cs="仿宋"/>
          <w:bCs/>
          <w:color w:val="000000"/>
          <w:kern w:val="0"/>
          <w:sz w:val="24"/>
          <w:szCs w:val="24"/>
        </w:rPr>
        <w:t>年</w:t>
      </w:r>
      <w:r>
        <w:rPr>
          <w:rFonts w:hint="eastAsia" w:ascii="仿宋" w:hAnsi="仿宋" w:eastAsia="仿宋" w:cs="仿宋"/>
          <w:bCs/>
          <w:color w:val="000000"/>
          <w:kern w:val="0"/>
          <w:sz w:val="24"/>
          <w:szCs w:val="24"/>
          <w:u w:val="single"/>
        </w:rPr>
        <w:t xml:space="preserve">   </w:t>
      </w:r>
      <w:r>
        <w:rPr>
          <w:rFonts w:hint="eastAsia" w:ascii="仿宋" w:hAnsi="仿宋" w:eastAsia="仿宋" w:cs="仿宋"/>
          <w:bCs/>
          <w:color w:val="000000"/>
          <w:kern w:val="0"/>
          <w:sz w:val="24"/>
          <w:szCs w:val="24"/>
        </w:rPr>
        <w:t xml:space="preserve">月   </w:t>
      </w:r>
    </w:p>
    <w:tbl>
      <w:tblPr>
        <w:tblStyle w:val="76"/>
        <w:tblW w:w="9956" w:type="dxa"/>
        <w:jc w:val="center"/>
        <w:tblInd w:w="0" w:type="dxa"/>
        <w:tblLayout w:type="fixed"/>
        <w:tblCellMar>
          <w:top w:w="57" w:type="dxa"/>
          <w:left w:w="57" w:type="dxa"/>
          <w:bottom w:w="57" w:type="dxa"/>
          <w:right w:w="57" w:type="dxa"/>
        </w:tblCellMar>
      </w:tblPr>
      <w:tblGrid>
        <w:gridCol w:w="1098"/>
        <w:gridCol w:w="3514"/>
        <w:gridCol w:w="1020"/>
        <w:gridCol w:w="2837"/>
        <w:gridCol w:w="708"/>
        <w:gridCol w:w="779"/>
      </w:tblGrid>
      <w:tr>
        <w:tblPrEx>
          <w:tblLayout w:type="fixed"/>
          <w:tblCellMar>
            <w:top w:w="57" w:type="dxa"/>
            <w:left w:w="57" w:type="dxa"/>
            <w:bottom w:w="57" w:type="dxa"/>
            <w:right w:w="57" w:type="dxa"/>
          </w:tblCellMar>
        </w:tblPrEx>
        <w:trPr>
          <w:trHeight w:val="668"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项目</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考核内容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分值</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960" w:firstLineChars="40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详情</w:t>
            </w:r>
          </w:p>
        </w:tc>
      </w:tr>
      <w:tr>
        <w:tblPrEx>
          <w:tblLayout w:type="fixed"/>
          <w:tblCellMar>
            <w:top w:w="57" w:type="dxa"/>
            <w:left w:w="57" w:type="dxa"/>
            <w:bottom w:w="57" w:type="dxa"/>
            <w:right w:w="57" w:type="dxa"/>
          </w:tblCellMar>
        </w:tblPrEx>
        <w:trPr>
          <w:trHeight w:val="1026" w:hRule="atLeast"/>
          <w:jc w:val="center"/>
        </w:trPr>
        <w:tc>
          <w:tcPr>
            <w:tcW w:w="1098" w:type="dxa"/>
            <w:vMerge w:val="restart"/>
            <w:tcBorders>
              <w:top w:val="single" w:color="000000" w:sz="4" w:space="0"/>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组织</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管理</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根据合同约定的服务内容，制定相关管理制度、应急预案，要求全面、完善、合理。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缺项每项扣0.5分；不合理每项扣0.2分。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6"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制度完善，实时更新。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每处不符扣0.5分。 </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711"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制定管理人员值班与巡检月度排班计划，并记录。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未按计划落实，每次扣0.2分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07"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按月度培训计划落实并记录。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计划不完善扣1分；未按计划落实每次扣0.5分。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19"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制定月度工作计划，明确工作要求，记录并总结。</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计划不完善扣0.5分；未按计划落实每次扣0.2分。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66"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tabs>
                <w:tab w:val="left" w:pos="720"/>
              </w:tabs>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每月组织全面自检，汇总检查情况并跟进。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未自检扣1分；未及时整改问题，每项扣0.5分。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667"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专业管理人员、技术人员持证上岗。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每发现1人无证上岗扣0.5分。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222" w:hRule="atLeast"/>
          <w:jc w:val="center"/>
        </w:trPr>
        <w:tc>
          <w:tcPr>
            <w:tcW w:w="1098" w:type="dxa"/>
            <w:vMerge w:val="continue"/>
            <w:tcBorders>
              <w:left w:val="single" w:color="000000" w:sz="4" w:space="0"/>
              <w:right w:val="single" w:color="000000" w:sz="4" w:space="0"/>
            </w:tcBorders>
            <w:vAlign w:val="center"/>
          </w:tcPr>
          <w:p>
            <w:pPr>
              <w:pStyle w:val="2"/>
              <w:spacing w:line="300" w:lineRule="exact"/>
              <w:ind w:firstLine="482"/>
              <w:jc w:val="center"/>
              <w:rPr>
                <w:rFonts w:hint="eastAsia" w:ascii="仿宋" w:hAnsi="仿宋" w:eastAsia="仿宋" w:cs="仿宋"/>
                <w:bCs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员工文明礼貌；遵守行为规范（仪容仪表、着装、佩戴工作牌等）。</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每发现1人不符合扣0.2分。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81"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按24小时服务制度，设立服务电话，并于公共场所公示；及时处理需求或投诉并记录、回访。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接有效投诉24小时服务电话不接听，每次扣0.2分；记录不完善每处扣0.2分。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10"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建立房屋及设施设备的档案，分类、齐全、完整。</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档案未建立不得分；资料缺项，每项扣0.2分。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1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仓库管理科学有序，帐物一致，仓库环境整洁。</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009"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规范使用房屋及共用设施;无违规使用情况，无私拉乱接网、电线现象。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违反规</w:t>
            </w:r>
            <w:r>
              <w:rPr>
                <w:rFonts w:hint="eastAsia" w:ascii="仿宋" w:hAnsi="仿宋" w:eastAsia="仿宋" w:cs="仿宋"/>
                <w:color w:val="000000"/>
                <w:kern w:val="0"/>
                <w:sz w:val="24"/>
                <w:szCs w:val="24"/>
                <w:lang w:eastAsia="zh-CN"/>
              </w:rPr>
              <w:t>范</w:t>
            </w:r>
            <w:r>
              <w:rPr>
                <w:rFonts w:hint="eastAsia" w:ascii="仿宋" w:hAnsi="仿宋" w:eastAsia="仿宋" w:cs="仿宋"/>
                <w:color w:val="000000"/>
                <w:kern w:val="0"/>
                <w:sz w:val="24"/>
                <w:szCs w:val="24"/>
              </w:rPr>
              <w:t>现象每次扣0.5分。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544" w:hRule="atLeast"/>
          <w:jc w:val="center"/>
        </w:trPr>
        <w:tc>
          <w:tcPr>
            <w:tcW w:w="1098" w:type="dxa"/>
            <w:vMerge w:val="restart"/>
            <w:tcBorders>
              <w:top w:val="single" w:color="000000" w:sz="4" w:space="0"/>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设施</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设备</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管理</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建立健全设施设备档案，包含基本信息、厂家或维护单位信息、维修和保养记录、操作流程和规范，岗位责任人等；确保设施设备维保有序，运行正常。</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档案未建立扣1分；档案缺项或未及时更新，维修保养不及时等每项扣0.5分。 </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086"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健全公共区域及设施设备的标识标牌，做好安全提醒，便于设备操作；安装整洁、美观、有序。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1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专业技术人员操作能力评估，掌握专业知识，熟悉设备，操作熟练。</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020"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机房评估。要求：运行正常、无隐患。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电梯评估。要求：运行正常、无隐患。 </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31"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备用设备评估，要求：运行正常、无隐患。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301"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楼宇智能控制系统、可视对讲系统、闭路监控系统等智能化设施设备评估。要求：运行正常、无隐患。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96"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0" w:firstLineChars="0"/>
              <w:jc w:val="both"/>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中央空调系统评估。要求：运行正常、无隐患。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36"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高压水泵、水池、水箱等设施的评估。要求：运行正常、无隐患。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锅炉系统评估。要求: 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避雷设施评估。要求：运行正常、无隐患。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35" w:hRule="atLeast"/>
          <w:jc w:val="center"/>
        </w:trPr>
        <w:tc>
          <w:tcPr>
            <w:tcW w:w="1098" w:type="dxa"/>
            <w:vMerge w:val="restart"/>
            <w:tcBorders>
              <w:top w:val="single" w:color="000000" w:sz="4" w:space="0"/>
              <w:left w:val="single" w:color="000000" w:sz="4" w:space="0"/>
              <w:right w:val="single" w:color="000000" w:sz="4" w:space="0"/>
            </w:tcBorders>
            <w:vAlign w:val="center"/>
          </w:tcPr>
          <w:p>
            <w:pPr>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维修</w:t>
            </w:r>
          </w:p>
          <w:p>
            <w:pPr>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服务</w:t>
            </w:r>
          </w:p>
        </w:tc>
        <w:tc>
          <w:tcPr>
            <w:tcW w:w="3514" w:type="dxa"/>
            <w:tcBorders>
              <w:top w:val="single" w:color="000000" w:sz="4" w:space="0"/>
              <w:left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制定维修服务的操作规范、流程等，及时服务。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未按要求落实，每次扣0.5分。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583" w:hRule="atLeast"/>
          <w:jc w:val="center"/>
        </w:trPr>
        <w:tc>
          <w:tcPr>
            <w:tcW w:w="1098" w:type="dxa"/>
            <w:vMerge w:val="continue"/>
            <w:tcBorders>
              <w:top w:val="single" w:color="000000" w:sz="4" w:space="0"/>
              <w:left w:val="single" w:color="000000" w:sz="4" w:space="0"/>
              <w:right w:val="single" w:color="000000" w:sz="4" w:space="0"/>
            </w:tcBorders>
            <w:vAlign w:val="center"/>
          </w:tcPr>
          <w:p>
            <w:pPr>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完善保存维修记录，并做好回访。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89" w:hRule="atLeast"/>
          <w:jc w:val="center"/>
        </w:trPr>
        <w:tc>
          <w:tcPr>
            <w:tcW w:w="1098" w:type="dxa"/>
            <w:vMerge w:val="continue"/>
            <w:tcBorders>
              <w:top w:val="single" w:color="000000" w:sz="4" w:space="0"/>
              <w:left w:val="single" w:color="000000" w:sz="4" w:space="0"/>
              <w:right w:val="single" w:color="000000" w:sz="4" w:space="0"/>
            </w:tcBorders>
            <w:vAlign w:val="center"/>
          </w:tcPr>
          <w:p>
            <w:pPr>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制定公共区域和室内等日常维修服务及时率与返修率，并做好回访。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不及时扣、返修率不达标扣每次扣0.5分；回访记录不完整，每处扣0.2分。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220" w:hRule="atLeast"/>
          <w:jc w:val="center"/>
        </w:trPr>
        <w:tc>
          <w:tcPr>
            <w:tcW w:w="1098" w:type="dxa"/>
            <w:vMerge w:val="continue"/>
            <w:tcBorders>
              <w:top w:val="single" w:color="000000" w:sz="4" w:space="0"/>
              <w:left w:val="single" w:color="000000" w:sz="4" w:space="0"/>
              <w:right w:val="single" w:color="000000" w:sz="4" w:space="0"/>
            </w:tcBorders>
            <w:vAlign w:val="center"/>
          </w:tcPr>
          <w:p>
            <w:pPr>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协助业主监督大型维修项目的开展，做好沟通协调工作，并做好记录。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当月无大型维修不扣分，项目现场发现异常每处扣0.5分。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07" w:hRule="atLeast"/>
          <w:jc w:val="center"/>
        </w:trPr>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节能</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管理</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各类风机、空调机组等按节能减排管理要求开启。</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773"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照明灯、景观灯按要求开启。</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686"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给排水系统无跑冒滴漏。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29" w:hRule="atLeast"/>
          <w:jc w:val="center"/>
        </w:trPr>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环境</w:t>
            </w:r>
          </w:p>
          <w:p>
            <w:pPr>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卫生</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实行清洁卫生责任制；实行标准化操作；及时、定期清洁、定期巡查并记录。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未落实责任制，扣0.5分；记录缺失或不实，未按标准化操作等每处扣0.2分。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34"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环卫设施评估。要求：设施完备，定期、及时清理；生活垃圾日产日清；建筑垃圾定点围护堆放，定期清理。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417"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建筑外观评估。要求：外观完好、整洁；发现外观污损，及时处理或联系业主进行整修；无纸张乱贴现象。</w:t>
            </w:r>
          </w:p>
        </w:tc>
        <w:tc>
          <w:tcPr>
            <w:tcW w:w="1020"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共用场地内墙评估。要求：干净、无张贴。</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48"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卫生间环境评估。要求：整体整洁，台面无积水；工具摆放整齐；无异味；垃圾桶定期、及时清理。</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032"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室外地面评估。要求：保持清洁；无明显积土积水；落叶及时清理。</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共用场地室内地面评估。要求：定期养护；保持地面有光泽；清洁，无积水积尘。 </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42"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消杀工作评估。要求：定期组织卫生消毒灭杀并做好记录；无虫害隐患。 </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081"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电梯环境评估。要求：整洁、卫生，无乱张贴，无锈斑、垃圾、大范围手印等。</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933" w:hRule="atLeast"/>
          <w:jc w:val="center"/>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空置房评估。要求：定期清洁，无蜘蛛网、杂物等。</w:t>
            </w:r>
          </w:p>
        </w:tc>
        <w:tc>
          <w:tcPr>
            <w:tcW w:w="1020"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auto" w:sz="4" w:space="0"/>
              <w:left w:val="single" w:color="auto" w:sz="4" w:space="0"/>
              <w:bottom w:val="single" w:color="auto" w:sz="4" w:space="0"/>
              <w:right w:val="single" w:color="auto"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680" w:hRule="atLeast"/>
          <w:jc w:val="center"/>
        </w:trPr>
        <w:tc>
          <w:tcPr>
            <w:tcW w:w="1098" w:type="dxa"/>
            <w:vMerge w:val="restart"/>
            <w:tcBorders>
              <w:top w:val="single" w:color="000000" w:sz="4" w:space="0"/>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绿化</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景观</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定期做好绿化检查工作。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未检查每次扣0.2分。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91"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针对绿化问题，及时做出处理和提醒；保持花草树木无折损现象。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794" w:hRule="atLeast"/>
          <w:jc w:val="center"/>
        </w:trPr>
        <w:tc>
          <w:tcPr>
            <w:tcW w:w="1098" w:type="dxa"/>
            <w:vMerge w:val="continue"/>
            <w:tcBorders>
              <w:left w:val="single" w:color="000000" w:sz="4" w:space="0"/>
              <w:bottom w:val="single" w:color="auto"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绿地无被破坏、践踏、占用现象，无纸屑、烟头等杂物。</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225" w:hRule="atLeast"/>
          <w:jc w:val="center"/>
        </w:trPr>
        <w:tc>
          <w:tcPr>
            <w:tcW w:w="1098" w:type="dxa"/>
            <w:vMerge w:val="restart"/>
            <w:tcBorders>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安全</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保卫</w:t>
            </w: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实行安全保卫责任制，制定24小时值班和定期巡查计划。明确工作职责、流程、巡视路线，对重点区域、部位加强巡视并记录。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未落实责任制扣1分；记录不完整或与不实，每处扣0.2分。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490" w:hRule="atLeast"/>
          <w:jc w:val="center"/>
        </w:trPr>
        <w:tc>
          <w:tcPr>
            <w:tcW w:w="1098" w:type="dxa"/>
            <w:vMerge w:val="continue"/>
            <w:tcBorders>
              <w:left w:val="single" w:color="000000" w:sz="4" w:space="0"/>
              <w:right w:val="single" w:color="000000" w:sz="4" w:space="0"/>
            </w:tcBorders>
            <w:vAlign w:val="center"/>
          </w:tcPr>
          <w:p>
            <w:pPr>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各出入口严格管理，配备安全保卫人员；有访客登记要求的，按门岗登记规定进行访客登记；严格审验大件物品，谨防可疑人员或物品进入。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安全保卫人员脱岗每次扣0.5分；访客与大件物品登记不完善或不实每处扣0.2分。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213"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安保人员及团队能力评估。要求：按期开展培训，熟悉大楼的环境，文明值勤，训练有素，言语规范，认真负责。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41"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保持良好的安防状态，门、窗、护栏等无安全漏洞。</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622"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钥匙管理制度健全，使用、交接记录完整。</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每处不符合扣0.2分。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17" w:hRule="atLeast"/>
          <w:jc w:val="center"/>
        </w:trPr>
        <w:tc>
          <w:tcPr>
            <w:tcW w:w="1098" w:type="dxa"/>
            <w:vMerge w:val="continue"/>
            <w:tcBorders>
              <w:left w:val="single" w:color="000000" w:sz="4" w:space="0"/>
              <w:bottom w:val="single" w:color="auto" w:sz="4" w:space="0"/>
              <w:right w:val="single" w:color="000000" w:sz="4" w:space="0"/>
            </w:tcBorders>
            <w:vAlign w:val="center"/>
          </w:tcPr>
          <w:p>
            <w:pPr>
              <w:widowControl/>
              <w:spacing w:line="24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设立明显的安全标识，保障使用人的人身安全，并有具体的防范措施。</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缺安全标识或防护措施的，每处扣0.5分。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81" w:hRule="atLeast"/>
          <w:jc w:val="center"/>
        </w:trPr>
        <w:tc>
          <w:tcPr>
            <w:tcW w:w="1098" w:type="dxa"/>
            <w:vMerge w:val="restart"/>
            <w:tcBorders>
              <w:left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消防</w:t>
            </w:r>
          </w:p>
          <w:p>
            <w:pPr>
              <w:widowControl/>
              <w:spacing w:line="3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安全</w:t>
            </w: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实行消防安全管理责任制；建立消防设施、器材档案、责任人等；明确操作规范、工作流程等。</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758"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设立消防疏散示意图，引路标志完好，紧急疏散通道畅通。</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消防安全管理能力评估。要求：制定月度消防培训、学习计划，并落实；消防管理人员掌握消防应急预案、消防知识与消防器材，具备充足的应急处理能力；消防人员熟悉消防器材的使用。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未按计划培训、学习每次扣0.5分，其他不符每处扣0.2分。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消防设备与器材评估。要求：定期检查并记录；设备、器材过期或损坏及时维修或更换。</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无检查记录或未按期检查，每处扣0.5分；过期或损坏未及时维修或更换的，每处扣1分。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511"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开展公共区域劝烟工作。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如发现公共区域吸烟行为未劝止，每次扣0.5分。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214" w:hRule="atLeast"/>
          <w:jc w:val="center"/>
        </w:trPr>
        <w:tc>
          <w:tcPr>
            <w:tcW w:w="1098" w:type="dxa"/>
            <w:vMerge w:val="continue"/>
            <w:tcBorders>
              <w:left w:val="single" w:color="000000" w:sz="4" w:space="0"/>
              <w:bottom w:val="single" w:color="auto"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按相关规定或业主要求，设立易燃易爆品专区，严格管理易燃易爆品的出入；在危险场所设立安全警告标识。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每发现一处不符扣0.2分，每发现一处安全隐患扣0.5分。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1149" w:hRule="atLeast"/>
          <w:jc w:val="center"/>
        </w:trPr>
        <w:tc>
          <w:tcPr>
            <w:tcW w:w="1098" w:type="dxa"/>
            <w:vMerge w:val="restart"/>
            <w:tcBorders>
              <w:left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车辆</w:t>
            </w:r>
          </w:p>
          <w:p>
            <w:pPr>
              <w:widowControl/>
              <w:spacing w:line="30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秩序</w:t>
            </w:r>
          </w:p>
          <w:p>
            <w:pPr>
              <w:widowControl/>
              <w:spacing w:line="30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建立健全车辆秩序管理的相关措施，并执行；按规定对停车场进行分区管理，运行正常、无异常、无隐患。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69"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指定不同车辆停放相应区域，无乱停乱放现象。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865"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对各类车辆及时进行疏导，维护交通秩序，保证通行顺畅。          </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700" w:hRule="atLeast"/>
          <w:jc w:val="center"/>
        </w:trPr>
        <w:tc>
          <w:tcPr>
            <w:tcW w:w="1098" w:type="dxa"/>
            <w:vMerge w:val="continue"/>
            <w:tcBorders>
              <w:left w:val="single" w:color="000000"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设置行车指示标识，合理引导行车路线。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bottom w:val="single" w:color="auto" w:sz="4" w:space="0"/>
              <w:right w:val="single" w:color="000000" w:sz="4" w:space="0"/>
            </w:tcBorders>
            <w:vAlign w:val="center"/>
          </w:tcPr>
          <w:p>
            <w:pPr>
              <w:widowControl/>
              <w:spacing w:line="300" w:lineRule="exact"/>
              <w:ind w:firstLine="480"/>
              <w:jc w:val="left"/>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配备车辆秩序管理人员，值岗及交接班记录完整。</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left"/>
              <w:rPr>
                <w:rFonts w:hint="eastAsia" w:ascii="仿宋" w:hAnsi="仿宋" w:eastAsia="仿宋" w:cs="仿宋"/>
                <w:color w:val="000000"/>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restart"/>
            <w:tcBorders>
              <w:left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客服</w:t>
            </w:r>
          </w:p>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接待</w:t>
            </w: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门岗/门岗登记室按工作流程操作规范，保持环境良好。</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流程、规范等不完善符合1分；每处不符扣0.2分。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按业主要求做好来访人员登记记录，并按规范填写各类表单。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如无要求，不扣分。每处不符扣0.2分。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及时接听电话（响三声内），使用规范用语，并通知相关部门；做好记录，及时跟进。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vMerge w:val="continue"/>
            <w:tcBorders>
              <w:left w:val="single" w:color="000000" w:sz="4" w:space="0"/>
              <w:bottom w:val="single" w:color="auto" w:sz="4" w:space="0"/>
              <w:right w:val="single" w:color="000000" w:sz="4" w:space="0"/>
            </w:tcBorders>
            <w:vAlign w:val="center"/>
          </w:tcPr>
          <w:p>
            <w:pPr>
              <w:widowControl/>
              <w:spacing w:line="240" w:lineRule="exact"/>
              <w:ind w:firstLine="480"/>
              <w:jc w:val="center"/>
              <w:rPr>
                <w:rFonts w:hint="eastAsia" w:ascii="仿宋" w:hAnsi="仿宋" w:eastAsia="仿宋" w:cs="仿宋"/>
                <w:b/>
                <w:color w:val="000000"/>
                <w:kern w:val="0"/>
                <w:sz w:val="24"/>
                <w:szCs w:val="24"/>
              </w:rPr>
            </w:pPr>
          </w:p>
        </w:tc>
        <w:tc>
          <w:tcPr>
            <w:tcW w:w="3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档案管理有序，按类归整，方便查找。</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tcBorders>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合计</w:t>
            </w:r>
          </w:p>
        </w:tc>
        <w:tc>
          <w:tcPr>
            <w:tcW w:w="3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含组织管理16分，设备设备管理22分，维修服务7分，节能管理3分，绿化景观3分，环境卫生20分，安全保卫10分，消防安全9分，车辆秩序5分，客服接待5分。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left"/>
              <w:rPr>
                <w:rFonts w:hint="eastAsia" w:ascii="仿宋" w:hAnsi="仿宋" w:eastAsia="仿宋" w:cs="仿宋"/>
                <w:color w:val="000000"/>
                <w:kern w:val="0"/>
                <w:sz w:val="24"/>
                <w:szCs w:val="24"/>
                <w:lang w:val="en-US" w:eastAsia="zh-CN"/>
              </w:rPr>
            </w:pP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0" w:firstLineChars="0"/>
              <w:jc w:val="left"/>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附加分</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（正负不超过10分）</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jc w:val="center"/>
              <w:rPr>
                <w:rFonts w:hint="eastAsia" w:ascii="仿宋" w:hAnsi="仿宋" w:eastAsia="仿宋" w:cs="仿宋"/>
                <w:color w:val="000000"/>
                <w:kern w:val="0"/>
                <w:sz w:val="24"/>
                <w:szCs w:val="24"/>
              </w:rPr>
            </w:pPr>
          </w:p>
        </w:tc>
        <w:tc>
          <w:tcPr>
            <w:tcW w:w="779"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ind w:firstLine="480"/>
              <w:jc w:val="center"/>
              <w:rPr>
                <w:rFonts w:hint="eastAsia" w:ascii="仿宋" w:hAnsi="仿宋" w:eastAsia="仿宋" w:cs="仿宋"/>
                <w:color w:val="000000"/>
                <w:kern w:val="0"/>
                <w:sz w:val="24"/>
                <w:szCs w:val="24"/>
              </w:rPr>
            </w:pPr>
          </w:p>
        </w:tc>
      </w:tr>
      <w:tr>
        <w:tblPrEx>
          <w:tblLayout w:type="fixed"/>
          <w:tblCellMar>
            <w:top w:w="57" w:type="dxa"/>
            <w:left w:w="57" w:type="dxa"/>
            <w:bottom w:w="57" w:type="dxa"/>
            <w:right w:w="57" w:type="dxa"/>
          </w:tblCellMar>
        </w:tblPrEx>
        <w:trPr>
          <w:trHeight w:val="495"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总得分</w:t>
            </w:r>
          </w:p>
        </w:tc>
        <w:tc>
          <w:tcPr>
            <w:tcW w:w="885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0"/>
              <w:jc w:val="center"/>
              <w:rPr>
                <w:rFonts w:hint="eastAsia" w:ascii="仿宋" w:hAnsi="仿宋" w:eastAsia="仿宋" w:cs="仿宋"/>
                <w:color w:val="000000"/>
                <w:kern w:val="0"/>
                <w:sz w:val="24"/>
                <w:szCs w:val="24"/>
              </w:rPr>
            </w:pPr>
          </w:p>
        </w:tc>
      </w:tr>
    </w:tbl>
    <w:p>
      <w:pPr>
        <w:spacing w:line="336" w:lineRule="auto"/>
        <w:ind w:firstLine="480"/>
        <w:rPr>
          <w:rFonts w:hint="eastAsia" w:ascii="仿宋" w:hAnsi="仿宋" w:eastAsia="仿宋" w:cs="仿宋"/>
          <w:bCs/>
          <w:color w:val="000000"/>
          <w:kern w:val="0"/>
          <w:sz w:val="24"/>
          <w:szCs w:val="24"/>
        </w:rPr>
      </w:pPr>
    </w:p>
    <w:p>
      <w:pPr>
        <w:pStyle w:val="14"/>
        <w:ind w:left="0" w:leftChars="0" w:firstLine="0" w:firstLineChars="0"/>
        <w:rPr>
          <w:rFonts w:hint="eastAsia" w:ascii="仿宋" w:hAnsi="仿宋" w:eastAsia="仿宋" w:cs="仿宋"/>
          <w:sz w:val="24"/>
          <w:szCs w:val="24"/>
        </w:rPr>
      </w:pPr>
      <w:r>
        <w:rPr>
          <w:rFonts w:hint="eastAsia" w:ascii="仿宋" w:hAnsi="仿宋" w:eastAsia="仿宋" w:cs="仿宋"/>
          <w:bCs/>
          <w:color w:val="000000"/>
          <w:kern w:val="0"/>
          <w:sz w:val="24"/>
          <w:szCs w:val="24"/>
        </w:rPr>
        <w:t xml:space="preserve">考核人签字确认： </w:t>
      </w:r>
    </w:p>
    <w:p>
      <w:pPr>
        <w:jc w:val="left"/>
        <w:rPr>
          <w:rFonts w:ascii="仿宋" w:hAnsi="仿宋" w:eastAsia="仿宋" w:cs="仿宋"/>
          <w:sz w:val="24"/>
        </w:rPr>
      </w:pPr>
    </w:p>
    <w:p>
      <w:pPr>
        <w:jc w:val="left"/>
        <w:rPr>
          <w:rFonts w:hint="eastAsia" w:ascii="仿宋" w:hAnsi="仿宋" w:eastAsia="仿宋" w:cs="仿宋"/>
          <w:sz w:val="32"/>
          <w:szCs w:val="32"/>
        </w:rPr>
        <w:sectPr>
          <w:headerReference r:id="rId8" w:type="default"/>
          <w:footerReference r:id="rId9" w:type="default"/>
          <w:pgSz w:w="11906" w:h="16838"/>
          <w:pgMar w:top="1440" w:right="1466" w:bottom="1440" w:left="1800" w:header="851" w:footer="992" w:gutter="0"/>
          <w:pgNumType w:fmt="decimal"/>
          <w:cols w:space="720" w:num="1"/>
          <w:titlePg/>
          <w:docGrid w:type="lines" w:linePitch="312" w:charSpace="0"/>
        </w:sect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33" w:name="_Toc184313265"/>
      <w:bookmarkEnd w:id="33"/>
      <w:bookmarkStart w:id="34" w:name="_Toc184313302"/>
      <w:bookmarkEnd w:id="34"/>
      <w:bookmarkStart w:id="35" w:name="_Toc184308106"/>
      <w:bookmarkEnd w:id="35"/>
      <w:bookmarkStart w:id="36" w:name="_Toc184314460"/>
      <w:bookmarkEnd w:id="36"/>
      <w:bookmarkStart w:id="37" w:name="_Toc184313262"/>
      <w:bookmarkEnd w:id="37"/>
      <w:bookmarkStart w:id="38" w:name="_Toc184310342"/>
      <w:bookmarkEnd w:id="38"/>
      <w:bookmarkStart w:id="39" w:name="_Toc184314469"/>
      <w:bookmarkEnd w:id="39"/>
      <w:bookmarkStart w:id="40" w:name="_Toc184308052"/>
      <w:bookmarkEnd w:id="40"/>
      <w:bookmarkStart w:id="41" w:name="_Toc184313272"/>
      <w:bookmarkEnd w:id="41"/>
      <w:bookmarkStart w:id="42" w:name="_Toc184308099"/>
      <w:bookmarkEnd w:id="42"/>
      <w:bookmarkStart w:id="43" w:name="_Toc184313290"/>
      <w:bookmarkEnd w:id="43"/>
      <w:bookmarkStart w:id="44" w:name="_Toc184308040"/>
      <w:bookmarkEnd w:id="44"/>
      <w:bookmarkStart w:id="45" w:name="_Toc184310294"/>
      <w:bookmarkEnd w:id="45"/>
      <w:bookmarkStart w:id="46" w:name="_Toc184310310"/>
      <w:bookmarkEnd w:id="46"/>
      <w:bookmarkStart w:id="47" w:name="_Toc184312125"/>
      <w:bookmarkEnd w:id="47"/>
      <w:bookmarkStart w:id="48" w:name="_Toc184313306"/>
      <w:bookmarkEnd w:id="48"/>
      <w:bookmarkStart w:id="49" w:name="_Toc184310337"/>
      <w:bookmarkEnd w:id="49"/>
      <w:bookmarkStart w:id="50" w:name="_Toc184308079"/>
      <w:bookmarkEnd w:id="50"/>
      <w:bookmarkStart w:id="51" w:name="_Toc184314466"/>
      <w:bookmarkEnd w:id="51"/>
      <w:bookmarkStart w:id="52" w:name="_Toc184312120"/>
      <w:bookmarkEnd w:id="52"/>
      <w:bookmarkStart w:id="53" w:name="_Toc184310336"/>
      <w:bookmarkEnd w:id="53"/>
      <w:bookmarkStart w:id="54" w:name="_Toc184313261"/>
      <w:bookmarkEnd w:id="54"/>
      <w:bookmarkStart w:id="55" w:name="_Toc184313282"/>
      <w:bookmarkEnd w:id="55"/>
      <w:bookmarkStart w:id="56" w:name="_Toc184310290"/>
      <w:bookmarkEnd w:id="56"/>
      <w:bookmarkStart w:id="57" w:name="_Toc184313251"/>
      <w:bookmarkEnd w:id="57"/>
      <w:bookmarkStart w:id="58" w:name="_Toc184313309"/>
      <w:bookmarkEnd w:id="58"/>
      <w:bookmarkStart w:id="59" w:name="_Toc184313270"/>
      <w:bookmarkEnd w:id="59"/>
      <w:bookmarkStart w:id="60" w:name="_Toc184314432"/>
      <w:bookmarkEnd w:id="60"/>
      <w:bookmarkStart w:id="61" w:name="_Toc184310304"/>
      <w:bookmarkEnd w:id="61"/>
      <w:bookmarkStart w:id="62" w:name="_Toc184312076"/>
      <w:bookmarkEnd w:id="62"/>
      <w:bookmarkStart w:id="63" w:name="_Toc184313289"/>
      <w:bookmarkEnd w:id="63"/>
      <w:bookmarkStart w:id="64" w:name="_Toc184312130"/>
      <w:bookmarkEnd w:id="64"/>
      <w:bookmarkStart w:id="65" w:name="_Toc184308060"/>
      <w:bookmarkEnd w:id="65"/>
      <w:bookmarkStart w:id="66" w:name="_Toc184314479"/>
      <w:bookmarkEnd w:id="66"/>
      <w:bookmarkStart w:id="67" w:name="_Toc184314417"/>
      <w:bookmarkEnd w:id="67"/>
      <w:bookmarkStart w:id="68" w:name="_Toc184312072"/>
      <w:bookmarkEnd w:id="68"/>
      <w:bookmarkStart w:id="69" w:name="_Toc184308087"/>
      <w:bookmarkEnd w:id="69"/>
      <w:bookmarkStart w:id="70" w:name="_Toc184312071"/>
      <w:bookmarkEnd w:id="70"/>
      <w:bookmarkStart w:id="71" w:name="_Toc184308057"/>
      <w:bookmarkEnd w:id="71"/>
      <w:bookmarkStart w:id="72" w:name="_Toc184313284"/>
      <w:bookmarkEnd w:id="72"/>
      <w:bookmarkStart w:id="73" w:name="_Toc184313308"/>
      <w:bookmarkEnd w:id="73"/>
      <w:bookmarkStart w:id="74" w:name="_Toc184312117"/>
      <w:bookmarkEnd w:id="74"/>
      <w:bookmarkStart w:id="75" w:name="_Toc184308090"/>
      <w:bookmarkEnd w:id="75"/>
      <w:bookmarkStart w:id="76" w:name="_Toc184314413"/>
      <w:bookmarkEnd w:id="76"/>
      <w:bookmarkStart w:id="77" w:name="_Toc184314478"/>
      <w:bookmarkEnd w:id="77"/>
      <w:bookmarkStart w:id="78" w:name="_Toc184314430"/>
      <w:bookmarkEnd w:id="78"/>
      <w:bookmarkStart w:id="79" w:name="_Toc184312133"/>
      <w:bookmarkEnd w:id="79"/>
      <w:bookmarkStart w:id="80" w:name="_Toc184314475"/>
      <w:bookmarkEnd w:id="80"/>
      <w:bookmarkStart w:id="81" w:name="_Toc184314455"/>
      <w:bookmarkEnd w:id="81"/>
      <w:bookmarkStart w:id="82" w:name="_Toc184314421"/>
      <w:bookmarkEnd w:id="82"/>
      <w:bookmarkStart w:id="83" w:name="_Toc184308096"/>
      <w:bookmarkEnd w:id="83"/>
      <w:bookmarkStart w:id="84" w:name="_Toc184312074"/>
      <w:bookmarkEnd w:id="84"/>
      <w:bookmarkStart w:id="85" w:name="_Toc184314458"/>
      <w:bookmarkEnd w:id="85"/>
      <w:bookmarkStart w:id="86" w:name="_Toc184310277"/>
      <w:bookmarkEnd w:id="86"/>
      <w:bookmarkStart w:id="87" w:name="_Toc184308073"/>
      <w:bookmarkEnd w:id="87"/>
      <w:bookmarkStart w:id="88" w:name="_Toc184312068"/>
      <w:bookmarkEnd w:id="88"/>
      <w:bookmarkStart w:id="89" w:name="_Toc184308064"/>
      <w:bookmarkEnd w:id="89"/>
      <w:bookmarkStart w:id="90" w:name="_Toc184312119"/>
      <w:bookmarkEnd w:id="90"/>
      <w:bookmarkStart w:id="91" w:name="_Toc184314439"/>
      <w:bookmarkEnd w:id="91"/>
      <w:bookmarkStart w:id="92" w:name="_Toc184310272"/>
      <w:bookmarkEnd w:id="92"/>
      <w:bookmarkStart w:id="93" w:name="_Toc184312090"/>
      <w:bookmarkEnd w:id="93"/>
      <w:bookmarkStart w:id="94" w:name="_Toc184313295"/>
      <w:bookmarkEnd w:id="94"/>
      <w:bookmarkStart w:id="95" w:name="_Toc184313268"/>
      <w:bookmarkEnd w:id="95"/>
      <w:bookmarkStart w:id="96" w:name="_Toc184310325"/>
      <w:bookmarkEnd w:id="96"/>
      <w:bookmarkStart w:id="97" w:name="_Toc184310298"/>
      <w:bookmarkEnd w:id="97"/>
      <w:bookmarkStart w:id="98" w:name="_Toc184308051"/>
      <w:bookmarkEnd w:id="98"/>
      <w:bookmarkStart w:id="99" w:name="_Toc184314410"/>
      <w:bookmarkEnd w:id="99"/>
      <w:bookmarkStart w:id="100" w:name="_Toc184310307"/>
      <w:bookmarkEnd w:id="100"/>
      <w:bookmarkStart w:id="101" w:name="_Toc184314445"/>
      <w:bookmarkEnd w:id="101"/>
      <w:bookmarkStart w:id="102" w:name="_Toc184313266"/>
      <w:bookmarkEnd w:id="102"/>
      <w:bookmarkStart w:id="103" w:name="_Toc184308075"/>
      <w:bookmarkEnd w:id="103"/>
      <w:bookmarkStart w:id="104" w:name="_Toc184312101"/>
      <w:bookmarkEnd w:id="104"/>
      <w:bookmarkStart w:id="105" w:name="_Toc184313269"/>
      <w:bookmarkEnd w:id="105"/>
      <w:bookmarkStart w:id="106" w:name="_Toc184310281"/>
      <w:bookmarkEnd w:id="106"/>
      <w:bookmarkStart w:id="107" w:name="_Toc184308076"/>
      <w:bookmarkEnd w:id="107"/>
      <w:bookmarkStart w:id="108" w:name="_Toc184312134"/>
      <w:bookmarkEnd w:id="108"/>
      <w:bookmarkStart w:id="109" w:name="_Toc184308097"/>
      <w:bookmarkEnd w:id="109"/>
      <w:bookmarkStart w:id="110" w:name="_Toc184308093"/>
      <w:bookmarkEnd w:id="110"/>
      <w:bookmarkStart w:id="111" w:name="_Toc184310322"/>
      <w:bookmarkEnd w:id="111"/>
      <w:bookmarkStart w:id="112" w:name="_Toc184308059"/>
      <w:bookmarkEnd w:id="112"/>
      <w:bookmarkStart w:id="113" w:name="_Toc184312139"/>
      <w:bookmarkEnd w:id="113"/>
      <w:bookmarkStart w:id="114" w:name="_Toc184308067"/>
      <w:bookmarkEnd w:id="114"/>
      <w:bookmarkStart w:id="115" w:name="_Toc184310318"/>
      <w:bookmarkEnd w:id="115"/>
      <w:bookmarkStart w:id="116" w:name="_Toc184313239"/>
      <w:bookmarkEnd w:id="116"/>
      <w:bookmarkStart w:id="117" w:name="_Toc184314452"/>
      <w:bookmarkEnd w:id="117"/>
      <w:bookmarkStart w:id="118" w:name="_Toc184308072"/>
      <w:bookmarkEnd w:id="118"/>
      <w:bookmarkStart w:id="119" w:name="_Toc184312075"/>
      <w:bookmarkEnd w:id="119"/>
      <w:bookmarkStart w:id="120" w:name="_Toc184310293"/>
      <w:bookmarkEnd w:id="120"/>
      <w:bookmarkStart w:id="121" w:name="_Toc184314434"/>
      <w:bookmarkEnd w:id="121"/>
      <w:bookmarkStart w:id="122" w:name="_Toc184310343"/>
      <w:bookmarkEnd w:id="122"/>
      <w:bookmarkStart w:id="123" w:name="_Toc184312092"/>
      <w:bookmarkEnd w:id="123"/>
      <w:bookmarkStart w:id="124" w:name="_Toc184310278"/>
      <w:bookmarkEnd w:id="124"/>
      <w:bookmarkStart w:id="125" w:name="_Toc184314465"/>
      <w:bookmarkEnd w:id="125"/>
      <w:bookmarkStart w:id="126" w:name="_Toc184312080"/>
      <w:bookmarkEnd w:id="126"/>
      <w:bookmarkStart w:id="127" w:name="_Toc184313245"/>
      <w:bookmarkEnd w:id="127"/>
      <w:bookmarkStart w:id="128" w:name="_Toc184308094"/>
      <w:bookmarkEnd w:id="128"/>
      <w:bookmarkStart w:id="129" w:name="_Toc184312097"/>
      <w:bookmarkEnd w:id="129"/>
      <w:bookmarkStart w:id="130" w:name="_Toc184308071"/>
      <w:bookmarkEnd w:id="130"/>
      <w:bookmarkStart w:id="131" w:name="_Toc184314477"/>
      <w:bookmarkEnd w:id="131"/>
      <w:bookmarkStart w:id="132" w:name="_Toc184308039"/>
      <w:bookmarkEnd w:id="132"/>
      <w:bookmarkStart w:id="133" w:name="_Toc184310286"/>
      <w:bookmarkEnd w:id="133"/>
      <w:bookmarkStart w:id="134" w:name="_Toc184314467"/>
      <w:bookmarkEnd w:id="134"/>
      <w:bookmarkStart w:id="135" w:name="_Toc184310338"/>
      <w:bookmarkEnd w:id="135"/>
      <w:bookmarkStart w:id="136" w:name="_Toc184313293"/>
      <w:bookmarkEnd w:id="136"/>
      <w:bookmarkStart w:id="137" w:name="_Toc184313275"/>
      <w:bookmarkEnd w:id="137"/>
      <w:bookmarkStart w:id="138" w:name="_Toc184310292"/>
      <w:bookmarkEnd w:id="138"/>
      <w:bookmarkStart w:id="139" w:name="_Toc184310330"/>
      <w:bookmarkEnd w:id="139"/>
      <w:bookmarkStart w:id="140" w:name="_Toc184312099"/>
      <w:bookmarkEnd w:id="140"/>
      <w:bookmarkStart w:id="141" w:name="_Toc184312138"/>
      <w:bookmarkEnd w:id="141"/>
      <w:bookmarkStart w:id="142" w:name="_Toc184314473"/>
      <w:bookmarkEnd w:id="142"/>
      <w:bookmarkStart w:id="143" w:name="_Toc184312094"/>
      <w:bookmarkEnd w:id="143"/>
      <w:bookmarkStart w:id="144" w:name="_Toc184308083"/>
      <w:bookmarkEnd w:id="144"/>
      <w:bookmarkStart w:id="145" w:name="_Toc184314411"/>
      <w:bookmarkEnd w:id="145"/>
      <w:bookmarkStart w:id="146" w:name="_Toc184314470"/>
      <w:bookmarkEnd w:id="146"/>
      <w:bookmarkStart w:id="147" w:name="_Toc184312078"/>
      <w:bookmarkEnd w:id="147"/>
      <w:bookmarkStart w:id="148" w:name="_Toc184308098"/>
      <w:bookmarkEnd w:id="148"/>
      <w:bookmarkStart w:id="149" w:name="_Toc184308084"/>
      <w:bookmarkEnd w:id="149"/>
      <w:bookmarkStart w:id="150" w:name="_Toc184314464"/>
      <w:bookmarkEnd w:id="150"/>
      <w:bookmarkStart w:id="151" w:name="_Toc184314412"/>
      <w:bookmarkEnd w:id="151"/>
      <w:bookmarkStart w:id="152" w:name="_Toc184310288"/>
      <w:bookmarkEnd w:id="152"/>
      <w:bookmarkStart w:id="153" w:name="_Toc184310333"/>
      <w:bookmarkEnd w:id="153"/>
      <w:bookmarkStart w:id="154" w:name="_Toc184312131"/>
      <w:bookmarkEnd w:id="154"/>
      <w:bookmarkStart w:id="155" w:name="_Toc184308081"/>
      <w:bookmarkEnd w:id="155"/>
      <w:bookmarkStart w:id="156" w:name="_Toc184308042"/>
      <w:bookmarkEnd w:id="156"/>
      <w:bookmarkStart w:id="157" w:name="_Toc184312121"/>
      <w:bookmarkEnd w:id="157"/>
      <w:bookmarkStart w:id="158" w:name="_Toc184314454"/>
      <w:bookmarkEnd w:id="158"/>
      <w:bookmarkStart w:id="159" w:name="_Toc184310282"/>
      <w:bookmarkEnd w:id="159"/>
      <w:bookmarkStart w:id="160" w:name="_Toc184308078"/>
      <w:bookmarkEnd w:id="160"/>
      <w:bookmarkStart w:id="161" w:name="_Toc184314447"/>
      <w:bookmarkEnd w:id="161"/>
      <w:bookmarkStart w:id="162" w:name="_Toc184308074"/>
      <w:bookmarkEnd w:id="162"/>
      <w:bookmarkStart w:id="163" w:name="_Toc184313256"/>
      <w:bookmarkEnd w:id="163"/>
      <w:bookmarkStart w:id="164" w:name="_Toc184314449"/>
      <w:bookmarkEnd w:id="164"/>
      <w:bookmarkStart w:id="165" w:name="_Toc184308056"/>
      <w:bookmarkEnd w:id="165"/>
      <w:bookmarkStart w:id="166" w:name="_Toc184312112"/>
      <w:bookmarkEnd w:id="166"/>
      <w:bookmarkStart w:id="167" w:name="_Toc184313301"/>
      <w:bookmarkEnd w:id="167"/>
      <w:bookmarkStart w:id="168" w:name="_Toc184310274"/>
      <w:bookmarkEnd w:id="168"/>
      <w:bookmarkStart w:id="169" w:name="_Toc184313300"/>
      <w:bookmarkEnd w:id="169"/>
      <w:bookmarkStart w:id="170" w:name="_Toc184308037"/>
      <w:bookmarkEnd w:id="170"/>
      <w:bookmarkStart w:id="171" w:name="_Toc184314418"/>
      <w:bookmarkEnd w:id="171"/>
      <w:bookmarkStart w:id="172" w:name="_Toc184314468"/>
      <w:bookmarkEnd w:id="172"/>
      <w:bookmarkStart w:id="173" w:name="_Toc184310317"/>
      <w:bookmarkEnd w:id="173"/>
      <w:bookmarkStart w:id="174" w:name="_Toc184314433"/>
      <w:bookmarkEnd w:id="174"/>
      <w:bookmarkStart w:id="175" w:name="_Toc184308069"/>
      <w:bookmarkEnd w:id="175"/>
      <w:bookmarkStart w:id="176" w:name="_Toc184310291"/>
      <w:bookmarkEnd w:id="176"/>
      <w:bookmarkStart w:id="177" w:name="_Toc184312129"/>
      <w:bookmarkEnd w:id="177"/>
      <w:bookmarkStart w:id="178" w:name="_Toc184312114"/>
      <w:bookmarkEnd w:id="178"/>
      <w:bookmarkStart w:id="179" w:name="_Toc184308061"/>
      <w:bookmarkEnd w:id="179"/>
      <w:bookmarkStart w:id="180" w:name="_Toc184308091"/>
      <w:bookmarkEnd w:id="180"/>
      <w:bookmarkStart w:id="181" w:name="_Toc184310328"/>
      <w:bookmarkEnd w:id="181"/>
      <w:bookmarkStart w:id="182" w:name="_Toc184310301"/>
      <w:bookmarkEnd w:id="182"/>
      <w:bookmarkStart w:id="183" w:name="_Toc184308103"/>
      <w:bookmarkEnd w:id="183"/>
      <w:bookmarkStart w:id="184" w:name="_Toc184313271"/>
      <w:bookmarkEnd w:id="184"/>
      <w:bookmarkStart w:id="185" w:name="_Toc184308088"/>
      <w:bookmarkEnd w:id="185"/>
      <w:bookmarkStart w:id="186" w:name="_Toc184313307"/>
      <w:bookmarkEnd w:id="186"/>
      <w:bookmarkStart w:id="187" w:name="_Toc184312098"/>
      <w:bookmarkEnd w:id="187"/>
      <w:bookmarkStart w:id="188" w:name="_Toc184313273"/>
      <w:bookmarkEnd w:id="188"/>
      <w:bookmarkStart w:id="189" w:name="_Toc184313291"/>
      <w:bookmarkEnd w:id="189"/>
      <w:bookmarkStart w:id="190" w:name="_Toc184310331"/>
      <w:bookmarkEnd w:id="190"/>
      <w:bookmarkStart w:id="191" w:name="_Toc184313304"/>
      <w:bookmarkEnd w:id="191"/>
      <w:bookmarkStart w:id="192" w:name="_Toc184314451"/>
      <w:bookmarkEnd w:id="192"/>
      <w:bookmarkStart w:id="193" w:name="_Toc184313241"/>
      <w:bookmarkEnd w:id="193"/>
      <w:bookmarkStart w:id="194" w:name="_Toc184308043"/>
      <w:bookmarkEnd w:id="194"/>
      <w:bookmarkStart w:id="195" w:name="_Toc184312077"/>
      <w:bookmarkEnd w:id="195"/>
      <w:bookmarkStart w:id="196" w:name="_Toc184313285"/>
      <w:bookmarkEnd w:id="196"/>
      <w:bookmarkStart w:id="197" w:name="_Toc184314435"/>
      <w:bookmarkEnd w:id="197"/>
      <w:bookmarkStart w:id="198" w:name="_Toc184312124"/>
      <w:bookmarkEnd w:id="198"/>
      <w:bookmarkStart w:id="199" w:name="_Toc184314438"/>
      <w:bookmarkEnd w:id="199"/>
      <w:bookmarkStart w:id="200" w:name="_Toc184308065"/>
      <w:bookmarkEnd w:id="200"/>
      <w:bookmarkStart w:id="201" w:name="_Toc184312083"/>
      <w:bookmarkEnd w:id="201"/>
      <w:bookmarkStart w:id="202" w:name="_Toc184313305"/>
      <w:bookmarkEnd w:id="202"/>
      <w:bookmarkStart w:id="203" w:name="_Toc184314420"/>
      <w:bookmarkEnd w:id="203"/>
      <w:bookmarkStart w:id="204" w:name="_Toc184312113"/>
      <w:bookmarkEnd w:id="204"/>
      <w:bookmarkStart w:id="205" w:name="_Toc184314482"/>
      <w:bookmarkEnd w:id="205"/>
      <w:bookmarkStart w:id="206" w:name="_Toc184313258"/>
      <w:bookmarkEnd w:id="206"/>
      <w:bookmarkStart w:id="207" w:name="_Toc184312069"/>
      <w:bookmarkEnd w:id="207"/>
      <w:bookmarkStart w:id="208" w:name="_Toc184313292"/>
      <w:bookmarkEnd w:id="208"/>
      <w:bookmarkStart w:id="209" w:name="_Toc184313294"/>
      <w:bookmarkEnd w:id="209"/>
      <w:bookmarkStart w:id="210" w:name="_Toc184313240"/>
      <w:bookmarkEnd w:id="210"/>
      <w:bookmarkStart w:id="211" w:name="_Toc184313238"/>
      <w:bookmarkEnd w:id="211"/>
      <w:bookmarkStart w:id="212" w:name="_Toc184310289"/>
      <w:bookmarkEnd w:id="212"/>
      <w:bookmarkStart w:id="213" w:name="_Toc184310329"/>
      <w:bookmarkEnd w:id="213"/>
      <w:bookmarkStart w:id="214" w:name="_Toc184310287"/>
      <w:bookmarkEnd w:id="214"/>
      <w:bookmarkStart w:id="215" w:name="_Toc184313263"/>
      <w:bookmarkEnd w:id="215"/>
      <w:bookmarkStart w:id="216" w:name="_Toc184310326"/>
      <w:bookmarkEnd w:id="216"/>
      <w:bookmarkStart w:id="217" w:name="_Toc184308101"/>
      <w:bookmarkEnd w:id="217"/>
      <w:bookmarkStart w:id="218" w:name="_Toc184314416"/>
      <w:bookmarkEnd w:id="218"/>
      <w:bookmarkStart w:id="219" w:name="_Toc184312110"/>
      <w:bookmarkEnd w:id="219"/>
      <w:bookmarkStart w:id="220" w:name="_Toc184308095"/>
      <w:bookmarkEnd w:id="220"/>
      <w:bookmarkStart w:id="221" w:name="_Toc184314415"/>
      <w:bookmarkEnd w:id="221"/>
      <w:bookmarkStart w:id="222" w:name="_Toc184312109"/>
      <w:bookmarkEnd w:id="222"/>
      <w:bookmarkStart w:id="223" w:name="_Toc184314425"/>
      <w:bookmarkEnd w:id="223"/>
      <w:bookmarkStart w:id="224" w:name="_Toc184308080"/>
      <w:bookmarkEnd w:id="224"/>
      <w:bookmarkStart w:id="225" w:name="_Toc184308038"/>
      <w:bookmarkEnd w:id="225"/>
      <w:bookmarkStart w:id="226" w:name="_Toc184314427"/>
      <w:bookmarkEnd w:id="226"/>
      <w:bookmarkStart w:id="227" w:name="_Toc184313244"/>
      <w:bookmarkEnd w:id="227"/>
      <w:bookmarkStart w:id="228" w:name="_Toc184308054"/>
      <w:bookmarkEnd w:id="228"/>
      <w:bookmarkStart w:id="229" w:name="_Toc184310315"/>
      <w:bookmarkEnd w:id="229"/>
      <w:bookmarkStart w:id="230" w:name="_Toc184314440"/>
      <w:bookmarkEnd w:id="230"/>
      <w:bookmarkStart w:id="231" w:name="_Toc184314450"/>
      <w:bookmarkEnd w:id="231"/>
      <w:bookmarkStart w:id="232" w:name="_Toc184313286"/>
      <w:bookmarkEnd w:id="232"/>
      <w:bookmarkStart w:id="233" w:name="_Toc184313278"/>
      <w:bookmarkEnd w:id="233"/>
      <w:bookmarkStart w:id="234" w:name="_Toc184312135"/>
      <w:bookmarkEnd w:id="234"/>
      <w:bookmarkStart w:id="235" w:name="_Toc184314474"/>
      <w:bookmarkEnd w:id="235"/>
      <w:bookmarkStart w:id="236" w:name="_Toc184310344"/>
      <w:bookmarkEnd w:id="236"/>
      <w:bookmarkStart w:id="237" w:name="_Toc184313243"/>
      <w:bookmarkEnd w:id="237"/>
      <w:bookmarkStart w:id="238" w:name="_Toc184313297"/>
      <w:bookmarkEnd w:id="238"/>
      <w:bookmarkStart w:id="239" w:name="_Toc184310303"/>
      <w:bookmarkEnd w:id="239"/>
      <w:bookmarkStart w:id="240" w:name="_Toc184310319"/>
      <w:bookmarkEnd w:id="240"/>
      <w:bookmarkStart w:id="241" w:name="_Toc184312127"/>
      <w:bookmarkEnd w:id="241"/>
      <w:bookmarkStart w:id="242" w:name="_Toc184312137"/>
      <w:bookmarkEnd w:id="242"/>
      <w:bookmarkStart w:id="243" w:name="_Toc184312115"/>
      <w:bookmarkEnd w:id="243"/>
      <w:bookmarkStart w:id="244" w:name="_Toc184308108"/>
      <w:bookmarkEnd w:id="244"/>
      <w:bookmarkStart w:id="245" w:name="_Toc184314481"/>
      <w:bookmarkEnd w:id="245"/>
      <w:bookmarkStart w:id="246" w:name="_Toc184310308"/>
      <w:bookmarkEnd w:id="246"/>
      <w:bookmarkStart w:id="247" w:name="_Toc184312093"/>
      <w:bookmarkEnd w:id="247"/>
      <w:bookmarkStart w:id="248" w:name="_Toc184313264"/>
      <w:bookmarkEnd w:id="248"/>
      <w:bookmarkStart w:id="249" w:name="_Toc184314436"/>
      <w:bookmarkEnd w:id="249"/>
      <w:bookmarkStart w:id="250" w:name="_Toc184312123"/>
      <w:bookmarkEnd w:id="250"/>
      <w:bookmarkStart w:id="251" w:name="_Toc184312089"/>
      <w:bookmarkEnd w:id="251"/>
      <w:bookmarkStart w:id="252" w:name="_Toc184308048"/>
      <w:bookmarkEnd w:id="252"/>
      <w:bookmarkStart w:id="253" w:name="_Toc184308085"/>
      <w:bookmarkEnd w:id="253"/>
      <w:bookmarkStart w:id="254" w:name="_Toc184310311"/>
      <w:bookmarkEnd w:id="254"/>
      <w:bookmarkStart w:id="255" w:name="_Toc184313259"/>
      <w:bookmarkEnd w:id="255"/>
      <w:bookmarkStart w:id="256" w:name="_Toc184314437"/>
      <w:bookmarkEnd w:id="256"/>
      <w:bookmarkStart w:id="257" w:name="_Toc184313310"/>
      <w:bookmarkEnd w:id="257"/>
      <w:bookmarkStart w:id="258" w:name="_Toc184313254"/>
      <w:bookmarkEnd w:id="258"/>
      <w:bookmarkStart w:id="259" w:name="_Toc184308086"/>
      <w:bookmarkEnd w:id="259"/>
      <w:bookmarkStart w:id="260" w:name="_Toc184310295"/>
      <w:bookmarkEnd w:id="260"/>
      <w:bookmarkStart w:id="261" w:name="_Toc184308102"/>
      <w:bookmarkEnd w:id="261"/>
      <w:bookmarkStart w:id="262" w:name="_Toc184314462"/>
      <w:bookmarkEnd w:id="262"/>
      <w:bookmarkStart w:id="263" w:name="_Toc184314461"/>
      <w:bookmarkEnd w:id="263"/>
      <w:bookmarkStart w:id="264" w:name="_Toc184308058"/>
      <w:bookmarkEnd w:id="264"/>
      <w:bookmarkStart w:id="265" w:name="_Toc184312108"/>
      <w:bookmarkEnd w:id="265"/>
      <w:bookmarkStart w:id="266" w:name="_Toc184314429"/>
      <w:bookmarkEnd w:id="266"/>
      <w:bookmarkStart w:id="267" w:name="_Toc184314463"/>
      <w:bookmarkEnd w:id="267"/>
      <w:bookmarkStart w:id="268" w:name="_Toc184308049"/>
      <w:bookmarkEnd w:id="268"/>
      <w:bookmarkStart w:id="269" w:name="_Toc184312073"/>
      <w:bookmarkEnd w:id="269"/>
      <w:bookmarkStart w:id="270" w:name="_Toc184310273"/>
      <w:bookmarkEnd w:id="270"/>
      <w:bookmarkStart w:id="271" w:name="_Toc184310276"/>
      <w:bookmarkEnd w:id="271"/>
      <w:bookmarkStart w:id="272" w:name="_Toc184310340"/>
      <w:bookmarkEnd w:id="272"/>
      <w:bookmarkStart w:id="273" w:name="_Toc184310283"/>
      <w:bookmarkEnd w:id="273"/>
      <w:bookmarkStart w:id="274" w:name="_Toc184313267"/>
      <w:bookmarkEnd w:id="274"/>
      <w:bookmarkStart w:id="275" w:name="_Toc184308092"/>
      <w:bookmarkEnd w:id="275"/>
      <w:bookmarkStart w:id="276" w:name="_Toc184313247"/>
      <w:bookmarkEnd w:id="276"/>
      <w:bookmarkStart w:id="277" w:name="_Toc184312091"/>
      <w:bookmarkEnd w:id="277"/>
      <w:bookmarkStart w:id="278" w:name="_Toc184308070"/>
      <w:bookmarkEnd w:id="278"/>
      <w:bookmarkStart w:id="279" w:name="_Toc184314422"/>
      <w:bookmarkEnd w:id="279"/>
      <w:bookmarkStart w:id="280" w:name="_Toc184308044"/>
      <w:bookmarkEnd w:id="280"/>
      <w:bookmarkStart w:id="281" w:name="_Toc184310314"/>
      <w:bookmarkEnd w:id="281"/>
      <w:bookmarkStart w:id="282" w:name="_Toc184310339"/>
      <w:bookmarkEnd w:id="282"/>
      <w:bookmarkStart w:id="283" w:name="_Toc184313288"/>
      <w:bookmarkEnd w:id="283"/>
      <w:bookmarkStart w:id="284" w:name="_Toc184314459"/>
      <w:bookmarkEnd w:id="284"/>
      <w:bookmarkStart w:id="285" w:name="_Toc184310313"/>
      <w:bookmarkEnd w:id="285"/>
      <w:bookmarkStart w:id="286" w:name="_Toc184310341"/>
      <w:bookmarkEnd w:id="286"/>
      <w:bookmarkStart w:id="287" w:name="_Toc184312070"/>
      <w:bookmarkEnd w:id="287"/>
      <w:bookmarkStart w:id="288" w:name="_Toc184312122"/>
      <w:bookmarkEnd w:id="288"/>
      <w:bookmarkStart w:id="289" w:name="_Toc184308077"/>
      <w:bookmarkEnd w:id="289"/>
      <w:bookmarkStart w:id="290" w:name="_Toc184308047"/>
      <w:bookmarkEnd w:id="290"/>
      <w:bookmarkStart w:id="291" w:name="_Toc184312086"/>
      <w:bookmarkEnd w:id="291"/>
      <w:bookmarkStart w:id="292" w:name="_Toc184314442"/>
      <w:bookmarkEnd w:id="292"/>
      <w:bookmarkStart w:id="293" w:name="_Toc184314444"/>
      <w:bookmarkEnd w:id="293"/>
      <w:bookmarkStart w:id="294" w:name="_Toc184313279"/>
      <w:bookmarkEnd w:id="294"/>
      <w:bookmarkStart w:id="295" w:name="_Toc184313277"/>
      <w:bookmarkEnd w:id="295"/>
      <w:bookmarkStart w:id="296" w:name="_Toc184312116"/>
      <w:bookmarkEnd w:id="296"/>
      <w:bookmarkStart w:id="297" w:name="_Toc184313283"/>
      <w:bookmarkEnd w:id="297"/>
      <w:bookmarkStart w:id="298" w:name="_Toc184313246"/>
      <w:bookmarkEnd w:id="298"/>
      <w:bookmarkStart w:id="299" w:name="_Toc184312106"/>
      <w:bookmarkEnd w:id="299"/>
      <w:bookmarkStart w:id="300" w:name="_Toc184312111"/>
      <w:bookmarkEnd w:id="300"/>
      <w:bookmarkStart w:id="301" w:name="_Toc184314456"/>
      <w:bookmarkEnd w:id="301"/>
      <w:bookmarkStart w:id="302" w:name="_Toc184312136"/>
      <w:bookmarkEnd w:id="302"/>
      <w:bookmarkStart w:id="303" w:name="_Toc184313253"/>
      <w:bookmarkEnd w:id="303"/>
      <w:bookmarkStart w:id="304" w:name="_Toc184308046"/>
      <w:bookmarkEnd w:id="304"/>
      <w:bookmarkStart w:id="305" w:name="_Toc184308105"/>
      <w:bookmarkEnd w:id="305"/>
      <w:bookmarkStart w:id="306" w:name="_Toc184313276"/>
      <w:bookmarkEnd w:id="306"/>
      <w:bookmarkStart w:id="307" w:name="_Toc184308066"/>
      <w:bookmarkEnd w:id="307"/>
      <w:bookmarkStart w:id="308" w:name="_Toc184312085"/>
      <w:bookmarkEnd w:id="308"/>
      <w:bookmarkStart w:id="309" w:name="_Toc184308068"/>
      <w:bookmarkEnd w:id="309"/>
      <w:bookmarkStart w:id="310" w:name="_Toc184314443"/>
      <w:bookmarkEnd w:id="310"/>
      <w:bookmarkStart w:id="311" w:name="_Toc184310323"/>
      <w:bookmarkEnd w:id="311"/>
      <w:bookmarkStart w:id="312" w:name="_Toc184314472"/>
      <w:bookmarkEnd w:id="312"/>
      <w:bookmarkStart w:id="313" w:name="_Toc184312100"/>
      <w:bookmarkEnd w:id="313"/>
      <w:bookmarkStart w:id="314" w:name="_Toc184310316"/>
      <w:bookmarkEnd w:id="314"/>
      <w:bookmarkStart w:id="315" w:name="_Toc184313281"/>
      <w:bookmarkEnd w:id="315"/>
      <w:bookmarkStart w:id="316" w:name="_Toc184310275"/>
      <w:bookmarkEnd w:id="316"/>
      <w:bookmarkStart w:id="317" w:name="_Toc184310284"/>
      <w:bookmarkEnd w:id="317"/>
      <w:bookmarkStart w:id="318" w:name="_Toc184310302"/>
      <w:bookmarkEnd w:id="318"/>
      <w:bookmarkStart w:id="319" w:name="_Toc184314476"/>
      <w:bookmarkEnd w:id="319"/>
      <w:bookmarkStart w:id="320" w:name="_Toc184312082"/>
      <w:bookmarkEnd w:id="320"/>
      <w:bookmarkStart w:id="321" w:name="_Toc184314446"/>
      <w:bookmarkEnd w:id="321"/>
      <w:bookmarkStart w:id="322" w:name="_Toc184312128"/>
      <w:bookmarkEnd w:id="322"/>
      <w:bookmarkStart w:id="323" w:name="_Toc184312081"/>
      <w:bookmarkEnd w:id="323"/>
      <w:bookmarkStart w:id="324" w:name="_Toc184312079"/>
      <w:bookmarkEnd w:id="324"/>
      <w:bookmarkStart w:id="325" w:name="_Toc184313274"/>
      <w:bookmarkEnd w:id="325"/>
      <w:bookmarkStart w:id="326" w:name="_Toc184308107"/>
      <w:bookmarkEnd w:id="326"/>
      <w:bookmarkStart w:id="327" w:name="_Toc184314431"/>
      <w:bookmarkEnd w:id="327"/>
      <w:bookmarkStart w:id="328" w:name="_Toc184313260"/>
      <w:bookmarkEnd w:id="328"/>
      <w:bookmarkStart w:id="329" w:name="_Toc184312107"/>
      <w:bookmarkEnd w:id="329"/>
      <w:bookmarkStart w:id="330" w:name="_Toc184314419"/>
      <w:bookmarkEnd w:id="330"/>
      <w:bookmarkStart w:id="331" w:name="_Toc184313242"/>
      <w:bookmarkEnd w:id="331"/>
      <w:bookmarkStart w:id="332" w:name="_Toc184308053"/>
      <w:bookmarkEnd w:id="332"/>
      <w:bookmarkStart w:id="333" w:name="_Toc184310305"/>
      <w:bookmarkEnd w:id="333"/>
      <w:bookmarkStart w:id="334" w:name="_Toc184308045"/>
      <w:bookmarkEnd w:id="334"/>
      <w:bookmarkStart w:id="335" w:name="_Toc184308041"/>
      <w:bookmarkEnd w:id="335"/>
      <w:bookmarkStart w:id="336" w:name="_Toc184312105"/>
      <w:bookmarkEnd w:id="336"/>
      <w:bookmarkStart w:id="337" w:name="_Toc184310297"/>
      <w:bookmarkEnd w:id="337"/>
      <w:bookmarkStart w:id="338" w:name="_Toc184313299"/>
      <w:bookmarkEnd w:id="338"/>
      <w:bookmarkStart w:id="339" w:name="_Toc184310335"/>
      <w:bookmarkEnd w:id="339"/>
      <w:bookmarkStart w:id="340" w:name="_Toc184314457"/>
      <w:bookmarkEnd w:id="340"/>
      <w:bookmarkStart w:id="341" w:name="_Toc184310296"/>
      <w:bookmarkEnd w:id="341"/>
      <w:bookmarkStart w:id="342" w:name="_Toc184312104"/>
      <w:bookmarkEnd w:id="342"/>
      <w:bookmarkStart w:id="343" w:name="_Toc184314414"/>
      <w:bookmarkEnd w:id="343"/>
      <w:bookmarkStart w:id="344" w:name="_Toc184308062"/>
      <w:bookmarkEnd w:id="344"/>
      <w:bookmarkStart w:id="345" w:name="_Toc184312102"/>
      <w:bookmarkEnd w:id="345"/>
      <w:bookmarkStart w:id="346" w:name="_Toc184308036"/>
      <w:bookmarkEnd w:id="346"/>
      <w:bookmarkStart w:id="347" w:name="_Toc184313249"/>
      <w:bookmarkEnd w:id="347"/>
      <w:bookmarkStart w:id="348" w:name="_Toc184310320"/>
      <w:bookmarkEnd w:id="348"/>
      <w:bookmarkStart w:id="349" w:name="_Toc184313257"/>
      <w:bookmarkEnd w:id="349"/>
      <w:bookmarkStart w:id="350" w:name="_Toc184312096"/>
      <w:bookmarkEnd w:id="350"/>
      <w:bookmarkStart w:id="351" w:name="_Toc184312088"/>
      <w:bookmarkEnd w:id="351"/>
      <w:bookmarkStart w:id="352" w:name="_Toc184310309"/>
      <w:bookmarkEnd w:id="352"/>
      <w:bookmarkStart w:id="353" w:name="_Toc184314424"/>
      <w:bookmarkEnd w:id="353"/>
      <w:bookmarkStart w:id="354" w:name="_Toc184310312"/>
      <w:bookmarkEnd w:id="354"/>
      <w:bookmarkStart w:id="355" w:name="_Toc184313250"/>
      <w:bookmarkEnd w:id="355"/>
      <w:bookmarkStart w:id="356" w:name="_Toc184310327"/>
      <w:bookmarkEnd w:id="356"/>
      <w:bookmarkStart w:id="357" w:name="_Toc184308055"/>
      <w:bookmarkEnd w:id="357"/>
      <w:bookmarkStart w:id="358" w:name="_Toc184310299"/>
      <w:bookmarkEnd w:id="358"/>
      <w:bookmarkStart w:id="359" w:name="_Toc184312132"/>
      <w:bookmarkEnd w:id="359"/>
      <w:bookmarkStart w:id="360" w:name="_Toc184312087"/>
      <w:bookmarkEnd w:id="360"/>
      <w:bookmarkStart w:id="361" w:name="_Toc184312126"/>
      <w:bookmarkEnd w:id="361"/>
      <w:bookmarkStart w:id="362" w:name="_Toc184313280"/>
      <w:bookmarkEnd w:id="362"/>
      <w:bookmarkStart w:id="363" w:name="_Toc184314471"/>
      <w:bookmarkEnd w:id="363"/>
      <w:bookmarkStart w:id="364" w:name="_Toc184314480"/>
      <w:bookmarkEnd w:id="364"/>
      <w:bookmarkStart w:id="365" w:name="_Toc184310332"/>
      <w:bookmarkEnd w:id="365"/>
      <w:bookmarkStart w:id="366" w:name="_Toc184310280"/>
      <w:bookmarkEnd w:id="366"/>
      <w:bookmarkStart w:id="367" w:name="_Toc184308104"/>
      <w:bookmarkEnd w:id="367"/>
      <w:bookmarkStart w:id="368" w:name="_Toc184314441"/>
      <w:bookmarkEnd w:id="368"/>
      <w:bookmarkStart w:id="369" w:name="_Toc184310324"/>
      <w:bookmarkEnd w:id="369"/>
      <w:bookmarkStart w:id="370" w:name="_Toc184308082"/>
      <w:bookmarkEnd w:id="370"/>
      <w:bookmarkStart w:id="371" w:name="_Toc184314448"/>
      <w:bookmarkEnd w:id="371"/>
      <w:bookmarkStart w:id="372" w:name="_Toc184308089"/>
      <w:bookmarkEnd w:id="372"/>
      <w:bookmarkStart w:id="373" w:name="_Toc184312084"/>
      <w:bookmarkEnd w:id="373"/>
      <w:bookmarkStart w:id="374" w:name="_Toc184308100"/>
      <w:bookmarkEnd w:id="374"/>
      <w:bookmarkStart w:id="375" w:name="_Toc184313248"/>
      <w:bookmarkEnd w:id="375"/>
      <w:bookmarkStart w:id="376" w:name="_Toc184313298"/>
      <w:bookmarkEnd w:id="376"/>
      <w:bookmarkStart w:id="377" w:name="_Toc184314428"/>
      <w:bookmarkEnd w:id="377"/>
      <w:bookmarkStart w:id="378" w:name="_Toc184310306"/>
      <w:bookmarkEnd w:id="378"/>
      <w:bookmarkStart w:id="379" w:name="_Toc184313287"/>
      <w:bookmarkEnd w:id="379"/>
      <w:bookmarkStart w:id="380" w:name="_Toc184313252"/>
      <w:bookmarkEnd w:id="380"/>
      <w:bookmarkStart w:id="381" w:name="_Toc184312095"/>
      <w:bookmarkEnd w:id="381"/>
      <w:bookmarkStart w:id="382" w:name="_Toc184310285"/>
      <w:bookmarkEnd w:id="382"/>
      <w:bookmarkStart w:id="383" w:name="_Toc184308050"/>
      <w:bookmarkEnd w:id="383"/>
      <w:bookmarkStart w:id="384" w:name="_Toc184310321"/>
      <w:bookmarkEnd w:id="384"/>
      <w:bookmarkStart w:id="385" w:name="_Toc184312067"/>
      <w:bookmarkEnd w:id="385"/>
      <w:bookmarkStart w:id="386" w:name="_Toc184313255"/>
      <w:bookmarkEnd w:id="386"/>
      <w:bookmarkStart w:id="387" w:name="_Toc184313303"/>
      <w:bookmarkEnd w:id="387"/>
      <w:bookmarkStart w:id="388" w:name="_Toc184313296"/>
      <w:bookmarkEnd w:id="388"/>
      <w:bookmarkStart w:id="389" w:name="_Toc184314423"/>
      <w:bookmarkEnd w:id="389"/>
      <w:bookmarkStart w:id="390" w:name="_Toc184308063"/>
      <w:bookmarkEnd w:id="390"/>
      <w:bookmarkStart w:id="391" w:name="_Toc184310334"/>
      <w:bookmarkEnd w:id="391"/>
      <w:bookmarkStart w:id="392" w:name="_Toc184312118"/>
      <w:bookmarkEnd w:id="392"/>
      <w:bookmarkStart w:id="393" w:name="_Toc184310300"/>
      <w:bookmarkEnd w:id="393"/>
      <w:bookmarkStart w:id="394" w:name="_Toc184314426"/>
      <w:bookmarkEnd w:id="394"/>
      <w:bookmarkStart w:id="395" w:name="_Toc184310279"/>
      <w:bookmarkEnd w:id="395"/>
      <w:bookmarkStart w:id="396" w:name="_Toc184314453"/>
      <w:bookmarkEnd w:id="396"/>
      <w:bookmarkStart w:id="397" w:name="_Toc184312103"/>
      <w:bookmarkEnd w:id="397"/>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76"/>
        <w:tblW w:w="10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1011"/>
        <w:gridCol w:w="994"/>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17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评标标准</w:t>
            </w:r>
          </w:p>
        </w:tc>
        <w:tc>
          <w:tcPr>
            <w:tcW w:w="1011"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权重</w:t>
            </w:r>
          </w:p>
        </w:tc>
        <w:tc>
          <w:tcPr>
            <w:tcW w:w="994" w:type="dxa"/>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主观分/客观分属性</w:t>
            </w:r>
          </w:p>
        </w:tc>
        <w:tc>
          <w:tcPr>
            <w:tcW w:w="1538" w:type="dxa"/>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投标文件中评标标准相应的商务技术资料目录</w:t>
            </w:r>
            <w:r>
              <w:rPr>
                <w:rFonts w:hint="eastAsia" w:ascii="仿宋" w:hAnsi="仿宋" w:eastAsia="仿宋" w:cs="仿宋"/>
                <w:b/>
                <w:bCs w:val="0"/>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6178" w:type="dxa"/>
            <w:vAlign w:val="center"/>
          </w:tcPr>
          <w:p>
            <w:pPr>
              <w:spacing w:beforeLines="0" w:afterLines="0"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根据本项目物业使用特点提出</w:t>
            </w:r>
            <w:r>
              <w:rPr>
                <w:rFonts w:hint="eastAsia" w:ascii="仿宋" w:hAnsi="仿宋" w:eastAsia="仿宋" w:cs="仿宋"/>
                <w:sz w:val="24"/>
                <w:szCs w:val="24"/>
              </w:rPr>
              <w:t>①</w:t>
            </w:r>
            <w:r>
              <w:rPr>
                <w:rFonts w:hint="eastAsia" w:ascii="仿宋" w:hAnsi="仿宋" w:eastAsia="仿宋" w:cs="仿宋"/>
                <w:color w:val="auto"/>
                <w:sz w:val="24"/>
                <w:szCs w:val="24"/>
              </w:rPr>
              <w:t>物业管理服务理念，</w:t>
            </w:r>
            <w:r>
              <w:rPr>
                <w:rFonts w:hint="eastAsia" w:ascii="仿宋" w:hAnsi="仿宋" w:eastAsia="仿宋" w:cs="仿宋"/>
                <w:sz w:val="24"/>
                <w:szCs w:val="24"/>
              </w:rPr>
              <w:t>②</w:t>
            </w:r>
            <w:r>
              <w:rPr>
                <w:rFonts w:hint="eastAsia" w:ascii="仿宋" w:hAnsi="仿宋" w:eastAsia="仿宋" w:cs="仿宋"/>
                <w:color w:val="auto"/>
                <w:sz w:val="24"/>
                <w:szCs w:val="24"/>
              </w:rPr>
              <w:t>服务定位、目标，③投标人的管理模式能够切合实际，</w:t>
            </w:r>
            <w:r>
              <w:rPr>
                <w:rFonts w:hint="eastAsia" w:ascii="仿宋" w:hAnsi="仿宋" w:eastAsia="仿宋" w:cs="仿宋"/>
                <w:color w:val="auto"/>
                <w:sz w:val="24"/>
                <w:szCs w:val="24"/>
                <w:lang w:eastAsia="zh-CN"/>
              </w:rPr>
              <w:t>且安全可行。方案合理、</w:t>
            </w:r>
            <w:r>
              <w:rPr>
                <w:rFonts w:hint="eastAsia" w:ascii="仿宋" w:hAnsi="仿宋" w:eastAsia="仿宋" w:cs="仿宋"/>
                <w:color w:val="auto"/>
                <w:sz w:val="24"/>
                <w:szCs w:val="24"/>
              </w:rPr>
              <w:t>保密性</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、安全，有针对性的</w:t>
            </w:r>
            <w:r>
              <w:rPr>
                <w:rFonts w:hint="eastAsia" w:ascii="仿宋" w:hAnsi="仿宋" w:eastAsia="仿宋" w:cs="仿宋"/>
                <w:color w:val="auto"/>
                <w:sz w:val="24"/>
                <w:szCs w:val="24"/>
                <w:lang w:eastAsia="zh-CN"/>
              </w:rPr>
              <w:t>且</w:t>
            </w:r>
            <w:r>
              <w:rPr>
                <w:rFonts w:hint="eastAsia" w:ascii="仿宋" w:hAnsi="仿宋" w:eastAsia="仿宋" w:cs="仿宋"/>
                <w:color w:val="auto"/>
                <w:sz w:val="24"/>
                <w:szCs w:val="24"/>
              </w:rPr>
              <w:t>切实可行</w:t>
            </w:r>
            <w:r>
              <w:rPr>
                <w:rFonts w:hint="eastAsia" w:ascii="仿宋" w:hAnsi="仿宋" w:eastAsia="仿宋" w:cs="仿宋"/>
                <w:color w:val="auto"/>
                <w:sz w:val="24"/>
                <w:szCs w:val="24"/>
                <w:lang w:eastAsia="zh-CN"/>
              </w:rPr>
              <w:t>的视为符合要求。</w:t>
            </w:r>
            <w:r>
              <w:rPr>
                <w:rFonts w:hint="eastAsia" w:ascii="仿宋" w:hAnsi="仿宋" w:eastAsia="仿宋" w:cs="仿宋"/>
                <w:color w:val="auto"/>
                <w:sz w:val="24"/>
                <w:szCs w:val="24"/>
                <w:lang w:val="en-US" w:eastAsia="zh-CN"/>
              </w:rPr>
              <w:t>每</w:t>
            </w:r>
            <w:r>
              <w:rPr>
                <w:rFonts w:hint="eastAsia" w:ascii="仿宋" w:hAnsi="仿宋" w:eastAsia="仿宋" w:cs="仿宋"/>
                <w:color w:val="auto"/>
                <w:sz w:val="24"/>
                <w:szCs w:val="24"/>
                <w:lang w:eastAsia="zh-CN"/>
              </w:rPr>
              <w:t>符合1项得1分，部分符合得0.5分，不符合不得分。</w:t>
            </w:r>
          </w:p>
        </w:tc>
        <w:tc>
          <w:tcPr>
            <w:tcW w:w="1011" w:type="dxa"/>
            <w:vAlign w:val="center"/>
          </w:tcPr>
          <w:p>
            <w:pPr>
              <w:pStyle w:val="2"/>
              <w:spacing w:beforeLines="0" w:afterLines="0" w:line="360" w:lineRule="auto"/>
              <w:ind w:left="0" w:leftChars="0" w:firstLine="0"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color w:val="auto"/>
                <w:sz w:val="24"/>
                <w:szCs w:val="24"/>
                <w:lang w:val="en-US" w:eastAsia="zh-CN"/>
              </w:rPr>
              <w:t>3</w:t>
            </w:r>
          </w:p>
        </w:tc>
        <w:tc>
          <w:tcPr>
            <w:tcW w:w="994" w:type="dxa"/>
            <w:vAlign w:val="center"/>
          </w:tcPr>
          <w:p>
            <w:pPr>
              <w:spacing w:beforeLines="0" w:afterLines="0"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（一）物业管理服务理念、服务定位 、目标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6178" w:type="dxa"/>
            <w:vAlign w:val="center"/>
          </w:tcPr>
          <w:p>
            <w:pPr>
              <w:tabs>
                <w:tab w:val="left" w:pos="0"/>
              </w:tabs>
              <w:spacing w:beforeLines="0" w:afterLines="0"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针对本项目有比较完善的组织架构及管理制度，清晰简练地列出主要管理流程，包括运作流程图、激励机制、监督机制、自我约束机制、信息反馈渠道及处理机制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根据投标人提供的方案能否满足采购需求判定评分，内容完整、措施有效、符合采购人实际视为符合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完全符合得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分，部分符合得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分，不符合不得分</w:t>
            </w:r>
            <w:r>
              <w:rPr>
                <w:rFonts w:hint="eastAsia" w:ascii="仿宋" w:hAnsi="仿宋" w:eastAsia="仿宋" w:cs="仿宋"/>
                <w:color w:val="auto"/>
                <w:sz w:val="24"/>
                <w:szCs w:val="24"/>
                <w:lang w:eastAsia="zh-CN"/>
              </w:rPr>
              <w:t>。</w:t>
            </w:r>
          </w:p>
        </w:tc>
        <w:tc>
          <w:tcPr>
            <w:tcW w:w="1011" w:type="dxa"/>
            <w:vAlign w:val="center"/>
          </w:tcPr>
          <w:p>
            <w:pPr>
              <w:pStyle w:val="2"/>
              <w:spacing w:beforeLines="0" w:afterLines="0" w:line="36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eastAsia="仿宋" w:cs="仿宋"/>
                <w:b w:val="0"/>
                <w:color w:val="auto"/>
                <w:sz w:val="24"/>
                <w:szCs w:val="24"/>
                <w:lang w:val="en-US" w:eastAsia="zh-CN"/>
              </w:rPr>
              <w:t>4</w:t>
            </w:r>
          </w:p>
        </w:tc>
        <w:tc>
          <w:tcPr>
            <w:tcW w:w="994" w:type="dxa"/>
            <w:vAlign w:val="center"/>
          </w:tcPr>
          <w:p>
            <w:pPr>
              <w:spacing w:beforeLines="0" w:afterLines="0"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（二）组织架构、管理制度、管理流程等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178" w:type="dxa"/>
            <w:vAlign w:val="center"/>
          </w:tcPr>
          <w:p>
            <w:pPr>
              <w:tabs>
                <w:tab w:val="left" w:pos="0"/>
              </w:tabs>
              <w:spacing w:beforeLines="0" w:afterLines="0"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rPr>
              <w:t>清卫保洁</w:t>
            </w:r>
            <w:r>
              <w:rPr>
                <w:rFonts w:hint="eastAsia" w:ascii="仿宋" w:hAnsi="仿宋" w:eastAsia="仿宋" w:cs="仿宋"/>
                <w:color w:val="auto"/>
                <w:sz w:val="24"/>
                <w:szCs w:val="24"/>
              </w:rPr>
              <w:t>方案。方案包括</w:t>
            </w:r>
            <w:r>
              <w:rPr>
                <w:rFonts w:hint="eastAsia" w:ascii="仿宋" w:hAnsi="仿宋" w:eastAsia="仿宋" w:cs="仿宋"/>
                <w:sz w:val="24"/>
                <w:szCs w:val="24"/>
                <w:lang w:val="en-US" w:eastAsia="zh-CN"/>
              </w:rPr>
              <w:t>行政办公公共</w:t>
            </w:r>
            <w:r>
              <w:rPr>
                <w:rFonts w:hint="eastAsia" w:ascii="仿宋" w:hAnsi="仿宋" w:eastAsia="仿宋" w:cs="仿宋"/>
                <w:sz w:val="24"/>
                <w:szCs w:val="24"/>
              </w:rPr>
              <w:t>区域内的楼梯、大厅、走廊、屋顶天台、吊顶、平台、雨棚、电梯厅、电梯间、卫生间、茶水间、服务间、地下室、公共活动场所的台（地）面、明沟、墙面、门、窗、灯具、果壳箱等设施和器皿，楼宇外墙等所有公共部位设施，</w:t>
            </w:r>
            <w:r>
              <w:rPr>
                <w:rFonts w:hint="eastAsia" w:ascii="仿宋" w:hAnsi="仿宋" w:eastAsia="仿宋" w:cs="仿宋"/>
                <w:sz w:val="24"/>
              </w:rPr>
              <w:t>行政办公公共</w:t>
            </w:r>
            <w:r>
              <w:rPr>
                <w:rFonts w:hint="eastAsia" w:ascii="仿宋" w:hAnsi="仿宋" w:eastAsia="仿宋" w:cs="仿宋"/>
                <w:sz w:val="24"/>
                <w:szCs w:val="24"/>
              </w:rPr>
              <w:t>场地及设施和门前“三包”区域的日常保洁保养以及垃圾、废弃物清理和灭“四害”、白蚁防治和消杀等所有环境卫生保洁。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994" w:type="dxa"/>
            <w:vAlign w:val="center"/>
          </w:tcPr>
          <w:p>
            <w:pPr>
              <w:pStyle w:val="2"/>
              <w:spacing w:beforeLines="0" w:afterLines="0" w:line="360" w:lineRule="auto"/>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（三）保洁管理与服务方案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178" w:type="dxa"/>
            <w:vAlign w:val="center"/>
          </w:tcPr>
          <w:p>
            <w:pPr>
              <w:tabs>
                <w:tab w:val="left" w:pos="0"/>
              </w:tabs>
              <w:spacing w:beforeLines="0" w:afterLines="0"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石材日常维护方案。方案包括物业服务区域内大楼内地面日常保洁、晶面处理等各项养护服务</w:t>
            </w:r>
            <w:r>
              <w:rPr>
                <w:rFonts w:hint="eastAsia" w:ascii="仿宋" w:hAnsi="仿宋" w:eastAsia="仿宋" w:cs="仿宋"/>
                <w:color w:val="auto"/>
                <w:sz w:val="24"/>
                <w:szCs w:val="24"/>
                <w:lang w:eastAsia="zh-CN"/>
              </w:rPr>
              <w:t>。</w:t>
            </w:r>
            <w:r>
              <w:rPr>
                <w:rFonts w:hint="eastAsia" w:ascii="仿宋" w:hAnsi="仿宋" w:eastAsia="仿宋" w:cs="仿宋"/>
                <w:sz w:val="24"/>
                <w:szCs w:val="24"/>
              </w:rPr>
              <w:t>方案根据服务对象区域内实际情况设计，能满足采购需求中的服务内容和服务质量标准（完全符合得</w:t>
            </w:r>
            <w:r>
              <w:rPr>
                <w:rFonts w:hint="default"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4</w:t>
            </w:r>
          </w:p>
        </w:tc>
        <w:tc>
          <w:tcPr>
            <w:tcW w:w="994" w:type="dxa"/>
            <w:vAlign w:val="center"/>
          </w:tcPr>
          <w:p>
            <w:pPr>
              <w:pStyle w:val="2"/>
              <w:spacing w:beforeLines="0" w:afterLines="0" w:line="360" w:lineRule="auto"/>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）石材日常维护方案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178" w:type="dxa"/>
            <w:vAlign w:val="center"/>
          </w:tcPr>
          <w:p>
            <w:pPr>
              <w:tabs>
                <w:tab w:val="left" w:pos="0"/>
              </w:tabs>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绿化</w:t>
            </w:r>
            <w:r>
              <w:rPr>
                <w:rFonts w:hint="eastAsia" w:ascii="仿宋" w:hAnsi="仿宋" w:eastAsia="仿宋" w:cs="仿宋"/>
                <w:color w:val="auto"/>
                <w:sz w:val="24"/>
                <w:szCs w:val="24"/>
                <w:lang w:eastAsia="zh-CN"/>
              </w:rPr>
              <w:t>养护</w:t>
            </w:r>
            <w:r>
              <w:rPr>
                <w:rFonts w:hint="eastAsia" w:ascii="仿宋" w:hAnsi="仿宋" w:eastAsia="仿宋" w:cs="仿宋"/>
                <w:color w:val="auto"/>
                <w:sz w:val="24"/>
                <w:szCs w:val="24"/>
              </w:rPr>
              <w:t>方案。方案包括物业服务区域内树木、花草、色块等的日常养护和管理，绿地的养护及卫生管理</w:t>
            </w:r>
            <w:r>
              <w:rPr>
                <w:rFonts w:hint="eastAsia" w:ascii="仿宋" w:hAnsi="仿宋" w:eastAsia="仿宋" w:cs="仿宋"/>
                <w:color w:val="auto"/>
                <w:sz w:val="24"/>
                <w:szCs w:val="24"/>
                <w:lang w:eastAsia="zh-CN"/>
              </w:rPr>
              <w:t>。</w:t>
            </w:r>
            <w:r>
              <w:rPr>
                <w:rFonts w:hint="eastAsia" w:ascii="仿宋" w:hAnsi="仿宋" w:eastAsia="仿宋" w:cs="仿宋"/>
                <w:sz w:val="24"/>
                <w:szCs w:val="24"/>
              </w:rPr>
              <w:t>方案根据服务对象区域内实际情况设计，能满足采购需求中的服务内容和服务质量标准（完全符合得</w:t>
            </w:r>
            <w:r>
              <w:rPr>
                <w:rFonts w:hint="default"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pStyle w:val="2"/>
              <w:spacing w:line="360" w:lineRule="auto"/>
              <w:ind w:left="0" w:leftChars="0" w:firstLine="0" w:firstLineChars="0"/>
              <w:jc w:val="center"/>
              <w:rPr>
                <w:rFonts w:hint="eastAsia" w:ascii="仿宋" w:hAnsi="仿宋" w:eastAsia="仿宋" w:cs="仿宋"/>
                <w:b w:val="0"/>
                <w:bCs/>
                <w:color w:val="auto"/>
                <w:kern w:val="2"/>
                <w:sz w:val="24"/>
                <w:szCs w:val="24"/>
                <w:lang w:val="en-US" w:eastAsia="zh-CN" w:bidi="ar-SA"/>
              </w:rPr>
            </w:pPr>
            <w:r>
              <w:rPr>
                <w:rFonts w:hint="default" w:ascii="仿宋" w:hAnsi="仿宋" w:eastAsia="仿宋" w:cs="仿宋"/>
                <w:b w:val="0"/>
                <w:color w:val="auto"/>
                <w:sz w:val="24"/>
                <w:szCs w:val="24"/>
                <w:lang w:val="en-US"/>
              </w:rPr>
              <w:t>4</w:t>
            </w:r>
          </w:p>
        </w:tc>
        <w:tc>
          <w:tcPr>
            <w:tcW w:w="994" w:type="dxa"/>
            <w:vAlign w:val="center"/>
          </w:tcPr>
          <w:p>
            <w:p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）绿化管理与服务方案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6</w:t>
            </w:r>
          </w:p>
        </w:tc>
        <w:tc>
          <w:tcPr>
            <w:tcW w:w="6178" w:type="dxa"/>
            <w:vAlign w:val="center"/>
          </w:tcPr>
          <w:p>
            <w:pPr>
              <w:tabs>
                <w:tab w:val="left" w:pos="0"/>
              </w:tabs>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秩序维护方案。包括</w:t>
            </w:r>
            <w:r>
              <w:rPr>
                <w:rFonts w:hint="eastAsia" w:ascii="仿宋" w:hAnsi="仿宋" w:eastAsia="仿宋" w:cs="仿宋"/>
                <w:bCs/>
                <w:sz w:val="24"/>
                <w:szCs w:val="24"/>
                <w:highlight w:val="none"/>
                <w:lang w:val="en-US" w:eastAsia="zh-CN"/>
              </w:rPr>
              <w:t>出入口秩序管理、安全检查巡逻、安全监控、</w:t>
            </w:r>
            <w:r>
              <w:rPr>
                <w:rFonts w:hint="eastAsia" w:ascii="仿宋" w:hAnsi="仿宋" w:eastAsia="仿宋" w:cs="仿宋"/>
                <w:bCs/>
                <w:sz w:val="24"/>
                <w:szCs w:val="24"/>
                <w:highlight w:val="none"/>
              </w:rPr>
              <w:t>交通和车辆停放管理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安全管理</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方案根据服务对象区域内实际情况设计，能满足采购需求中的服务内容和服务质量标准（完全符合得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分，一项不符合扣1分，扣完为止）</w:t>
            </w:r>
            <w:r>
              <w:rPr>
                <w:rFonts w:hint="eastAsia" w:ascii="仿宋" w:hAnsi="仿宋" w:eastAsia="仿宋" w:cs="仿宋"/>
                <w:sz w:val="24"/>
                <w:szCs w:val="24"/>
                <w:highlight w:val="none"/>
                <w:lang w:eastAsia="zh-CN"/>
              </w:rPr>
              <w:t>。</w:t>
            </w:r>
          </w:p>
        </w:tc>
        <w:tc>
          <w:tcPr>
            <w:tcW w:w="1011"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）秩序维护服务方案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178" w:type="dxa"/>
            <w:vAlign w:val="top"/>
          </w:tcPr>
          <w:p>
            <w:pPr>
              <w:pStyle w:val="132"/>
              <w:snapToGrid w:val="0"/>
              <w:spacing w:before="0" w:after="12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消防设备维护方案。方案包括服务区域内所有的消防设备的维保、维修和管理</w:t>
            </w:r>
            <w:r>
              <w:rPr>
                <w:rFonts w:hint="eastAsia" w:ascii="仿宋" w:hAnsi="仿宋" w:eastAsia="仿宋" w:cs="仿宋"/>
                <w:color w:val="auto"/>
                <w:sz w:val="24"/>
                <w:szCs w:val="24"/>
                <w:lang w:eastAsia="zh-CN"/>
              </w:rPr>
              <w:t>。</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）消防设备维护方案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6178" w:type="dxa"/>
            <w:vAlign w:val="center"/>
          </w:tcPr>
          <w:p>
            <w:pPr>
              <w:pStyle w:val="132"/>
              <w:snapToGrid w:val="0"/>
              <w:spacing w:before="0" w:beforeLines="0" w:after="120" w:afterLines="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高（低）压线路、照明及供电设备管理维护方案。方案包括区域内的变压器、高低压配电柜、楼层配电间低压配电柜、设备机房电气控制柜、疏散指示系统、</w:t>
            </w:r>
            <w:r>
              <w:rPr>
                <w:rFonts w:hint="eastAsia" w:ascii="仿宋" w:hAnsi="仿宋" w:eastAsia="仿宋" w:cs="仿宋"/>
                <w:sz w:val="24"/>
                <w:szCs w:val="24"/>
              </w:rPr>
              <w:t>大厅电动遮阳卷帘、</w:t>
            </w:r>
            <w:r>
              <w:rPr>
                <w:rFonts w:hint="eastAsia" w:ascii="仿宋" w:hAnsi="仿宋" w:eastAsia="仿宋" w:cs="仿宋"/>
                <w:color w:val="auto"/>
                <w:sz w:val="24"/>
                <w:szCs w:val="24"/>
              </w:rPr>
              <w:t>电气管线、电线电缆、电源开关、动力插座、电开水炉（专项维保除外）、水泵、排污泵等低压用电设施进行日常管理和维护、维修。</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r>
              <w:rPr>
                <w:rFonts w:hint="eastAsia" w:ascii="仿宋" w:hAnsi="仿宋" w:eastAsia="仿宋" w:cs="仿宋"/>
                <w:color w:val="auto"/>
                <w:sz w:val="24"/>
                <w:szCs w:val="24"/>
              </w:rPr>
              <w:t xml:space="preserve"> </w:t>
            </w:r>
          </w:p>
        </w:tc>
        <w:tc>
          <w:tcPr>
            <w:tcW w:w="1011"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994" w:type="dxa"/>
            <w:vAlign w:val="center"/>
          </w:tcPr>
          <w:p>
            <w:pPr>
              <w:spacing w:beforeLines="0" w:afterLines="0"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）高（低）压线路、照明及供电设备管理维护方案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6178" w:type="dxa"/>
            <w:vAlign w:val="center"/>
          </w:tcPr>
          <w:p>
            <w:pPr>
              <w:pStyle w:val="132"/>
              <w:snapToGrid w:val="0"/>
              <w:spacing w:before="0" w:beforeLines="0" w:after="120" w:afterLines="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弱电系统管理维护方案。方案包括协助做好物业服务区域内综合布线、楼宇设备自控系统、安全防范系统、显示屏系统、有线电视系统、弱电井道（涉密除外）等日常管理，确保各系统正常运行。</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994" w:type="dxa"/>
            <w:vAlign w:val="center"/>
          </w:tcPr>
          <w:p>
            <w:pPr>
              <w:spacing w:beforeLines="0" w:afterLines="0"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）弱电系统管理维护方案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6178" w:type="dxa"/>
            <w:vAlign w:val="center"/>
          </w:tcPr>
          <w:p>
            <w:pPr>
              <w:spacing w:beforeLines="0" w:afterLines="0"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给排水设备运行维护方案。方案包括服务区域内给排水系统设备、设施，如水泵、水箱、气压给水装置、水处理设备、管道、管件、阀门、水嘴、卫生洁具、排水管、透气管、水封设备、室外排水管及附属构筑物等进行日常养护维修，保持正常运行。</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994" w:type="dxa"/>
            <w:vAlign w:val="center"/>
          </w:tcPr>
          <w:p>
            <w:pPr>
              <w:spacing w:beforeLines="0" w:afterLines="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p>
            <w:pPr>
              <w:pStyle w:val="2"/>
              <w:spacing w:beforeLines="0" w:afterLines="0" w:line="360" w:lineRule="auto"/>
              <w:jc w:val="center"/>
              <w:rPr>
                <w:rFonts w:hint="eastAsia" w:ascii="仿宋" w:hAnsi="仿宋" w:eastAsia="仿宋" w:cs="仿宋"/>
                <w:color w:val="auto"/>
                <w:sz w:val="24"/>
                <w:szCs w:val="24"/>
                <w:lang w:val="en-US"/>
              </w:rPr>
            </w:pPr>
          </w:p>
          <w:p>
            <w:pPr>
              <w:spacing w:beforeLines="0" w:afterLines="0" w:line="360" w:lineRule="auto"/>
              <w:jc w:val="center"/>
              <w:rPr>
                <w:rFonts w:hint="eastAsia" w:ascii="仿宋" w:hAnsi="仿宋" w:eastAsia="仿宋" w:cs="仿宋"/>
                <w:color w:val="auto"/>
                <w:kern w:val="2"/>
                <w:sz w:val="24"/>
                <w:szCs w:val="24"/>
                <w:lang w:val="en-US" w:eastAsia="zh-CN" w:bidi="ar-SA"/>
              </w:rPr>
            </w:pP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）给排水设备运行维护方案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6178" w:type="dxa"/>
            <w:vAlign w:val="center"/>
          </w:tcPr>
          <w:p>
            <w:pPr>
              <w:pStyle w:val="132"/>
              <w:snapToGrid w:val="0"/>
              <w:spacing w:before="0" w:beforeLines="0" w:after="120" w:afterLines="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空调系统运行维护方案。方案包括物业服务区域内所有空调系统的日常养护维修。</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pStyle w:val="2"/>
              <w:spacing w:beforeLines="0" w:afterLines="0" w:line="360" w:lineRule="auto"/>
              <w:ind w:left="0" w:leftChars="0" w:firstLine="0" w:firstLineChars="0"/>
              <w:jc w:val="center"/>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color w:val="auto"/>
                <w:sz w:val="24"/>
                <w:szCs w:val="24"/>
                <w:lang w:val="en-US"/>
              </w:rPr>
              <w:t>4</w:t>
            </w:r>
          </w:p>
        </w:tc>
        <w:tc>
          <w:tcPr>
            <w:tcW w:w="994"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十一</w:t>
            </w:r>
            <w:r>
              <w:rPr>
                <w:rFonts w:hint="eastAsia" w:ascii="仿宋" w:hAnsi="仿宋" w:eastAsia="仿宋" w:cs="仿宋"/>
                <w:color w:val="auto"/>
                <w:sz w:val="24"/>
                <w:szCs w:val="24"/>
              </w:rPr>
              <w:t>）空调系统运行维护方案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178" w:type="dxa"/>
            <w:vAlign w:val="top"/>
          </w:tcPr>
          <w:p>
            <w:pPr>
              <w:pStyle w:val="132"/>
              <w:snapToGrid w:val="0"/>
              <w:spacing w:before="0" w:after="12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电梯管理维护方案。方案包括物业服务区域内电梯专业维保及日常管理。</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）电梯管理维护方案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178" w:type="dxa"/>
            <w:vAlign w:val="top"/>
          </w:tcPr>
          <w:p>
            <w:pPr>
              <w:pStyle w:val="132"/>
              <w:snapToGrid w:val="0"/>
              <w:spacing w:before="0" w:after="12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房屋及设备设施日常养护和巡查维修方案。方案包括物业服务区域内所有房屋及相关设备设施的日常养护和巡查维修。主要包括但不限于：大楼办公楼(区)房屋地面、墙面、台面、吊顶、门窗、楼梯、通风道、</w:t>
            </w:r>
            <w:r>
              <w:rPr>
                <w:rFonts w:hint="eastAsia" w:ascii="仿宋" w:hAnsi="仿宋" w:eastAsia="仿宋" w:cs="仿宋"/>
                <w:sz w:val="24"/>
                <w:szCs w:val="24"/>
              </w:rPr>
              <w:t>卫生洁具、大厅大面积玻璃顶、外墙幕墙、各类设备及管道、</w:t>
            </w:r>
            <w:r>
              <w:rPr>
                <w:rFonts w:hint="eastAsia" w:ascii="仿宋" w:hAnsi="仿宋" w:eastAsia="仿宋" w:cs="仿宋"/>
                <w:color w:val="auto"/>
                <w:sz w:val="24"/>
                <w:szCs w:val="24"/>
              </w:rPr>
              <w:t>室内外标识标牌</w:t>
            </w:r>
            <w:r>
              <w:rPr>
                <w:rFonts w:hint="eastAsia" w:ascii="仿宋" w:hAnsi="仿宋" w:eastAsia="仿宋" w:cs="仿宋"/>
                <w:sz w:val="24"/>
                <w:szCs w:val="24"/>
              </w:rPr>
              <w:t>、室外栏杆、扶手及钢架、室外铺装及道路</w:t>
            </w:r>
            <w:r>
              <w:rPr>
                <w:rFonts w:hint="eastAsia" w:ascii="仿宋" w:hAnsi="仿宋" w:eastAsia="仿宋" w:cs="仿宋"/>
                <w:color w:val="auto"/>
                <w:sz w:val="24"/>
                <w:szCs w:val="24"/>
              </w:rPr>
              <w:t>等。</w:t>
            </w:r>
            <w:r>
              <w:rPr>
                <w:rFonts w:hint="eastAsia" w:ascii="仿宋" w:hAnsi="仿宋" w:eastAsia="仿宋" w:cs="仿宋"/>
                <w:sz w:val="24"/>
                <w:szCs w:val="24"/>
              </w:rPr>
              <w:t>方案根据服务对象区域内实际情况设计，能满足采购需求中的服务内容和服务质量标准（完全符合得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）房屋及设备设施日常养护和巡查维修方案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178" w:type="dxa"/>
            <w:vAlign w:val="top"/>
          </w:tcPr>
          <w:p>
            <w:pPr>
              <w:pStyle w:val="132"/>
              <w:snapToGrid w:val="0"/>
              <w:spacing w:before="0" w:after="120"/>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设备机房标准化管理方案。方案包括设备机房、电梯机房、水泵房（生活、消防等）的标准化管理。</w:t>
            </w:r>
            <w:r>
              <w:rPr>
                <w:rFonts w:hint="eastAsia" w:ascii="仿宋" w:hAnsi="仿宋" w:eastAsia="仿宋" w:cs="仿宋"/>
                <w:sz w:val="24"/>
                <w:szCs w:val="24"/>
              </w:rPr>
              <w:t>方案根据服务对象区域内实际情况设计，能满足采购需求（完全符合得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分，一项不符合扣1分，扣完为止）</w:t>
            </w:r>
            <w:r>
              <w:rPr>
                <w:rFonts w:hint="eastAsia" w:ascii="仿宋" w:hAnsi="仿宋" w:eastAsia="仿宋" w:cs="仿宋"/>
                <w:sz w:val="24"/>
                <w:szCs w:val="24"/>
                <w:lang w:eastAsia="zh-CN"/>
              </w:rPr>
              <w:t>。</w:t>
            </w:r>
          </w:p>
        </w:tc>
        <w:tc>
          <w:tcPr>
            <w:tcW w:w="101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（十四）设备机房标准化管理方案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178" w:type="dxa"/>
            <w:vAlign w:val="top"/>
          </w:tcPr>
          <w:p>
            <w:pPr>
              <w:snapToGrid w:val="0"/>
              <w:spacing w:line="360" w:lineRule="auto"/>
              <w:ind w:left="105" w:leftChars="50"/>
              <w:rPr>
                <w:rFonts w:hint="eastAsia" w:ascii="仿宋" w:hAnsi="仿宋" w:eastAsia="仿宋" w:cs="仿宋"/>
                <w:color w:val="auto"/>
                <w:sz w:val="24"/>
                <w:szCs w:val="24"/>
              </w:rPr>
            </w:pPr>
            <w:r>
              <w:rPr>
                <w:rFonts w:hint="eastAsia" w:ascii="仿宋" w:hAnsi="仿宋" w:eastAsia="仿宋" w:cs="仿宋"/>
                <w:color w:val="auto"/>
                <w:sz w:val="24"/>
                <w:szCs w:val="24"/>
              </w:rPr>
              <w:t>应急预案（4分）：物业服务区域内各级各类应急预案，对突发事件应急预案及相应的措施是否合理，符合采购需求，以化解各类纠纷、消防、应对极端天气（台风、暴雨、冻雪）为例，方案内容有针对性且措施有效（完全符合得4分，部分符合得2分，不符合不得分）。（4分）</w:t>
            </w:r>
          </w:p>
          <w:p>
            <w:pPr>
              <w:snapToGrid w:val="0"/>
              <w:spacing w:line="360" w:lineRule="auto"/>
              <w:ind w:left="105" w:leftChars="5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传染性疾病</w:t>
            </w:r>
            <w:r>
              <w:rPr>
                <w:rFonts w:hint="eastAsia" w:ascii="仿宋" w:hAnsi="仿宋" w:eastAsia="仿宋" w:cs="仿宋"/>
                <w:color w:val="auto"/>
                <w:sz w:val="24"/>
                <w:szCs w:val="24"/>
              </w:rPr>
              <w:t>防控方案（3分）：物业服务区域内</w:t>
            </w:r>
            <w:r>
              <w:rPr>
                <w:rFonts w:hint="eastAsia" w:ascii="仿宋" w:hAnsi="仿宋" w:eastAsia="仿宋" w:cs="仿宋"/>
                <w:color w:val="auto"/>
                <w:sz w:val="24"/>
                <w:szCs w:val="24"/>
                <w:lang w:eastAsia="zh-CN"/>
              </w:rPr>
              <w:t>传染性疾病</w:t>
            </w:r>
            <w:r>
              <w:rPr>
                <w:rFonts w:hint="eastAsia" w:ascii="仿宋" w:hAnsi="仿宋" w:eastAsia="仿宋" w:cs="仿宋"/>
                <w:color w:val="auto"/>
                <w:sz w:val="24"/>
                <w:szCs w:val="24"/>
              </w:rPr>
              <w:t>应急预案及相应的措施是否合理，符合采购需求。应急小组健全、消杀措施得力、处置流程规范视为符合采购需求。（完全符合得3分，部分符合得1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分，不符合不得分）。（3分）</w:t>
            </w:r>
          </w:p>
        </w:tc>
        <w:tc>
          <w:tcPr>
            <w:tcW w:w="1011" w:type="dxa"/>
            <w:vAlign w:val="center"/>
          </w:tcPr>
          <w:p>
            <w:pPr>
              <w:spacing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6178" w:type="dxa"/>
            <w:vAlign w:val="top"/>
          </w:tcPr>
          <w:p>
            <w:pPr>
              <w:snapToGrid w:val="0"/>
              <w:spacing w:line="360" w:lineRule="auto"/>
              <w:ind w:left="105" w:lef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项目经理截止投标截止时间年龄45周岁（含）以下、具有本科及以上学历、取得HeartSaver First Aid CPR AED急救员证书或红十字救护员证、取得工程师或物业管理师证书（</w:t>
            </w:r>
            <w:r>
              <w:rPr>
                <w:rFonts w:hint="eastAsia" w:ascii="仿宋" w:hAnsi="仿宋" w:eastAsia="仿宋" w:cs="仿宋"/>
                <w:color w:val="auto"/>
                <w:sz w:val="24"/>
                <w:szCs w:val="24"/>
                <w:highlight w:val="none"/>
                <w:lang w:eastAsia="zh-CN"/>
              </w:rPr>
              <w:t>按照最低人员配置数量要求，每</w:t>
            </w:r>
            <w:r>
              <w:rPr>
                <w:rFonts w:hint="eastAsia" w:ascii="仿宋" w:hAnsi="仿宋" w:eastAsia="仿宋" w:cs="仿宋"/>
                <w:color w:val="auto"/>
                <w:sz w:val="24"/>
                <w:szCs w:val="24"/>
                <w:highlight w:val="none"/>
                <w:lang w:val="en-US" w:eastAsia="zh-CN"/>
              </w:rPr>
              <w:t>1人完全符合得2分，</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1人缺少1项证书扣1分，扣完为止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分）；注:须提供项目经理在投标人单位社保缴纳记录；提供相关证明材料；否则不得分。</w:t>
            </w:r>
          </w:p>
        </w:tc>
        <w:tc>
          <w:tcPr>
            <w:tcW w:w="1011" w:type="dxa"/>
            <w:vAlign w:val="center"/>
          </w:tcPr>
          <w:p>
            <w:pPr>
              <w:spacing w:line="360" w:lineRule="auto"/>
              <w:ind w:firstLine="120" w:firstLineChars="50"/>
              <w:jc w:val="center"/>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994" w:type="dxa"/>
            <w:vAlign w:val="center"/>
          </w:tcPr>
          <w:p>
            <w:pPr>
              <w:pStyle w:val="2"/>
              <w:spacing w:line="360" w:lineRule="auto"/>
              <w:ind w:left="0" w:leftChars="0" w:firstLine="0"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color w:val="auto"/>
                <w:sz w:val="24"/>
                <w:szCs w:val="24"/>
                <w:lang w:val="en-US"/>
              </w:rPr>
              <w:t>客观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6178" w:type="dxa"/>
            <w:vAlign w:val="top"/>
          </w:tcPr>
          <w:p>
            <w:pPr>
              <w:snapToGrid w:val="0"/>
              <w:spacing w:beforeLines="0" w:afterLines="0" w:line="360" w:lineRule="auto"/>
              <w:ind w:left="105" w:lef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主管截止投标截止时间年龄45周岁（含）以下、具有</w:t>
            </w:r>
            <w:r>
              <w:rPr>
                <w:rFonts w:hint="eastAsia" w:ascii="仿宋" w:hAnsi="仿宋" w:eastAsia="仿宋" w:cs="仿宋"/>
                <w:color w:val="auto"/>
                <w:sz w:val="24"/>
                <w:szCs w:val="24"/>
                <w:highlight w:val="none"/>
                <w:lang w:val="en-US" w:eastAsia="zh-CN"/>
              </w:rPr>
              <w:t>本科</w:t>
            </w:r>
            <w:r>
              <w:rPr>
                <w:rFonts w:hint="eastAsia" w:ascii="仿宋" w:hAnsi="仿宋" w:eastAsia="仿宋" w:cs="仿宋"/>
                <w:color w:val="auto"/>
                <w:sz w:val="24"/>
                <w:szCs w:val="24"/>
                <w:highlight w:val="none"/>
              </w:rPr>
              <w:t>及以上学历、取得HeartSaver First Aid CPR AED急救员证书或红十字救护员证（</w:t>
            </w:r>
            <w:r>
              <w:rPr>
                <w:rFonts w:hint="eastAsia" w:ascii="仿宋" w:hAnsi="仿宋" w:eastAsia="仿宋" w:cs="仿宋"/>
                <w:color w:val="auto"/>
                <w:sz w:val="24"/>
                <w:szCs w:val="24"/>
                <w:highlight w:val="none"/>
                <w:lang w:eastAsia="zh-CN"/>
              </w:rPr>
              <w:t>按照最低人员配置数量要求，每</w:t>
            </w:r>
            <w:r>
              <w:rPr>
                <w:rFonts w:hint="eastAsia" w:ascii="仿宋" w:hAnsi="仿宋" w:eastAsia="仿宋" w:cs="仿宋"/>
                <w:color w:val="auto"/>
                <w:sz w:val="24"/>
                <w:szCs w:val="24"/>
                <w:highlight w:val="none"/>
                <w:lang w:val="en-US" w:eastAsia="zh-CN"/>
              </w:rPr>
              <w:t>1人完全符合得2分，</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1人缺少1项证书扣1分，扣完为止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 须提供保洁主管在投标人单位社保缴纳记录；提供相关证明材料；否则不得分。</w:t>
            </w:r>
          </w:p>
        </w:tc>
        <w:tc>
          <w:tcPr>
            <w:tcW w:w="101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994" w:type="dxa"/>
            <w:vAlign w:val="center"/>
          </w:tcPr>
          <w:p>
            <w:pPr>
              <w:pStyle w:val="2"/>
              <w:spacing w:line="360" w:lineRule="auto"/>
              <w:ind w:left="432" w:leftChars="0" w:hanging="432"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color w:val="auto"/>
                <w:sz w:val="24"/>
                <w:szCs w:val="24"/>
                <w:lang w:val="en-US" w:eastAsia="zh-CN"/>
              </w:rPr>
              <w:t>客观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十七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综合主管情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6178" w:type="dxa"/>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保洁主管截止投标截止时间年龄45周岁（含）以下、具有大专及以上学历、取得HeartSaver First Aid CPR AED急救员证书或红十字救护员证（</w:t>
            </w:r>
            <w:r>
              <w:rPr>
                <w:rFonts w:hint="eastAsia" w:ascii="仿宋" w:hAnsi="仿宋" w:eastAsia="仿宋" w:cs="仿宋"/>
                <w:color w:val="auto"/>
                <w:sz w:val="24"/>
                <w:szCs w:val="24"/>
                <w:highlight w:val="none"/>
                <w:lang w:eastAsia="zh-CN"/>
              </w:rPr>
              <w:t>按照最低人员配置数量要求，每</w:t>
            </w:r>
            <w:r>
              <w:rPr>
                <w:rFonts w:hint="eastAsia" w:ascii="仿宋" w:hAnsi="仿宋" w:eastAsia="仿宋" w:cs="仿宋"/>
                <w:color w:val="auto"/>
                <w:sz w:val="24"/>
                <w:szCs w:val="24"/>
                <w:highlight w:val="none"/>
                <w:lang w:val="en-US" w:eastAsia="zh-CN"/>
              </w:rPr>
              <w:t>1人完全符合得2分，</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1人缺少1项证书扣1分，扣完为止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 须提供保洁主管在投标人单位社保缴纳记录；提供相关证明材料；否则不得分。</w:t>
            </w:r>
          </w:p>
        </w:tc>
        <w:tc>
          <w:tcPr>
            <w:tcW w:w="1011" w:type="dxa"/>
            <w:vAlign w:val="center"/>
          </w:tcPr>
          <w:p>
            <w:pPr>
              <w:spacing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994" w:type="dxa"/>
            <w:vAlign w:val="center"/>
          </w:tcPr>
          <w:p>
            <w:pPr>
              <w:pStyle w:val="2"/>
              <w:spacing w:line="360" w:lineRule="auto"/>
              <w:jc w:val="center"/>
              <w:rPr>
                <w:rFonts w:hint="eastAsia" w:ascii="仿宋" w:hAnsi="仿宋" w:eastAsia="仿宋" w:cs="仿宋"/>
                <w:b w:val="0"/>
                <w:color w:val="auto"/>
                <w:sz w:val="24"/>
                <w:szCs w:val="24"/>
                <w:lang w:val="en-US"/>
              </w:rPr>
            </w:pPr>
          </w:p>
          <w:p>
            <w:pPr>
              <w:pStyle w:val="2"/>
              <w:spacing w:line="360" w:lineRule="auto"/>
              <w:jc w:val="center"/>
              <w:rPr>
                <w:rFonts w:hint="eastAsia" w:ascii="仿宋" w:hAnsi="仿宋" w:eastAsia="仿宋" w:cs="仿宋"/>
                <w:b w:val="0"/>
                <w:color w:val="auto"/>
                <w:sz w:val="24"/>
                <w:szCs w:val="24"/>
                <w:lang w:val="en-US"/>
              </w:rPr>
            </w:pPr>
          </w:p>
          <w:p>
            <w:pPr>
              <w:pStyle w:val="2"/>
              <w:spacing w:line="360" w:lineRule="auto"/>
              <w:jc w:val="center"/>
              <w:rPr>
                <w:rFonts w:hint="eastAsia" w:ascii="仿宋" w:hAnsi="仿宋" w:eastAsia="仿宋" w:cs="仿宋"/>
                <w:b w:val="0"/>
                <w:color w:val="auto"/>
                <w:sz w:val="24"/>
                <w:szCs w:val="24"/>
                <w:lang w:val="en-US"/>
              </w:rPr>
            </w:pPr>
          </w:p>
          <w:p>
            <w:pPr>
              <w:pStyle w:val="2"/>
              <w:spacing w:line="360" w:lineRule="auto"/>
              <w:ind w:left="0" w:firstLine="0"/>
              <w:jc w:val="center"/>
              <w:rPr>
                <w:rFonts w:hint="eastAsia" w:ascii="仿宋" w:hAnsi="仿宋" w:eastAsia="仿宋" w:cs="仿宋"/>
                <w:color w:val="auto"/>
                <w:sz w:val="24"/>
                <w:szCs w:val="24"/>
                <w:lang w:val="en-US"/>
              </w:rPr>
            </w:pPr>
          </w:p>
          <w:p>
            <w:pPr>
              <w:pStyle w:val="2"/>
              <w:spacing w:line="360" w:lineRule="auto"/>
              <w:ind w:left="432" w:leftChars="0" w:hanging="432"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color w:val="auto"/>
                <w:sz w:val="24"/>
                <w:szCs w:val="24"/>
                <w:lang w:val="en-US"/>
              </w:rPr>
              <w:t>客观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十八</w:t>
            </w:r>
            <w:r>
              <w:rPr>
                <w:rFonts w:hint="eastAsia" w:ascii="仿宋" w:hAnsi="仿宋" w:eastAsia="仿宋" w:cs="仿宋"/>
                <w:color w:val="auto"/>
                <w:sz w:val="24"/>
                <w:szCs w:val="24"/>
              </w:rPr>
              <w:t>）保洁主管情况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6178" w:type="dxa"/>
            <w:vAlign w:val="top"/>
          </w:tcPr>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秩序主管截止投标截止时间年龄45周岁（含）以下，具有大专及以上学历、取得HeartSaver First Aid CPR AED急救员证书或红十字救护员证、</w:t>
            </w:r>
            <w:r>
              <w:rPr>
                <w:rFonts w:hint="eastAsia" w:ascii="仿宋" w:hAnsi="仿宋" w:eastAsia="仿宋" w:cs="仿宋"/>
                <w:color w:val="auto"/>
                <w:sz w:val="24"/>
                <w:szCs w:val="24"/>
                <w:highlight w:val="none"/>
                <w:lang w:val="en-US" w:eastAsia="zh-CN"/>
              </w:rPr>
              <w:t>退伍军人或</w:t>
            </w:r>
            <w:r>
              <w:rPr>
                <w:rFonts w:hint="eastAsia" w:ascii="仿宋" w:hAnsi="仿宋" w:eastAsia="仿宋" w:cs="仿宋"/>
                <w:color w:val="auto"/>
                <w:sz w:val="24"/>
                <w:szCs w:val="24"/>
                <w:highlight w:val="none"/>
              </w:rPr>
              <w:t>保安</w:t>
            </w:r>
            <w:r>
              <w:rPr>
                <w:rFonts w:hint="eastAsia" w:ascii="仿宋" w:hAnsi="仿宋" w:eastAsia="仿宋" w:cs="仿宋"/>
                <w:color w:val="auto"/>
                <w:sz w:val="24"/>
                <w:szCs w:val="24"/>
                <w:highlight w:val="none"/>
                <w:lang w:val="en-US" w:eastAsia="zh-CN"/>
              </w:rPr>
              <w:t>员资格等级</w:t>
            </w:r>
            <w:r>
              <w:rPr>
                <w:rFonts w:hint="eastAsia" w:ascii="仿宋" w:hAnsi="仿宋" w:eastAsia="仿宋" w:cs="仿宋"/>
                <w:color w:val="auto"/>
                <w:sz w:val="24"/>
                <w:szCs w:val="24"/>
                <w:highlight w:val="none"/>
              </w:rPr>
              <w:t>证书或中级及以上建（构）筑物消防员证（消防设施操作员证）（</w:t>
            </w:r>
            <w:r>
              <w:rPr>
                <w:rFonts w:hint="eastAsia" w:ascii="仿宋" w:hAnsi="仿宋" w:eastAsia="仿宋" w:cs="仿宋"/>
                <w:color w:val="auto"/>
                <w:sz w:val="24"/>
                <w:szCs w:val="24"/>
                <w:highlight w:val="none"/>
                <w:lang w:eastAsia="zh-CN"/>
              </w:rPr>
              <w:t>按照最低人员配置数量要求，每</w:t>
            </w:r>
            <w:r>
              <w:rPr>
                <w:rFonts w:hint="eastAsia" w:ascii="仿宋" w:hAnsi="仿宋" w:eastAsia="仿宋" w:cs="仿宋"/>
                <w:color w:val="auto"/>
                <w:sz w:val="24"/>
                <w:szCs w:val="24"/>
                <w:highlight w:val="none"/>
                <w:lang w:val="en-US" w:eastAsia="zh-CN"/>
              </w:rPr>
              <w:t>1人完全符合得2分，</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1人缺少1项证书扣1分，扣完为止</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）注:须提供上述秩序主管在投标人单位社保缴纳记录；提供相关证明材料。</w:t>
            </w:r>
          </w:p>
        </w:tc>
        <w:tc>
          <w:tcPr>
            <w:tcW w:w="1011" w:type="dxa"/>
            <w:vAlign w:val="center"/>
          </w:tcPr>
          <w:p>
            <w:pPr>
              <w:spacing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994" w:type="dxa"/>
            <w:vAlign w:val="center"/>
          </w:tcPr>
          <w:p>
            <w:pPr>
              <w:spacing w:line="360" w:lineRule="auto"/>
              <w:jc w:val="both"/>
              <w:rPr>
                <w:rFonts w:hint="eastAsia" w:ascii="仿宋" w:hAnsi="仿宋" w:eastAsia="仿宋" w:cs="仿宋"/>
                <w:color w:val="auto"/>
                <w:sz w:val="24"/>
                <w:szCs w:val="24"/>
              </w:rPr>
            </w:pPr>
          </w:p>
          <w:p>
            <w:pPr>
              <w:pStyle w:val="2"/>
              <w:spacing w:line="360" w:lineRule="auto"/>
              <w:ind w:left="432" w:leftChars="0" w:hanging="432"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color w:val="auto"/>
                <w:sz w:val="24"/>
                <w:szCs w:val="24"/>
                <w:lang w:val="en-US"/>
              </w:rPr>
              <w:t>客观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十九</w:t>
            </w:r>
            <w:r>
              <w:rPr>
                <w:rFonts w:hint="eastAsia" w:ascii="仿宋" w:hAnsi="仿宋" w:eastAsia="仿宋" w:cs="仿宋"/>
                <w:color w:val="auto"/>
                <w:sz w:val="24"/>
                <w:szCs w:val="24"/>
              </w:rPr>
              <w:t>）秩序主管情况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6178" w:type="dxa"/>
            <w:vAlign w:val="top"/>
          </w:tcPr>
          <w:p>
            <w:pPr>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工程主管截止投标截止时间年龄50周岁（含）以下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具有大专及以上学历、取得HeartSaver First Aid CPR AED急救员证书或红十字救护员证、具有智能楼宇管理员职业资格证书（三级及以上）或工程师证书、具有特种作业操作证（低压电工作业或高压电工作业或制冷设备维修工）、具有其它特种设备证书（电梯安全管理或锅炉）（</w:t>
            </w:r>
            <w:r>
              <w:rPr>
                <w:rFonts w:hint="eastAsia" w:ascii="仿宋" w:hAnsi="仿宋" w:eastAsia="仿宋" w:cs="仿宋"/>
                <w:color w:val="auto"/>
                <w:sz w:val="24"/>
                <w:szCs w:val="24"/>
                <w:highlight w:val="none"/>
                <w:lang w:eastAsia="zh-CN"/>
              </w:rPr>
              <w:t>按照最低人员配置数量要求，每</w:t>
            </w:r>
            <w:r>
              <w:rPr>
                <w:rFonts w:hint="eastAsia" w:ascii="仿宋" w:hAnsi="仿宋" w:eastAsia="仿宋" w:cs="仿宋"/>
                <w:color w:val="auto"/>
                <w:sz w:val="24"/>
                <w:szCs w:val="24"/>
                <w:highlight w:val="none"/>
                <w:lang w:val="en-US" w:eastAsia="zh-CN"/>
              </w:rPr>
              <w:t>1人完全符合得2分，</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1人缺少1项证书扣1分，扣完为止</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。（6分）</w:t>
            </w:r>
            <w:r>
              <w:rPr>
                <w:rFonts w:hint="eastAsia" w:ascii="仿宋" w:hAnsi="仿宋" w:eastAsia="仿宋" w:cs="仿宋"/>
                <w:color w:val="auto"/>
                <w:sz w:val="24"/>
                <w:szCs w:val="24"/>
                <w:highlight w:val="none"/>
              </w:rPr>
              <w:t>注: 须提供工程主管在投标人单位社保缴纳记录；提供相关证明材料；否则不得分。</w:t>
            </w:r>
          </w:p>
        </w:tc>
        <w:tc>
          <w:tcPr>
            <w:tcW w:w="1011" w:type="dxa"/>
            <w:vAlign w:val="center"/>
          </w:tcPr>
          <w:p>
            <w:pPr>
              <w:spacing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994"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客观</w:t>
            </w:r>
          </w:p>
        </w:tc>
        <w:tc>
          <w:tcPr>
            <w:tcW w:w="1538"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二十</w:t>
            </w:r>
            <w:r>
              <w:rPr>
                <w:rFonts w:hint="eastAsia" w:ascii="仿宋" w:hAnsi="仿宋" w:eastAsia="仿宋" w:cs="仿宋"/>
                <w:color w:val="auto"/>
                <w:sz w:val="24"/>
                <w:szCs w:val="24"/>
              </w:rPr>
              <w:t>）工程主管情况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6178" w:type="dxa"/>
            <w:vAlign w:val="top"/>
          </w:tcPr>
          <w:p>
            <w:pPr>
              <w:tabs>
                <w:tab w:val="left" w:pos="0"/>
              </w:tabs>
              <w:wordWrap w:val="0"/>
              <w:spacing w:beforeLines="0" w:afterLines="0"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投标人获得的有效的质量管理体系、环境管理体系、职业健康安全管理体系认证证书情况（每项得2分），提供扫描件。（提供证书原件扫描件，</w:t>
            </w:r>
            <w:r>
              <w:rPr>
                <w:rFonts w:hint="eastAsia" w:ascii="仿宋" w:hAnsi="仿宋" w:eastAsia="仿宋" w:cs="仿宋"/>
                <w:sz w:val="24"/>
                <w:szCs w:val="24"/>
              </w:rPr>
              <w:t>由评标委员会在国家认监委网站</w:t>
            </w:r>
            <w:r>
              <w:rPr>
                <w:rFonts w:hint="eastAsia" w:ascii="仿宋" w:hAnsi="仿宋" w:eastAsia="仿宋" w:cs="仿宋"/>
                <w:color w:val="auto"/>
                <w:sz w:val="24"/>
                <w:szCs w:val="24"/>
              </w:rPr>
              <w:t>http://cx.cnca.cn/CertECloud/result/skipResultList</w:t>
            </w:r>
            <w:r>
              <w:rPr>
                <w:rFonts w:hint="eastAsia" w:ascii="仿宋" w:hAnsi="仿宋" w:eastAsia="仿宋" w:cs="仿宋"/>
                <w:sz w:val="24"/>
                <w:szCs w:val="24"/>
              </w:rPr>
              <w:t>查询，未在该网站上查询到的，不得分</w:t>
            </w:r>
            <w:r>
              <w:rPr>
                <w:rFonts w:hint="eastAsia" w:ascii="仿宋" w:hAnsi="仿宋" w:eastAsia="仿宋" w:cs="仿宋"/>
                <w:color w:val="auto"/>
                <w:sz w:val="24"/>
                <w:szCs w:val="24"/>
              </w:rPr>
              <w:t>）</w:t>
            </w:r>
          </w:p>
        </w:tc>
        <w:tc>
          <w:tcPr>
            <w:tcW w:w="1011" w:type="dxa"/>
            <w:vAlign w:val="center"/>
          </w:tcPr>
          <w:p>
            <w:pPr>
              <w:spacing w:beforeLines="0" w:afterLines="0"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994" w:type="dxa"/>
            <w:vAlign w:val="center"/>
          </w:tcPr>
          <w:p>
            <w:pPr>
              <w:spacing w:beforeLines="0" w:afterLines="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客观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（二十</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6178" w:type="dxa"/>
            <w:vAlign w:val="top"/>
          </w:tcPr>
          <w:p>
            <w:pPr>
              <w:tabs>
                <w:tab w:val="left" w:pos="0"/>
              </w:tabs>
              <w:spacing w:beforeLines="0" w:afterLines="0"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投标人类似项目建设的案例（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分）：投标截止时间</w:t>
            </w:r>
            <w:r>
              <w:rPr>
                <w:rFonts w:hint="eastAsia" w:ascii="仿宋" w:hAnsi="仿宋" w:eastAsia="仿宋" w:cs="仿宋"/>
                <w:color w:val="auto"/>
                <w:sz w:val="24"/>
                <w:szCs w:val="24"/>
                <w:lang w:val="en-US" w:eastAsia="zh-CN"/>
              </w:rPr>
              <w:t>近</w:t>
            </w:r>
            <w:r>
              <w:rPr>
                <w:rFonts w:hint="eastAsia" w:ascii="仿宋" w:hAnsi="仿宋" w:eastAsia="仿宋" w:cs="仿宋"/>
                <w:color w:val="auto"/>
                <w:sz w:val="24"/>
                <w:szCs w:val="24"/>
              </w:rPr>
              <w:t>三年成功承担过的类似办公大楼物业服务项目情况，根据业绩合同证明。类似办公大楼已实施的项目案例，每一个案例得</w:t>
            </w:r>
            <w:r>
              <w:rPr>
                <w:rFonts w:hint="eastAsia" w:ascii="仿宋" w:hAnsi="仿宋" w:eastAsia="仿宋" w:cs="仿宋"/>
                <w:color w:val="auto"/>
                <w:sz w:val="24"/>
                <w:szCs w:val="24"/>
                <w:lang w:val="en-US" w:eastAsia="zh-CN"/>
              </w:rPr>
              <w:t>0.25</w:t>
            </w:r>
            <w:r>
              <w:rPr>
                <w:rFonts w:hint="eastAsia" w:ascii="仿宋" w:hAnsi="仿宋" w:eastAsia="仿宋" w:cs="仿宋"/>
                <w:color w:val="auto"/>
                <w:sz w:val="24"/>
                <w:szCs w:val="24"/>
              </w:rPr>
              <w:t>分，最高</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分；一个单位分年度多次签订的案例，计入1个案例；同一个项目，分两期或以上建设完成的，计入1个案例。</w:t>
            </w:r>
          </w:p>
        </w:tc>
        <w:tc>
          <w:tcPr>
            <w:tcW w:w="1011" w:type="dxa"/>
            <w:vAlign w:val="center"/>
          </w:tcPr>
          <w:p>
            <w:pPr>
              <w:spacing w:beforeLines="0" w:afterLines="0" w:line="360" w:lineRule="auto"/>
              <w:ind w:firstLine="120" w:firstLineChars="5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994" w:type="dxa"/>
            <w:vAlign w:val="center"/>
          </w:tcPr>
          <w:p>
            <w:pPr>
              <w:pStyle w:val="2"/>
              <w:spacing w:beforeLines="0" w:afterLines="0" w:line="360" w:lineRule="auto"/>
              <w:ind w:left="0" w:leftChars="0" w:firstLine="0"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color w:val="auto"/>
                <w:sz w:val="24"/>
                <w:szCs w:val="24"/>
                <w:lang w:val="en-US"/>
              </w:rPr>
              <w:t>客观</w:t>
            </w:r>
          </w:p>
        </w:tc>
        <w:tc>
          <w:tcPr>
            <w:tcW w:w="1538" w:type="dxa"/>
            <w:vAlign w:val="center"/>
          </w:tcPr>
          <w:p>
            <w:pPr>
              <w:spacing w:beforeLines="0" w:afterLines="0"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（二十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1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6178" w:type="dxa"/>
            <w:vAlign w:val="top"/>
          </w:tcPr>
          <w:p>
            <w:pPr>
              <w:keepNext w:val="0"/>
              <w:keepLines w:val="0"/>
              <w:pageBreakBefore w:val="0"/>
              <w:widowControl/>
              <w:shd w:val="clear" w:color="auto" w:fill="FFFFFF"/>
              <w:kinsoku/>
              <w:wordWrap/>
              <w:overflowPunct/>
              <w:topLinePunct w:val="0"/>
              <w:bidi w:val="0"/>
              <w:adjustRightInd/>
              <w:snapToGrid/>
              <w:spacing w:line="360" w:lineRule="auto"/>
              <w:ind w:firstLine="420"/>
              <w:jc w:val="left"/>
              <w:textAlignment w:val="auto"/>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1</w:t>
            </w:r>
            <w:r>
              <w:rPr>
                <w:rFonts w:hint="eastAsia" w:ascii="仿宋" w:hAnsi="仿宋" w:eastAsia="仿宋" w:cs="仿宋"/>
                <w:sz w:val="24"/>
                <w:szCs w:val="24"/>
              </w:rPr>
              <w:t>0］的计算公式计算。</w:t>
            </w:r>
          </w:p>
          <w:p>
            <w:pPr>
              <w:keepNext w:val="0"/>
              <w:keepLines w:val="0"/>
              <w:pageBreakBefore w:val="0"/>
              <w:widowControl/>
              <w:shd w:val="clear" w:color="auto" w:fill="FFFFFF"/>
              <w:kinsoku/>
              <w:wordWrap/>
              <w:overflowPunct/>
              <w:topLinePunct w:val="0"/>
              <w:bidi w:val="0"/>
              <w:adjustRightInd/>
              <w:snapToGrid/>
              <w:spacing w:line="360" w:lineRule="auto"/>
              <w:ind w:firstLine="420"/>
              <w:jc w:val="left"/>
              <w:textAlignment w:val="auto"/>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shd w:val="clear" w:color="auto" w:fill="FFFFFF"/>
              <w:kinsoku/>
              <w:wordWrap/>
              <w:overflowPunct/>
              <w:topLinePunct w:val="0"/>
              <w:bidi w:val="0"/>
              <w:adjustRightInd/>
              <w:snapToGrid/>
              <w:spacing w:line="360" w:lineRule="auto"/>
              <w:ind w:firstLine="42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对于未预留份额专门面向中小企业的政府采购货物项目，以及预留份额政府采购货物项目中的非预留部分标项</w:t>
            </w:r>
            <w:r>
              <w:rPr>
                <w:rFonts w:hint="eastAsia" w:ascii="仿宋" w:hAnsi="仿宋" w:eastAsia="仿宋" w:cs="仿宋"/>
                <w:sz w:val="24"/>
                <w:szCs w:val="24"/>
                <w:highlight w:val="none"/>
              </w:rPr>
              <w:t>，对小型和微型企业的投标报价给予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%的扣除，用扣除后的</w:t>
            </w:r>
            <w:r>
              <w:rPr>
                <w:rFonts w:hint="eastAsia" w:ascii="仿宋" w:hAnsi="仿宋" w:eastAsia="仿宋" w:cs="仿宋"/>
                <w:sz w:val="24"/>
                <w:szCs w:val="24"/>
              </w:rPr>
              <w:t>价格参加评审。</w:t>
            </w:r>
          </w:p>
        </w:tc>
        <w:tc>
          <w:tcPr>
            <w:tcW w:w="1011"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分</w:t>
            </w:r>
          </w:p>
        </w:tc>
        <w:tc>
          <w:tcPr>
            <w:tcW w:w="994"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sz w:val="24"/>
                <w:szCs w:val="24"/>
              </w:rPr>
            </w:pPr>
            <w:r>
              <w:rPr>
                <w:rFonts w:hint="eastAsia" w:ascii="仿宋" w:hAnsi="仿宋" w:eastAsia="仿宋" w:cs="仿宋"/>
                <w:bCs/>
                <w:sz w:val="24"/>
                <w:szCs w:val="24"/>
              </w:rPr>
              <w:t>客观</w:t>
            </w:r>
          </w:p>
        </w:tc>
        <w:tc>
          <w:tcPr>
            <w:tcW w:w="1538" w:type="dxa"/>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r>
    </w:tbl>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3.4.1.3单价金额小数点或者百分比有明显错位的，以开标一览表（报价表）的总价为准，并修改单价;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4.2.1投标人不具备招标文件中规定的资格要求的（投标人未提供有效的资格文件的，未按照招标文件要求提供与资格条件相应的有效资格证明材料的，均视为投标人不具备招标文件中规定的资格要求）；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eastAsia="仿宋"/>
        </w:rPr>
      </w:pPr>
      <w:r>
        <w:rPr>
          <w:rFonts w:hint="eastAsia" w:ascii="仿宋" w:eastAsia="仿宋" w:cs="仿宋"/>
          <w:kern w:val="0"/>
          <w:sz w:val="24"/>
        </w:rPr>
        <w:t>4.2.6在原定投标有效期满之前，如果出现特殊情况，采购代理机构以书面形式通知投标人延长投标有效期，投标人拒绝延长的；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4.2.7投标文件出现不是唯一的、有选择性投标报价的;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27"/>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7"/>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7.2已确定中标供应商但尚未签订政府采购合同的，中标或者成交结果无效，从合格的中标或者成交候选人中另行确定中标或者中标人；没有合格的中标或者成交候选人的，重新开展政府采购活动。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ascii="仿宋" w:hAnsi="仿宋" w:eastAsia="仿宋" w:cs="仿宋"/>
        </w:rPr>
        <w:sectPr>
          <w:headerReference r:id="rId10" w:type="default"/>
          <w:footerReference r:id="rId11" w:type="default"/>
          <w:pgSz w:w="11907" w:h="16840"/>
          <w:pgMar w:top="1474" w:right="1473" w:bottom="1474" w:left="1394" w:header="851" w:footer="851" w:gutter="0"/>
          <w:pgNumType w:fmt="decimal"/>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ind w:left="720" w:leftChars="343" w:firstLine="1084" w:firstLineChars="300"/>
        <w:outlineLvl w:val="0"/>
        <w:rPr>
          <w:rFonts w:hint="eastAsia" w:ascii="仿宋" w:hAnsi="仿宋" w:eastAsia="仿宋" w:cs="仿宋"/>
          <w:b/>
          <w:sz w:val="36"/>
          <w:szCs w:val="36"/>
        </w:rPr>
      </w:pPr>
      <w:bookmarkStart w:id="398" w:name="第五部分"/>
      <w:bookmarkStart w:id="399" w:name="_Toc86217003"/>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2"/>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hint="eastAsia" w:ascii="仿宋" w:hAnsi="仿宋" w:eastAsia="仿宋" w:cs="仿宋"/>
          <w:szCs w:val="24"/>
        </w:rPr>
      </w:pPr>
    </w:p>
    <w:p>
      <w:pPr>
        <w:pStyle w:val="600"/>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pgNumType w:fmt="decimal"/>
          <w:cols w:space="720" w:num="1"/>
        </w:sectPr>
      </w:pPr>
    </w:p>
    <w:p>
      <w:pPr>
        <w:rPr>
          <w:rFonts w:hint="eastAsia" w:ascii="仿宋" w:hAnsi="仿宋" w:eastAsia="仿宋" w:cs="仿宋"/>
          <w:b/>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0" w:name="_Toc15367"/>
      <w:bookmarkStart w:id="401" w:name="_Toc19273"/>
      <w:bookmarkStart w:id="402" w:name="_Toc22967"/>
      <w:bookmarkStart w:id="403" w:name="_Toc28855"/>
      <w:bookmarkStart w:id="404" w:name="_Toc20421"/>
      <w:r>
        <w:rPr>
          <w:rFonts w:hint="eastAsia" w:ascii="仿宋" w:hAnsi="仿宋" w:eastAsia="仿宋" w:cs="仿宋"/>
          <w:b/>
          <w:sz w:val="24"/>
        </w:rPr>
        <w:t>1.1 合同组成部分</w:t>
      </w:r>
      <w:bookmarkEnd w:id="400"/>
      <w:bookmarkEnd w:id="401"/>
      <w:bookmarkEnd w:id="402"/>
      <w:bookmarkEnd w:id="403"/>
      <w:bookmarkEnd w:id="4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5" w:name="_Toc6311"/>
      <w:bookmarkStart w:id="406" w:name="_Toc22185"/>
      <w:bookmarkStart w:id="407" w:name="_Toc2918"/>
      <w:bookmarkStart w:id="408" w:name="_Toc6773"/>
      <w:bookmarkStart w:id="409" w:name="_Toc18585"/>
      <w:r>
        <w:rPr>
          <w:rFonts w:hint="eastAsia" w:ascii="仿宋" w:hAnsi="仿宋" w:eastAsia="仿宋" w:cs="仿宋"/>
          <w:b/>
          <w:sz w:val="24"/>
        </w:rPr>
        <w:t>1.2 标的</w:t>
      </w:r>
      <w:bookmarkEnd w:id="405"/>
      <w:bookmarkEnd w:id="406"/>
      <w:bookmarkEnd w:id="407"/>
      <w:bookmarkEnd w:id="408"/>
      <w:bookmarkEnd w:id="409"/>
    </w:p>
    <w:p>
      <w:pPr>
        <w:spacing w:line="560" w:lineRule="atLeas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atLeas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atLeas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atLeas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961"/>
        <w:spacing w:before="0" w:beforeAutospacing="0" w:after="0" w:afterAutospacing="0" w:line="560" w:lineRule="atLeast"/>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pPr>
        <w:spacing w:line="560" w:lineRule="atLeast"/>
        <w:ind w:firstLine="480" w:firstLineChars="200"/>
        <w:rPr>
          <w:rFonts w:hint="eastAsia" w:ascii="仿宋" w:hAnsi="仿宋" w:eastAsia="仿宋" w:cs="仿宋"/>
          <w:sz w:val="24"/>
          <w:u w:val="single"/>
        </w:rPr>
      </w:pPr>
      <w:bookmarkStart w:id="410" w:name="_Toc1386"/>
      <w:bookmarkStart w:id="411" w:name="_Toc4929"/>
      <w:bookmarkStart w:id="412" w:name="_Toc5635"/>
      <w:bookmarkStart w:id="413" w:name="_Toc13918"/>
      <w:bookmarkStart w:id="414"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10"/>
      <w:bookmarkEnd w:id="411"/>
      <w:bookmarkEnd w:id="412"/>
      <w:bookmarkEnd w:id="413"/>
      <w:bookmarkEnd w:id="41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1.3.1</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76"/>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sz w:val="24"/>
                <w:szCs w:val="24"/>
              </w:rPr>
            </w:pPr>
          </w:p>
        </w:tc>
        <w:tc>
          <w:tcPr>
            <w:tcW w:w="3402" w:type="dxa"/>
            <w:vAlign w:val="center"/>
          </w:tcPr>
          <w:p>
            <w:pPr>
              <w:pStyle w:val="321"/>
              <w:spacing w:line="560" w:lineRule="exact"/>
              <w:ind w:firstLine="200"/>
              <w:jc w:val="center"/>
              <w:rPr>
                <w:rFonts w:hint="eastAsia" w:ascii="仿宋" w:hAnsi="仿宋" w:eastAsia="仿宋" w:cs="仿宋"/>
                <w:sz w:val="24"/>
                <w:szCs w:val="24"/>
              </w:rPr>
            </w:pPr>
          </w:p>
        </w:tc>
        <w:tc>
          <w:tcPr>
            <w:tcW w:w="2552" w:type="dxa"/>
            <w:vAlign w:val="center"/>
          </w:tcPr>
          <w:p>
            <w:pPr>
              <w:pStyle w:val="321"/>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sz w:val="24"/>
                <w:szCs w:val="24"/>
              </w:rPr>
            </w:pPr>
          </w:p>
        </w:tc>
        <w:tc>
          <w:tcPr>
            <w:tcW w:w="3402" w:type="dxa"/>
            <w:vAlign w:val="center"/>
          </w:tcPr>
          <w:p>
            <w:pPr>
              <w:pStyle w:val="321"/>
              <w:spacing w:line="560" w:lineRule="exact"/>
              <w:ind w:firstLine="200"/>
              <w:jc w:val="center"/>
              <w:rPr>
                <w:rFonts w:hint="eastAsia" w:ascii="仿宋" w:hAnsi="仿宋" w:eastAsia="仿宋" w:cs="仿宋"/>
                <w:sz w:val="24"/>
                <w:szCs w:val="24"/>
              </w:rPr>
            </w:pPr>
          </w:p>
        </w:tc>
        <w:tc>
          <w:tcPr>
            <w:tcW w:w="2552" w:type="dxa"/>
            <w:vAlign w:val="center"/>
          </w:tcPr>
          <w:p>
            <w:pPr>
              <w:pStyle w:val="321"/>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sz w:val="24"/>
                <w:szCs w:val="24"/>
              </w:rPr>
            </w:pPr>
          </w:p>
        </w:tc>
        <w:tc>
          <w:tcPr>
            <w:tcW w:w="3402" w:type="dxa"/>
            <w:vAlign w:val="center"/>
          </w:tcPr>
          <w:p>
            <w:pPr>
              <w:pStyle w:val="321"/>
              <w:spacing w:line="560" w:lineRule="exact"/>
              <w:ind w:firstLine="200"/>
              <w:jc w:val="center"/>
              <w:rPr>
                <w:rFonts w:hint="eastAsia" w:ascii="仿宋" w:hAnsi="仿宋" w:eastAsia="仿宋" w:cs="仿宋"/>
                <w:sz w:val="24"/>
                <w:szCs w:val="24"/>
              </w:rPr>
            </w:pPr>
          </w:p>
        </w:tc>
        <w:tc>
          <w:tcPr>
            <w:tcW w:w="2552" w:type="dxa"/>
            <w:vAlign w:val="center"/>
          </w:tcPr>
          <w:p>
            <w:pPr>
              <w:pStyle w:val="321"/>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sz w:val="24"/>
                <w:szCs w:val="24"/>
              </w:rPr>
            </w:pPr>
          </w:p>
        </w:tc>
        <w:tc>
          <w:tcPr>
            <w:tcW w:w="3402" w:type="dxa"/>
            <w:vAlign w:val="center"/>
          </w:tcPr>
          <w:p>
            <w:pPr>
              <w:pStyle w:val="321"/>
              <w:spacing w:line="560" w:lineRule="exact"/>
              <w:ind w:firstLine="200"/>
              <w:jc w:val="center"/>
              <w:rPr>
                <w:rFonts w:hint="eastAsia" w:ascii="仿宋" w:hAnsi="仿宋" w:eastAsia="仿宋" w:cs="仿宋"/>
                <w:sz w:val="24"/>
                <w:szCs w:val="24"/>
              </w:rPr>
            </w:pPr>
          </w:p>
        </w:tc>
        <w:tc>
          <w:tcPr>
            <w:tcW w:w="2552" w:type="dxa"/>
            <w:vAlign w:val="center"/>
          </w:tcPr>
          <w:p>
            <w:pPr>
              <w:pStyle w:val="321"/>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21"/>
              <w:spacing w:line="560" w:lineRule="exact"/>
              <w:ind w:firstLine="200"/>
              <w:jc w:val="center"/>
              <w:rPr>
                <w:rFonts w:hint="eastAsia" w:ascii="仿宋" w:hAnsi="仿宋" w:eastAsia="仿宋" w:cs="仿宋"/>
                <w:sz w:val="24"/>
                <w:szCs w:val="24"/>
              </w:rPr>
            </w:pPr>
          </w:p>
        </w:tc>
      </w:tr>
    </w:tbl>
    <w:p>
      <w:pPr>
        <w:spacing w:line="560" w:lineRule="exact"/>
        <w:ind w:firstLine="480" w:firstLineChars="200"/>
        <w:rPr>
          <w:rFonts w:hint="eastAsia" w:ascii="仿宋" w:hAnsi="仿宋" w:eastAsia="仿宋" w:cs="仿宋"/>
          <w:sz w:val="24"/>
        </w:rPr>
      </w:pPr>
      <w:bookmarkStart w:id="415" w:name="_Toc14993"/>
      <w:bookmarkStart w:id="416" w:name="_Toc30506"/>
      <w:bookmarkStart w:id="417" w:name="_Toc26916"/>
      <w:bookmarkStart w:id="418" w:name="_Toc3654"/>
      <w:bookmarkStart w:id="419"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5"/>
    <w:bookmarkEnd w:id="416"/>
    <w:bookmarkEnd w:id="417"/>
    <w:bookmarkEnd w:id="418"/>
    <w:bookmarkEnd w:id="419"/>
    <w:p>
      <w:pPr>
        <w:pStyle w:val="961"/>
        <w:spacing w:before="0" w:beforeAutospacing="0" w:after="0" w:afterAutospacing="0" w:line="360" w:lineRule="auto"/>
        <w:ind w:firstLine="480"/>
        <w:rPr>
          <w:rFonts w:hint="eastAsia" w:ascii="仿宋" w:hAnsi="仿宋" w:eastAsia="仿宋" w:cs="仿宋"/>
          <w:b/>
        </w:rPr>
      </w:pPr>
      <w:bookmarkStart w:id="420" w:name="_Toc22618"/>
      <w:bookmarkStart w:id="421" w:name="_Toc1814"/>
      <w:bookmarkStart w:id="422" w:name="_Toc10340"/>
      <w:bookmarkStart w:id="423" w:name="_Toc3625"/>
      <w:bookmarkStart w:id="424" w:name="_Toc4760"/>
      <w:bookmarkStart w:id="425" w:name="_Toc8772"/>
      <w:bookmarkStart w:id="426" w:name="_Toc31421"/>
      <w:bookmarkStart w:id="427" w:name="_Toc11108"/>
      <w:r>
        <w:rPr>
          <w:rFonts w:hint="eastAsia" w:ascii="仿宋" w:hAnsi="仿宋" w:eastAsia="仿宋" w:cs="仿宋"/>
          <w:b/>
        </w:rPr>
        <w:t>1.4履约保证金</w:t>
      </w:r>
    </w:p>
    <w:p>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20"/>
      <w:bookmarkEnd w:id="421"/>
      <w:bookmarkEnd w:id="422"/>
      <w:r>
        <w:rPr>
          <w:rFonts w:hint="eastAsia" w:ascii="仿宋" w:hAnsi="仿宋" w:eastAsia="仿宋" w:cs="仿宋"/>
          <w:b/>
          <w:sz w:val="24"/>
        </w:rPr>
        <w:t>预付款</w:t>
      </w:r>
    </w:p>
    <w:p>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23"/>
      <w:bookmarkEnd w:id="424"/>
      <w:bookmarkEnd w:id="425"/>
      <w:bookmarkEnd w:id="426"/>
      <w:bookmarkEnd w:id="427"/>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bCs/>
          <w:sz w:val="24"/>
        </w:rPr>
      </w:pPr>
      <w:bookmarkStart w:id="428" w:name="_Toc5698"/>
      <w:bookmarkStart w:id="429" w:name="_Toc8586"/>
      <w:bookmarkStart w:id="430" w:name="_Toc3079"/>
      <w:bookmarkStart w:id="431" w:name="_Toc24662"/>
      <w:bookmarkStart w:id="432" w:name="_Toc2375"/>
      <w:r>
        <w:rPr>
          <w:rFonts w:hint="eastAsia" w:ascii="仿宋" w:hAnsi="仿宋" w:eastAsia="仿宋" w:cs="仿宋"/>
          <w:bCs/>
          <w:sz w:val="24"/>
        </w:rPr>
        <w:t>1.7.4若服务涉及货物的，则货物的：</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8"/>
      <w:bookmarkEnd w:id="429"/>
      <w:bookmarkEnd w:id="430"/>
      <w:bookmarkEnd w:id="431"/>
      <w:bookmarkEnd w:id="43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bookmarkStart w:id="433" w:name="_Toc9497"/>
      <w:bookmarkStart w:id="434" w:name="_Toc30329"/>
      <w:bookmarkStart w:id="435" w:name="_Toc18683"/>
      <w:bookmarkStart w:id="436" w:name="_Toc32454"/>
      <w:bookmarkStart w:id="437"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3"/>
    <w:bookmarkEnd w:id="434"/>
    <w:bookmarkEnd w:id="435"/>
    <w:bookmarkEnd w:id="436"/>
    <w:bookmarkEnd w:id="437"/>
    <w:p>
      <w:pPr>
        <w:spacing w:line="560" w:lineRule="exact"/>
        <w:ind w:firstLine="482" w:firstLineChars="200"/>
        <w:outlineLvl w:val="0"/>
        <w:rPr>
          <w:rFonts w:hint="eastAsia" w:ascii="仿宋" w:hAnsi="仿宋" w:eastAsia="仿宋" w:cs="仿宋"/>
          <w:b/>
          <w:sz w:val="24"/>
        </w:rPr>
      </w:pPr>
      <w:bookmarkStart w:id="438" w:name="_Toc15583"/>
      <w:bookmarkStart w:id="439" w:name="_Toc16021"/>
      <w:bookmarkStart w:id="440" w:name="_Toc28375"/>
      <w:r>
        <w:rPr>
          <w:rFonts w:hint="eastAsia" w:ascii="仿宋" w:hAnsi="仿宋" w:eastAsia="仿宋" w:cs="仿宋"/>
          <w:b/>
          <w:sz w:val="24"/>
        </w:rPr>
        <w:t>1.9合同争议的解决</w:t>
      </w:r>
      <w:bookmarkEnd w:id="438"/>
      <w:bookmarkEnd w:id="439"/>
      <w:bookmarkEnd w:id="440"/>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41" w:name="_Toc11173"/>
      <w:bookmarkStart w:id="442" w:name="_Toc15322"/>
      <w:bookmarkStart w:id="443" w:name="_Toc7245"/>
      <w:r>
        <w:rPr>
          <w:rFonts w:hint="eastAsia" w:ascii="仿宋" w:hAnsi="仿宋" w:eastAsia="仿宋" w:cs="仿宋"/>
          <w:b/>
          <w:sz w:val="24"/>
          <w:lang w:val="en-US"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bookmarkEnd w:id="441"/>
      <w:bookmarkEnd w:id="442"/>
      <w:bookmarkEnd w:id="443"/>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rPr>
        <w:br w:type="page"/>
      </w:r>
    </w:p>
    <w:p>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4" w:name="_Toc25079"/>
      <w:bookmarkStart w:id="445" w:name="_Toc19680"/>
      <w:bookmarkStart w:id="446" w:name="_Toc14021"/>
      <w:bookmarkStart w:id="447" w:name="_Toc5228"/>
      <w:bookmarkStart w:id="448" w:name="_Toc31297"/>
      <w:r>
        <w:rPr>
          <w:rFonts w:hint="eastAsia" w:ascii="仿宋" w:hAnsi="仿宋" w:eastAsia="仿宋" w:cs="仿宋"/>
          <w:b/>
          <w:sz w:val="24"/>
        </w:rPr>
        <w:t>2.1 定义</w:t>
      </w:r>
      <w:bookmarkEnd w:id="444"/>
      <w:bookmarkEnd w:id="445"/>
      <w:bookmarkEnd w:id="446"/>
      <w:bookmarkEnd w:id="447"/>
      <w:bookmarkEnd w:id="44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9" w:name="_Toc31402"/>
      <w:bookmarkStart w:id="450" w:name="_Toc19539"/>
      <w:bookmarkStart w:id="451" w:name="_Toc3769"/>
      <w:bookmarkStart w:id="452" w:name="_Toc16752"/>
      <w:bookmarkStart w:id="453" w:name="_Toc23289"/>
      <w:r>
        <w:rPr>
          <w:rFonts w:hint="eastAsia" w:ascii="仿宋" w:hAnsi="仿宋" w:eastAsia="仿宋" w:cs="仿宋"/>
          <w:b/>
          <w:sz w:val="24"/>
        </w:rPr>
        <w:t>2.2 技术规范</w:t>
      </w:r>
      <w:bookmarkEnd w:id="449"/>
      <w:bookmarkEnd w:id="450"/>
      <w:bookmarkEnd w:id="451"/>
      <w:bookmarkEnd w:id="452"/>
      <w:bookmarkEnd w:id="4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4" w:name="_Toc4133"/>
      <w:bookmarkStart w:id="455" w:name="_Toc13673"/>
      <w:bookmarkStart w:id="456" w:name="_Toc9161"/>
      <w:bookmarkStart w:id="457" w:name="_Toc12412"/>
      <w:bookmarkStart w:id="458" w:name="_Toc27945"/>
      <w:r>
        <w:rPr>
          <w:rFonts w:hint="eastAsia" w:ascii="仿宋" w:hAnsi="仿宋" w:eastAsia="仿宋" w:cs="仿宋"/>
          <w:b/>
          <w:sz w:val="24"/>
        </w:rPr>
        <w:t>2.3 知识产权</w:t>
      </w:r>
      <w:bookmarkEnd w:id="454"/>
      <w:bookmarkEnd w:id="455"/>
      <w:bookmarkEnd w:id="456"/>
      <w:bookmarkEnd w:id="457"/>
      <w:bookmarkEnd w:id="4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9" w:name="_Toc15447"/>
      <w:bookmarkStart w:id="460" w:name="_Toc32670"/>
      <w:bookmarkStart w:id="461" w:name="_Toc26555"/>
      <w:bookmarkStart w:id="462" w:name="_Toc22011"/>
      <w:bookmarkStart w:id="463" w:name="_Toc31233"/>
      <w:r>
        <w:rPr>
          <w:rFonts w:hint="eastAsia" w:ascii="仿宋" w:hAnsi="仿宋" w:eastAsia="仿宋" w:cs="仿宋"/>
          <w:b/>
          <w:sz w:val="24"/>
        </w:rPr>
        <w:t>2.5 结算方式和付款条件</w:t>
      </w:r>
      <w:bookmarkEnd w:id="459"/>
      <w:bookmarkEnd w:id="460"/>
      <w:bookmarkEnd w:id="461"/>
      <w:bookmarkEnd w:id="462"/>
      <w:bookmarkEnd w:id="46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4" w:name="_Toc30507"/>
      <w:bookmarkStart w:id="465" w:name="_Toc16163"/>
      <w:bookmarkStart w:id="466" w:name="_Toc18990"/>
      <w:bookmarkStart w:id="467" w:name="_Toc13467"/>
      <w:bookmarkStart w:id="468" w:name="_Toc13154"/>
      <w:r>
        <w:rPr>
          <w:rFonts w:hint="eastAsia" w:ascii="仿宋" w:hAnsi="仿宋" w:eastAsia="仿宋" w:cs="仿宋"/>
          <w:b/>
          <w:sz w:val="24"/>
        </w:rPr>
        <w:t>2.6 技术资料和保密义务</w:t>
      </w:r>
      <w:bookmarkEnd w:id="464"/>
      <w:bookmarkEnd w:id="465"/>
      <w:bookmarkEnd w:id="466"/>
      <w:bookmarkEnd w:id="467"/>
      <w:bookmarkEnd w:id="46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9" w:name="_Toc19069"/>
      <w:r>
        <w:rPr>
          <w:rFonts w:hint="eastAsia" w:ascii="仿宋" w:hAnsi="仿宋" w:eastAsia="仿宋" w:cs="仿宋"/>
          <w:b/>
          <w:sz w:val="24"/>
        </w:rPr>
        <w:t>2.7 质量保证</w:t>
      </w:r>
      <w:bookmarkEnd w:id="46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0" w:name="_Toc22267"/>
      <w:r>
        <w:rPr>
          <w:rFonts w:hint="eastAsia" w:ascii="仿宋" w:hAnsi="仿宋" w:eastAsia="仿宋" w:cs="仿宋"/>
          <w:b/>
          <w:sz w:val="24"/>
        </w:rPr>
        <w:t>2.8 延迟履行</w:t>
      </w:r>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1" w:name="_Toc10611"/>
      <w:r>
        <w:rPr>
          <w:rFonts w:hint="eastAsia" w:ascii="仿宋" w:hAnsi="仿宋" w:eastAsia="仿宋" w:cs="仿宋"/>
          <w:b/>
          <w:sz w:val="24"/>
        </w:rPr>
        <w:t>2.9 合同变更</w:t>
      </w:r>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2" w:name="_Toc42"/>
      <w:bookmarkStart w:id="473" w:name="_Toc10663"/>
      <w:bookmarkStart w:id="474" w:name="_Toc21830"/>
      <w:bookmarkStart w:id="475" w:name="_Toc26689"/>
      <w:bookmarkStart w:id="476" w:name="_Toc23368"/>
      <w:r>
        <w:rPr>
          <w:rFonts w:hint="eastAsia" w:ascii="仿宋" w:hAnsi="仿宋" w:eastAsia="仿宋" w:cs="仿宋"/>
          <w:b/>
          <w:sz w:val="24"/>
        </w:rPr>
        <w:t>2.10 合同转让和分包</w:t>
      </w:r>
      <w:bookmarkEnd w:id="472"/>
      <w:bookmarkEnd w:id="473"/>
      <w:bookmarkEnd w:id="474"/>
      <w:bookmarkEnd w:id="475"/>
      <w:bookmarkEnd w:id="47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7" w:name="_Toc4720"/>
      <w:bookmarkStart w:id="478" w:name="_Toc32494"/>
      <w:bookmarkStart w:id="479" w:name="_Toc14371"/>
      <w:bookmarkStart w:id="480" w:name="_Toc26633"/>
      <w:bookmarkStart w:id="481" w:name="_Toc25571"/>
      <w:r>
        <w:rPr>
          <w:rFonts w:hint="eastAsia" w:ascii="仿宋" w:hAnsi="仿宋" w:eastAsia="仿宋" w:cs="仿宋"/>
          <w:b/>
          <w:sz w:val="24"/>
        </w:rPr>
        <w:t>2.11 不可抗力</w:t>
      </w:r>
      <w:bookmarkEnd w:id="477"/>
      <w:bookmarkEnd w:id="478"/>
      <w:bookmarkEnd w:id="479"/>
      <w:bookmarkEnd w:id="480"/>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2" w:name="_Toc3638"/>
      <w:bookmarkStart w:id="483" w:name="_Toc25783"/>
      <w:bookmarkStart w:id="484" w:name="_Toc14115"/>
      <w:bookmarkStart w:id="485" w:name="_Toc24465"/>
      <w:bookmarkStart w:id="486" w:name="_Toc23854"/>
      <w:r>
        <w:rPr>
          <w:rFonts w:hint="eastAsia" w:ascii="仿宋" w:hAnsi="仿宋" w:eastAsia="仿宋" w:cs="仿宋"/>
          <w:b/>
          <w:sz w:val="24"/>
        </w:rPr>
        <w:t>2.12 税费</w:t>
      </w:r>
      <w:bookmarkEnd w:id="482"/>
      <w:bookmarkEnd w:id="483"/>
      <w:bookmarkEnd w:id="484"/>
      <w:bookmarkEnd w:id="485"/>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7" w:name="_Toc26883"/>
      <w:bookmarkStart w:id="488" w:name="_Toc7315"/>
      <w:bookmarkStart w:id="489" w:name="_Toc25525"/>
      <w:bookmarkStart w:id="490" w:name="_Toc30105"/>
      <w:bookmarkStart w:id="491" w:name="_Toc14814"/>
      <w:r>
        <w:rPr>
          <w:rFonts w:hint="eastAsia" w:ascii="仿宋" w:hAnsi="仿宋" w:eastAsia="仿宋" w:cs="仿宋"/>
          <w:b/>
          <w:sz w:val="24"/>
        </w:rPr>
        <w:t>2.13 乙方破产</w:t>
      </w:r>
      <w:bookmarkEnd w:id="487"/>
      <w:bookmarkEnd w:id="488"/>
      <w:bookmarkEnd w:id="489"/>
      <w:bookmarkEnd w:id="490"/>
      <w:bookmarkEnd w:id="4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2" w:name="_Toc23323"/>
      <w:bookmarkStart w:id="493" w:name="_Toc1123"/>
      <w:bookmarkStart w:id="494" w:name="_Toc2016"/>
      <w:r>
        <w:rPr>
          <w:rFonts w:hint="eastAsia" w:ascii="仿宋" w:hAnsi="仿宋" w:eastAsia="仿宋" w:cs="仿宋"/>
          <w:b/>
          <w:sz w:val="24"/>
        </w:rPr>
        <w:t>2.14 合同中止、终止</w:t>
      </w:r>
      <w:bookmarkEnd w:id="492"/>
      <w:bookmarkEnd w:id="493"/>
      <w:bookmarkEnd w:id="49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5" w:name="_Toc14525"/>
      <w:bookmarkStart w:id="496" w:name="_Toc1969"/>
      <w:bookmarkStart w:id="497" w:name="_Toc17363"/>
      <w:r>
        <w:rPr>
          <w:rFonts w:hint="eastAsia" w:ascii="仿宋" w:hAnsi="仿宋" w:eastAsia="仿宋" w:cs="仿宋"/>
          <w:b/>
          <w:sz w:val="24"/>
        </w:rPr>
        <w:t>2.15 检验和验收</w:t>
      </w:r>
      <w:bookmarkEnd w:id="495"/>
      <w:bookmarkEnd w:id="496"/>
      <w:bookmarkEnd w:id="497"/>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98" w:name="_Toc2308"/>
      <w:bookmarkStart w:id="499" w:name="_Toc9808"/>
      <w:bookmarkStart w:id="500" w:name="_Toc12666"/>
      <w:bookmarkStart w:id="501" w:name="_Toc25198"/>
      <w:bookmarkStart w:id="502" w:name="_Toc31892"/>
      <w:r>
        <w:rPr>
          <w:rFonts w:hint="eastAsia" w:ascii="仿宋" w:hAnsi="仿宋" w:eastAsia="仿宋" w:cs="仿宋"/>
          <w:b/>
          <w:sz w:val="24"/>
        </w:rPr>
        <w:t>2.16 通知和送达</w:t>
      </w:r>
      <w:bookmarkEnd w:id="498"/>
      <w:bookmarkEnd w:id="499"/>
      <w:bookmarkEnd w:id="500"/>
      <w:bookmarkEnd w:id="501"/>
      <w:bookmarkEnd w:id="502"/>
    </w:p>
    <w:p>
      <w:pPr>
        <w:spacing w:line="560" w:lineRule="exact"/>
        <w:ind w:firstLine="480" w:firstLineChars="200"/>
        <w:rPr>
          <w:rFonts w:hint="eastAsia" w:ascii="仿宋" w:hAnsi="仿宋" w:eastAsia="仿宋" w:cs="仿宋"/>
          <w:sz w:val="24"/>
        </w:rPr>
      </w:pPr>
      <w:bookmarkStart w:id="503" w:name="_Toc18401"/>
      <w:bookmarkStart w:id="504"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82" w:firstLineChars="200"/>
        <w:outlineLvl w:val="0"/>
        <w:rPr>
          <w:rFonts w:hint="eastAsia" w:ascii="仿宋" w:hAnsi="仿宋" w:eastAsia="仿宋" w:cs="仿宋"/>
          <w:b/>
          <w:sz w:val="24"/>
        </w:rPr>
      </w:pPr>
      <w:bookmarkStart w:id="505" w:name="_Toc27644"/>
      <w:bookmarkStart w:id="506" w:name="_Toc28906"/>
      <w:bookmarkStart w:id="507" w:name="_Toc12254"/>
      <w:bookmarkStart w:id="508" w:name="_Toc5063"/>
      <w:bookmarkStart w:id="509" w:name="_Toc20808"/>
      <w:r>
        <w:rPr>
          <w:rFonts w:hint="eastAsia" w:ascii="仿宋" w:hAnsi="仿宋" w:eastAsia="仿宋" w:cs="仿宋"/>
          <w:b/>
          <w:sz w:val="24"/>
        </w:rPr>
        <w:t>2.17 合同使用的文字和适用的法律</w:t>
      </w:r>
      <w:bookmarkEnd w:id="505"/>
      <w:bookmarkEnd w:id="506"/>
      <w:bookmarkEnd w:id="507"/>
      <w:bookmarkEnd w:id="508"/>
      <w:bookmarkEnd w:id="5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0" w:name="_Toc18540"/>
      <w:bookmarkStart w:id="511" w:name="_Toc30599"/>
      <w:bookmarkStart w:id="512" w:name="_Toc4355"/>
      <w:r>
        <w:rPr>
          <w:rFonts w:hint="eastAsia" w:ascii="仿宋" w:hAnsi="仿宋" w:eastAsia="仿宋" w:cs="仿宋"/>
          <w:b/>
          <w:sz w:val="24"/>
        </w:rPr>
        <w:t>2.18 计量单位</w:t>
      </w:r>
      <w:bookmarkEnd w:id="510"/>
      <w:bookmarkEnd w:id="511"/>
      <w:bookmarkEnd w:id="51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13" w:name="_Toc331685784"/>
      <w:r>
        <w:rPr>
          <w:rFonts w:hint="eastAsia" w:ascii="仿宋" w:hAnsi="仿宋" w:eastAsia="仿宋" w:cs="仿宋"/>
          <w:b/>
          <w:sz w:val="24"/>
        </w:rPr>
        <w:t xml:space="preserve"> </w:t>
      </w:r>
      <w:bookmarkEnd w:id="513"/>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hint="eastAsia" w:ascii="仿宋" w:hAnsi="仿宋" w:eastAsia="仿宋" w:cs="仿宋"/>
                <w:sz w:val="24"/>
                <w:highlight w:val="yellow"/>
                <w:lang w:val="en-US" w:eastAsia="zh-CN"/>
              </w:rPr>
            </w:pPr>
            <w:r>
              <w:rPr>
                <w:rFonts w:hint="eastAsia" w:ascii="仿宋" w:hAnsi="仿宋" w:eastAsia="仿宋" w:cs="仿宋"/>
                <w:sz w:val="24"/>
                <w:lang w:val="en-US" w:eastAsia="zh-CN"/>
              </w:rPr>
              <w:t>合同签订后5个工作日内，中标人向采购人支付合同金额的1%作为履约保证金。</w:t>
            </w:r>
            <w:r>
              <w:rPr>
                <w:rFonts w:hint="eastAsia" w:ascii="仿宋" w:hAnsi="仿宋" w:eastAsia="仿宋" w:cs="仿宋"/>
                <w:sz w:val="24"/>
                <w:highlight w:val="none"/>
                <w:lang w:val="en-US" w:eastAsia="zh-CN"/>
              </w:rPr>
              <w:t>接受投标人以支票、汇票、本票、保函等非现金形式缴纳或提交履约保证金。</w:t>
            </w:r>
            <w:r>
              <w:rPr>
                <w:rFonts w:hint="eastAsia" w:ascii="仿宋" w:hAnsi="仿宋" w:eastAsia="仿宋" w:cs="仿宋"/>
                <w:sz w:val="24"/>
                <w:lang w:val="en-US" w:eastAsia="zh-CN"/>
              </w:rPr>
              <w:t>项目全部义务履约完毕，履约保证金无息退还。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hint="eastAsia" w:ascii="仿宋" w:hAnsi="仿宋" w:eastAsia="仿宋" w:cs="仿宋"/>
                <w:sz w:val="24"/>
                <w:highlight w:val="yellow"/>
                <w:lang w:val="en-US" w:eastAsia="zh-CN"/>
              </w:rPr>
            </w:pPr>
            <w:r>
              <w:rPr>
                <w:rFonts w:hint="eastAsia" w:ascii="仿宋" w:hAnsi="仿宋" w:eastAsia="仿宋" w:cs="仿宋"/>
                <w:sz w:val="24"/>
                <w:szCs w:val="20"/>
                <w:lang w:val="zh-CN"/>
              </w:rPr>
              <w:t>合同生效以及具备实施条件后5个工作日内支付</w:t>
            </w:r>
            <w:r>
              <w:rPr>
                <w:rFonts w:hint="eastAsia" w:ascii="仿宋" w:hAnsi="仿宋" w:eastAsia="仿宋" w:cs="仿宋"/>
                <w:sz w:val="24"/>
                <w:szCs w:val="20"/>
                <w:lang w:val="en-US" w:eastAsia="zh-CN"/>
              </w:rPr>
              <w:t>中标单位合同金额的20%作为预付款。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hint="eastAsia" w:ascii="仿宋" w:hAnsi="仿宋" w:eastAsia="仿宋" w:cs="仿宋"/>
                <w:sz w:val="24"/>
                <w:highlight w:val="yellow"/>
                <w:lang w:val="en-US" w:eastAsia="zh-CN"/>
              </w:rPr>
            </w:pPr>
            <w:r>
              <w:rPr>
                <w:rFonts w:hint="eastAsia" w:ascii="仿宋" w:hAnsi="仿宋" w:eastAsia="仿宋" w:cs="仿宋"/>
                <w:sz w:val="24"/>
                <w:highlight w:val="none"/>
                <w:lang w:val="en-US" w:eastAsia="zh-CN"/>
              </w:rPr>
              <w:t>第一季度</w:t>
            </w:r>
            <w:r>
              <w:rPr>
                <w:rFonts w:hint="eastAsia" w:ascii="仿宋" w:hAnsi="仿宋" w:eastAsia="仿宋" w:cs="仿宋"/>
                <w:bCs/>
                <w:sz w:val="24"/>
                <w:szCs w:val="24"/>
                <w:highlight w:val="none"/>
              </w:rPr>
              <w:t>物业管理服务费用</w:t>
            </w:r>
            <w:r>
              <w:rPr>
                <w:rFonts w:hint="eastAsia" w:ascii="仿宋" w:hAnsi="仿宋" w:eastAsia="仿宋" w:cs="仿宋"/>
                <w:bCs/>
                <w:sz w:val="24"/>
                <w:szCs w:val="24"/>
                <w:highlight w:val="none"/>
                <w:lang w:val="en-US" w:eastAsia="zh-CN"/>
              </w:rPr>
              <w:t>以预付款抵扣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hint="eastAsia" w:ascii="仿宋" w:hAnsi="仿宋" w:eastAsia="仿宋" w:cs="仿宋"/>
                <w:sz w:val="24"/>
                <w:highlight w:val="yellow"/>
                <w:lang w:val="en-US" w:eastAsia="zh-CN"/>
              </w:rPr>
            </w:pP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0"/>
                <w:lang w:val="zh-CN"/>
              </w:rPr>
              <w:t>合同生效以及具备实施条件后5个工作日内支付</w:t>
            </w:r>
            <w:r>
              <w:rPr>
                <w:rFonts w:hint="eastAsia" w:ascii="仿宋" w:hAnsi="仿宋" w:eastAsia="仿宋" w:cs="仿宋"/>
                <w:sz w:val="24"/>
                <w:szCs w:val="20"/>
                <w:lang w:val="en-US" w:eastAsia="zh-CN"/>
              </w:rPr>
              <w:t>中标单位合同金额的20%作为预付款。</w:t>
            </w:r>
            <w:r>
              <w:rPr>
                <w:rFonts w:hint="eastAsia" w:ascii="仿宋" w:hAnsi="仿宋" w:eastAsia="仿宋" w:cs="仿宋"/>
                <w:bCs/>
                <w:sz w:val="24"/>
                <w:szCs w:val="24"/>
                <w:lang w:val="en-US" w:eastAsia="zh-CN"/>
              </w:rPr>
              <w:t>第一季度支付合同金额的20%（以预付款抵扣），其余三个季度均支付合同金额的25%，剩余合同金额的5%作为</w:t>
            </w:r>
            <w:r>
              <w:rPr>
                <w:rFonts w:hint="eastAsia" w:ascii="仿宋" w:hAnsi="仿宋" w:eastAsia="仿宋" w:cs="仿宋"/>
                <w:sz w:val="24"/>
                <w:szCs w:val="24"/>
                <w:highlight w:val="none"/>
                <w:lang w:val="zh-CN"/>
              </w:rPr>
              <w:t>年度考核奖励或扣款。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服务交付（实施）的时间（期限）：</w:t>
            </w:r>
            <w:r>
              <w:rPr>
                <w:rFonts w:hint="eastAsia" w:ascii="仿宋" w:hAnsi="仿宋" w:eastAsia="仿宋" w:cs="仿宋"/>
                <w:sz w:val="24"/>
                <w:lang w:val="en-US" w:eastAsia="zh-CN"/>
              </w:rPr>
              <w:t>自前期合同期限结束之日起1年。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服务交付（实施）的地点（地域范围）：</w:t>
            </w:r>
            <w:r>
              <w:rPr>
                <w:rFonts w:hint="eastAsia" w:ascii="仿宋" w:hAnsi="仿宋" w:eastAsia="仿宋" w:cs="仿宋"/>
                <w:sz w:val="24"/>
                <w:szCs w:val="24"/>
                <w:lang w:eastAsia="zh-CN"/>
              </w:rPr>
              <w:t>和茂大厦附楼和地面停车场（</w:t>
            </w:r>
            <w:r>
              <w:rPr>
                <w:rFonts w:hint="eastAsia" w:ascii="仿宋" w:hAnsi="仿宋" w:eastAsia="仿宋" w:cs="仿宋"/>
                <w:sz w:val="24"/>
                <w:szCs w:val="24"/>
                <w:vertAlign w:val="baseline"/>
                <w:lang w:eastAsia="zh-CN"/>
              </w:rPr>
              <w:t>钱塘区云沙街与顺安巷交叉口</w:t>
            </w:r>
            <w:r>
              <w:rPr>
                <w:rFonts w:hint="eastAsia" w:ascii="仿宋" w:hAnsi="仿宋" w:eastAsia="仿宋" w:cs="仿宋"/>
                <w:sz w:val="24"/>
                <w:szCs w:val="24"/>
                <w:lang w:eastAsia="zh-CN"/>
              </w:rPr>
              <w:t>）、东部国际商务中心</w:t>
            </w:r>
            <w:r>
              <w:rPr>
                <w:rFonts w:hint="eastAsia" w:ascii="仿宋" w:hAnsi="仿宋" w:eastAsia="仿宋" w:cs="仿宋"/>
                <w:sz w:val="24"/>
                <w:szCs w:val="24"/>
              </w:rPr>
              <w:t>和地下一、二层</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eastAsia="zh-CN"/>
              </w:rPr>
              <w:t>钱塘区金沙大道</w:t>
            </w:r>
            <w:r>
              <w:rPr>
                <w:rFonts w:hint="eastAsia" w:ascii="仿宋" w:hAnsi="仿宋" w:eastAsia="仿宋" w:cs="仿宋"/>
                <w:sz w:val="24"/>
                <w:szCs w:val="24"/>
                <w:vertAlign w:val="baseline"/>
                <w:lang w:val="en-US" w:eastAsia="zh-CN"/>
              </w:rPr>
              <w:t>600号</w:t>
            </w:r>
            <w:r>
              <w:rPr>
                <w:rFonts w:hint="eastAsia" w:ascii="仿宋" w:hAnsi="仿宋" w:eastAsia="仿宋" w:cs="仿宋"/>
                <w:sz w:val="24"/>
                <w:szCs w:val="24"/>
                <w:lang w:eastAsia="zh-CN"/>
              </w:rPr>
              <w:t>）、钱塘中心（</w:t>
            </w:r>
            <w:r>
              <w:rPr>
                <w:rFonts w:hint="eastAsia" w:ascii="仿宋" w:hAnsi="仿宋" w:eastAsia="仿宋" w:cs="仿宋"/>
                <w:sz w:val="24"/>
                <w:szCs w:val="24"/>
                <w:vertAlign w:val="baseline"/>
                <w:lang w:eastAsia="zh-CN"/>
              </w:rPr>
              <w:t>钱塘区青六北路</w:t>
            </w:r>
            <w:r>
              <w:rPr>
                <w:rFonts w:hint="eastAsia" w:ascii="仿宋" w:hAnsi="仿宋" w:eastAsia="仿宋" w:cs="仿宋"/>
                <w:sz w:val="24"/>
                <w:szCs w:val="24"/>
                <w:vertAlign w:val="baseline"/>
                <w:lang w:val="en-US" w:eastAsia="zh-CN"/>
              </w:rPr>
              <w:t>499号</w:t>
            </w:r>
            <w:r>
              <w:rPr>
                <w:rFonts w:hint="eastAsia" w:ascii="仿宋" w:hAnsi="仿宋" w:eastAsia="仿宋" w:cs="仿宋"/>
                <w:sz w:val="24"/>
                <w:szCs w:val="24"/>
                <w:lang w:eastAsia="zh-CN"/>
              </w:rPr>
              <w:t>）、综</w:t>
            </w:r>
            <w:r>
              <w:rPr>
                <w:rFonts w:hint="eastAsia" w:ascii="仿宋" w:hAnsi="仿宋" w:eastAsia="仿宋" w:cs="仿宋"/>
                <w:sz w:val="24"/>
                <w:szCs w:val="24"/>
                <w:lang w:val="en-US" w:eastAsia="zh-CN"/>
              </w:rPr>
              <w:t>合楼（</w:t>
            </w:r>
            <w:r>
              <w:rPr>
                <w:rFonts w:hint="eastAsia" w:ascii="仿宋" w:hAnsi="仿宋" w:eastAsia="仿宋" w:cs="仿宋"/>
                <w:sz w:val="24"/>
                <w:szCs w:val="24"/>
                <w:vertAlign w:val="baseline"/>
                <w:lang w:eastAsia="zh-CN"/>
              </w:rPr>
              <w:t>钱塘区迎康路</w:t>
            </w:r>
            <w:r>
              <w:rPr>
                <w:rFonts w:hint="eastAsia" w:ascii="仿宋" w:hAnsi="仿宋" w:eastAsia="仿宋" w:cs="仿宋"/>
                <w:sz w:val="24"/>
                <w:szCs w:val="24"/>
                <w:vertAlign w:val="baseline"/>
                <w:lang w:val="en-US" w:eastAsia="zh-CN"/>
              </w:rPr>
              <w:t>28号</w:t>
            </w:r>
            <w:r>
              <w:rPr>
                <w:rFonts w:hint="eastAsia" w:ascii="仿宋" w:hAnsi="仿宋" w:eastAsia="仿宋" w:cs="仿宋"/>
                <w:sz w:val="24"/>
                <w:szCs w:val="24"/>
                <w:lang w:val="en-US" w:eastAsia="zh-CN"/>
              </w:rPr>
              <w:t>）及</w:t>
            </w:r>
            <w:r>
              <w:rPr>
                <w:rFonts w:hint="eastAsia" w:ascii="仿宋" w:hAnsi="仿宋" w:eastAsia="仿宋" w:cs="仿宋"/>
                <w:sz w:val="24"/>
                <w:szCs w:val="24"/>
                <w:lang w:eastAsia="zh-CN"/>
              </w:rPr>
              <w:t>江东行政服务中心（</w:t>
            </w:r>
            <w:r>
              <w:rPr>
                <w:rFonts w:hint="eastAsia" w:ascii="仿宋" w:hAnsi="仿宋" w:eastAsia="仿宋" w:cs="仿宋"/>
                <w:sz w:val="24"/>
                <w:szCs w:val="24"/>
                <w:vertAlign w:val="baseline"/>
                <w:lang w:eastAsia="zh-CN"/>
              </w:rPr>
              <w:t>钱塘区江东大道</w:t>
            </w:r>
            <w:r>
              <w:rPr>
                <w:rFonts w:hint="eastAsia" w:ascii="仿宋" w:hAnsi="仿宋" w:eastAsia="仿宋" w:cs="仿宋"/>
                <w:sz w:val="24"/>
                <w:szCs w:val="24"/>
                <w:vertAlign w:val="baseline"/>
                <w:lang w:val="en-US" w:eastAsia="zh-CN"/>
              </w:rPr>
              <w:t>3899号</w:t>
            </w:r>
            <w:r>
              <w:rPr>
                <w:rFonts w:hint="eastAsia" w:ascii="仿宋" w:hAnsi="仿宋" w:eastAsia="仿宋" w:cs="仿宋"/>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服务交付（实施）的方式：</w:t>
            </w:r>
            <w:r>
              <w:rPr>
                <w:rFonts w:hint="eastAsia" w:ascii="仿宋" w:hAnsi="仿宋" w:eastAsia="仿宋" w:cs="仿宋"/>
                <w:sz w:val="24"/>
                <w:lang w:eastAsia="zh-CN"/>
              </w:rPr>
              <w:t>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同</w:t>
            </w:r>
            <w:r>
              <w:rPr>
                <w:rFonts w:hint="eastAsia" w:ascii="仿宋" w:hAnsi="仿宋" w:eastAsia="仿宋" w:cs="仿宋"/>
                <w:sz w:val="24"/>
              </w:rP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因不可抗力致使合同有变更必要的，双方当事人应在</w:t>
            </w:r>
            <w:r>
              <w:rPr>
                <w:rFonts w:hint="eastAsia" w:ascii="仿宋" w:hAnsi="仿宋" w:eastAsia="仿宋" w:cs="仿宋"/>
                <w:b w:val="0"/>
                <w:bCs/>
                <w:i w:val="0"/>
                <w:iCs/>
                <w:sz w:val="24"/>
                <w:highlight w:val="none"/>
                <w:u w:val="single"/>
                <w:lang w:val="en-US" w:eastAsia="zh-CN"/>
              </w:rPr>
              <w:t xml:space="preserve"> 7 </w:t>
            </w:r>
            <w:r>
              <w:rPr>
                <w:rFonts w:hint="eastAsia" w:ascii="仿宋" w:hAnsi="仿宋" w:eastAsia="仿宋" w:cs="仿宋"/>
                <w:sz w:val="24"/>
                <w:highlight w:val="none"/>
                <w:lang w:eastAsia="zh-CN"/>
              </w:rPr>
              <w:t>日</w:t>
            </w:r>
            <w:r>
              <w:rPr>
                <w:rFonts w:hint="eastAsia" w:ascii="仿宋" w:hAnsi="仿宋" w:eastAsia="仿宋" w:cs="仿宋"/>
                <w:sz w:val="24"/>
                <w:highlight w:val="none"/>
              </w:rPr>
              <w:t>内以书面形式变更合同</w:t>
            </w:r>
            <w:r>
              <w:rPr>
                <w:rFonts w:hint="eastAsia" w:ascii="仿宋" w:hAnsi="仿宋" w:eastAsia="仿宋" w:cs="仿宋"/>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vAlign w:val="top"/>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受不可抗力影响的一方在不可抗力发生后，应在</w:t>
            </w:r>
            <w:r>
              <w:rPr>
                <w:rFonts w:hint="eastAsia" w:ascii="仿宋" w:hAnsi="仿宋" w:eastAsia="仿宋" w:cs="仿宋"/>
                <w:b w:val="0"/>
                <w:bCs/>
                <w:i w:val="0"/>
                <w:iCs/>
                <w:sz w:val="24"/>
                <w:highlight w:val="none"/>
                <w:u w:val="single"/>
                <w:lang w:val="en-US" w:eastAsia="zh-CN"/>
              </w:rPr>
              <w:t xml:space="preserve"> 3 </w:t>
            </w:r>
            <w:r>
              <w:rPr>
                <w:rFonts w:hint="eastAsia" w:ascii="仿宋" w:hAnsi="仿宋" w:eastAsia="仿宋" w:cs="仿宋"/>
                <w:sz w:val="24"/>
                <w:highlight w:val="none"/>
                <w:lang w:eastAsia="zh-CN"/>
              </w:rPr>
              <w:t>日</w:t>
            </w:r>
            <w:r>
              <w:rPr>
                <w:rFonts w:hint="eastAsia" w:ascii="仿宋" w:hAnsi="仿宋" w:eastAsia="仿宋" w:cs="仿宋"/>
                <w:sz w:val="24"/>
                <w:highlight w:val="none"/>
              </w:rPr>
              <w:t>内以书面形式通知对方当事人，并在</w:t>
            </w:r>
            <w:r>
              <w:rPr>
                <w:rFonts w:hint="eastAsia" w:ascii="仿宋" w:hAnsi="仿宋" w:eastAsia="仿宋" w:cs="仿宋"/>
                <w:b w:val="0"/>
                <w:bCs/>
                <w:i w:val="0"/>
                <w:iCs/>
                <w:sz w:val="24"/>
                <w:highlight w:val="none"/>
                <w:u w:val="single"/>
                <w:lang w:val="en-US" w:eastAsia="zh-CN"/>
              </w:rPr>
              <w:t xml:space="preserve"> 2 </w:t>
            </w:r>
            <w:r>
              <w:rPr>
                <w:rFonts w:hint="eastAsia" w:ascii="仿宋" w:hAnsi="仿宋" w:eastAsia="仿宋" w:cs="仿宋"/>
                <w:sz w:val="24"/>
                <w:highlight w:val="none"/>
                <w:lang w:eastAsia="zh-CN"/>
              </w:rPr>
              <w:t>日</w:t>
            </w:r>
            <w:r>
              <w:rPr>
                <w:rFonts w:hint="eastAsia" w:ascii="仿宋" w:hAnsi="仿宋" w:eastAsia="仿宋" w:cs="仿宋"/>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乙方</w:t>
            </w:r>
            <w:r>
              <w:rPr>
                <w:rFonts w:hint="eastAsia" w:ascii="仿宋" w:hAnsi="仿宋" w:eastAsia="仿宋" w:cs="仿宋"/>
                <w:sz w:val="24"/>
                <w:lang w:eastAsia="zh-CN"/>
              </w:rPr>
              <w:t>每</w:t>
            </w:r>
            <w:r>
              <w:rPr>
                <w:rFonts w:hint="eastAsia" w:ascii="仿宋" w:hAnsi="仿宋" w:eastAsia="仿宋" w:cs="仿宋"/>
                <w:sz w:val="24"/>
                <w:highlight w:val="none"/>
                <w:u w:val="single"/>
                <w:lang w:val="en-US" w:eastAsia="zh-CN"/>
              </w:rPr>
              <w:t xml:space="preserve"> 3 </w:t>
            </w:r>
            <w:r>
              <w:rPr>
                <w:rFonts w:hint="eastAsia" w:ascii="仿宋" w:hAnsi="仿宋" w:eastAsia="仿宋" w:cs="仿宋"/>
                <w:sz w:val="24"/>
                <w:highlight w:val="none"/>
                <w:lang w:val="en-US" w:eastAsia="zh-CN"/>
              </w:rPr>
              <w:t>月</w:t>
            </w:r>
            <w:r>
              <w:rPr>
                <w:rFonts w:hint="eastAsia" w:ascii="仿宋" w:hAnsi="仿宋" w:eastAsia="仿宋" w:cs="仿宋"/>
                <w:sz w:val="24"/>
                <w:highlight w:val="none"/>
              </w:rPr>
              <w:t>，定期提交服务报告，甲方</w:t>
            </w:r>
            <w:r>
              <w:rPr>
                <w:rFonts w:hint="eastAsia" w:ascii="仿宋" w:hAnsi="仿宋" w:eastAsia="仿宋" w:cs="仿宋"/>
                <w:sz w:val="24"/>
                <w:highlight w:val="none"/>
                <w:lang w:eastAsia="zh-CN"/>
              </w:rPr>
              <w:t>每</w:t>
            </w:r>
            <w:r>
              <w:rPr>
                <w:rFonts w:hint="eastAsia" w:ascii="仿宋" w:hAnsi="仿宋" w:eastAsia="仿宋" w:cs="仿宋"/>
                <w:sz w:val="24"/>
                <w:highlight w:val="none"/>
                <w:u w:val="single"/>
                <w:lang w:val="en-US" w:eastAsia="zh-CN"/>
              </w:rPr>
              <w:t xml:space="preserve"> 3 </w:t>
            </w:r>
            <w:r>
              <w:rPr>
                <w:rFonts w:hint="eastAsia" w:ascii="仿宋" w:hAnsi="仿宋" w:eastAsia="仿宋" w:cs="仿宋"/>
                <w:sz w:val="24"/>
                <w:highlight w:val="none"/>
                <w:lang w:eastAsia="zh-CN"/>
              </w:rPr>
              <w:t>月</w:t>
            </w:r>
            <w:r>
              <w:rPr>
                <w:rFonts w:hint="eastAsia" w:ascii="仿宋" w:hAnsi="仿宋" w:eastAsia="仿宋" w:cs="仿宋"/>
                <w:sz w:val="24"/>
                <w:highlight w:val="none"/>
              </w:rPr>
              <w:t>进行</w:t>
            </w:r>
            <w:r>
              <w:rPr>
                <w:rFonts w:hint="eastAsia" w:ascii="仿宋" w:hAnsi="仿宋" w:eastAsia="仿宋" w:cs="仿宋"/>
                <w:sz w:val="24"/>
              </w:rPr>
              <w:t>定期验收</w:t>
            </w:r>
            <w:r>
              <w:rPr>
                <w:rFonts w:hint="eastAsia" w:ascii="仿宋" w:hAnsi="仿宋" w:eastAsia="仿宋" w:cs="仿宋"/>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pPr>
              <w:snapToGrid w:val="0"/>
              <w:spacing w:line="360" w:lineRule="auto"/>
              <w:ind w:firstLine="480" w:firstLineChars="200"/>
              <w:outlineLvl w:val="0"/>
              <w:rPr>
                <w:rFonts w:hint="eastAsia" w:ascii="仿宋" w:hAnsi="仿宋" w:eastAsia="仿宋" w:cs="仿宋"/>
                <w:sz w:val="24"/>
                <w:lang w:val="en-US" w:eastAsia="zh-CN"/>
              </w:rPr>
            </w:pPr>
            <w:r>
              <w:rPr>
                <w:rFonts w:hint="eastAsia" w:ascii="仿宋" w:hAnsi="仿宋" w:eastAsia="仿宋" w:cs="仿宋"/>
                <w:sz w:val="24"/>
                <w:lang w:val="en-US" w:eastAsia="zh-CN"/>
              </w:rPr>
              <w:t>甲方按照《杭州市政府采购履约验收暂行办法》（杭财采监[2019]10号）规定组织对乙方履约的验收。</w:t>
            </w:r>
          </w:p>
          <w:p>
            <w:pPr>
              <w:snapToGrid w:val="0"/>
              <w:spacing w:line="360" w:lineRule="auto"/>
              <w:ind w:firstLine="480" w:firstLineChars="200"/>
              <w:outlineLvl w:val="0"/>
              <w:rPr>
                <w:rFonts w:hint="eastAsia" w:ascii="仿宋" w:hAnsi="仿宋" w:eastAsia="仿宋" w:cs="仿宋"/>
                <w:snapToGrid w:val="0"/>
                <w:kern w:val="0"/>
                <w:sz w:val="24"/>
              </w:rPr>
            </w:pPr>
            <w:r>
              <w:rPr>
                <w:rFonts w:hint="eastAsia" w:ascii="仿宋" w:hAnsi="仿宋" w:eastAsia="仿宋" w:cs="仿宋"/>
                <w:snapToGrid w:val="0"/>
                <w:kern w:val="0"/>
                <w:sz w:val="24"/>
              </w:rPr>
              <w:t>（一）</w:t>
            </w:r>
            <w:r>
              <w:rPr>
                <w:rFonts w:hint="eastAsia" w:ascii="仿宋" w:hAnsi="仿宋" w:eastAsia="仿宋" w:cs="仿宋"/>
                <w:snapToGrid w:val="0"/>
                <w:kern w:val="0"/>
                <w:sz w:val="24"/>
                <w:lang w:eastAsia="zh-CN"/>
              </w:rPr>
              <w:t>乙方</w:t>
            </w:r>
            <w:r>
              <w:rPr>
                <w:rFonts w:hint="eastAsia" w:ascii="仿宋" w:hAnsi="仿宋" w:eastAsia="仿宋" w:cs="仿宋"/>
                <w:snapToGrid w:val="0"/>
                <w:kern w:val="0"/>
                <w:sz w:val="24"/>
              </w:rPr>
              <w:t>应制订具体的质量保证措施及质量保证和相关服务承诺。</w:t>
            </w:r>
            <w:r>
              <w:rPr>
                <w:rFonts w:hint="eastAsia" w:ascii="仿宋" w:hAnsi="仿宋" w:eastAsia="仿宋" w:cs="仿宋"/>
                <w:snapToGrid w:val="0"/>
                <w:kern w:val="0"/>
                <w:sz w:val="24"/>
                <w:lang w:eastAsia="zh-CN"/>
              </w:rPr>
              <w:t>乙方</w:t>
            </w:r>
            <w:r>
              <w:rPr>
                <w:rFonts w:hint="eastAsia" w:ascii="仿宋" w:hAnsi="仿宋" w:eastAsia="仿宋" w:cs="仿宋"/>
                <w:snapToGrid w:val="0"/>
                <w:kern w:val="0"/>
                <w:sz w:val="24"/>
              </w:rPr>
              <w:t>所有的工作除应按</w:t>
            </w:r>
            <w:r>
              <w:rPr>
                <w:rFonts w:hint="eastAsia" w:ascii="仿宋" w:hAnsi="仿宋" w:eastAsia="仿宋" w:cs="仿宋"/>
                <w:snapToGrid w:val="0"/>
                <w:kern w:val="0"/>
                <w:sz w:val="24"/>
                <w:lang w:eastAsia="zh-CN"/>
              </w:rPr>
              <w:t>乙方</w:t>
            </w:r>
            <w:r>
              <w:rPr>
                <w:rFonts w:hint="eastAsia" w:ascii="仿宋" w:hAnsi="仿宋" w:eastAsia="仿宋" w:cs="仿宋"/>
                <w:snapToGrid w:val="0"/>
                <w:kern w:val="0"/>
                <w:sz w:val="24"/>
              </w:rPr>
              <w:t>的内部流程实施外还应接受</w:t>
            </w:r>
            <w:r>
              <w:rPr>
                <w:rFonts w:hint="eastAsia" w:ascii="仿宋" w:hAnsi="仿宋" w:eastAsia="仿宋" w:cs="仿宋"/>
                <w:snapToGrid w:val="0"/>
                <w:kern w:val="0"/>
                <w:sz w:val="24"/>
                <w:lang w:eastAsia="zh-CN"/>
              </w:rPr>
              <w:t>甲方</w:t>
            </w:r>
            <w:r>
              <w:rPr>
                <w:rFonts w:hint="eastAsia" w:ascii="仿宋" w:hAnsi="仿宋" w:eastAsia="仿宋" w:cs="仿宋"/>
                <w:snapToGrid w:val="0"/>
                <w:kern w:val="0"/>
                <w:sz w:val="24"/>
              </w:rPr>
              <w:t>或第三方的检查。</w:t>
            </w:r>
            <w:r>
              <w:rPr>
                <w:rFonts w:hint="eastAsia" w:ascii="仿宋" w:hAnsi="仿宋" w:eastAsia="仿宋" w:cs="仿宋"/>
                <w:snapToGrid w:val="0"/>
                <w:kern w:val="0"/>
                <w:sz w:val="24"/>
                <w:lang w:eastAsia="zh-CN"/>
              </w:rPr>
              <w:t>乙方</w:t>
            </w:r>
            <w:r>
              <w:rPr>
                <w:rFonts w:hint="eastAsia" w:ascii="仿宋" w:hAnsi="仿宋" w:eastAsia="仿宋" w:cs="仿宋"/>
                <w:snapToGrid w:val="0"/>
                <w:kern w:val="0"/>
                <w:sz w:val="24"/>
              </w:rPr>
              <w:t>达不到</w:t>
            </w:r>
            <w:r>
              <w:rPr>
                <w:rFonts w:hint="eastAsia" w:ascii="仿宋" w:hAnsi="仿宋" w:eastAsia="仿宋" w:cs="仿宋"/>
                <w:snapToGrid w:val="0"/>
                <w:kern w:val="0"/>
                <w:sz w:val="24"/>
                <w:lang w:eastAsia="zh-CN"/>
              </w:rPr>
              <w:t>甲方</w:t>
            </w:r>
            <w:r>
              <w:rPr>
                <w:rFonts w:hint="eastAsia" w:ascii="仿宋" w:hAnsi="仿宋" w:eastAsia="仿宋" w:cs="仿宋"/>
                <w:snapToGrid w:val="0"/>
                <w:kern w:val="0"/>
                <w:sz w:val="24"/>
              </w:rPr>
              <w:t>要求及各项服务承诺，</w:t>
            </w:r>
            <w:r>
              <w:rPr>
                <w:rFonts w:hint="eastAsia" w:ascii="仿宋" w:hAnsi="仿宋" w:eastAsia="仿宋" w:cs="仿宋"/>
                <w:snapToGrid w:val="0"/>
                <w:kern w:val="0"/>
                <w:sz w:val="24"/>
                <w:lang w:eastAsia="zh-CN"/>
              </w:rPr>
              <w:t>甲方</w:t>
            </w:r>
            <w:r>
              <w:rPr>
                <w:rFonts w:hint="eastAsia" w:ascii="仿宋" w:hAnsi="仿宋" w:eastAsia="仿宋" w:cs="仿宋"/>
                <w:snapToGrid w:val="0"/>
                <w:kern w:val="0"/>
                <w:sz w:val="24"/>
              </w:rPr>
              <w:t>有权要求其整改，直至扣款或终止合同。</w:t>
            </w:r>
          </w:p>
          <w:p>
            <w:pPr>
              <w:snapToGri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napToGrid w:val="0"/>
                <w:kern w:val="0"/>
                <w:sz w:val="24"/>
              </w:rPr>
              <w:t>（二）</w:t>
            </w:r>
            <w:r>
              <w:rPr>
                <w:rFonts w:hint="eastAsia" w:ascii="仿宋" w:hAnsi="仿宋" w:eastAsia="仿宋" w:cs="仿宋"/>
                <w:snapToGrid w:val="0"/>
                <w:kern w:val="0"/>
                <w:sz w:val="24"/>
                <w:lang w:eastAsia="zh-CN"/>
              </w:rPr>
              <w:t>甲方</w:t>
            </w:r>
            <w:r>
              <w:rPr>
                <w:rFonts w:hint="eastAsia" w:ascii="仿宋" w:hAnsi="仿宋" w:eastAsia="仿宋" w:cs="仿宋"/>
                <w:snapToGrid w:val="0"/>
                <w:kern w:val="0"/>
                <w:sz w:val="24"/>
              </w:rPr>
              <w:t>定期和不定期地对</w:t>
            </w:r>
            <w:r>
              <w:rPr>
                <w:rFonts w:hint="eastAsia" w:ascii="仿宋" w:hAnsi="仿宋" w:eastAsia="仿宋" w:cs="仿宋"/>
                <w:snapToGrid w:val="0"/>
                <w:kern w:val="0"/>
                <w:sz w:val="24"/>
                <w:lang w:eastAsia="zh-CN"/>
              </w:rPr>
              <w:t>乙方</w:t>
            </w:r>
            <w:r>
              <w:rPr>
                <w:rFonts w:hint="eastAsia" w:ascii="仿宋" w:hAnsi="仿宋" w:eastAsia="仿宋" w:cs="仿宋"/>
                <w:snapToGrid w:val="0"/>
                <w:kern w:val="0"/>
                <w:sz w:val="24"/>
              </w:rPr>
              <w:t>管理服务进行检查和抽查，检查记录和整改时限反馈</w:t>
            </w:r>
            <w:r>
              <w:rPr>
                <w:rFonts w:hint="eastAsia" w:ascii="仿宋" w:hAnsi="仿宋" w:eastAsia="仿宋" w:cs="仿宋"/>
                <w:sz w:val="24"/>
                <w:lang w:eastAsia="zh-CN"/>
              </w:rPr>
              <w:t>乙方</w:t>
            </w:r>
            <w:r>
              <w:rPr>
                <w:rFonts w:hint="eastAsia" w:ascii="仿宋" w:hAnsi="仿宋" w:eastAsia="仿宋" w:cs="仿宋"/>
                <w:snapToGrid w:val="0"/>
                <w:kern w:val="0"/>
                <w:sz w:val="24"/>
              </w:rPr>
              <w:t>。并每季对 “清卫保洁”、</w:t>
            </w:r>
            <w:r>
              <w:rPr>
                <w:rFonts w:hint="eastAsia" w:ascii="仿宋" w:hAnsi="仿宋" w:eastAsia="仿宋" w:cs="仿宋"/>
                <w:snapToGrid w:val="0"/>
                <w:kern w:val="0"/>
                <w:sz w:val="24"/>
                <w:lang w:eastAsia="zh-CN"/>
              </w:rPr>
              <w:t>“</w:t>
            </w:r>
            <w:r>
              <w:rPr>
                <w:rFonts w:hint="eastAsia" w:ascii="仿宋" w:hAnsi="仿宋" w:eastAsia="仿宋" w:cs="仿宋"/>
                <w:snapToGrid w:val="0"/>
                <w:kern w:val="0"/>
                <w:sz w:val="24"/>
                <w:lang w:val="en-US" w:eastAsia="zh-CN"/>
              </w:rPr>
              <w:t>秩序维护</w:t>
            </w:r>
            <w:r>
              <w:rPr>
                <w:rFonts w:hint="eastAsia" w:ascii="仿宋" w:hAnsi="仿宋" w:eastAsia="仿宋" w:cs="仿宋"/>
                <w:snapToGrid w:val="0"/>
                <w:kern w:val="0"/>
                <w:sz w:val="24"/>
                <w:lang w:eastAsia="zh-CN"/>
              </w:rPr>
              <w:t>”</w:t>
            </w:r>
            <w:r>
              <w:rPr>
                <w:rFonts w:hint="eastAsia" w:ascii="仿宋" w:hAnsi="仿宋" w:eastAsia="仿宋" w:cs="仿宋"/>
                <w:snapToGrid w:val="0"/>
                <w:kern w:val="0"/>
                <w:sz w:val="24"/>
              </w:rPr>
              <w:t>、“设施设备维护”等内容的检查结果进行考核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（三）对</w:t>
            </w:r>
            <w:r>
              <w:rPr>
                <w:rFonts w:hint="eastAsia" w:ascii="仿宋" w:hAnsi="仿宋" w:eastAsia="仿宋" w:cs="仿宋"/>
                <w:sz w:val="24"/>
                <w:lang w:eastAsia="zh-CN"/>
              </w:rPr>
              <w:t>甲方</w:t>
            </w:r>
            <w:r>
              <w:rPr>
                <w:rFonts w:hint="eastAsia" w:ascii="仿宋" w:hAnsi="仿宋" w:eastAsia="仿宋" w:cs="仿宋"/>
                <w:sz w:val="24"/>
              </w:rPr>
              <w:t>、入驻单位检查和反映的物业服务管理方面的问题，经</w:t>
            </w:r>
            <w:r>
              <w:rPr>
                <w:rFonts w:hint="eastAsia" w:ascii="仿宋" w:hAnsi="仿宋" w:eastAsia="仿宋" w:cs="仿宋"/>
                <w:sz w:val="24"/>
                <w:lang w:eastAsia="zh-CN"/>
              </w:rPr>
              <w:t>甲方</w:t>
            </w:r>
            <w:r>
              <w:rPr>
                <w:rFonts w:hint="eastAsia" w:ascii="仿宋" w:hAnsi="仿宋" w:eastAsia="仿宋" w:cs="仿宋"/>
                <w:sz w:val="24"/>
              </w:rPr>
              <w:t>认定应由</w:t>
            </w:r>
            <w:r>
              <w:rPr>
                <w:rFonts w:hint="eastAsia" w:ascii="仿宋" w:hAnsi="仿宋" w:eastAsia="仿宋" w:cs="仿宋"/>
                <w:sz w:val="24"/>
                <w:lang w:eastAsia="zh-CN"/>
              </w:rPr>
              <w:t>乙方</w:t>
            </w:r>
            <w:r>
              <w:rPr>
                <w:rFonts w:hint="eastAsia" w:ascii="仿宋" w:hAnsi="仿宋" w:eastAsia="仿宋" w:cs="仿宋"/>
                <w:sz w:val="24"/>
              </w:rPr>
              <w:t>负责整改的，如</w:t>
            </w:r>
            <w:r>
              <w:rPr>
                <w:rFonts w:hint="eastAsia" w:ascii="仿宋" w:hAnsi="仿宋" w:eastAsia="仿宋" w:cs="仿宋"/>
                <w:sz w:val="24"/>
                <w:lang w:eastAsia="zh-CN"/>
              </w:rPr>
              <w:t>乙方</w:t>
            </w:r>
            <w:r>
              <w:rPr>
                <w:rFonts w:hint="eastAsia" w:ascii="仿宋" w:hAnsi="仿宋" w:eastAsia="仿宋" w:cs="仿宋"/>
                <w:sz w:val="24"/>
              </w:rPr>
              <w:t>未按照</w:t>
            </w:r>
            <w:r>
              <w:rPr>
                <w:rFonts w:hint="eastAsia" w:ascii="仿宋" w:hAnsi="仿宋" w:eastAsia="仿宋" w:cs="仿宋"/>
                <w:sz w:val="24"/>
                <w:lang w:eastAsia="zh-CN"/>
              </w:rPr>
              <w:t>甲方</w:t>
            </w:r>
            <w:r>
              <w:rPr>
                <w:rFonts w:hint="eastAsia" w:ascii="仿宋" w:hAnsi="仿宋" w:eastAsia="仿宋" w:cs="仿宋"/>
                <w:sz w:val="24"/>
              </w:rPr>
              <w:t>要求落实，视情一次扣罚1000元至10000元；如造成严重不良后果或较重的安全隐患，一次扣罚季度考核奖。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vAlign w:val="top"/>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本合同壹式陆份，甲方执肆份，乙方执贰份。</w:t>
            </w:r>
          </w:p>
        </w:tc>
      </w:tr>
    </w:tbl>
    <w:p>
      <w:pPr>
        <w:pStyle w:val="47"/>
        <w:rPr>
          <w:rFonts w:ascii="仿宋" w:hAnsi="仿宋" w:eastAsia="仿宋" w:cs="仿宋"/>
        </w:rPr>
      </w:pPr>
    </w:p>
    <w:p>
      <w:pPr>
        <w:rPr>
          <w:rFonts w:ascii="仿宋" w:hAnsi="仿宋" w:eastAsia="仿宋" w:cs="仿宋"/>
          <w:b/>
          <w:sz w:val="36"/>
          <w:szCs w:val="20"/>
        </w:rPr>
      </w:pPr>
      <w:r>
        <w:rPr>
          <w:rFonts w:ascii="仿宋" w:hAnsi="仿宋" w:eastAsia="仿宋" w:cs="仿宋"/>
          <w:b/>
          <w:sz w:val="36"/>
          <w:szCs w:val="20"/>
        </w:rPr>
        <w:br w:type="page"/>
      </w:r>
    </w:p>
    <w:p>
      <w:pPr>
        <w:pStyle w:val="2"/>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8"/>
      <w:r>
        <w:rPr>
          <w:rFonts w:hint="eastAsia" w:ascii="仿宋" w:hAnsi="仿宋" w:eastAsia="仿宋" w:cs="仿宋"/>
          <w:b/>
          <w:sz w:val="36"/>
          <w:szCs w:val="20"/>
        </w:rPr>
        <w:t xml:space="preserve"> </w:t>
      </w:r>
      <w:bookmarkEnd w:id="39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pStyle w:val="2"/>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并相应达到了前述比例要求，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pgNumType w:fmt="decimal"/>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2"/>
        <w:rPr>
          <w:lang w:val="en-US"/>
        </w:rPr>
        <w:sectPr>
          <w:pgSz w:w="11906" w:h="16838"/>
          <w:pgMar w:top="1276" w:right="1418" w:bottom="1247" w:left="1418" w:header="851" w:footer="992" w:gutter="0"/>
          <w:pgNumType w:fmt="decimal"/>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rPr>
          <w:rFonts w:ascii="仿宋" w:eastAsia="仿宋" w:cs="仿宋"/>
          <w:kern w:val="0"/>
          <w:sz w:val="24"/>
        </w:rPr>
      </w:pPr>
    </w:p>
    <w:p>
      <w:pPr>
        <w:spacing w:line="360" w:lineRule="auto"/>
        <w:ind w:firstLine="480" w:firstLineChars="200"/>
        <w:rPr>
          <w:rFonts w:ascii="仿宋" w:hAnsi="仿宋" w:eastAsia="仿宋" w:cs="仿宋"/>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2"/>
      </w:pPr>
    </w:p>
    <w:p/>
    <w:p>
      <w:pPr>
        <w:pStyle w:val="2"/>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sectPr>
          <w:pgSz w:w="11906" w:h="16838"/>
          <w:pgMar w:top="1276" w:right="1418" w:bottom="1247" w:left="1418" w:header="851" w:footer="992" w:gutter="0"/>
          <w:pgNumType w:fmt="decimal"/>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rPr>
          <w:rFonts w:ascii="仿宋" w:hAnsi="仿宋" w:eastAsia="仿宋" w:cs="仿宋"/>
          <w:b/>
          <w:kern w:val="0"/>
          <w:sz w:val="32"/>
          <w:szCs w:val="32"/>
        </w:rPr>
      </w:pPr>
    </w:p>
    <w:p>
      <w:pPr>
        <w:pStyle w:val="15"/>
      </w:pPr>
    </w:p>
    <w:p>
      <w:pPr>
        <w:pStyle w:val="15"/>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76"/>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b/>
          <w:kern w:val="0"/>
          <w:sz w:val="32"/>
          <w:szCs w:val="32"/>
        </w:rPr>
      </w:pPr>
    </w:p>
    <w:p>
      <w:pPr>
        <w:pStyle w:val="15"/>
        <w:rPr>
          <w:lang w:val="en-US"/>
        </w:rPr>
      </w:pPr>
    </w:p>
    <w:p>
      <w:pPr>
        <w:jc w:val="center"/>
        <w:rPr>
          <w:rFonts w:ascii="仿宋" w:hAnsi="仿宋" w:eastAsia="仿宋" w:cs="仿宋"/>
          <w:b/>
          <w:kern w:val="0"/>
          <w:sz w:val="32"/>
          <w:szCs w:val="32"/>
        </w:rPr>
      </w:pPr>
    </w:p>
    <w:p>
      <w:pPr>
        <w:pStyle w:val="15"/>
        <w:rPr>
          <w:lang w:val="en-US"/>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7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pStyle w:val="15"/>
        <w:rPr>
          <w:rFonts w:ascii="仿宋" w:hAnsi="仿宋" w:eastAsia="仿宋" w:cs="仿宋"/>
          <w:b/>
          <w:kern w:val="0"/>
          <w:sz w:val="32"/>
          <w:szCs w:val="32"/>
          <w:lang w:val="en-US"/>
        </w:rPr>
      </w:pPr>
    </w:p>
    <w:p>
      <w:pPr>
        <w:jc w:val="center"/>
        <w:sectPr>
          <w:pgSz w:w="11906" w:h="16838"/>
          <w:pgMar w:top="1276" w:right="1418" w:bottom="1247" w:left="1418" w:header="851" w:footer="992" w:gutter="0"/>
          <w:pgNumType w:fmt="decimal"/>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ascii="仿宋" w:hAnsi="仿宋" w:eastAsia="仿宋" w:cs="仿宋"/>
          <w:sz w:val="24"/>
        </w:rPr>
      </w:pPr>
      <w:r>
        <w:rPr>
          <w:rFonts w:hint="eastAsia" w:ascii="仿宋" w:hAnsi="仿宋" w:eastAsia="仿宋" w:cs="仿宋"/>
          <w:sz w:val="24"/>
        </w:rPr>
        <w:t>（2）中小企业声明函（如果有）…………………………………………（页码）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w:t>
      </w:r>
      <w:r>
        <w:rPr>
          <w:rFonts w:hint="eastAsia" w:ascii="宋体" w:hAnsi="宋体" w:eastAsia="宋体" w:cs="宋体"/>
          <w:kern w:val="2"/>
          <w:sz w:val="32"/>
          <w:szCs w:val="32"/>
        </w:rPr>
        <w:t>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76"/>
        <w:tblW w:w="13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232"/>
        <w:gridCol w:w="1456"/>
        <w:gridCol w:w="1456"/>
        <w:gridCol w:w="1456"/>
        <w:gridCol w:w="1456"/>
        <w:gridCol w:w="1456"/>
        <w:gridCol w:w="152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04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223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456"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45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45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45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456" w:type="dxa"/>
          </w:tcPr>
          <w:p>
            <w:pPr>
              <w:spacing w:line="360" w:lineRule="auto"/>
              <w:jc w:val="center"/>
              <w:rPr>
                <w:rFonts w:ascii="仿宋" w:hAnsi="仿宋" w:eastAsia="仿宋" w:cs="仿宋"/>
                <w:b/>
                <w:sz w:val="24"/>
              </w:rPr>
            </w:pPr>
          </w:p>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数量</w:t>
            </w:r>
          </w:p>
        </w:tc>
        <w:tc>
          <w:tcPr>
            <w:tcW w:w="152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总价（元）</w:t>
            </w:r>
          </w:p>
        </w:tc>
        <w:tc>
          <w:tcPr>
            <w:tcW w:w="1875"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2232" w:type="dxa"/>
            <w:vAlign w:val="center"/>
          </w:tcPr>
          <w:p>
            <w:pPr>
              <w:adjustRightInd/>
              <w:spacing w:before="120" w:beforeLines="50"/>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8"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32"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napToGrid w:val="0"/>
              <w:spacing w:line="360" w:lineRule="auto"/>
              <w:jc w:val="center"/>
              <w:rPr>
                <w:rFonts w:ascii="仿宋" w:hAnsi="仿宋" w:eastAsia="仿宋" w:cs="仿宋"/>
                <w:sz w:val="24"/>
              </w:rPr>
            </w:pPr>
          </w:p>
        </w:tc>
        <w:tc>
          <w:tcPr>
            <w:tcW w:w="1456" w:type="dxa"/>
            <w:vAlign w:val="center"/>
          </w:tcPr>
          <w:p>
            <w:pPr>
              <w:spacing w:line="360" w:lineRule="auto"/>
              <w:jc w:val="center"/>
              <w:rPr>
                <w:rFonts w:ascii="仿宋" w:hAnsi="仿宋" w:eastAsia="仿宋" w:cs="仿宋"/>
                <w:sz w:val="24"/>
              </w:rPr>
            </w:pPr>
          </w:p>
        </w:tc>
        <w:tc>
          <w:tcPr>
            <w:tcW w:w="1456" w:type="dxa"/>
          </w:tcPr>
          <w:p>
            <w:pPr>
              <w:spacing w:line="360" w:lineRule="auto"/>
              <w:jc w:val="center"/>
              <w:rPr>
                <w:rFonts w:ascii="仿宋" w:hAnsi="仿宋" w:eastAsia="仿宋" w:cs="仿宋"/>
                <w:sz w:val="24"/>
              </w:rPr>
            </w:pPr>
          </w:p>
        </w:tc>
        <w:tc>
          <w:tcPr>
            <w:tcW w:w="1527" w:type="dxa"/>
            <w:vAlign w:val="center"/>
          </w:tcPr>
          <w:p>
            <w:pPr>
              <w:spacing w:line="360" w:lineRule="auto"/>
              <w:jc w:val="center"/>
              <w:rPr>
                <w:rFonts w:ascii="仿宋" w:hAnsi="仿宋" w:eastAsia="仿宋" w:cs="仿宋"/>
                <w:sz w:val="24"/>
              </w:rPr>
            </w:pPr>
          </w:p>
        </w:tc>
        <w:tc>
          <w:tcPr>
            <w:tcW w:w="187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619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770" w:type="dxa"/>
            <w:gridSpan w:val="5"/>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192" w:type="dxa"/>
            <w:gridSpan w:val="4"/>
            <w:vAlign w:val="center"/>
          </w:tcPr>
          <w:p>
            <w:pPr>
              <w:spacing w:line="360" w:lineRule="auto"/>
              <w:jc w:val="center"/>
            </w:pPr>
            <w:r>
              <w:rPr>
                <w:rFonts w:hint="eastAsia" w:ascii="仿宋" w:hAnsi="仿宋" w:eastAsia="仿宋" w:cs="仿宋"/>
                <w:b/>
                <w:sz w:val="24"/>
              </w:rPr>
              <w:t>投标报价（大写）</w:t>
            </w:r>
          </w:p>
        </w:tc>
        <w:tc>
          <w:tcPr>
            <w:tcW w:w="7770" w:type="dxa"/>
            <w:gridSpan w:val="5"/>
          </w:tcPr>
          <w:p>
            <w:pPr>
              <w:spacing w:line="360" w:lineRule="auto"/>
              <w:jc w:val="center"/>
              <w:rPr>
                <w:rFonts w:ascii="仿宋" w:hAnsi="仿宋" w:eastAsia="仿宋" w:cs="仿宋"/>
                <w:sz w:val="24"/>
              </w:rPr>
            </w:pPr>
          </w:p>
        </w:tc>
      </w:tr>
    </w:tbl>
    <w:p>
      <w:pPr>
        <w:snapToGrid w:val="0"/>
        <w:spacing w:line="360" w:lineRule="auto"/>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2、有关本项目实施所涉及的一切费用均计入报价。合同总价不为零，开标一览表（报价表）中部分产品、服务单价为零的，视作已包含在总价中。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ascii="仿宋" w:hAnsi="仿宋" w:eastAsia="仿宋" w:cs="仿宋"/>
          <w:kern w:val="0"/>
          <w:sz w:val="24"/>
          <w:lang w:val="zh-CN"/>
        </w:rPr>
      </w:pPr>
      <w:r>
        <w:rPr>
          <w:rFonts w:hint="eastAsia" w:ascii="仿宋" w:hAnsi="仿宋" w:eastAsia="仿宋" w:cs="仿宋"/>
          <w:b/>
          <w:sz w:val="24"/>
        </w:rPr>
        <w:t>5、特别说明：▲供应商报价低于项目预算50%的，应当在报价文件中详细阐述不影响产品质量或者诚信履约的具体原因。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76"/>
        <w:tblW w:w="8740" w:type="dxa"/>
        <w:tblInd w:w="95" w:type="dxa"/>
        <w:tblLayout w:type="fixed"/>
        <w:tblCellMar>
          <w:top w:w="0" w:type="dxa"/>
          <w:left w:w="108" w:type="dxa"/>
          <w:bottom w:w="0" w:type="dxa"/>
          <w:right w:w="108" w:type="dxa"/>
        </w:tblCellMar>
      </w:tblPr>
      <w:tblGrid>
        <w:gridCol w:w="1080"/>
        <w:gridCol w:w="3020"/>
        <w:gridCol w:w="1420"/>
        <w:gridCol w:w="3220"/>
      </w:tblGrid>
      <w:tr>
        <w:tblPrEx>
          <w:tblLayout w:type="fixed"/>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Layout w:type="fixed"/>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14" w:name="_Toc465665161"/>
      <w:r>
        <w:rPr>
          <w:rFonts w:hint="eastAsia" w:ascii="仿宋" w:hAnsi="仿宋" w:eastAsia="仿宋" w:cs="仿宋"/>
        </w:rPr>
        <w:t>附件</w:t>
      </w:r>
      <w:bookmarkEnd w:id="514"/>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15" w:name="OLE_LINK14"/>
      <w:bookmarkStart w:id="516" w:name="OLE_LINK13"/>
      <w:r>
        <w:rPr>
          <w:rFonts w:hint="eastAsia" w:ascii="仿宋" w:hAnsi="仿宋" w:eastAsia="仿宋" w:cs="仿宋"/>
          <w:b/>
          <w:spacing w:val="6"/>
          <w:sz w:val="32"/>
          <w:szCs w:val="32"/>
        </w:rPr>
        <w:t>残疾人福利性单位声明函</w:t>
      </w:r>
      <w:bookmarkEnd w:id="515"/>
      <w:bookmarkEnd w:id="516"/>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ZfC0d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17"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17"/>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提供的服务全部由</w:t>
      </w:r>
      <w:r>
        <w:rPr>
          <w:rFonts w:hint="eastAsia" w:ascii="仿宋" w:hAnsi="仿宋" w:eastAsia="仿宋" w:cs="仿宋"/>
          <w:kern w:val="0"/>
          <w:sz w:val="24"/>
          <w:u w:val="single"/>
        </w:rPr>
        <w:t>（中型或小型或微型）</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pStyle w:val="2"/>
        <w:ind w:left="664" w:leftChars="316" w:firstLine="4325" w:firstLineChars="1795"/>
      </w:pPr>
      <w:r>
        <w:rPr>
          <w:rFonts w:hint="eastAsia" w:ascii="宋体" w:hAnsi="宋体" w:cs="宋体"/>
          <w:kern w:val="0"/>
          <w:sz w:val="24"/>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ascii="仿宋" w:hAnsi="仿宋" w:eastAsia="仿宋" w:cs="仿宋"/>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536" w:bottom="1247" w:left="1418" w:header="851" w:footer="992" w:gutter="0"/>
          <w:pgNumType w:fmt="decimal"/>
          <w:cols w:space="720" w:num="1"/>
          <w:titlePg/>
          <w:docGrid w:linePitch="312" w:charSpace="0"/>
        </w:sect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w:t>
      </w:r>
      <w:r>
        <w:rPr>
          <w:rFonts w:hint="eastAsia" w:ascii="仿宋" w:hAnsi="仿宋" w:eastAsia="仿宋" w:cs="仿宋"/>
          <w:kern w:val="0"/>
          <w:sz w:val="24"/>
          <w:u w:val="single"/>
        </w:rPr>
        <w:t>（中型或小型或微型）</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18"/>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pgNumType w:fmt="decimal"/>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rPr>
        <w:t>物业管理服务</w:t>
      </w:r>
      <w:r>
        <w:rPr>
          <w:rFonts w:hint="eastAsia" w:ascii="仿宋" w:hAnsi="仿宋" w:eastAsia="仿宋" w:cs="仿宋"/>
          <w:sz w:val="24"/>
        </w:rPr>
        <w:t xml:space="preserve"> ，属于 </w:t>
      </w:r>
      <w:r>
        <w:rPr>
          <w:rFonts w:hint="eastAsia" w:ascii="仿宋" w:hAnsi="仿宋" w:eastAsia="仿宋" w:cs="Arial"/>
          <w:kern w:val="0"/>
          <w:sz w:val="24"/>
          <w:u w:val="single"/>
        </w:rPr>
        <w:t>物业管理</w:t>
      </w:r>
      <w:r>
        <w:rPr>
          <w:rFonts w:hint="eastAsia" w:ascii="仿宋" w:hAnsi="仿宋" w:eastAsia="仿宋" w:cs="仿宋"/>
          <w:sz w:val="24"/>
        </w:rPr>
        <w:t xml:space="preserve"> 行业 ；承建（承接）为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3"/>
                            <w:rPr>
                              <w:rStyle w:val="66"/>
                              <w:rFonts w:hint="eastAsia" w:ascii="仿宋" w:hAnsi="仿宋" w:eastAsia="仿宋" w:cs="仿宋"/>
                            </w:rPr>
                          </w:pPr>
                          <w:r>
                            <w:rPr>
                              <w:rStyle w:val="66"/>
                              <w:rFonts w:hint="eastAsia" w:ascii="仿宋" w:hAnsi="仿宋" w:eastAsia="仿宋" w:cs="仿宋"/>
                            </w:rPr>
                            <w:t xml:space="preserve">第 </w:t>
                          </w:r>
                          <w:r>
                            <w:rPr>
                              <w:rStyle w:val="66"/>
                              <w:rFonts w:hint="eastAsia" w:ascii="仿宋" w:hAnsi="仿宋" w:eastAsia="仿宋" w:cs="仿宋"/>
                            </w:rPr>
                            <w:fldChar w:fldCharType="begin"/>
                          </w:r>
                          <w:r>
                            <w:rPr>
                              <w:rStyle w:val="66"/>
                              <w:rFonts w:hint="eastAsia" w:ascii="仿宋" w:hAnsi="仿宋" w:eastAsia="仿宋" w:cs="仿宋"/>
                            </w:rPr>
                            <w:instrText xml:space="preserve"> PAGE  \* MERGEFORMAT </w:instrText>
                          </w:r>
                          <w:r>
                            <w:rPr>
                              <w:rStyle w:val="66"/>
                              <w:rFonts w:hint="eastAsia" w:ascii="仿宋" w:hAnsi="仿宋" w:eastAsia="仿宋" w:cs="仿宋"/>
                            </w:rPr>
                            <w:fldChar w:fldCharType="separate"/>
                          </w:r>
                          <w:r>
                            <w:rPr>
                              <w:rStyle w:val="66"/>
                              <w:rFonts w:hint="eastAsia" w:ascii="仿宋" w:hAnsi="仿宋" w:eastAsia="仿宋" w:cs="仿宋"/>
                            </w:rPr>
                            <w:t>27</w:t>
                          </w:r>
                          <w:r>
                            <w:rPr>
                              <w:rStyle w:val="66"/>
                              <w:rFonts w:hint="eastAsia" w:ascii="仿宋" w:hAnsi="仿宋" w:eastAsia="仿宋" w:cs="仿宋"/>
                            </w:rPr>
                            <w:fldChar w:fldCharType="end"/>
                          </w:r>
                          <w:r>
                            <w:rPr>
                              <w:rStyle w:val="66"/>
                              <w:rFonts w:hint="eastAsia" w:ascii="仿宋" w:hAnsi="仿宋" w:eastAsia="仿宋" w:cs="仿宋"/>
                            </w:rPr>
                            <w:t xml:space="preserve"> 页 共 </w:t>
                          </w:r>
                          <w:r>
                            <w:rPr>
                              <w:rStyle w:val="66"/>
                              <w:rFonts w:hint="eastAsia" w:ascii="仿宋" w:hAnsi="仿宋" w:eastAsia="仿宋" w:cs="仿宋"/>
                            </w:rPr>
                            <w:fldChar w:fldCharType="begin"/>
                          </w:r>
                          <w:r>
                            <w:rPr>
                              <w:rStyle w:val="66"/>
                              <w:rFonts w:hint="eastAsia" w:ascii="仿宋" w:hAnsi="仿宋" w:eastAsia="仿宋" w:cs="仿宋"/>
                            </w:rPr>
                            <w:instrText xml:space="preserve"> NUMPAGES  \* MERGEFORMAT </w:instrText>
                          </w:r>
                          <w:r>
                            <w:rPr>
                              <w:rStyle w:val="66"/>
                              <w:rFonts w:hint="eastAsia" w:ascii="仿宋" w:hAnsi="仿宋" w:eastAsia="仿宋" w:cs="仿宋"/>
                            </w:rPr>
                            <w:fldChar w:fldCharType="separate"/>
                          </w:r>
                          <w:r>
                            <w:rPr>
                              <w:rStyle w:val="66"/>
                              <w:rFonts w:hint="eastAsia" w:ascii="仿宋" w:hAnsi="仿宋" w:eastAsia="仿宋" w:cs="仿宋"/>
                            </w:rPr>
                            <w:t>107</w:t>
                          </w:r>
                          <w:r>
                            <w:rPr>
                              <w:rStyle w:val="66"/>
                              <w:rFonts w:hint="eastAsia" w:ascii="仿宋" w:hAnsi="仿宋" w:eastAsia="仿宋" w:cs="仿宋"/>
                            </w:rPr>
                            <w:fldChar w:fldCharType="end"/>
                          </w:r>
                          <w:r>
                            <w:rPr>
                              <w:rStyle w:val="66"/>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EJY46y1AQAAVwMAAA4AAAAAAAAAAQAgAAAAIgEAAGRycy9lMm9Eb2MueG1sUEsFBgAAAAAGAAYA&#10;WQEAAEkFAAAAAA==&#10;">
              <v:fill on="f" focussize="0,0"/>
              <v:stroke on="f" weight="1.25pt"/>
              <v:imagedata o:title=""/>
              <o:lock v:ext="edit" aspectratio="f"/>
              <v:textbox inset="0mm,0mm,0mm,0mm" style="mso-fit-shape-to-text:t;">
                <w:txbxContent>
                  <w:p>
                    <w:pPr>
                      <w:pStyle w:val="43"/>
                      <w:rPr>
                        <w:rStyle w:val="66"/>
                        <w:rFonts w:hint="eastAsia" w:ascii="仿宋" w:hAnsi="仿宋" w:eastAsia="仿宋" w:cs="仿宋"/>
                      </w:rPr>
                    </w:pPr>
                    <w:r>
                      <w:rPr>
                        <w:rStyle w:val="66"/>
                        <w:rFonts w:hint="eastAsia" w:ascii="仿宋" w:hAnsi="仿宋" w:eastAsia="仿宋" w:cs="仿宋"/>
                      </w:rPr>
                      <w:t xml:space="preserve">第 </w:t>
                    </w:r>
                    <w:r>
                      <w:rPr>
                        <w:rStyle w:val="66"/>
                        <w:rFonts w:hint="eastAsia" w:ascii="仿宋" w:hAnsi="仿宋" w:eastAsia="仿宋" w:cs="仿宋"/>
                      </w:rPr>
                      <w:fldChar w:fldCharType="begin"/>
                    </w:r>
                    <w:r>
                      <w:rPr>
                        <w:rStyle w:val="66"/>
                        <w:rFonts w:hint="eastAsia" w:ascii="仿宋" w:hAnsi="仿宋" w:eastAsia="仿宋" w:cs="仿宋"/>
                      </w:rPr>
                      <w:instrText xml:space="preserve"> PAGE  \* MERGEFORMAT </w:instrText>
                    </w:r>
                    <w:r>
                      <w:rPr>
                        <w:rStyle w:val="66"/>
                        <w:rFonts w:hint="eastAsia" w:ascii="仿宋" w:hAnsi="仿宋" w:eastAsia="仿宋" w:cs="仿宋"/>
                      </w:rPr>
                      <w:fldChar w:fldCharType="separate"/>
                    </w:r>
                    <w:r>
                      <w:rPr>
                        <w:rStyle w:val="66"/>
                        <w:rFonts w:hint="eastAsia" w:ascii="仿宋" w:hAnsi="仿宋" w:eastAsia="仿宋" w:cs="仿宋"/>
                      </w:rPr>
                      <w:t>27</w:t>
                    </w:r>
                    <w:r>
                      <w:rPr>
                        <w:rStyle w:val="66"/>
                        <w:rFonts w:hint="eastAsia" w:ascii="仿宋" w:hAnsi="仿宋" w:eastAsia="仿宋" w:cs="仿宋"/>
                      </w:rPr>
                      <w:fldChar w:fldCharType="end"/>
                    </w:r>
                    <w:r>
                      <w:rPr>
                        <w:rStyle w:val="66"/>
                        <w:rFonts w:hint="eastAsia" w:ascii="仿宋" w:hAnsi="仿宋" w:eastAsia="仿宋" w:cs="仿宋"/>
                      </w:rPr>
                      <w:t xml:space="preserve"> 页 共 </w:t>
                    </w:r>
                    <w:r>
                      <w:rPr>
                        <w:rStyle w:val="66"/>
                        <w:rFonts w:hint="eastAsia" w:ascii="仿宋" w:hAnsi="仿宋" w:eastAsia="仿宋" w:cs="仿宋"/>
                      </w:rPr>
                      <w:fldChar w:fldCharType="begin"/>
                    </w:r>
                    <w:r>
                      <w:rPr>
                        <w:rStyle w:val="66"/>
                        <w:rFonts w:hint="eastAsia" w:ascii="仿宋" w:hAnsi="仿宋" w:eastAsia="仿宋" w:cs="仿宋"/>
                      </w:rPr>
                      <w:instrText xml:space="preserve"> NUMPAGES  \* MERGEFORMAT </w:instrText>
                    </w:r>
                    <w:r>
                      <w:rPr>
                        <w:rStyle w:val="66"/>
                        <w:rFonts w:hint="eastAsia" w:ascii="仿宋" w:hAnsi="仿宋" w:eastAsia="仿宋" w:cs="仿宋"/>
                      </w:rPr>
                      <w:fldChar w:fldCharType="separate"/>
                    </w:r>
                    <w:r>
                      <w:rPr>
                        <w:rStyle w:val="66"/>
                        <w:rFonts w:hint="eastAsia" w:ascii="仿宋" w:hAnsi="仿宋" w:eastAsia="仿宋" w:cs="仿宋"/>
                      </w:rPr>
                      <w:t>107</w:t>
                    </w:r>
                    <w:r>
                      <w:rPr>
                        <w:rStyle w:val="66"/>
                        <w:rFonts w:hint="eastAsia" w:ascii="仿宋" w:hAnsi="仿宋" w:eastAsia="仿宋" w:cs="仿宋"/>
                      </w:rPr>
                      <w:fldChar w:fldCharType="end"/>
                    </w:r>
                    <w:r>
                      <w:rPr>
                        <w:rStyle w:val="66"/>
                        <w:rFonts w:hint="eastAsia" w:ascii="仿宋" w:hAnsi="仿宋" w:eastAsia="仿宋" w:cs="仿宋"/>
                      </w:rPr>
                      <w:t xml:space="preserve"> 页</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rPr>
                              <w:rStyle w:val="66"/>
                              <w:rFonts w:hint="eastAsia" w:ascii="仿宋" w:hAnsi="仿宋" w:eastAsia="仿宋" w:cs="仿宋"/>
                            </w:rPr>
                          </w:pPr>
                          <w:r>
                            <w:rPr>
                              <w:rStyle w:val="66"/>
                              <w:rFonts w:hint="eastAsia" w:ascii="仿宋" w:hAnsi="仿宋" w:eastAsia="仿宋" w:cs="仿宋"/>
                            </w:rPr>
                            <w:t xml:space="preserve">第 </w:t>
                          </w:r>
                          <w:r>
                            <w:rPr>
                              <w:rStyle w:val="66"/>
                              <w:rFonts w:hint="eastAsia" w:ascii="仿宋" w:hAnsi="仿宋" w:eastAsia="仿宋" w:cs="仿宋"/>
                            </w:rPr>
                            <w:fldChar w:fldCharType="begin"/>
                          </w:r>
                          <w:r>
                            <w:rPr>
                              <w:rStyle w:val="66"/>
                              <w:rFonts w:hint="eastAsia" w:ascii="仿宋" w:hAnsi="仿宋" w:eastAsia="仿宋" w:cs="仿宋"/>
                            </w:rPr>
                            <w:instrText xml:space="preserve"> PAGE  \* MERGEFORMAT </w:instrText>
                          </w:r>
                          <w:r>
                            <w:rPr>
                              <w:rStyle w:val="66"/>
                              <w:rFonts w:hint="eastAsia" w:ascii="仿宋" w:hAnsi="仿宋" w:eastAsia="仿宋" w:cs="仿宋"/>
                            </w:rPr>
                            <w:fldChar w:fldCharType="separate"/>
                          </w:r>
                          <w:r>
                            <w:rPr>
                              <w:rStyle w:val="66"/>
                              <w:rFonts w:hint="eastAsia" w:ascii="仿宋" w:hAnsi="仿宋" w:eastAsia="仿宋" w:cs="仿宋"/>
                            </w:rPr>
                            <w:t>55</w:t>
                          </w:r>
                          <w:r>
                            <w:rPr>
                              <w:rStyle w:val="66"/>
                              <w:rFonts w:hint="eastAsia" w:ascii="仿宋" w:hAnsi="仿宋" w:eastAsia="仿宋" w:cs="仿宋"/>
                            </w:rPr>
                            <w:fldChar w:fldCharType="end"/>
                          </w:r>
                          <w:r>
                            <w:rPr>
                              <w:rStyle w:val="66"/>
                              <w:rFonts w:hint="eastAsia" w:ascii="仿宋" w:hAnsi="仿宋" w:eastAsia="仿宋" w:cs="仿宋"/>
                            </w:rPr>
                            <w:t xml:space="preserve"> 页 共 </w:t>
                          </w:r>
                          <w:r>
                            <w:rPr>
                              <w:rStyle w:val="66"/>
                              <w:rFonts w:hint="eastAsia" w:ascii="仿宋" w:hAnsi="仿宋" w:eastAsia="仿宋" w:cs="仿宋"/>
                            </w:rPr>
                            <w:fldChar w:fldCharType="begin"/>
                          </w:r>
                          <w:r>
                            <w:rPr>
                              <w:rStyle w:val="66"/>
                              <w:rFonts w:hint="eastAsia" w:ascii="仿宋" w:hAnsi="仿宋" w:eastAsia="仿宋" w:cs="仿宋"/>
                            </w:rPr>
                            <w:instrText xml:space="preserve"> NUMPAGES  \* MERGEFORMAT </w:instrText>
                          </w:r>
                          <w:r>
                            <w:rPr>
                              <w:rStyle w:val="66"/>
                              <w:rFonts w:hint="eastAsia" w:ascii="仿宋" w:hAnsi="仿宋" w:eastAsia="仿宋" w:cs="仿宋"/>
                            </w:rPr>
                            <w:fldChar w:fldCharType="separate"/>
                          </w:r>
                          <w:r>
                            <w:rPr>
                              <w:rStyle w:val="66"/>
                              <w:rFonts w:hint="eastAsia" w:ascii="仿宋" w:hAnsi="仿宋" w:eastAsia="仿宋" w:cs="仿宋"/>
                            </w:rPr>
                            <w:t>107</w:t>
                          </w:r>
                          <w:r>
                            <w:rPr>
                              <w:rStyle w:val="66"/>
                              <w:rFonts w:hint="eastAsia" w:ascii="仿宋" w:hAnsi="仿宋" w:eastAsia="仿宋" w:cs="仿宋"/>
                            </w:rPr>
                            <w:fldChar w:fldCharType="end"/>
                          </w:r>
                          <w:r>
                            <w:rPr>
                              <w:rStyle w:val="66"/>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43"/>
                      <w:rPr>
                        <w:rStyle w:val="66"/>
                        <w:rFonts w:hint="eastAsia" w:ascii="仿宋" w:hAnsi="仿宋" w:eastAsia="仿宋" w:cs="仿宋"/>
                      </w:rPr>
                    </w:pPr>
                    <w:r>
                      <w:rPr>
                        <w:rStyle w:val="66"/>
                        <w:rFonts w:hint="eastAsia" w:ascii="仿宋" w:hAnsi="仿宋" w:eastAsia="仿宋" w:cs="仿宋"/>
                      </w:rPr>
                      <w:t xml:space="preserve">第 </w:t>
                    </w:r>
                    <w:r>
                      <w:rPr>
                        <w:rStyle w:val="66"/>
                        <w:rFonts w:hint="eastAsia" w:ascii="仿宋" w:hAnsi="仿宋" w:eastAsia="仿宋" w:cs="仿宋"/>
                      </w:rPr>
                      <w:fldChar w:fldCharType="begin"/>
                    </w:r>
                    <w:r>
                      <w:rPr>
                        <w:rStyle w:val="66"/>
                        <w:rFonts w:hint="eastAsia" w:ascii="仿宋" w:hAnsi="仿宋" w:eastAsia="仿宋" w:cs="仿宋"/>
                      </w:rPr>
                      <w:instrText xml:space="preserve"> PAGE  \* MERGEFORMAT </w:instrText>
                    </w:r>
                    <w:r>
                      <w:rPr>
                        <w:rStyle w:val="66"/>
                        <w:rFonts w:hint="eastAsia" w:ascii="仿宋" w:hAnsi="仿宋" w:eastAsia="仿宋" w:cs="仿宋"/>
                      </w:rPr>
                      <w:fldChar w:fldCharType="separate"/>
                    </w:r>
                    <w:r>
                      <w:rPr>
                        <w:rStyle w:val="66"/>
                        <w:rFonts w:hint="eastAsia" w:ascii="仿宋" w:hAnsi="仿宋" w:eastAsia="仿宋" w:cs="仿宋"/>
                      </w:rPr>
                      <w:t>55</w:t>
                    </w:r>
                    <w:r>
                      <w:rPr>
                        <w:rStyle w:val="66"/>
                        <w:rFonts w:hint="eastAsia" w:ascii="仿宋" w:hAnsi="仿宋" w:eastAsia="仿宋" w:cs="仿宋"/>
                      </w:rPr>
                      <w:fldChar w:fldCharType="end"/>
                    </w:r>
                    <w:r>
                      <w:rPr>
                        <w:rStyle w:val="66"/>
                        <w:rFonts w:hint="eastAsia" w:ascii="仿宋" w:hAnsi="仿宋" w:eastAsia="仿宋" w:cs="仿宋"/>
                      </w:rPr>
                      <w:t xml:space="preserve"> 页 共 </w:t>
                    </w:r>
                    <w:r>
                      <w:rPr>
                        <w:rStyle w:val="66"/>
                        <w:rFonts w:hint="eastAsia" w:ascii="仿宋" w:hAnsi="仿宋" w:eastAsia="仿宋" w:cs="仿宋"/>
                      </w:rPr>
                      <w:fldChar w:fldCharType="begin"/>
                    </w:r>
                    <w:r>
                      <w:rPr>
                        <w:rStyle w:val="66"/>
                        <w:rFonts w:hint="eastAsia" w:ascii="仿宋" w:hAnsi="仿宋" w:eastAsia="仿宋" w:cs="仿宋"/>
                      </w:rPr>
                      <w:instrText xml:space="preserve"> NUMPAGES  \* MERGEFORMAT </w:instrText>
                    </w:r>
                    <w:r>
                      <w:rPr>
                        <w:rStyle w:val="66"/>
                        <w:rFonts w:hint="eastAsia" w:ascii="仿宋" w:hAnsi="仿宋" w:eastAsia="仿宋" w:cs="仿宋"/>
                      </w:rPr>
                      <w:fldChar w:fldCharType="separate"/>
                    </w:r>
                    <w:r>
                      <w:rPr>
                        <w:rStyle w:val="66"/>
                        <w:rFonts w:hint="eastAsia" w:ascii="仿宋" w:hAnsi="仿宋" w:eastAsia="仿宋" w:cs="仿宋"/>
                      </w:rPr>
                      <w:t>107</w:t>
                    </w:r>
                    <w:r>
                      <w:rPr>
                        <w:rStyle w:val="66"/>
                        <w:rFonts w:hint="eastAsia" w:ascii="仿宋" w:hAnsi="仿宋" w:eastAsia="仿宋" w:cs="仿宋"/>
                      </w:rPr>
                      <w:fldChar w:fldCharType="end"/>
                    </w:r>
                    <w:r>
                      <w:rPr>
                        <w:rStyle w:val="66"/>
                        <w:rFonts w:hint="eastAsia" w:ascii="仿宋" w:hAnsi="仿宋" w:eastAsia="仿宋" w:cs="仿宋"/>
                      </w:rP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3"/>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rPr>
    </w:pPr>
    <w:r>
      <w:rPr>
        <w:rFonts w:hint="eastAsia"/>
      </w:rPr>
      <w:t xml:space="preserve">                                                                              </w:t>
    </w:r>
  </w:p>
  <w:p>
    <w:pPr>
      <w:pStyle w:val="45"/>
      <w:jc w:val="right"/>
    </w:pPr>
    <w:r>
      <w:rPr>
        <w:rFonts w:hint="eastAsia" w:ascii="仿宋" w:hAnsi="仿宋" w:eastAsia="仿宋" w:cs="仿宋"/>
      </w:rPr>
      <w:t>杭州市钱塘区政府采购公开招标文件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jc w:val="right"/>
    </w:pPr>
    <w:r>
      <w:t></w:t>
    </w:r>
  </w:p>
  <w:p>
    <w:pPr>
      <w:pStyle w:val="45"/>
      <w:pBdr>
        <w:bottom w:val="single" w:color="auto" w:sz="4" w:space="1"/>
      </w:pBdr>
      <w:jc w:val="right"/>
      <w:rPr>
        <w:rFonts w:ascii="仿宋_GB2312" w:eastAsia="仿宋_GB2312"/>
        <w:b/>
        <w:i/>
        <w:iCs/>
        <w:u w:val="single"/>
      </w:rPr>
    </w:pPr>
    <w:r>
      <w:rPr>
        <w:rFonts w:hint="eastAsia" w:ascii="仿宋" w:hAnsi="仿宋" w:eastAsia="仿宋" w:cs="仿宋"/>
      </w:rPr>
      <w:t>杭州市钱塘区政府采购公开招标文件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rPr>
    </w:pPr>
    <w:r>
      <w:t></w:t>
    </w:r>
    <w:r>
      <w:rPr>
        <w:rFonts w:hint="eastAsia"/>
      </w:rPr>
      <w:t xml:space="preserve">                                             </w:t>
    </w:r>
  </w:p>
  <w:p>
    <w:pPr>
      <w:pStyle w:val="45"/>
      <w:jc w:val="right"/>
      <w:rPr>
        <w:rFonts w:hint="eastAsia" w:ascii="仿宋" w:hAnsi="仿宋" w:eastAsia="仿宋" w:cs="仿宋"/>
      </w:rPr>
    </w:pPr>
    <w:r>
      <w:rPr>
        <w:rFonts w:hint="eastAsia" w:ascii="仿宋" w:hAnsi="仿宋" w:eastAsia="仿宋" w:cs="仿宋"/>
      </w:rPr>
      <w:t>杭州市钱塘区政府采购公开招标文件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pPr>
      <w:pStyle w:val="45"/>
      <w:pBdr>
        <w:bottom w:val="single" w:color="auto" w:sz="6" w:space="0"/>
      </w:pBdr>
      <w:tabs>
        <w:tab w:val="center" w:pos="4535"/>
        <w:tab w:val="right" w:pos="9070"/>
        <w:tab w:val="clear" w:pos="4153"/>
        <w:tab w:val="clear" w:pos="8306"/>
      </w:tabs>
      <w:jc w:val="right"/>
    </w:pPr>
  </w:p>
  <w:p>
    <w:pPr>
      <w:pStyle w:val="45"/>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杭州市</w:t>
    </w:r>
    <w:r>
      <w:rPr>
        <w:rFonts w:hint="eastAsia" w:ascii="仿宋" w:hAnsi="仿宋" w:eastAsia="仿宋" w:cs="仿宋"/>
      </w:rPr>
      <w:t>钱塘区</w:t>
    </w:r>
    <w:r>
      <w:rPr>
        <w:rFonts w:hint="eastAsia" w:ascii="仿宋" w:hAnsi="仿宋" w:eastAsia="仿宋" w:cs="仿宋"/>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jc w:val="both"/>
      <w:rPr>
        <w:u w:val="single"/>
      </w:rPr>
    </w:pPr>
  </w:p>
  <w:p>
    <w:pPr>
      <w:pBdr>
        <w:bottom w:val="single" w:color="auto" w:sz="4" w:space="0"/>
      </w:pBdr>
      <w:jc w:val="right"/>
      <w:rPr>
        <w:sz w:val="18"/>
        <w:szCs w:val="18"/>
        <w:lang w:val="zh-CN"/>
      </w:rPr>
    </w:pPr>
  </w:p>
  <w:p>
    <w:pPr>
      <w:pBdr>
        <w:bottom w:val="single" w:color="auto" w:sz="4" w:space="0"/>
      </w:pBdr>
      <w:jc w:val="right"/>
      <w:rPr>
        <w:u w:val="single"/>
      </w:rPr>
    </w:pPr>
    <w:r>
      <w:rPr>
        <w:rFonts w:hint="eastAsia" w:ascii="仿宋" w:hAnsi="仿宋" w:eastAsia="仿宋" w:cs="仿宋"/>
        <w:sz w:val="18"/>
        <w:szCs w:val="18"/>
        <w:lang w:val="zh-CN"/>
      </w:rPr>
      <w:t>杭州市</w:t>
    </w:r>
    <w:r>
      <w:rPr>
        <w:rFonts w:hint="eastAsia" w:ascii="仿宋" w:hAnsi="仿宋" w:eastAsia="仿宋" w:cs="仿宋"/>
        <w:sz w:val="18"/>
        <w:szCs w:val="18"/>
      </w:rPr>
      <w:t>钱塘区</w:t>
    </w:r>
    <w:r>
      <w:rPr>
        <w:rFonts w:hint="eastAsia" w:ascii="仿宋" w:hAnsi="仿宋" w:eastAsia="仿宋" w:cs="仿宋"/>
        <w:sz w:val="18"/>
        <w:szCs w:val="18"/>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jc w:val="both"/>
      <w:rPr>
        <w:u w:val="single"/>
      </w:rPr>
    </w:pPr>
  </w:p>
  <w:p>
    <w:pPr>
      <w:pBdr>
        <w:bottom w:val="single" w:color="auto" w:sz="4" w:space="0"/>
      </w:pBdr>
      <w:jc w:val="right"/>
      <w:rPr>
        <w:sz w:val="18"/>
        <w:szCs w:val="18"/>
        <w:lang w:val="zh-CN"/>
      </w:rPr>
    </w:pPr>
  </w:p>
  <w:p>
    <w:pPr>
      <w:pBdr>
        <w:bottom w:val="single" w:color="auto" w:sz="4" w:space="0"/>
      </w:pBdr>
      <w:jc w:val="right"/>
      <w:rPr>
        <w:u w:val="single"/>
      </w:rPr>
    </w:pPr>
    <w:r>
      <w:rPr>
        <w:rFonts w:hint="eastAsia" w:ascii="仿宋" w:hAnsi="仿宋" w:eastAsia="仿宋" w:cs="仿宋"/>
        <w:sz w:val="18"/>
        <w:szCs w:val="18"/>
        <w:lang w:val="zh-CN"/>
      </w:rPr>
      <w:t>杭州市</w:t>
    </w:r>
    <w:r>
      <w:rPr>
        <w:rFonts w:hint="eastAsia" w:ascii="仿宋" w:hAnsi="仿宋" w:eastAsia="仿宋" w:cs="仿宋"/>
        <w:sz w:val="18"/>
        <w:szCs w:val="18"/>
      </w:rPr>
      <w:t>钱塘区</w:t>
    </w:r>
    <w:r>
      <w:rPr>
        <w:rFonts w:hint="eastAsia" w:ascii="仿宋" w:hAnsi="仿宋" w:eastAsia="仿宋" w:cs="仿宋"/>
        <w:sz w:val="18"/>
        <w:szCs w:val="18"/>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rPr>
        <w:rFonts w:hint="eastAsia" w:ascii="仿宋" w:hAnsi="仿宋" w:eastAsia="仿宋" w:cs="仿宋"/>
      </w:rPr>
      <w:t xml:space="preserve"> 杭州市钱塘区政府采购公开招标文件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rPr>
        <w:rFonts w:hint="eastAsia" w:ascii="仿宋" w:hAnsi="仿宋" w:eastAsia="仿宋" w:cs="仿宋"/>
      </w:rPr>
      <w:t>杭州市钱塘区政府采购公开招标文件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rPr>
        <w:rFonts w:hint="eastAsia" w:ascii="仿宋" w:hAnsi="仿宋" w:eastAsia="仿宋" w:cs="仿宋"/>
      </w:rPr>
    </w:pPr>
    <w:r>
      <w:rPr>
        <w:rFonts w:hint="eastAsia"/>
      </w:rPr>
      <w:t xml:space="preserve">                                                                 </w:t>
    </w:r>
    <w:r>
      <w:rPr>
        <w:rFonts w:hint="eastAsia" w:ascii="仿宋" w:hAnsi="仿宋" w:eastAsia="仿宋" w:cs="仿宋"/>
      </w:rPr>
      <w:t xml:space="preserve"> 杭州市钱塘区政府采购公开招标文件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rPr>
        <w:rFonts w:hint="eastAsia" w:ascii="仿宋" w:hAnsi="仿宋" w:eastAsia="仿宋" w:cs="仿宋"/>
      </w:rPr>
      <w:t>杭州市钱塘区政府采购公开招标文件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7CA55"/>
    <w:multiLevelType w:val="singleLevel"/>
    <w:tmpl w:val="9BF7CA55"/>
    <w:lvl w:ilvl="0" w:tentative="0">
      <w:start w:val="3"/>
      <w:numFmt w:val="chineseCounting"/>
      <w:suff w:val="space"/>
      <w:lvlText w:val="第%1部分"/>
      <w:lvlJc w:val="left"/>
      <w:rPr>
        <w:rFonts w:hint="eastAsia"/>
      </w:rPr>
    </w:lvl>
  </w:abstractNum>
  <w:abstractNum w:abstractNumId="1">
    <w:nsid w:val="FDD6B76A"/>
    <w:multiLevelType w:val="singleLevel"/>
    <w:tmpl w:val="FDD6B76A"/>
    <w:lvl w:ilvl="0" w:tentative="0">
      <w:start w:val="2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OGFlODc3YzBkNTg4MGI2YTNjNjczYTE4MzFjN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04"/>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B67"/>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05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3E"/>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0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5C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992"/>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E16"/>
    <w:rsid w:val="006F01FF"/>
    <w:rsid w:val="006F0CB2"/>
    <w:rsid w:val="006F1DE9"/>
    <w:rsid w:val="006F2046"/>
    <w:rsid w:val="006F2AAB"/>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2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19"/>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7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5B6"/>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A1"/>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AD"/>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66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31F32"/>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7A4160"/>
    <w:rsid w:val="06930BB8"/>
    <w:rsid w:val="069D7E4F"/>
    <w:rsid w:val="07245D42"/>
    <w:rsid w:val="07264C62"/>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782765"/>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A908B8"/>
    <w:rsid w:val="10C26171"/>
    <w:rsid w:val="10EE20E4"/>
    <w:rsid w:val="10F33360"/>
    <w:rsid w:val="10FC16EA"/>
    <w:rsid w:val="110F1D40"/>
    <w:rsid w:val="1117298F"/>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3DF0B81"/>
    <w:rsid w:val="14092897"/>
    <w:rsid w:val="141008D8"/>
    <w:rsid w:val="14125FE6"/>
    <w:rsid w:val="143F2362"/>
    <w:rsid w:val="14464107"/>
    <w:rsid w:val="145F7307"/>
    <w:rsid w:val="14641FAC"/>
    <w:rsid w:val="14678B2C"/>
    <w:rsid w:val="146D271E"/>
    <w:rsid w:val="14982588"/>
    <w:rsid w:val="149A5AD9"/>
    <w:rsid w:val="149D3F83"/>
    <w:rsid w:val="14A7619D"/>
    <w:rsid w:val="150536C3"/>
    <w:rsid w:val="150C1963"/>
    <w:rsid w:val="150E3CA0"/>
    <w:rsid w:val="151447A0"/>
    <w:rsid w:val="154A6454"/>
    <w:rsid w:val="15762120"/>
    <w:rsid w:val="15B44660"/>
    <w:rsid w:val="15CA5987"/>
    <w:rsid w:val="16A8729C"/>
    <w:rsid w:val="16AC07E4"/>
    <w:rsid w:val="16B33777"/>
    <w:rsid w:val="16B574FF"/>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9FEF2B4"/>
    <w:rsid w:val="1A071A03"/>
    <w:rsid w:val="1A1F16AE"/>
    <w:rsid w:val="1A362486"/>
    <w:rsid w:val="1A3B5C77"/>
    <w:rsid w:val="1A442B13"/>
    <w:rsid w:val="1A572366"/>
    <w:rsid w:val="1A984BAD"/>
    <w:rsid w:val="1AA245F7"/>
    <w:rsid w:val="1AA25EA9"/>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6D311"/>
    <w:rsid w:val="1BCA0E71"/>
    <w:rsid w:val="1BD75AB8"/>
    <w:rsid w:val="1C0459C2"/>
    <w:rsid w:val="1C1B3B4A"/>
    <w:rsid w:val="1C7DB08F"/>
    <w:rsid w:val="1C88086E"/>
    <w:rsid w:val="1C92024C"/>
    <w:rsid w:val="1C9E0C25"/>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EECEE5A"/>
    <w:rsid w:val="1F0A0FF3"/>
    <w:rsid w:val="1F5771FF"/>
    <w:rsid w:val="1F8854DA"/>
    <w:rsid w:val="1FAA8463"/>
    <w:rsid w:val="1FBE20C7"/>
    <w:rsid w:val="1FD40B31"/>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BE6801"/>
    <w:rsid w:val="230706D2"/>
    <w:rsid w:val="23103339"/>
    <w:rsid w:val="232E3EB1"/>
    <w:rsid w:val="233500BF"/>
    <w:rsid w:val="23377FF7"/>
    <w:rsid w:val="236B425F"/>
    <w:rsid w:val="23836192"/>
    <w:rsid w:val="23901F29"/>
    <w:rsid w:val="23932309"/>
    <w:rsid w:val="239C0061"/>
    <w:rsid w:val="23A509F4"/>
    <w:rsid w:val="23B908A4"/>
    <w:rsid w:val="23D235D7"/>
    <w:rsid w:val="23E95BEF"/>
    <w:rsid w:val="23FD0064"/>
    <w:rsid w:val="241F664E"/>
    <w:rsid w:val="24240656"/>
    <w:rsid w:val="245375B0"/>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E043A"/>
    <w:rsid w:val="276142BF"/>
    <w:rsid w:val="27783712"/>
    <w:rsid w:val="27907362"/>
    <w:rsid w:val="27AC4EAD"/>
    <w:rsid w:val="28333E1D"/>
    <w:rsid w:val="28454BD6"/>
    <w:rsid w:val="28455253"/>
    <w:rsid w:val="28551971"/>
    <w:rsid w:val="285B1C53"/>
    <w:rsid w:val="28730988"/>
    <w:rsid w:val="287D4F02"/>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D75A0"/>
    <w:rsid w:val="2C09049E"/>
    <w:rsid w:val="2C0A653C"/>
    <w:rsid w:val="2C191F85"/>
    <w:rsid w:val="2C593CC6"/>
    <w:rsid w:val="2CE82D6F"/>
    <w:rsid w:val="2CF3CFCC"/>
    <w:rsid w:val="2D113745"/>
    <w:rsid w:val="2D1760D1"/>
    <w:rsid w:val="2D2E2C0D"/>
    <w:rsid w:val="2D343236"/>
    <w:rsid w:val="2DD15014"/>
    <w:rsid w:val="2DDF576E"/>
    <w:rsid w:val="2DF72DE4"/>
    <w:rsid w:val="2E0220AF"/>
    <w:rsid w:val="2E243B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0198"/>
    <w:rsid w:val="2FAC1422"/>
    <w:rsid w:val="2FBA2E44"/>
    <w:rsid w:val="2FD25781"/>
    <w:rsid w:val="2FDD6036"/>
    <w:rsid w:val="2FEA2B1B"/>
    <w:rsid w:val="2FFD7934"/>
    <w:rsid w:val="30733ACD"/>
    <w:rsid w:val="308C3862"/>
    <w:rsid w:val="309379D8"/>
    <w:rsid w:val="30A270F7"/>
    <w:rsid w:val="30C90D03"/>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7576"/>
    <w:rsid w:val="3280441C"/>
    <w:rsid w:val="32BE5C2C"/>
    <w:rsid w:val="32E0684A"/>
    <w:rsid w:val="32FB6478"/>
    <w:rsid w:val="33263B3F"/>
    <w:rsid w:val="33364476"/>
    <w:rsid w:val="334E24B3"/>
    <w:rsid w:val="336963EB"/>
    <w:rsid w:val="33816EEB"/>
    <w:rsid w:val="33B43E84"/>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6FB1948"/>
    <w:rsid w:val="37153EE7"/>
    <w:rsid w:val="371D36CD"/>
    <w:rsid w:val="373F410B"/>
    <w:rsid w:val="37413EFE"/>
    <w:rsid w:val="37494BFA"/>
    <w:rsid w:val="3768578B"/>
    <w:rsid w:val="379E5600"/>
    <w:rsid w:val="37EE7094"/>
    <w:rsid w:val="38296C89"/>
    <w:rsid w:val="383002EB"/>
    <w:rsid w:val="38586797"/>
    <w:rsid w:val="385B38D6"/>
    <w:rsid w:val="38BC0149"/>
    <w:rsid w:val="38C53688"/>
    <w:rsid w:val="38CB553C"/>
    <w:rsid w:val="38D87D1C"/>
    <w:rsid w:val="38E91A6B"/>
    <w:rsid w:val="39083C99"/>
    <w:rsid w:val="392F2DC1"/>
    <w:rsid w:val="395C1D0A"/>
    <w:rsid w:val="39636459"/>
    <w:rsid w:val="396B7F6C"/>
    <w:rsid w:val="39A70AF9"/>
    <w:rsid w:val="39B417A9"/>
    <w:rsid w:val="39EC77BE"/>
    <w:rsid w:val="39F55C33"/>
    <w:rsid w:val="39F570DC"/>
    <w:rsid w:val="39FC5695"/>
    <w:rsid w:val="39FFACCD"/>
    <w:rsid w:val="3A006D8E"/>
    <w:rsid w:val="3A3651E5"/>
    <w:rsid w:val="3A744481"/>
    <w:rsid w:val="3A8C7BEF"/>
    <w:rsid w:val="3A906246"/>
    <w:rsid w:val="3AC86541"/>
    <w:rsid w:val="3AD02720"/>
    <w:rsid w:val="3AEE7494"/>
    <w:rsid w:val="3AEFA2C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21ABD"/>
    <w:rsid w:val="3E285EE1"/>
    <w:rsid w:val="3E377251"/>
    <w:rsid w:val="3E42664B"/>
    <w:rsid w:val="3E5A7334"/>
    <w:rsid w:val="3E7B5D6B"/>
    <w:rsid w:val="3E843E66"/>
    <w:rsid w:val="3E8F51FE"/>
    <w:rsid w:val="3E926F87"/>
    <w:rsid w:val="3E9A59DE"/>
    <w:rsid w:val="3EAF4836"/>
    <w:rsid w:val="3EB516C8"/>
    <w:rsid w:val="3EB5D43D"/>
    <w:rsid w:val="3EC33DFA"/>
    <w:rsid w:val="3EFB7EC0"/>
    <w:rsid w:val="3F060E16"/>
    <w:rsid w:val="3F1D1096"/>
    <w:rsid w:val="3F21243C"/>
    <w:rsid w:val="3F2F0234"/>
    <w:rsid w:val="3F6363FE"/>
    <w:rsid w:val="3F756B8F"/>
    <w:rsid w:val="3F95482B"/>
    <w:rsid w:val="3FAF38FB"/>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8046CC"/>
    <w:rsid w:val="468937D3"/>
    <w:rsid w:val="46893F2B"/>
    <w:rsid w:val="46C4686E"/>
    <w:rsid w:val="47785793"/>
    <w:rsid w:val="477B778F"/>
    <w:rsid w:val="478203EC"/>
    <w:rsid w:val="479B0079"/>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A2036C"/>
    <w:rsid w:val="49B64211"/>
    <w:rsid w:val="49D62A28"/>
    <w:rsid w:val="49D82405"/>
    <w:rsid w:val="49F6167F"/>
    <w:rsid w:val="49F83BD7"/>
    <w:rsid w:val="4A064FA0"/>
    <w:rsid w:val="4A16615C"/>
    <w:rsid w:val="4A1A388C"/>
    <w:rsid w:val="4A3A5853"/>
    <w:rsid w:val="4A4424D7"/>
    <w:rsid w:val="4A454E53"/>
    <w:rsid w:val="4AB82D0F"/>
    <w:rsid w:val="4ACF06B0"/>
    <w:rsid w:val="4AEB7664"/>
    <w:rsid w:val="4AF92999"/>
    <w:rsid w:val="4AFD7C19"/>
    <w:rsid w:val="4B0567D1"/>
    <w:rsid w:val="4B236AAE"/>
    <w:rsid w:val="4B413B26"/>
    <w:rsid w:val="4B707271"/>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1F0DC3"/>
    <w:rsid w:val="4E323FA5"/>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4E4173"/>
    <w:rsid w:val="50802CBD"/>
    <w:rsid w:val="50937403"/>
    <w:rsid w:val="50962ECB"/>
    <w:rsid w:val="50972573"/>
    <w:rsid w:val="50A42E38"/>
    <w:rsid w:val="50A4577F"/>
    <w:rsid w:val="50AA7998"/>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B4525E"/>
    <w:rsid w:val="54CA0D16"/>
    <w:rsid w:val="54D67D81"/>
    <w:rsid w:val="54DD4057"/>
    <w:rsid w:val="54E7490F"/>
    <w:rsid w:val="550764A4"/>
    <w:rsid w:val="550B2BF6"/>
    <w:rsid w:val="55214EB5"/>
    <w:rsid w:val="55344AA7"/>
    <w:rsid w:val="55364EFD"/>
    <w:rsid w:val="555D4828"/>
    <w:rsid w:val="557A4C8B"/>
    <w:rsid w:val="557B7DD9"/>
    <w:rsid w:val="558931E1"/>
    <w:rsid w:val="558D0DF6"/>
    <w:rsid w:val="55923347"/>
    <w:rsid w:val="55925180"/>
    <w:rsid w:val="55983B1B"/>
    <w:rsid w:val="55A8376B"/>
    <w:rsid w:val="55B11B72"/>
    <w:rsid w:val="55DC29B6"/>
    <w:rsid w:val="55DD4241"/>
    <w:rsid w:val="55F53E91"/>
    <w:rsid w:val="563A7B9E"/>
    <w:rsid w:val="56455396"/>
    <w:rsid w:val="56627324"/>
    <w:rsid w:val="566B6D1E"/>
    <w:rsid w:val="56C30D46"/>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7FF51E0"/>
    <w:rsid w:val="580D24C6"/>
    <w:rsid w:val="584A47AD"/>
    <w:rsid w:val="58917D2F"/>
    <w:rsid w:val="5894085C"/>
    <w:rsid w:val="58AE4F0C"/>
    <w:rsid w:val="58B85899"/>
    <w:rsid w:val="58E363A9"/>
    <w:rsid w:val="58EF1411"/>
    <w:rsid w:val="59373F86"/>
    <w:rsid w:val="5943778F"/>
    <w:rsid w:val="595E1678"/>
    <w:rsid w:val="596D5BD4"/>
    <w:rsid w:val="596D7276"/>
    <w:rsid w:val="596F2BE8"/>
    <w:rsid w:val="597E3DD8"/>
    <w:rsid w:val="598FEA70"/>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9FFED9"/>
    <w:rsid w:val="5BA65021"/>
    <w:rsid w:val="5BAD05AB"/>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C512D3"/>
    <w:rsid w:val="5ECE74E1"/>
    <w:rsid w:val="5EE42BBD"/>
    <w:rsid w:val="5EEF148A"/>
    <w:rsid w:val="5EFC7377"/>
    <w:rsid w:val="5F06174D"/>
    <w:rsid w:val="5F083003"/>
    <w:rsid w:val="5F1F674D"/>
    <w:rsid w:val="5F22424F"/>
    <w:rsid w:val="5F3A3602"/>
    <w:rsid w:val="5F3D4288"/>
    <w:rsid w:val="5F6277C6"/>
    <w:rsid w:val="5F6D0B1D"/>
    <w:rsid w:val="5F7511AD"/>
    <w:rsid w:val="5F7E0ECC"/>
    <w:rsid w:val="5F852DFD"/>
    <w:rsid w:val="5F8B79B9"/>
    <w:rsid w:val="5F8D0B82"/>
    <w:rsid w:val="5F992C52"/>
    <w:rsid w:val="5F9B9803"/>
    <w:rsid w:val="5FBF5D05"/>
    <w:rsid w:val="5FCC5339"/>
    <w:rsid w:val="5FDF6753"/>
    <w:rsid w:val="5FE34A5B"/>
    <w:rsid w:val="5FECC5E8"/>
    <w:rsid w:val="5FF3B866"/>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5A36D1"/>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5FF9F95"/>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CFA097"/>
    <w:rsid w:val="6ADE0BD1"/>
    <w:rsid w:val="6AE96859"/>
    <w:rsid w:val="6AFC6C90"/>
    <w:rsid w:val="6AFF5CBC"/>
    <w:rsid w:val="6B0A0C0B"/>
    <w:rsid w:val="6B147746"/>
    <w:rsid w:val="6B24787C"/>
    <w:rsid w:val="6B573233"/>
    <w:rsid w:val="6B5B6274"/>
    <w:rsid w:val="6B935D53"/>
    <w:rsid w:val="6BA75562"/>
    <w:rsid w:val="6BB86BC8"/>
    <w:rsid w:val="6BD3E6B7"/>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F43C2E"/>
    <w:rsid w:val="6DF51CA3"/>
    <w:rsid w:val="6E2600AE"/>
    <w:rsid w:val="6E364F94"/>
    <w:rsid w:val="6E3B1170"/>
    <w:rsid w:val="6E8335BD"/>
    <w:rsid w:val="6E8E12EF"/>
    <w:rsid w:val="6E972936"/>
    <w:rsid w:val="6ECE2AFB"/>
    <w:rsid w:val="6ED446C5"/>
    <w:rsid w:val="6EE71F84"/>
    <w:rsid w:val="6EEF6A26"/>
    <w:rsid w:val="6EFF78DB"/>
    <w:rsid w:val="6F272131"/>
    <w:rsid w:val="6F2A7D94"/>
    <w:rsid w:val="6F387FC9"/>
    <w:rsid w:val="6F3947D7"/>
    <w:rsid w:val="6F78316E"/>
    <w:rsid w:val="6F7B2B20"/>
    <w:rsid w:val="6F8331F1"/>
    <w:rsid w:val="6F9A118C"/>
    <w:rsid w:val="6FAE1A09"/>
    <w:rsid w:val="6FD75BF8"/>
    <w:rsid w:val="6FDC0ED4"/>
    <w:rsid w:val="6FEF0EBB"/>
    <w:rsid w:val="6FF33BE4"/>
    <w:rsid w:val="6FF429C1"/>
    <w:rsid w:val="70197FB8"/>
    <w:rsid w:val="7064131C"/>
    <w:rsid w:val="707723D0"/>
    <w:rsid w:val="7084648B"/>
    <w:rsid w:val="70B94DAA"/>
    <w:rsid w:val="70D238B5"/>
    <w:rsid w:val="70F5661B"/>
    <w:rsid w:val="71360107"/>
    <w:rsid w:val="713B688E"/>
    <w:rsid w:val="714C487F"/>
    <w:rsid w:val="715C2428"/>
    <w:rsid w:val="715D645E"/>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911F99"/>
    <w:rsid w:val="73981CBB"/>
    <w:rsid w:val="739A7D73"/>
    <w:rsid w:val="73C0646E"/>
    <w:rsid w:val="73E50FF7"/>
    <w:rsid w:val="73FD4BD1"/>
    <w:rsid w:val="742222F5"/>
    <w:rsid w:val="74476126"/>
    <w:rsid w:val="74511C71"/>
    <w:rsid w:val="74706664"/>
    <w:rsid w:val="747F3682"/>
    <w:rsid w:val="748D684E"/>
    <w:rsid w:val="749C4185"/>
    <w:rsid w:val="74D42214"/>
    <w:rsid w:val="74D9D11F"/>
    <w:rsid w:val="75067759"/>
    <w:rsid w:val="751A79C7"/>
    <w:rsid w:val="75267B11"/>
    <w:rsid w:val="752D2605"/>
    <w:rsid w:val="752E6DCD"/>
    <w:rsid w:val="7551380D"/>
    <w:rsid w:val="75600BE5"/>
    <w:rsid w:val="7564475C"/>
    <w:rsid w:val="7583797F"/>
    <w:rsid w:val="759E1500"/>
    <w:rsid w:val="75D20F1D"/>
    <w:rsid w:val="75DA2C18"/>
    <w:rsid w:val="75F54412"/>
    <w:rsid w:val="75FD32C3"/>
    <w:rsid w:val="761D08E0"/>
    <w:rsid w:val="765D347C"/>
    <w:rsid w:val="765F2DDD"/>
    <w:rsid w:val="766FB305"/>
    <w:rsid w:val="76826699"/>
    <w:rsid w:val="76B441CE"/>
    <w:rsid w:val="76BA5DFE"/>
    <w:rsid w:val="76C87133"/>
    <w:rsid w:val="76CD08D5"/>
    <w:rsid w:val="76DB4B92"/>
    <w:rsid w:val="76E36CB4"/>
    <w:rsid w:val="76E539FB"/>
    <w:rsid w:val="77052AA4"/>
    <w:rsid w:val="77136511"/>
    <w:rsid w:val="77323074"/>
    <w:rsid w:val="77340A39"/>
    <w:rsid w:val="77351FD0"/>
    <w:rsid w:val="77472422"/>
    <w:rsid w:val="7776ED82"/>
    <w:rsid w:val="777B3E31"/>
    <w:rsid w:val="777F31F2"/>
    <w:rsid w:val="779FFF1D"/>
    <w:rsid w:val="77AB7BDA"/>
    <w:rsid w:val="77AF51A3"/>
    <w:rsid w:val="77C70422"/>
    <w:rsid w:val="77D1700D"/>
    <w:rsid w:val="77D714EA"/>
    <w:rsid w:val="77EC04CC"/>
    <w:rsid w:val="77EF8492"/>
    <w:rsid w:val="77FED2E6"/>
    <w:rsid w:val="77FF4981"/>
    <w:rsid w:val="78024D8C"/>
    <w:rsid w:val="7852068B"/>
    <w:rsid w:val="78775729"/>
    <w:rsid w:val="78A42DB0"/>
    <w:rsid w:val="78A656AB"/>
    <w:rsid w:val="78B2245C"/>
    <w:rsid w:val="78D57DF2"/>
    <w:rsid w:val="78E172CC"/>
    <w:rsid w:val="78EA1D1F"/>
    <w:rsid w:val="7904172F"/>
    <w:rsid w:val="790F7E27"/>
    <w:rsid w:val="792312B5"/>
    <w:rsid w:val="792A231A"/>
    <w:rsid w:val="79316829"/>
    <w:rsid w:val="7933D106"/>
    <w:rsid w:val="794E7636"/>
    <w:rsid w:val="7967694A"/>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502316"/>
    <w:rsid w:val="7B5A2978"/>
    <w:rsid w:val="7B5A7E4C"/>
    <w:rsid w:val="7B667AF9"/>
    <w:rsid w:val="7B7468F8"/>
    <w:rsid w:val="7B7B66DC"/>
    <w:rsid w:val="7BEE0103"/>
    <w:rsid w:val="7C0A0FE4"/>
    <w:rsid w:val="7C254906"/>
    <w:rsid w:val="7C490589"/>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DFF22DC"/>
    <w:rsid w:val="7E1E5218"/>
    <w:rsid w:val="7E7B7F57"/>
    <w:rsid w:val="7E7D39B3"/>
    <w:rsid w:val="7E9A4E1F"/>
    <w:rsid w:val="7EA7723A"/>
    <w:rsid w:val="7EB6A736"/>
    <w:rsid w:val="7EF56FBB"/>
    <w:rsid w:val="7F0768EB"/>
    <w:rsid w:val="7F0A3A81"/>
    <w:rsid w:val="7F143BEC"/>
    <w:rsid w:val="7F401C7A"/>
    <w:rsid w:val="7F4852A5"/>
    <w:rsid w:val="7F5B0127"/>
    <w:rsid w:val="7F715AF2"/>
    <w:rsid w:val="7F7A15FD"/>
    <w:rsid w:val="7F7BD085"/>
    <w:rsid w:val="7F7BFEE8"/>
    <w:rsid w:val="7F7E7357"/>
    <w:rsid w:val="7F886E69"/>
    <w:rsid w:val="7F8BD963"/>
    <w:rsid w:val="7FBA2CB8"/>
    <w:rsid w:val="7FBC02CC"/>
    <w:rsid w:val="7FDFC57A"/>
    <w:rsid w:val="7FDFCB7D"/>
    <w:rsid w:val="7FEBD86B"/>
    <w:rsid w:val="7FFB3849"/>
    <w:rsid w:val="7FFFD7C9"/>
    <w:rsid w:val="867B0298"/>
    <w:rsid w:val="9BDEDDD4"/>
    <w:rsid w:val="9FFFB75C"/>
    <w:rsid w:val="A7FF59E2"/>
    <w:rsid w:val="ADDF16DE"/>
    <w:rsid w:val="AEAB1001"/>
    <w:rsid w:val="B3FE62E2"/>
    <w:rsid w:val="B5CFB5E6"/>
    <w:rsid w:val="B8FE79B0"/>
    <w:rsid w:val="B9FDAA30"/>
    <w:rsid w:val="BA7B23C6"/>
    <w:rsid w:val="BB5EB984"/>
    <w:rsid w:val="BB6DDE3F"/>
    <w:rsid w:val="BB7FA927"/>
    <w:rsid w:val="BBEFC4B1"/>
    <w:rsid w:val="BE265FE7"/>
    <w:rsid w:val="BEE36D67"/>
    <w:rsid w:val="BEFFC298"/>
    <w:rsid w:val="BF5B0BDB"/>
    <w:rsid w:val="BFB66CB9"/>
    <w:rsid w:val="BFBEA269"/>
    <w:rsid w:val="BFEF8731"/>
    <w:rsid w:val="BFFD5B16"/>
    <w:rsid w:val="BFFDF825"/>
    <w:rsid w:val="BFFE5014"/>
    <w:rsid w:val="C673C6F5"/>
    <w:rsid w:val="CEBD70AF"/>
    <w:rsid w:val="CF6BB66F"/>
    <w:rsid w:val="CFF73AB9"/>
    <w:rsid w:val="CFF89046"/>
    <w:rsid w:val="D5FFBB08"/>
    <w:rsid w:val="D77BC955"/>
    <w:rsid w:val="D7FD2377"/>
    <w:rsid w:val="D7FF923E"/>
    <w:rsid w:val="D937D039"/>
    <w:rsid w:val="DA63B1BB"/>
    <w:rsid w:val="DDF7D0EB"/>
    <w:rsid w:val="DEFB75AC"/>
    <w:rsid w:val="DFED198E"/>
    <w:rsid w:val="E5FEB2F8"/>
    <w:rsid w:val="E9DFDBD2"/>
    <w:rsid w:val="EAFD4970"/>
    <w:rsid w:val="ECEB7DC2"/>
    <w:rsid w:val="ED5793B3"/>
    <w:rsid w:val="ED7F3F49"/>
    <w:rsid w:val="EE7782E1"/>
    <w:rsid w:val="EEFFE57D"/>
    <w:rsid w:val="EEFFF359"/>
    <w:rsid w:val="EF44AA8E"/>
    <w:rsid w:val="EFBCDF51"/>
    <w:rsid w:val="F1BA2298"/>
    <w:rsid w:val="F36DEEFB"/>
    <w:rsid w:val="F5FFD31F"/>
    <w:rsid w:val="F6BFD523"/>
    <w:rsid w:val="F6F7FAE2"/>
    <w:rsid w:val="F79FD3AB"/>
    <w:rsid w:val="F7AEF95B"/>
    <w:rsid w:val="F7F8CEFD"/>
    <w:rsid w:val="F7FD05D8"/>
    <w:rsid w:val="F8BFD1FC"/>
    <w:rsid w:val="F8F7C015"/>
    <w:rsid w:val="F9CF1D44"/>
    <w:rsid w:val="FB798C9C"/>
    <w:rsid w:val="FBE63981"/>
    <w:rsid w:val="FD79BA57"/>
    <w:rsid w:val="FDDF1E79"/>
    <w:rsid w:val="FE1C93A6"/>
    <w:rsid w:val="FE23631B"/>
    <w:rsid w:val="FE6F1858"/>
    <w:rsid w:val="FED96D4D"/>
    <w:rsid w:val="FEDF6303"/>
    <w:rsid w:val="FEEE2641"/>
    <w:rsid w:val="FF772D98"/>
    <w:rsid w:val="FF7B2D82"/>
    <w:rsid w:val="FF7FB38E"/>
    <w:rsid w:val="FF9D4539"/>
    <w:rsid w:val="FF9E1D47"/>
    <w:rsid w:val="FFBF4C05"/>
    <w:rsid w:val="FFC752FF"/>
    <w:rsid w:val="FFDBFC86"/>
    <w:rsid w:val="FFDEEE6D"/>
    <w:rsid w:val="FFDF9109"/>
    <w:rsid w:val="FFE5F056"/>
    <w:rsid w:val="FFEFEC73"/>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7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7"/>
    <w:qFormat/>
    <w:uiPriority w:val="0"/>
    <w:rPr>
      <w:b/>
      <w:bCs/>
    </w:rPr>
  </w:style>
  <w:style w:type="paragraph" w:styleId="12">
    <w:name w:val="annotation text"/>
    <w:basedOn w:val="1"/>
    <w:link w:val="345"/>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2"/>
    <w:qFormat/>
    <w:uiPriority w:val="0"/>
    <w:pPr>
      <w:ind w:firstLine="420"/>
    </w:pPr>
    <w:rPr>
      <w:rFonts w:hAnsi="Calibri" w:cs="Times New Roman"/>
      <w:snapToGrid/>
      <w:szCs w:val="20"/>
    </w:rPr>
  </w:style>
  <w:style w:type="paragraph" w:styleId="15">
    <w:name w:val="Body Text"/>
    <w:basedOn w:val="1"/>
    <w:next w:val="14"/>
    <w:link w:val="431"/>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6"/>
    <w:qFormat/>
    <w:uiPriority w:val="0"/>
    <w:pPr>
      <w:spacing w:line="480" w:lineRule="exact"/>
      <w:ind w:firstLine="480" w:firstLineChars="200"/>
    </w:pPr>
    <w:rPr>
      <w:rFonts w:ascii="宋体" w:hAnsi="宋体"/>
      <w:sz w:val="24"/>
    </w:rPr>
  </w:style>
  <w:style w:type="paragraph" w:styleId="28">
    <w:name w:val="Body Text First Indent 2"/>
    <w:basedOn w:val="27"/>
    <w:link w:val="122"/>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envelope return"/>
    <w:basedOn w:val="1"/>
    <w:unhideWhenUsed/>
    <w:qFormat/>
    <w:uiPriority w:val="0"/>
    <w:pPr>
      <w:snapToGrid w:val="0"/>
    </w:pPr>
    <w:rPr>
      <w:rFonts w:ascii="Arial" w:hAnsi="Arial"/>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TML Definition"/>
    <w:basedOn w:val="63"/>
    <w:qFormat/>
    <w:uiPriority w:val="0"/>
    <w:rPr>
      <w:i/>
      <w:iCs/>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Keyboard"/>
    <w:basedOn w:val="63"/>
    <w:qFormat/>
    <w:uiPriority w:val="0"/>
    <w:rPr>
      <w:rFonts w:ascii="Segoe UI" w:hAnsi="Segoe UI" w:eastAsia="Segoe UI" w:cs="Segoe UI"/>
      <w:sz w:val="21"/>
      <w:szCs w:val="21"/>
    </w:rPr>
  </w:style>
  <w:style w:type="character" w:styleId="75">
    <w:name w:val="HTML Sample"/>
    <w:basedOn w:val="63"/>
    <w:qFormat/>
    <w:uiPriority w:val="0"/>
    <w:rPr>
      <w:rFonts w:hint="default" w:ascii="Segoe UI" w:hAnsi="Segoe UI" w:eastAsia="Segoe UI" w:cs="Segoe UI"/>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1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28"/>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9"/>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basedOn w:val="63"/>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1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2"/>
    <w:qFormat/>
    <w:uiPriority w:val="0"/>
    <w:rPr>
      <w:kern w:val="2"/>
      <w:sz w:val="21"/>
      <w:szCs w:val="24"/>
    </w:rPr>
  </w:style>
  <w:style w:type="character" w:customStyle="1" w:styleId="346">
    <w:name w:val="签名 字符"/>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15"/>
    <w:qFormat/>
    <w:uiPriority w:val="0"/>
    <w:rPr>
      <w:rFonts w:ascii="宋体" w:hAnsi="Arial" w:eastAsia="宋体" w:cs="Arial"/>
      <w:snapToGrid w:val="0"/>
      <w:kern w:val="2"/>
      <w:sz w:val="24"/>
      <w:szCs w:val="21"/>
      <w:lang w:val="zh-CN" w:eastAsia="zh-CN" w:bidi="ar-SA"/>
    </w:rPr>
  </w:style>
  <w:style w:type="character" w:customStyle="1" w:styleId="432">
    <w:name w:val="gray6"/>
    <w:basedOn w:val="63"/>
    <w:qFormat/>
    <w:uiPriority w:val="0"/>
    <w:rPr>
      <w:rFonts w:ascii="Arial" w:hAnsi="Arial" w:eastAsia="黑体" w:cs="Arial"/>
      <w:snapToGrid w:val="0"/>
      <w:kern w:val="0"/>
      <w:szCs w:val="21"/>
    </w:rPr>
  </w:style>
  <w:style w:type="character" w:customStyle="1" w:styleId="433">
    <w:name w:val="hui"/>
    <w:basedOn w:val="6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6">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7">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_Style 468"/>
    <w:basedOn w:val="1"/>
    <w:next w:val="259"/>
    <w:qFormat/>
    <w:uiPriority w:val="99"/>
    <w:pPr>
      <w:spacing w:line="360" w:lineRule="auto"/>
      <w:ind w:firstLine="200" w:firstLineChars="200"/>
    </w:pPr>
    <w:rPr>
      <w:rFonts w:ascii="宋体" w:hAnsi="宋体"/>
      <w:kern w:val="0"/>
      <w:sz w:val="20"/>
    </w:rPr>
  </w:style>
  <w:style w:type="character" w:customStyle="1" w:styleId="966">
    <w:name w:val="ca-1"/>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 w:type="character" w:customStyle="1" w:styleId="968">
    <w:name w:val="10"/>
    <w:basedOn w:val="63"/>
    <w:qFormat/>
    <w:uiPriority w:val="0"/>
    <w:rPr>
      <w:rFonts w:hint="default" w:ascii="Calibri" w:hAnsi="Calibri" w:cs="Calibri"/>
    </w:rPr>
  </w:style>
  <w:style w:type="paragraph" w:styleId="969">
    <w:name w:val="List Paragraph"/>
    <w:basedOn w:val="1"/>
    <w:qFormat/>
    <w:uiPriority w:val="99"/>
    <w:pPr>
      <w:ind w:firstLine="420" w:firstLineChars="200"/>
    </w:pPr>
  </w:style>
  <w:style w:type="paragraph" w:customStyle="1" w:styleId="970">
    <w:name w:val="Heading5"/>
    <w:basedOn w:val="1"/>
    <w:next w:val="1"/>
    <w:qFormat/>
    <w:uiPriority w:val="0"/>
    <w:pPr>
      <w:keepNext/>
      <w:keepLines/>
      <w:spacing w:after="120"/>
      <w:textAlignment w:val="baseline"/>
    </w:pPr>
    <w:rPr>
      <w:rFonts w:eastAsia="微软雅黑"/>
      <w:b/>
      <w:bCs/>
    </w:rPr>
  </w:style>
  <w:style w:type="character" w:customStyle="1" w:styleId="971">
    <w:name w:val="hour_pm"/>
    <w:basedOn w:val="63"/>
    <w:qFormat/>
    <w:uiPriority w:val="0"/>
  </w:style>
  <w:style w:type="character" w:customStyle="1" w:styleId="972">
    <w:name w:val="hover9"/>
    <w:basedOn w:val="63"/>
    <w:qFormat/>
    <w:uiPriority w:val="0"/>
    <w:rPr>
      <w:shd w:val="clear" w:color="auto" w:fill="EEEEEE"/>
    </w:rPr>
  </w:style>
  <w:style w:type="character" w:customStyle="1" w:styleId="973">
    <w:name w:val="old"/>
    <w:basedOn w:val="63"/>
    <w:qFormat/>
    <w:uiPriority w:val="0"/>
    <w:rPr>
      <w:color w:val="999999"/>
    </w:rPr>
  </w:style>
  <w:style w:type="character" w:customStyle="1" w:styleId="974">
    <w:name w:val="hour_am"/>
    <w:basedOn w:val="63"/>
    <w:qFormat/>
    <w:uiPriority w:val="0"/>
  </w:style>
  <w:style w:type="character" w:customStyle="1" w:styleId="975">
    <w:name w:val="hover"/>
    <w:basedOn w:val="63"/>
    <w:qFormat/>
    <w:uiPriority w:val="0"/>
    <w:rPr>
      <w:shd w:val="clear" w:color="auto" w:fill="EEEEEE"/>
    </w:rPr>
  </w:style>
  <w:style w:type="paragraph" w:customStyle="1" w:styleId="976">
    <w:name w:val="Heading #3|1"/>
    <w:basedOn w:val="1"/>
    <w:qFormat/>
    <w:uiPriority w:val="0"/>
    <w:pPr>
      <w:spacing w:after="480" w:line="566" w:lineRule="exact"/>
      <w:ind w:firstLine="280"/>
      <w:jc w:val="left"/>
      <w:outlineLvl w:val="2"/>
    </w:pPr>
    <w:rPr>
      <w:rFonts w:ascii="宋体" w:hAnsi="宋体" w:cs="宋体"/>
      <w:sz w:val="28"/>
      <w:szCs w:val="28"/>
      <w:lang w:val="zh-CN" w:bidi="zh-CN"/>
    </w:rPr>
  </w:style>
  <w:style w:type="table" w:customStyle="1" w:styleId="977">
    <w:name w:val="网格表 4 - 着色 11"/>
    <w:basedOn w:val="76"/>
    <w:qFormat/>
    <w:uiPriority w:val="49"/>
    <w:rPr>
      <w:rFonts w:ascii="Times New Roman" w:hAnsi="Times New Roman" w:eastAsia="宋体" w:cs="Times New Roman"/>
    </w:rPr>
    <w:tblPr>
      <w:tblBorders>
        <w:top w:val="single" w:color="DDD9C4" w:themeColor="background2" w:themeShade="E6" w:sz="4" w:space="0"/>
        <w:left w:val="single" w:color="DDD9C4" w:themeColor="background2" w:themeShade="E6" w:sz="4" w:space="0"/>
        <w:bottom w:val="single" w:color="DDD9C4" w:themeColor="background2" w:themeShade="E6" w:sz="4" w:space="0"/>
        <w:right w:val="single" w:color="DDD9C4" w:themeColor="background2" w:themeShade="E6" w:sz="4" w:space="0"/>
        <w:insideH w:val="single" w:color="DDD9C4" w:themeColor="background2" w:themeShade="E6" w:sz="4" w:space="0"/>
        <w:insideV w:val="single" w:color="DDD9C4" w:themeColor="background2" w:themeShade="E6"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110</Pages>
  <Words>57593</Words>
  <Characters>61056</Characters>
  <Lines>381</Lines>
  <Paragraphs>107</Paragraphs>
  <TotalTime>22</TotalTime>
  <ScaleCrop>false</ScaleCrop>
  <LinksUpToDate>false</LinksUpToDate>
  <CharactersWithSpaces>66575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2022-08-22T23:38:00Z</dcterms:created>
  <dc:creator>玥</dc:creator>
  <cp:lastModifiedBy>Lacia</cp:lastModifiedBy>
  <cp:lastPrinted>2023-06-02T08:48:00Z</cp:lastPrinted>
  <dcterms:modified xsi:type="dcterms:W3CDTF">2023-07-07T11:59:40Z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91DEA5CAB6884F6FB08360B4825299EF</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