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ascii="仿宋" w:hAnsi="仿宋" w:cs="仿宋_GB2312"/>
          <w:color w:val="auto"/>
          <w:sz w:val="48"/>
          <w:szCs w:val="48"/>
          <w:highlight w:val="none"/>
        </w:rPr>
      </w:pPr>
      <w:r>
        <w:rPr>
          <w:rFonts w:hint="eastAsia" w:ascii="仿宋" w:hAnsi="仿宋" w:eastAsia="仿宋" w:cs="仿宋_GB2312"/>
          <w:color w:val="auto"/>
          <w:sz w:val="48"/>
          <w:szCs w:val="48"/>
          <w:highlight w:val="none"/>
          <w:lang w:eastAsia="zh-CN"/>
        </w:rPr>
        <w:t>杭州市钱塘区教育局下属学校触控一体机采购</w:t>
      </w:r>
      <w:r>
        <w:rPr>
          <w:rFonts w:hint="eastAsia" w:ascii="仿宋" w:hAnsi="仿宋" w:eastAsia="仿宋" w:cs="仿宋_GB2312"/>
          <w:color w:val="auto"/>
          <w:sz w:val="48"/>
          <w:szCs w:val="48"/>
          <w:highlight w:val="none"/>
        </w:rPr>
        <w:t>项目</w:t>
      </w: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r>
        <w:rPr>
          <w:rFonts w:ascii="仿宋" w:hAnsi="仿宋" w:eastAsia="仿宋" w:cs="仿宋_GB2312"/>
          <w:b/>
          <w:color w:val="auto"/>
          <w:sz w:val="28"/>
          <w:szCs w:val="28"/>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p>
    <w:p>
      <w:pPr>
        <w:pStyle w:val="2"/>
        <w:rPr>
          <w:color w:val="auto"/>
          <w:highlight w:val="none"/>
        </w:rPr>
      </w:pP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QTCG-GK-2022-131</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rPr>
          <w:rFonts w:ascii="仿宋" w:hAnsi="仿宋" w:eastAsia="仿宋" w:cs="仿宋_GB2312"/>
          <w:color w:val="auto"/>
          <w:sz w:val="32"/>
          <w:szCs w:val="32"/>
          <w:highlight w:val="none"/>
        </w:rPr>
      </w:pPr>
    </w:p>
    <w:p>
      <w:pPr>
        <w:spacing w:line="36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杭州市钱塘区教育局</w:t>
      </w:r>
    </w:p>
    <w:p>
      <w:pPr>
        <w:spacing w:line="36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杭州市公共资源交易中心钱塘分中心</w:t>
      </w:r>
    </w:p>
    <w:p>
      <w:pPr>
        <w:spacing w:line="360" w:lineRule="auto"/>
        <w:jc w:val="center"/>
        <w:rPr>
          <w:rFonts w:ascii="仿宋" w:hAnsi="仿宋" w:eastAsia="仿宋" w:cs="仿宋_GB2312"/>
          <w:color w:val="auto"/>
          <w:sz w:val="24"/>
          <w:highlight w:val="none"/>
        </w:rPr>
      </w:pPr>
      <w:r>
        <w:rPr>
          <w:rFonts w:hint="eastAsia" w:ascii="仿宋" w:hAnsi="仿宋" w:eastAsia="仿宋" w:cs="仿宋"/>
          <w:color w:val="auto"/>
          <w:sz w:val="36"/>
          <w:szCs w:val="36"/>
          <w:highlight w:val="none"/>
        </w:rPr>
        <w:t>二〇二二年</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二</w:t>
      </w:r>
      <w:r>
        <w:rPr>
          <w:rFonts w:hint="eastAsia" w:ascii="仿宋" w:hAnsi="仿宋" w:eastAsia="仿宋" w:cs="仿宋"/>
          <w:color w:val="auto"/>
          <w:sz w:val="36"/>
          <w:szCs w:val="36"/>
          <w:highlight w:val="none"/>
        </w:rPr>
        <w:t>十</w:t>
      </w:r>
      <w:r>
        <w:rPr>
          <w:rFonts w:hint="eastAsia" w:ascii="仿宋" w:hAnsi="仿宋" w:eastAsia="仿宋" w:cs="仿宋"/>
          <w:color w:val="auto"/>
          <w:sz w:val="36"/>
          <w:szCs w:val="36"/>
          <w:highlight w:val="none"/>
          <w:lang w:val="en-US" w:eastAsia="zh-CN"/>
        </w:rPr>
        <w:t>四</w:t>
      </w:r>
      <w:r>
        <w:rPr>
          <w:rFonts w:hint="eastAsia" w:ascii="仿宋" w:hAnsi="仿宋" w:eastAsia="仿宋" w:cs="仿宋"/>
          <w:color w:val="auto"/>
          <w:sz w:val="36"/>
          <w:szCs w:val="36"/>
          <w:highlight w:val="none"/>
        </w:rPr>
        <w:t>日</w:t>
      </w: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杭州市钱塘区教育局下属学校触控一体机采购</w:t>
      </w:r>
      <w:r>
        <w:rPr>
          <w:rFonts w:hint="eastAsia" w:ascii="仿宋_GB2312" w:hAnsi="仿宋" w:eastAsia="仿宋_GB2312" w:cs="仿宋_GB2312"/>
          <w:color w:val="auto"/>
          <w:sz w:val="24"/>
          <w:highlight w:val="none"/>
          <w:u w:val="single"/>
        </w:rPr>
        <w:t>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bookmarkStart w:id="560" w:name="_GoBack"/>
      <w:bookmarkEnd w:id="560"/>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项目编号：</w:t>
      </w:r>
      <w:r>
        <w:rPr>
          <w:rFonts w:hint="eastAsia" w:ascii="仿宋_GB2312" w:hAnsi="仿宋" w:eastAsia="仿宋_GB2312"/>
          <w:color w:val="auto"/>
          <w:sz w:val="24"/>
          <w:highlight w:val="none"/>
          <w:lang w:eastAsia="zh-CN"/>
        </w:rPr>
        <w:t>QTCG-GK-2022-131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项目名称：</w:t>
      </w:r>
      <w:r>
        <w:rPr>
          <w:rFonts w:hint="eastAsia" w:ascii="仿宋_GB2312" w:hAnsi="仿宋" w:eastAsia="仿宋_GB2312"/>
          <w:color w:val="auto"/>
          <w:sz w:val="24"/>
          <w:highlight w:val="none"/>
          <w:lang w:eastAsia="zh-CN"/>
        </w:rPr>
        <w:t>杭州市钱塘区教育局下属学校触控一体机采购</w:t>
      </w:r>
      <w:r>
        <w:rPr>
          <w:rFonts w:hint="eastAsia" w:ascii="仿宋_GB2312" w:hAnsi="仿宋" w:eastAsia="仿宋_GB2312"/>
          <w:color w:val="auto"/>
          <w:sz w:val="24"/>
          <w:highlight w:val="none"/>
        </w:rPr>
        <w:t>项目</w:t>
      </w:r>
    </w:p>
    <w:p>
      <w:pPr>
        <w:spacing w:line="360" w:lineRule="auto"/>
        <w:rPr>
          <w:rFonts w:hint="eastAsia" w:ascii="仿宋_GB2312" w:hAnsi="仿宋" w:eastAsia="仿宋_GB2312"/>
          <w:bCs/>
          <w:color w:val="auto"/>
          <w:sz w:val="24"/>
          <w:highlight w:val="none"/>
        </w:rPr>
      </w:pPr>
      <w:r>
        <w:rPr>
          <w:rFonts w:ascii="仿宋_GB2312" w:hAnsi="仿宋" w:eastAsia="仿宋_GB2312"/>
          <w:color w:val="auto"/>
          <w:sz w:val="24"/>
          <w:highlight w:val="none"/>
        </w:rPr>
        <w:t xml:space="preserve">    预算金额（元）：</w:t>
      </w:r>
      <w:r>
        <w:rPr>
          <w:rFonts w:hint="eastAsia" w:ascii="仿宋_GB2312" w:hAnsi="仿宋" w:eastAsia="仿宋_GB2312"/>
          <w:bCs/>
          <w:color w:val="auto"/>
          <w:sz w:val="24"/>
          <w:highlight w:val="none"/>
          <w:lang w:val="en-US" w:eastAsia="zh-CN"/>
        </w:rPr>
        <w:t>5177500</w:t>
      </w:r>
      <w:r>
        <w:rPr>
          <w:rFonts w:hint="eastAsia" w:ascii="仿宋_GB2312" w:hAnsi="仿宋" w:eastAsia="仿宋_GB2312"/>
          <w:bCs/>
          <w:color w:val="auto"/>
          <w:sz w:val="24"/>
          <w:highlight w:val="none"/>
        </w:rPr>
        <w:t xml:space="preserve"> </w:t>
      </w:r>
    </w:p>
    <w:p>
      <w:pPr>
        <w:spacing w:line="360" w:lineRule="auto"/>
        <w:ind w:firstLine="480"/>
        <w:rPr>
          <w:rFonts w:ascii="仿宋_GB2312" w:hAnsi="仿宋" w:eastAsia="仿宋_GB2312"/>
          <w:bCs/>
          <w:color w:val="auto"/>
          <w:sz w:val="24"/>
          <w:highlight w:val="none"/>
        </w:rPr>
      </w:pPr>
      <w:r>
        <w:rPr>
          <w:rFonts w:hint="eastAsia" w:ascii="仿宋_GB2312" w:hAnsi="仿宋" w:eastAsia="仿宋_GB2312"/>
          <w:color w:val="auto"/>
          <w:sz w:val="24"/>
          <w:highlight w:val="none"/>
        </w:rPr>
        <w:t>最高限价（元）：</w:t>
      </w:r>
      <w:r>
        <w:rPr>
          <w:rFonts w:hint="eastAsia" w:ascii="仿宋_GB2312" w:hAnsi="仿宋" w:eastAsia="仿宋_GB2312"/>
          <w:bCs/>
          <w:color w:val="auto"/>
          <w:sz w:val="24"/>
          <w:highlight w:val="none"/>
          <w:lang w:val="en-US" w:eastAsia="zh-CN"/>
        </w:rPr>
        <w:t>5177500</w:t>
      </w:r>
      <w:r>
        <w:rPr>
          <w:rFonts w:hint="eastAsia" w:ascii="仿宋_GB2312" w:hAnsi="仿宋" w:eastAsia="仿宋_GB2312"/>
          <w:bCs/>
          <w:color w:val="auto"/>
          <w:sz w:val="24"/>
          <w:highlight w:val="none"/>
        </w:rPr>
        <w:t xml:space="preserve"> </w:t>
      </w:r>
    </w:p>
    <w:p>
      <w:pPr>
        <w:pStyle w:val="17"/>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采购需求：</w:t>
      </w:r>
    </w:p>
    <w:p>
      <w:pPr>
        <w:pStyle w:val="17"/>
        <w:spacing w:line="360" w:lineRule="auto"/>
        <w:ind w:firstLine="480"/>
        <w:rPr>
          <w:rFonts w:hint="eastAsia" w:ascii="仿宋_GB2312" w:hAnsi="仿宋" w:eastAsia="仿宋_GB2312"/>
          <w:bCs/>
          <w:color w:val="auto"/>
          <w:sz w:val="24"/>
          <w:highlight w:val="none"/>
          <w:lang w:eastAsia="zh-CN"/>
        </w:rPr>
      </w:pPr>
      <w:r>
        <w:rPr>
          <w:rFonts w:hint="eastAsia" w:ascii="仿宋_GB2312" w:hAnsi="仿宋" w:eastAsia="仿宋_GB2312"/>
          <w:bCs/>
          <w:color w:val="auto"/>
          <w:sz w:val="24"/>
          <w:highlight w:val="none"/>
        </w:rPr>
        <w:t>标项名称:</w:t>
      </w:r>
      <w:r>
        <w:rPr>
          <w:rFonts w:hint="eastAsia" w:ascii="仿宋_GB2312" w:hAnsi="仿宋" w:eastAsia="仿宋_GB2312"/>
          <w:color w:val="auto"/>
          <w:sz w:val="24"/>
          <w:highlight w:val="none"/>
          <w:lang w:eastAsia="zh-CN"/>
        </w:rPr>
        <w:t>杭州市钱塘区教育局下属学校触控一体机采购</w:t>
      </w:r>
    </w:p>
    <w:p>
      <w:pPr>
        <w:pStyle w:val="17"/>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Cs/>
          <w:snapToGrid/>
          <w:color w:val="auto"/>
          <w:kern w:val="2"/>
          <w:sz w:val="24"/>
          <w:szCs w:val="24"/>
          <w:highlight w:val="none"/>
        </w:rPr>
        <w:t>数量:不限</w:t>
      </w:r>
    </w:p>
    <w:p>
      <w:pPr>
        <w:pStyle w:val="17"/>
        <w:spacing w:line="360" w:lineRule="auto"/>
        <w:ind w:firstLine="480"/>
        <w:rPr>
          <w:rFonts w:ascii="仿宋_GB2312" w:hAnsi="仿宋" w:eastAsia="仿宋_GB2312"/>
          <w:b/>
          <w:snapToGrid/>
          <w:color w:val="auto"/>
          <w:kern w:val="2"/>
          <w:sz w:val="24"/>
          <w:szCs w:val="24"/>
          <w:highlight w:val="none"/>
        </w:rPr>
      </w:pPr>
      <w:r>
        <w:rPr>
          <w:rFonts w:hint="eastAsia" w:ascii="仿宋_GB2312" w:hAnsi="仿宋" w:eastAsia="仿宋_GB2312"/>
          <w:bCs/>
          <w:snapToGrid/>
          <w:color w:val="auto"/>
          <w:kern w:val="2"/>
          <w:sz w:val="24"/>
          <w:szCs w:val="24"/>
          <w:highlight w:val="none"/>
        </w:rPr>
        <w:t>预算金额（元）</w:t>
      </w:r>
      <w:r>
        <w:rPr>
          <w:rFonts w:hint="eastAsia" w:ascii="仿宋_GB2312" w:hAnsi="仿宋" w:eastAsia="仿宋_GB2312"/>
          <w:b/>
          <w:snapToGrid/>
          <w:color w:val="auto"/>
          <w:kern w:val="2"/>
          <w:sz w:val="24"/>
          <w:szCs w:val="24"/>
          <w:highlight w:val="none"/>
        </w:rPr>
        <w:t>:</w:t>
      </w:r>
      <w:r>
        <w:rPr>
          <w:rFonts w:hint="eastAsia" w:ascii="仿宋_GB2312" w:hAnsi="仿宋" w:eastAsia="仿宋_GB2312"/>
          <w:bCs/>
          <w:color w:val="auto"/>
          <w:sz w:val="24"/>
          <w:highlight w:val="none"/>
          <w:lang w:val="en-US" w:eastAsia="zh-CN"/>
        </w:rPr>
        <w:t>5177500</w:t>
      </w:r>
      <w:r>
        <w:rPr>
          <w:rFonts w:hint="eastAsia" w:ascii="仿宋_GB2312" w:hAnsi="仿宋" w:eastAsia="仿宋_GB2312"/>
          <w:bCs/>
          <w:color w:val="auto"/>
          <w:sz w:val="24"/>
          <w:highlight w:val="none"/>
        </w:rPr>
        <w:t xml:space="preserve"> </w:t>
      </w:r>
    </w:p>
    <w:p>
      <w:pPr>
        <w:pStyle w:val="17"/>
        <w:spacing w:line="360" w:lineRule="auto"/>
        <w:ind w:firstLine="480"/>
        <w:rPr>
          <w:rFonts w:ascii="仿宋_GB2312" w:hAnsi="仿宋" w:eastAsia="仿宋_GB2312"/>
          <w:bCs/>
          <w:color w:val="auto"/>
          <w:sz w:val="24"/>
          <w:highlight w:val="none"/>
        </w:rPr>
      </w:pPr>
      <w:r>
        <w:rPr>
          <w:rFonts w:hint="eastAsia" w:ascii="仿宋_GB2312" w:hAnsi="仿宋" w:eastAsia="仿宋_GB2312"/>
          <w:color w:val="auto"/>
          <w:sz w:val="24"/>
          <w:szCs w:val="24"/>
          <w:highlight w:val="none"/>
        </w:rPr>
        <w:t>简要规格描述或项目基本概况介绍、用途：</w:t>
      </w:r>
      <w:r>
        <w:rPr>
          <w:rFonts w:hint="eastAsia" w:ascii="仿宋_GB2312" w:hAnsi="仿宋" w:eastAsia="仿宋_GB2312"/>
          <w:bCs/>
          <w:snapToGrid/>
          <w:color w:val="auto"/>
          <w:kern w:val="2"/>
          <w:sz w:val="24"/>
          <w:szCs w:val="24"/>
          <w:highlight w:val="none"/>
        </w:rPr>
        <w:t>主要内容：</w:t>
      </w:r>
      <w:r>
        <w:rPr>
          <w:rFonts w:hint="eastAsia" w:ascii="仿宋_GB2312" w:hAnsi="仿宋" w:eastAsia="仿宋_GB2312"/>
          <w:bCs/>
          <w:snapToGrid/>
          <w:color w:val="auto"/>
          <w:kern w:val="2"/>
          <w:sz w:val="24"/>
          <w:szCs w:val="24"/>
          <w:highlight w:val="none"/>
        </w:rPr>
        <w:t>包括杭州钱塘区</w:t>
      </w:r>
      <w:r>
        <w:rPr>
          <w:rFonts w:hint="eastAsia" w:ascii="仿宋_GB2312" w:hAnsi="仿宋" w:eastAsia="仿宋_GB2312"/>
          <w:bCs/>
          <w:snapToGrid/>
          <w:color w:val="auto"/>
          <w:kern w:val="2"/>
          <w:sz w:val="24"/>
          <w:szCs w:val="24"/>
          <w:highlight w:val="none"/>
          <w:lang w:eastAsia="zh-Hans"/>
        </w:rPr>
        <w:t>教育局下属学校</w:t>
      </w:r>
      <w:r>
        <w:rPr>
          <w:rFonts w:hint="eastAsia" w:ascii="仿宋_GB2312" w:hAnsi="仿宋" w:eastAsia="仿宋_GB2312"/>
          <w:bCs/>
          <w:snapToGrid/>
          <w:color w:val="auto"/>
          <w:kern w:val="2"/>
          <w:sz w:val="24"/>
          <w:szCs w:val="24"/>
          <w:highlight w:val="none"/>
        </w:rPr>
        <w:t>交互智能平板、智慧黑板、学生综合素质管理系统、校园设备运维系统、教学教研系统及配套设备，其中包含货物供货、旧设备拆除、安装调试、货物验收、培训、质保期内的售后服务等，详见招标文件第三部分采购需求。</w:t>
      </w:r>
    </w:p>
    <w:p>
      <w:pPr>
        <w:pStyle w:val="128"/>
        <w:spacing w:before="0"/>
        <w:ind w:firstLine="480"/>
        <w:outlineLvl w:val="2"/>
        <w:rPr>
          <w:rFonts w:ascii="仿宋_GB2312" w:hAnsi="仿宋" w:eastAsia="仿宋_GB2312"/>
          <w:color w:val="auto"/>
          <w:highlight w:val="none"/>
        </w:rPr>
      </w:pPr>
      <w:r>
        <w:rPr>
          <w:rFonts w:hint="eastAsia" w:ascii="仿宋_GB2312" w:hAnsi="仿宋" w:eastAsia="仿宋_GB2312"/>
          <w:color w:val="auto"/>
          <w:highlight w:val="none"/>
        </w:rPr>
        <w:t>合同履约期限：</w:t>
      </w:r>
      <w:r>
        <w:rPr>
          <w:rFonts w:hint="eastAsia" w:ascii="仿宋_GB2312" w:hAnsi="仿宋" w:eastAsia="仿宋_GB2312"/>
          <w:color w:val="auto"/>
          <w:highlight w:val="none"/>
        </w:rPr>
        <w:t>合同签订后</w:t>
      </w:r>
      <w:r>
        <w:rPr>
          <w:rFonts w:hint="eastAsia" w:ascii="仿宋_GB2312" w:hAnsi="仿宋" w:eastAsia="仿宋_GB2312"/>
          <w:color w:val="auto"/>
          <w:highlight w:val="none"/>
          <w:u w:val="single"/>
          <w:lang w:val="en-US" w:eastAsia="zh-CN"/>
        </w:rPr>
        <w:t>40</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rPr>
        <w:t>个日历天完成供货、安装、调试工作。</w:t>
      </w:r>
    </w:p>
    <w:p>
      <w:pPr>
        <w:pStyle w:val="17"/>
        <w:spacing w:line="360" w:lineRule="auto"/>
        <w:ind w:firstLine="480"/>
        <w:rPr>
          <w:rFonts w:ascii="仿宋_GB2312" w:hAnsi="仿宋" w:eastAsia="仿宋_GB2312"/>
          <w:b/>
          <w:color w:val="auto"/>
          <w:sz w:val="24"/>
          <w:highlight w:val="none"/>
        </w:rPr>
      </w:pPr>
      <w:r>
        <w:rPr>
          <w:rFonts w:hint="eastAsia" w:ascii="仿宋_GB2312" w:hAnsi="仿宋" w:eastAsia="仿宋_GB2312"/>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是，</w:t>
      </w:r>
      <w:sdt>
        <w:sdtPr>
          <w:rPr>
            <w:rFonts w:hint="eastAsia" w:ascii="仿宋_GB2312" w:hAnsi="仿宋" w:eastAsia="仿宋_GB2312" w:cs="Arial"/>
            <w:color w:val="auto"/>
            <w:kern w:val="0"/>
            <w:sz w:val="24"/>
            <w:highlight w:val="none"/>
          </w:rPr>
          <w:id w:val="2"/>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rPr>
        <w:t>无；</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14</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投标文件的解密：投标人按照平台提示和招标文件的规定在半小时内完成在线解密。通过“政府采购云平台”上传递交的投标文件无法按时解密，则视为投标文件撤回。⑩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杭州市钱塘区教育局</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杭州市钱塘区迎康路28号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 w:hAnsi="仿宋" w:eastAsia="仿宋"/>
          <w:color w:val="auto"/>
          <w:sz w:val="24"/>
          <w:highlight w:val="none"/>
        </w:rPr>
        <w:t>陶老师</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项目联系方式（询问）：0571-82987598</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w:t>
      </w:r>
      <w:r>
        <w:rPr>
          <w:rFonts w:hint="eastAsia" w:ascii="仿宋" w:hAnsi="仿宋" w:eastAsia="仿宋"/>
          <w:color w:val="auto"/>
          <w:sz w:val="24"/>
          <w:highlight w:val="none"/>
        </w:rPr>
        <w:t>傅老师</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质疑联系方式：0571-82987597</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称：杭州市公共资源交易中心钱塘分中心</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w:t>
      </w:r>
      <w:r>
        <w:rPr>
          <w:rFonts w:hint="eastAsia" w:ascii="仿宋" w:hAnsi="仿宋" w:eastAsia="仿宋"/>
          <w:color w:val="auto"/>
          <w:sz w:val="24"/>
          <w:highlight w:val="none"/>
        </w:rPr>
        <w:t>钱塘区幸福南路1116号</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0571-8298799</w:t>
      </w: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陈工</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0571-82987992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熊工</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0571-82987976</w:t>
      </w:r>
      <w:r>
        <w:rPr>
          <w:rFonts w:hint="eastAsia" w:ascii="仿宋" w:hAnsi="仿宋" w:eastAsia="仿宋"/>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3.同级政府采购监督管理部门            </w:t>
      </w:r>
    </w:p>
    <w:p>
      <w:pPr>
        <w:spacing w:line="360" w:lineRule="auto"/>
        <w:ind w:left="479" w:leftChars="228"/>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名 称：杭州市钱塘区财政局 </w:t>
      </w:r>
    </w:p>
    <w:p>
      <w:pPr>
        <w:spacing w:line="360" w:lineRule="auto"/>
        <w:ind w:left="479" w:leftChars="228"/>
        <w:rPr>
          <w:rFonts w:ascii="仿宋_GB2312" w:hAnsi="仿宋" w:eastAsia="仿宋_GB2312"/>
          <w:color w:val="auto"/>
          <w:sz w:val="24"/>
          <w:highlight w:val="none"/>
        </w:rPr>
      </w:pPr>
      <w:r>
        <w:rPr>
          <w:rFonts w:hint="eastAsia" w:ascii="仿宋_GB2312" w:hAnsi="仿宋" w:eastAsia="仿宋_GB2312"/>
          <w:color w:val="auto"/>
          <w:sz w:val="24"/>
          <w:highlight w:val="none"/>
        </w:rPr>
        <w:t>地 址：杭州市钱塘区青六北路499号钱塘中心5号楼</w:t>
      </w:r>
    </w:p>
    <w:p>
      <w:pPr>
        <w:spacing w:line="360" w:lineRule="auto"/>
        <w:ind w:left="479" w:leftChars="228"/>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传 真：0571-82988295 </w:t>
      </w:r>
    </w:p>
    <w:p>
      <w:pPr>
        <w:spacing w:line="360" w:lineRule="auto"/>
        <w:ind w:left="479" w:leftChars="228"/>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联系人 ：任女士 </w:t>
      </w:r>
    </w:p>
    <w:p>
      <w:pPr>
        <w:spacing w:line="360" w:lineRule="auto"/>
        <w:ind w:left="479" w:leftChars="228"/>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监督投诉电话：0571-82987260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tbl>
      <w:tblPr>
        <w:tblStyle w:val="62"/>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lang w:val="zh-CN"/>
              </w:rPr>
              <w:t>投标报价明细表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 w:hAnsi="仿宋" w:eastAsia="仿宋" w:cs="仿宋"/>
                <w:b/>
                <w:bCs/>
                <w:color w:val="auto"/>
                <w:szCs w:val="21"/>
                <w:highlight w:val="none"/>
              </w:rPr>
              <w:t>▲</w:t>
            </w:r>
            <w:r>
              <w:rPr>
                <w:rFonts w:hint="eastAsia" w:ascii="仿宋_GB2312" w:hAnsi="仿宋" w:eastAsia="仿宋_GB2312" w:cs="仿宋_GB2312"/>
                <w:b/>
                <w:color w:val="auto"/>
                <w:sz w:val="24"/>
                <w:highlight w:val="none"/>
              </w:rPr>
              <w:t>采购预算及最高限价</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Arial"/>
                <w:b/>
                <w:color w:val="auto"/>
                <w:kern w:val="0"/>
                <w:sz w:val="24"/>
                <w:highlight w:val="none"/>
              </w:rPr>
            </w:pPr>
            <w:r>
              <w:rPr>
                <w:rFonts w:hint="eastAsia" w:ascii="仿宋_GB2312" w:hAnsi="仿宋" w:eastAsia="仿宋_GB2312" w:cs="仿宋_GB2312"/>
                <w:color w:val="auto"/>
                <w:kern w:val="0"/>
                <w:sz w:val="24"/>
                <w:highlight w:val="none"/>
                <w:lang w:val="zh-CN"/>
              </w:rPr>
              <w:t>本项目总预算为</w:t>
            </w:r>
            <w:r>
              <w:rPr>
                <w:rFonts w:hint="eastAsia" w:ascii="仿宋_GB2312" w:hAnsi="仿宋" w:eastAsia="仿宋_GB2312" w:cs="仿宋_GB2312"/>
                <w:color w:val="auto"/>
                <w:kern w:val="0"/>
                <w:sz w:val="24"/>
                <w:highlight w:val="none"/>
              </w:rPr>
              <w:t>人民币</w:t>
            </w:r>
            <w:r>
              <w:rPr>
                <w:rFonts w:hint="eastAsia" w:ascii="仿宋_GB2312" w:hAnsi="仿宋" w:eastAsia="仿宋_GB2312"/>
                <w:bCs/>
                <w:color w:val="auto"/>
                <w:sz w:val="24"/>
                <w:highlight w:val="none"/>
                <w:lang w:val="en-US" w:eastAsia="zh-CN"/>
              </w:rPr>
              <w:t>517.75</w:t>
            </w:r>
            <w:r>
              <w:rPr>
                <w:rFonts w:hint="eastAsia"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万元，最高限价为</w:t>
            </w:r>
            <w:r>
              <w:rPr>
                <w:rFonts w:hint="eastAsia" w:ascii="仿宋_GB2312" w:hAnsi="仿宋" w:eastAsia="仿宋_GB2312" w:cs="仿宋_GB2312"/>
                <w:color w:val="auto"/>
                <w:kern w:val="0"/>
                <w:sz w:val="24"/>
                <w:highlight w:val="none"/>
                <w:lang w:val="zh-CN"/>
              </w:rPr>
              <w:t>人民币</w:t>
            </w:r>
            <w:r>
              <w:rPr>
                <w:rFonts w:hint="eastAsia" w:ascii="仿宋_GB2312" w:hAnsi="仿宋" w:eastAsia="仿宋_GB2312"/>
                <w:bCs/>
                <w:color w:val="auto"/>
                <w:sz w:val="24"/>
                <w:highlight w:val="none"/>
                <w:lang w:val="en-US" w:eastAsia="zh-CN"/>
              </w:rPr>
              <w:t>517.75</w:t>
            </w:r>
            <w:r>
              <w:rPr>
                <w:rFonts w:hint="eastAsia" w:ascii="仿宋_GB2312" w:hAnsi="仿宋" w:eastAsia="仿宋_GB2312" w:cs="仿宋_GB2312"/>
                <w:color w:val="auto"/>
                <w:kern w:val="0"/>
                <w:sz w:val="24"/>
                <w:highlight w:val="none"/>
                <w:lang w:val="zh-CN"/>
              </w:rPr>
              <w:t>万元，其中：其中</w:t>
            </w:r>
            <w:r>
              <w:rPr>
                <w:rFonts w:hint="eastAsia" w:ascii="仿宋_GB2312" w:hAnsi="仿宋" w:eastAsia="仿宋_GB2312" w:cs="仿宋_GB2312"/>
                <w:color w:val="auto"/>
                <w:kern w:val="0"/>
                <w:sz w:val="24"/>
                <w:highlight w:val="none"/>
                <w:lang w:val="zh-CN" w:eastAsia="zh-Hans"/>
              </w:rPr>
              <w:t>观澜中学</w:t>
            </w:r>
            <w:r>
              <w:rPr>
                <w:rFonts w:hint="eastAsia" w:ascii="仿宋_GB2312" w:hAnsi="仿宋" w:eastAsia="仿宋_GB2312" w:cs="仿宋_GB2312"/>
                <w:color w:val="auto"/>
                <w:kern w:val="0"/>
                <w:sz w:val="24"/>
                <w:highlight w:val="none"/>
                <w:lang w:val="zh-CN"/>
              </w:rPr>
              <w:t>最高限价</w:t>
            </w:r>
            <w:r>
              <w:rPr>
                <w:rFonts w:hint="eastAsia" w:ascii="仿宋_GB2312" w:hAnsi="仿宋" w:eastAsia="仿宋_GB2312" w:cs="仿宋_GB2312"/>
                <w:color w:val="auto"/>
                <w:kern w:val="0"/>
                <w:sz w:val="24"/>
                <w:highlight w:val="none"/>
              </w:rPr>
              <w:t>111</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rPr>
              <w:t>8</w:t>
            </w:r>
            <w:r>
              <w:rPr>
                <w:rFonts w:hint="eastAsia" w:ascii="仿宋_GB2312" w:hAnsi="仿宋" w:eastAsia="仿宋_GB2312" w:cs="仿宋_GB2312"/>
                <w:color w:val="auto"/>
                <w:kern w:val="0"/>
                <w:sz w:val="24"/>
                <w:highlight w:val="none"/>
                <w:lang w:val="zh-CN"/>
              </w:rPr>
              <w:t>万元；</w:t>
            </w:r>
            <w:r>
              <w:rPr>
                <w:rFonts w:hint="eastAsia" w:ascii="仿宋_GB2312" w:hAnsi="仿宋" w:eastAsia="仿宋_GB2312" w:cs="仿宋_GB2312"/>
                <w:color w:val="auto"/>
                <w:kern w:val="0"/>
                <w:sz w:val="24"/>
                <w:highlight w:val="none"/>
                <w:lang w:val="zh-CN" w:eastAsia="zh-Hans"/>
              </w:rPr>
              <w:t>金沙湖实验学校</w:t>
            </w:r>
            <w:r>
              <w:rPr>
                <w:rFonts w:hint="eastAsia" w:ascii="仿宋_GB2312" w:hAnsi="仿宋" w:eastAsia="仿宋_GB2312" w:cs="仿宋_GB2312"/>
                <w:color w:val="auto"/>
                <w:kern w:val="0"/>
                <w:sz w:val="24"/>
                <w:highlight w:val="none"/>
                <w:lang w:val="zh-CN"/>
              </w:rPr>
              <w:t>最高限价51</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2万元</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eastAsia="zh-Hans"/>
              </w:rPr>
              <w:t>临江新城实验学校</w:t>
            </w:r>
            <w:r>
              <w:rPr>
                <w:rFonts w:hint="eastAsia" w:ascii="仿宋_GB2312" w:hAnsi="仿宋" w:eastAsia="仿宋_GB2312" w:cs="仿宋_GB2312"/>
                <w:color w:val="auto"/>
                <w:kern w:val="0"/>
                <w:sz w:val="24"/>
                <w:highlight w:val="none"/>
                <w:lang w:val="zh-CN"/>
              </w:rPr>
              <w:t>最高限价68</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15万元</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eastAsia="zh-Hans"/>
              </w:rPr>
              <w:t>凌云小学</w:t>
            </w:r>
            <w:r>
              <w:rPr>
                <w:rFonts w:hint="eastAsia" w:ascii="仿宋_GB2312" w:hAnsi="仿宋" w:eastAsia="仿宋_GB2312" w:cs="仿宋_GB2312"/>
                <w:color w:val="auto"/>
                <w:kern w:val="0"/>
                <w:sz w:val="24"/>
                <w:highlight w:val="none"/>
                <w:lang w:val="zh-CN"/>
              </w:rPr>
              <w:t>最高限价105</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6万元</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eastAsia="zh-Hans"/>
              </w:rPr>
              <w:t>启源中学</w:t>
            </w:r>
            <w:r>
              <w:rPr>
                <w:rFonts w:hint="eastAsia" w:ascii="仿宋_GB2312" w:hAnsi="仿宋" w:eastAsia="仿宋_GB2312" w:cs="仿宋_GB2312"/>
                <w:color w:val="auto"/>
                <w:kern w:val="0"/>
                <w:sz w:val="24"/>
                <w:highlight w:val="none"/>
                <w:lang w:val="zh-CN"/>
              </w:rPr>
              <w:t>最高限价49</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35万元</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eastAsia="zh-Hans"/>
              </w:rPr>
              <w:t>文海实验</w:t>
            </w:r>
            <w:r>
              <w:rPr>
                <w:rFonts w:hint="eastAsia" w:ascii="仿宋_GB2312" w:hAnsi="仿宋" w:eastAsia="仿宋_GB2312" w:cs="仿宋_GB2312"/>
                <w:color w:val="auto"/>
                <w:kern w:val="0"/>
                <w:sz w:val="24"/>
                <w:highlight w:val="none"/>
                <w:lang w:val="zh-CN"/>
              </w:rPr>
              <w:t>学校最高限价76</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zh-CN"/>
              </w:rPr>
              <w:t>6万元</w:t>
            </w:r>
            <w:r>
              <w:rPr>
                <w:rFonts w:hint="eastAsia" w:ascii="仿宋_GB2312" w:hAnsi="仿宋" w:eastAsia="仿宋_GB2312" w:cs="仿宋_GB2312"/>
                <w:color w:val="auto"/>
                <w:kern w:val="0"/>
                <w:sz w:val="24"/>
                <w:highlight w:val="none"/>
                <w:lang w:val="en-US" w:eastAsia="zh-CN"/>
              </w:rPr>
              <w:t>;</w:t>
            </w:r>
            <w:r>
              <w:rPr>
                <w:rFonts w:hint="eastAsia" w:ascii="仿宋_GB2312" w:hAnsi="仿宋" w:eastAsia="仿宋_GB2312" w:cs="仿宋_GB2312"/>
                <w:color w:val="auto"/>
                <w:kern w:val="0"/>
                <w:sz w:val="24"/>
                <w:highlight w:val="none"/>
                <w:lang w:val="en-US" w:eastAsia="zh-CN"/>
              </w:rPr>
              <w:t>崇德小学最高限价55.05万元。</w:t>
            </w:r>
            <w:r>
              <w:rPr>
                <w:rFonts w:hint="eastAsia" w:ascii="仿宋_GB2312" w:hAnsi="仿宋" w:eastAsia="仿宋_GB2312" w:cs="仿宋_GB2312"/>
                <w:color w:val="auto"/>
                <w:kern w:val="0"/>
                <w:sz w:val="24"/>
                <w:highlight w:val="none"/>
                <w:lang w:val="zh-CN"/>
              </w:rPr>
              <w:t>投标报价超过各学</w:t>
            </w:r>
            <w:r>
              <w:rPr>
                <w:rFonts w:hint="eastAsia" w:ascii="仿宋_GB2312" w:hAnsi="仿宋" w:eastAsia="仿宋_GB2312" w:cs="仿宋_GB2312"/>
                <w:color w:val="auto"/>
                <w:kern w:val="0"/>
                <w:sz w:val="24"/>
                <w:highlight w:val="none"/>
                <w:lang w:val="en-US" w:eastAsia="zh-CN"/>
              </w:rPr>
              <w:t>校</w:t>
            </w:r>
            <w:r>
              <w:rPr>
                <w:rFonts w:hint="eastAsia" w:ascii="仿宋_GB2312" w:hAnsi="仿宋" w:eastAsia="仿宋_GB2312" w:cs="仿宋_GB2312"/>
                <w:color w:val="auto"/>
                <w:kern w:val="0"/>
                <w:sz w:val="24"/>
                <w:highlight w:val="none"/>
                <w:lang w:val="zh-CN"/>
              </w:rPr>
              <w:t>最高限价的，都将作无</w:t>
            </w:r>
            <w:r>
              <w:rPr>
                <w:rFonts w:hint="eastAsia" w:ascii="仿宋_GB2312" w:hAnsi="仿宋" w:eastAsia="仿宋_GB2312" w:cs="仿宋_GB2312"/>
                <w:color w:val="auto"/>
                <w:kern w:val="0"/>
                <w:sz w:val="24"/>
                <w:highlight w:val="none"/>
                <w:lang w:val="zh-CN"/>
              </w:rPr>
              <w:t>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kern w:val="0"/>
                <w:sz w:val="24"/>
                <w:highlight w:val="none"/>
                <w:u w:val="single"/>
              </w:rPr>
              <w:t xml:space="preserve"> 86英寸智能平板、86英寸全贴合电容智慧黑板</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86英寸智能平板、86英寸全贴合电容智慧黑板</w:t>
            </w:r>
            <w:r>
              <w:rPr>
                <w:rFonts w:hint="eastAsia" w:ascii="仿宋_GB2312" w:hAnsi="仿宋" w:eastAsia="仿宋_GB2312" w:cs="Arial"/>
                <w:color w:val="auto"/>
                <w:kern w:val="0"/>
                <w:sz w:val="24"/>
                <w:highlight w:val="none"/>
                <w:u w:val="single"/>
                <w:lang w:val="en-US" w:eastAsia="zh-CN"/>
              </w:rPr>
              <w:t>等设备</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工业 </w:t>
            </w:r>
            <w:r>
              <w:rPr>
                <w:rFonts w:hint="eastAsia" w:ascii="仿宋_GB2312" w:hAnsi="仿宋" w:eastAsia="仿宋_GB2312" w:cs="Arial"/>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1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sdt>
              <w:sdtPr>
                <w:rPr>
                  <w:rFonts w:hint="eastAsia" w:ascii="仿宋_GB2312" w:hAnsi="仿宋" w:eastAsia="仿宋_GB2312" w:cs="Arial"/>
                  <w:color w:val="auto"/>
                  <w:kern w:val="0"/>
                  <w:sz w:val="24"/>
                  <w:highlight w:val="none"/>
                </w:rPr>
                <w:id w:val="1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1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r>
              <w:rPr>
                <w:rFonts w:hint="eastAsia" w:ascii="仿宋_GB2312" w:hAnsi="仿宋" w:eastAsia="仿宋_GB2312"/>
                <w:color w:val="auto"/>
                <w:sz w:val="24"/>
                <w:highlight w:val="none"/>
              </w:rPr>
              <w:t>投标人应按要求递交投标样品，否则其对应的样品分作零分处理。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w:t>
            </w:r>
            <w:r>
              <w:rPr>
                <w:rFonts w:hint="eastAsia" w:ascii="仿宋_GB2312" w:hAnsi="仿宋" w:eastAsia="仿宋_GB2312"/>
                <w:color w:val="auto"/>
                <w:kern w:val="0"/>
                <w:sz w:val="24"/>
                <w:highlight w:val="none"/>
              </w:rPr>
              <w:t>对</w:t>
            </w:r>
            <w:r>
              <w:rPr>
                <w:rFonts w:ascii="仿宋_GB2312" w:hAnsi="仿宋" w:eastAsia="仿宋_GB2312"/>
                <w:color w:val="auto"/>
                <w:kern w:val="0"/>
                <w:sz w:val="24"/>
                <w:highlight w:val="none"/>
                <w:u w:val="single"/>
              </w:rPr>
              <w:t>86</w:t>
            </w:r>
            <w:r>
              <w:rPr>
                <w:rFonts w:hint="eastAsia" w:ascii="仿宋_GB2312" w:hAnsi="仿宋" w:eastAsia="仿宋_GB2312"/>
                <w:color w:val="auto"/>
                <w:kern w:val="0"/>
                <w:sz w:val="24"/>
                <w:highlight w:val="none"/>
                <w:u w:val="single"/>
              </w:rPr>
              <w:t>英寸交互智能平板及配套设备</w:t>
            </w:r>
            <w:r>
              <w:rPr>
                <w:rFonts w:hint="eastAsia" w:ascii="仿宋_GB2312" w:hAnsi="仿宋" w:eastAsia="仿宋_GB2312"/>
                <w:color w:val="auto"/>
                <w:kern w:val="0"/>
                <w:sz w:val="24"/>
                <w:highlight w:val="none"/>
                <w:u w:val="single"/>
                <w:lang w:eastAsia="zh-CN"/>
              </w:rPr>
              <w:t>（</w:t>
            </w:r>
            <w:r>
              <w:rPr>
                <w:rFonts w:hint="eastAsia" w:ascii="仿宋_GB2312" w:hAnsi="仿宋" w:eastAsia="仿宋_GB2312"/>
                <w:color w:val="auto"/>
                <w:kern w:val="0"/>
                <w:sz w:val="24"/>
                <w:highlight w:val="none"/>
                <w:u w:val="single"/>
              </w:rPr>
              <w:t>1套</w:t>
            </w:r>
            <w:r>
              <w:rPr>
                <w:rFonts w:hint="eastAsia" w:ascii="仿宋_GB2312" w:hAnsi="仿宋" w:eastAsia="仿宋_GB2312"/>
                <w:color w:val="auto"/>
                <w:kern w:val="0"/>
                <w:sz w:val="24"/>
                <w:highlight w:val="none"/>
                <w:u w:val="single"/>
                <w:lang w:eastAsia="zh-CN"/>
              </w:rPr>
              <w:t>）</w:t>
            </w:r>
            <w:r>
              <w:rPr>
                <w:rFonts w:ascii="仿宋_GB2312" w:hAnsi="仿宋" w:eastAsia="仿宋_GB2312"/>
                <w:color w:val="auto"/>
                <w:kern w:val="0"/>
                <w:sz w:val="24"/>
                <w:highlight w:val="none"/>
              </w:rPr>
              <w:t>进行</w:t>
            </w:r>
            <w:r>
              <w:rPr>
                <w:rFonts w:hint="eastAsia" w:ascii="仿宋_GB2312" w:hAnsi="仿宋" w:eastAsia="仿宋_GB2312"/>
                <w:color w:val="auto"/>
                <w:kern w:val="0"/>
                <w:sz w:val="24"/>
                <w:highlight w:val="none"/>
              </w:rPr>
              <w:t>现场讲解演示</w:t>
            </w:r>
            <w:r>
              <w:rPr>
                <w:rFonts w:ascii="仿宋_GB2312" w:hAnsi="仿宋" w:eastAsia="仿宋_GB2312"/>
                <w:color w:val="auto"/>
                <w:kern w:val="0"/>
                <w:sz w:val="24"/>
                <w:highlight w:val="none"/>
              </w:rPr>
              <w:t>。每个投标人时间不超过</w:t>
            </w:r>
            <w:r>
              <w:rPr>
                <w:rFonts w:hint="eastAsia" w:ascii="仿宋_GB2312" w:hAnsi="仿宋" w:eastAsia="仿宋_GB2312"/>
                <w:color w:val="auto"/>
                <w:kern w:val="0"/>
                <w:sz w:val="24"/>
                <w:highlight w:val="none"/>
                <w:lang w:val="en-US" w:eastAsia="zh-CN"/>
              </w:rPr>
              <w:t>20</w:t>
            </w:r>
            <w:r>
              <w:rPr>
                <w:rFonts w:ascii="仿宋_GB2312" w:hAnsi="仿宋" w:eastAsia="仿宋_GB2312"/>
                <w:color w:val="auto"/>
                <w:kern w:val="0"/>
                <w:sz w:val="24"/>
                <w:highlight w:val="none"/>
              </w:rPr>
              <w:t>分钟，</w:t>
            </w:r>
            <w:r>
              <w:rPr>
                <w:rFonts w:hint="eastAsia" w:ascii="仿宋_GB2312" w:hAnsi="仿宋" w:eastAsia="仿宋_GB2312"/>
                <w:color w:val="auto"/>
                <w:kern w:val="0"/>
                <w:sz w:val="24"/>
                <w:highlight w:val="none"/>
              </w:rPr>
              <w:t>演示</w:t>
            </w:r>
            <w:r>
              <w:rPr>
                <w:rFonts w:ascii="仿宋_GB2312" w:hAnsi="仿宋" w:eastAsia="仿宋_GB2312"/>
                <w:color w:val="auto"/>
                <w:kern w:val="0"/>
                <w:sz w:val="24"/>
                <w:highlight w:val="none"/>
              </w:rPr>
              <w:t>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w:t>
            </w:r>
            <w:r>
              <w:rPr>
                <w:rFonts w:hint="eastAsia" w:ascii="仿宋_GB2312" w:hAnsi="仿宋" w:eastAsia="仿宋_GB2312"/>
                <w:color w:val="auto"/>
                <w:kern w:val="0"/>
                <w:sz w:val="24"/>
                <w:highlight w:val="none"/>
              </w:rPr>
              <w:t>方式：</w:t>
            </w:r>
          </w:p>
          <w:p>
            <w:pPr>
              <w:tabs>
                <w:tab w:val="left" w:pos="0"/>
              </w:tabs>
              <w:snapToGrid w:val="0"/>
              <w:spacing w:line="360" w:lineRule="auto"/>
              <w:rPr>
                <w:rFonts w:hint="eastAsia" w:ascii="仿宋_GB2312" w:hAnsi="仿宋" w:eastAsia="仿宋_GB2312"/>
                <w:color w:val="auto"/>
                <w:sz w:val="24"/>
                <w:highlight w:val="none"/>
                <w:u w:val="none"/>
                <w:lang w:eastAsia="zh-CN"/>
              </w:rPr>
            </w:pPr>
            <w:r>
              <w:rPr>
                <w:rFonts w:hint="eastAsia" w:ascii="仿宋_GB2312" w:hAnsi="仿宋" w:eastAsia="仿宋_GB2312"/>
                <w:color w:val="auto"/>
                <w:kern w:val="0"/>
                <w:sz w:val="24"/>
                <w:highlight w:val="none"/>
              </w:rPr>
              <w:t>交易中心现场讲解演示。讲解演示所用设备由投标人自备</w:t>
            </w:r>
            <w:r>
              <w:rPr>
                <w:rFonts w:hint="eastAsia" w:ascii="仿宋_GB2312" w:hAnsi="仿宋" w:eastAsia="仿宋_GB2312"/>
                <w:color w:val="auto"/>
                <w:kern w:val="0"/>
                <w:sz w:val="24"/>
                <w:highlight w:val="none"/>
                <w:lang w:eastAsia="zh-CN"/>
              </w:rPr>
              <w:t>，</w:t>
            </w:r>
            <w:r>
              <w:rPr>
                <w:rFonts w:hint="eastAsia" w:ascii="仿宋" w:hAnsi="仿宋" w:eastAsia="仿宋" w:cs="仿宋"/>
                <w:color w:val="auto"/>
                <w:sz w:val="24"/>
                <w:highlight w:val="none"/>
              </w:rPr>
              <w:t>演示设备提供时间：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:00:00至202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超过截止时间的，将不予接收。</w:t>
            </w:r>
            <w:r>
              <w:rPr>
                <w:rFonts w:hint="eastAsia" w:ascii="仿宋_GB2312" w:hAnsi="仿宋" w:eastAsia="仿宋_GB2312" w:cs="Times New Roman"/>
                <w:color w:val="auto"/>
                <w:kern w:val="0"/>
                <w:sz w:val="24"/>
                <w:highlight w:val="none"/>
              </w:rPr>
              <w:t>现场讲解演示地点：</w:t>
            </w:r>
            <w:r>
              <w:rPr>
                <w:rFonts w:hint="eastAsia" w:ascii="仿宋" w:hAnsi="仿宋" w:eastAsia="仿宋"/>
                <w:snapToGrid w:val="0"/>
                <w:color w:val="auto"/>
                <w:kern w:val="28"/>
                <w:sz w:val="24"/>
                <w:highlight w:val="none"/>
                <w:u w:val="single"/>
                <w:lang w:val="en-US" w:eastAsia="zh-CN"/>
              </w:rPr>
              <w:t>杭州市钱塘区幸福南路1116号4楼</w:t>
            </w:r>
            <w:r>
              <w:rPr>
                <w:rFonts w:hint="eastAsia" w:ascii="仿宋" w:hAnsi="仿宋" w:eastAsia="仿宋" w:cs="仿宋"/>
                <w:color w:val="auto"/>
                <w:sz w:val="24"/>
                <w:highlight w:val="none"/>
              </w:rPr>
              <w:t>。</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现场讲解演示人员进场时</w:t>
            </w:r>
            <w:r>
              <w:rPr>
                <w:rFonts w:hint="eastAsia" w:ascii="仿宋" w:hAnsi="仿宋" w:eastAsia="仿宋" w:cs="仿宋"/>
                <w:b/>
                <w:bCs/>
                <w:color w:val="auto"/>
                <w:sz w:val="24"/>
                <w:highlight w:val="none"/>
              </w:rPr>
              <w:t>携带身份证、与投标人的劳动关系证明（注明姓名，身份证号），</w:t>
            </w:r>
            <w:r>
              <w:rPr>
                <w:rFonts w:hint="eastAsia" w:ascii="仿宋_GB2312" w:hAnsi="仿宋" w:eastAsia="仿宋_GB2312"/>
                <w:color w:val="auto"/>
                <w:kern w:val="0"/>
                <w:sz w:val="24"/>
                <w:highlight w:val="none"/>
              </w:rPr>
              <w:t>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w:t>
            </w:r>
            <w:r>
              <w:rPr>
                <w:rFonts w:hint="eastAsia" w:ascii="仿宋_GB2312" w:hAnsi="仿宋" w:eastAsia="仿宋_GB2312"/>
                <w:b/>
                <w:bCs/>
                <w:color w:val="auto"/>
                <w:kern w:val="0"/>
                <w:sz w:val="24"/>
                <w:highlight w:val="none"/>
              </w:rPr>
              <w:t>结合现阶段防疫要求，现场讲解演示地点可能需同时提供24小时内有效核酸检测报告、14天无外省市旅居史（行程码仅显示杭州市）等要求。如未提供，会导致无法进场讲解演示，</w:t>
            </w:r>
            <w:r>
              <w:rPr>
                <w:rFonts w:hint="eastAsia" w:ascii="仿宋_GB2312" w:hAnsi="仿宋" w:eastAsia="仿宋_GB2312"/>
                <w:color w:val="auto"/>
                <w:kern w:val="0"/>
                <w:sz w:val="24"/>
                <w:highlight w:val="none"/>
              </w:rPr>
              <w:t>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9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仿宋_GB2312" w:cs="Arial"/>
                        <w:color w:val="auto"/>
                        <w:kern w:val="0"/>
                        <w:sz w:val="24"/>
                        <w:highlight w:val="none"/>
                      </w:rPr>
                      <w:t>þ</w:t>
                    </w:r>
                  </w:sdtContent>
                </w:sdt>
                <w:sdt>
                  <w:sdtPr>
                    <w:rPr>
                      <w:rFonts w:hint="eastAsia" w:ascii="仿宋_GB2312" w:hAnsi="仿宋" w:eastAsia="仿宋_GB2312" w:cs="Arial"/>
                      <w:color w:val="auto"/>
                      <w:kern w:val="0"/>
                      <w:sz w:val="24"/>
                      <w:highlight w:val="none"/>
                    </w:rPr>
                    <w:id w:val="27"/>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A无</w:t>
            </w:r>
          </w:p>
          <w:p>
            <w:pPr>
              <w:snapToGrid w:val="0"/>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2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仿宋_GB2312" w:cs="Arial"/>
                    <w:color w:val="auto"/>
                    <w:kern w:val="0"/>
                    <w:sz w:val="24"/>
                    <w:highlight w:val="none"/>
                  </w:rPr>
                  <w:t>☐</w:t>
                </w:r>
              </w:sdtContent>
            </w:sdt>
            <w:sdt>
              <w:sdtPr>
                <w:rPr>
                  <w:rFonts w:hint="eastAsia" w:ascii="仿宋_GB2312" w:hAnsi="仿宋" w:eastAsia="仿宋_GB2312" w:cs="Arial"/>
                  <w:color w:val="auto"/>
                  <w:kern w:val="0"/>
                  <w:sz w:val="24"/>
                  <w:highlight w:val="none"/>
                </w:rPr>
                <w:id w:val="29"/>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B 政府强制采购节能产品：</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（2）……</w:t>
            </w:r>
          </w:p>
          <w:p>
            <w:pPr>
              <w:snapToGrid w:val="0"/>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30"/>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t>☐</w:t>
                </w:r>
              </w:sdtContent>
            </w:sdt>
            <w:sdt>
              <w:sdtPr>
                <w:rPr>
                  <w:rFonts w:hint="eastAsia" w:ascii="仿宋_GB2312" w:hAnsi="仿宋" w:eastAsia="仿宋_GB2312" w:cs="Arial"/>
                  <w:color w:val="auto"/>
                  <w:kern w:val="0"/>
                  <w:sz w:val="24"/>
                  <w:highlight w:val="none"/>
                </w:rPr>
                <w:id w:val="31"/>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C 政府优先采购节能产品：</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（2）……</w:t>
            </w:r>
          </w:p>
          <w:p>
            <w:pPr>
              <w:snapToGrid w:val="0"/>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5398627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t>☐</w:t>
                    </w:r>
                  </w:sdtContent>
                </w:sdt>
                <w:sdt>
                  <w:sdtPr>
                    <w:rPr>
                      <w:rFonts w:hint="eastAsia" w:ascii="仿宋_GB2312" w:hAnsi="仿宋" w:eastAsia="仿宋_GB2312" w:cs="Arial"/>
                      <w:color w:val="auto"/>
                      <w:kern w:val="0"/>
                      <w:sz w:val="24"/>
                      <w:highlight w:val="none"/>
                    </w:rPr>
                    <w:id w:val="34"/>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D 政府优先采购环境标志产品：</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w:t>
            </w:r>
          </w:p>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color w:val="auto"/>
                <w:highlight w:val="none"/>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3</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bl>
    <w:p>
      <w:pP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br w:type="page"/>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bookmarkEnd w:id="10"/>
    </w:p>
    <w:p>
      <w:pPr>
        <w:snapToGrid w:val="0"/>
        <w:spacing w:line="360" w:lineRule="auto"/>
        <w:jc w:val="center"/>
        <w:rPr>
          <w:rFonts w:ascii="仿宋" w:hAnsi="仿宋" w:eastAsia="仿宋"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r>
        <w:rPr>
          <w:rFonts w:hint="eastAsia" w:ascii="仿宋" w:hAnsi="仿宋" w:eastAsia="仿宋"/>
          <w:color w:val="auto"/>
          <w:sz w:val="24"/>
          <w:highlight w:val="none"/>
        </w:rPr>
        <w:t>“※”系指重要技术指标</w:t>
      </w:r>
      <w:r>
        <w:rPr>
          <w:rFonts w:hint="eastAsia" w:ascii="仿宋_GB2312" w:hAnsi="仿宋" w:eastAsia="仿宋_GB2312"/>
          <w:color w:val="auto"/>
          <w:sz w:val="24"/>
          <w:highlight w:val="none"/>
        </w:rPr>
        <w:t>。</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bCs/>
          <w:color w:val="auto"/>
          <w:sz w:val="24"/>
          <w:highlight w:val="none"/>
        </w:rPr>
        <w:t>（未要求的，无需提供）</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hint="eastAsia" w:ascii="仿宋_GB2312" w:hAnsi="仿宋" w:eastAsia="仿宋_GB2312" w:cs="仿宋_GB2312"/>
          <w:bCs/>
          <w:color w:val="auto"/>
          <w:sz w:val="24"/>
          <w:highlight w:val="none"/>
        </w:rPr>
        <w:t>（未要求的，无需提供）</w:t>
      </w:r>
      <w:r>
        <w:rPr>
          <w:rFonts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b/>
          <w:bCs/>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bCs/>
          <w:color w:val="auto"/>
          <w:sz w:val="24"/>
          <w:highlight w:val="none"/>
        </w:rPr>
        <w:t>（以联合体形式投标的，提供联合协议；本项目不接受联合体投标或者投标人不以联合体形式投标的，则不需要提供）</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bCs/>
          <w:color w:val="auto"/>
          <w:sz w:val="24"/>
          <w:highlight w:val="none"/>
        </w:rPr>
        <w:t>（中标后以分包方式履行合同的，提供分包意向协议；采购人不同意分包或者投标人中标后不以分包方式履行合同的，则不需要提供）</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w:t>
      </w:r>
      <w:r>
        <w:rPr>
          <w:rFonts w:hint="eastAsia" w:ascii="仿宋_GB2312" w:hAnsi="仿宋" w:eastAsia="仿宋_GB2312" w:cs="仿宋_GB2312"/>
          <w:color w:val="auto"/>
          <w:sz w:val="24"/>
          <w:highlight w:val="none"/>
        </w:rPr>
        <w:t>投标报价明细表</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r>
        <w:rPr>
          <w:rFonts w:hint="eastAsia" w:ascii="仿宋_GB2312" w:hAnsi="仿宋" w:eastAsia="仿宋_GB2312" w:cs="仿宋_GB2312"/>
          <w:bCs/>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auto"/>
          <w:sz w:val="24"/>
          <w:highlight w:val="none"/>
        </w:rPr>
        <w:t>。</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w:t>
      </w:r>
      <w:r>
        <w:rPr>
          <w:rFonts w:hint="eastAsia" w:ascii="仿宋_GB2312" w:hAnsi="仿宋" w:eastAsia="仿宋_GB2312" w:cs="仿宋_GB2312"/>
          <w:b/>
          <w:color w:val="auto"/>
          <w:szCs w:val="24"/>
          <w:highlight w:val="none"/>
        </w:rPr>
        <w:t>5</w:t>
      </w:r>
      <w:r>
        <w:rPr>
          <w:rFonts w:ascii="仿宋_GB2312" w:hAnsi="仿宋" w:eastAsia="仿宋_GB2312" w:cs="仿宋_GB2312"/>
          <w:b/>
          <w:color w:val="auto"/>
          <w:szCs w:val="24"/>
          <w:highlight w:val="none"/>
        </w:rPr>
        <w:t>.投标文件的无效处理</w:t>
      </w:r>
    </w:p>
    <w:p>
      <w:pPr>
        <w:pStyle w:val="2"/>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第4.2条</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w:t>
      </w:r>
      <w:r>
        <w:rPr>
          <w:rFonts w:hint="eastAsia" w:ascii="仿宋_GB2312" w:hAnsi="仿宋" w:eastAsia="仿宋_GB2312" w:cs="仿宋_GB2312"/>
          <w:b/>
          <w:color w:val="auto"/>
          <w:szCs w:val="24"/>
          <w:highlight w:val="none"/>
        </w:rPr>
        <w:t>6</w:t>
      </w:r>
      <w:r>
        <w:rPr>
          <w:rFonts w:ascii="仿宋_GB2312" w:hAnsi="仿宋" w:eastAsia="仿宋_GB2312" w:cs="仿宋_GB2312"/>
          <w:b/>
          <w:color w:val="auto"/>
          <w:szCs w:val="24"/>
          <w:highlight w:val="none"/>
        </w:rPr>
        <w:t>.投标有效期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w:t>
      </w:r>
      <w:r>
        <w:rPr>
          <w:rFonts w:hint="eastAsia" w:ascii="仿宋_GB2312" w:hAnsi="仿宋" w:eastAsia="仿宋_GB2312" w:cs="仿宋_GB2312"/>
          <w:color w:val="auto"/>
          <w:sz w:val="24"/>
          <w:szCs w:val="20"/>
          <w:highlight w:val="none"/>
        </w:rPr>
        <w:t>6</w:t>
      </w:r>
      <w:r>
        <w:rPr>
          <w:rFonts w:ascii="仿宋_GB2312" w:hAnsi="仿宋" w:eastAsia="仿宋_GB2312" w:cs="仿宋_GB2312"/>
          <w:color w:val="auto"/>
          <w:sz w:val="24"/>
          <w:szCs w:val="20"/>
          <w:highlight w:val="none"/>
        </w:rPr>
        <w:t>.1投标有效期为从提交投标文件的截止之日起90天。▲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w:t>
      </w:r>
      <w:r>
        <w:rPr>
          <w:rFonts w:hint="eastAsia" w:ascii="仿宋_GB2312" w:hAnsi="仿宋" w:eastAsia="仿宋_GB2312" w:cs="仿宋_GB2312"/>
          <w:b/>
          <w:color w:val="auto"/>
          <w:sz w:val="24"/>
          <w:szCs w:val="24"/>
          <w:highlight w:val="none"/>
        </w:rPr>
        <w:t>7</w:t>
      </w:r>
      <w:r>
        <w:rPr>
          <w:rFonts w:ascii="仿宋_GB2312" w:hAnsi="仿宋" w:eastAsia="仿宋_GB2312" w:cs="仿宋_GB2312"/>
          <w:b/>
          <w:color w:val="auto"/>
          <w:sz w:val="24"/>
          <w:szCs w:val="24"/>
          <w:highlight w:val="none"/>
        </w:rPr>
        <w:t>.开标</w:t>
      </w:r>
      <w:r>
        <w:rPr>
          <w:rFonts w:ascii="仿宋_GB2312" w:eastAsia="仿宋_GB2312"/>
          <w:color w:val="auto"/>
          <w:sz w:val="24"/>
          <w:highlight w:val="none"/>
        </w:rPr>
        <w:t xml:space="preserve">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w:t>
      </w:r>
      <w:r>
        <w:rPr>
          <w:rFonts w:hint="eastAsia" w:ascii="仿宋_GB2312" w:hAnsi="仿宋" w:eastAsia="仿宋_GB2312" w:cs="仿宋_GB2312"/>
          <w:b/>
          <w:color w:val="auto"/>
          <w:sz w:val="24"/>
          <w:szCs w:val="20"/>
          <w:highlight w:val="none"/>
        </w:rPr>
        <w:t>8.</w:t>
      </w:r>
      <w:r>
        <w:rPr>
          <w:rFonts w:ascii="仿宋_GB2312" w:hAnsi="仿宋" w:eastAsia="仿宋_GB2312" w:cs="仿宋_GB2312"/>
          <w:b/>
          <w:color w:val="auto"/>
          <w:sz w:val="24"/>
          <w:szCs w:val="20"/>
          <w:highlight w:val="none"/>
        </w:rPr>
        <w:t>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w:t>
      </w:r>
      <w:r>
        <w:rPr>
          <w:rFonts w:hint="eastAsia" w:ascii="仿宋_GB2312" w:hAnsi="仿宋" w:eastAsia="仿宋_GB2312" w:cs="Arial"/>
          <w:color w:val="auto"/>
          <w:kern w:val="0"/>
          <w:szCs w:val="24"/>
          <w:highlight w:val="none"/>
        </w:rPr>
        <w:t>8</w:t>
      </w:r>
      <w:r>
        <w:rPr>
          <w:rFonts w:ascii="仿宋_GB2312" w:hAnsi="仿宋" w:eastAsia="仿宋_GB2312" w:cs="Arial"/>
          <w:color w:val="auto"/>
          <w:kern w:val="0"/>
          <w:szCs w:val="24"/>
          <w:highlight w:val="none"/>
        </w:rPr>
        <w:t>.1开标后，采购人或采购机构将依法对投标人的资格进行审查。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8</w:t>
      </w:r>
      <w:r>
        <w:rPr>
          <w:rFonts w:ascii="仿宋_GB2312" w:hAnsi="仿宋" w:eastAsia="仿宋_GB2312" w:cs="Arial"/>
          <w:color w:val="auto"/>
          <w:kern w:val="0"/>
          <w:sz w:val="24"/>
          <w:highlight w:val="none"/>
        </w:rPr>
        <w:t>.2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w:t>
      </w:r>
      <w:r>
        <w:rPr>
          <w:rFonts w:hint="eastAsia" w:ascii="仿宋_GB2312" w:hAnsi="仿宋" w:eastAsia="仿宋_GB2312" w:cs="Arial"/>
          <w:color w:val="auto"/>
          <w:kern w:val="0"/>
          <w:szCs w:val="24"/>
          <w:highlight w:val="none"/>
        </w:rPr>
        <w:t>8</w:t>
      </w:r>
      <w:r>
        <w:rPr>
          <w:rFonts w:ascii="仿宋_GB2312" w:hAnsi="仿宋" w:eastAsia="仿宋_GB2312" w:cs="Arial"/>
          <w:color w:val="auto"/>
          <w:kern w:val="0"/>
          <w:szCs w:val="24"/>
          <w:highlight w:val="none"/>
        </w:rPr>
        <w:t>.3投标人未按照招标文件要求提供与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w:t>
      </w:r>
      <w:r>
        <w:rPr>
          <w:rFonts w:hint="eastAsia" w:ascii="仿宋_GB2312" w:hAnsi="仿宋" w:eastAsia="仿宋_GB2312" w:cs="Arial"/>
          <w:color w:val="auto"/>
          <w:kern w:val="0"/>
          <w:szCs w:val="24"/>
          <w:highlight w:val="none"/>
        </w:rPr>
        <w:t>8</w:t>
      </w:r>
      <w:r>
        <w:rPr>
          <w:rFonts w:ascii="仿宋_GB2312" w:hAnsi="仿宋" w:eastAsia="仿宋_GB2312" w:cs="Arial"/>
          <w:color w:val="auto"/>
          <w:kern w:val="0"/>
          <w:szCs w:val="24"/>
          <w:highlight w:val="none"/>
        </w:rPr>
        <w:t>.</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w:t>
      </w:r>
      <w:r>
        <w:rPr>
          <w:rFonts w:hint="eastAsia" w:ascii="仿宋_GB2312" w:hAnsi="仿宋" w:eastAsia="仿宋_GB2312" w:cs="Arial"/>
          <w:color w:val="auto"/>
          <w:kern w:val="0"/>
          <w:szCs w:val="24"/>
          <w:highlight w:val="none"/>
        </w:rPr>
        <w:t>8</w:t>
      </w:r>
      <w:r>
        <w:rPr>
          <w:rFonts w:ascii="仿宋_GB2312" w:hAnsi="仿宋" w:eastAsia="仿宋_GB2312" w:cs="Arial"/>
          <w:color w:val="auto"/>
          <w:kern w:val="0"/>
          <w:szCs w:val="24"/>
          <w:highlight w:val="none"/>
        </w:rPr>
        <w:t>.</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19.</w:t>
      </w:r>
      <w:r>
        <w:rPr>
          <w:rFonts w:ascii="仿宋_GB2312" w:hAnsi="仿宋" w:eastAsia="仿宋_GB2312" w:cs="仿宋_GB2312"/>
          <w:b/>
          <w:color w:val="auto"/>
          <w:szCs w:val="24"/>
          <w:highlight w:val="none"/>
        </w:rPr>
        <w:t>信用信息查询</w:t>
      </w:r>
    </w:p>
    <w:p>
      <w:pPr>
        <w:pStyle w:val="128"/>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19</w:t>
      </w:r>
      <w:r>
        <w:rPr>
          <w:rFonts w:ascii="仿宋_GB2312" w:hAnsi="仿宋" w:eastAsia="仿宋_GB2312" w:cs="Arial"/>
          <w:color w:val="auto"/>
          <w:kern w:val="0"/>
          <w:szCs w:val="24"/>
          <w:highlight w:val="none"/>
        </w:rPr>
        <w:t>.1信用信息查询渠道及截止时间：采购机构将通过“信用中国”网站(www.creditchina.gov.cn)、中国政府采购网(www.ccgp.gov.cn)渠道查询投标人投标截止时间当天的信用记录。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19</w:t>
      </w:r>
      <w:r>
        <w:rPr>
          <w:rFonts w:ascii="仿宋_GB2312" w:hAnsi="仿宋" w:eastAsia="仿宋_GB2312" w:cs="Arial"/>
          <w:color w:val="auto"/>
          <w:kern w:val="0"/>
          <w:szCs w:val="24"/>
          <w:highlight w:val="none"/>
        </w:rPr>
        <w:t>.2信用信息查询记录和证据留存的具体方式：现场查询的投标人的信用记录、查询结果经确认后将与采购文件一起存档。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19</w:t>
      </w:r>
      <w:r>
        <w:rPr>
          <w:rFonts w:ascii="仿宋_GB2312" w:hAnsi="仿宋" w:eastAsia="仿宋_GB2312" w:cs="Arial"/>
          <w:color w:val="auto"/>
          <w:kern w:val="0"/>
          <w:szCs w:val="24"/>
          <w:highlight w:val="none"/>
        </w:rPr>
        <w:t>.3信用信息的使用规则：经查询列入失信被执行人名单、重大税收违法案件当事人名单、政府采购严重违法失信行为记录名单的投标人将被拒绝参与政府采购活动。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ascii="仿宋_GB2312" w:hAnsi="仿宋" w:eastAsia="仿宋_GB2312" w:cs="Arial"/>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w:t>
      </w:r>
      <w:r>
        <w:rPr>
          <w:rFonts w:hint="eastAsia" w:ascii="仿宋_GB2312" w:hAnsi="仿宋" w:eastAsia="仿宋_GB2312" w:cs="仿宋_GB2312"/>
          <w:b/>
          <w:color w:val="auto"/>
          <w:sz w:val="24"/>
          <w:highlight w:val="none"/>
        </w:rPr>
        <w:t>0</w:t>
      </w:r>
      <w:r>
        <w:rPr>
          <w:rFonts w:ascii="仿宋_GB2312" w:hAnsi="仿宋" w:eastAsia="仿宋_GB2312" w:cs="仿宋_GB2312"/>
          <w:b/>
          <w:color w:val="auto"/>
          <w:sz w:val="24"/>
          <w:highlight w:val="none"/>
        </w:rPr>
        <w:t>.</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rPr>
        <w:t>1</w:t>
      </w:r>
      <w:r>
        <w:rPr>
          <w:rFonts w:ascii="仿宋_GB2312" w:hAnsi="仿宋" w:eastAsia="仿宋_GB2312" w:cs="仿宋_GB2312"/>
          <w:b/>
          <w:color w:val="auto"/>
          <w:highlight w:val="none"/>
        </w:rPr>
        <w:t xml:space="preserve">. </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hint="eastAsia" w:ascii="仿宋_GB2312" w:hAnsi="仿宋" w:eastAsia="仿宋_GB2312" w:cs="仿宋_GB2312"/>
          <w:color w:val="auto"/>
          <w:szCs w:val="24"/>
          <w:highlight w:val="none"/>
          <w:lang w:val="en-US" w:eastAsia="zh-CN"/>
        </w:rPr>
        <w:t>2</w:t>
      </w:r>
      <w:r>
        <w:rPr>
          <w:rFonts w:ascii="仿宋_GB2312" w:hAnsi="仿宋" w:eastAsia="仿宋_GB2312" w:cs="仿宋_GB2312"/>
          <w:color w:val="auto"/>
          <w:szCs w:val="24"/>
          <w:highlight w:val="none"/>
        </w:rPr>
        <w:t>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w:t>
      </w:r>
      <w:r>
        <w:rPr>
          <w:rFonts w:hint="eastAsia" w:ascii="仿宋_GB2312" w:hAnsi="仿宋" w:eastAsia="仿宋_GB2312" w:cs="仿宋_GB2312"/>
          <w:b/>
          <w:color w:val="auto"/>
          <w:szCs w:val="24"/>
          <w:highlight w:val="none"/>
        </w:rPr>
        <w:t>2</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rPr>
        <w:t>3</w:t>
      </w:r>
      <w:r>
        <w:rPr>
          <w:rFonts w:ascii="仿宋_GB2312" w:hAnsi="仿宋" w:eastAsia="仿宋_GB2312" w:cs="仿宋_GB2312"/>
          <w:b/>
          <w:color w:val="auto"/>
          <w:highlight w:val="none"/>
        </w:rPr>
        <w:t xml:space="preserve">. </w:t>
      </w:r>
      <w:r>
        <w:rPr>
          <w:rFonts w:hint="eastAsia" w:ascii="仿宋_GB2312" w:hAnsi="仿宋" w:eastAsia="仿宋_GB2312" w:cs="仿宋_GB2312"/>
          <w:color w:val="auto"/>
          <w:highlight w:val="none"/>
        </w:rPr>
        <w:t>合同主要条款详见第五部分拟签订的合同文本。</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rPr>
        <w:t>4</w:t>
      </w:r>
      <w:r>
        <w:rPr>
          <w:rFonts w:ascii="仿宋_GB2312" w:hAnsi="仿宋" w:eastAsia="仿宋_GB2312" w:cs="仿宋_GB2312"/>
          <w:b/>
          <w:color w:val="auto"/>
          <w:highlight w:val="none"/>
        </w:rPr>
        <w:t xml:space="preserve">.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.1</w:t>
      </w:r>
      <w:r>
        <w:rPr>
          <w:rFonts w:ascii="仿宋_GB2312" w:hAnsi="仿宋" w:eastAsia="仿宋_GB2312" w:cs="Arial"/>
          <w:color w:val="auto"/>
          <w:kern w:val="0"/>
          <w:sz w:val="24"/>
          <w:highlight w:val="none"/>
        </w:rPr>
        <w:t xml:space="preserve"> 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w:t>
      </w:r>
      <w:r>
        <w:rPr>
          <w:rFonts w:hint="eastAsia" w:ascii="仿宋_GB2312" w:hAnsi="仿宋" w:eastAsia="仿宋_GB2312" w:cs="仿宋_GB2312"/>
          <w:color w:val="auto"/>
          <w:kern w:val="0"/>
          <w:highlight w:val="none"/>
        </w:rPr>
        <w:t>4</w:t>
      </w:r>
      <w:r>
        <w:rPr>
          <w:rFonts w:ascii="仿宋_GB2312" w:hAnsi="仿宋" w:eastAsia="仿宋_GB2312" w:cs="仿宋_GB2312"/>
          <w:color w:val="auto"/>
          <w:kern w:val="0"/>
          <w:highlight w:val="none"/>
          <w:lang w:val="zh-CN"/>
        </w:rPr>
        <w:t>.2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4</w:t>
      </w:r>
      <w:r>
        <w:rPr>
          <w:rFonts w:ascii="仿宋_GB2312" w:hAnsi="仿宋" w:eastAsia="仿宋_GB2312" w:cs="仿宋_GB2312"/>
          <w:color w:val="auto"/>
          <w:highlight w:val="none"/>
        </w:rPr>
        <w:t>.3如签订合同并生效后，供应商无故拒绝或延期，除按照合同条款处理外，列入不良行为记录一次，并给予通报。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4</w:t>
      </w:r>
      <w:r>
        <w:rPr>
          <w:rFonts w:ascii="仿宋_GB2312" w:hAnsi="仿宋" w:eastAsia="仿宋_GB2312" w:cs="仿宋_GB2312"/>
          <w:color w:val="auto"/>
          <w:highlight w:val="none"/>
        </w:rPr>
        <w:t>.4中标供应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4</w:t>
      </w:r>
      <w:r>
        <w:rPr>
          <w:rFonts w:ascii="仿宋_GB2312" w:hAnsi="仿宋" w:eastAsia="仿宋_GB2312" w:cs="仿宋_GB2312"/>
          <w:color w:val="auto"/>
          <w:highlight w:val="none"/>
        </w:rPr>
        <w:t>.5采购合同由采购人与中标供应商根据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rPr>
        <w:t>5</w:t>
      </w:r>
      <w:r>
        <w:rPr>
          <w:rFonts w:ascii="仿宋_GB2312" w:hAnsi="仿宋" w:eastAsia="仿宋_GB2312" w:cs="仿宋_GB2312"/>
          <w:b/>
          <w:color w:val="auto"/>
          <w:highlight w:val="none"/>
        </w:rPr>
        <w:t xml:space="preserve">.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。履约保证金的数额不得超过政府采购合同金额的2.</w:t>
      </w:r>
      <w:r>
        <w:rPr>
          <w:rFonts w:ascii="仿宋_GB2312" w:hAnsi="仿宋" w:eastAsia="仿宋_GB2312"/>
          <w:color w:val="auto"/>
          <w:sz w:val="24"/>
          <w:highlight w:val="none"/>
        </w:rPr>
        <w:t>5%。</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2</w:t>
      </w:r>
      <w:r>
        <w:rPr>
          <w:rFonts w:hint="eastAsia" w:ascii="仿宋_GB2312" w:hAnsi="仿宋" w:eastAsia="仿宋_GB2312" w:cs="仿宋_GB2312"/>
          <w:color w:val="auto"/>
          <w:sz w:val="24"/>
          <w:szCs w:val="20"/>
          <w:highlight w:val="none"/>
        </w:rPr>
        <w:t>%；评价总分在90分以下或者暂无评分的，收取履约保证金不得高于合同金额2.5%。</w:t>
      </w:r>
    </w:p>
    <w:p>
      <w:pPr>
        <w:pStyle w:val="5"/>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2</w:t>
      </w:r>
      <w:r>
        <w:rPr>
          <w:rFonts w:hint="eastAsia" w:ascii="仿宋_GB2312" w:hAnsi="仿宋" w:eastAsia="仿宋_GB2312" w:cs="仿宋_GB2312"/>
          <w:b/>
          <w:bCs/>
          <w:color w:val="auto"/>
          <w:highlight w:val="none"/>
        </w:rPr>
        <w:t>6</w:t>
      </w:r>
      <w:r>
        <w:rPr>
          <w:rFonts w:ascii="仿宋_GB2312" w:hAnsi="仿宋" w:eastAsia="仿宋_GB2312" w:cs="仿宋_GB2312"/>
          <w:b/>
          <w:bCs/>
          <w:color w:val="auto"/>
          <w:szCs w:val="24"/>
          <w:highlight w:val="none"/>
        </w:rPr>
        <w:t>.</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 xml:space="preserve">.1电子交易平台发生故障而无法登录访问的；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 xml:space="preserve">.4病毒发作导致不能进行正常操作的；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w:t>
      </w:r>
      <w:r>
        <w:rPr>
          <w:rFonts w:ascii="仿宋_GB2312" w:hAnsi="仿宋" w:eastAsia="仿宋_GB2312" w:cs="仿宋_GB2312"/>
          <w:b/>
          <w:bCs/>
          <w:color w:val="auto"/>
          <w:highlight w:val="none"/>
        </w:rPr>
        <w:t>2</w:t>
      </w:r>
      <w:r>
        <w:rPr>
          <w:rFonts w:hint="eastAsia" w:ascii="仿宋_GB2312" w:hAnsi="仿宋" w:eastAsia="仿宋_GB2312" w:cs="仿宋_GB2312"/>
          <w:b/>
          <w:bCs/>
          <w:color w:val="auto"/>
          <w:highlight w:val="none"/>
        </w:rPr>
        <w:t>7</w:t>
      </w:r>
      <w:r>
        <w:rPr>
          <w:rFonts w:ascii="仿宋_GB2312" w:hAnsi="仿宋" w:eastAsia="仿宋_GB2312" w:cs="仿宋_GB2312"/>
          <w:b/>
          <w:bCs/>
          <w:color w:val="auto"/>
          <w:highlight w:val="none"/>
        </w:rPr>
        <w:t>.</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w:t>
      </w:r>
      <w:r>
        <w:rPr>
          <w:rFonts w:hint="eastAsia" w:ascii="仿宋_GB2312" w:hAnsi="仿宋" w:eastAsia="仿宋_GB2312" w:cs="仿宋_GB2312"/>
          <w:b/>
          <w:color w:val="auto"/>
          <w:highlight w:val="none"/>
        </w:rPr>
        <w:t>8</w:t>
      </w:r>
      <w:r>
        <w:rPr>
          <w:rFonts w:ascii="仿宋_GB2312" w:hAnsi="仿宋" w:eastAsia="仿宋_GB2312" w:cs="仿宋_GB2312"/>
          <w:b/>
          <w:color w:val="auto"/>
          <w:highlight w:val="none"/>
        </w:rPr>
        <w:t>.验收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8</w:t>
      </w:r>
      <w:r>
        <w:rPr>
          <w:rFonts w:ascii="仿宋_GB2312" w:hAnsi="仿宋" w:eastAsia="仿宋_GB2312"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8</w:t>
      </w:r>
      <w:r>
        <w:rPr>
          <w:rFonts w:ascii="仿宋_GB2312" w:hAnsi="仿宋" w:eastAsia="仿宋_GB2312" w:cs="Helvetica"/>
          <w:color w:val="auto"/>
          <w:kern w:val="0"/>
          <w:sz w:val="24"/>
          <w:highlight w:val="none"/>
        </w:rPr>
        <w:t>.2采购人可以邀请参加本项目的其他投标人或者第三方机构参与验收。参与验收的投标人或者第三方机构的意见作为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8</w:t>
      </w:r>
      <w:r>
        <w:rPr>
          <w:rFonts w:ascii="仿宋_GB2312" w:hAnsi="仿宋" w:eastAsia="仿宋_GB2312"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8</w:t>
      </w:r>
      <w:r>
        <w:rPr>
          <w:rFonts w:ascii="仿宋_GB2312" w:hAnsi="仿宋" w:eastAsia="仿宋_GB2312" w:cs="Helvetic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14665"/>
      <w:bookmarkEnd w:id="15"/>
      <w:bookmarkStart w:id="16" w:name="_Hlt74707468"/>
      <w:bookmarkEnd w:id="16"/>
      <w:bookmarkStart w:id="17" w:name="_Hlt75236101"/>
      <w:bookmarkEnd w:id="17"/>
      <w:bookmarkStart w:id="18" w:name="_Hlt68403820"/>
      <w:bookmarkEnd w:id="18"/>
      <w:bookmarkStart w:id="19" w:name="_Hlt74730295"/>
      <w:bookmarkEnd w:id="19"/>
      <w:bookmarkStart w:id="20" w:name="_Hlt68057669"/>
      <w:bookmarkEnd w:id="20"/>
      <w:bookmarkStart w:id="21" w:name="_Hlt68072998"/>
      <w:bookmarkEnd w:id="21"/>
      <w:bookmarkStart w:id="22" w:name="_Hlt75236011"/>
      <w:bookmarkEnd w:id="22"/>
      <w:bookmarkStart w:id="23" w:name="_Hlt68073093"/>
      <w:bookmarkEnd w:id="23"/>
      <w:bookmarkStart w:id="24" w:name="_Hlt68072990"/>
      <w:bookmarkEnd w:id="24"/>
      <w:bookmarkStart w:id="25" w:name="_Hlt74729768"/>
      <w:bookmarkEnd w:id="25"/>
    </w:p>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tabs>
          <w:tab w:val="left" w:pos="0"/>
        </w:tabs>
        <w:spacing w:line="360" w:lineRule="auto"/>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一、设备清单</w:t>
      </w:r>
    </w:p>
    <w:p>
      <w:pPr>
        <w:tabs>
          <w:tab w:val="left" w:pos="0"/>
        </w:tabs>
        <w:spacing w:line="360" w:lineRule="auto"/>
        <w:jc w:val="left"/>
        <w:outlineLvl w:val="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采购清单及预算</w:t>
      </w:r>
    </w:p>
    <w:tbl>
      <w:tblPr>
        <w:tblStyle w:val="63"/>
        <w:tblW w:w="966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7"/>
        <w:gridCol w:w="567"/>
        <w:gridCol w:w="567"/>
        <w:gridCol w:w="567"/>
        <w:gridCol w:w="567"/>
        <w:gridCol w:w="709"/>
        <w:gridCol w:w="567"/>
        <w:gridCol w:w="708"/>
        <w:gridCol w:w="709"/>
        <w:gridCol w:w="709"/>
        <w:gridCol w:w="567"/>
        <w:gridCol w:w="567"/>
        <w:gridCol w:w="56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738"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学校名称</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86英寸智能平板</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86英寸全贴合电容智慧黑板</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内置电脑模块</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壁挂高清展台</w:t>
            </w:r>
          </w:p>
          <w:p>
            <w:pPr>
              <w:tabs>
                <w:tab w:val="left" w:pos="0"/>
              </w:tabs>
              <w:spacing w:line="360" w:lineRule="auto"/>
              <w:jc w:val="center"/>
              <w:outlineLvl w:val="0"/>
              <w:rPr>
                <w:rFonts w:ascii="仿宋" w:hAnsi="仿宋" w:eastAsia="仿宋" w:cs="仿宋"/>
                <w:color w:val="auto"/>
                <w:kern w:val="0"/>
                <w:sz w:val="18"/>
                <w:szCs w:val="18"/>
                <w:highlight w:val="none"/>
                <w:lang w:eastAsia="zh-Hans"/>
              </w:rPr>
            </w:pP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推拉绿板</w:t>
            </w:r>
          </w:p>
        </w:tc>
        <w:tc>
          <w:tcPr>
            <w:tcW w:w="709"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学生综合素质管理系统</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智能笔</w:t>
            </w:r>
          </w:p>
        </w:tc>
        <w:tc>
          <w:tcPr>
            <w:tcW w:w="708"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教学教研平台</w:t>
            </w:r>
          </w:p>
        </w:tc>
        <w:tc>
          <w:tcPr>
            <w:tcW w:w="709"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校园设备运维管理系统</w:t>
            </w:r>
          </w:p>
        </w:tc>
        <w:tc>
          <w:tcPr>
            <w:tcW w:w="709"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一体化蓝牙音箱</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无线麦克风</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移动支架</w:t>
            </w:r>
          </w:p>
        </w:tc>
        <w:tc>
          <w:tcPr>
            <w:tcW w:w="567"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系统集成</w:t>
            </w:r>
          </w:p>
        </w:tc>
        <w:tc>
          <w:tcPr>
            <w:tcW w:w="993" w:type="dxa"/>
            <w:shd w:val="clear" w:color="auto" w:fill="D7D7D7" w:themeFill="background1" w:themeFillShade="D8"/>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38" w:type="dxa"/>
          </w:tcPr>
          <w:p>
            <w:pPr>
              <w:tabs>
                <w:tab w:val="left" w:pos="0"/>
              </w:tabs>
              <w:spacing w:line="260" w:lineRule="exact"/>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观澜中学</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4</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32</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4</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36</w:t>
            </w:r>
          </w:p>
        </w:tc>
        <w:tc>
          <w:tcPr>
            <w:tcW w:w="993" w:type="dxa"/>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rPr>
              <w:t>1118000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38" w:type="dxa"/>
          </w:tcPr>
          <w:p>
            <w:pPr>
              <w:tabs>
                <w:tab w:val="left" w:pos="0"/>
              </w:tabs>
              <w:spacing w:line="260" w:lineRule="exact"/>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金沙湖实验学校</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16</w:t>
            </w:r>
          </w:p>
        </w:tc>
        <w:tc>
          <w:tcPr>
            <w:tcW w:w="993" w:type="dxa"/>
            <w:vAlign w:val="center"/>
          </w:tcPr>
          <w:p>
            <w:pPr>
              <w:pStyle w:val="2"/>
              <w:ind w:firstLine="0" w:firstLineChars="0"/>
              <w:jc w:val="center"/>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rPr>
              <w:t>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38" w:type="dxa"/>
          </w:tcPr>
          <w:p>
            <w:pPr>
              <w:tabs>
                <w:tab w:val="left" w:pos="0"/>
              </w:tabs>
              <w:spacing w:line="260" w:lineRule="exact"/>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临江新城实验学校</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29</w:t>
            </w:r>
          </w:p>
        </w:tc>
        <w:tc>
          <w:tcPr>
            <w:tcW w:w="993"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rPr>
              <w:t>681500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38" w:type="dxa"/>
          </w:tcPr>
          <w:p>
            <w:pPr>
              <w:tabs>
                <w:tab w:val="left" w:pos="0"/>
              </w:tabs>
              <w:spacing w:line="260" w:lineRule="exact"/>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凌云小学</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709"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w:t>
            </w:r>
          </w:p>
        </w:tc>
        <w:tc>
          <w:tcPr>
            <w:tcW w:w="709"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709"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lang w:eastAsia="zh-CN"/>
              </w:rPr>
            </w:pPr>
            <w:r>
              <w:rPr>
                <w:rFonts w:hint="eastAsia" w:ascii="仿宋" w:hAnsi="仿宋" w:eastAsia="仿宋"/>
                <w:color w:val="auto"/>
                <w:sz w:val="18"/>
                <w:szCs w:val="18"/>
                <w:highlight w:val="none"/>
              </w:rPr>
              <w:t>3</w:t>
            </w:r>
            <w:r>
              <w:rPr>
                <w:rFonts w:hint="eastAsia" w:ascii="仿宋" w:hAnsi="仿宋" w:eastAsia="仿宋"/>
                <w:color w:val="auto"/>
                <w:sz w:val="18"/>
                <w:szCs w:val="18"/>
                <w:highlight w:val="none"/>
                <w:lang w:val="en-US" w:eastAsia="zh-CN"/>
              </w:rPr>
              <w:t>3</w:t>
            </w:r>
          </w:p>
        </w:tc>
        <w:tc>
          <w:tcPr>
            <w:tcW w:w="993"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rPr>
              <w:t>1056000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pPr>
              <w:tabs>
                <w:tab w:val="left" w:pos="0"/>
              </w:tabs>
              <w:spacing w:line="260" w:lineRule="exact"/>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启源中学</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0</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993"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rPr>
              <w:t>493500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38" w:type="dxa"/>
          </w:tcPr>
          <w:p>
            <w:pPr>
              <w:tabs>
                <w:tab w:val="left" w:pos="0"/>
              </w:tabs>
              <w:spacing w:line="260" w:lineRule="exact"/>
              <w:jc w:val="center"/>
              <w:outlineLvl w:val="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Hans"/>
              </w:rPr>
              <w:t>文海实验</w:t>
            </w:r>
            <w:r>
              <w:rPr>
                <w:rFonts w:hint="eastAsia" w:ascii="仿宋" w:hAnsi="仿宋" w:eastAsia="仿宋" w:cs="仿宋"/>
                <w:color w:val="auto"/>
                <w:kern w:val="0"/>
                <w:sz w:val="18"/>
                <w:szCs w:val="18"/>
                <w:highlight w:val="none"/>
              </w:rPr>
              <w:t>学校</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4</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21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olor w:val="auto"/>
                <w:sz w:val="18"/>
                <w:szCs w:val="18"/>
                <w:highlight w:val="none"/>
              </w:rPr>
              <w:t>1</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rPr>
            </w:pPr>
            <w:r>
              <w:rPr>
                <w:rFonts w:hint="eastAsia" w:ascii="仿宋" w:hAnsi="仿宋" w:eastAsia="仿宋"/>
                <w:color w:val="auto"/>
                <w:sz w:val="18"/>
                <w:szCs w:val="18"/>
                <w:highlight w:val="none"/>
              </w:rPr>
              <w:t>25</w:t>
            </w:r>
          </w:p>
        </w:tc>
        <w:tc>
          <w:tcPr>
            <w:tcW w:w="993"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rPr>
              <w:t>766000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8" w:type="dxa"/>
          </w:tcPr>
          <w:p>
            <w:pPr>
              <w:keepNext w:val="0"/>
              <w:keepLines w:val="0"/>
              <w:pageBreakBefore w:val="0"/>
              <w:widowControl w:val="0"/>
              <w:tabs>
                <w:tab w:val="left" w:pos="0"/>
              </w:tabs>
              <w:kinsoku/>
              <w:wordWrap/>
              <w:overflowPunct/>
              <w:topLinePunct w:val="0"/>
              <w:autoSpaceDE/>
              <w:autoSpaceDN/>
              <w:bidi w:val="0"/>
              <w:adjustRightInd w:val="0"/>
              <w:snapToGrid/>
              <w:spacing w:line="260" w:lineRule="exact"/>
              <w:jc w:val="center"/>
              <w:textAlignment w:val="auto"/>
              <w:outlineLvl w:val="0"/>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崇德小学</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3</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15</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3</w:t>
            </w:r>
          </w:p>
        </w:tc>
        <w:tc>
          <w:tcPr>
            <w:tcW w:w="709"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708"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w:t>
            </w:r>
          </w:p>
        </w:tc>
        <w:tc>
          <w:tcPr>
            <w:tcW w:w="709"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709"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0</w:t>
            </w:r>
          </w:p>
        </w:tc>
        <w:tc>
          <w:tcPr>
            <w:tcW w:w="567" w:type="dxa"/>
            <w:vAlign w:val="center"/>
          </w:tcPr>
          <w:p>
            <w:pPr>
              <w:tabs>
                <w:tab w:val="left" w:pos="0"/>
              </w:tabs>
              <w:spacing w:line="360" w:lineRule="auto"/>
              <w:jc w:val="center"/>
              <w:outlineLvl w:val="0"/>
              <w:rPr>
                <w:rFonts w:hint="eastAsia" w:ascii="仿宋" w:hAnsi="仿宋" w:eastAsia="仿宋"/>
                <w:color w:val="auto"/>
                <w:sz w:val="18"/>
                <w:szCs w:val="18"/>
                <w:highlight w:val="none"/>
              </w:rPr>
            </w:pPr>
            <w:r>
              <w:rPr>
                <w:rFonts w:hint="eastAsia" w:ascii="仿宋" w:hAnsi="仿宋" w:eastAsia="仿宋" w:cs="Times New Roman"/>
                <w:color w:val="auto"/>
                <w:sz w:val="18"/>
                <w:szCs w:val="18"/>
                <w:highlight w:val="none"/>
                <w:lang w:val="en-US" w:eastAsia="zh-CN"/>
              </w:rPr>
              <w:t>18</w:t>
            </w:r>
          </w:p>
        </w:tc>
        <w:tc>
          <w:tcPr>
            <w:tcW w:w="993" w:type="dxa"/>
            <w:vAlign w:val="center"/>
          </w:tcPr>
          <w:p>
            <w:pPr>
              <w:tabs>
                <w:tab w:val="left" w:pos="0"/>
              </w:tabs>
              <w:spacing w:line="360" w:lineRule="auto"/>
              <w:jc w:val="center"/>
              <w:outlineLvl w:val="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bidi="ar-SA"/>
              </w:rPr>
              <w:t>550500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8" w:type="dxa"/>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eastAsia="zh-Hans"/>
              </w:rPr>
              <w:t>合计</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61</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rPr>
              <w:t>1</w:t>
            </w:r>
            <w:r>
              <w:rPr>
                <w:rFonts w:hint="eastAsia" w:ascii="仿宋" w:hAnsi="仿宋" w:eastAsia="仿宋" w:cs="Times New Roman"/>
                <w:color w:val="auto"/>
                <w:sz w:val="18"/>
                <w:szCs w:val="18"/>
                <w:highlight w:val="none"/>
                <w:lang w:val="en-US" w:eastAsia="zh-CN"/>
              </w:rPr>
              <w:t>17</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59</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708"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7</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709"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rPr>
              <w:t>2</w:t>
            </w:r>
          </w:p>
        </w:tc>
        <w:tc>
          <w:tcPr>
            <w:tcW w:w="567"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Times New Roman"/>
                <w:color w:val="auto"/>
                <w:sz w:val="18"/>
                <w:szCs w:val="18"/>
                <w:highlight w:val="none"/>
                <w:lang w:val="en-US" w:eastAsia="zh-CN"/>
              </w:rPr>
              <w:t>178</w:t>
            </w:r>
          </w:p>
        </w:tc>
        <w:tc>
          <w:tcPr>
            <w:tcW w:w="993" w:type="dxa"/>
            <w:vAlign w:val="center"/>
          </w:tcPr>
          <w:p>
            <w:pPr>
              <w:tabs>
                <w:tab w:val="left" w:pos="0"/>
              </w:tabs>
              <w:spacing w:line="360" w:lineRule="auto"/>
              <w:jc w:val="center"/>
              <w:outlineLvl w:val="0"/>
              <w:rPr>
                <w:rFonts w:ascii="仿宋" w:hAnsi="仿宋" w:eastAsia="仿宋" w:cs="仿宋"/>
                <w:color w:val="auto"/>
                <w:kern w:val="0"/>
                <w:sz w:val="18"/>
                <w:szCs w:val="18"/>
                <w:highlight w:val="none"/>
                <w:lang w:eastAsia="zh-Hans"/>
              </w:rPr>
            </w:pPr>
            <w:r>
              <w:rPr>
                <w:rFonts w:hint="eastAsia" w:ascii="仿宋" w:hAnsi="仿宋" w:eastAsia="仿宋" w:cs="仿宋"/>
                <w:color w:val="auto"/>
                <w:kern w:val="0"/>
                <w:sz w:val="18"/>
                <w:szCs w:val="18"/>
                <w:highlight w:val="none"/>
                <w:lang w:val="en-US" w:eastAsia="zh-CN" w:bidi="ar-SA"/>
              </w:rPr>
              <w:t>5177500</w:t>
            </w:r>
          </w:p>
        </w:tc>
      </w:tr>
    </w:tbl>
    <w:p>
      <w:pPr>
        <w:widowControl/>
        <w:snapToGrid w:val="0"/>
        <w:spacing w:line="360" w:lineRule="auto"/>
        <w:jc w:val="left"/>
        <w:rPr>
          <w:rFonts w:ascii="仿宋" w:hAnsi="仿宋" w:eastAsia="仿宋" w:cs="仿宋"/>
          <w:b/>
          <w:bCs/>
          <w:snapToGrid w:val="0"/>
          <w:color w:val="auto"/>
          <w:kern w:val="0"/>
          <w:sz w:val="24"/>
          <w:highlight w:val="none"/>
        </w:rPr>
      </w:pPr>
    </w:p>
    <w:p>
      <w:pPr>
        <w:tabs>
          <w:tab w:val="left" w:pos="0"/>
        </w:tabs>
        <w:spacing w:line="360" w:lineRule="auto"/>
        <w:jc w:val="left"/>
        <w:outlineLvl w:val="0"/>
        <w:rPr>
          <w:rFonts w:ascii="仿宋" w:hAnsi="仿宋" w:eastAsia="仿宋" w:cs="仿宋"/>
          <w:b/>
          <w:bCs/>
          <w:color w:val="auto"/>
          <w:sz w:val="28"/>
          <w:szCs w:val="28"/>
          <w:highlight w:val="none"/>
          <w:lang w:eastAsia="zh-Hans"/>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eastAsia="zh-Hans"/>
        </w:rPr>
        <w:t>产品参数配置清单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92"/>
        <w:gridCol w:w="6816"/>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序号</w:t>
            </w:r>
          </w:p>
        </w:tc>
        <w:tc>
          <w:tcPr>
            <w:tcW w:w="590"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货物名称</w:t>
            </w:r>
          </w:p>
        </w:tc>
        <w:tc>
          <w:tcPr>
            <w:tcW w:w="3682"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技术要求</w:t>
            </w:r>
          </w:p>
        </w:tc>
        <w:tc>
          <w:tcPr>
            <w:tcW w:w="377" w:type="pct"/>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1</w:t>
            </w:r>
          </w:p>
        </w:tc>
        <w:tc>
          <w:tcPr>
            <w:tcW w:w="590"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olor w:val="auto"/>
                <w:sz w:val="24"/>
                <w:highlight w:val="none"/>
              </w:rPr>
              <w:t>86英寸智能平板</w:t>
            </w:r>
          </w:p>
        </w:tc>
        <w:tc>
          <w:tcPr>
            <w:tcW w:w="3682" w:type="pct"/>
          </w:tcPr>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一、整体设计</w:t>
            </w:r>
          </w:p>
          <w:p>
            <w:pPr>
              <w:numPr>
                <w:ilvl w:val="0"/>
                <w:numId w:val="1"/>
              </w:numPr>
              <w:adjustRightInd/>
              <w:rPr>
                <w:rFonts w:ascii="仿宋" w:hAnsi="仿宋" w:eastAsia="仿宋"/>
                <w:color w:val="auto"/>
                <w:sz w:val="24"/>
                <w:highlight w:val="none"/>
              </w:rPr>
            </w:pPr>
            <w:r>
              <w:rPr>
                <w:rFonts w:hint="eastAsia" w:ascii="仿宋" w:hAnsi="仿宋" w:eastAsia="仿宋"/>
                <w:color w:val="auto"/>
                <w:sz w:val="24"/>
                <w:highlight w:val="none"/>
              </w:rPr>
              <w:t>整机采用一体设计，外部无任何可见内部功能模块连接线，整机采用全金属外壳设计，边角采用弧形设计，表面无尖锐边缘或凸起。</w:t>
            </w:r>
          </w:p>
          <w:p>
            <w:pPr>
              <w:numPr>
                <w:ilvl w:val="0"/>
                <w:numId w:val="1"/>
              </w:numPr>
              <w:adjustRightInd/>
              <w:rPr>
                <w:rFonts w:ascii="仿宋" w:hAnsi="仿宋" w:eastAsia="仿宋"/>
                <w:color w:val="auto"/>
                <w:sz w:val="24"/>
                <w:highlight w:val="none"/>
              </w:rPr>
            </w:pPr>
            <w:r>
              <w:rPr>
                <w:rFonts w:hint="eastAsia" w:ascii="仿宋" w:hAnsi="仿宋" w:eastAsia="仿宋"/>
                <w:color w:val="auto"/>
                <w:sz w:val="24"/>
                <w:highlight w:val="none"/>
              </w:rPr>
              <w:t>整机屏幕采用86英寸液晶显示器,整机采用UHD超高清LED 液晶屏，显示比例16:9，分辨率3840*2160，灰度等级≥256级。</w:t>
            </w:r>
          </w:p>
          <w:p>
            <w:pPr>
              <w:numPr>
                <w:ilvl w:val="0"/>
                <w:numId w:val="1"/>
              </w:numPr>
              <w:adjustRightInd/>
              <w:rPr>
                <w:rFonts w:ascii="仿宋" w:hAnsi="仿宋" w:eastAsia="仿宋"/>
                <w:color w:val="auto"/>
                <w:sz w:val="24"/>
                <w:highlight w:val="none"/>
              </w:rPr>
            </w:pPr>
            <w:r>
              <w:rPr>
                <w:rFonts w:hint="eastAsia" w:ascii="仿宋" w:hAnsi="仿宋" w:eastAsia="仿宋"/>
                <w:color w:val="auto"/>
                <w:sz w:val="24"/>
                <w:highlight w:val="none"/>
              </w:rPr>
              <w:t>采用钢化玻璃，有效保护屏幕显示画面,玻璃厚度≤4mm，玻璃表面硬度≥9H，玻璃表面采用纳米材料镀膜环保工艺，书写更加顺滑，防眩光效果更加优异，。</w:t>
            </w:r>
          </w:p>
          <w:p>
            <w:pPr>
              <w:numPr>
                <w:ilvl w:val="0"/>
                <w:numId w:val="1"/>
              </w:numPr>
              <w:adjustRightInd/>
              <w:rPr>
                <w:rFonts w:ascii="仿宋" w:hAnsi="仿宋" w:eastAsia="仿宋"/>
                <w:color w:val="auto"/>
                <w:sz w:val="24"/>
                <w:highlight w:val="none"/>
              </w:rPr>
            </w:pPr>
            <w:r>
              <w:rPr>
                <w:rFonts w:hint="eastAsia" w:ascii="仿宋" w:hAnsi="仿宋" w:eastAsia="仿宋"/>
                <w:color w:val="auto"/>
                <w:sz w:val="24"/>
                <w:highlight w:val="none"/>
              </w:rPr>
              <w:t>整机能感应并自动调节屏幕亮度来达到在不同光照环境下的不同亮度显示效果，此功能可自行开启或关闭。</w:t>
            </w:r>
          </w:p>
          <w:p>
            <w:pPr>
              <w:numPr>
                <w:ilvl w:val="0"/>
                <w:numId w:val="1"/>
              </w:numPr>
              <w:adjustRightInd/>
              <w:rPr>
                <w:rFonts w:ascii="仿宋" w:hAnsi="仿宋" w:eastAsia="仿宋"/>
                <w:b/>
                <w:bCs/>
                <w:color w:val="auto"/>
                <w:sz w:val="24"/>
                <w:highlight w:val="none"/>
              </w:rPr>
            </w:pPr>
            <w:r>
              <w:rPr>
                <w:rFonts w:hint="eastAsia" w:ascii="仿宋" w:hAnsi="仿宋" w:eastAsia="仿宋"/>
                <w:color w:val="auto"/>
                <w:sz w:val="24"/>
                <w:highlight w:val="none"/>
              </w:rPr>
              <w:t>整机视网膜蓝光危害（蓝光加权辐射亮度LB）满足IEC TR 62778:2014蓝光危害RG0级别。</w:t>
            </w:r>
          </w:p>
          <w:p>
            <w:pPr>
              <w:numPr>
                <w:ilvl w:val="0"/>
                <w:numId w:val="1"/>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整机支持纸质护眼模式，可以在任意通道任意画面任意软件所有显示内容下实现画面纹理的实时调整；支持纸质纹理：牛皮纸、素描纸、宣纸、水彩纸、水纹纸；支持透明度调节；支持色温调节。</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二、整机设计</w:t>
            </w:r>
          </w:p>
          <w:p>
            <w:pPr>
              <w:numPr>
                <w:ilvl w:val="0"/>
                <w:numId w:val="2"/>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整机内置2.2声道扬声器，位于设备上边框，顶置朝前发声，前朝向10W高音扬声器2个，上朝向20W中低音扬声器2个，额定总功率60W。（</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支持传屏功能，可以将外部电脑的屏幕画面通过无线方式传输到整机上显示。</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整机内置无线网络模块，PC模块无任何外接或转接天线、网卡可实现Wi-Fi无线上网连接和AP无线热点发射，Wi-Fi和AP热点均支持频段 2.4GHz/5GHz ，满足IEEE 802.11 a/b/g/n/ac标准，Wi-Fi和AP热点工作距离≥12m。</w:t>
            </w:r>
          </w:p>
          <w:p>
            <w:pPr>
              <w:numPr>
                <w:ilvl w:val="0"/>
                <w:numId w:val="2"/>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整机支持搭配具有NFC功能的手机、平板，通过接触NFC标签，接触即可实现手机与大屏的连接并同步画面，无需其它操作设置，支持不少于4台手机、平板同时连接并显示。（</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三合一电源按键，同一电源物理按键完成Android系统和Windows系统的开机、节能熄屏、关机操作；关机状态下轻按按键开机；开机状态下轻按按键实现节能熄屏/唤醒，长按按键实现关机。</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整机具备至少6个前置按键，实现老师开关机、调出中控菜单、音量+/-、护眼、录屏的操作。</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整机具有护眼功能，可通过前置面板物理功能按键一键启用护眼模式。</w:t>
            </w:r>
          </w:p>
          <w:p>
            <w:pPr>
              <w:numPr>
                <w:ilvl w:val="0"/>
                <w:numId w:val="2"/>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设备支持通过前置面板物理按键一键启动录屏功能，可将屏幕中显示的课件、音频内容与老师人声同时录制。</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支持智能U盘锁功能，整机可设置触摸及按键锁定，锁定后无法随意自由操作，需要使用时插入USB key可解锁。</w:t>
            </w:r>
          </w:p>
          <w:p>
            <w:pPr>
              <w:numPr>
                <w:ilvl w:val="0"/>
                <w:numId w:val="2"/>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整机内置非独立摄像头，拍摄像素数≥1300万，摄像头对角角度≥1</w:t>
            </w:r>
            <w:r>
              <w:rPr>
                <w:rFonts w:ascii="仿宋" w:hAnsi="仿宋" w:eastAsia="仿宋"/>
                <w:color w:val="auto"/>
                <w:sz w:val="24"/>
                <w:highlight w:val="none"/>
              </w:rPr>
              <w:t>35</w:t>
            </w:r>
            <w:r>
              <w:rPr>
                <w:rFonts w:hint="eastAsia" w:ascii="仿宋" w:hAnsi="仿宋" w:eastAsia="仿宋"/>
                <w:color w:val="auto"/>
                <w:sz w:val="24"/>
                <w:highlight w:val="none"/>
              </w:rPr>
              <w:t>°，可用于远程巡课，拍摄范围可以涵盖整机距离摄像头垂直法线左右水平距离各大于等于4米，左右最边缘深度大于等于2.3米范围内，并且可以AI识别人像</w:t>
            </w:r>
          </w:p>
          <w:p>
            <w:pPr>
              <w:numPr>
                <w:ilvl w:val="0"/>
                <w:numId w:val="2"/>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整机摄像头支持大于等于10米距离时实现AI识别人像，整机摄像头支持人脸识别、快速点人数、随机抽人；识别所有学生，显示标记，然后随机抽选，同时显示标记不少于60人。</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整机内置非独立外扩展的阵列麦克风，可用于对教室环境音频进行采集，拾音距离≥12m。</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外接电脑设备连接整机且触摸信号连通时，外接电脑设备可直接读取整机前置USB接口的移动存储设备数据，连接整机前置USB接口的翻页笔和无线键鼠可直接使用于外接电脑。</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Android系统和Windows系统下，支持通过任何一个前置USB接口读取外接移动存储设备。</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外接电脑设备通过HDMI线投送画面至整机时，再连接TypeB USB线至整机触控输出接口，即可直接调用整机内置的摄像头、麦克风、扬声器，在外接电脑即可拍摄教室画面。</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整机具备不少于1路侧置双通道USB接口，双系统USB接口支持Windows和Android双系统读取外接存储设备数据和识别展台信号。</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支持前置Type-C接口，通过Type-C接口实现音视频输入，外接电脑设备通过标准Type-C线连接至整机Type-C口，即可把外接电脑设备画面投到整机上，同时在整机上操作画面，可实现触摸电脑的操作，无需再连接触控USB线。</w:t>
            </w:r>
          </w:p>
          <w:p>
            <w:pPr>
              <w:numPr>
                <w:ilvl w:val="0"/>
                <w:numId w:val="2"/>
              </w:numPr>
              <w:adjustRightInd/>
              <w:rPr>
                <w:rFonts w:ascii="仿宋" w:hAnsi="仿宋" w:eastAsia="仿宋"/>
                <w:color w:val="auto"/>
                <w:sz w:val="24"/>
                <w:highlight w:val="none"/>
              </w:rPr>
            </w:pPr>
            <w:r>
              <w:rPr>
                <w:rFonts w:hint="eastAsia" w:ascii="仿宋" w:hAnsi="仿宋" w:eastAsia="仿宋"/>
                <w:color w:val="auto"/>
                <w:sz w:val="24"/>
                <w:highlight w:val="none"/>
              </w:rPr>
              <w:t>外接电脑设备通过机外Type-C线连接至整机Type-C口，可直接调用整机内置的摄像头、麦克风、扬声器，在外接电脑可拍摄教室画面。</w:t>
            </w:r>
          </w:p>
          <w:p>
            <w:pPr>
              <w:adjustRightInd/>
              <w:rPr>
                <w:rFonts w:ascii="仿宋" w:hAnsi="仿宋" w:eastAsia="仿宋"/>
                <w:color w:val="auto"/>
                <w:sz w:val="24"/>
                <w:highlight w:val="none"/>
              </w:rPr>
            </w:pPr>
            <w:r>
              <w:rPr>
                <w:rFonts w:hint="eastAsia" w:ascii="仿宋" w:hAnsi="仿宋" w:eastAsia="仿宋"/>
                <w:b/>
                <w:bCs/>
                <w:color w:val="auto"/>
                <w:sz w:val="24"/>
                <w:highlight w:val="none"/>
              </w:rPr>
              <w:t>三、主要功能</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支持通道自动跳转功能，如整机处于正常使用状态，HDMI信号接入时，能自动识别并切换到对应的HDMI信号源通道，且断开后能回到上一通道，自动跳转前支持选择确认，待确认后再跳转。</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支持外接信号输入时自动唤醒功能，整机处于关机通电状态，外接电脑显示信号通过HDMI传输线连接至整机时，整机可智能识别外接电脑设备信号输入并自动开机。</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整机关机状态下，通过长按电源键进入设置界面后，可点击屏幕选择恢复整机系统及Windows操作系统到出厂默认状态，无需额外工具辅助。</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支持半屏模式，将Windows显示画面上半部分下拉到显示屏的下半部分显示，此时依然可以正常触控操作Windows系统；点击非Windows显示画面区域，即可退出该模式，无需其他设置（</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支持锁定屏幕触摸和整机前置按键，可通过遥控器、十指长按屏幕5秒、软件菜单（调试菜单）实现该功能，也可通过前置面板的物理按键以组合按键的形式进行锁定/解锁。</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具备智能手势识别功能，在任意信号源通道下可识别五指上、下、左、右方向手势滑动并调用响应功能，支持将各手势滑动方向自定义设置为无操作、熄屏、批注、桌面、半屏模式。</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前置 USB 接口具备防撞挡板设计，防撞挡板采用转轴式翻转。</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支持黑板关闭后整机自动节能，当整机安装到推拉黑板中时，关闭推拉黑板一分钟，整机自动熄屏。</w:t>
            </w:r>
          </w:p>
          <w:p>
            <w:pPr>
              <w:numPr>
                <w:ilvl w:val="0"/>
                <w:numId w:val="3"/>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整机支持蓝牙Bluetooth 5.2标准，固件版本号HCI11.2/LMP11.2，内置蓝牙模块工作距离不低于12m。</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整机无需外接无线网卡，在Windows系统下接入无线网络，切换到嵌入式Android系统下可直接实现无线上网功能，不需手动重复设置，Wi-Fi制式支持802.11 a/b/g/n/ac/ax；支持版本Wi-Fi6。</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部署单根网线可实现Android、Windows双系统有线网络连通。</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支持标准、HDR、节能图像模式调节。</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具备摄像头工作指示灯，摄像头运行时，有指示灯提示。</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支持同一支红外笔笔头、笔尾书写不同的颜色，且颜色可自定义。</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支持将自定义图片设置为开机画面。</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支持通过Type-C接口U盘进行文件传输，兼容手机充电。</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整机在五分钟内处于无信号接收状态时，能够自动关机。</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内置触摸中控菜单，将信号源通道切换、护眼、声音调节整合到同一菜单下，无须实体按键，在任意显示通道下均可通过手势在屏幕上调取该触摸菜单。</w:t>
            </w:r>
          </w:p>
          <w:p>
            <w:pPr>
              <w:numPr>
                <w:ilvl w:val="0"/>
                <w:numId w:val="3"/>
              </w:numPr>
              <w:adjustRightInd/>
              <w:rPr>
                <w:rFonts w:ascii="仿宋" w:hAnsi="仿宋" w:eastAsia="仿宋"/>
                <w:color w:val="auto"/>
                <w:sz w:val="24"/>
                <w:highlight w:val="none"/>
              </w:rPr>
            </w:pPr>
            <w:r>
              <w:rPr>
                <w:rFonts w:hint="eastAsia" w:ascii="仿宋" w:hAnsi="仿宋" w:eastAsia="仿宋"/>
                <w:color w:val="auto"/>
                <w:sz w:val="24"/>
                <w:highlight w:val="none"/>
              </w:rPr>
              <w:t>整机在任意通道的侧拉栏批注模式下，支持通过手势识别调出板擦工具擦除批注内容，可根据手与屏幕的接触面积自动调整板擦工具的大小。</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四、触摸系统</w:t>
            </w:r>
          </w:p>
          <w:p>
            <w:pPr>
              <w:numPr>
                <w:ilvl w:val="0"/>
                <w:numId w:val="4"/>
              </w:numPr>
              <w:adjustRightInd/>
              <w:rPr>
                <w:rFonts w:ascii="仿宋" w:hAnsi="仿宋" w:eastAsia="仿宋"/>
                <w:color w:val="auto"/>
                <w:sz w:val="24"/>
                <w:highlight w:val="none"/>
              </w:rPr>
            </w:pPr>
            <w:r>
              <w:rPr>
                <w:rFonts w:hint="eastAsia" w:ascii="仿宋" w:hAnsi="仿宋" w:eastAsia="仿宋"/>
                <w:color w:val="auto"/>
                <w:sz w:val="24"/>
                <w:highlight w:val="none"/>
              </w:rPr>
              <w:t>支持红外触控，支持Windows系统中进行20点或以上触控，安卓系统中进行 10 点或以上触控，支持红外笔书写</w:t>
            </w:r>
          </w:p>
          <w:p>
            <w:pPr>
              <w:numPr>
                <w:ilvl w:val="0"/>
                <w:numId w:val="4"/>
              </w:numPr>
              <w:adjustRightInd/>
              <w:rPr>
                <w:rFonts w:ascii="仿宋" w:hAnsi="仿宋" w:eastAsia="仿宋"/>
                <w:color w:val="auto"/>
                <w:sz w:val="24"/>
                <w:highlight w:val="none"/>
              </w:rPr>
            </w:pPr>
            <w:r>
              <w:rPr>
                <w:rFonts w:hint="eastAsia" w:ascii="仿宋" w:hAnsi="仿宋" w:eastAsia="仿宋"/>
                <w:color w:val="auto"/>
                <w:sz w:val="24"/>
                <w:highlight w:val="none"/>
              </w:rPr>
              <w:t>触摸屏在照度100k lux 环境下可正常工作，触摸分辨率32768×32768，触摸响应时间≤4ms，触摸最小识别物≤3mm。</w:t>
            </w:r>
          </w:p>
          <w:p>
            <w:pPr>
              <w:numPr>
                <w:ilvl w:val="0"/>
                <w:numId w:val="4"/>
              </w:numPr>
              <w:adjustRightInd/>
              <w:rPr>
                <w:rFonts w:ascii="仿宋" w:hAnsi="仿宋" w:eastAsia="仿宋"/>
                <w:color w:val="auto"/>
                <w:sz w:val="24"/>
                <w:highlight w:val="none"/>
              </w:rPr>
            </w:pPr>
            <w:r>
              <w:rPr>
                <w:rFonts w:hint="eastAsia" w:ascii="仿宋" w:hAnsi="仿宋" w:eastAsia="仿宋"/>
                <w:color w:val="auto"/>
                <w:sz w:val="24"/>
                <w:highlight w:val="none"/>
              </w:rPr>
              <w:t>整机屏幕触摸有效识别高度不超过3.5mm,即触摸物体距离玻璃外表面高度不超过3.5mm时，触摸屏识别为点击操作。</w:t>
            </w:r>
            <w:r>
              <w:rPr>
                <w:rFonts w:ascii="Calibri" w:hAnsi="Calibri" w:eastAsia="仿宋" w:cs="Calibri"/>
                <w:color w:val="auto"/>
                <w:sz w:val="24"/>
                <w:highlight w:val="none"/>
              </w:rPr>
              <w:t> </w:t>
            </w:r>
          </w:p>
          <w:p>
            <w:pPr>
              <w:numPr>
                <w:ilvl w:val="0"/>
                <w:numId w:val="4"/>
              </w:numPr>
              <w:adjustRightInd/>
              <w:spacing w:after="120"/>
              <w:rPr>
                <w:rFonts w:ascii="仿宋" w:hAnsi="仿宋" w:eastAsia="仿宋"/>
                <w:color w:val="auto"/>
                <w:sz w:val="24"/>
                <w:highlight w:val="none"/>
              </w:rPr>
            </w:pPr>
            <w:r>
              <w:rPr>
                <w:rFonts w:hint="eastAsia" w:ascii="仿宋" w:hAnsi="仿宋" w:eastAsia="仿宋"/>
                <w:color w:val="auto"/>
                <w:sz w:val="24"/>
                <w:highlight w:val="none"/>
              </w:rPr>
              <w:t>支持同一支红外笔笔头、笔尾书写不同的颜色，且颜色可自定义。</w:t>
            </w:r>
          </w:p>
          <w:p>
            <w:pPr>
              <w:numPr>
                <w:ilvl w:val="0"/>
                <w:numId w:val="4"/>
              </w:numPr>
              <w:adjustRightInd/>
              <w:rPr>
                <w:rFonts w:ascii="仿宋" w:hAnsi="仿宋" w:eastAsia="仿宋"/>
                <w:color w:val="auto"/>
                <w:sz w:val="24"/>
                <w:highlight w:val="none"/>
              </w:rPr>
            </w:pPr>
            <w:r>
              <w:rPr>
                <w:rFonts w:hint="eastAsia" w:ascii="仿宋" w:hAnsi="仿宋" w:eastAsia="仿宋"/>
                <w:color w:val="auto"/>
                <w:sz w:val="24"/>
                <w:highlight w:val="none"/>
              </w:rPr>
              <w:t>触摸屏具有防遮挡功能，触摸接收器在单点或多点遮挡后仍能正常书写。</w:t>
            </w:r>
          </w:p>
          <w:p>
            <w:pPr>
              <w:numPr>
                <w:ilvl w:val="0"/>
                <w:numId w:val="4"/>
              </w:numPr>
              <w:adjustRightInd/>
              <w:rPr>
                <w:rFonts w:ascii="仿宋" w:hAnsi="仿宋" w:eastAsia="仿宋"/>
                <w:color w:val="auto"/>
                <w:sz w:val="24"/>
                <w:highlight w:val="none"/>
              </w:rPr>
            </w:pPr>
            <w:r>
              <w:rPr>
                <w:rFonts w:hint="eastAsia" w:ascii="仿宋" w:hAnsi="仿宋" w:eastAsia="仿宋"/>
                <w:color w:val="auto"/>
                <w:sz w:val="24"/>
                <w:highlight w:val="none"/>
              </w:rPr>
              <w:t>从外部通道切换到内部PC通道后，触摸框在1s内达到可触控状态。</w:t>
            </w:r>
          </w:p>
          <w:p>
            <w:pPr>
              <w:numPr>
                <w:ilvl w:val="0"/>
                <w:numId w:val="4"/>
              </w:numPr>
              <w:adjustRightInd/>
              <w:rPr>
                <w:rFonts w:ascii="仿宋" w:hAnsi="仿宋" w:eastAsia="仿宋"/>
                <w:color w:val="auto"/>
                <w:sz w:val="24"/>
                <w:highlight w:val="none"/>
              </w:rPr>
            </w:pPr>
            <w:r>
              <w:rPr>
                <w:rFonts w:hint="eastAsia" w:ascii="仿宋" w:hAnsi="仿宋" w:eastAsia="仿宋"/>
                <w:color w:val="auto"/>
                <w:sz w:val="24"/>
                <w:highlight w:val="none"/>
              </w:rPr>
              <w:t>Windows 10、Windows 1</w:t>
            </w:r>
            <w:r>
              <w:rPr>
                <w:rFonts w:ascii="仿宋" w:hAnsi="仿宋" w:eastAsia="仿宋"/>
                <w:color w:val="auto"/>
                <w:sz w:val="24"/>
                <w:highlight w:val="none"/>
              </w:rPr>
              <w:t>1</w:t>
            </w:r>
            <w:r>
              <w:rPr>
                <w:rFonts w:hint="eastAsia" w:ascii="仿宋" w:hAnsi="仿宋" w:eastAsia="仿宋"/>
                <w:color w:val="auto"/>
                <w:sz w:val="24"/>
                <w:highlight w:val="none"/>
              </w:rPr>
              <w:t>、Linux、Mac Os系统外置电脑操作系统接入时，无需安装触摸框驱动。</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五、安卓系统</w:t>
            </w:r>
          </w:p>
          <w:p>
            <w:pPr>
              <w:numPr>
                <w:ilvl w:val="0"/>
                <w:numId w:val="5"/>
              </w:numPr>
              <w:adjustRightInd/>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嵌入式系统版本不低于Android 11，内存≥2GB，存储空间≥8GB。（</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numPr>
                <w:ilvl w:val="0"/>
                <w:numId w:val="5"/>
              </w:numPr>
              <w:adjustRightInd/>
              <w:rPr>
                <w:rFonts w:ascii="仿宋" w:hAnsi="仿宋" w:eastAsia="仿宋"/>
                <w:color w:val="auto"/>
                <w:sz w:val="24"/>
                <w:highlight w:val="none"/>
              </w:rPr>
            </w:pPr>
            <w:r>
              <w:rPr>
                <w:rFonts w:hint="eastAsia" w:ascii="仿宋" w:hAnsi="仿宋" w:eastAsia="仿宋"/>
                <w:color w:val="auto"/>
                <w:sz w:val="24"/>
                <w:highlight w:val="none"/>
              </w:rPr>
              <w:t>嵌入式Android操作系统下，白板支持对已经书写的笔迹和形状的颜色进行更换。</w:t>
            </w:r>
          </w:p>
          <w:p>
            <w:pPr>
              <w:numPr>
                <w:ilvl w:val="0"/>
                <w:numId w:val="5"/>
              </w:numPr>
              <w:adjustRightInd/>
              <w:rPr>
                <w:rFonts w:ascii="仿宋" w:hAnsi="仿宋" w:eastAsia="仿宋"/>
                <w:color w:val="auto"/>
                <w:sz w:val="24"/>
                <w:highlight w:val="none"/>
              </w:rPr>
            </w:pPr>
            <w:r>
              <w:rPr>
                <w:rFonts w:hint="eastAsia" w:ascii="仿宋" w:hAnsi="仿宋" w:eastAsia="仿宋"/>
                <w:color w:val="auto"/>
                <w:sz w:val="24"/>
                <w:highlight w:val="none"/>
              </w:rPr>
              <w:t>嵌入式Android操作系统下，互动白板支持不同背景颜色，同时提供学科专用背景，如：五线谱、信纸、田字格、英文格、篮球和足球场地平面图。</w:t>
            </w:r>
          </w:p>
          <w:p>
            <w:pPr>
              <w:numPr>
                <w:ilvl w:val="0"/>
                <w:numId w:val="5"/>
              </w:numPr>
              <w:adjustRightInd/>
              <w:rPr>
                <w:rFonts w:ascii="仿宋" w:hAnsi="仿宋" w:eastAsia="仿宋"/>
                <w:color w:val="auto"/>
                <w:sz w:val="24"/>
                <w:highlight w:val="none"/>
              </w:rPr>
            </w:pPr>
            <w:r>
              <w:rPr>
                <w:rFonts w:hint="eastAsia" w:ascii="仿宋" w:hAnsi="仿宋" w:eastAsia="仿宋"/>
                <w:color w:val="auto"/>
                <w:sz w:val="24"/>
                <w:highlight w:val="none"/>
              </w:rPr>
              <w:t>无PC状态下，嵌入式系统内置互动白板支持十笔书写及手掌擦除（手掌擦除面积根据手掌与屏幕的接触面大小自动调整），白板书写内容可导出PDF、IWB、SVG格式。支持10种以上平面图形工具，支持8种以上立体图形工具。</w:t>
            </w:r>
          </w:p>
          <w:p>
            <w:pPr>
              <w:numPr>
                <w:ilvl w:val="0"/>
                <w:numId w:val="5"/>
              </w:numPr>
              <w:adjustRightInd/>
              <w:rPr>
                <w:rFonts w:ascii="仿宋" w:hAnsi="仿宋" w:eastAsia="仿宋"/>
                <w:color w:val="auto"/>
                <w:sz w:val="24"/>
                <w:highlight w:val="none"/>
              </w:rPr>
            </w:pPr>
            <w:r>
              <w:rPr>
                <w:rFonts w:hint="eastAsia" w:ascii="仿宋" w:hAnsi="仿宋" w:eastAsia="仿宋"/>
                <w:color w:val="auto"/>
                <w:sz w:val="24"/>
                <w:highlight w:val="none"/>
              </w:rPr>
              <w:t>无PC状态下，嵌入式系统内置互动白板支持全局漫游，并对全局内容进行预览和移动。</w:t>
            </w:r>
          </w:p>
          <w:p>
            <w:pPr>
              <w:numPr>
                <w:ilvl w:val="0"/>
                <w:numId w:val="5"/>
              </w:numPr>
              <w:adjustRightInd/>
              <w:rPr>
                <w:rFonts w:ascii="仿宋" w:hAnsi="仿宋" w:eastAsia="仿宋"/>
                <w:color w:val="auto"/>
                <w:sz w:val="24"/>
                <w:highlight w:val="none"/>
              </w:rPr>
            </w:pPr>
            <w:r>
              <w:rPr>
                <w:rFonts w:hint="eastAsia" w:ascii="仿宋" w:hAnsi="仿宋" w:eastAsia="仿宋"/>
                <w:color w:val="auto"/>
                <w:sz w:val="24"/>
                <w:highlight w:val="none"/>
              </w:rPr>
              <w:t>无PC状态下，嵌入式Android操作系统下可实现windows系统中常用的教学应用功能，如白板书写、WPS软件使用、网页浏览。</w:t>
            </w:r>
          </w:p>
          <w:p>
            <w:pPr>
              <w:numPr>
                <w:ilvl w:val="0"/>
                <w:numId w:val="5"/>
              </w:numPr>
              <w:adjustRightInd/>
              <w:rPr>
                <w:rFonts w:ascii="仿宋" w:hAnsi="仿宋" w:eastAsia="仿宋"/>
                <w:color w:val="auto"/>
                <w:sz w:val="24"/>
                <w:highlight w:val="none"/>
              </w:rPr>
            </w:pPr>
            <w:r>
              <w:rPr>
                <w:rFonts w:hint="eastAsia" w:ascii="仿宋" w:hAnsi="仿宋" w:eastAsia="仿宋"/>
                <w:color w:val="auto"/>
                <w:sz w:val="24"/>
                <w:highlight w:val="none"/>
              </w:rPr>
              <w:t>在嵌入式Android操作系统下，能对TV多媒体USB所读取到的文件进行自动归类，可分类查找文档、板书、图片、音视频，检索后可直接在界面中打开。</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六、教学软件：</w:t>
            </w:r>
          </w:p>
          <w:p>
            <w:pPr>
              <w:numPr>
                <w:ilvl w:val="0"/>
                <w:numId w:val="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教学软件为教师提供可扩展，易于学校管理，安全可靠的云存储空间，根据每名教师使用时长与教学资料制作频率提供可扩展升级至不小于200G的个人云空间。</w:t>
            </w:r>
          </w:p>
          <w:p>
            <w:pPr>
              <w:numPr>
                <w:ilvl w:val="0"/>
                <w:numId w:val="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教学软件须为使用方全体教师配备个人账号，形成一体的信息化教学账号体系；根据教师账号信息将教师云空间匹配至对应学校、学科校本资源库。支持通过数字账号、微信二维码、硬件密钥方式登录教师个人账号。</w:t>
            </w:r>
          </w:p>
          <w:p>
            <w:pPr>
              <w:numPr>
                <w:ilvl w:val="0"/>
                <w:numId w:val="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科工具：数学立体图形六面图不同颜色并可手动立体旋转及展开；化学方程式只需输入一个元素，将自动显示出和该元素相关的多个常用化学反应方程式供选用；语文支持诗词导入并配有电子朗读及注释；英语听写工具：支持自定义选择单词。自定义听写频率和次数，一键生成听写卡，一键开启听写朗读。</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【空中课堂】：</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空中课堂功能内置于软件中，无需额外安装部署直播软件，可实现语音直播、课件同步、互动工具等远程教学功能</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一键开课：教师可一键开课生成课程海报；学生扫描课程海报微信二维码即可加入直播课堂，无需额外安装APP。</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学生观看：学生扫码报名后可通过微信小程序和电脑端浏览器观看直播</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文本聊天工具：学生可在直播课堂打字提问、互动，学生提问内容实时传递至教师；</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互动答题工具：教师根据讲解内容发布答题板供学生选择作答，学生提交答案后系统自动统计正确率和答题详情。</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远程互动工具：在直播课堂中，教师可指定授权学生远程互动，学生可在直播的课件画面进行书写、移动、擦除、参与互动活动等，学生操作过程实时同步至班级其他学生，可支持不少于5位学生同时参与远程互动；</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课堂奖励工具：直播过程中可向学生发放奖杯，学生在线学习获得的奖杯数量累积统计。</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远程考勤管理：直播课程结束后，后台自动统计报名学生名单和学生学习清单。</w:t>
            </w:r>
          </w:p>
          <w:p>
            <w:pPr>
              <w:numPr>
                <w:ilvl w:val="0"/>
                <w:numId w:val="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课程回放：课程结束后自动生成直播回放，报名课程的学生可反复学习；回放课程自动保存在云端，支持人工删除。</w:t>
            </w:r>
          </w:p>
          <w:p>
            <w:pPr>
              <w:tabs>
                <w:tab w:val="left" w:pos="0"/>
              </w:tabs>
              <w:adjustRightInd/>
              <w:jc w:val="left"/>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【微课录制】</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微课功能内置于软件中，支持快速录制微课，微课可录制保存音频和课件的互动操作</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录制功能：录制过程中可对课件中的元素进行拖动、克隆、删除等操作，支持在录制过程中进行书写和擦除</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剪辑重录功能：支持按照课件页面片段剪辑和重录微课，支持一键上传至云端保存</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无课件录制：支持教师在空白页面录制微课，支持自主添加不低于100页电子草稿进行讲解</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听课方式：微课录制结束后自动生成分享海报，学生扫码在即可在微信观看，无需下载额外app使用</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学生观看微课时可进行多种互动，可在控制课件模式下移动、删除克隆课件内的元素，参与课堂活动互动练习</w:t>
            </w:r>
          </w:p>
          <w:p>
            <w:pPr>
              <w:numPr>
                <w:ilvl w:val="0"/>
                <w:numId w:val="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系统后台自动统计微课的观看次数，便于教师做教研管理</w:t>
            </w:r>
          </w:p>
          <w:p>
            <w:pPr>
              <w:numPr>
                <w:ilvl w:val="0"/>
                <w:numId w:val="8"/>
              </w:numPr>
              <w:tabs>
                <w:tab w:val="left" w:pos="0"/>
              </w:tabs>
              <w:adjustRightInd/>
              <w:jc w:val="left"/>
              <w:outlineLvl w:val="0"/>
              <w:rPr>
                <w:rFonts w:ascii="仿宋" w:hAnsi="仿宋" w:eastAsia="仿宋"/>
                <w:b/>
                <w:bCs/>
                <w:color w:val="auto"/>
                <w:highlight w:val="none"/>
                <w:lang w:eastAsia="zh-Hans"/>
              </w:rPr>
            </w:pPr>
            <w:r>
              <w:rPr>
                <w:rFonts w:hint="eastAsia" w:ascii="仿宋" w:hAnsi="仿宋" w:eastAsia="仿宋"/>
                <w:color w:val="auto"/>
                <w:sz w:val="24"/>
                <w:highlight w:val="none"/>
              </w:rPr>
              <w:t>学情分析：演示老师录制微课时设置答题板功能，学生边看微课边答题；支持导出学情分析表，包括课程信息、学生基本信息、观看微课时间、答题数及正确率等。</w:t>
            </w:r>
          </w:p>
        </w:tc>
        <w:tc>
          <w:tcPr>
            <w:tcW w:w="377" w:type="pct"/>
            <w:vAlign w:val="center"/>
          </w:tcPr>
          <w:p>
            <w:pPr>
              <w:tabs>
                <w:tab w:val="left" w:pos="0"/>
              </w:tabs>
              <w:adjustRightInd/>
              <w:jc w:val="center"/>
              <w:outlineLvl w:val="0"/>
              <w:rPr>
                <w:rFonts w:ascii="仿宋" w:hAnsi="仿宋" w:eastAsia="仿宋" w:cs="仿宋"/>
                <w:color w:val="auto"/>
                <w:sz w:val="24"/>
                <w:highlight w:val="none"/>
              </w:rPr>
            </w:pPr>
            <w:r>
              <w:rPr>
                <w:rFonts w:hint="eastAsia" w:ascii="仿宋" w:hAnsi="仿宋" w:eastAsia="仿宋"/>
                <w:color w:val="auto"/>
                <w:sz w:val="24"/>
                <w:highlight w:val="none"/>
                <w:lang w:val="en-US" w:eastAsia="zh-CN"/>
              </w:rPr>
              <w:t>61</w:t>
            </w:r>
            <w:r>
              <w:rPr>
                <w:rFonts w:hint="eastAsia" w:ascii="仿宋" w:hAnsi="仿宋" w:eastAsia="仿宋"/>
                <w:color w:val="auto"/>
                <w:sz w:val="24"/>
                <w:highlight w:val="no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ascii="仿宋" w:hAnsi="仿宋" w:eastAsia="仿宋" w:cs="仿宋"/>
                <w:color w:val="auto"/>
                <w:sz w:val="24"/>
                <w:highlight w:val="none"/>
                <w:lang w:eastAsia="zh-Hans"/>
              </w:rPr>
              <w:t>2</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86英寸全贴合电容智慧黑板</w:t>
            </w:r>
          </w:p>
          <w:p>
            <w:pPr>
              <w:tabs>
                <w:tab w:val="left" w:pos="0"/>
              </w:tabs>
              <w:adjustRightInd/>
              <w:jc w:val="center"/>
              <w:outlineLvl w:val="0"/>
              <w:rPr>
                <w:rFonts w:ascii="仿宋" w:hAnsi="仿宋" w:eastAsia="仿宋" w:cs="仿宋"/>
                <w:color w:val="auto"/>
                <w:sz w:val="24"/>
                <w:highlight w:val="none"/>
                <w:lang w:eastAsia="zh-Hans"/>
              </w:rPr>
            </w:pPr>
          </w:p>
          <w:p>
            <w:pPr>
              <w:tabs>
                <w:tab w:val="left" w:pos="0"/>
              </w:tabs>
              <w:adjustRightInd/>
              <w:jc w:val="center"/>
              <w:outlineLvl w:val="0"/>
              <w:rPr>
                <w:rFonts w:ascii="仿宋" w:hAnsi="仿宋" w:eastAsia="仿宋" w:cs="仿宋"/>
                <w:color w:val="auto"/>
                <w:sz w:val="24"/>
                <w:highlight w:val="none"/>
                <w:lang w:eastAsia="zh-Hans"/>
              </w:rPr>
            </w:pPr>
          </w:p>
          <w:p>
            <w:pPr>
              <w:tabs>
                <w:tab w:val="left" w:pos="0"/>
              </w:tabs>
              <w:adjustRightInd/>
              <w:jc w:val="center"/>
              <w:outlineLvl w:val="0"/>
              <w:rPr>
                <w:rFonts w:ascii="仿宋" w:hAnsi="仿宋" w:eastAsia="仿宋" w:cs="仿宋"/>
                <w:color w:val="auto"/>
                <w:sz w:val="24"/>
                <w:highlight w:val="none"/>
                <w:lang w:eastAsia="zh-Hans"/>
              </w:rPr>
            </w:pPr>
          </w:p>
        </w:tc>
        <w:tc>
          <w:tcPr>
            <w:tcW w:w="3682" w:type="pct"/>
          </w:tcPr>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一、整体设计</w:t>
            </w:r>
          </w:p>
          <w:p>
            <w:pPr>
              <w:numPr>
                <w:ilvl w:val="0"/>
                <w:numId w:val="9"/>
              </w:numPr>
              <w:adjustRightInd/>
              <w:rPr>
                <w:rFonts w:ascii="仿宋" w:hAnsi="仿宋" w:eastAsia="仿宋"/>
                <w:color w:val="auto"/>
                <w:sz w:val="24"/>
                <w:highlight w:val="none"/>
              </w:rPr>
            </w:pPr>
            <w:r>
              <w:rPr>
                <w:rFonts w:hint="eastAsia" w:ascii="仿宋" w:hAnsi="仿宋" w:eastAsia="仿宋"/>
                <w:color w:val="auto"/>
                <w:sz w:val="24"/>
                <w:highlight w:val="none"/>
              </w:rPr>
              <w:t>整体外观尺寸：宽≥4200mm，高≥1200mm，厚≤95mm。整机采用三拼接平面一体化设计，无推拉式结构及外露连接线，外观简洁。整机屏幕边缘采用金属圆角包边防护，整机背板采用金属材质，有效屏蔽内部电路器件辐射。</w:t>
            </w:r>
          </w:p>
          <w:p>
            <w:pPr>
              <w:numPr>
                <w:ilvl w:val="0"/>
                <w:numId w:val="9"/>
              </w:numPr>
              <w:adjustRightInd/>
              <w:rPr>
                <w:rFonts w:ascii="仿宋" w:hAnsi="仿宋" w:eastAsia="仿宋"/>
                <w:color w:val="auto"/>
                <w:sz w:val="24"/>
                <w:highlight w:val="none"/>
              </w:rPr>
            </w:pPr>
            <w:r>
              <w:rPr>
                <w:rFonts w:hint="eastAsia" w:ascii="仿宋" w:hAnsi="仿宋" w:eastAsia="仿宋"/>
                <w:color w:val="auto"/>
                <w:sz w:val="24"/>
                <w:highlight w:val="none"/>
              </w:rPr>
              <w:t>主屏支持普通粉笔直接书写，整机两侧副屏可支持以下媒介（普通粉笔、液体粉笔、成膜笔）进行板书书写。</w:t>
            </w:r>
          </w:p>
          <w:p>
            <w:pPr>
              <w:numPr>
                <w:ilvl w:val="0"/>
                <w:numId w:val="9"/>
              </w:numPr>
              <w:adjustRightInd/>
              <w:rPr>
                <w:rFonts w:ascii="仿宋" w:hAnsi="仿宋" w:eastAsia="仿宋"/>
                <w:color w:val="auto"/>
                <w:sz w:val="24"/>
                <w:highlight w:val="none"/>
              </w:rPr>
            </w:pPr>
            <w:r>
              <w:rPr>
                <w:rFonts w:hint="eastAsia" w:ascii="仿宋" w:hAnsi="仿宋" w:eastAsia="仿宋"/>
                <w:color w:val="auto"/>
                <w:sz w:val="24"/>
                <w:highlight w:val="none"/>
              </w:rPr>
              <w:t>整机设备副屏支持磁吸附功能，可以满足带有磁吸的板擦等教具进行吸附在副屏上。</w:t>
            </w:r>
          </w:p>
          <w:p>
            <w:pPr>
              <w:numPr>
                <w:ilvl w:val="0"/>
                <w:numId w:val="9"/>
              </w:numPr>
              <w:adjustRightInd/>
              <w:rPr>
                <w:rFonts w:ascii="仿宋" w:hAnsi="仿宋" w:eastAsia="仿宋"/>
                <w:color w:val="auto"/>
                <w:sz w:val="24"/>
                <w:highlight w:val="none"/>
              </w:rPr>
            </w:pPr>
            <w:r>
              <w:rPr>
                <w:rFonts w:hint="eastAsia" w:ascii="仿宋" w:hAnsi="仿宋" w:eastAsia="仿宋"/>
                <w:color w:val="auto"/>
                <w:sz w:val="24"/>
                <w:highlight w:val="none"/>
              </w:rPr>
              <w:t>整机采用UHD超高清8</w:t>
            </w:r>
            <w:r>
              <w:rPr>
                <w:rFonts w:ascii="仿宋" w:hAnsi="仿宋" w:eastAsia="仿宋"/>
                <w:color w:val="auto"/>
                <w:sz w:val="24"/>
                <w:highlight w:val="none"/>
              </w:rPr>
              <w:t>6</w:t>
            </w:r>
            <w:r>
              <w:rPr>
                <w:rFonts w:hint="eastAsia" w:ascii="仿宋" w:hAnsi="仿宋" w:eastAsia="仿宋"/>
                <w:color w:val="auto"/>
                <w:sz w:val="24"/>
                <w:highlight w:val="none"/>
              </w:rPr>
              <w:t>英寸LED液晶屏，显示比例16:9，分辨率3840*2160。</w:t>
            </w:r>
          </w:p>
          <w:p>
            <w:pPr>
              <w:numPr>
                <w:ilvl w:val="0"/>
                <w:numId w:val="9"/>
              </w:numPr>
              <w:adjustRightInd/>
              <w:rPr>
                <w:rFonts w:ascii="仿宋" w:hAnsi="仿宋" w:eastAsia="仿宋"/>
                <w:color w:val="auto"/>
                <w:sz w:val="24"/>
                <w:highlight w:val="none"/>
              </w:rPr>
            </w:pPr>
            <w:r>
              <w:rPr>
                <w:rFonts w:hint="eastAsia" w:ascii="仿宋" w:hAnsi="仿宋" w:eastAsia="仿宋"/>
                <w:color w:val="auto"/>
                <w:sz w:val="24"/>
                <w:highlight w:val="none"/>
              </w:rPr>
              <w:t>采用钢化玻璃，表面硬度≥9H，玻璃表面采用纳米材料镀膜环保工艺，书写更加顺滑，防眩光效果更加优异。</w:t>
            </w:r>
          </w:p>
          <w:p>
            <w:pPr>
              <w:numPr>
                <w:ilvl w:val="0"/>
                <w:numId w:val="9"/>
              </w:num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lang w:eastAsia="zh-Hans"/>
              </w:rPr>
              <w:t>※</w:t>
            </w:r>
            <w:r>
              <w:rPr>
                <w:rFonts w:hint="eastAsia" w:ascii="仿宋" w:hAnsi="仿宋" w:eastAsia="仿宋"/>
                <w:color w:val="auto"/>
                <w:sz w:val="24"/>
                <w:highlight w:val="none"/>
              </w:rPr>
              <w:t>光学胶全贴合技术，玻璃与屏幕之间无空气介质（</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numPr>
                <w:ilvl w:val="0"/>
                <w:numId w:val="9"/>
              </w:numPr>
              <w:adjustRightInd/>
              <w:rPr>
                <w:rFonts w:ascii="仿宋" w:hAnsi="仿宋" w:eastAsia="仿宋"/>
                <w:color w:val="auto"/>
                <w:sz w:val="24"/>
                <w:highlight w:val="none"/>
              </w:rPr>
            </w:pPr>
            <w:r>
              <w:rPr>
                <w:rFonts w:hint="eastAsia" w:ascii="仿宋" w:hAnsi="仿宋" w:eastAsia="仿宋"/>
                <w:color w:val="auto"/>
                <w:sz w:val="24"/>
                <w:highlight w:val="none"/>
              </w:rPr>
              <w:t>整机采用硬件低蓝光背光技术，在源头减少有害蓝光波段能量，蓝光占比（有害蓝光415～455nm能量综合）/（整体蓝光400～500能量综合）＜50%，低蓝光保护显示不偏色、不泛黄，还原真实教学色彩的同时有效降低蓝光。（</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二、整机设计</w:t>
            </w:r>
          </w:p>
          <w:p>
            <w:pPr>
              <w:adjustRightInd/>
              <w:ind w:left="480" w:hanging="480" w:hangingChars="200"/>
              <w:rPr>
                <w:rFonts w:eastAsia="仿宋"/>
                <w:color w:val="auto"/>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eastAsia="zh-Hans"/>
              </w:rPr>
              <w:t>※</w:t>
            </w:r>
            <w:r>
              <w:rPr>
                <w:rFonts w:hint="eastAsia" w:ascii="仿宋" w:hAnsi="仿宋" w:eastAsia="仿宋"/>
                <w:color w:val="auto"/>
                <w:sz w:val="24"/>
                <w:highlight w:val="none"/>
              </w:rPr>
              <w:t>整机内置2.2声道扬声器，位于设备上边框，顶置朝前发声，前朝向10W高音扬声器2个，上朝向20W中低音扬声器2个，额定总功率60W。（</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rPr>
              <w:t>2.产品通过国家认可的第三方检测机构所出具的权威检测视觉舒适度认证，并达到视觉舒适度A +级或以上标准，提供证明文件。</w:t>
            </w:r>
          </w:p>
          <w:p>
            <w:pPr>
              <w:adjustRightInd/>
              <w:rPr>
                <w:rFonts w:ascii="仿宋" w:hAnsi="仿宋" w:eastAsia="仿宋"/>
                <w:color w:val="auto"/>
                <w:sz w:val="24"/>
                <w:highlight w:val="none"/>
              </w:rPr>
            </w:pPr>
            <w:r>
              <w:rPr>
                <w:rFonts w:hint="eastAsia" w:ascii="仿宋" w:hAnsi="仿宋" w:eastAsia="仿宋"/>
                <w:color w:val="auto"/>
                <w:sz w:val="24"/>
                <w:highlight w:val="none"/>
              </w:rPr>
              <w:t>3.整机支持高级音效设置、左右声道平衡、可根据实际需要设置不同频段调节功能，以满足不同课程授课声音还原需求。</w:t>
            </w:r>
          </w:p>
          <w:p>
            <w:pPr>
              <w:adjustRightInd/>
              <w:rPr>
                <w:rFonts w:ascii="仿宋" w:hAnsi="仿宋" w:eastAsia="仿宋"/>
                <w:color w:val="auto"/>
                <w:sz w:val="24"/>
                <w:highlight w:val="none"/>
              </w:rPr>
            </w:pPr>
            <w:r>
              <w:rPr>
                <w:rFonts w:hint="eastAsia" w:ascii="仿宋" w:hAnsi="仿宋" w:eastAsia="仿宋"/>
                <w:color w:val="auto"/>
                <w:sz w:val="24"/>
                <w:highlight w:val="none"/>
              </w:rPr>
              <w:t>4.整机内置非独立外扩展的4阵列麦克风，可用于对教室环境音频进行采集，拾音距离≥12m。</w:t>
            </w:r>
          </w:p>
          <w:p>
            <w:pPr>
              <w:adjustRightInd/>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整机无需外接无线网卡，在Windows系统下可实现Wi-Fi无线上网连接、AP无线热点发射和BT蓝牙连接功能</w:t>
            </w:r>
            <w:r>
              <w:rPr>
                <w:rFonts w:hint="eastAsia" w:ascii="仿宋" w:hAnsi="仿宋" w:eastAsia="仿宋"/>
                <w:color w:val="auto"/>
                <w:sz w:val="24"/>
                <w:highlight w:val="none"/>
              </w:rPr>
              <w:t>，</w:t>
            </w:r>
            <w:r>
              <w:rPr>
                <w:rFonts w:ascii="仿宋" w:hAnsi="仿宋" w:eastAsia="仿宋"/>
                <w:color w:val="auto"/>
                <w:sz w:val="24"/>
                <w:highlight w:val="none"/>
              </w:rPr>
              <w:t>Wi-Fi和AP热点工作距离≥12m。</w:t>
            </w:r>
          </w:p>
          <w:p>
            <w:p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rPr>
              <w:t>6.</w:t>
            </w:r>
            <w:r>
              <w:rPr>
                <w:rFonts w:hint="eastAsia" w:ascii="仿宋" w:hAnsi="仿宋" w:eastAsia="仿宋" w:cs="仿宋"/>
                <w:b/>
                <w:bCs/>
                <w:color w:val="auto"/>
                <w:kern w:val="0"/>
                <w:sz w:val="24"/>
                <w:highlight w:val="none"/>
                <w:lang w:eastAsia="zh-Hans"/>
              </w:rPr>
              <w:t>※</w:t>
            </w:r>
            <w:r>
              <w:rPr>
                <w:rFonts w:ascii="仿宋" w:hAnsi="仿宋" w:eastAsia="仿宋"/>
                <w:color w:val="auto"/>
                <w:sz w:val="24"/>
                <w:highlight w:val="none"/>
              </w:rPr>
              <w:t>整机支持搭配具有NFC功能的手机、平板，通过接触NFC标签，接触即可实现手机与大屏的连接并同步画面，无需其它操作设置，支持不少于4台手机、平板同时连接并显示</w:t>
            </w:r>
            <w:r>
              <w:rPr>
                <w:rFonts w:hint="eastAsia" w:ascii="仿宋" w:hAnsi="仿宋" w:eastAsia="仿宋"/>
                <w:color w:val="auto"/>
                <w:sz w:val="24"/>
                <w:highlight w:val="none"/>
              </w:rPr>
              <w:t>。（</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rPr>
              <w:t>7.</w:t>
            </w:r>
            <w:r>
              <w:rPr>
                <w:rFonts w:hint="eastAsia" w:ascii="仿宋" w:hAnsi="仿宋" w:eastAsia="仿宋" w:cs="仿宋"/>
                <w:b/>
                <w:bCs/>
                <w:color w:val="auto"/>
                <w:kern w:val="0"/>
                <w:sz w:val="24"/>
                <w:highlight w:val="none"/>
                <w:lang w:eastAsia="zh-Hans"/>
              </w:rPr>
              <w:t>※</w:t>
            </w:r>
            <w:r>
              <w:rPr>
                <w:rFonts w:ascii="仿宋" w:hAnsi="仿宋" w:eastAsia="仿宋"/>
                <w:color w:val="auto"/>
                <w:sz w:val="24"/>
                <w:highlight w:val="none"/>
              </w:rPr>
              <w:t>整机支持蓝牙Bluetooth 5.2标准</w:t>
            </w:r>
            <w:r>
              <w:rPr>
                <w:rFonts w:hint="eastAsia" w:ascii="仿宋" w:hAnsi="仿宋" w:eastAsia="仿宋"/>
                <w:color w:val="auto"/>
                <w:sz w:val="24"/>
                <w:highlight w:val="none"/>
              </w:rPr>
              <w:t>（</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整机支持主动发现蓝牙外设从而连接（无需整机进入发现模式），支持连接外部蓝牙音箱播放音频。</w:t>
            </w:r>
          </w:p>
          <w:p>
            <w:pPr>
              <w:adjustRightInd/>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Wi-Fi及AP热点支持频段2.4GHz/5GHz ，Wi-Fi及AP热点版本802.11 a/b/g/n/ac/ax；支持Wi-Fi6</w:t>
            </w:r>
            <w:r>
              <w:rPr>
                <w:rFonts w:hint="eastAsia" w:ascii="仿宋" w:hAnsi="仿宋" w:eastAsia="仿宋"/>
                <w:color w:val="auto"/>
                <w:sz w:val="24"/>
                <w:highlight w:val="none"/>
              </w:rPr>
              <w:t>，提升传输速率的同时可接入更多设备。（</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olor w:val="auto"/>
                <w:sz w:val="24"/>
                <w:highlight w:val="none"/>
              </w:rPr>
              <w:t>10.三合一电源按键，同一电源物理按键完成Android系统和Windows系统的开机、节能熄屏、关机操作；关机状态下按按键开机；开机状态下按按键实现节能熄屏/唤醒，长按按键实现关机。</w:t>
            </w:r>
          </w:p>
          <w:p>
            <w:pPr>
              <w:adjustRightInd/>
              <w:rPr>
                <w:rFonts w:ascii="仿宋" w:hAnsi="仿宋" w:eastAsia="仿宋"/>
                <w:color w:val="auto"/>
                <w:sz w:val="24"/>
                <w:highlight w:val="none"/>
              </w:rPr>
            </w:pPr>
            <w:r>
              <w:rPr>
                <w:rFonts w:hint="eastAsia" w:ascii="仿宋" w:hAnsi="仿宋" w:eastAsia="仿宋"/>
                <w:color w:val="auto"/>
                <w:sz w:val="24"/>
                <w:highlight w:val="none"/>
              </w:rPr>
              <w:t>11.整机具备前置按键，可实现老师开关机、调出中控菜单、音量+/-、护眼、录屏的操作。</w:t>
            </w:r>
          </w:p>
          <w:p>
            <w:pPr>
              <w:adjustRightInd/>
              <w:rPr>
                <w:rFonts w:ascii="仿宋" w:hAnsi="仿宋" w:eastAsia="仿宋"/>
                <w:color w:val="auto"/>
                <w:sz w:val="24"/>
                <w:highlight w:val="none"/>
              </w:rPr>
            </w:pPr>
            <w:r>
              <w:rPr>
                <w:rFonts w:hint="eastAsia" w:ascii="仿宋" w:hAnsi="仿宋" w:eastAsia="仿宋"/>
                <w:color w:val="auto"/>
                <w:sz w:val="24"/>
                <w:highlight w:val="none"/>
              </w:rPr>
              <w:t>12.支持护眼模式，可通过前置面板物理功能按键一键启用护眼模式。</w:t>
            </w:r>
          </w:p>
          <w:p>
            <w:p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rPr>
              <w:t>13.</w:t>
            </w:r>
            <w:r>
              <w:rPr>
                <w:rFonts w:hint="eastAsia" w:ascii="仿宋" w:hAnsi="仿宋" w:eastAsia="仿宋" w:cs="仿宋"/>
                <w:b/>
                <w:bCs/>
                <w:color w:val="auto"/>
                <w:kern w:val="0"/>
                <w:sz w:val="24"/>
                <w:highlight w:val="none"/>
                <w:lang w:eastAsia="zh-Hans"/>
              </w:rPr>
              <w:t>※</w:t>
            </w:r>
            <w:r>
              <w:rPr>
                <w:rFonts w:hint="eastAsia" w:ascii="仿宋" w:hAnsi="仿宋" w:eastAsia="仿宋"/>
                <w:color w:val="auto"/>
                <w:sz w:val="24"/>
                <w:highlight w:val="none"/>
              </w:rPr>
              <w:t>设备支持通过前置面板物理按键一键启动录屏功能，可将屏幕中显示的课件、音频内容与老师人声同时录制。</w:t>
            </w:r>
          </w:p>
          <w:p>
            <w:pPr>
              <w:adjustRightInd/>
              <w:rPr>
                <w:rFonts w:ascii="仿宋" w:hAnsi="仿宋" w:eastAsia="仿宋"/>
                <w:color w:val="auto"/>
                <w:sz w:val="24"/>
                <w:highlight w:val="none"/>
              </w:rPr>
            </w:pPr>
            <w:r>
              <w:rPr>
                <w:rFonts w:hint="eastAsia" w:ascii="仿宋" w:hAnsi="仿宋" w:eastAsia="仿宋"/>
                <w:color w:val="auto"/>
                <w:sz w:val="24"/>
                <w:highlight w:val="none"/>
              </w:rPr>
              <w:t>14.整机支持色彩空间可选，包含标准模式和sRGB模式，在sRGB模式下可做到高色准△E≤1.5</w:t>
            </w:r>
          </w:p>
          <w:p>
            <w:pPr>
              <w:adjustRightInd/>
              <w:rPr>
                <w:rFonts w:ascii="仿宋" w:hAnsi="仿宋" w:eastAsia="仿宋"/>
                <w:color w:val="auto"/>
                <w:sz w:val="24"/>
                <w:highlight w:val="none"/>
              </w:rPr>
            </w:pPr>
            <w:r>
              <w:rPr>
                <w:rFonts w:hint="eastAsia" w:ascii="仿宋" w:hAnsi="仿宋" w:eastAsia="仿宋"/>
                <w:color w:val="auto"/>
                <w:sz w:val="24"/>
                <w:highlight w:val="none"/>
              </w:rPr>
              <w:t>15.整机视网膜蓝光危害（蓝光加权辐射亮度LB）满足IEC TR 62778:2014蓝光危害RG0级别。</w:t>
            </w:r>
          </w:p>
          <w:p>
            <w:p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rPr>
              <w:t>16.</w:t>
            </w:r>
            <w:r>
              <w:rPr>
                <w:rFonts w:hint="eastAsia" w:ascii="仿宋" w:hAnsi="仿宋" w:eastAsia="仿宋" w:cs="仿宋"/>
                <w:b/>
                <w:bCs/>
                <w:color w:val="auto"/>
                <w:kern w:val="0"/>
                <w:sz w:val="24"/>
                <w:highlight w:val="none"/>
                <w:lang w:eastAsia="zh-Hans"/>
              </w:rPr>
              <w:t>※</w:t>
            </w:r>
            <w:r>
              <w:rPr>
                <w:rFonts w:hint="eastAsia" w:ascii="仿宋" w:hAnsi="仿宋" w:eastAsia="仿宋"/>
                <w:color w:val="auto"/>
                <w:sz w:val="24"/>
                <w:highlight w:val="none"/>
              </w:rPr>
              <w:t>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rPr>
              <w:t>17.</w:t>
            </w:r>
            <w:r>
              <w:rPr>
                <w:rFonts w:hint="eastAsia" w:ascii="仿宋" w:hAnsi="仿宋" w:eastAsia="仿宋" w:cs="仿宋"/>
                <w:b/>
                <w:bCs/>
                <w:color w:val="auto"/>
                <w:kern w:val="0"/>
                <w:sz w:val="24"/>
                <w:highlight w:val="none"/>
                <w:lang w:eastAsia="zh-Hans"/>
              </w:rPr>
              <w:t>※</w:t>
            </w:r>
            <w:r>
              <w:rPr>
                <w:rFonts w:hint="eastAsia" w:ascii="仿宋" w:hAnsi="仿宋" w:eastAsia="仿宋"/>
                <w:color w:val="auto"/>
                <w:sz w:val="24"/>
                <w:highlight w:val="none"/>
              </w:rPr>
              <w:t>整机内置非独立摄像头，拍摄像素数≥1300万，摄像头视场角≥135度。（</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olor w:val="auto"/>
                <w:sz w:val="24"/>
                <w:highlight w:val="none"/>
              </w:rPr>
              <w:t>18.高清摄像头可用于远程巡课，拍摄范围可以涵盖整机距离摄像头垂直法线左右水平距离各大于等于4米，左右最边缘深度大于等于2.3米范围内，并且可以AI识别人像。（</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olor w:val="auto"/>
                <w:sz w:val="24"/>
                <w:highlight w:val="none"/>
              </w:rPr>
              <w:t>19.整机摄像头支持大于等于10米距离时实现AI识别人像。（</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rPr>
              <w:t>20.</w:t>
            </w:r>
            <w:r>
              <w:rPr>
                <w:rFonts w:hint="eastAsia" w:ascii="仿宋" w:hAnsi="仿宋" w:eastAsia="仿宋" w:cs="仿宋"/>
                <w:b/>
                <w:bCs/>
                <w:color w:val="auto"/>
                <w:kern w:val="0"/>
                <w:sz w:val="24"/>
                <w:highlight w:val="none"/>
                <w:lang w:eastAsia="zh-Hans"/>
              </w:rPr>
              <w:t>※</w:t>
            </w:r>
            <w:r>
              <w:rPr>
                <w:rFonts w:hint="eastAsia" w:ascii="仿宋" w:hAnsi="仿宋" w:eastAsia="仿宋"/>
                <w:color w:val="auto"/>
                <w:sz w:val="24"/>
                <w:highlight w:val="none"/>
              </w:rPr>
              <w:t>整机摄像头支持人脸识别、快速点人数、随机抽人；识别所有学生，显示标记，然后随机抽选，同时显示标记不少于60人。（</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三、主要功能</w:t>
            </w:r>
          </w:p>
          <w:p>
            <w:pPr>
              <w:numPr>
                <w:ilvl w:val="0"/>
                <w:numId w:val="10"/>
              </w:numPr>
              <w:adjustRightInd/>
              <w:rPr>
                <w:rFonts w:ascii="仿宋" w:hAnsi="仿宋" w:eastAsia="仿宋"/>
                <w:color w:val="auto"/>
                <w:sz w:val="24"/>
                <w:highlight w:val="none"/>
              </w:rPr>
            </w:pPr>
            <w:r>
              <w:rPr>
                <w:rFonts w:hint="eastAsia" w:ascii="仿宋" w:hAnsi="仿宋" w:eastAsia="仿宋"/>
                <w:bCs/>
                <w:color w:val="auto"/>
                <w:kern w:val="0"/>
                <w:sz w:val="24"/>
                <w:highlight w:val="none"/>
              </w:rPr>
              <w:t>人脸识别账号登录：演示人脸识别登陆，登陆后自动获取个人云端教学课件列表，并可查看个人教学日程、进入校本资源库；</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支持半屏模式，将Windows显示画面上半部分下拉到屏幕下半部分显示，此时依然可以正常触控操作Windows系统；点击非Windows显示画面区域（屏幕上半部分），即可退出该模式。</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支持通过Type-C接口U盘进行文件传输，兼容Type-C接口手机充电。</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整机在五分钟内处于无信号接收状态时，能够自动关机。</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整机具备供电保护模块，能够检测内置电脑是否插好在位，在内置电脑未在位的情况下，内置电脑无法上电工作。</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支持云端在线系统固件升级。</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支持标准、听力、观影三种音效模式调节。</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支持标准、多媒体和节能三种图像模式调节。</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整机内置触摸中控菜单，支持信号源通道切换、护眼、声音调节等功能，在任意显示通道下均可通过手势在屏幕上调取该触摸菜单。</w:t>
            </w:r>
          </w:p>
          <w:p>
            <w:pPr>
              <w:numPr>
                <w:ilvl w:val="0"/>
                <w:numId w:val="10"/>
              </w:numPr>
              <w:adjustRightInd/>
              <w:rPr>
                <w:rFonts w:ascii="仿宋" w:hAnsi="仿宋" w:eastAsia="仿宋"/>
                <w:color w:val="auto"/>
                <w:sz w:val="24"/>
                <w:highlight w:val="none"/>
              </w:rPr>
            </w:pPr>
            <w:r>
              <w:rPr>
                <w:rFonts w:hint="eastAsia" w:ascii="仿宋" w:hAnsi="仿宋" w:eastAsia="仿宋"/>
                <w:color w:val="auto"/>
                <w:sz w:val="24"/>
                <w:highlight w:val="none"/>
              </w:rPr>
              <w:t>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四、触摸系统</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采用电容触控技术，支持Windows系统中进行20点或以上触控，支持在Android系统中进行10点或以上触控。</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从内部Android通道切换到内部PC通道后，触摸框在1s内达到可触控状态。从内部PC通道切换到外部通道后，触摸框在3s内达到可触控状态。</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触摸屏在照度100K LUX（勒克斯）环境下仍能正常工作。</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触摸分辨率32768×32768。</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触摸响应时间≤4ms。</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触摸最小识别物≤3mm。</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Windows 10、Windows 1</w:t>
            </w:r>
            <w:r>
              <w:rPr>
                <w:rFonts w:ascii="仿宋" w:hAnsi="仿宋" w:eastAsia="仿宋"/>
                <w:color w:val="auto"/>
                <w:sz w:val="24"/>
                <w:highlight w:val="none"/>
              </w:rPr>
              <w:t>1</w:t>
            </w:r>
            <w:r>
              <w:rPr>
                <w:rFonts w:hint="eastAsia" w:ascii="仿宋" w:hAnsi="仿宋" w:eastAsia="仿宋"/>
                <w:color w:val="auto"/>
                <w:sz w:val="24"/>
                <w:highlight w:val="none"/>
              </w:rPr>
              <w:t>、Linux、Mac Os系统外置电脑操作系统接入时，无需安装触摸驱动。</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整机屏幕触摸有效识别高度不超过3.5mm,，即触摸物体距离玻璃外表面高度不超过3.5mm时，触摸屏识别为点击操作。</w:t>
            </w:r>
          </w:p>
          <w:p>
            <w:pPr>
              <w:numPr>
                <w:ilvl w:val="0"/>
                <w:numId w:val="11"/>
              </w:numPr>
              <w:adjustRightInd/>
              <w:rPr>
                <w:rFonts w:ascii="仿宋" w:hAnsi="仿宋" w:eastAsia="仿宋"/>
                <w:color w:val="auto"/>
                <w:sz w:val="24"/>
                <w:highlight w:val="none"/>
              </w:rPr>
            </w:pPr>
            <w:r>
              <w:rPr>
                <w:rFonts w:hint="eastAsia" w:ascii="仿宋" w:hAnsi="仿宋" w:eastAsia="仿宋"/>
                <w:color w:val="auto"/>
                <w:sz w:val="24"/>
                <w:highlight w:val="none"/>
              </w:rPr>
              <w:t>触摸屏具有防遮挡功能，触摸接收器在单点或多点遮挡后仍能正常书写。</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五、安卓系统</w:t>
            </w:r>
          </w:p>
          <w:p>
            <w:pPr>
              <w:numPr>
                <w:ilvl w:val="0"/>
                <w:numId w:val="12"/>
              </w:numPr>
              <w:adjustRightInd/>
              <w:rPr>
                <w:rFonts w:ascii="仿宋" w:hAnsi="仿宋" w:eastAsia="仿宋"/>
                <w:color w:val="auto"/>
                <w:sz w:val="24"/>
                <w:highlight w:val="none"/>
              </w:rPr>
            </w:pPr>
            <w:r>
              <w:rPr>
                <w:rFonts w:hint="eastAsia" w:ascii="仿宋" w:hAnsi="仿宋" w:eastAsia="仿宋" w:cs="仿宋"/>
                <w:b/>
                <w:bCs/>
                <w:color w:val="auto"/>
                <w:kern w:val="0"/>
                <w:sz w:val="24"/>
                <w:highlight w:val="none"/>
                <w:lang w:eastAsia="zh-Hans"/>
              </w:rPr>
              <w:t>※</w:t>
            </w:r>
            <w:r>
              <w:rPr>
                <w:rFonts w:hint="eastAsia" w:ascii="仿宋" w:hAnsi="仿宋" w:eastAsia="仿宋"/>
                <w:color w:val="auto"/>
                <w:sz w:val="24"/>
                <w:highlight w:val="none"/>
              </w:rPr>
              <w:t>嵌入式系统版本不低于Android 11</w:t>
            </w:r>
            <w:r>
              <w:rPr>
                <w:rFonts w:ascii="仿宋" w:hAnsi="仿宋" w:eastAsia="仿宋"/>
                <w:color w:val="auto"/>
                <w:sz w:val="24"/>
                <w:highlight w:val="none"/>
              </w:rPr>
              <w:t>.0</w:t>
            </w:r>
            <w:r>
              <w:rPr>
                <w:rFonts w:hint="eastAsia" w:ascii="仿宋" w:hAnsi="仿宋" w:eastAsia="仿宋"/>
                <w:color w:val="auto"/>
                <w:sz w:val="24"/>
                <w:highlight w:val="none"/>
              </w:rPr>
              <w:t>，内存≥2GB，存储空间≥8GB。（</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w:t>
            </w:r>
          </w:p>
          <w:p>
            <w:pPr>
              <w:numPr>
                <w:ilvl w:val="0"/>
                <w:numId w:val="12"/>
              </w:numPr>
              <w:adjustRightInd/>
              <w:rPr>
                <w:rFonts w:ascii="仿宋" w:hAnsi="仿宋" w:eastAsia="仿宋"/>
                <w:color w:val="auto"/>
                <w:sz w:val="24"/>
                <w:highlight w:val="none"/>
              </w:rPr>
            </w:pPr>
            <w:r>
              <w:rPr>
                <w:rFonts w:hint="eastAsia" w:ascii="仿宋" w:hAnsi="仿宋" w:eastAsia="仿宋"/>
                <w:color w:val="auto"/>
                <w:sz w:val="24"/>
                <w:highlight w:val="none"/>
              </w:rPr>
              <w:t>嵌入式Android操作系统下，白板支持对已经书写的笔迹和形状的颜色进行更换。</w:t>
            </w:r>
          </w:p>
          <w:p>
            <w:pPr>
              <w:numPr>
                <w:ilvl w:val="0"/>
                <w:numId w:val="12"/>
              </w:numPr>
              <w:adjustRightInd/>
              <w:rPr>
                <w:rFonts w:ascii="仿宋" w:hAnsi="仿宋" w:eastAsia="仿宋"/>
                <w:color w:val="auto"/>
                <w:sz w:val="24"/>
                <w:highlight w:val="none"/>
              </w:rPr>
            </w:pPr>
            <w:r>
              <w:rPr>
                <w:rFonts w:hint="eastAsia" w:ascii="仿宋" w:hAnsi="仿宋" w:eastAsia="仿宋"/>
                <w:color w:val="auto"/>
                <w:sz w:val="24"/>
                <w:highlight w:val="none"/>
              </w:rPr>
              <w:t>在嵌入式系统下使用白板软件时，整机可根据用户书写操作智能调节屏幕亮度。</w:t>
            </w:r>
          </w:p>
          <w:p>
            <w:pPr>
              <w:numPr>
                <w:ilvl w:val="0"/>
                <w:numId w:val="12"/>
              </w:numPr>
              <w:adjustRightInd/>
              <w:rPr>
                <w:rFonts w:ascii="仿宋" w:hAnsi="仿宋" w:eastAsia="仿宋"/>
                <w:color w:val="auto"/>
                <w:sz w:val="24"/>
                <w:highlight w:val="none"/>
              </w:rPr>
            </w:pPr>
            <w:r>
              <w:rPr>
                <w:rFonts w:hint="eastAsia" w:ascii="仿宋" w:hAnsi="仿宋" w:eastAsia="仿宋"/>
                <w:color w:val="auto"/>
                <w:sz w:val="24"/>
                <w:highlight w:val="none"/>
              </w:rPr>
              <w:t>嵌入式Android操作系统下，互动白板支持不同背景颜色，同时提供学科背景，如：五线谱、信纸、田字格、英文格、篮球和足球场地平面图。</w:t>
            </w:r>
          </w:p>
          <w:p>
            <w:pPr>
              <w:numPr>
                <w:ilvl w:val="0"/>
                <w:numId w:val="12"/>
              </w:numPr>
              <w:adjustRightInd/>
              <w:rPr>
                <w:rFonts w:ascii="仿宋" w:hAnsi="仿宋" w:eastAsia="仿宋"/>
                <w:color w:val="auto"/>
                <w:sz w:val="24"/>
                <w:highlight w:val="none"/>
              </w:rPr>
            </w:pPr>
            <w:r>
              <w:rPr>
                <w:rFonts w:hint="eastAsia" w:ascii="仿宋" w:hAnsi="仿宋" w:eastAsia="仿宋"/>
                <w:color w:val="auto"/>
                <w:sz w:val="24"/>
                <w:highlight w:val="none"/>
              </w:rPr>
              <w:t>整机安卓和全部外接通道（HDMI、type-c）下侧边栏支持通过扫描二维码加入班级，老师设置题型，学生回答后提交，教师查看正确率比例及详细讲解；支持随机抽选、实时弹幕；支持管理当前班级成员；支持导出学生报告。</w:t>
            </w:r>
          </w:p>
          <w:p>
            <w:pPr>
              <w:adjustRightInd/>
              <w:rPr>
                <w:rFonts w:ascii="仿宋" w:hAnsi="仿宋" w:eastAsia="仿宋"/>
                <w:b/>
                <w:bCs/>
                <w:color w:val="auto"/>
                <w:sz w:val="24"/>
                <w:highlight w:val="none"/>
              </w:rPr>
            </w:pPr>
            <w:r>
              <w:rPr>
                <w:rFonts w:hint="eastAsia" w:ascii="仿宋" w:hAnsi="仿宋" w:eastAsia="仿宋"/>
                <w:b/>
                <w:bCs/>
                <w:color w:val="auto"/>
                <w:sz w:val="24"/>
                <w:highlight w:val="none"/>
              </w:rPr>
              <w:t>六、教学软件</w:t>
            </w:r>
          </w:p>
          <w:p>
            <w:pPr>
              <w:numPr>
                <w:ilvl w:val="0"/>
                <w:numId w:val="1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教学软件为教师提供可扩展，易于学校管理，安全可靠的云存储空间，根据每名教师使用时长与教学资料制作频率提供可扩展升级至不小于200G的个人云空间。</w:t>
            </w:r>
          </w:p>
          <w:p>
            <w:pPr>
              <w:numPr>
                <w:ilvl w:val="0"/>
                <w:numId w:val="1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教学软件须为使用方全体教师配备个人账号，形成一体的信息化教学账号体系；根据教师账号信息将教师云空间匹配至对应学校、学科校本资源库。支持通过数字账号、微信二维码、硬件密钥方式登录教师个人账号。</w:t>
            </w:r>
          </w:p>
          <w:p>
            <w:pPr>
              <w:numPr>
                <w:ilvl w:val="0"/>
                <w:numId w:val="1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科工具：数学立体图形六面图不同颜色并可手动立体旋转及展开；化学方程式只需输入一个元素，将自动显示出和该元素相关的多个常用化学反应方程式供选用；语文支持诗词导入并配有电子朗读及注释；英语听写工具：支持自定义选择单词。自定义听写频率和次数，一键生成听写卡，一键开启听写朗读。</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【空中课堂】：</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空中课堂功能内置于软件中，无需额外安装部署直播软件，可实现语音直播、课件同步、互动工具等远程教学功能</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一键开课：教师可一键开课生成课程海报；学生扫描课程海报微信二维码即可加入直播课堂，无需额外安装APP。</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学生观看：学生扫码报名后可通过微信小程序和电脑端浏览器观看直播</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文本聊天工具：学生可在直播课堂打字提问、互动，学生提问内容实时传递至教师；</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互动答题工具：教师根据讲解内容发布答题板供学生选择作答，学生提交答案后系统自动统计正确率和答题详情。</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远程互动工具：在直播课堂中，教师可指定授权学生远程互动，学生可在直播的课件画面进行书写、移动、擦除、参与互动活动等，学生操作过程实时同步至班级其他学生，可支持不少于5位学生同时参与远程互动；</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课堂奖励工具：直播过程中可向学生发放奖杯，学生在线学习获得的奖杯数量累积统计。</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远程考勤管理：直播课程结束后，后台自动统计报名学生名单和学生学习清单。</w:t>
            </w:r>
          </w:p>
          <w:p>
            <w:pPr>
              <w:numPr>
                <w:ilvl w:val="0"/>
                <w:numId w:val="1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课程回放：课程结束后自动生成直播回放，报名课程的学生可反复学习；回放课程自动保存在云端，支持人工删除。</w:t>
            </w:r>
          </w:p>
          <w:p>
            <w:pPr>
              <w:tabs>
                <w:tab w:val="left" w:pos="0"/>
              </w:tabs>
              <w:adjustRightInd/>
              <w:jc w:val="left"/>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【微课录制】</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微课功能内置于软件中，支持快速录制微课，微课可录制保存音频和课件的互动操作</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录制功能：录制过程中可对课件中的元素进行拖动、克隆、删除等操作，支持在录制过程中进行书写和擦除</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剪辑重录功能：支持按照课件页面片段剪辑和重录微课，支持一键上传至云端保存</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无课件录制：支持教师在空白页面录制微课，支持自主添加不低于100页电子草稿进行讲解</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听课方式：微课录制结束后自动生成分享海报，学生扫码在即可在微信观看，无需下载额外app使用</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学生观看微课时可进行多种互动，可在控制课件模式下移动、删除克隆课件内的元素，参与课堂活动互动练习</w:t>
            </w:r>
          </w:p>
          <w:p>
            <w:pPr>
              <w:numPr>
                <w:ilvl w:val="0"/>
                <w:numId w:val="1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系统后台自动统计微课的观看次数，便于教师做教研管理</w:t>
            </w:r>
          </w:p>
          <w:p>
            <w:pPr>
              <w:numPr>
                <w:ilvl w:val="0"/>
                <w:numId w:val="15"/>
              </w:numPr>
              <w:tabs>
                <w:tab w:val="left" w:pos="0"/>
              </w:tabs>
              <w:adjustRightInd/>
              <w:jc w:val="left"/>
              <w:outlineLvl w:val="0"/>
              <w:rPr>
                <w:rFonts w:ascii="仿宋" w:hAnsi="仿宋" w:eastAsia="仿宋"/>
                <w:color w:val="auto"/>
                <w:highlight w:val="none"/>
              </w:rPr>
            </w:pPr>
            <w:r>
              <w:rPr>
                <w:rFonts w:hint="eastAsia" w:ascii="仿宋" w:hAnsi="仿宋" w:eastAsia="仿宋"/>
                <w:color w:val="auto"/>
                <w:sz w:val="24"/>
                <w:highlight w:val="none"/>
              </w:rPr>
              <w:t>学情分析：演示老师录制微课时设置答题板功能，学生边看微课边答题；支持导出学情分析表，包括课程信息、学生基本信息、观看微课时间、答题数及正确率等。</w:t>
            </w:r>
          </w:p>
        </w:tc>
        <w:tc>
          <w:tcPr>
            <w:tcW w:w="377"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olor w:val="auto"/>
                <w:sz w:val="24"/>
                <w:highlight w:val="none"/>
                <w:lang w:val="en-US" w:eastAsia="zh-CN"/>
              </w:rPr>
              <w:t>117</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s="仿宋"/>
                <w:color w:val="auto"/>
                <w:sz w:val="24"/>
                <w:highlight w:val="none"/>
              </w:rPr>
            </w:pPr>
            <w:r>
              <w:rPr>
                <w:rFonts w:ascii="仿宋" w:hAnsi="仿宋" w:eastAsia="仿宋" w:cs="仿宋"/>
                <w:color w:val="auto"/>
                <w:sz w:val="24"/>
                <w:highlight w:val="none"/>
              </w:rPr>
              <w:t>3</w:t>
            </w:r>
          </w:p>
        </w:tc>
        <w:tc>
          <w:tcPr>
            <w:tcW w:w="590"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olor w:val="auto"/>
                <w:sz w:val="24"/>
                <w:highlight w:val="none"/>
              </w:rPr>
              <w:t>内置电脑模块</w:t>
            </w:r>
          </w:p>
        </w:tc>
        <w:tc>
          <w:tcPr>
            <w:tcW w:w="3682" w:type="pct"/>
            <w:vAlign w:val="center"/>
          </w:tcPr>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采用模块化电脑方案，抽拉内置式，PC模块可完全插入整机，保护PC模块不易受教室灰尘影响，PC模块可抽拉式插入整机，可实现无单独接线的插拔。</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PC和整机的连接采用万兆级接口，传输速率≥10Gbps。（</w:t>
            </w:r>
            <w:r>
              <w:rPr>
                <w:rFonts w:hint="eastAsia" w:ascii="仿宋" w:hAnsi="仿宋" w:eastAsia="仿宋"/>
                <w:color w:val="auto"/>
                <w:sz w:val="24"/>
                <w:highlight w:val="none"/>
              </w:rPr>
              <w:t>提供国家认可的第三方检测机构所出具的权威检测报告</w:t>
            </w:r>
            <w:r>
              <w:rPr>
                <w:rFonts w:hint="eastAsia" w:ascii="仿宋" w:hAnsi="仿宋" w:eastAsia="仿宋"/>
                <w:color w:val="auto"/>
                <w:sz w:val="24"/>
                <w:highlight w:val="none"/>
                <w:lang w:eastAsia="zh-CN"/>
              </w:rPr>
              <w:t>扫描件</w:t>
            </w:r>
            <w:r>
              <w:rPr>
                <w:rFonts w:hint="eastAsia" w:ascii="仿宋" w:hAnsi="仿宋" w:eastAsia="仿宋"/>
                <w:color w:val="auto"/>
                <w:sz w:val="24"/>
                <w:highlight w:val="none"/>
              </w:rPr>
              <w:t xml:space="preserve">） </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采用按压式卡扣，无需工具即可快速拆卸电脑模块，机身采用热浸镀锌金属材质，采用智能风扇低噪音散热设计,模块主体预留足够散热空间，确保封闭空间内有效散热。</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处理器：Intel 十代酷睿系列 i5 CPU</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芯片组：Intel H</w:t>
            </w:r>
            <w:r>
              <w:rPr>
                <w:rFonts w:ascii="仿宋" w:hAnsi="仿宋" w:eastAsia="仿宋"/>
                <w:color w:val="auto"/>
                <w:sz w:val="24"/>
                <w:highlight w:val="none"/>
              </w:rPr>
              <w:t>4</w:t>
            </w:r>
            <w:r>
              <w:rPr>
                <w:rFonts w:hint="eastAsia" w:ascii="仿宋" w:hAnsi="仿宋" w:eastAsia="仿宋"/>
                <w:color w:val="auto"/>
                <w:sz w:val="24"/>
                <w:highlight w:val="none"/>
              </w:rPr>
              <w:t>10</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内存：8G DDR4笔记本内存或以上配置。</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 xml:space="preserve">硬盘：256G或以上SSD </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具有独立非外扩展的视频输出接口：≥1路HDMI ，具有独立非外扩展的电脑USB接口：≥3路USB。</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PC模块支持不断电情况下热插拔，以便快速维护或替换模块</w:t>
            </w:r>
          </w:p>
          <w:p>
            <w:pPr>
              <w:numPr>
                <w:ilvl w:val="0"/>
                <w:numId w:val="16"/>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PC模块的USB接口须为冗余备份接口，在正常使用整机的内置摄像头、内置麦克风功能时，USB接口不被占用，确保教师有足够的接口外接存储设备及显示设备</w:t>
            </w:r>
          </w:p>
        </w:tc>
        <w:tc>
          <w:tcPr>
            <w:tcW w:w="377" w:type="pct"/>
            <w:vAlign w:val="center"/>
          </w:tcPr>
          <w:p>
            <w:pPr>
              <w:tabs>
                <w:tab w:val="left" w:pos="0"/>
              </w:tabs>
              <w:adjustRightInd/>
              <w:jc w:val="center"/>
              <w:outlineLvl w:val="0"/>
              <w:rPr>
                <w:rFonts w:ascii="仿宋" w:hAnsi="仿宋" w:eastAsia="仿宋" w:cs="仿宋"/>
                <w:color w:val="auto"/>
                <w:sz w:val="24"/>
                <w:highlight w:val="none"/>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4</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壁挂高清展台</w:t>
            </w:r>
          </w:p>
          <w:p>
            <w:pPr>
              <w:tabs>
                <w:tab w:val="left" w:pos="0"/>
              </w:tabs>
              <w:adjustRightInd/>
              <w:jc w:val="center"/>
              <w:outlineLvl w:val="0"/>
              <w:rPr>
                <w:rFonts w:ascii="仿宋" w:hAnsi="仿宋" w:eastAsia="仿宋" w:cs="仿宋"/>
                <w:color w:val="auto"/>
                <w:sz w:val="24"/>
                <w:highlight w:val="none"/>
                <w:lang w:eastAsia="zh-Hans"/>
              </w:rPr>
            </w:pPr>
          </w:p>
          <w:p>
            <w:pPr>
              <w:tabs>
                <w:tab w:val="left" w:pos="0"/>
              </w:tabs>
              <w:adjustRightInd/>
              <w:jc w:val="center"/>
              <w:outlineLvl w:val="0"/>
              <w:rPr>
                <w:rFonts w:ascii="仿宋" w:hAnsi="仿宋" w:eastAsia="仿宋" w:cs="仿宋"/>
                <w:color w:val="auto"/>
                <w:sz w:val="24"/>
                <w:highlight w:val="none"/>
                <w:lang w:eastAsia="zh-Hans"/>
              </w:rPr>
            </w:pPr>
          </w:p>
        </w:tc>
        <w:tc>
          <w:tcPr>
            <w:tcW w:w="3682" w:type="pct"/>
            <w:vAlign w:val="center"/>
          </w:tcPr>
          <w:p>
            <w:pPr>
              <w:adjustRightInd/>
              <w:rPr>
                <w:rFonts w:ascii="仿宋" w:hAnsi="仿宋" w:eastAsia="仿宋"/>
                <w:b/>
                <w:bCs/>
                <w:color w:val="auto"/>
                <w:sz w:val="24"/>
                <w:highlight w:val="none"/>
              </w:rPr>
            </w:pPr>
            <w:r>
              <w:rPr>
                <w:rFonts w:hint="eastAsia" w:ascii="仿宋" w:hAnsi="仿宋" w:eastAsia="仿宋"/>
                <w:b/>
                <w:bCs/>
                <w:color w:val="auto"/>
                <w:sz w:val="24"/>
                <w:highlight w:val="none"/>
              </w:rPr>
              <w:t>硬件部分：</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壁挂式安装，防盗防破坏。</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无锐角无利边设计，有效防止师生碰伤、划伤。</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采用三折叠开合式托板，展开后托板尺寸≥A4面积，收起时小巧不占空间，高效利用挂墙面积。</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采用USB高速接口，单根USB线实现供电、高清数据传输需求。</w:t>
            </w:r>
            <w:r>
              <w:rPr>
                <w:rFonts w:hint="eastAsia" w:ascii="仿宋" w:hAnsi="仿宋" w:eastAsia="仿宋"/>
                <w:color w:val="auto"/>
                <w:highlight w:val="none"/>
              </w:rPr>
              <w:cr/>
            </w:r>
            <w:r>
              <w:rPr>
                <w:rFonts w:hint="eastAsia" w:ascii="仿宋" w:hAnsi="仿宋" w:eastAsia="仿宋"/>
                <w:b/>
                <w:bCs/>
                <w:color w:val="auto"/>
                <w:kern w:val="0"/>
                <w:highlight w:val="none"/>
              </w:rPr>
              <w:t>※</w:t>
            </w:r>
            <w:r>
              <w:rPr>
                <w:rFonts w:hint="eastAsia" w:ascii="仿宋" w:hAnsi="仿宋" w:eastAsia="仿宋"/>
                <w:color w:val="auto"/>
                <w:highlight w:val="none"/>
              </w:rPr>
              <w:t>采用1200W像素自动对焦摄像头，可拍摄A4画幅（</w:t>
            </w:r>
            <w:r>
              <w:rPr>
                <w:rFonts w:hint="eastAsia" w:ascii="仿宋" w:hAnsi="仿宋" w:eastAsia="仿宋"/>
                <w:color w:val="auto"/>
                <w:highlight w:val="none"/>
              </w:rPr>
              <w:t>提供国家认可的第三方检测机构所出具的权威检测报告</w:t>
            </w:r>
            <w:r>
              <w:rPr>
                <w:rFonts w:hint="eastAsia" w:ascii="仿宋" w:hAnsi="仿宋" w:eastAsia="仿宋"/>
                <w:color w:val="auto"/>
                <w:highlight w:val="none"/>
                <w:lang w:eastAsia="zh-CN"/>
              </w:rPr>
              <w:t>扫描件</w:t>
            </w:r>
            <w:r>
              <w:rPr>
                <w:rFonts w:hint="eastAsia" w:ascii="仿宋" w:hAnsi="仿宋" w:eastAsia="仿宋"/>
                <w:color w:val="auto"/>
                <w:highlight w:val="none"/>
              </w:rPr>
              <w:t>）。</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用PDAF相位对焦技术，自动对焦速度低于300ms，减少对焦过程时间，提高教学效率。</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支持通过双击屏幕画面任意位置，即时改变对焦位置，可对立体物体的局部进行精确对焦</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s="仿宋"/>
                <w:b/>
                <w:bCs/>
                <w:color w:val="auto"/>
                <w:kern w:val="0"/>
                <w:highlight w:val="none"/>
                <w:lang w:eastAsia="zh-Hans"/>
              </w:rPr>
              <w:t>※</w:t>
            </w:r>
            <w:r>
              <w:rPr>
                <w:rFonts w:hint="eastAsia" w:ascii="仿宋" w:hAnsi="仿宋" w:eastAsia="仿宋"/>
                <w:color w:val="auto"/>
                <w:highlight w:val="none"/>
              </w:rPr>
              <w:t>支持两倍无损变焦放大，1080P分辨率下输出解析度≥TV 1800线（</w:t>
            </w:r>
            <w:r>
              <w:rPr>
                <w:rFonts w:hint="eastAsia" w:ascii="仿宋" w:hAnsi="仿宋" w:eastAsia="仿宋"/>
                <w:color w:val="auto"/>
                <w:highlight w:val="none"/>
              </w:rPr>
              <w:t>提供国家认可的第三方检测机构所出具的权威检测报告</w:t>
            </w:r>
            <w:r>
              <w:rPr>
                <w:rFonts w:hint="eastAsia" w:ascii="仿宋" w:hAnsi="仿宋" w:eastAsia="仿宋"/>
                <w:color w:val="auto"/>
                <w:highlight w:val="none"/>
                <w:lang w:eastAsia="zh-CN"/>
              </w:rPr>
              <w:t>扫描件</w:t>
            </w:r>
            <w:r>
              <w:rPr>
                <w:rFonts w:hint="eastAsia" w:ascii="仿宋" w:hAnsi="仿宋" w:eastAsia="仿宋"/>
                <w:color w:val="auto"/>
                <w:highlight w:val="none"/>
              </w:rPr>
              <w:t>）。</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展台按键采用电容式触摸按键，可实现一键启动展台画面、画面放大、画面缩小、画面旋转、拍照截图等功能，同时也支持在展台软件上进行同样的操作</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整机自带均光罩LED补光灯，光线不足时可进行亮度补充，亮度均匀。</w:t>
            </w:r>
          </w:p>
          <w:p>
            <w:pPr>
              <w:pStyle w:val="255"/>
              <w:numPr>
                <w:ilvl w:val="0"/>
                <w:numId w:val="17"/>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外壳在摄像头部分带保护镜片密封，防止灰尘沾染摄像头，防护等级达到IP4X级别。</w:t>
            </w:r>
            <w:r>
              <w:rPr>
                <w:rFonts w:ascii="仿宋" w:hAnsi="仿宋" w:eastAsia="仿宋"/>
                <w:color w:val="auto"/>
                <w:highlight w:val="none"/>
              </w:rPr>
              <w:t xml:space="preserve"> </w:t>
            </w:r>
          </w:p>
          <w:p>
            <w:pPr>
              <w:adjustRightInd/>
              <w:rPr>
                <w:rFonts w:ascii="仿宋" w:hAnsi="仿宋" w:eastAsia="仿宋"/>
                <w:color w:val="auto"/>
                <w:sz w:val="24"/>
                <w:highlight w:val="none"/>
              </w:rPr>
            </w:pPr>
            <w:r>
              <w:rPr>
                <w:rFonts w:hint="eastAsia" w:ascii="仿宋" w:hAnsi="仿宋" w:eastAsia="仿宋"/>
                <w:b/>
                <w:bCs/>
                <w:color w:val="auto"/>
                <w:sz w:val="24"/>
                <w:highlight w:val="none"/>
              </w:rPr>
              <w:t>软件部分：</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支持对展台实时画面进行放大、缩小、旋转、自适应、冻结画面等操作。</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支持展台画面实时批注，预设多种笔划粗细及颜色供选择，且支持+H8对展台画面联同批注内容进行同步缩放、移动。</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支持展台画面拍照截图并进行多图预览，可对任一图片进行全屏显示。</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老师可在一体机或电脑上选择延时拍照功能，支持5秒或10秒延时模式，预留充足时间以便调整拍摄内容。</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可选择图像、文本或动态等多种情景模式，适应不同展示内容。</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具备图像增强功能，可自动裁剪背景并增强文字显示，使文档画面更清晰。</w:t>
            </w:r>
          </w:p>
          <w:p>
            <w:pPr>
              <w:pStyle w:val="255"/>
              <w:numPr>
                <w:ilvl w:val="0"/>
                <w:numId w:val="18"/>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支持故障自动检测，在软件无法出现展台拍摄画面时，自动出现检测链接，帮助用户检测“无画面”的原因，并给出引导性解决方案。可判断硬件连接、显卡驱动、摄像头占用、软件版本等问题。</w:t>
            </w:r>
          </w:p>
          <w:p>
            <w:pPr>
              <w:pStyle w:val="255"/>
              <w:numPr>
                <w:ilvl w:val="0"/>
                <w:numId w:val="18"/>
              </w:numPr>
              <w:adjustRightInd/>
              <w:spacing w:line="240" w:lineRule="auto"/>
              <w:ind w:firstLineChars="0"/>
              <w:rPr>
                <w:rFonts w:ascii="仿宋" w:hAnsi="仿宋" w:eastAsia="仿宋" w:cs="Times New Roman"/>
                <w:color w:val="auto"/>
                <w:highlight w:val="none"/>
              </w:rPr>
            </w:pPr>
            <w:r>
              <w:rPr>
                <w:rFonts w:hint="eastAsia" w:ascii="仿宋" w:hAnsi="仿宋" w:eastAsia="仿宋"/>
                <w:color w:val="auto"/>
                <w:highlight w:val="none"/>
              </w:rPr>
              <w:t>支持二维码扫码功能：打开扫一扫功能后，将书本上的二维码放入扫描框内即可自动扫描，并进入系统浏览器获取二维码的链接内容，帮助老师快速获取电子教学资源。</w:t>
            </w:r>
          </w:p>
        </w:tc>
        <w:tc>
          <w:tcPr>
            <w:tcW w:w="377" w:type="pct"/>
            <w:vAlign w:val="center"/>
          </w:tcPr>
          <w:p>
            <w:pPr>
              <w:adjustRightInd/>
              <w:rPr>
                <w:rFonts w:ascii="仿宋" w:hAnsi="仿宋" w:eastAsia="仿宋" w:cs="仿宋"/>
                <w:color w:val="auto"/>
                <w:kern w:val="0"/>
                <w:sz w:val="24"/>
                <w:highlight w:val="none"/>
                <w:lang w:eastAsia="zh-Hans"/>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5</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推拉绿板</w:t>
            </w:r>
          </w:p>
          <w:p>
            <w:pPr>
              <w:tabs>
                <w:tab w:val="left" w:pos="0"/>
              </w:tabs>
              <w:adjustRightInd/>
              <w:jc w:val="center"/>
              <w:outlineLvl w:val="0"/>
              <w:rPr>
                <w:rFonts w:ascii="仿宋" w:hAnsi="仿宋" w:eastAsia="仿宋" w:cs="仿宋"/>
                <w:color w:val="auto"/>
                <w:sz w:val="24"/>
                <w:highlight w:val="none"/>
                <w:lang w:eastAsia="zh-Hans"/>
              </w:rPr>
            </w:pPr>
          </w:p>
        </w:tc>
        <w:tc>
          <w:tcPr>
            <w:tcW w:w="3682" w:type="pct"/>
            <w:vAlign w:val="center"/>
          </w:tcPr>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结构：双层结构，左右滑动设计(内置轨道,外框和轨道一体化设计)；</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采用两种方案（1）由大框及两块书写板组成，交互式智能一体机在左边或是右边，如图一所示。（2）两块固定书写板，一块滑动书写板，交互式智能一体机在中间，如图二所示。内层固定书写板与交互式智能一体机前端平齐，外层为滑动书写板，滑动板配装嵌入式锁具。书写时绿板应无晃动。</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根据学校要求采用不同方案，中标单位必须无条件响应。</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基本尺寸：按交互式智能平板尺寸订制，保证与一体机外形尺寸配套。</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书写板面：采用高温烤漆板面，厚度≥0.4mm，硬度8H，亚光、墨绿色，光泽度∠12%，表面粗糙度Ra1.6-3.2um;没有因黑板本身原因产生的眩光，书写流畅字迹清晰、板面表面附有一层透明保护膜。</w:t>
            </w:r>
            <w:r>
              <w:rPr>
                <w:rFonts w:hint="eastAsia" w:ascii="仿宋" w:hAnsi="仿宋" w:eastAsia="仿宋"/>
                <w:color w:val="auto"/>
                <w:highlight w:val="none"/>
              </w:rPr>
              <w:br w:type="textWrapping"/>
            </w:r>
            <w:r>
              <w:rPr>
                <w:rFonts w:hint="eastAsia" w:ascii="仿宋" w:hAnsi="仿宋" w:eastAsia="仿宋"/>
                <w:color w:val="auto"/>
                <w:highlight w:val="none"/>
              </w:rPr>
              <w:t>内芯材料：高强度、吸音、双A瓦楞纸板或泡沫，采用国际适用工艺，书写无吱咔声，改善书写手感。</w:t>
            </w:r>
            <w:r>
              <w:rPr>
                <w:rFonts w:hint="eastAsia" w:ascii="仿宋" w:hAnsi="仿宋" w:eastAsia="仿宋"/>
                <w:color w:val="auto"/>
                <w:highlight w:val="none"/>
              </w:rPr>
              <w:br w:type="textWrapping"/>
            </w:r>
            <w:r>
              <w:rPr>
                <w:rFonts w:hint="eastAsia" w:ascii="仿宋" w:hAnsi="仿宋" w:eastAsia="仿宋"/>
                <w:color w:val="auto"/>
                <w:highlight w:val="none"/>
              </w:rPr>
              <w:t>背板：采用优质彩钢板，厚度≥0.2mm，流水线一次成型，每间隔8公分设有1个2公分的加强凹槽。</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滑轨：双U型，上轨采用双吊轮（8个），下轨采用前后平移轮（4个）。</w:t>
            </w:r>
            <w:r>
              <w:rPr>
                <w:rFonts w:hint="eastAsia" w:ascii="仿宋" w:hAnsi="仿宋" w:eastAsia="仿宋"/>
                <w:color w:val="auto"/>
                <w:highlight w:val="none"/>
              </w:rPr>
              <w:br w:type="textWrapping"/>
            </w:r>
            <w:r>
              <w:rPr>
                <w:rFonts w:hint="eastAsia" w:ascii="仿宋" w:hAnsi="仿宋" w:eastAsia="仿宋"/>
                <w:color w:val="auto"/>
                <w:highlight w:val="none"/>
              </w:rPr>
              <w:t>黑板推动时可以自动把糟中粉笔灰清除。</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缓冲垫：书写板边框内部两侧须安装橡胶缓冲止动垫，设定安全距离。黑板边框内部两侧须安装橡胶缓冲止动垫，设定安全距离,不得安装在两侧立框。</w:t>
            </w:r>
          </w:p>
          <w:p>
            <w:pPr>
              <w:pStyle w:val="255"/>
              <w:numPr>
                <w:ilvl w:val="0"/>
                <w:numId w:val="19"/>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边框：采用HQ14-6063-T5工业型铝合金包边亚光。ABS工程塑料包角；在立框两侧加装侧挡板。</w:t>
            </w:r>
          </w:p>
        </w:tc>
        <w:tc>
          <w:tcPr>
            <w:tcW w:w="377" w:type="pct"/>
            <w:vAlign w:val="center"/>
          </w:tcPr>
          <w:p>
            <w:pPr>
              <w:tabs>
                <w:tab w:val="left" w:pos="0"/>
              </w:tabs>
              <w:adjustRightInd/>
              <w:outlineLvl w:val="0"/>
              <w:rPr>
                <w:rFonts w:ascii="仿宋" w:hAnsi="仿宋" w:eastAsia="仿宋" w:cs="仿宋"/>
                <w:color w:val="auto"/>
                <w:sz w:val="24"/>
                <w:highlight w:val="none"/>
                <w:lang w:eastAsia="zh-Hans"/>
              </w:rPr>
            </w:pPr>
            <w:r>
              <w:rPr>
                <w:rFonts w:hint="eastAsia" w:ascii="仿宋" w:hAnsi="仿宋" w:eastAsia="仿宋"/>
                <w:color w:val="auto"/>
                <w:sz w:val="24"/>
                <w:highlight w:val="none"/>
                <w:lang w:val="en-US" w:eastAsia="zh-CN"/>
              </w:rPr>
              <w:t>59</w:t>
            </w:r>
            <w:r>
              <w:rPr>
                <w:rFonts w:hint="eastAsia" w:ascii="仿宋" w:hAnsi="仿宋" w:eastAsia="仿宋"/>
                <w:color w:val="auto"/>
                <w:sz w:val="24"/>
                <w:highlight w:val="none"/>
                <w:lang w:val="en-US" w:eastAsia="zh-Hans"/>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6</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学生综合素质管理系统</w:t>
            </w:r>
          </w:p>
          <w:p>
            <w:pPr>
              <w:tabs>
                <w:tab w:val="left" w:pos="0"/>
              </w:tabs>
              <w:adjustRightInd/>
              <w:jc w:val="center"/>
              <w:outlineLvl w:val="0"/>
              <w:rPr>
                <w:rFonts w:ascii="仿宋" w:hAnsi="仿宋" w:eastAsia="仿宋" w:cs="仿宋"/>
                <w:color w:val="auto"/>
                <w:sz w:val="24"/>
                <w:highlight w:val="none"/>
                <w:lang w:eastAsia="zh-Hans"/>
              </w:rPr>
            </w:pPr>
          </w:p>
          <w:p>
            <w:pPr>
              <w:tabs>
                <w:tab w:val="left" w:pos="0"/>
              </w:tabs>
              <w:adjustRightInd/>
              <w:jc w:val="center"/>
              <w:outlineLvl w:val="0"/>
              <w:rPr>
                <w:rFonts w:ascii="仿宋" w:hAnsi="仿宋" w:eastAsia="仿宋" w:cs="仿宋"/>
                <w:color w:val="auto"/>
                <w:sz w:val="24"/>
                <w:highlight w:val="none"/>
                <w:lang w:eastAsia="zh-Hans"/>
              </w:rPr>
            </w:pPr>
          </w:p>
        </w:tc>
        <w:tc>
          <w:tcPr>
            <w:tcW w:w="3682" w:type="pct"/>
            <w:vAlign w:val="center"/>
          </w:tcPr>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软件系统整体要求：</w:t>
            </w:r>
          </w:p>
          <w:p>
            <w:pPr>
              <w:numPr>
                <w:ilvl w:val="0"/>
                <w:numId w:val="2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学生行为评价系统，集成四大功能模块：学校管理中心、教师管理中心、课堂表现评价、家校互联互通，功能及操作均在同一软件平台同一账号体系实现。</w:t>
            </w:r>
          </w:p>
          <w:p>
            <w:pPr>
              <w:numPr>
                <w:ilvl w:val="0"/>
                <w:numId w:val="2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支持PC客户端、PC网页端、安卓手机端、苹果手机端登陆使用，且各个端的数据是互通的，方便老师随时随地对学生进行管理与评价。</w:t>
            </w:r>
          </w:p>
          <w:p>
            <w:pPr>
              <w:numPr>
                <w:ilvl w:val="0"/>
                <w:numId w:val="2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支持多个老师管理同一个班级，从而满足一个班级有班主任和多个任课老师的实际情况。</w:t>
            </w:r>
          </w:p>
          <w:p>
            <w:pPr>
              <w:numPr>
                <w:ilvl w:val="0"/>
                <w:numId w:val="2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软件支持同一账号下，老师/家长双重身份切换，满足既是老师又是学生家长的人群需求。</w:t>
            </w:r>
          </w:p>
          <w:p>
            <w:pPr>
              <w:numPr>
                <w:ilvl w:val="0"/>
                <w:numId w:val="2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支持邀请家长入班，使家长可查看到自己的孩子在学校的各种表现。</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学校管理中心：</w:t>
            </w:r>
          </w:p>
          <w:p>
            <w:pPr>
              <w:numPr>
                <w:ilvl w:val="0"/>
                <w:numId w:val="2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支持邀请教师入校、审核教师的入校申请、移除学校的教师，方便学校管理员管理学校的教师信息。</w:t>
            </w:r>
          </w:p>
          <w:p>
            <w:pPr>
              <w:numPr>
                <w:ilvl w:val="0"/>
                <w:numId w:val="2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支持查看学校下的班级列表信息，包括班级名、班主任、学生数、家长数、表扬得分与待改进得分。可自由设置查看信息的时间区间，并可显示或隐藏某个班级，方便管理员进行汇总查看。</w:t>
            </w:r>
          </w:p>
          <w:p>
            <w:pPr>
              <w:numPr>
                <w:ilvl w:val="0"/>
                <w:numId w:val="2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支持查看学校下某个班级的详细信息，包括该班级的表现情况、考勤记录，并支持导出数据，方便管理员进行分析查看。</w:t>
            </w:r>
          </w:p>
          <w:p>
            <w:pPr>
              <w:numPr>
                <w:ilvl w:val="0"/>
                <w:numId w:val="2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支持发送全校通知，可将图片或文字信息发送给学校的教师和家长，支持选择部分班级发送，支持选择教师或家长发送。</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教师管理中心：</w:t>
            </w:r>
          </w:p>
          <w:p>
            <w:pPr>
              <w:numPr>
                <w:ilvl w:val="0"/>
                <w:numId w:val="2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支持教师设置个人帐号信息，包括头像、昵称、密码、所教年级、学科。</w:t>
            </w:r>
          </w:p>
          <w:p>
            <w:pPr>
              <w:numPr>
                <w:ilvl w:val="0"/>
                <w:numId w:val="2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支持设置班级信息，包括学段、年级、班级名称。</w:t>
            </w:r>
          </w:p>
          <w:p>
            <w:pPr>
              <w:numPr>
                <w:ilvl w:val="0"/>
                <w:numId w:val="2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支持设置学生信息，包括学生姓名、学生所属分组。</w:t>
            </w:r>
          </w:p>
          <w:p>
            <w:pPr>
              <w:numPr>
                <w:ilvl w:val="0"/>
                <w:numId w:val="2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持创建新班级，并可从现有班级中快速导入学生与家长账号。</w:t>
            </w:r>
          </w:p>
          <w:p>
            <w:pPr>
              <w:numPr>
                <w:ilvl w:val="0"/>
                <w:numId w:val="2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支持通过输入学校邀请码的方式申请加入学校。</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课堂表现评价：</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支持按学生或小组的首字母、总分、表扬分数、待改进分数等维度进行排序，方便老师快速找到需要评价的学生或小组。</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支持查看所有班级、小组、学生的评价得分，界面及头像均采用卡通化方式，提供课堂趣味性。</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支持考勤功能，可对学生的出勤、迟到、缺勤、请假状态进行记录，并支持查看课堂考勤统计报表，可详细查看班级考勤概览数据。</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支持网页端、PC授课端查看学生成长统计报表，按饼状图形式展现学生课堂表现情况，支持查看班级或学生个人情况，并可追溯每条评价的原因、对象、分值，便于教师进行精准评价。</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系统支持通过教师日常点评数据及专业心理测试，对学生能力进行分析，分析维度包括专注力、行为习惯、理解力、探索性、表达能力、组织能力等，并对各个能力维度进行能力解释、得分量化、潜力分析。</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为提高课堂趣味性，软件支持随机抽选学生进行评价。</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为方便把控课堂活动时间，支持计时器功能，包括秒表和倒计时。</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支持考勤功能，可将学生状态设定为出勤、迟到、缺勤、请假等。</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系统根据学生日常行为评价情况，通过AI学生能力模型进行智能分析，为每个学生生成定制化评语，评语可支持教师二次编辑修改并推送至家长端。</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查看课堂表现评价统计报表，按饼状图形式展现学生课堂表现情况，支持查看班级或学生个人的评价情况，并可具体查看到每一条评价的原因、对象、分值，便于老师做统计分析。报表数据支持导出成excel文件。</w:t>
            </w:r>
          </w:p>
          <w:p>
            <w:pPr>
              <w:numPr>
                <w:ilvl w:val="0"/>
                <w:numId w:val="2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系统内置评价类型不少于9种，支持老师自定义评价内容，可设置对应的图标、名称和分数。系统预置多种优秀点评量表模板供教师直接导入班级使用。</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家校互联互通：</w:t>
            </w:r>
          </w:p>
          <w:p>
            <w:pPr>
              <w:numPr>
                <w:ilvl w:val="0"/>
                <w:numId w:val="2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支持教师与其他教师及家长进行文字、语音、图片交流，且教师可设置免打扰时间段，非工作时间内消息不会发生提醒。</w:t>
            </w:r>
          </w:p>
          <w:p>
            <w:pPr>
              <w:numPr>
                <w:ilvl w:val="0"/>
                <w:numId w:val="2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p>
          <w:p>
            <w:pPr>
              <w:numPr>
                <w:ilvl w:val="0"/>
                <w:numId w:val="24"/>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教师发送作业给其他教师或家长，作业支持超过200字的文本、图片、视频、语音、外部网页链接等形式。支持家长在线提交作业，作业支持超过200字的文本、图片、视频、语音、外部网页链接等形式。教师可设置提交作业截止时间，并能在线批改学生作业，支持评语、语音及量化点评，教师筛选出的优秀作业可展示给班内所有家长。</w:t>
            </w:r>
          </w:p>
          <w:p>
            <w:pPr>
              <w:pStyle w:val="255"/>
              <w:numPr>
                <w:ilvl w:val="0"/>
                <w:numId w:val="24"/>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支持成绩报告功能：</w:t>
            </w:r>
          </w:p>
          <w:p>
            <w:pPr>
              <w:numPr>
                <w:ilvl w:val="0"/>
                <w:numId w:val="2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支持按EXCEL模板填写上传考试成绩，可自动生成班级成绩单，包括学生排名、学生姓名、学生总分，并可查看每个学生的每科得分情况以及平均分对比图。</w:t>
            </w:r>
          </w:p>
          <w:p>
            <w:pPr>
              <w:numPr>
                <w:ilvl w:val="0"/>
                <w:numId w:val="2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支持自动生成班级成绩分析报表，包括每个学科以及总分的得分率、优秀率、及格率，并支持显示总分平均分得分率分布图。</w:t>
            </w:r>
          </w:p>
          <w:p>
            <w:pPr>
              <w:numPr>
                <w:ilvl w:val="0"/>
                <w:numId w:val="25"/>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支持将学生的成绩报告发送给对应的家长。</w:t>
            </w:r>
          </w:p>
          <w:p>
            <w:pPr>
              <w:numPr>
                <w:ilvl w:val="0"/>
                <w:numId w:val="25"/>
              </w:numPr>
              <w:tabs>
                <w:tab w:val="left" w:pos="0"/>
              </w:tabs>
              <w:adjustRightInd/>
              <w:jc w:val="left"/>
              <w:outlineLvl w:val="0"/>
              <w:rPr>
                <w:rFonts w:ascii="仿宋" w:hAnsi="仿宋" w:eastAsia="仿宋"/>
                <w:color w:val="auto"/>
                <w:highlight w:val="none"/>
              </w:rPr>
            </w:pPr>
            <w:r>
              <w:rPr>
                <w:rFonts w:hint="eastAsia" w:ascii="仿宋" w:hAnsi="仿宋" w:eastAsia="仿宋"/>
                <w:color w:val="auto"/>
                <w:sz w:val="24"/>
                <w:highlight w:val="none"/>
              </w:rPr>
              <w:t>支持在线公开及匿名投票功能，可设定投票内容、投票类型、结束时间等，并可查看投票结果统计，方便老师收集家长意见。</w:t>
            </w:r>
          </w:p>
        </w:tc>
        <w:tc>
          <w:tcPr>
            <w:tcW w:w="377"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7</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智能笔</w:t>
            </w:r>
          </w:p>
          <w:p>
            <w:pPr>
              <w:tabs>
                <w:tab w:val="left" w:pos="0"/>
              </w:tabs>
              <w:adjustRightInd/>
              <w:jc w:val="center"/>
              <w:outlineLvl w:val="0"/>
              <w:rPr>
                <w:rFonts w:ascii="仿宋" w:hAnsi="仿宋" w:eastAsia="仿宋" w:cs="仿宋"/>
                <w:color w:val="auto"/>
                <w:sz w:val="24"/>
                <w:highlight w:val="none"/>
                <w:lang w:eastAsia="zh-Hans"/>
              </w:rPr>
            </w:pPr>
          </w:p>
          <w:p>
            <w:pPr>
              <w:tabs>
                <w:tab w:val="left" w:pos="0"/>
              </w:tabs>
              <w:adjustRightInd/>
              <w:jc w:val="center"/>
              <w:outlineLvl w:val="0"/>
              <w:rPr>
                <w:rFonts w:ascii="仿宋" w:hAnsi="仿宋" w:eastAsia="仿宋" w:cs="仿宋"/>
                <w:color w:val="auto"/>
                <w:sz w:val="24"/>
                <w:highlight w:val="none"/>
                <w:lang w:eastAsia="zh-Hans"/>
              </w:rPr>
            </w:pPr>
          </w:p>
        </w:tc>
        <w:tc>
          <w:tcPr>
            <w:tcW w:w="3682" w:type="pct"/>
            <w:vAlign w:val="center"/>
          </w:tcPr>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支持电容触摸设备书写、无线控制发射器一体化设计。</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笔身配置不少于四个物理按键，具备翻页、模拟激光笔、智能语音控制功能，兼顾触摸书写以及远程操控的握持姿态。</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兼容白板软件、PPT、PDF等多种演示软件课件的远程翻页控制。</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内置高精度陀螺仪，具备模拟激光笔功能，可通过笔身按钮激活陀螺仪模拟激光功能，适用于加载防眩光设计的教学显示设备。</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支持笔身翻转矫正，笔身轻微倾斜时，水平移动智能笔，可瞬时矫正识别光标动作为水平移动。</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支持按键唤醒语音识别功能，避免杂音造成误唤醒。</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支持唤醒语音识别时，可直接通过语音打开PC内已安装的应用，可直接通过语音调用网络搜索引擎搜索查询相应资料，可进行语音转写输入，支持语音控制屏幕黑屏、亮屏，音量大小调整，返回桌面，截屏，关机等操作。</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支持白板软件内，通过语音控制：切换备授课模式，切换书写、擦除、选择模式，最小化返回桌面，打开板中板，清空书写批注等操作</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采用无线连接方式，远程控制最远距离：语音识别：5m；模拟激光：10m；上翻页、下翻页：25米</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内部集成可充电电池设计，可连续不中断使用≥20小时，从无电到满电的充电时长≤2小时</w:t>
            </w:r>
          </w:p>
          <w:p>
            <w:pPr>
              <w:numPr>
                <w:ilvl w:val="0"/>
                <w:numId w:val="26"/>
              </w:numPr>
              <w:adjustRightInd/>
              <w:rPr>
                <w:rFonts w:ascii="仿宋" w:hAnsi="仿宋" w:eastAsia="仿宋"/>
                <w:color w:val="auto"/>
                <w:sz w:val="24"/>
                <w:highlight w:val="none"/>
              </w:rPr>
            </w:pPr>
            <w:r>
              <w:rPr>
                <w:rFonts w:hint="eastAsia" w:ascii="仿宋" w:hAnsi="仿宋" w:eastAsia="仿宋"/>
                <w:color w:val="auto"/>
                <w:sz w:val="24"/>
                <w:highlight w:val="none"/>
              </w:rPr>
              <w:t>支持智能休眠节电，智能笔20秒无人使用时自动进入休眠节电模式，按任意按键唤醒智能遥控笔。</w:t>
            </w:r>
          </w:p>
        </w:tc>
        <w:tc>
          <w:tcPr>
            <w:tcW w:w="377" w:type="pct"/>
            <w:vAlign w:val="center"/>
          </w:tcPr>
          <w:p>
            <w:pPr>
              <w:tabs>
                <w:tab w:val="left" w:pos="0"/>
              </w:tabs>
              <w:adjustRightInd/>
              <w:jc w:val="center"/>
              <w:outlineLvl w:val="0"/>
              <w:rPr>
                <w:rFonts w:ascii="仿宋" w:hAnsi="仿宋" w:eastAsia="仿宋" w:cs="仿宋"/>
                <w:color w:val="auto"/>
                <w:sz w:val="24"/>
                <w:highlight w:val="none"/>
                <w:lang w:eastAsia="zh-Hans"/>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8</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教学教研平台</w:t>
            </w:r>
          </w:p>
          <w:p>
            <w:pPr>
              <w:tabs>
                <w:tab w:val="left" w:pos="0"/>
              </w:tabs>
              <w:adjustRightInd/>
              <w:jc w:val="center"/>
              <w:outlineLvl w:val="0"/>
              <w:rPr>
                <w:rFonts w:ascii="仿宋" w:hAnsi="仿宋" w:eastAsia="仿宋"/>
                <w:color w:val="auto"/>
                <w:sz w:val="24"/>
                <w:highlight w:val="none"/>
              </w:rPr>
            </w:pPr>
          </w:p>
          <w:p>
            <w:pPr>
              <w:tabs>
                <w:tab w:val="left" w:pos="0"/>
              </w:tabs>
              <w:adjustRightInd/>
              <w:jc w:val="center"/>
              <w:outlineLvl w:val="0"/>
              <w:rPr>
                <w:rFonts w:ascii="仿宋" w:hAnsi="仿宋" w:eastAsia="仿宋"/>
                <w:color w:val="auto"/>
                <w:sz w:val="24"/>
                <w:highlight w:val="none"/>
              </w:rPr>
            </w:pPr>
          </w:p>
        </w:tc>
        <w:tc>
          <w:tcPr>
            <w:tcW w:w="3682" w:type="pct"/>
            <w:vAlign w:val="center"/>
          </w:tcPr>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整体设计:</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 定义：基于数据分析的教学教研管理平台，支持学校管理教学教研流程，包括教学计划、电子备课、听课评课、学情评价、校本资源建设，同时收集数据反馈和评价，方便管理者掌握和促进教学教研效果。同时支持教师管理个人教学教研活动并进行数据采集分析，帮助教师提升个人专业发展。</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2.产品采用Saas的服务模式，后台应用B/S架构设计，支持学校管理者在Windows、Linux、Android、iOS等多种不同的操作系统上通过网页浏览器登陆进行操作，可统计全校教师软件活跃数据、点评数据及课件上传等数据。</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3.多端登录：支持管理员及教师使用网页端、移动端登录，移动端支持查看网页端数据信息，教师榜单，并定期推送数据分析报表，帮助学校检验信息化教学成果。</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基础数据中心：</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 信息化指数：通过多维度分析学校的信息化教学应用情况，综合评估出信息化指数，并与月均值、全省均值进行对比，方便管理者快速了解信息化教学进展。</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2.信息化数据雷达图：将信息化教学数据分五个维度进行评估，分别为课件制作、听课评课、师生互动、互动教学、家校沟通。</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系统管理：</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1.学校通知：管理员可根据组织架构信息，自由选定教师发送学校通知。发送后，管理员可实时查阅教师已读、未读情况。通知的发送、接收都可在微信小程序中完成，方便随时随地进行通知的查阅和管理。</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教师考勤：具备教师GPS定位打卡考勤功能。学校管理员可设置考勤时间、考勤范围，还可以查看和导出考勤数据报表。教师可在移动端进行GPS考勤，到达学校范围后即激活打卡，支持入校、离校、迟到、早退等多种打卡类型。</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3.组织架构：管理员可自定义构建部门，亦可将教师导入相应的部门，方便进行分组管理。支持管理者在移动端审核教师入校，方便快速处理教师的申请。</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4.教研结构：支持管理者按照学段-学科-年级快速创建教师的教研组织结构，方便教师信息的分类管理。</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5.人员管理：支持管理员通过多种方式邀请教师入校，包含直接导入教师、链接邀请入校、二维码邀请入校。支持以姓名、手机号快速搜索教师，同时支持导出学校教师名单。</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6.申请入校：教师输入学校账号以及入校验证信息完成入校申请，管理员审核申请后即可入校；支持教师通过回答自定义验证问题直接入校。</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7.信息管理：支持修改管理员、教师的账户信息，支持管理员上传校徽，并对本校内管理者账户都可见。</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8.班级管理：支持查看校内每个班级的班主任、班级人数，查看每位学生的课堂行为点评，了解每位学生情况，便捷进行班级管理。</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教研管理中心：</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为学校提供教研全流程管理服务，包含教学计划、电子教案、听课评课、校本资源、学情评价的流程管理和数据分析，方便学校统筹管理教学、教研活动进展，收集数据反馈和评价，了解全校教师的教学教研产出。</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2学校目标与计划：可以在系统中录入学校教学计划，计划可以和教案的课时数相关联，方便管理者掌握学校教学进度。</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3.教研组计划：以不同学科不同年级教研组为单位，可以在系统中录入教研组教学计划，计划可以和教案的课时数相关联，方便教研组管理教学进度。</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4.教案模板管理：支持管理者自定义学校的教案模板，可以设置必填项和选填项，有效规范教师教案的编写。</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5.校本课件管理：可统一审核发布、删除教师上传至校本库的课件，支持查看更新时间、大小、下载次数等数据。校本课件支持文件夹分组，方便各学科课件的分组管理。同时支持课件的批量移动、删除。</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 xml:space="preserve">6.校本课件预览：校本课件支持直接预览课件及该课件的教案，方便课件、教案的检查。  </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7.评课表管理：支持自定义设置学校专属评课表，系统预置中央电教馆“一师一优课，一课一名师”模板供使用。点评支持评分题和主观题，支持发布多张评课表，方便同时开展多学科、多个评课活动。</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教研数据中心：</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览全校教案编写情况。</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课件制作数据：支持按本周、本月、本学期、自定义时间查看全校教师课件制作的数据排行，教师榜单支持按照课件数、上传校本课件数、校本课件热度进行排序。课件数据支持按学科对比，方便总览全校课件制作情况。</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3.校本课件榜单：支持查看校本课件各维度的榜单，包含最多分享教师榜单、最受欢迎课件榜单、最受欢迎教师榜单，可以查看数据详情，支持一键获取课件。</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4.校本课件数据详情：支持查看校本课件数据，包括新增数据，各年级和学科的对比，可查看校本课件列表，校本课件列表可按累计被下载数排序。</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 xml:space="preserve">5.班级氛围数据概况：支持查看不同时间段班级氛围数据的概况，数据包含家长入班率，教师对学生的新增点评数，教师参与度，表现突出的教师前三名。 </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6.班级氛围数据详情：支持查看班级点评分数数据，包含班级总分榜、当月班级分数榜、教师点评榜、最热点评维度，可以按年级进行柱状图分析对比，方便了解全校班级管理情况。</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7.听课评课概览：展示教研组听评课数据概况，数据包含教研组授课节数、听课人数、优秀课例前三名，教师得分榜前三名。支持获取查看优秀课例，可查看教师评课维度得分详情。</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8.听评课数据详情：全校听评课数据统一汇总，数据包含全校评课平均分，累计评课数量，本周新增评课数量，听课人数，方便了解听评课教研活动的开展情况。</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9.听评课排行榜：全校听评课排行榜，有教师得分榜、课例排行榜、听课排行榜，并支持按年级、学科查看全校榜单详细数据。</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10.听评课数据统计导出：支持对不同评课维度得分进行统计，计算平均分并找出评分薄弱项，方便管理者针对性优化教学策略，同时支持查看全校的评课记录和得分详情，并可一键导出Excel表格，方便整理。</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教师个人空间：</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1.空间管理：教师可对个人云空间进行管理，支持课件搜索及图片、音视频、文档等的上传，并支持将任意资源分享至校本资源库。</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2.习题管理：支持创建习题，习题类型包括选择题、填空题、解答题，支持批量导入习题。可对习题进行学科、教材版本、章节进行分类，方便后续对习题进行筛选。</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3.资源分享：可对空间中课件等资源进行分享至校本资料夹，也可以加入资源包进行备授课调用。</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4.资源调用：可在空间中直接访问校本库，对校本库的资源进行保存至个人空间进行调用。</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5.时间胶囊查看：支持在个人空间查看胶囊录制数量、累计时长数据，提供上述数据个人与全校教师的对比情况。支持根据最新、最多收藏、最多播放顺序查看个人胶囊，支持直接使用名称与作者来搜索胶囊，并提供学段、学科、年级、上传或收藏方式筛选胶囊。</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6．时间胶囊管理：支持对胶囊课程名进行编辑，根据学科学段进行归类，支持对胶囊进行删除。</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7.时间胶囊播放：支持在胶囊中直接对胶囊中的课件进行控制，包括翻页、跳转至任意指定页、支持画笔、橡皮擦、撤销等工具的调用，方便对课件进行预览学习。支持一键对音频内容进行语音识别，转化为文字，方便对讲解内容深入学习。</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8.时间胶囊分享：支持通过链接分享、手机号分享、微信二维码分享以及上传到校本资源库等方式进行分享。</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资源中心：</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1.资源情况：资源中心支持教师调用资源，资源类型包括课件资源、题库资源、多媒体图片视频素材资源等。</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2互动课件资源：资源中心课件支持使用配套备授课工具打开并二次编辑，包含各类特色互动内容。</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3.题库资源：资源中心习题资源不少于200万道题，包含题型种类有单选题、多选题、填空题、应用题等。</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4.多媒体资源：资源中心多媒体资源包含Word、PPT、视频、音频、图片各类型资源。</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5.教材管理：教师可进行教材管理，自由添加、删除教材，教学时可在不同教材间切换，以满足不同学段的教学资源需求。</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6. 资源下发：教师可将课件、题库资源加入资源包，进行备课授课或布置学生作业，方便教师在不同教学场景下进行资源调用。</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7. 课件预览：支持教师在资源中心课件库中点击所需课件进行预览，并可直接在预览时体验课件交互，包括体验课件动画、学科工具、思维导图、课堂活动等功能。</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8.课件使用：教师选择多份课件并下发到配套备授课工具使用时，可选择新建课件或关联现有课件，关联课件可选择在配套备授课工具的个人云空间中关联调用已有课件。</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9.习题使用：教师可以选择习题插入课件使用。支持在云空间中创建习题，包括选择题、填空题、解答题，支持批量导入习题，将习题分享至校本资源库。</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10.多媒体素材使用：支持教师选择媒体图片视频资源插入课件进行使用。</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教学设计系统：</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1.支持老师阅览学校计划、本学科组计划，并根据上级计划制定个人教学计划，同时支持实时查看、对比教研组计划及个人计划的进展，掌握教学进度。</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 xml:space="preserve">2. </w:t>
            </w:r>
            <w:r>
              <w:rPr>
                <w:rFonts w:hint="eastAsia" w:ascii="仿宋" w:hAnsi="仿宋" w:eastAsia="仿宋" w:cs="仿宋"/>
                <w:b/>
                <w:bCs/>
                <w:color w:val="auto"/>
                <w:sz w:val="24"/>
                <w:highlight w:val="none"/>
                <w:lang w:eastAsia="zh-Hans"/>
              </w:rPr>
              <w:t>※</w:t>
            </w:r>
            <w:r>
              <w:rPr>
                <w:rFonts w:hint="eastAsia" w:ascii="仿宋" w:hAnsi="仿宋" w:eastAsia="仿宋"/>
                <w:color w:val="auto"/>
                <w:sz w:val="24"/>
                <w:highlight w:val="none"/>
              </w:rPr>
              <w:t>电子教案：教师可以在个人空间直接编写教案，编写教案时可以关联课件，支持教师在个人空间、配套备授课工具查看课件以及教案，方便教师进行教学设计。</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3.教师个人教案数据实时统计，包含教师累计课件数、本周制作课件数。</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学情分析系统：</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1.课前资源学习：在资源学习报告中，可查看不同学习时长的学生数量分布情况、资源人均查看次数、资源学习人均用时、未学习人数，以及全班学生学习进度与用时。</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2.课中互动数据：可以雷达图的图表形式查看屏幕互动、互动答题、课堂测验、氛围管理、课件推送等互动教学方式的数据占比。</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 xml:space="preserve">4.课后习题与测验：可查看每道题的正确率、错误人数、未作答人数，并可展开答案解释，支持对题目进行标记（易错题、典型题、必考题、优质作业题）。 </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5.作业报告：教师可查看课前课中课后不同科目不同班级的作业报告，包括资源学习、习题作答、课后测验情况。</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6.班级数据分析：支持按周查看学生个人累计学习时长、课业成绩、互动教学次数，提供以上数据的三维雷达图，与全省数据进行直观对比。</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7.人均数据分析：支持查看人均学习资源量、人均学习时长、人均答题数与平均正确率、互动教学次数与互动时长。</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8.个体学情分析：支持查看每个学生的学习时长、课业成绩、课堂活跃数据，可以周为单位进行环比分析，方便教师对每个学生的学情进行阶段性跟踪。</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听课评课系统：</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1.听课评课：教师可以查看个人的听评课数据，包括个人平均分、累计听课节数、累计评课节数，同时可以分析评价维度的得分情况以及个人薄弱项。支持查看历史评课记录，并进行评课分析。</w:t>
            </w:r>
          </w:p>
        </w:tc>
        <w:tc>
          <w:tcPr>
            <w:tcW w:w="377"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51"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9</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校园设备运维管理系统</w:t>
            </w:r>
          </w:p>
          <w:p>
            <w:pPr>
              <w:tabs>
                <w:tab w:val="left" w:pos="0"/>
              </w:tabs>
              <w:adjustRightInd/>
              <w:jc w:val="center"/>
              <w:outlineLvl w:val="0"/>
              <w:rPr>
                <w:rFonts w:ascii="仿宋" w:hAnsi="仿宋" w:eastAsia="仿宋"/>
                <w:color w:val="auto"/>
                <w:sz w:val="24"/>
                <w:highlight w:val="none"/>
              </w:rPr>
            </w:pPr>
          </w:p>
          <w:p>
            <w:pPr>
              <w:tabs>
                <w:tab w:val="left" w:pos="0"/>
              </w:tabs>
              <w:adjustRightInd/>
              <w:jc w:val="center"/>
              <w:outlineLvl w:val="0"/>
              <w:rPr>
                <w:rFonts w:ascii="仿宋" w:hAnsi="仿宋" w:eastAsia="仿宋"/>
                <w:color w:val="auto"/>
                <w:sz w:val="24"/>
                <w:highlight w:val="none"/>
              </w:rPr>
            </w:pPr>
          </w:p>
        </w:tc>
        <w:tc>
          <w:tcPr>
            <w:tcW w:w="3682" w:type="pct"/>
            <w:vAlign w:val="center"/>
          </w:tcPr>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整体设计：</w:t>
            </w:r>
          </w:p>
          <w:p>
            <w:pPr>
              <w:numPr>
                <w:ilvl w:val="0"/>
                <w:numId w:val="2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管理平台采用B/S混合云架构设计，无需本地额外部署服务器等设备即可实现对教学信息化设备运行数据的监测。</w:t>
            </w:r>
          </w:p>
          <w:p>
            <w:pPr>
              <w:numPr>
                <w:ilvl w:val="0"/>
                <w:numId w:val="2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pPr>
              <w:numPr>
                <w:ilvl w:val="0"/>
                <w:numId w:val="27"/>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平台支持对全校智慧教室的教学信息化设备进行集中运维管理和策略部署，支持与交互智能教学设备、学生智能终端、常态化录播等教学设备的底层系统无缝对接。</w:t>
            </w:r>
          </w:p>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智能教学设备管理：</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管理平台可对广域网内的交互智能终端进行远程实时控制，能够监控设备当前运行界面，并远程对设备操作界面进行控制。</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管理平台可控制连接广域网的交互智能设备整机关机、开机和重启；可批量设定智能设备开关机的执行时间，并支持自定义日循环执行，预约定时执行。</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管理平台可远程对选定的交互智能设备推送动态文字滚动公告，可对公告文字的颜色、粗体以及播放次数、推送时间进行设置。</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管理平台可远程开启指定交互智能设备倒计日功能并设定倒计日截止日期，便于重大教学安排的提醒提示。</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管理平台支持批量对交互智能设备进行软件远程部署，配套专用教学软件批量部署支持静默安装。</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管理平台提供巡课值守模式，自动轮循显示处于运行状态的交互智能设备使用界面。</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管理平台实时显示交互智能设备异常的告警提示，并同步将异常信息推送至管理员移动端工作平台。</w:t>
            </w:r>
          </w:p>
          <w:p>
            <w:pPr>
              <w:numPr>
                <w:ilvl w:val="0"/>
                <w:numId w:val="28"/>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对设备进行锁屏，具备一键下课锁定功能，教师点击下课按钮一键锁定设备，保证教学信息设备的使用秩序，提供无网解锁、有网解锁、密码解锁等多种认证解锁机制，适用于各类教学环境。有网情况下，可通过扫码验证身份解锁；无网情况下可通过扫码认证身份，获取临时解锁密码解锁；任何情况下均可支持6位数字密码解锁。</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安全应用防护数据分析：</w:t>
            </w:r>
          </w:p>
          <w:p>
            <w:pPr>
              <w:numPr>
                <w:ilvl w:val="0"/>
                <w:numId w:val="29"/>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管理平台可远程对运行状态下的交互智能设备批量进行本地系统启动盘的冻结、解冻（冰点保护）。被冻结后本地系统启动盘的数据及系统更改等均会自动恢复至冻结前状态。</w:t>
            </w:r>
          </w:p>
          <w:p>
            <w:pPr>
              <w:numPr>
                <w:ilvl w:val="0"/>
                <w:numId w:val="29"/>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管理平台可实时监控开启冰点保护的设备数量、磁盘冰冻状态等，并提示冰点风险，方便用户管理一体机系统环境，管理平台可开启或关闭指定交互智能平板设备的任意磁盘分区数据还原（冰点）保护</w:t>
            </w:r>
          </w:p>
          <w:p>
            <w:pPr>
              <w:numPr>
                <w:ilvl w:val="0"/>
                <w:numId w:val="29"/>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操作管理：</w:t>
            </w:r>
          </w:p>
          <w:p>
            <w:pPr>
              <w:numPr>
                <w:ilvl w:val="0"/>
                <w:numId w:val="3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管理操作日志实时反馈远程控制及信息发布等指令状态，便于检验操作结果。操作日志支持按照指令类型筛选查看。</w:t>
            </w:r>
          </w:p>
          <w:p>
            <w:pPr>
              <w:numPr>
                <w:ilvl w:val="0"/>
                <w:numId w:val="30"/>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管理平台支持多层级权限管理，可将多类型的设备管理权限分配给多个管理员，由多个管理员共同管理；顶级管理员可添加普通管理员并修改普通管理员的权限。</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移动管理平台：</w:t>
            </w:r>
          </w:p>
          <w:p>
            <w:pPr>
              <w:numPr>
                <w:ilvl w:val="0"/>
                <w:numId w:val="3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提供免安装且兼容Android、IOS等主流移动终端的移动管理平台，无需反复登录移动浏览器，可实时查看开机设备数、锁屏设备数、关机设备数等信息化运行数据。</w:t>
            </w:r>
          </w:p>
          <w:p>
            <w:pPr>
              <w:numPr>
                <w:ilvl w:val="0"/>
                <w:numId w:val="3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移动管理平台可对已连接的交互智能设备进行实时关机、开机和重启操作</w:t>
            </w:r>
          </w:p>
          <w:p>
            <w:pPr>
              <w:numPr>
                <w:ilvl w:val="0"/>
                <w:numId w:val="3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移动管理平台可实时监控已连接的交互智能设备，远程查看设备的开关机状态、CPU温度、CPU使用率、开机时间等设备详情。</w:t>
            </w:r>
          </w:p>
          <w:p>
            <w:pPr>
              <w:numPr>
                <w:ilvl w:val="0"/>
                <w:numId w:val="3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移动管理平台可查看已连接设备运行异常数据，异常类型包含温度过高、CPU占用率过高、待机时间过长等，支持按年级筛选查看设备异常数据并对异常设备进行管控。</w:t>
            </w:r>
          </w:p>
          <w:p>
            <w:pPr>
              <w:numPr>
                <w:ilvl w:val="0"/>
                <w:numId w:val="3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交互智能设备发生异常时，移动管理平台自动发送异常信息提醒管理员。</w:t>
            </w:r>
          </w:p>
          <w:p>
            <w:pPr>
              <w:numPr>
                <w:ilvl w:val="0"/>
                <w:numId w:val="31"/>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远程控制相关操作均可获得实时反馈，方便用户及时获取操作情况。</w:t>
            </w:r>
          </w:p>
          <w:p>
            <w:pPr>
              <w:tabs>
                <w:tab w:val="left" w:pos="0"/>
              </w:tabs>
              <w:adjustRightInd/>
              <w:jc w:val="left"/>
              <w:outlineLvl w:val="0"/>
              <w:rPr>
                <w:rFonts w:ascii="仿宋" w:hAnsi="仿宋" w:eastAsia="仿宋"/>
                <w:b/>
                <w:bCs/>
                <w:color w:val="auto"/>
                <w:sz w:val="24"/>
                <w:highlight w:val="none"/>
              </w:rPr>
            </w:pPr>
            <w:r>
              <w:rPr>
                <w:rFonts w:hint="eastAsia" w:ascii="仿宋" w:hAnsi="仿宋" w:eastAsia="仿宋"/>
                <w:b/>
                <w:bCs/>
                <w:color w:val="auto"/>
                <w:sz w:val="24"/>
                <w:highlight w:val="none"/>
              </w:rPr>
              <w:t>智能教学设备端：</w:t>
            </w:r>
          </w:p>
          <w:p>
            <w:pPr>
              <w:numPr>
                <w:ilvl w:val="0"/>
                <w:numId w:val="3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管理平台为学校提供专属识别代码，广域网环境下的交互智能设备输入专属代码接入管理平台即可在通过管理平台对设备进行远程管理。支持按照年级、班级自定义交互智能设备名称，方便管理员对应管理。</w:t>
            </w:r>
          </w:p>
          <w:p>
            <w:pPr>
              <w:numPr>
                <w:ilvl w:val="0"/>
                <w:numId w:val="3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交互智能设备支持磁盘级系统还原保护，可根据教学需要自由选择磁盘分区冻结、解冻还原保护。</w:t>
            </w:r>
          </w:p>
          <w:p>
            <w:pPr>
              <w:numPr>
                <w:ilvl w:val="0"/>
                <w:numId w:val="32"/>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可在交互智能设备查看设备基本信息，如：系统、CPU、内存、硬盘、MCU、TV、触摸框等信息，方便老师管理设备。</w:t>
            </w:r>
          </w:p>
          <w:p>
            <w:pPr>
              <w:numPr>
                <w:ilvl w:val="0"/>
                <w:numId w:val="32"/>
              </w:numPr>
              <w:tabs>
                <w:tab w:val="left" w:pos="0"/>
              </w:tabs>
              <w:adjustRightInd/>
              <w:jc w:val="left"/>
              <w:outlineLvl w:val="0"/>
              <w:rPr>
                <w:rFonts w:ascii="仿宋" w:hAnsi="仿宋" w:eastAsia="仿宋"/>
                <w:color w:val="auto"/>
                <w:highlight w:val="none"/>
              </w:rPr>
            </w:pPr>
            <w:r>
              <w:rPr>
                <w:rFonts w:hint="eastAsia" w:ascii="仿宋" w:hAnsi="仿宋" w:eastAsia="仿宋"/>
                <w:color w:val="auto"/>
                <w:sz w:val="24"/>
                <w:highlight w:val="none"/>
              </w:rPr>
              <w:t>提供教学专用广告屏蔽工具。支持高强度屏蔽拦截，对全部软件应用弹窗进行无差别拦截；支持自定义应用广告弹窗过滤屏蔽，可屏蔽拦截指定应用的弹窗,保障互联网教育信息安全及内容安全。</w:t>
            </w:r>
          </w:p>
        </w:tc>
        <w:tc>
          <w:tcPr>
            <w:tcW w:w="377"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1"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10</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一体化蓝牙音箱</w:t>
            </w:r>
          </w:p>
          <w:p>
            <w:pPr>
              <w:tabs>
                <w:tab w:val="left" w:pos="0"/>
              </w:tabs>
              <w:adjustRightInd/>
              <w:jc w:val="center"/>
              <w:outlineLvl w:val="0"/>
              <w:rPr>
                <w:rFonts w:ascii="仿宋" w:hAnsi="仿宋" w:eastAsia="仿宋"/>
                <w:color w:val="auto"/>
                <w:sz w:val="24"/>
                <w:highlight w:val="none"/>
              </w:rPr>
            </w:pPr>
          </w:p>
          <w:p>
            <w:pPr>
              <w:tabs>
                <w:tab w:val="left" w:pos="0"/>
              </w:tabs>
              <w:adjustRightInd/>
              <w:jc w:val="center"/>
              <w:outlineLvl w:val="0"/>
              <w:rPr>
                <w:rFonts w:ascii="仿宋" w:hAnsi="仿宋" w:eastAsia="仿宋"/>
                <w:color w:val="auto"/>
                <w:sz w:val="24"/>
                <w:highlight w:val="none"/>
              </w:rPr>
            </w:pPr>
          </w:p>
        </w:tc>
        <w:tc>
          <w:tcPr>
            <w:tcW w:w="3682" w:type="pct"/>
            <w:vAlign w:val="center"/>
          </w:tcPr>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采用功放及有源音箱一体化设计。</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双音箱配对，采用木质材质，保证声音还原度。</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输出功率: 2*</w:t>
            </w:r>
            <w:r>
              <w:rPr>
                <w:rFonts w:ascii="仿宋" w:hAnsi="仿宋" w:eastAsia="仿宋"/>
                <w:color w:val="auto"/>
                <w:sz w:val="24"/>
                <w:highlight w:val="none"/>
              </w:rPr>
              <w:t>4</w:t>
            </w:r>
            <w:r>
              <w:rPr>
                <w:rFonts w:hint="eastAsia" w:ascii="仿宋" w:hAnsi="仿宋" w:eastAsia="仿宋"/>
                <w:color w:val="auto"/>
                <w:sz w:val="24"/>
                <w:highlight w:val="none"/>
              </w:rPr>
              <w:t>0W。</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端口：电源*1、Line in*1、Line out*1、U盘接口*1。</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支持专业无线麦克风接收技术数字U段无线麦克风扩音接收，有效避开wifi干扰。</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配置独立音频数字信号处理芯片，支持啸叫抑制功能，在麦克风挂绳模式下会自动打开。</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支持蓝牙无线接收，方便老师分享移动设备上的音频。蓝牙支持密码模式，防止学生连接。</w:t>
            </w:r>
          </w:p>
          <w:p>
            <w:pPr>
              <w:numPr>
                <w:ilvl w:val="0"/>
                <w:numId w:val="33"/>
              </w:num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支持安卓手机通过蓝牙无线连接音箱，实现控制有源音箱的音量、设置蓝牙名称、设置蓝牙密码等功能，方便教师对音箱的管控。</w:t>
            </w:r>
          </w:p>
          <w:p>
            <w:pPr>
              <w:numPr>
                <w:ilvl w:val="0"/>
                <w:numId w:val="33"/>
              </w:numPr>
              <w:adjustRightInd/>
              <w:rPr>
                <w:rFonts w:ascii="仿宋" w:hAnsi="仿宋" w:eastAsia="仿宋"/>
                <w:color w:val="auto"/>
                <w:sz w:val="24"/>
                <w:highlight w:val="none"/>
              </w:rPr>
            </w:pPr>
            <w:r>
              <w:rPr>
                <w:rFonts w:hint="eastAsia" w:ascii="仿宋" w:hAnsi="仿宋" w:eastAsia="仿宋"/>
                <w:color w:val="auto"/>
                <w:sz w:val="24"/>
                <w:highlight w:val="none"/>
              </w:rPr>
              <w:t>支持扩音和输入音源叠加输出，方便与录播系统结合，或者通过串联功放支持更大环境扩音。</w:t>
            </w:r>
          </w:p>
          <w:p>
            <w:pPr>
              <w:numPr>
                <w:ilvl w:val="0"/>
                <w:numId w:val="33"/>
              </w:numPr>
              <w:adjustRightInd/>
              <w:rPr>
                <w:rFonts w:ascii="仿宋" w:hAnsi="仿宋" w:eastAsia="仿宋"/>
                <w:color w:val="auto"/>
                <w:sz w:val="24"/>
                <w:highlight w:val="none"/>
              </w:rPr>
            </w:pPr>
            <w:r>
              <w:rPr>
                <w:rFonts w:hint="eastAsia" w:ascii="仿宋" w:hAnsi="仿宋" w:eastAsia="仿宋"/>
                <w:color w:val="auto"/>
                <w:sz w:val="24"/>
                <w:highlight w:val="none"/>
              </w:rPr>
              <w:t>为保证无线安全性和可靠性，需要提供SRRC证书</w:t>
            </w:r>
          </w:p>
          <w:p>
            <w:pPr>
              <w:pStyle w:val="255"/>
              <w:numPr>
                <w:ilvl w:val="0"/>
                <w:numId w:val="33"/>
              </w:numPr>
              <w:adjustRightInd/>
              <w:spacing w:line="240" w:lineRule="auto"/>
              <w:ind w:firstLineChars="0"/>
              <w:jc w:val="left"/>
              <w:rPr>
                <w:rFonts w:ascii="仿宋" w:hAnsi="仿宋" w:eastAsia="仿宋"/>
                <w:color w:val="auto"/>
                <w:highlight w:val="none"/>
                <w:u w:color="000000"/>
              </w:rPr>
            </w:pPr>
            <w:r>
              <w:rPr>
                <w:rFonts w:hint="eastAsia" w:ascii="仿宋" w:hAnsi="仿宋" w:eastAsia="仿宋"/>
                <w:color w:val="auto"/>
                <w:highlight w:val="none"/>
                <w:u w:color="000000"/>
              </w:rPr>
              <w:t>提供国家认可的具备CMA及CNAS认证的检测机构所出具的权威检测报告</w:t>
            </w:r>
            <w:r>
              <w:rPr>
                <w:rFonts w:hint="eastAsia" w:ascii="仿宋" w:hAnsi="仿宋" w:eastAsia="仿宋"/>
                <w:color w:val="auto"/>
                <w:highlight w:val="none"/>
                <w:u w:color="000000"/>
                <w:lang w:eastAsia="zh-CN"/>
              </w:rPr>
              <w:t>扫描件</w:t>
            </w:r>
          </w:p>
        </w:tc>
        <w:tc>
          <w:tcPr>
            <w:tcW w:w="377"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1"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11</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无线麦克风</w:t>
            </w:r>
          </w:p>
          <w:p>
            <w:pPr>
              <w:tabs>
                <w:tab w:val="left" w:pos="0"/>
              </w:tabs>
              <w:adjustRightInd/>
              <w:jc w:val="center"/>
              <w:outlineLvl w:val="0"/>
              <w:rPr>
                <w:rFonts w:ascii="仿宋" w:hAnsi="仿宋" w:eastAsia="仿宋"/>
                <w:color w:val="auto"/>
                <w:sz w:val="24"/>
                <w:highlight w:val="none"/>
              </w:rPr>
            </w:pPr>
          </w:p>
          <w:p>
            <w:pPr>
              <w:tabs>
                <w:tab w:val="left" w:pos="0"/>
              </w:tabs>
              <w:adjustRightInd/>
              <w:jc w:val="center"/>
              <w:outlineLvl w:val="0"/>
              <w:rPr>
                <w:rFonts w:ascii="仿宋" w:hAnsi="仿宋" w:eastAsia="仿宋"/>
                <w:color w:val="auto"/>
                <w:sz w:val="24"/>
                <w:highlight w:val="none"/>
              </w:rPr>
            </w:pPr>
          </w:p>
        </w:tc>
        <w:tc>
          <w:tcPr>
            <w:tcW w:w="3682" w:type="pct"/>
            <w:vAlign w:val="center"/>
          </w:tcPr>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耳戴式麦克风集音频发射处理器、天线、电池、拾音麦克风于一体，配合一体化有源音箱，无需任何外接辅助设备即可实现本地扩声功能。</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麦克风和功放音箱之间采用数字U段传输技术，有效避免环境中2.4G信号干扰，例如蓝牙及WIFI设备。</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支持智能红外对码及UHF对码，可在2s内快速完成与教学扩声音箱对码，无需繁琐操作。可与移动音箱或录播主机对码连接。</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麦克风音频采集单元距离讲话人嘴边距离不超过3cm，保证拾音效果。</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采用轻量化设计，整机重量不超过15g，长时间佩戴无疲劳感。</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佩戴部位采用耳戴式设计，无需手持或绕耳固定，。</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配件中附带两种大小的耳塞，耳塞采用透气结构设计，不影响佩戴者听力。</w:t>
            </w:r>
          </w:p>
          <w:p>
            <w:pPr>
              <w:numPr>
                <w:ilvl w:val="0"/>
                <w:numId w:val="34"/>
              </w:numPr>
              <w:adjustRightInd/>
              <w:rPr>
                <w:rFonts w:ascii="仿宋" w:hAnsi="仿宋" w:eastAsia="仿宋"/>
                <w:color w:val="auto"/>
                <w:sz w:val="24"/>
                <w:highlight w:val="none"/>
              </w:rPr>
            </w:pPr>
            <w:r>
              <w:rPr>
                <w:rFonts w:hint="eastAsia" w:ascii="仿宋" w:hAnsi="仿宋" w:eastAsia="仿宋"/>
                <w:color w:val="auto"/>
                <w:sz w:val="24"/>
                <w:highlight w:val="none"/>
              </w:rPr>
              <w:t>采用触点磁吸式充电方式，支持快速充电与超低功耗工作模式，课间充电10分钟，实现80分钟续航。</w:t>
            </w:r>
          </w:p>
          <w:p>
            <w:pPr>
              <w:pStyle w:val="255"/>
              <w:numPr>
                <w:ilvl w:val="0"/>
                <w:numId w:val="34"/>
              </w:numPr>
              <w:tabs>
                <w:tab w:val="left" w:pos="0"/>
              </w:tabs>
              <w:adjustRightInd/>
              <w:spacing w:line="240" w:lineRule="auto"/>
              <w:ind w:firstLineChars="0"/>
              <w:jc w:val="left"/>
              <w:outlineLvl w:val="0"/>
              <w:rPr>
                <w:rFonts w:ascii="仿宋" w:hAnsi="仿宋" w:eastAsia="仿宋"/>
                <w:color w:val="auto"/>
                <w:highlight w:val="none"/>
              </w:rPr>
            </w:pPr>
            <w:r>
              <w:rPr>
                <w:rFonts w:hint="eastAsia" w:ascii="仿宋" w:hAnsi="仿宋" w:eastAsia="仿宋"/>
                <w:color w:val="auto"/>
                <w:highlight w:val="none"/>
              </w:rPr>
              <w:t>提供国家认可的第三方检测机构所出具的权威检测报告</w:t>
            </w:r>
            <w:r>
              <w:rPr>
                <w:rFonts w:hint="eastAsia" w:ascii="仿宋" w:hAnsi="仿宋" w:eastAsia="仿宋"/>
                <w:color w:val="auto"/>
                <w:highlight w:val="none"/>
                <w:lang w:eastAsia="zh-CN"/>
              </w:rPr>
              <w:t>扫描件</w:t>
            </w:r>
          </w:p>
        </w:tc>
        <w:tc>
          <w:tcPr>
            <w:tcW w:w="377"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1"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移动支架</w:t>
            </w:r>
          </w:p>
        </w:tc>
        <w:tc>
          <w:tcPr>
            <w:tcW w:w="3682" w:type="pct"/>
            <w:vAlign w:val="center"/>
          </w:tcPr>
          <w:p>
            <w:pPr>
              <w:pStyle w:val="255"/>
              <w:widowControl/>
              <w:numPr>
                <w:ilvl w:val="0"/>
                <w:numId w:val="35"/>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移动支架通过防倾斜实验，正负10度倾斜角度下不能翻倒；</w:t>
            </w:r>
          </w:p>
          <w:p>
            <w:pPr>
              <w:pStyle w:val="255"/>
              <w:widowControl/>
              <w:numPr>
                <w:ilvl w:val="0"/>
                <w:numId w:val="35"/>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承挂≥100kg，壁挂高度可调；整体高度≥</w:t>
            </w:r>
            <w:r>
              <w:rPr>
                <w:rFonts w:ascii="仿宋" w:hAnsi="仿宋" w:eastAsia="仿宋"/>
                <w:color w:val="auto"/>
                <w:highlight w:val="none"/>
              </w:rPr>
              <w:t>1597</w:t>
            </w:r>
            <w:r>
              <w:rPr>
                <w:rFonts w:hint="eastAsia" w:ascii="仿宋" w:hAnsi="仿宋" w:eastAsia="仿宋"/>
                <w:color w:val="auto"/>
                <w:highlight w:val="none"/>
              </w:rPr>
              <w:t>mm；</w:t>
            </w:r>
          </w:p>
          <w:p>
            <w:pPr>
              <w:pStyle w:val="255"/>
              <w:widowControl/>
              <w:numPr>
                <w:ilvl w:val="0"/>
                <w:numId w:val="35"/>
              </w:numPr>
              <w:adjustRightInd/>
              <w:spacing w:line="240" w:lineRule="auto"/>
              <w:ind w:firstLineChars="0"/>
              <w:rPr>
                <w:rFonts w:ascii="仿宋" w:hAnsi="仿宋" w:eastAsia="仿宋"/>
                <w:color w:val="auto"/>
                <w:highlight w:val="none"/>
              </w:rPr>
            </w:pPr>
            <w:r>
              <w:rPr>
                <w:rFonts w:ascii="仿宋" w:hAnsi="仿宋" w:eastAsia="仿宋"/>
                <w:color w:val="auto"/>
                <w:highlight w:val="none"/>
              </w:rPr>
              <w:t>托盘</w:t>
            </w:r>
            <w:r>
              <w:rPr>
                <w:rFonts w:hint="eastAsia" w:ascii="仿宋" w:hAnsi="仿宋" w:eastAsia="仿宋"/>
                <w:color w:val="auto"/>
                <w:highlight w:val="none"/>
              </w:rPr>
              <w:t>承重</w:t>
            </w:r>
            <w:r>
              <w:rPr>
                <w:rFonts w:ascii="仿宋" w:hAnsi="仿宋" w:eastAsia="仿宋"/>
                <w:color w:val="auto"/>
                <w:highlight w:val="none"/>
              </w:rPr>
              <w:t>25</w:t>
            </w:r>
            <w:r>
              <w:rPr>
                <w:rFonts w:hint="eastAsia" w:ascii="仿宋" w:hAnsi="仿宋" w:eastAsia="仿宋"/>
                <w:color w:val="auto"/>
                <w:highlight w:val="none"/>
              </w:rPr>
              <w:t>KG,模具设置U型置物槽，方便触摸笔、遥控器等物品放置；</w:t>
            </w:r>
          </w:p>
          <w:p>
            <w:pPr>
              <w:pStyle w:val="255"/>
              <w:widowControl/>
              <w:numPr>
                <w:ilvl w:val="0"/>
                <w:numId w:val="35"/>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支撑立杆采用壁厚≥</w:t>
            </w:r>
            <w:r>
              <w:rPr>
                <w:rFonts w:ascii="仿宋" w:hAnsi="仿宋" w:eastAsia="仿宋"/>
                <w:color w:val="auto"/>
                <w:highlight w:val="none"/>
              </w:rPr>
              <w:t>1.8</w:t>
            </w:r>
            <w:r>
              <w:rPr>
                <w:rFonts w:hint="eastAsia" w:ascii="仿宋" w:hAnsi="仿宋" w:eastAsia="仿宋"/>
                <w:color w:val="auto"/>
                <w:highlight w:val="none"/>
              </w:rPr>
              <w:t>mm方通冷轧钢材质，表面黑色喷涂；</w:t>
            </w:r>
          </w:p>
          <w:p>
            <w:pPr>
              <w:pStyle w:val="255"/>
              <w:widowControl/>
              <w:numPr>
                <w:ilvl w:val="0"/>
                <w:numId w:val="35"/>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脚轮为万向轮，聚氨酯（PU）材质，均带脚刹，直径不小于∮75mm；</w:t>
            </w:r>
          </w:p>
          <w:p>
            <w:pPr>
              <w:pStyle w:val="255"/>
              <w:numPr>
                <w:ilvl w:val="0"/>
                <w:numId w:val="35"/>
              </w:numPr>
              <w:adjustRightInd/>
              <w:spacing w:line="240" w:lineRule="auto"/>
              <w:ind w:firstLineChars="0"/>
              <w:rPr>
                <w:rFonts w:ascii="仿宋" w:hAnsi="仿宋" w:eastAsia="仿宋"/>
                <w:color w:val="auto"/>
                <w:highlight w:val="none"/>
              </w:rPr>
            </w:pPr>
            <w:r>
              <w:rPr>
                <w:rFonts w:hint="eastAsia" w:ascii="仿宋" w:hAnsi="仿宋" w:eastAsia="仿宋"/>
                <w:color w:val="auto"/>
                <w:highlight w:val="none"/>
              </w:rPr>
              <w:t>脚轮</w:t>
            </w:r>
            <w:r>
              <w:rPr>
                <w:rFonts w:ascii="仿宋" w:hAnsi="仿宋" w:eastAsia="仿宋"/>
                <w:color w:val="auto"/>
                <w:highlight w:val="none"/>
              </w:rPr>
              <w:t>中心距</w:t>
            </w:r>
            <w:r>
              <w:rPr>
                <w:rFonts w:hint="eastAsia" w:ascii="仿宋" w:hAnsi="仿宋" w:eastAsia="仿宋"/>
                <w:color w:val="auto"/>
                <w:highlight w:val="none"/>
              </w:rPr>
              <w:t>横向≥11</w:t>
            </w:r>
            <w:r>
              <w:rPr>
                <w:rFonts w:ascii="仿宋" w:hAnsi="仿宋" w:eastAsia="仿宋"/>
                <w:color w:val="auto"/>
                <w:highlight w:val="none"/>
              </w:rPr>
              <w:t>15</w:t>
            </w:r>
            <w:r>
              <w:rPr>
                <w:rFonts w:hint="eastAsia" w:ascii="仿宋" w:hAnsi="仿宋" w:eastAsia="仿宋"/>
                <w:color w:val="auto"/>
                <w:highlight w:val="none"/>
              </w:rPr>
              <w:t>mm，纵向≥</w:t>
            </w:r>
            <w:r>
              <w:rPr>
                <w:rFonts w:ascii="仿宋" w:hAnsi="仿宋" w:eastAsia="仿宋"/>
                <w:color w:val="auto"/>
                <w:highlight w:val="none"/>
              </w:rPr>
              <w:t>627</w:t>
            </w:r>
            <w:r>
              <w:rPr>
                <w:rFonts w:hint="eastAsia" w:ascii="仿宋" w:hAnsi="仿宋" w:eastAsia="仿宋"/>
                <w:color w:val="auto"/>
                <w:highlight w:val="none"/>
              </w:rPr>
              <w:t>mm</w:t>
            </w:r>
          </w:p>
        </w:tc>
        <w:tc>
          <w:tcPr>
            <w:tcW w:w="377"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51"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13</w:t>
            </w:r>
          </w:p>
        </w:tc>
        <w:tc>
          <w:tcPr>
            <w:tcW w:w="590"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rPr>
              <w:t>系统集成</w:t>
            </w:r>
          </w:p>
        </w:tc>
        <w:tc>
          <w:tcPr>
            <w:tcW w:w="3682" w:type="pct"/>
            <w:vAlign w:val="center"/>
          </w:tcPr>
          <w:p>
            <w:pPr>
              <w:tabs>
                <w:tab w:val="left" w:pos="0"/>
              </w:tabs>
              <w:adjustRightInd/>
              <w:jc w:val="left"/>
              <w:outlineLvl w:val="0"/>
              <w:rPr>
                <w:rFonts w:ascii="仿宋" w:hAnsi="仿宋" w:eastAsia="仿宋"/>
                <w:color w:val="auto"/>
                <w:sz w:val="24"/>
                <w:highlight w:val="none"/>
              </w:rPr>
            </w:pPr>
            <w:r>
              <w:rPr>
                <w:rFonts w:hint="eastAsia" w:ascii="仿宋" w:hAnsi="仿宋" w:eastAsia="仿宋"/>
                <w:color w:val="auto"/>
                <w:sz w:val="24"/>
                <w:highlight w:val="none"/>
              </w:rPr>
              <w:t>满足安装所需所有辅材、物流、搬运、安装施工、使用培训和旧设备拆除等。</w:t>
            </w:r>
          </w:p>
        </w:tc>
        <w:tc>
          <w:tcPr>
            <w:tcW w:w="377" w:type="pct"/>
            <w:vAlign w:val="center"/>
          </w:tcPr>
          <w:p>
            <w:pPr>
              <w:tabs>
                <w:tab w:val="left" w:pos="0"/>
              </w:tabs>
              <w:adjustRightInd/>
              <w:jc w:val="center"/>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178</w:t>
            </w:r>
            <w:r>
              <w:rPr>
                <w:rFonts w:hint="eastAsia" w:ascii="仿宋" w:hAnsi="仿宋" w:eastAsia="仿宋"/>
                <w:color w:val="auto"/>
                <w:sz w:val="24"/>
                <w:highlight w:val="none"/>
                <w:lang w:val="en-US" w:eastAsia="zh-Hans"/>
              </w:rPr>
              <w:t>套</w:t>
            </w:r>
          </w:p>
        </w:tc>
      </w:tr>
    </w:tbl>
    <w:p>
      <w:pPr>
        <w:pStyle w:val="25"/>
        <w:rPr>
          <w:color w:val="auto"/>
          <w:highlight w:val="none"/>
          <w:lang w:val="en-US"/>
        </w:rPr>
      </w:pP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p>
      <w:pPr>
        <w:spacing w:line="360" w:lineRule="auto"/>
        <w:ind w:left="240" w:hanging="240" w:hanging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1.投标人所投产品技术性能指标必须与清单中所列技术性能指标相同或超过所列指标，必须为全新原厂商包装有售后服务质保新品。以上采购需求为参考</w:t>
      </w:r>
      <w:r>
        <w:rPr>
          <w:rFonts w:hint="eastAsia" w:ascii="仿宋" w:hAnsi="仿宋" w:eastAsia="仿宋" w:cs="仿宋"/>
          <w:color w:val="auto"/>
          <w:kern w:val="0"/>
          <w:sz w:val="24"/>
          <w:highlight w:val="none"/>
          <w:lang w:val="en-US" w:eastAsia="zh-CN"/>
        </w:rPr>
        <w:t>参数</w:t>
      </w:r>
      <w:r>
        <w:rPr>
          <w:rFonts w:hint="eastAsia" w:ascii="仿宋" w:hAnsi="仿宋" w:eastAsia="仿宋" w:cs="仿宋"/>
          <w:color w:val="auto"/>
          <w:kern w:val="0"/>
          <w:sz w:val="24"/>
          <w:highlight w:val="none"/>
        </w:rPr>
        <w:t>，如投标单位提供相当或优于采购要求产品，经评标委员会认可的，也视为响应招标文件。</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2.投标人应根据以往项目中的经验，在投标文件中提供详细的项目实施方案、售后服务方案、使用、管理技术培训方案。</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3.本项目为教学设备采购，报价应包含设备费、运输费、安装费、调试费、培训费、售后服务、税费等费用。</w:t>
      </w:r>
    </w:p>
    <w:p>
      <w:pPr>
        <w:spacing w:line="360" w:lineRule="auto"/>
        <w:rPr>
          <w:color w:val="auto"/>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中标供应商所提供的货物、服务须与投标承诺一致，不得以次充好、偷工减料，若在项目验收中发现有上述情况，将向有关部门举报，根据相关规定进行处理。</w:t>
      </w:r>
    </w:p>
    <w:p>
      <w:pPr>
        <w:spacing w:line="360" w:lineRule="auto"/>
        <w:ind w:firstLine="181" w:firstLineChars="50"/>
        <w:rPr>
          <w:rFonts w:ascii="仿宋_GB2312" w:hAnsi="仿宋" w:eastAsia="仿宋_GB2312" w:cs="仿宋_GB2312"/>
          <w:b/>
          <w:color w:val="auto"/>
          <w:sz w:val="36"/>
          <w:szCs w:val="36"/>
          <w:highlight w:val="none"/>
        </w:rPr>
      </w:pPr>
    </w:p>
    <w:p>
      <w:pPr>
        <w:widowControl/>
        <w:snapToGrid w:val="0"/>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二、商务要求</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1、供货、安装、调试、验收的工期</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1.1中标人须在合同签订之日起</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日内供货安</w:t>
      </w:r>
      <w:r>
        <w:rPr>
          <w:rFonts w:hint="eastAsia" w:ascii="仿宋" w:hAnsi="仿宋" w:eastAsia="仿宋" w:cs="仿宋"/>
          <w:color w:val="auto"/>
          <w:sz w:val="24"/>
          <w:highlight w:val="none"/>
          <w:lang w:val="en-US" w:eastAsia="zh-CN"/>
        </w:rPr>
        <w:t>装调试</w:t>
      </w:r>
      <w:r>
        <w:rPr>
          <w:rFonts w:hint="eastAsia" w:ascii="仿宋" w:hAnsi="仿宋" w:eastAsia="仿宋" w:cs="仿宋"/>
          <w:color w:val="auto"/>
          <w:sz w:val="24"/>
          <w:highlight w:val="none"/>
        </w:rPr>
        <w:t>，安装地点：采购人指定的地点。如因卖方原因不能及时完成安装调试，投标方应承担由此给用户造成的损失。安装标准：符合我国国家有关技术规范要求和技术标准。软件提供安装光盘。安装过程中发生的费用由卖方负责。投标商应在投标文件中提供其安装调试过程中需招标人配合的内容。同时中标人应派经招标人认可的有经验和能力、具有相应资质的技术人员，负责设备安装工作，在设备安装期间应充分了解设备安装进度要求，保证施工质量，解决施工中出现的技术问题。中标人应配合工程总承包单位和其他专项工程承包单位进行消防、电气、智能化等系统的调试。中标人进行设备系统的调试、试运行、验收（包括负责通过有关部门组织的验收）和配合进行其他系统调试的费用由中标人承担。设备安装调试完成后1个月内进行验收。供货方应提供设备的有效检验文件，经买方认可后，与合同和投标文件一起作为设备验收标准。设备验收合格后，由双方共同签署验收文件。验收中发现设备达不到验收标准或规定的性能指标，卖方必须更换设备，并承担由此给用户造成的损失。验收中发生的费用由卖方承担。</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1.2中标人提供的中标物品，必须符合本采购文件要求、原包装送达采购单位；如有不符，采购人可以无条件退货，所造成的损失由中标人承担。更换后的零部件质保期按更换日起顺延。</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2、质量保证期级售后服务</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2.1质保期：设备整体质保不低于三年，合同签订前提供生产厂商针对此项目的质保函原件（加盖原厂商公章）。终生提供维护维修，配件按市场价格收取，免收差旅费。</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2.2质量保证期内提供免费上门维护、升级服务，如设备出现故障，供货单位在接到电话后，7*24小时内响应，1小时快速上门服务，现场不能修复的，必须采取无偿提供采购物品的备品等措施，保证用户单位的正常使用。</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2.3应提供技术支持方案，内容由投标人根据实际选择以下要点：服务机构（维保点）的地址、人员状况、维修能力、联系方式、营业执照、公司资质材料、相关案例等。</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2.4完整准确地表述原厂家的标准售后服务承诺（范围、标准及期限等）、投标人可能增加的服务承诺等。</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2.5投标商应在投标文件中详细说明其在质保期及整个使用期内的服务计划及收费标准（包括主要配件及人工的价格），否则将被认为是无条件和免费的。</w:t>
      </w:r>
    </w:p>
    <w:p>
      <w:pPr>
        <w:tabs>
          <w:tab w:val="left" w:pos="0"/>
        </w:tabs>
        <w:spacing w:line="360" w:lineRule="auto"/>
        <w:ind w:firstLine="480" w:firstLineChars="200"/>
        <w:outlineLvl w:val="0"/>
        <w:rPr>
          <w:rFonts w:ascii="仿宋" w:hAnsi="仿宋" w:eastAsia="仿宋" w:cs="仿宋"/>
          <w:color w:val="auto"/>
          <w:sz w:val="24"/>
          <w:highlight w:val="none"/>
        </w:rPr>
      </w:pPr>
      <w:bookmarkStart w:id="27" w:name="_Toc972"/>
      <w:bookmarkStart w:id="28" w:name="_Toc18419"/>
      <w:r>
        <w:rPr>
          <w:rFonts w:hint="eastAsia" w:ascii="仿宋" w:hAnsi="仿宋" w:eastAsia="仿宋" w:cs="仿宋"/>
          <w:color w:val="auto"/>
          <w:sz w:val="24"/>
          <w:highlight w:val="none"/>
        </w:rPr>
        <w:t>2.6如采购人在设备使用中只向中标人购置该设备的试剂，中标人应提供该设备的整机保修。</w:t>
      </w:r>
      <w:bookmarkEnd w:id="27"/>
      <w:bookmarkEnd w:id="28"/>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3、项目保修维修 </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3.1采购的物品，均按国家三包规定实行保修（除标项内已有说明外）。</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3.2在质保维保期外响应时间同前。</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3.3终身提供维修。</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4、项目实施计划</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项目实施的组织工作方案：工作时间进度表、工作程序或步骤、管理和协调方法等。送货方案。</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5、培训计划</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卖方应对用户的维修人员进行培训，使其掌握该设备的功能、原理、结构，并能对一般故障进行维修。卖方应对用户的所有操作人员进行培训，使其掌握该设备的操作和维护保养，提供操作规程。上述二种培训的方式、地点人员及费用（包含在投标总价内）投标商应在投标文件中详细说明。</w:t>
      </w:r>
    </w:p>
    <w:p>
      <w:pPr>
        <w:tabs>
          <w:tab w:val="left" w:pos="0"/>
        </w:tabs>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6、付款方式</w:t>
      </w:r>
    </w:p>
    <w:p>
      <w:pPr>
        <w:widowControl/>
        <w:snapToGrid w:val="0"/>
        <w:spacing w:line="360" w:lineRule="auto"/>
        <w:ind w:firstLine="48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sz w:val="24"/>
          <w:highlight w:val="none"/>
        </w:rPr>
        <w:t>合同生效后5个工作日内,</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支付合同总额的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%作为履约保证金（接受保函）。合同签订后7个工作日内，</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支付合同总价的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0%作为预付款，所有采购品目安装到位经验收合格后</w:t>
      </w:r>
      <w:r>
        <w:rPr>
          <w:rFonts w:hint="eastAsia" w:ascii="仿宋" w:hAnsi="仿宋" w:eastAsia="仿宋" w:cs="仿宋"/>
          <w:color w:val="auto"/>
          <w:sz w:val="24"/>
          <w:highlight w:val="none"/>
          <w:lang w:val="en-US" w:eastAsia="zh-CN"/>
        </w:rPr>
        <w:t>，自收到发票后5个工作日内</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支付剩余货款，同时</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无息退还履约保证金。</w:t>
      </w:r>
    </w:p>
    <w:p>
      <w:pPr>
        <w:widowControl/>
        <w:snapToGrid w:val="0"/>
        <w:spacing w:line="360" w:lineRule="auto"/>
        <w:ind w:firstLine="600" w:firstLineChars="200"/>
        <w:jc w:val="left"/>
        <w:rPr>
          <w:rFonts w:hint="eastAsia" w:ascii="仿宋" w:hAnsi="仿宋" w:eastAsia="仿宋" w:cs="仿宋"/>
          <w:color w:val="auto"/>
          <w:kern w:val="0"/>
          <w:sz w:val="30"/>
          <w:szCs w:val="30"/>
          <w:highlight w:val="none"/>
        </w:rPr>
      </w:pP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9" w:name="_Toc184313267"/>
      <w:bookmarkEnd w:id="29"/>
      <w:bookmarkStart w:id="30" w:name="_Toc184308044"/>
      <w:bookmarkEnd w:id="30"/>
      <w:bookmarkStart w:id="31" w:name="_Toc184314471"/>
      <w:bookmarkEnd w:id="31"/>
      <w:bookmarkStart w:id="32" w:name="_Toc184310280"/>
      <w:bookmarkEnd w:id="32"/>
      <w:bookmarkStart w:id="33" w:name="_Toc184310298"/>
      <w:bookmarkEnd w:id="33"/>
      <w:bookmarkStart w:id="34" w:name="_Toc184312074"/>
      <w:bookmarkEnd w:id="34"/>
      <w:bookmarkStart w:id="35" w:name="_Toc184308065"/>
      <w:bookmarkEnd w:id="35"/>
      <w:bookmarkStart w:id="36" w:name="_Toc184308086"/>
      <w:bookmarkEnd w:id="36"/>
      <w:bookmarkStart w:id="37" w:name="_Toc184310307"/>
      <w:bookmarkEnd w:id="37"/>
      <w:bookmarkStart w:id="38" w:name="_Toc184312087"/>
      <w:bookmarkEnd w:id="38"/>
      <w:bookmarkStart w:id="39" w:name="_Toc184313284"/>
      <w:bookmarkEnd w:id="39"/>
      <w:bookmarkStart w:id="40" w:name="_Toc184314424"/>
      <w:bookmarkEnd w:id="40"/>
      <w:bookmarkStart w:id="41" w:name="_Toc184308038"/>
      <w:bookmarkEnd w:id="41"/>
      <w:bookmarkStart w:id="42" w:name="_Toc184313272"/>
      <w:bookmarkEnd w:id="42"/>
      <w:bookmarkStart w:id="43" w:name="_Toc184312096"/>
      <w:bookmarkEnd w:id="43"/>
      <w:bookmarkStart w:id="44" w:name="_Toc184308062"/>
      <w:bookmarkEnd w:id="44"/>
      <w:bookmarkStart w:id="45" w:name="_Toc184308083"/>
      <w:bookmarkEnd w:id="45"/>
      <w:bookmarkStart w:id="46" w:name="_Toc184312076"/>
      <w:bookmarkEnd w:id="46"/>
      <w:bookmarkStart w:id="47" w:name="_Toc184308104"/>
      <w:bookmarkEnd w:id="47"/>
      <w:bookmarkStart w:id="48" w:name="_Toc184312126"/>
      <w:bookmarkEnd w:id="48"/>
      <w:bookmarkStart w:id="49" w:name="_Toc184310277"/>
      <w:bookmarkEnd w:id="49"/>
      <w:bookmarkStart w:id="50" w:name="_Toc184312086"/>
      <w:bookmarkEnd w:id="50"/>
      <w:bookmarkStart w:id="51" w:name="_Toc184308053"/>
      <w:bookmarkEnd w:id="51"/>
      <w:bookmarkStart w:id="52" w:name="_Toc184312130"/>
      <w:bookmarkEnd w:id="52"/>
      <w:bookmarkStart w:id="53" w:name="_Toc184308094"/>
      <w:bookmarkEnd w:id="53"/>
      <w:bookmarkStart w:id="54" w:name="_Toc184310312"/>
      <w:bookmarkEnd w:id="54"/>
      <w:bookmarkStart w:id="55" w:name="_Toc184312118"/>
      <w:bookmarkEnd w:id="55"/>
      <w:bookmarkStart w:id="56" w:name="_Toc184314412"/>
      <w:bookmarkEnd w:id="56"/>
      <w:bookmarkStart w:id="57" w:name="_Toc184314475"/>
      <w:bookmarkEnd w:id="57"/>
      <w:bookmarkStart w:id="58" w:name="_Toc184314426"/>
      <w:bookmarkEnd w:id="58"/>
      <w:bookmarkStart w:id="59" w:name="_Toc184310314"/>
      <w:bookmarkEnd w:id="59"/>
      <w:bookmarkStart w:id="60" w:name="_Toc184314481"/>
      <w:bookmarkEnd w:id="60"/>
      <w:bookmarkStart w:id="61" w:name="_Toc184314464"/>
      <w:bookmarkEnd w:id="61"/>
      <w:bookmarkStart w:id="62" w:name="_Toc184310283"/>
      <w:bookmarkEnd w:id="62"/>
      <w:bookmarkStart w:id="63" w:name="_Toc184313274"/>
      <w:bookmarkEnd w:id="63"/>
      <w:bookmarkStart w:id="64" w:name="_Toc184312101"/>
      <w:bookmarkEnd w:id="64"/>
      <w:bookmarkStart w:id="65" w:name="_Toc184314411"/>
      <w:bookmarkEnd w:id="65"/>
      <w:bookmarkStart w:id="66" w:name="_Toc184314477"/>
      <w:bookmarkEnd w:id="66"/>
      <w:bookmarkStart w:id="67" w:name="_Toc184308042"/>
      <w:bookmarkEnd w:id="67"/>
      <w:bookmarkStart w:id="68" w:name="_Toc184310311"/>
      <w:bookmarkEnd w:id="68"/>
      <w:bookmarkStart w:id="69" w:name="_Toc184313268"/>
      <w:bookmarkEnd w:id="69"/>
      <w:bookmarkStart w:id="70" w:name="_Toc184308103"/>
      <w:bookmarkEnd w:id="70"/>
      <w:bookmarkStart w:id="71" w:name="_Toc184313245"/>
      <w:bookmarkEnd w:id="71"/>
      <w:bookmarkStart w:id="72" w:name="_Toc184308082"/>
      <w:bookmarkEnd w:id="72"/>
      <w:bookmarkStart w:id="73" w:name="_Toc184312111"/>
      <w:bookmarkEnd w:id="73"/>
      <w:bookmarkStart w:id="74" w:name="_Toc184312112"/>
      <w:bookmarkEnd w:id="74"/>
      <w:bookmarkStart w:id="75" w:name="_Toc184314480"/>
      <w:bookmarkEnd w:id="75"/>
      <w:bookmarkStart w:id="76" w:name="_Toc184313292"/>
      <w:bookmarkEnd w:id="76"/>
      <w:bookmarkStart w:id="77" w:name="_Toc184310286"/>
      <w:bookmarkEnd w:id="77"/>
      <w:bookmarkStart w:id="78" w:name="_Toc184314454"/>
      <w:bookmarkEnd w:id="78"/>
      <w:bookmarkStart w:id="79" w:name="_Toc184308076"/>
      <w:bookmarkEnd w:id="79"/>
      <w:bookmarkStart w:id="80" w:name="_Toc184314473"/>
      <w:bookmarkEnd w:id="80"/>
      <w:bookmarkStart w:id="81" w:name="_Toc184308099"/>
      <w:bookmarkEnd w:id="81"/>
      <w:bookmarkStart w:id="82" w:name="_Toc184314413"/>
      <w:bookmarkEnd w:id="82"/>
      <w:bookmarkStart w:id="83" w:name="_Toc184314442"/>
      <w:bookmarkEnd w:id="83"/>
      <w:bookmarkStart w:id="84" w:name="_Toc184310343"/>
      <w:bookmarkEnd w:id="84"/>
      <w:bookmarkStart w:id="85" w:name="_Toc184314416"/>
      <w:bookmarkEnd w:id="85"/>
      <w:bookmarkStart w:id="86" w:name="_Toc184314459"/>
      <w:bookmarkEnd w:id="86"/>
      <w:bookmarkStart w:id="87" w:name="_Toc184312088"/>
      <w:bookmarkEnd w:id="87"/>
      <w:bookmarkStart w:id="88" w:name="_Toc184314446"/>
      <w:bookmarkEnd w:id="88"/>
      <w:bookmarkStart w:id="89" w:name="_Toc184308050"/>
      <w:bookmarkEnd w:id="89"/>
      <w:bookmarkStart w:id="90" w:name="_Toc184310328"/>
      <w:bookmarkEnd w:id="90"/>
      <w:bookmarkStart w:id="91" w:name="_Toc184312071"/>
      <w:bookmarkEnd w:id="91"/>
      <w:bookmarkStart w:id="92" w:name="_Toc184310313"/>
      <w:bookmarkEnd w:id="92"/>
      <w:bookmarkStart w:id="93" w:name="_Toc184314455"/>
      <w:bookmarkEnd w:id="93"/>
      <w:bookmarkStart w:id="94" w:name="_Toc184314422"/>
      <w:bookmarkEnd w:id="94"/>
      <w:bookmarkStart w:id="95" w:name="_Toc184310316"/>
      <w:bookmarkEnd w:id="95"/>
      <w:bookmarkStart w:id="96" w:name="_Toc184314460"/>
      <w:bookmarkEnd w:id="96"/>
      <w:bookmarkStart w:id="97" w:name="_Toc184308067"/>
      <w:bookmarkEnd w:id="97"/>
      <w:bookmarkStart w:id="98" w:name="_Toc184312069"/>
      <w:bookmarkEnd w:id="98"/>
      <w:bookmarkStart w:id="99" w:name="_Toc184308079"/>
      <w:bookmarkEnd w:id="99"/>
      <w:bookmarkStart w:id="100" w:name="_Toc184314449"/>
      <w:bookmarkEnd w:id="100"/>
      <w:bookmarkStart w:id="101" w:name="_Toc184310315"/>
      <w:bookmarkEnd w:id="101"/>
      <w:bookmarkStart w:id="102" w:name="_Toc184310288"/>
      <w:bookmarkEnd w:id="102"/>
      <w:bookmarkStart w:id="103" w:name="_Toc184310293"/>
      <w:bookmarkEnd w:id="103"/>
      <w:bookmarkStart w:id="104" w:name="_Toc184310324"/>
      <w:bookmarkEnd w:id="104"/>
      <w:bookmarkStart w:id="105" w:name="_Toc184314427"/>
      <w:bookmarkEnd w:id="105"/>
      <w:bookmarkStart w:id="106" w:name="_Toc184314436"/>
      <w:bookmarkEnd w:id="106"/>
      <w:bookmarkStart w:id="107" w:name="_Toc184308054"/>
      <w:bookmarkEnd w:id="107"/>
      <w:bookmarkStart w:id="108" w:name="_Toc184308107"/>
      <w:bookmarkEnd w:id="108"/>
      <w:bookmarkStart w:id="109" w:name="_Toc184314414"/>
      <w:bookmarkEnd w:id="109"/>
      <w:bookmarkStart w:id="110" w:name="_Toc184310295"/>
      <w:bookmarkEnd w:id="110"/>
      <w:bookmarkStart w:id="111" w:name="_Toc184313299"/>
      <w:bookmarkEnd w:id="111"/>
      <w:bookmarkStart w:id="112" w:name="_Toc184312139"/>
      <w:bookmarkEnd w:id="112"/>
      <w:bookmarkStart w:id="113" w:name="_Toc184310272"/>
      <w:bookmarkEnd w:id="113"/>
      <w:bookmarkStart w:id="114" w:name="_Toc184314456"/>
      <w:bookmarkEnd w:id="114"/>
      <w:bookmarkStart w:id="115" w:name="_Toc184308071"/>
      <w:bookmarkEnd w:id="115"/>
      <w:bookmarkStart w:id="116" w:name="_Toc184310332"/>
      <w:bookmarkEnd w:id="116"/>
      <w:bookmarkStart w:id="117" w:name="_Toc184310274"/>
      <w:bookmarkEnd w:id="117"/>
      <w:bookmarkStart w:id="118" w:name="_Toc184314450"/>
      <w:bookmarkEnd w:id="118"/>
      <w:bookmarkStart w:id="119" w:name="_Toc184308063"/>
      <w:bookmarkEnd w:id="119"/>
      <w:bookmarkStart w:id="120" w:name="_Toc184310344"/>
      <w:bookmarkEnd w:id="120"/>
      <w:bookmarkStart w:id="121" w:name="_Toc184313281"/>
      <w:bookmarkEnd w:id="121"/>
      <w:bookmarkStart w:id="122" w:name="_Toc184308059"/>
      <w:bookmarkEnd w:id="122"/>
      <w:bookmarkStart w:id="123" w:name="_Toc184310299"/>
      <w:bookmarkEnd w:id="123"/>
      <w:bookmarkStart w:id="124" w:name="_Toc184308091"/>
      <w:bookmarkEnd w:id="124"/>
      <w:bookmarkStart w:id="125" w:name="_Toc184312135"/>
      <w:bookmarkEnd w:id="125"/>
      <w:bookmarkStart w:id="126" w:name="_Toc184308077"/>
      <w:bookmarkEnd w:id="126"/>
      <w:bookmarkStart w:id="127" w:name="_Toc184313290"/>
      <w:bookmarkEnd w:id="127"/>
      <w:bookmarkStart w:id="128" w:name="_Toc184313303"/>
      <w:bookmarkEnd w:id="128"/>
      <w:bookmarkStart w:id="129" w:name="_Toc184312136"/>
      <w:bookmarkEnd w:id="129"/>
      <w:bookmarkStart w:id="130" w:name="_Toc184312116"/>
      <w:bookmarkEnd w:id="130"/>
      <w:bookmarkStart w:id="131" w:name="_Toc184310301"/>
      <w:bookmarkEnd w:id="131"/>
      <w:bookmarkStart w:id="132" w:name="_Toc184312080"/>
      <w:bookmarkEnd w:id="132"/>
      <w:bookmarkStart w:id="133" w:name="_Toc184313304"/>
      <w:bookmarkEnd w:id="133"/>
      <w:bookmarkStart w:id="134" w:name="_Toc184313287"/>
      <w:bookmarkEnd w:id="134"/>
      <w:bookmarkStart w:id="135" w:name="_Toc184314439"/>
      <w:bookmarkEnd w:id="135"/>
      <w:bookmarkStart w:id="136" w:name="_Toc184312105"/>
      <w:bookmarkEnd w:id="136"/>
      <w:bookmarkStart w:id="137" w:name="_Toc184312131"/>
      <w:bookmarkEnd w:id="137"/>
      <w:bookmarkStart w:id="138" w:name="_Toc184312090"/>
      <w:bookmarkEnd w:id="138"/>
      <w:bookmarkStart w:id="139" w:name="_Toc184312122"/>
      <w:bookmarkEnd w:id="139"/>
      <w:bookmarkStart w:id="140" w:name="_Toc184313277"/>
      <w:bookmarkEnd w:id="140"/>
      <w:bookmarkStart w:id="141" w:name="_Toc184314462"/>
      <w:bookmarkEnd w:id="141"/>
      <w:bookmarkStart w:id="142" w:name="_Toc184313252"/>
      <w:bookmarkEnd w:id="142"/>
      <w:bookmarkStart w:id="143" w:name="_Toc184310294"/>
      <w:bookmarkEnd w:id="143"/>
      <w:bookmarkStart w:id="144" w:name="_Toc184308106"/>
      <w:bookmarkEnd w:id="144"/>
      <w:bookmarkStart w:id="145" w:name="_Toc184313242"/>
      <w:bookmarkEnd w:id="145"/>
      <w:bookmarkStart w:id="146" w:name="_Toc184314451"/>
      <w:bookmarkEnd w:id="146"/>
      <w:bookmarkStart w:id="147" w:name="_Toc184308045"/>
      <w:bookmarkEnd w:id="147"/>
      <w:bookmarkStart w:id="148" w:name="_Toc184314443"/>
      <w:bookmarkEnd w:id="148"/>
      <w:bookmarkStart w:id="149" w:name="_Toc184312114"/>
      <w:bookmarkEnd w:id="149"/>
      <w:bookmarkStart w:id="150" w:name="_Toc184314468"/>
      <w:bookmarkEnd w:id="150"/>
      <w:bookmarkStart w:id="151" w:name="_Toc184308089"/>
      <w:bookmarkEnd w:id="151"/>
      <w:bookmarkStart w:id="152" w:name="_Toc184314469"/>
      <w:bookmarkEnd w:id="152"/>
      <w:bookmarkStart w:id="153" w:name="_Toc184313302"/>
      <w:bookmarkEnd w:id="153"/>
      <w:bookmarkStart w:id="154" w:name="_Toc184308095"/>
      <w:bookmarkEnd w:id="154"/>
      <w:bookmarkStart w:id="155" w:name="_Toc184312138"/>
      <w:bookmarkEnd w:id="155"/>
      <w:bookmarkStart w:id="156" w:name="_Toc184313288"/>
      <w:bookmarkEnd w:id="156"/>
      <w:bookmarkStart w:id="157" w:name="_Toc184314415"/>
      <w:bookmarkEnd w:id="157"/>
      <w:bookmarkStart w:id="158" w:name="_Toc184313255"/>
      <w:bookmarkEnd w:id="158"/>
      <w:bookmarkStart w:id="159" w:name="_Toc184314472"/>
      <w:bookmarkEnd w:id="159"/>
      <w:bookmarkStart w:id="160" w:name="_Toc184312103"/>
      <w:bookmarkEnd w:id="160"/>
      <w:bookmarkStart w:id="161" w:name="_Toc184314432"/>
      <w:bookmarkEnd w:id="161"/>
      <w:bookmarkStart w:id="162" w:name="_Toc184312068"/>
      <w:bookmarkEnd w:id="162"/>
      <w:bookmarkStart w:id="163" w:name="_Toc184310284"/>
      <w:bookmarkEnd w:id="163"/>
      <w:bookmarkStart w:id="164" w:name="_Toc184312078"/>
      <w:bookmarkEnd w:id="164"/>
      <w:bookmarkStart w:id="165" w:name="_Toc184312137"/>
      <w:bookmarkEnd w:id="165"/>
      <w:bookmarkStart w:id="166" w:name="_Toc184310333"/>
      <w:bookmarkEnd w:id="166"/>
      <w:bookmarkStart w:id="167" w:name="_Toc184313271"/>
      <w:bookmarkEnd w:id="167"/>
      <w:bookmarkStart w:id="168" w:name="_Toc184308052"/>
      <w:bookmarkEnd w:id="168"/>
      <w:bookmarkStart w:id="169" w:name="_Toc184308072"/>
      <w:bookmarkEnd w:id="169"/>
      <w:bookmarkStart w:id="170" w:name="_Toc184314438"/>
      <w:bookmarkEnd w:id="170"/>
      <w:bookmarkStart w:id="171" w:name="_Toc184314463"/>
      <w:bookmarkEnd w:id="171"/>
      <w:bookmarkStart w:id="172" w:name="_Toc184310275"/>
      <w:bookmarkEnd w:id="172"/>
      <w:bookmarkStart w:id="173" w:name="_Toc184312106"/>
      <w:bookmarkEnd w:id="173"/>
      <w:bookmarkStart w:id="174" w:name="_Toc184308101"/>
      <w:bookmarkEnd w:id="174"/>
      <w:bookmarkStart w:id="175" w:name="_Toc184310308"/>
      <w:bookmarkEnd w:id="175"/>
      <w:bookmarkStart w:id="176" w:name="_Toc184314433"/>
      <w:bookmarkEnd w:id="176"/>
      <w:bookmarkStart w:id="177" w:name="_Toc184314441"/>
      <w:bookmarkEnd w:id="177"/>
      <w:bookmarkStart w:id="178" w:name="_Toc184312079"/>
      <w:bookmarkEnd w:id="178"/>
      <w:bookmarkStart w:id="179" w:name="_Toc184308073"/>
      <w:bookmarkEnd w:id="179"/>
      <w:bookmarkStart w:id="180" w:name="_Toc184313276"/>
      <w:bookmarkEnd w:id="180"/>
      <w:bookmarkStart w:id="181" w:name="_Toc184313265"/>
      <w:bookmarkEnd w:id="181"/>
      <w:bookmarkStart w:id="182" w:name="_Toc184313308"/>
      <w:bookmarkEnd w:id="182"/>
      <w:bookmarkStart w:id="183" w:name="_Toc184314448"/>
      <w:bookmarkEnd w:id="183"/>
      <w:bookmarkStart w:id="184" w:name="_Toc184313256"/>
      <w:bookmarkEnd w:id="184"/>
      <w:bookmarkStart w:id="185" w:name="_Toc184310340"/>
      <w:bookmarkEnd w:id="185"/>
      <w:bookmarkStart w:id="186" w:name="_Toc184308046"/>
      <w:bookmarkEnd w:id="186"/>
      <w:bookmarkStart w:id="187" w:name="_Toc184308088"/>
      <w:bookmarkEnd w:id="187"/>
      <w:bookmarkStart w:id="188" w:name="_Toc184314453"/>
      <w:bookmarkEnd w:id="188"/>
      <w:bookmarkStart w:id="189" w:name="_Toc184313293"/>
      <w:bookmarkEnd w:id="189"/>
      <w:bookmarkStart w:id="190" w:name="_Toc184308069"/>
      <w:bookmarkEnd w:id="190"/>
      <w:bookmarkStart w:id="191" w:name="_Toc184313273"/>
      <w:bookmarkEnd w:id="191"/>
      <w:bookmarkStart w:id="192" w:name="_Toc184313310"/>
      <w:bookmarkEnd w:id="192"/>
      <w:bookmarkStart w:id="193" w:name="_Toc184314461"/>
      <w:bookmarkEnd w:id="193"/>
      <w:bookmarkStart w:id="194" w:name="_Toc184310300"/>
      <w:bookmarkEnd w:id="194"/>
      <w:bookmarkStart w:id="195" w:name="_Toc184313240"/>
      <w:bookmarkEnd w:id="195"/>
      <w:bookmarkStart w:id="196" w:name="_Toc184313286"/>
      <w:bookmarkEnd w:id="196"/>
      <w:bookmarkStart w:id="197" w:name="_Toc184314470"/>
      <w:bookmarkEnd w:id="197"/>
      <w:bookmarkStart w:id="198" w:name="_Toc184310281"/>
      <w:bookmarkEnd w:id="198"/>
      <w:bookmarkStart w:id="199" w:name="_Toc184314466"/>
      <w:bookmarkEnd w:id="199"/>
      <w:bookmarkStart w:id="200" w:name="_Toc184314452"/>
      <w:bookmarkEnd w:id="200"/>
      <w:bookmarkStart w:id="201" w:name="_Toc184313259"/>
      <w:bookmarkEnd w:id="201"/>
      <w:bookmarkStart w:id="202" w:name="_Toc184314434"/>
      <w:bookmarkEnd w:id="202"/>
      <w:bookmarkStart w:id="203" w:name="_Toc184310285"/>
      <w:bookmarkEnd w:id="203"/>
      <w:bookmarkStart w:id="204" w:name="_Toc184310310"/>
      <w:bookmarkEnd w:id="204"/>
      <w:bookmarkStart w:id="205" w:name="_Toc184308058"/>
      <w:bookmarkEnd w:id="205"/>
      <w:bookmarkStart w:id="206" w:name="_Toc184310334"/>
      <w:bookmarkEnd w:id="206"/>
      <w:bookmarkStart w:id="207" w:name="_Toc184313269"/>
      <w:bookmarkEnd w:id="207"/>
      <w:bookmarkStart w:id="208" w:name="_Toc184310322"/>
      <w:bookmarkEnd w:id="208"/>
      <w:bookmarkStart w:id="209" w:name="_Toc184312121"/>
      <w:bookmarkEnd w:id="209"/>
      <w:bookmarkStart w:id="210" w:name="_Toc184312091"/>
      <w:bookmarkEnd w:id="210"/>
      <w:bookmarkStart w:id="211" w:name="_Toc184312104"/>
      <w:bookmarkEnd w:id="211"/>
      <w:bookmarkStart w:id="212" w:name="_Toc184308048"/>
      <w:bookmarkEnd w:id="212"/>
      <w:bookmarkStart w:id="213" w:name="_Toc184313261"/>
      <w:bookmarkEnd w:id="213"/>
      <w:bookmarkStart w:id="214" w:name="_Toc184308100"/>
      <w:bookmarkEnd w:id="214"/>
      <w:bookmarkStart w:id="215" w:name="_Toc184313296"/>
      <w:bookmarkEnd w:id="215"/>
      <w:bookmarkStart w:id="216" w:name="_Toc184308074"/>
      <w:bookmarkEnd w:id="216"/>
      <w:bookmarkStart w:id="217" w:name="_Toc184310292"/>
      <w:bookmarkEnd w:id="217"/>
      <w:bookmarkStart w:id="218" w:name="_Toc184308102"/>
      <w:bookmarkEnd w:id="218"/>
      <w:bookmarkStart w:id="219" w:name="_Toc184308047"/>
      <w:bookmarkEnd w:id="219"/>
      <w:bookmarkStart w:id="220" w:name="_Toc184312113"/>
      <w:bookmarkEnd w:id="220"/>
      <w:bookmarkStart w:id="221" w:name="_Toc184312094"/>
      <w:bookmarkEnd w:id="221"/>
      <w:bookmarkStart w:id="222" w:name="_Toc184310330"/>
      <w:bookmarkEnd w:id="222"/>
      <w:bookmarkStart w:id="223" w:name="_Toc184312129"/>
      <w:bookmarkEnd w:id="223"/>
      <w:bookmarkStart w:id="224" w:name="_Toc184314420"/>
      <w:bookmarkEnd w:id="224"/>
      <w:bookmarkStart w:id="225" w:name="_Toc184312083"/>
      <w:bookmarkEnd w:id="225"/>
      <w:bookmarkStart w:id="226" w:name="_Toc184310306"/>
      <w:bookmarkEnd w:id="226"/>
      <w:bookmarkStart w:id="227" w:name="_Toc184312100"/>
      <w:bookmarkEnd w:id="227"/>
      <w:bookmarkStart w:id="228" w:name="_Toc184310338"/>
      <w:bookmarkEnd w:id="228"/>
      <w:bookmarkStart w:id="229" w:name="_Toc184314430"/>
      <w:bookmarkEnd w:id="229"/>
      <w:bookmarkStart w:id="230" w:name="_Toc184313309"/>
      <w:bookmarkEnd w:id="230"/>
      <w:bookmarkStart w:id="231" w:name="_Toc184310273"/>
      <w:bookmarkEnd w:id="231"/>
      <w:bookmarkStart w:id="232" w:name="_Toc184313264"/>
      <w:bookmarkEnd w:id="232"/>
      <w:bookmarkStart w:id="233" w:name="_Toc184308066"/>
      <w:bookmarkEnd w:id="233"/>
      <w:bookmarkStart w:id="234" w:name="_Toc184308070"/>
      <w:bookmarkEnd w:id="234"/>
      <w:bookmarkStart w:id="235" w:name="_Toc184310341"/>
      <w:bookmarkEnd w:id="235"/>
      <w:bookmarkStart w:id="236" w:name="_Toc184313278"/>
      <w:bookmarkEnd w:id="236"/>
      <w:bookmarkStart w:id="237" w:name="_Toc184312093"/>
      <w:bookmarkEnd w:id="237"/>
      <w:bookmarkStart w:id="238" w:name="_Toc184313285"/>
      <w:bookmarkEnd w:id="238"/>
      <w:bookmarkStart w:id="239" w:name="_Toc184310325"/>
      <w:bookmarkEnd w:id="239"/>
      <w:bookmarkStart w:id="240" w:name="_Toc184313305"/>
      <w:bookmarkEnd w:id="240"/>
      <w:bookmarkStart w:id="241" w:name="_Toc184313294"/>
      <w:bookmarkEnd w:id="241"/>
      <w:bookmarkStart w:id="242" w:name="_Toc184308060"/>
      <w:bookmarkEnd w:id="242"/>
      <w:bookmarkStart w:id="243" w:name="_Toc184312098"/>
      <w:bookmarkEnd w:id="243"/>
      <w:bookmarkStart w:id="244" w:name="_Toc184312070"/>
      <w:bookmarkEnd w:id="244"/>
      <w:bookmarkStart w:id="245" w:name="_Toc184310305"/>
      <w:bookmarkEnd w:id="245"/>
      <w:bookmarkStart w:id="246" w:name="_Toc184314423"/>
      <w:bookmarkEnd w:id="246"/>
      <w:bookmarkStart w:id="247" w:name="_Toc184310297"/>
      <w:bookmarkEnd w:id="247"/>
      <w:bookmarkStart w:id="248" w:name="_Toc184313254"/>
      <w:bookmarkEnd w:id="248"/>
      <w:bookmarkStart w:id="249" w:name="_Toc184312075"/>
      <w:bookmarkEnd w:id="249"/>
      <w:bookmarkStart w:id="250" w:name="_Toc184308085"/>
      <w:bookmarkEnd w:id="250"/>
      <w:bookmarkStart w:id="251" w:name="_Toc184312081"/>
      <w:bookmarkEnd w:id="251"/>
      <w:bookmarkStart w:id="252" w:name="_Toc184308097"/>
      <w:bookmarkEnd w:id="252"/>
      <w:bookmarkStart w:id="253" w:name="_Toc184308064"/>
      <w:bookmarkEnd w:id="253"/>
      <w:bookmarkStart w:id="254" w:name="_Toc184308084"/>
      <w:bookmarkEnd w:id="254"/>
      <w:bookmarkStart w:id="255" w:name="_Toc184313291"/>
      <w:bookmarkEnd w:id="255"/>
      <w:bookmarkStart w:id="256" w:name="_Toc184314467"/>
      <w:bookmarkEnd w:id="256"/>
      <w:bookmarkStart w:id="257" w:name="_Toc184310327"/>
      <w:bookmarkEnd w:id="257"/>
      <w:bookmarkStart w:id="258" w:name="_Toc184308056"/>
      <w:bookmarkEnd w:id="258"/>
      <w:bookmarkStart w:id="259" w:name="_Toc184314421"/>
      <w:bookmarkEnd w:id="259"/>
      <w:bookmarkStart w:id="260" w:name="_Toc184313307"/>
      <w:bookmarkEnd w:id="260"/>
      <w:bookmarkStart w:id="261" w:name="_Toc184310335"/>
      <w:bookmarkEnd w:id="261"/>
      <w:bookmarkStart w:id="262" w:name="_Toc184312072"/>
      <w:bookmarkEnd w:id="262"/>
      <w:bookmarkStart w:id="263" w:name="_Toc184313300"/>
      <w:bookmarkEnd w:id="263"/>
      <w:bookmarkStart w:id="264" w:name="_Toc184312084"/>
      <w:bookmarkEnd w:id="264"/>
      <w:bookmarkStart w:id="265" w:name="_Toc184308039"/>
      <w:bookmarkEnd w:id="265"/>
      <w:bookmarkStart w:id="266" w:name="_Toc184308096"/>
      <w:bookmarkEnd w:id="266"/>
      <w:bookmarkStart w:id="267" w:name="_Toc184312124"/>
      <w:bookmarkEnd w:id="267"/>
      <w:bookmarkStart w:id="268" w:name="_Toc184312095"/>
      <w:bookmarkEnd w:id="268"/>
      <w:bookmarkStart w:id="269" w:name="_Toc184314447"/>
      <w:bookmarkEnd w:id="269"/>
      <w:bookmarkStart w:id="270" w:name="_Toc184310320"/>
      <w:bookmarkEnd w:id="270"/>
      <w:bookmarkStart w:id="271" w:name="_Toc184310319"/>
      <w:bookmarkEnd w:id="271"/>
      <w:bookmarkStart w:id="272" w:name="_Toc184312102"/>
      <w:bookmarkEnd w:id="272"/>
      <w:bookmarkStart w:id="273" w:name="_Toc184310342"/>
      <w:bookmarkEnd w:id="273"/>
      <w:bookmarkStart w:id="274" w:name="_Toc184308055"/>
      <w:bookmarkEnd w:id="274"/>
      <w:bookmarkStart w:id="275" w:name="_Toc184308108"/>
      <w:bookmarkEnd w:id="275"/>
      <w:bookmarkStart w:id="276" w:name="_Toc184314425"/>
      <w:bookmarkEnd w:id="276"/>
      <w:bookmarkStart w:id="277" w:name="_Toc184313246"/>
      <w:bookmarkEnd w:id="277"/>
      <w:bookmarkStart w:id="278" w:name="_Toc184310323"/>
      <w:bookmarkEnd w:id="278"/>
      <w:bookmarkStart w:id="279" w:name="_Toc184314444"/>
      <w:bookmarkEnd w:id="279"/>
      <w:bookmarkStart w:id="280" w:name="_Toc184310336"/>
      <w:bookmarkEnd w:id="280"/>
      <w:bookmarkStart w:id="281" w:name="_Toc184313279"/>
      <w:bookmarkEnd w:id="281"/>
      <w:bookmarkStart w:id="282" w:name="_Toc184310329"/>
      <w:bookmarkEnd w:id="282"/>
      <w:bookmarkStart w:id="283" w:name="_Toc184310302"/>
      <w:bookmarkEnd w:id="283"/>
      <w:bookmarkStart w:id="284" w:name="_Toc184308098"/>
      <w:bookmarkEnd w:id="284"/>
      <w:bookmarkStart w:id="285" w:name="_Toc184312097"/>
      <w:bookmarkEnd w:id="285"/>
      <w:bookmarkStart w:id="286" w:name="_Toc184313257"/>
      <w:bookmarkEnd w:id="286"/>
      <w:bookmarkStart w:id="287" w:name="_Toc184312073"/>
      <w:bookmarkEnd w:id="287"/>
      <w:bookmarkStart w:id="288" w:name="_Toc184313250"/>
      <w:bookmarkEnd w:id="288"/>
      <w:bookmarkStart w:id="289" w:name="_Toc184313247"/>
      <w:bookmarkEnd w:id="289"/>
      <w:bookmarkStart w:id="290" w:name="_Toc184312077"/>
      <w:bookmarkEnd w:id="290"/>
      <w:bookmarkStart w:id="291" w:name="_Toc184313266"/>
      <w:bookmarkEnd w:id="291"/>
      <w:bookmarkStart w:id="292" w:name="_Toc184312127"/>
      <w:bookmarkEnd w:id="292"/>
      <w:bookmarkStart w:id="293" w:name="_Toc184313244"/>
      <w:bookmarkEnd w:id="293"/>
      <w:bookmarkStart w:id="294" w:name="_Toc184313253"/>
      <w:bookmarkEnd w:id="294"/>
      <w:bookmarkStart w:id="295" w:name="_Toc184314440"/>
      <w:bookmarkEnd w:id="295"/>
      <w:bookmarkStart w:id="296" w:name="_Toc184312134"/>
      <w:bookmarkEnd w:id="296"/>
      <w:bookmarkStart w:id="297" w:name="_Toc184312085"/>
      <w:bookmarkEnd w:id="297"/>
      <w:bookmarkStart w:id="298" w:name="_Toc184308081"/>
      <w:bookmarkEnd w:id="298"/>
      <w:bookmarkStart w:id="299" w:name="_Toc184310321"/>
      <w:bookmarkEnd w:id="299"/>
      <w:bookmarkStart w:id="300" w:name="_Toc184310304"/>
      <w:bookmarkEnd w:id="300"/>
      <w:bookmarkStart w:id="301" w:name="_Toc184308092"/>
      <w:bookmarkEnd w:id="301"/>
      <w:bookmarkStart w:id="302" w:name="_Toc184314419"/>
      <w:bookmarkEnd w:id="302"/>
      <w:bookmarkStart w:id="303" w:name="_Toc184308078"/>
      <w:bookmarkEnd w:id="303"/>
      <w:bookmarkStart w:id="304" w:name="_Toc184313263"/>
      <w:bookmarkEnd w:id="304"/>
      <w:bookmarkStart w:id="305" w:name="_Toc184312132"/>
      <w:bookmarkEnd w:id="305"/>
      <w:bookmarkStart w:id="306" w:name="_Toc184312110"/>
      <w:bookmarkEnd w:id="306"/>
      <w:bookmarkStart w:id="307" w:name="_Toc184314445"/>
      <w:bookmarkEnd w:id="307"/>
      <w:bookmarkStart w:id="308" w:name="_Toc184308093"/>
      <w:bookmarkEnd w:id="308"/>
      <w:bookmarkStart w:id="309" w:name="_Toc184313260"/>
      <w:bookmarkEnd w:id="309"/>
      <w:bookmarkStart w:id="310" w:name="_Toc184312133"/>
      <w:bookmarkEnd w:id="310"/>
      <w:bookmarkStart w:id="311" w:name="_Toc184312089"/>
      <w:bookmarkEnd w:id="311"/>
      <w:bookmarkStart w:id="312" w:name="_Toc184313249"/>
      <w:bookmarkEnd w:id="312"/>
      <w:bookmarkStart w:id="313" w:name="_Toc184308075"/>
      <w:bookmarkEnd w:id="313"/>
      <w:bookmarkStart w:id="314" w:name="_Toc184313282"/>
      <w:bookmarkEnd w:id="314"/>
      <w:bookmarkStart w:id="315" w:name="_Toc184314418"/>
      <w:bookmarkEnd w:id="315"/>
      <w:bookmarkStart w:id="316" w:name="_Toc184308036"/>
      <w:bookmarkEnd w:id="316"/>
      <w:bookmarkStart w:id="317" w:name="_Toc184310276"/>
      <w:bookmarkEnd w:id="317"/>
      <w:bookmarkStart w:id="318" w:name="_Toc184308057"/>
      <w:bookmarkEnd w:id="318"/>
      <w:bookmarkStart w:id="319" w:name="_Toc184313258"/>
      <w:bookmarkEnd w:id="319"/>
      <w:bookmarkStart w:id="320" w:name="_Toc184308090"/>
      <w:bookmarkEnd w:id="320"/>
      <w:bookmarkStart w:id="321" w:name="_Toc184314410"/>
      <w:bookmarkEnd w:id="321"/>
      <w:bookmarkStart w:id="322" w:name="_Toc184310303"/>
      <w:bookmarkEnd w:id="322"/>
      <w:bookmarkStart w:id="323" w:name="_Toc184312082"/>
      <w:bookmarkEnd w:id="323"/>
      <w:bookmarkStart w:id="324" w:name="_Toc184308068"/>
      <w:bookmarkEnd w:id="324"/>
      <w:bookmarkStart w:id="325" w:name="_Toc184312067"/>
      <w:bookmarkEnd w:id="325"/>
      <w:bookmarkStart w:id="326" w:name="_Toc184313251"/>
      <w:bookmarkEnd w:id="326"/>
      <w:bookmarkStart w:id="327" w:name="_Toc184313262"/>
      <w:bookmarkEnd w:id="327"/>
      <w:bookmarkStart w:id="328" w:name="_Toc184308040"/>
      <w:bookmarkEnd w:id="328"/>
      <w:bookmarkStart w:id="329" w:name="_Toc184314429"/>
      <w:bookmarkEnd w:id="329"/>
      <w:bookmarkStart w:id="330" w:name="_Toc184313248"/>
      <w:bookmarkEnd w:id="330"/>
      <w:bookmarkStart w:id="331" w:name="_Toc184314478"/>
      <w:bookmarkEnd w:id="331"/>
      <w:bookmarkStart w:id="332" w:name="_Toc184310278"/>
      <w:bookmarkEnd w:id="332"/>
      <w:bookmarkStart w:id="333" w:name="_Toc184310289"/>
      <w:bookmarkEnd w:id="333"/>
      <w:bookmarkStart w:id="334" w:name="_Toc184313301"/>
      <w:bookmarkEnd w:id="334"/>
      <w:bookmarkStart w:id="335" w:name="_Toc184314474"/>
      <w:bookmarkEnd w:id="335"/>
      <w:bookmarkStart w:id="336" w:name="_Toc184308087"/>
      <w:bookmarkEnd w:id="336"/>
      <w:bookmarkStart w:id="337" w:name="_Toc184313295"/>
      <w:bookmarkEnd w:id="337"/>
      <w:bookmarkStart w:id="338" w:name="_Toc184310282"/>
      <w:bookmarkEnd w:id="338"/>
      <w:bookmarkStart w:id="339" w:name="_Toc184314458"/>
      <w:bookmarkEnd w:id="339"/>
      <w:bookmarkStart w:id="340" w:name="_Toc184312123"/>
      <w:bookmarkEnd w:id="340"/>
      <w:bookmarkStart w:id="341" w:name="_Toc184310318"/>
      <w:bookmarkEnd w:id="341"/>
      <w:bookmarkStart w:id="342" w:name="_Toc184310339"/>
      <w:bookmarkEnd w:id="342"/>
      <w:bookmarkStart w:id="343" w:name="_Toc184313270"/>
      <w:bookmarkEnd w:id="343"/>
      <w:bookmarkStart w:id="344" w:name="_Toc184312119"/>
      <w:bookmarkEnd w:id="344"/>
      <w:bookmarkStart w:id="345" w:name="_Toc184312128"/>
      <w:bookmarkEnd w:id="345"/>
      <w:bookmarkStart w:id="346" w:name="_Toc184310331"/>
      <w:bookmarkEnd w:id="346"/>
      <w:bookmarkStart w:id="347" w:name="_Toc184310326"/>
      <w:bookmarkEnd w:id="347"/>
      <w:bookmarkStart w:id="348" w:name="_Toc184314435"/>
      <w:bookmarkEnd w:id="348"/>
      <w:bookmarkStart w:id="349" w:name="_Toc184312092"/>
      <w:bookmarkEnd w:id="349"/>
      <w:bookmarkStart w:id="350" w:name="_Toc184312120"/>
      <w:bookmarkEnd w:id="350"/>
      <w:bookmarkStart w:id="351" w:name="_Toc184310317"/>
      <w:bookmarkEnd w:id="351"/>
      <w:bookmarkStart w:id="352" w:name="_Toc184310296"/>
      <w:bookmarkEnd w:id="352"/>
      <w:bookmarkStart w:id="353" w:name="_Toc184312109"/>
      <w:bookmarkEnd w:id="353"/>
      <w:bookmarkStart w:id="354" w:name="_Toc184310309"/>
      <w:bookmarkEnd w:id="354"/>
      <w:bookmarkStart w:id="355" w:name="_Toc184314465"/>
      <w:bookmarkEnd w:id="355"/>
      <w:bookmarkStart w:id="356" w:name="_Toc184308041"/>
      <w:bookmarkEnd w:id="356"/>
      <w:bookmarkStart w:id="357" w:name="_Toc184308080"/>
      <w:bookmarkEnd w:id="357"/>
      <w:bookmarkStart w:id="358" w:name="_Toc184313241"/>
      <w:bookmarkEnd w:id="358"/>
      <w:bookmarkStart w:id="359" w:name="_Toc184308061"/>
      <w:bookmarkEnd w:id="359"/>
      <w:bookmarkStart w:id="360" w:name="_Toc184313289"/>
      <w:bookmarkEnd w:id="360"/>
      <w:bookmarkStart w:id="361" w:name="_Toc184313275"/>
      <w:bookmarkEnd w:id="361"/>
      <w:bookmarkStart w:id="362" w:name="_Toc184313298"/>
      <w:bookmarkEnd w:id="362"/>
      <w:bookmarkStart w:id="363" w:name="_Toc184314482"/>
      <w:bookmarkEnd w:id="363"/>
      <w:bookmarkStart w:id="364" w:name="_Toc184310290"/>
      <w:bookmarkEnd w:id="364"/>
      <w:bookmarkStart w:id="365" w:name="_Toc184314457"/>
      <w:bookmarkEnd w:id="365"/>
      <w:bookmarkStart w:id="366" w:name="_Toc184312117"/>
      <w:bookmarkEnd w:id="366"/>
      <w:bookmarkStart w:id="367" w:name="_Toc184308043"/>
      <w:bookmarkEnd w:id="367"/>
      <w:bookmarkStart w:id="368" w:name="_Toc184313239"/>
      <w:bookmarkEnd w:id="368"/>
      <w:bookmarkStart w:id="369" w:name="_Toc184314431"/>
      <w:bookmarkEnd w:id="369"/>
      <w:bookmarkStart w:id="370" w:name="_Toc184313306"/>
      <w:bookmarkEnd w:id="370"/>
      <w:bookmarkStart w:id="371" w:name="_Toc184313283"/>
      <w:bookmarkEnd w:id="371"/>
      <w:bookmarkStart w:id="372" w:name="_Toc184314417"/>
      <w:bookmarkEnd w:id="372"/>
      <w:bookmarkStart w:id="373" w:name="_Toc184314476"/>
      <w:bookmarkEnd w:id="373"/>
      <w:bookmarkStart w:id="374" w:name="_Toc184314428"/>
      <w:bookmarkEnd w:id="374"/>
      <w:bookmarkStart w:id="375" w:name="_Toc184308049"/>
      <w:bookmarkEnd w:id="375"/>
      <w:bookmarkStart w:id="376" w:name="_Toc184310279"/>
      <w:bookmarkEnd w:id="376"/>
      <w:bookmarkStart w:id="377" w:name="_Toc184312107"/>
      <w:bookmarkEnd w:id="377"/>
      <w:bookmarkStart w:id="378" w:name="_Toc184310337"/>
      <w:bookmarkEnd w:id="378"/>
      <w:bookmarkStart w:id="379" w:name="_Toc184314437"/>
      <w:bookmarkEnd w:id="379"/>
      <w:bookmarkStart w:id="380" w:name="_Toc184312115"/>
      <w:bookmarkEnd w:id="380"/>
      <w:bookmarkStart w:id="381" w:name="_Toc184313243"/>
      <w:bookmarkEnd w:id="381"/>
      <w:bookmarkStart w:id="382" w:name="_Toc184312099"/>
      <w:bookmarkEnd w:id="382"/>
      <w:bookmarkStart w:id="383" w:name="_Toc184313280"/>
      <w:bookmarkEnd w:id="383"/>
      <w:bookmarkStart w:id="384" w:name="_Toc184308037"/>
      <w:bookmarkEnd w:id="384"/>
      <w:bookmarkStart w:id="385" w:name="_Toc184314479"/>
      <w:bookmarkEnd w:id="385"/>
      <w:bookmarkStart w:id="386" w:name="_Toc184308105"/>
      <w:bookmarkEnd w:id="386"/>
      <w:bookmarkStart w:id="387" w:name="_Toc184312108"/>
      <w:bookmarkEnd w:id="387"/>
      <w:bookmarkStart w:id="388" w:name="_Toc184313297"/>
      <w:bookmarkEnd w:id="388"/>
      <w:bookmarkStart w:id="389" w:name="_Toc184310291"/>
      <w:bookmarkEnd w:id="389"/>
      <w:bookmarkStart w:id="390" w:name="_Toc184310287"/>
      <w:bookmarkEnd w:id="390"/>
      <w:bookmarkStart w:id="391" w:name="_Toc184313238"/>
      <w:bookmarkEnd w:id="391"/>
      <w:bookmarkStart w:id="392" w:name="_Toc184308051"/>
      <w:bookmarkEnd w:id="392"/>
      <w:bookmarkStart w:id="393" w:name="_Toc184312125"/>
      <w:bookmarkEnd w:id="393"/>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135"/>
        <w:gridCol w:w="79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38" w:type="pct"/>
            <w:vAlign w:val="center"/>
          </w:tcPr>
          <w:p>
            <w:pPr>
              <w:spacing w:line="280" w:lineRule="exact"/>
              <w:jc w:val="center"/>
              <w:outlineLvl w:val="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序号</w:t>
            </w:r>
          </w:p>
        </w:tc>
        <w:tc>
          <w:tcPr>
            <w:tcW w:w="3159" w:type="pct"/>
            <w:vAlign w:val="center"/>
          </w:tcPr>
          <w:p>
            <w:pPr>
              <w:spacing w:line="280" w:lineRule="exact"/>
              <w:ind w:firstLine="1560" w:firstLineChars="650"/>
              <w:outlineLvl w:val="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评标标准</w:t>
            </w:r>
          </w:p>
        </w:tc>
        <w:tc>
          <w:tcPr>
            <w:tcW w:w="406" w:type="pct"/>
            <w:vAlign w:val="center"/>
          </w:tcPr>
          <w:p>
            <w:pPr>
              <w:spacing w:line="280" w:lineRule="exact"/>
              <w:outlineLvl w:val="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权重</w:t>
            </w:r>
          </w:p>
        </w:tc>
        <w:tc>
          <w:tcPr>
            <w:tcW w:w="1095" w:type="pct"/>
          </w:tcPr>
          <w:p>
            <w:pPr>
              <w:spacing w:line="280" w:lineRule="exact"/>
              <w:outlineLvl w:val="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投标文件中评标标准相应的商务技术资料目录</w:t>
            </w:r>
            <w:r>
              <w:rPr>
                <w:rFonts w:ascii="宋体" w:hAnsi="宋体" w:cs="宋体"/>
                <w:color w:val="auto"/>
                <w:sz w:val="24"/>
                <w:szCs w:val="24"/>
                <w:highlight w:val="none"/>
                <w:shd w:val="clear" w:color="auto" w:fill="FFFFFF"/>
              </w:rPr>
              <w:t> </w:t>
            </w:r>
            <w:r>
              <w:rPr>
                <w:rFonts w:ascii="仿宋" w:hAnsi="仿宋" w:eastAsia="仿宋" w:cs="Arial"/>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38" w:type="pct"/>
            <w:vAlign w:val="center"/>
          </w:tcPr>
          <w:p>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1</w:t>
            </w:r>
          </w:p>
        </w:tc>
        <w:tc>
          <w:tcPr>
            <w:tcW w:w="3159" w:type="pct"/>
            <w:vAlign w:val="center"/>
          </w:tcPr>
          <w:p>
            <w:pPr>
              <w:autoSpaceDE w:val="0"/>
              <w:autoSpaceDN w:val="0"/>
              <w:spacing w:line="28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val="en-US" w:eastAsia="zh-CN"/>
              </w:rPr>
              <w:t>自</w:t>
            </w:r>
            <w:r>
              <w:rPr>
                <w:rFonts w:hint="eastAsia" w:ascii="仿宋_GB2312" w:hAnsi="仿宋_GB2312" w:eastAsia="仿宋_GB2312" w:cs="仿宋_GB2312"/>
                <w:color w:val="auto"/>
                <w:sz w:val="24"/>
                <w:szCs w:val="24"/>
                <w:highlight w:val="none"/>
                <w:lang w:val="en-US" w:eastAsia="zh-CN"/>
              </w:rPr>
              <w:t>2019年1月以来</w:t>
            </w:r>
            <w:r>
              <w:rPr>
                <w:rFonts w:hint="eastAsia" w:ascii="仿宋" w:hAnsi="仿宋" w:eastAsia="仿宋" w:cs="仿宋"/>
                <w:color w:val="auto"/>
                <w:sz w:val="24"/>
                <w:highlight w:val="none"/>
              </w:rPr>
              <w:t>（以合同签订时间为准）</w:t>
            </w:r>
            <w:r>
              <w:rPr>
                <w:rFonts w:hint="eastAsia" w:ascii="仿宋_GB2312" w:hAnsi="仿宋_GB2312" w:eastAsia="仿宋_GB2312" w:cs="仿宋_GB2312"/>
                <w:color w:val="auto"/>
                <w:sz w:val="24"/>
                <w:szCs w:val="24"/>
                <w:highlight w:val="none"/>
              </w:rPr>
              <w:t>已完成的类似项目业绩情况，每个业绩得1分，最高得</w:t>
            </w:r>
            <w:r>
              <w:rPr>
                <w:rFonts w:hint="eastAsia" w:ascii="仿宋_GB2312" w:hAnsi="仿宋_GB2312" w:eastAsia="仿宋_GB2312" w:cs="仿宋_GB2312"/>
                <w:color w:val="auto"/>
                <w:sz w:val="24"/>
                <w:szCs w:val="24"/>
                <w:highlight w:val="none"/>
              </w:rPr>
              <w:t>3分</w:t>
            </w:r>
            <w:r>
              <w:rPr>
                <w:rFonts w:hint="eastAsia" w:ascii="仿宋_GB2312" w:hAnsi="仿宋_GB2312" w:eastAsia="仿宋_GB2312" w:cs="仿宋_GB2312"/>
                <w:color w:val="auto"/>
                <w:sz w:val="24"/>
                <w:szCs w:val="24"/>
                <w:highlight w:val="none"/>
              </w:rPr>
              <w:t>。（提供相关合同及验收报告扫描件）</w:t>
            </w:r>
          </w:p>
        </w:tc>
        <w:tc>
          <w:tcPr>
            <w:tcW w:w="406" w:type="pct"/>
            <w:vAlign w:val="center"/>
          </w:tcPr>
          <w:p>
            <w:pPr>
              <w:snapToGrid w:val="0"/>
              <w:spacing w:line="28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3分</w:t>
            </w:r>
          </w:p>
        </w:tc>
        <w:tc>
          <w:tcPr>
            <w:tcW w:w="1095" w:type="pct"/>
            <w:vAlign w:val="center"/>
          </w:tcPr>
          <w:p>
            <w:pPr>
              <w:autoSpaceDE w:val="0"/>
              <w:autoSpaceDN w:val="0"/>
              <w:spacing w:line="32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类似案例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38" w:type="pct"/>
            <w:vAlign w:val="center"/>
          </w:tcPr>
          <w:p>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2</w:t>
            </w:r>
          </w:p>
        </w:tc>
        <w:tc>
          <w:tcPr>
            <w:tcW w:w="3159" w:type="pct"/>
            <w:vAlign w:val="center"/>
          </w:tcPr>
          <w:p>
            <w:pPr>
              <w:numPr>
                <w:ilvl w:val="255"/>
                <w:numId w:val="0"/>
              </w:numPr>
              <w:snapToGrid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所投核心产品具有节能产品认证证书的得1分；</w:t>
            </w:r>
          </w:p>
          <w:p>
            <w:pPr>
              <w:snapToGrid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所投核心产品具有环境标志产品认证证书的得1分。</w:t>
            </w:r>
          </w:p>
          <w:p>
            <w:pPr>
              <w:snapToGrid w:val="0"/>
              <w:spacing w:line="28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须提供国家确定的认证机构出具的、处于有效期之内的认证证书扫描件，或者提供查询网址及查询截图。</w:t>
            </w:r>
          </w:p>
        </w:tc>
        <w:tc>
          <w:tcPr>
            <w:tcW w:w="406" w:type="pct"/>
            <w:vAlign w:val="center"/>
          </w:tcPr>
          <w:p>
            <w:pPr>
              <w:snapToGrid w:val="0"/>
              <w:spacing w:line="28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2分</w:t>
            </w:r>
          </w:p>
        </w:tc>
        <w:tc>
          <w:tcPr>
            <w:tcW w:w="1095" w:type="pct"/>
            <w:vAlign w:val="center"/>
          </w:tcPr>
          <w:p>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38" w:type="pct"/>
            <w:vAlign w:val="center"/>
          </w:tcPr>
          <w:p>
            <w:pPr>
              <w:spacing w:line="360" w:lineRule="auto"/>
              <w:jc w:val="center"/>
              <w:outlineLvl w:val="0"/>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3</w:t>
            </w:r>
          </w:p>
        </w:tc>
        <w:tc>
          <w:tcPr>
            <w:tcW w:w="3159" w:type="pct"/>
            <w:vAlign w:val="center"/>
          </w:tcPr>
          <w:p>
            <w:pPr>
              <w:snapToGrid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投标产品（</w:t>
            </w:r>
            <w:r>
              <w:rPr>
                <w:rFonts w:hint="eastAsia" w:ascii="仿宋_GB2312" w:hAnsi="仿宋_GB2312" w:eastAsia="仿宋_GB2312" w:cs="仿宋_GB2312"/>
                <w:color w:val="auto"/>
                <w:sz w:val="24"/>
                <w:szCs w:val="24"/>
                <w:highlight w:val="none"/>
              </w:rPr>
              <w:t>白板软件</w:t>
            </w:r>
            <w:r>
              <w:rPr>
                <w:rFonts w:hint="eastAsia" w:ascii="仿宋_GB2312" w:hAnsi="仿宋_GB2312" w:eastAsia="仿宋_GB2312" w:cs="仿宋_GB2312"/>
                <w:color w:val="auto"/>
                <w:sz w:val="24"/>
                <w:szCs w:val="24"/>
                <w:highlight w:val="none"/>
              </w:rPr>
              <w:t>、学生综合素质管理系统、</w:t>
            </w:r>
            <w:r>
              <w:rPr>
                <w:rFonts w:hint="eastAsia" w:ascii="仿宋_GB2312" w:hAnsi="仿宋_GB2312" w:eastAsia="仿宋_GB2312" w:cs="仿宋_GB2312"/>
                <w:color w:val="auto"/>
                <w:sz w:val="24"/>
                <w:szCs w:val="24"/>
                <w:highlight w:val="none"/>
                <w:lang w:val="en-US" w:eastAsia="zh-Hans"/>
              </w:rPr>
              <w:t>校园设备运维管理系统</w:t>
            </w:r>
            <w:r>
              <w:rPr>
                <w:rFonts w:hint="eastAsia" w:ascii="仿宋_GB2312" w:hAnsi="仿宋_GB2312" w:eastAsia="仿宋_GB2312" w:cs="仿宋_GB2312"/>
                <w:color w:val="auto"/>
                <w:sz w:val="24"/>
                <w:szCs w:val="24"/>
                <w:highlight w:val="none"/>
              </w:rPr>
              <w:t>、教学教研平台）软件具备公安部门出具的信息系统安全等级：二级及以上认证证书供证明文件的每提供一个得1分，满分4分。（提供相关证明材料扫描件）</w:t>
            </w:r>
          </w:p>
        </w:tc>
        <w:tc>
          <w:tcPr>
            <w:tcW w:w="406" w:type="pct"/>
            <w:vAlign w:val="center"/>
          </w:tcPr>
          <w:p>
            <w:pPr>
              <w:snapToGrid w:val="0"/>
              <w:spacing w:line="280" w:lineRule="exact"/>
              <w:jc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软件信息安全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8" w:type="pct"/>
            <w:vAlign w:val="center"/>
          </w:tcPr>
          <w:p>
            <w:pPr>
              <w:spacing w:line="360" w:lineRule="auto"/>
              <w:jc w:val="center"/>
              <w:outlineLvl w:val="0"/>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4</w:t>
            </w:r>
          </w:p>
        </w:tc>
        <w:tc>
          <w:tcPr>
            <w:tcW w:w="3159" w:type="pct"/>
            <w:vAlign w:val="center"/>
          </w:tcPr>
          <w:p>
            <w:pPr>
              <w:pStyle w:val="25"/>
              <w:spacing w:line="280" w:lineRule="exact"/>
              <w:rPr>
                <w:rFonts w:ascii="仿宋_GB2312" w:hAnsi="仿宋_GB2312" w:eastAsia="仿宋_GB2312" w:cs="仿宋_GB2312"/>
                <w:snapToGrid/>
                <w:color w:val="auto"/>
                <w:sz w:val="24"/>
                <w:szCs w:val="24"/>
                <w:highlight w:val="none"/>
                <w:lang w:val="en-US"/>
              </w:rPr>
            </w:pPr>
            <w:r>
              <w:rPr>
                <w:rFonts w:hint="eastAsia" w:ascii="仿宋_GB2312" w:hAnsi="仿宋_GB2312" w:eastAsia="仿宋_GB2312" w:cs="仿宋_GB2312"/>
                <w:snapToGrid/>
                <w:color w:val="auto"/>
                <w:sz w:val="24"/>
                <w:szCs w:val="24"/>
                <w:highlight w:val="none"/>
                <w:lang w:val="en-US" w:eastAsia="zh-CN"/>
              </w:rPr>
              <w:t>1）</w:t>
            </w:r>
            <w:r>
              <w:rPr>
                <w:rFonts w:hint="eastAsia" w:ascii="仿宋_GB2312" w:hAnsi="仿宋_GB2312" w:eastAsia="仿宋_GB2312" w:cs="仿宋_GB2312"/>
                <w:snapToGrid/>
                <w:color w:val="auto"/>
                <w:sz w:val="24"/>
                <w:szCs w:val="24"/>
                <w:highlight w:val="none"/>
                <w:lang w:val="en-US"/>
              </w:rPr>
              <w:t>蓝牙音箱无线安全：音箱符合中华人民共和国无线电管理规定和技术标准，提供所投产品型号对应的无线电发射设备型号核准得 1分；</w:t>
            </w:r>
          </w:p>
          <w:p>
            <w:pPr>
              <w:pStyle w:val="25"/>
              <w:spacing w:line="280" w:lineRule="exact"/>
              <w:rPr>
                <w:rFonts w:ascii="仿宋_GB2312" w:hAnsi="仿宋_GB2312" w:eastAsia="仿宋_GB2312" w:cs="仿宋_GB2312"/>
                <w:snapToGrid/>
                <w:color w:val="auto"/>
                <w:sz w:val="24"/>
                <w:szCs w:val="24"/>
                <w:highlight w:val="none"/>
                <w:lang w:val="en-US"/>
              </w:rPr>
            </w:pPr>
            <w:r>
              <w:rPr>
                <w:rFonts w:hint="eastAsia" w:ascii="仿宋_GB2312" w:hAnsi="仿宋_GB2312" w:eastAsia="仿宋_GB2312" w:cs="仿宋_GB2312"/>
                <w:snapToGrid/>
                <w:color w:val="auto"/>
                <w:sz w:val="24"/>
                <w:szCs w:val="24"/>
                <w:highlight w:val="none"/>
                <w:lang w:val="en-US" w:eastAsia="zh-CN"/>
              </w:rPr>
              <w:t>2）</w:t>
            </w:r>
            <w:r>
              <w:rPr>
                <w:rFonts w:hint="eastAsia" w:ascii="仿宋_GB2312" w:hAnsi="仿宋_GB2312" w:eastAsia="仿宋_GB2312" w:cs="仿宋_GB2312"/>
                <w:snapToGrid/>
                <w:color w:val="auto"/>
                <w:sz w:val="24"/>
                <w:szCs w:val="24"/>
                <w:highlight w:val="none"/>
                <w:lang w:val="en-US"/>
              </w:rPr>
              <w:t>交互智能平板及智慧黑板产品制造商产品生产符合《多媒体教学工程环境建设规范》的得 1分。</w:t>
            </w:r>
          </w:p>
          <w:p>
            <w:pPr>
              <w:pStyle w:val="25"/>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snapToGrid/>
                <w:color w:val="auto"/>
                <w:sz w:val="24"/>
                <w:szCs w:val="24"/>
                <w:highlight w:val="none"/>
                <w:lang w:val="en-US"/>
              </w:rPr>
              <w:t>（提供相关证明材料扫描件）</w:t>
            </w:r>
          </w:p>
        </w:tc>
        <w:tc>
          <w:tcPr>
            <w:tcW w:w="406" w:type="pct"/>
            <w:vAlign w:val="center"/>
          </w:tcPr>
          <w:p>
            <w:pPr>
              <w:snapToGrid w:val="0"/>
              <w:spacing w:line="280" w:lineRule="exact"/>
              <w:jc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产品资质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8" w:type="pct"/>
            <w:vAlign w:val="center"/>
          </w:tcPr>
          <w:p>
            <w:pPr>
              <w:spacing w:line="360" w:lineRule="auto"/>
              <w:jc w:val="center"/>
              <w:outlineLvl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w:t>
            </w:r>
          </w:p>
        </w:tc>
        <w:tc>
          <w:tcPr>
            <w:tcW w:w="3159" w:type="pct"/>
            <w:vAlign w:val="center"/>
          </w:tcPr>
          <w:p>
            <w:pPr>
              <w:pStyle w:val="609"/>
              <w:spacing w:line="280" w:lineRule="exact"/>
              <w:ind w:firstLine="0" w:firstLineChars="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提供86英寸交互智能平板现场演示</w:t>
            </w:r>
          </w:p>
          <w:p>
            <w:pPr>
              <w:pStyle w:val="609"/>
              <w:spacing w:line="280" w:lineRule="exact"/>
              <w:ind w:firstLine="0" w:firstLineChars="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护眼功能演示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便捷微课录制演示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外部</w:t>
            </w:r>
            <w:r>
              <w:rPr>
                <w:rFonts w:hint="eastAsia" w:ascii="仿宋_GB2312" w:hAnsi="仿宋_GB2312" w:eastAsia="仿宋_GB2312" w:cs="仿宋_GB2312"/>
                <w:color w:val="auto"/>
                <w:sz w:val="24"/>
                <w:szCs w:val="24"/>
                <w:highlight w:val="none"/>
                <w:lang w:val="en-US" w:eastAsia="zh-CN"/>
              </w:rPr>
              <w:t>功能</w:t>
            </w:r>
            <w:r>
              <w:rPr>
                <w:rFonts w:hint="eastAsia" w:ascii="仿宋_GB2312" w:hAnsi="仿宋_GB2312" w:eastAsia="仿宋_GB2312" w:cs="仿宋_GB2312"/>
                <w:color w:val="auto"/>
                <w:sz w:val="24"/>
                <w:szCs w:val="24"/>
                <w:highlight w:val="none"/>
              </w:rPr>
              <w:t>拓展演示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（0-2分）</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智能手势识别功能演示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 xml:space="preserve">（0-2分） </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学科工具功能演示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（0-2分）</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学情分析功能演示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（0-2分）</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教学教研平台听评课功能演示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w:t>
            </w:r>
            <w:r>
              <w:rPr>
                <w:rFonts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rPr>
              <w:t>分）</w:t>
            </w:r>
          </w:p>
          <w:p>
            <w:pPr>
              <w:spacing w:line="280" w:lineRule="exact"/>
              <w:outlineLvl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NFC投屏</w:t>
            </w:r>
            <w:r>
              <w:rPr>
                <w:rFonts w:hint="eastAsia" w:ascii="仿宋_GB2312" w:hAnsi="仿宋_GB2312" w:eastAsia="仿宋_GB2312" w:cs="仿宋_GB2312"/>
                <w:color w:val="auto"/>
                <w:sz w:val="24"/>
                <w:szCs w:val="24"/>
                <w:highlight w:val="none"/>
              </w:rPr>
              <w:t>功能演示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rPr>
              <w:t>（0-2）</w:t>
            </w:r>
          </w:p>
          <w:p>
            <w:pPr>
              <w:pStyle w:val="609"/>
              <w:numPr>
                <w:ilvl w:val="255"/>
                <w:numId w:val="0"/>
              </w:numPr>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一键下课锁定功能</w:t>
            </w:r>
            <w:r>
              <w:rPr>
                <w:rFonts w:hint="eastAsia" w:ascii="仿宋_GB2312" w:hAnsi="仿宋_GB2312" w:eastAsia="仿宋_GB2312" w:cs="仿宋_GB2312"/>
                <w:color w:val="auto"/>
                <w:sz w:val="24"/>
                <w:szCs w:val="24"/>
                <w:highlight w:val="none"/>
                <w:lang w:val="en-US" w:eastAsia="zh-CN"/>
              </w:rPr>
              <w:t>演示，根据演示效果进行综合评定；</w:t>
            </w:r>
            <w:r>
              <w:rPr>
                <w:rFonts w:hint="eastAsia" w:ascii="仿宋_GB2312" w:hAnsi="仿宋_GB2312" w:eastAsia="仿宋_GB2312" w:cs="仿宋_GB2312"/>
                <w:color w:val="auto"/>
                <w:sz w:val="24"/>
                <w:szCs w:val="24"/>
                <w:highlight w:val="none"/>
              </w:rPr>
              <w:t>（0-2分）</w:t>
            </w:r>
          </w:p>
          <w:p>
            <w:pPr>
              <w:spacing w:line="280" w:lineRule="exact"/>
              <w:outlineLvl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设备巡视功能</w:t>
            </w:r>
            <w:r>
              <w:rPr>
                <w:rFonts w:hint="eastAsia" w:ascii="仿宋_GB2312" w:hAnsi="仿宋_GB2312" w:eastAsia="仿宋_GB2312" w:cs="仿宋_GB2312"/>
                <w:color w:val="auto"/>
                <w:sz w:val="24"/>
                <w:szCs w:val="24"/>
                <w:highlight w:val="none"/>
                <w:lang w:val="en-US" w:eastAsia="zh-CN"/>
              </w:rPr>
              <w:t>演示</w:t>
            </w:r>
            <w:r>
              <w:rPr>
                <w:rFonts w:hint="eastAsia" w:ascii="仿宋_GB2312" w:hAnsi="仿宋_GB2312" w:eastAsia="仿宋_GB2312" w:cs="仿宋_GB2312"/>
                <w:color w:val="auto"/>
                <w:sz w:val="24"/>
                <w:szCs w:val="24"/>
                <w:highlight w:val="none"/>
                <w:lang w:val="en-US" w:eastAsia="zh-CN"/>
              </w:rPr>
              <w:t>，根据演示效果进行综合评定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（0-2分</w:t>
            </w:r>
            <w:r>
              <w:rPr>
                <w:rFonts w:hint="eastAsia" w:ascii="仿宋_GB2312" w:hAnsi="仿宋_GB2312" w:eastAsia="仿宋_GB2312" w:cs="仿宋_GB2312"/>
                <w:color w:val="auto"/>
                <w:sz w:val="24"/>
                <w:szCs w:val="24"/>
                <w:highlight w:val="none"/>
              </w:rPr>
              <w:t>）</w:t>
            </w:r>
          </w:p>
        </w:tc>
        <w:tc>
          <w:tcPr>
            <w:tcW w:w="406" w:type="pct"/>
            <w:vAlign w:val="center"/>
          </w:tcPr>
          <w:p>
            <w:pPr>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现场演示与讲解（注：未提供演示项不得分）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38" w:type="pct"/>
            <w:vAlign w:val="center"/>
          </w:tcPr>
          <w:p>
            <w:pPr>
              <w:spacing w:line="360" w:lineRule="auto"/>
              <w:jc w:val="center"/>
              <w:outlineLvl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6</w:t>
            </w:r>
          </w:p>
        </w:tc>
        <w:tc>
          <w:tcPr>
            <w:tcW w:w="3159" w:type="pct"/>
            <w:vAlign w:val="center"/>
          </w:tcPr>
          <w:p>
            <w:pPr>
              <w:autoSpaceDE w:val="0"/>
              <w:autoSpaceDN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根据投标人提供的集成方案设计的合理性、先进性、稳定性、安全性、实际应用规模、对用户需求的理解程度等方面进行评分。</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设备整体集成方案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38" w:type="pct"/>
            <w:vAlign w:val="center"/>
          </w:tcPr>
          <w:p>
            <w:pPr>
              <w:jc w:val="center"/>
              <w:rPr>
                <w:color w:val="auto"/>
                <w:sz w:val="24"/>
                <w:szCs w:val="24"/>
                <w:highlight w:val="none"/>
              </w:rPr>
            </w:pPr>
            <w:r>
              <w:rPr>
                <w:rFonts w:hint="eastAsia"/>
                <w:color w:val="auto"/>
                <w:sz w:val="24"/>
                <w:szCs w:val="24"/>
                <w:highlight w:val="none"/>
              </w:rPr>
              <w:t>7</w:t>
            </w:r>
          </w:p>
        </w:tc>
        <w:tc>
          <w:tcPr>
            <w:tcW w:w="3159" w:type="pct"/>
            <w:vAlign w:val="center"/>
          </w:tcPr>
          <w:p>
            <w:pPr>
              <w:autoSpaceDE w:val="0"/>
              <w:autoSpaceDN w:val="0"/>
              <w:spacing w:line="28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采购需求“技术参数等要求”中不带※的参数每有一项负偏离或未响应，扣1分，带※参数每有一项负偏离或未响应，扣3分，20分扣完为止</w:t>
            </w:r>
            <w:r>
              <w:rPr>
                <w:rFonts w:hint="eastAsia" w:ascii="仿宋_GB2312" w:hAnsi="仿宋_GB2312" w:eastAsia="仿宋_GB2312" w:cs="仿宋_GB2312"/>
                <w:color w:val="auto"/>
                <w:sz w:val="24"/>
                <w:szCs w:val="24"/>
                <w:highlight w:val="none"/>
                <w:lang w:eastAsia="zh-CN"/>
              </w:rPr>
              <w:t>。</w:t>
            </w:r>
          </w:p>
          <w:p>
            <w:pPr>
              <w:autoSpaceDE w:val="0"/>
              <w:autoSpaceDN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（规格参数要求中需提供检测报告扫描件等证书的未提供视作该一项负偏离）</w:t>
            </w:r>
          </w:p>
          <w:p>
            <w:pPr>
              <w:pStyle w:val="25"/>
              <w:spacing w:line="280" w:lineRule="exact"/>
              <w:rPr>
                <w:rFonts w:ascii="仿宋_GB2312" w:hAnsi="仿宋_GB2312" w:eastAsia="仿宋_GB2312" w:cs="仿宋_GB2312"/>
                <w:snapToGrid/>
                <w:color w:val="auto"/>
                <w:sz w:val="24"/>
                <w:szCs w:val="24"/>
                <w:highlight w:val="none"/>
                <w:lang w:val="en-US"/>
              </w:rPr>
            </w:pPr>
            <w:r>
              <w:rPr>
                <w:rFonts w:hint="eastAsia" w:ascii="仿宋_GB2312" w:hAnsi="仿宋_GB2312" w:eastAsia="仿宋_GB2312" w:cs="仿宋_GB2312"/>
                <w:snapToGrid/>
                <w:color w:val="auto"/>
                <w:sz w:val="24"/>
                <w:szCs w:val="24"/>
                <w:highlight w:val="none"/>
                <w:lang w:val="en-US"/>
              </w:rPr>
              <w:t>注：已演示的参数或功能不重复参与该项评分。</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38" w:type="pct"/>
            <w:vAlign w:val="center"/>
          </w:tcPr>
          <w:p>
            <w:pPr>
              <w:jc w:val="center"/>
              <w:rPr>
                <w:color w:val="auto"/>
                <w:sz w:val="24"/>
                <w:szCs w:val="24"/>
                <w:highlight w:val="none"/>
              </w:rPr>
            </w:pPr>
            <w:r>
              <w:rPr>
                <w:rFonts w:hint="eastAsia"/>
                <w:color w:val="auto"/>
                <w:sz w:val="24"/>
                <w:szCs w:val="24"/>
                <w:highlight w:val="none"/>
              </w:rPr>
              <w:t>8</w:t>
            </w:r>
          </w:p>
        </w:tc>
        <w:tc>
          <w:tcPr>
            <w:tcW w:w="3159" w:type="pct"/>
            <w:vAlign w:val="center"/>
          </w:tcPr>
          <w:p>
            <w:pPr>
              <w:autoSpaceDE w:val="0"/>
              <w:autoSpaceDN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投标人针对各系统安装调试方案的科学性、合理性、规范性和可操作性，包括系统集成、产品供货、验货、安装调试、试运行、测试、调优等内容。</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38" w:type="pct"/>
            <w:vAlign w:val="center"/>
          </w:tcPr>
          <w:p>
            <w:pPr>
              <w:jc w:val="center"/>
              <w:rPr>
                <w:color w:val="auto"/>
                <w:sz w:val="24"/>
                <w:szCs w:val="24"/>
                <w:highlight w:val="none"/>
              </w:rPr>
            </w:pPr>
            <w:r>
              <w:rPr>
                <w:rFonts w:hint="eastAsia"/>
                <w:color w:val="auto"/>
                <w:sz w:val="24"/>
                <w:szCs w:val="24"/>
                <w:highlight w:val="none"/>
              </w:rPr>
              <w:t>9</w:t>
            </w:r>
          </w:p>
        </w:tc>
        <w:tc>
          <w:tcPr>
            <w:tcW w:w="3159" w:type="pct"/>
            <w:vAlign w:val="center"/>
          </w:tcPr>
          <w:p>
            <w:pPr>
              <w:autoSpaceDE w:val="0"/>
              <w:autoSpaceDN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系统的施工方案；施工机械、进场计划、材料计划及劳动力安排计划；施工工艺流程；施工总进度计划等。拟担任本项目经理和技术负责人的专业素质、技术能力、经验等情况，项目组实施人员专业人员素质、技术能力、专业分布、经验等情况，数量是否充足，配置是否合理，是否具有类似项目建设经验等</w:t>
            </w:r>
            <w:r>
              <w:rPr>
                <w:rFonts w:hint="eastAsia" w:ascii="仿宋_GB2312" w:hAnsi="仿宋_GB2312" w:eastAsia="仿宋_GB2312" w:cs="仿宋_GB2312"/>
                <w:color w:val="auto"/>
                <w:kern w:val="0"/>
                <w:sz w:val="24"/>
                <w:szCs w:val="24"/>
                <w:highlight w:val="none"/>
              </w:rPr>
              <w:t>。</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施工设计组织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8" w:type="pct"/>
            <w:vAlign w:val="center"/>
          </w:tcPr>
          <w:p>
            <w:pPr>
              <w:jc w:val="center"/>
              <w:rPr>
                <w:color w:val="auto"/>
                <w:sz w:val="24"/>
                <w:szCs w:val="24"/>
                <w:highlight w:val="none"/>
              </w:rPr>
            </w:pPr>
            <w:r>
              <w:rPr>
                <w:rFonts w:hint="eastAsia"/>
                <w:color w:val="auto"/>
                <w:sz w:val="24"/>
                <w:szCs w:val="24"/>
                <w:highlight w:val="none"/>
              </w:rPr>
              <w:t>10</w:t>
            </w:r>
          </w:p>
        </w:tc>
        <w:tc>
          <w:tcPr>
            <w:tcW w:w="3159" w:type="pct"/>
            <w:vAlign w:val="center"/>
          </w:tcPr>
          <w:p>
            <w:pPr>
              <w:widowControl/>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提出的培训方案等内容是否完整、科学合理，费用是否计入总报价。</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w:t>
            </w:r>
          </w:p>
        </w:tc>
        <w:tc>
          <w:tcPr>
            <w:tcW w:w="1095" w:type="pct"/>
            <w:vAlign w:val="center"/>
          </w:tcPr>
          <w:p>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38" w:type="pct"/>
            <w:vAlign w:val="center"/>
          </w:tcPr>
          <w:p>
            <w:pPr>
              <w:jc w:val="center"/>
              <w:rPr>
                <w:color w:val="auto"/>
                <w:sz w:val="24"/>
                <w:szCs w:val="24"/>
                <w:highlight w:val="none"/>
              </w:rPr>
            </w:pPr>
            <w:r>
              <w:rPr>
                <w:rFonts w:hint="eastAsia"/>
                <w:color w:val="auto"/>
                <w:sz w:val="24"/>
                <w:szCs w:val="24"/>
                <w:highlight w:val="none"/>
              </w:rPr>
              <w:t>11</w:t>
            </w:r>
          </w:p>
        </w:tc>
        <w:tc>
          <w:tcPr>
            <w:tcW w:w="3159" w:type="pct"/>
            <w:vAlign w:val="center"/>
          </w:tcPr>
          <w:p>
            <w:pPr>
              <w:autoSpaceDE w:val="0"/>
              <w:autoSpaceDN w:val="0"/>
              <w:spacing w:line="28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根据售后服务承诺的范围和完善程度，包括保修年限，保修部件范围，保修、服务标准，人员配备，故障响应修复时间方式、保障措施、系统管理培训及系统运行维护培训等内容打分。</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38" w:type="pct"/>
            <w:vAlign w:val="center"/>
          </w:tcPr>
          <w:p>
            <w:pPr>
              <w:jc w:val="center"/>
              <w:rPr>
                <w:color w:val="auto"/>
                <w:sz w:val="24"/>
                <w:szCs w:val="24"/>
                <w:highlight w:val="none"/>
              </w:rPr>
            </w:pPr>
            <w:r>
              <w:rPr>
                <w:rFonts w:hint="eastAsia"/>
                <w:color w:val="auto"/>
                <w:sz w:val="24"/>
                <w:szCs w:val="24"/>
                <w:highlight w:val="none"/>
              </w:rPr>
              <w:t>12</w:t>
            </w:r>
          </w:p>
        </w:tc>
        <w:tc>
          <w:tcPr>
            <w:tcW w:w="3159" w:type="pct"/>
            <w:vAlign w:val="center"/>
          </w:tcPr>
          <w:p>
            <w:pPr>
              <w:autoSpaceDE w:val="0"/>
              <w:autoSpaceDN w:val="0"/>
              <w:spacing w:line="28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根据供应商承诺质保期后的服务标准、费用等酌情打分（0-1分）。项目整体免费质保服务期高于招标文件要求的，每增加半年得1分，最高2分</w:t>
            </w:r>
            <w:r>
              <w:rPr>
                <w:rFonts w:hint="eastAsia" w:ascii="仿宋_GB2312" w:hAnsi="仿宋_GB2312" w:eastAsia="仿宋_GB2312" w:cs="仿宋_GB2312"/>
                <w:color w:val="auto"/>
                <w:sz w:val="24"/>
                <w:szCs w:val="24"/>
                <w:highlight w:val="none"/>
                <w:lang w:eastAsia="zh-CN"/>
              </w:rPr>
              <w:t>。</w:t>
            </w:r>
          </w:p>
        </w:tc>
        <w:tc>
          <w:tcPr>
            <w:tcW w:w="406" w:type="pct"/>
            <w:vAlign w:val="center"/>
          </w:tcPr>
          <w:p>
            <w:pPr>
              <w:autoSpaceDE w:val="0"/>
              <w:autoSpaceDN w:val="0"/>
              <w:spacing w:line="28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w:t>
            </w:r>
          </w:p>
        </w:tc>
        <w:tc>
          <w:tcPr>
            <w:tcW w:w="1095" w:type="pct"/>
            <w:vAlign w:val="center"/>
          </w:tcPr>
          <w:p>
            <w:pPr>
              <w:autoSpaceDE w:val="0"/>
              <w:autoSpaceDN w:val="0"/>
              <w:spacing w:line="3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质保期后维保承诺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338" w:type="pct"/>
            <w:vAlign w:val="center"/>
          </w:tcPr>
          <w:p>
            <w:pPr>
              <w:spacing w:line="360" w:lineRule="auto"/>
              <w:jc w:val="center"/>
              <w:outlineLvl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13</w:t>
            </w:r>
          </w:p>
        </w:tc>
        <w:tc>
          <w:tcPr>
            <w:tcW w:w="3159" w:type="pct"/>
          </w:tcPr>
          <w:p>
            <w:pPr>
              <w:spacing w:line="280" w:lineRule="exact"/>
              <w:outlineLvl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280" w:lineRule="exact"/>
              <w:ind w:firstLine="42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评标过程中，不得去掉报价中的最高报价和最低报价。</w:t>
            </w:r>
          </w:p>
          <w:p>
            <w:pPr>
              <w:widowControl/>
              <w:shd w:val="clear" w:color="auto" w:fill="FFFFFF"/>
              <w:adjustRightInd/>
              <w:spacing w:after="225" w:line="280" w:lineRule="exact"/>
              <w:ind w:firstLine="42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因落实政府采购政策需要进行价格调整的，以调整后的价格计算评标基准价和投标报价。</w:t>
            </w:r>
          </w:p>
        </w:tc>
        <w:tc>
          <w:tcPr>
            <w:tcW w:w="406" w:type="pct"/>
            <w:vAlign w:val="center"/>
          </w:tcPr>
          <w:p>
            <w:pPr>
              <w:spacing w:line="280" w:lineRule="exact"/>
              <w:outlineLvl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30分</w:t>
            </w:r>
          </w:p>
        </w:tc>
        <w:tc>
          <w:tcPr>
            <w:tcW w:w="1095" w:type="pct"/>
            <w:vAlign w:val="center"/>
          </w:tcPr>
          <w:p>
            <w:pPr>
              <w:spacing w:line="360" w:lineRule="auto"/>
              <w:jc w:val="center"/>
              <w:outlineLvl w:val="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w:t>
            </w:r>
          </w:p>
        </w:tc>
      </w:tr>
    </w:tbl>
    <w:p>
      <w:pPr>
        <w:snapToGrid w:val="0"/>
        <w:spacing w:line="360" w:lineRule="auto"/>
        <w:rPr>
          <w:rFonts w:ascii="Arial" w:hAnsi="Arial" w:cs="Arial"/>
          <w:color w:val="auto"/>
          <w:sz w:val="20"/>
          <w:szCs w:val="20"/>
          <w:highlight w:val="none"/>
          <w:shd w:val="clear" w:color="auto" w:fill="FFFFFF"/>
        </w:rPr>
      </w:pPr>
    </w:p>
    <w:p>
      <w:pPr>
        <w:snapToGrid w:val="0"/>
        <w:spacing w:line="360" w:lineRule="auto"/>
        <w:rPr>
          <w:rFonts w:ascii="仿宋" w:hAnsi="仿宋" w:eastAsia="仿宋" w:cs="仿宋_GB2312"/>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w:t>
      </w:r>
      <w:r>
        <w:rPr>
          <w:rFonts w:hint="eastAsia" w:ascii="仿宋" w:hAnsi="仿宋" w:eastAsia="仿宋" w:cs="仿宋"/>
          <w:color w:val="auto"/>
          <w:kern w:val="0"/>
          <w:szCs w:val="24"/>
          <w:highlight w:val="none"/>
        </w:rPr>
        <w:t>投标报价明细表</w:t>
      </w:r>
      <w:r>
        <w:rPr>
          <w:rFonts w:ascii="仿宋" w:hAnsi="仿宋" w:eastAsia="仿宋" w:cs="仿宋"/>
          <w:color w:val="auto"/>
          <w:kern w:val="0"/>
          <w:szCs w:val="24"/>
          <w:highlight w:val="none"/>
        </w:rPr>
        <w:t>内容与投标文件中相应内容不一致的，以</w:t>
      </w:r>
      <w:r>
        <w:rPr>
          <w:rFonts w:hint="eastAsia" w:ascii="仿宋" w:hAnsi="仿宋" w:eastAsia="仿宋" w:cs="仿宋"/>
          <w:color w:val="auto"/>
          <w:kern w:val="0"/>
          <w:szCs w:val="24"/>
          <w:highlight w:val="none"/>
        </w:rPr>
        <w:t>投标报价明细表</w:t>
      </w:r>
      <w:r>
        <w:rPr>
          <w:rFonts w:ascii="仿宋" w:hAnsi="仿宋" w:eastAsia="仿宋" w:cs="仿宋"/>
          <w:color w:val="auto"/>
          <w:kern w:val="0"/>
          <w:szCs w:val="24"/>
          <w:highlight w:val="none"/>
        </w:rPr>
        <w:t>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rPr>
        <w:t>投标报价明细表</w:t>
      </w:r>
      <w:r>
        <w:rPr>
          <w:rFonts w:ascii="仿宋" w:hAnsi="仿宋" w:eastAsia="仿宋" w:cs="仿宋"/>
          <w:color w:val="auto"/>
          <w:kern w:val="0"/>
          <w:szCs w:val="24"/>
          <w:highlight w:val="none"/>
        </w:rPr>
        <w:t>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rPr>
        <w:t>2</w:t>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rPr>
        <w:t>3</w:t>
      </w:r>
      <w:r>
        <w:rPr>
          <w:rFonts w:ascii="仿宋_GB2312" w:hAnsi="仿宋" w:eastAsia="仿宋_GB2312" w:cs="Arial"/>
          <w:color w:val="auto"/>
          <w:kern w:val="0"/>
          <w:sz w:val="24"/>
          <w:highlight w:val="none"/>
        </w:rPr>
        <w:t>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p>
    <w:p>
      <w:pPr>
        <w:pStyle w:val="2"/>
        <w:snapToGrid w:val="0"/>
        <w:spacing w:line="360" w:lineRule="auto"/>
        <w:ind w:firstLine="0" w:firstLineChars="0"/>
        <w:rPr>
          <w:rFonts w:ascii="仿宋_GB2312" w:hAnsi="仿宋" w:eastAsia="仿宋_GB2312" w:cs="仿宋_GB2312"/>
          <w:color w:val="auto"/>
          <w:highlight w:val="none"/>
        </w:rPr>
      </w:pPr>
    </w:p>
    <w:p>
      <w:pPr>
        <w:spacing w:line="360" w:lineRule="auto"/>
        <w:outlineLvl w:val="0"/>
        <w:rPr>
          <w:rFonts w:ascii="仿宋_GB2312" w:hAnsi="仿宋" w:eastAsia="仿宋_GB2312" w:cs="仿宋_GB2312"/>
          <w:b/>
          <w:color w:val="auto"/>
          <w:sz w:val="36"/>
          <w:szCs w:val="36"/>
          <w:highlight w:val="none"/>
        </w:rPr>
      </w:pPr>
      <w:bookmarkStart w:id="394" w:name="第五部分"/>
      <w:bookmarkStart w:id="395" w:name="_Toc86217003"/>
    </w:p>
    <w:p>
      <w:pP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pStyle w:val="699"/>
        <w:jc w:val="center"/>
        <w:rPr>
          <w:rFonts w:ascii="仿宋" w:hAnsi="仿宋" w:eastAsia="仿宋"/>
          <w:color w:val="auto"/>
          <w:szCs w:val="24"/>
          <w:highlight w:val="none"/>
        </w:rPr>
      </w:pPr>
    </w:p>
    <w:p>
      <w:pPr>
        <w:pStyle w:val="699"/>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6"/>
        <w:spacing w:before="120" w:line="22" w:lineRule="atLeast"/>
        <w:rPr>
          <w:rFonts w:ascii="仿宋" w:hAnsi="仿宋" w:eastAsia="仿宋"/>
          <w:color w:val="auto"/>
          <w:szCs w:val="24"/>
          <w:highlight w:val="none"/>
        </w:rPr>
      </w:pPr>
    </w:p>
    <w:p>
      <w:pPr>
        <w:pStyle w:val="596"/>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473" w:bottom="1474" w:left="1394" w:header="851" w:footer="851" w:gutter="0"/>
          <w:cols w:space="720" w:num="1"/>
        </w:sectPr>
      </w:pP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360" w:lineRule="auto"/>
        <w:ind w:firstLine="482" w:firstLineChars="200"/>
        <w:outlineLvl w:val="0"/>
        <w:rPr>
          <w:rFonts w:ascii="仿宋" w:hAnsi="仿宋" w:eastAsia="仿宋"/>
          <w:b/>
          <w:color w:val="auto"/>
          <w:sz w:val="24"/>
          <w:highlight w:val="none"/>
        </w:rPr>
      </w:pPr>
      <w:bookmarkStart w:id="396" w:name="_Toc24059"/>
      <w:bookmarkStart w:id="397" w:name="_Toc2232"/>
      <w:bookmarkStart w:id="398" w:name="_Toc302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6"/>
      <w:bookmarkEnd w:id="397"/>
      <w:bookmarkEnd w:id="39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360" w:lineRule="auto"/>
        <w:ind w:firstLine="482" w:firstLineChars="200"/>
        <w:outlineLvl w:val="0"/>
        <w:rPr>
          <w:rFonts w:ascii="仿宋" w:hAnsi="仿宋" w:eastAsia="仿宋"/>
          <w:b/>
          <w:color w:val="auto"/>
          <w:sz w:val="24"/>
          <w:highlight w:val="none"/>
        </w:rPr>
      </w:pPr>
      <w:bookmarkStart w:id="399" w:name="_Toc21295"/>
      <w:bookmarkStart w:id="400" w:name="_Toc27126"/>
      <w:bookmarkStart w:id="401" w:name="_Toc24300"/>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399"/>
      <w:bookmarkEnd w:id="400"/>
      <w:bookmarkEnd w:id="401"/>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02" w:name="_Toc21631"/>
      <w:bookmarkStart w:id="403" w:name="_Toc21551"/>
      <w:bookmarkStart w:id="404" w:name="_Toc23292"/>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2"/>
      <w:bookmarkEnd w:id="403"/>
      <w:bookmarkEnd w:id="404"/>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ascii="仿宋" w:hAnsi="仿宋" w:eastAsia="仿宋"/>
                <w:color w:val="auto"/>
                <w:sz w:val="24"/>
                <w:szCs w:val="24"/>
                <w:highlight w:val="none"/>
              </w:rPr>
            </w:pPr>
          </w:p>
        </w:tc>
      </w:tr>
    </w:tbl>
    <w:p>
      <w:pPr>
        <w:spacing w:line="360" w:lineRule="auto"/>
        <w:ind w:firstLine="482" w:firstLineChars="200"/>
        <w:outlineLvl w:val="0"/>
        <w:rPr>
          <w:rFonts w:ascii="仿宋" w:hAnsi="仿宋" w:eastAsia="仿宋"/>
          <w:b/>
          <w:color w:val="auto"/>
          <w:sz w:val="24"/>
          <w:highlight w:val="none"/>
        </w:rPr>
      </w:pPr>
      <w:bookmarkStart w:id="405" w:name="_Toc1814"/>
      <w:bookmarkStart w:id="406" w:name="_Toc10340"/>
      <w:bookmarkStart w:id="407" w:name="_Toc22618"/>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405"/>
      <w:bookmarkEnd w:id="406"/>
      <w:bookmarkEnd w:id="407"/>
      <w:r>
        <w:rPr>
          <w:rFonts w:hint="eastAsia" w:ascii="仿宋" w:hAnsi="仿宋" w:eastAsia="仿宋"/>
          <w:b/>
          <w:color w:val="auto"/>
          <w:sz w:val="24"/>
          <w:highlight w:val="none"/>
        </w:rPr>
        <w:t>方式、时间和条件</w:t>
      </w:r>
    </w:p>
    <w:p>
      <w:pPr>
        <w:pStyle w:val="957"/>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1.4.2甲方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360" w:lineRule="auto"/>
        <w:ind w:firstLine="482" w:firstLineChars="200"/>
        <w:outlineLvl w:val="0"/>
        <w:rPr>
          <w:rFonts w:ascii="仿宋" w:hAnsi="仿宋" w:eastAsia="仿宋"/>
          <w:b/>
          <w:color w:val="auto"/>
          <w:sz w:val="24"/>
          <w:highlight w:val="none"/>
        </w:rPr>
      </w:pPr>
      <w:bookmarkStart w:id="408" w:name="_Toc19304"/>
      <w:bookmarkStart w:id="409" w:name="_Toc2846"/>
      <w:bookmarkStart w:id="410" w:name="_Toc32071"/>
      <w:r>
        <w:rPr>
          <w:rFonts w:ascii="仿宋" w:hAnsi="仿宋" w:eastAsia="仿宋"/>
          <w:b/>
          <w:color w:val="auto"/>
          <w:sz w:val="24"/>
          <w:highlight w:val="none"/>
        </w:rPr>
        <w:t xml:space="preserve">1.5 </w:t>
      </w:r>
      <w:r>
        <w:rPr>
          <w:rFonts w:hint="eastAsia" w:ascii="仿宋" w:hAnsi="仿宋" w:eastAsia="仿宋"/>
          <w:b/>
          <w:color w:val="auto"/>
          <w:sz w:val="24"/>
          <w:highlight w:val="none"/>
        </w:rPr>
        <w:t>货物交付期限、地点和方式</w:t>
      </w:r>
      <w:bookmarkEnd w:id="408"/>
      <w:bookmarkEnd w:id="409"/>
      <w:bookmarkEnd w:id="410"/>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交付期限：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交付地点：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交付方式：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11" w:name="_Toc21423"/>
      <w:bookmarkStart w:id="412" w:name="_Toc19554"/>
      <w:bookmarkStart w:id="413" w:name="_Toc27250"/>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11"/>
      <w:bookmarkEnd w:id="412"/>
      <w:bookmarkEnd w:id="41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360" w:lineRule="auto"/>
        <w:ind w:firstLine="482" w:firstLineChars="200"/>
        <w:outlineLvl w:val="0"/>
        <w:rPr>
          <w:rFonts w:ascii="仿宋" w:hAnsi="仿宋" w:eastAsia="仿宋"/>
          <w:b/>
          <w:color w:val="auto"/>
          <w:sz w:val="24"/>
          <w:highlight w:val="none"/>
        </w:rPr>
      </w:pPr>
      <w:bookmarkStart w:id="414" w:name="_Toc16021"/>
      <w:bookmarkStart w:id="415" w:name="_Toc15583"/>
      <w:bookmarkStart w:id="416" w:name="_Toc28375"/>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14"/>
      <w:bookmarkEnd w:id="415"/>
      <w:bookmarkEnd w:id="416"/>
    </w:p>
    <w:p>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360" w:lineRule="auto"/>
        <w:ind w:firstLine="482" w:firstLineChars="200"/>
        <w:outlineLvl w:val="0"/>
        <w:rPr>
          <w:rFonts w:ascii="仿宋" w:hAnsi="仿宋" w:eastAsia="仿宋"/>
          <w:b/>
          <w:color w:val="auto"/>
          <w:sz w:val="24"/>
          <w:highlight w:val="none"/>
        </w:rPr>
      </w:pPr>
      <w:bookmarkStart w:id="417" w:name="_Toc7245"/>
      <w:bookmarkStart w:id="418" w:name="_Toc15322"/>
      <w:bookmarkStart w:id="419" w:name="_Toc11173"/>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17"/>
      <w:bookmarkEnd w:id="418"/>
      <w:bookmarkEnd w:id="419"/>
    </w:p>
    <w:p>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pacing w:line="360" w:lineRule="auto"/>
        <w:jc w:val="left"/>
        <w:rPr>
          <w:rFonts w:ascii="仿宋" w:hAnsi="仿宋" w:eastAsia="仿宋"/>
          <w:b/>
          <w:color w:val="auto"/>
          <w:sz w:val="24"/>
          <w:highlight w:val="none"/>
        </w:rPr>
      </w:pPr>
      <w:bookmarkStart w:id="420" w:name="_Toc331685783"/>
    </w:p>
    <w:p>
      <w:pPr>
        <w:rPr>
          <w:rFonts w:ascii="仿宋" w:hAnsi="仿宋" w:eastAsia="仿宋"/>
          <w:b/>
          <w:color w:val="auto"/>
          <w:highlight w:val="none"/>
        </w:rPr>
      </w:pPr>
      <w:r>
        <w:rPr>
          <w:rFonts w:hint="eastAsia" w:ascii="仿宋" w:hAnsi="仿宋" w:eastAsia="仿宋"/>
          <w:b/>
          <w:color w:val="auto"/>
          <w:highlight w:val="none"/>
        </w:rPr>
        <w:br w:type="page"/>
      </w:r>
    </w:p>
    <w:p>
      <w:pPr>
        <w:pStyle w:val="699"/>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420"/>
    </w:p>
    <w:p>
      <w:pPr>
        <w:spacing w:line="360" w:lineRule="auto"/>
        <w:ind w:firstLine="482" w:firstLineChars="200"/>
        <w:outlineLvl w:val="0"/>
        <w:rPr>
          <w:rFonts w:ascii="仿宋" w:hAnsi="仿宋" w:eastAsia="仿宋"/>
          <w:b/>
          <w:color w:val="auto"/>
          <w:sz w:val="24"/>
          <w:highlight w:val="none"/>
        </w:rPr>
      </w:pPr>
      <w:bookmarkStart w:id="421" w:name="_Ref467378404"/>
      <w:bookmarkStart w:id="422" w:name="_Toc16917"/>
      <w:bookmarkStart w:id="423" w:name="_Toc279701240"/>
      <w:bookmarkStart w:id="424" w:name="_Ref467379195"/>
      <w:bookmarkStart w:id="425" w:name="_Ref467379109"/>
      <w:bookmarkStart w:id="426" w:name="_Toc19614"/>
      <w:bookmarkStart w:id="427" w:name="_Ref467378463"/>
      <w:bookmarkStart w:id="428" w:name="_Ref467378499"/>
      <w:bookmarkStart w:id="429" w:name="_Ref467379214"/>
      <w:bookmarkStart w:id="430" w:name="_Toc487900349"/>
      <w:bookmarkStart w:id="431" w:name="_Ref467379225"/>
      <w:bookmarkStart w:id="432" w:name="_Ref467379205"/>
      <w:bookmarkStart w:id="433" w:name="_Ref467379094"/>
      <w:bookmarkStart w:id="434" w:name="_Ref467379101"/>
      <w:bookmarkStart w:id="435" w:name="_Toc259093669"/>
      <w:bookmarkStart w:id="436" w:name="_Toc28763"/>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仿宋" w:hAnsi="仿宋" w:eastAsia="仿宋"/>
          <w:color w:val="auto"/>
          <w:sz w:val="24"/>
          <w:highlight w:val="none"/>
        </w:rPr>
      </w:pPr>
      <w:bookmarkStart w:id="437"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37"/>
      <w:r>
        <w:rPr>
          <w:rFonts w:hint="eastAsia" w:ascii="仿宋" w:hAnsi="仿宋" w:eastAsia="仿宋"/>
          <w:color w:val="auto"/>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color w:val="auto"/>
          <w:sz w:val="24"/>
          <w:highlight w:val="none"/>
        </w:rPr>
      </w:pPr>
      <w:bookmarkStart w:id="438"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38"/>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auto"/>
          <w:sz w:val="24"/>
          <w:highlight w:val="none"/>
        </w:rPr>
      </w:pPr>
      <w:bookmarkStart w:id="439"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39"/>
    </w:p>
    <w:p>
      <w:pPr>
        <w:spacing w:line="360" w:lineRule="auto"/>
        <w:ind w:firstLine="482" w:firstLineChars="200"/>
        <w:outlineLvl w:val="0"/>
        <w:rPr>
          <w:rFonts w:ascii="仿宋" w:hAnsi="仿宋" w:eastAsia="仿宋"/>
          <w:b/>
          <w:color w:val="auto"/>
          <w:sz w:val="24"/>
          <w:highlight w:val="none"/>
        </w:rPr>
      </w:pPr>
      <w:bookmarkStart w:id="440" w:name="_Toc279701241"/>
      <w:bookmarkStart w:id="441" w:name="_Toc13336"/>
      <w:bookmarkStart w:id="442" w:name="_Toc27635"/>
      <w:bookmarkStart w:id="443" w:name="_Toc259093670"/>
      <w:bookmarkStart w:id="444" w:name="_Toc487900350"/>
      <w:bookmarkStart w:id="445" w:name="_Toc32504"/>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40"/>
      <w:bookmarkEnd w:id="441"/>
      <w:bookmarkEnd w:id="442"/>
      <w:bookmarkEnd w:id="443"/>
      <w:bookmarkEnd w:id="444"/>
      <w:bookmarkEnd w:id="445"/>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b/>
          <w:color w:val="auto"/>
          <w:sz w:val="24"/>
          <w:highlight w:val="none"/>
        </w:rPr>
      </w:pPr>
      <w:bookmarkStart w:id="446" w:name="_Toc31634"/>
      <w:bookmarkStart w:id="447" w:name="_Toc259093671"/>
      <w:bookmarkStart w:id="448" w:name="_Toc487900351"/>
      <w:bookmarkStart w:id="449" w:name="_Toc9829"/>
      <w:bookmarkStart w:id="450" w:name="_Toc27853"/>
      <w:bookmarkStart w:id="451" w:name="_Toc279701242"/>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46"/>
      <w:bookmarkEnd w:id="447"/>
      <w:bookmarkEnd w:id="448"/>
      <w:bookmarkEnd w:id="449"/>
      <w:bookmarkEnd w:id="450"/>
      <w:bookmarkEnd w:id="45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52" w:name="_Toc4194"/>
      <w:bookmarkStart w:id="453" w:name="_Toc29149"/>
      <w:bookmarkStart w:id="454" w:name="_Toc11932"/>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452"/>
      <w:bookmarkEnd w:id="453"/>
      <w:bookmarkEnd w:id="454"/>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55" w:name="_Toc259093674"/>
      <w:bookmarkStart w:id="456" w:name="_Toc279701245"/>
      <w:bookmarkStart w:id="457" w:name="_Ref467378541"/>
      <w:bookmarkStart w:id="458" w:name="_Ref467378591"/>
      <w:bookmarkStart w:id="459" w:name="_Ref467379527"/>
      <w:bookmarkStart w:id="460" w:name="_Ref467379536"/>
      <w:bookmarkStart w:id="461" w:name="_Ref467379542"/>
      <w:bookmarkStart w:id="462" w:name="_Toc487900354"/>
      <w:bookmarkStart w:id="463" w:name="_Toc30272"/>
      <w:bookmarkStart w:id="464" w:name="_Toc26182"/>
      <w:bookmarkStart w:id="465" w:name="_Toc19074"/>
      <w:r>
        <w:rPr>
          <w:rFonts w:ascii="仿宋" w:hAnsi="仿宋" w:eastAsia="仿宋"/>
          <w:b/>
          <w:color w:val="auto"/>
          <w:sz w:val="24"/>
          <w:highlight w:val="none"/>
        </w:rPr>
        <w:t>2.</w:t>
      </w:r>
      <w:bookmarkEnd w:id="455"/>
      <w:bookmarkEnd w:id="456"/>
      <w:bookmarkEnd w:id="457"/>
      <w:bookmarkEnd w:id="458"/>
      <w:bookmarkEnd w:id="459"/>
      <w:bookmarkEnd w:id="460"/>
      <w:bookmarkEnd w:id="461"/>
      <w:bookmarkEnd w:id="462"/>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463"/>
      <w:bookmarkEnd w:id="464"/>
      <w:bookmarkEnd w:id="465"/>
    </w:p>
    <w:p>
      <w:pPr>
        <w:spacing w:line="360" w:lineRule="auto"/>
        <w:ind w:firstLine="480" w:firstLineChars="200"/>
        <w:rPr>
          <w:rFonts w:ascii="仿宋" w:hAnsi="仿宋" w:eastAsia="仿宋"/>
          <w:color w:val="auto"/>
          <w:sz w:val="24"/>
          <w:highlight w:val="none"/>
        </w:rPr>
      </w:pPr>
      <w:bookmarkStart w:id="466" w:name="_Ref467379657"/>
      <w:r>
        <w:rPr>
          <w:rFonts w:ascii="仿宋" w:hAnsi="仿宋" w:eastAsia="仿宋"/>
          <w:color w:val="auto"/>
          <w:sz w:val="24"/>
          <w:highlight w:val="none"/>
        </w:rPr>
        <w:t>2.5.1</w:t>
      </w:r>
      <w:bookmarkEnd w:id="466"/>
      <w:bookmarkStart w:id="467" w:name="_Toc186431854"/>
      <w:bookmarkStart w:id="468" w:name="_Toc259093676"/>
      <w:bookmarkStart w:id="469" w:name="_Toc279701247"/>
      <w:bookmarkStart w:id="470" w:name="_Toc487900357"/>
      <w:bookmarkStart w:id="471" w:name="_Ref467379793"/>
      <w:bookmarkStart w:id="472" w:name="_Ref46737980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olor w:val="auto"/>
          <w:sz w:val="24"/>
          <w:highlight w:val="none"/>
        </w:rPr>
        <w:t>。</w:t>
      </w:r>
      <w:bookmarkEnd w:id="468"/>
      <w:bookmarkEnd w:id="469"/>
      <w:bookmarkEnd w:id="470"/>
      <w:bookmarkEnd w:id="471"/>
      <w:bookmarkEnd w:id="472"/>
      <w:bookmarkEnd w:id="473"/>
    </w:p>
    <w:p>
      <w:pPr>
        <w:spacing w:line="360" w:lineRule="auto"/>
        <w:ind w:firstLine="482" w:firstLineChars="200"/>
        <w:outlineLvl w:val="0"/>
        <w:rPr>
          <w:rFonts w:ascii="仿宋" w:hAnsi="仿宋" w:eastAsia="仿宋"/>
          <w:b/>
          <w:color w:val="auto"/>
          <w:sz w:val="24"/>
          <w:highlight w:val="none"/>
        </w:rPr>
      </w:pPr>
      <w:bookmarkStart w:id="474" w:name="_Toc487900358"/>
      <w:bookmarkStart w:id="475" w:name="_Ref467379852"/>
      <w:bookmarkStart w:id="476" w:name="_Ref467379923"/>
      <w:bookmarkStart w:id="477" w:name="_Toc259093677"/>
      <w:bookmarkStart w:id="478" w:name="_Ref467379863"/>
      <w:bookmarkStart w:id="479" w:name="_Toc279701248"/>
      <w:bookmarkStart w:id="480" w:name="_Toc3225"/>
      <w:bookmarkStart w:id="481" w:name="_Toc16110"/>
      <w:bookmarkStart w:id="482" w:name="_Toc774"/>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474"/>
      <w:bookmarkEnd w:id="475"/>
      <w:bookmarkEnd w:id="476"/>
      <w:bookmarkEnd w:id="477"/>
      <w:bookmarkEnd w:id="478"/>
      <w:bookmarkEnd w:id="479"/>
      <w:r>
        <w:rPr>
          <w:rFonts w:hint="eastAsia" w:ascii="仿宋" w:hAnsi="仿宋" w:eastAsia="仿宋"/>
          <w:b/>
          <w:color w:val="auto"/>
          <w:sz w:val="24"/>
          <w:highlight w:val="none"/>
        </w:rPr>
        <w:t>和保密义务</w:t>
      </w:r>
      <w:bookmarkEnd w:id="480"/>
      <w:bookmarkEnd w:id="481"/>
      <w:bookmarkEnd w:id="482"/>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auto"/>
          <w:sz w:val="24"/>
          <w:highlight w:val="none"/>
        </w:rPr>
      </w:pPr>
      <w:bookmarkStart w:id="483" w:name="_Toc786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8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auto"/>
          <w:sz w:val="24"/>
          <w:highlight w:val="none"/>
        </w:rPr>
      </w:pPr>
      <w:bookmarkStart w:id="484" w:name="_Toc17244"/>
      <w:bookmarkStart w:id="485" w:name="_Toc487900362"/>
      <w:bookmarkStart w:id="486" w:name="_Toc279701252"/>
      <w:bookmarkStart w:id="487" w:name="_Toc259093681"/>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484"/>
    </w:p>
    <w:p>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88"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485"/>
      <w:bookmarkEnd w:id="486"/>
      <w:bookmarkEnd w:id="487"/>
      <w:bookmarkEnd w:id="48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 w:hAnsi="仿宋" w:eastAsia="仿宋"/>
          <w:b/>
          <w:color w:val="auto"/>
          <w:sz w:val="24"/>
          <w:highlight w:val="none"/>
        </w:rPr>
      </w:pPr>
      <w:bookmarkStart w:id="489" w:name="_Toc7502"/>
      <w:bookmarkStart w:id="490" w:name="_Ref467378121"/>
      <w:bookmarkStart w:id="491" w:name="_Toc279701254"/>
      <w:bookmarkStart w:id="492" w:name="_Toc259093683"/>
      <w:bookmarkStart w:id="493" w:name="_Toc487900364"/>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489"/>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59093688"/>
      <w:bookmarkStart w:id="496" w:name="_Toc279701259"/>
    </w:p>
    <w:p>
      <w:pPr>
        <w:spacing w:line="360" w:lineRule="auto"/>
        <w:ind w:firstLine="482" w:firstLineChars="200"/>
        <w:outlineLvl w:val="0"/>
        <w:rPr>
          <w:rFonts w:ascii="仿宋" w:hAnsi="仿宋" w:eastAsia="仿宋"/>
          <w:b/>
          <w:color w:val="auto"/>
          <w:sz w:val="24"/>
          <w:highlight w:val="none"/>
        </w:rPr>
      </w:pPr>
      <w:bookmarkStart w:id="497" w:name="_Toc22955"/>
      <w:bookmarkStart w:id="498" w:name="_Toc10366"/>
      <w:bookmarkStart w:id="499" w:name="_Toc15237"/>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494"/>
      <w:bookmarkEnd w:id="495"/>
      <w:bookmarkEnd w:id="496"/>
      <w:r>
        <w:rPr>
          <w:rFonts w:hint="eastAsia" w:ascii="仿宋" w:hAnsi="仿宋" w:eastAsia="仿宋"/>
          <w:b/>
          <w:color w:val="auto"/>
          <w:sz w:val="24"/>
          <w:highlight w:val="none"/>
        </w:rPr>
        <w:t>和分包</w:t>
      </w:r>
      <w:bookmarkEnd w:id="497"/>
      <w:bookmarkEnd w:id="498"/>
      <w:bookmarkEnd w:id="499"/>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pacing w:line="360" w:lineRule="auto"/>
        <w:ind w:firstLine="482" w:firstLineChars="200"/>
        <w:outlineLvl w:val="0"/>
        <w:rPr>
          <w:rFonts w:ascii="仿宋" w:hAnsi="仿宋" w:eastAsia="仿宋"/>
          <w:b/>
          <w:color w:val="auto"/>
          <w:sz w:val="24"/>
          <w:highlight w:val="none"/>
        </w:rPr>
      </w:pPr>
      <w:bookmarkStart w:id="500" w:name="_Toc14066"/>
      <w:bookmarkStart w:id="501" w:name="_Toc13566"/>
      <w:bookmarkStart w:id="502" w:name="_Toc16508"/>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500"/>
      <w:bookmarkEnd w:id="501"/>
      <w:bookmarkEnd w:id="502"/>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360" w:lineRule="auto"/>
        <w:ind w:firstLine="482" w:firstLineChars="200"/>
        <w:outlineLvl w:val="0"/>
        <w:rPr>
          <w:rFonts w:ascii="仿宋" w:hAnsi="仿宋" w:eastAsia="仿宋"/>
          <w:b/>
          <w:color w:val="auto"/>
          <w:sz w:val="24"/>
          <w:highlight w:val="none"/>
        </w:rPr>
      </w:pPr>
      <w:bookmarkStart w:id="503" w:name="_Toc259093684"/>
      <w:bookmarkStart w:id="504" w:name="_Toc279701255"/>
      <w:bookmarkStart w:id="505" w:name="_Toc689"/>
      <w:bookmarkStart w:id="506" w:name="_Toc487900365"/>
      <w:bookmarkStart w:id="507" w:name="_Toc30676"/>
      <w:bookmarkStart w:id="508" w:name="_Toc6969"/>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503"/>
      <w:bookmarkEnd w:id="504"/>
      <w:bookmarkEnd w:id="505"/>
      <w:bookmarkEnd w:id="506"/>
      <w:bookmarkEnd w:id="507"/>
      <w:bookmarkEnd w:id="50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360" w:lineRule="auto"/>
        <w:ind w:firstLine="482" w:firstLineChars="200"/>
        <w:outlineLvl w:val="0"/>
        <w:rPr>
          <w:rFonts w:ascii="仿宋" w:hAnsi="仿宋" w:eastAsia="仿宋"/>
          <w:b/>
          <w:color w:val="auto"/>
          <w:sz w:val="24"/>
          <w:highlight w:val="none"/>
        </w:rPr>
      </w:pPr>
      <w:bookmarkStart w:id="509" w:name="_Toc259093687"/>
      <w:bookmarkStart w:id="510" w:name="_Toc487900368"/>
      <w:bookmarkStart w:id="511" w:name="_Toc7102"/>
      <w:bookmarkStart w:id="512" w:name="_Toc279701258"/>
      <w:bookmarkStart w:id="513" w:name="_Toc8298"/>
      <w:bookmarkStart w:id="514" w:name="_Toc16959"/>
      <w:r>
        <w:rPr>
          <w:rFonts w:ascii="仿宋" w:hAnsi="仿宋" w:eastAsia="仿宋"/>
          <w:b/>
          <w:color w:val="auto"/>
          <w:sz w:val="24"/>
          <w:highlight w:val="none"/>
        </w:rPr>
        <w:t>2.14乙方破产</w:t>
      </w:r>
      <w:bookmarkEnd w:id="509"/>
      <w:bookmarkEnd w:id="510"/>
      <w:bookmarkEnd w:id="511"/>
      <w:bookmarkEnd w:id="512"/>
      <w:bookmarkEnd w:id="513"/>
      <w:bookmarkEnd w:id="514"/>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b/>
          <w:color w:val="auto"/>
          <w:sz w:val="24"/>
          <w:highlight w:val="none"/>
        </w:rPr>
      </w:pPr>
      <w:bookmarkStart w:id="515" w:name="_Toc6134"/>
      <w:bookmarkStart w:id="516" w:name="_Toc15387"/>
      <w:bookmarkStart w:id="517" w:name="_Toc29333"/>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515"/>
      <w:bookmarkEnd w:id="516"/>
      <w:bookmarkEnd w:id="517"/>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518" w:name="_Toc6596"/>
      <w:bookmarkStart w:id="519" w:name="_Toc1125"/>
      <w:bookmarkStart w:id="520" w:name="_Toc14563"/>
      <w:r>
        <w:rPr>
          <w:rFonts w:ascii="仿宋" w:hAnsi="仿宋" w:eastAsia="仿宋"/>
          <w:b/>
          <w:color w:val="auto"/>
          <w:sz w:val="24"/>
          <w:highlight w:val="none"/>
        </w:rPr>
        <w:t>2.16检验和验收</w:t>
      </w:r>
      <w:bookmarkEnd w:id="518"/>
      <w:bookmarkEnd w:id="519"/>
      <w:bookmarkEnd w:id="520"/>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bookmarkEnd w:id="490"/>
      <w:bookmarkEnd w:id="491"/>
      <w:bookmarkEnd w:id="492"/>
      <w:bookmarkEnd w:id="493"/>
    </w:p>
    <w:p>
      <w:pPr>
        <w:spacing w:line="360" w:lineRule="auto"/>
        <w:ind w:firstLine="482" w:firstLineChars="200"/>
        <w:outlineLvl w:val="0"/>
        <w:rPr>
          <w:rFonts w:ascii="仿宋" w:hAnsi="仿宋" w:eastAsia="仿宋"/>
          <w:b/>
          <w:color w:val="auto"/>
          <w:sz w:val="24"/>
          <w:highlight w:val="none"/>
        </w:rPr>
      </w:pPr>
      <w:bookmarkStart w:id="521" w:name="_Toc487900371"/>
      <w:bookmarkStart w:id="522" w:name="_Toc259093690"/>
      <w:bookmarkStart w:id="523" w:name="_Toc279701261"/>
      <w:bookmarkStart w:id="524" w:name="_Toc19604"/>
      <w:bookmarkStart w:id="525" w:name="_Toc11284"/>
      <w:bookmarkStart w:id="526" w:name="_Toc25182"/>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521"/>
      <w:bookmarkEnd w:id="522"/>
      <w:bookmarkEnd w:id="523"/>
      <w:r>
        <w:rPr>
          <w:rFonts w:hint="eastAsia" w:ascii="仿宋" w:hAnsi="仿宋" w:eastAsia="仿宋"/>
          <w:b/>
          <w:color w:val="auto"/>
          <w:sz w:val="24"/>
          <w:highlight w:val="none"/>
        </w:rPr>
        <w:t>和送达</w:t>
      </w:r>
      <w:bookmarkEnd w:id="524"/>
      <w:bookmarkEnd w:id="525"/>
      <w:bookmarkEnd w:id="526"/>
    </w:p>
    <w:p>
      <w:pPr>
        <w:spacing w:line="360" w:lineRule="auto"/>
        <w:ind w:firstLine="480" w:firstLineChars="200"/>
        <w:rPr>
          <w:rFonts w:ascii="仿宋" w:hAnsi="仿宋" w:eastAsia="仿宋"/>
          <w:color w:val="auto"/>
          <w:sz w:val="24"/>
          <w:highlight w:val="none"/>
        </w:rPr>
      </w:pPr>
      <w:bookmarkStart w:id="527" w:name="_Toc3135"/>
      <w:bookmarkStart w:id="528" w:name="_Toc6698"/>
      <w:bookmarkStart w:id="529" w:name="_Toc259093691"/>
      <w:bookmarkStart w:id="530" w:name="_Toc487900372"/>
      <w:bookmarkStart w:id="531" w:name="_Toc279701262"/>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27"/>
      <w:bookmarkEnd w:id="528"/>
    </w:p>
    <w:p>
      <w:pPr>
        <w:spacing w:line="360" w:lineRule="auto"/>
        <w:ind w:firstLine="480" w:firstLineChars="200"/>
        <w:rPr>
          <w:rFonts w:ascii="仿宋" w:hAnsi="仿宋" w:eastAsia="仿宋"/>
          <w:color w:val="auto"/>
          <w:sz w:val="24"/>
          <w:highlight w:val="none"/>
        </w:rPr>
      </w:pPr>
      <w:bookmarkStart w:id="532" w:name="_Toc23294"/>
      <w:bookmarkStart w:id="533" w:name="_Toc23128"/>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32"/>
      <w:bookmarkEnd w:id="533"/>
    </w:p>
    <w:p>
      <w:pPr>
        <w:spacing w:line="360" w:lineRule="auto"/>
        <w:ind w:firstLine="482" w:firstLineChars="200"/>
        <w:outlineLvl w:val="0"/>
        <w:rPr>
          <w:rFonts w:ascii="仿宋" w:hAnsi="仿宋" w:eastAsia="仿宋"/>
          <w:b/>
          <w:color w:val="auto"/>
          <w:sz w:val="24"/>
          <w:highlight w:val="none"/>
        </w:rPr>
      </w:pPr>
      <w:bookmarkStart w:id="534" w:name="_Toc30599"/>
      <w:bookmarkStart w:id="535" w:name="_Toc18540"/>
      <w:bookmarkStart w:id="536" w:name="_Toc4355"/>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529"/>
      <w:bookmarkEnd w:id="530"/>
      <w:bookmarkEnd w:id="531"/>
      <w:bookmarkEnd w:id="534"/>
      <w:bookmarkEnd w:id="535"/>
      <w:bookmarkEnd w:id="536"/>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pacing w:line="360" w:lineRule="auto"/>
        <w:ind w:firstLine="482" w:firstLineChars="200"/>
        <w:outlineLvl w:val="0"/>
        <w:rPr>
          <w:rFonts w:ascii="仿宋" w:hAnsi="仿宋" w:eastAsia="仿宋"/>
          <w:b/>
          <w:color w:val="auto"/>
          <w:sz w:val="24"/>
          <w:highlight w:val="none"/>
        </w:rPr>
      </w:pPr>
      <w:bookmarkStart w:id="537" w:name="_Toc12773"/>
      <w:bookmarkStart w:id="538" w:name="_Toc10330"/>
      <w:bookmarkStart w:id="539" w:name="_Toc279701263"/>
      <w:bookmarkStart w:id="540" w:name="_Toc487900373"/>
      <w:bookmarkStart w:id="541" w:name="_Toc259093692"/>
      <w:bookmarkStart w:id="542" w:name="_Toc18567"/>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537"/>
      <w:bookmarkEnd w:id="538"/>
      <w:bookmarkEnd w:id="539"/>
      <w:bookmarkEnd w:id="540"/>
      <w:bookmarkEnd w:id="541"/>
      <w:bookmarkEnd w:id="542"/>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pacing w:line="360" w:lineRule="auto"/>
        <w:ind w:firstLine="482" w:firstLineChars="200"/>
        <w:outlineLvl w:val="0"/>
        <w:rPr>
          <w:rFonts w:ascii="仿宋" w:hAnsi="仿宋" w:eastAsia="仿宋"/>
          <w:b/>
          <w:color w:val="auto"/>
          <w:sz w:val="24"/>
          <w:highlight w:val="none"/>
        </w:rPr>
      </w:pPr>
      <w:bookmarkStart w:id="543" w:name="_Toc259093693"/>
      <w:bookmarkStart w:id="544" w:name="_Toc16673"/>
      <w:bookmarkStart w:id="545" w:name="_Toc279701264"/>
      <w:bookmarkStart w:id="546" w:name="_Toc3148"/>
      <w:bookmarkStart w:id="547" w:name="_Toc12004"/>
      <w:bookmarkStart w:id="548"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543"/>
      <w:bookmarkEnd w:id="544"/>
      <w:bookmarkEnd w:id="545"/>
      <w:bookmarkEnd w:id="546"/>
      <w:bookmarkEnd w:id="547"/>
    </w:p>
    <w:p>
      <w:pPr>
        <w:pStyle w:val="957"/>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约定的方式，以支票、汇票、本票或者金融机构、担保机构出具的保函等非现金形式，提交不超过合同金额2.</w:t>
      </w:r>
      <w:r>
        <w:rPr>
          <w:rFonts w:ascii="仿宋" w:hAnsi="仿宋" w:eastAsia="仿宋"/>
          <w:color w:val="auto"/>
          <w:highlight w:val="none"/>
        </w:rPr>
        <w:t>5%的履约保证金；鼓励和支持乙方以银行、保险公司出具的保函形式提供履约保证。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2.20.2  </w:t>
      </w:r>
      <w:r>
        <w:rPr>
          <w:rFonts w:hint="eastAsia" w:ascii="仿宋" w:hAnsi="仿宋" w:eastAsia="仿宋"/>
          <w:color w:val="auto"/>
          <w:sz w:val="24"/>
          <w:highlight w:val="none"/>
        </w:rPr>
        <w:t>履约保证金在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rPr>
        <w:t>2.</w:t>
      </w:r>
      <w:r>
        <w:rPr>
          <w:rFonts w:ascii="仿宋" w:hAnsi="仿宋" w:eastAsia="仿宋"/>
          <w:color w:val="auto"/>
          <w:sz w:val="24"/>
          <w:highlight w:val="none"/>
        </w:rPr>
        <w:t>5%。</w:t>
      </w:r>
    </w:p>
    <w:p>
      <w:pPr>
        <w:spacing w:line="360" w:lineRule="auto"/>
        <w:ind w:firstLine="480" w:firstLineChars="200"/>
        <w:rPr>
          <w:color w:val="auto"/>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bookmarkEnd w:id="548"/>
    </w:p>
    <w:p>
      <w:pPr>
        <w:spacing w:line="360" w:lineRule="auto"/>
        <w:ind w:firstLine="482" w:firstLineChars="200"/>
        <w:outlineLvl w:val="0"/>
        <w:rPr>
          <w:rFonts w:ascii="仿宋" w:hAnsi="仿宋" w:eastAsia="仿宋"/>
          <w:b/>
          <w:color w:val="auto"/>
          <w:sz w:val="24"/>
          <w:highlight w:val="none"/>
        </w:rPr>
      </w:pPr>
      <w:bookmarkStart w:id="549" w:name="_Toc6885"/>
      <w:bookmarkStart w:id="550" w:name="_Toc14001"/>
      <w:bookmarkStart w:id="551" w:name="_Toc19890"/>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549"/>
      <w:bookmarkEnd w:id="550"/>
      <w:bookmarkEnd w:id="551"/>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699"/>
        <w:spacing w:line="560" w:lineRule="exact"/>
        <w:jc w:val="center"/>
        <w:rPr>
          <w:rFonts w:ascii="仿宋" w:hAnsi="仿宋" w:eastAsia="仿宋"/>
          <w:b/>
          <w:color w:val="auto"/>
          <w:szCs w:val="24"/>
          <w:highlight w:val="none"/>
        </w:rPr>
      </w:pPr>
      <w:r>
        <w:rPr>
          <w:rFonts w:ascii="仿宋" w:hAnsi="仿宋" w:eastAsia="仿宋" w:cstheme="minorBidi"/>
          <w:color w:val="auto"/>
          <w:kern w:val="0"/>
          <w:szCs w:val="24"/>
          <w:highlight w:val="none"/>
        </w:rPr>
        <w:br w:type="page"/>
      </w:r>
      <w:bookmarkStart w:id="552" w:name="_Toc331685784"/>
      <w:r>
        <w:rPr>
          <w:rFonts w:hint="eastAsia" w:ascii="仿宋" w:hAnsi="仿宋" w:eastAsia="仿宋"/>
          <w:b/>
          <w:color w:val="auto"/>
          <w:szCs w:val="24"/>
          <w:highlight w:val="none"/>
        </w:rPr>
        <w:t xml:space="preserve"> </w:t>
      </w:r>
      <w:bookmarkEnd w:id="552"/>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420" w:lineRule="exact"/>
              <w:rPr>
                <w:color w:val="auto"/>
                <w:highlight w:val="none"/>
              </w:rPr>
            </w:pPr>
            <w:r>
              <w:rPr>
                <w:rFonts w:hint="eastAsia" w:ascii="仿宋" w:hAnsi="仿宋" w:eastAsia="仿宋" w:cs="仿宋"/>
                <w:color w:val="auto"/>
                <w:sz w:val="24"/>
                <w:highlight w:val="none"/>
              </w:rPr>
              <w:t>合同签订后7个工作日内，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支付合同总价的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0%作为预付款，所有采购品目安装到位经验收合格后</w:t>
            </w:r>
            <w:r>
              <w:rPr>
                <w:rFonts w:hint="eastAsia" w:ascii="仿宋" w:hAnsi="仿宋" w:eastAsia="仿宋" w:cs="仿宋"/>
                <w:color w:val="auto"/>
                <w:sz w:val="24"/>
                <w:highlight w:val="none"/>
                <w:lang w:val="en-US" w:eastAsia="zh-CN"/>
              </w:rPr>
              <w:t>，自收到发票后5个工作日内</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支付剩余货款，同时</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color w:val="auto"/>
                <w:sz w:val="24"/>
                <w:highlight w:val="none"/>
              </w:rPr>
              <w:t>工期时间（包括进货、到货、安装、调试等）为合同签订后</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个日历天完成供货、安装、调试工作，具体进度以甲方通知为准。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交付地点：甲方指定地点</w:t>
            </w:r>
            <w:r>
              <w:rPr>
                <w:rFonts w:hint="eastAsia" w:ascii="仿宋" w:hAnsi="仿宋" w:eastAsia="仿宋" w:cs="仿宋"/>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接到甲方发货通知后，3个自然日内将装运货物运送到现场。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货物交付前，乙方应对货物的质量、数量等方面进行详细、全面的检验，并向甲方出具证明货物符合合同约定的文件；货物交付时，乙方在15日内组织验收，并可依法邀请相关方参加，验收应出具验收书。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要求乙方提交履约保证金的，乙方应提交合同价2.5%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履约保证金在未履行完合同约定之前不予退还。乙方在前述约定期间届满前能履行完合同约定义务事项的，甲方在前述约定期间届满之日起5个工作日内，将履约保证金无息退还乙方。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w:t>
            </w: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rPr>
          <w:rFonts w:ascii="仿宋" w:hAnsi="仿宋" w:eastAsia="仿宋"/>
          <w:color w:val="auto"/>
          <w:sz w:val="24"/>
          <w:highlight w:val="none"/>
        </w:rPr>
      </w:pPr>
      <w:r>
        <w:rPr>
          <w:rFonts w:ascii="仿宋" w:hAnsi="仿宋" w:eastAsia="仿宋"/>
          <w:color w:val="auto"/>
          <w:sz w:val="24"/>
          <w:highlight w:val="none"/>
        </w:rPr>
        <w:br w:type="page"/>
      </w:r>
    </w:p>
    <w:p>
      <w:pPr>
        <w:pStyle w:val="45"/>
        <w:rPr>
          <w:color w:val="auto"/>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（1）符合参加政府采购活动应当具备的一般条件的承诺函……………（页码）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（2）落实政府采购政策需满足的资格要求（如果有）…………………（页码）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（3）本项目的特定资格要求（如果有）…………………………………（页码）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（1）投标函………………………………………………………………………（页码）</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（3）联合协议（如果有）………………………………………………………（页码）</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（4）分包意向协议（如果有）…………………………………………………（页码）</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（5）符合性审查资料……………………………………………………………（页码）</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（6）评标标准相应的商务技术资料……………………………………………（页码）</w:t>
      </w:r>
    </w:p>
    <w:p>
      <w:pPr>
        <w:snapToGrid w:val="0"/>
        <w:spacing w:line="360" w:lineRule="auto"/>
        <w:ind w:left="479" w:leftChars="2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ascii="仿宋_GB2312" w:hAnsi="仿宋" w:eastAsia="仿宋_GB2312" w:cs="仿宋_GB2312"/>
          <w:color w:val="auto"/>
          <w:sz w:val="24"/>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（未要求的，无需提供）；</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（未要求的，无需提供）。</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（以联合体形式投标的，提供联合协议；本项目不接受联合体投标或者投标人不以联合体形式投标的，则不需要提供）；</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（中标后以分包方式履行合同的，提供分包意向协议；采购人不同意分包或者投标人中标后不以分包方式履行合同的，则不需要提供）；</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w:t>
      </w:r>
      <w:r>
        <w:rPr>
          <w:rFonts w:hint="eastAsia" w:ascii="仿宋_GB2312" w:hAnsi="仿宋" w:eastAsia="仿宋_GB2312" w:cs="仿宋_GB2312"/>
          <w:color w:val="auto"/>
          <w:sz w:val="24"/>
          <w:highlight w:val="none"/>
        </w:rPr>
        <w:t>投标报价明细表</w:t>
      </w:r>
      <w:r>
        <w:rPr>
          <w:rFonts w:ascii="仿宋_GB2312" w:hAnsi="仿宋" w:eastAsia="仿宋_GB2312" w:cs="仿宋_GB2312"/>
          <w:color w:val="auto"/>
          <w:sz w:val="24"/>
          <w:highlight w:val="none"/>
        </w:rPr>
        <w:t>；</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pStyle w:val="26"/>
        <w:rPr>
          <w:color w:val="auto"/>
          <w:highlight w:val="none"/>
        </w:rPr>
      </w:pPr>
      <w:r>
        <w:rPr>
          <w:rFonts w:hint="eastAsia" w:ascii="仿宋_GB2312" w:hAnsi="仿宋" w:eastAsia="仿宋_GB2312" w:cs="仿宋_GB2312"/>
          <w:color w:val="auto"/>
          <w:highlight w:val="none"/>
          <w:lang w:val="en-US"/>
        </w:rPr>
        <w:t>注：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（1）投标报价明细表………………………………………………………（页码）</w:t>
      </w:r>
    </w:p>
    <w:p>
      <w:pPr>
        <w:snapToGrid w:val="0"/>
        <w:spacing w:line="360" w:lineRule="auto"/>
        <w:ind w:right="48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（2）中小企业声明函（如果有）…………………………………………（页码）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一、投标报价明细表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按你方招标文件要求，我们，本投标文件签字方，谨此向你方发出要约如下：如你方接受本投标，我方承诺按照如下投标报价明细表的价格完成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投标报价明细表</w:t>
      </w:r>
      <w:r>
        <w:rPr>
          <w:rFonts w:ascii="仿宋_GB2312" w:hAnsi="仿宋" w:eastAsia="仿宋_GB2312" w:cs="仿宋_GB2312"/>
          <w:b/>
          <w:color w:val="auto"/>
          <w:kern w:val="0"/>
          <w:sz w:val="24"/>
          <w:highlight w:val="none"/>
          <w:lang w:val="zh-CN"/>
        </w:rPr>
        <w:t>(单位均为人民币元)</w:t>
      </w:r>
    </w:p>
    <w:tbl>
      <w:tblPr>
        <w:tblStyle w:val="62"/>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82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233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2562"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w:t>
            </w:r>
          </w:p>
        </w:tc>
        <w:tc>
          <w:tcPr>
            <w:tcW w:w="825"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230"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080"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1515" w:type="dxa"/>
            <w:vAlign w:val="center"/>
          </w:tcPr>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911" w:type="dxa"/>
            <w:gridSpan w:val="8"/>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（注：填写学校名称）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27" w:type="dxa"/>
            <w:vAlign w:val="center"/>
          </w:tcPr>
          <w:p>
            <w:pPr>
              <w:snapToGrid w:val="0"/>
              <w:spacing w:line="360" w:lineRule="auto"/>
              <w:jc w:val="center"/>
              <w:rPr>
                <w:rFonts w:ascii="仿宋_GB2312" w:hAnsi="仿宋" w:eastAsia="仿宋_GB2312" w:cs="仿宋_GB2312"/>
                <w:color w:val="auto"/>
                <w:sz w:val="24"/>
                <w:highlight w:val="none"/>
              </w:rPr>
            </w:pPr>
          </w:p>
        </w:tc>
        <w:tc>
          <w:tcPr>
            <w:tcW w:w="2338" w:type="dxa"/>
            <w:vAlign w:val="center"/>
          </w:tcPr>
          <w:p>
            <w:pPr>
              <w:snapToGrid w:val="0"/>
              <w:spacing w:line="360" w:lineRule="auto"/>
              <w:jc w:val="center"/>
              <w:rPr>
                <w:rFonts w:ascii="仿宋_GB2312" w:hAnsi="仿宋" w:eastAsia="仿宋_GB2312" w:cs="仿宋_GB2312"/>
                <w:color w:val="auto"/>
                <w:sz w:val="24"/>
                <w:highlight w:val="none"/>
              </w:rPr>
            </w:pPr>
          </w:p>
        </w:tc>
        <w:tc>
          <w:tcPr>
            <w:tcW w:w="2562" w:type="dxa"/>
            <w:vAlign w:val="center"/>
          </w:tcPr>
          <w:p>
            <w:pPr>
              <w:snapToGrid w:val="0"/>
              <w:spacing w:line="360" w:lineRule="auto"/>
              <w:jc w:val="center"/>
              <w:rPr>
                <w:rFonts w:ascii="仿宋_GB2312" w:hAnsi="仿宋" w:eastAsia="仿宋_GB2312" w:cs="仿宋_GB2312"/>
                <w:color w:val="auto"/>
                <w:sz w:val="24"/>
                <w:highlight w:val="none"/>
              </w:rPr>
            </w:pPr>
          </w:p>
        </w:tc>
        <w:tc>
          <w:tcPr>
            <w:tcW w:w="825" w:type="dxa"/>
            <w:vAlign w:val="center"/>
          </w:tcPr>
          <w:p>
            <w:pPr>
              <w:snapToGrid w:val="0"/>
              <w:spacing w:line="360" w:lineRule="auto"/>
              <w:jc w:val="center"/>
              <w:rPr>
                <w:rFonts w:ascii="仿宋_GB2312" w:hAnsi="仿宋" w:eastAsia="仿宋_GB2312" w:cs="仿宋_GB2312"/>
                <w:color w:val="auto"/>
                <w:sz w:val="24"/>
                <w:highlight w:val="none"/>
              </w:rPr>
            </w:pPr>
          </w:p>
        </w:tc>
        <w:tc>
          <w:tcPr>
            <w:tcW w:w="1230" w:type="dxa"/>
            <w:vAlign w:val="center"/>
          </w:tcPr>
          <w:p>
            <w:pPr>
              <w:spacing w:line="360" w:lineRule="auto"/>
              <w:jc w:val="center"/>
              <w:rPr>
                <w:rFonts w:ascii="仿宋_GB2312" w:hAnsi="仿宋" w:eastAsia="仿宋_GB2312" w:cs="仿宋_GB2312"/>
                <w:color w:val="auto"/>
                <w:sz w:val="24"/>
                <w:highlight w:val="none"/>
              </w:rPr>
            </w:pPr>
          </w:p>
        </w:tc>
        <w:tc>
          <w:tcPr>
            <w:tcW w:w="1080" w:type="dxa"/>
            <w:vAlign w:val="center"/>
          </w:tcPr>
          <w:p>
            <w:pPr>
              <w:spacing w:line="360" w:lineRule="auto"/>
              <w:jc w:val="center"/>
              <w:rPr>
                <w:rFonts w:ascii="仿宋_GB2312" w:hAnsi="仿宋" w:eastAsia="仿宋_GB2312" w:cs="仿宋_GB2312"/>
                <w:color w:val="auto"/>
                <w:sz w:val="24"/>
                <w:highlight w:val="none"/>
              </w:rPr>
            </w:pPr>
          </w:p>
        </w:tc>
        <w:tc>
          <w:tcPr>
            <w:tcW w:w="1515"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27" w:type="dxa"/>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eastAsia="仿宋_GB2312"/>
                <w:color w:val="auto"/>
                <w:sz w:val="24"/>
                <w:highlight w:val="none"/>
              </w:rPr>
              <w:t>……</w:t>
            </w:r>
          </w:p>
        </w:tc>
        <w:tc>
          <w:tcPr>
            <w:tcW w:w="2338" w:type="dxa"/>
            <w:vAlign w:val="center"/>
          </w:tcPr>
          <w:p>
            <w:pPr>
              <w:snapToGrid w:val="0"/>
              <w:spacing w:line="360" w:lineRule="auto"/>
              <w:jc w:val="center"/>
              <w:rPr>
                <w:rFonts w:ascii="仿宋_GB2312" w:hAnsi="仿宋" w:eastAsia="仿宋_GB2312" w:cs="仿宋_GB2312"/>
                <w:color w:val="auto"/>
                <w:sz w:val="24"/>
                <w:highlight w:val="none"/>
              </w:rPr>
            </w:pPr>
          </w:p>
        </w:tc>
        <w:tc>
          <w:tcPr>
            <w:tcW w:w="2562" w:type="dxa"/>
            <w:vAlign w:val="center"/>
          </w:tcPr>
          <w:p>
            <w:pPr>
              <w:snapToGrid w:val="0"/>
              <w:spacing w:line="360" w:lineRule="auto"/>
              <w:jc w:val="center"/>
              <w:rPr>
                <w:rFonts w:ascii="仿宋_GB2312" w:hAnsi="仿宋" w:eastAsia="仿宋_GB2312" w:cs="仿宋_GB2312"/>
                <w:color w:val="auto"/>
                <w:sz w:val="24"/>
                <w:highlight w:val="none"/>
              </w:rPr>
            </w:pPr>
          </w:p>
        </w:tc>
        <w:tc>
          <w:tcPr>
            <w:tcW w:w="825" w:type="dxa"/>
            <w:vAlign w:val="center"/>
          </w:tcPr>
          <w:p>
            <w:pPr>
              <w:snapToGrid w:val="0"/>
              <w:spacing w:line="360" w:lineRule="auto"/>
              <w:jc w:val="center"/>
              <w:rPr>
                <w:rFonts w:ascii="仿宋_GB2312" w:hAnsi="仿宋" w:eastAsia="仿宋_GB2312" w:cs="仿宋_GB2312"/>
                <w:color w:val="auto"/>
                <w:sz w:val="24"/>
                <w:highlight w:val="none"/>
              </w:rPr>
            </w:pPr>
          </w:p>
        </w:tc>
        <w:tc>
          <w:tcPr>
            <w:tcW w:w="1230" w:type="dxa"/>
            <w:vAlign w:val="center"/>
          </w:tcPr>
          <w:p>
            <w:pPr>
              <w:spacing w:line="360" w:lineRule="auto"/>
              <w:jc w:val="center"/>
              <w:rPr>
                <w:rFonts w:ascii="仿宋_GB2312" w:hAnsi="仿宋" w:eastAsia="仿宋_GB2312" w:cs="仿宋_GB2312"/>
                <w:color w:val="auto"/>
                <w:sz w:val="24"/>
                <w:highlight w:val="none"/>
              </w:rPr>
            </w:pPr>
          </w:p>
        </w:tc>
        <w:tc>
          <w:tcPr>
            <w:tcW w:w="1080" w:type="dxa"/>
            <w:vAlign w:val="center"/>
          </w:tcPr>
          <w:p>
            <w:pPr>
              <w:spacing w:line="360" w:lineRule="auto"/>
              <w:jc w:val="center"/>
              <w:rPr>
                <w:rFonts w:ascii="仿宋_GB2312" w:hAnsi="仿宋" w:eastAsia="仿宋_GB2312" w:cs="仿宋_GB2312"/>
                <w:color w:val="auto"/>
                <w:sz w:val="24"/>
                <w:highlight w:val="none"/>
              </w:rPr>
            </w:pPr>
          </w:p>
        </w:tc>
        <w:tc>
          <w:tcPr>
            <w:tcW w:w="1515"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99" w:type="dxa"/>
            <w:gridSpan w:val="3"/>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投标报价小计：</w:t>
            </w:r>
          </w:p>
        </w:tc>
        <w:tc>
          <w:tcPr>
            <w:tcW w:w="7212" w:type="dxa"/>
            <w:gridSpan w:val="5"/>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11" w:type="dxa"/>
            <w:gridSpan w:val="8"/>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（注：填写学校名称）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27" w:type="dxa"/>
            <w:vAlign w:val="center"/>
          </w:tcPr>
          <w:p>
            <w:pPr>
              <w:snapToGrid w:val="0"/>
              <w:spacing w:line="360" w:lineRule="auto"/>
              <w:jc w:val="center"/>
              <w:rPr>
                <w:rFonts w:ascii="仿宋_GB2312" w:eastAsia="仿宋_GB2312"/>
                <w:color w:val="auto"/>
                <w:sz w:val="24"/>
                <w:highlight w:val="none"/>
              </w:rPr>
            </w:pPr>
          </w:p>
        </w:tc>
        <w:tc>
          <w:tcPr>
            <w:tcW w:w="2338" w:type="dxa"/>
            <w:vAlign w:val="center"/>
          </w:tcPr>
          <w:p>
            <w:pPr>
              <w:snapToGrid w:val="0"/>
              <w:spacing w:line="360" w:lineRule="auto"/>
              <w:jc w:val="center"/>
              <w:rPr>
                <w:rFonts w:ascii="仿宋_GB2312" w:hAnsi="仿宋" w:eastAsia="仿宋_GB2312" w:cs="仿宋_GB2312"/>
                <w:color w:val="auto"/>
                <w:sz w:val="24"/>
                <w:highlight w:val="none"/>
              </w:rPr>
            </w:pPr>
          </w:p>
        </w:tc>
        <w:tc>
          <w:tcPr>
            <w:tcW w:w="2562" w:type="dxa"/>
            <w:vAlign w:val="center"/>
          </w:tcPr>
          <w:p>
            <w:pPr>
              <w:snapToGrid w:val="0"/>
              <w:spacing w:line="360" w:lineRule="auto"/>
              <w:jc w:val="center"/>
              <w:rPr>
                <w:rFonts w:ascii="仿宋_GB2312" w:hAnsi="仿宋" w:eastAsia="仿宋_GB2312" w:cs="仿宋_GB2312"/>
                <w:color w:val="auto"/>
                <w:sz w:val="24"/>
                <w:highlight w:val="none"/>
              </w:rPr>
            </w:pPr>
          </w:p>
        </w:tc>
        <w:tc>
          <w:tcPr>
            <w:tcW w:w="825" w:type="dxa"/>
            <w:vAlign w:val="center"/>
          </w:tcPr>
          <w:p>
            <w:pPr>
              <w:snapToGrid w:val="0"/>
              <w:spacing w:line="360" w:lineRule="auto"/>
              <w:jc w:val="center"/>
              <w:rPr>
                <w:rFonts w:ascii="仿宋_GB2312" w:hAnsi="仿宋" w:eastAsia="仿宋_GB2312" w:cs="仿宋_GB2312"/>
                <w:color w:val="auto"/>
                <w:sz w:val="24"/>
                <w:highlight w:val="none"/>
              </w:rPr>
            </w:pPr>
          </w:p>
        </w:tc>
        <w:tc>
          <w:tcPr>
            <w:tcW w:w="1230" w:type="dxa"/>
            <w:vAlign w:val="center"/>
          </w:tcPr>
          <w:p>
            <w:pPr>
              <w:spacing w:line="360" w:lineRule="auto"/>
              <w:jc w:val="center"/>
              <w:rPr>
                <w:rFonts w:ascii="仿宋_GB2312" w:hAnsi="仿宋" w:eastAsia="仿宋_GB2312" w:cs="仿宋_GB2312"/>
                <w:color w:val="auto"/>
                <w:sz w:val="24"/>
                <w:highlight w:val="none"/>
              </w:rPr>
            </w:pPr>
          </w:p>
        </w:tc>
        <w:tc>
          <w:tcPr>
            <w:tcW w:w="1080" w:type="dxa"/>
            <w:vAlign w:val="center"/>
          </w:tcPr>
          <w:p>
            <w:pPr>
              <w:spacing w:line="360" w:lineRule="auto"/>
              <w:jc w:val="center"/>
              <w:rPr>
                <w:rFonts w:ascii="仿宋_GB2312" w:hAnsi="仿宋" w:eastAsia="仿宋_GB2312" w:cs="仿宋_GB2312"/>
                <w:color w:val="auto"/>
                <w:sz w:val="24"/>
                <w:highlight w:val="none"/>
              </w:rPr>
            </w:pPr>
          </w:p>
        </w:tc>
        <w:tc>
          <w:tcPr>
            <w:tcW w:w="1515"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27" w:type="dxa"/>
            <w:vAlign w:val="center"/>
          </w:tcPr>
          <w:p>
            <w:pPr>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w:t>
            </w:r>
          </w:p>
        </w:tc>
        <w:tc>
          <w:tcPr>
            <w:tcW w:w="2338" w:type="dxa"/>
            <w:vAlign w:val="center"/>
          </w:tcPr>
          <w:p>
            <w:pPr>
              <w:snapToGrid w:val="0"/>
              <w:spacing w:line="360" w:lineRule="auto"/>
              <w:jc w:val="center"/>
              <w:rPr>
                <w:rFonts w:ascii="仿宋_GB2312" w:hAnsi="仿宋" w:eastAsia="仿宋_GB2312" w:cs="仿宋_GB2312"/>
                <w:color w:val="auto"/>
                <w:sz w:val="24"/>
                <w:highlight w:val="none"/>
              </w:rPr>
            </w:pPr>
          </w:p>
        </w:tc>
        <w:tc>
          <w:tcPr>
            <w:tcW w:w="2562" w:type="dxa"/>
            <w:vAlign w:val="center"/>
          </w:tcPr>
          <w:p>
            <w:pPr>
              <w:snapToGrid w:val="0"/>
              <w:spacing w:line="360" w:lineRule="auto"/>
              <w:jc w:val="center"/>
              <w:rPr>
                <w:rFonts w:ascii="仿宋_GB2312" w:hAnsi="仿宋" w:eastAsia="仿宋_GB2312" w:cs="仿宋_GB2312"/>
                <w:color w:val="auto"/>
                <w:sz w:val="24"/>
                <w:highlight w:val="none"/>
              </w:rPr>
            </w:pPr>
          </w:p>
        </w:tc>
        <w:tc>
          <w:tcPr>
            <w:tcW w:w="825" w:type="dxa"/>
            <w:vAlign w:val="center"/>
          </w:tcPr>
          <w:p>
            <w:pPr>
              <w:snapToGrid w:val="0"/>
              <w:spacing w:line="360" w:lineRule="auto"/>
              <w:jc w:val="center"/>
              <w:rPr>
                <w:rFonts w:ascii="仿宋_GB2312" w:hAnsi="仿宋" w:eastAsia="仿宋_GB2312" w:cs="仿宋_GB2312"/>
                <w:color w:val="auto"/>
                <w:sz w:val="24"/>
                <w:highlight w:val="none"/>
              </w:rPr>
            </w:pPr>
          </w:p>
        </w:tc>
        <w:tc>
          <w:tcPr>
            <w:tcW w:w="1230" w:type="dxa"/>
            <w:vAlign w:val="center"/>
          </w:tcPr>
          <w:p>
            <w:pPr>
              <w:spacing w:line="360" w:lineRule="auto"/>
              <w:jc w:val="center"/>
              <w:rPr>
                <w:rFonts w:ascii="仿宋_GB2312" w:hAnsi="仿宋" w:eastAsia="仿宋_GB2312" w:cs="仿宋_GB2312"/>
                <w:color w:val="auto"/>
                <w:sz w:val="24"/>
                <w:highlight w:val="none"/>
              </w:rPr>
            </w:pPr>
          </w:p>
        </w:tc>
        <w:tc>
          <w:tcPr>
            <w:tcW w:w="1080" w:type="dxa"/>
            <w:vAlign w:val="center"/>
          </w:tcPr>
          <w:p>
            <w:pPr>
              <w:spacing w:line="360" w:lineRule="auto"/>
              <w:jc w:val="center"/>
              <w:rPr>
                <w:rFonts w:ascii="仿宋_GB2312" w:hAnsi="仿宋" w:eastAsia="仿宋_GB2312" w:cs="仿宋_GB2312"/>
                <w:color w:val="auto"/>
                <w:sz w:val="24"/>
                <w:highlight w:val="none"/>
              </w:rPr>
            </w:pPr>
          </w:p>
        </w:tc>
        <w:tc>
          <w:tcPr>
            <w:tcW w:w="1515"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99" w:type="dxa"/>
            <w:gridSpan w:val="3"/>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投标报价小计：</w:t>
            </w:r>
          </w:p>
        </w:tc>
        <w:tc>
          <w:tcPr>
            <w:tcW w:w="7212" w:type="dxa"/>
            <w:gridSpan w:val="5"/>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11" w:type="dxa"/>
            <w:gridSpan w:val="8"/>
            <w:vAlign w:val="center"/>
          </w:tcPr>
          <w:p>
            <w:pPr>
              <w:spacing w:line="360" w:lineRule="auto"/>
              <w:jc w:val="center"/>
              <w:rPr>
                <w:rFonts w:ascii="仿宋_GB2312" w:hAnsi="仿宋" w:eastAsia="仿宋_GB2312" w:cs="仿宋_GB2312"/>
                <w:color w:val="auto"/>
                <w:sz w:val="24"/>
                <w:highlight w:val="none"/>
              </w:rPr>
            </w:pPr>
            <w:r>
              <w:rPr>
                <w:rFonts w:hint="eastAsia" w:ascii="仿宋_GB2312"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27" w:type="dxa"/>
            <w:vAlign w:val="center"/>
          </w:tcPr>
          <w:p>
            <w:pPr>
              <w:snapToGrid w:val="0"/>
              <w:spacing w:line="360" w:lineRule="auto"/>
              <w:jc w:val="center"/>
              <w:rPr>
                <w:rFonts w:ascii="仿宋_GB2312" w:eastAsia="仿宋_GB2312"/>
                <w:color w:val="auto"/>
                <w:sz w:val="24"/>
                <w:highlight w:val="none"/>
              </w:rPr>
            </w:pPr>
          </w:p>
        </w:tc>
        <w:tc>
          <w:tcPr>
            <w:tcW w:w="2338" w:type="dxa"/>
            <w:vAlign w:val="center"/>
          </w:tcPr>
          <w:p>
            <w:pPr>
              <w:snapToGrid w:val="0"/>
              <w:spacing w:line="360" w:lineRule="auto"/>
              <w:jc w:val="center"/>
              <w:rPr>
                <w:rFonts w:ascii="仿宋_GB2312" w:hAnsi="仿宋" w:eastAsia="仿宋_GB2312" w:cs="仿宋_GB2312"/>
                <w:color w:val="auto"/>
                <w:sz w:val="24"/>
                <w:highlight w:val="none"/>
              </w:rPr>
            </w:pPr>
          </w:p>
        </w:tc>
        <w:tc>
          <w:tcPr>
            <w:tcW w:w="2562" w:type="dxa"/>
            <w:vAlign w:val="center"/>
          </w:tcPr>
          <w:p>
            <w:pPr>
              <w:snapToGrid w:val="0"/>
              <w:spacing w:line="360" w:lineRule="auto"/>
              <w:jc w:val="center"/>
              <w:rPr>
                <w:rFonts w:ascii="仿宋_GB2312" w:hAnsi="仿宋" w:eastAsia="仿宋_GB2312" w:cs="仿宋_GB2312"/>
                <w:color w:val="auto"/>
                <w:sz w:val="24"/>
                <w:highlight w:val="none"/>
              </w:rPr>
            </w:pPr>
          </w:p>
        </w:tc>
        <w:tc>
          <w:tcPr>
            <w:tcW w:w="825" w:type="dxa"/>
            <w:vAlign w:val="center"/>
          </w:tcPr>
          <w:p>
            <w:pPr>
              <w:snapToGrid w:val="0"/>
              <w:spacing w:line="360" w:lineRule="auto"/>
              <w:jc w:val="center"/>
              <w:rPr>
                <w:rFonts w:ascii="仿宋_GB2312" w:hAnsi="仿宋" w:eastAsia="仿宋_GB2312" w:cs="仿宋_GB2312"/>
                <w:color w:val="auto"/>
                <w:sz w:val="24"/>
                <w:highlight w:val="none"/>
              </w:rPr>
            </w:pPr>
          </w:p>
        </w:tc>
        <w:tc>
          <w:tcPr>
            <w:tcW w:w="1230" w:type="dxa"/>
            <w:vAlign w:val="center"/>
          </w:tcPr>
          <w:p>
            <w:pPr>
              <w:spacing w:line="360" w:lineRule="auto"/>
              <w:jc w:val="center"/>
              <w:rPr>
                <w:rFonts w:ascii="仿宋_GB2312" w:hAnsi="仿宋" w:eastAsia="仿宋_GB2312" w:cs="仿宋_GB2312"/>
                <w:color w:val="auto"/>
                <w:sz w:val="24"/>
                <w:highlight w:val="none"/>
              </w:rPr>
            </w:pPr>
          </w:p>
        </w:tc>
        <w:tc>
          <w:tcPr>
            <w:tcW w:w="1080" w:type="dxa"/>
            <w:vAlign w:val="center"/>
          </w:tcPr>
          <w:p>
            <w:pPr>
              <w:spacing w:line="360" w:lineRule="auto"/>
              <w:jc w:val="center"/>
              <w:rPr>
                <w:rFonts w:ascii="仿宋_GB2312" w:hAnsi="仿宋" w:eastAsia="仿宋_GB2312" w:cs="仿宋_GB2312"/>
                <w:color w:val="auto"/>
                <w:sz w:val="24"/>
                <w:highlight w:val="none"/>
              </w:rPr>
            </w:pPr>
          </w:p>
        </w:tc>
        <w:tc>
          <w:tcPr>
            <w:tcW w:w="1515"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27" w:type="dxa"/>
            <w:vAlign w:val="center"/>
          </w:tcPr>
          <w:p>
            <w:pPr>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w:t>
            </w:r>
          </w:p>
        </w:tc>
        <w:tc>
          <w:tcPr>
            <w:tcW w:w="2338" w:type="dxa"/>
            <w:vAlign w:val="center"/>
          </w:tcPr>
          <w:p>
            <w:pPr>
              <w:snapToGrid w:val="0"/>
              <w:spacing w:line="360" w:lineRule="auto"/>
              <w:jc w:val="center"/>
              <w:rPr>
                <w:rFonts w:ascii="仿宋_GB2312" w:hAnsi="仿宋" w:eastAsia="仿宋_GB2312" w:cs="仿宋_GB2312"/>
                <w:color w:val="auto"/>
                <w:sz w:val="24"/>
                <w:highlight w:val="none"/>
              </w:rPr>
            </w:pPr>
          </w:p>
        </w:tc>
        <w:tc>
          <w:tcPr>
            <w:tcW w:w="2562" w:type="dxa"/>
            <w:vAlign w:val="center"/>
          </w:tcPr>
          <w:p>
            <w:pPr>
              <w:snapToGrid w:val="0"/>
              <w:spacing w:line="360" w:lineRule="auto"/>
              <w:jc w:val="center"/>
              <w:rPr>
                <w:rFonts w:ascii="仿宋_GB2312" w:hAnsi="仿宋" w:eastAsia="仿宋_GB2312" w:cs="仿宋_GB2312"/>
                <w:color w:val="auto"/>
                <w:sz w:val="24"/>
                <w:highlight w:val="none"/>
              </w:rPr>
            </w:pPr>
          </w:p>
        </w:tc>
        <w:tc>
          <w:tcPr>
            <w:tcW w:w="825" w:type="dxa"/>
            <w:vAlign w:val="center"/>
          </w:tcPr>
          <w:p>
            <w:pPr>
              <w:snapToGrid w:val="0"/>
              <w:spacing w:line="360" w:lineRule="auto"/>
              <w:jc w:val="center"/>
              <w:rPr>
                <w:rFonts w:ascii="仿宋_GB2312" w:hAnsi="仿宋" w:eastAsia="仿宋_GB2312" w:cs="仿宋_GB2312"/>
                <w:color w:val="auto"/>
                <w:sz w:val="24"/>
                <w:highlight w:val="none"/>
              </w:rPr>
            </w:pPr>
          </w:p>
        </w:tc>
        <w:tc>
          <w:tcPr>
            <w:tcW w:w="1230" w:type="dxa"/>
            <w:vAlign w:val="center"/>
          </w:tcPr>
          <w:p>
            <w:pPr>
              <w:spacing w:line="360" w:lineRule="auto"/>
              <w:jc w:val="center"/>
              <w:rPr>
                <w:rFonts w:ascii="仿宋_GB2312" w:hAnsi="仿宋" w:eastAsia="仿宋_GB2312" w:cs="仿宋_GB2312"/>
                <w:color w:val="auto"/>
                <w:sz w:val="24"/>
                <w:highlight w:val="none"/>
              </w:rPr>
            </w:pPr>
          </w:p>
        </w:tc>
        <w:tc>
          <w:tcPr>
            <w:tcW w:w="1080" w:type="dxa"/>
            <w:vAlign w:val="center"/>
          </w:tcPr>
          <w:p>
            <w:pPr>
              <w:spacing w:line="360" w:lineRule="auto"/>
              <w:jc w:val="center"/>
              <w:rPr>
                <w:rFonts w:ascii="仿宋_GB2312" w:hAnsi="仿宋" w:eastAsia="仿宋_GB2312" w:cs="仿宋_GB2312"/>
                <w:color w:val="auto"/>
                <w:sz w:val="24"/>
                <w:highlight w:val="none"/>
              </w:rPr>
            </w:pPr>
          </w:p>
        </w:tc>
        <w:tc>
          <w:tcPr>
            <w:tcW w:w="1515"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99" w:type="dxa"/>
            <w:gridSpan w:val="3"/>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投标报价小计：</w:t>
            </w:r>
          </w:p>
        </w:tc>
        <w:tc>
          <w:tcPr>
            <w:tcW w:w="7212" w:type="dxa"/>
            <w:gridSpan w:val="5"/>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投标报价合计（小写）</w:t>
            </w:r>
          </w:p>
        </w:tc>
        <w:tc>
          <w:tcPr>
            <w:tcW w:w="7212" w:type="dxa"/>
            <w:gridSpan w:val="5"/>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投标报价合计（大写）</w:t>
            </w:r>
          </w:p>
        </w:tc>
        <w:tc>
          <w:tcPr>
            <w:tcW w:w="7212" w:type="dxa"/>
            <w:gridSpan w:val="5"/>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pStyle w:val="26"/>
        <w:rPr>
          <w:color w:val="auto"/>
          <w:highlight w:val="none"/>
        </w:rPr>
      </w:pPr>
      <w:r>
        <w:rPr>
          <w:rFonts w:ascii="仿宋_GB2312" w:hAnsi="仿宋" w:eastAsia="仿宋_GB2312" w:cs="仿宋_GB2312"/>
          <w:color w:val="auto"/>
          <w:kern w:val="0"/>
          <w:szCs w:val="22"/>
          <w:highlight w:val="none"/>
        </w:rPr>
        <w:t>5、</w:t>
      </w:r>
      <w:r>
        <w:rPr>
          <w:rFonts w:hint="eastAsia" w:ascii="仿宋_GB2312" w:hAnsi="仿宋" w:eastAsia="仿宋_GB2312" w:cs="仿宋_GB2312"/>
          <w:color w:val="auto"/>
          <w:kern w:val="0"/>
          <w:highlight w:val="none"/>
        </w:rPr>
        <w:t>符合招标文件中列明的可享受中小企业扶持政策的投标人，请填写中小企业声明函。注：投标人</w:t>
      </w:r>
      <w:r>
        <w:rPr>
          <w:rFonts w:ascii="仿宋_GB2312" w:hAnsi="仿宋" w:eastAsia="仿宋_GB2312" w:cs="仿宋_GB2312"/>
          <w:color w:val="auto"/>
          <w:kern w:val="0"/>
          <w:highlight w:val="none"/>
        </w:rPr>
        <w:t>提供</w:t>
      </w:r>
      <w:r>
        <w:rPr>
          <w:rFonts w:hint="eastAsia" w:ascii="仿宋_GB2312" w:hAnsi="仿宋" w:eastAsia="仿宋_GB2312" w:cs="仿宋_GB2312"/>
          <w:color w:val="auto"/>
          <w:kern w:val="0"/>
          <w:highlight w:val="none"/>
        </w:rPr>
        <w:t>的中小企业</w:t>
      </w:r>
      <w:r>
        <w:rPr>
          <w:rFonts w:ascii="仿宋_GB2312" w:hAnsi="仿宋" w:eastAsia="仿宋_GB2312" w:cs="仿宋_GB2312"/>
          <w:color w:val="auto"/>
          <w:kern w:val="0"/>
          <w:highlight w:val="none"/>
        </w:rPr>
        <w:t>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6</w:t>
      </w:r>
      <w:r>
        <w:rPr>
          <w:rFonts w:hint="eastAsia" w:ascii="仿宋_GB2312" w:hAnsi="仿宋" w:eastAsia="仿宋_GB2312" w:cs="仿宋_GB2312"/>
          <w:color w:val="auto"/>
          <w:kern w:val="0"/>
          <w:sz w:val="24"/>
          <w:highlight w:val="none"/>
          <w:lang w:val="zh-CN"/>
        </w:rPr>
        <w:t>、投标人在</w:t>
      </w:r>
      <w:r>
        <w:rPr>
          <w:rFonts w:hint="eastAsia" w:ascii="仿宋_GB2312" w:hAnsi="仿宋" w:eastAsia="仿宋_GB2312" w:cs="仿宋_GB2312"/>
          <w:color w:val="auto"/>
          <w:kern w:val="0"/>
          <w:sz w:val="24"/>
          <w:highlight w:val="none"/>
        </w:rPr>
        <w:t>本表</w:t>
      </w:r>
      <w:r>
        <w:rPr>
          <w:rFonts w:hint="eastAsia" w:ascii="仿宋_GB2312" w:hAnsi="仿宋" w:eastAsia="仿宋_GB2312" w:cs="仿宋_GB2312"/>
          <w:color w:val="auto"/>
          <w:kern w:val="0"/>
          <w:sz w:val="24"/>
          <w:highlight w:val="none"/>
          <w:lang w:val="zh-CN"/>
        </w:rPr>
        <w:t>中应明确对各类产品进行明细报价，列明单价，同时对各使用单位分别小计汇总。各使用单位小计报价超过</w:t>
      </w:r>
      <w:r>
        <w:rPr>
          <w:rFonts w:hint="eastAsia" w:ascii="仿宋_GB2312" w:hAnsi="仿宋" w:eastAsia="仿宋_GB2312" w:cs="仿宋_GB2312"/>
          <w:color w:val="auto"/>
          <w:kern w:val="0"/>
          <w:sz w:val="24"/>
          <w:highlight w:val="none"/>
        </w:rPr>
        <w:t>各自</w:t>
      </w:r>
      <w:r>
        <w:rPr>
          <w:rFonts w:hint="eastAsia" w:ascii="仿宋_GB2312" w:hAnsi="仿宋" w:eastAsia="仿宋_GB2312" w:cs="仿宋_GB2312"/>
          <w:color w:val="auto"/>
          <w:kern w:val="0"/>
          <w:sz w:val="24"/>
          <w:highlight w:val="none"/>
          <w:lang w:val="zh-CN"/>
        </w:rPr>
        <w:t>预算金额的，作无效标处理。</w:t>
      </w:r>
    </w:p>
    <w:p>
      <w:pPr>
        <w:pStyle w:val="26"/>
        <w:rPr>
          <w:color w:val="auto"/>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t>关于钱塘新区政府采购支持中小企业信用融资相关事项通知</w:t>
      </w:r>
    </w:p>
    <w:p>
      <w:pPr>
        <w:spacing w:line="360" w:lineRule="auto"/>
        <w:jc w:val="center"/>
        <w:rPr>
          <w:rFonts w:ascii="仿宋" w:hAnsi="仿宋" w:eastAsia="仿宋" w:cs="仿宋_GB2312"/>
          <w:b/>
          <w:color w:val="auto"/>
          <w:sz w:val="10"/>
          <w:szCs w:val="10"/>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553" w:name="_Toc465665161"/>
      <w:r>
        <w:rPr>
          <w:rFonts w:hint="eastAsia" w:ascii="仿宋_GB2312" w:hAnsi="仿宋" w:eastAsia="仿宋_GB2312"/>
          <w:color w:val="auto"/>
          <w:highlight w:val="none"/>
        </w:rPr>
        <w:t>附件</w:t>
      </w:r>
      <w:bookmarkEnd w:id="553"/>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554" w:name="OLE_LINK13"/>
      <w:bookmarkStart w:id="555" w:name="OLE_LINK14"/>
      <w:r>
        <w:rPr>
          <w:rFonts w:hint="eastAsia" w:ascii="仿宋_GB2312" w:hAnsi="仿宋" w:eastAsia="仿宋_GB2312"/>
          <w:b/>
          <w:color w:val="auto"/>
          <w:spacing w:val="6"/>
          <w:sz w:val="32"/>
          <w:szCs w:val="32"/>
          <w:highlight w:val="none"/>
        </w:rPr>
        <w:t>残疾人福利性单位声明函</w:t>
      </w:r>
      <w:bookmarkEnd w:id="554"/>
      <w:bookmarkEnd w:id="555"/>
    </w:p>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-88900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pt;margin-top:30.3pt;height:177.45pt;width:208.5pt;z-index:-251656192;mso-width-relative:page;mso-height-relative:page;" fillcolor="#FFFFFF" filled="t" stroked="t" coordsize="21600,21600" o:gfxdata="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PA3I9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_GB2312" w:hAnsi="宋体" w:eastAsia="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br w:type="page"/>
      </w:r>
    </w:p>
    <w:p>
      <w:pPr>
        <w:spacing w:line="360" w:lineRule="auto"/>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color w:val="auto"/>
          <w:sz w:val="24"/>
          <w:highlight w:val="none"/>
        </w:rPr>
      </w:pPr>
    </w:p>
    <w:p>
      <w:pPr>
        <w:spacing w:line="360" w:lineRule="auto"/>
        <w:ind w:right="42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br w:type="page"/>
      </w:r>
    </w:p>
    <w:p>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ascii="仿宋_GB2312" w:hAnsi="宋体" w:eastAsia="仿宋_GB2312" w:cs="宋体"/>
          <w:color w:val="auto"/>
          <w:spacing w:val="8"/>
          <w:kern w:val="0"/>
          <w:sz w:val="32"/>
          <w:szCs w:val="32"/>
          <w:highlight w:val="none"/>
        </w:rPr>
      </w:pPr>
      <w:r>
        <w:rPr>
          <w:rFonts w:hint="eastAsia" w:ascii="仿宋_GB2312" w:eastAsia="仿宋_GB2312" w:cs="宋体"/>
          <w:color w:val="auto"/>
          <w:spacing w:val="8"/>
          <w:kern w:val="0"/>
          <w:sz w:val="32"/>
          <w:szCs w:val="32"/>
          <w:highlight w:val="none"/>
        </w:rPr>
        <w:t>说明：</w:t>
      </w:r>
    </w:p>
    <w:p>
      <w:pPr>
        <w:spacing w:line="540" w:lineRule="exact"/>
        <w:rPr>
          <w:rFonts w:ascii="仿宋_GB2312" w:hAnsi="宋体" w:eastAsia="仿宋_GB2312" w:cs="宋体"/>
          <w:color w:val="auto"/>
          <w:spacing w:val="8"/>
          <w:kern w:val="0"/>
          <w:sz w:val="24"/>
          <w:highlight w:val="none"/>
        </w:rPr>
      </w:pPr>
      <w:r>
        <w:rPr>
          <w:rFonts w:hint="eastAsia" w:ascii="仿宋_GB2312" w:eastAsia="仿宋_GB2312" w:cs="宋体"/>
          <w:color w:val="auto"/>
          <w:spacing w:val="8"/>
          <w:kern w:val="0"/>
          <w:sz w:val="32"/>
          <w:szCs w:val="32"/>
          <w:highlight w:val="none"/>
        </w:rPr>
        <w:t>　</w:t>
      </w:r>
      <w:r>
        <w:rPr>
          <w:rFonts w:hint="eastAsia" w:ascii="仿宋_GB2312" w:eastAsia="仿宋_GB2312" w:cs="宋体"/>
          <w:color w:val="auto"/>
          <w:spacing w:val="8"/>
          <w:kern w:val="0"/>
          <w:sz w:val="24"/>
          <w:highlight w:val="none"/>
        </w:rPr>
        <w:t>　</w:t>
      </w:r>
      <w:r>
        <w:rPr>
          <w:rFonts w:hint="eastAsia" w:ascii="仿宋_GB2312" w:eastAsia="仿宋_GB2312"/>
          <w:color w:val="auto"/>
          <w:spacing w:val="8"/>
          <w:kern w:val="0"/>
          <w:sz w:val="24"/>
          <w:highlight w:val="none"/>
        </w:rPr>
        <w:t>1.</w:t>
      </w:r>
      <w:r>
        <w:rPr>
          <w:rFonts w:hint="eastAsia" w:ascii="仿宋_GB2312" w:eastAsia="仿宋_GB2312" w:cs="宋体"/>
          <w:color w:val="auto"/>
          <w:spacing w:val="8"/>
          <w:kern w:val="0"/>
          <w:sz w:val="24"/>
          <w:highlight w:val="none"/>
        </w:rPr>
        <w:t>大型、中型和小型企业须同时满足所列指标的下限，否则下划一档；微型企业只须满足所列指标中的一项即可。</w:t>
      </w:r>
    </w:p>
    <w:p>
      <w:pPr>
        <w:spacing w:line="540" w:lineRule="exact"/>
        <w:rPr>
          <w:rFonts w:ascii="仿宋_GB2312" w:hAnsi="宋体" w:eastAsia="仿宋_GB2312" w:cs="宋体"/>
          <w:color w:val="auto"/>
          <w:spacing w:val="8"/>
          <w:kern w:val="0"/>
          <w:sz w:val="24"/>
          <w:highlight w:val="none"/>
        </w:rPr>
      </w:pPr>
      <w:r>
        <w:rPr>
          <w:rFonts w:hint="eastAsia" w:ascii="仿宋_GB2312" w:eastAsia="仿宋_GB2312" w:cs="宋体"/>
          <w:color w:val="auto"/>
          <w:spacing w:val="8"/>
          <w:kern w:val="0"/>
          <w:sz w:val="24"/>
          <w:highlight w:val="none"/>
        </w:rPr>
        <w:t>　　</w:t>
      </w:r>
      <w:r>
        <w:rPr>
          <w:rFonts w:hint="eastAsia" w:ascii="仿宋_GB2312" w:eastAsia="仿宋_GB2312"/>
          <w:color w:val="auto"/>
          <w:spacing w:val="8"/>
          <w:kern w:val="0"/>
          <w:sz w:val="24"/>
          <w:highlight w:val="none"/>
        </w:rPr>
        <w:t>2.</w:t>
      </w:r>
      <w:r>
        <w:rPr>
          <w:rFonts w:hint="eastAsia" w:ascii="仿宋_GB2312" w:eastAsia="仿宋_GB2312" w:cs="宋体"/>
          <w:color w:val="auto"/>
          <w:spacing w:val="8"/>
          <w:kern w:val="0"/>
          <w:sz w:val="24"/>
          <w:highlight w:val="none"/>
        </w:rPr>
        <w:t>附表中各行业的范围以《国民经济行业分类》（</w:t>
      </w:r>
      <w:r>
        <w:rPr>
          <w:rFonts w:hint="eastAsia" w:ascii="仿宋_GB2312" w:eastAsia="仿宋_GB2312"/>
          <w:color w:val="auto"/>
          <w:spacing w:val="8"/>
          <w:kern w:val="0"/>
          <w:sz w:val="24"/>
          <w:highlight w:val="none"/>
        </w:rPr>
        <w:t>GB/T4754-2017</w:t>
      </w:r>
      <w:r>
        <w:rPr>
          <w:rFonts w:hint="eastAsia" w:ascii="仿宋_GB2312" w:eastAsia="仿宋_GB2312" w:cs="宋体"/>
          <w:color w:val="auto"/>
          <w:spacing w:val="8"/>
          <w:kern w:val="0"/>
          <w:sz w:val="24"/>
          <w:highlight w:val="none"/>
        </w:rPr>
        <w:t>）为准。带</w:t>
      </w:r>
      <w:r>
        <w:rPr>
          <w:rFonts w:hint="eastAsia" w:ascii="仿宋_GB2312" w:eastAsia="仿宋_GB2312"/>
          <w:color w:val="auto"/>
          <w:spacing w:val="8"/>
          <w:kern w:val="0"/>
          <w:sz w:val="24"/>
          <w:highlight w:val="none"/>
        </w:rPr>
        <w:t>*</w:t>
      </w:r>
      <w:r>
        <w:rPr>
          <w:rFonts w:hint="eastAsia" w:ascii="仿宋_GB2312" w:eastAsia="仿宋_GB2312" w:cs="宋体"/>
          <w:color w:val="auto"/>
          <w:spacing w:val="8"/>
          <w:kern w:val="0"/>
          <w:sz w:val="24"/>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ascii="仿宋_GB2312" w:eastAsia="仿宋_GB2312"/>
          <w:color w:val="auto"/>
          <w:sz w:val="24"/>
          <w:highlight w:val="none"/>
        </w:rPr>
      </w:pPr>
      <w:r>
        <w:rPr>
          <w:rFonts w:hint="eastAsia" w:ascii="仿宋_GB2312" w:eastAsia="仿宋_GB2312" w:cs="宋体"/>
          <w:color w:val="auto"/>
          <w:spacing w:val="8"/>
          <w:kern w:val="0"/>
          <w:sz w:val="24"/>
          <w:highlight w:val="none"/>
        </w:rPr>
        <w:t>　　</w:t>
      </w:r>
      <w:r>
        <w:rPr>
          <w:rFonts w:hint="eastAsia" w:ascii="仿宋_GB2312" w:eastAsia="仿宋_GB2312"/>
          <w:color w:val="auto"/>
          <w:spacing w:val="8"/>
          <w:kern w:val="0"/>
          <w:sz w:val="24"/>
          <w:highlight w:val="none"/>
        </w:rPr>
        <w:t>3.</w:t>
      </w:r>
      <w:r>
        <w:rPr>
          <w:rFonts w:hint="eastAsia" w:ascii="仿宋_GB2312" w:eastAsia="仿宋_GB2312" w:cs="宋体"/>
          <w:color w:val="auto"/>
          <w:spacing w:val="8"/>
          <w:kern w:val="0"/>
          <w:sz w:val="24"/>
          <w:highlight w:val="none"/>
        </w:rPr>
        <w:t>企业划分指标以现行统计制度为准。（</w:t>
      </w:r>
      <w:r>
        <w:rPr>
          <w:rFonts w:hint="eastAsia" w:ascii="仿宋_GB2312" w:eastAsia="仿宋_GB2312"/>
          <w:color w:val="auto"/>
          <w:spacing w:val="8"/>
          <w:kern w:val="0"/>
          <w:sz w:val="24"/>
          <w:highlight w:val="none"/>
        </w:rPr>
        <w:t>1</w:t>
      </w:r>
      <w:r>
        <w:rPr>
          <w:rFonts w:hint="eastAsia" w:ascii="仿宋_GB2312" w:eastAsia="仿宋_GB2312" w:cs="宋体"/>
          <w:color w:val="auto"/>
          <w:spacing w:val="8"/>
          <w:kern w:val="0"/>
          <w:sz w:val="24"/>
          <w:highlight w:val="none"/>
        </w:rPr>
        <w:t>）从业人员，是指期末从业人员数，没有期末从业人员数的，采用全年平均人员数代替。（</w:t>
      </w:r>
      <w:r>
        <w:rPr>
          <w:rFonts w:hint="eastAsia" w:ascii="仿宋_GB2312" w:eastAsia="仿宋_GB2312"/>
          <w:color w:val="auto"/>
          <w:spacing w:val="8"/>
          <w:kern w:val="0"/>
          <w:sz w:val="24"/>
          <w:highlight w:val="none"/>
        </w:rPr>
        <w:t>2</w:t>
      </w:r>
      <w:r>
        <w:rPr>
          <w:rFonts w:hint="eastAsia" w:ascii="仿宋_GB2312" w:eastAsia="仿宋_GB2312" w:cs="宋体"/>
          <w:color w:val="auto"/>
          <w:spacing w:val="8"/>
          <w:kern w:val="0"/>
          <w:sz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color w:val="auto"/>
          <w:spacing w:val="8"/>
          <w:kern w:val="0"/>
          <w:sz w:val="24"/>
          <w:highlight w:val="none"/>
        </w:rPr>
        <w:t>3</w:t>
      </w:r>
      <w:r>
        <w:rPr>
          <w:rFonts w:hint="eastAsia" w:ascii="仿宋_GB2312" w:eastAsia="仿宋_GB2312" w:cs="宋体"/>
          <w:color w:val="auto"/>
          <w:spacing w:val="8"/>
          <w:kern w:val="0"/>
          <w:sz w:val="24"/>
          <w:highlight w:val="none"/>
        </w:rPr>
        <w:t>）资产总额，采用资产总计代替。</w:t>
      </w:r>
    </w:p>
    <w:p>
      <w:pPr>
        <w:rPr>
          <w:color w:val="auto"/>
          <w:highlight w:val="none"/>
        </w:rPr>
      </w:pPr>
    </w:p>
    <w:p>
      <w:pPr>
        <w:pStyle w:val="2"/>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6" w:name="_Toc164085800"/>
    <w:bookmarkStart w:id="557" w:name="_Toc131845147"/>
    <w:bookmarkStart w:id="558" w:name="_Toc91899912"/>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12DF0"/>
    <w:multiLevelType w:val="multilevel"/>
    <w:tmpl w:val="03212D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481806"/>
    <w:multiLevelType w:val="multilevel"/>
    <w:tmpl w:val="0748180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455556"/>
    <w:multiLevelType w:val="multilevel"/>
    <w:tmpl w:val="0945555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431385"/>
    <w:multiLevelType w:val="multilevel"/>
    <w:tmpl w:val="0C43138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D03066"/>
    <w:multiLevelType w:val="multilevel"/>
    <w:tmpl w:val="0CD030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FE2D6E"/>
    <w:multiLevelType w:val="multilevel"/>
    <w:tmpl w:val="0FFE2D6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B22767"/>
    <w:multiLevelType w:val="multilevel"/>
    <w:tmpl w:val="10B227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2F0444"/>
    <w:multiLevelType w:val="multilevel"/>
    <w:tmpl w:val="142F044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A50FA9"/>
    <w:multiLevelType w:val="multilevel"/>
    <w:tmpl w:val="15A50F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754C13"/>
    <w:multiLevelType w:val="multilevel"/>
    <w:tmpl w:val="16754C1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3F65E1"/>
    <w:multiLevelType w:val="multilevel"/>
    <w:tmpl w:val="233F65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B638CC"/>
    <w:multiLevelType w:val="multilevel"/>
    <w:tmpl w:val="27B638CC"/>
    <w:lvl w:ilvl="0" w:tentative="0">
      <w:start w:val="1"/>
      <w:numFmt w:val="decimal"/>
      <w:lvlText w:val="%1."/>
      <w:lvlJc w:val="left"/>
      <w:pPr>
        <w:ind w:left="420" w:hanging="420"/>
      </w:pPr>
      <w:rPr>
        <w:rFonts w:hint="default"/>
      </w:rPr>
    </w:lvl>
    <w:lvl w:ilvl="1" w:tentative="0">
      <w:start w:val="7"/>
      <w:numFmt w:val="bullet"/>
      <w:lvlText w:val="※"/>
      <w:lvlJc w:val="left"/>
      <w:pPr>
        <w:ind w:left="780" w:hanging="360"/>
      </w:pPr>
      <w:rPr>
        <w:rFonts w:hint="eastAsia" w:ascii="仿宋" w:hAnsi="仿宋" w:eastAsia="仿宋" w:cs="仿宋"/>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6A0688"/>
    <w:multiLevelType w:val="multilevel"/>
    <w:tmpl w:val="296A068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51556F"/>
    <w:multiLevelType w:val="multilevel"/>
    <w:tmpl w:val="2C51556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DCD436A"/>
    <w:multiLevelType w:val="multilevel"/>
    <w:tmpl w:val="2DCD436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E95DFF"/>
    <w:multiLevelType w:val="multilevel"/>
    <w:tmpl w:val="35E95D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C041B48"/>
    <w:multiLevelType w:val="multilevel"/>
    <w:tmpl w:val="3C041B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8221AE"/>
    <w:multiLevelType w:val="multilevel"/>
    <w:tmpl w:val="3F8221A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0EB47AC"/>
    <w:multiLevelType w:val="multilevel"/>
    <w:tmpl w:val="40EB47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15B0ECE"/>
    <w:multiLevelType w:val="multilevel"/>
    <w:tmpl w:val="415B0E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E310201"/>
    <w:multiLevelType w:val="multilevel"/>
    <w:tmpl w:val="4E3102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26233"/>
    <w:multiLevelType w:val="multilevel"/>
    <w:tmpl w:val="59F2623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BC00C19"/>
    <w:multiLevelType w:val="multilevel"/>
    <w:tmpl w:val="5BC00C1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0FB589C"/>
    <w:multiLevelType w:val="multilevel"/>
    <w:tmpl w:val="60FB589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37414E4"/>
    <w:multiLevelType w:val="multilevel"/>
    <w:tmpl w:val="637414E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95009A"/>
    <w:multiLevelType w:val="multilevel"/>
    <w:tmpl w:val="6795009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BBE2097"/>
    <w:multiLevelType w:val="multilevel"/>
    <w:tmpl w:val="6BBE20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10E7E56"/>
    <w:multiLevelType w:val="multilevel"/>
    <w:tmpl w:val="710E7E5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3462747"/>
    <w:multiLevelType w:val="multilevel"/>
    <w:tmpl w:val="734627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2E66C5"/>
    <w:multiLevelType w:val="multilevel"/>
    <w:tmpl w:val="742E66C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697EC3"/>
    <w:multiLevelType w:val="multilevel"/>
    <w:tmpl w:val="75697EC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B32C8B"/>
    <w:multiLevelType w:val="multilevel"/>
    <w:tmpl w:val="75B32C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97B2B00"/>
    <w:multiLevelType w:val="multilevel"/>
    <w:tmpl w:val="797B2B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ABD7BE3"/>
    <w:multiLevelType w:val="multilevel"/>
    <w:tmpl w:val="7ABD7B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B164A13"/>
    <w:multiLevelType w:val="multilevel"/>
    <w:tmpl w:val="7B164A1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3"/>
  </w:num>
  <w:num w:numId="4">
    <w:abstractNumId w:val="9"/>
  </w:num>
  <w:num w:numId="5">
    <w:abstractNumId w:val="5"/>
  </w:num>
  <w:num w:numId="6">
    <w:abstractNumId w:val="17"/>
  </w:num>
  <w:num w:numId="7">
    <w:abstractNumId w:val="11"/>
  </w:num>
  <w:num w:numId="8">
    <w:abstractNumId w:val="0"/>
  </w:num>
  <w:num w:numId="9">
    <w:abstractNumId w:val="31"/>
  </w:num>
  <w:num w:numId="10">
    <w:abstractNumId w:val="6"/>
  </w:num>
  <w:num w:numId="11">
    <w:abstractNumId w:val="15"/>
  </w:num>
  <w:num w:numId="12">
    <w:abstractNumId w:val="4"/>
  </w:num>
  <w:num w:numId="13">
    <w:abstractNumId w:val="32"/>
  </w:num>
  <w:num w:numId="14">
    <w:abstractNumId w:val="7"/>
  </w:num>
  <w:num w:numId="15">
    <w:abstractNumId w:val="26"/>
  </w:num>
  <w:num w:numId="16">
    <w:abstractNumId w:val="21"/>
  </w:num>
  <w:num w:numId="17">
    <w:abstractNumId w:val="19"/>
  </w:num>
  <w:num w:numId="18">
    <w:abstractNumId w:val="10"/>
  </w:num>
  <w:num w:numId="19">
    <w:abstractNumId w:val="20"/>
  </w:num>
  <w:num w:numId="20">
    <w:abstractNumId w:val="25"/>
  </w:num>
  <w:num w:numId="21">
    <w:abstractNumId w:val="24"/>
  </w:num>
  <w:num w:numId="22">
    <w:abstractNumId w:val="12"/>
  </w:num>
  <w:num w:numId="23">
    <w:abstractNumId w:val="27"/>
  </w:num>
  <w:num w:numId="24">
    <w:abstractNumId w:val="16"/>
  </w:num>
  <w:num w:numId="25">
    <w:abstractNumId w:val="34"/>
  </w:num>
  <w:num w:numId="26">
    <w:abstractNumId w:val="1"/>
  </w:num>
  <w:num w:numId="27">
    <w:abstractNumId w:val="22"/>
  </w:num>
  <w:num w:numId="28">
    <w:abstractNumId w:val="30"/>
  </w:num>
  <w:num w:numId="29">
    <w:abstractNumId w:val="14"/>
  </w:num>
  <w:num w:numId="30">
    <w:abstractNumId w:val="23"/>
  </w:num>
  <w:num w:numId="31">
    <w:abstractNumId w:val="28"/>
  </w:num>
  <w:num w:numId="32">
    <w:abstractNumId w:val="29"/>
  </w:num>
  <w:num w:numId="33">
    <w:abstractNumId w:val="13"/>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I4YjUzMWZjY2QzYTEwZTc4ZjdlY2ZlYWFjN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35ED"/>
    <w:rsid w:val="01500697"/>
    <w:rsid w:val="0175663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190BAD"/>
    <w:rsid w:val="0326446A"/>
    <w:rsid w:val="032D5555"/>
    <w:rsid w:val="036634D2"/>
    <w:rsid w:val="03675D1E"/>
    <w:rsid w:val="0388408C"/>
    <w:rsid w:val="03DD35E4"/>
    <w:rsid w:val="03F1763A"/>
    <w:rsid w:val="04063CD1"/>
    <w:rsid w:val="04076900"/>
    <w:rsid w:val="040A684F"/>
    <w:rsid w:val="041A5A3B"/>
    <w:rsid w:val="042311BA"/>
    <w:rsid w:val="042B157A"/>
    <w:rsid w:val="04413F7B"/>
    <w:rsid w:val="04500469"/>
    <w:rsid w:val="048F763B"/>
    <w:rsid w:val="049F330E"/>
    <w:rsid w:val="04AA775C"/>
    <w:rsid w:val="04AD1AC5"/>
    <w:rsid w:val="04AF1889"/>
    <w:rsid w:val="04D75109"/>
    <w:rsid w:val="04F66F48"/>
    <w:rsid w:val="05022AF6"/>
    <w:rsid w:val="050704DC"/>
    <w:rsid w:val="05251E14"/>
    <w:rsid w:val="05A16594"/>
    <w:rsid w:val="05A7762D"/>
    <w:rsid w:val="05B178CA"/>
    <w:rsid w:val="05DA64B7"/>
    <w:rsid w:val="05DE0936"/>
    <w:rsid w:val="060E5941"/>
    <w:rsid w:val="06110FAF"/>
    <w:rsid w:val="06493CA7"/>
    <w:rsid w:val="065A6178"/>
    <w:rsid w:val="06672D9E"/>
    <w:rsid w:val="066F1CF3"/>
    <w:rsid w:val="06930BB8"/>
    <w:rsid w:val="069D7E4F"/>
    <w:rsid w:val="07245D42"/>
    <w:rsid w:val="07264C62"/>
    <w:rsid w:val="0779354C"/>
    <w:rsid w:val="07A934AA"/>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92330"/>
    <w:rsid w:val="09B06B87"/>
    <w:rsid w:val="09C13146"/>
    <w:rsid w:val="09E04166"/>
    <w:rsid w:val="0A05236F"/>
    <w:rsid w:val="0A1C0718"/>
    <w:rsid w:val="0A312D88"/>
    <w:rsid w:val="0A3E7710"/>
    <w:rsid w:val="0A5B7E63"/>
    <w:rsid w:val="0A684F0F"/>
    <w:rsid w:val="0A920ABD"/>
    <w:rsid w:val="0AA374A5"/>
    <w:rsid w:val="0AAB7649"/>
    <w:rsid w:val="0ABC5606"/>
    <w:rsid w:val="0AEE0C79"/>
    <w:rsid w:val="0B091A99"/>
    <w:rsid w:val="0B30404E"/>
    <w:rsid w:val="0B3303A8"/>
    <w:rsid w:val="0B4C6C14"/>
    <w:rsid w:val="0B631A88"/>
    <w:rsid w:val="0B683D45"/>
    <w:rsid w:val="0B6B4275"/>
    <w:rsid w:val="0B7F3F11"/>
    <w:rsid w:val="0B884417"/>
    <w:rsid w:val="0BAE3F2E"/>
    <w:rsid w:val="0BF6188C"/>
    <w:rsid w:val="0BF73C91"/>
    <w:rsid w:val="0BFD02C5"/>
    <w:rsid w:val="0C043D8A"/>
    <w:rsid w:val="0C085D6A"/>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A01C73"/>
    <w:rsid w:val="0DD00B0A"/>
    <w:rsid w:val="0DD63300"/>
    <w:rsid w:val="0DE66707"/>
    <w:rsid w:val="0DF50604"/>
    <w:rsid w:val="0DF702FE"/>
    <w:rsid w:val="0DFF67E0"/>
    <w:rsid w:val="0E060E51"/>
    <w:rsid w:val="0E5604B2"/>
    <w:rsid w:val="0E6D5D79"/>
    <w:rsid w:val="0E9D0089"/>
    <w:rsid w:val="0EB803EE"/>
    <w:rsid w:val="0ED4462A"/>
    <w:rsid w:val="0EF94D4B"/>
    <w:rsid w:val="0F0A7D6D"/>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646583"/>
    <w:rsid w:val="107D4B15"/>
    <w:rsid w:val="108A3C80"/>
    <w:rsid w:val="10A049F6"/>
    <w:rsid w:val="10C26171"/>
    <w:rsid w:val="10F33360"/>
    <w:rsid w:val="10FC16EA"/>
    <w:rsid w:val="110F1D40"/>
    <w:rsid w:val="11266F33"/>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540CE3"/>
    <w:rsid w:val="135F4BE2"/>
    <w:rsid w:val="138228A6"/>
    <w:rsid w:val="139B1A0A"/>
    <w:rsid w:val="139D25C7"/>
    <w:rsid w:val="13BF3CE4"/>
    <w:rsid w:val="13C133CE"/>
    <w:rsid w:val="14092897"/>
    <w:rsid w:val="141008D8"/>
    <w:rsid w:val="14125FE6"/>
    <w:rsid w:val="143F2362"/>
    <w:rsid w:val="14425A3C"/>
    <w:rsid w:val="145F7307"/>
    <w:rsid w:val="14678B2C"/>
    <w:rsid w:val="146D271E"/>
    <w:rsid w:val="14982588"/>
    <w:rsid w:val="149A5AD9"/>
    <w:rsid w:val="149D3F83"/>
    <w:rsid w:val="14A7619D"/>
    <w:rsid w:val="14C3787C"/>
    <w:rsid w:val="150536C3"/>
    <w:rsid w:val="150C1963"/>
    <w:rsid w:val="151447A0"/>
    <w:rsid w:val="154A6454"/>
    <w:rsid w:val="15762120"/>
    <w:rsid w:val="15B44660"/>
    <w:rsid w:val="15CA5987"/>
    <w:rsid w:val="161C1D6B"/>
    <w:rsid w:val="16A13043"/>
    <w:rsid w:val="16A8729C"/>
    <w:rsid w:val="16A9098C"/>
    <w:rsid w:val="16AC07E4"/>
    <w:rsid w:val="16B33777"/>
    <w:rsid w:val="16BC70A7"/>
    <w:rsid w:val="16C6339E"/>
    <w:rsid w:val="16D03928"/>
    <w:rsid w:val="170D2487"/>
    <w:rsid w:val="171741F5"/>
    <w:rsid w:val="172A128B"/>
    <w:rsid w:val="172F2D79"/>
    <w:rsid w:val="17520859"/>
    <w:rsid w:val="17532E2D"/>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402473"/>
    <w:rsid w:val="194D6CB6"/>
    <w:rsid w:val="198A4263"/>
    <w:rsid w:val="19932372"/>
    <w:rsid w:val="19A20DD5"/>
    <w:rsid w:val="19AE03F1"/>
    <w:rsid w:val="1A071A03"/>
    <w:rsid w:val="1A1F16AE"/>
    <w:rsid w:val="1A362486"/>
    <w:rsid w:val="1A3B5C77"/>
    <w:rsid w:val="1A442B13"/>
    <w:rsid w:val="1A572366"/>
    <w:rsid w:val="1A984BAD"/>
    <w:rsid w:val="1AA7450E"/>
    <w:rsid w:val="1AAC1FB7"/>
    <w:rsid w:val="1AAC634A"/>
    <w:rsid w:val="1AB8220E"/>
    <w:rsid w:val="1ADC6D40"/>
    <w:rsid w:val="1AE4166C"/>
    <w:rsid w:val="1AF06CFB"/>
    <w:rsid w:val="1AF11B8D"/>
    <w:rsid w:val="1B11359C"/>
    <w:rsid w:val="1B2A271F"/>
    <w:rsid w:val="1B530544"/>
    <w:rsid w:val="1B5777A0"/>
    <w:rsid w:val="1B713184"/>
    <w:rsid w:val="1B894423"/>
    <w:rsid w:val="1BA209CF"/>
    <w:rsid w:val="1BB4777D"/>
    <w:rsid w:val="1BCA0E71"/>
    <w:rsid w:val="1BD75AB8"/>
    <w:rsid w:val="1C0459C2"/>
    <w:rsid w:val="1C1B3B4A"/>
    <w:rsid w:val="1C88086E"/>
    <w:rsid w:val="1C92024C"/>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E08301D"/>
    <w:rsid w:val="1E3D060F"/>
    <w:rsid w:val="1E3F7D2E"/>
    <w:rsid w:val="1E4134E4"/>
    <w:rsid w:val="1E5062B3"/>
    <w:rsid w:val="1E523514"/>
    <w:rsid w:val="1E5E2D4F"/>
    <w:rsid w:val="1E714A66"/>
    <w:rsid w:val="1E766EEB"/>
    <w:rsid w:val="1E802593"/>
    <w:rsid w:val="1EA703CC"/>
    <w:rsid w:val="1EB7330C"/>
    <w:rsid w:val="1F0A0FF3"/>
    <w:rsid w:val="1F5771FF"/>
    <w:rsid w:val="1F6E1F30"/>
    <w:rsid w:val="1F8854DA"/>
    <w:rsid w:val="1FBE20C7"/>
    <w:rsid w:val="1FE868A9"/>
    <w:rsid w:val="20034907"/>
    <w:rsid w:val="2006735B"/>
    <w:rsid w:val="200F3851"/>
    <w:rsid w:val="20173E4B"/>
    <w:rsid w:val="20360CA0"/>
    <w:rsid w:val="204E48BC"/>
    <w:rsid w:val="208921B3"/>
    <w:rsid w:val="20973DEB"/>
    <w:rsid w:val="20B120D5"/>
    <w:rsid w:val="20B26522"/>
    <w:rsid w:val="20B44310"/>
    <w:rsid w:val="20BB6D5F"/>
    <w:rsid w:val="20FD2B4B"/>
    <w:rsid w:val="211116EB"/>
    <w:rsid w:val="21366A1B"/>
    <w:rsid w:val="216133FC"/>
    <w:rsid w:val="21D56769"/>
    <w:rsid w:val="21E52EF3"/>
    <w:rsid w:val="21FB5D7B"/>
    <w:rsid w:val="220B1C3D"/>
    <w:rsid w:val="221D1D20"/>
    <w:rsid w:val="22334A87"/>
    <w:rsid w:val="22864D9F"/>
    <w:rsid w:val="22BE6801"/>
    <w:rsid w:val="22C7317C"/>
    <w:rsid w:val="230706D2"/>
    <w:rsid w:val="232E3EB1"/>
    <w:rsid w:val="233500BF"/>
    <w:rsid w:val="23377FF7"/>
    <w:rsid w:val="236B425F"/>
    <w:rsid w:val="23836192"/>
    <w:rsid w:val="23901F29"/>
    <w:rsid w:val="23932309"/>
    <w:rsid w:val="239C0061"/>
    <w:rsid w:val="23B908A4"/>
    <w:rsid w:val="23D235D7"/>
    <w:rsid w:val="23E95BEF"/>
    <w:rsid w:val="23FD0064"/>
    <w:rsid w:val="24124478"/>
    <w:rsid w:val="241F664E"/>
    <w:rsid w:val="24240656"/>
    <w:rsid w:val="245375B0"/>
    <w:rsid w:val="24642C0A"/>
    <w:rsid w:val="24B22173"/>
    <w:rsid w:val="24B95AD9"/>
    <w:rsid w:val="24BE24DA"/>
    <w:rsid w:val="24CF5825"/>
    <w:rsid w:val="24D663E6"/>
    <w:rsid w:val="24D77F2B"/>
    <w:rsid w:val="24D804D4"/>
    <w:rsid w:val="2503311B"/>
    <w:rsid w:val="25382E18"/>
    <w:rsid w:val="258B00E2"/>
    <w:rsid w:val="25A917A6"/>
    <w:rsid w:val="25AC5196"/>
    <w:rsid w:val="25BE27CC"/>
    <w:rsid w:val="25F74A5C"/>
    <w:rsid w:val="26141C75"/>
    <w:rsid w:val="2628662C"/>
    <w:rsid w:val="262D45DE"/>
    <w:rsid w:val="26652135"/>
    <w:rsid w:val="266E546C"/>
    <w:rsid w:val="26A53EF9"/>
    <w:rsid w:val="26A94201"/>
    <w:rsid w:val="26AC274F"/>
    <w:rsid w:val="26BC3644"/>
    <w:rsid w:val="26ED5133"/>
    <w:rsid w:val="27044A29"/>
    <w:rsid w:val="271D34C8"/>
    <w:rsid w:val="273E043A"/>
    <w:rsid w:val="276142BF"/>
    <w:rsid w:val="27783712"/>
    <w:rsid w:val="27907362"/>
    <w:rsid w:val="28333E1D"/>
    <w:rsid w:val="284440D7"/>
    <w:rsid w:val="28454BD6"/>
    <w:rsid w:val="28455253"/>
    <w:rsid w:val="28551971"/>
    <w:rsid w:val="285B1C53"/>
    <w:rsid w:val="28730988"/>
    <w:rsid w:val="28834C9E"/>
    <w:rsid w:val="289F7086"/>
    <w:rsid w:val="28C25188"/>
    <w:rsid w:val="28C32028"/>
    <w:rsid w:val="28CC490F"/>
    <w:rsid w:val="28DE40AA"/>
    <w:rsid w:val="29345E77"/>
    <w:rsid w:val="293715E5"/>
    <w:rsid w:val="294C65AD"/>
    <w:rsid w:val="2963612E"/>
    <w:rsid w:val="29806583"/>
    <w:rsid w:val="29881E2F"/>
    <w:rsid w:val="298B3C4C"/>
    <w:rsid w:val="29F00112"/>
    <w:rsid w:val="29F26D24"/>
    <w:rsid w:val="29F3304F"/>
    <w:rsid w:val="2A15033F"/>
    <w:rsid w:val="2A1662C1"/>
    <w:rsid w:val="2A1C7367"/>
    <w:rsid w:val="2A2815FA"/>
    <w:rsid w:val="2A5B0AFA"/>
    <w:rsid w:val="2A6D6092"/>
    <w:rsid w:val="2A7D76B4"/>
    <w:rsid w:val="2A866380"/>
    <w:rsid w:val="2A930A9D"/>
    <w:rsid w:val="2A9B2458"/>
    <w:rsid w:val="2AD417DA"/>
    <w:rsid w:val="2B1513B0"/>
    <w:rsid w:val="2B2B6F28"/>
    <w:rsid w:val="2B3773EC"/>
    <w:rsid w:val="2B437463"/>
    <w:rsid w:val="2B533CC4"/>
    <w:rsid w:val="2B60427F"/>
    <w:rsid w:val="2B67536E"/>
    <w:rsid w:val="2B7807EE"/>
    <w:rsid w:val="2B7E48FF"/>
    <w:rsid w:val="2B88437A"/>
    <w:rsid w:val="2BBF00EC"/>
    <w:rsid w:val="2BC37CFD"/>
    <w:rsid w:val="2BD5237F"/>
    <w:rsid w:val="2BE536CE"/>
    <w:rsid w:val="2BE758D9"/>
    <w:rsid w:val="2BFD75A0"/>
    <w:rsid w:val="2C09049E"/>
    <w:rsid w:val="2C0A653C"/>
    <w:rsid w:val="2C191F85"/>
    <w:rsid w:val="2C593CC6"/>
    <w:rsid w:val="2CB20651"/>
    <w:rsid w:val="2CE82D6F"/>
    <w:rsid w:val="2D113745"/>
    <w:rsid w:val="2D343236"/>
    <w:rsid w:val="2DCD7F21"/>
    <w:rsid w:val="2DD15014"/>
    <w:rsid w:val="2DDF576E"/>
    <w:rsid w:val="2DF72DE4"/>
    <w:rsid w:val="2E0220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D25781"/>
    <w:rsid w:val="2FDD6036"/>
    <w:rsid w:val="2FFD7934"/>
    <w:rsid w:val="30733ACD"/>
    <w:rsid w:val="308C3862"/>
    <w:rsid w:val="309379D8"/>
    <w:rsid w:val="30A270F7"/>
    <w:rsid w:val="30BD4AC6"/>
    <w:rsid w:val="30DF1478"/>
    <w:rsid w:val="30EC586F"/>
    <w:rsid w:val="314A61F9"/>
    <w:rsid w:val="315B638E"/>
    <w:rsid w:val="319C6071"/>
    <w:rsid w:val="31AC537E"/>
    <w:rsid w:val="31AF0712"/>
    <w:rsid w:val="31D861A1"/>
    <w:rsid w:val="31E3679B"/>
    <w:rsid w:val="31E732FD"/>
    <w:rsid w:val="31E74BA2"/>
    <w:rsid w:val="31F2079F"/>
    <w:rsid w:val="31F92B93"/>
    <w:rsid w:val="31FA1B17"/>
    <w:rsid w:val="32517576"/>
    <w:rsid w:val="3280441C"/>
    <w:rsid w:val="32BE5C2C"/>
    <w:rsid w:val="32E0684A"/>
    <w:rsid w:val="32FB6478"/>
    <w:rsid w:val="33263B3F"/>
    <w:rsid w:val="33364476"/>
    <w:rsid w:val="334E24B3"/>
    <w:rsid w:val="336963EB"/>
    <w:rsid w:val="33816EEB"/>
    <w:rsid w:val="33E43380"/>
    <w:rsid w:val="33EB55CD"/>
    <w:rsid w:val="33EC4C02"/>
    <w:rsid w:val="340D2360"/>
    <w:rsid w:val="3410665D"/>
    <w:rsid w:val="34124E23"/>
    <w:rsid w:val="34211214"/>
    <w:rsid w:val="342E63AB"/>
    <w:rsid w:val="34610414"/>
    <w:rsid w:val="34950E68"/>
    <w:rsid w:val="34986E94"/>
    <w:rsid w:val="34AF62C9"/>
    <w:rsid w:val="34CB4388"/>
    <w:rsid w:val="34F46D97"/>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F410B"/>
    <w:rsid w:val="37494BFA"/>
    <w:rsid w:val="379E5600"/>
    <w:rsid w:val="37EE7094"/>
    <w:rsid w:val="38296C89"/>
    <w:rsid w:val="383002EB"/>
    <w:rsid w:val="384870EF"/>
    <w:rsid w:val="38586797"/>
    <w:rsid w:val="385B38D6"/>
    <w:rsid w:val="38BC0149"/>
    <w:rsid w:val="38C53688"/>
    <w:rsid w:val="38CB553C"/>
    <w:rsid w:val="38D87D1C"/>
    <w:rsid w:val="38E91A6B"/>
    <w:rsid w:val="39083C99"/>
    <w:rsid w:val="392F2DC1"/>
    <w:rsid w:val="395C1D0A"/>
    <w:rsid w:val="39636459"/>
    <w:rsid w:val="396B7F6C"/>
    <w:rsid w:val="39B417A9"/>
    <w:rsid w:val="39F570DC"/>
    <w:rsid w:val="39FC5695"/>
    <w:rsid w:val="3A006D8E"/>
    <w:rsid w:val="3A3651E5"/>
    <w:rsid w:val="3A744481"/>
    <w:rsid w:val="3A8C7BEF"/>
    <w:rsid w:val="3A906246"/>
    <w:rsid w:val="3AC86541"/>
    <w:rsid w:val="3AF34EC4"/>
    <w:rsid w:val="3B2349B7"/>
    <w:rsid w:val="3B616CFF"/>
    <w:rsid w:val="3B6259F6"/>
    <w:rsid w:val="3B976654"/>
    <w:rsid w:val="3BBE4AC4"/>
    <w:rsid w:val="3BC01EFC"/>
    <w:rsid w:val="3BCA786A"/>
    <w:rsid w:val="3BD31E2F"/>
    <w:rsid w:val="3BD553B9"/>
    <w:rsid w:val="3BE033C2"/>
    <w:rsid w:val="3BF15831"/>
    <w:rsid w:val="3C0150A3"/>
    <w:rsid w:val="3C105946"/>
    <w:rsid w:val="3C167F21"/>
    <w:rsid w:val="3C471448"/>
    <w:rsid w:val="3C5F759A"/>
    <w:rsid w:val="3C6C525A"/>
    <w:rsid w:val="3CCE23CB"/>
    <w:rsid w:val="3CD17D17"/>
    <w:rsid w:val="3CFD280B"/>
    <w:rsid w:val="3D092ABE"/>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141B1"/>
    <w:rsid w:val="3E42664B"/>
    <w:rsid w:val="3E5A7334"/>
    <w:rsid w:val="3E67671F"/>
    <w:rsid w:val="3E7B5D6B"/>
    <w:rsid w:val="3E843E66"/>
    <w:rsid w:val="3E8F51FE"/>
    <w:rsid w:val="3E926F87"/>
    <w:rsid w:val="3E941CD1"/>
    <w:rsid w:val="3E9A59DE"/>
    <w:rsid w:val="3EAF4836"/>
    <w:rsid w:val="3EB516C8"/>
    <w:rsid w:val="3EC33DFA"/>
    <w:rsid w:val="3F060E16"/>
    <w:rsid w:val="3F1D1096"/>
    <w:rsid w:val="3F2F0234"/>
    <w:rsid w:val="3F6363FE"/>
    <w:rsid w:val="3F756B8F"/>
    <w:rsid w:val="3F924CAF"/>
    <w:rsid w:val="3F95482B"/>
    <w:rsid w:val="4019356B"/>
    <w:rsid w:val="40592157"/>
    <w:rsid w:val="406E1CAE"/>
    <w:rsid w:val="40900011"/>
    <w:rsid w:val="40A0133A"/>
    <w:rsid w:val="40C31A53"/>
    <w:rsid w:val="40FF545D"/>
    <w:rsid w:val="410067C8"/>
    <w:rsid w:val="4135050E"/>
    <w:rsid w:val="415E4A59"/>
    <w:rsid w:val="418F0D2A"/>
    <w:rsid w:val="419608F0"/>
    <w:rsid w:val="41986C6D"/>
    <w:rsid w:val="41D01505"/>
    <w:rsid w:val="423E7569"/>
    <w:rsid w:val="42474939"/>
    <w:rsid w:val="424C3C57"/>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3F9776B"/>
    <w:rsid w:val="44002FAD"/>
    <w:rsid w:val="44421C10"/>
    <w:rsid w:val="44654E01"/>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7A1B5F"/>
    <w:rsid w:val="468937D3"/>
    <w:rsid w:val="46893F2B"/>
    <w:rsid w:val="46C4686E"/>
    <w:rsid w:val="46E600B3"/>
    <w:rsid w:val="47785793"/>
    <w:rsid w:val="477B778F"/>
    <w:rsid w:val="478203EC"/>
    <w:rsid w:val="47A13F1B"/>
    <w:rsid w:val="47B025FA"/>
    <w:rsid w:val="480426CD"/>
    <w:rsid w:val="4809698F"/>
    <w:rsid w:val="4811697D"/>
    <w:rsid w:val="487A3E25"/>
    <w:rsid w:val="488B5503"/>
    <w:rsid w:val="48937E21"/>
    <w:rsid w:val="48981C49"/>
    <w:rsid w:val="489A0361"/>
    <w:rsid w:val="48B94FF3"/>
    <w:rsid w:val="48E37AAB"/>
    <w:rsid w:val="48E768C7"/>
    <w:rsid w:val="48FD4B4C"/>
    <w:rsid w:val="490A68E0"/>
    <w:rsid w:val="491055FE"/>
    <w:rsid w:val="4919015D"/>
    <w:rsid w:val="495F5B3E"/>
    <w:rsid w:val="496F77D7"/>
    <w:rsid w:val="497654FD"/>
    <w:rsid w:val="49B64211"/>
    <w:rsid w:val="49D62A28"/>
    <w:rsid w:val="49D82405"/>
    <w:rsid w:val="49F6167F"/>
    <w:rsid w:val="4A064FA0"/>
    <w:rsid w:val="4A16615C"/>
    <w:rsid w:val="4A1A388C"/>
    <w:rsid w:val="4A3A5853"/>
    <w:rsid w:val="4A4424D7"/>
    <w:rsid w:val="4A454E53"/>
    <w:rsid w:val="4A4E1725"/>
    <w:rsid w:val="4AB82D0F"/>
    <w:rsid w:val="4ACF06B0"/>
    <w:rsid w:val="4AEB7664"/>
    <w:rsid w:val="4AFD7C19"/>
    <w:rsid w:val="4B0567D1"/>
    <w:rsid w:val="4B236AAE"/>
    <w:rsid w:val="4B413B26"/>
    <w:rsid w:val="4B707271"/>
    <w:rsid w:val="4B8B1E42"/>
    <w:rsid w:val="4B8B7843"/>
    <w:rsid w:val="4B92472D"/>
    <w:rsid w:val="4B9739F7"/>
    <w:rsid w:val="4BD25472"/>
    <w:rsid w:val="4BEE2503"/>
    <w:rsid w:val="4C245A30"/>
    <w:rsid w:val="4CAF7C99"/>
    <w:rsid w:val="4CB6685F"/>
    <w:rsid w:val="4CC367FE"/>
    <w:rsid w:val="4CD40D75"/>
    <w:rsid w:val="4CE41D71"/>
    <w:rsid w:val="4CF13E12"/>
    <w:rsid w:val="4D077F3C"/>
    <w:rsid w:val="4D123355"/>
    <w:rsid w:val="4D2A3B31"/>
    <w:rsid w:val="4D312C52"/>
    <w:rsid w:val="4D501BA9"/>
    <w:rsid w:val="4D7660EF"/>
    <w:rsid w:val="4D7B268D"/>
    <w:rsid w:val="4D905305"/>
    <w:rsid w:val="4D956AE3"/>
    <w:rsid w:val="4D964A72"/>
    <w:rsid w:val="4D9C1254"/>
    <w:rsid w:val="4DA150FB"/>
    <w:rsid w:val="4DE13A88"/>
    <w:rsid w:val="4E141D71"/>
    <w:rsid w:val="4E793892"/>
    <w:rsid w:val="4E800872"/>
    <w:rsid w:val="4EC512BE"/>
    <w:rsid w:val="4EC569ED"/>
    <w:rsid w:val="4ED50EA1"/>
    <w:rsid w:val="4EEC050C"/>
    <w:rsid w:val="4F104EC3"/>
    <w:rsid w:val="4F3F0645"/>
    <w:rsid w:val="4F47354A"/>
    <w:rsid w:val="4F8E53A2"/>
    <w:rsid w:val="4F911C54"/>
    <w:rsid w:val="4F9F6A34"/>
    <w:rsid w:val="4FDF0786"/>
    <w:rsid w:val="4FE10AE9"/>
    <w:rsid w:val="4FE625E0"/>
    <w:rsid w:val="5021480F"/>
    <w:rsid w:val="503F4802"/>
    <w:rsid w:val="506D7576"/>
    <w:rsid w:val="50700179"/>
    <w:rsid w:val="50802CBD"/>
    <w:rsid w:val="50937403"/>
    <w:rsid w:val="50962ECB"/>
    <w:rsid w:val="50972573"/>
    <w:rsid w:val="50A42E38"/>
    <w:rsid w:val="50A4577F"/>
    <w:rsid w:val="50B65505"/>
    <w:rsid w:val="50B73D1F"/>
    <w:rsid w:val="50BC4CAD"/>
    <w:rsid w:val="50BD5BC9"/>
    <w:rsid w:val="50C11EEE"/>
    <w:rsid w:val="50CA4969"/>
    <w:rsid w:val="50E97CFC"/>
    <w:rsid w:val="50FA4028"/>
    <w:rsid w:val="50FB13F8"/>
    <w:rsid w:val="510D65B7"/>
    <w:rsid w:val="511157AB"/>
    <w:rsid w:val="5142540C"/>
    <w:rsid w:val="51497F84"/>
    <w:rsid w:val="518832C8"/>
    <w:rsid w:val="51A0432A"/>
    <w:rsid w:val="51A86090"/>
    <w:rsid w:val="51B7396D"/>
    <w:rsid w:val="51BC329D"/>
    <w:rsid w:val="51DC0DF8"/>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3B90038"/>
    <w:rsid w:val="54013861"/>
    <w:rsid w:val="540655C5"/>
    <w:rsid w:val="54142D03"/>
    <w:rsid w:val="54487265"/>
    <w:rsid w:val="544D6070"/>
    <w:rsid w:val="54605E1E"/>
    <w:rsid w:val="549C661D"/>
    <w:rsid w:val="54B3506A"/>
    <w:rsid w:val="54C87412"/>
    <w:rsid w:val="54C97132"/>
    <w:rsid w:val="54CA0D16"/>
    <w:rsid w:val="54D67D81"/>
    <w:rsid w:val="54DD4057"/>
    <w:rsid w:val="54E7490F"/>
    <w:rsid w:val="550764A4"/>
    <w:rsid w:val="550B2BF6"/>
    <w:rsid w:val="55214EB5"/>
    <w:rsid w:val="55344AA7"/>
    <w:rsid w:val="55364EFD"/>
    <w:rsid w:val="553C572D"/>
    <w:rsid w:val="555D4828"/>
    <w:rsid w:val="557A4C8B"/>
    <w:rsid w:val="558931E1"/>
    <w:rsid w:val="55923347"/>
    <w:rsid w:val="55925180"/>
    <w:rsid w:val="55983B1B"/>
    <w:rsid w:val="55A8376B"/>
    <w:rsid w:val="55B11B72"/>
    <w:rsid w:val="55DC29B6"/>
    <w:rsid w:val="55DD4241"/>
    <w:rsid w:val="55F53E91"/>
    <w:rsid w:val="563A7B9E"/>
    <w:rsid w:val="56455396"/>
    <w:rsid w:val="56627324"/>
    <w:rsid w:val="566B6D1E"/>
    <w:rsid w:val="56837BCF"/>
    <w:rsid w:val="569C2F3C"/>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262A75"/>
    <w:rsid w:val="584A47AD"/>
    <w:rsid w:val="58917D2F"/>
    <w:rsid w:val="5894085C"/>
    <w:rsid w:val="58AE4F0C"/>
    <w:rsid w:val="58B85899"/>
    <w:rsid w:val="58E17FCE"/>
    <w:rsid w:val="58E363A9"/>
    <w:rsid w:val="58EF1411"/>
    <w:rsid w:val="5943778F"/>
    <w:rsid w:val="595E1678"/>
    <w:rsid w:val="596D5BD4"/>
    <w:rsid w:val="596F2BE8"/>
    <w:rsid w:val="597E3DD8"/>
    <w:rsid w:val="599B50F5"/>
    <w:rsid w:val="59CC3500"/>
    <w:rsid w:val="59EE6F2C"/>
    <w:rsid w:val="59F80043"/>
    <w:rsid w:val="5A09252F"/>
    <w:rsid w:val="5A0B2778"/>
    <w:rsid w:val="5A2A7C7B"/>
    <w:rsid w:val="5A3E2560"/>
    <w:rsid w:val="5A5D3B6E"/>
    <w:rsid w:val="5A637A76"/>
    <w:rsid w:val="5A646D83"/>
    <w:rsid w:val="5A6D33BA"/>
    <w:rsid w:val="5A792B1F"/>
    <w:rsid w:val="5A874767"/>
    <w:rsid w:val="5AAD6F28"/>
    <w:rsid w:val="5ABF408D"/>
    <w:rsid w:val="5AD6369C"/>
    <w:rsid w:val="5AD63A24"/>
    <w:rsid w:val="5AEC1644"/>
    <w:rsid w:val="5B2E1A1D"/>
    <w:rsid w:val="5B343554"/>
    <w:rsid w:val="5B7B38B7"/>
    <w:rsid w:val="5B843A1C"/>
    <w:rsid w:val="5B873E3F"/>
    <w:rsid w:val="5BA65021"/>
    <w:rsid w:val="5C02690E"/>
    <w:rsid w:val="5C196DA7"/>
    <w:rsid w:val="5C2A048C"/>
    <w:rsid w:val="5C373B72"/>
    <w:rsid w:val="5C80234E"/>
    <w:rsid w:val="5C8A680C"/>
    <w:rsid w:val="5CD6289B"/>
    <w:rsid w:val="5CE84AF5"/>
    <w:rsid w:val="5CF561F6"/>
    <w:rsid w:val="5D0C4701"/>
    <w:rsid w:val="5D0F0395"/>
    <w:rsid w:val="5D221076"/>
    <w:rsid w:val="5D3203A7"/>
    <w:rsid w:val="5D397964"/>
    <w:rsid w:val="5D5A391C"/>
    <w:rsid w:val="5D5F10C0"/>
    <w:rsid w:val="5D891B7B"/>
    <w:rsid w:val="5DAD38EE"/>
    <w:rsid w:val="5DB87CC4"/>
    <w:rsid w:val="5DF9688E"/>
    <w:rsid w:val="5E006862"/>
    <w:rsid w:val="5E0207B9"/>
    <w:rsid w:val="5E1834A1"/>
    <w:rsid w:val="5E1E37E3"/>
    <w:rsid w:val="5E261785"/>
    <w:rsid w:val="5E2C5875"/>
    <w:rsid w:val="5E335564"/>
    <w:rsid w:val="5E4A7017"/>
    <w:rsid w:val="5E552BBA"/>
    <w:rsid w:val="5E611C10"/>
    <w:rsid w:val="5E7D301B"/>
    <w:rsid w:val="5E8F0385"/>
    <w:rsid w:val="5EC512D3"/>
    <w:rsid w:val="5EE42BBD"/>
    <w:rsid w:val="5EFC7377"/>
    <w:rsid w:val="5F06174D"/>
    <w:rsid w:val="5F083003"/>
    <w:rsid w:val="5F29404D"/>
    <w:rsid w:val="5F3A3602"/>
    <w:rsid w:val="5F6277C6"/>
    <w:rsid w:val="5F6D0B1D"/>
    <w:rsid w:val="5F7511AD"/>
    <w:rsid w:val="5F7E0ECC"/>
    <w:rsid w:val="5F852DFD"/>
    <w:rsid w:val="5F8B79B9"/>
    <w:rsid w:val="5F8D0B82"/>
    <w:rsid w:val="5F992C52"/>
    <w:rsid w:val="5FBF5D05"/>
    <w:rsid w:val="5FCC5339"/>
    <w:rsid w:val="5FE34A5B"/>
    <w:rsid w:val="5FFE1E36"/>
    <w:rsid w:val="5FFE20D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6778"/>
    <w:rsid w:val="619F7F92"/>
    <w:rsid w:val="61B973DC"/>
    <w:rsid w:val="61F94C26"/>
    <w:rsid w:val="62000E56"/>
    <w:rsid w:val="62061326"/>
    <w:rsid w:val="622D6B06"/>
    <w:rsid w:val="624F3E49"/>
    <w:rsid w:val="62632286"/>
    <w:rsid w:val="62885958"/>
    <w:rsid w:val="62F40B65"/>
    <w:rsid w:val="62FC2CFE"/>
    <w:rsid w:val="63024505"/>
    <w:rsid w:val="63587ECC"/>
    <w:rsid w:val="635B1DB5"/>
    <w:rsid w:val="63711FED"/>
    <w:rsid w:val="6387663D"/>
    <w:rsid w:val="63880DDC"/>
    <w:rsid w:val="638D750D"/>
    <w:rsid w:val="63AC6CC0"/>
    <w:rsid w:val="63CC234F"/>
    <w:rsid w:val="63F303BE"/>
    <w:rsid w:val="64055776"/>
    <w:rsid w:val="64130209"/>
    <w:rsid w:val="64240056"/>
    <w:rsid w:val="643E143A"/>
    <w:rsid w:val="648B6EEF"/>
    <w:rsid w:val="6494748A"/>
    <w:rsid w:val="64C158BF"/>
    <w:rsid w:val="64C31541"/>
    <w:rsid w:val="64CE2EAA"/>
    <w:rsid w:val="64F130E3"/>
    <w:rsid w:val="64F25582"/>
    <w:rsid w:val="650054DB"/>
    <w:rsid w:val="653C3090"/>
    <w:rsid w:val="65424593"/>
    <w:rsid w:val="65457BCE"/>
    <w:rsid w:val="65516FAF"/>
    <w:rsid w:val="656A4F30"/>
    <w:rsid w:val="656E2A04"/>
    <w:rsid w:val="65807614"/>
    <w:rsid w:val="65854376"/>
    <w:rsid w:val="658767BE"/>
    <w:rsid w:val="65892531"/>
    <w:rsid w:val="65A90B99"/>
    <w:rsid w:val="66195831"/>
    <w:rsid w:val="662A4220"/>
    <w:rsid w:val="662E75B1"/>
    <w:rsid w:val="66342C2E"/>
    <w:rsid w:val="663E784C"/>
    <w:rsid w:val="668B6A45"/>
    <w:rsid w:val="67083BC9"/>
    <w:rsid w:val="67136C12"/>
    <w:rsid w:val="672F3F24"/>
    <w:rsid w:val="673E055F"/>
    <w:rsid w:val="67551CE3"/>
    <w:rsid w:val="67A22552"/>
    <w:rsid w:val="67B22DCC"/>
    <w:rsid w:val="67BE71AA"/>
    <w:rsid w:val="67D90273"/>
    <w:rsid w:val="67DE5875"/>
    <w:rsid w:val="67E55852"/>
    <w:rsid w:val="67EB1AB4"/>
    <w:rsid w:val="67FA1285"/>
    <w:rsid w:val="67FD51CC"/>
    <w:rsid w:val="68040ECB"/>
    <w:rsid w:val="680F2729"/>
    <w:rsid w:val="68551F4F"/>
    <w:rsid w:val="687C10C9"/>
    <w:rsid w:val="68840C16"/>
    <w:rsid w:val="68876EFB"/>
    <w:rsid w:val="68884654"/>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DE0BD1"/>
    <w:rsid w:val="6AE96859"/>
    <w:rsid w:val="6AFF5CBC"/>
    <w:rsid w:val="6B0A0C0B"/>
    <w:rsid w:val="6B147746"/>
    <w:rsid w:val="6B24787C"/>
    <w:rsid w:val="6B573233"/>
    <w:rsid w:val="6B5B6274"/>
    <w:rsid w:val="6B935D53"/>
    <w:rsid w:val="6BA75562"/>
    <w:rsid w:val="6BB86BC8"/>
    <w:rsid w:val="6BF52E48"/>
    <w:rsid w:val="6C196F71"/>
    <w:rsid w:val="6C226FCB"/>
    <w:rsid w:val="6C31226F"/>
    <w:rsid w:val="6C552F0B"/>
    <w:rsid w:val="6C8C67B7"/>
    <w:rsid w:val="6C9D744C"/>
    <w:rsid w:val="6CB30B5F"/>
    <w:rsid w:val="6D167928"/>
    <w:rsid w:val="6D26299B"/>
    <w:rsid w:val="6D437B25"/>
    <w:rsid w:val="6D4772EC"/>
    <w:rsid w:val="6D9078AF"/>
    <w:rsid w:val="6DAA3FEF"/>
    <w:rsid w:val="6DC0172B"/>
    <w:rsid w:val="6DCB690C"/>
    <w:rsid w:val="6DD41A5B"/>
    <w:rsid w:val="6DF43C2E"/>
    <w:rsid w:val="6DF51CA3"/>
    <w:rsid w:val="6E2600AE"/>
    <w:rsid w:val="6E364F94"/>
    <w:rsid w:val="6E3B1170"/>
    <w:rsid w:val="6E5378F4"/>
    <w:rsid w:val="6E8335BD"/>
    <w:rsid w:val="6E8E12EF"/>
    <w:rsid w:val="6E972936"/>
    <w:rsid w:val="6ECE2AFB"/>
    <w:rsid w:val="6ED446C5"/>
    <w:rsid w:val="6EEF6A26"/>
    <w:rsid w:val="6F272131"/>
    <w:rsid w:val="6F2A7D94"/>
    <w:rsid w:val="6F3947D7"/>
    <w:rsid w:val="6F78316E"/>
    <w:rsid w:val="6F7A6A2F"/>
    <w:rsid w:val="6F7B2B20"/>
    <w:rsid w:val="6F8331F1"/>
    <w:rsid w:val="6F9A118C"/>
    <w:rsid w:val="6FAE1A09"/>
    <w:rsid w:val="6FD75BF8"/>
    <w:rsid w:val="6FDC0ED4"/>
    <w:rsid w:val="70197FB8"/>
    <w:rsid w:val="7064131C"/>
    <w:rsid w:val="707723D0"/>
    <w:rsid w:val="70F5661B"/>
    <w:rsid w:val="71360107"/>
    <w:rsid w:val="713B688E"/>
    <w:rsid w:val="714C487F"/>
    <w:rsid w:val="715C2428"/>
    <w:rsid w:val="71686ACA"/>
    <w:rsid w:val="71864485"/>
    <w:rsid w:val="719721EE"/>
    <w:rsid w:val="71976A74"/>
    <w:rsid w:val="71D43752"/>
    <w:rsid w:val="71ED1F65"/>
    <w:rsid w:val="71F1796A"/>
    <w:rsid w:val="72154626"/>
    <w:rsid w:val="72262B5D"/>
    <w:rsid w:val="72283FF7"/>
    <w:rsid w:val="722E7212"/>
    <w:rsid w:val="723A0474"/>
    <w:rsid w:val="724C67D0"/>
    <w:rsid w:val="725923E4"/>
    <w:rsid w:val="72864BF7"/>
    <w:rsid w:val="729023FC"/>
    <w:rsid w:val="72BA7C58"/>
    <w:rsid w:val="72FD54F4"/>
    <w:rsid w:val="73176DC9"/>
    <w:rsid w:val="735AEACA"/>
    <w:rsid w:val="73911F99"/>
    <w:rsid w:val="73981CBB"/>
    <w:rsid w:val="739A7D73"/>
    <w:rsid w:val="73C0646E"/>
    <w:rsid w:val="73E50FF7"/>
    <w:rsid w:val="742222F5"/>
    <w:rsid w:val="74476126"/>
    <w:rsid w:val="74511C71"/>
    <w:rsid w:val="74706664"/>
    <w:rsid w:val="747F3682"/>
    <w:rsid w:val="748D684E"/>
    <w:rsid w:val="748F572A"/>
    <w:rsid w:val="749C4185"/>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826699"/>
    <w:rsid w:val="76AA29C3"/>
    <w:rsid w:val="76B441CE"/>
    <w:rsid w:val="76BA5DFE"/>
    <w:rsid w:val="76C87133"/>
    <w:rsid w:val="76CD08D5"/>
    <w:rsid w:val="76DB4B92"/>
    <w:rsid w:val="76E539FB"/>
    <w:rsid w:val="77052AA4"/>
    <w:rsid w:val="77136511"/>
    <w:rsid w:val="77323074"/>
    <w:rsid w:val="77340A39"/>
    <w:rsid w:val="77351FD0"/>
    <w:rsid w:val="77472422"/>
    <w:rsid w:val="777BA316"/>
    <w:rsid w:val="777F31F2"/>
    <w:rsid w:val="77972F48"/>
    <w:rsid w:val="77AB7BDA"/>
    <w:rsid w:val="77D1700D"/>
    <w:rsid w:val="77EC04CC"/>
    <w:rsid w:val="78024D8C"/>
    <w:rsid w:val="784967A1"/>
    <w:rsid w:val="7852068B"/>
    <w:rsid w:val="78775729"/>
    <w:rsid w:val="78A42DB0"/>
    <w:rsid w:val="78A656AB"/>
    <w:rsid w:val="78B2245C"/>
    <w:rsid w:val="78E172CC"/>
    <w:rsid w:val="78EA1D1F"/>
    <w:rsid w:val="7904172F"/>
    <w:rsid w:val="790F7E27"/>
    <w:rsid w:val="792312B5"/>
    <w:rsid w:val="792A231A"/>
    <w:rsid w:val="792A3948"/>
    <w:rsid w:val="79316829"/>
    <w:rsid w:val="794E7636"/>
    <w:rsid w:val="7967694A"/>
    <w:rsid w:val="797E66A9"/>
    <w:rsid w:val="798860EE"/>
    <w:rsid w:val="79A97383"/>
    <w:rsid w:val="79E27E8B"/>
    <w:rsid w:val="79F64450"/>
    <w:rsid w:val="79F850CE"/>
    <w:rsid w:val="79FD443C"/>
    <w:rsid w:val="7A13608D"/>
    <w:rsid w:val="7A1D1975"/>
    <w:rsid w:val="7A303C5C"/>
    <w:rsid w:val="7A3937AB"/>
    <w:rsid w:val="7A3E5150"/>
    <w:rsid w:val="7A4670D6"/>
    <w:rsid w:val="7A534B63"/>
    <w:rsid w:val="7A615382"/>
    <w:rsid w:val="7A67303B"/>
    <w:rsid w:val="7AAB1D04"/>
    <w:rsid w:val="7ABA4368"/>
    <w:rsid w:val="7ACB026F"/>
    <w:rsid w:val="7AD05746"/>
    <w:rsid w:val="7AD07682"/>
    <w:rsid w:val="7AD1367A"/>
    <w:rsid w:val="7AD22BDC"/>
    <w:rsid w:val="7B12733B"/>
    <w:rsid w:val="7B257FFD"/>
    <w:rsid w:val="7B343476"/>
    <w:rsid w:val="7B502316"/>
    <w:rsid w:val="7B5A2978"/>
    <w:rsid w:val="7B5A7E4C"/>
    <w:rsid w:val="7B667AF9"/>
    <w:rsid w:val="7B7468F8"/>
    <w:rsid w:val="7BEE0103"/>
    <w:rsid w:val="7C0A0FE4"/>
    <w:rsid w:val="7C254906"/>
    <w:rsid w:val="7C590818"/>
    <w:rsid w:val="7C743857"/>
    <w:rsid w:val="7C7C10F6"/>
    <w:rsid w:val="7C853BEA"/>
    <w:rsid w:val="7C881368"/>
    <w:rsid w:val="7C917E8B"/>
    <w:rsid w:val="7CA771C1"/>
    <w:rsid w:val="7CD66A6C"/>
    <w:rsid w:val="7CDB19D5"/>
    <w:rsid w:val="7CE27788"/>
    <w:rsid w:val="7CEF1130"/>
    <w:rsid w:val="7D090215"/>
    <w:rsid w:val="7D0C32F1"/>
    <w:rsid w:val="7D0F408D"/>
    <w:rsid w:val="7D1D4579"/>
    <w:rsid w:val="7D341A92"/>
    <w:rsid w:val="7D3D3E27"/>
    <w:rsid w:val="7D491C6C"/>
    <w:rsid w:val="7D5429C0"/>
    <w:rsid w:val="7D6E6D43"/>
    <w:rsid w:val="7D8F4AEE"/>
    <w:rsid w:val="7DB57A34"/>
    <w:rsid w:val="7DE15754"/>
    <w:rsid w:val="7DE60973"/>
    <w:rsid w:val="7DEF0916"/>
    <w:rsid w:val="7DFB432E"/>
    <w:rsid w:val="7E1E5218"/>
    <w:rsid w:val="7E9A4E1F"/>
    <w:rsid w:val="7EA7723A"/>
    <w:rsid w:val="7EF56FBB"/>
    <w:rsid w:val="7F0768EB"/>
    <w:rsid w:val="7F0A3A81"/>
    <w:rsid w:val="7F143BEC"/>
    <w:rsid w:val="7F4852A5"/>
    <w:rsid w:val="7F715AF2"/>
    <w:rsid w:val="7F886E69"/>
    <w:rsid w:val="7FB361D6"/>
    <w:rsid w:val="7FBA2CB8"/>
    <w:rsid w:val="7FEC029E"/>
    <w:rsid w:val="A7FF59E2"/>
    <w:rsid w:val="BB7FA927"/>
    <w:rsid w:val="BFFDF825"/>
    <w:rsid w:val="D56F4211"/>
    <w:rsid w:val="EAFD4970"/>
    <w:rsid w:val="F5FFD31F"/>
    <w:rsid w:val="F6BFD523"/>
    <w:rsid w:val="F8BFD1FC"/>
    <w:rsid w:val="FDDF1E79"/>
    <w:rsid w:val="FF54DE84"/>
    <w:rsid w:val="FFBF4C05"/>
    <w:rsid w:val="FFDEE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3"/>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表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_Style 468"/>
    <w:basedOn w:val="1"/>
    <w:next w:val="255"/>
    <w:qFormat/>
    <w:uiPriority w:val="99"/>
    <w:pPr>
      <w:spacing w:line="360" w:lineRule="auto"/>
      <w:ind w:firstLine="200" w:firstLineChars="200"/>
    </w:pPr>
    <w:rPr>
      <w:rFonts w:ascii="宋体" w:hAnsi="宋体"/>
      <w:kern w:val="0"/>
      <w:sz w:val="20"/>
    </w:rPr>
  </w:style>
  <w:style w:type="character" w:customStyle="1" w:styleId="962">
    <w:name w:val="ca-1"/>
    <w:qFormat/>
    <w:uiPriority w:val="0"/>
  </w:style>
  <w:style w:type="paragraph" w:customStyle="1" w:styleId="963">
    <w:name w:val="[Normal]"/>
    <w:qFormat/>
    <w:uiPriority w:val="0"/>
    <w:rPr>
      <w:rFonts w:ascii="宋体" w:hAnsi="宋体" w:eastAsia="宋体" w:cs="Times New Roman"/>
      <w:sz w:val="24"/>
      <w:szCs w:val="22"/>
      <w:lang w:val="zh-CN" w:eastAsia="zh-CN" w:bidi="ar-SA"/>
    </w:rPr>
  </w:style>
  <w:style w:type="character" w:customStyle="1" w:styleId="964">
    <w:name w:val="10"/>
    <w:basedOn w:val="69"/>
    <w:qFormat/>
    <w:uiPriority w:val="0"/>
    <w:rPr>
      <w:rFonts w:hint="default" w:ascii="Calibri" w:hAnsi="Calibri" w:cs="Calibri"/>
    </w:rPr>
  </w:style>
  <w:style w:type="paragraph" w:customStyle="1" w:styleId="96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56693</Words>
  <Characters>60744</Characters>
  <Lines>516</Lines>
  <Paragraphs>145</Paragraphs>
  <TotalTime>15</TotalTime>
  <ScaleCrop>false</ScaleCrop>
  <LinksUpToDate>false</LinksUpToDate>
  <CharactersWithSpaces>66736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CMJ</cp:lastModifiedBy>
  <cp:lastPrinted>2021-12-30T11:06:00Z</cp:lastPrinted>
  <dcterms:modified xsi:type="dcterms:W3CDTF">2022-05-24T01:49:29Z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B41D10A6819C4D1080D4624DDB27D718</vt:lpwstr>
  </property>
  <property fmtid="{D5CDD505-2E9C-101B-9397-08002B2CF9AE}" pid="5" name="commondata">
    <vt:lpwstr>eyJoZGlkIjoiYjI0NjI4YjUzMWZjY2QzYTEwZTc4ZjdlY2ZlYWFjNWMifQ==</vt:lpwstr>
  </property>
</Properties>
</file>