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_GB2312"/>
          <w:b/>
          <w:color w:val="auto"/>
          <w:sz w:val="24"/>
          <w:highlight w:val="none"/>
        </w:rPr>
      </w:pPr>
    </w:p>
    <w:p>
      <w:pPr>
        <w:spacing w:line="360" w:lineRule="auto"/>
        <w:jc w:val="center"/>
        <w:rPr>
          <w:rFonts w:ascii="仿宋" w:hAnsi="仿宋" w:eastAsia="仿宋" w:cs="仿宋_GB2312"/>
          <w:b/>
          <w:color w:val="auto"/>
          <w:sz w:val="24"/>
          <w:highlight w:val="none"/>
        </w:rPr>
      </w:pPr>
    </w:p>
    <w:p>
      <w:pPr>
        <w:adjustRightInd/>
        <w:spacing w:line="360" w:lineRule="auto"/>
        <w:jc w:val="center"/>
        <w:rPr>
          <w:rFonts w:ascii="仿宋_GB2312" w:hAnsi="仿宋" w:eastAsia="仿宋_GB2312" w:cs="仿宋_GB2312"/>
          <w:b/>
          <w:color w:val="auto"/>
          <w:sz w:val="48"/>
          <w:szCs w:val="48"/>
          <w:highlight w:val="none"/>
        </w:rPr>
      </w:pPr>
    </w:p>
    <w:p>
      <w:pPr>
        <w:adjustRightInd/>
        <w:spacing w:line="360" w:lineRule="auto"/>
        <w:jc w:val="center"/>
        <w:rPr>
          <w:rFonts w:hint="eastAsia" w:ascii="仿宋" w:hAnsi="仿宋" w:eastAsia="宋体" w:cs="仿宋_GB2312"/>
          <w:color w:val="auto"/>
          <w:sz w:val="48"/>
          <w:szCs w:val="48"/>
          <w:highlight w:val="none"/>
          <w:lang w:eastAsia="zh-CN"/>
        </w:rPr>
      </w:pPr>
      <w:r>
        <w:rPr>
          <w:rFonts w:hint="eastAsia" w:ascii="仿宋" w:hAnsi="仿宋" w:cs="仿宋_GB2312"/>
          <w:color w:val="auto"/>
          <w:sz w:val="48"/>
          <w:szCs w:val="48"/>
          <w:highlight w:val="none"/>
          <w:lang w:eastAsia="zh-CN"/>
        </w:rPr>
        <w:t>杭州钱塘区下沙区块公共卫生间物业化管理服务项目</w:t>
      </w:r>
    </w:p>
    <w:p>
      <w:pPr>
        <w:adjustRightInd/>
        <w:spacing w:line="360" w:lineRule="auto"/>
        <w:jc w:val="center"/>
        <w:rPr>
          <w:rFonts w:ascii="仿宋" w:hAnsi="仿宋" w:eastAsia="仿宋" w:cs="仿宋_GB2312"/>
          <w:color w:val="auto"/>
          <w:sz w:val="48"/>
          <w:szCs w:val="48"/>
          <w:highlight w:val="none"/>
        </w:rPr>
      </w:pPr>
      <w:r>
        <w:rPr>
          <w:rFonts w:hint="eastAsia" w:ascii="仿宋" w:hAnsi="仿宋" w:eastAsia="仿宋" w:cs="仿宋_GB2312"/>
          <w:color w:val="auto"/>
          <w:sz w:val="48"/>
          <w:szCs w:val="48"/>
          <w:highlight w:val="none"/>
        </w:rPr>
        <w:t>招标文件</w:t>
      </w:r>
    </w:p>
    <w:p>
      <w:pPr>
        <w:adjustRightInd/>
        <w:spacing w:line="360" w:lineRule="auto"/>
        <w:jc w:val="center"/>
        <w:rPr>
          <w:rFonts w:ascii="仿宋" w:hAnsi="仿宋" w:eastAsia="仿宋" w:cs="仿宋_GB2312"/>
          <w:b/>
          <w:color w:val="auto"/>
          <w:sz w:val="44"/>
          <w:szCs w:val="44"/>
          <w:highlight w:val="none"/>
        </w:rPr>
      </w:pPr>
      <w:r>
        <w:rPr>
          <w:rFonts w:ascii="仿宋" w:hAnsi="仿宋" w:eastAsia="仿宋" w:cs="仿宋_GB2312"/>
          <w:b/>
          <w:color w:val="auto"/>
          <w:sz w:val="44"/>
          <w:szCs w:val="44"/>
          <w:highlight w:val="none"/>
        </w:rPr>
        <w:t xml:space="preserve"> （电子招投标）</w:t>
      </w:r>
    </w:p>
    <w:p>
      <w:pPr>
        <w:snapToGrid w:val="0"/>
        <w:spacing w:line="360" w:lineRule="auto"/>
        <w:jc w:val="center"/>
        <w:rPr>
          <w:rFonts w:hint="eastAsia" w:ascii="仿宋" w:hAnsi="仿宋" w:eastAsia="仿宋" w:cs="仿宋_GB2312"/>
          <w:color w:val="auto"/>
          <w:sz w:val="30"/>
          <w:szCs w:val="30"/>
          <w:highlight w:val="none"/>
        </w:rPr>
      </w:pPr>
    </w:p>
    <w:p>
      <w:pPr>
        <w:snapToGrid w:val="0"/>
        <w:spacing w:line="360" w:lineRule="auto"/>
        <w:jc w:val="center"/>
        <w:rPr>
          <w:rFonts w:hint="eastAsia" w:ascii="仿宋" w:hAnsi="仿宋" w:eastAsia="仿宋" w:cs="仿宋_GB2312"/>
          <w:color w:val="auto"/>
          <w:sz w:val="30"/>
          <w:szCs w:val="30"/>
          <w:highlight w:val="none"/>
        </w:rPr>
      </w:pPr>
    </w:p>
    <w:p>
      <w:pPr>
        <w:snapToGrid w:val="0"/>
        <w:spacing w:line="360" w:lineRule="auto"/>
        <w:jc w:val="center"/>
        <w:rPr>
          <w:rFonts w:hint="eastAsia" w:ascii="仿宋" w:hAnsi="仿宋" w:eastAsia="仿宋" w:cs="仿宋_GB2312"/>
          <w:color w:val="auto"/>
          <w:sz w:val="30"/>
          <w:szCs w:val="30"/>
          <w:highlight w:val="none"/>
        </w:rPr>
      </w:pPr>
    </w:p>
    <w:p>
      <w:pPr>
        <w:snapToGrid w:val="0"/>
        <w:spacing w:line="360" w:lineRule="auto"/>
        <w:jc w:val="center"/>
        <w:rPr>
          <w:rFonts w:hint="eastAsia" w:ascii="仿宋" w:hAnsi="仿宋" w:eastAsia="仿宋" w:cs="仿宋_GB2312"/>
          <w:color w:val="auto"/>
          <w:sz w:val="30"/>
          <w:szCs w:val="30"/>
          <w:highlight w:val="none"/>
          <w:lang w:eastAsia="zh-CN"/>
        </w:rPr>
      </w:pPr>
      <w:r>
        <w:rPr>
          <w:rFonts w:hint="eastAsia" w:ascii="仿宋" w:hAnsi="仿宋" w:eastAsia="仿宋" w:cs="仿宋_GB2312"/>
          <w:color w:val="auto"/>
          <w:sz w:val="30"/>
          <w:szCs w:val="30"/>
          <w:highlight w:val="none"/>
        </w:rPr>
        <w:t>编号</w:t>
      </w:r>
      <w:r>
        <w:rPr>
          <w:rFonts w:ascii="仿宋" w:hAnsi="仿宋" w:eastAsia="仿宋" w:cs="仿宋_GB2312"/>
          <w:color w:val="auto"/>
          <w:sz w:val="30"/>
          <w:szCs w:val="30"/>
          <w:highlight w:val="none"/>
        </w:rPr>
        <w:t>:</w:t>
      </w:r>
      <w:r>
        <w:rPr>
          <w:rFonts w:hint="eastAsia" w:ascii="仿宋" w:hAnsi="仿宋" w:cs="仿宋_GB2312"/>
          <w:color w:val="auto"/>
          <w:sz w:val="30"/>
          <w:szCs w:val="30"/>
          <w:highlight w:val="none"/>
          <w:lang w:eastAsia="zh-CN"/>
        </w:rPr>
        <w:t>QTCG-GK-2022-062</w:t>
      </w:r>
    </w:p>
    <w:p>
      <w:pPr>
        <w:adjustRightInd/>
        <w:spacing w:line="360" w:lineRule="auto"/>
        <w:rPr>
          <w:rFonts w:ascii="仿宋" w:hAnsi="仿宋" w:eastAsia="仿宋" w:cs="仿宋_GB2312"/>
          <w:color w:val="auto"/>
          <w:sz w:val="28"/>
          <w:szCs w:val="20"/>
          <w:highlight w:val="none"/>
        </w:rPr>
      </w:pPr>
    </w:p>
    <w:p>
      <w:pPr>
        <w:spacing w:line="360" w:lineRule="auto"/>
        <w:jc w:val="center"/>
        <w:rPr>
          <w:rFonts w:ascii="仿宋" w:hAnsi="仿宋" w:eastAsia="仿宋" w:cs="仿宋_GB2312"/>
          <w:b/>
          <w:color w:val="auto"/>
          <w:sz w:val="44"/>
          <w:szCs w:val="44"/>
          <w:highlight w:val="none"/>
        </w:rPr>
      </w:pPr>
      <w:r>
        <w:rPr>
          <w:rFonts w:ascii="仿宋" w:hAnsi="仿宋" w:eastAsia="仿宋" w:cs="仿宋_GB2312"/>
          <w:b/>
          <w:color w:val="auto"/>
          <w:sz w:val="44"/>
          <w:szCs w:val="44"/>
          <w:highlight w:val="none"/>
        </w:rPr>
        <w:t xml:space="preserve"> </w:t>
      </w:r>
    </w:p>
    <w:p>
      <w:pPr>
        <w:spacing w:line="360" w:lineRule="auto"/>
        <w:jc w:val="center"/>
        <w:rPr>
          <w:rFonts w:ascii="仿宋" w:hAnsi="仿宋" w:eastAsia="仿宋" w:cs="仿宋_GB2312"/>
          <w:b/>
          <w:color w:val="auto"/>
          <w:sz w:val="44"/>
          <w:szCs w:val="44"/>
          <w:highlight w:val="none"/>
        </w:rPr>
      </w:pPr>
    </w:p>
    <w:p>
      <w:pPr>
        <w:spacing w:line="360" w:lineRule="auto"/>
        <w:jc w:val="center"/>
        <w:rPr>
          <w:rFonts w:ascii="仿宋" w:hAnsi="仿宋" w:eastAsia="仿宋" w:cs="仿宋_GB2312"/>
          <w:color w:val="auto"/>
          <w:sz w:val="24"/>
          <w:highlight w:val="none"/>
        </w:rPr>
      </w:pPr>
    </w:p>
    <w:p>
      <w:pPr>
        <w:spacing w:line="360" w:lineRule="auto"/>
        <w:jc w:val="center"/>
        <w:rPr>
          <w:rFonts w:ascii="仿宋" w:hAnsi="仿宋" w:eastAsia="仿宋" w:cs="仿宋_GB2312"/>
          <w:color w:val="auto"/>
          <w:sz w:val="24"/>
          <w:highlight w:val="none"/>
        </w:rPr>
      </w:pPr>
    </w:p>
    <w:p>
      <w:pPr>
        <w:spacing w:line="360" w:lineRule="auto"/>
        <w:rPr>
          <w:rFonts w:ascii="仿宋" w:hAnsi="仿宋" w:eastAsia="仿宋" w:cs="仿宋_GB2312"/>
          <w:color w:val="auto"/>
          <w:sz w:val="32"/>
          <w:szCs w:val="32"/>
          <w:highlight w:val="none"/>
        </w:rPr>
      </w:pPr>
    </w:p>
    <w:p>
      <w:pPr>
        <w:spacing w:line="360" w:lineRule="auto"/>
        <w:jc w:val="center"/>
        <w:rPr>
          <w:rFonts w:hint="eastAsia" w:ascii="仿宋" w:hAnsi="仿宋" w:eastAsia="仿宋" w:cs="仿宋"/>
          <w:color w:val="auto"/>
          <w:sz w:val="36"/>
          <w:szCs w:val="36"/>
          <w:highlight w:val="none"/>
          <w:lang w:eastAsia="zh-CN"/>
        </w:rPr>
      </w:pPr>
      <w:r>
        <w:rPr>
          <w:rFonts w:hint="eastAsia" w:ascii="仿宋" w:hAnsi="仿宋" w:cs="仿宋"/>
          <w:color w:val="auto"/>
          <w:sz w:val="36"/>
          <w:szCs w:val="36"/>
          <w:highlight w:val="none"/>
          <w:lang w:eastAsia="zh-CN"/>
        </w:rPr>
        <w:t>杭州市钱塘区综合行政执法局</w:t>
      </w:r>
    </w:p>
    <w:p>
      <w:pPr>
        <w:spacing w:line="360" w:lineRule="auto"/>
        <w:jc w:val="center"/>
        <w:rPr>
          <w:rFonts w:ascii="仿宋" w:hAnsi="仿宋" w:eastAsia="仿宋" w:cs="仿宋"/>
          <w:color w:val="auto"/>
          <w:sz w:val="36"/>
          <w:szCs w:val="36"/>
          <w:highlight w:val="none"/>
        </w:rPr>
      </w:pPr>
      <w:r>
        <w:rPr>
          <w:rFonts w:hint="eastAsia" w:ascii="仿宋" w:hAnsi="仿宋" w:eastAsia="仿宋" w:cs="仿宋"/>
          <w:color w:val="auto"/>
          <w:sz w:val="36"/>
          <w:szCs w:val="36"/>
          <w:highlight w:val="none"/>
        </w:rPr>
        <w:t>杭州市公共资源交易中心</w:t>
      </w:r>
      <w:r>
        <w:rPr>
          <w:rFonts w:hint="eastAsia" w:ascii="仿宋" w:hAnsi="仿宋" w:eastAsia="仿宋" w:cs="仿宋"/>
          <w:color w:val="auto"/>
          <w:sz w:val="36"/>
          <w:szCs w:val="36"/>
          <w:highlight w:val="none"/>
          <w:lang w:val="en-US" w:eastAsia="zh-CN"/>
        </w:rPr>
        <w:t>钱塘</w:t>
      </w:r>
      <w:r>
        <w:rPr>
          <w:rFonts w:hint="eastAsia" w:ascii="仿宋" w:hAnsi="仿宋" w:eastAsia="仿宋" w:cs="仿宋"/>
          <w:color w:val="auto"/>
          <w:sz w:val="36"/>
          <w:szCs w:val="36"/>
          <w:highlight w:val="none"/>
        </w:rPr>
        <w:t>分中心</w:t>
      </w:r>
    </w:p>
    <w:p>
      <w:pPr>
        <w:spacing w:line="360" w:lineRule="auto"/>
        <w:jc w:val="center"/>
        <w:rPr>
          <w:rFonts w:ascii="仿宋" w:hAnsi="仿宋" w:eastAsia="仿宋" w:cs="仿宋_GB2312"/>
          <w:color w:val="auto"/>
          <w:sz w:val="24"/>
          <w:highlight w:val="none"/>
        </w:rPr>
      </w:pPr>
      <w:r>
        <w:rPr>
          <w:rFonts w:hint="eastAsia" w:ascii="仿宋" w:hAnsi="仿宋" w:eastAsia="仿宋" w:cs="仿宋"/>
          <w:color w:val="auto"/>
          <w:sz w:val="36"/>
          <w:szCs w:val="36"/>
          <w:highlight w:val="none"/>
          <w:lang w:eastAsia="zh-CN"/>
        </w:rPr>
        <w:t>二〇二二年</w:t>
      </w:r>
      <w:r>
        <w:rPr>
          <w:rFonts w:hint="eastAsia" w:ascii="仿宋" w:hAnsi="仿宋" w:cs="仿宋"/>
          <w:color w:val="auto"/>
          <w:sz w:val="36"/>
          <w:szCs w:val="36"/>
          <w:highlight w:val="none"/>
          <w:lang w:val="en-US" w:eastAsia="zh-CN"/>
        </w:rPr>
        <w:t>四</w:t>
      </w:r>
      <w:r>
        <w:rPr>
          <w:rFonts w:hint="eastAsia" w:ascii="仿宋" w:hAnsi="仿宋" w:eastAsia="仿宋" w:cs="仿宋"/>
          <w:color w:val="auto"/>
          <w:sz w:val="36"/>
          <w:szCs w:val="36"/>
          <w:highlight w:val="none"/>
          <w:lang w:eastAsia="zh-CN"/>
        </w:rPr>
        <w:t>月</w:t>
      </w:r>
      <w:r>
        <w:rPr>
          <w:rFonts w:hint="eastAsia" w:ascii="仿宋" w:hAnsi="仿宋" w:cs="仿宋"/>
          <w:color w:val="auto"/>
          <w:sz w:val="36"/>
          <w:szCs w:val="36"/>
          <w:highlight w:val="none"/>
          <w:lang w:val="en-US" w:eastAsia="zh-CN"/>
        </w:rPr>
        <w:t>二</w:t>
      </w:r>
      <w:r>
        <w:rPr>
          <w:rFonts w:hint="eastAsia" w:ascii="仿宋" w:hAnsi="仿宋" w:eastAsia="仿宋" w:cs="仿宋"/>
          <w:color w:val="auto"/>
          <w:sz w:val="36"/>
          <w:szCs w:val="36"/>
          <w:highlight w:val="none"/>
          <w:lang w:eastAsia="zh-CN"/>
        </w:rPr>
        <w:t>日</w:t>
      </w:r>
      <w:r>
        <w:rPr>
          <w:rFonts w:ascii="仿宋" w:hAnsi="仿宋" w:eastAsia="仿宋" w:cs="仿宋_GB2312"/>
          <w:color w:val="auto"/>
          <w:sz w:val="24"/>
          <w:highlight w:val="none"/>
        </w:rPr>
        <w:br w:type="page"/>
      </w:r>
      <w:bookmarkStart w:id="0" w:name="_Hlt67893495"/>
      <w:bookmarkEnd w:id="0"/>
    </w:p>
    <w:p>
      <w:pPr>
        <w:spacing w:line="360" w:lineRule="auto"/>
        <w:jc w:val="center"/>
        <w:rPr>
          <w:rFonts w:ascii="仿宋" w:hAnsi="仿宋" w:eastAsia="仿宋" w:cs="仿宋_GB2312"/>
          <w:color w:val="auto"/>
          <w:sz w:val="24"/>
          <w:highlight w:val="none"/>
        </w:rPr>
      </w:pPr>
    </w:p>
    <w:p>
      <w:pPr>
        <w:spacing w:line="360" w:lineRule="auto"/>
        <w:jc w:val="center"/>
        <w:rPr>
          <w:rFonts w:ascii="仿宋" w:hAnsi="仿宋" w:eastAsia="仿宋" w:cs="仿宋_GB2312"/>
          <w:b/>
          <w:color w:val="auto"/>
          <w:sz w:val="48"/>
          <w:szCs w:val="48"/>
          <w:highlight w:val="none"/>
        </w:rPr>
      </w:pPr>
      <w:r>
        <w:rPr>
          <w:rFonts w:hint="eastAsia" w:ascii="仿宋" w:hAnsi="仿宋" w:eastAsia="仿宋" w:cs="仿宋_GB2312"/>
          <w:b/>
          <w:color w:val="auto"/>
          <w:sz w:val="48"/>
          <w:szCs w:val="48"/>
          <w:highlight w:val="none"/>
        </w:rPr>
        <w:t>目</w:t>
      </w:r>
      <w:r>
        <w:rPr>
          <w:rFonts w:ascii="仿宋" w:hAnsi="仿宋" w:eastAsia="仿宋" w:cs="仿宋_GB2312"/>
          <w:b/>
          <w:color w:val="auto"/>
          <w:sz w:val="48"/>
          <w:szCs w:val="48"/>
          <w:highlight w:val="none"/>
        </w:rPr>
        <w:t xml:space="preserve">  </w:t>
      </w:r>
      <w:r>
        <w:rPr>
          <w:rFonts w:hint="eastAsia" w:ascii="仿宋" w:hAnsi="仿宋" w:eastAsia="仿宋" w:cs="仿宋_GB2312"/>
          <w:b/>
          <w:color w:val="auto"/>
          <w:sz w:val="48"/>
          <w:szCs w:val="48"/>
          <w:highlight w:val="none"/>
        </w:rPr>
        <w:t>录</w:t>
      </w:r>
    </w:p>
    <w:p>
      <w:pPr>
        <w:spacing w:line="360" w:lineRule="auto"/>
        <w:rPr>
          <w:rFonts w:ascii="仿宋" w:hAnsi="仿宋" w:eastAsia="仿宋" w:cs="仿宋_GB2312"/>
          <w:color w:val="auto"/>
          <w:sz w:val="32"/>
          <w:szCs w:val="32"/>
          <w:highlight w:val="none"/>
        </w:rPr>
      </w:pPr>
    </w:p>
    <w:p>
      <w:pPr>
        <w:spacing w:line="360" w:lineRule="auto"/>
        <w:rPr>
          <w:rFonts w:ascii="仿宋" w:hAnsi="仿宋" w:eastAsia="仿宋" w:cs="仿宋_GB2312"/>
          <w:color w:val="auto"/>
          <w:sz w:val="32"/>
          <w:szCs w:val="32"/>
          <w:highlight w:val="none"/>
        </w:rPr>
      </w:pP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第一部分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招标公告</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第二部分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投标人须知</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第三部分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采购需求</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第四部分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评标办法</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第五部分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拟签订的合同文本</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第六部分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应提交的有关格式范例</w:t>
      </w:r>
    </w:p>
    <w:p>
      <w:pPr>
        <w:spacing w:line="360" w:lineRule="auto"/>
        <w:ind w:firstLine="549" w:firstLineChars="229"/>
        <w:rPr>
          <w:rFonts w:ascii="仿宋" w:hAnsi="仿宋" w:eastAsia="仿宋" w:cs="仿宋_GB2312"/>
          <w:color w:val="auto"/>
          <w:sz w:val="24"/>
          <w:highlight w:val="none"/>
        </w:rPr>
      </w:pPr>
      <w:bookmarkStart w:id="1" w:name="_Hlt91233176"/>
      <w:bookmarkEnd w:id="1"/>
      <w:bookmarkStart w:id="2" w:name="_Toc91899869"/>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ind w:firstLine="549" w:firstLineChars="229"/>
        <w:rPr>
          <w:rFonts w:ascii="仿宋" w:hAnsi="仿宋" w:eastAsia="仿宋" w:cs="仿宋_GB2312"/>
          <w:color w:val="auto"/>
          <w:sz w:val="24"/>
          <w:highlight w:val="none"/>
        </w:rPr>
      </w:pPr>
    </w:p>
    <w:p>
      <w:pPr>
        <w:spacing w:line="360" w:lineRule="auto"/>
        <w:rPr>
          <w:rFonts w:ascii="仿宋" w:hAnsi="仿宋" w:eastAsia="仿宋" w:cs="仿宋_GB2312"/>
          <w:color w:val="auto"/>
          <w:sz w:val="24"/>
          <w:highlight w:val="none"/>
        </w:rPr>
      </w:pPr>
    </w:p>
    <w:p>
      <w:pPr>
        <w:adjustRightInd/>
        <w:spacing w:line="360" w:lineRule="auto"/>
        <w:jc w:val="center"/>
        <w:outlineLvl w:val="0"/>
        <w:rPr>
          <w:rFonts w:ascii="仿宋_GB2312" w:hAnsi="仿宋" w:eastAsia="仿宋_GB2312" w:cs="仿宋_GB2312"/>
          <w:b/>
          <w:color w:val="auto"/>
          <w:sz w:val="36"/>
          <w:szCs w:val="20"/>
          <w:highlight w:val="none"/>
        </w:rPr>
      </w:pPr>
      <w:bookmarkStart w:id="3" w:name="第一部分"/>
      <w:r>
        <w:rPr>
          <w:rFonts w:ascii="仿宋" w:hAnsi="仿宋" w:eastAsia="仿宋" w:cs="仿宋_GB2312"/>
          <w:b/>
          <w:color w:val="auto"/>
          <w:sz w:val="36"/>
          <w:szCs w:val="36"/>
          <w:highlight w:val="none"/>
        </w:rPr>
        <w:br w:type="page"/>
      </w:r>
      <w:bookmarkEnd w:id="2"/>
      <w:bookmarkEnd w:id="3"/>
      <w:bookmarkStart w:id="4" w:name="_Hlt74728647"/>
      <w:bookmarkEnd w:id="4"/>
      <w:bookmarkStart w:id="5" w:name="_Hlt74707423"/>
      <w:bookmarkEnd w:id="5"/>
      <w:bookmarkStart w:id="6" w:name="_Hlt74729822"/>
      <w:bookmarkEnd w:id="6"/>
      <w:bookmarkStart w:id="7" w:name="_Hlt74649545"/>
      <w:bookmarkEnd w:id="7"/>
      <w:bookmarkStart w:id="8" w:name="第二部分"/>
      <w:bookmarkStart w:id="9" w:name="_Toc91899870"/>
      <w:bookmarkStart w:id="10" w:name="_Toc91899871"/>
      <w:r>
        <w:rPr>
          <w:rFonts w:hint="eastAsia" w:ascii="仿宋" w:hAnsi="仿宋" w:eastAsia="仿宋" w:cs="仿宋_GB2312"/>
          <w:b/>
          <w:color w:val="auto"/>
          <w:sz w:val="36"/>
          <w:szCs w:val="20"/>
          <w:highlight w:val="none"/>
        </w:rPr>
        <w:t>第一部分</w:t>
      </w:r>
      <w:r>
        <w:rPr>
          <w:rFonts w:ascii="仿宋" w:hAnsi="仿宋" w:eastAsia="仿宋" w:cs="仿宋_GB2312"/>
          <w:b/>
          <w:color w:val="auto"/>
          <w:sz w:val="36"/>
          <w:szCs w:val="20"/>
          <w:highlight w:val="none"/>
        </w:rPr>
        <w:t xml:space="preserve"> </w:t>
      </w:r>
      <w:r>
        <w:rPr>
          <w:rFonts w:hint="eastAsia" w:ascii="仿宋_GB2312" w:hAnsi="仿宋" w:eastAsia="仿宋_GB2312" w:cs="仿宋_GB2312"/>
          <w:b/>
          <w:color w:val="auto"/>
          <w:sz w:val="36"/>
          <w:szCs w:val="20"/>
          <w:highlight w:val="none"/>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highlight w:val="none"/>
          <w:u w:val="single"/>
        </w:rPr>
      </w:pPr>
      <w:r>
        <w:rPr>
          <w:rFonts w:hint="eastAsia" w:ascii="仿宋_GB2312" w:hAnsi="仿宋" w:eastAsia="仿宋_GB2312" w:cs="仿宋_GB2312"/>
          <w:color w:val="auto"/>
          <w:sz w:val="24"/>
          <w:highlight w:val="none"/>
          <w:u w:val="single"/>
          <w:lang w:eastAsia="zh-CN"/>
        </w:rPr>
        <w:t>杭州钱塘区下沙区块公共卫生间物业化管理服务项目</w:t>
      </w:r>
      <w:r>
        <w:rPr>
          <w:rFonts w:hint="eastAsia" w:ascii="仿宋_GB2312" w:hAnsi="仿宋" w:eastAsia="仿宋_GB2312"/>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6"/>
          <w:rFonts w:ascii="仿宋_GB2312" w:hAnsi="仿宋" w:eastAsia="仿宋_GB2312" w:cs="Times New Roman"/>
          <w:snapToGrid/>
          <w:color w:val="auto"/>
          <w:kern w:val="2"/>
          <w:sz w:val="24"/>
          <w:szCs w:val="24"/>
          <w:highlight w:val="none"/>
        </w:rPr>
        <w:t>https://www.zcygov.cn/）获取（下载）招标文件，并于</w:t>
      </w:r>
      <w:r>
        <w:rPr>
          <w:rFonts w:hint="eastAsia" w:ascii="仿宋_GB2312" w:hAnsi="仿宋" w:eastAsia="仿宋_GB2312"/>
          <w:color w:val="auto"/>
          <w:sz w:val="24"/>
          <w:highlight w:val="none"/>
          <w:u w:val="single"/>
        </w:rPr>
        <w:t>202</w:t>
      </w:r>
      <w:r>
        <w:rPr>
          <w:rFonts w:hint="eastAsia" w:ascii="仿宋_GB2312" w:hAnsi="仿宋" w:eastAsia="仿宋_GB2312"/>
          <w:color w:val="auto"/>
          <w:sz w:val="24"/>
          <w:highlight w:val="none"/>
          <w:u w:val="single"/>
          <w:lang w:val="en-US" w:eastAsia="zh-CN"/>
        </w:rPr>
        <w:t>2</w:t>
      </w:r>
      <w:r>
        <w:rPr>
          <w:rFonts w:ascii="仿宋_GB2312" w:hAnsi="仿宋" w:eastAsia="仿宋_GB2312"/>
          <w:color w:val="auto"/>
          <w:sz w:val="24"/>
          <w:highlight w:val="none"/>
          <w:u w:val="single"/>
        </w:rPr>
        <w:t>年</w:t>
      </w:r>
      <w:r>
        <w:rPr>
          <w:rFonts w:hint="eastAsia" w:ascii="仿宋_GB2312" w:hAnsi="仿宋" w:eastAsia="仿宋_GB2312"/>
          <w:color w:val="auto"/>
          <w:sz w:val="24"/>
          <w:highlight w:val="none"/>
          <w:u w:val="single"/>
          <w:lang w:val="en-US" w:eastAsia="zh-CN"/>
        </w:rPr>
        <w:t>4</w:t>
      </w:r>
      <w:r>
        <w:rPr>
          <w:rFonts w:hint="eastAsia" w:ascii="仿宋_GB2312" w:hAnsi="仿宋" w:eastAsia="仿宋_GB2312"/>
          <w:color w:val="auto"/>
          <w:sz w:val="24"/>
          <w:highlight w:val="none"/>
          <w:u w:val="single"/>
        </w:rPr>
        <w:t>月</w:t>
      </w:r>
      <w:r>
        <w:rPr>
          <w:rFonts w:hint="eastAsia" w:ascii="仿宋_GB2312" w:hAnsi="仿宋" w:eastAsia="仿宋_GB2312"/>
          <w:color w:val="auto"/>
          <w:sz w:val="24"/>
          <w:highlight w:val="none"/>
          <w:u w:val="single"/>
          <w:lang w:val="en-US" w:eastAsia="zh-CN"/>
        </w:rPr>
        <w:t>25</w:t>
      </w:r>
      <w:r>
        <w:rPr>
          <w:rFonts w:hint="eastAsia" w:ascii="仿宋_GB2312" w:hAnsi="仿宋" w:eastAsia="仿宋_GB2312"/>
          <w:color w:val="auto"/>
          <w:sz w:val="24"/>
          <w:highlight w:val="none"/>
          <w:u w:val="single"/>
        </w:rPr>
        <w:t>日</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点</w:t>
      </w:r>
      <w:r>
        <w:rPr>
          <w:rFonts w:hint="eastAsia" w:ascii="仿宋_GB2312" w:hAnsi="仿宋" w:eastAsia="仿宋_GB2312"/>
          <w:color w:val="auto"/>
          <w:sz w:val="24"/>
          <w:highlight w:val="none"/>
          <w:u w:val="single"/>
          <w:lang w:val="en-US" w:eastAsia="zh-CN"/>
        </w:rPr>
        <w:t>30</w:t>
      </w:r>
      <w:r>
        <w:rPr>
          <w:rFonts w:hint="eastAsia" w:ascii="仿宋_GB2312" w:hAnsi="仿宋" w:eastAsia="仿宋_GB2312"/>
          <w:color w:val="auto"/>
          <w:sz w:val="24"/>
          <w:highlight w:val="none"/>
          <w:u w:val="single"/>
        </w:rPr>
        <w:t>分</w:t>
      </w:r>
      <w:r>
        <w:rPr>
          <w:rFonts w:hint="eastAsia" w:ascii="仿宋_GB2312" w:hAnsi="仿宋" w:eastAsia="仿宋_GB2312"/>
          <w:bCs/>
          <w:color w:val="auto"/>
          <w:sz w:val="24"/>
          <w:highlight w:val="none"/>
          <w:u w:val="single"/>
        </w:rPr>
        <w:t>00秒</w:t>
      </w:r>
      <w:r>
        <w:rPr>
          <w:rFonts w:hint="eastAsia" w:ascii="仿宋_GB2312" w:hAnsi="仿宋" w:eastAsia="仿宋_GB2312"/>
          <w:bCs/>
          <w:color w:val="auto"/>
          <w:sz w:val="24"/>
          <w:highlight w:val="none"/>
          <w:u w:val="single"/>
        </w:rPr>
        <w:fldChar w:fldCharType="end"/>
      </w:r>
      <w:r>
        <w:rPr>
          <w:rFonts w:hint="eastAsia" w:ascii="仿宋_GB2312" w:hAnsi="仿宋" w:eastAsia="仿宋_GB2312"/>
          <w:bCs/>
          <w:color w:val="auto"/>
          <w:sz w:val="24"/>
          <w:highlight w:val="none"/>
        </w:rPr>
        <w:t>（北京时间）前</w:t>
      </w:r>
      <w:r>
        <w:rPr>
          <w:rFonts w:hint="eastAsia" w:ascii="仿宋_GB2312" w:hAnsi="仿宋" w:eastAsia="仿宋_GB2312"/>
          <w:color w:val="auto"/>
          <w:sz w:val="24"/>
          <w:highlight w:val="none"/>
        </w:rPr>
        <w:t>递交（上传）投标文件。</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一、项目基本情况</w:t>
      </w:r>
      <w:r>
        <w:rPr>
          <w:rFonts w:ascii="仿宋_GB2312" w:hAnsi="仿宋" w:eastAsia="仿宋_GB2312"/>
          <w:b/>
          <w:color w:val="auto"/>
          <w:sz w:val="24"/>
          <w:highlight w:val="none"/>
        </w:rPr>
        <w:t xml:space="preserve">                                            </w:t>
      </w:r>
    </w:p>
    <w:p>
      <w:pPr>
        <w:spacing w:line="360" w:lineRule="auto"/>
        <w:rPr>
          <w:rFonts w:hint="eastAsia" w:ascii="仿宋_GB2312" w:hAnsi="仿宋" w:eastAsia="仿宋_GB2312"/>
          <w:b w:val="0"/>
          <w:bCs w:val="0"/>
          <w:color w:val="auto"/>
          <w:sz w:val="24"/>
          <w:highlight w:val="none"/>
          <w:lang w:eastAsia="zh-CN"/>
        </w:rPr>
      </w:pPr>
      <w:r>
        <w:rPr>
          <w:rFonts w:ascii="仿宋_GB2312" w:hAnsi="仿宋" w:eastAsia="仿宋_GB2312"/>
          <w:color w:val="auto"/>
          <w:sz w:val="24"/>
          <w:highlight w:val="none"/>
        </w:rPr>
        <w:t xml:space="preserve">  </w:t>
      </w:r>
      <w:r>
        <w:rPr>
          <w:rFonts w:ascii="仿宋_GB2312" w:hAnsi="仿宋" w:eastAsia="仿宋_GB2312"/>
          <w:b w:val="0"/>
          <w:bCs w:val="0"/>
          <w:color w:val="auto"/>
          <w:sz w:val="24"/>
          <w:highlight w:val="none"/>
        </w:rPr>
        <w:t xml:space="preserve">  </w:t>
      </w:r>
      <w:r>
        <w:rPr>
          <w:rFonts w:hint="eastAsia" w:ascii="仿宋_GB2312" w:hAnsi="仿宋" w:eastAsia="仿宋_GB2312"/>
          <w:b w:val="0"/>
          <w:bCs w:val="0"/>
          <w:color w:val="auto"/>
          <w:sz w:val="24"/>
          <w:highlight w:val="none"/>
        </w:rPr>
        <w:t>项目编号：</w:t>
      </w:r>
      <w:r>
        <w:rPr>
          <w:rFonts w:hint="eastAsia" w:ascii="仿宋_GB2312" w:hAnsi="仿宋" w:eastAsia="仿宋_GB2312"/>
          <w:b w:val="0"/>
          <w:bCs w:val="0"/>
          <w:color w:val="auto"/>
          <w:sz w:val="24"/>
          <w:highlight w:val="none"/>
          <w:lang w:eastAsia="zh-CN"/>
        </w:rPr>
        <w:t>QTCG-GK-2022-062</w:t>
      </w:r>
    </w:p>
    <w:p>
      <w:pPr>
        <w:spacing w:line="360" w:lineRule="auto"/>
        <w:rPr>
          <w:rFonts w:hint="eastAsia" w:ascii="仿宋_GB2312" w:hAnsi="仿宋" w:eastAsia="仿宋_GB2312"/>
          <w:b w:val="0"/>
          <w:bCs w:val="0"/>
          <w:color w:val="auto"/>
          <w:sz w:val="24"/>
          <w:highlight w:val="none"/>
          <w:lang w:eastAsia="zh-CN"/>
        </w:rPr>
      </w:pPr>
      <w:r>
        <w:rPr>
          <w:rFonts w:ascii="仿宋_GB2312" w:hAnsi="仿宋" w:eastAsia="仿宋_GB2312"/>
          <w:b w:val="0"/>
          <w:bCs w:val="0"/>
          <w:color w:val="auto"/>
          <w:sz w:val="24"/>
          <w:highlight w:val="none"/>
        </w:rPr>
        <w:t xml:space="preserve">    项目名称：</w:t>
      </w:r>
      <w:r>
        <w:rPr>
          <w:rFonts w:hint="eastAsia" w:ascii="仿宋_GB2312" w:hAnsi="仿宋" w:eastAsia="仿宋_GB2312"/>
          <w:b w:val="0"/>
          <w:bCs w:val="0"/>
          <w:color w:val="auto"/>
          <w:sz w:val="24"/>
          <w:highlight w:val="none"/>
          <w:lang w:eastAsia="zh-CN"/>
        </w:rPr>
        <w:t>杭州钱塘区下沙区块公共卫生间物业化管理服务项目</w:t>
      </w:r>
    </w:p>
    <w:p>
      <w:pPr>
        <w:spacing w:line="360" w:lineRule="auto"/>
        <w:rPr>
          <w:rFonts w:hint="default" w:ascii="仿宋_GB2312" w:hAnsi="仿宋" w:eastAsia="仿宋_GB2312"/>
          <w:b w:val="0"/>
          <w:bCs w:val="0"/>
          <w:color w:val="auto"/>
          <w:sz w:val="24"/>
          <w:highlight w:val="none"/>
          <w:lang w:val="en-US" w:eastAsia="zh-CN"/>
        </w:rPr>
      </w:pPr>
      <w:r>
        <w:rPr>
          <w:rFonts w:ascii="仿宋_GB2312" w:hAnsi="仿宋" w:eastAsia="仿宋_GB2312"/>
          <w:b w:val="0"/>
          <w:bCs w:val="0"/>
          <w:color w:val="auto"/>
          <w:sz w:val="24"/>
          <w:highlight w:val="none"/>
        </w:rPr>
        <w:t xml:space="preserve">    预算金额（元）：</w:t>
      </w:r>
      <w:r>
        <w:rPr>
          <w:rFonts w:hint="eastAsia" w:ascii="仿宋_GB2312" w:hAnsi="仿宋" w:eastAsia="仿宋_GB2312"/>
          <w:b w:val="0"/>
          <w:bCs w:val="0"/>
          <w:color w:val="auto"/>
          <w:sz w:val="24"/>
          <w:highlight w:val="none"/>
          <w:lang w:val="en-US" w:eastAsia="zh-CN"/>
        </w:rPr>
        <w:t>11250817</w:t>
      </w:r>
    </w:p>
    <w:p>
      <w:pPr>
        <w:spacing w:line="360" w:lineRule="auto"/>
        <w:ind w:firstLine="480"/>
        <w:rPr>
          <w:rFonts w:hint="default" w:ascii="仿宋_GB2312" w:hAnsi="仿宋" w:eastAsia="仿宋_GB2312"/>
          <w:b w:val="0"/>
          <w:bCs w:val="0"/>
          <w:color w:val="auto"/>
          <w:sz w:val="24"/>
          <w:highlight w:val="none"/>
          <w:lang w:val="en-US" w:eastAsia="zh-CN"/>
        </w:rPr>
      </w:pPr>
      <w:r>
        <w:rPr>
          <w:rFonts w:hint="eastAsia" w:ascii="仿宋_GB2312" w:hAnsi="仿宋" w:eastAsia="仿宋_GB2312"/>
          <w:b w:val="0"/>
          <w:bCs w:val="0"/>
          <w:color w:val="auto"/>
          <w:sz w:val="24"/>
          <w:highlight w:val="none"/>
        </w:rPr>
        <w:t>最高限价（元）：</w:t>
      </w:r>
      <w:r>
        <w:rPr>
          <w:rFonts w:hint="eastAsia" w:ascii="仿宋_GB2312" w:hAnsi="仿宋" w:eastAsia="仿宋_GB2312"/>
          <w:b w:val="0"/>
          <w:bCs w:val="0"/>
          <w:color w:val="auto"/>
          <w:sz w:val="24"/>
          <w:highlight w:val="none"/>
          <w:lang w:val="en-US" w:eastAsia="zh-CN"/>
        </w:rPr>
        <w:t>4339959，4124464，2786394</w:t>
      </w:r>
    </w:p>
    <w:p>
      <w:pPr>
        <w:pStyle w:val="18"/>
        <w:spacing w:line="360" w:lineRule="auto"/>
        <w:ind w:firstLine="480"/>
        <w:rPr>
          <w:rFonts w:hint="eastAsia" w:ascii="仿宋_GB2312" w:hAnsi="仿宋" w:eastAsia="仿宋_GB2312"/>
          <w:b w:val="0"/>
          <w:bCs w:val="0"/>
          <w:color w:val="auto"/>
          <w:sz w:val="24"/>
          <w:highlight w:val="none"/>
        </w:rPr>
      </w:pPr>
      <w:r>
        <w:rPr>
          <w:rFonts w:hint="eastAsia" w:ascii="仿宋_GB2312" w:hAnsi="仿宋" w:eastAsia="仿宋_GB2312"/>
          <w:b w:val="0"/>
          <w:bCs w:val="0"/>
          <w:color w:val="auto"/>
          <w:sz w:val="24"/>
          <w:highlight w:val="none"/>
        </w:rPr>
        <w:t>采购需求：</w:t>
      </w:r>
    </w:p>
    <w:p>
      <w:pPr>
        <w:pStyle w:val="18"/>
        <w:spacing w:line="360" w:lineRule="auto"/>
        <w:ind w:firstLine="480"/>
        <w:rPr>
          <w:rFonts w:hint="eastAsia" w:ascii="仿宋_GB2312" w:hAnsi="仿宋" w:eastAsia="仿宋_GB2312"/>
          <w:b w:val="0"/>
          <w:bCs w:val="0"/>
          <w:color w:val="auto"/>
          <w:sz w:val="24"/>
          <w:highlight w:val="none"/>
          <w:lang w:eastAsia="zh-CN"/>
        </w:rPr>
      </w:pPr>
      <w:r>
        <w:rPr>
          <w:rFonts w:hint="eastAsia" w:ascii="仿宋_GB2312" w:hAnsi="仿宋" w:eastAsia="仿宋_GB2312"/>
          <w:b w:val="0"/>
          <w:bCs w:val="0"/>
          <w:color w:val="auto"/>
          <w:sz w:val="24"/>
          <w:highlight w:val="none"/>
          <w:lang w:eastAsia="zh-CN"/>
        </w:rPr>
        <w:t>标项一</w:t>
      </w:r>
    </w:p>
    <w:p>
      <w:pPr>
        <w:pStyle w:val="18"/>
        <w:spacing w:line="360" w:lineRule="auto"/>
        <w:ind w:firstLine="480"/>
        <w:rPr>
          <w:rFonts w:hint="eastAsia" w:ascii="仿宋_GB2312" w:hAnsi="仿宋" w:eastAsia="仿宋_GB2312"/>
          <w:b w:val="0"/>
          <w:bCs/>
          <w:color w:val="auto"/>
          <w:sz w:val="24"/>
          <w:highlight w:val="none"/>
        </w:rPr>
      </w:pPr>
      <w:r>
        <w:rPr>
          <w:rFonts w:hint="eastAsia" w:ascii="仿宋_GB2312" w:hAnsi="仿宋" w:eastAsia="仿宋_GB2312"/>
          <w:b w:val="0"/>
          <w:bCs/>
          <w:color w:val="auto"/>
          <w:sz w:val="24"/>
          <w:highlight w:val="none"/>
        </w:rPr>
        <w:t>标项名称:</w:t>
      </w:r>
      <w:r>
        <w:rPr>
          <w:rFonts w:hint="eastAsia" w:ascii="仿宋" w:hAnsi="仿宋"/>
          <w:color w:val="auto"/>
          <w:sz w:val="24"/>
          <w:highlight w:val="none"/>
          <w:lang w:eastAsia="zh-CN"/>
        </w:rPr>
        <w:t>钱塘区下沙区块（2号大街以北区域35座公厕）</w:t>
      </w:r>
    </w:p>
    <w:p>
      <w:pPr>
        <w:pStyle w:val="18"/>
        <w:spacing w:line="360" w:lineRule="auto"/>
        <w:ind w:firstLine="480"/>
        <w:rPr>
          <w:rFonts w:hint="eastAsia" w:ascii="仿宋_GB2312" w:hAnsi="仿宋" w:eastAsia="仿宋_GB2312" w:cs="Times New Roman"/>
          <w:b w:val="0"/>
          <w:bCs/>
          <w:snapToGrid/>
          <w:color w:val="auto"/>
          <w:kern w:val="2"/>
          <w:sz w:val="24"/>
          <w:szCs w:val="24"/>
          <w:highlight w:val="none"/>
          <w:lang w:val="en-US" w:eastAsia="zh-CN" w:bidi="ar-SA"/>
        </w:rPr>
      </w:pPr>
      <w:r>
        <w:rPr>
          <w:rFonts w:hint="eastAsia" w:ascii="仿宋_GB2312" w:hAnsi="仿宋" w:eastAsia="仿宋_GB2312" w:cs="Times New Roman"/>
          <w:b w:val="0"/>
          <w:bCs/>
          <w:snapToGrid/>
          <w:color w:val="auto"/>
          <w:kern w:val="2"/>
          <w:sz w:val="24"/>
          <w:szCs w:val="24"/>
          <w:highlight w:val="none"/>
          <w:lang w:val="en-US" w:eastAsia="zh-CN" w:bidi="ar-SA"/>
        </w:rPr>
        <w:t>数量:不限</w:t>
      </w:r>
    </w:p>
    <w:p>
      <w:pPr>
        <w:pStyle w:val="18"/>
        <w:spacing w:line="360" w:lineRule="auto"/>
        <w:ind w:firstLine="480"/>
        <w:rPr>
          <w:rFonts w:hint="eastAsia" w:ascii="仿宋_GB2312" w:hAnsi="仿宋" w:eastAsia="仿宋_GB2312" w:cs="Times New Roman"/>
          <w:b w:val="0"/>
          <w:bCs/>
          <w:snapToGrid/>
          <w:color w:val="auto"/>
          <w:kern w:val="2"/>
          <w:sz w:val="24"/>
          <w:szCs w:val="24"/>
          <w:highlight w:val="none"/>
          <w:lang w:val="en-US" w:eastAsia="zh-CN" w:bidi="ar-SA"/>
        </w:rPr>
      </w:pPr>
      <w:r>
        <w:rPr>
          <w:rFonts w:hint="eastAsia" w:ascii="仿宋_GB2312" w:hAnsi="仿宋" w:eastAsia="仿宋_GB2312" w:cs="Times New Roman"/>
          <w:b w:val="0"/>
          <w:bCs/>
          <w:snapToGrid/>
          <w:color w:val="auto"/>
          <w:kern w:val="2"/>
          <w:sz w:val="24"/>
          <w:szCs w:val="24"/>
          <w:highlight w:val="none"/>
          <w:lang w:val="en-US" w:eastAsia="zh-CN" w:bidi="ar-SA"/>
        </w:rPr>
        <w:t>预算金额（元）:</w:t>
      </w:r>
      <w:r>
        <w:rPr>
          <w:rFonts w:hint="eastAsia" w:ascii="仿宋_GB2312" w:hAnsi="仿宋" w:eastAsia="仿宋_GB2312"/>
          <w:b w:val="0"/>
          <w:bCs w:val="0"/>
          <w:color w:val="auto"/>
          <w:sz w:val="24"/>
          <w:highlight w:val="none"/>
          <w:lang w:val="en-US" w:eastAsia="zh-CN"/>
        </w:rPr>
        <w:t>4339959</w:t>
      </w:r>
    </w:p>
    <w:p>
      <w:pPr>
        <w:pStyle w:val="18"/>
        <w:spacing w:line="360" w:lineRule="auto"/>
        <w:ind w:firstLine="480"/>
        <w:rPr>
          <w:rFonts w:hint="eastAsia" w:ascii="仿宋_GB2312" w:hAnsi="仿宋" w:eastAsia="仿宋_GB2312" w:cs="Times New Roman"/>
          <w:b w:val="0"/>
          <w:bCs w:val="0"/>
          <w:color w:val="auto"/>
          <w:sz w:val="24"/>
          <w:highlight w:val="none"/>
          <w:lang w:eastAsia="zh-CN"/>
        </w:rPr>
      </w:pPr>
      <w:r>
        <w:rPr>
          <w:rFonts w:hint="eastAsia" w:ascii="仿宋_GB2312" w:hAnsi="仿宋" w:eastAsia="仿宋_GB2312"/>
          <w:color w:val="auto"/>
          <w:sz w:val="24"/>
          <w:szCs w:val="24"/>
          <w:highlight w:val="none"/>
        </w:rPr>
        <w:t>简要规格描述或项目基本概况介绍、用途：</w:t>
      </w:r>
      <w:r>
        <w:rPr>
          <w:rFonts w:hint="eastAsia" w:ascii="仿宋" w:hAnsi="仿宋" w:eastAsia="仿宋" w:cs="仿宋"/>
          <w:b w:val="0"/>
          <w:bCs w:val="0"/>
          <w:color w:val="auto"/>
          <w:sz w:val="24"/>
          <w:szCs w:val="24"/>
          <w:highlight w:val="none"/>
        </w:rPr>
        <w:t>公厕保洁服务，实际坑位为433个（小便池按0.5个坑位）。详见招标文件第三部分。</w:t>
      </w:r>
    </w:p>
    <w:p>
      <w:pPr>
        <w:pStyle w:val="18"/>
        <w:spacing w:line="360" w:lineRule="auto"/>
        <w:ind w:firstLine="480"/>
        <w:rPr>
          <w:rFonts w:hint="eastAsia" w:ascii="仿宋_GB2312" w:hAnsi="仿宋" w:eastAsia="仿宋_GB2312" w:cs="Times New Roman"/>
          <w:b w:val="0"/>
          <w:bCs w:val="0"/>
          <w:color w:val="auto"/>
          <w:sz w:val="24"/>
          <w:highlight w:val="none"/>
          <w:lang w:eastAsia="zh-CN"/>
        </w:rPr>
      </w:pPr>
      <w:r>
        <w:rPr>
          <w:rFonts w:hint="eastAsia" w:ascii="仿宋_GB2312" w:hAnsi="仿宋" w:eastAsia="仿宋_GB2312" w:cs="Times New Roman"/>
          <w:b w:val="0"/>
          <w:bCs w:val="0"/>
          <w:color w:val="auto"/>
          <w:sz w:val="24"/>
          <w:highlight w:val="none"/>
          <w:lang w:eastAsia="zh-CN"/>
        </w:rPr>
        <w:t>备注：无</w:t>
      </w:r>
    </w:p>
    <w:p>
      <w:pPr>
        <w:pStyle w:val="18"/>
        <w:spacing w:line="360" w:lineRule="auto"/>
        <w:ind w:firstLine="480"/>
        <w:rPr>
          <w:rFonts w:hint="eastAsia" w:ascii="仿宋_GB2312" w:hAnsi="仿宋" w:eastAsia="仿宋_GB2312"/>
          <w:b w:val="0"/>
          <w:bCs w:val="0"/>
          <w:color w:val="auto"/>
          <w:sz w:val="24"/>
          <w:highlight w:val="none"/>
          <w:lang w:eastAsia="zh-CN"/>
        </w:rPr>
      </w:pPr>
      <w:r>
        <w:rPr>
          <w:rFonts w:hint="eastAsia" w:ascii="仿宋_GB2312" w:hAnsi="仿宋" w:eastAsia="仿宋_GB2312"/>
          <w:b w:val="0"/>
          <w:bCs w:val="0"/>
          <w:color w:val="auto"/>
          <w:sz w:val="24"/>
          <w:highlight w:val="none"/>
          <w:lang w:eastAsia="zh-CN"/>
        </w:rPr>
        <w:t>标项二</w:t>
      </w:r>
    </w:p>
    <w:p>
      <w:pPr>
        <w:pStyle w:val="18"/>
        <w:spacing w:line="360" w:lineRule="auto"/>
        <w:ind w:firstLine="480"/>
        <w:rPr>
          <w:rFonts w:hint="default" w:ascii="仿宋_GB2312" w:hAnsi="仿宋" w:eastAsia="仿宋_GB2312"/>
          <w:b w:val="0"/>
          <w:bCs/>
          <w:color w:val="auto"/>
          <w:sz w:val="24"/>
          <w:highlight w:val="none"/>
          <w:lang w:val="en-US"/>
        </w:rPr>
      </w:pPr>
      <w:r>
        <w:rPr>
          <w:rFonts w:hint="eastAsia" w:ascii="仿宋_GB2312" w:hAnsi="仿宋" w:eastAsia="仿宋_GB2312"/>
          <w:b w:val="0"/>
          <w:bCs/>
          <w:color w:val="auto"/>
          <w:sz w:val="24"/>
          <w:highlight w:val="none"/>
        </w:rPr>
        <w:t>标项名称:</w:t>
      </w:r>
      <w:r>
        <w:rPr>
          <w:rFonts w:hint="eastAsia" w:ascii="仿宋" w:hAnsi="仿宋"/>
          <w:color w:val="auto"/>
          <w:sz w:val="24"/>
          <w:highlight w:val="none"/>
          <w:lang w:eastAsia="zh-CN"/>
        </w:rPr>
        <w:t>钱塘区下沙区块（2号大街以南，15号大街以西区域35座公厕）</w:t>
      </w:r>
    </w:p>
    <w:p>
      <w:pPr>
        <w:pStyle w:val="18"/>
        <w:spacing w:line="360" w:lineRule="auto"/>
        <w:ind w:firstLine="480"/>
        <w:rPr>
          <w:rFonts w:hint="eastAsia" w:ascii="仿宋_GB2312" w:hAnsi="仿宋" w:eastAsia="仿宋_GB2312" w:cs="Times New Roman"/>
          <w:b w:val="0"/>
          <w:bCs/>
          <w:snapToGrid/>
          <w:color w:val="auto"/>
          <w:kern w:val="2"/>
          <w:sz w:val="24"/>
          <w:szCs w:val="24"/>
          <w:highlight w:val="none"/>
          <w:lang w:val="en-US" w:eastAsia="zh-CN" w:bidi="ar-SA"/>
        </w:rPr>
      </w:pPr>
      <w:r>
        <w:rPr>
          <w:rFonts w:hint="eastAsia" w:ascii="仿宋_GB2312" w:hAnsi="仿宋" w:eastAsia="仿宋_GB2312" w:cs="Times New Roman"/>
          <w:b w:val="0"/>
          <w:bCs/>
          <w:snapToGrid/>
          <w:color w:val="auto"/>
          <w:kern w:val="2"/>
          <w:sz w:val="24"/>
          <w:szCs w:val="24"/>
          <w:highlight w:val="none"/>
          <w:lang w:val="en-US" w:eastAsia="zh-CN" w:bidi="ar-SA"/>
        </w:rPr>
        <w:t>数量:不限</w:t>
      </w:r>
    </w:p>
    <w:p>
      <w:pPr>
        <w:pStyle w:val="18"/>
        <w:spacing w:line="360" w:lineRule="auto"/>
        <w:ind w:firstLine="480"/>
        <w:rPr>
          <w:rFonts w:hint="eastAsia" w:ascii="仿宋_GB2312" w:hAnsi="仿宋" w:eastAsia="仿宋_GB2312" w:cs="Times New Roman"/>
          <w:b w:val="0"/>
          <w:bCs/>
          <w:snapToGrid/>
          <w:color w:val="auto"/>
          <w:kern w:val="2"/>
          <w:sz w:val="24"/>
          <w:szCs w:val="24"/>
          <w:highlight w:val="none"/>
          <w:lang w:val="en-US" w:eastAsia="zh-CN" w:bidi="ar-SA"/>
        </w:rPr>
      </w:pPr>
      <w:r>
        <w:rPr>
          <w:rFonts w:hint="eastAsia" w:ascii="仿宋_GB2312" w:hAnsi="仿宋" w:eastAsia="仿宋_GB2312" w:cs="Times New Roman"/>
          <w:b w:val="0"/>
          <w:bCs/>
          <w:snapToGrid/>
          <w:color w:val="auto"/>
          <w:kern w:val="2"/>
          <w:sz w:val="24"/>
          <w:szCs w:val="24"/>
          <w:highlight w:val="none"/>
          <w:lang w:val="en-US" w:eastAsia="zh-CN" w:bidi="ar-SA"/>
        </w:rPr>
        <w:t>预算金额（元）:</w:t>
      </w:r>
      <w:r>
        <w:rPr>
          <w:rFonts w:hint="eastAsia" w:ascii="仿宋_GB2312" w:hAnsi="仿宋" w:eastAsia="仿宋_GB2312"/>
          <w:b w:val="0"/>
          <w:bCs w:val="0"/>
          <w:color w:val="auto"/>
          <w:sz w:val="24"/>
          <w:highlight w:val="none"/>
          <w:lang w:val="en-US" w:eastAsia="zh-CN"/>
        </w:rPr>
        <w:t>4124464</w:t>
      </w:r>
    </w:p>
    <w:p>
      <w:pPr>
        <w:pStyle w:val="18"/>
        <w:spacing w:line="360" w:lineRule="auto"/>
        <w:ind w:firstLine="480"/>
        <w:rPr>
          <w:rFonts w:hint="eastAsia" w:ascii="仿宋_GB2312" w:hAnsi="仿宋" w:eastAsia="仿宋_GB2312" w:cs="Times New Roman"/>
          <w:b w:val="0"/>
          <w:bCs w:val="0"/>
          <w:color w:val="auto"/>
          <w:sz w:val="24"/>
          <w:highlight w:val="none"/>
          <w:lang w:eastAsia="zh-CN"/>
        </w:rPr>
      </w:pPr>
      <w:r>
        <w:rPr>
          <w:rFonts w:hint="eastAsia" w:ascii="仿宋_GB2312" w:hAnsi="仿宋" w:eastAsia="仿宋_GB2312"/>
          <w:color w:val="auto"/>
          <w:sz w:val="24"/>
          <w:szCs w:val="24"/>
          <w:highlight w:val="none"/>
        </w:rPr>
        <w:t>简要规格描述或项目基本概况介绍、用途：</w:t>
      </w:r>
      <w:r>
        <w:rPr>
          <w:rFonts w:hint="eastAsia" w:ascii="仿宋" w:hAnsi="仿宋" w:eastAsia="仿宋" w:cs="仿宋"/>
          <w:b w:val="0"/>
          <w:bCs w:val="0"/>
          <w:color w:val="auto"/>
          <w:sz w:val="24"/>
          <w:szCs w:val="24"/>
          <w:highlight w:val="none"/>
        </w:rPr>
        <w:t>公厕保洁服务，实际坑位为411.5个（小便池按0.5个坑位）。详见招标文件第三部分。</w:t>
      </w:r>
    </w:p>
    <w:p>
      <w:pPr>
        <w:pStyle w:val="18"/>
        <w:spacing w:line="360" w:lineRule="auto"/>
        <w:ind w:firstLine="480"/>
        <w:rPr>
          <w:rFonts w:hint="eastAsia" w:ascii="仿宋_GB2312" w:hAnsi="仿宋" w:eastAsia="仿宋_GB2312" w:cs="Times New Roman"/>
          <w:b w:val="0"/>
          <w:bCs w:val="0"/>
          <w:color w:val="auto"/>
          <w:sz w:val="24"/>
          <w:highlight w:val="none"/>
          <w:lang w:eastAsia="zh-CN"/>
        </w:rPr>
      </w:pPr>
      <w:r>
        <w:rPr>
          <w:rFonts w:hint="eastAsia" w:ascii="仿宋_GB2312" w:hAnsi="仿宋" w:eastAsia="仿宋_GB2312" w:cs="Times New Roman"/>
          <w:b w:val="0"/>
          <w:bCs w:val="0"/>
          <w:color w:val="auto"/>
          <w:sz w:val="24"/>
          <w:highlight w:val="none"/>
          <w:lang w:eastAsia="zh-CN"/>
        </w:rPr>
        <w:t>备注：无</w:t>
      </w:r>
    </w:p>
    <w:p>
      <w:pPr>
        <w:pStyle w:val="18"/>
        <w:spacing w:line="360" w:lineRule="auto"/>
        <w:ind w:firstLine="480"/>
        <w:rPr>
          <w:rFonts w:hint="eastAsia" w:ascii="仿宋_GB2312" w:hAnsi="仿宋" w:eastAsia="仿宋_GB2312"/>
          <w:b w:val="0"/>
          <w:bCs w:val="0"/>
          <w:color w:val="auto"/>
          <w:sz w:val="24"/>
          <w:highlight w:val="none"/>
          <w:lang w:eastAsia="zh-CN"/>
        </w:rPr>
      </w:pPr>
      <w:r>
        <w:rPr>
          <w:rFonts w:hint="eastAsia" w:ascii="仿宋_GB2312" w:hAnsi="仿宋" w:eastAsia="仿宋_GB2312"/>
          <w:b w:val="0"/>
          <w:bCs w:val="0"/>
          <w:color w:val="auto"/>
          <w:sz w:val="24"/>
          <w:highlight w:val="none"/>
          <w:lang w:eastAsia="zh-CN"/>
        </w:rPr>
        <w:t>标项三</w:t>
      </w:r>
    </w:p>
    <w:p>
      <w:pPr>
        <w:pStyle w:val="18"/>
        <w:spacing w:line="360" w:lineRule="auto"/>
        <w:ind w:firstLine="480"/>
        <w:rPr>
          <w:rFonts w:hint="eastAsia" w:ascii="仿宋_GB2312" w:hAnsi="仿宋" w:eastAsia="仿宋_GB2312"/>
          <w:b w:val="0"/>
          <w:bCs/>
          <w:color w:val="auto"/>
          <w:sz w:val="24"/>
          <w:highlight w:val="none"/>
        </w:rPr>
      </w:pPr>
      <w:r>
        <w:rPr>
          <w:rFonts w:hint="eastAsia" w:ascii="仿宋_GB2312" w:hAnsi="仿宋" w:eastAsia="仿宋_GB2312"/>
          <w:b w:val="0"/>
          <w:bCs/>
          <w:color w:val="auto"/>
          <w:sz w:val="24"/>
          <w:highlight w:val="none"/>
        </w:rPr>
        <w:t>标项名称:</w:t>
      </w:r>
      <w:r>
        <w:rPr>
          <w:rFonts w:hint="eastAsia" w:ascii="仿宋" w:hAnsi="仿宋"/>
          <w:color w:val="auto"/>
          <w:sz w:val="24"/>
          <w:highlight w:val="none"/>
          <w:lang w:eastAsia="zh-CN"/>
        </w:rPr>
        <w:t>钱塘区下沙区块（2号大街以南，15号大街以东区域24座公厕）</w:t>
      </w:r>
    </w:p>
    <w:p>
      <w:pPr>
        <w:pStyle w:val="18"/>
        <w:spacing w:line="360" w:lineRule="auto"/>
        <w:ind w:firstLine="480"/>
        <w:rPr>
          <w:rFonts w:hint="eastAsia" w:ascii="仿宋_GB2312" w:hAnsi="仿宋" w:eastAsia="仿宋_GB2312" w:cs="Times New Roman"/>
          <w:b w:val="0"/>
          <w:bCs/>
          <w:snapToGrid/>
          <w:color w:val="auto"/>
          <w:kern w:val="2"/>
          <w:sz w:val="24"/>
          <w:szCs w:val="24"/>
          <w:highlight w:val="none"/>
          <w:lang w:val="en-US" w:eastAsia="zh-CN" w:bidi="ar-SA"/>
        </w:rPr>
      </w:pPr>
      <w:r>
        <w:rPr>
          <w:rFonts w:hint="eastAsia" w:ascii="仿宋_GB2312" w:hAnsi="仿宋" w:eastAsia="仿宋_GB2312" w:cs="Times New Roman"/>
          <w:b w:val="0"/>
          <w:bCs/>
          <w:snapToGrid/>
          <w:color w:val="auto"/>
          <w:kern w:val="2"/>
          <w:sz w:val="24"/>
          <w:szCs w:val="24"/>
          <w:highlight w:val="none"/>
          <w:lang w:val="en-US" w:eastAsia="zh-CN" w:bidi="ar-SA"/>
        </w:rPr>
        <w:t>数量:不限</w:t>
      </w:r>
    </w:p>
    <w:p>
      <w:pPr>
        <w:pStyle w:val="18"/>
        <w:spacing w:line="360" w:lineRule="auto"/>
        <w:ind w:firstLine="480"/>
        <w:rPr>
          <w:rFonts w:hint="eastAsia" w:ascii="仿宋_GB2312" w:hAnsi="仿宋" w:eastAsia="仿宋_GB2312" w:cs="Times New Roman"/>
          <w:b w:val="0"/>
          <w:bCs/>
          <w:snapToGrid/>
          <w:color w:val="auto"/>
          <w:kern w:val="2"/>
          <w:sz w:val="24"/>
          <w:szCs w:val="24"/>
          <w:highlight w:val="none"/>
          <w:lang w:val="en-US" w:eastAsia="zh-CN" w:bidi="ar-SA"/>
        </w:rPr>
      </w:pPr>
      <w:r>
        <w:rPr>
          <w:rFonts w:hint="eastAsia" w:ascii="仿宋_GB2312" w:hAnsi="仿宋" w:eastAsia="仿宋_GB2312" w:cs="Times New Roman"/>
          <w:b w:val="0"/>
          <w:bCs/>
          <w:snapToGrid/>
          <w:color w:val="auto"/>
          <w:kern w:val="2"/>
          <w:sz w:val="24"/>
          <w:szCs w:val="24"/>
          <w:highlight w:val="none"/>
          <w:lang w:val="en-US" w:eastAsia="zh-CN" w:bidi="ar-SA"/>
        </w:rPr>
        <w:t>预算金额（元）:</w:t>
      </w:r>
      <w:r>
        <w:rPr>
          <w:rFonts w:hint="eastAsia" w:ascii="仿宋_GB2312" w:hAnsi="仿宋" w:eastAsia="仿宋_GB2312"/>
          <w:b w:val="0"/>
          <w:bCs w:val="0"/>
          <w:color w:val="auto"/>
          <w:sz w:val="24"/>
          <w:highlight w:val="none"/>
          <w:lang w:val="en-US" w:eastAsia="zh-CN"/>
        </w:rPr>
        <w:t>2786394</w:t>
      </w:r>
    </w:p>
    <w:p>
      <w:pPr>
        <w:pStyle w:val="18"/>
        <w:spacing w:line="360" w:lineRule="auto"/>
        <w:ind w:firstLine="480"/>
        <w:rPr>
          <w:rFonts w:hint="eastAsia" w:ascii="仿宋_GB2312" w:hAnsi="仿宋" w:eastAsia="仿宋_GB2312" w:cs="Times New Roman"/>
          <w:b w:val="0"/>
          <w:bCs w:val="0"/>
          <w:color w:val="auto"/>
          <w:sz w:val="24"/>
          <w:highlight w:val="none"/>
          <w:lang w:eastAsia="zh-CN"/>
        </w:rPr>
      </w:pPr>
      <w:r>
        <w:rPr>
          <w:rFonts w:hint="eastAsia" w:ascii="仿宋_GB2312" w:hAnsi="仿宋" w:eastAsia="仿宋_GB2312"/>
          <w:color w:val="auto"/>
          <w:sz w:val="24"/>
          <w:szCs w:val="24"/>
          <w:highlight w:val="none"/>
        </w:rPr>
        <w:t>简要规格描述或项目基本概况介绍、用途：</w:t>
      </w:r>
      <w:r>
        <w:rPr>
          <w:rFonts w:hint="eastAsia" w:ascii="仿宋" w:hAnsi="仿宋" w:eastAsia="仿宋" w:cs="仿宋"/>
          <w:b w:val="0"/>
          <w:bCs w:val="0"/>
          <w:color w:val="auto"/>
          <w:sz w:val="24"/>
          <w:szCs w:val="24"/>
          <w:highlight w:val="none"/>
        </w:rPr>
        <w:t>公厕保洁服务，实际坑位为278个（小便池按0.5个坑位）。详见招标文件第三部分。</w:t>
      </w:r>
    </w:p>
    <w:p>
      <w:pPr>
        <w:pStyle w:val="18"/>
        <w:spacing w:line="360" w:lineRule="auto"/>
        <w:ind w:firstLine="480"/>
        <w:rPr>
          <w:rFonts w:hint="eastAsia" w:ascii="仿宋_GB2312" w:hAnsi="仿宋" w:eastAsia="仿宋_GB2312" w:cs="Times New Roman"/>
          <w:b w:val="0"/>
          <w:bCs w:val="0"/>
          <w:color w:val="auto"/>
          <w:sz w:val="24"/>
          <w:highlight w:val="none"/>
          <w:lang w:eastAsia="zh-CN"/>
        </w:rPr>
      </w:pPr>
      <w:r>
        <w:rPr>
          <w:rFonts w:hint="eastAsia" w:ascii="仿宋_GB2312" w:hAnsi="仿宋" w:eastAsia="仿宋_GB2312" w:cs="Times New Roman"/>
          <w:b w:val="0"/>
          <w:bCs w:val="0"/>
          <w:color w:val="auto"/>
          <w:sz w:val="24"/>
          <w:highlight w:val="none"/>
          <w:lang w:eastAsia="zh-CN"/>
        </w:rPr>
        <w:t>备注：无</w:t>
      </w:r>
    </w:p>
    <w:p>
      <w:pPr>
        <w:pStyle w:val="129"/>
        <w:keepNext w:val="0"/>
        <w:keepLines w:val="0"/>
        <w:pageBreakBefore w:val="0"/>
        <w:widowControl w:val="0"/>
        <w:kinsoku/>
        <w:wordWrap/>
        <w:overflowPunct/>
        <w:topLinePunct w:val="0"/>
        <w:autoSpaceDE/>
        <w:autoSpaceDN/>
        <w:bidi w:val="0"/>
        <w:adjustRightInd w:val="0"/>
        <w:snapToGrid/>
        <w:spacing w:before="0"/>
        <w:ind w:firstLine="482"/>
        <w:textAlignment w:val="auto"/>
        <w:outlineLvl w:val="2"/>
        <w:rPr>
          <w:rFonts w:hint="eastAsia" w:ascii="仿宋_GB2312" w:hAnsi="仿宋" w:eastAsia="仿宋_GB2312"/>
          <w:b w:val="0"/>
          <w:bCs w:val="0"/>
          <w:color w:val="auto"/>
          <w:highlight w:val="none"/>
          <w:lang w:eastAsia="zh-CN"/>
        </w:rPr>
      </w:pPr>
      <w:r>
        <w:rPr>
          <w:rFonts w:hint="eastAsia" w:ascii="仿宋_GB2312" w:hAnsi="仿宋" w:eastAsia="仿宋_GB2312"/>
          <w:b w:val="0"/>
          <w:bCs w:val="0"/>
          <w:color w:val="auto"/>
          <w:highlight w:val="none"/>
        </w:rPr>
        <w:t>合同履约期限：本项目服务期限1年。</w:t>
      </w:r>
    </w:p>
    <w:p>
      <w:pPr>
        <w:pStyle w:val="18"/>
        <w:spacing w:line="360" w:lineRule="auto"/>
        <w:ind w:firstLine="480"/>
        <w:rPr>
          <w:rFonts w:ascii="仿宋_GB2312" w:hAnsi="仿宋" w:eastAsia="仿宋_GB2312"/>
          <w:b/>
          <w:color w:val="auto"/>
          <w:sz w:val="24"/>
          <w:highlight w:val="none"/>
        </w:rPr>
      </w:pPr>
      <w:r>
        <w:rPr>
          <w:rFonts w:hint="eastAsia" w:ascii="仿宋_GB2312" w:hAnsi="仿宋" w:eastAsia="仿宋_GB2312"/>
          <w:b w:val="0"/>
          <w:bCs w:val="0"/>
          <w:color w:val="auto"/>
          <w:sz w:val="24"/>
          <w:highlight w:val="none"/>
        </w:rPr>
        <w:t>本项目接受联合体投标：</w:t>
      </w:r>
      <w:sdt>
        <w:sdtPr>
          <w:rPr>
            <w:rFonts w:hint="eastAsia" w:ascii="仿宋_GB2312" w:hAnsi="仿宋" w:eastAsia="仿宋_GB2312" w:cs="Arial"/>
            <w:b w:val="0"/>
            <w:bCs w:val="0"/>
            <w:color w:val="auto"/>
            <w:kern w:val="0"/>
            <w:sz w:val="24"/>
            <w:highlight w:val="none"/>
          </w:rPr>
          <w:id w:val="2035453831"/>
          <w14:checkbox>
            <w14:checked w14:val="0"/>
            <w14:checkedState w14:val="00FE" w14:font="Wingdings"/>
            <w14:uncheckedState w14:val="2610" w14:font="MS Gothic"/>
          </w14:checkbox>
        </w:sdtPr>
        <w:sdtEndPr>
          <w:rPr>
            <w:rFonts w:hint="eastAsia" w:ascii="仿宋_GB2312" w:hAnsi="仿宋" w:eastAsia="仿宋_GB2312" w:cs="Arial"/>
            <w:b w:val="0"/>
            <w:bCs w:val="0"/>
            <w:color w:val="auto"/>
            <w:kern w:val="0"/>
            <w:sz w:val="24"/>
            <w:highlight w:val="none"/>
          </w:rPr>
        </w:sdtEndPr>
        <w:sdtContent>
          <w:r>
            <w:rPr>
              <w:rFonts w:ascii="MS Gothic" w:hAnsi="MS Gothic" w:eastAsia="MS Gothic" w:cs="Arial"/>
              <w:b w:val="0"/>
              <w:bCs w:val="0"/>
              <w:snapToGrid w:val="0"/>
              <w:color w:val="auto"/>
              <w:kern w:val="0"/>
              <w:sz w:val="24"/>
              <w:szCs w:val="20"/>
              <w:highlight w:val="none"/>
              <w:lang w:val="en-US" w:eastAsia="zh-CN" w:bidi="ar-SA"/>
            </w:rPr>
            <w:t>☐</w:t>
          </w:r>
        </w:sdtContent>
      </w:sdt>
      <w:r>
        <w:rPr>
          <w:rFonts w:hint="eastAsia" w:ascii="仿宋_GB2312" w:hAnsi="仿宋" w:eastAsia="仿宋_GB2312"/>
          <w:b w:val="0"/>
          <w:bCs w:val="0"/>
          <w:color w:val="auto"/>
          <w:sz w:val="24"/>
          <w:highlight w:val="none"/>
        </w:rPr>
        <w:t>是，</w:t>
      </w:r>
      <w:sdt>
        <w:sdtPr>
          <w:rPr>
            <w:rFonts w:hint="eastAsia" w:ascii="仿宋_GB2312" w:hAnsi="仿宋" w:eastAsia="仿宋_GB2312" w:cs="Arial"/>
            <w:b w:val="0"/>
            <w:bCs w:val="0"/>
            <w:color w:val="auto"/>
            <w:kern w:val="0"/>
            <w:sz w:val="24"/>
            <w:highlight w:val="none"/>
          </w:rPr>
          <w:id w:val="-1765526721"/>
          <w14:checkbox>
            <w14:checked w14:val="1"/>
            <w14:checkedState w14:val="00FE" w14:font="Wingdings"/>
            <w14:uncheckedState w14:val="2610" w14:font="MS Gothic"/>
          </w14:checkbox>
        </w:sdtPr>
        <w:sdtEndPr>
          <w:rPr>
            <w:rFonts w:hint="eastAsia" w:ascii="仿宋_GB2312" w:hAnsi="仿宋" w:eastAsia="仿宋_GB2312" w:cs="Arial"/>
            <w:b w:val="0"/>
            <w:bCs w:val="0"/>
            <w:color w:val="auto"/>
            <w:kern w:val="0"/>
            <w:sz w:val="24"/>
            <w:highlight w:val="none"/>
          </w:rPr>
        </w:sdtEndPr>
        <w:sdtContent>
          <w:r>
            <w:rPr>
              <w:rFonts w:ascii="Wingdings" w:hAnsi="Wingdings" w:eastAsia="MS Gothic" w:cs="Arial"/>
              <w:b w:val="0"/>
              <w:bCs w:val="0"/>
              <w:snapToGrid w:val="0"/>
              <w:color w:val="auto"/>
              <w:kern w:val="0"/>
              <w:sz w:val="24"/>
              <w:szCs w:val="20"/>
              <w:highlight w:val="none"/>
              <w:lang w:val="en-US" w:eastAsia="zh-CN" w:bidi="ar-SA"/>
            </w:rPr>
            <w:t>þ</w:t>
          </w:r>
        </w:sdtContent>
      </w:sdt>
      <w:r>
        <w:rPr>
          <w:rFonts w:hint="eastAsia" w:ascii="仿宋_GB2312" w:hAnsi="仿宋" w:eastAsia="仿宋_GB2312"/>
          <w:b w:val="0"/>
          <w:bCs w:val="0"/>
          <w:color w:val="auto"/>
          <w:sz w:val="24"/>
          <w:highlight w:val="none"/>
        </w:rPr>
        <w:t>否</w:t>
      </w:r>
      <w:r>
        <w:rPr>
          <w:rFonts w:hint="eastAsia" w:cs="Arial" w:asciiTheme="minorEastAsia" w:hAnsiTheme="minorEastAsia" w:eastAsiaTheme="minorEastAsia"/>
          <w:b w:val="0"/>
          <w:bCs w:val="0"/>
          <w:color w:val="auto"/>
          <w:kern w:val="0"/>
          <w:sz w:val="24"/>
          <w:highlight w:val="none"/>
        </w:rPr>
        <w:t>。</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二、申请人的资格要求：</w:t>
      </w:r>
    </w:p>
    <w:p>
      <w:pPr>
        <w:spacing w:line="360" w:lineRule="auto"/>
        <w:ind w:firstLine="480"/>
        <w:rPr>
          <w:rFonts w:ascii="仿宋" w:hAnsi="仿宋" w:eastAsia="仿宋" w:cs="仿宋_GB2312"/>
          <w:snapToGrid w:val="0"/>
          <w:color w:val="auto"/>
          <w:kern w:val="28"/>
          <w:sz w:val="24"/>
          <w:szCs w:val="20"/>
          <w:highlight w:val="none"/>
        </w:rPr>
      </w:pPr>
      <w:r>
        <w:rPr>
          <w:rFonts w:ascii="仿宋" w:hAnsi="仿宋" w:eastAsia="仿宋" w:cs="仿宋_GB2312"/>
          <w:snapToGrid w:val="0"/>
          <w:color w:val="auto"/>
          <w:kern w:val="28"/>
          <w:sz w:val="24"/>
          <w:szCs w:val="20"/>
          <w:highlight w:val="none"/>
        </w:rPr>
        <w:t>1.</w:t>
      </w:r>
      <w:r>
        <w:rPr>
          <w:rFonts w:hint="eastAsia" w:ascii="仿宋" w:hAnsi="仿宋" w:eastAsia="仿宋" w:cs="仿宋_GB2312"/>
          <w:snapToGrid w:val="0"/>
          <w:color w:val="auto"/>
          <w:kern w:val="28"/>
          <w:sz w:val="24"/>
          <w:szCs w:val="20"/>
          <w:highlight w:val="none"/>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_GB2312"/>
          <w:snapToGrid w:val="0"/>
          <w:color w:val="auto"/>
          <w:kern w:val="28"/>
          <w:sz w:val="24"/>
          <w:szCs w:val="20"/>
          <w:highlight w:val="none"/>
        </w:rPr>
      </w:pPr>
      <w:r>
        <w:rPr>
          <w:rFonts w:ascii="仿宋" w:hAnsi="仿宋" w:eastAsia="仿宋" w:cs="仿宋_GB2312"/>
          <w:snapToGrid w:val="0"/>
          <w:color w:val="auto"/>
          <w:kern w:val="28"/>
          <w:sz w:val="24"/>
          <w:szCs w:val="20"/>
          <w:highlight w:val="none"/>
        </w:rPr>
        <w:t xml:space="preserve">    2.</w:t>
      </w:r>
      <w:r>
        <w:rPr>
          <w:rFonts w:hint="eastAsia" w:ascii="仿宋" w:hAnsi="仿宋" w:eastAsia="仿宋" w:cs="仿宋_GB2312"/>
          <w:snapToGrid w:val="0"/>
          <w:color w:val="auto"/>
          <w:kern w:val="28"/>
          <w:sz w:val="24"/>
          <w:szCs w:val="20"/>
          <w:highlight w:val="none"/>
        </w:rPr>
        <w:t>落实政府采购政策需满足的资格要求：</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928616923"/>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szCs w:val="24"/>
              <w:highlight w:val="none"/>
              <w:lang w:val="en-US" w:eastAsia="zh-CN" w:bidi="ar-SA"/>
            </w:rPr>
            <w:t>☐</w:t>
          </w:r>
        </w:sdtContent>
      </w:sdt>
      <w:r>
        <w:rPr>
          <w:rFonts w:hint="eastAsia" w:ascii="仿宋_GB2312" w:hAnsi="仿宋" w:eastAsia="仿宋_GB2312"/>
          <w:color w:val="auto"/>
          <w:sz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24704304"/>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szCs w:val="24"/>
              <w:highlight w:val="none"/>
              <w:lang w:val="en-US" w:eastAsia="zh-CN" w:bidi="ar-SA"/>
            </w:rPr>
            <w:t>☐</w:t>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u w:val="single"/>
        </w:rPr>
      </w:pPr>
      <w:sdt>
        <w:sdtPr>
          <w:rPr>
            <w:rFonts w:hint="eastAsia" w:ascii="仿宋_GB2312" w:hAnsi="仿宋" w:eastAsia="仿宋_GB2312" w:cs="Arial"/>
            <w:color w:val="auto"/>
            <w:kern w:val="0"/>
            <w:sz w:val="24"/>
            <w:highlight w:val="none"/>
          </w:rPr>
          <w:id w:val="-92473058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szCs w:val="24"/>
              <w:highlight w:val="none"/>
              <w:lang w:val="en-US" w:eastAsia="zh-CN" w:bidi="ar-SA"/>
            </w:rPr>
            <w:t>☐</w:t>
          </w:r>
        </w:sdtContent>
      </w:sdt>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52604937"/>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szCs w:val="24"/>
              <w:highlight w:val="none"/>
              <w:lang w:val="en-US" w:eastAsia="zh-CN" w:bidi="ar-SA"/>
            </w:rPr>
            <w:t>☐</w:t>
          </w:r>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33685401"/>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szCs w:val="24"/>
              <w:highlight w:val="none"/>
              <w:lang w:val="en-US" w:eastAsia="zh-CN" w:bidi="ar-SA"/>
            </w:rPr>
            <w:t>þ</w:t>
          </w:r>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14102535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服务全部由符合政策要求的小微企业承接，提供中小企业声明函；</w:t>
      </w:r>
    </w:p>
    <w:p>
      <w:pPr>
        <w:rPr>
          <w:color w:val="auto"/>
          <w:highlight w:val="none"/>
        </w:rPr>
      </w:pPr>
    </w:p>
    <w:p>
      <w:pPr>
        <w:spacing w:line="360" w:lineRule="auto"/>
        <w:ind w:firstLine="480" w:firstLineChars="200"/>
        <w:rPr>
          <w:rFonts w:ascii="仿宋" w:hAnsi="仿宋" w:eastAsia="仿宋"/>
          <w:color w:val="auto"/>
          <w:sz w:val="24"/>
          <w:highlight w:val="none"/>
        </w:rPr>
      </w:pPr>
      <w:sdt>
        <w:sdtPr>
          <w:rPr>
            <w:rFonts w:hint="eastAsia" w:ascii="仿宋_GB2312" w:hAnsi="仿宋" w:eastAsia="仿宋_GB2312" w:cs="Arial"/>
            <w:color w:val="auto"/>
            <w:kern w:val="0"/>
            <w:sz w:val="24"/>
            <w:highlight w:val="none"/>
          </w:rPr>
          <w:id w:val="-1985607795"/>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微企业合同金额应当达到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hint="eastAsia" w:ascii="仿宋" w:hAnsi="仿宋" w:eastAsia="仿宋"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olor w:val="auto"/>
          <w:sz w:val="24"/>
          <w:highlight w:val="none"/>
        </w:rPr>
        <w:t>；</w:t>
      </w:r>
    </w:p>
    <w:p>
      <w:pPr>
        <w:spacing w:line="360" w:lineRule="auto"/>
        <w:ind w:firstLine="480" w:firstLineChars="200"/>
        <w:rPr>
          <w:rFonts w:ascii="仿宋" w:hAnsi="仿宋" w:eastAsia="仿宋"/>
          <w:color w:val="auto"/>
          <w:sz w:val="24"/>
          <w:highlight w:val="none"/>
        </w:rPr>
      </w:pPr>
      <w:sdt>
        <w:sdtPr>
          <w:rPr>
            <w:rFonts w:hint="eastAsia" w:ascii="仿宋_GB2312" w:hAnsi="仿宋" w:eastAsia="仿宋_GB2312" w:cs="Arial"/>
            <w:color w:val="auto"/>
            <w:kern w:val="0"/>
            <w:sz w:val="24"/>
            <w:highlight w:val="none"/>
          </w:rPr>
          <w:id w:val="34630645"/>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hint="eastAsia" w:ascii="仿宋" w:hAnsi="仿宋" w:eastAsia="仿宋"/>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rPr>
        <w:t>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，小微企业合同金额应当达到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 ;</w:t>
      </w:r>
      <w:r>
        <w:rPr>
          <w:rFonts w:hint="eastAsia" w:ascii="仿宋" w:hAnsi="仿宋" w:eastAsia="仿宋"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olor w:val="auto"/>
          <w:sz w:val="24"/>
          <w:highlight w:val="none"/>
        </w:rPr>
        <w:t>；</w:t>
      </w:r>
    </w:p>
    <w:p>
      <w:pPr>
        <w:spacing w:line="360" w:lineRule="auto"/>
        <w:ind w:firstLine="480" w:firstLineChars="200"/>
        <w:rPr>
          <w:rFonts w:hint="eastAsia" w:ascii="仿宋_GB2312" w:hAnsi="仿宋" w:eastAsia="仿宋_GB2312"/>
          <w:color w:val="auto"/>
          <w:sz w:val="24"/>
          <w:highlight w:val="none"/>
          <w:lang w:val="en-US" w:eastAsia="zh-CN"/>
        </w:rPr>
      </w:pPr>
      <w:r>
        <w:rPr>
          <w:rFonts w:ascii="仿宋_GB2312" w:hAnsi="仿宋" w:eastAsia="仿宋_GB2312"/>
          <w:color w:val="auto"/>
          <w:sz w:val="24"/>
          <w:highlight w:val="none"/>
        </w:rPr>
        <w:t>3.本项目的特定资格要求：</w:t>
      </w:r>
      <w:r>
        <w:rPr>
          <w:rFonts w:hint="eastAsia" w:ascii="仿宋_GB2312" w:hAnsi="仿宋" w:eastAsia="仿宋_GB2312"/>
          <w:color w:val="auto"/>
          <w:sz w:val="24"/>
          <w:highlight w:val="none"/>
          <w:lang w:val="en-US" w:eastAsia="zh-CN"/>
        </w:rPr>
        <w:t>无。</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olor w:val="auto"/>
          <w:sz w:val="24"/>
          <w:highlight w:val="none"/>
        </w:rPr>
        <w:t>4.</w:t>
      </w:r>
      <w:r>
        <w:rPr>
          <w:rFonts w:hint="eastAsia" w:ascii="仿宋_GB2312" w:hAnsi="仿宋" w:eastAsia="仿宋_GB2312"/>
          <w:color w:val="auto"/>
          <w:sz w:val="24"/>
          <w:highlight w:val="none"/>
        </w:rPr>
        <w:t>单位负责人为同一人或者存在直接控股、管理关系的不同供应商，不得参加同一合同项下的政府采购活动；</w:t>
      </w:r>
      <w:r>
        <w:rPr>
          <w:rFonts w:ascii="仿宋_GB2312" w:hAnsi="仿宋" w:eastAsia="仿宋_GB2312" w:cs="仿宋_GB2312"/>
          <w:color w:val="auto"/>
          <w:sz w:val="24"/>
          <w:highlight w:val="none"/>
        </w:rPr>
        <w:t>为采购项目提供整体设计、规范编制或者项目管理、监理、检测等服务后</w:t>
      </w:r>
      <w:r>
        <w:rPr>
          <w:rFonts w:hint="eastAsia" w:ascii="仿宋_GB2312" w:hAnsi="仿宋" w:eastAsia="仿宋_GB2312" w:cs="仿宋_GB2312"/>
          <w:color w:val="auto"/>
          <w:sz w:val="24"/>
          <w:highlight w:val="none"/>
        </w:rPr>
        <w:t>不得</w:t>
      </w:r>
      <w:r>
        <w:rPr>
          <w:rFonts w:ascii="仿宋_GB2312" w:hAnsi="仿宋" w:eastAsia="仿宋_GB2312" w:cs="仿宋_GB2312"/>
          <w:color w:val="auto"/>
          <w:sz w:val="24"/>
          <w:highlight w:val="none"/>
        </w:rPr>
        <w:t>再参加该采购项目的其他采购活动。</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三、获取招标文件</w:t>
      </w:r>
      <w:r>
        <w:rPr>
          <w:rFonts w:ascii="仿宋_GB2312" w:hAnsi="仿宋" w:eastAsia="仿宋_GB2312"/>
          <w:b/>
          <w:color w:val="auto"/>
          <w:sz w:val="24"/>
          <w:highlight w:val="none"/>
        </w:rPr>
        <w:t xml:space="preserve"> </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时间：</w:t>
      </w:r>
      <w:r>
        <w:rPr>
          <w:rFonts w:ascii="仿宋_GB2312" w:hAnsi="仿宋" w:eastAsia="仿宋_GB2312"/>
          <w:color w:val="auto"/>
          <w:sz w:val="24"/>
          <w:highlight w:val="none"/>
        </w:rPr>
        <w:t>/至</w:t>
      </w:r>
      <w:r>
        <w:rPr>
          <w:rFonts w:hint="eastAsia" w:ascii="仿宋_GB2312" w:hAnsi="仿宋" w:eastAsia="仿宋_GB2312"/>
          <w:color w:val="auto"/>
          <w:sz w:val="24"/>
          <w:highlight w:val="none"/>
          <w:u w:val="single"/>
        </w:rPr>
        <w:t>202</w:t>
      </w:r>
      <w:r>
        <w:rPr>
          <w:rFonts w:hint="eastAsia" w:ascii="仿宋_GB2312" w:hAnsi="仿宋" w:eastAsia="仿宋_GB2312"/>
          <w:color w:val="auto"/>
          <w:sz w:val="24"/>
          <w:highlight w:val="none"/>
          <w:u w:val="single"/>
          <w:lang w:val="en-US" w:eastAsia="zh-CN"/>
        </w:rPr>
        <w:t>2</w:t>
      </w:r>
      <w:r>
        <w:rPr>
          <w:rFonts w:ascii="仿宋_GB2312" w:hAnsi="仿宋" w:eastAsia="仿宋_GB2312"/>
          <w:color w:val="auto"/>
          <w:sz w:val="24"/>
          <w:highlight w:val="none"/>
          <w:u w:val="single"/>
        </w:rPr>
        <w:t>年</w:t>
      </w:r>
      <w:r>
        <w:rPr>
          <w:rFonts w:hint="eastAsia" w:ascii="仿宋_GB2312" w:hAnsi="仿宋" w:eastAsia="仿宋_GB2312"/>
          <w:color w:val="auto"/>
          <w:sz w:val="24"/>
          <w:highlight w:val="none"/>
          <w:u w:val="single"/>
          <w:lang w:val="en-US" w:eastAsia="zh-CN"/>
        </w:rPr>
        <w:t>4</w:t>
      </w:r>
      <w:r>
        <w:rPr>
          <w:rFonts w:ascii="仿宋_GB2312" w:hAnsi="仿宋" w:eastAsia="仿宋_GB2312"/>
          <w:color w:val="auto"/>
          <w:sz w:val="24"/>
          <w:highlight w:val="none"/>
          <w:u w:val="single"/>
        </w:rPr>
        <w:t>月</w:t>
      </w:r>
      <w:r>
        <w:rPr>
          <w:rFonts w:hint="eastAsia" w:ascii="仿宋_GB2312" w:hAnsi="仿宋" w:eastAsia="仿宋_GB2312"/>
          <w:color w:val="auto"/>
          <w:sz w:val="24"/>
          <w:highlight w:val="none"/>
          <w:u w:val="single"/>
          <w:lang w:val="en-US" w:eastAsia="zh-CN"/>
        </w:rPr>
        <w:t>25</w:t>
      </w:r>
      <w:r>
        <w:rPr>
          <w:rFonts w:ascii="仿宋_GB2312" w:hAnsi="仿宋" w:eastAsia="仿宋_GB2312"/>
          <w:color w:val="auto"/>
          <w:sz w:val="24"/>
          <w:highlight w:val="none"/>
          <w:u w:val="single"/>
        </w:rPr>
        <w:t>日</w:t>
      </w:r>
      <w:r>
        <w:rPr>
          <w:rFonts w:hint="eastAsia" w:ascii="仿宋_GB2312" w:hAnsi="仿宋" w:eastAsia="仿宋_GB2312"/>
          <w:color w:val="auto"/>
          <w:sz w:val="24"/>
          <w:highlight w:val="none"/>
        </w:rPr>
        <w:t>，每天上午</w:t>
      </w:r>
      <w:r>
        <w:rPr>
          <w:rFonts w:ascii="仿宋_GB2312" w:hAnsi="仿宋" w:eastAsia="仿宋_GB2312"/>
          <w:color w:val="auto"/>
          <w:sz w:val="24"/>
          <w:highlight w:val="none"/>
        </w:rPr>
        <w:t xml:space="preserve">00:00至12:00 </w:t>
      </w:r>
      <w:r>
        <w:rPr>
          <w:rFonts w:hint="eastAsia" w:ascii="仿宋_GB2312" w:hAnsi="仿宋" w:eastAsia="仿宋_GB2312"/>
          <w:color w:val="auto"/>
          <w:sz w:val="24"/>
          <w:highlight w:val="none"/>
        </w:rPr>
        <w:t>，下午</w:t>
      </w:r>
      <w:r>
        <w:rPr>
          <w:rFonts w:ascii="仿宋_GB2312" w:hAnsi="仿宋" w:eastAsia="仿宋_GB2312"/>
          <w:color w:val="auto"/>
          <w:sz w:val="24"/>
          <w:highlight w:val="none"/>
        </w:rPr>
        <w:t>12:00至23:59（北京时间，线上获取法定节假日均可，线下获取文件法定节假日除外）</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地点（网址）：</w:t>
      </w:r>
      <w:r>
        <w:rPr>
          <w:rFonts w:hint="eastAsia" w:ascii="仿宋_GB2312" w:hAnsi="仿宋" w:eastAsia="仿宋_GB2312"/>
          <w:color w:val="auto"/>
          <w:sz w:val="24"/>
          <w:highlight w:val="none"/>
        </w:rPr>
        <w:t>政采云平台（</w:t>
      </w:r>
      <w:r>
        <w:rPr>
          <w:rFonts w:ascii="仿宋_GB2312" w:hAnsi="仿宋" w:eastAsia="仿宋_GB2312"/>
          <w:color w:val="auto"/>
          <w:sz w:val="24"/>
          <w:highlight w:val="none"/>
        </w:rPr>
        <w:t xml:space="preserve">https://www.zcygov.cn/） </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方式：</w:t>
      </w:r>
      <w:r>
        <w:rPr>
          <w:rFonts w:hint="eastAsia" w:ascii="仿宋_GB2312" w:hAnsi="仿宋" w:eastAsia="仿宋_GB2312"/>
          <w:color w:val="auto"/>
          <w:sz w:val="24"/>
          <w:highlight w:val="none"/>
        </w:rPr>
        <w:t>供应商登录政采云平台</w:t>
      </w:r>
      <w:r>
        <w:rPr>
          <w:rFonts w:ascii="仿宋_GB2312" w:hAnsi="仿宋" w:eastAsia="仿宋_GB2312"/>
          <w:color w:val="auto"/>
          <w:sz w:val="24"/>
          <w:highlight w:val="none"/>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售价（元）：</w:t>
      </w:r>
      <w:r>
        <w:rPr>
          <w:rFonts w:ascii="仿宋_GB2312" w:hAnsi="仿宋" w:eastAsia="仿宋_GB2312"/>
          <w:color w:val="auto"/>
          <w:sz w:val="24"/>
          <w:highlight w:val="none"/>
        </w:rPr>
        <w:t xml:space="preserve">0 </w:t>
      </w:r>
      <w:r>
        <w:rPr>
          <w:rFonts w:ascii="仿宋_GB2312" w:hAnsi="仿宋" w:eastAsia="仿宋_GB2312"/>
          <w:color w:val="auto"/>
          <w:sz w:val="24"/>
          <w:highlight w:val="none"/>
        </w:rPr>
        <w:tab/>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四、提交投标文件截止时间、开标时间和地点</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提交投标文件截止时间：</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202</w:t>
      </w:r>
      <w:r>
        <w:rPr>
          <w:rFonts w:hint="eastAsia" w:ascii="仿宋_GB2312" w:hAnsi="仿宋" w:eastAsia="仿宋_GB2312"/>
          <w:color w:val="auto"/>
          <w:sz w:val="24"/>
          <w:highlight w:val="none"/>
          <w:u w:val="single"/>
          <w:lang w:val="en-US" w:eastAsia="zh-CN"/>
        </w:rPr>
        <w:t>2</w:t>
      </w:r>
      <w:r>
        <w:rPr>
          <w:rFonts w:ascii="仿宋_GB2312" w:hAnsi="仿宋" w:eastAsia="仿宋_GB2312"/>
          <w:color w:val="auto"/>
          <w:sz w:val="24"/>
          <w:highlight w:val="none"/>
          <w:u w:val="single"/>
        </w:rPr>
        <w:t>年</w:t>
      </w:r>
      <w:r>
        <w:rPr>
          <w:rFonts w:hint="eastAsia" w:ascii="仿宋_GB2312" w:hAnsi="仿宋" w:eastAsia="仿宋_GB2312"/>
          <w:color w:val="auto"/>
          <w:sz w:val="24"/>
          <w:highlight w:val="none"/>
          <w:u w:val="single"/>
          <w:lang w:val="en-US" w:eastAsia="zh-CN"/>
        </w:rPr>
        <w:t>4</w:t>
      </w:r>
      <w:r>
        <w:rPr>
          <w:rFonts w:hint="eastAsia" w:ascii="仿宋_GB2312" w:hAnsi="仿宋" w:eastAsia="仿宋_GB2312"/>
          <w:color w:val="auto"/>
          <w:sz w:val="24"/>
          <w:highlight w:val="none"/>
          <w:u w:val="single"/>
        </w:rPr>
        <w:t>月</w:t>
      </w:r>
      <w:r>
        <w:rPr>
          <w:rFonts w:hint="eastAsia" w:ascii="仿宋_GB2312" w:hAnsi="仿宋" w:eastAsia="仿宋_GB2312"/>
          <w:color w:val="auto"/>
          <w:sz w:val="24"/>
          <w:highlight w:val="none"/>
          <w:u w:val="single"/>
          <w:lang w:val="en-US" w:eastAsia="zh-CN"/>
        </w:rPr>
        <w:t>25</w:t>
      </w:r>
      <w:r>
        <w:rPr>
          <w:rFonts w:hint="eastAsia" w:ascii="仿宋_GB2312" w:hAnsi="仿宋" w:eastAsia="仿宋_GB2312"/>
          <w:color w:val="auto"/>
          <w:sz w:val="24"/>
          <w:highlight w:val="none"/>
          <w:u w:val="single"/>
        </w:rPr>
        <w:t>日</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点</w:t>
      </w:r>
      <w:r>
        <w:rPr>
          <w:rFonts w:hint="eastAsia" w:ascii="仿宋_GB2312" w:hAnsi="仿宋" w:eastAsia="仿宋_GB2312"/>
          <w:color w:val="auto"/>
          <w:sz w:val="24"/>
          <w:highlight w:val="none"/>
          <w:u w:val="single"/>
          <w:lang w:val="en-US" w:eastAsia="zh-CN"/>
        </w:rPr>
        <w:t>30</w:t>
      </w:r>
      <w:r>
        <w:rPr>
          <w:rFonts w:hint="eastAsia" w:ascii="仿宋_GB2312" w:hAnsi="仿宋" w:eastAsia="仿宋_GB2312"/>
          <w:color w:val="auto"/>
          <w:sz w:val="24"/>
          <w:highlight w:val="none"/>
          <w:u w:val="single"/>
        </w:rPr>
        <w:t>分</w:t>
      </w:r>
      <w:r>
        <w:rPr>
          <w:rFonts w:hint="eastAsia" w:ascii="仿宋_GB2312" w:hAnsi="仿宋" w:eastAsia="仿宋_GB2312"/>
          <w:bCs/>
          <w:color w:val="auto"/>
          <w:sz w:val="24"/>
          <w:highlight w:val="none"/>
          <w:u w:val="single"/>
        </w:rPr>
        <w:t xml:space="preserve"> </w:t>
      </w:r>
      <w:r>
        <w:rPr>
          <w:rFonts w:hint="eastAsia" w:ascii="仿宋_GB2312" w:hAnsi="仿宋" w:eastAsia="仿宋_GB2312"/>
          <w:color w:val="auto"/>
          <w:sz w:val="24"/>
          <w:highlight w:val="none"/>
        </w:rPr>
        <w:t>（北京时间）</w:t>
      </w:r>
    </w:p>
    <w:p>
      <w:pPr>
        <w:spacing w:line="360" w:lineRule="auto"/>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投标地点（网址）：</w:t>
      </w:r>
      <w:r>
        <w:rPr>
          <w:rFonts w:hint="eastAsia" w:ascii="仿宋_GB2312" w:hAnsi="仿宋" w:eastAsia="仿宋_GB2312"/>
          <w:color w:val="auto"/>
          <w:sz w:val="24"/>
          <w:highlight w:val="none"/>
        </w:rPr>
        <w:t>政采云平台（</w:t>
      </w:r>
      <w:r>
        <w:rPr>
          <w:rFonts w:ascii="仿宋_GB2312" w:hAnsi="仿宋" w:eastAsia="仿宋_GB2312"/>
          <w:color w:val="auto"/>
          <w:sz w:val="24"/>
          <w:highlight w:val="none"/>
        </w:rPr>
        <w:t xml:space="preserve">https://www.zcygov.cn/） </w:t>
      </w:r>
    </w:p>
    <w:p>
      <w:pPr>
        <w:spacing w:line="360" w:lineRule="auto"/>
        <w:ind w:firstLine="482" w:firstLineChars="200"/>
        <w:rPr>
          <w:rFonts w:ascii="仿宋_GB2312" w:hAnsi="仿宋" w:eastAsia="仿宋_GB2312"/>
          <w:bCs/>
          <w:color w:val="auto"/>
          <w:sz w:val="24"/>
          <w:highlight w:val="none"/>
          <w:u w:val="single"/>
        </w:rPr>
      </w:pPr>
      <w:r>
        <w:rPr>
          <w:rFonts w:hint="eastAsia" w:ascii="仿宋_GB2312" w:hAnsi="仿宋" w:eastAsia="仿宋_GB2312"/>
          <w:b/>
          <w:color w:val="auto"/>
          <w:sz w:val="24"/>
          <w:highlight w:val="none"/>
        </w:rPr>
        <w:t>开标时间：</w:t>
      </w:r>
      <w:r>
        <w:rPr>
          <w:rFonts w:hint="eastAsia" w:ascii="仿宋_GB2312" w:hAnsi="仿宋" w:eastAsia="仿宋_GB2312"/>
          <w:color w:val="auto"/>
          <w:sz w:val="24"/>
          <w:highlight w:val="none"/>
          <w:u w:val="single"/>
        </w:rPr>
        <w:t>202</w:t>
      </w:r>
      <w:r>
        <w:rPr>
          <w:rFonts w:hint="eastAsia" w:ascii="仿宋_GB2312" w:hAnsi="仿宋" w:eastAsia="仿宋_GB2312"/>
          <w:color w:val="auto"/>
          <w:sz w:val="24"/>
          <w:highlight w:val="none"/>
          <w:u w:val="single"/>
          <w:lang w:val="en-US" w:eastAsia="zh-CN"/>
        </w:rPr>
        <w:t>2</w:t>
      </w:r>
      <w:r>
        <w:rPr>
          <w:rFonts w:ascii="仿宋_GB2312" w:hAnsi="仿宋" w:eastAsia="仿宋_GB2312"/>
          <w:color w:val="auto"/>
          <w:sz w:val="24"/>
          <w:highlight w:val="none"/>
          <w:u w:val="single"/>
        </w:rPr>
        <w:t>年</w:t>
      </w:r>
      <w:r>
        <w:rPr>
          <w:rFonts w:hint="eastAsia" w:ascii="仿宋_GB2312" w:hAnsi="仿宋" w:eastAsia="仿宋_GB2312"/>
          <w:color w:val="auto"/>
          <w:sz w:val="24"/>
          <w:highlight w:val="none"/>
          <w:u w:val="single"/>
          <w:lang w:val="en-US" w:eastAsia="zh-CN"/>
        </w:rPr>
        <w:t>4</w:t>
      </w:r>
      <w:r>
        <w:rPr>
          <w:rFonts w:hint="eastAsia" w:ascii="仿宋_GB2312" w:hAnsi="仿宋" w:eastAsia="仿宋_GB2312"/>
          <w:color w:val="auto"/>
          <w:sz w:val="24"/>
          <w:highlight w:val="none"/>
          <w:u w:val="single"/>
        </w:rPr>
        <w:t>月</w:t>
      </w:r>
      <w:r>
        <w:rPr>
          <w:rFonts w:hint="eastAsia" w:ascii="仿宋_GB2312" w:hAnsi="仿宋" w:eastAsia="仿宋_GB2312"/>
          <w:color w:val="auto"/>
          <w:sz w:val="24"/>
          <w:highlight w:val="none"/>
          <w:u w:val="single"/>
          <w:lang w:val="en-US" w:eastAsia="zh-CN"/>
        </w:rPr>
        <w:t>25</w:t>
      </w:r>
      <w:r>
        <w:rPr>
          <w:rFonts w:hint="eastAsia" w:ascii="仿宋_GB2312" w:hAnsi="仿宋" w:eastAsia="仿宋_GB2312"/>
          <w:color w:val="auto"/>
          <w:sz w:val="24"/>
          <w:highlight w:val="none"/>
          <w:u w:val="single"/>
        </w:rPr>
        <w:t>日</w:t>
      </w:r>
      <w:r>
        <w:rPr>
          <w:rFonts w:hint="eastAsia" w:ascii="仿宋_GB2312" w:hAnsi="仿宋" w:eastAsia="仿宋_GB2312"/>
          <w:color w:val="auto"/>
          <w:sz w:val="24"/>
          <w:highlight w:val="none"/>
          <w:u w:val="single"/>
          <w:lang w:val="en-US" w:eastAsia="zh-CN"/>
        </w:rPr>
        <w:t>9</w:t>
      </w:r>
      <w:r>
        <w:rPr>
          <w:rFonts w:hint="eastAsia" w:ascii="仿宋_GB2312" w:hAnsi="仿宋" w:eastAsia="仿宋_GB2312"/>
          <w:color w:val="auto"/>
          <w:sz w:val="24"/>
          <w:highlight w:val="none"/>
          <w:u w:val="single"/>
        </w:rPr>
        <w:t>点</w:t>
      </w:r>
      <w:r>
        <w:rPr>
          <w:rFonts w:hint="eastAsia" w:ascii="仿宋_GB2312" w:hAnsi="仿宋" w:eastAsia="仿宋_GB2312"/>
          <w:color w:val="auto"/>
          <w:sz w:val="24"/>
          <w:highlight w:val="none"/>
          <w:u w:val="single"/>
          <w:lang w:val="en-US" w:eastAsia="zh-CN"/>
        </w:rPr>
        <w:t>30</w:t>
      </w:r>
      <w:r>
        <w:rPr>
          <w:rFonts w:hint="eastAsia" w:ascii="仿宋_GB2312" w:hAnsi="仿宋" w:eastAsia="仿宋_GB2312"/>
          <w:color w:val="auto"/>
          <w:sz w:val="24"/>
          <w:highlight w:val="none"/>
          <w:u w:val="single"/>
        </w:rPr>
        <w:t>分</w:t>
      </w:r>
      <w:r>
        <w:rPr>
          <w:rFonts w:hint="eastAsia" w:ascii="仿宋_GB2312" w:hAnsi="仿宋" w:eastAsia="仿宋_GB2312"/>
          <w:bCs/>
          <w:color w:val="auto"/>
          <w:sz w:val="24"/>
          <w:highlight w:val="none"/>
          <w:u w:val="single"/>
        </w:rPr>
        <w:t xml:space="preserve"> </w:t>
      </w:r>
    </w:p>
    <w:p>
      <w:pPr>
        <w:spacing w:line="360" w:lineRule="auto"/>
        <w:ind w:firstLine="482" w:firstLineChars="200"/>
        <w:rPr>
          <w:rFonts w:ascii="仿宋_GB2312" w:hAnsi="仿宋" w:eastAsia="仿宋_GB2312"/>
          <w:color w:val="auto"/>
          <w:sz w:val="24"/>
          <w:highlight w:val="none"/>
        </w:rPr>
      </w:pPr>
      <w:r>
        <w:rPr>
          <w:rFonts w:hint="eastAsia" w:ascii="仿宋_GB2312" w:hAnsi="仿宋" w:eastAsia="仿宋_GB2312"/>
          <w:b/>
          <w:color w:val="auto"/>
          <w:sz w:val="24"/>
          <w:highlight w:val="none"/>
        </w:rPr>
        <w:t>开标地点（网址）：</w:t>
      </w:r>
      <w:r>
        <w:rPr>
          <w:rFonts w:ascii="仿宋_GB2312" w:hAnsi="仿宋" w:eastAsia="仿宋_GB2312"/>
          <w:color w:val="auto"/>
          <w:sz w:val="24"/>
          <w:highlight w:val="none"/>
        </w:rPr>
        <w:t>政</w:t>
      </w:r>
      <w:r>
        <w:rPr>
          <w:rFonts w:hint="eastAsia" w:ascii="仿宋_GB2312" w:hAnsi="仿宋" w:eastAsia="仿宋_GB2312"/>
          <w:color w:val="auto"/>
          <w:sz w:val="24"/>
          <w:highlight w:val="none"/>
        </w:rPr>
        <w:t>采云平台（</w:t>
      </w:r>
      <w:r>
        <w:rPr>
          <w:rFonts w:ascii="仿宋_GB2312" w:hAnsi="仿宋" w:eastAsia="仿宋_GB2312"/>
          <w:color w:val="auto"/>
          <w:sz w:val="24"/>
          <w:highlight w:val="none"/>
        </w:rPr>
        <w:t>https://www.zcygov.cn/）</w:t>
      </w:r>
    </w:p>
    <w:p>
      <w:pPr>
        <w:spacing w:line="360" w:lineRule="auto"/>
        <w:rPr>
          <w:rFonts w:ascii="仿宋_GB2312" w:hAnsi="仿宋" w:eastAsia="仿宋_GB2312"/>
          <w:color w:val="auto"/>
          <w:sz w:val="24"/>
          <w:highlight w:val="none"/>
        </w:rPr>
      </w:pPr>
      <w:r>
        <w:rPr>
          <w:rFonts w:hint="eastAsia" w:ascii="仿宋_GB2312" w:hAnsi="仿宋" w:eastAsia="仿宋_GB2312"/>
          <w:b/>
          <w:color w:val="auto"/>
          <w:sz w:val="24"/>
          <w:highlight w:val="none"/>
        </w:rPr>
        <w:t>五、公告期限</w:t>
      </w:r>
      <w:r>
        <w:rPr>
          <w:rFonts w:ascii="仿宋_GB2312" w:hAnsi="仿宋" w:eastAsia="仿宋_GB2312"/>
          <w:b/>
          <w:color w:val="auto"/>
          <w:sz w:val="24"/>
          <w:highlight w:val="none"/>
        </w:rPr>
        <w:t xml:space="preserve">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自本公告发布之日起</w:t>
      </w:r>
      <w:r>
        <w:rPr>
          <w:rFonts w:ascii="仿宋_GB2312" w:hAnsi="仿宋" w:eastAsia="仿宋_GB2312"/>
          <w:color w:val="auto"/>
          <w:sz w:val="24"/>
          <w:highlight w:val="none"/>
        </w:rPr>
        <w:t>5个工作日。</w:t>
      </w:r>
    </w:p>
    <w:p>
      <w:pPr>
        <w:numPr>
          <w:ilvl w:val="0"/>
          <w:numId w:val="1"/>
        </w:numPr>
        <w:spacing w:line="360" w:lineRule="auto"/>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其他补充事宜</w:t>
      </w:r>
    </w:p>
    <w:p>
      <w:pPr>
        <w:numPr>
          <w:ilvl w:val="0"/>
          <w:numId w:val="0"/>
        </w:numPr>
        <w:spacing w:line="360" w:lineRule="auto"/>
        <w:ind w:firstLine="480" w:firstLineChars="200"/>
        <w:rPr>
          <w:rFonts w:hint="eastAsia" w:ascii="仿宋_GB2312" w:hAnsi="仿宋" w:eastAsia="仿宋_GB2312" w:cs="Times New Roman"/>
          <w:color w:val="auto"/>
          <w:kern w:val="2"/>
          <w:sz w:val="24"/>
          <w:szCs w:val="24"/>
          <w:highlight w:val="none"/>
          <w:lang w:val="en-US" w:eastAsia="zh-CN" w:bidi="ar-SA"/>
        </w:rPr>
      </w:pPr>
      <w:r>
        <w:rPr>
          <w:rFonts w:hint="eastAsia" w:ascii="仿宋_GB2312" w:hAnsi="仿宋" w:eastAsia="仿宋_GB2312" w:cs="Times New Roman"/>
          <w:color w:val="auto"/>
          <w:kern w:val="2"/>
          <w:sz w:val="24"/>
          <w:szCs w:val="24"/>
          <w:highlight w:val="none"/>
          <w:lang w:val="en-US" w:eastAsia="zh-CN" w:bidi="ar-SA"/>
        </w:rPr>
        <w:t>1.</w:t>
      </w:r>
      <w:r>
        <w:rPr>
          <w:rFonts w:ascii="仿宋_GB2312" w:hAnsi="仿宋" w:eastAsia="仿宋_GB2312" w:cs="Times New Roman"/>
          <w:color w:val="auto"/>
          <w:kern w:val="2"/>
          <w:sz w:val="24"/>
          <w:szCs w:val="24"/>
          <w:highlight w:val="none"/>
          <w:lang w:val="en-US" w:eastAsia="zh-CN" w:bidi="ar-SA"/>
        </w:rPr>
        <w:t>《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r>
        <w:rPr>
          <w:rFonts w:hint="eastAsia" w:ascii="仿宋_GB2312" w:hAnsi="仿宋" w:eastAsia="仿宋_GB2312" w:cs="Times New Roman"/>
          <w:color w:val="auto"/>
          <w:kern w:val="2"/>
          <w:sz w:val="24"/>
          <w:szCs w:val="24"/>
          <w:highlight w:val="none"/>
          <w:lang w:val="en-US" w:eastAsia="zh-CN" w:bidi="ar-SA"/>
        </w:rPr>
        <w:t xml:space="preserve">    </w:t>
      </w:r>
    </w:p>
    <w:p>
      <w:pPr>
        <w:numPr>
          <w:ilvl w:val="0"/>
          <w:numId w:val="0"/>
        </w:numPr>
        <w:spacing w:line="360" w:lineRule="auto"/>
        <w:ind w:firstLine="480" w:firstLineChars="200"/>
        <w:rPr>
          <w:rFonts w:ascii="仿宋_GB2312" w:hAnsi="仿宋" w:eastAsia="仿宋_GB2312" w:cs="Times New Roman"/>
          <w:color w:val="auto"/>
          <w:kern w:val="2"/>
          <w:sz w:val="24"/>
          <w:szCs w:val="24"/>
          <w:highlight w:val="none"/>
          <w:lang w:val="en-US" w:eastAsia="zh-CN" w:bidi="ar-SA"/>
        </w:rPr>
      </w:pPr>
      <w:r>
        <w:rPr>
          <w:rFonts w:hint="eastAsia" w:ascii="仿宋_GB2312" w:hAnsi="仿宋" w:eastAsia="仿宋_GB2312" w:cs="Times New Roman"/>
          <w:color w:val="auto"/>
          <w:kern w:val="2"/>
          <w:sz w:val="24"/>
          <w:szCs w:val="24"/>
          <w:highlight w:val="none"/>
          <w:lang w:val="en-US" w:eastAsia="zh-CN" w:bidi="ar-SA"/>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lang w:val="en-US" w:eastAsia="zh-CN"/>
        </w:rPr>
        <w:t>3</w:t>
      </w:r>
      <w:r>
        <w:rPr>
          <w:rFonts w:ascii="仿宋_GB2312" w:hAnsi="仿宋" w:eastAsia="仿宋_GB2312"/>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_GB2312" w:hAnsi="仿宋" w:eastAsia="仿宋_GB2312"/>
          <w:color w:val="auto"/>
          <w:sz w:val="24"/>
          <w:highlight w:val="none"/>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_GB2312"/>
          <w:color w:val="auto"/>
          <w:sz w:val="24"/>
          <w:highlight w:val="none"/>
        </w:rPr>
      </w:pPr>
      <w:r>
        <w:rPr>
          <w:rFonts w:hint="eastAsia" w:ascii="仿宋_GB2312" w:hAnsi="仿宋" w:eastAsia="仿宋_GB2312"/>
          <w:color w:val="auto"/>
          <w:sz w:val="24"/>
          <w:highlight w:val="none"/>
          <w:lang w:val="en-US" w:eastAsia="zh-CN"/>
        </w:rPr>
        <w:t>4</w:t>
      </w:r>
      <w:r>
        <w:rPr>
          <w:rFonts w:hint="eastAsia" w:ascii="仿宋_GB2312" w:hAnsi="仿宋" w:eastAsia="仿宋_GB2312"/>
          <w:color w:val="auto"/>
          <w:sz w:val="24"/>
          <w:highlight w:val="none"/>
        </w:rPr>
        <w:t>.其他事项：（1）需要落实的政府采购政策：包括节约资源、保护环境、支持创新、促进中小企业发展等。详见招标文件的第二部分总则。（2）</w:t>
      </w:r>
      <w:r>
        <w:rPr>
          <w:rFonts w:ascii="仿宋_GB2312" w:hAnsi="仿宋" w:eastAsia="仿宋_GB2312"/>
          <w:color w:val="auto"/>
          <w:sz w:val="24"/>
          <w:highlight w:val="none"/>
        </w:rPr>
        <w:t>电子招投标的说明：</w:t>
      </w:r>
      <w:r>
        <w:rPr>
          <w:rFonts w:hint="eastAsia" w:ascii="仿宋_GB2312" w:hAnsi="仿宋" w:eastAsia="仿宋_GB2312" w:cs="仿宋_GB2312"/>
          <w:color w:val="auto"/>
          <w:sz w:val="24"/>
          <w:highlight w:val="none"/>
        </w:rPr>
        <w:t>①</w:t>
      </w:r>
      <w:r>
        <w:rPr>
          <w:rFonts w:ascii="仿宋_GB2312" w:hAnsi="仿宋" w:eastAsia="仿宋_GB2312" w:cs="仿宋_GB2312"/>
          <w:color w:val="auto"/>
          <w:sz w:val="24"/>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sz w:val="24"/>
          <w:highlight w:val="none"/>
        </w:rPr>
        <w:t>；②</w:t>
      </w:r>
      <w:r>
        <w:rPr>
          <w:rFonts w:ascii="仿宋_GB2312" w:hAnsi="仿宋" w:eastAsia="仿宋_GB2312" w:cs="仿宋_GB2312"/>
          <w:color w:val="auto"/>
          <w:sz w:val="24"/>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sz w:val="24"/>
          <w:highlight w:val="none"/>
        </w:rPr>
        <w:t>采云电子交易客户端”</w:t>
      </w:r>
      <w:r>
        <w:rPr>
          <w:rFonts w:ascii="仿宋_GB2312" w:hAnsi="仿宋" w:eastAsia="仿宋_GB2312" w:cs="仿宋_GB2312"/>
          <w:color w:val="auto"/>
          <w:sz w:val="24"/>
          <w:highlight w:val="none"/>
        </w:rPr>
        <w:t>----前往“浙江政府采购网-下载专区-电子交易客户端”进行下载并安装</w:t>
      </w:r>
      <w:r>
        <w:rPr>
          <w:rFonts w:hint="eastAsia" w:ascii="仿宋_GB2312" w:hAnsi="仿宋" w:eastAsia="仿宋_GB2312" w:cs="仿宋_GB2312"/>
          <w:color w:val="auto"/>
          <w:sz w:val="24"/>
          <w:highlight w:val="none"/>
        </w:rPr>
        <w:t>；③</w:t>
      </w:r>
      <w:r>
        <w:rPr>
          <w:rFonts w:ascii="仿宋_GB2312" w:hAnsi="仿宋" w:eastAsia="仿宋_GB2312" w:cs="仿宋_GB2312"/>
          <w:color w:val="auto"/>
          <w:sz w:val="24"/>
          <w:highlight w:val="none"/>
        </w:rPr>
        <w:t>招标文件的获取：使用账号登录或者使用CA登录政</w:t>
      </w:r>
      <w:r>
        <w:rPr>
          <w:rFonts w:hint="eastAsia" w:ascii="仿宋_GB2312" w:hAnsi="仿宋" w:eastAsia="仿宋_GB2312" w:cs="仿宋_GB2312"/>
          <w:color w:val="auto"/>
          <w:sz w:val="24"/>
          <w:highlight w:val="none"/>
        </w:rPr>
        <w:t>采云平台；进入“项目采购”应用，在获取采购文件菜单中选择项目，获取招标文件；④</w:t>
      </w:r>
      <w:r>
        <w:rPr>
          <w:rFonts w:ascii="仿宋_GB2312" w:hAnsi="仿宋" w:eastAsia="仿宋_GB2312" w:cs="仿宋_GB2312"/>
          <w:color w:val="auto"/>
          <w:sz w:val="24"/>
          <w:highlight w:val="none"/>
        </w:rPr>
        <w:t>投标文件的制作：在“政</w:t>
      </w:r>
      <w:r>
        <w:rPr>
          <w:rFonts w:hint="eastAsia" w:ascii="仿宋_GB2312" w:hAnsi="仿宋" w:eastAsia="仿宋_GB2312" w:cs="仿宋_GB2312"/>
          <w:color w:val="auto"/>
          <w:sz w:val="24"/>
          <w:highlight w:val="none"/>
        </w:rPr>
        <w:t>采云电子交易客户端”中完成“填写基本信息”、“导入投标文件”、“标书关联”、“标书检查”、“电子签名”、“生成电子标书”等操作；</w:t>
      </w:r>
      <w:r>
        <w:rPr>
          <w:rFonts w:hint="eastAsia" w:ascii="仿宋_GB2312" w:hAnsi="仿宋" w:eastAsia="仿宋_GB2312"/>
          <w:color w:val="auto"/>
          <w:sz w:val="24"/>
          <w:highlight w:val="none"/>
        </w:rPr>
        <w:t>⑤</w:t>
      </w:r>
      <w:r>
        <w:rPr>
          <w:rFonts w:ascii="仿宋_GB2312" w:hAnsi="仿宋" w:eastAsia="仿宋_GB2312"/>
          <w:color w:val="auto"/>
          <w:sz w:val="24"/>
          <w:highlight w:val="none"/>
        </w:rPr>
        <w:t>采购人、采购机构将依托政</w:t>
      </w:r>
      <w:r>
        <w:rPr>
          <w:rFonts w:hint="eastAsia" w:ascii="仿宋_GB2312" w:hAnsi="仿宋" w:eastAsia="仿宋_GB2312"/>
          <w:color w:val="auto"/>
          <w:sz w:val="24"/>
          <w:highlight w:val="none"/>
        </w:rPr>
        <w:t>采云平台完成本项目的电子交易活动，平台不接受未按上述方式获取招标文件的供应商进行投标活动；</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⑥</w:t>
      </w:r>
      <w:r>
        <w:rPr>
          <w:rFonts w:ascii="仿宋_GB2312" w:hAnsi="仿宋" w:eastAsia="仿宋_GB2312"/>
          <w:color w:val="auto"/>
          <w:sz w:val="24"/>
          <w:highlight w:val="none"/>
        </w:rPr>
        <w:t>对未按上述方式获取招标文件的供应商对该文件提出的质疑，采购人或采购代理机构将</w:t>
      </w:r>
      <w:r>
        <w:rPr>
          <w:rFonts w:hint="eastAsia" w:ascii="仿宋_GB2312" w:hAnsi="仿宋" w:eastAsia="仿宋_GB2312"/>
          <w:color w:val="auto"/>
          <w:sz w:val="24"/>
          <w:highlight w:val="none"/>
        </w:rPr>
        <w:t>不予处理；⑦</w:t>
      </w:r>
      <w:r>
        <w:rPr>
          <w:rFonts w:ascii="仿宋_GB2312" w:hAnsi="仿宋" w:eastAsia="仿宋_GB2312"/>
          <w:color w:val="auto"/>
          <w:sz w:val="24"/>
          <w:highlight w:val="none"/>
        </w:rPr>
        <w:t>不提供招标文件纸质版</w:t>
      </w:r>
      <w:r>
        <w:rPr>
          <w:rFonts w:hint="eastAsia" w:ascii="仿宋_GB2312" w:hAnsi="仿宋" w:eastAsia="仿宋_GB2312"/>
          <w:color w:val="auto"/>
          <w:sz w:val="24"/>
          <w:highlight w:val="none"/>
        </w:rPr>
        <w:t>；</w:t>
      </w:r>
      <w:r>
        <w:rPr>
          <w:rFonts w:hint="eastAsia" w:ascii="仿宋_GB2312" w:hAnsi="仿宋" w:eastAsia="仿宋_GB2312" w:cs="仿宋_GB2312"/>
          <w:color w:val="auto"/>
          <w:sz w:val="24"/>
          <w:highlight w:val="none"/>
        </w:rPr>
        <w:t>⑧</w:t>
      </w:r>
      <w:r>
        <w:rPr>
          <w:rFonts w:ascii="仿宋_GB2312" w:hAnsi="仿宋" w:eastAsia="仿宋_GB2312" w:cs="仿宋_GB2312"/>
          <w:color w:val="auto"/>
          <w:sz w:val="24"/>
          <w:highlight w:val="none"/>
        </w:rPr>
        <w:t>投标文件的传输递交：投标人在投标截止时间前将加密的投标文件上传至政府采购云平台</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⑨</w:t>
      </w:r>
      <w:r>
        <w:rPr>
          <w:rFonts w:hint="eastAsia" w:ascii="仿宋_GB2312" w:hAnsi="仿宋" w:eastAsia="仿宋_GB2312" w:cs="仿宋_GB2312"/>
          <w:color w:val="auto"/>
          <w:sz w:val="24"/>
          <w:highlight w:val="none"/>
        </w:rPr>
        <w:t>投标文件的解密：投标人按照平台提示和招标文件的规定在半小时内完成在线解密。通过“政府采购云平台”上传递交的投标文件无法按时解密，则视为投标文件撤回。⑩</w:t>
      </w:r>
      <w:r>
        <w:rPr>
          <w:rFonts w:ascii="仿宋_GB2312" w:hAnsi="仿宋" w:eastAsia="仿宋_GB2312" w:cs="仿宋_GB2312"/>
          <w:color w:val="auto"/>
          <w:sz w:val="24"/>
          <w:highlight w:val="none"/>
        </w:rPr>
        <w:t>具体操作指南：详见政</w:t>
      </w:r>
      <w:r>
        <w:rPr>
          <w:rFonts w:hint="eastAsia" w:ascii="仿宋_GB2312" w:hAnsi="仿宋" w:eastAsia="仿宋_GB2312" w:cs="仿宋_GB2312"/>
          <w:color w:val="auto"/>
          <w:sz w:val="24"/>
          <w:highlight w:val="none"/>
        </w:rPr>
        <w:t>采云平台“服务中心</w:t>
      </w:r>
      <w:r>
        <w:rPr>
          <w:rFonts w:ascii="仿宋_GB2312" w:hAnsi="仿宋" w:eastAsia="仿宋_GB2312" w:cs="仿宋_GB2312"/>
          <w:color w:val="auto"/>
          <w:sz w:val="24"/>
          <w:highlight w:val="none"/>
        </w:rPr>
        <w:t>-帮助文档-项目采购-操作流程-电子招投标-政府采购项目电子交易管理操作指南-供应商”。</w:t>
      </w: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七、对本次采购提出询问、质疑、投诉，请按以下方式联系</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1.采购人信息</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名    称：</w:t>
      </w:r>
      <w:r>
        <w:rPr>
          <w:rFonts w:hint="eastAsia" w:ascii="仿宋_GB2312" w:hAnsi="仿宋" w:eastAsia="仿宋_GB2312"/>
          <w:color w:val="auto"/>
          <w:sz w:val="24"/>
          <w:highlight w:val="none"/>
          <w:lang w:eastAsia="zh-CN"/>
        </w:rPr>
        <w:t>杭州市钱塘区综合行政执法局</w:t>
      </w:r>
      <w:r>
        <w:rPr>
          <w:rFonts w:ascii="仿宋_GB2312" w:hAnsi="仿宋" w:eastAsia="仿宋_GB2312"/>
          <w:color w:val="auto"/>
          <w:sz w:val="24"/>
          <w:highlight w:val="none"/>
        </w:rPr>
        <w:t xml:space="preserve"> </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地    址：</w:t>
      </w:r>
      <w:r>
        <w:rPr>
          <w:rFonts w:hint="eastAsia" w:ascii="仿宋_GB2312" w:hAnsi="仿宋" w:eastAsia="仿宋_GB2312"/>
          <w:color w:val="auto"/>
          <w:sz w:val="24"/>
          <w:highlight w:val="none"/>
        </w:rPr>
        <w:t>杭州</w:t>
      </w:r>
      <w:r>
        <w:rPr>
          <w:rFonts w:hint="eastAsia" w:ascii="仿宋_GB2312" w:hAnsi="仿宋" w:eastAsia="仿宋_GB2312"/>
          <w:color w:val="auto"/>
          <w:sz w:val="24"/>
          <w:highlight w:val="none"/>
          <w:lang w:val="en-US" w:eastAsia="zh-CN"/>
        </w:rPr>
        <w:t>市</w:t>
      </w:r>
      <w:r>
        <w:rPr>
          <w:rFonts w:hint="eastAsia" w:ascii="仿宋_GB2312" w:hAnsi="仿宋" w:eastAsia="仿宋_GB2312"/>
          <w:color w:val="auto"/>
          <w:sz w:val="24"/>
          <w:highlight w:val="none"/>
        </w:rPr>
        <w:t>钱塘区松合路369号</w:t>
      </w:r>
    </w:p>
    <w:p>
      <w:pPr>
        <w:spacing w:line="360" w:lineRule="auto"/>
        <w:ind w:firstLine="480"/>
        <w:rPr>
          <w:rFonts w:ascii="仿宋_GB2312" w:hAnsi="仿宋" w:eastAsia="仿宋_GB2312"/>
          <w:color w:val="auto"/>
          <w:sz w:val="24"/>
          <w:highlight w:val="none"/>
        </w:rPr>
      </w:pPr>
      <w:r>
        <w:rPr>
          <w:rFonts w:hint="eastAsia" w:ascii="仿宋_GB2312" w:hAnsi="仿宋" w:eastAsia="仿宋_GB2312"/>
          <w:color w:val="auto"/>
          <w:sz w:val="24"/>
          <w:highlight w:val="none"/>
        </w:rPr>
        <w:t>传</w:t>
      </w:r>
      <w:r>
        <w:rPr>
          <w:rFonts w:ascii="仿宋_GB2312" w:hAnsi="仿宋" w:eastAsia="仿宋_GB2312"/>
          <w:color w:val="auto"/>
          <w:sz w:val="24"/>
          <w:highlight w:val="none"/>
        </w:rPr>
        <w:t xml:space="preserve">    真： </w:t>
      </w:r>
      <w:r>
        <w:rPr>
          <w:rFonts w:ascii="仿宋" w:hAnsi="仿宋" w:eastAsia="仿宋"/>
          <w:color w:val="auto"/>
          <w:sz w:val="24"/>
          <w:highlight w:val="none"/>
        </w:rPr>
        <w:t>/</w:t>
      </w:r>
    </w:p>
    <w:p>
      <w:pPr>
        <w:spacing w:line="360" w:lineRule="auto"/>
        <w:ind w:firstLine="480"/>
        <w:rPr>
          <w:rFonts w:ascii="仿宋_GB2312" w:hAnsi="仿宋" w:eastAsia="仿宋"/>
          <w:color w:val="auto"/>
          <w:sz w:val="24"/>
          <w:highlight w:val="none"/>
        </w:rPr>
      </w:pPr>
      <w:r>
        <w:rPr>
          <w:rFonts w:hint="eastAsia" w:ascii="仿宋_GB2312" w:hAnsi="仿宋" w:eastAsia="仿宋_GB2312"/>
          <w:color w:val="auto"/>
          <w:sz w:val="24"/>
          <w:highlight w:val="none"/>
        </w:rPr>
        <w:t>项目联系人（询问）</w:t>
      </w:r>
      <w:r>
        <w:rPr>
          <w:rFonts w:hint="eastAsia" w:ascii="仿宋_GB2312" w:hAnsi="仿宋" w:eastAsia="仿宋_GB2312"/>
          <w:color w:val="auto"/>
          <w:sz w:val="24"/>
          <w:highlight w:val="none"/>
          <w:lang w:eastAsia="zh-CN"/>
        </w:rPr>
        <w:t>：陆工</w:t>
      </w:r>
    </w:p>
    <w:p>
      <w:pPr>
        <w:spacing w:line="360" w:lineRule="auto"/>
        <w:ind w:firstLine="48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项目联系方式（询问）：0571-89898763</w:t>
      </w:r>
    </w:p>
    <w:p>
      <w:pPr>
        <w:spacing w:line="360" w:lineRule="auto"/>
        <w:ind w:firstLine="480"/>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质疑联系人：</w:t>
      </w:r>
      <w:r>
        <w:rPr>
          <w:rFonts w:hint="eastAsia" w:ascii="仿宋_GB2312" w:hAnsi="仿宋" w:eastAsia="仿宋_GB2312"/>
          <w:color w:val="auto"/>
          <w:sz w:val="24"/>
          <w:highlight w:val="none"/>
          <w:lang w:val="en-US" w:eastAsia="zh-CN"/>
        </w:rPr>
        <w:t>杨工</w:t>
      </w:r>
    </w:p>
    <w:p>
      <w:pPr>
        <w:spacing w:line="360" w:lineRule="auto"/>
        <w:ind w:firstLine="480"/>
        <w:rPr>
          <w:rFonts w:hint="default" w:ascii="仿宋_GB2312" w:hAnsi="仿宋" w:eastAsia="仿宋_GB2312"/>
          <w:color w:val="auto"/>
          <w:sz w:val="24"/>
          <w:highlight w:val="none"/>
          <w:lang w:val="en-US" w:eastAsia="zh-CN"/>
        </w:rPr>
      </w:pPr>
      <w:r>
        <w:rPr>
          <w:rFonts w:hint="eastAsia" w:ascii="仿宋_GB2312" w:hAnsi="仿宋" w:eastAsia="仿宋_GB2312"/>
          <w:color w:val="auto"/>
          <w:sz w:val="24"/>
          <w:highlight w:val="none"/>
        </w:rPr>
        <w:t>质疑联系方式：</w:t>
      </w:r>
      <w:r>
        <w:rPr>
          <w:rFonts w:hint="eastAsia" w:ascii="仿宋_GB2312" w:hAnsi="仿宋" w:eastAsia="仿宋_GB2312"/>
          <w:color w:val="auto"/>
          <w:sz w:val="24"/>
          <w:highlight w:val="none"/>
          <w:lang w:val="en-US" w:eastAsia="zh-CN"/>
        </w:rPr>
        <w:t>0571-86933036</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2.采购代理机构信息            </w:t>
      </w:r>
    </w:p>
    <w:p>
      <w:pPr>
        <w:spacing w:line="360" w:lineRule="auto"/>
        <w:ind w:firstLine="480"/>
        <w:rPr>
          <w:rFonts w:ascii="仿宋_GB2312" w:hAnsi="仿宋" w:eastAsia="仿宋_GB2312"/>
          <w:color w:val="auto"/>
          <w:sz w:val="24"/>
          <w:highlight w:val="none"/>
        </w:rPr>
      </w:pPr>
      <w:r>
        <w:rPr>
          <w:rFonts w:hint="eastAsia" w:ascii="仿宋_GB2312" w:hAnsi="仿宋" w:eastAsia="仿宋_GB2312"/>
          <w:color w:val="auto"/>
          <w:sz w:val="24"/>
          <w:highlight w:val="none"/>
        </w:rPr>
        <w:t>名</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称：杭州市公共资源交易中心</w:t>
      </w:r>
      <w:r>
        <w:rPr>
          <w:rFonts w:hint="eastAsia" w:ascii="仿宋_GB2312" w:hAnsi="仿宋" w:eastAsia="仿宋_GB2312"/>
          <w:color w:val="auto"/>
          <w:sz w:val="24"/>
          <w:highlight w:val="none"/>
          <w:lang w:val="en-US" w:eastAsia="zh-CN"/>
        </w:rPr>
        <w:t>钱塘</w:t>
      </w:r>
      <w:r>
        <w:rPr>
          <w:rFonts w:hint="eastAsia" w:ascii="仿宋_GB2312" w:hAnsi="仿宋" w:eastAsia="仿宋_GB2312"/>
          <w:color w:val="auto"/>
          <w:sz w:val="24"/>
          <w:highlight w:val="none"/>
        </w:rPr>
        <w:t>分中心</w:t>
      </w:r>
    </w:p>
    <w:p>
      <w:pPr>
        <w:spacing w:line="360" w:lineRule="auto"/>
        <w:ind w:firstLine="480"/>
        <w:rPr>
          <w:rFonts w:ascii="仿宋_GB2312" w:hAnsi="仿宋" w:eastAsia="仿宋"/>
          <w:color w:val="auto"/>
          <w:sz w:val="24"/>
          <w:highlight w:val="none"/>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hint="eastAsia" w:ascii="仿宋_GB2312" w:hAnsi="仿宋" w:eastAsia="仿宋_GB2312"/>
          <w:color w:val="auto"/>
          <w:sz w:val="24"/>
          <w:highlight w:val="none"/>
          <w:lang w:eastAsia="zh-CN"/>
        </w:rPr>
        <w:t>杭州市</w:t>
      </w:r>
      <w:r>
        <w:rPr>
          <w:rFonts w:hint="eastAsia" w:ascii="仿宋" w:hAnsi="仿宋" w:eastAsia="仿宋"/>
          <w:color w:val="auto"/>
          <w:sz w:val="24"/>
          <w:highlight w:val="none"/>
          <w:lang w:val="en-US" w:eastAsia="zh-CN"/>
        </w:rPr>
        <w:t>钱塘区</w:t>
      </w:r>
      <w:r>
        <w:rPr>
          <w:rFonts w:hint="eastAsia" w:ascii="仿宋" w:hAnsi="仿宋" w:eastAsia="仿宋"/>
          <w:color w:val="auto"/>
          <w:sz w:val="24"/>
          <w:highlight w:val="none"/>
        </w:rPr>
        <w:t>幸福南路1116号</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传    真：/             </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项目联系人（询问）：</w:t>
      </w:r>
      <w:r>
        <w:rPr>
          <w:rFonts w:hint="eastAsia" w:ascii="仿宋_GB2312" w:hAnsi="仿宋" w:eastAsia="仿宋_GB2312"/>
          <w:color w:val="auto"/>
          <w:sz w:val="24"/>
          <w:highlight w:val="none"/>
          <w:lang w:val="en-US" w:eastAsia="zh-CN"/>
        </w:rPr>
        <w:t>陈工</w:t>
      </w:r>
      <w:r>
        <w:rPr>
          <w:rFonts w:hint="eastAsia" w:ascii="仿宋" w:hAnsi="仿宋" w:eastAsia="仿宋"/>
          <w:color w:val="auto"/>
          <w:sz w:val="24"/>
          <w:highlight w:val="none"/>
        </w:rPr>
        <w:t xml:space="preserve"> </w:t>
      </w:r>
      <w:r>
        <w:rPr>
          <w:rFonts w:ascii="仿宋_GB2312" w:hAnsi="仿宋" w:eastAsia="仿宋_GB2312"/>
          <w:color w:val="auto"/>
          <w:sz w:val="24"/>
          <w:highlight w:val="none"/>
        </w:rPr>
        <w:t xml:space="preserve">        </w:t>
      </w:r>
    </w:p>
    <w:p>
      <w:pPr>
        <w:spacing w:line="360" w:lineRule="auto"/>
        <w:rPr>
          <w:rFonts w:hint="default" w:ascii="仿宋_GB2312" w:hAnsi="仿宋" w:eastAsia="仿宋_GB2312"/>
          <w:color w:val="auto"/>
          <w:sz w:val="24"/>
          <w:highlight w:val="none"/>
          <w:lang w:val="en-US" w:eastAsia="zh-CN"/>
        </w:rPr>
      </w:pPr>
      <w:r>
        <w:rPr>
          <w:rFonts w:ascii="仿宋_GB2312" w:hAnsi="仿宋" w:eastAsia="仿宋_GB2312"/>
          <w:color w:val="auto"/>
          <w:sz w:val="24"/>
          <w:highlight w:val="none"/>
        </w:rPr>
        <w:t xml:space="preserve">    项目联系方式（询问）：</w:t>
      </w:r>
      <w:r>
        <w:rPr>
          <w:rFonts w:hint="eastAsia" w:ascii="仿宋_GB2312" w:hAnsi="仿宋" w:eastAsia="仿宋_GB2312"/>
          <w:color w:val="auto"/>
          <w:sz w:val="24"/>
          <w:highlight w:val="none"/>
          <w:lang w:val="en-US" w:eastAsia="zh-CN"/>
        </w:rPr>
        <w:t>0571-82987992</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质疑联系人：</w:t>
      </w:r>
      <w:r>
        <w:rPr>
          <w:rFonts w:hint="eastAsia" w:ascii="仿宋_GB2312" w:hAnsi="仿宋" w:eastAsia="仿宋_GB2312"/>
          <w:color w:val="auto"/>
          <w:sz w:val="24"/>
          <w:highlight w:val="none"/>
          <w:lang w:val="en-US" w:eastAsia="zh-CN"/>
        </w:rPr>
        <w:t>熊工</w:t>
      </w:r>
      <w:r>
        <w:rPr>
          <w:rFonts w:hint="eastAsia" w:ascii="仿宋" w:hAnsi="仿宋" w:eastAsia="仿宋"/>
          <w:color w:val="auto"/>
          <w:sz w:val="24"/>
          <w:highlight w:val="none"/>
        </w:rPr>
        <w:t xml:space="preserve"> </w:t>
      </w:r>
      <w:r>
        <w:rPr>
          <w:rFonts w:ascii="仿宋_GB2312" w:hAnsi="仿宋" w:eastAsia="仿宋_GB2312"/>
          <w:color w:val="auto"/>
          <w:sz w:val="24"/>
          <w:highlight w:val="none"/>
        </w:rPr>
        <w:t xml:space="preserve">            </w:t>
      </w:r>
    </w:p>
    <w:p>
      <w:pPr>
        <w:spacing w:line="360" w:lineRule="auto"/>
        <w:rPr>
          <w:rFonts w:ascii="仿宋" w:hAnsi="仿宋" w:eastAsia="仿宋"/>
          <w:color w:val="auto"/>
          <w:sz w:val="24"/>
          <w:highlight w:val="none"/>
        </w:rPr>
      </w:pPr>
      <w:r>
        <w:rPr>
          <w:rFonts w:ascii="仿宋_GB2312" w:hAnsi="仿宋" w:eastAsia="仿宋_GB2312"/>
          <w:color w:val="auto"/>
          <w:sz w:val="24"/>
          <w:highlight w:val="none"/>
        </w:rPr>
        <w:t xml:space="preserve">    质疑联系方式：</w:t>
      </w:r>
      <w:r>
        <w:rPr>
          <w:rFonts w:hint="eastAsia" w:ascii="仿宋_GB2312" w:hAnsi="仿宋" w:eastAsia="仿宋_GB2312"/>
          <w:color w:val="auto"/>
          <w:sz w:val="24"/>
          <w:highlight w:val="none"/>
          <w:lang w:val="en-US" w:eastAsia="zh-CN"/>
        </w:rPr>
        <w:t>0571-82987976</w:t>
      </w:r>
      <w:r>
        <w:rPr>
          <w:rFonts w:hint="eastAsia" w:ascii="仿宋" w:hAnsi="仿宋" w:eastAsia="仿宋"/>
          <w:color w:val="auto"/>
          <w:sz w:val="24"/>
          <w:highlight w:val="none"/>
        </w:rPr>
        <w:t xml:space="preserve"> </w:t>
      </w:r>
    </w:p>
    <w:p>
      <w:pPr>
        <w:spacing w:line="360" w:lineRule="auto"/>
        <w:rPr>
          <w:rFonts w:hint="eastAsia" w:ascii="仿宋" w:hAnsi="仿宋" w:eastAsia="仿宋" w:cs="仿宋"/>
          <w:color w:val="auto"/>
          <w:highlight w:val="none"/>
        </w:rPr>
      </w:pPr>
      <w:r>
        <w:rPr>
          <w:rFonts w:ascii="仿宋_GB2312" w:hAnsi="仿宋" w:eastAsia="仿宋_GB2312"/>
          <w:color w:val="auto"/>
          <w:sz w:val="24"/>
          <w:highlight w:val="none"/>
        </w:rPr>
        <w:t xml:space="preserve">    </w:t>
      </w:r>
      <w:r>
        <w:rPr>
          <w:rFonts w:hint="eastAsia" w:ascii="仿宋" w:hAnsi="仿宋" w:eastAsia="仿宋" w:cs="仿宋"/>
          <w:color w:val="auto"/>
          <w:highlight w:val="none"/>
        </w:rPr>
        <w:t xml:space="preserve"> 3.同级政府采购监督管理部门            </w:t>
      </w:r>
    </w:p>
    <w:p>
      <w:pPr>
        <w:adjustRightInd w:val="0"/>
        <w:spacing w:line="360" w:lineRule="auto"/>
        <w:ind w:left="480" w:leftChars="200" w:firstLine="0" w:firstLineChars="0"/>
        <w:rPr>
          <w:rFonts w:ascii="仿宋_GB2312" w:hAnsi="仿宋" w:eastAsia="仿宋_GB2312"/>
          <w:color w:val="auto"/>
          <w:sz w:val="24"/>
          <w:highlight w:val="none"/>
        </w:rPr>
      </w:pPr>
      <w:r>
        <w:rPr>
          <w:rFonts w:hint="eastAsia" w:ascii="仿宋" w:hAnsi="仿宋" w:eastAsia="仿宋" w:cs="仿宋"/>
          <w:color w:val="auto"/>
          <w:highlight w:val="none"/>
        </w:rPr>
        <w:t xml:space="preserve">名 称：杭州市钱塘区财政局 </w:t>
      </w:r>
      <w:r>
        <w:rPr>
          <w:rFonts w:hint="eastAsia" w:ascii="仿宋" w:hAnsi="仿宋" w:eastAsia="仿宋" w:cs="仿宋"/>
          <w:color w:val="auto"/>
          <w:highlight w:val="none"/>
        </w:rPr>
        <w:br w:type="textWrapping"/>
      </w:r>
      <w:r>
        <w:rPr>
          <w:rFonts w:hint="eastAsia" w:ascii="仿宋" w:hAnsi="仿宋" w:eastAsia="仿宋" w:cs="仿宋"/>
          <w:color w:val="auto"/>
          <w:highlight w:val="none"/>
        </w:rPr>
        <w:t>地 址：杭州市钱塘区青六北路499号钱塘中心5号楼</w:t>
      </w:r>
      <w:r>
        <w:rPr>
          <w:rFonts w:hint="eastAsia" w:ascii="仿宋" w:hAnsi="仿宋" w:eastAsia="仿宋" w:cs="仿宋"/>
          <w:color w:val="auto"/>
          <w:highlight w:val="none"/>
        </w:rPr>
        <w:br w:type="textWrapping"/>
      </w:r>
      <w:r>
        <w:rPr>
          <w:rFonts w:hint="eastAsia" w:ascii="仿宋" w:hAnsi="仿宋" w:eastAsia="仿宋" w:cs="仿宋"/>
          <w:color w:val="auto"/>
          <w:highlight w:val="none"/>
        </w:rPr>
        <w:t xml:space="preserve">传 真：0571-82988295 </w:t>
      </w:r>
      <w:r>
        <w:rPr>
          <w:rFonts w:hint="eastAsia" w:ascii="仿宋" w:hAnsi="仿宋" w:eastAsia="仿宋" w:cs="仿宋"/>
          <w:color w:val="auto"/>
          <w:highlight w:val="none"/>
        </w:rPr>
        <w:br w:type="textWrapping"/>
      </w:r>
      <w:r>
        <w:rPr>
          <w:rFonts w:hint="eastAsia" w:ascii="仿宋" w:hAnsi="仿宋" w:eastAsia="仿宋" w:cs="仿宋"/>
          <w:color w:val="auto"/>
          <w:highlight w:val="none"/>
        </w:rPr>
        <w:t xml:space="preserve">联系人 ：任女士 </w:t>
      </w:r>
      <w:r>
        <w:rPr>
          <w:rFonts w:hint="eastAsia" w:ascii="仿宋" w:hAnsi="仿宋" w:eastAsia="仿宋" w:cs="仿宋"/>
          <w:color w:val="auto"/>
          <w:highlight w:val="none"/>
        </w:rPr>
        <w:br w:type="textWrapping"/>
      </w:r>
      <w:r>
        <w:rPr>
          <w:rFonts w:hint="eastAsia" w:ascii="仿宋" w:hAnsi="仿宋" w:eastAsia="仿宋" w:cs="仿宋"/>
          <w:color w:val="auto"/>
          <w:highlight w:val="none"/>
        </w:rPr>
        <w:t xml:space="preserve">监督投诉电话：0571-82987260 </w:t>
      </w:r>
      <w:r>
        <w:rPr>
          <w:rFonts w:hint="eastAsia" w:ascii="仿宋_GB2312" w:hAnsi="仿宋" w:eastAsia="仿宋_GB2312"/>
          <w:color w:val="auto"/>
          <w:sz w:val="24"/>
          <w:highlight w:val="none"/>
        </w:rPr>
        <w:t xml:space="preserve"> </w:t>
      </w:r>
      <w:r>
        <w:rPr>
          <w:rFonts w:ascii="仿宋_GB2312" w:hAnsi="仿宋" w:eastAsia="仿宋_GB2312"/>
          <w:color w:val="auto"/>
          <w:sz w:val="24"/>
          <w:highlight w:val="none"/>
        </w:rPr>
        <w:t xml:space="preserve">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若对项目采购电子交易系统操作有疑问，可登录政采云（</w:t>
      </w:r>
      <w:r>
        <w:rPr>
          <w:rFonts w:ascii="仿宋_GB2312" w:hAnsi="仿宋" w:eastAsia="仿宋_GB2312"/>
          <w:color w:val="auto"/>
          <w:sz w:val="24"/>
          <w:highlight w:val="none"/>
        </w:rPr>
        <w:t>https://www.zcygov.cn/），点击右侧咨询小采，获取采小蜜智能服务管家帮助，或拨打政</w:t>
      </w:r>
      <w:r>
        <w:rPr>
          <w:rFonts w:hint="eastAsia" w:ascii="仿宋_GB2312" w:hAnsi="仿宋" w:eastAsia="仿宋_GB2312"/>
          <w:color w:val="auto"/>
          <w:sz w:val="24"/>
          <w:highlight w:val="none"/>
        </w:rPr>
        <w:t>采云服务热线</w:t>
      </w:r>
      <w:r>
        <w:rPr>
          <w:rFonts w:ascii="仿宋_GB2312" w:hAnsi="仿宋" w:eastAsia="仿宋_GB2312"/>
          <w:color w:val="auto"/>
          <w:sz w:val="24"/>
          <w:highlight w:val="none"/>
        </w:rPr>
        <w:t>400-881-7190获取热线服务帮助。</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CA问题联系电话（人工）：</w:t>
      </w:r>
      <w:r>
        <w:rPr>
          <w:rFonts w:hint="eastAsia" w:ascii="仿宋_GB2312" w:hAnsi="仿宋" w:eastAsia="仿宋_GB2312"/>
          <w:color w:val="auto"/>
          <w:sz w:val="24"/>
          <w:highlight w:val="none"/>
        </w:rPr>
        <w:t>汇信</w:t>
      </w:r>
      <w:r>
        <w:rPr>
          <w:rFonts w:ascii="仿宋_GB2312" w:hAnsi="仿宋" w:eastAsia="仿宋_GB2312"/>
          <w:color w:val="auto"/>
          <w:sz w:val="24"/>
          <w:highlight w:val="none"/>
        </w:rPr>
        <w:t>CA 400-888-4636；天谷CA 400-087-8198。</w:t>
      </w:r>
    </w:p>
    <w:p>
      <w:pPr>
        <w:pStyle w:val="35"/>
        <w:spacing w:line="360" w:lineRule="auto"/>
        <w:ind w:firstLine="480" w:firstLineChars="200"/>
        <w:rPr>
          <w:rFonts w:ascii="仿宋" w:hAnsi="仿宋" w:eastAsia="仿宋" w:cs="仿宋_GB2312"/>
          <w:color w:val="auto"/>
          <w:sz w:val="24"/>
          <w:szCs w:val="24"/>
          <w:highlight w:val="none"/>
        </w:rPr>
      </w:pPr>
      <w:r>
        <w:rPr>
          <w:rFonts w:ascii="仿宋" w:hAnsi="仿宋" w:eastAsia="仿宋" w:cs="仿宋_GB2312"/>
          <w:color w:val="auto"/>
          <w:sz w:val="24"/>
          <w:highlight w:val="none"/>
        </w:rPr>
        <w:t xml:space="preserve">                              </w:t>
      </w:r>
    </w:p>
    <w:p>
      <w:pPr>
        <w:adjustRightInd/>
        <w:spacing w:line="360" w:lineRule="auto"/>
        <w:jc w:val="center"/>
        <w:outlineLvl w:val="0"/>
        <w:rPr>
          <w:rFonts w:ascii="仿宋" w:hAnsi="仿宋" w:eastAsia="仿宋" w:cs="仿宋_GB2312"/>
          <w:b/>
          <w:color w:val="auto"/>
          <w:sz w:val="36"/>
          <w:szCs w:val="20"/>
          <w:highlight w:val="none"/>
        </w:rPr>
      </w:pPr>
      <w:r>
        <w:rPr>
          <w:rFonts w:ascii="仿宋" w:hAnsi="仿宋" w:eastAsia="仿宋" w:cs="仿宋_GB2312"/>
          <w:b/>
          <w:color w:val="auto"/>
          <w:sz w:val="36"/>
          <w:szCs w:val="20"/>
          <w:highlight w:val="none"/>
        </w:rPr>
        <w:br w:type="page"/>
      </w:r>
      <w:r>
        <w:rPr>
          <w:rFonts w:hint="eastAsia" w:ascii="仿宋" w:hAnsi="仿宋" w:eastAsia="仿宋" w:cs="仿宋_GB2312"/>
          <w:b/>
          <w:color w:val="auto"/>
          <w:sz w:val="36"/>
          <w:szCs w:val="20"/>
          <w:highlight w:val="none"/>
        </w:rPr>
        <w:t>第二部分</w:t>
      </w:r>
      <w:bookmarkEnd w:id="8"/>
      <w:r>
        <w:rPr>
          <w:rFonts w:ascii="仿宋" w:hAnsi="仿宋" w:eastAsia="仿宋" w:cs="仿宋_GB2312"/>
          <w:b/>
          <w:color w:val="auto"/>
          <w:sz w:val="36"/>
          <w:szCs w:val="20"/>
          <w:highlight w:val="none"/>
        </w:rPr>
        <w:t xml:space="preserve"> 投标人须知</w:t>
      </w:r>
      <w:bookmarkEnd w:id="9"/>
    </w:p>
    <w:p>
      <w:pPr>
        <w:snapToGrid w:val="0"/>
        <w:spacing w:line="360" w:lineRule="auto"/>
        <w:jc w:val="center"/>
        <w:rPr>
          <w:rFonts w:ascii="仿宋" w:hAnsi="仿宋" w:eastAsia="仿宋" w:cs="仿宋_GB2312"/>
          <w:b/>
          <w:color w:val="auto"/>
          <w:sz w:val="32"/>
          <w:szCs w:val="20"/>
          <w:highlight w:val="none"/>
        </w:rPr>
      </w:pPr>
      <w:r>
        <w:rPr>
          <w:rFonts w:hint="eastAsia" w:ascii="仿宋" w:hAnsi="仿宋" w:eastAsia="仿宋" w:cs="仿宋_GB2312"/>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777"/>
        <w:gridCol w:w="61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1777"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事项</w:t>
            </w:r>
          </w:p>
        </w:tc>
        <w:tc>
          <w:tcPr>
            <w:tcW w:w="6161"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 w:eastAsia="仿宋_GB2312" w:cs="仿宋_GB2312"/>
                <w:color w:val="auto"/>
                <w:kern w:val="2"/>
                <w:sz w:val="24"/>
                <w:szCs w:val="24"/>
                <w:highlight w:val="none"/>
                <w:lang w:val="en-US" w:eastAsia="zh-CN" w:bidi="ar-SA"/>
              </w:rPr>
            </w:pPr>
            <w:r>
              <w:rPr>
                <w:rFonts w:hint="eastAsia" w:ascii="仿宋_GB2312" w:hAnsi="仿宋" w:eastAsia="仿宋_GB2312" w:cs="仿宋_GB2312"/>
                <w:color w:val="auto"/>
                <w:sz w:val="24"/>
                <w:highlight w:val="none"/>
                <w:lang w:val="en-US" w:eastAsia="zh-CN"/>
              </w:rPr>
              <w:t>1</w:t>
            </w:r>
          </w:p>
        </w:tc>
        <w:tc>
          <w:tcPr>
            <w:tcW w:w="1777"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color w:val="auto"/>
                <w:kern w:val="2"/>
                <w:sz w:val="24"/>
                <w:szCs w:val="24"/>
                <w:highlight w:val="none"/>
                <w:lang w:val="en-US" w:eastAsia="zh-CN" w:bidi="ar-SA"/>
              </w:rPr>
            </w:pPr>
            <w:r>
              <w:rPr>
                <w:rFonts w:hint="eastAsia" w:ascii="仿宋_GB2312" w:hAnsi="仿宋" w:eastAsia="仿宋_GB2312" w:cs="仿宋_GB2312"/>
                <w:b/>
                <w:color w:val="auto"/>
                <w:sz w:val="24"/>
                <w:highlight w:val="none"/>
              </w:rPr>
              <w:t>项目属性与核心产品</w:t>
            </w:r>
          </w:p>
        </w:tc>
        <w:tc>
          <w:tcPr>
            <w:tcW w:w="616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szCs w:val="24"/>
                    <w:highlight w:val="none"/>
                    <w:lang w:val="en-US" w:eastAsia="zh-CN" w:bidi="ar-SA"/>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pacing w:line="360" w:lineRule="auto"/>
              <w:rPr>
                <w:rFonts w:hint="default" w:ascii="仿宋_GB2312" w:hAnsi="仿宋" w:eastAsia="仿宋_GB2312" w:cs="Times New Roman"/>
                <w:color w:val="auto"/>
                <w:kern w:val="2"/>
                <w:sz w:val="24"/>
                <w:szCs w:val="24"/>
                <w:highlight w:val="none"/>
                <w:lang w:val="en-US" w:eastAsia="zh-CN" w:bidi="ar-SA"/>
              </w:rPr>
            </w:pPr>
            <w:sdt>
              <w:sdtPr>
                <w:rPr>
                  <w:rFonts w:hint="eastAsia" w:ascii="仿宋_GB2312" w:hAnsi="仿宋" w:eastAsia="仿宋_GB2312" w:cs="Arial"/>
                  <w:color w:val="auto"/>
                  <w:kern w:val="0"/>
                  <w:sz w:val="24"/>
                  <w:highlight w:val="none"/>
                </w:rPr>
                <w:id w:val="474885559"/>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szCs w:val="24"/>
                    <w:highlight w:val="none"/>
                    <w:lang w:val="en-US" w:eastAsia="zh-CN" w:bidi="ar-SA"/>
                  </w:rPr>
                  <w:t>þ</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r>
              <w:rPr>
                <w:rFonts w:hint="eastAsia" w:ascii="仿宋_GB2312" w:hAnsi="仿宋" w:eastAsia="仿宋_GB2312"/>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_GB2312" w:hAnsi="仿宋" w:eastAsia="仿宋_GB2312" w:cs="仿宋_GB2312"/>
                <w:color w:val="auto"/>
                <w:sz w:val="24"/>
                <w:highlight w:val="none"/>
                <w:lang w:eastAsia="zh-CN"/>
              </w:rPr>
            </w:pPr>
            <w:r>
              <w:rPr>
                <w:rFonts w:hint="eastAsia" w:ascii="仿宋_GB2312" w:hAnsi="仿宋" w:eastAsia="仿宋_GB2312" w:cs="仿宋_GB2312"/>
                <w:color w:val="auto"/>
                <w:sz w:val="24"/>
                <w:highlight w:val="none"/>
                <w:lang w:val="en-US" w:eastAsia="zh-CN"/>
              </w:rPr>
              <w:t>2</w:t>
            </w:r>
          </w:p>
        </w:tc>
        <w:tc>
          <w:tcPr>
            <w:tcW w:w="177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采购标的对应的中小企业划分标准所属行业</w:t>
            </w:r>
          </w:p>
        </w:tc>
        <w:tc>
          <w:tcPr>
            <w:tcW w:w="6161"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color w:val="auto"/>
                <w:highlight w:val="none"/>
                <w:lang w:val="en-US"/>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lang w:val="en-US" w:eastAsia="zh-CN"/>
              </w:rPr>
              <w:t xml:space="preserve"> 公共卫生间物业化管理服务</w:t>
            </w:r>
            <w:r>
              <w:rPr>
                <w:rFonts w:hint="eastAsia" w:ascii="仿宋_GB2312" w:hAnsi="仿宋" w:eastAsia="仿宋_GB2312" w:cs="Arial"/>
                <w:color w:val="auto"/>
                <w:kern w:val="0"/>
                <w:sz w:val="24"/>
                <w:highlight w:val="none"/>
                <w:u w:val="single"/>
                <w:lang w:val="en-US" w:eastAsia="zh-CN"/>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lang w:val="en-US" w:eastAsia="zh-CN"/>
              </w:rPr>
              <w:t xml:space="preserve"> </w:t>
            </w:r>
            <w:r>
              <w:rPr>
                <w:rFonts w:hint="eastAsia" w:ascii="仿宋_GB2312" w:hAnsi="仿宋" w:eastAsia="仿宋_GB2312" w:cs="Arial"/>
                <w:color w:val="auto"/>
                <w:kern w:val="0"/>
                <w:sz w:val="24"/>
                <w:highlight w:val="none"/>
                <w:u w:val="single"/>
                <w:lang w:val="en-US" w:eastAsia="zh-CN"/>
              </w:rPr>
              <w:t>其他未列明行业</w:t>
            </w:r>
            <w:r>
              <w:rPr>
                <w:rFonts w:hint="eastAsia" w:ascii="仿宋_GB2312" w:hAnsi="仿宋" w:eastAsia="仿宋_GB2312" w:cs="Arial"/>
                <w:color w:val="auto"/>
                <w:kern w:val="0"/>
                <w:sz w:val="24"/>
                <w:highlight w:val="none"/>
                <w:u w:val="single"/>
                <w:lang w:val="en-US" w:eastAsia="zh-CN"/>
              </w:rPr>
              <w:t xml:space="preserve">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91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 w:eastAsia="仿宋_GB2312" w:cs="仿宋_GB2312"/>
                <w:color w:val="auto"/>
                <w:kern w:val="2"/>
                <w:sz w:val="24"/>
                <w:szCs w:val="24"/>
                <w:highlight w:val="none"/>
                <w:lang w:val="en-US" w:eastAsia="zh-CN" w:bidi="ar-SA"/>
              </w:rPr>
            </w:pPr>
            <w:r>
              <w:rPr>
                <w:rFonts w:hint="eastAsia" w:ascii="仿宋_GB2312" w:hAnsi="仿宋" w:eastAsia="仿宋_GB2312" w:cs="仿宋_GB2312"/>
                <w:color w:val="auto"/>
                <w:sz w:val="24"/>
                <w:highlight w:val="none"/>
                <w:lang w:val="en-US" w:eastAsia="zh-CN"/>
              </w:rPr>
              <w:t>3</w:t>
            </w:r>
          </w:p>
        </w:tc>
        <w:tc>
          <w:tcPr>
            <w:tcW w:w="1777"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color w:val="auto"/>
                <w:kern w:val="2"/>
                <w:sz w:val="24"/>
                <w:szCs w:val="24"/>
                <w:highlight w:val="none"/>
                <w:lang w:val="en-US" w:eastAsia="zh-CN" w:bidi="ar-SA"/>
              </w:rPr>
            </w:pPr>
            <w:r>
              <w:rPr>
                <w:rFonts w:hint="eastAsia" w:ascii="仿宋_GB2312" w:hAnsi="仿宋" w:eastAsia="仿宋_GB2312" w:cs="仿宋_GB2312"/>
                <w:b/>
                <w:color w:val="auto"/>
                <w:sz w:val="24"/>
                <w:highlight w:val="none"/>
              </w:rPr>
              <w:t>是否允许采购进口产品</w:t>
            </w:r>
          </w:p>
        </w:tc>
        <w:tc>
          <w:tcPr>
            <w:tcW w:w="616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828425707"/>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pacing w:line="360" w:lineRule="auto"/>
              <w:rPr>
                <w:rFonts w:hint="eastAsia" w:ascii="Times New Roman" w:hAnsi="Times New Roman" w:eastAsia="宋体" w:cs="Times New Roman"/>
                <w:color w:val="auto"/>
                <w:kern w:val="2"/>
                <w:sz w:val="21"/>
                <w:szCs w:val="24"/>
                <w:highlight w:val="none"/>
                <w:lang w:val="en-US" w:eastAsia="zh-CN" w:bidi="ar-SA"/>
              </w:rPr>
            </w:pPr>
            <w:sdt>
              <w:sdtPr>
                <w:rPr>
                  <w:rFonts w:hint="eastAsia" w:ascii="仿宋_GB2312" w:hAnsi="仿宋" w:eastAsia="仿宋_GB2312" w:cs="Arial"/>
                  <w:color w:val="auto"/>
                  <w:kern w:val="0"/>
                  <w:sz w:val="24"/>
                  <w:highlight w:val="none"/>
                </w:rPr>
                <w:id w:val="-52852824"/>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_GB2312" w:hAnsi="仿宋" w:eastAsia="仿宋_GB2312" w:cs="仿宋_GB2312"/>
                <w:color w:val="auto"/>
                <w:sz w:val="24"/>
                <w:highlight w:val="none"/>
                <w:lang w:eastAsia="zh-CN"/>
              </w:rPr>
            </w:pPr>
            <w:r>
              <w:rPr>
                <w:rFonts w:hint="eastAsia" w:ascii="仿宋_GB2312" w:hAnsi="仿宋" w:eastAsia="仿宋_GB2312" w:cs="仿宋_GB2312"/>
                <w:color w:val="auto"/>
                <w:sz w:val="24"/>
                <w:highlight w:val="none"/>
                <w:lang w:val="en-US" w:eastAsia="zh-CN"/>
              </w:rPr>
              <w:t>4</w:t>
            </w:r>
          </w:p>
        </w:tc>
        <w:tc>
          <w:tcPr>
            <w:tcW w:w="1777"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分包</w:t>
            </w:r>
          </w:p>
        </w:tc>
        <w:tc>
          <w:tcPr>
            <w:tcW w:w="616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仿宋_GB2312"/>
                <w:color w:val="auto"/>
                <w:sz w:val="24"/>
                <w:highlight w:val="none"/>
              </w:rPr>
            </w:pPr>
            <w:sdt>
              <w:sdtPr>
                <w:rPr>
                  <w:rFonts w:hint="eastAsia" w:ascii="仿宋_GB2312" w:hAnsi="仿宋" w:eastAsia="仿宋_GB2312" w:cs="Arial"/>
                  <w:color w:val="auto"/>
                  <w:kern w:val="0"/>
                  <w:sz w:val="24"/>
                  <w:highlight w:val="none"/>
                </w:rPr>
                <w:id w:val="-1477286927"/>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sdt>
              <w:sdtPr>
                <w:rPr>
                  <w:rFonts w:hint="eastAsia" w:ascii="仿宋_GB2312" w:hAnsi="仿宋" w:eastAsia="仿宋_GB2312" w:cs="Arial"/>
                  <w:color w:val="auto"/>
                  <w:kern w:val="0"/>
                  <w:sz w:val="24"/>
                  <w:highlight w:val="none"/>
                </w:rPr>
                <w:id w:val="-1276331357"/>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 xml:space="preserve"> 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26"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hint="eastAsia" w:ascii="仿宋_GB2312" w:hAnsi="仿宋" w:eastAsia="仿宋_GB2312" w:cs="仿宋_GB2312"/>
                <w:color w:val="auto"/>
                <w:kern w:val="2"/>
                <w:sz w:val="24"/>
                <w:szCs w:val="24"/>
                <w:highlight w:val="none"/>
                <w:lang w:val="en-US" w:eastAsia="zh-CN" w:bidi="ar-SA"/>
              </w:rPr>
            </w:pPr>
            <w:r>
              <w:rPr>
                <w:rFonts w:hint="eastAsia" w:ascii="仿宋_GB2312" w:hAnsi="仿宋" w:eastAsia="仿宋_GB2312" w:cs="仿宋_GB2312"/>
                <w:color w:val="auto"/>
                <w:sz w:val="24"/>
                <w:highlight w:val="none"/>
                <w:lang w:val="en-US" w:eastAsia="zh-CN"/>
              </w:rPr>
              <w:t>5</w:t>
            </w:r>
          </w:p>
        </w:tc>
        <w:tc>
          <w:tcPr>
            <w:tcW w:w="1777"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color w:val="auto"/>
                <w:kern w:val="2"/>
                <w:sz w:val="24"/>
                <w:szCs w:val="24"/>
                <w:highlight w:val="none"/>
                <w:lang w:val="en-US" w:eastAsia="zh-CN" w:bidi="ar-SA"/>
              </w:rPr>
            </w:pPr>
            <w:r>
              <w:rPr>
                <w:rFonts w:hint="eastAsia" w:ascii="仿宋_GB2312" w:hAnsi="仿宋" w:eastAsia="仿宋_GB2312" w:cs="仿宋_GB2312"/>
                <w:b/>
                <w:color w:val="auto"/>
                <w:sz w:val="24"/>
                <w:highlight w:val="none"/>
              </w:rPr>
              <w:t>开标前答疑会或现场考察</w:t>
            </w:r>
          </w:p>
        </w:tc>
        <w:tc>
          <w:tcPr>
            <w:tcW w:w="616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12966419"/>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spacing w:line="360" w:lineRule="auto"/>
              <w:rPr>
                <w:rFonts w:hint="eastAsia" w:ascii="仿宋_GB2312" w:hAnsi="仿宋" w:eastAsia="仿宋_GB2312" w:cs="Times New Roman"/>
                <w:color w:val="auto"/>
                <w:kern w:val="2"/>
                <w:sz w:val="24"/>
                <w:szCs w:val="20"/>
                <w:highlight w:val="none"/>
                <w:lang w:val="en-US" w:eastAsia="zh-CN" w:bidi="ar-SA"/>
              </w:rPr>
            </w:pPr>
            <w:sdt>
              <w:sdtPr>
                <w:rPr>
                  <w:rFonts w:hint="eastAsia" w:ascii="仿宋_GB2312" w:hAnsi="仿宋" w:eastAsia="仿宋_GB2312" w:cs="Arial"/>
                  <w:color w:val="auto"/>
                  <w:kern w:val="0"/>
                  <w:sz w:val="24"/>
                  <w:highlight w:val="none"/>
                </w:rPr>
                <w:id w:val="-999802974"/>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38"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hint="eastAsia" w:ascii="仿宋_GB2312" w:hAnsi="仿宋" w:eastAsia="仿宋_GB2312" w:cs="仿宋_GB2312"/>
                <w:color w:val="auto"/>
                <w:kern w:val="2"/>
                <w:sz w:val="24"/>
                <w:szCs w:val="24"/>
                <w:highlight w:val="none"/>
                <w:lang w:val="en-US" w:eastAsia="zh-CN" w:bidi="ar-SA"/>
              </w:rPr>
            </w:pPr>
            <w:r>
              <w:rPr>
                <w:rFonts w:hint="eastAsia" w:ascii="仿宋_GB2312" w:hAnsi="仿宋" w:eastAsia="仿宋_GB2312" w:cs="仿宋_GB2312"/>
                <w:color w:val="auto"/>
                <w:sz w:val="24"/>
                <w:highlight w:val="none"/>
                <w:lang w:val="en-US" w:eastAsia="zh-CN"/>
              </w:rPr>
              <w:t>6</w:t>
            </w:r>
          </w:p>
        </w:tc>
        <w:tc>
          <w:tcPr>
            <w:tcW w:w="1777"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color w:val="auto"/>
                <w:kern w:val="2"/>
                <w:sz w:val="24"/>
                <w:szCs w:val="24"/>
                <w:highlight w:val="none"/>
                <w:lang w:val="en-US" w:eastAsia="zh-CN" w:bidi="ar-SA"/>
              </w:rPr>
            </w:pPr>
            <w:r>
              <w:rPr>
                <w:rFonts w:hint="eastAsia" w:ascii="仿宋_GB2312" w:hAnsi="仿宋" w:eastAsia="仿宋_GB2312" w:cs="仿宋_GB2312"/>
                <w:b/>
                <w:color w:val="auto"/>
                <w:sz w:val="24"/>
                <w:highlight w:val="none"/>
              </w:rPr>
              <w:t>样品提供</w:t>
            </w:r>
          </w:p>
        </w:tc>
        <w:tc>
          <w:tcPr>
            <w:tcW w:w="616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639946486"/>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Wingdings" w:hAnsi="Wingdings" w:eastAsia="MS Gothic" w:cs="Arial"/>
                    <w:color w:val="auto"/>
                    <w:kern w:val="0"/>
                    <w:sz w:val="24"/>
                    <w:szCs w:val="24"/>
                    <w:highlight w:val="none"/>
                    <w:lang w:val="en-US" w:eastAsia="zh-CN" w:bidi="ar-SA"/>
                  </w:rPr>
                  <w:t>þ</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360" w:lineRule="auto"/>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szCs w:val="24"/>
                    <w:highlight w:val="none"/>
                    <w:lang w:val="en-US" w:eastAsia="zh-CN" w:bidi="ar-SA"/>
                  </w:rPr>
                  <w:t>☐</w:t>
                </w:r>
              </w:sdtContent>
            </w:sdt>
            <w:r>
              <w:rPr>
                <w:rFonts w:ascii="仿宋_GB2312" w:hAnsi="仿宋" w:eastAsia="仿宋_GB2312"/>
                <w:color w:val="auto"/>
                <w:kern w:val="0"/>
                <w:sz w:val="24"/>
                <w:highlight w:val="none"/>
              </w:rPr>
              <w:t>B</w:t>
            </w:r>
            <w:r>
              <w:rPr>
                <w:rFonts w:hint="eastAsia" w:ascii="仿宋_GB2312" w:hAnsi="仿宋" w:eastAsia="仿宋_GB2312"/>
                <w:color w:val="auto"/>
                <w:kern w:val="0"/>
                <w:sz w:val="24"/>
                <w:highlight w:val="none"/>
              </w:rPr>
              <w:t>要求提供，</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1）</w:t>
            </w:r>
            <w:r>
              <w:rPr>
                <w:rFonts w:hint="eastAsia" w:ascii="仿宋" w:hAnsi="仿宋" w:eastAsia="仿宋"/>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2）</w:t>
            </w:r>
            <w:r>
              <w:rPr>
                <w:rFonts w:hint="eastAsia" w:ascii="仿宋" w:hAnsi="仿宋" w:eastAsia="仿宋"/>
                <w:snapToGrid w:val="0"/>
                <w:color w:val="auto"/>
                <w:kern w:val="28"/>
                <w:sz w:val="24"/>
                <w:highlight w:val="none"/>
              </w:rPr>
              <w:t>样品制作的标准和要求：</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3）样品的评审方法以及评审标准</w:t>
            </w:r>
            <w:r>
              <w:rPr>
                <w:rFonts w:hint="eastAsia" w:ascii="仿宋" w:hAnsi="仿宋" w:eastAsia="仿宋"/>
                <w:snapToGrid w:val="0"/>
                <w:color w:val="auto"/>
                <w:kern w:val="28"/>
                <w:sz w:val="24"/>
                <w:highlight w:val="none"/>
              </w:rPr>
              <w:t>：详见</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4）是否需要随样品提交检测报告</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303421454"/>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szCs w:val="24"/>
                    <w:highlight w:val="none"/>
                    <w:lang w:val="en-US" w:eastAsia="zh-CN" w:bidi="ar-SA"/>
                  </w:rPr>
                  <w:t>☐</w:t>
                </w:r>
              </w:sdtContent>
            </w:sdt>
            <w:r>
              <w:rPr>
                <w:rFonts w:ascii="仿宋_GB2312" w:hAnsi="仿宋" w:eastAsia="仿宋_GB2312"/>
                <w:color w:val="auto"/>
                <w:kern w:val="0"/>
                <w:sz w:val="24"/>
                <w:highlight w:val="none"/>
              </w:rPr>
              <w:t>否；</w:t>
            </w:r>
            <w:sdt>
              <w:sdtPr>
                <w:rPr>
                  <w:rFonts w:hint="eastAsia" w:ascii="仿宋_GB2312" w:hAnsi="仿宋" w:eastAsia="仿宋_GB2312" w:cs="Arial"/>
                  <w:color w:val="auto"/>
                  <w:kern w:val="0"/>
                  <w:sz w:val="24"/>
                  <w:highlight w:val="none"/>
                </w:rPr>
                <w:id w:val="1621728433"/>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bookmarkStart w:id="401" w:name="_GoBack"/>
            <w:bookmarkEnd w:id="401"/>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 xml:space="preserve"> (6)采购活动结束后，对于未中标人提供的样品，</w:t>
            </w:r>
            <w:r>
              <w:rPr>
                <w:rFonts w:hint="eastAsia" w:ascii="仿宋_GB2312" w:hAnsi="仿宋" w:eastAsia="仿宋_GB2312"/>
                <w:color w:val="auto"/>
                <w:sz w:val="24"/>
                <w:highlight w:val="none"/>
              </w:rPr>
              <w:t>采购人、采购机构将通知</w:t>
            </w:r>
            <w:r>
              <w:rPr>
                <w:rFonts w:ascii="仿宋_GB2312" w:hAnsi="仿宋" w:eastAsia="仿宋_GB2312"/>
                <w:color w:val="auto"/>
                <w:sz w:val="24"/>
                <w:highlight w:val="none"/>
              </w:rPr>
              <w:t>未中标人</w:t>
            </w:r>
            <w:r>
              <w:rPr>
                <w:rFonts w:hint="eastAsia" w:ascii="仿宋_GB2312" w:hAnsi="仿宋" w:eastAsia="仿宋_GB2312"/>
                <w:color w:val="auto"/>
                <w:sz w:val="24"/>
                <w:highlight w:val="none"/>
              </w:rPr>
              <w:t>在规定的时间内取回，逾期未取回的，采购人、采购机构不负保管义务</w:t>
            </w:r>
            <w:r>
              <w:rPr>
                <w:rFonts w:ascii="仿宋_GB2312" w:hAnsi="仿宋" w:eastAsia="仿宋_GB2312"/>
                <w:color w:val="auto"/>
                <w:sz w:val="24"/>
                <w:highlight w:val="none"/>
              </w:rPr>
              <w:t>；对于中标人提供的样品，</w:t>
            </w:r>
            <w:r>
              <w:rPr>
                <w:rFonts w:hint="eastAsia" w:ascii="仿宋_GB2312" w:hAnsi="仿宋" w:eastAsia="仿宋_GB2312"/>
                <w:color w:val="auto"/>
                <w:sz w:val="24"/>
                <w:highlight w:val="none"/>
              </w:rPr>
              <w:t>采购人将进</w:t>
            </w:r>
            <w:r>
              <w:rPr>
                <w:rFonts w:ascii="仿宋_GB2312" w:hAnsi="仿宋" w:eastAsia="仿宋_GB2312"/>
                <w:color w:val="auto"/>
                <w:sz w:val="24"/>
                <w:highlight w:val="none"/>
              </w:rPr>
              <w:t>行保管、封存，并作为履约验收的参考。</w:t>
            </w:r>
          </w:p>
          <w:p>
            <w:pPr>
              <w:spacing w:line="360" w:lineRule="auto"/>
              <w:rPr>
                <w:rFonts w:hint="eastAsia" w:ascii="仿宋_GB2312" w:hAnsi="仿宋" w:eastAsia="仿宋_GB2312" w:cs="Times New Roman"/>
                <w:b/>
                <w:color w:val="auto"/>
                <w:kern w:val="2"/>
                <w:sz w:val="24"/>
                <w:szCs w:val="24"/>
                <w:highlight w:val="none"/>
                <w:lang w:val="en-US" w:eastAsia="zh-CN" w:bidi="ar-SA"/>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38" w:hRule="atLeast"/>
          <w:tblHeader/>
        </w:trPr>
        <w:tc>
          <w:tcPr>
            <w:tcW w:w="629" w:type="dxa"/>
            <w:tcBorders>
              <w:top w:val="single" w:color="auto" w:sz="4" w:space="0"/>
              <w:left w:val="single" w:color="auto" w:sz="4" w:space="0"/>
              <w:bottom w:val="single" w:color="auto" w:sz="4" w:space="0"/>
              <w:right w:val="single" w:color="auto" w:sz="4" w:space="0"/>
            </w:tcBorders>
            <w:vAlign w:val="top"/>
          </w:tcPr>
          <w:p>
            <w:pPr>
              <w:snapToGrid w:val="0"/>
              <w:spacing w:line="360" w:lineRule="auto"/>
              <w:jc w:val="center"/>
              <w:rPr>
                <w:rFonts w:hint="eastAsia" w:ascii="仿宋_GB2312" w:hAnsi="仿宋" w:eastAsia="仿宋_GB2312" w:cs="仿宋_GB2312"/>
                <w:color w:val="auto"/>
                <w:kern w:val="2"/>
                <w:sz w:val="24"/>
                <w:szCs w:val="24"/>
                <w:highlight w:val="none"/>
                <w:lang w:val="en-US" w:eastAsia="zh-CN" w:bidi="ar-SA"/>
              </w:rPr>
            </w:pPr>
            <w:r>
              <w:rPr>
                <w:rFonts w:hint="eastAsia" w:ascii="仿宋_GB2312" w:hAnsi="仿宋" w:eastAsia="仿宋_GB2312" w:cs="仿宋_GB2312"/>
                <w:color w:val="auto"/>
                <w:sz w:val="24"/>
                <w:highlight w:val="none"/>
                <w:lang w:val="en-US" w:eastAsia="zh-CN"/>
              </w:rPr>
              <w:t>7</w:t>
            </w:r>
          </w:p>
        </w:tc>
        <w:tc>
          <w:tcPr>
            <w:tcW w:w="1777"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Cs/>
                <w:color w:val="auto"/>
                <w:kern w:val="2"/>
                <w:sz w:val="24"/>
                <w:szCs w:val="24"/>
                <w:highlight w:val="none"/>
                <w:lang w:val="en-US" w:eastAsia="zh-CN" w:bidi="ar-SA"/>
              </w:rPr>
            </w:pPr>
            <w:r>
              <w:rPr>
                <w:rFonts w:hint="eastAsia" w:ascii="仿宋_GB2312" w:hAnsi="仿宋" w:eastAsia="仿宋_GB2312" w:cs="仿宋_GB2312"/>
                <w:b/>
                <w:color w:val="auto"/>
                <w:sz w:val="24"/>
                <w:highlight w:val="none"/>
              </w:rPr>
              <w:t>方案讲解演示</w:t>
            </w:r>
          </w:p>
        </w:tc>
        <w:tc>
          <w:tcPr>
            <w:tcW w:w="616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859348549"/>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spacing w:line="360" w:lineRule="auto"/>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174071719"/>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olor w:val="auto"/>
                <w:kern w:val="0"/>
                <w:sz w:val="24"/>
                <w:highlight w:val="none"/>
              </w:rPr>
              <w:t>B组织。</w:t>
            </w:r>
          </w:p>
          <w:p>
            <w:pPr>
              <w:snapToGrid w:val="0"/>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2）方案讲解演示可选择</w:t>
            </w:r>
            <w:r>
              <w:rPr>
                <w:rFonts w:hint="eastAsia" w:ascii="仿宋_GB2312" w:hAnsi="仿宋" w:eastAsia="仿宋_GB2312"/>
                <w:color w:val="auto"/>
                <w:kern w:val="0"/>
                <w:sz w:val="24"/>
                <w:highlight w:val="none"/>
              </w:rPr>
              <w:t>以下其中一种方式：</w:t>
            </w:r>
          </w:p>
          <w:p>
            <w:pPr>
              <w:snapToGrid w:val="0"/>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方式二：交易中心现场讲解演示。现场讲解地点为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，讲解演示所用电脑等设备由投标人自备。现场讲解演示人员进场时提供讲解人员名单（加盖公章）及身份证明，否则不得讲解演示。</w:t>
            </w:r>
          </w:p>
          <w:p>
            <w:pPr>
              <w:snapToGrid w:val="0"/>
              <w:spacing w:line="360" w:lineRule="auto"/>
              <w:rPr>
                <w:rFonts w:hint="eastAsia" w:ascii="仿宋_GB2312" w:hAnsi="仿宋" w:eastAsia="仿宋_GB2312" w:cs="仿宋_GB2312"/>
                <w:b/>
                <w:color w:val="auto"/>
                <w:kern w:val="0"/>
                <w:sz w:val="24"/>
                <w:szCs w:val="24"/>
                <w:highlight w:val="none"/>
                <w:lang w:val="zh-CN" w:eastAsia="zh-CN" w:bidi="ar-SA"/>
              </w:rPr>
            </w:pPr>
            <w:r>
              <w:rPr>
                <w:rFonts w:hint="eastAsia" w:ascii="仿宋_GB2312" w:hAnsi="仿宋" w:eastAsia="仿宋_GB2312"/>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hint="eastAsia" w:ascii="仿宋_GB2312" w:hAnsi="仿宋" w:eastAsia="仿宋_GB2312" w:cs="仿宋_GB2312"/>
                <w:color w:val="auto"/>
                <w:sz w:val="24"/>
                <w:highlight w:val="none"/>
                <w:lang w:eastAsia="zh-CN"/>
              </w:rPr>
            </w:pPr>
            <w:r>
              <w:rPr>
                <w:rFonts w:hint="eastAsia" w:ascii="仿宋_GB2312" w:hAnsi="仿宋" w:eastAsia="仿宋_GB2312" w:cs="仿宋_GB2312"/>
                <w:color w:val="auto"/>
                <w:sz w:val="24"/>
                <w:highlight w:val="none"/>
                <w:lang w:val="en-US" w:eastAsia="zh-CN"/>
              </w:rPr>
              <w:t>8</w:t>
            </w:r>
          </w:p>
        </w:tc>
        <w:tc>
          <w:tcPr>
            <w:tcW w:w="1777"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投标人应当提供的资格、资信证明文件</w:t>
            </w:r>
          </w:p>
        </w:tc>
        <w:tc>
          <w:tcPr>
            <w:tcW w:w="6161"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1）资格证明文件：见招标文件第二部分11.1。</w:t>
            </w:r>
          </w:p>
          <w:p>
            <w:pPr>
              <w:spacing w:line="360" w:lineRule="auto"/>
              <w:rPr>
                <w:rFonts w:ascii="Arial" w:hAnsi="Arial" w:eastAsia="黑体" w:cs="Arial"/>
                <w:snapToGrid w:val="0"/>
                <w:color w:val="auto"/>
                <w:kern w:val="0"/>
                <w:szCs w:val="21"/>
                <w:highlight w:val="none"/>
              </w:rPr>
            </w:pPr>
            <w:r>
              <w:rPr>
                <w:rFonts w:hint="eastAsia" w:ascii="仿宋_GB2312" w:hAnsi="仿宋" w:eastAsia="仿宋_GB2312"/>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color w:val="auto"/>
                <w:sz w:val="24"/>
                <w:highlight w:val="none"/>
              </w:rPr>
            </w:pPr>
          </w:p>
        </w:tc>
        <w:tc>
          <w:tcPr>
            <w:tcW w:w="1777"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p>
        </w:tc>
        <w:tc>
          <w:tcPr>
            <w:tcW w:w="6161"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hint="eastAsia" w:ascii="仿宋_GB2312" w:hAnsi="仿宋" w:eastAsia="仿宋_GB2312" w:cs="仿宋_GB2312"/>
                <w:color w:val="auto"/>
                <w:sz w:val="24"/>
                <w:highlight w:val="none"/>
                <w:lang w:eastAsia="zh-CN"/>
              </w:rPr>
            </w:pPr>
            <w:r>
              <w:rPr>
                <w:rFonts w:hint="eastAsia" w:ascii="仿宋_GB2312" w:hAnsi="仿宋" w:eastAsia="仿宋_GB2312" w:cs="仿宋_GB2312"/>
                <w:color w:val="auto"/>
                <w:sz w:val="24"/>
                <w:highlight w:val="none"/>
                <w:lang w:val="en-US" w:eastAsia="zh-CN"/>
              </w:rPr>
              <w:t>9</w:t>
            </w:r>
          </w:p>
        </w:tc>
        <w:tc>
          <w:tcPr>
            <w:tcW w:w="177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节能产品、环境标志产品</w:t>
            </w:r>
          </w:p>
        </w:tc>
        <w:tc>
          <w:tcPr>
            <w:tcW w:w="6161"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本项目采购节能产品、环境标志产品要求：</w:t>
            </w:r>
          </w:p>
          <w:p>
            <w:pPr>
              <w:snapToGrid w:val="0"/>
              <w:spacing w:line="360" w:lineRule="auto"/>
              <w:rPr>
                <w:rFonts w:hint="eastAsia"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924730588"/>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hint="eastAsia" w:ascii="Wingdings" w:hAnsi="Wingdings" w:eastAsia="仿宋_GB2312" w:cs="Arial"/>
                        <w:color w:val="auto"/>
                        <w:kern w:val="0"/>
                        <w:sz w:val="24"/>
                        <w:szCs w:val="24"/>
                        <w:highlight w:val="none"/>
                        <w:lang w:val="en-US" w:eastAsia="zh-CN" w:bidi="ar-SA"/>
                      </w:rPr>
                      <w:t>þ</w:t>
                    </w:r>
                  </w:sdtContent>
                </w:sdt>
                <w:sdt>
                  <w:sdtPr>
                    <w:rPr>
                      <w:rFonts w:hint="eastAsia" w:ascii="仿宋_GB2312" w:hAnsi="仿宋" w:eastAsia="仿宋_GB2312" w:cs="Arial"/>
                      <w:color w:val="auto"/>
                      <w:kern w:val="0"/>
                      <w:sz w:val="24"/>
                      <w:highlight w:val="none"/>
                    </w:rPr>
                    <w:id w:val="-924730588"/>
                    <w:showingPlcHdr/>
                  </w:sdtPr>
                  <w:sdtEndPr>
                    <w:rPr>
                      <w:rFonts w:hint="eastAsia" w:ascii="仿宋_GB2312" w:hAnsi="仿宋" w:eastAsia="仿宋_GB2312" w:cs="Arial"/>
                      <w:color w:val="auto"/>
                      <w:kern w:val="0"/>
                      <w:sz w:val="24"/>
                      <w:highlight w:val="none"/>
                    </w:rPr>
                  </w:sdtEndPr>
                  <w:sdtContent/>
                </w:sdt>
              </w:sdtContent>
            </w:sdt>
            <w:r>
              <w:rPr>
                <w:rFonts w:hint="eastAsia" w:ascii="仿宋_GB2312" w:hAnsi="仿宋" w:eastAsia="仿宋_GB2312" w:cs="Arial"/>
                <w:color w:val="auto"/>
                <w:kern w:val="0"/>
                <w:sz w:val="24"/>
                <w:highlight w:val="none"/>
              </w:rPr>
              <w:t>A无</w:t>
            </w:r>
          </w:p>
          <w:p>
            <w:pPr>
              <w:snapToGrid w:val="0"/>
              <w:spacing w:line="360" w:lineRule="auto"/>
              <w:rPr>
                <w:rFonts w:hint="eastAsia"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92473058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lang w:val="en-US" w:eastAsia="zh-CN"/>
                  </w:rPr>
                  <w:t>☐</w:t>
                </w:r>
              </w:sdtContent>
            </w:sdt>
            <w:sdt>
              <w:sdtPr>
                <w:rPr>
                  <w:rFonts w:hint="eastAsia" w:ascii="仿宋_GB2312" w:hAnsi="仿宋" w:eastAsia="仿宋_GB2312" w:cs="Arial"/>
                  <w:color w:val="auto"/>
                  <w:kern w:val="0"/>
                  <w:sz w:val="24"/>
                  <w:highlight w:val="none"/>
                </w:rPr>
                <w:id w:val="-924730588"/>
                <w:showingPlcHdr/>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rPr>
              <w:t>B</w:t>
            </w:r>
            <w:r>
              <w:rPr>
                <w:rFonts w:hint="eastAsia" w:ascii="仿宋_GB2312" w:hAnsi="仿宋" w:eastAsia="仿宋_GB2312" w:cs="Arial"/>
                <w:color w:val="auto"/>
                <w:kern w:val="0"/>
                <w:sz w:val="24"/>
                <w:highlight w:val="none"/>
                <w:lang w:val="en-US"/>
              </w:rPr>
              <w:t xml:space="preserve"> 政府强制采购节能产品</w:t>
            </w:r>
            <w:r>
              <w:rPr>
                <w:rFonts w:hint="eastAsia" w:ascii="仿宋_GB2312" w:hAnsi="仿宋" w:eastAsia="仿宋_GB2312" w:cs="Arial"/>
                <w:color w:val="auto"/>
                <w:kern w:val="0"/>
                <w:sz w:val="24"/>
                <w:highlight w:val="none"/>
              </w:rPr>
              <w:t>：</w:t>
            </w:r>
          </w:p>
          <w:p>
            <w:pPr>
              <w:snapToGrid w:val="0"/>
              <w:spacing w:line="360" w:lineRule="auto"/>
              <w:rPr>
                <w:rFonts w:hint="eastAsia" w:ascii="仿宋_GB2312" w:hAnsi="仿宋" w:eastAsia="仿宋_GB2312" w:cs="Arial"/>
                <w:color w:val="auto"/>
                <w:kern w:val="0"/>
                <w:sz w:val="24"/>
                <w:highlight w:val="none"/>
                <w:lang w:val="en-US"/>
              </w:rPr>
            </w:pPr>
            <w:r>
              <w:rPr>
                <w:rFonts w:hint="eastAsia" w:ascii="仿宋_GB2312" w:hAnsi="仿宋" w:eastAsia="仿宋_GB2312" w:cs="Arial"/>
                <w:color w:val="auto"/>
                <w:kern w:val="0"/>
                <w:sz w:val="24"/>
                <w:highlight w:val="none"/>
              </w:rPr>
              <w:t>（</w:t>
            </w:r>
            <w:r>
              <w:rPr>
                <w:rFonts w:hint="eastAsia" w:ascii="仿宋_GB2312" w:hAnsi="仿宋" w:eastAsia="仿宋_GB2312" w:cs="Arial"/>
                <w:color w:val="auto"/>
                <w:kern w:val="0"/>
                <w:sz w:val="24"/>
                <w:highlight w:val="none"/>
                <w:lang w:val="en-US"/>
              </w:rPr>
              <w:t>1</w:t>
            </w:r>
            <w:r>
              <w:rPr>
                <w:rFonts w:hint="eastAsia" w:ascii="仿宋_GB2312" w:hAnsi="仿宋" w:eastAsia="仿宋_GB2312" w:cs="Arial"/>
                <w:color w:val="auto"/>
                <w:kern w:val="0"/>
                <w:sz w:val="24"/>
                <w:highlight w:val="none"/>
              </w:rPr>
              <w:t xml:space="preserve">）   </w:t>
            </w:r>
            <w:r>
              <w:rPr>
                <w:rFonts w:hint="eastAsia" w:ascii="仿宋_GB2312" w:hAnsi="仿宋" w:eastAsia="仿宋_GB2312" w:cs="Arial"/>
                <w:color w:val="auto"/>
                <w:kern w:val="0"/>
                <w:sz w:val="24"/>
                <w:highlight w:val="none"/>
                <w:lang w:val="en-US"/>
              </w:rPr>
              <w:t xml:space="preserve">   ；</w:t>
            </w:r>
          </w:p>
          <w:p>
            <w:pPr>
              <w:snapToGrid w:val="0"/>
              <w:spacing w:line="360" w:lineRule="auto"/>
              <w:rPr>
                <w:rFonts w:hint="eastAsia" w:ascii="仿宋_GB2312" w:hAnsi="仿宋" w:eastAsia="仿宋_GB2312" w:cs="Arial"/>
                <w:color w:val="auto"/>
                <w:kern w:val="0"/>
                <w:sz w:val="24"/>
                <w:highlight w:val="none"/>
                <w:lang w:val="en-US"/>
              </w:rPr>
            </w:pPr>
            <w:r>
              <w:rPr>
                <w:rFonts w:hint="eastAsia" w:ascii="仿宋_GB2312" w:hAnsi="仿宋" w:eastAsia="仿宋_GB2312" w:cs="Arial"/>
                <w:color w:val="auto"/>
                <w:kern w:val="0"/>
                <w:sz w:val="24"/>
                <w:highlight w:val="none"/>
                <w:lang w:val="en-US"/>
              </w:rPr>
              <w:t>（2）……</w:t>
            </w:r>
          </w:p>
          <w:p>
            <w:pPr>
              <w:snapToGrid w:val="0"/>
              <w:spacing w:line="360" w:lineRule="auto"/>
              <w:rPr>
                <w:rFonts w:hint="eastAsia"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92473058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lang w:val="en-US" w:eastAsia="zh-CN"/>
                  </w:rPr>
                  <w:t>☐</w:t>
                </w:r>
              </w:sdtContent>
            </w:sdt>
            <w:sdt>
              <w:sdtPr>
                <w:rPr>
                  <w:rFonts w:hint="eastAsia" w:ascii="仿宋_GB2312" w:hAnsi="仿宋" w:eastAsia="仿宋_GB2312" w:cs="Arial"/>
                  <w:color w:val="auto"/>
                  <w:kern w:val="0"/>
                  <w:sz w:val="24"/>
                  <w:highlight w:val="none"/>
                </w:rPr>
                <w:id w:val="-924730588"/>
                <w:showingPlcHdr/>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lang w:val="en-US"/>
              </w:rPr>
              <w:t>C 政府优先采购节能产品</w:t>
            </w:r>
            <w:r>
              <w:rPr>
                <w:rFonts w:hint="eastAsia" w:ascii="仿宋_GB2312" w:hAnsi="仿宋" w:eastAsia="仿宋_GB2312" w:cs="Arial"/>
                <w:color w:val="auto"/>
                <w:kern w:val="0"/>
                <w:sz w:val="24"/>
                <w:highlight w:val="none"/>
              </w:rPr>
              <w:t>：</w:t>
            </w:r>
          </w:p>
          <w:p>
            <w:pPr>
              <w:snapToGrid w:val="0"/>
              <w:spacing w:line="360" w:lineRule="auto"/>
              <w:rPr>
                <w:rFonts w:hint="eastAsia" w:ascii="仿宋_GB2312" w:hAnsi="仿宋" w:eastAsia="仿宋_GB2312" w:cs="Arial"/>
                <w:color w:val="auto"/>
                <w:kern w:val="0"/>
                <w:sz w:val="24"/>
                <w:highlight w:val="none"/>
                <w:lang w:val="en-US"/>
              </w:rPr>
            </w:pPr>
            <w:r>
              <w:rPr>
                <w:rFonts w:hint="eastAsia" w:ascii="仿宋_GB2312" w:hAnsi="仿宋" w:eastAsia="仿宋_GB2312" w:cs="Arial"/>
                <w:color w:val="auto"/>
                <w:kern w:val="0"/>
                <w:sz w:val="24"/>
                <w:highlight w:val="none"/>
                <w:lang w:val="en-US"/>
              </w:rPr>
              <w:t>（1）</w:t>
            </w:r>
            <w:r>
              <w:rPr>
                <w:rFonts w:hint="eastAsia" w:ascii="仿宋_GB2312" w:hAnsi="仿宋" w:eastAsia="仿宋_GB2312" w:cs="Arial"/>
                <w:color w:val="auto"/>
                <w:kern w:val="0"/>
                <w:sz w:val="24"/>
                <w:highlight w:val="none"/>
              </w:rPr>
              <w:t xml:space="preserve">   </w:t>
            </w:r>
            <w:r>
              <w:rPr>
                <w:rFonts w:hint="eastAsia" w:ascii="仿宋_GB2312" w:hAnsi="仿宋" w:eastAsia="仿宋_GB2312" w:cs="Arial"/>
                <w:color w:val="auto"/>
                <w:kern w:val="0"/>
                <w:sz w:val="24"/>
                <w:highlight w:val="none"/>
                <w:lang w:val="en-US"/>
              </w:rPr>
              <w:t xml:space="preserve">   ；</w:t>
            </w:r>
          </w:p>
          <w:p>
            <w:pPr>
              <w:snapToGrid w:val="0"/>
              <w:spacing w:line="360" w:lineRule="auto"/>
              <w:rPr>
                <w:rFonts w:hint="eastAsia" w:ascii="仿宋_GB2312" w:hAnsi="仿宋" w:eastAsia="仿宋_GB2312" w:cs="Arial"/>
                <w:color w:val="auto"/>
                <w:kern w:val="0"/>
                <w:sz w:val="24"/>
                <w:highlight w:val="none"/>
                <w:lang w:val="en-US"/>
              </w:rPr>
            </w:pPr>
            <w:r>
              <w:rPr>
                <w:rFonts w:hint="eastAsia" w:ascii="仿宋_GB2312" w:hAnsi="仿宋" w:eastAsia="仿宋_GB2312" w:cs="Arial"/>
                <w:color w:val="auto"/>
                <w:kern w:val="0"/>
                <w:sz w:val="24"/>
                <w:highlight w:val="none"/>
                <w:lang w:val="en-US"/>
              </w:rPr>
              <w:t>（2）……</w:t>
            </w:r>
          </w:p>
          <w:p>
            <w:pPr>
              <w:snapToGrid w:val="0"/>
              <w:spacing w:line="360" w:lineRule="auto"/>
              <w:rPr>
                <w:rFonts w:hint="eastAsia"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924730588"/>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lang w:val="en-US" w:eastAsia="zh-CN"/>
                      </w:rPr>
                      <w:t>☐</w:t>
                    </w:r>
                  </w:sdtContent>
                </w:sdt>
                <w:sdt>
                  <w:sdtPr>
                    <w:rPr>
                      <w:rFonts w:hint="eastAsia" w:ascii="仿宋_GB2312" w:hAnsi="仿宋" w:eastAsia="仿宋_GB2312" w:cs="Arial"/>
                      <w:color w:val="auto"/>
                      <w:kern w:val="0"/>
                      <w:sz w:val="24"/>
                      <w:highlight w:val="none"/>
                    </w:rPr>
                    <w:id w:val="-924730588"/>
                    <w:showingPlcHdr/>
                  </w:sdtPr>
                  <w:sdtEndPr>
                    <w:rPr>
                      <w:rFonts w:hint="eastAsia" w:ascii="仿宋_GB2312" w:hAnsi="仿宋" w:eastAsia="仿宋_GB2312" w:cs="Arial"/>
                      <w:color w:val="auto"/>
                      <w:kern w:val="0"/>
                      <w:sz w:val="24"/>
                      <w:highlight w:val="none"/>
                    </w:rPr>
                  </w:sdtEndPr>
                  <w:sdtContent/>
                </w:sdt>
              </w:sdtContent>
            </w:sdt>
            <w:r>
              <w:rPr>
                <w:rFonts w:hint="eastAsia" w:ascii="仿宋_GB2312" w:hAnsi="仿宋" w:eastAsia="仿宋_GB2312" w:cs="Arial"/>
                <w:color w:val="auto"/>
                <w:kern w:val="0"/>
                <w:sz w:val="24"/>
                <w:highlight w:val="none"/>
                <w:lang w:val="en-US"/>
              </w:rPr>
              <w:t>D 政府优先采购环境标志产品</w:t>
            </w:r>
            <w:r>
              <w:rPr>
                <w:rFonts w:hint="eastAsia" w:ascii="仿宋_GB2312" w:hAnsi="仿宋" w:eastAsia="仿宋_GB2312" w:cs="Arial"/>
                <w:color w:val="auto"/>
                <w:kern w:val="0"/>
                <w:sz w:val="24"/>
                <w:highlight w:val="none"/>
              </w:rPr>
              <w:t>：</w:t>
            </w:r>
          </w:p>
          <w:p>
            <w:pPr>
              <w:snapToGrid w:val="0"/>
              <w:spacing w:line="360" w:lineRule="auto"/>
              <w:rPr>
                <w:rFonts w:hint="eastAsia" w:ascii="仿宋_GB2312" w:hAnsi="仿宋" w:eastAsia="仿宋_GB2312" w:cs="Arial"/>
                <w:color w:val="auto"/>
                <w:kern w:val="0"/>
                <w:sz w:val="24"/>
                <w:highlight w:val="none"/>
                <w:lang w:val="en-US"/>
              </w:rPr>
            </w:pPr>
            <w:r>
              <w:rPr>
                <w:rFonts w:hint="eastAsia" w:ascii="仿宋_GB2312" w:hAnsi="仿宋" w:eastAsia="仿宋_GB2312" w:cs="Arial"/>
                <w:color w:val="auto"/>
                <w:kern w:val="0"/>
                <w:sz w:val="24"/>
                <w:highlight w:val="none"/>
                <w:lang w:val="en-US"/>
              </w:rPr>
              <w:t>（1）</w:t>
            </w:r>
            <w:r>
              <w:rPr>
                <w:rFonts w:hint="eastAsia" w:ascii="仿宋_GB2312" w:hAnsi="仿宋" w:eastAsia="仿宋_GB2312" w:cs="Arial"/>
                <w:color w:val="auto"/>
                <w:kern w:val="0"/>
                <w:sz w:val="24"/>
                <w:highlight w:val="none"/>
              </w:rPr>
              <w:t xml:space="preserve">   </w:t>
            </w:r>
            <w:r>
              <w:rPr>
                <w:rFonts w:hint="eastAsia" w:ascii="仿宋_GB2312" w:hAnsi="仿宋" w:eastAsia="仿宋_GB2312" w:cs="Arial"/>
                <w:color w:val="auto"/>
                <w:kern w:val="0"/>
                <w:sz w:val="24"/>
                <w:highlight w:val="none"/>
                <w:lang w:val="en-US"/>
              </w:rPr>
              <w:t xml:space="preserve">   ；</w:t>
            </w:r>
          </w:p>
          <w:p>
            <w:pPr>
              <w:snapToGrid w:val="0"/>
              <w:spacing w:line="360" w:lineRule="auto"/>
              <w:rPr>
                <w:rFonts w:eastAsia="仿宋"/>
                <w:color w:val="auto"/>
                <w:highlight w:val="none"/>
              </w:rPr>
            </w:pPr>
            <w:r>
              <w:rPr>
                <w:rFonts w:hint="eastAsia" w:ascii="仿宋_GB2312" w:hAnsi="仿宋" w:eastAsia="仿宋_GB2312" w:cs="Arial"/>
                <w:color w:val="auto"/>
                <w:kern w:val="0"/>
                <w:sz w:val="24"/>
                <w:highlight w:val="none"/>
                <w:lang w:val="en-US"/>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hint="default" w:ascii="仿宋_GB2312" w:hAnsi="仿宋" w:eastAsia="仿宋_GB2312" w:cs="仿宋_GB2312"/>
                <w:color w:val="auto"/>
                <w:kern w:val="2"/>
                <w:sz w:val="24"/>
                <w:szCs w:val="24"/>
                <w:highlight w:val="none"/>
                <w:lang w:val="en-US" w:eastAsia="zh-CN" w:bidi="ar-SA"/>
              </w:rPr>
            </w:pPr>
            <w:r>
              <w:rPr>
                <w:rFonts w:hint="eastAsia" w:ascii="仿宋_GB2312" w:hAnsi="仿宋" w:eastAsia="仿宋_GB2312" w:cs="仿宋_GB2312"/>
                <w:color w:val="auto"/>
                <w:sz w:val="24"/>
                <w:highlight w:val="none"/>
                <w:lang w:val="en-US" w:eastAsia="zh-CN"/>
              </w:rPr>
              <w:t>10</w:t>
            </w:r>
          </w:p>
        </w:tc>
        <w:tc>
          <w:tcPr>
            <w:tcW w:w="177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color w:val="auto"/>
                <w:kern w:val="2"/>
                <w:sz w:val="24"/>
                <w:szCs w:val="24"/>
                <w:highlight w:val="none"/>
                <w:lang w:val="en-US" w:eastAsia="zh-CN" w:bidi="ar-SA"/>
              </w:rPr>
            </w:pPr>
            <w:r>
              <w:rPr>
                <w:rFonts w:hint="eastAsia" w:ascii="仿宋_GB2312" w:hAnsi="仿宋" w:eastAsia="仿宋_GB2312" w:cs="仿宋_GB2312"/>
                <w:b/>
                <w:color w:val="auto"/>
                <w:sz w:val="24"/>
                <w:highlight w:val="none"/>
              </w:rPr>
              <w:t>报价要求</w:t>
            </w:r>
          </w:p>
        </w:tc>
        <w:tc>
          <w:tcPr>
            <w:tcW w:w="6161"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_GB2312" w:hAnsi="仿宋" w:eastAsia="仿宋_GB2312" w:cs="仿宋_GB2312"/>
                <w:b/>
                <w:color w:val="auto"/>
                <w:kern w:val="0"/>
                <w:sz w:val="24"/>
                <w:highlight w:val="none"/>
                <w:lang w:val="zh-CN"/>
              </w:rPr>
            </w:pPr>
            <w:r>
              <w:rPr>
                <w:rFonts w:hint="eastAsia" w:ascii="仿宋_GB2312" w:hAnsi="仿宋" w:eastAsia="仿宋_GB2312"/>
                <w:color w:val="auto"/>
                <w:kern w:val="0"/>
                <w:sz w:val="24"/>
                <w:highlight w:val="none"/>
                <w:lang w:val="zh-CN"/>
              </w:rPr>
              <w:t>有关本项目实施所需的所有费用（含税费）均计入报价。</w:t>
            </w:r>
            <w:r>
              <w:rPr>
                <w:rFonts w:hint="eastAsia" w:ascii="仿宋_GB2312" w:hAnsi="仿宋" w:eastAsia="仿宋_GB2312" w:cs="仿宋_GB2312"/>
                <w:color w:val="auto"/>
                <w:sz w:val="24"/>
                <w:highlight w:val="none"/>
                <w:lang w:val="zh-CN"/>
              </w:rPr>
              <w:t>投标报价明细表</w:t>
            </w:r>
            <w:r>
              <w:rPr>
                <w:rFonts w:hint="eastAsia" w:ascii="仿宋_GB2312" w:hAnsi="仿宋" w:eastAsia="仿宋_GB2312"/>
                <w:color w:val="auto"/>
                <w:sz w:val="24"/>
                <w:highlight w:val="none"/>
              </w:rPr>
              <w:t>是报价的唯一载体</w:t>
            </w:r>
            <w:r>
              <w:rPr>
                <w:rFonts w:hint="eastAsia" w:ascii="仿宋_GB2312" w:hAnsi="仿宋" w:eastAsia="仿宋_GB2312" w:cs="仿宋_GB2312"/>
                <w:color w:val="auto"/>
                <w:kern w:val="0"/>
                <w:sz w:val="24"/>
                <w:highlight w:val="none"/>
                <w:lang w:val="zh-CN"/>
              </w:rPr>
              <w:t>。投标文件中价格全部采用人民币报价。招标文件未列明，而投标人认为必需的费用也需列入报价。</w:t>
            </w:r>
            <w:r>
              <w:rPr>
                <w:rFonts w:hint="eastAsia" w:ascii="仿宋_GB2312" w:hAnsi="仿宋" w:eastAsia="仿宋_GB2312" w:cs="仿宋_GB2312"/>
                <w:b/>
                <w:color w:val="auto"/>
                <w:kern w:val="0"/>
                <w:sz w:val="24"/>
                <w:highlight w:val="none"/>
                <w:lang w:val="zh-CN"/>
              </w:rPr>
              <w:t>提醒：验收时检测费用由采购人承担，不包含在投标总价中。</w:t>
            </w:r>
          </w:p>
          <w:p>
            <w:pPr>
              <w:snapToGrid w:val="0"/>
              <w:spacing w:line="360" w:lineRule="auto"/>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投标报价出现下列情形的，投标无效：</w:t>
            </w:r>
          </w:p>
          <w:p>
            <w:pPr>
              <w:snapToGrid w:val="0"/>
              <w:spacing w:line="360" w:lineRule="auto"/>
              <w:ind w:firstLine="241" w:firstLineChars="1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投标文件出现不是唯一的、有选择性投标报价的；</w:t>
            </w:r>
          </w:p>
          <w:p>
            <w:pPr>
              <w:snapToGrid w:val="0"/>
              <w:spacing w:line="360" w:lineRule="auto"/>
              <w:ind w:firstLine="241" w:firstLineChars="100"/>
              <w:jc w:val="left"/>
              <w:rPr>
                <w:rFonts w:ascii="仿宋_GB2312" w:hAnsi="仿宋" w:eastAsia="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投标报价超过招标文件中规定的预算金额或者最高限价的</w:t>
            </w:r>
            <w:r>
              <w:rPr>
                <w:rFonts w:ascii="仿宋_GB2312" w:hAnsi="仿宋" w:eastAsia="仿宋_GB2312"/>
                <w:b/>
                <w:color w:val="auto"/>
                <w:kern w:val="0"/>
                <w:sz w:val="24"/>
                <w:highlight w:val="none"/>
                <w:lang w:val="zh-CN"/>
              </w:rPr>
              <w:t>;</w:t>
            </w:r>
          </w:p>
          <w:p>
            <w:pPr>
              <w:spacing w:line="360" w:lineRule="auto"/>
              <w:ind w:firstLine="241" w:firstLineChars="100"/>
              <w:rPr>
                <w:rFonts w:ascii="仿宋_GB2312" w:hAnsi="仿宋" w:eastAsia="仿宋_GB2312" w:cs="仿宋_GB2312"/>
                <w:b/>
                <w:color w:val="auto"/>
                <w:sz w:val="24"/>
                <w:highlight w:val="none"/>
              </w:rPr>
            </w:pPr>
            <w:r>
              <w:rPr>
                <w:rFonts w:hint="eastAsia" w:ascii="仿宋_GB2312" w:hAnsi="仿宋" w:eastAsia="仿宋_GB2312" w:cs="Arial"/>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color w:val="auto"/>
                <w:sz w:val="24"/>
                <w:szCs w:val="21"/>
                <w:highlight w:val="none"/>
              </w:rPr>
              <w:t>;</w:t>
            </w:r>
          </w:p>
          <w:p>
            <w:pPr>
              <w:spacing w:line="360" w:lineRule="auto"/>
              <w:ind w:firstLine="241" w:firstLineChars="100"/>
              <w:rPr>
                <w:rFonts w:hint="eastAsia" w:ascii="仿宋_GB2312" w:hAnsi="仿宋" w:eastAsia="仿宋_GB2312" w:cs="Times New Roman"/>
                <w:color w:val="auto"/>
                <w:kern w:val="2"/>
                <w:sz w:val="24"/>
                <w:szCs w:val="24"/>
                <w:highlight w:val="none"/>
                <w:lang w:val="en-US" w:eastAsia="zh-CN" w:bidi="ar-SA"/>
              </w:rPr>
            </w:pPr>
            <w:r>
              <w:rPr>
                <w:rFonts w:hint="eastAsia" w:ascii="仿宋_GB2312" w:hAnsi="仿宋" w:eastAsia="仿宋_GB2312" w:cs="Arial"/>
                <w:b/>
                <w:color w:val="auto"/>
                <w:kern w:val="0"/>
                <w:sz w:val="24"/>
                <w:highlight w:val="none"/>
              </w:rPr>
              <w:t>投标人对根据修正原则修正后的报价不确认的</w:t>
            </w:r>
            <w:r>
              <w:rPr>
                <w:rFonts w:hint="eastAsia" w:ascii="仿宋_GB2312" w:hAnsi="仿宋" w:eastAsia="仿宋_GB2312"/>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仿宋_GB2312" w:hAnsi="仿宋" w:eastAsia="仿宋_GB2312" w:cs="仿宋_GB2312"/>
                <w:color w:val="auto"/>
                <w:sz w:val="24"/>
                <w:highlight w:val="none"/>
              </w:rPr>
            </w:pPr>
          </w:p>
          <w:p>
            <w:pPr>
              <w:snapToGrid w:val="0"/>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w:t>
            </w:r>
          </w:p>
        </w:tc>
        <w:tc>
          <w:tcPr>
            <w:tcW w:w="1777"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中小企业信用融资</w:t>
            </w:r>
          </w:p>
        </w:tc>
        <w:tc>
          <w:tcPr>
            <w:tcW w:w="6161"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为支持和促进中小企业发展，进一步发挥政府采购政策功能，杭州市</w:t>
            </w:r>
            <w:r>
              <w:rPr>
                <w:rFonts w:hint="eastAsia" w:ascii="仿宋_GB2312" w:hAnsi="仿宋" w:eastAsia="仿宋_GB2312"/>
                <w:color w:val="auto"/>
                <w:sz w:val="24"/>
                <w:highlight w:val="none"/>
                <w:lang w:eastAsia="zh-CN"/>
              </w:rPr>
              <w:t>钱塘区</w:t>
            </w:r>
            <w:r>
              <w:rPr>
                <w:rFonts w:hint="eastAsia" w:ascii="仿宋_GB2312" w:hAnsi="仿宋" w:eastAsia="仿宋_GB2312"/>
                <w:color w:val="auto"/>
                <w:sz w:val="24"/>
                <w:highlight w:val="none"/>
              </w:rPr>
              <w:t>财政局</w:t>
            </w:r>
            <w:r>
              <w:rPr>
                <w:rFonts w:hint="eastAsia" w:ascii="仿宋_GB2312" w:hAnsi="仿宋" w:eastAsia="仿宋_GB2312"/>
                <w:color w:val="auto"/>
                <w:sz w:val="24"/>
                <w:highlight w:val="none"/>
                <w:lang w:eastAsia="zh-CN"/>
              </w:rPr>
              <w:t>发布</w:t>
            </w:r>
            <w:r>
              <w:rPr>
                <w:rFonts w:hint="eastAsia" w:ascii="仿宋_GB2312" w:hAnsi="仿宋" w:eastAsia="仿宋_GB2312"/>
                <w:color w:val="auto"/>
                <w:sz w:val="24"/>
                <w:highlight w:val="none"/>
              </w:rPr>
              <w:t>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80" w:firstLineChars="200"/>
              <w:rPr>
                <w:color w:val="auto"/>
                <w:highlight w:val="none"/>
              </w:rPr>
            </w:pPr>
          </w:p>
        </w:tc>
        <w:tc>
          <w:tcPr>
            <w:tcW w:w="1777" w:type="dxa"/>
            <w:vMerge w:val="continue"/>
            <w:tcBorders>
              <w:left w:val="single" w:color="000000" w:sz="2" w:space="0"/>
              <w:right w:val="single" w:color="000000" w:sz="8" w:space="0"/>
            </w:tcBorders>
            <w:vAlign w:val="center"/>
          </w:tcPr>
          <w:p>
            <w:pPr>
              <w:spacing w:line="360" w:lineRule="auto"/>
              <w:ind w:firstLine="480" w:firstLineChars="200"/>
              <w:rPr>
                <w:color w:val="auto"/>
                <w:highlight w:val="none"/>
              </w:rPr>
            </w:pPr>
          </w:p>
        </w:tc>
        <w:tc>
          <w:tcPr>
            <w:tcW w:w="6161"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color w:val="auto"/>
                <w:kern w:val="28"/>
                <w:sz w:val="24"/>
                <w:highlight w:val="none"/>
              </w:rPr>
            </w:pPr>
            <w:r>
              <w:rPr>
                <w:rFonts w:hint="eastAsia" w:ascii="仿宋_GB2312" w:hAnsi="仿宋" w:eastAsia="仿宋_GB2312"/>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_GB2312" w:hAnsi="仿宋" w:eastAsia="仿宋_GB2312" w:cs="仿宋_GB2312"/>
                <w:color w:val="auto"/>
                <w:sz w:val="24"/>
                <w:highlight w:val="none"/>
                <w:lang w:eastAsia="zh-CN"/>
              </w:rPr>
            </w:pPr>
            <w:r>
              <w:rPr>
                <w:rFonts w:ascii="仿宋_GB2312" w:hAnsi="仿宋" w:eastAsia="仿宋_GB2312" w:cs="仿宋_GB2312"/>
                <w:color w:val="auto"/>
                <w:sz w:val="24"/>
                <w:highlight w:val="none"/>
              </w:rPr>
              <w:t>1</w:t>
            </w:r>
            <w:r>
              <w:rPr>
                <w:rFonts w:hint="eastAsia" w:ascii="仿宋_GB2312" w:hAnsi="仿宋" w:eastAsia="仿宋_GB2312" w:cs="仿宋_GB2312"/>
                <w:color w:val="auto"/>
                <w:sz w:val="24"/>
                <w:highlight w:val="none"/>
                <w:lang w:val="en-US" w:eastAsia="zh-CN"/>
              </w:rPr>
              <w:t>2</w:t>
            </w:r>
          </w:p>
        </w:tc>
        <w:tc>
          <w:tcPr>
            <w:tcW w:w="1777"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特别说明</w:t>
            </w:r>
          </w:p>
        </w:tc>
        <w:tc>
          <w:tcPr>
            <w:tcW w:w="6161"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napToGrid w:val="0"/>
                <w:color w:val="auto"/>
                <w:kern w:val="28"/>
                <w:sz w:val="24"/>
                <w:highlight w:val="none"/>
              </w:rPr>
            </w:pPr>
            <w:r>
              <w:rPr>
                <w:rFonts w:hint="eastAsia" w:ascii="仿宋_GB2312" w:hAnsi="仿宋" w:eastAsia="仿宋_GB2312"/>
                <w:snapToGrid w:val="0"/>
                <w:color w:val="auto"/>
                <w:kern w:val="28"/>
                <w:sz w:val="24"/>
                <w:highlight w:val="none"/>
              </w:rPr>
              <w:t>无</w:t>
            </w:r>
            <w:r>
              <w:rPr>
                <w:rFonts w:hint="eastAsia" w:ascii="仿宋_GB2312" w:hAnsi="仿宋" w:eastAsia="仿宋_GB2312" w:cs="宋体"/>
                <w:b/>
                <w:color w:val="auto"/>
                <w:kern w:val="0"/>
                <w:sz w:val="24"/>
                <w:highlight w:val="none"/>
              </w:rPr>
              <w:t>。</w:t>
            </w:r>
          </w:p>
        </w:tc>
      </w:tr>
    </w:tbl>
    <w:p>
      <w:pPr>
        <w:snapToGrid w:val="0"/>
        <w:spacing w:line="360" w:lineRule="auto"/>
        <w:jc w:val="center"/>
        <w:rPr>
          <w:rFonts w:ascii="仿宋" w:hAnsi="仿宋" w:eastAsia="仿宋" w:cs="仿宋_GB2312"/>
          <w:b/>
          <w:color w:val="auto"/>
          <w:sz w:val="32"/>
          <w:szCs w:val="20"/>
          <w:highlight w:val="none"/>
        </w:rPr>
      </w:pPr>
    </w:p>
    <w:bookmarkEnd w:id="10"/>
    <w:p>
      <w:pPr>
        <w:adjustRightInd/>
        <w:spacing w:line="360" w:lineRule="auto"/>
        <w:ind w:firstLine="3845" w:firstLineChars="1197"/>
        <w:outlineLvl w:val="0"/>
        <w:rPr>
          <w:rFonts w:ascii="仿宋_GB2312" w:hAnsi="仿宋" w:eastAsia="仿宋_GB2312" w:cs="仿宋_GB2312"/>
          <w:b/>
          <w:color w:val="auto"/>
          <w:sz w:val="32"/>
          <w:szCs w:val="20"/>
          <w:highlight w:val="none"/>
        </w:rPr>
      </w:pPr>
      <w:bookmarkStart w:id="11" w:name="_Toc164416483"/>
      <w:bookmarkStart w:id="12" w:name="第三部分"/>
      <w:r>
        <w:rPr>
          <w:rFonts w:hint="eastAsia" w:ascii="仿宋_GB2312" w:hAnsi="仿宋" w:eastAsia="仿宋_GB2312" w:cs="仿宋_GB2312"/>
          <w:b/>
          <w:color w:val="auto"/>
          <w:sz w:val="32"/>
          <w:szCs w:val="20"/>
          <w:highlight w:val="none"/>
        </w:rPr>
        <w:t>一、总则</w:t>
      </w:r>
    </w:p>
    <w:p>
      <w:pPr>
        <w:snapToGrid w:val="0"/>
        <w:spacing w:line="360" w:lineRule="auto"/>
        <w:ind w:firstLine="361" w:firstLineChars="150"/>
        <w:jc w:val="left"/>
        <w:outlineLvl w:val="1"/>
        <w:rPr>
          <w:rFonts w:ascii="仿宋_GB2312" w:hAnsi="仿宋" w:eastAsia="仿宋_GB2312"/>
          <w:b/>
          <w:color w:val="auto"/>
          <w:sz w:val="24"/>
          <w:highlight w:val="none"/>
        </w:rPr>
      </w:pPr>
      <w:r>
        <w:rPr>
          <w:rFonts w:ascii="仿宋_GB2312" w:hAnsi="仿宋" w:eastAsia="仿宋_GB2312"/>
          <w:b/>
          <w:color w:val="auto"/>
          <w:sz w:val="24"/>
          <w:highlight w:val="none"/>
        </w:rPr>
        <w:t xml:space="preserve">1. </w:t>
      </w:r>
      <w:r>
        <w:rPr>
          <w:rFonts w:hint="eastAsia" w:ascii="仿宋_GB2312" w:hAnsi="仿宋" w:eastAsia="仿宋_GB2312"/>
          <w:b/>
          <w:color w:val="auto"/>
          <w:sz w:val="24"/>
          <w:highlight w:val="none"/>
        </w:rPr>
        <w:t>适用范围</w:t>
      </w:r>
    </w:p>
    <w:p>
      <w:pPr>
        <w:snapToGrid w:val="0"/>
        <w:spacing w:line="360" w:lineRule="auto"/>
        <w:ind w:firstLine="480" w:firstLineChars="200"/>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color w:val="auto"/>
          <w:sz w:val="24"/>
          <w:highlight w:val="none"/>
        </w:rPr>
      </w:pPr>
      <w:r>
        <w:rPr>
          <w:rFonts w:ascii="仿宋_GB2312" w:hAnsi="仿宋" w:eastAsia="仿宋_GB2312" w:cs="仿宋_GB2312"/>
          <w:b/>
          <w:color w:val="auto"/>
          <w:sz w:val="24"/>
          <w:highlight w:val="none"/>
        </w:rPr>
        <w:t xml:space="preserve">   2.定义</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2.1 </w:t>
      </w:r>
      <w:r>
        <w:rPr>
          <w:rFonts w:hint="eastAsia" w:ascii="仿宋_GB2312" w:hAnsi="仿宋" w:eastAsia="仿宋_GB2312"/>
          <w:color w:val="auto"/>
          <w:sz w:val="24"/>
          <w:highlight w:val="none"/>
        </w:rPr>
        <w:t>“采购人”系指招标公告中载明的本项目的采购人。</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2.2 </w:t>
      </w:r>
      <w:r>
        <w:rPr>
          <w:rFonts w:hint="eastAsia" w:ascii="仿宋_GB2312" w:hAnsi="仿宋" w:eastAsia="仿宋_GB2312"/>
          <w:color w:val="auto"/>
          <w:sz w:val="24"/>
          <w:highlight w:val="none"/>
        </w:rPr>
        <w:t>“采购机构”系指招标公告中载明的本项目的采购机构。</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2.3 </w:t>
      </w:r>
      <w:r>
        <w:rPr>
          <w:rFonts w:hint="eastAsia" w:ascii="仿宋_GB2312" w:hAnsi="仿宋" w:eastAsia="仿宋_GB2312"/>
          <w:color w:val="auto"/>
          <w:sz w:val="24"/>
          <w:highlight w:val="none"/>
        </w:rPr>
        <w:t>“投标人”系指是指响应招标、参加投标竞争的法人、其他组织或者自然人。</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2.4 </w:t>
      </w:r>
      <w:r>
        <w:rPr>
          <w:rFonts w:hint="eastAsia" w:ascii="仿宋_GB2312" w:hAnsi="仿宋" w:eastAsia="仿宋_GB2312"/>
          <w:color w:val="auto"/>
          <w:sz w:val="24"/>
          <w:highlight w:val="none"/>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2.5“电子签名”系指数据电文中以电子形式所含、所附用于识别签名人身份并表明签名人认可其中内容的数据；</w:t>
      </w:r>
      <w:r>
        <w:rPr>
          <w:rFonts w:hint="eastAsia" w:ascii="仿宋" w:hAnsi="仿宋" w:eastAsia="仿宋"/>
          <w:color w:val="auto"/>
          <w:sz w:val="24"/>
          <w:highlight w:val="none"/>
        </w:rPr>
        <w:t>“公章”系指单位法定名称章。因特殊原因需要使用冠以法定名称的业务专用章的，投标时须提供《业务专用章使用说明函》（附件</w:t>
      </w:r>
      <w:r>
        <w:rPr>
          <w:rFonts w:ascii="仿宋" w:hAnsi="仿宋" w:eastAsia="仿宋"/>
          <w:color w:val="auto"/>
          <w:sz w:val="24"/>
          <w:highlight w:val="none"/>
        </w:rPr>
        <w:t>4）</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2.6“电子交易平台”是指本项目政府采购活动所依托的政府采购云平台（https://www.zcygov.cn/）。</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2.7 </w:t>
      </w:r>
      <w:r>
        <w:rPr>
          <w:rFonts w:hint="eastAsia" w:ascii="仿宋_GB2312" w:hAnsi="仿宋" w:eastAsia="仿宋_GB2312"/>
          <w:color w:val="auto"/>
          <w:sz w:val="24"/>
          <w:highlight w:val="none"/>
        </w:rPr>
        <w:t>“▲”</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系指实质性要求条款，“★”系产品采购项目中单一产品或核心产品，“</w:t>
      </w:r>
      <w:sdt>
        <w:sdtPr>
          <w:rPr>
            <w:rFonts w:hint="eastAsia" w:ascii="仿宋_GB2312" w:hAnsi="仿宋" w:eastAsia="仿宋_GB2312" w:cs="Arial"/>
            <w:color w:val="auto"/>
            <w:kern w:val="0"/>
            <w:sz w:val="24"/>
            <w:highlight w:val="none"/>
          </w:rPr>
          <w:id w:val="512970236"/>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hint="eastAsia" w:ascii="仿宋_GB2312" w:hAnsi="仿宋" w:eastAsia="仿宋_GB2312"/>
          <w:color w:val="auto"/>
          <w:sz w:val="24"/>
          <w:highlight w:val="none"/>
        </w:rPr>
        <w:t>”</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系指适用本项目的要求，“</w:t>
      </w:r>
      <w:sdt>
        <w:sdtPr>
          <w:rPr>
            <w:rFonts w:hint="eastAsia" w:ascii="仿宋_GB2312" w:hAnsi="仿宋" w:eastAsia="仿宋_GB2312" w:cs="Arial"/>
            <w:color w:val="auto"/>
            <w:kern w:val="0"/>
            <w:sz w:val="24"/>
            <w:highlight w:val="none"/>
          </w:rPr>
          <w:id w:val="404888855"/>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系指不适用本项目的要求。</w:t>
      </w:r>
    </w:p>
    <w:p>
      <w:pPr>
        <w:spacing w:line="360" w:lineRule="auto"/>
        <w:ind w:firstLine="241" w:firstLineChars="100"/>
        <w:rPr>
          <w:rFonts w:ascii="仿宋_GB2312" w:hAnsi="仿宋" w:eastAsia="仿宋_GB2312"/>
          <w:b/>
          <w:color w:val="auto"/>
          <w:sz w:val="24"/>
          <w:highlight w:val="none"/>
        </w:rPr>
      </w:pPr>
      <w:r>
        <w:rPr>
          <w:rFonts w:ascii="仿宋_GB2312" w:hAnsi="仿宋" w:eastAsia="仿宋_GB2312"/>
          <w:b/>
          <w:color w:val="auto"/>
          <w:sz w:val="24"/>
          <w:highlight w:val="none"/>
        </w:rPr>
        <w:t>3.</w:t>
      </w:r>
      <w:r>
        <w:rPr>
          <w:rFonts w:ascii="仿宋_GB2312" w:hAnsi="仿宋" w:eastAsia="仿宋_GB2312"/>
          <w:color w:val="auto"/>
          <w:highlight w:val="none"/>
        </w:rPr>
        <w:t xml:space="preserve"> </w:t>
      </w:r>
      <w:r>
        <w:rPr>
          <w:rFonts w:hint="eastAsia" w:ascii="仿宋_GB2312" w:hAnsi="仿宋" w:eastAsia="仿宋_GB2312"/>
          <w:b/>
          <w:color w:val="auto"/>
          <w:sz w:val="24"/>
          <w:highlight w:val="none"/>
        </w:rPr>
        <w:t>采购项目需要落实的政府采购政策</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360" w:lineRule="auto"/>
        <w:ind w:firstLine="480" w:firstLineChars="200"/>
        <w:rPr>
          <w:rFonts w:ascii="仿宋_GB2312" w:hAnsi="仿宋" w:eastAsia="仿宋_GB2312"/>
          <w:b/>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color w:val="auto"/>
          <w:sz w:val="24"/>
          <w:highlight w:val="none"/>
        </w:rPr>
      </w:pPr>
      <w:r>
        <w:rPr>
          <w:rFonts w:ascii="仿宋_GB2312" w:hAnsi="仿宋" w:eastAsia="仿宋_GB2312"/>
          <w:color w:val="auto"/>
          <w:sz w:val="24"/>
          <w:highlight w:val="none"/>
        </w:rPr>
        <w:t xml:space="preserve">3.2.2 </w:t>
      </w:r>
      <w:r>
        <w:rPr>
          <w:rFonts w:hint="eastAsia" w:ascii="仿宋_GB2312" w:hAnsi="仿宋" w:eastAsia="仿宋_GB2312"/>
          <w:color w:val="auto"/>
          <w:sz w:val="24"/>
          <w:highlight w:val="none"/>
        </w:rPr>
        <w:t>修缮、装修类项目采购建材的，采购人应将绿色建筑和绿色建材性能、指标等作为实质性条件纳入招标文件和合同。</w:t>
      </w:r>
    </w:p>
    <w:p>
      <w:pPr>
        <w:spacing w:line="360" w:lineRule="auto"/>
        <w:ind w:firstLine="480" w:firstLineChars="200"/>
        <w:rPr>
          <w:color w:val="auto"/>
          <w:sz w:val="24"/>
          <w:highlight w:val="none"/>
        </w:rPr>
      </w:pPr>
      <w:r>
        <w:rPr>
          <w:rFonts w:ascii="仿宋_GB2312" w:hAnsi="仿宋" w:eastAsia="仿宋_GB2312"/>
          <w:color w:val="auto"/>
          <w:sz w:val="24"/>
          <w:highlight w:val="none"/>
        </w:rPr>
        <w:t>3.2.3</w:t>
      </w:r>
      <w:r>
        <w:rPr>
          <w:rFonts w:hint="eastAsia" w:ascii="仿宋_GB2312" w:hAnsi="仿宋" w:eastAsia="仿宋_GB2312"/>
          <w:color w:val="auto"/>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3.3支持中小企业发展</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eastAsia="仿宋_GB2312"/>
          <w:bCs/>
          <w:color w:val="auto"/>
          <w:sz w:val="24"/>
          <w:highlight w:val="none"/>
        </w:rPr>
        <w:t>3.3.2</w:t>
      </w:r>
      <w:r>
        <w:rPr>
          <w:rFonts w:hint="eastAsia" w:ascii="仿宋_GB2312" w:hAnsi="宋体" w:eastAsia="仿宋_GB2312" w:cs="宋体"/>
          <w:color w:val="auto"/>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hAnsi="宋体" w:eastAsia="仿宋_GB2312" w:cs="宋体"/>
          <w:color w:val="auto"/>
          <w:kern w:val="0"/>
          <w:sz w:val="24"/>
          <w:highlight w:val="none"/>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hAnsi="宋体" w:eastAsia="仿宋_GB2312" w:cs="宋体"/>
          <w:color w:val="auto"/>
          <w:kern w:val="0"/>
          <w:sz w:val="24"/>
          <w:highlight w:val="none"/>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color w:val="auto"/>
          <w:kern w:val="0"/>
          <w:sz w:val="24"/>
          <w:highlight w:val="none"/>
        </w:rPr>
      </w:pPr>
      <w:r>
        <w:rPr>
          <w:rFonts w:ascii="仿宋_GB2312" w:hAnsi="宋体" w:eastAsia="仿宋_GB2312" w:cs="宋体"/>
          <w:color w:val="auto"/>
          <w:kern w:val="0"/>
          <w:sz w:val="24"/>
          <w:highlight w:val="none"/>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3.3.3</w:t>
      </w:r>
      <w:r>
        <w:rPr>
          <w:rFonts w:hint="eastAsia" w:ascii="仿宋_GB2312" w:hAnsi="仿宋" w:eastAsia="仿宋_GB2312"/>
          <w:color w:val="auto"/>
          <w:sz w:val="24"/>
          <w:highlight w:val="none"/>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color w:val="auto"/>
          <w:sz w:val="24"/>
          <w:highlight w:val="none"/>
        </w:rPr>
        <w:t>10%的扣除，用扣除后的价格参与评审。接受大中型企业与小微企业组成联合体或者允许大中型企业向一家或者多家小微企业分包的</w:t>
      </w:r>
      <w:r>
        <w:rPr>
          <w:rFonts w:hint="eastAsia" w:ascii="仿宋_GB2312" w:hAnsi="仿宋" w:eastAsia="仿宋_GB2312"/>
          <w:color w:val="auto"/>
          <w:sz w:val="24"/>
          <w:highlight w:val="none"/>
        </w:rPr>
        <w:t>政府</w:t>
      </w:r>
      <w:r>
        <w:rPr>
          <w:rFonts w:ascii="仿宋_GB2312" w:hAnsi="仿宋" w:eastAsia="仿宋_GB2312"/>
          <w:color w:val="auto"/>
          <w:sz w:val="24"/>
          <w:highlight w:val="none"/>
        </w:rPr>
        <w:t>采购</w:t>
      </w:r>
      <w:r>
        <w:rPr>
          <w:rFonts w:hint="eastAsia" w:ascii="仿宋_GB2312" w:hAnsi="仿宋" w:eastAsia="仿宋_GB2312"/>
          <w:color w:val="auto"/>
          <w:sz w:val="24"/>
          <w:highlight w:val="none"/>
        </w:rPr>
        <w:t>货物或服务</w:t>
      </w:r>
      <w:r>
        <w:rPr>
          <w:rFonts w:ascii="仿宋_GB2312" w:hAnsi="仿宋" w:eastAsia="仿宋_GB2312"/>
          <w:color w:val="auto"/>
          <w:sz w:val="24"/>
          <w:highlight w:val="none"/>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3.3.6</w:t>
      </w:r>
      <w:r>
        <w:rPr>
          <w:rFonts w:hint="eastAsia" w:ascii="仿宋_GB2312" w:hAnsi="仿宋" w:eastAsia="仿宋_GB2312"/>
          <w:color w:val="auto"/>
          <w:sz w:val="24"/>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3.3.7中小企业享受扶持政策获得政府采购合同的，小微企业不得将合同分包给大中型企业，中型企业不得将合同分包给大型企业</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支持创新发展</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3.4.1 采购人优先采购被认定</w:t>
      </w:r>
      <w:r>
        <w:rPr>
          <w:rFonts w:hint="eastAsia" w:ascii="仿宋_GB2312" w:hAnsi="仿宋" w:eastAsia="仿宋_GB2312"/>
          <w:color w:val="auto"/>
          <w:sz w:val="24"/>
          <w:highlight w:val="none"/>
        </w:rPr>
        <w:t>为首台套产品和“制造精品”的自主创新产品。</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3.4.2首台套产品</w:t>
      </w:r>
      <w:r>
        <w:rPr>
          <w:rFonts w:hint="eastAsia" w:ascii="仿宋_GB2312" w:hAnsi="仿宋" w:eastAsia="仿宋_GB2312"/>
          <w:color w:val="auto"/>
          <w:sz w:val="24"/>
          <w:highlight w:val="none"/>
        </w:rPr>
        <w:t>被纳入《首台套产品推广应用指导目录》之日起</w:t>
      </w:r>
      <w:r>
        <w:rPr>
          <w:rFonts w:ascii="仿宋_GB2312" w:hAnsi="仿宋" w:eastAsia="仿宋_GB2312"/>
          <w:color w:val="auto"/>
          <w:sz w:val="24"/>
          <w:highlight w:val="none"/>
        </w:rPr>
        <w:t>2年内，以及产品核心技术高于国内领先水平，并具有明晰自主知识产权的“制造精品”产品，</w:t>
      </w:r>
      <w:r>
        <w:rPr>
          <w:rFonts w:hint="eastAsia" w:ascii="仿宋_GB2312" w:hAnsi="仿宋" w:eastAsia="仿宋_GB2312"/>
          <w:color w:val="auto"/>
          <w:sz w:val="24"/>
          <w:highlight w:val="none"/>
        </w:rPr>
        <w:t>自认定之日起</w:t>
      </w:r>
      <w:r>
        <w:rPr>
          <w:rFonts w:ascii="仿宋_GB2312" w:hAnsi="仿宋" w:eastAsia="仿宋_GB2312"/>
          <w:color w:val="auto"/>
          <w:sz w:val="24"/>
          <w:highlight w:val="none"/>
        </w:rPr>
        <w:t>2年内视同已具备相应销售业绩，参加政府采购活动</w:t>
      </w:r>
      <w:r>
        <w:rPr>
          <w:rFonts w:hint="eastAsia" w:ascii="仿宋_GB2312" w:hAnsi="仿宋" w:eastAsia="仿宋_GB2312"/>
          <w:color w:val="auto"/>
          <w:sz w:val="24"/>
          <w:highlight w:val="none"/>
        </w:rPr>
        <w:t>时业绩分值为满分。</w:t>
      </w:r>
    </w:p>
    <w:p>
      <w:pPr>
        <w:spacing w:line="360" w:lineRule="auto"/>
        <w:ind w:firstLine="480" w:firstLineChars="200"/>
        <w:rPr>
          <w:rFonts w:ascii="仿宋_GB2312" w:hAnsi="仿宋" w:eastAsia="仿宋_GB2312"/>
          <w:b/>
          <w:color w:val="auto"/>
          <w:sz w:val="24"/>
          <w:highlight w:val="none"/>
        </w:rPr>
      </w:pPr>
      <w:r>
        <w:rPr>
          <w:rFonts w:ascii="仿宋_GB2312" w:hAnsi="仿宋" w:eastAsia="仿宋_GB2312"/>
          <w:color w:val="auto"/>
          <w:sz w:val="24"/>
          <w:highlight w:val="none"/>
        </w:rPr>
        <w:t>3.5中小企业信用融资：</w:t>
      </w:r>
      <w:r>
        <w:rPr>
          <w:rFonts w:hint="eastAsia" w:ascii="仿宋_GB2312" w:hAnsi="仿宋" w:eastAsia="仿宋_GB2312"/>
          <w:color w:val="auto"/>
          <w:sz w:val="24"/>
          <w:highlight w:val="none"/>
        </w:rPr>
        <w:t>为支持和促进中小企业发展，进一步发挥政府采购政策功能，杭州市</w:t>
      </w:r>
      <w:r>
        <w:rPr>
          <w:rFonts w:hint="eastAsia" w:ascii="仿宋_GB2312" w:hAnsi="仿宋" w:eastAsia="仿宋_GB2312"/>
          <w:color w:val="auto"/>
          <w:sz w:val="24"/>
          <w:highlight w:val="none"/>
          <w:lang w:eastAsia="zh-CN"/>
        </w:rPr>
        <w:t>钱塘区</w:t>
      </w:r>
      <w:r>
        <w:rPr>
          <w:rFonts w:hint="eastAsia" w:ascii="仿宋_GB2312" w:hAnsi="仿宋" w:eastAsia="仿宋_GB2312"/>
          <w:color w:val="auto"/>
          <w:sz w:val="24"/>
          <w:highlight w:val="none"/>
        </w:rPr>
        <w:t>财政局</w:t>
      </w:r>
      <w:r>
        <w:rPr>
          <w:rFonts w:hint="eastAsia" w:ascii="仿宋_GB2312" w:hAnsi="仿宋" w:eastAsia="仿宋_GB2312"/>
          <w:color w:val="auto"/>
          <w:sz w:val="24"/>
          <w:highlight w:val="none"/>
          <w:lang w:eastAsia="zh-CN"/>
        </w:rPr>
        <w:t>发布</w:t>
      </w:r>
      <w:r>
        <w:rPr>
          <w:rFonts w:hint="eastAsia" w:ascii="仿宋_GB2312" w:hAnsi="仿宋" w:eastAsia="仿宋_GB2312"/>
          <w:color w:val="auto"/>
          <w:sz w:val="24"/>
          <w:highlight w:val="none"/>
        </w:rPr>
        <w:t>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r>
        <w:rPr>
          <w:rFonts w:ascii="仿宋_GB2312" w:hAnsi="仿宋" w:eastAsia="仿宋_GB2312"/>
          <w:color w:val="auto"/>
          <w:sz w:val="24"/>
          <w:highlight w:val="none"/>
        </w:rPr>
        <w:cr/>
      </w:r>
      <w:r>
        <w:rPr>
          <w:rFonts w:ascii="仿宋_GB2312" w:hAnsi="仿宋" w:eastAsia="仿宋_GB2312"/>
          <w:b/>
          <w:color w:val="auto"/>
          <w:sz w:val="24"/>
          <w:highlight w:val="none"/>
        </w:rPr>
        <w:t xml:space="preserve">4. </w:t>
      </w:r>
      <w:r>
        <w:rPr>
          <w:rFonts w:hint="eastAsia" w:ascii="仿宋_GB2312" w:hAnsi="仿宋" w:eastAsia="仿宋_GB2312"/>
          <w:b/>
          <w:color w:val="auto"/>
          <w:sz w:val="24"/>
          <w:highlight w:val="none"/>
        </w:rPr>
        <w:t>询问、质疑、投诉</w:t>
      </w:r>
    </w:p>
    <w:p>
      <w:pPr>
        <w:autoSpaceDE w:val="0"/>
        <w:autoSpaceDN w:val="0"/>
        <w:spacing w:line="360" w:lineRule="auto"/>
        <w:ind w:firstLine="240" w:firstLineChars="100"/>
        <w:jc w:val="left"/>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4.1供应商询问</w:t>
      </w:r>
    </w:p>
    <w:p>
      <w:pPr>
        <w:autoSpaceDE w:val="0"/>
        <w:autoSpaceDN w:val="0"/>
        <w:spacing w:line="360" w:lineRule="auto"/>
        <w:ind w:firstLine="480" w:firstLineChars="200"/>
        <w:jc w:val="left"/>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供应商对政府采购活动事项有疑问的，可以提出询问，采购人或者采购代理机构应当在</w:t>
      </w:r>
      <w:r>
        <w:rPr>
          <w:rFonts w:ascii="仿宋_GB2312" w:hAnsi="仿宋" w:eastAsia="仿宋_GB2312" w:cs="微软雅黑"/>
          <w:color w:val="auto"/>
          <w:kern w:val="0"/>
          <w:sz w:val="24"/>
          <w:highlight w:val="none"/>
          <w:lang w:val="zh-CN"/>
        </w:rPr>
        <w:t>3个工作日内对供应</w:t>
      </w:r>
      <w:r>
        <w:rPr>
          <w:rFonts w:hint="eastAsia" w:ascii="仿宋_GB2312" w:hAnsi="仿宋" w:eastAsia="仿宋_GB2312" w:cs="微软雅黑"/>
          <w:color w:val="auto"/>
          <w:kern w:val="0"/>
          <w:sz w:val="24"/>
          <w:highlight w:val="none"/>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4.2供应商质疑</w:t>
      </w:r>
    </w:p>
    <w:p>
      <w:pPr>
        <w:pStyle w:val="35"/>
        <w:spacing w:line="360" w:lineRule="auto"/>
        <w:ind w:firstLine="480" w:firstLineChars="200"/>
        <w:rPr>
          <w:rFonts w:ascii="仿宋_GB2312" w:hAnsi="仿宋" w:eastAsia="仿宋_GB2312"/>
          <w:color w:val="auto"/>
          <w:sz w:val="24"/>
          <w:highlight w:val="none"/>
        </w:rPr>
      </w:pPr>
      <w:r>
        <w:rPr>
          <w:rFonts w:ascii="仿宋_GB2312" w:hAnsi="仿宋" w:eastAsia="仿宋_GB2312" w:cs="微软雅黑"/>
          <w:color w:val="auto"/>
          <w:kern w:val="0"/>
          <w:sz w:val="24"/>
          <w:highlight w:val="none"/>
          <w:lang w:val="zh-CN"/>
        </w:rPr>
        <w:t>4.2</w:t>
      </w:r>
      <w:r>
        <w:rPr>
          <w:rFonts w:ascii="仿宋_GB2312" w:hAnsi="仿宋" w:eastAsia="仿宋_GB2312"/>
          <w:color w:val="auto"/>
          <w:sz w:val="24"/>
          <w:highlight w:val="none"/>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ascii="仿宋_GB2312" w:hAnsi="仿宋" w:eastAsia="仿宋_GB2312"/>
          <w:color w:val="auto"/>
          <w:sz w:val="24"/>
          <w:highlight w:val="none"/>
        </w:rPr>
      </w:pPr>
      <w:r>
        <w:rPr>
          <w:rFonts w:ascii="仿宋_GB2312" w:hAnsi="仿宋" w:eastAsia="仿宋_GB2312" w:cs="微软雅黑"/>
          <w:color w:val="auto"/>
          <w:kern w:val="0"/>
          <w:sz w:val="24"/>
          <w:highlight w:val="none"/>
          <w:lang w:val="zh-CN"/>
        </w:rPr>
        <w:t>4.2</w:t>
      </w:r>
      <w:r>
        <w:rPr>
          <w:rFonts w:ascii="仿宋_GB2312" w:hAnsi="仿宋" w:eastAsia="仿宋_GB2312"/>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8"/>
        <w:spacing w:line="360" w:lineRule="auto"/>
        <w:ind w:firstLine="480" w:firstLineChars="200"/>
        <w:rPr>
          <w:rFonts w:ascii="仿宋_GB2312" w:hAnsi="仿宋" w:eastAsia="仿宋_GB2312"/>
          <w:snapToGrid/>
          <w:color w:val="auto"/>
          <w:kern w:val="2"/>
          <w:sz w:val="24"/>
          <w:highlight w:val="none"/>
        </w:rPr>
      </w:pPr>
      <w:r>
        <w:rPr>
          <w:rFonts w:ascii="仿宋_GB2312" w:hAnsi="仿宋" w:eastAsia="仿宋_GB2312"/>
          <w:snapToGrid/>
          <w:color w:val="auto"/>
          <w:kern w:val="2"/>
          <w:sz w:val="24"/>
          <w:highlight w:val="none"/>
        </w:rPr>
        <w:t>4.2.2.1对招标文件提出质疑的，质疑期限为供应商获得招标文件之日或者招标文件公告期限届满之日起计算。</w:t>
      </w:r>
    </w:p>
    <w:p>
      <w:pPr>
        <w:pStyle w:val="35"/>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4.2.2.2对采购过程提出质疑的，质疑期限为各采购程序环节结束之日起计算。对同一采购程序环节的质疑，供应商须一次性提出。</w:t>
      </w:r>
    </w:p>
    <w:p>
      <w:pPr>
        <w:pStyle w:val="35"/>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4.2.2.3对采购结果提出质疑的，质疑期限自采购结果公告期限届满之日起计算。</w:t>
      </w:r>
    </w:p>
    <w:p>
      <w:pPr>
        <w:pStyle w:val="35"/>
        <w:spacing w:line="360" w:lineRule="auto"/>
        <w:ind w:firstLine="480" w:firstLineChars="2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w:t>
      </w:r>
      <w:r>
        <w:rPr>
          <w:rFonts w:hint="eastAsia" w:ascii="仿宋_GB2312" w:hAnsi="仿宋" w:eastAsia="仿宋_GB2312"/>
          <w:color w:val="auto"/>
          <w:sz w:val="24"/>
          <w:highlight w:val="none"/>
        </w:rPr>
        <w:t>供应商提出质疑应当提交质疑函和必要的证明材料。质疑函应当包括下列内容：</w:t>
      </w:r>
    </w:p>
    <w:p>
      <w:pPr>
        <w:pStyle w:val="35"/>
        <w:spacing w:line="360" w:lineRule="auto"/>
        <w:ind w:firstLine="480" w:firstLineChars="200"/>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　　</w:t>
      </w:r>
      <w:r>
        <w:rPr>
          <w:rFonts w:ascii="仿宋_GB2312" w:hAnsi="仿宋" w:eastAsia="仿宋_GB2312" w:cs="微软雅黑"/>
          <w:color w:val="auto"/>
          <w:kern w:val="0"/>
          <w:sz w:val="24"/>
          <w:highlight w:val="none"/>
          <w:lang w:val="zh-CN"/>
        </w:rPr>
        <w:t>4.2.3.1</w:t>
      </w:r>
      <w:r>
        <w:rPr>
          <w:rFonts w:hint="eastAsia" w:ascii="仿宋_GB2312" w:hAnsi="仿宋" w:eastAsia="仿宋_GB2312" w:cs="微软雅黑"/>
          <w:color w:val="auto"/>
          <w:kern w:val="0"/>
          <w:sz w:val="24"/>
          <w:highlight w:val="none"/>
          <w:lang w:val="zh-CN"/>
        </w:rPr>
        <w:t>供应商的姓名或者名称、地址、邮编、联系人及联系电话；</w:t>
      </w:r>
    </w:p>
    <w:p>
      <w:pPr>
        <w:pStyle w:val="35"/>
        <w:spacing w:line="360" w:lineRule="auto"/>
        <w:ind w:firstLine="480" w:firstLineChars="200"/>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　　</w:t>
      </w:r>
      <w:r>
        <w:rPr>
          <w:rFonts w:ascii="仿宋_GB2312" w:hAnsi="仿宋" w:eastAsia="仿宋_GB2312" w:cs="微软雅黑"/>
          <w:color w:val="auto"/>
          <w:kern w:val="0"/>
          <w:sz w:val="24"/>
          <w:highlight w:val="none"/>
          <w:lang w:val="zh-CN"/>
        </w:rPr>
        <w:t>4.2.3.2</w:t>
      </w:r>
      <w:r>
        <w:rPr>
          <w:rFonts w:hint="eastAsia" w:ascii="仿宋_GB2312" w:hAnsi="仿宋" w:eastAsia="仿宋_GB2312" w:cs="微软雅黑"/>
          <w:color w:val="auto"/>
          <w:kern w:val="0"/>
          <w:sz w:val="24"/>
          <w:highlight w:val="none"/>
          <w:lang w:val="zh-CN"/>
        </w:rPr>
        <w:t>质疑项目的名称、编号；</w:t>
      </w:r>
    </w:p>
    <w:p>
      <w:pPr>
        <w:pStyle w:val="35"/>
        <w:spacing w:line="360" w:lineRule="auto"/>
        <w:ind w:firstLine="480" w:firstLineChars="200"/>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　　</w:t>
      </w:r>
      <w:r>
        <w:rPr>
          <w:rFonts w:ascii="仿宋_GB2312" w:hAnsi="仿宋" w:eastAsia="仿宋_GB2312" w:cs="微软雅黑"/>
          <w:color w:val="auto"/>
          <w:kern w:val="0"/>
          <w:sz w:val="24"/>
          <w:highlight w:val="none"/>
          <w:lang w:val="zh-CN"/>
        </w:rPr>
        <w:t>4.2.3.3</w:t>
      </w:r>
      <w:r>
        <w:rPr>
          <w:rFonts w:hint="eastAsia" w:ascii="仿宋_GB2312" w:hAnsi="仿宋" w:eastAsia="仿宋_GB2312" w:cs="微软雅黑"/>
          <w:color w:val="auto"/>
          <w:kern w:val="0"/>
          <w:sz w:val="24"/>
          <w:highlight w:val="none"/>
          <w:lang w:val="zh-CN"/>
        </w:rPr>
        <w:t>具体、明确的质疑事项和与质疑事项相关的请求；</w:t>
      </w:r>
    </w:p>
    <w:p>
      <w:pPr>
        <w:pStyle w:val="35"/>
        <w:spacing w:line="360" w:lineRule="auto"/>
        <w:ind w:firstLine="480" w:firstLineChars="200"/>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　　</w:t>
      </w:r>
      <w:r>
        <w:rPr>
          <w:rFonts w:ascii="仿宋_GB2312" w:hAnsi="仿宋" w:eastAsia="仿宋_GB2312" w:cs="微软雅黑"/>
          <w:color w:val="auto"/>
          <w:kern w:val="0"/>
          <w:sz w:val="24"/>
          <w:highlight w:val="none"/>
          <w:lang w:val="zh-CN"/>
        </w:rPr>
        <w:t>4.2.3.4</w:t>
      </w:r>
      <w:r>
        <w:rPr>
          <w:rFonts w:hint="eastAsia" w:ascii="仿宋_GB2312" w:hAnsi="仿宋" w:eastAsia="仿宋_GB2312" w:cs="微软雅黑"/>
          <w:color w:val="auto"/>
          <w:kern w:val="0"/>
          <w:sz w:val="24"/>
          <w:highlight w:val="none"/>
          <w:lang w:val="zh-CN"/>
        </w:rPr>
        <w:t>事实依据；</w:t>
      </w:r>
    </w:p>
    <w:p>
      <w:pPr>
        <w:pStyle w:val="35"/>
        <w:spacing w:line="360" w:lineRule="auto"/>
        <w:ind w:firstLine="480" w:firstLineChars="200"/>
        <w:rPr>
          <w:rFonts w:ascii="仿宋_GB2312" w:hAnsi="仿宋" w:eastAsia="仿宋_GB2312" w:cs="微软雅黑"/>
          <w:color w:val="auto"/>
          <w:kern w:val="0"/>
          <w:sz w:val="24"/>
          <w:highlight w:val="none"/>
          <w:lang w:val="zh-CN"/>
        </w:rPr>
      </w:pPr>
      <w:r>
        <w:rPr>
          <w:rFonts w:hint="eastAsia" w:ascii="仿宋_GB2312" w:hAnsi="仿宋" w:eastAsia="仿宋_GB2312" w:cs="微软雅黑"/>
          <w:color w:val="auto"/>
          <w:kern w:val="0"/>
          <w:sz w:val="24"/>
          <w:highlight w:val="none"/>
          <w:lang w:val="zh-CN"/>
        </w:rPr>
        <w:t>　　</w:t>
      </w:r>
      <w:r>
        <w:rPr>
          <w:rFonts w:ascii="仿宋_GB2312" w:hAnsi="仿宋" w:eastAsia="仿宋_GB2312" w:cs="微软雅黑"/>
          <w:color w:val="auto"/>
          <w:kern w:val="0"/>
          <w:sz w:val="24"/>
          <w:highlight w:val="none"/>
          <w:lang w:val="zh-CN"/>
        </w:rPr>
        <w:t>4.2.3.5</w:t>
      </w:r>
      <w:r>
        <w:rPr>
          <w:rFonts w:hint="eastAsia" w:ascii="仿宋_GB2312" w:hAnsi="仿宋" w:eastAsia="仿宋_GB2312" w:cs="微软雅黑"/>
          <w:color w:val="auto"/>
          <w:kern w:val="0"/>
          <w:sz w:val="24"/>
          <w:highlight w:val="none"/>
          <w:lang w:val="zh-CN"/>
        </w:rPr>
        <w:t>必要的法律依据；</w:t>
      </w:r>
    </w:p>
    <w:p>
      <w:pPr>
        <w:pStyle w:val="35"/>
        <w:spacing w:line="360" w:lineRule="auto"/>
        <w:ind w:firstLine="960" w:firstLineChars="400"/>
        <w:rPr>
          <w:rFonts w:ascii="仿宋_GB2312" w:hAnsi="仿宋" w:eastAsia="仿宋_GB2312" w:cs="微软雅黑"/>
          <w:color w:val="auto"/>
          <w:kern w:val="0"/>
          <w:sz w:val="24"/>
          <w:highlight w:val="none"/>
          <w:lang w:val="zh-CN"/>
        </w:rPr>
      </w:pPr>
      <w:r>
        <w:rPr>
          <w:rFonts w:ascii="仿宋_GB2312" w:hAnsi="仿宋" w:eastAsia="仿宋_GB2312" w:cs="微软雅黑"/>
          <w:color w:val="auto"/>
          <w:kern w:val="0"/>
          <w:sz w:val="24"/>
          <w:highlight w:val="none"/>
          <w:lang w:val="zh-CN"/>
        </w:rPr>
        <w:t>4.2.3.6</w:t>
      </w:r>
      <w:r>
        <w:rPr>
          <w:rFonts w:hint="eastAsia" w:ascii="仿宋_GB2312" w:hAnsi="仿宋" w:eastAsia="仿宋_GB2312" w:cs="微软雅黑"/>
          <w:color w:val="auto"/>
          <w:kern w:val="0"/>
          <w:sz w:val="24"/>
          <w:highlight w:val="none"/>
          <w:lang w:val="zh-CN"/>
        </w:rPr>
        <w:t>提出质疑的日期。</w:t>
      </w:r>
    </w:p>
    <w:p>
      <w:pPr>
        <w:pStyle w:val="886"/>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hint="eastAsia" w:ascii="仿宋_GB2312" w:hAnsi="仿宋" w:eastAsia="仿宋_GB2312"/>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hint="eastAsia" w:ascii="仿宋_GB2312" w:hAnsi="仿宋" w:eastAsia="仿宋_GB2312"/>
          <w:color w:val="auto"/>
          <w:highlight w:val="none"/>
        </w:rPr>
        <w:t>质疑函范本及制作说明详见附件</w:t>
      </w:r>
      <w:r>
        <w:rPr>
          <w:rFonts w:ascii="仿宋_GB2312" w:hAnsi="仿宋" w:eastAsia="仿宋_GB2312"/>
          <w:color w:val="auto"/>
          <w:highlight w:val="none"/>
        </w:rPr>
        <w:t>2。</w:t>
      </w:r>
    </w:p>
    <w:p>
      <w:pPr>
        <w:pStyle w:val="886"/>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s="微软雅黑"/>
          <w:color w:val="auto"/>
          <w:highlight w:val="none"/>
          <w:lang w:val="zh-CN"/>
        </w:rPr>
        <w:t>4.2</w:t>
      </w:r>
      <w:r>
        <w:rPr>
          <w:rFonts w:ascii="仿宋_GB2312" w:hAnsi="仿宋" w:eastAsia="仿宋_GB2312"/>
          <w:color w:val="auto"/>
          <w:highlight w:val="none"/>
        </w:rPr>
        <w:t>.4</w:t>
      </w:r>
      <w:r>
        <w:rPr>
          <w:rFonts w:hint="eastAsia" w:ascii="仿宋_GB2312" w:hAnsi="仿宋" w:eastAsia="仿宋_GB2312"/>
          <w:color w:val="auto"/>
          <w:highlight w:val="none"/>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color w:val="auto"/>
          <w:highlight w:val="none"/>
        </w:rPr>
        <w:t>2021〕17号）,</w:t>
      </w:r>
      <w:r>
        <w:rPr>
          <w:rFonts w:hint="eastAsia" w:ascii="仿宋_GB2312" w:hAnsi="仿宋" w:eastAsia="仿宋_GB2312"/>
          <w:color w:val="auto"/>
          <w:highlight w:val="none"/>
        </w:rPr>
        <w:t>采购人或者采购机构在质疑回复后</w:t>
      </w:r>
      <w:r>
        <w:rPr>
          <w:rFonts w:ascii="仿宋_GB2312" w:hAnsi="仿宋" w:eastAsia="仿宋_GB2312"/>
          <w:color w:val="auto"/>
          <w:highlight w:val="none"/>
        </w:rPr>
        <w:t>5个工作日内，在浙江政府采购网的“其他公告”栏目公开质疑答复，答复内容应当完整。质疑</w:t>
      </w:r>
      <w:r>
        <w:rPr>
          <w:rFonts w:hint="eastAsia" w:ascii="仿宋_GB2312" w:hAnsi="仿宋" w:eastAsia="仿宋_GB2312"/>
          <w:color w:val="auto"/>
          <w:highlight w:val="none"/>
        </w:rPr>
        <w:t>函作为附件上传。</w:t>
      </w:r>
    </w:p>
    <w:p>
      <w:pPr>
        <w:pStyle w:val="886"/>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s="微软雅黑"/>
          <w:color w:val="auto"/>
          <w:highlight w:val="none"/>
          <w:lang w:val="zh-CN"/>
        </w:rPr>
        <w:t>4.2</w:t>
      </w:r>
      <w:r>
        <w:rPr>
          <w:rFonts w:ascii="仿宋_GB2312" w:hAnsi="仿宋" w:eastAsia="仿宋_GB2312"/>
          <w:color w:val="auto"/>
          <w:highlight w:val="none"/>
        </w:rPr>
        <w:t>.5询问或者质疑事项可能影响采购结果的，采购人应当暂停签订合同，已经签订合同的，应当中止履行合同。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rFonts w:ascii="仿宋_GB2312" w:hAnsi="仿宋" w:eastAsia="仿宋_GB2312" w:cs="微软雅黑"/>
          <w:color w:val="auto"/>
          <w:highlight w:val="none"/>
          <w:lang w:val="zh-CN"/>
        </w:rPr>
      </w:pPr>
      <w:r>
        <w:rPr>
          <w:rFonts w:ascii="仿宋_GB2312" w:hAnsi="仿宋" w:eastAsia="仿宋_GB2312" w:cs="微软雅黑"/>
          <w:color w:val="auto"/>
          <w:highlight w:val="none"/>
          <w:lang w:val="zh-CN"/>
        </w:rPr>
        <w:t>4.3供应商投诉</w:t>
      </w:r>
    </w:p>
    <w:p>
      <w:pPr>
        <w:pStyle w:val="886"/>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olor w:val="auto"/>
          <w:highlight w:val="none"/>
        </w:rPr>
        <w:t>4.3.1质疑供应商对采购人、采购机构的答复不满意或者采购人、采购机构未在规定的时间内</w:t>
      </w:r>
      <w:r>
        <w:rPr>
          <w:rFonts w:hint="eastAsia" w:ascii="仿宋_GB2312" w:hAnsi="仿宋" w:eastAsia="仿宋_GB2312"/>
          <w:color w:val="auto"/>
          <w:highlight w:val="none"/>
        </w:rPr>
        <w:t>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olor w:val="auto"/>
          <w:highlight w:val="none"/>
        </w:rPr>
        <w:t>4.3.</w:t>
      </w:r>
      <w:r>
        <w:rPr>
          <w:rFonts w:ascii="仿宋_GB2312" w:hAnsi="仿宋" w:eastAsia="仿宋_GB2312" w:cs="微软雅黑"/>
          <w:color w:val="auto"/>
          <w:highlight w:val="none"/>
          <w:lang w:val="zh-CN"/>
        </w:rPr>
        <w:t>2</w:t>
      </w:r>
      <w:r>
        <w:rPr>
          <w:rFonts w:hint="eastAsia" w:ascii="仿宋_GB2312" w:hAnsi="仿宋" w:eastAsia="仿宋_GB2312"/>
          <w:color w:val="auto"/>
          <w:highlight w:val="none"/>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olor w:val="auto"/>
          <w:highlight w:val="none"/>
        </w:rPr>
        <w:t>4.3.3供应</w:t>
      </w:r>
      <w:r>
        <w:rPr>
          <w:rFonts w:hint="eastAsia" w:ascii="仿宋_GB2312" w:hAnsi="仿宋" w:eastAsia="仿宋_GB2312"/>
          <w:color w:val="auto"/>
          <w:highlight w:val="none"/>
        </w:rPr>
        <w:t>商投诉应当有明确的请求和必要的证明材料。</w:t>
      </w:r>
    </w:p>
    <w:p>
      <w:pPr>
        <w:pStyle w:val="886"/>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ascii="仿宋_GB2312" w:hAnsi="仿宋" w:eastAsia="仿宋_GB2312"/>
          <w:color w:val="auto"/>
          <w:highlight w:val="none"/>
        </w:rPr>
        <w:t xml:space="preserve">4.3.5 </w:t>
      </w:r>
      <w:r>
        <w:rPr>
          <w:rFonts w:hint="eastAsia" w:ascii="仿宋_GB2312" w:hAnsi="仿宋" w:eastAsia="仿宋_GB2312"/>
          <w:color w:val="auto"/>
          <w:highlight w:val="none"/>
        </w:rPr>
        <w:t>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rFonts w:ascii="仿宋_GB2312" w:hAnsi="仿宋" w:eastAsia="仿宋_GB2312"/>
          <w:color w:val="auto"/>
          <w:highlight w:val="none"/>
        </w:rPr>
      </w:pPr>
      <w:r>
        <w:rPr>
          <w:rFonts w:hint="eastAsia" w:ascii="仿宋_GB2312" w:hAnsi="仿宋" w:eastAsia="仿宋_GB2312"/>
          <w:color w:val="auto"/>
          <w:highlight w:val="none"/>
        </w:rPr>
        <w:t>投诉书范本及制作说明详见附件</w:t>
      </w:r>
      <w:r>
        <w:rPr>
          <w:rFonts w:ascii="仿宋_GB2312" w:hAnsi="仿宋" w:eastAsia="仿宋_GB2312"/>
          <w:color w:val="auto"/>
          <w:highlight w:val="none"/>
        </w:rPr>
        <w:t>3。</w:t>
      </w:r>
    </w:p>
    <w:p>
      <w:pPr>
        <w:pStyle w:val="129"/>
        <w:snapToGrid w:val="0"/>
        <w:spacing w:before="0"/>
        <w:ind w:firstLine="360"/>
        <w:rPr>
          <w:rFonts w:ascii="仿宋_GB2312" w:hAnsi="仿宋" w:eastAsia="仿宋_GB2312" w:cs="仿宋_GB2312"/>
          <w:color w:val="auto"/>
          <w:sz w:val="18"/>
          <w:szCs w:val="18"/>
          <w:highlight w:val="none"/>
        </w:rPr>
      </w:pPr>
    </w:p>
    <w:p>
      <w:pPr>
        <w:adjustRightInd/>
        <w:spacing w:line="360" w:lineRule="auto"/>
        <w:jc w:val="center"/>
        <w:outlineLvl w:val="0"/>
        <w:rPr>
          <w:rFonts w:ascii="仿宋_GB2312" w:hAnsi="仿宋" w:eastAsia="仿宋_GB2312" w:cs="仿宋_GB2312"/>
          <w:b/>
          <w:color w:val="auto"/>
          <w:sz w:val="32"/>
          <w:szCs w:val="20"/>
          <w:highlight w:val="none"/>
        </w:rPr>
      </w:pPr>
      <w:r>
        <w:rPr>
          <w:rFonts w:ascii="仿宋_GB2312" w:hAnsi="仿宋" w:eastAsia="仿宋_GB2312" w:cs="仿宋_GB2312"/>
          <w:b/>
          <w:color w:val="auto"/>
          <w:sz w:val="32"/>
          <w:szCs w:val="20"/>
          <w:highlight w:val="none"/>
        </w:rPr>
        <w:t xml:space="preserve">      二、招标文件的构成、澄清、修改</w:t>
      </w:r>
    </w:p>
    <w:p>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5．招标文件的构成</w:t>
      </w:r>
    </w:p>
    <w:p>
      <w:pPr>
        <w:pStyle w:val="35"/>
        <w:spacing w:line="360" w:lineRule="auto"/>
        <w:ind w:firstLine="480" w:firstLineChars="2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 xml:space="preserve">5.1 </w:t>
      </w:r>
      <w:r>
        <w:rPr>
          <w:rFonts w:hint="eastAsia" w:ascii="仿宋_GB2312" w:hAnsi="仿宋" w:eastAsia="仿宋_GB2312" w:cs="仿宋_GB2312"/>
          <w:color w:val="auto"/>
          <w:sz w:val="24"/>
          <w:szCs w:val="24"/>
          <w:highlight w:val="none"/>
        </w:rPr>
        <w:t>招标文件包括下列文件及附件：</w:t>
      </w:r>
    </w:p>
    <w:p>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5.1.1招标公告；</w:t>
      </w:r>
    </w:p>
    <w:p>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5.1.2投标人须知；</w:t>
      </w:r>
    </w:p>
    <w:p>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5.1.3采购需求；</w:t>
      </w:r>
    </w:p>
    <w:p>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5.1.4评标</w:t>
      </w:r>
      <w:r>
        <w:rPr>
          <w:rFonts w:hint="eastAsia" w:ascii="仿宋_GB2312" w:hAnsi="仿宋" w:eastAsia="仿宋_GB2312" w:cs="仿宋_GB2312"/>
          <w:color w:val="auto"/>
          <w:sz w:val="24"/>
          <w:szCs w:val="24"/>
          <w:highlight w:val="none"/>
        </w:rPr>
        <w:t>办</w:t>
      </w:r>
      <w:r>
        <w:rPr>
          <w:rFonts w:ascii="仿宋_GB2312" w:hAnsi="仿宋" w:eastAsia="仿宋_GB2312" w:cs="仿宋_GB2312"/>
          <w:color w:val="auto"/>
          <w:sz w:val="24"/>
          <w:szCs w:val="24"/>
          <w:highlight w:val="none"/>
        </w:rPr>
        <w:t>法；</w:t>
      </w:r>
    </w:p>
    <w:p>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5.1.5</w:t>
      </w:r>
      <w:r>
        <w:rPr>
          <w:rFonts w:hint="eastAsia" w:ascii="仿宋_GB2312" w:hAnsi="仿宋" w:eastAsia="仿宋_GB2312" w:cs="仿宋_GB2312"/>
          <w:color w:val="auto"/>
          <w:sz w:val="24"/>
          <w:szCs w:val="24"/>
          <w:highlight w:val="none"/>
        </w:rPr>
        <w:t>拟签订的合同文本；</w:t>
      </w:r>
    </w:p>
    <w:p>
      <w:pPr>
        <w:pStyle w:val="35"/>
        <w:tabs>
          <w:tab w:val="left" w:pos="840"/>
        </w:tabs>
        <w:spacing w:line="360" w:lineRule="auto"/>
        <w:ind w:firstLine="960" w:firstLineChars="400"/>
        <w:rPr>
          <w:rFonts w:ascii="仿宋_GB2312" w:hAnsi="仿宋" w:eastAsia="仿宋_GB2312" w:cs="仿宋_GB2312"/>
          <w:color w:val="auto"/>
          <w:sz w:val="24"/>
          <w:szCs w:val="24"/>
          <w:highlight w:val="none"/>
        </w:rPr>
      </w:pPr>
      <w:r>
        <w:rPr>
          <w:rFonts w:ascii="仿宋_GB2312" w:hAnsi="仿宋" w:eastAsia="仿宋_GB2312" w:cs="仿宋_GB2312"/>
          <w:color w:val="auto"/>
          <w:sz w:val="24"/>
          <w:highlight w:val="none"/>
        </w:rPr>
        <w:t>5.1.6</w:t>
      </w:r>
      <w:r>
        <w:rPr>
          <w:rFonts w:hint="eastAsia" w:ascii="仿宋_GB2312" w:hAnsi="仿宋" w:eastAsia="仿宋_GB2312" w:cs="仿宋_GB2312"/>
          <w:color w:val="auto"/>
          <w:sz w:val="24"/>
          <w:szCs w:val="24"/>
          <w:highlight w:val="none"/>
        </w:rPr>
        <w:t>应提交的有关格式范例。</w:t>
      </w:r>
    </w:p>
    <w:p>
      <w:pPr>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olor w:val="auto"/>
          <w:sz w:val="24"/>
          <w:highlight w:val="none"/>
        </w:rPr>
        <w:t>5.2与本项目有关的</w:t>
      </w:r>
      <w:r>
        <w:rPr>
          <w:rFonts w:hint="eastAsia" w:ascii="仿宋_GB2312" w:hAnsi="仿宋" w:eastAsia="仿宋_GB2312"/>
          <w:bCs/>
          <w:color w:val="auto"/>
          <w:sz w:val="24"/>
          <w:highlight w:val="none"/>
        </w:rPr>
        <w:t>澄清或者修改的内容为招标文件的组成部分</w:t>
      </w:r>
      <w:r>
        <w:rPr>
          <w:rFonts w:hint="eastAsia" w:ascii="仿宋_GB2312" w:hAnsi="仿宋" w:eastAsia="仿宋_GB2312" w:cs="仿宋_GB2312"/>
          <w:color w:val="auto"/>
          <w:sz w:val="24"/>
          <w:highlight w:val="none"/>
        </w:rPr>
        <w:t>。</w:t>
      </w:r>
    </w:p>
    <w:p>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 xml:space="preserve">6. </w:t>
      </w:r>
      <w:r>
        <w:rPr>
          <w:rFonts w:hint="eastAsia" w:ascii="仿宋_GB2312" w:hAnsi="仿宋" w:eastAsia="仿宋_GB2312" w:cs="仿宋_GB2312"/>
          <w:b/>
          <w:color w:val="auto"/>
          <w:sz w:val="24"/>
          <w:szCs w:val="24"/>
          <w:highlight w:val="none"/>
        </w:rPr>
        <w:t>招标文件的澄清、修改</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6.1已获取招标文件的潜在投标人，若有问题需要澄清，应于投标截止时间前，以书面形式向采购机构提出。</w:t>
      </w:r>
    </w:p>
    <w:p>
      <w:pPr>
        <w:pStyle w:val="129"/>
        <w:snapToGrid w:val="0"/>
        <w:spacing w:before="0"/>
        <w:ind w:firstLine="480"/>
        <w:rPr>
          <w:rFonts w:ascii="仿宋_GB2312" w:hAnsi="仿宋" w:eastAsia="仿宋_GB2312"/>
          <w:color w:val="auto"/>
          <w:highlight w:val="none"/>
        </w:rPr>
      </w:pPr>
      <w:r>
        <w:rPr>
          <w:rFonts w:ascii="仿宋_GB2312" w:hAnsi="仿宋" w:eastAsia="仿宋_GB2312"/>
          <w:color w:val="auto"/>
          <w:highlight w:val="none"/>
        </w:rPr>
        <w:t xml:space="preserve">6.2 </w:t>
      </w:r>
      <w:r>
        <w:rPr>
          <w:rFonts w:hint="eastAsia" w:ascii="仿宋_GB2312" w:hAnsi="仿宋" w:eastAsia="仿宋_GB2312"/>
          <w:color w:val="auto"/>
          <w:highlight w:val="none"/>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rPr>
          <w:rFonts w:ascii="仿宋_GB2312" w:hAnsi="仿宋" w:eastAsia="仿宋_GB2312" w:cs="仿宋_GB2312"/>
          <w:color w:val="auto"/>
          <w:sz w:val="18"/>
          <w:szCs w:val="18"/>
          <w:highlight w:val="none"/>
          <w:lang w:val="en-US"/>
        </w:rPr>
      </w:pPr>
      <w:r>
        <w:rPr>
          <w:rFonts w:ascii="仿宋_GB2312" w:hAnsi="仿宋" w:eastAsia="仿宋_GB2312" w:cs="仿宋_GB2312"/>
          <w:color w:val="auto"/>
          <w:szCs w:val="24"/>
          <w:highlight w:val="none"/>
          <w:lang w:val="en-US"/>
        </w:rPr>
        <w:t xml:space="preserve">    </w:t>
      </w:r>
    </w:p>
    <w:p>
      <w:pPr>
        <w:adjustRightInd/>
        <w:spacing w:line="360" w:lineRule="auto"/>
        <w:jc w:val="center"/>
        <w:outlineLvl w:val="0"/>
        <w:rPr>
          <w:rFonts w:ascii="仿宋_GB2312" w:hAnsi="仿宋" w:eastAsia="仿宋_GB2312" w:cs="仿宋_GB2312"/>
          <w:b/>
          <w:color w:val="auto"/>
          <w:sz w:val="30"/>
          <w:szCs w:val="20"/>
          <w:highlight w:val="none"/>
        </w:rPr>
      </w:pPr>
      <w:r>
        <w:rPr>
          <w:rFonts w:hint="eastAsia" w:ascii="仿宋_GB2312" w:hAnsi="仿宋" w:eastAsia="仿宋_GB2312" w:cs="仿宋_GB2312"/>
          <w:b/>
          <w:color w:val="auto"/>
          <w:sz w:val="30"/>
          <w:szCs w:val="20"/>
          <w:highlight w:val="none"/>
        </w:rPr>
        <w:t>三、投标</w:t>
      </w:r>
    </w:p>
    <w:p>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 xml:space="preserve">7. </w:t>
      </w:r>
      <w:r>
        <w:rPr>
          <w:rFonts w:hint="eastAsia" w:ascii="仿宋_GB2312" w:hAnsi="仿宋" w:eastAsia="仿宋_GB2312" w:cs="仿宋_GB2312"/>
          <w:b/>
          <w:color w:val="auto"/>
          <w:sz w:val="24"/>
          <w:szCs w:val="24"/>
          <w:highlight w:val="none"/>
        </w:rPr>
        <w:t>招标文件的获取</w:t>
      </w:r>
    </w:p>
    <w:p>
      <w:pPr>
        <w:spacing w:line="360" w:lineRule="auto"/>
        <w:ind w:firstLine="480" w:firstLineChars="200"/>
        <w:rPr>
          <w:rFonts w:ascii="仿宋_GB2312" w:hAnsi="仿宋" w:eastAsia="仿宋_GB2312" w:cs="仿宋_GB2312"/>
          <w:snapToGrid w:val="0"/>
          <w:color w:val="auto"/>
          <w:kern w:val="28"/>
          <w:sz w:val="24"/>
          <w:highlight w:val="none"/>
        </w:rPr>
      </w:pPr>
      <w:r>
        <w:rPr>
          <w:rFonts w:hint="eastAsia" w:ascii="仿宋_GB2312" w:hAnsi="仿宋" w:eastAsia="仿宋_GB2312" w:cs="仿宋_GB2312"/>
          <w:snapToGrid w:val="0"/>
          <w:color w:val="auto"/>
          <w:kern w:val="28"/>
          <w:sz w:val="24"/>
          <w:highlight w:val="none"/>
        </w:rPr>
        <w:t>详见招标公告中获取招标文件的时间期限、地点、方式及招标文件售价。</w:t>
      </w:r>
    </w:p>
    <w:p>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8.开标前答疑会或现场考察</w:t>
      </w:r>
    </w:p>
    <w:p>
      <w:pPr>
        <w:pStyle w:val="35"/>
        <w:spacing w:line="360" w:lineRule="auto"/>
        <w:ind w:firstLine="480" w:firstLineChars="200"/>
        <w:rPr>
          <w:rFonts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采购人组织潜在投标人现场考察或者召开开标前答疑会的，潜在投标人按第二部分投标人须知前附表的规定参加现场考察或者开标前答疑会。</w:t>
      </w:r>
    </w:p>
    <w:p>
      <w:pPr>
        <w:pStyle w:val="35"/>
        <w:spacing w:line="360" w:lineRule="auto"/>
        <w:rPr>
          <w:rFonts w:ascii="仿宋_GB2312" w:hAnsi="仿宋" w:eastAsia="仿宋_GB2312" w:cs="仿宋_GB2312"/>
          <w:b/>
          <w:color w:val="auto"/>
          <w:szCs w:val="24"/>
          <w:highlight w:val="none"/>
        </w:rPr>
      </w:pPr>
      <w:r>
        <w:rPr>
          <w:rFonts w:ascii="仿宋_GB2312" w:hAnsi="仿宋" w:eastAsia="仿宋_GB2312"/>
          <w:b/>
          <w:color w:val="auto"/>
          <w:kern w:val="28"/>
          <w:sz w:val="24"/>
          <w:szCs w:val="24"/>
          <w:highlight w:val="none"/>
        </w:rPr>
        <w:t>9.投标保证金</w:t>
      </w:r>
    </w:p>
    <w:p>
      <w:pPr>
        <w:pStyle w:val="18"/>
        <w:spacing w:line="360" w:lineRule="auto"/>
        <w:ind w:firstLine="470" w:firstLineChars="196"/>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本项目不需缴纳投标保证金。</w:t>
      </w:r>
    </w:p>
    <w:p>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 xml:space="preserve">10. </w:t>
      </w:r>
      <w:r>
        <w:rPr>
          <w:rFonts w:hint="eastAsia" w:ascii="仿宋_GB2312" w:hAnsi="仿宋" w:eastAsia="仿宋_GB2312" w:cs="仿宋_GB2312"/>
          <w:b/>
          <w:color w:val="auto"/>
          <w:sz w:val="24"/>
          <w:szCs w:val="24"/>
          <w:highlight w:val="none"/>
        </w:rPr>
        <w:t>投标文件的语言</w:t>
      </w:r>
    </w:p>
    <w:p>
      <w:pPr>
        <w:autoSpaceDE w:val="0"/>
        <w:autoSpaceDN w:val="0"/>
        <w:spacing w:line="360" w:lineRule="auto"/>
        <w:ind w:firstLine="480" w:firstLineChars="200"/>
        <w:rPr>
          <w:rFonts w:ascii="仿宋_GB2312" w:hAnsi="仿宋" w:eastAsia="仿宋_GB2312" w:cs="仿宋_GB2312"/>
          <w:color w:val="auto"/>
          <w:sz w:val="24"/>
          <w:highlight w:val="none"/>
          <w:lang w:val="zh-CN"/>
        </w:rPr>
      </w:pPr>
      <w:r>
        <w:rPr>
          <w:rFonts w:hint="eastAsia" w:ascii="仿宋_GB2312" w:hAnsi="仿宋" w:eastAsia="仿宋_GB2312" w:cs="仿宋_GB2312"/>
          <w:color w:val="auto"/>
          <w:sz w:val="24"/>
          <w:highlight w:val="none"/>
        </w:rPr>
        <w:t>投标文件及投标人与采购有关的来往通知、函件和文件均应使用中文。</w:t>
      </w:r>
    </w:p>
    <w:p>
      <w:pPr>
        <w:pStyle w:val="35"/>
        <w:spacing w:line="360" w:lineRule="auto"/>
        <w:rPr>
          <w:rFonts w:ascii="仿宋_GB2312" w:hAnsi="仿宋" w:eastAsia="仿宋_GB2312" w:cs="仿宋_GB2312"/>
          <w:b/>
          <w:color w:val="auto"/>
          <w:sz w:val="24"/>
          <w:szCs w:val="24"/>
          <w:highlight w:val="none"/>
        </w:rPr>
      </w:pPr>
      <w:r>
        <w:rPr>
          <w:rFonts w:ascii="仿宋_GB2312" w:hAnsi="仿宋" w:eastAsia="仿宋_GB2312" w:cs="仿宋_GB2312"/>
          <w:b/>
          <w:color w:val="auto"/>
          <w:sz w:val="24"/>
          <w:szCs w:val="24"/>
          <w:highlight w:val="none"/>
        </w:rPr>
        <w:t xml:space="preserve">11. </w:t>
      </w:r>
      <w:r>
        <w:rPr>
          <w:rFonts w:hint="eastAsia" w:ascii="仿宋_GB2312" w:hAnsi="仿宋" w:eastAsia="仿宋_GB2312" w:cs="仿宋_GB2312"/>
          <w:b/>
          <w:color w:val="auto"/>
          <w:sz w:val="24"/>
          <w:szCs w:val="24"/>
          <w:highlight w:val="none"/>
        </w:rPr>
        <w:t>投标文件的组成</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w:t>
      </w:r>
      <w:r>
        <w:rPr>
          <w:rFonts w:hint="eastAsia" w:ascii="仿宋_GB2312" w:hAnsi="仿宋" w:eastAsia="仿宋_GB2312" w:cs="仿宋_GB2312"/>
          <w:b/>
          <w:color w:val="auto"/>
          <w:sz w:val="24"/>
          <w:highlight w:val="none"/>
        </w:rPr>
        <w:t>资格文件</w:t>
      </w:r>
      <w:r>
        <w:rPr>
          <w:rFonts w:hint="eastAsia" w:ascii="仿宋_GB2312" w:hAnsi="仿宋" w:eastAsia="仿宋_GB2312" w:cs="仿宋_GB2312"/>
          <w:color w:val="auto"/>
          <w:sz w:val="24"/>
          <w:highlight w:val="none"/>
        </w:rPr>
        <w:t>：</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11.1.1符合参加政府采购活动应当具备的一般条件的承诺函；</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11.1.2落实政府采购政策需满足的资格要求；</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11.1.3本项目的特定资格要求。</w:t>
      </w:r>
    </w:p>
    <w:p>
      <w:pPr>
        <w:snapToGrid w:val="0"/>
        <w:spacing w:line="360" w:lineRule="auto"/>
        <w:ind w:firstLine="480" w:firstLineChars="2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lang w:val="zh-CN"/>
        </w:rPr>
        <w:t>11.</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 xml:space="preserve"> </w:t>
      </w:r>
      <w:r>
        <w:rPr>
          <w:rFonts w:hint="eastAsia" w:ascii="仿宋_GB2312" w:hAnsi="仿宋" w:eastAsia="仿宋_GB2312" w:cs="仿宋_GB2312"/>
          <w:b/>
          <w:bCs/>
          <w:color w:val="auto"/>
          <w:sz w:val="24"/>
          <w:highlight w:val="none"/>
        </w:rPr>
        <w:t>商务技术</w:t>
      </w:r>
      <w:r>
        <w:rPr>
          <w:rFonts w:hint="eastAsia" w:ascii="仿宋_GB2312" w:hAnsi="仿宋" w:eastAsia="仿宋_GB2312" w:cs="仿宋_GB2312"/>
          <w:b/>
          <w:bCs/>
          <w:color w:val="auto"/>
          <w:sz w:val="24"/>
          <w:highlight w:val="none"/>
          <w:lang w:val="zh-CN"/>
        </w:rPr>
        <w:t>文件：</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11.2.1投标函；</w:t>
      </w:r>
      <w:r>
        <w:rPr>
          <w:rFonts w:ascii="仿宋_GB2312" w:hAnsi="仿宋" w:eastAsia="仿宋_GB2312" w:cs="仿宋_GB2312"/>
          <w:color w:val="auto"/>
          <w:sz w:val="24"/>
          <w:highlight w:val="none"/>
          <w:lang w:val="zh-CN"/>
        </w:rPr>
        <w:t xml:space="preserve"> </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11.2.2授权委托书或法定代表人（单位负责人、自然人本人）身份证明；</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11.2.3联合协议；</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11.2.4分包意向协议；</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11.2.5符合性审查资料；</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11.2.6评标标准相应的商务技术资料；</w:t>
      </w:r>
    </w:p>
    <w:p>
      <w:pPr>
        <w:snapToGrid w:val="0"/>
        <w:spacing w:line="360" w:lineRule="auto"/>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lang w:val="en-US" w:eastAsia="zh-CN"/>
        </w:rPr>
        <w:t>如果本项目涉及硬件设备采购，还需提供投标产品规格配置清单（设备名称、品牌及型号、规格配置详细说明、数量等）。所有技术指标表述均应采用中文，如当前公布的技术指标只有英文表述的，必须由投标人作出中文注释（评审时以中文注释为准）。否则任何含糊不清的表述导致评标委员会技术扣分直至认定为投标无效都将是投标人的责任。</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11.2.7商务技术偏离表；</w:t>
      </w:r>
    </w:p>
    <w:p>
      <w:pPr>
        <w:snapToGrid w:val="0"/>
        <w:spacing w:line="360" w:lineRule="auto"/>
        <w:ind w:firstLine="960" w:firstLineChars="4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lang w:val="zh-CN"/>
        </w:rPr>
        <w:t>11.</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8</w:t>
      </w:r>
      <w:r>
        <w:rPr>
          <w:rFonts w:hint="eastAsia" w:ascii="仿宋_GB2312" w:hAnsi="仿宋" w:eastAsia="仿宋_GB2312" w:cs="仿宋_GB2312"/>
          <w:color w:val="auto"/>
          <w:sz w:val="24"/>
          <w:highlight w:val="none"/>
          <w:lang w:val="zh-CN"/>
        </w:rPr>
        <w:t>政府采购供应商廉洁自律承诺书；</w:t>
      </w:r>
    </w:p>
    <w:p>
      <w:pPr>
        <w:snapToGrid w:val="0"/>
        <w:spacing w:line="360" w:lineRule="auto"/>
        <w:ind w:firstLine="480" w:firstLineChars="200"/>
        <w:rPr>
          <w:rFonts w:ascii="仿宋_GB2312" w:hAnsi="仿宋" w:eastAsia="仿宋_GB2312" w:cs="仿宋_GB2312"/>
          <w:color w:val="auto"/>
          <w:sz w:val="24"/>
          <w:highlight w:val="none"/>
          <w:u w:val="single"/>
          <w:lang w:val="zh-CN"/>
        </w:rPr>
      </w:pPr>
      <w:r>
        <w:rPr>
          <w:rFonts w:ascii="仿宋_GB2312" w:hAnsi="仿宋" w:eastAsia="仿宋_GB2312" w:cs="仿宋_GB2312"/>
          <w:color w:val="auto"/>
          <w:kern w:val="0"/>
          <w:sz w:val="24"/>
          <w:highlight w:val="none"/>
          <w:lang w:val="zh-CN"/>
        </w:rPr>
        <w:t>11.</w:t>
      </w:r>
      <w:r>
        <w:rPr>
          <w:rFonts w:ascii="仿宋_GB2312" w:hAnsi="仿宋" w:eastAsia="仿宋_GB2312" w:cs="仿宋_GB2312"/>
          <w:color w:val="auto"/>
          <w:kern w:val="0"/>
          <w:sz w:val="24"/>
          <w:highlight w:val="none"/>
        </w:rPr>
        <w:t>3</w:t>
      </w:r>
      <w:r>
        <w:rPr>
          <w:rFonts w:hint="eastAsia" w:ascii="仿宋_GB2312" w:hAnsi="仿宋" w:eastAsia="仿宋_GB2312" w:cs="仿宋_GB2312"/>
          <w:b/>
          <w:color w:val="auto"/>
          <w:sz w:val="24"/>
          <w:highlight w:val="none"/>
        </w:rPr>
        <w:t>报价文件：</w:t>
      </w:r>
      <w:r>
        <w:rPr>
          <w:rFonts w:ascii="仿宋_GB2312" w:hAnsi="仿宋" w:eastAsia="仿宋_GB2312" w:cs="仿宋_GB2312"/>
          <w:color w:val="auto"/>
          <w:sz w:val="24"/>
          <w:highlight w:val="none"/>
        </w:rPr>
        <w:t xml:space="preserve"> </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11.3.1</w:t>
      </w:r>
      <w:r>
        <w:rPr>
          <w:rFonts w:hint="eastAsia" w:ascii="仿宋_GB2312" w:hAnsi="仿宋" w:eastAsia="仿宋_GB2312" w:cs="仿宋_GB2312"/>
          <w:color w:val="auto"/>
          <w:sz w:val="24"/>
          <w:highlight w:val="none"/>
          <w:lang w:eastAsia="zh-CN"/>
        </w:rPr>
        <w:t>投标报价明细表</w:t>
      </w:r>
      <w:r>
        <w:rPr>
          <w:rFonts w:ascii="仿宋_GB2312" w:hAnsi="仿宋" w:eastAsia="仿宋_GB2312" w:cs="仿宋_GB2312"/>
          <w:color w:val="auto"/>
          <w:sz w:val="24"/>
          <w:highlight w:val="none"/>
        </w:rPr>
        <w:t>；</w:t>
      </w:r>
    </w:p>
    <w:p>
      <w:pPr>
        <w:snapToGrid w:val="0"/>
        <w:spacing w:line="360" w:lineRule="auto"/>
        <w:ind w:firstLine="960" w:firstLineChars="4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11.3.2中小企业声明函。</w:t>
      </w:r>
    </w:p>
    <w:p>
      <w:pPr>
        <w:spacing w:line="360" w:lineRule="auto"/>
        <w:ind w:firstLine="723" w:firstLineChars="300"/>
        <w:rPr>
          <w:rFonts w:ascii="仿宋_GB2312" w:hAnsi="仿宋" w:eastAsia="仿宋_GB2312"/>
          <w:b/>
          <w:color w:val="auto"/>
          <w:sz w:val="24"/>
          <w:highlight w:val="none"/>
        </w:rPr>
      </w:pPr>
      <w:r>
        <w:rPr>
          <w:rFonts w:hint="eastAsia" w:ascii="仿宋_GB2312" w:hAnsi="仿宋" w:eastAsia="仿宋_GB2312"/>
          <w:b/>
          <w:color w:val="auto"/>
          <w:sz w:val="24"/>
          <w:highlight w:val="none"/>
        </w:rPr>
        <w:t>投标文件含有采购人不能接受的附加条件的，投标无效；</w:t>
      </w:r>
    </w:p>
    <w:p>
      <w:pPr>
        <w:spacing w:line="360" w:lineRule="auto"/>
        <w:ind w:firstLine="723" w:firstLineChars="300"/>
        <w:rPr>
          <w:rFonts w:ascii="仿宋_GB2312" w:hAnsi="仿宋" w:eastAsia="仿宋_GB2312" w:cs="仿宋_GB2312"/>
          <w:b/>
          <w:color w:val="auto"/>
          <w:sz w:val="24"/>
          <w:szCs w:val="21"/>
          <w:highlight w:val="none"/>
        </w:rPr>
      </w:pPr>
      <w:r>
        <w:rPr>
          <w:rFonts w:hint="eastAsia" w:ascii="仿宋_GB2312" w:hAnsi="仿宋" w:eastAsia="仿宋_GB2312"/>
          <w:b/>
          <w:color w:val="auto"/>
          <w:sz w:val="24"/>
          <w:highlight w:val="none"/>
        </w:rPr>
        <w:t>投标人提供虚假材料投标的，投标无效。</w:t>
      </w:r>
    </w:p>
    <w:p>
      <w:pPr>
        <w:pStyle w:val="129"/>
        <w:snapToGrid w:val="0"/>
        <w:spacing w:before="0"/>
        <w:ind w:firstLine="0" w:firstLineChars="0"/>
        <w:outlineLvl w:val="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12</w:t>
      </w:r>
      <w:r>
        <w:rPr>
          <w:rFonts w:ascii="仿宋_GB2312" w:hAnsi="仿宋" w:eastAsia="仿宋_GB2312" w:cs="仿宋_GB2312"/>
          <w:b/>
          <w:color w:val="auto"/>
          <w:kern w:val="0"/>
          <w:szCs w:val="24"/>
          <w:highlight w:val="none"/>
          <w:lang w:val="zh-CN"/>
        </w:rPr>
        <w:t xml:space="preserve">. </w:t>
      </w:r>
      <w:r>
        <w:rPr>
          <w:rFonts w:hint="eastAsia" w:ascii="仿宋_GB2312" w:hAnsi="仿宋" w:eastAsia="仿宋_GB2312" w:cs="仿宋_GB2312"/>
          <w:b/>
          <w:color w:val="auto"/>
          <w:szCs w:val="24"/>
          <w:highlight w:val="none"/>
        </w:rPr>
        <w:t>投标文件的编制</w:t>
      </w:r>
    </w:p>
    <w:p>
      <w:pPr>
        <w:spacing w:line="360" w:lineRule="auto"/>
        <w:ind w:firstLine="480" w:firstLineChars="200"/>
        <w:rPr>
          <w:rFonts w:ascii="仿宋_GB2312" w:hAnsi="仿宋" w:eastAsia="仿宋_GB2312" w:cs="仿宋_GB2312"/>
          <w:b/>
          <w:color w:val="auto"/>
          <w:sz w:val="24"/>
          <w:highlight w:val="none"/>
        </w:rPr>
      </w:pPr>
      <w:r>
        <w:rPr>
          <w:rFonts w:ascii="仿宋_GB2312" w:hAnsi="仿宋" w:eastAsia="仿宋_GB2312" w:cs="仿宋_GB2312"/>
          <w:color w:val="auto"/>
          <w:kern w:val="0"/>
          <w:sz w:val="24"/>
          <w:highlight w:val="none"/>
          <w:lang w:val="zh-CN"/>
        </w:rPr>
        <w:t>12.1投标文件分为资格文件、商务技术文件、报价文件三部分。各投标人在编制投标文件时请按照招标文件第六部</w:t>
      </w:r>
      <w:r>
        <w:rPr>
          <w:rFonts w:hint="eastAsia" w:ascii="仿宋_GB2312" w:hAnsi="仿宋" w:eastAsia="仿宋_GB2312" w:cs="仿宋_GB2312"/>
          <w:color w:val="auto"/>
          <w:kern w:val="0"/>
          <w:sz w:val="24"/>
          <w:highlight w:val="none"/>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12.2投标人进行电子投标应安装客户端软件—“政</w:t>
      </w:r>
      <w:r>
        <w:rPr>
          <w:rFonts w:hint="eastAsia" w:ascii="仿宋_GB2312" w:hAnsi="仿宋" w:eastAsia="仿宋_GB2312" w:cs="仿宋_GB2312"/>
          <w:color w:val="auto"/>
          <w:kern w:val="0"/>
          <w:sz w:val="24"/>
          <w:highlight w:val="none"/>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12.3使用“政</w:t>
      </w:r>
      <w:r>
        <w:rPr>
          <w:rFonts w:hint="eastAsia" w:ascii="仿宋_GB2312" w:hAnsi="仿宋" w:eastAsia="仿宋_GB2312" w:cs="仿宋_GB2312"/>
          <w:color w:val="auto"/>
          <w:kern w:val="0"/>
          <w:sz w:val="24"/>
          <w:highlight w:val="none"/>
          <w:lang w:val="zh-CN"/>
        </w:rPr>
        <w:t>采云电子交易客户端”需要提前申领</w:t>
      </w:r>
      <w:r>
        <w:rPr>
          <w:rFonts w:ascii="仿宋_GB2312" w:hAnsi="仿宋" w:eastAsia="仿宋_GB2312" w:cs="仿宋_GB2312"/>
          <w:color w:val="auto"/>
          <w:kern w:val="0"/>
          <w:sz w:val="24"/>
          <w:highlight w:val="none"/>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color w:val="auto"/>
          <w:sz w:val="24"/>
          <w:highlight w:val="none"/>
        </w:rPr>
      </w:pPr>
      <w:r>
        <w:rPr>
          <w:rFonts w:ascii="仿宋_GB2312" w:hAnsi="仿宋" w:eastAsia="仿宋_GB2312"/>
          <w:b/>
          <w:color w:val="auto"/>
          <w:sz w:val="24"/>
          <w:highlight w:val="none"/>
        </w:rPr>
        <w:t>13.投标文件的签署、盖章</w:t>
      </w:r>
    </w:p>
    <w:p>
      <w:pPr>
        <w:pStyle w:val="129"/>
        <w:snapToGrid w:val="0"/>
        <w:spacing w:before="0"/>
        <w:ind w:firstLine="480"/>
        <w:rPr>
          <w:rFonts w:ascii="仿宋_GB2312" w:hAnsi="仿宋" w:eastAsia="仿宋_GB2312" w:cs="仿宋_GB2312"/>
          <w:b/>
          <w:color w:val="auto"/>
          <w:highlight w:val="none"/>
        </w:rPr>
      </w:pPr>
      <w:r>
        <w:rPr>
          <w:rFonts w:ascii="仿宋_GB2312" w:hAnsi="仿宋" w:eastAsia="仿宋_GB2312" w:cs="仿宋_GB2312"/>
          <w:color w:val="auto"/>
          <w:szCs w:val="24"/>
          <w:highlight w:val="none"/>
        </w:rPr>
        <w:t>13.1投标文件按照招标文件第六部分格式要</w:t>
      </w:r>
      <w:r>
        <w:rPr>
          <w:rFonts w:hint="eastAsia" w:ascii="仿宋_GB2312" w:hAnsi="仿宋" w:eastAsia="仿宋_GB2312" w:cs="仿宋_GB2312"/>
          <w:color w:val="auto"/>
          <w:highlight w:val="none"/>
        </w:rPr>
        <w:t>求进行签署、盖章。</w:t>
      </w:r>
      <w:r>
        <w:rPr>
          <w:rFonts w:hint="eastAsia" w:ascii="仿宋_GB2312" w:hAnsi="仿宋" w:eastAsia="仿宋_GB2312"/>
          <w:b/>
          <w:color w:val="auto"/>
          <w:highlight w:val="none"/>
        </w:rPr>
        <w:t>▲</w:t>
      </w:r>
      <w:r>
        <w:rPr>
          <w:rFonts w:hint="eastAsia" w:ascii="仿宋_GB2312" w:hAnsi="仿宋" w:eastAsia="仿宋_GB2312" w:cs="仿宋_GB2312"/>
          <w:b/>
          <w:color w:val="auto"/>
          <w:highlight w:val="none"/>
        </w:rPr>
        <w:t>投标人的投标文件未按照招标文件要求签署、盖章的，其投标无效</w:t>
      </w:r>
      <w:r>
        <w:rPr>
          <w:rFonts w:hint="eastAsia" w:ascii="仿宋_GB2312" w:hAnsi="仿宋" w:eastAsia="仿宋_GB2312" w:cs="仿宋_GB2312"/>
          <w:color w:val="auto"/>
          <w:szCs w:val="24"/>
          <w:highlight w:val="none"/>
        </w:rPr>
        <w:t>。</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仿宋_GB2312" w:hAnsi="仿宋" w:eastAsia="仿宋_GB2312" w:cs="仿宋_GB2312"/>
          <w:color w:val="auto"/>
          <w:szCs w:val="24"/>
          <w:highlight w:val="none"/>
        </w:rPr>
      </w:pPr>
      <w:r>
        <w:rPr>
          <w:rFonts w:ascii="仿宋_GB2312" w:hAnsi="仿宋" w:eastAsia="仿宋_GB2312" w:cs="仿宋_GB2312"/>
          <w:color w:val="auto"/>
          <w:highlight w:val="none"/>
        </w:rPr>
        <w:t>13.3招标文件对投标文件签署、盖章的要求适用于电子签名。</w:t>
      </w:r>
    </w:p>
    <w:p>
      <w:pPr>
        <w:pStyle w:val="129"/>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 xml:space="preserve">14. </w:t>
      </w:r>
      <w:r>
        <w:rPr>
          <w:rFonts w:hint="eastAsia" w:ascii="仿宋_GB2312" w:hAnsi="仿宋" w:eastAsia="仿宋_GB2312" w:cs="仿宋_GB2312"/>
          <w:b/>
          <w:color w:val="auto"/>
          <w:szCs w:val="24"/>
          <w:highlight w:val="none"/>
        </w:rPr>
        <w:t>投标文件的提交、补充、修改、撤回</w:t>
      </w:r>
    </w:p>
    <w:p>
      <w:pPr>
        <w:pStyle w:val="129"/>
        <w:ind w:firstLine="480"/>
        <w:rPr>
          <w:rFonts w:ascii="仿宋_GB2312" w:hAnsi="仿宋" w:eastAsia="仿宋_GB2312" w:cs="仿宋_GB2312"/>
          <w:color w:val="auto"/>
          <w:szCs w:val="24"/>
          <w:highlight w:val="none"/>
        </w:rPr>
      </w:pPr>
      <w:r>
        <w:rPr>
          <w:rFonts w:ascii="仿宋_GB2312" w:hAnsi="仿宋" w:eastAsia="仿宋_GB2312" w:cs="仿宋_GB2312"/>
          <w:color w:val="auto"/>
          <w:szCs w:val="24"/>
          <w:highlight w:val="none"/>
        </w:rPr>
        <w:t xml:space="preserve">14.1 </w:t>
      </w:r>
      <w:r>
        <w:rPr>
          <w:rFonts w:hint="eastAsia" w:ascii="仿宋_GB2312" w:hAnsi="仿宋" w:eastAsia="仿宋_GB2312" w:cs="仿宋_GB2312"/>
          <w:color w:val="auto"/>
          <w:szCs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仿宋_GB2312" w:hAnsi="仿宋" w:eastAsia="仿宋_GB2312" w:cs="仿宋_GB2312"/>
          <w:color w:val="auto"/>
          <w:szCs w:val="24"/>
          <w:highlight w:val="none"/>
        </w:rPr>
      </w:pPr>
      <w:r>
        <w:rPr>
          <w:rFonts w:ascii="仿宋_GB2312" w:hAnsi="仿宋" w:eastAsia="仿宋_GB2312" w:cs="仿宋_GB2312"/>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仿宋_GB2312" w:hAnsi="仿宋" w:eastAsia="仿宋_GB2312" w:cs="仿宋_GB2312"/>
          <w:color w:val="auto"/>
          <w:szCs w:val="24"/>
          <w:highlight w:val="none"/>
        </w:rPr>
      </w:pPr>
      <w:r>
        <w:rPr>
          <w:rFonts w:ascii="仿宋_GB2312" w:hAnsi="仿宋" w:eastAsia="仿宋_GB2312" w:cs="仿宋_GB2312"/>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129"/>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w:t>
      </w:r>
      <w:r>
        <w:rPr>
          <w:rFonts w:hint="eastAsia" w:ascii="仿宋_GB2312" w:hAnsi="仿宋" w:eastAsia="仿宋_GB2312" w:cs="仿宋_GB2312"/>
          <w:b/>
          <w:color w:val="auto"/>
          <w:szCs w:val="24"/>
          <w:highlight w:val="none"/>
          <w:lang w:val="en-US" w:eastAsia="zh-CN"/>
        </w:rPr>
        <w:t>5</w:t>
      </w:r>
      <w:r>
        <w:rPr>
          <w:rFonts w:ascii="仿宋_GB2312" w:hAnsi="仿宋" w:eastAsia="仿宋_GB2312" w:cs="仿宋_GB2312"/>
          <w:b/>
          <w:color w:val="auto"/>
          <w:szCs w:val="24"/>
          <w:highlight w:val="none"/>
        </w:rPr>
        <w:t>.投标文件的无效处理</w:t>
      </w:r>
    </w:p>
    <w:p>
      <w:pPr>
        <w:pStyle w:val="26"/>
        <w:spacing w:line="360" w:lineRule="auto"/>
        <w:ind w:firstLine="360" w:firstLineChars="150"/>
        <w:rPr>
          <w:rFonts w:ascii="仿宋_GB2312" w:hAnsi="仿宋" w:eastAsia="仿宋_GB2312" w:cs="仿宋_GB2312"/>
          <w:color w:val="auto"/>
          <w:szCs w:val="21"/>
          <w:highlight w:val="none"/>
        </w:rPr>
      </w:pPr>
      <w:r>
        <w:rPr>
          <w:rFonts w:hint="eastAsia" w:ascii="仿宋_GB2312" w:hAnsi="仿宋" w:eastAsia="仿宋_GB2312" w:cs="仿宋_GB2312"/>
          <w:color w:val="auto"/>
          <w:szCs w:val="21"/>
          <w:highlight w:val="none"/>
        </w:rPr>
        <w:t>有招标文件第四部分</w:t>
      </w:r>
      <w:r>
        <w:rPr>
          <w:rFonts w:hint="eastAsia" w:ascii="仿宋_GB2312" w:hAnsi="仿宋" w:eastAsia="仿宋_GB2312"/>
          <w:color w:val="auto"/>
          <w:highlight w:val="none"/>
        </w:rPr>
        <w:t>第</w:t>
      </w:r>
      <w:r>
        <w:rPr>
          <w:rFonts w:ascii="仿宋_GB2312" w:hAnsi="仿宋" w:eastAsia="仿宋_GB2312"/>
          <w:color w:val="auto"/>
          <w:highlight w:val="none"/>
        </w:rPr>
        <w:t>13项规定</w:t>
      </w:r>
      <w:r>
        <w:rPr>
          <w:rFonts w:hint="eastAsia" w:ascii="仿宋_GB2312" w:hAnsi="仿宋" w:eastAsia="仿宋_GB2312" w:cs="仿宋_GB2312"/>
          <w:color w:val="auto"/>
          <w:szCs w:val="21"/>
          <w:highlight w:val="none"/>
        </w:rPr>
        <w:t>的情形之一的，投标无效：</w:t>
      </w:r>
    </w:p>
    <w:p>
      <w:pPr>
        <w:pStyle w:val="129"/>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1</w:t>
      </w:r>
      <w:r>
        <w:rPr>
          <w:rFonts w:hint="eastAsia" w:ascii="仿宋_GB2312" w:hAnsi="仿宋" w:eastAsia="仿宋_GB2312" w:cs="仿宋_GB2312"/>
          <w:b/>
          <w:color w:val="auto"/>
          <w:szCs w:val="24"/>
          <w:highlight w:val="none"/>
          <w:lang w:val="en-US" w:eastAsia="zh-CN"/>
        </w:rPr>
        <w:t>6</w:t>
      </w:r>
      <w:r>
        <w:rPr>
          <w:rFonts w:ascii="仿宋_GB2312" w:hAnsi="仿宋" w:eastAsia="仿宋_GB2312" w:cs="仿宋_GB2312"/>
          <w:b/>
          <w:color w:val="auto"/>
          <w:szCs w:val="24"/>
          <w:highlight w:val="none"/>
        </w:rPr>
        <w:t>.投标有效期</w:t>
      </w:r>
    </w:p>
    <w:p>
      <w:pPr>
        <w:spacing w:line="360" w:lineRule="auto"/>
        <w:ind w:firstLine="480" w:firstLineChars="200"/>
        <w:rPr>
          <w:rFonts w:ascii="仿宋_GB2312" w:hAnsi="仿宋" w:eastAsia="仿宋_GB2312" w:cs="仿宋_GB2312"/>
          <w:b/>
          <w:color w:val="auto"/>
          <w:sz w:val="24"/>
          <w:szCs w:val="21"/>
          <w:highlight w:val="none"/>
        </w:rPr>
      </w:pPr>
      <w:r>
        <w:rPr>
          <w:rFonts w:ascii="仿宋_GB2312" w:hAnsi="仿宋" w:eastAsia="仿宋_GB2312" w:cs="仿宋_GB2312"/>
          <w:color w:val="auto"/>
          <w:sz w:val="24"/>
          <w:szCs w:val="20"/>
          <w:highlight w:val="none"/>
        </w:rPr>
        <w:t>1</w:t>
      </w:r>
      <w:r>
        <w:rPr>
          <w:rFonts w:hint="eastAsia" w:ascii="仿宋_GB2312" w:hAnsi="仿宋" w:eastAsia="仿宋_GB2312" w:cs="仿宋_GB2312"/>
          <w:color w:val="auto"/>
          <w:sz w:val="24"/>
          <w:szCs w:val="20"/>
          <w:highlight w:val="none"/>
          <w:lang w:val="en-US" w:eastAsia="zh-CN"/>
        </w:rPr>
        <w:t>6</w:t>
      </w:r>
      <w:r>
        <w:rPr>
          <w:rFonts w:ascii="仿宋_GB2312" w:hAnsi="仿宋" w:eastAsia="仿宋_GB2312" w:cs="仿宋_GB2312"/>
          <w:color w:val="auto"/>
          <w:sz w:val="24"/>
          <w:szCs w:val="20"/>
          <w:highlight w:val="none"/>
        </w:rPr>
        <w:t>.1投标有效期为从提交投标文件的截止之日起90天。▲</w:t>
      </w:r>
      <w:r>
        <w:rPr>
          <w:rFonts w:hint="eastAsia" w:ascii="仿宋_GB2312" w:hAnsi="仿宋" w:eastAsia="仿宋_GB2312" w:cs="仿宋_GB2312"/>
          <w:b/>
          <w:color w:val="auto"/>
          <w:sz w:val="24"/>
          <w:szCs w:val="20"/>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p>
      <w:pPr>
        <w:pStyle w:val="129"/>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1</w:t>
      </w:r>
      <w:r>
        <w:rPr>
          <w:rFonts w:hint="eastAsia" w:ascii="仿宋_GB2312" w:hAnsi="仿宋" w:eastAsia="仿宋_GB2312" w:cs="仿宋_GB2312"/>
          <w:color w:val="auto"/>
          <w:highlight w:val="none"/>
          <w:lang w:val="en-US" w:eastAsia="zh-CN"/>
        </w:rPr>
        <w:t>6</w:t>
      </w:r>
      <w:r>
        <w:rPr>
          <w:rFonts w:ascii="仿宋_GB2312" w:hAnsi="仿宋" w:eastAsia="仿宋_GB2312" w:cs="仿宋_GB2312"/>
          <w:color w:val="auto"/>
          <w:highlight w:val="none"/>
        </w:rPr>
        <w:t>.2投标文件合格投递后，自投标截止日期起，在投标有效期内有效。</w:t>
      </w:r>
    </w:p>
    <w:p>
      <w:pPr>
        <w:pStyle w:val="129"/>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1</w:t>
      </w:r>
      <w:r>
        <w:rPr>
          <w:rFonts w:hint="eastAsia" w:ascii="仿宋_GB2312" w:hAnsi="仿宋" w:eastAsia="仿宋_GB2312" w:cs="仿宋_GB2312"/>
          <w:color w:val="auto"/>
          <w:highlight w:val="none"/>
          <w:lang w:val="en-US" w:eastAsia="zh-CN"/>
        </w:rPr>
        <w:t>6</w:t>
      </w:r>
      <w:r>
        <w:rPr>
          <w:rFonts w:ascii="仿宋_GB2312" w:hAnsi="仿宋" w:eastAsia="仿宋_GB2312" w:cs="仿宋_GB2312"/>
          <w:color w:val="auto"/>
          <w:highlight w:val="none"/>
        </w:rPr>
        <w:t>.3在原定投标有效期满之前，如果出现特殊情况，采购机构可以以书面形式通知投标人延长投标有效期。投标人同意延长的，不得要求或被允许修改其投标文件，投标人拒绝延长的，其投标无效。</w:t>
      </w:r>
    </w:p>
    <w:p>
      <w:pPr>
        <w:pStyle w:val="129"/>
        <w:spacing w:before="0"/>
        <w:ind w:firstLine="643"/>
        <w:rPr>
          <w:rFonts w:ascii="仿宋_GB2312" w:hAnsi="仿宋" w:eastAsia="仿宋_GB2312" w:cs="仿宋_GB2312"/>
          <w:b/>
          <w:color w:val="auto"/>
          <w:sz w:val="32"/>
          <w:highlight w:val="none"/>
        </w:rPr>
      </w:pPr>
    </w:p>
    <w:p>
      <w:pPr>
        <w:pStyle w:val="129"/>
        <w:spacing w:before="0"/>
        <w:ind w:firstLine="1928" w:firstLineChars="600"/>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四、开标、资格审查与信用信息查询</w:t>
      </w:r>
    </w:p>
    <w:p>
      <w:pPr>
        <w:pStyle w:val="554"/>
        <w:spacing w:before="0" w:line="360" w:lineRule="auto"/>
        <w:ind w:left="0" w:firstLine="241" w:firstLineChars="100"/>
        <w:contextualSpacing/>
        <w:rPr>
          <w:rFonts w:ascii="仿宋_GB2312" w:eastAsia="仿宋_GB2312"/>
          <w:color w:val="auto"/>
          <w:sz w:val="24"/>
          <w:highlight w:val="none"/>
        </w:rPr>
      </w:pPr>
      <w:r>
        <w:rPr>
          <w:rFonts w:ascii="仿宋_GB2312" w:hAnsi="仿宋" w:eastAsia="仿宋_GB2312" w:cs="仿宋_GB2312"/>
          <w:b/>
          <w:color w:val="auto"/>
          <w:sz w:val="24"/>
          <w:szCs w:val="24"/>
          <w:highlight w:val="none"/>
        </w:rPr>
        <w:t>1</w:t>
      </w:r>
      <w:r>
        <w:rPr>
          <w:rFonts w:hint="eastAsia" w:ascii="仿宋_GB2312" w:hAnsi="仿宋" w:eastAsia="仿宋_GB2312" w:cs="仿宋_GB2312"/>
          <w:b/>
          <w:color w:val="auto"/>
          <w:sz w:val="24"/>
          <w:szCs w:val="24"/>
          <w:highlight w:val="none"/>
          <w:lang w:val="en-US" w:eastAsia="zh-CN"/>
        </w:rPr>
        <w:t>7</w:t>
      </w:r>
      <w:r>
        <w:rPr>
          <w:rFonts w:ascii="仿宋_GB2312" w:hAnsi="仿宋" w:eastAsia="仿宋_GB2312" w:cs="仿宋_GB2312"/>
          <w:b/>
          <w:color w:val="auto"/>
          <w:sz w:val="24"/>
          <w:szCs w:val="24"/>
          <w:highlight w:val="none"/>
        </w:rPr>
        <w:t>.开标</w:t>
      </w:r>
      <w:r>
        <w:rPr>
          <w:rFonts w:ascii="仿宋_GB2312" w:eastAsia="仿宋_GB2312"/>
          <w:color w:val="auto"/>
          <w:sz w:val="24"/>
          <w:highlight w:val="none"/>
        </w:rPr>
        <w:t xml:space="preserve"> </w:t>
      </w:r>
    </w:p>
    <w:p>
      <w:pPr>
        <w:pStyle w:val="554"/>
        <w:spacing w:before="0" w:line="360" w:lineRule="auto"/>
        <w:ind w:left="0" w:firstLine="480" w:firstLineChars="200"/>
        <w:contextualSpacing/>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w:t>
      </w:r>
      <w:r>
        <w:rPr>
          <w:rFonts w:hint="eastAsia" w:ascii="仿宋_GB2312" w:hAnsi="仿宋" w:eastAsia="仿宋_GB2312" w:cs="仿宋_GB2312"/>
          <w:color w:val="auto"/>
          <w:sz w:val="24"/>
          <w:highlight w:val="none"/>
          <w:lang w:val="en-US" w:eastAsia="zh-CN"/>
        </w:rPr>
        <w:t>7</w:t>
      </w:r>
      <w:r>
        <w:rPr>
          <w:rFonts w:ascii="仿宋_GB2312" w:hAnsi="仿宋" w:eastAsia="仿宋_GB2312" w:cs="仿宋_GB2312"/>
          <w:color w:val="auto"/>
          <w:sz w:val="24"/>
          <w:highlight w:val="none"/>
        </w:rPr>
        <w:t>.1采购机构按照招标文件规定的时间通过电子交易平台组织开标，所有投标人均应当准时在线参加。投标人不足3家的，不得开标。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　</w:t>
      </w:r>
      <w:r>
        <w:rPr>
          <w:rFonts w:ascii="仿宋_GB2312" w:hAnsi="仿宋" w:eastAsia="仿宋_GB2312" w:cs="仿宋_GB2312"/>
          <w:color w:val="auto"/>
          <w:sz w:val="24"/>
          <w:highlight w:val="none"/>
        </w:rPr>
        <w:t>1</w:t>
      </w:r>
      <w:r>
        <w:rPr>
          <w:rFonts w:hint="eastAsia" w:ascii="仿宋_GB2312" w:hAnsi="仿宋" w:eastAsia="仿宋_GB2312" w:cs="仿宋_GB2312"/>
          <w:color w:val="auto"/>
          <w:sz w:val="24"/>
          <w:highlight w:val="none"/>
          <w:lang w:val="en-US" w:eastAsia="zh-CN"/>
        </w:rPr>
        <w:t>7</w:t>
      </w:r>
      <w:r>
        <w:rPr>
          <w:rFonts w:ascii="仿宋_GB2312" w:hAnsi="仿宋" w:eastAsia="仿宋_GB2312" w:cs="仿宋_GB2312"/>
          <w:color w:val="auto"/>
          <w:sz w:val="24"/>
          <w:highlight w:val="none"/>
        </w:rPr>
        <w:t>.2开标时，电子交易平台按开标时间自动提取所有投标文件。采购机构依托电子交易平台发起开始解密指令，投标人按照平台提示和招标文件的规定在半小时内完成在线解密。</w:t>
      </w:r>
    </w:p>
    <w:p>
      <w:pPr>
        <w:widowControl/>
        <w:spacing w:before="100" w:beforeAutospacing="1" w:after="240" w:line="360" w:lineRule="auto"/>
        <w:jc w:val="left"/>
        <w:rPr>
          <w:rFonts w:ascii="仿宋_GB2312" w:hAnsi="仿宋" w:eastAsia="仿宋_GB2312" w:cs="仿宋_GB2312"/>
          <w:b/>
          <w:color w:val="auto"/>
          <w:sz w:val="24"/>
          <w:szCs w:val="20"/>
          <w:highlight w:val="none"/>
        </w:rPr>
      </w:pPr>
      <w:r>
        <w:rPr>
          <w:rFonts w:hint="eastAsia" w:ascii="仿宋_GB2312" w:hAnsi="仿宋" w:eastAsia="仿宋_GB2312" w:cs="仿宋_GB2312"/>
          <w:b/>
          <w:color w:val="auto"/>
          <w:sz w:val="24"/>
          <w:szCs w:val="20"/>
          <w:highlight w:val="none"/>
        </w:rPr>
        <w:t>　</w:t>
      </w:r>
      <w:r>
        <w:rPr>
          <w:rFonts w:ascii="仿宋_GB2312" w:hAnsi="仿宋" w:eastAsia="仿宋_GB2312" w:cs="仿宋_GB2312"/>
          <w:b/>
          <w:color w:val="auto"/>
          <w:sz w:val="24"/>
          <w:szCs w:val="20"/>
          <w:highlight w:val="none"/>
        </w:rPr>
        <w:t>1</w:t>
      </w:r>
      <w:r>
        <w:rPr>
          <w:rFonts w:hint="eastAsia" w:ascii="仿宋_GB2312" w:hAnsi="仿宋" w:eastAsia="仿宋_GB2312" w:cs="仿宋_GB2312"/>
          <w:b/>
          <w:color w:val="auto"/>
          <w:sz w:val="24"/>
          <w:szCs w:val="20"/>
          <w:highlight w:val="none"/>
          <w:lang w:val="en-US" w:eastAsia="zh-CN"/>
        </w:rPr>
        <w:t>8.</w:t>
      </w:r>
      <w:r>
        <w:rPr>
          <w:rFonts w:ascii="仿宋_GB2312" w:hAnsi="仿宋" w:eastAsia="仿宋_GB2312" w:cs="仿宋_GB2312"/>
          <w:b/>
          <w:color w:val="auto"/>
          <w:sz w:val="24"/>
          <w:szCs w:val="20"/>
          <w:highlight w:val="none"/>
        </w:rPr>
        <w:t>资格审查</w:t>
      </w:r>
    </w:p>
    <w:p>
      <w:pPr>
        <w:pStyle w:val="129"/>
        <w:spacing w:before="0"/>
        <w:ind w:firstLine="480"/>
        <w:rPr>
          <w:rFonts w:ascii="仿宋_GB2312" w:hAnsi="仿宋" w:eastAsia="仿宋_GB2312" w:cs="Arial"/>
          <w:color w:val="auto"/>
          <w:kern w:val="0"/>
          <w:szCs w:val="24"/>
          <w:highlight w:val="none"/>
        </w:rPr>
      </w:pPr>
      <w:r>
        <w:rPr>
          <w:rFonts w:ascii="仿宋_GB2312" w:hAnsi="仿宋" w:eastAsia="仿宋_GB2312" w:cs="Arial"/>
          <w:color w:val="auto"/>
          <w:kern w:val="0"/>
          <w:szCs w:val="24"/>
          <w:highlight w:val="none"/>
        </w:rPr>
        <w:t>1</w:t>
      </w:r>
      <w:r>
        <w:rPr>
          <w:rFonts w:hint="eastAsia" w:ascii="仿宋_GB2312" w:hAnsi="仿宋" w:eastAsia="仿宋_GB2312" w:cs="Arial"/>
          <w:color w:val="auto"/>
          <w:kern w:val="0"/>
          <w:szCs w:val="24"/>
          <w:highlight w:val="none"/>
          <w:lang w:val="en-US" w:eastAsia="zh-CN"/>
        </w:rPr>
        <w:t>8</w:t>
      </w:r>
      <w:r>
        <w:rPr>
          <w:rFonts w:ascii="仿宋_GB2312" w:hAnsi="仿宋" w:eastAsia="仿宋_GB2312" w:cs="Arial"/>
          <w:color w:val="auto"/>
          <w:kern w:val="0"/>
          <w:szCs w:val="24"/>
          <w:highlight w:val="none"/>
        </w:rPr>
        <w:t>.1开标后，采购人或采购机构将依法对投标人的资格进行审查。</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lang w:val="en-US" w:eastAsia="zh-CN"/>
        </w:rPr>
        <w:t>8</w:t>
      </w:r>
      <w:r>
        <w:rPr>
          <w:rFonts w:ascii="仿宋_GB2312" w:hAnsi="仿宋" w:eastAsia="仿宋_GB2312" w:cs="Arial"/>
          <w:color w:val="auto"/>
          <w:kern w:val="0"/>
          <w:sz w:val="24"/>
          <w:highlight w:val="none"/>
        </w:rPr>
        <w:t>.2</w:t>
      </w:r>
      <w:r>
        <w:rPr>
          <w:rFonts w:hint="eastAsia" w:ascii="仿宋_GB2312" w:hAnsi="仿宋" w:eastAsia="仿宋_GB2312" w:cs="仿宋_GB2312"/>
          <w:color w:val="auto"/>
          <w:sz w:val="24"/>
          <w:highlight w:val="none"/>
        </w:rPr>
        <w:t>采购人或采购机构依据法律法规和招标文件的规定，对投标人的基本资格条件、特定资格条件进行审查。</w:t>
      </w:r>
    </w:p>
    <w:p>
      <w:pPr>
        <w:pStyle w:val="129"/>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1</w:t>
      </w:r>
      <w:r>
        <w:rPr>
          <w:rFonts w:hint="eastAsia" w:ascii="仿宋_GB2312" w:hAnsi="仿宋" w:eastAsia="仿宋_GB2312" w:cs="Arial"/>
          <w:color w:val="auto"/>
          <w:kern w:val="0"/>
          <w:szCs w:val="24"/>
          <w:highlight w:val="none"/>
          <w:lang w:val="en-US" w:eastAsia="zh-CN"/>
        </w:rPr>
        <w:t>8</w:t>
      </w:r>
      <w:r>
        <w:rPr>
          <w:rFonts w:ascii="仿宋_GB2312" w:hAnsi="仿宋" w:eastAsia="仿宋_GB2312" w:cs="Arial"/>
          <w:color w:val="auto"/>
          <w:kern w:val="0"/>
          <w:szCs w:val="24"/>
          <w:highlight w:val="none"/>
        </w:rPr>
        <w:t>.3投标人未按照招标文件要求提供与</w:t>
      </w:r>
      <w:r>
        <w:rPr>
          <w:rFonts w:hint="eastAsia" w:ascii="仿宋_GB2312" w:hAnsi="仿宋" w:eastAsia="仿宋_GB2312" w:cs="仿宋_GB2312"/>
          <w:color w:val="auto"/>
          <w:highlight w:val="none"/>
        </w:rPr>
        <w:t>基本资格条件、特定资格条件相应的</w:t>
      </w:r>
      <w:r>
        <w:rPr>
          <w:rFonts w:hint="eastAsia" w:ascii="仿宋_GB2312" w:hAnsi="仿宋" w:eastAsia="仿宋_GB2312" w:cs="Arial"/>
          <w:color w:val="auto"/>
          <w:kern w:val="0"/>
          <w:szCs w:val="24"/>
          <w:highlight w:val="none"/>
        </w:rPr>
        <w:t>有效资格证明材料的，视为</w:t>
      </w:r>
      <w:r>
        <w:rPr>
          <w:rFonts w:hint="eastAsia" w:ascii="仿宋_GB2312" w:hAnsi="仿宋" w:eastAsia="仿宋_GB2312" w:cs="仿宋_GB2312"/>
          <w:color w:val="auto"/>
          <w:highlight w:val="none"/>
        </w:rPr>
        <w:t>投标人不具备招标文件中规定的资格要求，其投标无效。</w:t>
      </w:r>
    </w:p>
    <w:p>
      <w:pPr>
        <w:pStyle w:val="129"/>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1</w:t>
      </w:r>
      <w:r>
        <w:rPr>
          <w:rFonts w:hint="eastAsia" w:ascii="仿宋_GB2312" w:hAnsi="仿宋" w:eastAsia="仿宋_GB2312" w:cs="Arial"/>
          <w:color w:val="auto"/>
          <w:kern w:val="0"/>
          <w:szCs w:val="24"/>
          <w:highlight w:val="none"/>
          <w:lang w:val="en-US" w:eastAsia="zh-CN"/>
        </w:rPr>
        <w:t>8</w:t>
      </w:r>
      <w:r>
        <w:rPr>
          <w:rFonts w:ascii="仿宋_GB2312" w:hAnsi="仿宋" w:eastAsia="仿宋_GB2312" w:cs="Arial"/>
          <w:color w:val="auto"/>
          <w:kern w:val="0"/>
          <w:szCs w:val="24"/>
          <w:highlight w:val="none"/>
        </w:rPr>
        <w:t>.</w:t>
      </w:r>
      <w:r>
        <w:rPr>
          <w:rFonts w:ascii="仿宋_GB2312" w:hAnsi="仿宋" w:eastAsia="仿宋_GB2312" w:cs="仿宋_GB2312"/>
          <w:color w:val="auto"/>
          <w:highlight w:val="none"/>
        </w:rPr>
        <w:t>4对未通过资格审查的投标人，采购人或采购机构告知其未通过的原因。</w:t>
      </w:r>
    </w:p>
    <w:p>
      <w:pPr>
        <w:pStyle w:val="129"/>
        <w:spacing w:before="0"/>
        <w:ind w:firstLine="480"/>
        <w:rPr>
          <w:rFonts w:ascii="仿宋_GB2312" w:hAnsi="仿宋" w:eastAsia="仿宋_GB2312" w:cs="仿宋_GB2312"/>
          <w:color w:val="auto"/>
          <w:highlight w:val="none"/>
        </w:rPr>
      </w:pPr>
      <w:r>
        <w:rPr>
          <w:rFonts w:ascii="仿宋_GB2312" w:hAnsi="仿宋" w:eastAsia="仿宋_GB2312" w:cs="Arial"/>
          <w:color w:val="auto"/>
          <w:kern w:val="0"/>
          <w:szCs w:val="24"/>
          <w:highlight w:val="none"/>
        </w:rPr>
        <w:t>1</w:t>
      </w:r>
      <w:r>
        <w:rPr>
          <w:rFonts w:hint="eastAsia" w:ascii="仿宋_GB2312" w:hAnsi="仿宋" w:eastAsia="仿宋_GB2312" w:cs="Arial"/>
          <w:color w:val="auto"/>
          <w:kern w:val="0"/>
          <w:szCs w:val="24"/>
          <w:highlight w:val="none"/>
          <w:lang w:val="en-US" w:eastAsia="zh-CN"/>
        </w:rPr>
        <w:t>8</w:t>
      </w:r>
      <w:r>
        <w:rPr>
          <w:rFonts w:ascii="仿宋_GB2312" w:hAnsi="仿宋" w:eastAsia="仿宋_GB2312" w:cs="Arial"/>
          <w:color w:val="auto"/>
          <w:kern w:val="0"/>
          <w:szCs w:val="24"/>
          <w:highlight w:val="none"/>
        </w:rPr>
        <w:t>.</w:t>
      </w:r>
      <w:r>
        <w:rPr>
          <w:rFonts w:ascii="仿宋_GB2312" w:hAnsi="仿宋" w:eastAsia="仿宋_GB2312" w:cs="仿宋_GB2312"/>
          <w:color w:val="auto"/>
          <w:highlight w:val="none"/>
        </w:rPr>
        <w:t>5合格投标人不足3家的，不再评标。</w:t>
      </w:r>
    </w:p>
    <w:p>
      <w:pPr>
        <w:pStyle w:val="129"/>
        <w:spacing w:before="0"/>
        <w:ind w:firstLine="0" w:firstLineChars="0"/>
        <w:rPr>
          <w:rFonts w:ascii="仿宋_GB2312" w:hAnsi="仿宋" w:eastAsia="仿宋_GB2312" w:cs="仿宋_GB2312"/>
          <w:b/>
          <w:color w:val="auto"/>
          <w:szCs w:val="24"/>
          <w:highlight w:val="none"/>
        </w:rPr>
      </w:pPr>
      <w:r>
        <w:rPr>
          <w:rFonts w:hint="eastAsia" w:ascii="仿宋_GB2312" w:hAnsi="仿宋" w:eastAsia="仿宋_GB2312" w:cs="仿宋_GB2312"/>
          <w:b/>
          <w:color w:val="auto"/>
          <w:szCs w:val="24"/>
          <w:highlight w:val="none"/>
          <w:lang w:val="en-US" w:eastAsia="zh-CN"/>
        </w:rPr>
        <w:t>19</w:t>
      </w:r>
      <w:r>
        <w:rPr>
          <w:rFonts w:hint="eastAsia" w:ascii="仿宋_GB2312" w:hAnsi="仿宋" w:eastAsia="仿宋_GB2312" w:cs="仿宋_GB2312"/>
          <w:b/>
          <w:color w:val="auto"/>
          <w:szCs w:val="24"/>
          <w:highlight w:val="none"/>
          <w:lang w:eastAsia="zh-CN"/>
        </w:rPr>
        <w:t>.</w:t>
      </w:r>
      <w:r>
        <w:rPr>
          <w:rFonts w:ascii="仿宋_GB2312" w:hAnsi="仿宋" w:eastAsia="仿宋_GB2312" w:cs="仿宋_GB2312"/>
          <w:b/>
          <w:color w:val="auto"/>
          <w:szCs w:val="24"/>
          <w:highlight w:val="none"/>
        </w:rPr>
        <w:t>信用信息查询</w:t>
      </w:r>
    </w:p>
    <w:p>
      <w:pPr>
        <w:pStyle w:val="129"/>
        <w:spacing w:before="0"/>
        <w:ind w:firstLine="495" w:firstLineChars="0"/>
        <w:rPr>
          <w:rFonts w:ascii="仿宋_GB2312" w:hAnsi="仿宋" w:eastAsia="仿宋_GB2312" w:cs="Arial"/>
          <w:color w:val="auto"/>
          <w:kern w:val="0"/>
          <w:szCs w:val="24"/>
          <w:highlight w:val="none"/>
        </w:rPr>
      </w:pPr>
      <w:r>
        <w:rPr>
          <w:rFonts w:hint="eastAsia" w:ascii="仿宋_GB2312" w:hAnsi="仿宋" w:eastAsia="仿宋_GB2312" w:cs="Arial"/>
          <w:color w:val="auto"/>
          <w:kern w:val="0"/>
          <w:szCs w:val="24"/>
          <w:highlight w:val="none"/>
          <w:lang w:val="en-US" w:eastAsia="zh-CN"/>
        </w:rPr>
        <w:t>19</w:t>
      </w:r>
      <w:r>
        <w:rPr>
          <w:rFonts w:ascii="仿宋_GB2312" w:hAnsi="仿宋" w:eastAsia="仿宋_GB2312" w:cs="Arial"/>
          <w:color w:val="auto"/>
          <w:kern w:val="0"/>
          <w:szCs w:val="24"/>
          <w:highlight w:val="none"/>
        </w:rPr>
        <w:t>.1信用信息查询渠道及截止时间：采购机构将通过“信用中国”网站(www.creditchina.gov.cn)、中国政府采购网(www.ccgp.gov.cn)渠道查询投标人投标截止时间当天的信用记录。</w:t>
      </w:r>
    </w:p>
    <w:p>
      <w:pPr>
        <w:pStyle w:val="129"/>
        <w:spacing w:before="0"/>
        <w:ind w:firstLine="495" w:firstLineChars="0"/>
        <w:rPr>
          <w:rFonts w:ascii="仿宋_GB2312" w:hAnsi="仿宋" w:eastAsia="仿宋_GB2312" w:cs="Arial"/>
          <w:color w:val="auto"/>
          <w:kern w:val="0"/>
          <w:szCs w:val="24"/>
          <w:highlight w:val="none"/>
        </w:rPr>
      </w:pPr>
      <w:r>
        <w:rPr>
          <w:rFonts w:hint="eastAsia" w:ascii="仿宋_GB2312" w:hAnsi="仿宋" w:eastAsia="仿宋_GB2312" w:cs="Arial"/>
          <w:color w:val="auto"/>
          <w:kern w:val="0"/>
          <w:szCs w:val="24"/>
          <w:highlight w:val="none"/>
          <w:lang w:val="en-US" w:eastAsia="zh-CN"/>
        </w:rPr>
        <w:t>19</w:t>
      </w:r>
      <w:r>
        <w:rPr>
          <w:rFonts w:ascii="仿宋_GB2312" w:hAnsi="仿宋" w:eastAsia="仿宋_GB2312" w:cs="Arial"/>
          <w:color w:val="auto"/>
          <w:kern w:val="0"/>
          <w:szCs w:val="24"/>
          <w:highlight w:val="none"/>
        </w:rPr>
        <w:t>.2信用信息查询记录和证据留存的具体方式：现场查询的投标人的信用记录、查询结果经确认后将与采购文件一起存档。</w:t>
      </w:r>
    </w:p>
    <w:p>
      <w:pPr>
        <w:pStyle w:val="129"/>
        <w:spacing w:before="0"/>
        <w:ind w:firstLine="495" w:firstLineChars="0"/>
        <w:rPr>
          <w:rFonts w:ascii="仿宋_GB2312" w:hAnsi="仿宋" w:eastAsia="仿宋_GB2312" w:cs="Arial"/>
          <w:color w:val="auto"/>
          <w:kern w:val="0"/>
          <w:szCs w:val="24"/>
          <w:highlight w:val="none"/>
        </w:rPr>
      </w:pPr>
      <w:r>
        <w:rPr>
          <w:rFonts w:hint="eastAsia" w:ascii="仿宋_GB2312" w:hAnsi="仿宋" w:eastAsia="仿宋_GB2312" w:cs="Arial"/>
          <w:color w:val="auto"/>
          <w:kern w:val="0"/>
          <w:szCs w:val="24"/>
          <w:highlight w:val="none"/>
          <w:lang w:val="en-US" w:eastAsia="zh-CN"/>
        </w:rPr>
        <w:t>19</w:t>
      </w:r>
      <w:r>
        <w:rPr>
          <w:rFonts w:ascii="仿宋_GB2312" w:hAnsi="仿宋" w:eastAsia="仿宋_GB2312" w:cs="Arial"/>
          <w:color w:val="auto"/>
          <w:kern w:val="0"/>
          <w:szCs w:val="24"/>
          <w:highlight w:val="none"/>
        </w:rPr>
        <w:t>.3信用信息的使用规则：经查询列入失信被执行人名单、重大税收违法案件当事人名单、政府采购严重违法失信行为记录名单的投标人将被拒绝参与政府采购活动。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仿宋_GB2312" w:hAnsi="仿宋" w:eastAsia="仿宋_GB2312" w:cs="仿宋_GB2312"/>
          <w:color w:val="auto"/>
          <w:highlight w:val="none"/>
        </w:rPr>
      </w:pPr>
      <w:r>
        <w:rPr>
          <w:rFonts w:hint="eastAsia" w:ascii="仿宋_GB2312" w:hAnsi="仿宋" w:eastAsia="仿宋_GB2312" w:cs="Arial"/>
          <w:color w:val="auto"/>
          <w:kern w:val="0"/>
          <w:szCs w:val="24"/>
          <w:highlight w:val="none"/>
          <w:lang w:val="en-US" w:eastAsia="zh-CN"/>
        </w:rPr>
        <w:t>19</w:t>
      </w:r>
      <w:r>
        <w:rPr>
          <w:rFonts w:ascii="仿宋_GB2312" w:hAnsi="仿宋" w:eastAsia="仿宋_GB2312" w:cs="Arial"/>
          <w:color w:val="auto"/>
          <w:kern w:val="0"/>
          <w:szCs w:val="24"/>
          <w:highlight w:val="none"/>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color w:val="auto"/>
          <w:highlight w:val="none"/>
        </w:rPr>
        <w:t>。</w:t>
      </w:r>
    </w:p>
    <w:p>
      <w:pPr>
        <w:pStyle w:val="129"/>
        <w:spacing w:before="0"/>
        <w:ind w:firstLine="0" w:firstLineChars="0"/>
        <w:rPr>
          <w:rFonts w:ascii="仿宋_GB2312" w:hAnsi="仿宋" w:eastAsia="仿宋_GB2312" w:cs="Arial"/>
          <w:color w:val="auto"/>
          <w:kern w:val="0"/>
          <w:szCs w:val="24"/>
          <w:highlight w:val="none"/>
        </w:rPr>
      </w:pPr>
    </w:p>
    <w:p>
      <w:pPr>
        <w:snapToGrid w:val="0"/>
        <w:spacing w:line="360" w:lineRule="auto"/>
        <w:jc w:val="center"/>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五、评标</w:t>
      </w:r>
    </w:p>
    <w:p>
      <w:pPr>
        <w:spacing w:line="360" w:lineRule="auto"/>
        <w:rPr>
          <w:rFonts w:ascii="仿宋_GB2312" w:hAnsi="仿宋" w:eastAsia="仿宋_GB2312" w:cs="仿宋_GB2312"/>
          <w:b/>
          <w:color w:val="auto"/>
          <w:sz w:val="24"/>
          <w:highlight w:val="none"/>
        </w:rPr>
      </w:pPr>
      <w:bookmarkStart w:id="13" w:name="_Toc91899903"/>
      <w:r>
        <w:rPr>
          <w:rFonts w:ascii="仿宋_GB2312" w:hAnsi="仿宋" w:eastAsia="仿宋_GB2312" w:cs="仿宋_GB2312"/>
          <w:b/>
          <w:color w:val="auto"/>
          <w:sz w:val="24"/>
          <w:highlight w:val="none"/>
        </w:rPr>
        <w:t>2</w:t>
      </w:r>
      <w:r>
        <w:rPr>
          <w:rFonts w:hint="eastAsia" w:ascii="仿宋_GB2312" w:hAnsi="仿宋" w:eastAsia="仿宋_GB2312" w:cs="仿宋_GB2312"/>
          <w:b/>
          <w:color w:val="auto"/>
          <w:sz w:val="24"/>
          <w:highlight w:val="none"/>
          <w:lang w:val="en-US" w:eastAsia="zh-CN"/>
        </w:rPr>
        <w:t>0</w:t>
      </w:r>
      <w:r>
        <w:rPr>
          <w:rFonts w:ascii="仿宋_GB2312" w:hAnsi="仿宋" w:eastAsia="仿宋_GB2312" w:cs="仿宋_GB2312"/>
          <w:b/>
          <w:color w:val="auto"/>
          <w:sz w:val="24"/>
          <w:highlight w:val="none"/>
        </w:rPr>
        <w:t>.</w:t>
      </w:r>
      <w:r>
        <w:rPr>
          <w:rFonts w:ascii="仿宋_GB2312" w:eastAsia="仿宋_GB2312"/>
          <w:color w:val="auto"/>
          <w:highlight w:val="none"/>
        </w:rPr>
        <w:t xml:space="preserve"> </w:t>
      </w:r>
      <w:r>
        <w:rPr>
          <w:rFonts w:hint="eastAsia" w:ascii="仿宋_GB2312" w:hAnsi="仿宋" w:eastAsia="仿宋_GB2312" w:cs="仿宋_GB2312"/>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color w:val="auto"/>
          <w:sz w:val="24"/>
          <w:highlight w:val="none"/>
        </w:rPr>
        <w:t>详见招标文件第四部分评标办法。</w:t>
      </w:r>
    </w:p>
    <w:p>
      <w:pPr>
        <w:spacing w:line="360" w:lineRule="auto"/>
        <w:rPr>
          <w:rFonts w:ascii="仿宋_GB2312" w:hAnsi="仿宋" w:eastAsia="仿宋_GB2312" w:cs="仿宋_GB2312"/>
          <w:b/>
          <w:color w:val="auto"/>
          <w:sz w:val="24"/>
          <w:highlight w:val="none"/>
        </w:rPr>
      </w:pPr>
    </w:p>
    <w:p>
      <w:pPr>
        <w:snapToGrid w:val="0"/>
        <w:spacing w:line="360" w:lineRule="auto"/>
        <w:jc w:val="center"/>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六、定</w:t>
      </w:r>
      <w:r>
        <w:rPr>
          <w:rFonts w:ascii="仿宋_GB2312" w:hAnsi="仿宋" w:eastAsia="仿宋_GB2312" w:cs="仿宋_GB2312"/>
          <w:b/>
          <w:color w:val="auto"/>
          <w:sz w:val="36"/>
          <w:szCs w:val="36"/>
          <w:highlight w:val="none"/>
        </w:rPr>
        <w:t xml:space="preserve"> </w:t>
      </w:r>
      <w:r>
        <w:rPr>
          <w:rFonts w:hint="eastAsia" w:ascii="仿宋_GB2312" w:hAnsi="仿宋" w:eastAsia="仿宋_GB2312" w:cs="仿宋_GB2312"/>
          <w:b/>
          <w:color w:val="auto"/>
          <w:sz w:val="36"/>
          <w:szCs w:val="36"/>
          <w:highlight w:val="none"/>
        </w:rPr>
        <w:t>标</w:t>
      </w:r>
    </w:p>
    <w:p>
      <w:pPr>
        <w:pStyle w:val="26"/>
        <w:spacing w:line="360" w:lineRule="auto"/>
        <w:ind w:left="479" w:hanging="479" w:hangingChars="199"/>
        <w:rPr>
          <w:rFonts w:ascii="仿宋_GB2312" w:hAnsi="仿宋" w:eastAsia="仿宋_GB2312" w:cs="仿宋_GB2312"/>
          <w:b/>
          <w:color w:val="auto"/>
          <w:highlight w:val="none"/>
        </w:rPr>
      </w:pPr>
      <w:r>
        <w:rPr>
          <w:rFonts w:ascii="仿宋_GB2312" w:hAnsi="仿宋" w:eastAsia="仿宋_GB2312" w:cs="仿宋_GB2312"/>
          <w:b/>
          <w:color w:val="auto"/>
          <w:highlight w:val="none"/>
        </w:rPr>
        <w:t>2</w:t>
      </w:r>
      <w:r>
        <w:rPr>
          <w:rFonts w:hint="eastAsia" w:ascii="仿宋_GB2312" w:hAnsi="仿宋" w:eastAsia="仿宋_GB2312" w:cs="仿宋_GB2312"/>
          <w:b/>
          <w:color w:val="auto"/>
          <w:highlight w:val="none"/>
          <w:lang w:val="en-US" w:eastAsia="zh-CN"/>
        </w:rPr>
        <w:t>1</w:t>
      </w:r>
      <w:r>
        <w:rPr>
          <w:rFonts w:ascii="仿宋_GB2312" w:hAnsi="仿宋" w:eastAsia="仿宋_GB2312" w:cs="仿宋_GB2312"/>
          <w:b/>
          <w:color w:val="auto"/>
          <w:highlight w:val="none"/>
        </w:rPr>
        <w:t xml:space="preserve">. </w:t>
      </w:r>
      <w:r>
        <w:rPr>
          <w:rFonts w:hint="eastAsia" w:ascii="仿宋_GB2312" w:hAnsi="仿宋" w:eastAsia="仿宋_GB2312" w:cs="仿宋_GB2312"/>
          <w:b/>
          <w:color w:val="auto"/>
          <w:highlight w:val="none"/>
        </w:rPr>
        <w:t>确定中标供应商</w:t>
      </w:r>
    </w:p>
    <w:p>
      <w:pPr>
        <w:pStyle w:val="129"/>
        <w:snapToGrid w:val="0"/>
        <w:spacing w:before="0"/>
        <w:ind w:firstLine="480"/>
        <w:rPr>
          <w:rFonts w:ascii="仿宋_GB2312" w:hAnsi="仿宋" w:eastAsia="仿宋_GB2312" w:cs="仿宋_GB2312"/>
          <w:b/>
          <w:color w:val="auto"/>
          <w:szCs w:val="24"/>
          <w:highlight w:val="none"/>
        </w:rPr>
      </w:pPr>
      <w:r>
        <w:rPr>
          <w:rFonts w:hint="eastAsia" w:ascii="仿宋_GB2312" w:hAnsi="仿宋" w:eastAsia="仿宋_GB2312" w:cs="仿宋_GB2312"/>
          <w:color w:val="auto"/>
          <w:szCs w:val="24"/>
          <w:highlight w:val="none"/>
        </w:rPr>
        <w:t>采购人将自收到评审报告之日起</w:t>
      </w:r>
      <w:r>
        <w:rPr>
          <w:rFonts w:ascii="仿宋_GB2312" w:hAnsi="仿宋" w:eastAsia="仿宋_GB2312" w:cs="仿宋_GB2312"/>
          <w:color w:val="auto"/>
          <w:szCs w:val="24"/>
          <w:highlight w:val="none"/>
        </w:rPr>
        <w:t>5个工作日内通过电子交易平台在评审报告推荐的中标候选人中按顺序确定中标供应商。</w:t>
      </w:r>
    </w:p>
    <w:p>
      <w:pPr>
        <w:pStyle w:val="129"/>
        <w:snapToGrid w:val="0"/>
        <w:spacing w:before="0"/>
        <w:ind w:firstLine="0" w:firstLineChars="0"/>
        <w:rPr>
          <w:rFonts w:ascii="仿宋_GB2312" w:hAnsi="仿宋" w:eastAsia="仿宋_GB2312" w:cs="仿宋_GB2312"/>
          <w:b/>
          <w:color w:val="auto"/>
          <w:szCs w:val="24"/>
          <w:highlight w:val="none"/>
        </w:rPr>
      </w:pPr>
      <w:r>
        <w:rPr>
          <w:rFonts w:ascii="仿宋_GB2312" w:hAnsi="仿宋" w:eastAsia="仿宋_GB2312" w:cs="仿宋_GB2312"/>
          <w:b/>
          <w:color w:val="auto"/>
          <w:szCs w:val="24"/>
          <w:highlight w:val="none"/>
        </w:rPr>
        <w:t>2</w:t>
      </w:r>
      <w:r>
        <w:rPr>
          <w:rFonts w:hint="eastAsia" w:ascii="仿宋_GB2312" w:hAnsi="仿宋" w:eastAsia="仿宋_GB2312" w:cs="仿宋_GB2312"/>
          <w:b/>
          <w:color w:val="auto"/>
          <w:szCs w:val="24"/>
          <w:highlight w:val="none"/>
          <w:lang w:val="en-US" w:eastAsia="zh-CN"/>
        </w:rPr>
        <w:t>2</w:t>
      </w:r>
      <w:r>
        <w:rPr>
          <w:rFonts w:ascii="仿宋_GB2312" w:hAnsi="仿宋" w:eastAsia="仿宋_GB2312" w:cs="仿宋_GB2312"/>
          <w:b/>
          <w:color w:val="auto"/>
          <w:szCs w:val="24"/>
          <w:highlight w:val="none"/>
        </w:rPr>
        <w:t xml:space="preserve">. </w:t>
      </w:r>
      <w:r>
        <w:rPr>
          <w:rFonts w:hint="eastAsia" w:ascii="仿宋_GB2312" w:hAnsi="仿宋" w:eastAsia="仿宋_GB2312" w:cs="仿宋_GB2312"/>
          <w:b/>
          <w:color w:val="auto"/>
          <w:szCs w:val="24"/>
          <w:highlight w:val="none"/>
        </w:rPr>
        <w:t>中标通知与中标结果公告</w:t>
      </w:r>
    </w:p>
    <w:p>
      <w:pPr>
        <w:widowControl/>
        <w:shd w:val="clear" w:color="auto" w:fill="FFFFFF"/>
        <w:spacing w:line="360" w:lineRule="auto"/>
        <w:ind w:firstLine="480"/>
        <w:jc w:val="left"/>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w:t>
      </w:r>
      <w:r>
        <w:rPr>
          <w:rFonts w:hint="eastAsia" w:ascii="仿宋_GB2312" w:hAnsi="仿宋" w:eastAsia="仿宋_GB2312" w:cs="仿宋_GB2312"/>
          <w:color w:val="auto"/>
          <w:sz w:val="24"/>
          <w:highlight w:val="none"/>
          <w:lang w:val="en-US" w:eastAsia="zh-CN"/>
        </w:rPr>
        <w:t>2</w:t>
      </w:r>
      <w:r>
        <w:rPr>
          <w:rFonts w:ascii="仿宋_GB2312" w:hAnsi="仿宋" w:eastAsia="仿宋_GB2312" w:cs="仿宋_GB2312"/>
          <w:color w:val="auto"/>
          <w:sz w:val="24"/>
          <w:highlight w:val="none"/>
        </w:rPr>
        <w:t>.1自中标人确定之日起2个工作日内，采购机构通过电子交易平台向中标人发出中标通知书，</w:t>
      </w:r>
      <w:r>
        <w:rPr>
          <w:rFonts w:hint="eastAsia" w:ascii="仿宋_GB2312" w:hAnsi="仿宋" w:eastAsia="仿宋_GB2312" w:cs="仿宋_GB2312"/>
          <w:color w:val="auto"/>
          <w:sz w:val="24"/>
          <w:highlight w:val="none"/>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w:t>
      </w:r>
      <w:r>
        <w:rPr>
          <w:rFonts w:hint="eastAsia" w:ascii="仿宋_GB2312" w:hAnsi="仿宋" w:eastAsia="仿宋_GB2312" w:cs="仿宋_GB2312"/>
          <w:color w:val="auto"/>
          <w:sz w:val="24"/>
          <w:highlight w:val="none"/>
          <w:lang w:val="en-US" w:eastAsia="zh-CN"/>
        </w:rPr>
        <w:t>2</w:t>
      </w:r>
      <w:r>
        <w:rPr>
          <w:rFonts w:ascii="仿宋_GB2312" w:hAnsi="仿宋" w:eastAsia="仿宋_GB2312" w:cs="仿宋_GB2312"/>
          <w:color w:val="auto"/>
          <w:sz w:val="24"/>
          <w:highlight w:val="none"/>
        </w:rPr>
        <w:t>.2中标结果公告内容包括采购人及其委托的采购机构的名称、地址、联系方式，项目名称和项目编号，中标人名称、地址和中标金额，主要中标标的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color w:val="auto"/>
          <w:sz w:val="24"/>
          <w:highlight w:val="none"/>
        </w:rPr>
        <w:t>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w:t>
      </w:r>
      <w:r>
        <w:rPr>
          <w:rFonts w:hint="eastAsia" w:ascii="仿宋_GB2312" w:hAnsi="仿宋" w:eastAsia="仿宋_GB2312" w:cs="仿宋_GB2312"/>
          <w:color w:val="auto"/>
          <w:sz w:val="24"/>
          <w:highlight w:val="none"/>
          <w:lang w:val="en-US" w:eastAsia="zh-CN"/>
        </w:rPr>
        <w:t>2</w:t>
      </w:r>
      <w:r>
        <w:rPr>
          <w:rFonts w:ascii="仿宋_GB2312" w:hAnsi="仿宋" w:eastAsia="仿宋_GB2312" w:cs="仿宋_GB2312"/>
          <w:color w:val="auto"/>
          <w:sz w:val="24"/>
          <w:highlight w:val="none"/>
        </w:rPr>
        <w:t>.3公告期限为1个工作日。</w:t>
      </w:r>
    </w:p>
    <w:p>
      <w:pPr>
        <w:snapToGrid w:val="0"/>
        <w:spacing w:line="360" w:lineRule="auto"/>
        <w:ind w:left="137" w:leftChars="57" w:firstLine="482" w:firstLineChars="150"/>
        <w:jc w:val="center"/>
        <w:rPr>
          <w:rFonts w:ascii="仿宋_GB2312" w:hAnsi="仿宋" w:eastAsia="仿宋_GB2312" w:cs="仿宋_GB2312"/>
          <w:b/>
          <w:color w:val="auto"/>
          <w:sz w:val="32"/>
          <w:highlight w:val="none"/>
        </w:rPr>
      </w:pPr>
    </w:p>
    <w:p>
      <w:pPr>
        <w:snapToGrid w:val="0"/>
        <w:spacing w:line="360" w:lineRule="auto"/>
        <w:ind w:left="137" w:leftChars="57" w:firstLine="482" w:firstLineChars="150"/>
        <w:jc w:val="center"/>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七、合同授予</w:t>
      </w:r>
    </w:p>
    <w:p>
      <w:pPr>
        <w:pStyle w:val="26"/>
        <w:spacing w:line="360" w:lineRule="auto"/>
        <w:ind w:left="479" w:hanging="479" w:hangingChars="199"/>
        <w:rPr>
          <w:rFonts w:ascii="仿宋_GB2312" w:hAnsi="仿宋" w:eastAsia="仿宋_GB2312" w:cs="仿宋_GB2312"/>
          <w:b/>
          <w:color w:val="auto"/>
          <w:highlight w:val="none"/>
        </w:rPr>
      </w:pPr>
      <w:r>
        <w:rPr>
          <w:rFonts w:ascii="仿宋_GB2312" w:hAnsi="仿宋" w:eastAsia="仿宋_GB2312" w:cs="仿宋_GB2312"/>
          <w:b/>
          <w:color w:val="auto"/>
          <w:highlight w:val="none"/>
        </w:rPr>
        <w:t>2</w:t>
      </w:r>
      <w:r>
        <w:rPr>
          <w:rFonts w:hint="eastAsia" w:ascii="仿宋_GB2312" w:hAnsi="仿宋" w:eastAsia="仿宋_GB2312" w:cs="仿宋_GB2312"/>
          <w:b/>
          <w:color w:val="auto"/>
          <w:highlight w:val="none"/>
          <w:lang w:val="en-US" w:eastAsia="zh-CN"/>
        </w:rPr>
        <w:t>3</w:t>
      </w:r>
      <w:r>
        <w:rPr>
          <w:rFonts w:ascii="仿宋_GB2312" w:hAnsi="仿宋" w:eastAsia="仿宋_GB2312" w:cs="仿宋_GB2312"/>
          <w:b/>
          <w:color w:val="auto"/>
          <w:highlight w:val="none"/>
        </w:rPr>
        <w:t xml:space="preserve">. </w:t>
      </w:r>
      <w:r>
        <w:rPr>
          <w:rFonts w:hint="eastAsia" w:ascii="仿宋_GB2312" w:hAnsi="仿宋" w:eastAsia="仿宋_GB2312" w:cs="仿宋_GB2312"/>
          <w:color w:val="auto"/>
          <w:highlight w:val="none"/>
        </w:rPr>
        <w:t>合同主要条款详见第五部分拟签订的合同文本。</w:t>
      </w:r>
    </w:p>
    <w:p>
      <w:pPr>
        <w:pStyle w:val="26"/>
        <w:spacing w:line="360" w:lineRule="auto"/>
        <w:ind w:left="479" w:hanging="479" w:hangingChars="199"/>
        <w:rPr>
          <w:rFonts w:ascii="仿宋_GB2312" w:hAnsi="仿宋" w:eastAsia="仿宋_GB2312" w:cs="仿宋_GB2312"/>
          <w:b/>
          <w:color w:val="auto"/>
          <w:highlight w:val="none"/>
        </w:rPr>
      </w:pPr>
      <w:r>
        <w:rPr>
          <w:rFonts w:ascii="仿宋_GB2312" w:hAnsi="仿宋" w:eastAsia="仿宋_GB2312" w:cs="仿宋_GB2312"/>
          <w:b/>
          <w:color w:val="auto"/>
          <w:highlight w:val="none"/>
        </w:rPr>
        <w:t>2</w:t>
      </w:r>
      <w:r>
        <w:rPr>
          <w:rFonts w:hint="eastAsia" w:ascii="仿宋_GB2312" w:hAnsi="仿宋" w:eastAsia="仿宋_GB2312" w:cs="仿宋_GB2312"/>
          <w:b/>
          <w:color w:val="auto"/>
          <w:highlight w:val="none"/>
          <w:lang w:val="en-US" w:eastAsia="zh-CN"/>
        </w:rPr>
        <w:t>4</w:t>
      </w:r>
      <w:r>
        <w:rPr>
          <w:rFonts w:ascii="仿宋_GB2312" w:hAnsi="仿宋" w:eastAsia="仿宋_GB2312" w:cs="仿宋_GB2312"/>
          <w:b/>
          <w:color w:val="auto"/>
          <w:highlight w:val="none"/>
        </w:rPr>
        <w:t xml:space="preserve">. </w:t>
      </w:r>
      <w:r>
        <w:rPr>
          <w:rFonts w:hint="eastAsia" w:ascii="仿宋_GB2312" w:hAnsi="仿宋" w:eastAsia="仿宋_GB2312" w:cs="仿宋_GB2312"/>
          <w:b/>
          <w:color w:val="auto"/>
          <w:highlight w:val="none"/>
        </w:rPr>
        <w:t>合同的签订</w:t>
      </w:r>
    </w:p>
    <w:p>
      <w:pPr>
        <w:widowControl/>
        <w:shd w:val="clear" w:color="auto" w:fill="FFFFFF"/>
        <w:spacing w:line="360" w:lineRule="auto"/>
        <w:ind w:firstLine="480"/>
        <w:jc w:val="left"/>
        <w:rPr>
          <w:rFonts w:ascii="仿宋_GB2312" w:hAnsi="仿宋" w:eastAsia="仿宋_GB2312" w:cs="Arial"/>
          <w:color w:val="auto"/>
          <w:kern w:val="0"/>
          <w:sz w:val="24"/>
          <w:highlight w:val="none"/>
        </w:rPr>
      </w:pPr>
      <w:r>
        <w:rPr>
          <w:rFonts w:ascii="仿宋_GB2312" w:hAnsi="仿宋" w:eastAsia="仿宋_GB2312" w:cs="仿宋_GB2312"/>
          <w:color w:val="auto"/>
          <w:sz w:val="24"/>
          <w:highlight w:val="none"/>
        </w:rPr>
        <w:t>2</w:t>
      </w:r>
      <w:r>
        <w:rPr>
          <w:rFonts w:hint="eastAsia" w:ascii="仿宋_GB2312" w:hAnsi="仿宋" w:eastAsia="仿宋_GB2312" w:cs="仿宋_GB2312"/>
          <w:color w:val="auto"/>
          <w:sz w:val="24"/>
          <w:highlight w:val="none"/>
          <w:lang w:val="en-US" w:eastAsia="zh-CN"/>
        </w:rPr>
        <w:t>4</w:t>
      </w:r>
      <w:r>
        <w:rPr>
          <w:rFonts w:ascii="仿宋_GB2312" w:hAnsi="仿宋" w:eastAsia="仿宋_GB2312" w:cs="仿宋_GB2312"/>
          <w:color w:val="auto"/>
          <w:sz w:val="24"/>
          <w:highlight w:val="none"/>
        </w:rPr>
        <w:t>.1</w:t>
      </w:r>
      <w:r>
        <w:rPr>
          <w:rFonts w:ascii="仿宋_GB2312" w:hAnsi="仿宋" w:eastAsia="仿宋_GB2312" w:cs="Arial"/>
          <w:color w:val="auto"/>
          <w:kern w:val="0"/>
          <w:sz w:val="24"/>
          <w:highlight w:val="none"/>
        </w:rPr>
        <w:t xml:space="preserve"> 采购人与中标人应当通过电子交易平台在中标通知书发出之日起三十日内，按照招标文件确定的事项签订政府采购合同，并在</w:t>
      </w:r>
      <w:r>
        <w:rPr>
          <w:rFonts w:hint="eastAsia" w:ascii="仿宋_GB2312" w:hAnsi="仿宋" w:eastAsia="仿宋_GB2312" w:cs="Arial"/>
          <w:color w:val="auto"/>
          <w:kern w:val="0"/>
          <w:sz w:val="24"/>
          <w:highlight w:val="none"/>
        </w:rPr>
        <w:t>合同签订之日起2个工作日</w:t>
      </w:r>
      <w:r>
        <w:rPr>
          <w:rFonts w:ascii="仿宋_GB2312" w:hAnsi="仿宋" w:eastAsia="仿宋_GB2312" w:cs="Arial"/>
          <w:color w:val="auto"/>
          <w:kern w:val="0"/>
          <w:sz w:val="24"/>
          <w:highlight w:val="none"/>
        </w:rPr>
        <w:t>内依法发布合同公告。</w:t>
      </w:r>
    </w:p>
    <w:p>
      <w:pPr>
        <w:pStyle w:val="129"/>
        <w:snapToGrid w:val="0"/>
        <w:spacing w:before="0"/>
        <w:ind w:firstLine="480"/>
        <w:rPr>
          <w:rFonts w:ascii="仿宋_GB2312" w:hAnsi="仿宋" w:eastAsia="仿宋_GB2312"/>
          <w:color w:val="auto"/>
          <w:kern w:val="0"/>
          <w:highlight w:val="none"/>
        </w:rPr>
      </w:pPr>
      <w:r>
        <w:rPr>
          <w:rFonts w:ascii="仿宋_GB2312" w:hAnsi="仿宋" w:eastAsia="仿宋_GB2312" w:cs="仿宋_GB2312"/>
          <w:color w:val="auto"/>
          <w:kern w:val="0"/>
          <w:highlight w:val="none"/>
          <w:lang w:val="zh-CN"/>
        </w:rPr>
        <w:t>2</w:t>
      </w:r>
      <w:r>
        <w:rPr>
          <w:rFonts w:hint="eastAsia" w:ascii="仿宋_GB2312" w:hAnsi="仿宋" w:eastAsia="仿宋_GB2312" w:cs="仿宋_GB2312"/>
          <w:color w:val="auto"/>
          <w:kern w:val="0"/>
          <w:highlight w:val="none"/>
          <w:lang w:val="en-US" w:eastAsia="zh-CN"/>
        </w:rPr>
        <w:t>4</w:t>
      </w:r>
      <w:r>
        <w:rPr>
          <w:rFonts w:ascii="仿宋_GB2312" w:hAnsi="仿宋" w:eastAsia="仿宋_GB2312" w:cs="仿宋_GB2312"/>
          <w:color w:val="auto"/>
          <w:kern w:val="0"/>
          <w:highlight w:val="none"/>
          <w:lang w:val="zh-CN"/>
        </w:rPr>
        <w:t>.2</w:t>
      </w:r>
      <w:r>
        <w:rPr>
          <w:rFonts w:hint="eastAsia" w:ascii="仿宋_GB2312" w:hAnsi="仿宋" w:eastAsia="仿宋_GB2312"/>
          <w:color w:val="auto"/>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hint="eastAsia" w:ascii="仿宋_GB2312" w:hAnsi="仿宋" w:eastAsia="仿宋_GB2312" w:cs="仿宋_GB2312"/>
          <w:color w:val="auto"/>
          <w:highlight w:val="none"/>
          <w:lang w:val="en-US" w:eastAsia="zh-CN"/>
        </w:rPr>
        <w:t>4</w:t>
      </w:r>
      <w:r>
        <w:rPr>
          <w:rFonts w:ascii="仿宋_GB2312" w:hAnsi="仿宋" w:eastAsia="仿宋_GB2312" w:cs="仿宋_GB2312"/>
          <w:color w:val="auto"/>
          <w:highlight w:val="none"/>
        </w:rPr>
        <w:t>.3如签订合同并生效后，供应商无故拒绝或延期，除按照合同条款处理外，列入不良行为记录一次，并给予通报。</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hint="eastAsia" w:ascii="仿宋_GB2312" w:hAnsi="仿宋" w:eastAsia="仿宋_GB2312" w:cs="仿宋_GB2312"/>
          <w:color w:val="auto"/>
          <w:highlight w:val="none"/>
          <w:lang w:val="en-US" w:eastAsia="zh-CN"/>
        </w:rPr>
        <w:t>4</w:t>
      </w:r>
      <w:r>
        <w:rPr>
          <w:rFonts w:ascii="仿宋_GB2312" w:hAnsi="仿宋" w:eastAsia="仿宋_GB2312" w:cs="仿宋_GB2312"/>
          <w:color w:val="auto"/>
          <w:highlight w:val="none"/>
        </w:rPr>
        <w:t>.4中标供应</w:t>
      </w:r>
      <w:r>
        <w:rPr>
          <w:rFonts w:hint="eastAsia" w:ascii="仿宋_GB2312" w:hAnsi="仿宋" w:eastAsia="仿宋_GB2312" w:cs="仿宋_GB2312"/>
          <w:color w:val="auto"/>
          <w:highlight w:val="none"/>
        </w:rPr>
        <w:t>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hint="eastAsia" w:ascii="仿宋_GB2312" w:hAnsi="仿宋" w:eastAsia="仿宋_GB2312" w:cs="仿宋_GB2312"/>
          <w:color w:val="auto"/>
          <w:highlight w:val="none"/>
          <w:lang w:val="en-US" w:eastAsia="zh-CN"/>
        </w:rPr>
        <w:t>4</w:t>
      </w:r>
      <w:r>
        <w:rPr>
          <w:rFonts w:ascii="仿宋_GB2312" w:hAnsi="仿宋" w:eastAsia="仿宋_GB2312" w:cs="仿宋_GB2312"/>
          <w:color w:val="auto"/>
          <w:highlight w:val="none"/>
        </w:rPr>
        <w:t>.5采购合同由采购人与中标供应商根据</w:t>
      </w:r>
      <w:r>
        <w:rPr>
          <w:rFonts w:hint="eastAsia" w:ascii="仿宋_GB2312" w:hAnsi="仿宋" w:eastAsia="仿宋_GB2312" w:cs="仿宋_GB2312"/>
          <w:color w:val="auto"/>
          <w:highlight w:val="none"/>
        </w:rPr>
        <w:t>招标文件、投标文件等内容通过政府采购电子交易平台在线签订，自动备案。</w:t>
      </w:r>
    </w:p>
    <w:p>
      <w:pPr>
        <w:pStyle w:val="26"/>
        <w:spacing w:line="360" w:lineRule="auto"/>
        <w:ind w:left="479" w:hanging="479" w:hangingChars="199"/>
        <w:rPr>
          <w:rFonts w:ascii="仿宋_GB2312" w:hAnsi="仿宋" w:eastAsia="仿宋_GB2312" w:cs="仿宋_GB2312"/>
          <w:b/>
          <w:color w:val="auto"/>
          <w:highlight w:val="none"/>
        </w:rPr>
      </w:pPr>
      <w:r>
        <w:rPr>
          <w:rFonts w:ascii="仿宋_GB2312" w:hAnsi="仿宋" w:eastAsia="仿宋_GB2312" w:cs="仿宋_GB2312"/>
          <w:b/>
          <w:color w:val="auto"/>
          <w:highlight w:val="none"/>
        </w:rPr>
        <w:t>2</w:t>
      </w:r>
      <w:r>
        <w:rPr>
          <w:rFonts w:hint="eastAsia" w:ascii="仿宋_GB2312" w:hAnsi="仿宋" w:eastAsia="仿宋_GB2312" w:cs="仿宋_GB2312"/>
          <w:b/>
          <w:color w:val="auto"/>
          <w:highlight w:val="none"/>
          <w:lang w:val="en-US" w:eastAsia="zh-CN"/>
        </w:rPr>
        <w:t>5</w:t>
      </w:r>
      <w:r>
        <w:rPr>
          <w:rFonts w:ascii="仿宋_GB2312" w:hAnsi="仿宋" w:eastAsia="仿宋_GB2312" w:cs="仿宋_GB2312"/>
          <w:b/>
          <w:color w:val="auto"/>
          <w:highlight w:val="none"/>
        </w:rPr>
        <w:t xml:space="preserve">. </w:t>
      </w:r>
      <w:r>
        <w:rPr>
          <w:rFonts w:hint="eastAsia" w:ascii="仿宋_GB2312" w:hAnsi="仿宋" w:eastAsia="仿宋_GB2312" w:cs="仿宋_GB2312"/>
          <w:b/>
          <w:color w:val="auto"/>
          <w:highlight w:val="none"/>
        </w:rPr>
        <w:t>履约保证金</w:t>
      </w:r>
    </w:p>
    <w:p>
      <w:pPr>
        <w:tabs>
          <w:tab w:val="left" w:pos="0"/>
        </w:tabs>
        <w:spacing w:line="360" w:lineRule="auto"/>
        <w:ind w:firstLine="482"/>
        <w:rPr>
          <w:rFonts w:ascii="仿宋_GB2312" w:hAnsi="仿宋" w:eastAsia="仿宋_GB2312"/>
          <w:b/>
          <w:color w:val="auto"/>
          <w:sz w:val="24"/>
          <w:highlight w:val="none"/>
        </w:rPr>
      </w:pPr>
      <w:r>
        <w:rPr>
          <w:rFonts w:hint="eastAsia" w:ascii="仿宋_GB2312" w:hAnsi="仿宋" w:eastAsia="仿宋_GB2312"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_GB2312" w:hAnsi="仿宋" w:eastAsia="仿宋_GB2312"/>
          <w:color w:val="auto"/>
          <w:sz w:val="24"/>
          <w:highlight w:val="none"/>
        </w:rPr>
        <w:t>。履约保证金的数额不得超过政府采购合同金额的</w:t>
      </w:r>
      <w:r>
        <w:rPr>
          <w:rFonts w:hint="eastAsia" w:ascii="仿宋_GB2312" w:hAnsi="仿宋" w:eastAsia="仿宋_GB2312"/>
          <w:color w:val="auto"/>
          <w:sz w:val="24"/>
          <w:highlight w:val="none"/>
          <w:lang w:val="en-US" w:eastAsia="zh-CN"/>
        </w:rPr>
        <w:t>2.</w:t>
      </w:r>
      <w:r>
        <w:rPr>
          <w:rFonts w:ascii="仿宋_GB2312" w:hAnsi="仿宋" w:eastAsia="仿宋_GB2312"/>
          <w:color w:val="auto"/>
          <w:sz w:val="24"/>
          <w:highlight w:val="none"/>
        </w:rPr>
        <w:t>5%。</w:t>
      </w:r>
      <w:r>
        <w:rPr>
          <w:rFonts w:hint="eastAsia" w:ascii="仿宋_GB2312" w:hAnsi="仿宋" w:eastAsia="仿宋_GB2312"/>
          <w:color w:val="auto"/>
          <w:sz w:val="24"/>
          <w:highlight w:val="none"/>
        </w:rPr>
        <w:t>鼓励和支持供应商以银行、保险公司出具的保函形式提供履约保证金。</w:t>
      </w:r>
      <w:r>
        <w:rPr>
          <w:rFonts w:hint="eastAsia" w:ascii="仿宋_GB2312" w:hAnsi="仿宋" w:eastAsia="仿宋_GB2312"/>
          <w:b/>
          <w:color w:val="auto"/>
          <w:sz w:val="24"/>
          <w:highlight w:val="none"/>
        </w:rPr>
        <w:t>采购人不得拒收履约保函。</w:t>
      </w:r>
    </w:p>
    <w:p>
      <w:pPr>
        <w:tabs>
          <w:tab w:val="left" w:pos="0"/>
        </w:tabs>
        <w:spacing w:line="360" w:lineRule="auto"/>
        <w:ind w:firstLine="482"/>
        <w:rPr>
          <w:rFonts w:ascii="仿宋_GB2312" w:hAnsi="仿宋" w:eastAsia="仿宋_GB2312" w:cs="仿宋_GB2312"/>
          <w:color w:val="auto"/>
          <w:sz w:val="24"/>
          <w:szCs w:val="20"/>
          <w:highlight w:val="none"/>
        </w:rPr>
      </w:pPr>
      <w:r>
        <w:rPr>
          <w:rFonts w:hint="eastAsia" w:ascii="仿宋_GB2312" w:hAnsi="仿宋" w:eastAsia="仿宋_GB2312" w:cs="仿宋_GB2312"/>
          <w:color w:val="auto"/>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w:t>
      </w:r>
      <w:r>
        <w:rPr>
          <w:rFonts w:hint="eastAsia" w:ascii="仿宋_GB2312" w:hAnsi="仿宋" w:eastAsia="仿宋_GB2312" w:cs="仿宋_GB2312"/>
          <w:color w:val="auto"/>
          <w:sz w:val="24"/>
          <w:szCs w:val="20"/>
          <w:highlight w:val="none"/>
          <w:lang w:val="en-US" w:eastAsia="zh-CN"/>
        </w:rPr>
        <w:t>1</w:t>
      </w:r>
      <w:r>
        <w:rPr>
          <w:rFonts w:hint="eastAsia" w:ascii="仿宋_GB2312" w:hAnsi="仿宋" w:eastAsia="仿宋_GB2312" w:cs="仿宋_GB2312"/>
          <w:color w:val="auto"/>
          <w:sz w:val="24"/>
          <w:szCs w:val="20"/>
          <w:highlight w:val="none"/>
        </w:rPr>
        <w:t>%；评价总分在90分以下或者暂无评分的，收取履约保证金不得高于合同金额</w:t>
      </w:r>
      <w:r>
        <w:rPr>
          <w:rFonts w:hint="eastAsia" w:ascii="仿宋_GB2312" w:hAnsi="仿宋" w:eastAsia="仿宋_GB2312" w:cs="仿宋_GB2312"/>
          <w:color w:val="auto"/>
          <w:sz w:val="24"/>
          <w:szCs w:val="20"/>
          <w:highlight w:val="none"/>
          <w:lang w:val="en-US" w:eastAsia="zh-CN"/>
        </w:rPr>
        <w:t>2.</w:t>
      </w:r>
      <w:r>
        <w:rPr>
          <w:rFonts w:hint="eastAsia" w:ascii="仿宋_GB2312" w:hAnsi="仿宋" w:eastAsia="仿宋_GB2312" w:cs="仿宋_GB2312"/>
          <w:color w:val="auto"/>
          <w:sz w:val="24"/>
          <w:szCs w:val="20"/>
          <w:highlight w:val="none"/>
        </w:rPr>
        <w:t>5%。</w:t>
      </w:r>
    </w:p>
    <w:p>
      <w:pPr>
        <w:pStyle w:val="6"/>
        <w:ind w:left="0" w:firstLine="480" w:firstLineChars="200"/>
        <w:rPr>
          <w:color w:val="auto"/>
          <w:highlight w:val="none"/>
          <w:lang w:val="en-US"/>
        </w:rPr>
      </w:pPr>
      <w:r>
        <w:rPr>
          <w:rFonts w:hint="eastAsia"/>
          <w:b w:val="0"/>
          <w:bCs w:val="0"/>
          <w:snapToGrid w:val="0"/>
          <w:color w:val="auto"/>
          <w:kern w:val="28"/>
          <w:sz w:val="24"/>
          <w:highlight w:val="none"/>
        </w:rPr>
        <w:t>供应商</w:t>
      </w:r>
      <w:r>
        <w:rPr>
          <w:rFonts w:hint="eastAsia"/>
          <w:b w:val="0"/>
          <w:bCs w:val="0"/>
          <w:snapToGrid w:val="0"/>
          <w:color w:val="auto"/>
          <w:kern w:val="28"/>
          <w:sz w:val="24"/>
          <w:highlight w:val="none"/>
          <w:lang w:val="en-US"/>
        </w:rPr>
        <w:t>可</w:t>
      </w:r>
      <w:r>
        <w:rPr>
          <w:rFonts w:hint="eastAsia"/>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仿宋_GB2312" w:hAnsi="仿宋" w:eastAsia="仿宋_GB2312" w:cs="仿宋_GB2312"/>
          <w:b/>
          <w:color w:val="auto"/>
          <w:sz w:val="32"/>
          <w:highlight w:val="none"/>
        </w:rPr>
      </w:pPr>
    </w:p>
    <w:p>
      <w:pPr>
        <w:snapToGrid w:val="0"/>
        <w:spacing w:line="360" w:lineRule="auto"/>
        <w:ind w:firstLine="3357" w:firstLineChars="1045"/>
        <w:rPr>
          <w:rFonts w:ascii="仿宋_GB2312" w:hAnsi="仿宋" w:eastAsia="仿宋_GB2312"/>
          <w:b/>
          <w:color w:val="auto"/>
          <w:sz w:val="24"/>
          <w:highlight w:val="none"/>
        </w:rPr>
      </w:pPr>
      <w:r>
        <w:rPr>
          <w:rFonts w:hint="eastAsia" w:ascii="仿宋_GB2312" w:hAnsi="仿宋" w:eastAsia="仿宋_GB2312" w:cs="仿宋_GB2312"/>
          <w:b/>
          <w:color w:val="auto"/>
          <w:sz w:val="32"/>
          <w:highlight w:val="none"/>
        </w:rPr>
        <w:t>八、电子交易活动的中止</w:t>
      </w:r>
    </w:p>
    <w:p>
      <w:pPr>
        <w:pStyle w:val="129"/>
        <w:snapToGrid w:val="0"/>
        <w:spacing w:before="0"/>
        <w:ind w:firstLine="0" w:firstLineChars="0"/>
        <w:rPr>
          <w:rFonts w:ascii="仿宋_GB2312" w:hAnsi="仿宋" w:eastAsia="仿宋_GB2312" w:cs="仿宋_GB2312"/>
          <w:color w:val="auto"/>
          <w:highlight w:val="none"/>
        </w:rPr>
      </w:pPr>
      <w:r>
        <w:rPr>
          <w:rFonts w:ascii="仿宋_GB2312" w:hAnsi="仿宋" w:eastAsia="仿宋_GB2312" w:cs="仿宋_GB2312"/>
          <w:b/>
          <w:bCs/>
          <w:color w:val="auto"/>
          <w:highlight w:val="none"/>
        </w:rPr>
        <w:t>2</w:t>
      </w:r>
      <w:r>
        <w:rPr>
          <w:rFonts w:hint="eastAsia" w:ascii="仿宋_GB2312" w:hAnsi="仿宋" w:eastAsia="仿宋_GB2312" w:cs="仿宋_GB2312"/>
          <w:b/>
          <w:bCs/>
          <w:color w:val="auto"/>
          <w:highlight w:val="none"/>
          <w:lang w:val="en-US" w:eastAsia="zh-CN"/>
        </w:rPr>
        <w:t>6</w:t>
      </w:r>
      <w:r>
        <w:rPr>
          <w:rFonts w:ascii="仿宋_GB2312" w:hAnsi="仿宋" w:eastAsia="仿宋_GB2312" w:cs="仿宋_GB2312"/>
          <w:b/>
          <w:bCs/>
          <w:color w:val="auto"/>
          <w:szCs w:val="24"/>
          <w:highlight w:val="none"/>
        </w:rPr>
        <w:t>.</w:t>
      </w:r>
      <w:r>
        <w:rPr>
          <w:rFonts w:ascii="仿宋_GB2312" w:hAnsi="仿宋" w:eastAsia="仿宋_GB2312" w:cs="仿宋_GB2312"/>
          <w:b/>
          <w:color w:val="auto"/>
          <w:szCs w:val="24"/>
          <w:highlight w:val="none"/>
        </w:rPr>
        <w:t xml:space="preserve"> </w:t>
      </w:r>
      <w:r>
        <w:rPr>
          <w:rFonts w:hint="eastAsia" w:ascii="仿宋_GB2312" w:hAnsi="仿宋" w:eastAsia="仿宋_GB2312" w:cs="仿宋_GB2312"/>
          <w:b/>
          <w:color w:val="auto"/>
          <w:szCs w:val="24"/>
          <w:highlight w:val="none"/>
        </w:rPr>
        <w:t>电子交易活动的中止。</w:t>
      </w:r>
      <w:r>
        <w:rPr>
          <w:rFonts w:hint="eastAsia" w:ascii="仿宋_GB2312" w:hAnsi="仿宋" w:eastAsia="仿宋_GB2312" w:cs="仿宋_GB2312"/>
          <w:color w:val="auto"/>
          <w:highlight w:val="none"/>
        </w:rPr>
        <w:t>采购过程中出现以下情形，导致电子交易平台无法正常运行，或者无法保证电子交易的公平、公正和安全时，采购机构可中止电子交易活动：</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hint="eastAsia" w:ascii="仿宋_GB2312" w:hAnsi="仿宋" w:eastAsia="仿宋_GB2312" w:cs="仿宋_GB2312"/>
          <w:color w:val="auto"/>
          <w:highlight w:val="none"/>
          <w:lang w:val="en-US" w:eastAsia="zh-CN"/>
        </w:rPr>
        <w:t>6</w:t>
      </w:r>
      <w:r>
        <w:rPr>
          <w:rFonts w:ascii="仿宋_GB2312" w:hAnsi="仿宋" w:eastAsia="仿宋_GB2312" w:cs="仿宋_GB2312"/>
          <w:color w:val="auto"/>
          <w:highlight w:val="none"/>
        </w:rPr>
        <w:t xml:space="preserve">.1电子交易平台发生故障而无法登录访问的； </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hint="eastAsia" w:ascii="仿宋_GB2312" w:hAnsi="仿宋" w:eastAsia="仿宋_GB2312" w:cs="仿宋_GB2312"/>
          <w:color w:val="auto"/>
          <w:highlight w:val="none"/>
          <w:lang w:val="en-US" w:eastAsia="zh-CN"/>
        </w:rPr>
        <w:t>6</w:t>
      </w:r>
      <w:r>
        <w:rPr>
          <w:rFonts w:ascii="仿宋_GB2312" w:hAnsi="仿宋" w:eastAsia="仿宋_GB2312" w:cs="仿宋_GB2312"/>
          <w:color w:val="auto"/>
          <w:highlight w:val="none"/>
        </w:rPr>
        <w:t>.2电子交易平台应用或数据库出现错误，不能进行正常操作的；</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hint="eastAsia" w:ascii="仿宋_GB2312" w:hAnsi="仿宋" w:eastAsia="仿宋_GB2312" w:cs="仿宋_GB2312"/>
          <w:color w:val="auto"/>
          <w:highlight w:val="none"/>
          <w:lang w:val="en-US" w:eastAsia="zh-CN"/>
        </w:rPr>
        <w:t>6</w:t>
      </w:r>
      <w:r>
        <w:rPr>
          <w:rFonts w:ascii="仿宋_GB2312" w:hAnsi="仿宋" w:eastAsia="仿宋_GB2312" w:cs="仿宋_GB2312"/>
          <w:color w:val="auto"/>
          <w:highlight w:val="none"/>
        </w:rPr>
        <w:t>.3电子交易平台发现严重安全漏洞，有潜在泄密危险的；</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hint="eastAsia" w:ascii="仿宋_GB2312" w:hAnsi="仿宋" w:eastAsia="仿宋_GB2312" w:cs="仿宋_GB2312"/>
          <w:color w:val="auto"/>
          <w:highlight w:val="none"/>
          <w:lang w:val="en-US" w:eastAsia="zh-CN"/>
        </w:rPr>
        <w:t>6</w:t>
      </w:r>
      <w:r>
        <w:rPr>
          <w:rFonts w:ascii="仿宋_GB2312" w:hAnsi="仿宋" w:eastAsia="仿宋_GB2312" w:cs="仿宋_GB2312"/>
          <w:color w:val="auto"/>
          <w:highlight w:val="none"/>
        </w:rPr>
        <w:t xml:space="preserve">.4病毒发作导致不能进行正常操作的； </w:t>
      </w:r>
    </w:p>
    <w:p>
      <w:pPr>
        <w:pStyle w:val="129"/>
        <w:snapToGrid w:val="0"/>
        <w:spacing w:before="0"/>
        <w:ind w:firstLine="480"/>
        <w:rPr>
          <w:rFonts w:ascii="仿宋_GB2312" w:hAnsi="仿宋" w:eastAsia="仿宋_GB2312" w:cs="仿宋_GB2312"/>
          <w:color w:val="auto"/>
          <w:highlight w:val="none"/>
        </w:rPr>
      </w:pPr>
      <w:r>
        <w:rPr>
          <w:rFonts w:ascii="仿宋_GB2312" w:hAnsi="仿宋" w:eastAsia="仿宋_GB2312" w:cs="仿宋_GB2312"/>
          <w:color w:val="auto"/>
          <w:highlight w:val="none"/>
        </w:rPr>
        <w:t>2</w:t>
      </w:r>
      <w:r>
        <w:rPr>
          <w:rFonts w:hint="eastAsia" w:ascii="仿宋_GB2312" w:hAnsi="仿宋" w:eastAsia="仿宋_GB2312" w:cs="仿宋_GB2312"/>
          <w:color w:val="auto"/>
          <w:highlight w:val="none"/>
          <w:lang w:val="en-US" w:eastAsia="zh-CN"/>
        </w:rPr>
        <w:t>6</w:t>
      </w:r>
      <w:r>
        <w:rPr>
          <w:rFonts w:ascii="仿宋_GB2312" w:hAnsi="仿宋" w:eastAsia="仿宋_GB2312" w:cs="仿宋_GB2312"/>
          <w:color w:val="auto"/>
          <w:highlight w:val="none"/>
        </w:rPr>
        <w:t>.5其他无法保证电子交易的公平、公正和安全的情况。</w:t>
      </w:r>
    </w:p>
    <w:p>
      <w:pPr>
        <w:pStyle w:val="129"/>
        <w:snapToGrid w:val="0"/>
        <w:spacing w:before="0"/>
        <w:ind w:firstLine="0" w:firstLineChars="0"/>
        <w:rPr>
          <w:rFonts w:ascii="仿宋_GB2312" w:hAnsi="仿宋" w:eastAsia="仿宋_GB2312" w:cs="仿宋_GB2312"/>
          <w:color w:val="auto"/>
          <w:highlight w:val="none"/>
        </w:rPr>
      </w:pPr>
      <w:r>
        <w:rPr>
          <w:rFonts w:ascii="仿宋_GB2312" w:hAnsi="仿宋" w:eastAsia="仿宋_GB2312" w:cs="仿宋_GB2312"/>
          <w:color w:val="auto"/>
          <w:highlight w:val="none"/>
        </w:rPr>
        <w:t xml:space="preserve"> </w:t>
      </w:r>
      <w:r>
        <w:rPr>
          <w:rFonts w:ascii="仿宋_GB2312" w:hAnsi="仿宋" w:eastAsia="仿宋_GB2312" w:cs="仿宋_GB2312"/>
          <w:b/>
          <w:bCs/>
          <w:color w:val="auto"/>
          <w:highlight w:val="none"/>
        </w:rPr>
        <w:t>2</w:t>
      </w:r>
      <w:r>
        <w:rPr>
          <w:rFonts w:hint="eastAsia" w:ascii="仿宋_GB2312" w:hAnsi="仿宋" w:eastAsia="仿宋_GB2312" w:cs="仿宋_GB2312"/>
          <w:b/>
          <w:bCs/>
          <w:color w:val="auto"/>
          <w:highlight w:val="none"/>
          <w:lang w:val="en-US" w:eastAsia="zh-CN"/>
        </w:rPr>
        <w:t>7</w:t>
      </w:r>
      <w:r>
        <w:rPr>
          <w:rFonts w:ascii="仿宋_GB2312" w:hAnsi="仿宋" w:eastAsia="仿宋_GB2312" w:cs="仿宋_GB2312"/>
          <w:b/>
          <w:bCs/>
          <w:color w:val="auto"/>
          <w:highlight w:val="none"/>
        </w:rPr>
        <w:t>.</w:t>
      </w:r>
      <w:r>
        <w:rPr>
          <w:rFonts w:ascii="仿宋_GB2312" w:hAnsi="仿宋" w:eastAsia="仿宋_GB2312" w:cs="仿宋_GB2312"/>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color w:val="auto"/>
          <w:sz w:val="24"/>
          <w:highlight w:val="none"/>
        </w:rPr>
      </w:pPr>
    </w:p>
    <w:p>
      <w:pPr>
        <w:snapToGrid w:val="0"/>
        <w:spacing w:line="360" w:lineRule="auto"/>
        <w:ind w:left="137" w:leftChars="57" w:firstLine="482" w:firstLineChars="150"/>
        <w:jc w:val="center"/>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九、验收</w:t>
      </w:r>
    </w:p>
    <w:p>
      <w:pPr>
        <w:pStyle w:val="26"/>
        <w:spacing w:line="360" w:lineRule="auto"/>
        <w:ind w:firstLine="0" w:firstLineChars="0"/>
        <w:rPr>
          <w:rFonts w:ascii="仿宋_GB2312" w:hAnsi="仿宋" w:eastAsia="仿宋_GB2312" w:cs="仿宋_GB2312"/>
          <w:b/>
          <w:color w:val="auto"/>
          <w:highlight w:val="none"/>
        </w:rPr>
      </w:pPr>
      <w:r>
        <w:rPr>
          <w:rFonts w:ascii="仿宋_GB2312" w:hAnsi="仿宋" w:eastAsia="仿宋_GB2312" w:cs="仿宋_GB2312"/>
          <w:b/>
          <w:color w:val="auto"/>
          <w:highlight w:val="none"/>
        </w:rPr>
        <w:t>2</w:t>
      </w:r>
      <w:r>
        <w:rPr>
          <w:rFonts w:hint="eastAsia" w:ascii="仿宋_GB2312" w:hAnsi="仿宋" w:eastAsia="仿宋_GB2312" w:cs="仿宋_GB2312"/>
          <w:b/>
          <w:color w:val="auto"/>
          <w:highlight w:val="none"/>
          <w:lang w:val="en-US" w:eastAsia="zh-CN"/>
        </w:rPr>
        <w:t>8</w:t>
      </w:r>
      <w:r>
        <w:rPr>
          <w:rFonts w:ascii="仿宋_GB2312" w:hAnsi="仿宋" w:eastAsia="仿宋_GB2312" w:cs="仿宋_GB2312"/>
          <w:b/>
          <w:color w:val="auto"/>
          <w:highlight w:val="none"/>
        </w:rPr>
        <w:t>.验收</w:t>
      </w:r>
    </w:p>
    <w:p>
      <w:pPr>
        <w:tabs>
          <w:tab w:val="left" w:pos="0"/>
        </w:tabs>
        <w:spacing w:line="360" w:lineRule="auto"/>
        <w:ind w:firstLine="480"/>
        <w:rPr>
          <w:rFonts w:ascii="仿宋_GB2312" w:hAnsi="仿宋" w:eastAsia="仿宋_GB2312" w:cs="Helvetica"/>
          <w:color w:val="auto"/>
          <w:kern w:val="0"/>
          <w:sz w:val="24"/>
          <w:highlight w:val="none"/>
        </w:rPr>
      </w:pPr>
      <w:r>
        <w:rPr>
          <w:rFonts w:ascii="仿宋_GB2312" w:hAnsi="仿宋" w:eastAsia="仿宋_GB2312" w:cs="Helvetica"/>
          <w:color w:val="auto"/>
          <w:kern w:val="0"/>
          <w:sz w:val="24"/>
          <w:highlight w:val="none"/>
        </w:rPr>
        <w:t>2</w:t>
      </w:r>
      <w:r>
        <w:rPr>
          <w:rFonts w:hint="eastAsia" w:ascii="仿宋_GB2312" w:hAnsi="仿宋" w:eastAsia="仿宋_GB2312" w:cs="Helvetica"/>
          <w:color w:val="auto"/>
          <w:kern w:val="0"/>
          <w:sz w:val="24"/>
          <w:highlight w:val="none"/>
          <w:lang w:val="en-US" w:eastAsia="zh-CN"/>
        </w:rPr>
        <w:t>8</w:t>
      </w:r>
      <w:r>
        <w:rPr>
          <w:rFonts w:ascii="仿宋_GB2312" w:hAnsi="仿宋" w:eastAsia="仿宋_GB2312" w:cs="Helvetica"/>
          <w:color w:val="auto"/>
          <w:kern w:val="0"/>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color w:val="auto"/>
          <w:kern w:val="0"/>
          <w:sz w:val="24"/>
          <w:highlight w:val="none"/>
        </w:rPr>
      </w:pPr>
      <w:r>
        <w:rPr>
          <w:rFonts w:ascii="仿宋_GB2312" w:hAnsi="仿宋" w:eastAsia="仿宋_GB2312" w:cs="Helvetica"/>
          <w:color w:val="auto"/>
          <w:kern w:val="0"/>
          <w:sz w:val="24"/>
          <w:highlight w:val="none"/>
        </w:rPr>
        <w:t>2</w:t>
      </w:r>
      <w:r>
        <w:rPr>
          <w:rFonts w:hint="eastAsia" w:ascii="仿宋_GB2312" w:hAnsi="仿宋" w:eastAsia="仿宋_GB2312" w:cs="Helvetica"/>
          <w:color w:val="auto"/>
          <w:kern w:val="0"/>
          <w:sz w:val="24"/>
          <w:highlight w:val="none"/>
          <w:lang w:val="en-US" w:eastAsia="zh-CN"/>
        </w:rPr>
        <w:t>8</w:t>
      </w:r>
      <w:r>
        <w:rPr>
          <w:rFonts w:ascii="仿宋_GB2312" w:hAnsi="仿宋" w:eastAsia="仿宋_GB2312" w:cs="Helvetica"/>
          <w:color w:val="auto"/>
          <w:kern w:val="0"/>
          <w:sz w:val="24"/>
          <w:highlight w:val="none"/>
        </w:rPr>
        <w:t>.2采购人可以邀请参加本项目的其他投标人或者第三方机构参与验收。参与验收的投标人或者第三方机构的意见作为</w:t>
      </w:r>
      <w:r>
        <w:rPr>
          <w:rFonts w:hint="eastAsia" w:ascii="仿宋_GB2312" w:hAnsi="仿宋" w:eastAsia="仿宋_GB2312" w:cs="Helvetica"/>
          <w:color w:val="auto"/>
          <w:kern w:val="0"/>
          <w:sz w:val="24"/>
          <w:highlight w:val="none"/>
        </w:rPr>
        <w:t>验收书的参考资料一并存档。</w:t>
      </w:r>
    </w:p>
    <w:p>
      <w:pPr>
        <w:tabs>
          <w:tab w:val="left" w:pos="0"/>
        </w:tabs>
        <w:spacing w:line="360" w:lineRule="auto"/>
        <w:ind w:firstLine="480"/>
        <w:rPr>
          <w:rFonts w:ascii="仿宋_GB2312" w:hAnsi="仿宋" w:eastAsia="仿宋_GB2312" w:cs="Helvetica"/>
          <w:color w:val="auto"/>
          <w:kern w:val="0"/>
          <w:sz w:val="24"/>
          <w:highlight w:val="none"/>
        </w:rPr>
      </w:pPr>
      <w:r>
        <w:rPr>
          <w:rFonts w:ascii="仿宋_GB2312" w:hAnsi="仿宋" w:eastAsia="仿宋_GB2312" w:cs="Helvetica"/>
          <w:color w:val="auto"/>
          <w:kern w:val="0"/>
          <w:sz w:val="24"/>
          <w:highlight w:val="none"/>
        </w:rPr>
        <w:t>2</w:t>
      </w:r>
      <w:r>
        <w:rPr>
          <w:rFonts w:hint="eastAsia" w:ascii="仿宋_GB2312" w:hAnsi="仿宋" w:eastAsia="仿宋_GB2312" w:cs="Helvetica"/>
          <w:color w:val="auto"/>
          <w:kern w:val="0"/>
          <w:sz w:val="24"/>
          <w:highlight w:val="none"/>
          <w:lang w:val="en-US" w:eastAsia="zh-CN"/>
        </w:rPr>
        <w:t>8</w:t>
      </w:r>
      <w:r>
        <w:rPr>
          <w:rFonts w:ascii="仿宋_GB2312" w:hAnsi="仿宋" w:eastAsia="仿宋_GB2312" w:cs="Helvetica"/>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s="仿宋_GB2312"/>
          <w:color w:val="auto"/>
          <w:sz w:val="18"/>
          <w:szCs w:val="18"/>
          <w:highlight w:val="none"/>
        </w:rPr>
      </w:pPr>
      <w:r>
        <w:rPr>
          <w:rFonts w:ascii="仿宋_GB2312" w:hAnsi="仿宋" w:eastAsia="仿宋_GB2312" w:cs="Helvetica"/>
          <w:color w:val="auto"/>
          <w:kern w:val="0"/>
          <w:sz w:val="24"/>
          <w:highlight w:val="none"/>
        </w:rPr>
        <w:t>2</w:t>
      </w:r>
      <w:r>
        <w:rPr>
          <w:rFonts w:hint="eastAsia" w:ascii="仿宋_GB2312" w:hAnsi="仿宋" w:eastAsia="仿宋_GB2312" w:cs="Helvetica"/>
          <w:color w:val="auto"/>
          <w:kern w:val="0"/>
          <w:sz w:val="24"/>
          <w:highlight w:val="none"/>
          <w:lang w:val="en-US" w:eastAsia="zh-CN"/>
        </w:rPr>
        <w:t>8</w:t>
      </w:r>
      <w:r>
        <w:rPr>
          <w:rFonts w:ascii="仿宋_GB2312" w:hAnsi="仿宋" w:eastAsia="仿宋_GB2312" w:cs="Helvetica"/>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ascii="仿宋_GB2312" w:hAnsi="仿宋" w:eastAsia="仿宋_GB2312" w:cs="Helvetica"/>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74729768"/>
      <w:bookmarkEnd w:id="14"/>
      <w:bookmarkStart w:id="15" w:name="_Hlt74714665"/>
      <w:bookmarkEnd w:id="15"/>
      <w:bookmarkStart w:id="16" w:name="_Hlt74730295"/>
      <w:bookmarkEnd w:id="16"/>
      <w:bookmarkStart w:id="17" w:name="_Hlt68072998"/>
      <w:bookmarkEnd w:id="17"/>
      <w:bookmarkStart w:id="18" w:name="_Hlt75236290"/>
      <w:bookmarkEnd w:id="18"/>
      <w:bookmarkStart w:id="19" w:name="_Hlt68072990"/>
      <w:bookmarkEnd w:id="19"/>
      <w:bookmarkStart w:id="20" w:name="_Hlt68073093"/>
      <w:bookmarkEnd w:id="20"/>
      <w:bookmarkStart w:id="21" w:name="_Hlt74707468"/>
      <w:bookmarkEnd w:id="21"/>
      <w:bookmarkStart w:id="22" w:name="_Hlt75236101"/>
      <w:bookmarkEnd w:id="22"/>
      <w:bookmarkStart w:id="23" w:name="_Hlt75236011"/>
      <w:bookmarkEnd w:id="23"/>
      <w:bookmarkStart w:id="24" w:name="_Hlt68057669"/>
      <w:bookmarkEnd w:id="24"/>
      <w:bookmarkStart w:id="25" w:name="_Hlt68403820"/>
      <w:bookmarkEnd w:id="25"/>
    </w:p>
    <w:bookmarkEnd w:id="11"/>
    <w:bookmarkEnd w:id="12"/>
    <w:p>
      <w:pPr>
        <w:spacing w:line="360" w:lineRule="auto"/>
        <w:jc w:val="center"/>
        <w:outlineLvl w:val="0"/>
        <w:rPr>
          <w:rFonts w:hint="eastAsia" w:ascii="仿宋" w:hAnsi="仿宋" w:eastAsia="仿宋" w:cs="仿宋_GB2312"/>
          <w:b/>
          <w:color w:val="auto"/>
          <w:sz w:val="36"/>
          <w:szCs w:val="36"/>
          <w:highlight w:val="none"/>
        </w:rPr>
      </w:pPr>
      <w:bookmarkStart w:id="26" w:name="第四部分"/>
      <w:r>
        <w:rPr>
          <w:rFonts w:hint="eastAsia" w:ascii="仿宋" w:hAnsi="仿宋" w:eastAsia="仿宋" w:cs="仿宋_GB2312"/>
          <w:b/>
          <w:color w:val="auto"/>
          <w:sz w:val="36"/>
          <w:szCs w:val="36"/>
          <w:highlight w:val="none"/>
        </w:rPr>
        <w:t>第三部分</w:t>
      </w:r>
      <w:r>
        <w:rPr>
          <w:rFonts w:ascii="仿宋" w:hAnsi="仿宋" w:eastAsia="仿宋" w:cs="仿宋_GB2312"/>
          <w:b/>
          <w:color w:val="auto"/>
          <w:sz w:val="36"/>
          <w:szCs w:val="36"/>
          <w:highlight w:val="none"/>
        </w:rPr>
        <w:t xml:space="preserve">   </w:t>
      </w:r>
      <w:r>
        <w:rPr>
          <w:rFonts w:hint="eastAsia" w:ascii="仿宋" w:hAnsi="仿宋" w:eastAsia="仿宋" w:cs="仿宋_GB2312"/>
          <w:b/>
          <w:color w:val="auto"/>
          <w:sz w:val="36"/>
          <w:szCs w:val="36"/>
          <w:highlight w:val="none"/>
        </w:rPr>
        <w:t>采购需求</w:t>
      </w:r>
    </w:p>
    <w:p>
      <w:pPr>
        <w:rPr>
          <w:rFonts w:hint="eastAsia"/>
          <w:color w:val="auto"/>
          <w:highlight w:val="none"/>
          <w:lang w:eastAsia="zh-CN"/>
        </w:rPr>
      </w:pPr>
    </w:p>
    <w:p>
      <w:pPr>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一、项目概况</w:t>
      </w:r>
    </w:p>
    <w:p>
      <w:pPr>
        <w:ind w:right="322" w:rightChars="134" w:firstLine="456" w:firstLineChars="200"/>
        <w:rPr>
          <w:rFonts w:ascii="仿宋" w:hAnsi="仿宋" w:eastAsia="仿宋" w:cs="仿宋"/>
          <w:color w:val="auto"/>
          <w:spacing w:val="-6"/>
          <w:sz w:val="24"/>
          <w:highlight w:val="none"/>
        </w:rPr>
      </w:pPr>
    </w:p>
    <w:p>
      <w:pPr>
        <w:spacing w:line="360" w:lineRule="auto"/>
        <w:ind w:right="322" w:rightChars="134" w:firstLine="456"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本项目包含杭州市钱塘区下沙区块</w:t>
      </w:r>
      <w:r>
        <w:rPr>
          <w:rFonts w:ascii="仿宋" w:hAnsi="仿宋" w:eastAsia="仿宋" w:cs="仿宋"/>
          <w:color w:val="auto"/>
          <w:spacing w:val="-6"/>
          <w:sz w:val="24"/>
          <w:highlight w:val="none"/>
        </w:rPr>
        <w:t>94</w:t>
      </w:r>
      <w:r>
        <w:rPr>
          <w:rFonts w:hint="eastAsia" w:ascii="仿宋" w:hAnsi="仿宋" w:eastAsia="仿宋" w:cs="仿宋"/>
          <w:color w:val="auto"/>
          <w:spacing w:val="-6"/>
          <w:sz w:val="24"/>
          <w:highlight w:val="none"/>
        </w:rPr>
        <w:t>座公厕，一个项目分为三个标段，服务期：一年（暂定</w:t>
      </w:r>
      <w:r>
        <w:rPr>
          <w:rFonts w:ascii="仿宋" w:hAnsi="仿宋" w:eastAsia="仿宋" w:cs="仿宋"/>
          <w:color w:val="auto"/>
          <w:spacing w:val="-6"/>
          <w:sz w:val="24"/>
          <w:highlight w:val="none"/>
        </w:rPr>
        <w:t>2022</w:t>
      </w:r>
      <w:r>
        <w:rPr>
          <w:rFonts w:hint="eastAsia" w:ascii="仿宋" w:hAnsi="仿宋" w:eastAsia="仿宋" w:cs="仿宋"/>
          <w:color w:val="auto"/>
          <w:spacing w:val="-6"/>
          <w:sz w:val="24"/>
          <w:highlight w:val="none"/>
        </w:rPr>
        <w:t>年</w:t>
      </w:r>
      <w:r>
        <w:rPr>
          <w:rFonts w:ascii="仿宋" w:hAnsi="仿宋" w:eastAsia="仿宋" w:cs="仿宋"/>
          <w:color w:val="auto"/>
          <w:spacing w:val="-6"/>
          <w:sz w:val="24"/>
          <w:highlight w:val="none"/>
        </w:rPr>
        <w:t>4</w:t>
      </w:r>
      <w:r>
        <w:rPr>
          <w:rFonts w:hint="eastAsia" w:ascii="仿宋" w:hAnsi="仿宋" w:eastAsia="仿宋" w:cs="仿宋"/>
          <w:color w:val="auto"/>
          <w:spacing w:val="-6"/>
          <w:sz w:val="24"/>
          <w:highlight w:val="none"/>
        </w:rPr>
        <w:t>月</w:t>
      </w:r>
      <w:r>
        <w:rPr>
          <w:rFonts w:ascii="仿宋" w:hAnsi="仿宋" w:eastAsia="仿宋" w:cs="仿宋"/>
          <w:color w:val="auto"/>
          <w:spacing w:val="-6"/>
          <w:sz w:val="24"/>
          <w:highlight w:val="none"/>
        </w:rPr>
        <w:t>16</w:t>
      </w:r>
      <w:r>
        <w:rPr>
          <w:rFonts w:hint="eastAsia" w:ascii="仿宋" w:hAnsi="仿宋" w:eastAsia="仿宋" w:cs="仿宋"/>
          <w:color w:val="auto"/>
          <w:spacing w:val="-6"/>
          <w:sz w:val="24"/>
          <w:highlight w:val="none"/>
        </w:rPr>
        <w:t>日</w:t>
      </w:r>
      <w:r>
        <w:rPr>
          <w:rFonts w:ascii="仿宋" w:hAnsi="仿宋" w:eastAsia="仿宋" w:cs="仿宋"/>
          <w:color w:val="auto"/>
          <w:spacing w:val="-6"/>
          <w:sz w:val="24"/>
          <w:highlight w:val="none"/>
        </w:rPr>
        <w:t>—2023</w:t>
      </w:r>
      <w:r>
        <w:rPr>
          <w:rFonts w:hint="eastAsia" w:ascii="仿宋" w:hAnsi="仿宋" w:eastAsia="仿宋" w:cs="仿宋"/>
          <w:color w:val="auto"/>
          <w:spacing w:val="-6"/>
          <w:sz w:val="24"/>
          <w:highlight w:val="none"/>
        </w:rPr>
        <w:t>年</w:t>
      </w:r>
      <w:r>
        <w:rPr>
          <w:rFonts w:ascii="仿宋" w:hAnsi="仿宋" w:eastAsia="仿宋" w:cs="仿宋"/>
          <w:color w:val="auto"/>
          <w:spacing w:val="-6"/>
          <w:sz w:val="24"/>
          <w:highlight w:val="none"/>
        </w:rPr>
        <w:t>4</w:t>
      </w:r>
      <w:r>
        <w:rPr>
          <w:rFonts w:hint="eastAsia" w:ascii="仿宋" w:hAnsi="仿宋" w:eastAsia="仿宋" w:cs="仿宋"/>
          <w:color w:val="auto"/>
          <w:spacing w:val="-6"/>
          <w:sz w:val="24"/>
          <w:highlight w:val="none"/>
        </w:rPr>
        <w:t>月</w:t>
      </w:r>
      <w:r>
        <w:rPr>
          <w:rFonts w:ascii="仿宋" w:hAnsi="仿宋" w:eastAsia="仿宋" w:cs="仿宋"/>
          <w:color w:val="auto"/>
          <w:spacing w:val="-6"/>
          <w:sz w:val="24"/>
          <w:highlight w:val="none"/>
        </w:rPr>
        <w:t>15</w:t>
      </w:r>
      <w:r>
        <w:rPr>
          <w:rFonts w:hint="eastAsia" w:ascii="仿宋" w:hAnsi="仿宋" w:eastAsia="仿宋" w:cs="仿宋"/>
          <w:color w:val="auto"/>
          <w:spacing w:val="-6"/>
          <w:sz w:val="24"/>
          <w:highlight w:val="none"/>
        </w:rPr>
        <w:t>日；管理标准按照杭州市清洁度考核标准要求，按照杭州市统一的星级公厕要求进行管理，按照上一期市场化招标限价每坑位</w:t>
      </w:r>
      <w:r>
        <w:rPr>
          <w:rFonts w:ascii="仿宋" w:hAnsi="仿宋" w:eastAsia="仿宋" w:cs="仿宋"/>
          <w:color w:val="auto"/>
          <w:spacing w:val="-6"/>
          <w:sz w:val="24"/>
          <w:highlight w:val="none"/>
        </w:rPr>
        <w:t>1.0023</w:t>
      </w:r>
      <w:r>
        <w:rPr>
          <w:rFonts w:hint="eastAsia" w:ascii="仿宋" w:hAnsi="仿宋" w:eastAsia="仿宋" w:cs="仿宋"/>
          <w:color w:val="auto"/>
          <w:spacing w:val="-6"/>
          <w:sz w:val="24"/>
          <w:highlight w:val="none"/>
        </w:rPr>
        <w:t>万元，作为本次限价进行招标，</w:t>
      </w:r>
      <w:r>
        <w:rPr>
          <w:rFonts w:ascii="仿宋" w:hAnsi="仿宋" w:eastAsia="仿宋" w:cs="仿宋"/>
          <w:color w:val="auto"/>
          <w:spacing w:val="-6"/>
          <w:sz w:val="24"/>
          <w:highlight w:val="none"/>
        </w:rPr>
        <w:t>94</w:t>
      </w:r>
      <w:r>
        <w:rPr>
          <w:rFonts w:hint="eastAsia" w:ascii="仿宋" w:hAnsi="仿宋" w:eastAsia="仿宋" w:cs="仿宋"/>
          <w:color w:val="auto"/>
          <w:spacing w:val="-6"/>
          <w:sz w:val="24"/>
          <w:highlight w:val="none"/>
        </w:rPr>
        <w:t>座公厕实际坑位总数为</w:t>
      </w:r>
      <w:r>
        <w:rPr>
          <w:rFonts w:ascii="仿宋" w:hAnsi="仿宋" w:eastAsia="仿宋" w:cs="仿宋"/>
          <w:color w:val="auto"/>
          <w:spacing w:val="-6"/>
          <w:sz w:val="24"/>
          <w:highlight w:val="none"/>
        </w:rPr>
        <w:t>1122.5</w:t>
      </w:r>
      <w:r>
        <w:rPr>
          <w:rFonts w:hint="eastAsia" w:ascii="仿宋" w:hAnsi="仿宋" w:eastAsia="仿宋" w:cs="仿宋"/>
          <w:color w:val="auto"/>
          <w:spacing w:val="-6"/>
          <w:sz w:val="24"/>
          <w:highlight w:val="none"/>
        </w:rPr>
        <w:t>个（小便池按</w:t>
      </w:r>
      <w:r>
        <w:rPr>
          <w:rFonts w:ascii="仿宋" w:hAnsi="仿宋" w:eastAsia="仿宋" w:cs="仿宋"/>
          <w:color w:val="auto"/>
          <w:spacing w:val="-6"/>
          <w:sz w:val="24"/>
          <w:highlight w:val="none"/>
        </w:rPr>
        <w:t>0.5</w:t>
      </w:r>
      <w:r>
        <w:rPr>
          <w:rFonts w:hint="eastAsia" w:ascii="仿宋" w:hAnsi="仿宋" w:eastAsia="仿宋" w:cs="仿宋"/>
          <w:color w:val="auto"/>
          <w:spacing w:val="-6"/>
          <w:sz w:val="24"/>
          <w:highlight w:val="none"/>
        </w:rPr>
        <w:t>个坑位），一年总经费为</w:t>
      </w:r>
      <w:r>
        <w:rPr>
          <w:rFonts w:ascii="仿宋" w:hAnsi="仿宋" w:eastAsia="仿宋" w:cs="仿宋"/>
          <w:color w:val="auto"/>
          <w:spacing w:val="-6"/>
          <w:sz w:val="24"/>
          <w:highlight w:val="none"/>
        </w:rPr>
        <w:t>1125.0817</w:t>
      </w:r>
      <w:r>
        <w:rPr>
          <w:rFonts w:hint="eastAsia" w:ascii="仿宋" w:hAnsi="仿宋" w:eastAsia="仿宋" w:cs="仿宋"/>
          <w:color w:val="auto"/>
          <w:spacing w:val="-6"/>
          <w:sz w:val="24"/>
          <w:highlight w:val="none"/>
        </w:rPr>
        <w:t>万元，投标人需按年报价，具体三标细分如下：</w:t>
      </w:r>
    </w:p>
    <w:p>
      <w:pPr>
        <w:spacing w:line="360" w:lineRule="auto"/>
        <w:ind w:right="322" w:rightChars="134" w:firstLine="456"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一标：钱塘区下沙区块（</w:t>
      </w:r>
      <w:r>
        <w:rPr>
          <w:rFonts w:ascii="仿宋" w:hAnsi="仿宋" w:eastAsia="仿宋" w:cs="仿宋"/>
          <w:color w:val="auto"/>
          <w:spacing w:val="-6"/>
          <w:sz w:val="24"/>
          <w:highlight w:val="none"/>
        </w:rPr>
        <w:t>2</w:t>
      </w:r>
      <w:r>
        <w:rPr>
          <w:rFonts w:hint="eastAsia" w:ascii="仿宋" w:hAnsi="仿宋" w:eastAsia="仿宋" w:cs="仿宋"/>
          <w:color w:val="auto"/>
          <w:spacing w:val="-6"/>
          <w:sz w:val="24"/>
          <w:highlight w:val="none"/>
        </w:rPr>
        <w:t>号大街以北区域</w:t>
      </w:r>
      <w:r>
        <w:rPr>
          <w:rFonts w:ascii="仿宋" w:hAnsi="仿宋" w:eastAsia="仿宋" w:cs="仿宋"/>
          <w:color w:val="auto"/>
          <w:spacing w:val="-6"/>
          <w:sz w:val="24"/>
          <w:highlight w:val="none"/>
        </w:rPr>
        <w:t>35</w:t>
      </w:r>
      <w:r>
        <w:rPr>
          <w:rFonts w:hint="eastAsia" w:ascii="仿宋" w:hAnsi="仿宋" w:eastAsia="仿宋" w:cs="仿宋"/>
          <w:color w:val="auto"/>
          <w:spacing w:val="-6"/>
          <w:sz w:val="24"/>
          <w:highlight w:val="none"/>
        </w:rPr>
        <w:t>座公厕），实际坑位为</w:t>
      </w:r>
      <w:r>
        <w:rPr>
          <w:rFonts w:ascii="仿宋" w:hAnsi="仿宋" w:eastAsia="仿宋" w:cs="仿宋"/>
          <w:color w:val="auto"/>
          <w:spacing w:val="-6"/>
          <w:sz w:val="24"/>
          <w:highlight w:val="none"/>
        </w:rPr>
        <w:t>433</w:t>
      </w:r>
      <w:r>
        <w:rPr>
          <w:rFonts w:hint="eastAsia" w:ascii="仿宋" w:hAnsi="仿宋" w:eastAsia="仿宋" w:cs="仿宋"/>
          <w:color w:val="auto"/>
          <w:spacing w:val="-6"/>
          <w:sz w:val="24"/>
          <w:highlight w:val="none"/>
        </w:rPr>
        <w:t>个（小便池按</w:t>
      </w:r>
      <w:r>
        <w:rPr>
          <w:rFonts w:ascii="仿宋" w:hAnsi="仿宋" w:eastAsia="仿宋" w:cs="仿宋"/>
          <w:color w:val="auto"/>
          <w:spacing w:val="-6"/>
          <w:sz w:val="24"/>
          <w:highlight w:val="none"/>
        </w:rPr>
        <w:t>0.5</w:t>
      </w:r>
      <w:r>
        <w:rPr>
          <w:rFonts w:hint="eastAsia" w:ascii="仿宋" w:hAnsi="仿宋" w:eastAsia="仿宋" w:cs="仿宋"/>
          <w:color w:val="auto"/>
          <w:spacing w:val="-6"/>
          <w:sz w:val="24"/>
          <w:highlight w:val="none"/>
        </w:rPr>
        <w:t>个坑位），一年经费为</w:t>
      </w:r>
      <w:r>
        <w:rPr>
          <w:rFonts w:ascii="仿宋" w:hAnsi="仿宋" w:eastAsia="仿宋" w:cs="仿宋"/>
          <w:color w:val="auto"/>
          <w:spacing w:val="-6"/>
          <w:sz w:val="24"/>
          <w:highlight w:val="none"/>
        </w:rPr>
        <w:t>433.9959</w:t>
      </w:r>
      <w:r>
        <w:rPr>
          <w:rFonts w:hint="eastAsia" w:ascii="仿宋" w:hAnsi="仿宋" w:eastAsia="仿宋" w:cs="仿宋"/>
          <w:color w:val="auto"/>
          <w:spacing w:val="-6"/>
          <w:sz w:val="24"/>
          <w:highlight w:val="none"/>
        </w:rPr>
        <w:t>万元。</w:t>
      </w:r>
    </w:p>
    <w:p>
      <w:pPr>
        <w:spacing w:line="360" w:lineRule="auto"/>
        <w:ind w:right="322" w:rightChars="134" w:firstLine="456"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二标：钱塘区下沙区块（</w:t>
      </w:r>
      <w:r>
        <w:rPr>
          <w:rFonts w:ascii="仿宋" w:hAnsi="仿宋" w:eastAsia="仿宋" w:cs="仿宋"/>
          <w:color w:val="auto"/>
          <w:spacing w:val="-6"/>
          <w:sz w:val="24"/>
          <w:highlight w:val="none"/>
        </w:rPr>
        <w:t>2</w:t>
      </w:r>
      <w:r>
        <w:rPr>
          <w:rFonts w:hint="eastAsia" w:ascii="仿宋" w:hAnsi="仿宋" w:eastAsia="仿宋" w:cs="仿宋"/>
          <w:color w:val="auto"/>
          <w:spacing w:val="-6"/>
          <w:sz w:val="24"/>
          <w:highlight w:val="none"/>
        </w:rPr>
        <w:t>号大街以南，</w:t>
      </w:r>
      <w:r>
        <w:rPr>
          <w:rFonts w:ascii="仿宋" w:hAnsi="仿宋" w:eastAsia="仿宋" w:cs="仿宋"/>
          <w:color w:val="auto"/>
          <w:spacing w:val="-6"/>
          <w:sz w:val="24"/>
          <w:highlight w:val="none"/>
        </w:rPr>
        <w:t>15</w:t>
      </w:r>
      <w:r>
        <w:rPr>
          <w:rFonts w:hint="eastAsia" w:ascii="仿宋" w:hAnsi="仿宋" w:eastAsia="仿宋" w:cs="仿宋"/>
          <w:color w:val="auto"/>
          <w:spacing w:val="-6"/>
          <w:sz w:val="24"/>
          <w:highlight w:val="none"/>
        </w:rPr>
        <w:t>号大街以西区域</w:t>
      </w:r>
      <w:r>
        <w:rPr>
          <w:rFonts w:ascii="仿宋" w:hAnsi="仿宋" w:eastAsia="仿宋" w:cs="仿宋"/>
          <w:color w:val="auto"/>
          <w:spacing w:val="-6"/>
          <w:sz w:val="24"/>
          <w:highlight w:val="none"/>
        </w:rPr>
        <w:t>35</w:t>
      </w:r>
      <w:r>
        <w:rPr>
          <w:rFonts w:hint="eastAsia" w:ascii="仿宋" w:hAnsi="仿宋" w:eastAsia="仿宋" w:cs="仿宋"/>
          <w:color w:val="auto"/>
          <w:spacing w:val="-6"/>
          <w:sz w:val="24"/>
          <w:highlight w:val="none"/>
        </w:rPr>
        <w:t>公厕），实际坑位为</w:t>
      </w:r>
      <w:r>
        <w:rPr>
          <w:rFonts w:ascii="仿宋" w:hAnsi="仿宋" w:eastAsia="仿宋" w:cs="仿宋"/>
          <w:color w:val="auto"/>
          <w:spacing w:val="-6"/>
          <w:sz w:val="24"/>
          <w:highlight w:val="none"/>
        </w:rPr>
        <w:t>411.5</w:t>
      </w:r>
      <w:r>
        <w:rPr>
          <w:rFonts w:hint="eastAsia" w:ascii="仿宋" w:hAnsi="仿宋" w:eastAsia="仿宋" w:cs="仿宋"/>
          <w:color w:val="auto"/>
          <w:spacing w:val="-6"/>
          <w:sz w:val="24"/>
          <w:highlight w:val="none"/>
        </w:rPr>
        <w:t>个（小便池按</w:t>
      </w:r>
      <w:r>
        <w:rPr>
          <w:rFonts w:ascii="仿宋" w:hAnsi="仿宋" w:eastAsia="仿宋" w:cs="仿宋"/>
          <w:color w:val="auto"/>
          <w:spacing w:val="-6"/>
          <w:sz w:val="24"/>
          <w:highlight w:val="none"/>
        </w:rPr>
        <w:t>0.5</w:t>
      </w:r>
      <w:r>
        <w:rPr>
          <w:rFonts w:hint="eastAsia" w:ascii="仿宋" w:hAnsi="仿宋" w:eastAsia="仿宋" w:cs="仿宋"/>
          <w:color w:val="auto"/>
          <w:spacing w:val="-6"/>
          <w:sz w:val="24"/>
          <w:highlight w:val="none"/>
        </w:rPr>
        <w:t>个坑位），一年经费为</w:t>
      </w:r>
      <w:r>
        <w:rPr>
          <w:rFonts w:ascii="仿宋" w:hAnsi="仿宋" w:eastAsia="仿宋" w:cs="仿宋"/>
          <w:color w:val="auto"/>
          <w:spacing w:val="-6"/>
          <w:sz w:val="24"/>
          <w:highlight w:val="none"/>
        </w:rPr>
        <w:t>412.4464</w:t>
      </w:r>
      <w:r>
        <w:rPr>
          <w:rFonts w:hint="eastAsia" w:ascii="仿宋" w:hAnsi="仿宋" w:eastAsia="仿宋" w:cs="仿宋"/>
          <w:color w:val="auto"/>
          <w:spacing w:val="-6"/>
          <w:sz w:val="24"/>
          <w:highlight w:val="none"/>
        </w:rPr>
        <w:t>万元。</w:t>
      </w:r>
    </w:p>
    <w:p>
      <w:pPr>
        <w:spacing w:line="360" w:lineRule="auto"/>
        <w:ind w:right="322" w:rightChars="134" w:firstLine="456"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三标：钱塘区下沙区块（</w:t>
      </w:r>
      <w:r>
        <w:rPr>
          <w:rFonts w:ascii="仿宋" w:hAnsi="仿宋" w:eastAsia="仿宋" w:cs="仿宋"/>
          <w:color w:val="auto"/>
          <w:spacing w:val="-6"/>
          <w:sz w:val="24"/>
          <w:highlight w:val="none"/>
        </w:rPr>
        <w:t>2</w:t>
      </w:r>
      <w:r>
        <w:rPr>
          <w:rFonts w:hint="eastAsia" w:ascii="仿宋" w:hAnsi="仿宋" w:eastAsia="仿宋" w:cs="仿宋"/>
          <w:color w:val="auto"/>
          <w:spacing w:val="-6"/>
          <w:sz w:val="24"/>
          <w:highlight w:val="none"/>
        </w:rPr>
        <w:t>号大街以南，</w:t>
      </w:r>
      <w:r>
        <w:rPr>
          <w:rFonts w:ascii="仿宋" w:hAnsi="仿宋" w:eastAsia="仿宋" w:cs="仿宋"/>
          <w:color w:val="auto"/>
          <w:spacing w:val="-6"/>
          <w:sz w:val="24"/>
          <w:highlight w:val="none"/>
        </w:rPr>
        <w:t>15</w:t>
      </w:r>
      <w:r>
        <w:rPr>
          <w:rFonts w:hint="eastAsia" w:ascii="仿宋" w:hAnsi="仿宋" w:eastAsia="仿宋" w:cs="仿宋"/>
          <w:color w:val="auto"/>
          <w:spacing w:val="-6"/>
          <w:sz w:val="24"/>
          <w:highlight w:val="none"/>
        </w:rPr>
        <w:t>号大街以东区域</w:t>
      </w:r>
      <w:r>
        <w:rPr>
          <w:rFonts w:ascii="仿宋" w:hAnsi="仿宋" w:eastAsia="仿宋" w:cs="仿宋"/>
          <w:color w:val="auto"/>
          <w:spacing w:val="-6"/>
          <w:sz w:val="24"/>
          <w:highlight w:val="none"/>
        </w:rPr>
        <w:t>24</w:t>
      </w:r>
      <w:r>
        <w:rPr>
          <w:rFonts w:hint="eastAsia" w:ascii="仿宋" w:hAnsi="仿宋" w:eastAsia="仿宋" w:cs="仿宋"/>
          <w:color w:val="auto"/>
          <w:spacing w:val="-6"/>
          <w:sz w:val="24"/>
          <w:highlight w:val="none"/>
        </w:rPr>
        <w:t>公厕，实际坑位为</w:t>
      </w:r>
      <w:r>
        <w:rPr>
          <w:rFonts w:ascii="仿宋" w:hAnsi="仿宋" w:eastAsia="仿宋" w:cs="仿宋"/>
          <w:color w:val="auto"/>
          <w:spacing w:val="-6"/>
          <w:sz w:val="24"/>
          <w:highlight w:val="none"/>
        </w:rPr>
        <w:t>278</w:t>
      </w:r>
      <w:r>
        <w:rPr>
          <w:rFonts w:hint="eastAsia" w:ascii="仿宋" w:hAnsi="仿宋" w:eastAsia="仿宋" w:cs="仿宋"/>
          <w:color w:val="auto"/>
          <w:spacing w:val="-6"/>
          <w:sz w:val="24"/>
          <w:highlight w:val="none"/>
        </w:rPr>
        <w:t>个（小便池按</w:t>
      </w:r>
      <w:r>
        <w:rPr>
          <w:rFonts w:ascii="仿宋" w:hAnsi="仿宋" w:eastAsia="仿宋" w:cs="仿宋"/>
          <w:color w:val="auto"/>
          <w:spacing w:val="-6"/>
          <w:sz w:val="24"/>
          <w:highlight w:val="none"/>
        </w:rPr>
        <w:t>0.5</w:t>
      </w:r>
      <w:r>
        <w:rPr>
          <w:rFonts w:hint="eastAsia" w:ascii="仿宋" w:hAnsi="仿宋" w:eastAsia="仿宋" w:cs="仿宋"/>
          <w:color w:val="auto"/>
          <w:spacing w:val="-6"/>
          <w:sz w:val="24"/>
          <w:highlight w:val="none"/>
        </w:rPr>
        <w:t>个坑位），一年经费为</w:t>
      </w:r>
      <w:r>
        <w:rPr>
          <w:rFonts w:ascii="仿宋" w:hAnsi="仿宋" w:eastAsia="仿宋" w:cs="仿宋"/>
          <w:color w:val="auto"/>
          <w:spacing w:val="-6"/>
          <w:sz w:val="28"/>
          <w:szCs w:val="28"/>
          <w:highlight w:val="none"/>
        </w:rPr>
        <w:t>278.6394</w:t>
      </w:r>
      <w:r>
        <w:rPr>
          <w:rFonts w:hint="eastAsia" w:ascii="仿宋" w:hAnsi="仿宋" w:eastAsia="仿宋" w:cs="仿宋"/>
          <w:color w:val="auto"/>
          <w:spacing w:val="-6"/>
          <w:sz w:val="24"/>
          <w:highlight w:val="none"/>
        </w:rPr>
        <w:t>万元。</w:t>
      </w:r>
    </w:p>
    <w:p>
      <w:pPr>
        <w:ind w:right="322" w:rightChars="134" w:firstLine="480" w:firstLineChars="200"/>
        <w:rPr>
          <w:rFonts w:ascii="仿宋" w:hAnsi="仿宋" w:eastAsia="仿宋" w:cs="仿宋"/>
          <w:color w:val="auto"/>
          <w:sz w:val="24"/>
          <w:highlight w:val="none"/>
        </w:rPr>
      </w:pPr>
    </w:p>
    <w:p>
      <w:pPr>
        <w:jc w:val="center"/>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公厕分布及数量</w:t>
      </w:r>
    </w:p>
    <w:tbl>
      <w:tblPr>
        <w:tblStyle w:val="62"/>
        <w:tblW w:w="8655" w:type="dxa"/>
        <w:tblInd w:w="0" w:type="dxa"/>
        <w:tblLayout w:type="autofit"/>
        <w:tblCellMar>
          <w:top w:w="0" w:type="dxa"/>
          <w:left w:w="0" w:type="dxa"/>
          <w:bottom w:w="0" w:type="dxa"/>
          <w:right w:w="0" w:type="dxa"/>
        </w:tblCellMar>
      </w:tblPr>
      <w:tblGrid>
        <w:gridCol w:w="930"/>
        <w:gridCol w:w="3255"/>
        <w:gridCol w:w="1410"/>
        <w:gridCol w:w="1275"/>
        <w:gridCol w:w="1785"/>
      </w:tblGrid>
      <w:tr>
        <w:tblPrEx>
          <w:tblCellMar>
            <w:top w:w="0" w:type="dxa"/>
            <w:left w:w="0" w:type="dxa"/>
            <w:bottom w:w="0" w:type="dxa"/>
            <w:right w:w="0" w:type="dxa"/>
          </w:tblCellMar>
        </w:tblPrEx>
        <w:trPr>
          <w:trHeight w:val="560" w:hRule="atLeast"/>
        </w:trPr>
        <w:tc>
          <w:tcPr>
            <w:tcW w:w="8655" w:type="dxa"/>
            <w:gridSpan w:val="5"/>
            <w:tcBorders>
              <w:top w:val="nil"/>
              <w:left w:val="nil"/>
              <w:bottom w:val="nil"/>
              <w:right w:val="nil"/>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杭州钱塘区公共卫生间物业化管理服务北部区块</w:t>
            </w:r>
            <w:r>
              <w:rPr>
                <w:rFonts w:ascii="仿宋" w:hAnsi="仿宋" w:eastAsia="仿宋" w:cs="仿宋"/>
                <w:b/>
                <w:color w:val="auto"/>
                <w:kern w:val="0"/>
                <w:sz w:val="24"/>
                <w:highlight w:val="none"/>
              </w:rPr>
              <w:t>(</w:t>
            </w:r>
            <w:r>
              <w:rPr>
                <w:rFonts w:hint="eastAsia" w:ascii="仿宋" w:hAnsi="仿宋" w:eastAsia="仿宋" w:cs="仿宋"/>
                <w:b/>
                <w:color w:val="auto"/>
                <w:kern w:val="0"/>
                <w:sz w:val="24"/>
                <w:highlight w:val="none"/>
              </w:rPr>
              <w:t>一标）</w:t>
            </w:r>
          </w:p>
        </w:tc>
      </w:tr>
      <w:tr>
        <w:tblPrEx>
          <w:tblCellMar>
            <w:top w:w="0" w:type="dxa"/>
            <w:left w:w="0" w:type="dxa"/>
            <w:bottom w:w="0" w:type="dxa"/>
            <w:right w:w="0" w:type="dxa"/>
          </w:tblCellMar>
        </w:tblPrEx>
        <w:trPr>
          <w:trHeight w:val="46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序号</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公厕名称</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坑位数（个）</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保洁等级</w:t>
            </w:r>
          </w:p>
        </w:tc>
        <w:tc>
          <w:tcPr>
            <w:tcW w:w="17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备注</w:t>
            </w: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文海北路</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学源街公厕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9</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钱塘区下沙区块北部区块（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号大街以北）</w:t>
            </w: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沿江大道</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学林街公厕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11</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3</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文澜路</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学源街公厕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12.5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4</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学府路公厕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8</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5</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文津学林公厕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19</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6</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文海北路</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德胜路公厕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11.5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7</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宋都东郡国际水云街公厕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13</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8</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保利城市果岭公厕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12</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9</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宋都东郡国际公厕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14</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10</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碧桂园（西门）公厕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12</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11</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碧桂园（东门）公厕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13</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12</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宋都东郡国际</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期公厕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10.5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13</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松乔街</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松下公司对面公厕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10.5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14</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水云街</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云涛北路东南侧</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13</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15</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高教东公园公厕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11</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16</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高教西公园公厕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11</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17</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保利像素公厕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12.5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18</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汇澜公寓公厕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14</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19</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锦阳人力公厕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20</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中粮包装公厕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11.5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21</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元成东城大厦公厕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12.5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22</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湾南德盛东苑公厕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13.5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23</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高教文溯站公厕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12.5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24</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高沙文渊大厦公厕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13</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25</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文盛公寓公厕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11</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26</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高沙市场公厕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9</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27</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新沙家园公厕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10</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28</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铭和苑公厕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16.5</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29</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龙湖艳澜公厕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12</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30</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龙湖三期公厕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11</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31</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松合小区公厕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19</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32</w:t>
            </w:r>
          </w:p>
        </w:tc>
        <w:tc>
          <w:tcPr>
            <w:tcW w:w="32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学林铭城公厕</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11</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80" w:hRule="atLeast"/>
        </w:trPr>
        <w:tc>
          <w:tcPr>
            <w:tcW w:w="9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33</w:t>
            </w:r>
          </w:p>
        </w:tc>
        <w:tc>
          <w:tcPr>
            <w:tcW w:w="325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学源大厦北门公厕</w:t>
            </w:r>
          </w:p>
        </w:tc>
        <w:tc>
          <w:tcPr>
            <w:tcW w:w="141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13.5</w:t>
            </w:r>
          </w:p>
        </w:tc>
        <w:tc>
          <w:tcPr>
            <w:tcW w:w="127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44" w:hRule="atLeast"/>
        </w:trPr>
        <w:tc>
          <w:tcPr>
            <w:tcW w:w="930"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34</w:t>
            </w:r>
          </w:p>
        </w:tc>
        <w:tc>
          <w:tcPr>
            <w:tcW w:w="3255"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hint="eastAsia" w:ascii="仿宋" w:hAnsi="仿宋" w:eastAsia="仿宋"/>
                <w:color w:val="auto"/>
                <w:highlight w:val="none"/>
              </w:rPr>
              <w:t>百翘香江公厕</w:t>
            </w:r>
          </w:p>
        </w:tc>
        <w:tc>
          <w:tcPr>
            <w:tcW w:w="1410"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13.5</w:t>
            </w:r>
          </w:p>
        </w:tc>
        <w:tc>
          <w:tcPr>
            <w:tcW w:w="1275" w:type="dxa"/>
            <w:tcBorders>
              <w:top w:val="single" w:color="auto" w:sz="4" w:space="0"/>
              <w:left w:val="single" w:color="000000" w:sz="4" w:space="0"/>
              <w:bottom w:val="single" w:color="auto" w:sz="4" w:space="0"/>
              <w:right w:val="single" w:color="000000" w:sz="4" w:space="0"/>
            </w:tcBorders>
            <w:tcMar>
              <w:top w:w="15" w:type="dxa"/>
              <w:left w:w="15" w:type="dxa"/>
              <w:right w:w="15" w:type="dxa"/>
            </w:tcMar>
          </w:tcPr>
          <w:p>
            <w:pPr>
              <w:jc w:val="center"/>
              <w:rPr>
                <w:color w:val="auto"/>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68" w:hRule="atLeast"/>
        </w:trPr>
        <w:tc>
          <w:tcPr>
            <w:tcW w:w="93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35</w:t>
            </w:r>
          </w:p>
        </w:tc>
        <w:tc>
          <w:tcPr>
            <w:tcW w:w="325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hint="eastAsia" w:ascii="仿宋" w:hAnsi="仿宋" w:eastAsia="仿宋"/>
                <w:color w:val="auto"/>
                <w:highlight w:val="none"/>
              </w:rPr>
              <w:t>听澜越府公厕</w:t>
            </w:r>
          </w:p>
        </w:tc>
        <w:tc>
          <w:tcPr>
            <w:tcW w:w="141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sz w:val="24"/>
                <w:highlight w:val="none"/>
              </w:rPr>
              <w:t>16</w:t>
            </w:r>
          </w:p>
        </w:tc>
        <w:tc>
          <w:tcPr>
            <w:tcW w:w="127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tcPr>
          <w:p>
            <w:pPr>
              <w:jc w:val="center"/>
              <w:rPr>
                <w:color w:val="auto"/>
                <w:highlight w:val="none"/>
              </w:rPr>
            </w:pPr>
            <w:r>
              <w:rPr>
                <w:rFonts w:hint="eastAsia" w:ascii="仿宋" w:hAnsi="仿宋" w:eastAsia="仿宋" w:cs="仿宋"/>
                <w:color w:val="auto"/>
                <w:kern w:val="0"/>
                <w:sz w:val="24"/>
                <w:highlight w:val="none"/>
              </w:rPr>
              <w:t>三星级</w:t>
            </w:r>
          </w:p>
        </w:tc>
        <w:tc>
          <w:tcPr>
            <w:tcW w:w="178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580" w:hRule="atLeast"/>
        </w:trPr>
        <w:tc>
          <w:tcPr>
            <w:tcW w:w="418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小计</w:t>
            </w:r>
          </w:p>
        </w:tc>
        <w:tc>
          <w:tcPr>
            <w:tcW w:w="14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ascii="仿宋" w:hAnsi="仿宋" w:eastAsia="仿宋" w:cs="仿宋"/>
                <w:b/>
                <w:color w:val="auto"/>
                <w:kern w:val="0"/>
                <w:sz w:val="24"/>
                <w:highlight w:val="none"/>
              </w:rPr>
              <w:t>433</w:t>
            </w:r>
          </w:p>
        </w:tc>
        <w:tc>
          <w:tcPr>
            <w:tcW w:w="12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b/>
                <w:color w:val="auto"/>
                <w:sz w:val="24"/>
                <w:highlight w:val="none"/>
              </w:rPr>
            </w:pPr>
          </w:p>
        </w:tc>
        <w:tc>
          <w:tcPr>
            <w:tcW w:w="17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p>
        </w:tc>
      </w:tr>
    </w:tbl>
    <w:p>
      <w:pPr>
        <w:jc w:val="center"/>
        <w:rPr>
          <w:rFonts w:ascii="仿宋" w:hAnsi="仿宋" w:eastAsia="仿宋" w:cs="仿宋"/>
          <w:b/>
          <w:color w:val="auto"/>
          <w:spacing w:val="-6"/>
          <w:sz w:val="24"/>
          <w:highlight w:val="none"/>
        </w:rPr>
      </w:pPr>
    </w:p>
    <w:p>
      <w:pPr>
        <w:jc w:val="center"/>
        <w:rPr>
          <w:rFonts w:ascii="仿宋" w:hAnsi="仿宋" w:eastAsia="仿宋" w:cs="仿宋"/>
          <w:b/>
          <w:color w:val="auto"/>
          <w:spacing w:val="-6"/>
          <w:sz w:val="24"/>
          <w:highlight w:val="none"/>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tbl>
      <w:tblPr>
        <w:tblStyle w:val="62"/>
        <w:tblW w:w="8655" w:type="dxa"/>
        <w:tblInd w:w="0" w:type="dxa"/>
        <w:tblLayout w:type="autofit"/>
        <w:tblCellMar>
          <w:top w:w="0" w:type="dxa"/>
          <w:left w:w="0" w:type="dxa"/>
          <w:bottom w:w="0" w:type="dxa"/>
          <w:right w:w="0" w:type="dxa"/>
        </w:tblCellMar>
      </w:tblPr>
      <w:tblGrid>
        <w:gridCol w:w="930"/>
        <w:gridCol w:w="3330"/>
        <w:gridCol w:w="1191"/>
        <w:gridCol w:w="1425"/>
        <w:gridCol w:w="1779"/>
      </w:tblGrid>
      <w:tr>
        <w:tblPrEx>
          <w:tblCellMar>
            <w:top w:w="0" w:type="dxa"/>
            <w:left w:w="0" w:type="dxa"/>
            <w:bottom w:w="0" w:type="dxa"/>
            <w:right w:w="0" w:type="dxa"/>
          </w:tblCellMar>
        </w:tblPrEx>
        <w:trPr>
          <w:trHeight w:val="400" w:hRule="atLeast"/>
        </w:trPr>
        <w:tc>
          <w:tcPr>
            <w:tcW w:w="8655" w:type="dxa"/>
            <w:gridSpan w:val="5"/>
            <w:tcBorders>
              <w:top w:val="nil"/>
              <w:left w:val="nil"/>
              <w:bottom w:val="nil"/>
              <w:right w:val="nil"/>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杭州钱塘区公共卫生间物业化管理服务中心区块</w:t>
            </w:r>
            <w:r>
              <w:rPr>
                <w:rFonts w:ascii="仿宋" w:hAnsi="仿宋" w:eastAsia="仿宋" w:cs="仿宋"/>
                <w:b/>
                <w:color w:val="auto"/>
                <w:kern w:val="0"/>
                <w:sz w:val="24"/>
                <w:highlight w:val="none"/>
              </w:rPr>
              <w:t>(</w:t>
            </w:r>
            <w:r>
              <w:rPr>
                <w:rFonts w:hint="eastAsia" w:ascii="仿宋" w:hAnsi="仿宋" w:eastAsia="仿宋" w:cs="仿宋"/>
                <w:b/>
                <w:color w:val="auto"/>
                <w:kern w:val="0"/>
                <w:sz w:val="24"/>
                <w:highlight w:val="none"/>
              </w:rPr>
              <w:t>二标）</w:t>
            </w: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序号</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公厕名称</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坑位数（个）</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保洁等级</w:t>
            </w:r>
          </w:p>
        </w:tc>
        <w:tc>
          <w:tcPr>
            <w:tcW w:w="17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备注</w:t>
            </w: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风帆路沿江大道北侧</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11</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钱塘区下沙区块中心区块（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号大街以南，</w:t>
            </w:r>
            <w:r>
              <w:rPr>
                <w:rFonts w:ascii="仿宋" w:hAnsi="仿宋" w:eastAsia="仿宋" w:cs="仿宋"/>
                <w:color w:val="auto"/>
                <w:kern w:val="0"/>
                <w:sz w:val="24"/>
                <w:highlight w:val="none"/>
              </w:rPr>
              <w:t>15</w:t>
            </w:r>
            <w:r>
              <w:rPr>
                <w:rFonts w:hint="eastAsia" w:ascii="仿宋" w:hAnsi="仿宋" w:eastAsia="仿宋" w:cs="仿宋"/>
                <w:color w:val="auto"/>
                <w:kern w:val="0"/>
                <w:sz w:val="24"/>
                <w:highlight w:val="none"/>
              </w:rPr>
              <w:t>号大街以西）</w:t>
            </w: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11</w:t>
            </w:r>
            <w:r>
              <w:rPr>
                <w:rFonts w:hint="eastAsia" w:ascii="仿宋" w:hAnsi="仿宋" w:eastAsia="仿宋" w:cs="仿宋"/>
                <w:color w:val="auto"/>
                <w:kern w:val="0"/>
                <w:sz w:val="24"/>
                <w:highlight w:val="none"/>
              </w:rPr>
              <w:t>号路</w:t>
            </w:r>
            <w:r>
              <w:rPr>
                <w:rFonts w:ascii="仿宋" w:hAnsi="仿宋" w:eastAsia="仿宋" w:cs="仿宋"/>
                <w:color w:val="auto"/>
                <w:kern w:val="0"/>
                <w:sz w:val="24"/>
                <w:highlight w:val="none"/>
              </w:rPr>
              <w:t>#12</w:t>
            </w:r>
            <w:r>
              <w:rPr>
                <w:rFonts w:hint="eastAsia" w:ascii="仿宋" w:hAnsi="仿宋" w:eastAsia="仿宋" w:cs="仿宋"/>
                <w:color w:val="auto"/>
                <w:kern w:val="0"/>
                <w:sz w:val="24"/>
                <w:highlight w:val="none"/>
              </w:rPr>
              <w:t>号路公厕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13.5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3</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14</w:t>
            </w:r>
            <w:r>
              <w:rPr>
                <w:rFonts w:hint="eastAsia" w:ascii="仿宋" w:hAnsi="仿宋" w:eastAsia="仿宋" w:cs="仿宋"/>
                <w:color w:val="auto"/>
                <w:kern w:val="0"/>
                <w:sz w:val="24"/>
                <w:highlight w:val="none"/>
              </w:rPr>
              <w:t>号路</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津东路公厕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11</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4</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和达自由港公厕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10.5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5</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锦鳞公园公厕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12.5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6</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怡乐园公厕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12.5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7</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号路</w:t>
            </w:r>
            <w:r>
              <w:rPr>
                <w:rFonts w:ascii="仿宋" w:hAnsi="仿宋" w:eastAsia="仿宋" w:cs="仿宋"/>
                <w:color w:val="auto"/>
                <w:kern w:val="0"/>
                <w:sz w:val="24"/>
                <w:highlight w:val="none"/>
              </w:rPr>
              <w:t>#11</w:t>
            </w:r>
            <w:r>
              <w:rPr>
                <w:rFonts w:hint="eastAsia" w:ascii="仿宋" w:hAnsi="仿宋" w:eastAsia="仿宋" w:cs="仿宋"/>
                <w:color w:val="auto"/>
                <w:kern w:val="0"/>
                <w:sz w:val="24"/>
                <w:highlight w:val="none"/>
              </w:rPr>
              <w:t>号路公厕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10.5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8</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文汇苑公厕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13</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9</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商贸城公共厕所</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13.5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10</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景园小区公厕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13</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11</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1#2#</w:t>
            </w:r>
            <w:r>
              <w:rPr>
                <w:rFonts w:hint="eastAsia" w:ascii="仿宋" w:hAnsi="仿宋" w:eastAsia="仿宋" w:cs="仿宋"/>
                <w:color w:val="auto"/>
                <w:kern w:val="0"/>
                <w:sz w:val="24"/>
                <w:highlight w:val="none"/>
              </w:rPr>
              <w:t>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12.5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12</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下沙物美公厕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9</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316" w:hRule="atLeast"/>
        </w:trPr>
        <w:tc>
          <w:tcPr>
            <w:tcW w:w="930"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13</w:t>
            </w:r>
          </w:p>
        </w:tc>
        <w:tc>
          <w:tcPr>
            <w:tcW w:w="3330"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精欧置业公厕</w:t>
            </w:r>
          </w:p>
        </w:tc>
        <w:tc>
          <w:tcPr>
            <w:tcW w:w="1191"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16</w:t>
            </w:r>
          </w:p>
        </w:tc>
        <w:tc>
          <w:tcPr>
            <w:tcW w:w="1425"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14</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七格小区公园公厕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14</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15</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玫琳凯公厕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11</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16</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18#</w:t>
            </w:r>
            <w:r>
              <w:rPr>
                <w:rFonts w:hint="eastAsia" w:ascii="仿宋" w:hAnsi="仿宋" w:eastAsia="仿宋" w:cs="仿宋"/>
                <w:color w:val="auto"/>
                <w:kern w:val="0"/>
                <w:sz w:val="24"/>
                <w:highlight w:val="none"/>
              </w:rPr>
              <w:t>伊莱克斯公厕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10</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17</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3#12#</w:t>
            </w:r>
            <w:r>
              <w:rPr>
                <w:rFonts w:hint="eastAsia" w:ascii="仿宋" w:hAnsi="仿宋" w:eastAsia="仿宋" w:cs="仿宋"/>
                <w:color w:val="auto"/>
                <w:kern w:val="0"/>
                <w:sz w:val="24"/>
                <w:highlight w:val="none"/>
              </w:rPr>
              <w:t>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16</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18</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0#16#</w:t>
            </w:r>
            <w:r>
              <w:rPr>
                <w:rFonts w:hint="eastAsia" w:ascii="仿宋" w:hAnsi="仿宋" w:eastAsia="仿宋" w:cs="仿宋"/>
                <w:color w:val="auto"/>
                <w:kern w:val="0"/>
                <w:sz w:val="24"/>
                <w:highlight w:val="none"/>
              </w:rPr>
              <w:t>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11</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19</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七格小区南公厕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7.5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20</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杭电公厕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9</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21</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沿江</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桥公厕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4</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22</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智格新怡家园公厕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23</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东海柠檬郡公厕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9</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24</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上沙锦湖家园公厕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8</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25</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下沙文化中心广场公厕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21</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26</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1#20#</w:t>
            </w:r>
            <w:r>
              <w:rPr>
                <w:rFonts w:hint="eastAsia" w:ascii="仿宋" w:hAnsi="仿宋" w:eastAsia="仿宋" w:cs="仿宋"/>
                <w:color w:val="auto"/>
                <w:kern w:val="0"/>
                <w:sz w:val="24"/>
                <w:highlight w:val="none"/>
              </w:rPr>
              <w:t>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b/>
                <w:bCs/>
                <w:color w:val="auto"/>
                <w:highlight w:val="none"/>
              </w:rPr>
              <w:t>16</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27</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七格停车场公厕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10</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28</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沿江盘头公厕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10</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29</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下沙明都雅苑公厕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10.5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30</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上沙路</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东岸嘉园公厕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7.5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31</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天城东路</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东岸嘉园公厕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9</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32</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头格江景家园</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区公厕</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8</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324" w:hRule="atLeast"/>
        </w:trPr>
        <w:tc>
          <w:tcPr>
            <w:tcW w:w="9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33</w:t>
            </w:r>
          </w:p>
        </w:tc>
        <w:tc>
          <w:tcPr>
            <w:tcW w:w="33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头格江景家园</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区公厕</w:t>
            </w:r>
          </w:p>
        </w:tc>
        <w:tc>
          <w:tcPr>
            <w:tcW w:w="119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12.5</w:t>
            </w:r>
          </w:p>
        </w:tc>
        <w:tc>
          <w:tcPr>
            <w:tcW w:w="142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260" w:hRule="atLeast"/>
        </w:trPr>
        <w:tc>
          <w:tcPr>
            <w:tcW w:w="930"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34</w:t>
            </w:r>
          </w:p>
        </w:tc>
        <w:tc>
          <w:tcPr>
            <w:tcW w:w="3330"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cs="宋体"/>
                <w:color w:val="auto"/>
                <w:szCs w:val="21"/>
                <w:highlight w:val="none"/>
              </w:rPr>
            </w:pPr>
            <w:r>
              <w:rPr>
                <w:rFonts w:hint="eastAsia"/>
                <w:color w:val="auto"/>
                <w:szCs w:val="21"/>
                <w:highlight w:val="none"/>
              </w:rPr>
              <w:t>五号景观桥公厕</w:t>
            </w:r>
          </w:p>
        </w:tc>
        <w:tc>
          <w:tcPr>
            <w:tcW w:w="119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16.5</w:t>
            </w:r>
          </w:p>
        </w:tc>
        <w:tc>
          <w:tcPr>
            <w:tcW w:w="1425" w:type="dxa"/>
            <w:tcBorders>
              <w:top w:val="single" w:color="auto" w:sz="4" w:space="0"/>
              <w:left w:val="single" w:color="000000" w:sz="4" w:space="0"/>
              <w:bottom w:val="single" w:color="auto" w:sz="4" w:space="0"/>
              <w:right w:val="single" w:color="000000" w:sz="4" w:space="0"/>
            </w:tcBorders>
            <w:tcMar>
              <w:top w:w="15" w:type="dxa"/>
              <w:left w:w="15" w:type="dxa"/>
              <w:right w:w="15" w:type="dxa"/>
            </w:tcMar>
          </w:tcPr>
          <w:p>
            <w:pPr>
              <w:jc w:val="center"/>
              <w:rPr>
                <w:color w:val="auto"/>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236" w:hRule="atLeast"/>
        </w:trPr>
        <w:tc>
          <w:tcPr>
            <w:tcW w:w="93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35</w:t>
            </w:r>
          </w:p>
        </w:tc>
        <w:tc>
          <w:tcPr>
            <w:tcW w:w="333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hint="eastAsia" w:ascii="仿宋" w:hAnsi="仿宋" w:eastAsia="仿宋"/>
                <w:color w:val="auto"/>
                <w:sz w:val="24"/>
                <w:highlight w:val="none"/>
              </w:rPr>
              <w:t>聚首路公厕</w:t>
            </w:r>
          </w:p>
        </w:tc>
        <w:tc>
          <w:tcPr>
            <w:tcW w:w="119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ascii="仿宋" w:hAnsi="仿宋" w:eastAsia="仿宋"/>
                <w:color w:val="auto"/>
                <w:highlight w:val="none"/>
              </w:rPr>
              <w:t>17.5</w:t>
            </w:r>
          </w:p>
        </w:tc>
        <w:tc>
          <w:tcPr>
            <w:tcW w:w="142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tcPr>
          <w:p>
            <w:pPr>
              <w:jc w:val="center"/>
              <w:rPr>
                <w:color w:val="auto"/>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1074" w:hRule="atLeast"/>
        </w:trPr>
        <w:tc>
          <w:tcPr>
            <w:tcW w:w="426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小计</w:t>
            </w:r>
          </w:p>
        </w:tc>
        <w:tc>
          <w:tcPr>
            <w:tcW w:w="11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ascii="仿宋" w:hAnsi="仿宋" w:eastAsia="仿宋" w:cs="仿宋"/>
                <w:b/>
                <w:color w:val="auto"/>
                <w:kern w:val="0"/>
                <w:sz w:val="24"/>
                <w:highlight w:val="none"/>
              </w:rPr>
              <w:t>411.5</w:t>
            </w:r>
          </w:p>
        </w:tc>
        <w:tc>
          <w:tcPr>
            <w:tcW w:w="1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b/>
                <w:color w:val="auto"/>
                <w:sz w:val="24"/>
                <w:highlight w:val="none"/>
              </w:rPr>
            </w:pPr>
          </w:p>
        </w:tc>
        <w:tc>
          <w:tcPr>
            <w:tcW w:w="17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p>
        </w:tc>
      </w:tr>
    </w:tbl>
    <w:p>
      <w:pPr>
        <w:rPr>
          <w:rFonts w:ascii="仿宋" w:hAnsi="仿宋" w:eastAsia="仿宋" w:cs="仿宋"/>
          <w:color w:val="auto"/>
          <w:spacing w:val="-6"/>
          <w:sz w:val="24"/>
          <w:highlight w:val="none"/>
        </w:rPr>
      </w:pPr>
    </w:p>
    <w:p>
      <w:pPr>
        <w:rPr>
          <w:rFonts w:ascii="仿宋" w:hAnsi="仿宋" w:eastAsia="仿宋" w:cs="仿宋"/>
          <w:color w:val="auto"/>
          <w:spacing w:val="-6"/>
          <w:sz w:val="24"/>
          <w:highlight w:val="none"/>
        </w:rPr>
      </w:pPr>
    </w:p>
    <w:p>
      <w:pPr>
        <w:rPr>
          <w:rFonts w:ascii="仿宋" w:hAnsi="仿宋" w:eastAsia="仿宋" w:cs="仿宋"/>
          <w:color w:val="auto"/>
          <w:spacing w:val="-6"/>
          <w:sz w:val="24"/>
          <w:highlight w:val="none"/>
        </w:rPr>
      </w:pPr>
    </w:p>
    <w:tbl>
      <w:tblPr>
        <w:tblStyle w:val="62"/>
        <w:tblW w:w="8655" w:type="dxa"/>
        <w:tblInd w:w="0" w:type="dxa"/>
        <w:tblLayout w:type="autofit"/>
        <w:tblCellMar>
          <w:top w:w="0" w:type="dxa"/>
          <w:left w:w="0" w:type="dxa"/>
          <w:bottom w:w="0" w:type="dxa"/>
          <w:right w:w="0" w:type="dxa"/>
        </w:tblCellMar>
      </w:tblPr>
      <w:tblGrid>
        <w:gridCol w:w="930"/>
        <w:gridCol w:w="3330"/>
        <w:gridCol w:w="1176"/>
        <w:gridCol w:w="1440"/>
        <w:gridCol w:w="1779"/>
      </w:tblGrid>
      <w:tr>
        <w:tblPrEx>
          <w:tblCellMar>
            <w:top w:w="0" w:type="dxa"/>
            <w:left w:w="0" w:type="dxa"/>
            <w:bottom w:w="0" w:type="dxa"/>
            <w:right w:w="0" w:type="dxa"/>
          </w:tblCellMar>
        </w:tblPrEx>
        <w:trPr>
          <w:trHeight w:val="400" w:hRule="atLeast"/>
        </w:trPr>
        <w:tc>
          <w:tcPr>
            <w:tcW w:w="8655" w:type="dxa"/>
            <w:gridSpan w:val="5"/>
            <w:tcBorders>
              <w:top w:val="nil"/>
              <w:left w:val="nil"/>
              <w:bottom w:val="nil"/>
              <w:right w:val="nil"/>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杭州钱塘区公共卫生间物业化管理服务沿江区块（三标）</w:t>
            </w: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序号</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公厕名称</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坑位数（个）</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保洁等级</w:t>
            </w:r>
          </w:p>
        </w:tc>
        <w:tc>
          <w:tcPr>
            <w:tcW w:w="17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备注</w:t>
            </w: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围垦文化广场公厕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15.5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钱塘区下沙区块沿江区块项目（</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号大街以南，</w:t>
            </w:r>
            <w:r>
              <w:rPr>
                <w:rFonts w:ascii="仿宋" w:hAnsi="仿宋" w:eastAsia="仿宋" w:cs="仿宋"/>
                <w:color w:val="auto"/>
                <w:kern w:val="0"/>
                <w:sz w:val="24"/>
                <w:highlight w:val="none"/>
              </w:rPr>
              <w:t>15</w:t>
            </w:r>
            <w:r>
              <w:rPr>
                <w:rFonts w:hint="eastAsia" w:ascii="仿宋" w:hAnsi="仿宋" w:eastAsia="仿宋" w:cs="仿宋"/>
                <w:color w:val="auto"/>
                <w:kern w:val="0"/>
                <w:sz w:val="24"/>
                <w:highlight w:val="none"/>
              </w:rPr>
              <w:t>号大街以东）</w:t>
            </w: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出口加工区（南）公厕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10.5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3</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出口加工区（北）公厕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13</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4</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6#25</w:t>
            </w:r>
            <w:r>
              <w:rPr>
                <w:rFonts w:hint="eastAsia" w:ascii="仿宋" w:hAnsi="仿宋" w:eastAsia="仿宋" w:cs="仿宋"/>
                <w:color w:val="auto"/>
                <w:kern w:val="0"/>
                <w:sz w:val="24"/>
                <w:highlight w:val="none"/>
              </w:rPr>
              <w:t>号路公厕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12.5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5</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25</w:t>
            </w:r>
            <w:r>
              <w:rPr>
                <w:rFonts w:hint="eastAsia" w:ascii="仿宋" w:hAnsi="仿宋" w:eastAsia="仿宋" w:cs="仿宋"/>
                <w:color w:val="auto"/>
                <w:kern w:val="0"/>
                <w:sz w:val="24"/>
                <w:highlight w:val="none"/>
              </w:rPr>
              <w:t>号路</w:t>
            </w:r>
            <w:r>
              <w:rPr>
                <w:rFonts w:ascii="仿宋" w:hAnsi="仿宋" w:eastAsia="仿宋" w:cs="仿宋"/>
                <w:color w:val="auto"/>
                <w:kern w:val="0"/>
                <w:sz w:val="24"/>
                <w:highlight w:val="none"/>
              </w:rPr>
              <w:t>BRT</w:t>
            </w:r>
            <w:r>
              <w:rPr>
                <w:rFonts w:hint="eastAsia" w:ascii="仿宋" w:hAnsi="仿宋" w:eastAsia="仿宋" w:cs="仿宋"/>
                <w:color w:val="auto"/>
                <w:kern w:val="0"/>
                <w:sz w:val="24"/>
                <w:highlight w:val="none"/>
              </w:rPr>
              <w:t>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10</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6</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6#27</w:t>
            </w:r>
            <w:r>
              <w:rPr>
                <w:rFonts w:hint="eastAsia" w:ascii="仿宋" w:hAnsi="仿宋" w:eastAsia="仿宋" w:cs="仿宋"/>
                <w:color w:val="auto"/>
                <w:kern w:val="0"/>
                <w:sz w:val="24"/>
                <w:highlight w:val="none"/>
              </w:rPr>
              <w:t>号路公厕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19.5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7</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23</w:t>
            </w:r>
            <w:r>
              <w:rPr>
                <w:rFonts w:hint="eastAsia" w:ascii="仿宋" w:hAnsi="仿宋" w:eastAsia="仿宋" w:cs="仿宋"/>
                <w:color w:val="auto"/>
                <w:kern w:val="0"/>
                <w:sz w:val="24"/>
                <w:highlight w:val="none"/>
              </w:rPr>
              <w:t>号路新雁公厕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12</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8</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6#19</w:t>
            </w:r>
            <w:r>
              <w:rPr>
                <w:rFonts w:hint="eastAsia" w:ascii="仿宋" w:hAnsi="仿宋" w:eastAsia="仿宋" w:cs="仿宋"/>
                <w:color w:val="auto"/>
                <w:kern w:val="0"/>
                <w:sz w:val="24"/>
                <w:highlight w:val="none"/>
              </w:rPr>
              <w:t>号路公厕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9</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9</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18#</w:t>
            </w:r>
            <w:r>
              <w:rPr>
                <w:rFonts w:hint="eastAsia" w:ascii="仿宋" w:hAnsi="仿宋" w:eastAsia="仿宋" w:cs="仿宋"/>
                <w:color w:val="auto"/>
                <w:kern w:val="0"/>
                <w:sz w:val="24"/>
                <w:highlight w:val="none"/>
              </w:rPr>
              <w:t>世贸公厕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10</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10</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保利江语海公厕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7.5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11</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金隅·观澜时代云邸公厕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10.5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12</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14</w:t>
            </w:r>
            <w:r>
              <w:rPr>
                <w:rFonts w:hint="eastAsia" w:ascii="仿宋" w:hAnsi="仿宋" w:eastAsia="仿宋" w:cs="仿宋"/>
                <w:color w:val="auto"/>
                <w:kern w:val="0"/>
                <w:sz w:val="24"/>
                <w:highlight w:val="none"/>
              </w:rPr>
              <w:t>号路沿江大道公厕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13</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晨光国际（北）公厕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8</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14</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晨光国际（南）公厕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8.5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15</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保利·玫瑰湾（正门）公厕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7</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16</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保利景冉佳园公厕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10.5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17</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之江东路</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观澜时代公厕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11.5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18</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18#23</w:t>
            </w:r>
            <w:r>
              <w:rPr>
                <w:rFonts w:hint="eastAsia" w:ascii="仿宋" w:hAnsi="仿宋" w:eastAsia="仿宋" w:cs="仿宋"/>
                <w:color w:val="auto"/>
                <w:kern w:val="0"/>
                <w:sz w:val="24"/>
                <w:highlight w:val="none"/>
              </w:rPr>
              <w:t>号路公厕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12</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19</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蒲公英天地广场公厕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8.5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20</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沿江景观北公厕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11</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21</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沿江景观南公厕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16.5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00" w:hRule="atLeast"/>
        </w:trPr>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22</w:t>
            </w:r>
          </w:p>
        </w:tc>
        <w:tc>
          <w:tcPr>
            <w:tcW w:w="33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6#23#</w:t>
            </w:r>
            <w:r>
              <w:rPr>
                <w:rFonts w:hint="eastAsia" w:ascii="仿宋" w:hAnsi="仿宋" w:eastAsia="仿宋" w:cs="仿宋"/>
                <w:color w:val="auto"/>
                <w:kern w:val="0"/>
                <w:sz w:val="24"/>
                <w:highlight w:val="none"/>
              </w:rPr>
              <w:t>北公厕</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16.5</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324" w:hRule="atLeast"/>
        </w:trPr>
        <w:tc>
          <w:tcPr>
            <w:tcW w:w="9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23</w:t>
            </w:r>
          </w:p>
        </w:tc>
        <w:tc>
          <w:tcPr>
            <w:tcW w:w="33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沿江</w:t>
            </w:r>
            <w:r>
              <w:rPr>
                <w:rFonts w:ascii="仿宋" w:hAnsi="仿宋" w:eastAsia="仿宋" w:cs="仿宋"/>
                <w:color w:val="auto"/>
                <w:kern w:val="0"/>
                <w:sz w:val="24"/>
                <w:highlight w:val="none"/>
              </w:rPr>
              <w:t>#12</w:t>
            </w:r>
            <w:r>
              <w:rPr>
                <w:rFonts w:hint="eastAsia" w:ascii="仿宋" w:hAnsi="仿宋" w:eastAsia="仿宋" w:cs="仿宋"/>
                <w:color w:val="auto"/>
                <w:kern w:val="0"/>
                <w:sz w:val="24"/>
                <w:highlight w:val="none"/>
              </w:rPr>
              <w:t>号大街公厕</w:t>
            </w:r>
          </w:p>
        </w:tc>
        <w:tc>
          <w:tcPr>
            <w:tcW w:w="117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16.5</w:t>
            </w:r>
          </w:p>
        </w:tc>
        <w:tc>
          <w:tcPr>
            <w:tcW w:w="144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444" w:hRule="atLeast"/>
        </w:trPr>
        <w:tc>
          <w:tcPr>
            <w:tcW w:w="93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24</w:t>
            </w:r>
          </w:p>
        </w:tc>
        <w:tc>
          <w:tcPr>
            <w:tcW w:w="333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 w:val="24"/>
                <w:highlight w:val="none"/>
              </w:rPr>
            </w:pPr>
            <w:r>
              <w:rPr>
                <w:rFonts w:hint="eastAsia" w:ascii="仿宋" w:hAnsi="仿宋" w:eastAsia="仿宋"/>
                <w:color w:val="auto"/>
                <w:highlight w:val="none"/>
              </w:rPr>
              <w:t>江堤</w:t>
            </w:r>
            <w:r>
              <w:rPr>
                <w:rFonts w:ascii="仿宋" w:hAnsi="仿宋" w:eastAsia="仿宋"/>
                <w:color w:val="auto"/>
                <w:highlight w:val="none"/>
              </w:rPr>
              <w:t xml:space="preserve"> 10 </w:t>
            </w:r>
            <w:r>
              <w:rPr>
                <w:rFonts w:hint="eastAsia" w:ascii="仿宋" w:hAnsi="仿宋" w:eastAsia="仿宋"/>
                <w:color w:val="auto"/>
                <w:highlight w:val="none"/>
              </w:rPr>
              <w:t>号大街东侧公厕</w:t>
            </w:r>
          </w:p>
        </w:tc>
        <w:tc>
          <w:tcPr>
            <w:tcW w:w="1176"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color w:val="auto"/>
                <w:szCs w:val="21"/>
                <w:highlight w:val="none"/>
              </w:rPr>
            </w:pPr>
            <w:r>
              <w:rPr>
                <w:rFonts w:ascii="仿宋" w:hAnsi="仿宋" w:eastAsia="仿宋"/>
                <w:color w:val="auto"/>
                <w:szCs w:val="21"/>
                <w:highlight w:val="none"/>
              </w:rPr>
              <w:t>16.5</w:t>
            </w:r>
          </w:p>
        </w:tc>
        <w:tc>
          <w:tcPr>
            <w:tcW w:w="144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三星级</w:t>
            </w:r>
          </w:p>
        </w:tc>
        <w:tc>
          <w:tcPr>
            <w:tcW w:w="1779" w:type="dxa"/>
            <w:vMerge w:val="continue"/>
            <w:tcBorders>
              <w:left w:val="single" w:color="000000" w:sz="4" w:space="0"/>
              <w:bottom w:val="single" w:color="000000" w:sz="4" w:space="0"/>
              <w:right w:val="single" w:color="000000" w:sz="4" w:space="0"/>
            </w:tcBorders>
            <w:tcMar>
              <w:top w:w="15" w:type="dxa"/>
              <w:left w:w="15" w:type="dxa"/>
              <w:right w:w="15" w:type="dxa"/>
            </w:tcMar>
          </w:tcPr>
          <w:p>
            <w:pPr>
              <w:jc w:val="center"/>
              <w:rPr>
                <w:rFonts w:ascii="仿宋" w:hAnsi="仿宋" w:eastAsia="仿宋" w:cs="仿宋"/>
                <w:color w:val="auto"/>
                <w:sz w:val="24"/>
                <w:highlight w:val="none"/>
              </w:rPr>
            </w:pPr>
          </w:p>
        </w:tc>
      </w:tr>
      <w:tr>
        <w:tblPrEx>
          <w:tblCellMar>
            <w:top w:w="0" w:type="dxa"/>
            <w:left w:w="0" w:type="dxa"/>
            <w:bottom w:w="0" w:type="dxa"/>
            <w:right w:w="0" w:type="dxa"/>
          </w:tblCellMar>
        </w:tblPrEx>
        <w:trPr>
          <w:trHeight w:val="545" w:hRule="atLeast"/>
        </w:trPr>
        <w:tc>
          <w:tcPr>
            <w:tcW w:w="426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rPr>
              <w:t>小计</w:t>
            </w:r>
          </w:p>
        </w:tc>
        <w:tc>
          <w:tcPr>
            <w:tcW w:w="11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24"/>
                <w:highlight w:val="none"/>
              </w:rPr>
            </w:pPr>
            <w:r>
              <w:rPr>
                <w:rFonts w:ascii="仿宋" w:hAnsi="仿宋" w:eastAsia="仿宋" w:cs="宋体"/>
                <w:b/>
                <w:bCs/>
                <w:color w:val="auto"/>
                <w:sz w:val="24"/>
                <w:highlight w:val="none"/>
              </w:rPr>
              <w:t>278</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宋体"/>
                <w:b/>
                <w:bCs/>
                <w:color w:val="auto"/>
                <w:sz w:val="16"/>
                <w:szCs w:val="16"/>
                <w:highlight w:val="none"/>
              </w:rPr>
            </w:pPr>
          </w:p>
        </w:tc>
        <w:tc>
          <w:tcPr>
            <w:tcW w:w="17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p>
        </w:tc>
      </w:tr>
    </w:tbl>
    <w:p>
      <w:pPr>
        <w:spacing w:line="288" w:lineRule="auto"/>
        <w:rPr>
          <w:rFonts w:ascii="仿宋" w:hAnsi="仿宋" w:eastAsia="仿宋" w:cs="仿宋"/>
          <w:color w:val="auto"/>
          <w:spacing w:val="-6"/>
          <w:sz w:val="24"/>
          <w:highlight w:val="none"/>
        </w:rPr>
      </w:pPr>
    </w:p>
    <w:p>
      <w:pPr>
        <w:spacing w:line="288"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二、基本要求</w:t>
      </w:r>
    </w:p>
    <w:p>
      <w:pPr>
        <w:spacing w:line="288" w:lineRule="auto"/>
        <w:rPr>
          <w:rFonts w:ascii="仿宋" w:hAnsi="仿宋" w:eastAsia="仿宋" w:cs="仿宋"/>
          <w:color w:val="auto"/>
          <w:spacing w:val="-6"/>
          <w:sz w:val="24"/>
          <w:highlight w:val="none"/>
        </w:rPr>
      </w:pPr>
    </w:p>
    <w:p>
      <w:pPr>
        <w:ind w:right="322" w:rightChars="134"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w:t>
      </w:r>
      <w:r>
        <w:rPr>
          <w:rFonts w:ascii="仿宋" w:hAnsi="仿宋" w:eastAsia="仿宋" w:cs="仿宋"/>
          <w:color w:val="auto"/>
          <w:sz w:val="24"/>
          <w:highlight w:val="none"/>
        </w:rPr>
        <w:t>1</w:t>
      </w:r>
      <w:r>
        <w:rPr>
          <w:rFonts w:hint="eastAsia" w:ascii="仿宋" w:hAnsi="仿宋" w:eastAsia="仿宋" w:cs="仿宋"/>
          <w:color w:val="auto"/>
          <w:sz w:val="24"/>
          <w:highlight w:val="none"/>
        </w:rPr>
        <w:t>、每个标段人员配置要求</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项目负责人：</w:t>
      </w:r>
      <w:r>
        <w:rPr>
          <w:rFonts w:ascii="仿宋" w:hAnsi="仿宋" w:eastAsia="仿宋" w:cs="仿宋"/>
          <w:color w:val="auto"/>
          <w:sz w:val="24"/>
          <w:highlight w:val="none"/>
        </w:rPr>
        <w:t>1</w:t>
      </w:r>
      <w:r>
        <w:rPr>
          <w:rFonts w:hint="eastAsia" w:ascii="仿宋" w:hAnsi="仿宋" w:eastAsia="仿宋" w:cs="仿宋"/>
          <w:color w:val="auto"/>
          <w:sz w:val="24"/>
          <w:highlight w:val="none"/>
        </w:rPr>
        <w:t>人</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公厕管理员不少于</w:t>
      </w:r>
      <w:r>
        <w:rPr>
          <w:rFonts w:ascii="仿宋" w:hAnsi="仿宋" w:eastAsia="仿宋" w:cs="仿宋"/>
          <w:color w:val="auto"/>
          <w:sz w:val="24"/>
          <w:highlight w:val="none"/>
        </w:rPr>
        <w:t>1</w:t>
      </w:r>
      <w:r>
        <w:rPr>
          <w:rFonts w:hint="eastAsia" w:ascii="仿宋" w:hAnsi="仿宋" w:eastAsia="仿宋" w:cs="仿宋"/>
          <w:color w:val="auto"/>
          <w:sz w:val="24"/>
          <w:highlight w:val="none"/>
        </w:rPr>
        <w:t>人</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公厕保洁员每座配置不少于</w:t>
      </w:r>
      <w:r>
        <w:rPr>
          <w:rFonts w:ascii="仿宋" w:hAnsi="仿宋" w:eastAsia="仿宋" w:cs="仿宋"/>
          <w:color w:val="auto"/>
          <w:sz w:val="24"/>
          <w:highlight w:val="none"/>
        </w:rPr>
        <w:t>1</w:t>
      </w:r>
      <w:r>
        <w:rPr>
          <w:rFonts w:hint="eastAsia" w:ascii="仿宋" w:hAnsi="仿宋" w:eastAsia="仿宋" w:cs="仿宋"/>
          <w:color w:val="auto"/>
          <w:sz w:val="24"/>
          <w:highlight w:val="none"/>
        </w:rPr>
        <w:t>人</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水电维修工不少于</w:t>
      </w:r>
      <w:r>
        <w:rPr>
          <w:rFonts w:ascii="仿宋" w:hAnsi="仿宋" w:eastAsia="仿宋" w:cs="仿宋"/>
          <w:color w:val="auto"/>
          <w:sz w:val="24"/>
          <w:highlight w:val="none"/>
        </w:rPr>
        <w:t>1</w:t>
      </w:r>
      <w:r>
        <w:rPr>
          <w:rFonts w:hint="eastAsia" w:ascii="仿宋" w:hAnsi="仿宋" w:eastAsia="仿宋" w:cs="仿宋"/>
          <w:color w:val="auto"/>
          <w:sz w:val="24"/>
          <w:highlight w:val="none"/>
        </w:rPr>
        <w:t>人</w:t>
      </w:r>
    </w:p>
    <w:p>
      <w:pPr>
        <w:ind w:right="322" w:rightChars="134"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、按照公共厕所保洁与服务规范（</w:t>
      </w:r>
      <w:r>
        <w:rPr>
          <w:rFonts w:ascii="仿宋" w:hAnsi="仿宋" w:eastAsia="仿宋" w:cs="仿宋"/>
          <w:color w:val="auto"/>
          <w:sz w:val="24"/>
          <w:highlight w:val="none"/>
        </w:rPr>
        <w:t>DB3301</w:t>
      </w:r>
      <w:r>
        <w:rPr>
          <w:rFonts w:hint="eastAsia" w:ascii="仿宋" w:hAnsi="仿宋" w:eastAsia="仿宋" w:cs="仿宋"/>
          <w:color w:val="auto"/>
          <w:sz w:val="24"/>
          <w:highlight w:val="none"/>
        </w:rPr>
        <w:t>）对三星级公厕的各项要求执行。</w:t>
      </w:r>
    </w:p>
    <w:p>
      <w:pPr>
        <w:ind w:right="322" w:rightChars="134"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、要求公厕做到</w:t>
      </w:r>
      <w:r>
        <w:rPr>
          <w:rFonts w:ascii="仿宋" w:hAnsi="仿宋" w:eastAsia="仿宋" w:cs="仿宋"/>
          <w:color w:val="auto"/>
          <w:sz w:val="24"/>
          <w:highlight w:val="none"/>
        </w:rPr>
        <w:t>24</w:t>
      </w:r>
      <w:r>
        <w:rPr>
          <w:rFonts w:hint="eastAsia" w:ascii="仿宋" w:hAnsi="仿宋" w:eastAsia="仿宋" w:cs="仿宋"/>
          <w:color w:val="auto"/>
          <w:sz w:val="24"/>
          <w:highlight w:val="none"/>
        </w:rPr>
        <w:t>小时免费对外开放并按星级厕所要求在保洁时段内落实清洁和设施维修</w:t>
      </w:r>
      <w:r>
        <w:rPr>
          <w:rFonts w:ascii="仿宋" w:hAnsi="仿宋" w:eastAsia="仿宋" w:cs="仿宋"/>
          <w:color w:val="auto"/>
          <w:sz w:val="24"/>
          <w:highlight w:val="none"/>
        </w:rPr>
        <w:t>,</w:t>
      </w:r>
      <w:r>
        <w:rPr>
          <w:rFonts w:hint="eastAsia" w:ascii="仿宋" w:hAnsi="仿宋" w:eastAsia="仿宋" w:cs="仿宋"/>
          <w:color w:val="auto"/>
          <w:sz w:val="24"/>
          <w:highlight w:val="none"/>
        </w:rPr>
        <w:t>做到公厕设施（</w:t>
      </w:r>
      <w:r>
        <w:rPr>
          <w:rFonts w:hint="eastAsia" w:ascii="仿宋" w:hAnsi="仿宋" w:eastAsia="仿宋" w:cs="仿宋"/>
          <w:color w:val="auto"/>
          <w:sz w:val="24"/>
          <w:highlight w:val="none"/>
        </w:rPr>
        <w:t>含公厕附属式城管驿站</w:t>
      </w:r>
      <w:r>
        <w:rPr>
          <w:rFonts w:hint="eastAsia" w:ascii="仿宋" w:hAnsi="仿宋" w:eastAsia="仿宋" w:cs="仿宋"/>
          <w:color w:val="auto"/>
          <w:sz w:val="24"/>
          <w:highlight w:val="none"/>
        </w:rPr>
        <w:t>）及环卫洁具各项卫生指标符合要求，确保达到无粪迹、无尿垢、无蛛网、无蝇蛆、无积尘、无积水、无异味、无破损的总体目标。</w:t>
      </w:r>
    </w:p>
    <w:p>
      <w:pPr>
        <w:ind w:right="322" w:rightChars="134" w:firstLine="480" w:firstLineChars="200"/>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、遇有重大活动或其他突发事件，必须无条件及时组织力量做好保洁管理等保障工作，服从杭州市钱塘区综合行政执法局的统一指挥。</w:t>
      </w:r>
    </w:p>
    <w:p>
      <w:pPr>
        <w:ind w:right="322" w:rightChars="134"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、负责做好本承包标的作业范围内的“四化”长效管理抄告单、“数字城管”抄告单和群众信访、投诉处理件的处理、整改和回复工作。</w:t>
      </w:r>
    </w:p>
    <w:p>
      <w:pPr>
        <w:ind w:right="322" w:rightChars="134" w:firstLine="480" w:firstLineChars="200"/>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每个标段项目负责人或公厕管理员驻点独立式城管驿站办公，对城管驿站的零星维修、保洁管理、接待等日常工作进行负责。</w:t>
      </w:r>
    </w:p>
    <w:p>
      <w:pPr>
        <w:ind w:right="322" w:rightChars="134" w:firstLine="480" w:firstLineChars="200"/>
        <w:rPr>
          <w:rFonts w:ascii="仿宋" w:hAnsi="仿宋" w:eastAsia="仿宋" w:cs="仿宋"/>
          <w:color w:val="auto"/>
          <w:sz w:val="24"/>
          <w:highlight w:val="none"/>
        </w:rPr>
      </w:pPr>
      <w:r>
        <w:rPr>
          <w:rFonts w:ascii="仿宋" w:hAnsi="仿宋" w:eastAsia="仿宋" w:cs="仿宋"/>
          <w:color w:val="auto"/>
          <w:sz w:val="24"/>
          <w:highlight w:val="none"/>
        </w:rPr>
        <w:t>7</w:t>
      </w:r>
      <w:r>
        <w:rPr>
          <w:rFonts w:hint="eastAsia" w:ascii="仿宋" w:hAnsi="仿宋" w:eastAsia="仿宋" w:cs="仿宋"/>
          <w:color w:val="auto"/>
          <w:sz w:val="24"/>
          <w:highlight w:val="none"/>
        </w:rPr>
        <w:t>、确保在国家、省、市、区的各项检查中不失责任分。</w:t>
      </w:r>
    </w:p>
    <w:p>
      <w:pPr>
        <w:ind w:right="322" w:rightChars="134" w:firstLine="480" w:firstLineChars="200"/>
        <w:rPr>
          <w:rFonts w:ascii="仿宋" w:hAnsi="仿宋" w:eastAsia="仿宋" w:cs="仿宋"/>
          <w:color w:val="auto"/>
          <w:sz w:val="24"/>
          <w:highlight w:val="none"/>
        </w:rPr>
      </w:pPr>
    </w:p>
    <w:p>
      <w:pPr>
        <w:ind w:right="322" w:rightChars="134"/>
        <w:rPr>
          <w:rFonts w:ascii="仿宋" w:hAnsi="仿宋" w:eastAsia="仿宋" w:cs="仿宋"/>
          <w:color w:val="auto"/>
          <w:sz w:val="24"/>
          <w:highlight w:val="none"/>
        </w:rPr>
      </w:pPr>
    </w:p>
    <w:p>
      <w:pPr>
        <w:ind w:right="322" w:rightChars="134"/>
        <w:rPr>
          <w:rFonts w:ascii="仿宋" w:hAnsi="仿宋" w:eastAsia="仿宋" w:cs="仿宋"/>
          <w:b/>
          <w:color w:val="auto"/>
          <w:sz w:val="24"/>
          <w:highlight w:val="none"/>
        </w:rPr>
      </w:pPr>
      <w:r>
        <w:rPr>
          <w:rFonts w:hint="eastAsia" w:ascii="仿宋" w:hAnsi="仿宋" w:eastAsia="仿宋" w:cs="仿宋"/>
          <w:b/>
          <w:color w:val="auto"/>
          <w:sz w:val="24"/>
          <w:highlight w:val="none"/>
        </w:rPr>
        <w:t>三、报价及费用</w:t>
      </w:r>
    </w:p>
    <w:p>
      <w:pPr>
        <w:ind w:right="322" w:rightChars="134" w:firstLine="480" w:firstLineChars="200"/>
        <w:rPr>
          <w:rFonts w:ascii="仿宋" w:hAnsi="仿宋" w:eastAsia="仿宋" w:cs="仿宋"/>
          <w:color w:val="auto"/>
          <w:sz w:val="24"/>
          <w:highlight w:val="none"/>
        </w:rPr>
      </w:pP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本项目采用总费用总价承包方式进行报价。总报价应包括人工费（包括人员工资、预计加班费用、社会保障费用、住房公积金、环卫特殊岗位津贴、高温清凉费等）、水电费、保洁工具耗材费、设施设备维护维修费、其他项目费、残疾人保障金、综合管理费和税金等投标人认为完成本项目所需的一切费用。政策性文件规定及合同包含的所有风险、责任等各项应有费用均应考虑在内。</w:t>
      </w:r>
      <w:r>
        <w:rPr>
          <w:rFonts w:hint="eastAsia" w:ascii="仿宋" w:hAnsi="仿宋" w:eastAsia="仿宋" w:cs="仿宋"/>
          <w:color w:val="auto"/>
          <w:sz w:val="24"/>
          <w:highlight w:val="none"/>
        </w:rPr>
        <w:t>承包期内，如有公厕定额标准调整，双方可按上级有关文件规定协商解决。</w:t>
      </w:r>
    </w:p>
    <w:p>
      <w:pPr>
        <w:ind w:right="322" w:rightChars="134"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具体要求：</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w:t>
      </w:r>
      <w:r>
        <w:rPr>
          <w:rFonts w:hint="eastAsia" w:ascii="仿宋" w:hAnsi="仿宋" w:eastAsia="仿宋" w:cs="仿宋"/>
          <w:color w:val="auto"/>
          <w:sz w:val="24"/>
          <w:highlight w:val="none"/>
        </w:rPr>
        <w:t>）人员工资不得低于《浙江省人民政府办公厅关于进一步改善环卫工人工作生活条件</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促进环卫事业持续健康发展的若干意见》（浙政办发〔</w:t>
      </w:r>
      <w:r>
        <w:rPr>
          <w:rFonts w:ascii="仿宋" w:hAnsi="仿宋" w:eastAsia="仿宋" w:cs="仿宋"/>
          <w:color w:val="auto"/>
          <w:sz w:val="24"/>
          <w:highlight w:val="none"/>
        </w:rPr>
        <w:t>2009</w:t>
      </w:r>
      <w:r>
        <w:rPr>
          <w:rFonts w:hint="eastAsia" w:ascii="仿宋" w:hAnsi="仿宋" w:eastAsia="仿宋" w:cs="仿宋"/>
          <w:color w:val="auto"/>
          <w:sz w:val="24"/>
          <w:highlight w:val="none"/>
        </w:rPr>
        <w:t>〕</w:t>
      </w:r>
      <w:r>
        <w:rPr>
          <w:rFonts w:ascii="仿宋" w:hAnsi="仿宋" w:eastAsia="仿宋" w:cs="仿宋"/>
          <w:color w:val="auto"/>
          <w:sz w:val="24"/>
          <w:highlight w:val="none"/>
        </w:rPr>
        <w:t>190</w:t>
      </w:r>
      <w:r>
        <w:rPr>
          <w:rFonts w:hint="eastAsia" w:ascii="仿宋" w:hAnsi="仿宋" w:eastAsia="仿宋" w:cs="仿宋"/>
          <w:color w:val="auto"/>
          <w:sz w:val="24"/>
          <w:highlight w:val="none"/>
        </w:rPr>
        <w:t>号）和《杭州市人民政府办公厅关于进一步解决环卫工人实际困难</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保障其合法权益的意见》（杭政办〔</w:t>
      </w:r>
      <w:r>
        <w:rPr>
          <w:rFonts w:ascii="仿宋" w:hAnsi="仿宋" w:eastAsia="仿宋" w:cs="仿宋"/>
          <w:color w:val="auto"/>
          <w:sz w:val="24"/>
          <w:highlight w:val="none"/>
        </w:rPr>
        <w:t>2008</w:t>
      </w:r>
      <w:r>
        <w:rPr>
          <w:rFonts w:hint="eastAsia" w:ascii="仿宋" w:hAnsi="仿宋" w:eastAsia="仿宋" w:cs="仿宋"/>
          <w:color w:val="auto"/>
          <w:sz w:val="24"/>
          <w:highlight w:val="none"/>
        </w:rPr>
        <w:t>〕</w:t>
      </w:r>
      <w:r>
        <w:rPr>
          <w:rFonts w:ascii="仿宋" w:hAnsi="仿宋" w:eastAsia="仿宋" w:cs="仿宋"/>
          <w:color w:val="auto"/>
          <w:sz w:val="24"/>
          <w:highlight w:val="none"/>
        </w:rPr>
        <w:t>14</w:t>
      </w:r>
      <w:r>
        <w:rPr>
          <w:rFonts w:hint="eastAsia" w:ascii="仿宋" w:hAnsi="仿宋" w:eastAsia="仿宋" w:cs="仿宋"/>
          <w:color w:val="auto"/>
          <w:sz w:val="24"/>
          <w:highlight w:val="none"/>
        </w:rPr>
        <w:t>号）规定的工资标准，必须落实职工劳保福利待遇（包含人员基础工资、环卫特殊岗位津贴、高温费、社会保险费、意外伤害险、住房公积金、双休日及法定节假日加班费、医疗体检费、劳保费、福利费等），其中“五险一金”必须缴纳在杭州本地，保障职工休息休假权利。结合投标公厕具体作业难易情况进行报价，中标后一次性总价闭口包干，人员最低基本工资不得低于最新出台的杭州市最低工资标准的</w:t>
      </w:r>
      <w:r>
        <w:rPr>
          <w:rFonts w:ascii="仿宋" w:hAnsi="仿宋" w:eastAsia="仿宋" w:cs="仿宋"/>
          <w:color w:val="auto"/>
          <w:sz w:val="24"/>
          <w:highlight w:val="none"/>
        </w:rPr>
        <w:t>110%</w:t>
      </w:r>
      <w:r>
        <w:rPr>
          <w:rFonts w:hint="eastAsia" w:ascii="仿宋" w:hAnsi="仿宋" w:eastAsia="仿宋" w:cs="仿宋"/>
          <w:color w:val="auto"/>
          <w:sz w:val="24"/>
          <w:highlight w:val="none"/>
        </w:rPr>
        <w:t>和定额内人员相关工资要求，否则评标委员可以认为低于成本价恶性竞争而判定为无效标（服务期内的人工费用应根据最新的杭州市最低工资标准作及时调整，但承包合同总价不作调整）。</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w:t>
      </w:r>
      <w:r>
        <w:rPr>
          <w:rFonts w:hint="eastAsia" w:ascii="仿宋" w:hAnsi="仿宋" w:eastAsia="仿宋" w:cs="仿宋"/>
          <w:color w:val="auto"/>
          <w:sz w:val="24"/>
          <w:highlight w:val="none"/>
        </w:rPr>
        <w:t>）人员工伤保险费、税金须按招标文件规定的费率计取，否则作投标无效处理。</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）合理利润及法规要求涉及的保障费用。含突发性及应急保障方面所发生的保洁费、由于重大活动引起保洁频次增加的费用；</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w:t>
      </w:r>
      <w:r>
        <w:rPr>
          <w:rFonts w:hint="eastAsia" w:ascii="仿宋" w:hAnsi="仿宋" w:eastAsia="仿宋" w:cs="仿宋"/>
          <w:color w:val="auto"/>
          <w:sz w:val="24"/>
          <w:highlight w:val="none"/>
        </w:rPr>
        <w:t>）保障职工的休息休假的权利，合理排班，否则投标文件作无效标处理；</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w:t>
      </w:r>
      <w:r>
        <w:rPr>
          <w:rFonts w:hint="eastAsia" w:ascii="仿宋" w:hAnsi="仿宋" w:eastAsia="仿宋" w:cs="仿宋"/>
          <w:color w:val="auto"/>
          <w:sz w:val="24"/>
          <w:highlight w:val="none"/>
        </w:rPr>
        <w:t>）公厕设施的更换、维修、水、电、化粪池清污及运输等经费，公厕周围</w:t>
      </w:r>
      <w:r>
        <w:rPr>
          <w:rFonts w:ascii="仿宋" w:hAnsi="仿宋" w:eastAsia="仿宋" w:cs="仿宋"/>
          <w:color w:val="auto"/>
          <w:sz w:val="24"/>
          <w:highlight w:val="none"/>
        </w:rPr>
        <w:t>10</w:t>
      </w:r>
      <w:r>
        <w:rPr>
          <w:rFonts w:hint="eastAsia" w:ascii="仿宋" w:hAnsi="仿宋" w:eastAsia="仿宋" w:cs="仿宋"/>
          <w:color w:val="auto"/>
          <w:sz w:val="24"/>
          <w:highlight w:val="none"/>
        </w:rPr>
        <w:t>米范围内的绿化、保洁投标人应将此项费用考虑在总报价中，如未列报，视作优惠；</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）保洁工具耗材费包括但不仅限于：工作服装、卷纸、厕所清洁消毒剂、拖把、洗手液、橡胶手套、口罩、除臭剂、盘香（每日男女厕各</w:t>
      </w:r>
      <w:r>
        <w:rPr>
          <w:rFonts w:ascii="仿宋" w:hAnsi="仿宋" w:eastAsia="仿宋" w:cs="仿宋"/>
          <w:color w:val="auto"/>
          <w:sz w:val="24"/>
          <w:highlight w:val="none"/>
        </w:rPr>
        <w:t>2</w:t>
      </w:r>
      <w:r>
        <w:rPr>
          <w:rFonts w:hint="eastAsia" w:ascii="仿宋" w:hAnsi="仿宋" w:eastAsia="仿宋" w:cs="仿宋"/>
          <w:color w:val="auto"/>
          <w:sz w:val="24"/>
          <w:highlight w:val="none"/>
        </w:rPr>
        <w:t>盘）、笤帚、水桶、去污粉、抹布、垃圾篓（每个厕位</w:t>
      </w:r>
      <w:r>
        <w:rPr>
          <w:rFonts w:ascii="仿宋" w:hAnsi="仿宋" w:eastAsia="仿宋" w:cs="仿宋"/>
          <w:color w:val="auto"/>
          <w:sz w:val="24"/>
          <w:highlight w:val="none"/>
        </w:rPr>
        <w:t>1</w:t>
      </w:r>
      <w:r>
        <w:rPr>
          <w:rFonts w:hint="eastAsia" w:ascii="仿宋" w:hAnsi="仿宋" w:eastAsia="仿宋" w:cs="仿宋"/>
          <w:color w:val="auto"/>
          <w:sz w:val="24"/>
          <w:highlight w:val="none"/>
        </w:rPr>
        <w:t>个）的费用，投标人应将此项费用考虑在总报价中。</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7</w:t>
      </w:r>
      <w:r>
        <w:rPr>
          <w:rFonts w:hint="eastAsia" w:ascii="仿宋" w:hAnsi="仿宋" w:eastAsia="仿宋" w:cs="仿宋"/>
          <w:color w:val="auto"/>
          <w:sz w:val="24"/>
          <w:highlight w:val="none"/>
        </w:rPr>
        <w:t>）中标后，中标单位不得以其中某项费用低于成本价等原因向采购人提出上浮合同价的要求，否则采购人将取消其中标资格，并上报采购监管机构。</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）投标报价根据采购人提供的招标文件内容、条款、现场踏勘情况、人员安排及成本估算自主组价。但投标报价不得超过本项目采购预算，否则作无效标处理。</w:t>
      </w:r>
    </w:p>
    <w:p>
      <w:pPr>
        <w:ind w:right="322" w:rightChars="134"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9</w:t>
      </w:r>
      <w:r>
        <w:rPr>
          <w:rFonts w:hint="eastAsia" w:ascii="仿宋" w:hAnsi="仿宋" w:eastAsia="仿宋" w:cs="仿宋"/>
          <w:color w:val="auto"/>
          <w:sz w:val="24"/>
          <w:highlight w:val="none"/>
        </w:rPr>
        <w:t>）意外伤害险为必买项目，投标价中应已包含相关费用。</w:t>
      </w:r>
    </w:p>
    <w:p>
      <w:pPr>
        <w:ind w:right="322" w:rightChars="134"/>
        <w:rPr>
          <w:rFonts w:ascii="仿宋" w:hAnsi="仿宋" w:eastAsia="仿宋" w:cs="仿宋"/>
          <w:color w:val="auto"/>
          <w:sz w:val="24"/>
          <w:highlight w:val="none"/>
        </w:rPr>
      </w:pPr>
    </w:p>
    <w:p>
      <w:pPr>
        <w:ind w:right="322" w:rightChars="134"/>
        <w:rPr>
          <w:rFonts w:ascii="仿宋" w:hAnsi="仿宋" w:eastAsia="仿宋" w:cs="仿宋"/>
          <w:b/>
          <w:color w:val="auto"/>
          <w:sz w:val="24"/>
          <w:highlight w:val="none"/>
        </w:rPr>
      </w:pPr>
      <w:r>
        <w:rPr>
          <w:rFonts w:hint="eastAsia" w:ascii="仿宋" w:hAnsi="仿宋" w:eastAsia="仿宋" w:cs="仿宋"/>
          <w:b/>
          <w:color w:val="auto"/>
          <w:sz w:val="24"/>
          <w:highlight w:val="none"/>
        </w:rPr>
        <w:t>四、具体服务要求</w:t>
      </w:r>
    </w:p>
    <w:p>
      <w:pPr>
        <w:ind w:right="322" w:rightChars="134" w:firstLine="484" w:firstLineChars="201"/>
        <w:rPr>
          <w:rFonts w:ascii="仿宋" w:hAnsi="仿宋" w:eastAsia="仿宋" w:cs="仿宋"/>
          <w:b/>
          <w:color w:val="auto"/>
          <w:sz w:val="24"/>
          <w:highlight w:val="none"/>
        </w:rPr>
      </w:pPr>
      <w:r>
        <w:rPr>
          <w:rFonts w:ascii="仿宋" w:hAnsi="仿宋" w:eastAsia="仿宋" w:cs="仿宋"/>
          <w:b/>
          <w:color w:val="auto"/>
          <w:sz w:val="24"/>
          <w:highlight w:val="none"/>
        </w:rPr>
        <w:t>1</w:t>
      </w:r>
      <w:r>
        <w:rPr>
          <w:rFonts w:hint="eastAsia" w:ascii="仿宋" w:hAnsi="仿宋" w:eastAsia="仿宋" w:cs="仿宋"/>
          <w:b/>
          <w:color w:val="auto"/>
          <w:sz w:val="24"/>
          <w:highlight w:val="none"/>
        </w:rPr>
        <w:t>、公厕保洁和维修内容及要求</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）公共卫生间标示标牌保持清洁，无破损、遮挡、残缺、锈迹、歪斜，断字缺亮。一旦无法使用，破损维修不超过</w:t>
      </w:r>
      <w:r>
        <w:rPr>
          <w:rFonts w:ascii="仿宋" w:hAnsi="仿宋" w:eastAsia="仿宋" w:cs="仿宋"/>
          <w:color w:val="auto"/>
          <w:kern w:val="0"/>
          <w:sz w:val="24"/>
          <w:highlight w:val="none"/>
        </w:rPr>
        <w:t>48</w:t>
      </w:r>
      <w:r>
        <w:rPr>
          <w:rFonts w:hint="eastAsia" w:ascii="仿宋" w:hAnsi="仿宋" w:eastAsia="仿宋" w:cs="仿宋"/>
          <w:color w:val="auto"/>
          <w:kern w:val="0"/>
          <w:sz w:val="24"/>
          <w:highlight w:val="none"/>
        </w:rPr>
        <w:t>小时；</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）在保洁时段内（</w:t>
      </w:r>
      <w:r>
        <w:rPr>
          <w:rFonts w:ascii="仿宋" w:hAnsi="仿宋" w:eastAsia="仿宋" w:cs="仿宋"/>
          <w:color w:val="auto"/>
          <w:kern w:val="0"/>
          <w:sz w:val="24"/>
          <w:highlight w:val="none"/>
        </w:rPr>
        <w:t>6</w:t>
      </w:r>
      <w:r>
        <w:rPr>
          <w:rFonts w:hint="eastAsia" w:ascii="仿宋" w:hAnsi="仿宋" w:eastAsia="仿宋" w:cs="仿宋"/>
          <w:color w:val="auto"/>
          <w:kern w:val="0"/>
          <w:sz w:val="24"/>
          <w:highlight w:val="none"/>
        </w:rPr>
        <w:t>点至</w:t>
      </w:r>
      <w:r>
        <w:rPr>
          <w:rFonts w:ascii="仿宋" w:hAnsi="仿宋" w:eastAsia="仿宋" w:cs="仿宋"/>
          <w:color w:val="auto"/>
          <w:kern w:val="0"/>
          <w:sz w:val="24"/>
          <w:highlight w:val="none"/>
        </w:rPr>
        <w:t>22</w:t>
      </w:r>
      <w:r>
        <w:rPr>
          <w:rFonts w:hint="eastAsia" w:ascii="仿宋" w:hAnsi="仿宋" w:eastAsia="仿宋" w:cs="仿宋"/>
          <w:color w:val="auto"/>
          <w:kern w:val="0"/>
          <w:sz w:val="24"/>
          <w:highlight w:val="none"/>
        </w:rPr>
        <w:t>点），保洁员开始及结束时应全面清洁公共厕所</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次。</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）在保洁时段内（</w:t>
      </w:r>
      <w:r>
        <w:rPr>
          <w:rFonts w:ascii="仿宋" w:hAnsi="仿宋" w:eastAsia="仿宋" w:cs="仿宋"/>
          <w:color w:val="auto"/>
          <w:kern w:val="0"/>
          <w:sz w:val="24"/>
          <w:highlight w:val="none"/>
        </w:rPr>
        <w:t>6</w:t>
      </w:r>
      <w:r>
        <w:rPr>
          <w:rFonts w:hint="eastAsia" w:ascii="仿宋" w:hAnsi="仿宋" w:eastAsia="仿宋" w:cs="仿宋"/>
          <w:color w:val="auto"/>
          <w:kern w:val="0"/>
          <w:sz w:val="24"/>
          <w:highlight w:val="none"/>
        </w:rPr>
        <w:t>点至</w:t>
      </w:r>
      <w:r>
        <w:rPr>
          <w:rFonts w:ascii="仿宋" w:hAnsi="仿宋" w:eastAsia="仿宋" w:cs="仿宋"/>
          <w:color w:val="auto"/>
          <w:kern w:val="0"/>
          <w:sz w:val="24"/>
          <w:highlight w:val="none"/>
        </w:rPr>
        <w:t>22</w:t>
      </w:r>
      <w:r>
        <w:rPr>
          <w:rFonts w:hint="eastAsia" w:ascii="仿宋" w:hAnsi="仿宋" w:eastAsia="仿宋" w:cs="仿宋"/>
          <w:color w:val="auto"/>
          <w:kern w:val="0"/>
          <w:sz w:val="24"/>
          <w:highlight w:val="none"/>
        </w:rPr>
        <w:t>点），除去全面清洗时间，其他时间段应不间断进行巡回保洁，每座公厕保洁员每天巡回保洁不少于</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次，公厕管理员每天不少于</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次。</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）每天对公共厕所进行消毒杀菌</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次，并公式消毒时间。</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）公共厕所周边环境应整洁有序、周边无垃圾、粪便、污水、杂草、废土、不得吊挂物品，无卫生死角，显眼处不得晾晒衣物，自行车、电动车等非机动车辆应在固定位置有序停放。</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6</w:t>
      </w:r>
      <w:r>
        <w:rPr>
          <w:rFonts w:hint="eastAsia" w:ascii="仿宋" w:hAnsi="仿宋" w:eastAsia="仿宋" w:cs="仿宋"/>
          <w:color w:val="auto"/>
          <w:kern w:val="0"/>
          <w:sz w:val="24"/>
          <w:highlight w:val="none"/>
        </w:rPr>
        <w:t>）坡道、台阶、扶手等应保持干净整洁、不得有障碍物。一旦出现破损，应出示预制维修牌，并记录维修起始时间，破损维修不超过</w:t>
      </w:r>
      <w:r>
        <w:rPr>
          <w:rFonts w:ascii="仿宋" w:hAnsi="仿宋" w:eastAsia="仿宋" w:cs="仿宋"/>
          <w:color w:val="auto"/>
          <w:kern w:val="0"/>
          <w:sz w:val="24"/>
          <w:highlight w:val="none"/>
        </w:rPr>
        <w:t>48</w:t>
      </w:r>
      <w:r>
        <w:rPr>
          <w:rFonts w:hint="eastAsia" w:ascii="仿宋" w:hAnsi="仿宋" w:eastAsia="仿宋" w:cs="仿宋"/>
          <w:color w:val="auto"/>
          <w:kern w:val="0"/>
          <w:sz w:val="24"/>
          <w:highlight w:val="none"/>
        </w:rPr>
        <w:t>小时；</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7</w:t>
      </w:r>
      <w:r>
        <w:rPr>
          <w:rFonts w:hint="eastAsia" w:ascii="仿宋" w:hAnsi="仿宋" w:eastAsia="仿宋" w:cs="仿宋"/>
          <w:color w:val="auto"/>
          <w:kern w:val="0"/>
          <w:sz w:val="24"/>
          <w:highlight w:val="none"/>
        </w:rPr>
        <w:t>）化粪池周围场地应保持整洁，无垃圾、粪迹、污水，不得由恶臭、蝇蛆。化粪池不得满溢。</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）门的正、反面和门把手应洁净，无松动脱落，无污迹和吊挂杂物，门缝处无垃圾、积灰、杂物、蛛网、积灰。一旦无法使用，应出示预制维修牌，并记录维修起始时间，破损维修不超过</w:t>
      </w:r>
      <w:r>
        <w:rPr>
          <w:rFonts w:ascii="仿宋" w:hAnsi="仿宋" w:eastAsia="仿宋" w:cs="仿宋"/>
          <w:color w:val="auto"/>
          <w:kern w:val="0"/>
          <w:sz w:val="24"/>
          <w:highlight w:val="none"/>
        </w:rPr>
        <w:t>48</w:t>
      </w:r>
      <w:r>
        <w:rPr>
          <w:rFonts w:hint="eastAsia" w:ascii="仿宋" w:hAnsi="仿宋" w:eastAsia="仿宋" w:cs="仿宋"/>
          <w:color w:val="auto"/>
          <w:kern w:val="0"/>
          <w:sz w:val="24"/>
          <w:highlight w:val="none"/>
        </w:rPr>
        <w:t>小时；</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9</w:t>
      </w:r>
      <w:r>
        <w:rPr>
          <w:rFonts w:hint="eastAsia" w:ascii="仿宋" w:hAnsi="仿宋" w:eastAsia="仿宋" w:cs="仿宋"/>
          <w:color w:val="auto"/>
          <w:kern w:val="0"/>
          <w:sz w:val="24"/>
          <w:highlight w:val="none"/>
        </w:rPr>
        <w:t>）地面洁净，无垃圾、污迹、积水、脚印、杂物。</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10</w:t>
      </w:r>
      <w:r>
        <w:rPr>
          <w:rFonts w:hint="eastAsia" w:ascii="仿宋" w:hAnsi="仿宋" w:eastAsia="仿宋" w:cs="仿宋"/>
          <w:color w:val="auto"/>
          <w:kern w:val="0"/>
          <w:sz w:val="24"/>
          <w:highlight w:val="none"/>
        </w:rPr>
        <w:t>）蹲便器、坐便器内外应洁净，无水锈、粪便、污物、堵塞。一旦无法使用，应出示预制维修牌，并记录维修起始时间，破损维修不超过</w:t>
      </w:r>
      <w:r>
        <w:rPr>
          <w:rFonts w:ascii="仿宋" w:hAnsi="仿宋" w:eastAsia="仿宋" w:cs="仿宋"/>
          <w:color w:val="auto"/>
          <w:kern w:val="0"/>
          <w:sz w:val="24"/>
          <w:highlight w:val="none"/>
        </w:rPr>
        <w:t>48</w:t>
      </w:r>
      <w:r>
        <w:rPr>
          <w:rFonts w:hint="eastAsia" w:ascii="仿宋" w:hAnsi="仿宋" w:eastAsia="仿宋" w:cs="仿宋"/>
          <w:color w:val="auto"/>
          <w:kern w:val="0"/>
          <w:sz w:val="24"/>
          <w:highlight w:val="none"/>
        </w:rPr>
        <w:t>小时；蹲坑内衣物挂钩、老年人坑位把手等缺失的应予以补齐，不得缺失。</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11</w:t>
      </w:r>
      <w:r>
        <w:rPr>
          <w:rFonts w:hint="eastAsia" w:ascii="仿宋" w:hAnsi="仿宋" w:eastAsia="仿宋" w:cs="仿宋"/>
          <w:color w:val="auto"/>
          <w:kern w:val="0"/>
          <w:sz w:val="24"/>
          <w:highlight w:val="none"/>
        </w:rPr>
        <w:t>）小便器（槽）应清洁，内、外及小便器底部无尿垢，小便器（槽）内有樟脑丸、防溅网（不小于直径</w:t>
      </w:r>
      <w:r>
        <w:rPr>
          <w:rFonts w:ascii="仿宋" w:hAnsi="仿宋" w:eastAsia="仿宋" w:cs="仿宋"/>
          <w:color w:val="auto"/>
          <w:kern w:val="0"/>
          <w:sz w:val="24"/>
          <w:highlight w:val="none"/>
        </w:rPr>
        <w:t>15cm</w:t>
      </w:r>
      <w:r>
        <w:rPr>
          <w:rFonts w:hint="eastAsia" w:ascii="仿宋" w:hAnsi="仿宋" w:eastAsia="仿宋" w:cs="仿宋"/>
          <w:color w:val="auto"/>
          <w:kern w:val="0"/>
          <w:sz w:val="24"/>
          <w:highlight w:val="none"/>
        </w:rPr>
        <w:t>）。小便器（槽）内无垃圾、水锈、管道沟眼保持畅通。一旦无法使用，应出示预制维修牌，并记录维修起始时间，维修不超过</w:t>
      </w:r>
      <w:r>
        <w:rPr>
          <w:rFonts w:ascii="仿宋" w:hAnsi="仿宋" w:eastAsia="仿宋" w:cs="仿宋"/>
          <w:color w:val="auto"/>
          <w:kern w:val="0"/>
          <w:sz w:val="24"/>
          <w:highlight w:val="none"/>
        </w:rPr>
        <w:t>48</w:t>
      </w:r>
      <w:r>
        <w:rPr>
          <w:rFonts w:hint="eastAsia" w:ascii="仿宋" w:hAnsi="仿宋" w:eastAsia="仿宋" w:cs="仿宋"/>
          <w:color w:val="auto"/>
          <w:kern w:val="0"/>
          <w:sz w:val="24"/>
          <w:highlight w:val="none"/>
        </w:rPr>
        <w:t>小时。</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12</w:t>
      </w:r>
      <w:r>
        <w:rPr>
          <w:rFonts w:hint="eastAsia" w:ascii="仿宋" w:hAnsi="仿宋" w:eastAsia="仿宋" w:cs="仿宋"/>
          <w:color w:val="auto"/>
          <w:kern w:val="0"/>
          <w:sz w:val="24"/>
          <w:highlight w:val="none"/>
        </w:rPr>
        <w:t>）洗手池及台面、拖把池、搁物台、厕位隔断板、婴儿护理板、镜子、无障碍扶手等应完好，无积尘、污迹、蛛网、水垢、毛发、杂物、乱涂乱画。一旦无法使用，应出示预制维修牌，并记录维修起始时间，破损维修不超过</w:t>
      </w:r>
      <w:r>
        <w:rPr>
          <w:rFonts w:ascii="仿宋" w:hAnsi="仿宋" w:eastAsia="仿宋" w:cs="仿宋"/>
          <w:color w:val="auto"/>
          <w:kern w:val="0"/>
          <w:sz w:val="24"/>
          <w:highlight w:val="none"/>
        </w:rPr>
        <w:t>48</w:t>
      </w:r>
      <w:r>
        <w:rPr>
          <w:rFonts w:hint="eastAsia" w:ascii="仿宋" w:hAnsi="仿宋" w:eastAsia="仿宋" w:cs="仿宋"/>
          <w:color w:val="auto"/>
          <w:kern w:val="0"/>
          <w:sz w:val="24"/>
          <w:highlight w:val="none"/>
        </w:rPr>
        <w:t>小时；</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13</w:t>
      </w:r>
      <w:r>
        <w:rPr>
          <w:rFonts w:hint="eastAsia" w:ascii="仿宋" w:hAnsi="仿宋" w:eastAsia="仿宋" w:cs="仿宋"/>
          <w:color w:val="auto"/>
          <w:kern w:val="0"/>
          <w:sz w:val="24"/>
          <w:highlight w:val="none"/>
        </w:rPr>
        <w:t>）洗手液、干手机、除臭设备、空调（如有）、灯具及开关、拖把架、手纸盒等设备应洁净、无积尘、污迹、使用标示清晰；提供免费的手纸和洗手液，供应量应充足，不影响正常使用。</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14</w:t>
      </w:r>
      <w:r>
        <w:rPr>
          <w:rFonts w:hint="eastAsia" w:ascii="仿宋" w:hAnsi="仿宋" w:eastAsia="仿宋" w:cs="仿宋"/>
          <w:color w:val="auto"/>
          <w:kern w:val="0"/>
          <w:sz w:val="24"/>
          <w:highlight w:val="none"/>
        </w:rPr>
        <w:t>）废纸篓内废弃物不得超过废物篓的平口。</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15</w:t>
      </w:r>
      <w:r>
        <w:rPr>
          <w:rFonts w:hint="eastAsia" w:ascii="仿宋" w:hAnsi="仿宋" w:eastAsia="仿宋" w:cs="仿宋"/>
          <w:color w:val="auto"/>
          <w:kern w:val="0"/>
          <w:sz w:val="24"/>
          <w:highlight w:val="none"/>
        </w:rPr>
        <w:t>）公厕内产生的垃圾，应由保洁单位实行外运。并运至开发区指定的生活垃圾清运单位。</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16</w:t>
      </w:r>
      <w:r>
        <w:rPr>
          <w:rFonts w:hint="eastAsia" w:ascii="仿宋" w:hAnsi="仿宋" w:eastAsia="仿宋" w:cs="仿宋"/>
          <w:color w:val="auto"/>
          <w:kern w:val="0"/>
          <w:sz w:val="24"/>
          <w:highlight w:val="none"/>
        </w:rPr>
        <w:t>）公厕出现漏水、堵塞等故障，应在</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小时内修复。整座厕所因维修暂时无法使用的，应公式停用时间，并指明就近公厕位置等临时过渡性措施，并报城管办备案。</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17</w:t>
      </w:r>
      <w:r>
        <w:rPr>
          <w:rFonts w:hint="eastAsia" w:ascii="仿宋" w:hAnsi="仿宋" w:eastAsia="仿宋" w:cs="仿宋"/>
          <w:color w:val="auto"/>
          <w:kern w:val="0"/>
          <w:sz w:val="24"/>
          <w:highlight w:val="none"/>
        </w:rPr>
        <w:t>）不得在公厕范围售卖一切商品。</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18</w:t>
      </w:r>
      <w:r>
        <w:rPr>
          <w:rFonts w:hint="eastAsia" w:ascii="仿宋" w:hAnsi="仿宋" w:eastAsia="仿宋" w:cs="仿宋"/>
          <w:color w:val="auto"/>
          <w:kern w:val="0"/>
          <w:sz w:val="24"/>
          <w:highlight w:val="none"/>
        </w:rPr>
        <w:t>）不得在公厕内堆放、悬挂或设置与公厕管理无关的物品。</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19</w:t>
      </w:r>
      <w:r>
        <w:rPr>
          <w:rFonts w:hint="eastAsia" w:ascii="仿宋" w:hAnsi="仿宋" w:eastAsia="仿宋" w:cs="仿宋"/>
          <w:color w:val="auto"/>
          <w:kern w:val="0"/>
          <w:sz w:val="24"/>
          <w:highlight w:val="none"/>
        </w:rPr>
        <w:t>）公厕外墙、内墙不得出现乱涂乱画，无张贴小广告，屋顶无蛛网、无漏水、污渍等。</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20</w:t>
      </w:r>
      <w:r>
        <w:rPr>
          <w:rFonts w:hint="eastAsia" w:ascii="仿宋" w:hAnsi="仿宋" w:eastAsia="仿宋" w:cs="仿宋"/>
          <w:color w:val="auto"/>
          <w:kern w:val="0"/>
          <w:sz w:val="24"/>
          <w:highlight w:val="none"/>
        </w:rPr>
        <w:t>）公厕内不得乱拉电线，不得在公厕内播放音频、视频。不得在公厕内设置监控设施。</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21</w:t>
      </w:r>
      <w:r>
        <w:rPr>
          <w:rFonts w:hint="eastAsia" w:ascii="仿宋" w:hAnsi="仿宋" w:eastAsia="仿宋" w:cs="仿宋"/>
          <w:color w:val="auto"/>
          <w:kern w:val="0"/>
          <w:sz w:val="24"/>
          <w:highlight w:val="none"/>
        </w:rPr>
        <w:t>）公厕内应在制定位置设置公厕保洁记录。不得漏记，缺计，公厕管理员应对每天检查的情况进行文字性说明，并具体说明点评理由，不得简单说明“很好、一般”等。</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22</w:t>
      </w:r>
      <w:r>
        <w:rPr>
          <w:rFonts w:hint="eastAsia" w:ascii="仿宋" w:hAnsi="仿宋" w:eastAsia="仿宋" w:cs="仿宋"/>
          <w:color w:val="auto"/>
          <w:kern w:val="0"/>
          <w:sz w:val="24"/>
          <w:highlight w:val="none"/>
        </w:rPr>
        <w:t>）公厕内配置工具间，工具间内应配置清洁和维修厕所的一般工具，包括拖把、抹布（区分擦洗台面和坐便器）、保洁提示牌，防滑提示牌。破损的工具应及时更换。</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23</w:t>
      </w:r>
      <w:r>
        <w:rPr>
          <w:rFonts w:hint="eastAsia" w:ascii="仿宋" w:hAnsi="仿宋" w:eastAsia="仿宋" w:cs="仿宋"/>
          <w:color w:val="auto"/>
          <w:kern w:val="0"/>
          <w:sz w:val="24"/>
          <w:highlight w:val="none"/>
        </w:rPr>
        <w:t>）公厕应按照爱国卫生的要求，自行或委托消杀公司对四害进行消杀。</w:t>
      </w:r>
    </w:p>
    <w:p>
      <w:pPr>
        <w:tabs>
          <w:tab w:val="left" w:pos="0"/>
          <w:tab w:val="left" w:pos="1680"/>
        </w:tabs>
        <w:ind w:right="-102"/>
        <w:rPr>
          <w:rFonts w:ascii="仿宋" w:hAnsi="仿宋" w:eastAsia="仿宋" w:cs="仿宋"/>
          <w:color w:val="auto"/>
          <w:kern w:val="0"/>
          <w:sz w:val="24"/>
          <w:highlight w:val="none"/>
        </w:rPr>
      </w:pPr>
    </w:p>
    <w:p>
      <w:pPr>
        <w:tabs>
          <w:tab w:val="left" w:pos="0"/>
          <w:tab w:val="left" w:pos="1680"/>
        </w:tabs>
        <w:ind w:right="-102" w:firstLine="484" w:firstLineChars="201"/>
        <w:rPr>
          <w:rFonts w:ascii="仿宋" w:hAnsi="仿宋" w:eastAsia="仿宋" w:cs="仿宋"/>
          <w:b/>
          <w:bCs/>
          <w:color w:val="auto"/>
          <w:sz w:val="24"/>
          <w:highlight w:val="none"/>
          <w:lang w:val="zh-CN"/>
        </w:rPr>
      </w:pPr>
      <w:r>
        <w:rPr>
          <w:rFonts w:ascii="仿宋" w:hAnsi="仿宋" w:eastAsia="仿宋" w:cs="仿宋"/>
          <w:b/>
          <w:bCs/>
          <w:color w:val="auto"/>
          <w:sz w:val="24"/>
          <w:highlight w:val="none"/>
          <w:lang w:val="zh-CN"/>
        </w:rPr>
        <w:t>2</w:t>
      </w:r>
      <w:r>
        <w:rPr>
          <w:rFonts w:hint="eastAsia" w:ascii="仿宋" w:hAnsi="仿宋" w:eastAsia="仿宋" w:cs="仿宋"/>
          <w:b/>
          <w:bCs/>
          <w:color w:val="auto"/>
          <w:sz w:val="24"/>
          <w:highlight w:val="none"/>
          <w:lang w:val="zh-CN"/>
        </w:rPr>
        <w:t>、公厕保洁操作内容</w:t>
      </w:r>
    </w:p>
    <w:p>
      <w:pPr>
        <w:autoSpaceDE w:val="0"/>
        <w:autoSpaceDN w:val="0"/>
        <w:ind w:right="-210" w:firstLine="484" w:firstLineChars="201"/>
        <w:rPr>
          <w:rFonts w:ascii="仿宋" w:hAnsi="仿宋" w:eastAsia="仿宋" w:cs="仿宋"/>
          <w:b/>
          <w:bCs/>
          <w:color w:val="auto"/>
          <w:sz w:val="24"/>
          <w:highlight w:val="none"/>
          <w:lang w:val="zh-CN"/>
        </w:rPr>
      </w:pPr>
      <w:r>
        <w:rPr>
          <w:rFonts w:ascii="仿宋" w:hAnsi="仿宋" w:eastAsia="仿宋" w:cs="仿宋"/>
          <w:b/>
          <w:bCs/>
          <w:color w:val="auto"/>
          <w:sz w:val="24"/>
          <w:highlight w:val="none"/>
          <w:lang w:val="zh-CN"/>
        </w:rPr>
        <w:t>1</w:t>
      </w:r>
      <w:r>
        <w:rPr>
          <w:rFonts w:hint="eastAsia" w:ascii="仿宋" w:hAnsi="仿宋" w:eastAsia="仿宋" w:cs="仿宋"/>
          <w:b/>
          <w:bCs/>
          <w:color w:val="auto"/>
          <w:sz w:val="24"/>
          <w:highlight w:val="none"/>
          <w:lang w:val="zh-CN"/>
        </w:rPr>
        <w:t>）项目负责人：项目负责人要能胜任本项目的全部工作任务，协调、组织好笨项目的各类问题。</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A. </w:t>
      </w:r>
      <w:r>
        <w:rPr>
          <w:rFonts w:hint="eastAsia" w:ascii="仿宋" w:hAnsi="仿宋" w:eastAsia="仿宋" w:cs="仿宋"/>
          <w:color w:val="auto"/>
          <w:kern w:val="0"/>
          <w:sz w:val="24"/>
          <w:highlight w:val="none"/>
        </w:rPr>
        <w:t>人员要求：</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①男性清卫人员年龄不大于</w:t>
      </w:r>
      <w:r>
        <w:rPr>
          <w:rFonts w:ascii="仿宋" w:hAnsi="仿宋" w:eastAsia="仿宋" w:cs="仿宋"/>
          <w:color w:val="auto"/>
          <w:kern w:val="0"/>
          <w:sz w:val="24"/>
          <w:highlight w:val="none"/>
        </w:rPr>
        <w:t>60</w:t>
      </w:r>
      <w:r>
        <w:rPr>
          <w:rFonts w:hint="eastAsia" w:ascii="仿宋" w:hAnsi="仿宋" w:eastAsia="仿宋" w:cs="仿宋"/>
          <w:color w:val="auto"/>
          <w:kern w:val="0"/>
          <w:sz w:val="24"/>
          <w:highlight w:val="none"/>
        </w:rPr>
        <w:t>周岁，女性清卫人员年龄不大于</w:t>
      </w:r>
      <w:r>
        <w:rPr>
          <w:rFonts w:ascii="仿宋" w:hAnsi="仿宋" w:eastAsia="仿宋" w:cs="仿宋"/>
          <w:color w:val="auto"/>
          <w:kern w:val="0"/>
          <w:sz w:val="24"/>
          <w:highlight w:val="none"/>
        </w:rPr>
        <w:t>50</w:t>
      </w:r>
      <w:r>
        <w:rPr>
          <w:rFonts w:hint="eastAsia" w:ascii="仿宋" w:hAnsi="仿宋" w:eastAsia="仿宋" w:cs="仿宋"/>
          <w:color w:val="auto"/>
          <w:kern w:val="0"/>
          <w:sz w:val="24"/>
          <w:highlight w:val="none"/>
        </w:rPr>
        <w:t>周岁，能说普通话；</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②有一定的文化水平，有一定的保洁工作经验，无犯罪前科；能熟练操作电脑</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③有较强的责任心，能落实甲方要求的各项保洁任务，遵守工作纪律。</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kern w:val="0"/>
          <w:sz w:val="24"/>
          <w:highlight w:val="none"/>
        </w:rPr>
        <w:t>工作职责</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①对接甲方相关工作，及时下达甲方的工作任务，</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②及时反馈在日常工作中发现的各类问题和提出合理化建议。</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③配合甲方对现场进行检查和考核工作（含数字城管和第三方监管），并督促落实整改；</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④按时足额发放员工工资、福利，为环卫管理员和保洁员购买商业保险。</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⑤制定完善各类方案、预案，组织台帐登记工作。</w:t>
      </w:r>
    </w:p>
    <w:p>
      <w:pPr>
        <w:autoSpaceDE w:val="0"/>
        <w:autoSpaceDN w:val="0"/>
        <w:ind w:right="-210"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）公厕管理员</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公厕管理员的主要职责是对团队的作业进行培训和指导，对公厕保洁的情况进行检查，对检查结果进行登记、点评，并在月底汇总登记结果，对公厕清洁和维护状况进行评价。</w:t>
      </w:r>
    </w:p>
    <w:p>
      <w:pPr>
        <w:ind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A.</w:t>
      </w:r>
      <w:r>
        <w:rPr>
          <w:rFonts w:hint="eastAsia" w:ascii="仿宋" w:hAnsi="仿宋" w:eastAsia="仿宋" w:cs="仿宋"/>
          <w:color w:val="auto"/>
          <w:kern w:val="0"/>
          <w:sz w:val="24"/>
          <w:highlight w:val="none"/>
        </w:rPr>
        <w:t>人员要求：</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①男性年龄不大于</w:t>
      </w:r>
      <w:r>
        <w:rPr>
          <w:rFonts w:ascii="仿宋" w:hAnsi="仿宋" w:eastAsia="仿宋" w:cs="仿宋"/>
          <w:color w:val="auto"/>
          <w:kern w:val="0"/>
          <w:sz w:val="24"/>
          <w:highlight w:val="none"/>
        </w:rPr>
        <w:t>50</w:t>
      </w:r>
      <w:r>
        <w:rPr>
          <w:rFonts w:hint="eastAsia" w:ascii="仿宋" w:hAnsi="仿宋" w:eastAsia="仿宋" w:cs="仿宋"/>
          <w:color w:val="auto"/>
          <w:kern w:val="0"/>
          <w:sz w:val="24"/>
          <w:highlight w:val="none"/>
        </w:rPr>
        <w:t>周岁，女性年龄不大于</w:t>
      </w:r>
      <w:r>
        <w:rPr>
          <w:rFonts w:ascii="仿宋" w:hAnsi="仿宋" w:eastAsia="仿宋" w:cs="仿宋"/>
          <w:color w:val="auto"/>
          <w:kern w:val="0"/>
          <w:sz w:val="24"/>
          <w:highlight w:val="none"/>
        </w:rPr>
        <w:t>45</w:t>
      </w:r>
      <w:r>
        <w:rPr>
          <w:rFonts w:hint="eastAsia" w:ascii="仿宋" w:hAnsi="仿宋" w:eastAsia="仿宋" w:cs="仿宋"/>
          <w:color w:val="auto"/>
          <w:kern w:val="0"/>
          <w:sz w:val="24"/>
          <w:highlight w:val="none"/>
        </w:rPr>
        <w:t>周岁，需持证上岗。</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②公厕管理员有一定的文化水平，能说普通话，无犯罪前科；</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③仪表端正，工作态度端正，熟悉公厕清卫考核标准；</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④具有</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年以上公厕工作经验和</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年以上公厕管理工作经验。</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⑤有较强的责任心，杜绝随意删减人员和干私活等现象发生。</w:t>
      </w:r>
    </w:p>
    <w:p>
      <w:pPr>
        <w:autoSpaceDE w:val="0"/>
        <w:autoSpaceDN w:val="0"/>
        <w:ind w:right="-210"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kern w:val="0"/>
          <w:sz w:val="24"/>
          <w:highlight w:val="none"/>
        </w:rPr>
        <w:t>每周组织开展一次清扫作业培训，每名保洁员每月参加的培训不少于</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次。</w:t>
      </w:r>
    </w:p>
    <w:p>
      <w:pPr>
        <w:autoSpaceDE w:val="0"/>
        <w:autoSpaceDN w:val="0"/>
        <w:ind w:right="-210"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C.</w:t>
      </w:r>
      <w:r>
        <w:rPr>
          <w:rFonts w:hint="eastAsia" w:ascii="仿宋" w:hAnsi="仿宋" w:eastAsia="仿宋" w:cs="仿宋"/>
          <w:color w:val="auto"/>
          <w:kern w:val="0"/>
          <w:sz w:val="24"/>
          <w:highlight w:val="none"/>
        </w:rPr>
        <w:t>每月制定保洁员工作表，明确每名保洁员的定岗厕所和巡回保洁厕所。</w:t>
      </w:r>
    </w:p>
    <w:p>
      <w:pPr>
        <w:autoSpaceDE w:val="0"/>
        <w:autoSpaceDN w:val="0"/>
        <w:ind w:right="-210"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D.</w:t>
      </w:r>
      <w:r>
        <w:rPr>
          <w:rFonts w:hint="eastAsia" w:ascii="仿宋" w:hAnsi="仿宋" w:eastAsia="仿宋" w:cs="仿宋"/>
          <w:color w:val="auto"/>
          <w:kern w:val="0"/>
          <w:sz w:val="24"/>
          <w:highlight w:val="none"/>
        </w:rPr>
        <w:t>加入微信监管群，实时汇报日常检查情况，并用照片、文字描述等方式，通过微信监管群记录检查发现的问题，并将每日检查登记（即公厕管理考核现场评分表）照片发送至群内。</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E.</w:t>
      </w:r>
      <w:r>
        <w:rPr>
          <w:rFonts w:hint="eastAsia" w:ascii="仿宋" w:hAnsi="仿宋" w:eastAsia="仿宋" w:cs="仿宋"/>
          <w:color w:val="auto"/>
          <w:kern w:val="0"/>
          <w:sz w:val="24"/>
          <w:highlight w:val="none"/>
        </w:rPr>
        <w:t>随身携带厕纸、洗手液补充液、维修螺丝刀、水笔、检查结果登记表备用品，油灰刀、工作证（需佩戴），着杭州市统一的保洁服【冬天可在工作服外配置厚外套，工作证需佩戴在厚外套上】，衣物应整洁，穿戴得体。</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F.</w:t>
      </w:r>
      <w:r>
        <w:rPr>
          <w:rFonts w:hint="eastAsia" w:ascii="仿宋" w:hAnsi="仿宋" w:eastAsia="仿宋" w:cs="仿宋"/>
          <w:color w:val="auto"/>
          <w:kern w:val="0"/>
          <w:sz w:val="24"/>
          <w:highlight w:val="none"/>
        </w:rPr>
        <w:t>检查内容应覆盖公厕周围范围、化粪池、公厕台阶、出入口、门、屋顶、地面、洗手台、小便器、蹲坑、无障碍间、工具间和第三卫生间。并检查每一件设施的完好度。</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G.</w:t>
      </w:r>
      <w:r>
        <w:rPr>
          <w:rFonts w:hint="eastAsia" w:ascii="仿宋" w:hAnsi="仿宋" w:eastAsia="仿宋" w:cs="仿宋"/>
          <w:color w:val="auto"/>
          <w:kern w:val="0"/>
          <w:sz w:val="24"/>
          <w:highlight w:val="none"/>
        </w:rPr>
        <w:t>对需要吸粪的公厕，通知吸粪车辆进行吸粪。</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）公厕保洁员</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A. </w:t>
      </w:r>
      <w:r>
        <w:rPr>
          <w:rFonts w:hint="eastAsia" w:ascii="仿宋" w:hAnsi="仿宋" w:eastAsia="仿宋" w:cs="仿宋"/>
          <w:color w:val="auto"/>
          <w:kern w:val="0"/>
          <w:sz w:val="24"/>
          <w:highlight w:val="none"/>
        </w:rPr>
        <w:t>人员要求：</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①男性清卫人员年龄不大于</w:t>
      </w:r>
      <w:r>
        <w:rPr>
          <w:rFonts w:ascii="仿宋" w:hAnsi="仿宋" w:eastAsia="仿宋" w:cs="仿宋"/>
          <w:color w:val="auto"/>
          <w:kern w:val="0"/>
          <w:sz w:val="24"/>
          <w:highlight w:val="none"/>
        </w:rPr>
        <w:t>60</w:t>
      </w:r>
      <w:r>
        <w:rPr>
          <w:rFonts w:hint="eastAsia" w:ascii="仿宋" w:hAnsi="仿宋" w:eastAsia="仿宋" w:cs="仿宋"/>
          <w:color w:val="auto"/>
          <w:kern w:val="0"/>
          <w:sz w:val="24"/>
          <w:highlight w:val="none"/>
        </w:rPr>
        <w:t>周岁，女性清卫人员年龄不大于</w:t>
      </w:r>
      <w:r>
        <w:rPr>
          <w:rFonts w:ascii="仿宋" w:hAnsi="仿宋" w:eastAsia="仿宋" w:cs="仿宋"/>
          <w:color w:val="auto"/>
          <w:kern w:val="0"/>
          <w:sz w:val="24"/>
          <w:highlight w:val="none"/>
        </w:rPr>
        <w:t>50</w:t>
      </w:r>
      <w:r>
        <w:rPr>
          <w:rFonts w:hint="eastAsia" w:ascii="仿宋" w:hAnsi="仿宋" w:eastAsia="仿宋" w:cs="仿宋"/>
          <w:color w:val="auto"/>
          <w:kern w:val="0"/>
          <w:sz w:val="24"/>
          <w:highlight w:val="none"/>
        </w:rPr>
        <w:t>周岁，能说普通话；</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②有一定的文化水平，有一定的保洁工作经验，无犯罪前科；</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③能提供身体健康的体检表、办理在杭暂住证，并在甲方处进行基础资料登记，人员在工作期间，如需要变更，必须告知甲方，通过审核同意方可调换；</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④有较强的责任心，能落实甲方要求的各项保洁任务，遵守工作纪律。</w:t>
      </w:r>
    </w:p>
    <w:p>
      <w:pPr>
        <w:ind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kern w:val="0"/>
          <w:sz w:val="24"/>
          <w:highlight w:val="none"/>
        </w:rPr>
        <w:t>公厕保洁员实行责任制和巡回保洁相结合的工作方式。其中，责任制指公厕保洁员将管理员分配的公厕作为责任制保洁，公厕内的一切问题，由责任制公厕保洁员向公厕管理员进行汇报。巡回保洁即对公厕管理员分配的公厕进行巡回保洁。</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C.</w:t>
      </w:r>
      <w:r>
        <w:rPr>
          <w:rFonts w:hint="eastAsia" w:ascii="仿宋" w:hAnsi="仿宋" w:eastAsia="仿宋" w:cs="仿宋"/>
          <w:color w:val="auto"/>
          <w:kern w:val="0"/>
          <w:sz w:val="24"/>
          <w:highlight w:val="none"/>
        </w:rPr>
        <w:t>每周参加一次情扫作业培训，每月参加次数不少于</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次。</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D.</w:t>
      </w:r>
      <w:r>
        <w:rPr>
          <w:rFonts w:hint="eastAsia" w:ascii="仿宋" w:hAnsi="仿宋" w:eastAsia="仿宋" w:cs="仿宋"/>
          <w:color w:val="auto"/>
          <w:kern w:val="0"/>
          <w:sz w:val="24"/>
          <w:highlight w:val="none"/>
        </w:rPr>
        <w:t>根据公厕保洁登记台账记录，按时按实登记保洁信息。</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E.</w:t>
      </w:r>
      <w:r>
        <w:rPr>
          <w:rFonts w:hint="eastAsia" w:ascii="仿宋" w:hAnsi="仿宋" w:eastAsia="仿宋" w:cs="仿宋"/>
          <w:color w:val="auto"/>
          <w:kern w:val="0"/>
          <w:sz w:val="24"/>
          <w:highlight w:val="none"/>
        </w:rPr>
        <w:t>随身携带巡回保洁抹布（洁具和设施各</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块）、保洁手套</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双、记录笔。工作时段需着杭州市统一的保洁服【冬天可在工作服外配置厚外套，工作证需佩戴在厚外套上】并佩戴工作证。</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F.</w:t>
      </w:r>
      <w:r>
        <w:rPr>
          <w:rFonts w:hint="eastAsia" w:ascii="仿宋" w:hAnsi="仿宋" w:eastAsia="仿宋" w:cs="仿宋"/>
          <w:color w:val="auto"/>
          <w:kern w:val="0"/>
          <w:sz w:val="24"/>
          <w:highlight w:val="none"/>
        </w:rPr>
        <w:t>责任公厕保洁内容为：</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①对公厕内公共设施进行维护、保养、清扫清洗、擦拭等，确保所有设施设备都能正常使用，每天早晚各</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次；对公厕内洁具和台面每天消毒</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次。每次保洁时间不超过</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小时</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②对清洗公厕的工具进行清洁、洗涤。</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③对出现公共厕所内无法修复的，立即报告管理员。</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④检查化粪池情况，</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⑤填写公厕保洁登记台账记录。</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G.</w:t>
      </w:r>
      <w:r>
        <w:rPr>
          <w:rFonts w:hint="eastAsia" w:ascii="仿宋" w:hAnsi="仿宋" w:eastAsia="仿宋" w:cs="仿宋"/>
          <w:color w:val="auto"/>
          <w:kern w:val="0"/>
          <w:sz w:val="24"/>
          <w:highlight w:val="none"/>
        </w:rPr>
        <w:t>公厕巡回保洁内容为：</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①按照规定的时间，准时到达规定公厕，并对公厕内公共设施进行维护、保养、清扫清洗、擦拭等，确保所有设施设备都能正常使用。每次保洁时间不超过</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小时</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②对出现公共厕所内无法修复的，立即报告管理员并张贴维修告知牌。</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③填写公厕保洁登记台账记录。</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④对公厕内缺少的清洁设备告知公厕管理员尽快安排补足。</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⑤定期观察化粪池，出现满溢、堵塞等应及时通知管理员查看，处置。</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）水电维修工</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A. </w:t>
      </w:r>
      <w:r>
        <w:rPr>
          <w:rFonts w:hint="eastAsia" w:ascii="仿宋" w:hAnsi="仿宋" w:eastAsia="仿宋" w:cs="仿宋"/>
          <w:color w:val="auto"/>
          <w:kern w:val="0"/>
          <w:sz w:val="24"/>
          <w:highlight w:val="none"/>
        </w:rPr>
        <w:t>人员要求：</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①男性清卫人员年龄不大于</w:t>
      </w:r>
      <w:r>
        <w:rPr>
          <w:rFonts w:ascii="仿宋" w:hAnsi="仿宋" w:eastAsia="仿宋" w:cs="仿宋"/>
          <w:color w:val="auto"/>
          <w:kern w:val="0"/>
          <w:sz w:val="24"/>
          <w:highlight w:val="none"/>
        </w:rPr>
        <w:t>60</w:t>
      </w:r>
      <w:r>
        <w:rPr>
          <w:rFonts w:hint="eastAsia" w:ascii="仿宋" w:hAnsi="仿宋" w:eastAsia="仿宋" w:cs="仿宋"/>
          <w:color w:val="auto"/>
          <w:kern w:val="0"/>
          <w:sz w:val="24"/>
          <w:highlight w:val="none"/>
        </w:rPr>
        <w:t>周岁，女性清卫人员年龄不大于</w:t>
      </w:r>
      <w:r>
        <w:rPr>
          <w:rFonts w:ascii="仿宋" w:hAnsi="仿宋" w:eastAsia="仿宋" w:cs="仿宋"/>
          <w:color w:val="auto"/>
          <w:kern w:val="0"/>
          <w:sz w:val="24"/>
          <w:highlight w:val="none"/>
        </w:rPr>
        <w:t>50</w:t>
      </w:r>
      <w:r>
        <w:rPr>
          <w:rFonts w:hint="eastAsia" w:ascii="仿宋" w:hAnsi="仿宋" w:eastAsia="仿宋" w:cs="仿宋"/>
          <w:color w:val="auto"/>
          <w:kern w:val="0"/>
          <w:sz w:val="24"/>
          <w:highlight w:val="none"/>
        </w:rPr>
        <w:t>周岁，能说普通话；</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②有水电专业的证书和工作经验，无犯罪前科；</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③有较强的责任心，遵守工作纪律，能及时、按时完成各项维修工作任务。</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kern w:val="0"/>
          <w:sz w:val="24"/>
          <w:highlight w:val="none"/>
        </w:rPr>
        <w:t>．工作职责：</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①负责对公厕内的水、电、设施设备进行维修，清理下水管道、清理化粪池等。</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②备齐维修材料，材料工具齐全。</w:t>
      </w:r>
    </w:p>
    <w:p>
      <w:pPr>
        <w:tabs>
          <w:tab w:val="left" w:pos="0"/>
          <w:tab w:val="left" w:pos="1680"/>
        </w:tabs>
        <w:ind w:right="-102"/>
        <w:rPr>
          <w:rFonts w:ascii="仿宋" w:hAnsi="仿宋" w:eastAsia="仿宋" w:cs="仿宋"/>
          <w:color w:val="auto"/>
          <w:kern w:val="0"/>
          <w:sz w:val="24"/>
          <w:highlight w:val="none"/>
        </w:rPr>
      </w:pPr>
    </w:p>
    <w:p>
      <w:pPr>
        <w:tabs>
          <w:tab w:val="left" w:pos="0"/>
          <w:tab w:val="left" w:pos="1680"/>
        </w:tabs>
        <w:ind w:right="-102" w:firstLine="484" w:firstLineChars="201"/>
        <w:rPr>
          <w:rFonts w:ascii="仿宋" w:hAnsi="仿宋" w:eastAsia="仿宋" w:cs="仿宋"/>
          <w:b/>
          <w:color w:val="auto"/>
          <w:kern w:val="0"/>
          <w:sz w:val="24"/>
          <w:highlight w:val="none"/>
        </w:rPr>
      </w:pPr>
      <w:r>
        <w:rPr>
          <w:rFonts w:ascii="仿宋" w:hAnsi="仿宋" w:eastAsia="仿宋" w:cs="仿宋"/>
          <w:b/>
          <w:color w:val="auto"/>
          <w:kern w:val="0"/>
          <w:sz w:val="24"/>
          <w:highlight w:val="none"/>
        </w:rPr>
        <w:t>3.</w:t>
      </w:r>
      <w:r>
        <w:rPr>
          <w:rFonts w:hint="eastAsia" w:ascii="仿宋" w:hAnsi="仿宋" w:eastAsia="仿宋" w:cs="仿宋"/>
          <w:b/>
          <w:color w:val="auto"/>
          <w:kern w:val="0"/>
          <w:sz w:val="24"/>
          <w:highlight w:val="none"/>
        </w:rPr>
        <w:t>公厕内保洁工具配置及存放标准</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A.</w:t>
      </w:r>
      <w:r>
        <w:rPr>
          <w:rFonts w:hint="eastAsia" w:ascii="仿宋" w:hAnsi="仿宋" w:eastAsia="仿宋" w:cs="仿宋"/>
          <w:color w:val="auto"/>
          <w:kern w:val="0"/>
          <w:sz w:val="24"/>
          <w:highlight w:val="none"/>
        </w:rPr>
        <w:t>统一配置扫把</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把。</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kern w:val="0"/>
          <w:sz w:val="24"/>
          <w:highlight w:val="none"/>
        </w:rPr>
        <w:t>统一配置拖把</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把</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C.</w:t>
      </w:r>
      <w:r>
        <w:rPr>
          <w:rFonts w:hint="eastAsia" w:ascii="仿宋" w:hAnsi="仿宋" w:eastAsia="仿宋" w:cs="仿宋"/>
          <w:color w:val="auto"/>
          <w:kern w:val="0"/>
          <w:sz w:val="24"/>
          <w:highlight w:val="none"/>
        </w:rPr>
        <w:t>统一配置洁具抹布</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块</w:t>
      </w:r>
      <w:r>
        <w:rPr>
          <w:rFonts w:ascii="仿宋" w:hAnsi="仿宋" w:eastAsia="仿宋" w:cs="仿宋"/>
          <w:color w:val="auto"/>
          <w:kern w:val="0"/>
          <w:sz w:val="24"/>
          <w:highlight w:val="none"/>
        </w:rPr>
        <w:t>D.</w:t>
      </w:r>
      <w:r>
        <w:rPr>
          <w:rFonts w:hint="eastAsia" w:ascii="仿宋" w:hAnsi="仿宋" w:eastAsia="仿宋" w:cs="仿宋"/>
          <w:color w:val="auto"/>
          <w:kern w:val="0"/>
          <w:sz w:val="24"/>
          <w:highlight w:val="none"/>
        </w:rPr>
        <w:t>统一配置台面抹布</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块</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需区分颜色，采用吸水性好的材质</w:t>
      </w:r>
      <w:r>
        <w:rPr>
          <w:rFonts w:ascii="仿宋" w:hAnsi="仿宋" w:eastAsia="仿宋" w:cs="仿宋"/>
          <w:color w:val="auto"/>
          <w:kern w:val="0"/>
          <w:sz w:val="24"/>
          <w:highlight w:val="none"/>
        </w:rPr>
        <w:t>)</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E.</w:t>
      </w:r>
      <w:r>
        <w:rPr>
          <w:rFonts w:hint="eastAsia" w:ascii="仿宋" w:hAnsi="仿宋" w:eastAsia="仿宋" w:cs="仿宋"/>
          <w:color w:val="auto"/>
          <w:kern w:val="0"/>
          <w:sz w:val="24"/>
          <w:highlight w:val="none"/>
        </w:rPr>
        <w:t>统一配置长柄鸡毛掸</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个</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F.</w:t>
      </w:r>
      <w:r>
        <w:rPr>
          <w:rFonts w:hint="eastAsia" w:ascii="仿宋" w:hAnsi="仿宋" w:eastAsia="仿宋" w:cs="仿宋"/>
          <w:color w:val="auto"/>
          <w:kern w:val="0"/>
          <w:sz w:val="24"/>
          <w:highlight w:val="none"/>
        </w:rPr>
        <w:t>统一配置水桶</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只（需区分颜色）</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G.</w:t>
      </w:r>
      <w:r>
        <w:rPr>
          <w:rFonts w:hint="eastAsia" w:ascii="仿宋" w:hAnsi="仿宋" w:eastAsia="仿宋" w:cs="仿宋"/>
          <w:color w:val="auto"/>
          <w:kern w:val="0"/>
          <w:sz w:val="24"/>
          <w:highlight w:val="none"/>
        </w:rPr>
        <w:t>统一黄色警示牌</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块（正在保洁</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块、小心地滑</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块）</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H.</w:t>
      </w:r>
      <w:r>
        <w:rPr>
          <w:rFonts w:hint="eastAsia" w:ascii="仿宋" w:hAnsi="仿宋" w:eastAsia="仿宋" w:cs="仿宋"/>
          <w:color w:val="auto"/>
          <w:kern w:val="0"/>
          <w:sz w:val="24"/>
          <w:highlight w:val="none"/>
        </w:rPr>
        <w:t>马桶吸</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个。</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I.</w:t>
      </w:r>
      <w:r>
        <w:rPr>
          <w:rFonts w:hint="eastAsia" w:ascii="仿宋" w:hAnsi="仿宋" w:eastAsia="仿宋" w:cs="仿宋"/>
          <w:color w:val="auto"/>
          <w:kern w:val="0"/>
          <w:sz w:val="24"/>
          <w:highlight w:val="none"/>
        </w:rPr>
        <w:t>洁具钢刷</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个。</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J.</w:t>
      </w:r>
      <w:r>
        <w:rPr>
          <w:rFonts w:hint="eastAsia" w:ascii="仿宋" w:hAnsi="仿宋" w:eastAsia="仿宋" w:cs="仿宋"/>
          <w:color w:val="auto"/>
          <w:kern w:val="0"/>
          <w:sz w:val="24"/>
          <w:highlight w:val="none"/>
        </w:rPr>
        <w:t>拖把扫把挂钩</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个。</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公厕内的其他设施配备：</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A.</w:t>
      </w:r>
      <w:r>
        <w:rPr>
          <w:rFonts w:hint="eastAsia" w:ascii="仿宋" w:hAnsi="仿宋" w:eastAsia="仿宋" w:cs="仿宋"/>
          <w:color w:val="auto"/>
          <w:kern w:val="0"/>
          <w:sz w:val="24"/>
          <w:highlight w:val="none"/>
        </w:rPr>
        <w:t>干手器一台</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kern w:val="0"/>
          <w:sz w:val="24"/>
          <w:highlight w:val="none"/>
        </w:rPr>
        <w:t>空气净化设备</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台</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C.</w:t>
      </w:r>
      <w:r>
        <w:rPr>
          <w:rFonts w:hint="eastAsia" w:ascii="仿宋" w:hAnsi="仿宋" w:eastAsia="仿宋" w:cs="仿宋"/>
          <w:color w:val="auto"/>
          <w:kern w:val="0"/>
          <w:sz w:val="24"/>
          <w:highlight w:val="none"/>
        </w:rPr>
        <w:t>消防灭火器</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台</w:t>
      </w:r>
    </w:p>
    <w:p>
      <w:pPr>
        <w:tabs>
          <w:tab w:val="left" w:pos="0"/>
          <w:tab w:val="left" w:pos="1680"/>
        </w:tabs>
        <w:ind w:right="-102"/>
        <w:rPr>
          <w:rFonts w:ascii="仿宋" w:hAnsi="仿宋" w:eastAsia="仿宋" w:cs="仿宋"/>
          <w:color w:val="auto"/>
          <w:kern w:val="0"/>
          <w:sz w:val="24"/>
          <w:highlight w:val="none"/>
        </w:rPr>
      </w:pPr>
    </w:p>
    <w:p>
      <w:pPr>
        <w:tabs>
          <w:tab w:val="left" w:pos="0"/>
          <w:tab w:val="left" w:pos="1680"/>
        </w:tabs>
        <w:ind w:right="-102" w:firstLine="484" w:firstLineChars="201"/>
        <w:rPr>
          <w:rFonts w:ascii="仿宋" w:hAnsi="仿宋" w:eastAsia="仿宋" w:cs="仿宋"/>
          <w:b/>
          <w:color w:val="auto"/>
          <w:kern w:val="0"/>
          <w:sz w:val="24"/>
          <w:highlight w:val="none"/>
        </w:rPr>
      </w:pPr>
      <w:r>
        <w:rPr>
          <w:rFonts w:ascii="仿宋" w:hAnsi="仿宋" w:eastAsia="仿宋" w:cs="仿宋"/>
          <w:b/>
          <w:color w:val="auto"/>
          <w:kern w:val="0"/>
          <w:sz w:val="24"/>
          <w:highlight w:val="none"/>
        </w:rPr>
        <w:t>4.</w:t>
      </w:r>
      <w:r>
        <w:rPr>
          <w:rFonts w:hint="eastAsia" w:ascii="仿宋" w:hAnsi="仿宋" w:eastAsia="仿宋" w:cs="仿宋"/>
          <w:b/>
          <w:color w:val="auto"/>
          <w:kern w:val="0"/>
          <w:sz w:val="24"/>
          <w:highlight w:val="none"/>
        </w:rPr>
        <w:t>保洁服配置</w:t>
      </w:r>
    </w:p>
    <w:p>
      <w:pPr>
        <w:ind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A.</w:t>
      </w:r>
      <w:r>
        <w:rPr>
          <w:rFonts w:hint="eastAsia" w:ascii="仿宋" w:hAnsi="仿宋" w:eastAsia="仿宋" w:cs="仿宋"/>
          <w:color w:val="auto"/>
          <w:kern w:val="0"/>
          <w:sz w:val="24"/>
          <w:highlight w:val="none"/>
        </w:rPr>
        <w:t>作业时衣冠整齐，不得钮扣不扣，工作帽歪戴，不得穿拖鞋、卷裤腿（特殊情况除外）。</w:t>
      </w:r>
    </w:p>
    <w:p>
      <w:pPr>
        <w:ind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kern w:val="0"/>
          <w:sz w:val="24"/>
          <w:highlight w:val="none"/>
        </w:rPr>
        <w:t>不得用其它制式服装替代环卫工作服，不得将衣物悬挂在环卫作业车辆上。</w:t>
      </w:r>
    </w:p>
    <w:p>
      <w:pPr>
        <w:ind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C.</w:t>
      </w:r>
      <w:r>
        <w:rPr>
          <w:rFonts w:hint="eastAsia" w:ascii="仿宋" w:hAnsi="仿宋" w:eastAsia="仿宋" w:cs="仿宋"/>
          <w:color w:val="auto"/>
          <w:kern w:val="0"/>
          <w:sz w:val="24"/>
          <w:highlight w:val="none"/>
        </w:rPr>
        <w:t>工号牌要求佩戴在左胸前，表面保持干净，避免污渍迹沾染。工号牌长</w:t>
      </w:r>
      <w:r>
        <w:rPr>
          <w:rFonts w:ascii="仿宋" w:hAnsi="仿宋" w:eastAsia="仿宋" w:cs="仿宋"/>
          <w:color w:val="auto"/>
          <w:kern w:val="0"/>
          <w:sz w:val="24"/>
          <w:highlight w:val="none"/>
        </w:rPr>
        <w:t>6.5cm</w:t>
      </w:r>
      <w:r>
        <w:rPr>
          <w:rFonts w:hint="eastAsia" w:ascii="仿宋" w:hAnsi="仿宋" w:eastAsia="仿宋" w:cs="仿宋"/>
          <w:color w:val="auto"/>
          <w:kern w:val="0"/>
          <w:sz w:val="24"/>
          <w:highlight w:val="none"/>
        </w:rPr>
        <w:t>，宽</w:t>
      </w:r>
      <w:r>
        <w:rPr>
          <w:rFonts w:ascii="仿宋" w:hAnsi="仿宋" w:eastAsia="仿宋" w:cs="仿宋"/>
          <w:color w:val="auto"/>
          <w:kern w:val="0"/>
          <w:sz w:val="24"/>
          <w:highlight w:val="none"/>
        </w:rPr>
        <w:t>2cm</w:t>
      </w:r>
      <w:r>
        <w:rPr>
          <w:rFonts w:hint="eastAsia" w:ascii="仿宋" w:hAnsi="仿宋" w:eastAsia="仿宋" w:cs="仿宋"/>
          <w:color w:val="auto"/>
          <w:kern w:val="0"/>
          <w:sz w:val="24"/>
          <w:highlight w:val="none"/>
        </w:rPr>
        <w:t>，底色橘黄，字体为宋体，工号由各城区头两个字的首位字母和</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位</w:t>
      </w:r>
    </w:p>
    <w:p>
      <w:pPr>
        <w:ind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D. </w:t>
      </w:r>
      <w:r>
        <w:rPr>
          <w:rFonts w:hint="eastAsia" w:ascii="仿宋" w:hAnsi="仿宋" w:eastAsia="仿宋" w:cs="仿宋"/>
          <w:color w:val="auto"/>
          <w:kern w:val="0"/>
          <w:sz w:val="24"/>
          <w:highlight w:val="none"/>
        </w:rPr>
        <w:t>环卫作业人员工号牌，一人一号，不得转借。凡离开环卫作业队伍时，工作服和工号牌一律上交。</w:t>
      </w:r>
    </w:p>
    <w:p>
      <w:pPr>
        <w:ind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E. </w:t>
      </w:r>
      <w:r>
        <w:rPr>
          <w:rFonts w:hint="eastAsia" w:ascii="仿宋" w:hAnsi="仿宋" w:eastAsia="仿宋" w:cs="仿宋"/>
          <w:color w:val="auto"/>
          <w:kern w:val="0"/>
          <w:sz w:val="24"/>
          <w:highlight w:val="none"/>
        </w:rPr>
        <w:t>环卫作业人员在非工作时间，不得穿戴环卫工作服。</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firstLineChars="201"/>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F.</w:t>
      </w:r>
      <w:r>
        <w:rPr>
          <w:rFonts w:hint="eastAsia" w:ascii="仿宋" w:hAnsi="仿宋" w:eastAsia="仿宋" w:cs="仿宋"/>
          <w:color w:val="auto"/>
          <w:kern w:val="0"/>
          <w:sz w:val="24"/>
          <w:highlight w:val="none"/>
        </w:rPr>
        <w:t>环卫作业人员仪表应当整洁。男环卫作业人员不得留长发、蓄长须；女环卫作业人员上岗前应把头发夹好，不得影响作业安全，以低头或仰头时不脱落为度。环卫作业人员不得留长指甲。</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firstLineChars="201"/>
        <w:jc w:val="left"/>
        <w:rPr>
          <w:rFonts w:ascii="仿宋" w:hAnsi="仿宋" w:eastAsia="仿宋" w:cs="仿宋"/>
          <w:color w:val="auto"/>
          <w:kern w:val="0"/>
          <w:sz w:val="24"/>
          <w:highlight w:val="non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firstLineChars="201"/>
        <w:jc w:val="left"/>
        <w:rPr>
          <w:rFonts w:ascii="仿宋" w:hAnsi="仿宋" w:eastAsia="仿宋" w:cs="仿宋"/>
          <w:color w:val="auto"/>
          <w:kern w:val="0"/>
          <w:sz w:val="24"/>
          <w:highlight w:val="none"/>
        </w:rPr>
      </w:pPr>
    </w:p>
    <w:p>
      <w:pPr>
        <w:jc w:val="left"/>
        <w:rPr>
          <w:rFonts w:ascii="仿宋" w:hAnsi="仿宋" w:eastAsia="仿宋" w:cs="仿宋"/>
          <w:color w:val="auto"/>
          <w:sz w:val="24"/>
          <w:highlight w:val="none"/>
        </w:rPr>
      </w:pPr>
      <w:r>
        <w:rPr>
          <w:rFonts w:hint="eastAsia" w:ascii="仿宋" w:hAnsi="仿宋" w:eastAsia="仿宋" w:cs="仿宋"/>
          <w:b/>
          <w:color w:val="auto"/>
          <w:sz w:val="24"/>
          <w:highlight w:val="none"/>
        </w:rPr>
        <w:t>冬装</w:t>
      </w:r>
    </w:p>
    <w:p>
      <w:pPr>
        <w:rPr>
          <w:rFonts w:ascii="仿宋" w:hAnsi="仿宋" w:eastAsia="仿宋" w:cs="仿宋"/>
          <w:color w:val="auto"/>
          <w:sz w:val="24"/>
          <w:highlight w:val="none"/>
        </w:rPr>
      </w:pPr>
      <w:r>
        <w:rPr>
          <w:rFonts w:hint="eastAsia" w:ascii="仿宋" w:hAnsi="仿宋" w:eastAsia="仿宋" w:cs="仿宋"/>
          <w:color w:val="auto"/>
          <w:sz w:val="24"/>
          <w:highlight w:val="none"/>
        </w:rPr>
        <w:t>正面</w:t>
      </w:r>
      <w:r>
        <w:rPr>
          <w:rFonts w:ascii="仿宋" w:hAnsi="仿宋" w:eastAsia="仿宋" w:cs="仿宋"/>
          <w:color w:val="auto"/>
          <w:sz w:val="24"/>
          <w:highlight w:val="none"/>
        </w:rPr>
        <w:drawing>
          <wp:inline distT="0" distB="0" distL="114300" distR="114300">
            <wp:extent cx="1996440" cy="2644140"/>
            <wp:effectExtent l="0" t="0" r="3810" b="3810"/>
            <wp:docPr id="9" name="图片 1" descr="201303271450441"/>
            <wp:cNvGraphicFramePr/>
            <a:graphic xmlns:a="http://schemas.openxmlformats.org/drawingml/2006/main">
              <a:graphicData uri="http://schemas.openxmlformats.org/drawingml/2006/picture">
                <pic:pic xmlns:pic="http://schemas.openxmlformats.org/drawingml/2006/picture">
                  <pic:nvPicPr>
                    <pic:cNvPr id="9" name="图片 1" descr="201303271450441"/>
                    <pic:cNvPicPr/>
                  </pic:nvPicPr>
                  <pic:blipFill>
                    <a:blip r:embed="rId22"/>
                    <a:stretch>
                      <a:fillRect/>
                    </a:stretch>
                  </pic:blipFill>
                  <pic:spPr>
                    <a:xfrm>
                      <a:off x="0" y="0"/>
                      <a:ext cx="1996440" cy="2644140"/>
                    </a:xfrm>
                    <a:prstGeom prst="rect">
                      <a:avLst/>
                    </a:prstGeom>
                    <a:noFill/>
                    <a:ln>
                      <a:noFill/>
                    </a:ln>
                  </pic:spPr>
                </pic:pic>
              </a:graphicData>
            </a:graphic>
          </wp:inline>
        </w:drawing>
      </w:r>
      <w:r>
        <w:rPr>
          <w:rFonts w:hint="eastAsia" w:ascii="仿宋" w:hAnsi="仿宋" w:eastAsia="仿宋" w:cs="仿宋"/>
          <w:color w:val="auto"/>
          <w:sz w:val="24"/>
          <w:highlight w:val="none"/>
        </w:rPr>
        <w:t>侧面</w:t>
      </w:r>
      <w:r>
        <w:rPr>
          <w:rFonts w:ascii="仿宋" w:hAnsi="仿宋" w:eastAsia="仿宋" w:cs="仿宋"/>
          <w:color w:val="auto"/>
          <w:sz w:val="24"/>
          <w:highlight w:val="none"/>
        </w:rPr>
        <w:drawing>
          <wp:inline distT="0" distB="0" distL="114300" distR="114300">
            <wp:extent cx="1828800" cy="2644140"/>
            <wp:effectExtent l="0" t="0" r="0" b="3810"/>
            <wp:docPr id="7" name="图片 2" descr="男大衣侧D"/>
            <wp:cNvGraphicFramePr/>
            <a:graphic xmlns:a="http://schemas.openxmlformats.org/drawingml/2006/main">
              <a:graphicData uri="http://schemas.openxmlformats.org/drawingml/2006/picture">
                <pic:pic xmlns:pic="http://schemas.openxmlformats.org/drawingml/2006/picture">
                  <pic:nvPicPr>
                    <pic:cNvPr id="7" name="图片 2" descr="男大衣侧D"/>
                    <pic:cNvPicPr/>
                  </pic:nvPicPr>
                  <pic:blipFill>
                    <a:blip r:embed="rId23"/>
                    <a:stretch>
                      <a:fillRect/>
                    </a:stretch>
                  </pic:blipFill>
                  <pic:spPr>
                    <a:xfrm>
                      <a:off x="0" y="0"/>
                      <a:ext cx="1828800" cy="2644140"/>
                    </a:xfrm>
                    <a:prstGeom prst="rect">
                      <a:avLst/>
                    </a:prstGeom>
                    <a:noFill/>
                    <a:ln>
                      <a:noFill/>
                    </a:ln>
                  </pic:spPr>
                </pic:pic>
              </a:graphicData>
            </a:graphic>
          </wp:inline>
        </w:drawing>
      </w: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t>春秋装</w:t>
      </w:r>
    </w:p>
    <w:p>
      <w:pPr>
        <w:rPr>
          <w:rFonts w:ascii="仿宋" w:hAnsi="仿宋" w:eastAsia="仿宋" w:cs="仿宋"/>
          <w:color w:val="auto"/>
          <w:sz w:val="24"/>
          <w:highlight w:val="none"/>
        </w:rPr>
      </w:pPr>
      <w:r>
        <w:rPr>
          <w:rFonts w:hint="eastAsia" w:ascii="仿宋" w:hAnsi="仿宋" w:eastAsia="仿宋" w:cs="仿宋"/>
          <w:color w:val="auto"/>
          <w:sz w:val="24"/>
          <w:highlight w:val="none"/>
        </w:rPr>
        <w:t>正面</w:t>
      </w:r>
      <w:r>
        <w:rPr>
          <w:rFonts w:ascii="仿宋" w:hAnsi="仿宋" w:eastAsia="仿宋" w:cs="仿宋"/>
          <w:color w:val="auto"/>
          <w:sz w:val="24"/>
          <w:highlight w:val="none"/>
        </w:rPr>
        <w:drawing>
          <wp:inline distT="0" distB="0" distL="114300" distR="114300">
            <wp:extent cx="1889760" cy="2644140"/>
            <wp:effectExtent l="0" t="0" r="15240" b="3810"/>
            <wp:docPr id="8" name="图片 3" descr="男公厕冬装"/>
            <wp:cNvGraphicFramePr/>
            <a:graphic xmlns:a="http://schemas.openxmlformats.org/drawingml/2006/main">
              <a:graphicData uri="http://schemas.openxmlformats.org/drawingml/2006/picture">
                <pic:pic xmlns:pic="http://schemas.openxmlformats.org/drawingml/2006/picture">
                  <pic:nvPicPr>
                    <pic:cNvPr id="8" name="图片 3" descr="男公厕冬装"/>
                    <pic:cNvPicPr/>
                  </pic:nvPicPr>
                  <pic:blipFill>
                    <a:blip r:embed="rId24"/>
                    <a:stretch>
                      <a:fillRect/>
                    </a:stretch>
                  </pic:blipFill>
                  <pic:spPr>
                    <a:xfrm>
                      <a:off x="0" y="0"/>
                      <a:ext cx="1889760" cy="2644140"/>
                    </a:xfrm>
                    <a:prstGeom prst="rect">
                      <a:avLst/>
                    </a:prstGeom>
                    <a:noFill/>
                    <a:ln>
                      <a:noFill/>
                    </a:ln>
                  </pic:spPr>
                </pic:pic>
              </a:graphicData>
            </a:graphic>
          </wp:inline>
        </w:drawing>
      </w:r>
      <w:r>
        <w:rPr>
          <w:rFonts w:hint="eastAsia" w:ascii="仿宋" w:hAnsi="仿宋" w:eastAsia="仿宋" w:cs="仿宋"/>
          <w:color w:val="auto"/>
          <w:sz w:val="24"/>
          <w:highlight w:val="none"/>
        </w:rPr>
        <w:t>侧面</w:t>
      </w:r>
      <w:r>
        <w:rPr>
          <w:rFonts w:ascii="仿宋" w:hAnsi="仿宋" w:eastAsia="仿宋" w:cs="仿宋"/>
          <w:color w:val="auto"/>
          <w:sz w:val="24"/>
          <w:highlight w:val="none"/>
        </w:rPr>
        <w:drawing>
          <wp:inline distT="0" distB="0" distL="114300" distR="114300">
            <wp:extent cx="1828800" cy="2644140"/>
            <wp:effectExtent l="0" t="0" r="0" b="3810"/>
            <wp:docPr id="10" name="图片 4" descr="男冬公厕装侧"/>
            <wp:cNvGraphicFramePr/>
            <a:graphic xmlns:a="http://schemas.openxmlformats.org/drawingml/2006/main">
              <a:graphicData uri="http://schemas.openxmlformats.org/drawingml/2006/picture">
                <pic:pic xmlns:pic="http://schemas.openxmlformats.org/drawingml/2006/picture">
                  <pic:nvPicPr>
                    <pic:cNvPr id="10" name="图片 4" descr="男冬公厕装侧"/>
                    <pic:cNvPicPr/>
                  </pic:nvPicPr>
                  <pic:blipFill>
                    <a:blip r:embed="rId25"/>
                    <a:stretch>
                      <a:fillRect/>
                    </a:stretch>
                  </pic:blipFill>
                  <pic:spPr>
                    <a:xfrm>
                      <a:off x="0" y="0"/>
                      <a:ext cx="1828800" cy="2644140"/>
                    </a:xfrm>
                    <a:prstGeom prst="rect">
                      <a:avLst/>
                    </a:prstGeom>
                    <a:noFill/>
                    <a:ln>
                      <a:noFill/>
                    </a:ln>
                  </pic:spPr>
                </pic:pic>
              </a:graphicData>
            </a:graphic>
          </wp:inline>
        </w:drawing>
      </w:r>
    </w:p>
    <w:p>
      <w:pPr>
        <w:rPr>
          <w:rFonts w:ascii="仿宋" w:hAnsi="仿宋" w:eastAsia="仿宋" w:cs="仿宋"/>
          <w:color w:val="auto"/>
          <w:sz w:val="24"/>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t>夏装</w:t>
      </w:r>
    </w:p>
    <w:p>
      <w:pPr>
        <w:rPr>
          <w:rFonts w:ascii="仿宋" w:hAnsi="仿宋" w:eastAsia="仿宋" w:cs="仿宋"/>
          <w:color w:val="auto"/>
          <w:sz w:val="24"/>
          <w:highlight w:val="none"/>
        </w:rPr>
      </w:pPr>
      <w:r>
        <w:rPr>
          <w:rFonts w:hint="eastAsia" w:ascii="仿宋" w:hAnsi="仿宋" w:eastAsia="仿宋" w:cs="仿宋"/>
          <w:color w:val="auto"/>
          <w:sz w:val="24"/>
          <w:highlight w:val="none"/>
        </w:rPr>
        <w:t>正面</w:t>
      </w:r>
      <w:r>
        <w:rPr>
          <w:rFonts w:ascii="仿宋" w:hAnsi="仿宋" w:eastAsia="仿宋" w:cs="仿宋"/>
          <w:color w:val="auto"/>
          <w:sz w:val="24"/>
          <w:highlight w:val="none"/>
        </w:rPr>
        <w:drawing>
          <wp:inline distT="0" distB="0" distL="114300" distR="114300">
            <wp:extent cx="1889760" cy="2644140"/>
            <wp:effectExtent l="0" t="0" r="15240" b="3810"/>
            <wp:docPr id="5" name="图片 5" descr="男公厕夏装"/>
            <wp:cNvGraphicFramePr/>
            <a:graphic xmlns:a="http://schemas.openxmlformats.org/drawingml/2006/main">
              <a:graphicData uri="http://schemas.openxmlformats.org/drawingml/2006/picture">
                <pic:pic xmlns:pic="http://schemas.openxmlformats.org/drawingml/2006/picture">
                  <pic:nvPicPr>
                    <pic:cNvPr id="5" name="图片 5" descr="男公厕夏装"/>
                    <pic:cNvPicPr/>
                  </pic:nvPicPr>
                  <pic:blipFill>
                    <a:blip r:embed="rId26"/>
                    <a:stretch>
                      <a:fillRect/>
                    </a:stretch>
                  </pic:blipFill>
                  <pic:spPr>
                    <a:xfrm>
                      <a:off x="0" y="0"/>
                      <a:ext cx="1889760" cy="2644140"/>
                    </a:xfrm>
                    <a:prstGeom prst="rect">
                      <a:avLst/>
                    </a:prstGeom>
                    <a:noFill/>
                    <a:ln>
                      <a:noFill/>
                    </a:ln>
                  </pic:spPr>
                </pic:pic>
              </a:graphicData>
            </a:graphic>
          </wp:inline>
        </w:drawing>
      </w:r>
      <w:r>
        <w:rPr>
          <w:rFonts w:hint="eastAsia" w:ascii="仿宋" w:hAnsi="仿宋" w:eastAsia="仿宋" w:cs="仿宋"/>
          <w:color w:val="auto"/>
          <w:sz w:val="24"/>
          <w:highlight w:val="none"/>
        </w:rPr>
        <w:t>侧面</w:t>
      </w:r>
      <w:r>
        <w:rPr>
          <w:rFonts w:ascii="仿宋" w:hAnsi="仿宋" w:eastAsia="仿宋" w:cs="仿宋"/>
          <w:color w:val="auto"/>
          <w:sz w:val="24"/>
          <w:highlight w:val="none"/>
        </w:rPr>
        <w:drawing>
          <wp:inline distT="0" distB="0" distL="114300" distR="114300">
            <wp:extent cx="1828800" cy="2644140"/>
            <wp:effectExtent l="0" t="0" r="0" b="3810"/>
            <wp:docPr id="6" name="图片 6" descr="男公厕夏装侧"/>
            <wp:cNvGraphicFramePr/>
            <a:graphic xmlns:a="http://schemas.openxmlformats.org/drawingml/2006/main">
              <a:graphicData uri="http://schemas.openxmlformats.org/drawingml/2006/picture">
                <pic:pic xmlns:pic="http://schemas.openxmlformats.org/drawingml/2006/picture">
                  <pic:nvPicPr>
                    <pic:cNvPr id="6" name="图片 6" descr="男公厕夏装侧"/>
                    <pic:cNvPicPr/>
                  </pic:nvPicPr>
                  <pic:blipFill>
                    <a:blip r:embed="rId27"/>
                    <a:stretch>
                      <a:fillRect/>
                    </a:stretch>
                  </pic:blipFill>
                  <pic:spPr>
                    <a:xfrm>
                      <a:off x="0" y="0"/>
                      <a:ext cx="1828800" cy="2644140"/>
                    </a:xfrm>
                    <a:prstGeom prst="rect">
                      <a:avLst/>
                    </a:prstGeom>
                    <a:noFill/>
                    <a:ln>
                      <a:noFill/>
                    </a:ln>
                  </pic:spPr>
                </pic:pic>
              </a:graphicData>
            </a:graphic>
          </wp:inline>
        </w:drawing>
      </w:r>
    </w:p>
    <w:p>
      <w:pPr>
        <w:rPr>
          <w:rFonts w:ascii="仿宋" w:hAnsi="仿宋" w:eastAsia="仿宋" w:cs="仿宋"/>
          <w:color w:val="auto"/>
          <w:sz w:val="24"/>
          <w:highlight w:val="none"/>
        </w:rPr>
      </w:pPr>
    </w:p>
    <w:p>
      <w:pPr>
        <w:tabs>
          <w:tab w:val="left" w:pos="0"/>
          <w:tab w:val="left" w:pos="1680"/>
        </w:tabs>
        <w:ind w:right="-102"/>
        <w:rPr>
          <w:rFonts w:ascii="仿宋" w:hAnsi="仿宋" w:eastAsia="仿宋" w:cs="仿宋"/>
          <w:color w:val="auto"/>
          <w:kern w:val="0"/>
          <w:sz w:val="24"/>
          <w:highlight w:val="none"/>
        </w:rPr>
      </w:pPr>
    </w:p>
    <w:p>
      <w:pPr>
        <w:tabs>
          <w:tab w:val="left" w:pos="0"/>
          <w:tab w:val="left" w:pos="1680"/>
        </w:tabs>
        <w:ind w:right="-102" w:firstLine="484" w:firstLineChars="201"/>
        <w:rPr>
          <w:rFonts w:ascii="仿宋" w:hAnsi="仿宋" w:eastAsia="仿宋" w:cs="仿宋"/>
          <w:b/>
          <w:color w:val="auto"/>
          <w:kern w:val="0"/>
          <w:sz w:val="24"/>
          <w:highlight w:val="none"/>
        </w:rPr>
      </w:pPr>
      <w:r>
        <w:rPr>
          <w:rFonts w:ascii="仿宋" w:hAnsi="仿宋" w:eastAsia="仿宋" w:cs="仿宋"/>
          <w:b/>
          <w:color w:val="auto"/>
          <w:kern w:val="0"/>
          <w:sz w:val="24"/>
          <w:highlight w:val="none"/>
        </w:rPr>
        <w:t>5.</w:t>
      </w:r>
      <w:r>
        <w:rPr>
          <w:rFonts w:hint="eastAsia" w:ascii="仿宋" w:hAnsi="仿宋" w:eastAsia="仿宋" w:cs="仿宋"/>
          <w:b/>
          <w:color w:val="auto"/>
          <w:kern w:val="0"/>
          <w:sz w:val="24"/>
          <w:highlight w:val="none"/>
        </w:rPr>
        <w:t>公厕管理考核办法</w:t>
      </w:r>
    </w:p>
    <w:p>
      <w:pPr>
        <w:ind w:firstLine="482" w:firstLineChars="201"/>
        <w:jc w:val="center"/>
        <w:rPr>
          <w:rFonts w:ascii="仿宋" w:hAnsi="仿宋" w:eastAsia="仿宋" w:cs="仿宋"/>
          <w:color w:val="auto"/>
          <w:sz w:val="24"/>
          <w:highlight w:val="none"/>
        </w:rPr>
      </w:pPr>
      <w:r>
        <w:rPr>
          <w:rFonts w:hint="eastAsia" w:ascii="仿宋" w:hAnsi="仿宋" w:eastAsia="仿宋" w:cs="仿宋"/>
          <w:color w:val="auto"/>
          <w:sz w:val="24"/>
          <w:highlight w:val="none"/>
        </w:rPr>
        <w:t>公厕管理考核现场评分标准</w:t>
      </w:r>
    </w:p>
    <w:tbl>
      <w:tblPr>
        <w:tblStyle w:val="62"/>
        <w:tblW w:w="10200" w:type="dxa"/>
        <w:jc w:val="center"/>
        <w:tblLayout w:type="autofit"/>
        <w:tblCellMar>
          <w:top w:w="0" w:type="dxa"/>
          <w:left w:w="108" w:type="dxa"/>
          <w:bottom w:w="0" w:type="dxa"/>
          <w:right w:w="108" w:type="dxa"/>
        </w:tblCellMar>
      </w:tblPr>
      <w:tblGrid>
        <w:gridCol w:w="643"/>
        <w:gridCol w:w="643"/>
        <w:gridCol w:w="643"/>
        <w:gridCol w:w="3938"/>
        <w:gridCol w:w="4333"/>
      </w:tblGrid>
      <w:tr>
        <w:tblPrEx>
          <w:tblCellMar>
            <w:top w:w="0" w:type="dxa"/>
            <w:left w:w="108" w:type="dxa"/>
            <w:bottom w:w="0" w:type="dxa"/>
            <w:right w:w="108" w:type="dxa"/>
          </w:tblCellMar>
        </w:tblPrEx>
        <w:trPr>
          <w:trHeight w:val="2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641"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检查项目</w:t>
            </w:r>
          </w:p>
        </w:tc>
        <w:tc>
          <w:tcPr>
            <w:tcW w:w="641" w:type="dxa"/>
            <w:tcBorders>
              <w:top w:val="single" w:color="auto" w:sz="4" w:space="0"/>
              <w:left w:val="nil"/>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检查方式</w:t>
            </w:r>
          </w:p>
        </w:tc>
        <w:tc>
          <w:tcPr>
            <w:tcW w:w="3926"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管理作业标准</w:t>
            </w:r>
          </w:p>
        </w:tc>
        <w:tc>
          <w:tcPr>
            <w:tcW w:w="4320"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评分标准</w:t>
            </w:r>
          </w:p>
        </w:tc>
      </w:tr>
      <w:tr>
        <w:tblPrEx>
          <w:tblCellMar>
            <w:top w:w="0" w:type="dxa"/>
            <w:left w:w="108" w:type="dxa"/>
            <w:bottom w:w="0" w:type="dxa"/>
            <w:right w:w="108" w:type="dxa"/>
          </w:tblCellMar>
        </w:tblPrEx>
        <w:trPr>
          <w:trHeight w:val="20" w:hRule="atLeast"/>
          <w:jc w:val="center"/>
        </w:trPr>
        <w:tc>
          <w:tcPr>
            <w:tcW w:w="641" w:type="dxa"/>
            <w:vMerge w:val="restart"/>
            <w:tcBorders>
              <w:top w:val="nil"/>
              <w:left w:val="single" w:color="auto" w:sz="4" w:space="0"/>
              <w:bottom w:val="nil"/>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一</w:t>
            </w:r>
          </w:p>
        </w:tc>
        <w:tc>
          <w:tcPr>
            <w:tcW w:w="641" w:type="dxa"/>
            <w:vMerge w:val="restart"/>
            <w:tcBorders>
              <w:top w:val="nil"/>
              <w:left w:val="single" w:color="auto" w:sz="4" w:space="0"/>
              <w:bottom w:val="nil"/>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管理制度</w:t>
            </w:r>
          </w:p>
        </w:tc>
        <w:tc>
          <w:tcPr>
            <w:tcW w:w="641" w:type="dxa"/>
            <w:vMerge w:val="restart"/>
            <w:tcBorders>
              <w:top w:val="nil"/>
              <w:left w:val="single" w:color="auto" w:sz="4" w:space="0"/>
              <w:bottom w:val="nil"/>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现场检查</w:t>
            </w: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按照统一要求设置公厕管理制度牌</w:t>
            </w:r>
            <w:r>
              <w:rPr>
                <w:rFonts w:ascii="仿宋" w:hAnsi="仿宋" w:eastAsia="仿宋" w:cs="仿宋"/>
                <w:color w:val="auto"/>
                <w:sz w:val="24"/>
                <w:highlight w:val="none"/>
              </w:rPr>
              <w:t>,</w:t>
            </w:r>
            <w:r>
              <w:rPr>
                <w:rFonts w:hint="eastAsia" w:ascii="仿宋" w:hAnsi="仿宋" w:eastAsia="仿宋" w:cs="仿宋"/>
                <w:color w:val="auto"/>
                <w:sz w:val="24"/>
                <w:highlight w:val="none"/>
              </w:rPr>
              <w:t>内容包括公厕名称、管理类型、公厕编号、管理单位、联系电话、监督电话、开放时间等信息。</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未设置公厕管理制度牌的扣</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次，制度牌破损、字体不清晰、公示的信息缺项及不准确的扣</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nil"/>
              <w:left w:val="single" w:color="auto" w:sz="4" w:space="0"/>
              <w:bottom w:val="nil"/>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nil"/>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nil"/>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2.24</w:t>
            </w:r>
            <w:r>
              <w:rPr>
                <w:rFonts w:hint="eastAsia" w:ascii="仿宋" w:hAnsi="仿宋" w:eastAsia="仿宋" w:cs="仿宋"/>
                <w:color w:val="auto"/>
                <w:sz w:val="24"/>
                <w:highlight w:val="none"/>
              </w:rPr>
              <w:t>小时免费开放公厕，无障碍间、厕位正常开放使用，并在保洁时段内落实专人管理。</w:t>
            </w:r>
            <w:r>
              <w:rPr>
                <w:rFonts w:ascii="仿宋" w:hAnsi="仿宋" w:eastAsia="仿宋" w:cs="仿宋"/>
                <w:color w:val="auto"/>
                <w:sz w:val="24"/>
                <w:highlight w:val="none"/>
              </w:rPr>
              <w:t>16</w:t>
            </w:r>
            <w:r>
              <w:rPr>
                <w:rFonts w:hint="eastAsia" w:ascii="仿宋" w:hAnsi="仿宋" w:eastAsia="仿宋" w:cs="仿宋"/>
                <w:color w:val="auto"/>
                <w:sz w:val="24"/>
                <w:highlight w:val="none"/>
              </w:rPr>
              <w:t>小时免费开放公厕保洁管理时间段为</w:t>
            </w:r>
            <w:r>
              <w:rPr>
                <w:rFonts w:ascii="仿宋" w:hAnsi="仿宋" w:eastAsia="仿宋" w:cs="仿宋"/>
                <w:color w:val="auto"/>
                <w:sz w:val="24"/>
                <w:highlight w:val="none"/>
              </w:rPr>
              <w:t>6:00—22:00</w:t>
            </w:r>
            <w:r>
              <w:rPr>
                <w:rFonts w:hint="eastAsia" w:ascii="仿宋" w:hAnsi="仿宋" w:eastAsia="仿宋" w:cs="仿宋"/>
                <w:color w:val="auto"/>
                <w:sz w:val="24"/>
                <w:highlight w:val="none"/>
              </w:rPr>
              <w:t>，</w:t>
            </w:r>
            <w:r>
              <w:rPr>
                <w:rFonts w:ascii="仿宋" w:hAnsi="仿宋" w:eastAsia="仿宋" w:cs="仿宋"/>
                <w:color w:val="auto"/>
                <w:sz w:val="24"/>
                <w:highlight w:val="none"/>
              </w:rPr>
              <w:t>18</w:t>
            </w:r>
            <w:r>
              <w:rPr>
                <w:rFonts w:hint="eastAsia" w:ascii="仿宋" w:hAnsi="仿宋" w:eastAsia="仿宋" w:cs="仿宋"/>
                <w:color w:val="auto"/>
                <w:sz w:val="24"/>
                <w:highlight w:val="none"/>
              </w:rPr>
              <w:t>小时免费开放公厕保洁管理时间段为</w:t>
            </w:r>
            <w:r>
              <w:rPr>
                <w:rFonts w:ascii="仿宋" w:hAnsi="仿宋" w:eastAsia="仿宋" w:cs="仿宋"/>
                <w:color w:val="auto"/>
                <w:sz w:val="24"/>
                <w:highlight w:val="none"/>
              </w:rPr>
              <w:t>5:00—23:00</w:t>
            </w:r>
            <w:r>
              <w:rPr>
                <w:rFonts w:hint="eastAsia" w:ascii="仿宋" w:hAnsi="仿宋" w:eastAsia="仿宋" w:cs="仿宋"/>
                <w:color w:val="auto"/>
                <w:sz w:val="24"/>
                <w:highlight w:val="none"/>
              </w:rPr>
              <w:t>。按人均保洁厕位的定额要求，落实专职保洁人员。四星级（含）以上公厕实行男、女分设保洁管理。</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未经市级主管部门审核同意，无故关闭公厕的扣</w:t>
            </w:r>
            <w:r>
              <w:rPr>
                <w:rFonts w:ascii="仿宋" w:hAnsi="仿宋" w:eastAsia="仿宋" w:cs="仿宋"/>
                <w:color w:val="auto"/>
                <w:sz w:val="24"/>
                <w:highlight w:val="none"/>
              </w:rPr>
              <w:t>10</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次，无故关闭无障碍间、男女厕位的扣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次。未落实专职保洁员的扣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次，保洁员脱岗的</w:t>
            </w:r>
            <w:r>
              <w:rPr>
                <w:rFonts w:ascii="仿宋" w:hAnsi="仿宋" w:eastAsia="仿宋" w:cs="仿宋"/>
                <w:color w:val="auto"/>
                <w:sz w:val="24"/>
                <w:highlight w:val="none"/>
              </w:rPr>
              <w:t>0.2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次。四星级（一类）以上公厕未实行男、女分设保洁管理的，扣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restart"/>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二</w:t>
            </w:r>
          </w:p>
        </w:tc>
        <w:tc>
          <w:tcPr>
            <w:tcW w:w="641" w:type="dxa"/>
            <w:vMerge w:val="restart"/>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作业规范</w:t>
            </w:r>
          </w:p>
        </w:tc>
        <w:tc>
          <w:tcPr>
            <w:tcW w:w="641" w:type="dxa"/>
            <w:vMerge w:val="restart"/>
            <w:tcBorders>
              <w:top w:val="single" w:color="auto" w:sz="4" w:space="0"/>
              <w:left w:val="single" w:color="auto" w:sz="4" w:space="0"/>
              <w:bottom w:val="single" w:color="000000"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现场检查</w:t>
            </w: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保洁员应着统一的工作服并佩带上岗证。免费向公众提供洗手液和手纸服务，保持足够用量。保洁作业时需设置警示牌，冲洗厕所地面和雨雪冰冻天气时需铺设防滑垫。保洁作业时主动避让如厕人员。</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保洁员工作时间未统一着装或未佩戴上岗证的每项扣</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次；未免费向公众提供洗手液和手纸服务的，每发现一次扣</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次；作业时未设置警示牌的扣</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次；冲洗厕所地面和雨雪冰冻天气时未铺设防滑垫的扣</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次；保洁作业时未主动避让如厕人员，发生有责投诉的的扣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single" w:color="auto" w:sz="4" w:space="0"/>
              <w:left w:val="single" w:color="auto" w:sz="4" w:space="0"/>
              <w:bottom w:val="single" w:color="000000"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公厕内外不得乱接水管电线。公厕管理员上班期间不得在公厕公共区域从事洗衣及洗碗等事情。公厕管理间只能用于公厕保洁管理人员使用，上班时间不得在管理间内干杂活、睡觉，闲杂人员不得随意在管理间内休息等。必须保持管理间内整洁有序，必要物品摆放整齐。不得在管理间内饮酒、吸烟。不得利用公厕从事销售商品（自动售纸机除外）、废品回收等经营性活动。公厕内不得饲养宠物。公厕无障碍间不得容留社会闲杂人员。</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公厕内外乱接水管电线的每项扣</w:t>
            </w:r>
            <w:r>
              <w:rPr>
                <w:rFonts w:ascii="仿宋" w:hAnsi="仿宋" w:eastAsia="仿宋" w:cs="仿宋"/>
                <w:color w:val="auto"/>
                <w:sz w:val="24"/>
                <w:highlight w:val="none"/>
              </w:rPr>
              <w:t>2/</w:t>
            </w:r>
            <w:r>
              <w:rPr>
                <w:rFonts w:hint="eastAsia" w:ascii="仿宋" w:hAnsi="仿宋" w:eastAsia="仿宋" w:cs="仿宋"/>
                <w:color w:val="auto"/>
                <w:sz w:val="24"/>
                <w:highlight w:val="none"/>
              </w:rPr>
              <w:t>次；公厕管理员上班期间在公厕公共区域从事洗衣及洗碗等事情的扣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次；上班时间在管理间内干与公厕保洁管理无关的杂活或睡觉的扣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次；管理间物品摆放杂乱、不洁的扣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次；利用公厕从事销售商品、废品回收等经营性活动的扣</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次；公厕内饲养宠物的扣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single" w:color="auto" w:sz="4" w:space="0"/>
              <w:left w:val="single" w:color="auto" w:sz="4" w:space="0"/>
              <w:bottom w:val="single" w:color="000000"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粪污水应排入市政污水管网或经吸粪车转运至粪便处理场所处置，公厕化粪池每半年清理、疏通不少于</w:t>
            </w:r>
            <w:r>
              <w:rPr>
                <w:rFonts w:ascii="仿宋" w:hAnsi="仿宋" w:eastAsia="仿宋" w:cs="仿宋"/>
                <w:color w:val="auto"/>
                <w:sz w:val="24"/>
                <w:highlight w:val="none"/>
              </w:rPr>
              <w:t>1</w:t>
            </w:r>
            <w:r>
              <w:rPr>
                <w:rFonts w:hint="eastAsia" w:ascii="仿宋" w:hAnsi="仿宋" w:eastAsia="仿宋" w:cs="仿宋"/>
                <w:color w:val="auto"/>
                <w:sz w:val="24"/>
                <w:highlight w:val="none"/>
              </w:rPr>
              <w:t>次，贮粪池内的粪污水应及时转运。吸粪车作业规范，车辆整洁、密闭性能良好，无粪污水外溢和滴漏问题。转运作业时，粪便不得污染水体和作业场地。化粪池、贮粪池周围场地应保持整洁，地面无粪迹、垃圾、污水、恶臭、蝇蛆。化粪池、贮粪池无满溢问题，若发生满溢问题应在</w:t>
            </w:r>
            <w:r>
              <w:rPr>
                <w:rFonts w:ascii="仿宋" w:hAnsi="仿宋" w:eastAsia="仿宋" w:cs="仿宋"/>
                <w:color w:val="auto"/>
                <w:sz w:val="24"/>
                <w:highlight w:val="none"/>
              </w:rPr>
              <w:t>2</w:t>
            </w:r>
            <w:r>
              <w:rPr>
                <w:rFonts w:hint="eastAsia" w:ascii="仿宋" w:hAnsi="仿宋" w:eastAsia="仿宋" w:cs="仿宋"/>
                <w:color w:val="auto"/>
                <w:sz w:val="24"/>
                <w:highlight w:val="none"/>
              </w:rPr>
              <w:t>小时内予以解决。</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粪污水未按照规定达到规范化处置排放要求的扣</w:t>
            </w:r>
            <w:r>
              <w:rPr>
                <w:rFonts w:ascii="仿宋" w:hAnsi="仿宋" w:eastAsia="仿宋" w:cs="仿宋"/>
                <w:color w:val="auto"/>
                <w:sz w:val="24"/>
                <w:highlight w:val="none"/>
              </w:rPr>
              <w:t>10</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次，吸粪车外观不洁、滴漏粪污水的每项扣</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次，粪污水、粪便污染周边水体等环境的扣</w:t>
            </w:r>
            <w:r>
              <w:rPr>
                <w:rFonts w:ascii="仿宋" w:hAnsi="仿宋" w:eastAsia="仿宋" w:cs="仿宋"/>
                <w:color w:val="auto"/>
                <w:sz w:val="24"/>
                <w:highlight w:val="none"/>
              </w:rPr>
              <w:t>10</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次。化粪池、贮粪池臭气外溢的扣</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次，周围地面有粪迹、垃圾、污水、恶臭、蝇蛆的每项扣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次，满溢的扣</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次，发生满溢问题未在规定时间内妥善处理的扣</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restart"/>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三</w:t>
            </w:r>
          </w:p>
        </w:tc>
        <w:tc>
          <w:tcPr>
            <w:tcW w:w="641" w:type="dxa"/>
            <w:vMerge w:val="restart"/>
            <w:tcBorders>
              <w:top w:val="single" w:color="auto" w:sz="4" w:space="0"/>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保洁管理</w:t>
            </w:r>
          </w:p>
        </w:tc>
        <w:tc>
          <w:tcPr>
            <w:tcW w:w="641" w:type="dxa"/>
            <w:vMerge w:val="restart"/>
            <w:tcBorders>
              <w:top w:val="single" w:color="auto" w:sz="4" w:space="0"/>
              <w:left w:val="single" w:color="auto" w:sz="4" w:space="0"/>
              <w:bottom w:val="single" w:color="000000"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现场检查</w:t>
            </w:r>
          </w:p>
        </w:tc>
        <w:tc>
          <w:tcPr>
            <w:tcW w:w="3926"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公厕天花板、内外墙面、门窗、洗手池及台面、拖把池、大小便厕位隔断、搁物台、上下水管、镜子等无积尘、无污迹、无蛛网、无乱涂乱画。公厕内的垃圾桶或厕位纸篓，应及时清理，保持设施完好干净整洁，无满溢现象。公厕内无杂物堆放。公厕及厕位地面清洁无垃圾、污迹、积水。公厕内通风良好，无臭味。</w:t>
            </w:r>
          </w:p>
        </w:tc>
        <w:tc>
          <w:tcPr>
            <w:tcW w:w="4320"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公厕天花板、内外墙面、门窗、洗手池及台面、拖把池、大小便厕位隔断、搁物台、上下水管、镜子等不洁的每项扣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次。垃圾桶或纸篓破损不洁的，以及垃圾量超过容量</w:t>
            </w:r>
            <w:r>
              <w:rPr>
                <w:rFonts w:ascii="仿宋" w:hAnsi="仿宋" w:eastAsia="仿宋" w:cs="仿宋"/>
                <w:color w:val="auto"/>
                <w:sz w:val="24"/>
                <w:highlight w:val="none"/>
              </w:rPr>
              <w:t>2/3</w:t>
            </w:r>
            <w:r>
              <w:rPr>
                <w:rFonts w:hint="eastAsia" w:ascii="仿宋" w:hAnsi="仿宋" w:eastAsia="仿宋" w:cs="仿宋"/>
                <w:color w:val="auto"/>
                <w:sz w:val="24"/>
                <w:highlight w:val="none"/>
              </w:rPr>
              <w:t>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次，满溢的扣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次。公厕内堆放杂物、厕位内乱堆放作业工具的扣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次。公厕及厕位地面不洁、湿滑积水的每项扣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次。工具间环境不整洁的扣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次。公厕有明显臭味的扣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000000"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7.</w:t>
            </w:r>
            <w:r>
              <w:rPr>
                <w:rFonts w:hint="eastAsia" w:ascii="仿宋" w:hAnsi="仿宋" w:eastAsia="仿宋" w:cs="仿宋"/>
                <w:color w:val="auto"/>
                <w:sz w:val="24"/>
                <w:highlight w:val="none"/>
              </w:rPr>
              <w:t>倒粪处以及大便器、大便槽清洁，无粪便污垢、无积粪、无堵塞、洁净见底。</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7.</w:t>
            </w:r>
            <w:r>
              <w:rPr>
                <w:rFonts w:hint="eastAsia" w:ascii="仿宋" w:hAnsi="仿宋" w:eastAsia="仿宋" w:cs="仿宋"/>
                <w:color w:val="auto"/>
                <w:sz w:val="24"/>
                <w:highlight w:val="none"/>
              </w:rPr>
              <w:t>倒粪处以及大便器、大便槽污垢不洁的每处扣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次，有积粪的扣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次，堵塞的扣</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000000"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8.</w:t>
            </w:r>
            <w:r>
              <w:rPr>
                <w:rFonts w:hint="eastAsia" w:ascii="仿宋" w:hAnsi="仿宋" w:eastAsia="仿宋" w:cs="仿宋"/>
                <w:color w:val="auto"/>
                <w:sz w:val="24"/>
                <w:highlight w:val="none"/>
              </w:rPr>
              <w:t>小便器（槽）清洁无水锈、尿垢、垃圾，沟眼、管道保持畅通。</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8.</w:t>
            </w:r>
            <w:r>
              <w:rPr>
                <w:rFonts w:hint="eastAsia" w:ascii="仿宋" w:hAnsi="仿宋" w:eastAsia="仿宋" w:cs="仿宋"/>
                <w:color w:val="auto"/>
                <w:sz w:val="24"/>
                <w:highlight w:val="none"/>
              </w:rPr>
              <w:t>小便器（槽）有水锈、尿垢、垃圾等不洁的每项扣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次，沟眼、管道流水不畅通的每项扣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000000"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9.</w:t>
            </w:r>
            <w:r>
              <w:rPr>
                <w:rFonts w:hint="eastAsia" w:ascii="仿宋" w:hAnsi="仿宋" w:eastAsia="仿宋" w:cs="仿宋"/>
                <w:color w:val="auto"/>
                <w:sz w:val="24"/>
                <w:highlight w:val="none"/>
              </w:rPr>
              <w:t>公厕外环境（有绿化带的以绿化带外围为界限，无绿化带的外墙起</w:t>
            </w:r>
            <w:r>
              <w:rPr>
                <w:rFonts w:ascii="仿宋" w:hAnsi="仿宋" w:eastAsia="仿宋" w:cs="仿宋"/>
                <w:color w:val="auto"/>
                <w:sz w:val="24"/>
                <w:highlight w:val="none"/>
              </w:rPr>
              <w:t>2</w:t>
            </w:r>
            <w:r>
              <w:rPr>
                <w:rFonts w:hint="eastAsia" w:ascii="仿宋" w:hAnsi="仿宋" w:eastAsia="仿宋" w:cs="仿宋"/>
                <w:color w:val="auto"/>
                <w:sz w:val="24"/>
                <w:highlight w:val="none"/>
              </w:rPr>
              <w:t>米范围内）整洁有序，无垃圾、无粪便、无晾晒衣物、无杂物堆放吊挂、无落叶积留。</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9.</w:t>
            </w:r>
            <w:r>
              <w:rPr>
                <w:rFonts w:hint="eastAsia" w:ascii="仿宋" w:hAnsi="仿宋" w:eastAsia="仿宋" w:cs="仿宋"/>
                <w:color w:val="auto"/>
                <w:sz w:val="24"/>
                <w:highlight w:val="none"/>
              </w:rPr>
              <w:t>公厕外环境不洁，有作业工具乱放，垃圾、粪便、杂物堆放吊挂、晾晒衣物现象的每项扣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次。落叶积留不清扫的扣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四</w:t>
            </w:r>
          </w:p>
        </w:tc>
        <w:tc>
          <w:tcPr>
            <w:tcW w:w="641"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设施管理理</w:t>
            </w:r>
          </w:p>
        </w:tc>
        <w:tc>
          <w:tcPr>
            <w:tcW w:w="641" w:type="dxa"/>
            <w:vMerge w:val="restart"/>
            <w:tcBorders>
              <w:top w:val="nil"/>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现场检查台帐检查</w:t>
            </w: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10.</w:t>
            </w:r>
            <w:r>
              <w:rPr>
                <w:rFonts w:hint="eastAsia" w:ascii="仿宋" w:hAnsi="仿宋" w:eastAsia="仿宋" w:cs="仿宋"/>
                <w:color w:val="auto"/>
                <w:sz w:val="24"/>
                <w:highlight w:val="none"/>
              </w:rPr>
              <w:t>按要求设置公厕指向牌（各路口方向至少两块）、公厕标识牌、夜间灯光指示牌、厕门男女标识牌、无障碍标识牌、管理间标识牌、工具间标识牌、坐厕位标识牌等。厕所各类标识、标牌设置规范、醒目，无破损、遮挡、残缺、歪斜现象。</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10.</w:t>
            </w:r>
            <w:r>
              <w:rPr>
                <w:rFonts w:hint="eastAsia" w:ascii="仿宋" w:hAnsi="仿宋" w:eastAsia="仿宋" w:cs="仿宋"/>
                <w:color w:val="auto"/>
                <w:sz w:val="24"/>
                <w:highlight w:val="none"/>
              </w:rPr>
              <w:t>已设置的公厕指向牌、公厕标识牌、夜间灯光指示牌、厕门男女标识牌、无障碍标识牌、管理间标识牌、工具间标识牌、坐厕位标识牌每缺失一块扣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次。公厕各类标牌不规范设置的每项扣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次，破损、遮挡、残缺、歪斜的扣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11.</w:t>
            </w:r>
            <w:r>
              <w:rPr>
                <w:rFonts w:hint="eastAsia" w:ascii="仿宋" w:hAnsi="仿宋" w:eastAsia="仿宋" w:cs="仿宋"/>
                <w:color w:val="auto"/>
                <w:sz w:val="24"/>
                <w:highlight w:val="none"/>
              </w:rPr>
              <w:t>保持公厕设施完好，功能正常。公厕内外墙面无渗漏、破损，地面平整无破损。天花板、门窗及锁、窗栅、大小便厕位隔断、搁物台及金属扣件、镜子、挂衣钩、洗手池台面及水池、大小便器、水龙头、拖把池、水箱、水阀、上下水管无缺失、破损及生锈。公厕倒粪处门、瓷砖等设施完好。</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11.</w:t>
            </w:r>
            <w:r>
              <w:rPr>
                <w:rFonts w:hint="eastAsia" w:ascii="仿宋" w:hAnsi="仿宋" w:eastAsia="仿宋" w:cs="仿宋"/>
                <w:color w:val="auto"/>
                <w:sz w:val="24"/>
                <w:highlight w:val="none"/>
              </w:rPr>
              <w:t>公厕内外墙面渗漏、墙面破损、乳胶漆脱落的每处扣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次，地面不平整、破损的每项扣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次。天花板、门窗及锁、窗栅、大小便厕位隔断、搁物台及金属扣件、镜子、挂衣钩、洗手池台面及水池、大小便器、水龙头、拖把池、上下水管、水箱、水阀缺失、破损、生锈或不能正常使用的每项扣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次。公厕倒粪处设施破损、上锁的扣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12.</w:t>
            </w:r>
            <w:r>
              <w:rPr>
                <w:rFonts w:hint="eastAsia" w:ascii="仿宋" w:hAnsi="仿宋" w:eastAsia="仿宋" w:cs="仿宋"/>
                <w:color w:val="auto"/>
                <w:sz w:val="24"/>
                <w:highlight w:val="none"/>
              </w:rPr>
              <w:t>公厕供水、供电系统运行正常，无安全隐患。公厕照明正常使用。按不同星级（类别）公厕的要求维护管理洗手液分配器、干手器、空气清新器、手纸架，保持设施完好，功能正常。干手器应正常使用</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12.</w:t>
            </w:r>
            <w:r>
              <w:rPr>
                <w:rFonts w:hint="eastAsia" w:ascii="仿宋" w:hAnsi="仿宋" w:eastAsia="仿宋" w:cs="仿宋"/>
                <w:color w:val="auto"/>
                <w:sz w:val="24"/>
                <w:highlight w:val="none"/>
              </w:rPr>
              <w:t>公厕洗手供水过小，造成无法正常洗手的扣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次；存在用电安全隐患的扣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次；夜间时段公厕照明光线不足的扣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次，照明不亮的每处扣</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次。灯具、洗手液分配器、干手器、手纸架、空调器、除臭设备破损或不能正常使用的每项扣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次，缺失的扣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次。灯具、夜间灯光指示牌未按照规定启用的扣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13.</w:t>
            </w:r>
            <w:r>
              <w:rPr>
                <w:rFonts w:hint="eastAsia" w:ascii="仿宋" w:hAnsi="仿宋" w:eastAsia="仿宋" w:cs="仿宋"/>
                <w:color w:val="auto"/>
                <w:sz w:val="24"/>
                <w:highlight w:val="none"/>
              </w:rPr>
              <w:t>无障碍通道畅通，扶手（含靠墙厕位扶手）完好、牢固。无障碍间卫生洁具及辅助设施完好。</w:t>
            </w:r>
          </w:p>
        </w:tc>
        <w:tc>
          <w:tcPr>
            <w:tcW w:w="4320"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13.</w:t>
            </w:r>
            <w:r>
              <w:rPr>
                <w:rFonts w:hint="eastAsia" w:ascii="仿宋" w:hAnsi="仿宋" w:eastAsia="仿宋" w:cs="仿宋"/>
                <w:color w:val="auto"/>
                <w:sz w:val="24"/>
                <w:highlight w:val="none"/>
              </w:rPr>
              <w:t>无障碍通道不能正常使用的扣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次，扶手缺失破损、松动不牢固的扣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次。无障碍间卫生洁具及辅助设施缺失、破损的扣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14.</w:t>
            </w:r>
            <w:r>
              <w:rPr>
                <w:rFonts w:hint="eastAsia" w:ascii="仿宋" w:hAnsi="仿宋" w:eastAsia="仿宋" w:cs="仿宋"/>
                <w:color w:val="auto"/>
                <w:sz w:val="24"/>
                <w:highlight w:val="none"/>
              </w:rPr>
              <w:t>给水和排污管道完好，保持畅通，闸阀严密，无破损。</w:t>
            </w:r>
          </w:p>
        </w:tc>
        <w:tc>
          <w:tcPr>
            <w:tcW w:w="4320" w:type="dxa"/>
            <w:tcBorders>
              <w:top w:val="single" w:color="auto" w:sz="4" w:space="0"/>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14.</w:t>
            </w:r>
            <w:r>
              <w:rPr>
                <w:rFonts w:hint="eastAsia" w:ascii="仿宋" w:hAnsi="仿宋" w:eastAsia="仿宋" w:cs="仿宋"/>
                <w:color w:val="auto"/>
                <w:sz w:val="24"/>
                <w:highlight w:val="none"/>
              </w:rPr>
              <w:t>给水、排污管道堵塞、破损的扣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p>
        </w:tc>
        <w:tc>
          <w:tcPr>
            <w:tcW w:w="641" w:type="dxa"/>
            <w:vMerge w:val="continue"/>
            <w:tcBorders>
              <w:top w:val="nil"/>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15.</w:t>
            </w:r>
            <w:r>
              <w:rPr>
                <w:rFonts w:hint="eastAsia" w:ascii="仿宋" w:hAnsi="仿宋" w:eastAsia="仿宋" w:cs="仿宋"/>
                <w:color w:val="auto"/>
                <w:sz w:val="24"/>
                <w:highlight w:val="none"/>
              </w:rPr>
              <w:t>化粪池、贮粪池密闭性能良好，粪池盖密闭，无缺失、破损、松动现象。</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15.</w:t>
            </w:r>
            <w:r>
              <w:rPr>
                <w:rFonts w:hint="eastAsia" w:ascii="仿宋" w:hAnsi="仿宋" w:eastAsia="仿宋" w:cs="仿宋"/>
                <w:color w:val="auto"/>
                <w:sz w:val="24"/>
                <w:highlight w:val="none"/>
              </w:rPr>
              <w:t>化粪池、贮粪池、公厕粪池盖不密闭、缺失、破损、松动的扣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r>
        <w:tblPrEx>
          <w:tblCellMar>
            <w:top w:w="0" w:type="dxa"/>
            <w:left w:w="108" w:type="dxa"/>
            <w:bottom w:w="0" w:type="dxa"/>
            <w:right w:w="108" w:type="dxa"/>
          </w:tblCellMar>
        </w:tblPrEx>
        <w:trPr>
          <w:trHeight w:val="20" w:hRule="atLeast"/>
          <w:jc w:val="center"/>
        </w:trPr>
        <w:tc>
          <w:tcPr>
            <w:tcW w:w="641"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五</w:t>
            </w:r>
          </w:p>
        </w:tc>
        <w:tc>
          <w:tcPr>
            <w:tcW w:w="641"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其他设施管理</w:t>
            </w:r>
          </w:p>
        </w:tc>
        <w:tc>
          <w:tcPr>
            <w:tcW w:w="641" w:type="dxa"/>
            <w:tcBorders>
              <w:top w:val="nil"/>
              <w:left w:val="nil"/>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现场核查</w:t>
            </w: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16.</w:t>
            </w:r>
            <w:r>
              <w:rPr>
                <w:rFonts w:hint="eastAsia" w:ascii="仿宋" w:hAnsi="仿宋" w:eastAsia="仿宋" w:cs="仿宋"/>
                <w:color w:val="auto"/>
                <w:sz w:val="24"/>
                <w:highlight w:val="none"/>
              </w:rPr>
              <w:t>中转站内外墙面无破损、无积尘、无蛛网。中转站台地面清洁，机械设施整洁。中转站作业场所无杂物和废品堆放、无乱停车辆（含自行车、电瓶车）、无乱放工具、无通道堵塞现象。中转站内无污水、积水、蛆虫，一视野内苍蝇不得超过</w:t>
            </w:r>
            <w:r>
              <w:rPr>
                <w:rFonts w:ascii="仿宋" w:hAnsi="仿宋" w:eastAsia="仿宋" w:cs="仿宋"/>
                <w:color w:val="auto"/>
                <w:sz w:val="24"/>
                <w:highlight w:val="none"/>
              </w:rPr>
              <w:t>3</w:t>
            </w:r>
            <w:r>
              <w:rPr>
                <w:rFonts w:hint="eastAsia" w:ascii="仿宋" w:hAnsi="仿宋" w:eastAsia="仿宋" w:cs="仿宋"/>
                <w:color w:val="auto"/>
                <w:sz w:val="24"/>
                <w:highlight w:val="none"/>
              </w:rPr>
              <w:t>只，无严重异味。不得焚烧垃圾。中转站内不得有拾荒者。中转站垃圾不堆埠、压站、做到日产日清，垃圾不准堆压在中转站外。中转站应有操作规程及安全保障设施和措施，安全规章、操作规定和管理制度必须上墙。</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16.</w:t>
            </w:r>
            <w:r>
              <w:rPr>
                <w:rFonts w:hint="eastAsia" w:ascii="仿宋" w:hAnsi="仿宋" w:eastAsia="仿宋" w:cs="仿宋"/>
                <w:color w:val="auto"/>
                <w:sz w:val="24"/>
                <w:highlight w:val="none"/>
              </w:rPr>
              <w:t>中转站内外墙面有污迹、蛛网、积尘，地面不洁、机械设施不洁，堆放杂物和废品、乱停车辆、乱放工具、通道堵塞的每处扣</w:t>
            </w:r>
            <w:r>
              <w:rPr>
                <w:rFonts w:ascii="仿宋" w:hAnsi="仿宋" w:eastAsia="仿宋" w:cs="仿宋"/>
                <w:color w:val="auto"/>
                <w:sz w:val="24"/>
                <w:highlight w:val="none"/>
              </w:rPr>
              <w:t>1</w:t>
            </w:r>
            <w:r>
              <w:rPr>
                <w:rFonts w:hint="eastAsia" w:ascii="仿宋" w:hAnsi="仿宋" w:eastAsia="仿宋" w:cs="仿宋"/>
                <w:color w:val="auto"/>
                <w:sz w:val="24"/>
                <w:highlight w:val="none"/>
              </w:rPr>
              <w:t>分。中转站内有污水、积水、蛆虫扣</w:t>
            </w:r>
            <w:r>
              <w:rPr>
                <w:rFonts w:ascii="仿宋" w:hAnsi="仿宋" w:eastAsia="仿宋" w:cs="仿宋"/>
                <w:color w:val="auto"/>
                <w:sz w:val="24"/>
                <w:highlight w:val="none"/>
              </w:rPr>
              <w:t>2</w:t>
            </w:r>
            <w:r>
              <w:rPr>
                <w:rFonts w:hint="eastAsia" w:ascii="仿宋" w:hAnsi="仿宋" w:eastAsia="仿宋" w:cs="仿宋"/>
                <w:color w:val="auto"/>
                <w:sz w:val="24"/>
                <w:highlight w:val="none"/>
              </w:rPr>
              <w:t>分，一视野内苍蝇超过</w:t>
            </w:r>
            <w:r>
              <w:rPr>
                <w:rFonts w:ascii="仿宋" w:hAnsi="仿宋" w:eastAsia="仿宋" w:cs="仿宋"/>
                <w:color w:val="auto"/>
                <w:sz w:val="24"/>
                <w:highlight w:val="none"/>
              </w:rPr>
              <w:t>3</w:t>
            </w:r>
            <w:r>
              <w:rPr>
                <w:rFonts w:hint="eastAsia" w:ascii="仿宋" w:hAnsi="仿宋" w:eastAsia="仿宋" w:cs="仿宋"/>
                <w:color w:val="auto"/>
                <w:sz w:val="24"/>
                <w:highlight w:val="none"/>
              </w:rPr>
              <w:t>只的每处扣</w:t>
            </w:r>
            <w:r>
              <w:rPr>
                <w:rFonts w:ascii="仿宋" w:hAnsi="仿宋" w:eastAsia="仿宋" w:cs="仿宋"/>
                <w:color w:val="auto"/>
                <w:sz w:val="24"/>
                <w:highlight w:val="none"/>
              </w:rPr>
              <w:t>1</w:t>
            </w:r>
            <w:r>
              <w:rPr>
                <w:rFonts w:hint="eastAsia" w:ascii="仿宋" w:hAnsi="仿宋" w:eastAsia="仿宋" w:cs="仿宋"/>
                <w:color w:val="auto"/>
                <w:sz w:val="24"/>
                <w:highlight w:val="none"/>
              </w:rPr>
              <w:t>分。异味严重的扣</w:t>
            </w:r>
            <w:r>
              <w:rPr>
                <w:rFonts w:ascii="仿宋" w:hAnsi="仿宋" w:eastAsia="仿宋" w:cs="仿宋"/>
                <w:color w:val="auto"/>
                <w:sz w:val="24"/>
                <w:highlight w:val="none"/>
              </w:rPr>
              <w:t>2</w:t>
            </w:r>
            <w:r>
              <w:rPr>
                <w:rFonts w:hint="eastAsia" w:ascii="仿宋" w:hAnsi="仿宋" w:eastAsia="仿宋" w:cs="仿宋"/>
                <w:color w:val="auto"/>
                <w:sz w:val="24"/>
                <w:highlight w:val="none"/>
              </w:rPr>
              <w:t>分。焚烧垃圾扣</w:t>
            </w:r>
            <w:r>
              <w:rPr>
                <w:rFonts w:ascii="仿宋" w:hAnsi="仿宋" w:eastAsia="仿宋" w:cs="仿宋"/>
                <w:color w:val="auto"/>
                <w:sz w:val="24"/>
                <w:highlight w:val="none"/>
              </w:rPr>
              <w:t>2</w:t>
            </w:r>
            <w:r>
              <w:rPr>
                <w:rFonts w:hint="eastAsia" w:ascii="仿宋" w:hAnsi="仿宋" w:eastAsia="仿宋" w:cs="仿宋"/>
                <w:color w:val="auto"/>
                <w:sz w:val="24"/>
                <w:highlight w:val="none"/>
              </w:rPr>
              <w:t>分。中转站内有拾荒者现象的扣</w:t>
            </w:r>
            <w:r>
              <w:rPr>
                <w:rFonts w:ascii="仿宋" w:hAnsi="仿宋" w:eastAsia="仿宋" w:cs="仿宋"/>
                <w:color w:val="auto"/>
                <w:sz w:val="24"/>
                <w:highlight w:val="none"/>
              </w:rPr>
              <w:t>1</w:t>
            </w:r>
            <w:r>
              <w:rPr>
                <w:rFonts w:hint="eastAsia" w:ascii="仿宋" w:hAnsi="仿宋" w:eastAsia="仿宋" w:cs="仿宋"/>
                <w:color w:val="auto"/>
                <w:sz w:val="24"/>
                <w:highlight w:val="none"/>
              </w:rPr>
              <w:t>分。中转站垃圾堆埠，压站超过</w:t>
            </w:r>
            <w:r>
              <w:rPr>
                <w:rFonts w:ascii="仿宋" w:hAnsi="仿宋" w:eastAsia="仿宋" w:cs="仿宋"/>
                <w:color w:val="auto"/>
                <w:sz w:val="24"/>
                <w:highlight w:val="none"/>
              </w:rPr>
              <w:t>10</w:t>
            </w:r>
            <w:r>
              <w:rPr>
                <w:rFonts w:hint="eastAsia" w:ascii="仿宋" w:hAnsi="仿宋" w:eastAsia="仿宋" w:cs="仿宋"/>
                <w:color w:val="auto"/>
                <w:sz w:val="24"/>
                <w:highlight w:val="none"/>
              </w:rPr>
              <w:t>吨二车扣</w:t>
            </w:r>
            <w:r>
              <w:rPr>
                <w:rFonts w:ascii="仿宋" w:hAnsi="仿宋" w:eastAsia="仿宋" w:cs="仿宋"/>
                <w:color w:val="auto"/>
                <w:sz w:val="24"/>
                <w:highlight w:val="none"/>
              </w:rPr>
              <w:t>1</w:t>
            </w:r>
            <w:r>
              <w:rPr>
                <w:rFonts w:hint="eastAsia" w:ascii="仿宋" w:hAnsi="仿宋" w:eastAsia="仿宋" w:cs="仿宋"/>
                <w:color w:val="auto"/>
                <w:sz w:val="24"/>
                <w:highlight w:val="none"/>
              </w:rPr>
              <w:t>分，未做到日产日清扣</w:t>
            </w:r>
            <w:r>
              <w:rPr>
                <w:rFonts w:ascii="仿宋" w:hAnsi="仿宋" w:eastAsia="仿宋" w:cs="仿宋"/>
                <w:color w:val="auto"/>
                <w:sz w:val="24"/>
                <w:highlight w:val="none"/>
              </w:rPr>
              <w:t>1</w:t>
            </w:r>
            <w:r>
              <w:rPr>
                <w:rFonts w:hint="eastAsia" w:ascii="仿宋" w:hAnsi="仿宋" w:eastAsia="仿宋" w:cs="仿宋"/>
                <w:color w:val="auto"/>
                <w:sz w:val="24"/>
                <w:highlight w:val="none"/>
              </w:rPr>
              <w:t>分，垃圾堆压中转站外扣</w:t>
            </w:r>
            <w:r>
              <w:rPr>
                <w:rFonts w:ascii="仿宋" w:hAnsi="仿宋" w:eastAsia="仿宋" w:cs="仿宋"/>
                <w:color w:val="auto"/>
                <w:sz w:val="24"/>
                <w:highlight w:val="none"/>
              </w:rPr>
              <w:t>1</w:t>
            </w:r>
            <w:r>
              <w:rPr>
                <w:rFonts w:hint="eastAsia" w:ascii="仿宋" w:hAnsi="仿宋" w:eastAsia="仿宋" w:cs="仿宋"/>
                <w:color w:val="auto"/>
                <w:sz w:val="24"/>
                <w:highlight w:val="none"/>
              </w:rPr>
              <w:t>分中转站无操作规程，无安全保障设施和措施，扣</w:t>
            </w:r>
            <w:r>
              <w:rPr>
                <w:rFonts w:ascii="仿宋" w:hAnsi="仿宋" w:eastAsia="仿宋" w:cs="仿宋"/>
                <w:color w:val="auto"/>
                <w:sz w:val="24"/>
                <w:highlight w:val="none"/>
              </w:rPr>
              <w:t>1</w:t>
            </w:r>
            <w:r>
              <w:rPr>
                <w:rFonts w:hint="eastAsia" w:ascii="仿宋" w:hAnsi="仿宋" w:eastAsia="仿宋" w:cs="仿宋"/>
                <w:color w:val="auto"/>
                <w:sz w:val="24"/>
                <w:highlight w:val="none"/>
              </w:rPr>
              <w:t>分。安全规章、操作规定和管理制度未上墙扣</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p>
        </w:tc>
      </w:tr>
      <w:tr>
        <w:tblPrEx>
          <w:tblCellMar>
            <w:top w:w="0" w:type="dxa"/>
            <w:left w:w="108" w:type="dxa"/>
            <w:bottom w:w="0" w:type="dxa"/>
            <w:right w:w="108" w:type="dxa"/>
          </w:tblCellMar>
        </w:tblPrEx>
        <w:trPr>
          <w:trHeight w:val="20" w:hRule="atLeast"/>
          <w:jc w:val="center"/>
        </w:trPr>
        <w:tc>
          <w:tcPr>
            <w:tcW w:w="641"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六</w:t>
            </w:r>
          </w:p>
        </w:tc>
        <w:tc>
          <w:tcPr>
            <w:tcW w:w="641"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资产管理</w:t>
            </w:r>
          </w:p>
        </w:tc>
        <w:tc>
          <w:tcPr>
            <w:tcW w:w="641" w:type="dxa"/>
            <w:tcBorders>
              <w:top w:val="nil"/>
              <w:left w:val="nil"/>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现场核查</w:t>
            </w:r>
          </w:p>
        </w:tc>
        <w:tc>
          <w:tcPr>
            <w:tcW w:w="3926"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17.</w:t>
            </w:r>
            <w:r>
              <w:rPr>
                <w:rFonts w:hint="eastAsia" w:ascii="仿宋" w:hAnsi="仿宋" w:eastAsia="仿宋" w:cs="仿宋"/>
                <w:color w:val="auto"/>
                <w:sz w:val="24"/>
                <w:highlight w:val="none"/>
              </w:rPr>
              <w:t>未经区以上环卫主管部门同意，不得利用公厕擅自设置广告。不得部分改变公厕用途。不得擅自出租公厕附属用房。</w:t>
            </w:r>
          </w:p>
        </w:tc>
        <w:tc>
          <w:tcPr>
            <w:tcW w:w="4320" w:type="dxa"/>
            <w:tcBorders>
              <w:top w:val="nil"/>
              <w:left w:val="nil"/>
              <w:bottom w:val="single" w:color="auto" w:sz="4" w:space="0"/>
              <w:right w:val="single" w:color="auto" w:sz="4" w:space="0"/>
            </w:tcBorders>
            <w:vAlign w:val="center"/>
          </w:tcPr>
          <w:p>
            <w:pPr>
              <w:rPr>
                <w:rFonts w:ascii="仿宋" w:hAnsi="仿宋" w:eastAsia="仿宋" w:cs="仿宋"/>
                <w:color w:val="auto"/>
                <w:sz w:val="24"/>
                <w:highlight w:val="none"/>
              </w:rPr>
            </w:pPr>
            <w:r>
              <w:rPr>
                <w:rFonts w:ascii="仿宋" w:hAnsi="仿宋" w:eastAsia="仿宋" w:cs="仿宋"/>
                <w:color w:val="auto"/>
                <w:sz w:val="24"/>
                <w:highlight w:val="none"/>
              </w:rPr>
              <w:t>17.</w:t>
            </w:r>
            <w:r>
              <w:rPr>
                <w:rFonts w:hint="eastAsia" w:ascii="仿宋" w:hAnsi="仿宋" w:eastAsia="仿宋" w:cs="仿宋"/>
                <w:color w:val="auto"/>
                <w:sz w:val="24"/>
                <w:highlight w:val="none"/>
              </w:rPr>
              <w:t>擅自设置广告的扣</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次。部分改变公厕用途的扣</w:t>
            </w:r>
            <w:r>
              <w:rPr>
                <w:rFonts w:ascii="仿宋" w:hAnsi="仿宋" w:eastAsia="仿宋" w:cs="仿宋"/>
                <w:color w:val="auto"/>
                <w:sz w:val="24"/>
                <w:highlight w:val="none"/>
              </w:rPr>
              <w:t>10</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次。擅自出租公厕附属用房的扣</w:t>
            </w:r>
            <w:r>
              <w:rPr>
                <w:rFonts w:ascii="仿宋" w:hAnsi="仿宋" w:eastAsia="仿宋" w:cs="仿宋"/>
                <w:color w:val="auto"/>
                <w:sz w:val="24"/>
                <w:highlight w:val="none"/>
              </w:rPr>
              <w:t>20</w:t>
            </w:r>
            <w:r>
              <w:rPr>
                <w:rFonts w:hint="eastAsia" w:ascii="仿宋" w:hAnsi="仿宋" w:eastAsia="仿宋" w:cs="仿宋"/>
                <w:color w:val="auto"/>
                <w:sz w:val="24"/>
                <w:highlight w:val="none"/>
              </w:rPr>
              <w:t>分</w:t>
            </w:r>
            <w:r>
              <w:rPr>
                <w:rFonts w:ascii="仿宋" w:hAnsi="仿宋" w:eastAsia="仿宋" w:cs="仿宋"/>
                <w:color w:val="auto"/>
                <w:sz w:val="24"/>
                <w:highlight w:val="none"/>
              </w:rPr>
              <w:t>/</w:t>
            </w:r>
            <w:r>
              <w:rPr>
                <w:rFonts w:hint="eastAsia" w:ascii="仿宋" w:hAnsi="仿宋" w:eastAsia="仿宋" w:cs="仿宋"/>
                <w:color w:val="auto"/>
                <w:sz w:val="24"/>
                <w:highlight w:val="none"/>
              </w:rPr>
              <w:t>次。</w:t>
            </w:r>
          </w:p>
        </w:tc>
      </w:tr>
    </w:tbl>
    <w:p>
      <w:pPr>
        <w:widowControl/>
        <w:ind w:firstLine="482" w:firstLineChars="201"/>
        <w:jc w:val="left"/>
        <w:rPr>
          <w:rFonts w:ascii="仿宋" w:hAnsi="仿宋" w:eastAsia="仿宋" w:cs="仿宋"/>
          <w:color w:val="auto"/>
          <w:sz w:val="24"/>
          <w:highlight w:val="none"/>
        </w:rPr>
      </w:pPr>
    </w:p>
    <w:p>
      <w:pPr>
        <w:tabs>
          <w:tab w:val="left" w:pos="0"/>
          <w:tab w:val="left" w:pos="1680"/>
        </w:tabs>
        <w:ind w:right="-102" w:firstLine="484" w:firstLineChars="201"/>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考核标准：</w:t>
      </w:r>
    </w:p>
    <w:p>
      <w:pPr>
        <w:ind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）在市、区市容环卫主管部门对公厕进行现场检查中，对发现违反公厕管理考核现场评分标准的，一个问题扣</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分并计一次抄告罚款</w:t>
      </w:r>
      <w:r>
        <w:rPr>
          <w:rFonts w:ascii="仿宋" w:hAnsi="仿宋" w:eastAsia="仿宋" w:cs="仿宋"/>
          <w:color w:val="auto"/>
          <w:kern w:val="0"/>
          <w:sz w:val="24"/>
          <w:highlight w:val="none"/>
        </w:rPr>
        <w:t>500</w:t>
      </w:r>
      <w:r>
        <w:rPr>
          <w:rFonts w:hint="eastAsia" w:ascii="仿宋" w:hAnsi="仿宋" w:eastAsia="仿宋" w:cs="仿宋"/>
          <w:color w:val="auto"/>
          <w:kern w:val="0"/>
          <w:sz w:val="24"/>
          <w:highlight w:val="none"/>
        </w:rPr>
        <w:t>元，情节严重的计二次抄告罚款</w:t>
      </w:r>
      <w:r>
        <w:rPr>
          <w:rFonts w:ascii="仿宋" w:hAnsi="仿宋" w:eastAsia="仿宋" w:cs="仿宋"/>
          <w:color w:val="auto"/>
          <w:kern w:val="0"/>
          <w:sz w:val="24"/>
          <w:highlight w:val="none"/>
        </w:rPr>
        <w:t>5000</w:t>
      </w:r>
      <w:r>
        <w:rPr>
          <w:rFonts w:hint="eastAsia" w:ascii="仿宋" w:hAnsi="仿宋" w:eastAsia="仿宋" w:cs="仿宋"/>
          <w:color w:val="auto"/>
          <w:kern w:val="0"/>
          <w:sz w:val="24"/>
          <w:highlight w:val="none"/>
        </w:rPr>
        <w:t>元，多次出现整改不到位的计多次抄告罚款</w:t>
      </w:r>
      <w:r>
        <w:rPr>
          <w:rFonts w:ascii="仿宋" w:hAnsi="仿宋" w:eastAsia="仿宋" w:cs="仿宋"/>
          <w:color w:val="auto"/>
          <w:kern w:val="0"/>
          <w:sz w:val="24"/>
          <w:highlight w:val="none"/>
        </w:rPr>
        <w:t>10000</w:t>
      </w:r>
      <w:r>
        <w:rPr>
          <w:rFonts w:hint="eastAsia" w:ascii="仿宋" w:hAnsi="仿宋" w:eastAsia="仿宋" w:cs="仿宋"/>
          <w:color w:val="auto"/>
          <w:kern w:val="0"/>
          <w:sz w:val="24"/>
          <w:highlight w:val="none"/>
        </w:rPr>
        <w:t>元。</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）对市长电话、</w:t>
      </w:r>
      <w:r>
        <w:rPr>
          <w:rFonts w:ascii="仿宋" w:hAnsi="仿宋" w:eastAsia="仿宋" w:cs="仿宋"/>
          <w:color w:val="auto"/>
          <w:kern w:val="0"/>
          <w:sz w:val="24"/>
          <w:highlight w:val="none"/>
        </w:rPr>
        <w:t>12319</w:t>
      </w:r>
      <w:r>
        <w:rPr>
          <w:rFonts w:hint="eastAsia" w:ascii="仿宋" w:hAnsi="仿宋" w:eastAsia="仿宋" w:cs="仿宋"/>
          <w:color w:val="auto"/>
          <w:kern w:val="0"/>
          <w:sz w:val="24"/>
          <w:highlight w:val="none"/>
        </w:rPr>
        <w:t>以及市级以上媒体曝光的，属有责投诉的公厕应立即落实整顿。每发生一次计二次抄告罚款</w:t>
      </w:r>
      <w:r>
        <w:rPr>
          <w:rFonts w:ascii="仿宋" w:hAnsi="仿宋" w:eastAsia="仿宋" w:cs="仿宋"/>
          <w:color w:val="auto"/>
          <w:kern w:val="0"/>
          <w:sz w:val="24"/>
          <w:highlight w:val="none"/>
        </w:rPr>
        <w:t>5000</w:t>
      </w:r>
      <w:r>
        <w:rPr>
          <w:rFonts w:hint="eastAsia" w:ascii="仿宋" w:hAnsi="仿宋" w:eastAsia="仿宋" w:cs="仿宋"/>
          <w:color w:val="auto"/>
          <w:kern w:val="0"/>
          <w:sz w:val="24"/>
          <w:highlight w:val="none"/>
        </w:rPr>
        <w:t>元，整改不到位、不及时的可重复计扣。</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）对出现安全生产事故的，累计死亡</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人以上的，实行黄牌警告，合同期内死亡</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人以上，立即终止合同。无论生产事故或意外事故，责任由中标人承担。</w:t>
      </w:r>
    </w:p>
    <w:p>
      <w:pPr>
        <w:tabs>
          <w:tab w:val="left" w:pos="0"/>
          <w:tab w:val="left" w:pos="1680"/>
        </w:tabs>
        <w:ind w:right="-102" w:firstLine="482" w:firstLineChars="201"/>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）未按《劳动法》和以及</w:t>
      </w:r>
      <w:r>
        <w:rPr>
          <w:rFonts w:hint="eastAsia" w:ascii="仿宋" w:hAnsi="仿宋" w:eastAsia="仿宋" w:cs="仿宋"/>
          <w:color w:val="auto"/>
          <w:sz w:val="24"/>
          <w:highlight w:val="none"/>
          <w:lang w:val="zh-CN"/>
        </w:rPr>
        <w:t>《浙江省人民政府办公厅关于进一步改善环卫工人工作生活条件</w:t>
      </w:r>
      <w:r>
        <w:rPr>
          <w:rFonts w:ascii="仿宋" w:hAnsi="仿宋" w:eastAsia="仿宋" w:cs="仿宋"/>
          <w:color w:val="auto"/>
          <w:sz w:val="24"/>
          <w:highlight w:val="none"/>
          <w:lang w:val="zh-CN"/>
        </w:rPr>
        <w:t xml:space="preserve"> </w:t>
      </w:r>
      <w:r>
        <w:rPr>
          <w:rFonts w:hint="eastAsia" w:ascii="仿宋" w:hAnsi="仿宋" w:eastAsia="仿宋" w:cs="仿宋"/>
          <w:color w:val="auto"/>
          <w:sz w:val="24"/>
          <w:highlight w:val="none"/>
          <w:lang w:val="zh-CN"/>
        </w:rPr>
        <w:t>促进环卫事业持续健康发展的若干意见》（浙政办发〔</w:t>
      </w:r>
      <w:r>
        <w:rPr>
          <w:rFonts w:ascii="仿宋" w:hAnsi="仿宋" w:eastAsia="仿宋" w:cs="仿宋"/>
          <w:color w:val="auto"/>
          <w:sz w:val="24"/>
          <w:highlight w:val="none"/>
          <w:lang w:val="zh-CN"/>
        </w:rPr>
        <w:t>2009</w:t>
      </w: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190</w:t>
      </w:r>
      <w:r>
        <w:rPr>
          <w:rFonts w:hint="eastAsia" w:ascii="仿宋" w:hAnsi="仿宋" w:eastAsia="仿宋" w:cs="仿宋"/>
          <w:color w:val="auto"/>
          <w:sz w:val="24"/>
          <w:highlight w:val="none"/>
          <w:lang w:val="zh-CN"/>
        </w:rPr>
        <w:t>号）和《杭州市人民政府办公厅关于进一步解决环卫工人实际困难</w:t>
      </w:r>
      <w:r>
        <w:rPr>
          <w:rFonts w:ascii="仿宋" w:hAnsi="仿宋" w:eastAsia="仿宋" w:cs="仿宋"/>
          <w:color w:val="auto"/>
          <w:sz w:val="24"/>
          <w:highlight w:val="none"/>
          <w:lang w:val="zh-CN"/>
        </w:rPr>
        <w:t xml:space="preserve"> </w:t>
      </w:r>
      <w:r>
        <w:rPr>
          <w:rFonts w:hint="eastAsia" w:ascii="仿宋" w:hAnsi="仿宋" w:eastAsia="仿宋" w:cs="仿宋"/>
          <w:color w:val="auto"/>
          <w:sz w:val="24"/>
          <w:highlight w:val="none"/>
          <w:lang w:val="zh-CN"/>
        </w:rPr>
        <w:t>保障其合法权益的意见》（杭政办〔</w:t>
      </w:r>
      <w:r>
        <w:rPr>
          <w:rFonts w:ascii="仿宋" w:hAnsi="仿宋" w:eastAsia="仿宋" w:cs="仿宋"/>
          <w:color w:val="auto"/>
          <w:sz w:val="24"/>
          <w:highlight w:val="none"/>
          <w:lang w:val="zh-CN"/>
        </w:rPr>
        <w:t>2008</w:t>
      </w: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14</w:t>
      </w:r>
      <w:r>
        <w:rPr>
          <w:rFonts w:hint="eastAsia" w:ascii="仿宋" w:hAnsi="仿宋" w:eastAsia="仿宋" w:cs="仿宋"/>
          <w:color w:val="auto"/>
          <w:sz w:val="24"/>
          <w:highlight w:val="none"/>
          <w:lang w:val="zh-CN"/>
        </w:rPr>
        <w:t>号）规定的工资标准，或使用超龄工人的，视为投标人放弃中标资格。</w:t>
      </w:r>
    </w:p>
    <w:p>
      <w:pPr>
        <w:tabs>
          <w:tab w:val="left" w:pos="0"/>
          <w:tab w:val="left" w:pos="1680"/>
        </w:tabs>
        <w:ind w:right="-102" w:firstLine="482" w:firstLineChars="201"/>
        <w:rPr>
          <w:rFonts w:ascii="仿宋" w:hAnsi="仿宋" w:eastAsia="仿宋" w:cs="仿宋"/>
          <w:color w:val="auto"/>
          <w:kern w:val="0"/>
          <w:sz w:val="24"/>
          <w:highlight w:val="none"/>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5</w:t>
      </w:r>
      <w:r>
        <w:rPr>
          <w:rFonts w:hint="eastAsia" w:ascii="仿宋" w:hAnsi="仿宋" w:eastAsia="仿宋" w:cs="仿宋"/>
          <w:color w:val="auto"/>
          <w:sz w:val="24"/>
          <w:highlight w:val="none"/>
          <w:lang w:val="zh-CN"/>
        </w:rPr>
        <w:t>）未按招标文件规定其他规定，每发现一次计一次抄告一次。</w:t>
      </w:r>
    </w:p>
    <w:p>
      <w:pPr>
        <w:tabs>
          <w:tab w:val="left" w:pos="0"/>
          <w:tab w:val="left" w:pos="1680"/>
        </w:tabs>
        <w:ind w:right="-102" w:firstLine="484" w:firstLineChars="201"/>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w:t>
      </w:r>
      <w:r>
        <w:rPr>
          <w:rFonts w:ascii="仿宋" w:hAnsi="仿宋" w:eastAsia="仿宋" w:cs="仿宋"/>
          <w:b/>
          <w:bCs/>
          <w:color w:val="auto"/>
          <w:kern w:val="0"/>
          <w:sz w:val="24"/>
          <w:highlight w:val="none"/>
        </w:rPr>
        <w:t>6</w:t>
      </w:r>
      <w:r>
        <w:rPr>
          <w:rFonts w:hint="eastAsia" w:ascii="仿宋" w:hAnsi="仿宋" w:eastAsia="仿宋" w:cs="仿宋"/>
          <w:b/>
          <w:bCs/>
          <w:color w:val="auto"/>
          <w:kern w:val="0"/>
          <w:sz w:val="24"/>
          <w:highlight w:val="none"/>
        </w:rPr>
        <w:t>）其他未明确的考核内容，根据后续制定的管理办法明确的要求进行考核。</w:t>
      </w:r>
    </w:p>
    <w:p>
      <w:pPr>
        <w:tabs>
          <w:tab w:val="left" w:pos="0"/>
          <w:tab w:val="left" w:pos="1680"/>
        </w:tabs>
        <w:ind w:right="-102" w:firstLine="482" w:firstLineChars="201"/>
        <w:rPr>
          <w:rFonts w:ascii="仿宋" w:hAnsi="仿宋" w:eastAsia="仿宋" w:cs="仿宋"/>
          <w:color w:val="auto"/>
          <w:kern w:val="0"/>
          <w:sz w:val="24"/>
          <w:highlight w:val="none"/>
        </w:rPr>
      </w:pPr>
    </w:p>
    <w:p>
      <w:pPr>
        <w:tabs>
          <w:tab w:val="left" w:pos="0"/>
          <w:tab w:val="left" w:pos="1680"/>
        </w:tabs>
        <w:ind w:right="-102" w:firstLine="484" w:firstLineChars="201"/>
        <w:rPr>
          <w:rFonts w:ascii="仿宋" w:hAnsi="仿宋" w:eastAsia="仿宋" w:cs="仿宋"/>
          <w:b/>
          <w:color w:val="auto"/>
          <w:kern w:val="0"/>
          <w:sz w:val="24"/>
          <w:highlight w:val="none"/>
        </w:rPr>
      </w:pPr>
      <w:r>
        <w:rPr>
          <w:rFonts w:ascii="仿宋" w:hAnsi="仿宋" w:eastAsia="仿宋" w:cs="仿宋"/>
          <w:b/>
          <w:color w:val="auto"/>
          <w:kern w:val="0"/>
          <w:sz w:val="24"/>
          <w:highlight w:val="none"/>
        </w:rPr>
        <w:t>6.</w:t>
      </w:r>
      <w:r>
        <w:rPr>
          <w:rFonts w:hint="eastAsia" w:ascii="仿宋" w:hAnsi="仿宋" w:eastAsia="仿宋" w:cs="仿宋"/>
          <w:b/>
          <w:color w:val="auto"/>
          <w:kern w:val="0"/>
          <w:sz w:val="24"/>
          <w:highlight w:val="none"/>
        </w:rPr>
        <w:t>中标方在养护管理期间，由于养管措施不力，出现以下情况之一，采购人有权终止合同并不再与中标方续签本项目合同，由中标方承担一切责任。</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、在省、市各类迎检、考评活动中失责任分或重大保障任务中，保障不力的。</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、发生重大质量安全责任事故，或被媒体曝光造成严重影响的。</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、全年累计三次不达标的。</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、遇灾害性天气，未听从采购人统一指挥，未按采购人要求进行应急管理造成严重损失或社会不良影响的。</w:t>
      </w:r>
    </w:p>
    <w:p>
      <w:pPr>
        <w:tabs>
          <w:tab w:val="left" w:pos="0"/>
          <w:tab w:val="left" w:pos="1680"/>
        </w:tabs>
        <w:ind w:right="-102" w:firstLine="482" w:firstLineChars="201"/>
        <w:rPr>
          <w:rFonts w:ascii="仿宋" w:hAnsi="仿宋" w:eastAsia="仿宋" w:cs="仿宋"/>
          <w:color w:val="auto"/>
          <w:kern w:val="0"/>
          <w:sz w:val="24"/>
          <w:highlight w:val="none"/>
        </w:rPr>
      </w:pP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、因中标方的原因致使采购人向第三方承担法律责任的（包括且不限于第三方侵权、行政责任等），采购人有权就其责任承担部分全额向中标方追偿。</w:t>
      </w:r>
    </w:p>
    <w:p>
      <w:pPr>
        <w:spacing w:line="288" w:lineRule="auto"/>
        <w:rPr>
          <w:rFonts w:ascii="仿宋" w:hAnsi="仿宋" w:eastAsia="仿宋" w:cs="仿宋"/>
          <w:color w:val="auto"/>
          <w:spacing w:val="-6"/>
          <w:sz w:val="24"/>
          <w:highlight w:val="none"/>
        </w:rPr>
      </w:pPr>
      <w:r>
        <w:rPr>
          <w:rFonts w:hint="eastAsia" w:ascii="仿宋" w:hAnsi="仿宋" w:eastAsia="仿宋" w:cs="仿宋"/>
          <w:b/>
          <w:color w:val="auto"/>
          <w:spacing w:val="-6"/>
          <w:sz w:val="24"/>
          <w:highlight w:val="none"/>
        </w:rPr>
        <w:t>商务要求表</w:t>
      </w:r>
      <w:r>
        <w:rPr>
          <w:rFonts w:hint="eastAsia" w:ascii="仿宋" w:hAnsi="仿宋" w:eastAsia="仿宋" w:cs="仿宋"/>
          <w:color w:val="auto"/>
          <w:spacing w:val="-6"/>
          <w:sz w:val="24"/>
          <w:highlight w:val="none"/>
        </w:rPr>
        <w:t>（招标需求里另有注明的以招标需求为准）</w:t>
      </w:r>
    </w:p>
    <w:tbl>
      <w:tblPr>
        <w:tblStyle w:val="62"/>
        <w:tblW w:w="9356"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2"/>
        <w:gridCol w:w="76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02" w:type="dxa"/>
            <w:tcBorders>
              <w:top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服务期</w:t>
            </w:r>
          </w:p>
        </w:tc>
        <w:tc>
          <w:tcPr>
            <w:tcW w:w="7654" w:type="dxa"/>
            <w:tcBorders>
              <w:top w:val="single" w:color="auto" w:sz="4" w:space="0"/>
              <w:left w:val="single" w:color="auto" w:sz="4" w:space="0"/>
              <w:bottom w:val="single" w:color="auto" w:sz="4" w:space="0"/>
            </w:tcBorders>
            <w:vAlign w:val="center"/>
          </w:tcPr>
          <w:p>
            <w:pPr>
              <w:spacing w:line="288" w:lineRule="auto"/>
              <w:rPr>
                <w:rFonts w:ascii="仿宋" w:hAnsi="仿宋" w:eastAsia="仿宋" w:cs="仿宋"/>
                <w:color w:val="auto"/>
                <w:spacing w:val="-6"/>
                <w:sz w:val="24"/>
                <w:highlight w:val="none"/>
              </w:rPr>
            </w:pPr>
            <w:r>
              <w:rPr>
                <w:rFonts w:hint="eastAsia" w:ascii="仿宋" w:hAnsi="仿宋" w:eastAsia="仿宋" w:cs="仿宋"/>
                <w:color w:val="auto"/>
                <w:sz w:val="24"/>
                <w:highlight w:val="none"/>
              </w:rPr>
              <w:t>一年（合同一年一签）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02" w:type="dxa"/>
            <w:tcBorders>
              <w:top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服务地点</w:t>
            </w:r>
          </w:p>
        </w:tc>
        <w:tc>
          <w:tcPr>
            <w:tcW w:w="7654" w:type="dxa"/>
            <w:tcBorders>
              <w:top w:val="single" w:color="auto" w:sz="4" w:space="0"/>
              <w:left w:val="single" w:color="auto" w:sz="4" w:space="0"/>
              <w:bottom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地点：杭州市钱塘区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02" w:type="dxa"/>
            <w:tcBorders>
              <w:top w:val="single" w:color="auto" w:sz="4" w:space="0"/>
              <w:bottom w:val="single" w:color="auto" w:sz="4" w:space="0"/>
              <w:right w:val="single" w:color="auto" w:sz="4" w:space="0"/>
            </w:tcBorders>
            <w:vAlign w:val="center"/>
          </w:tcPr>
          <w:p>
            <w:pPr>
              <w:jc w:val="center"/>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▲付款方式</w:t>
            </w:r>
          </w:p>
        </w:tc>
        <w:tc>
          <w:tcPr>
            <w:tcW w:w="7654" w:type="dxa"/>
            <w:tcBorders>
              <w:top w:val="single" w:color="auto" w:sz="4" w:space="0"/>
              <w:left w:val="single" w:color="auto" w:sz="4" w:space="0"/>
              <w:bottom w:val="single" w:color="auto" w:sz="4" w:space="0"/>
            </w:tcBorders>
            <w:vAlign w:val="center"/>
          </w:tcPr>
          <w:p>
            <w:pPr>
              <w:jc w:val="left"/>
              <w:rPr>
                <w:rFonts w:ascii="仿宋" w:hAnsi="仿宋" w:eastAsia="仿宋" w:cs="仿宋"/>
                <w:b/>
                <w:color w:val="auto"/>
                <w:spacing w:val="-6"/>
                <w:sz w:val="24"/>
                <w:highlight w:val="none"/>
              </w:rPr>
            </w:pPr>
            <w:r>
              <w:rPr>
                <w:rFonts w:hint="eastAsia" w:ascii="仿宋" w:hAnsi="仿宋" w:eastAsia="仿宋" w:cs="仿宋"/>
                <w:bCs/>
                <w:color w:val="auto"/>
                <w:sz w:val="24"/>
                <w:highlight w:val="none"/>
              </w:rPr>
              <w:t>按季度付款：合同年内分</w:t>
            </w:r>
            <w:r>
              <w:rPr>
                <w:rFonts w:ascii="仿宋" w:hAnsi="仿宋" w:eastAsia="仿宋" w:cs="仿宋"/>
                <w:bCs/>
                <w:color w:val="auto"/>
                <w:sz w:val="24"/>
                <w:highlight w:val="none"/>
              </w:rPr>
              <w:t>5</w:t>
            </w:r>
            <w:r>
              <w:rPr>
                <w:rFonts w:hint="eastAsia" w:ascii="仿宋" w:hAnsi="仿宋" w:eastAsia="仿宋" w:cs="仿宋"/>
                <w:bCs/>
                <w:color w:val="auto"/>
                <w:sz w:val="24"/>
                <w:highlight w:val="none"/>
              </w:rPr>
              <w:t>次支付费用，</w:t>
            </w:r>
            <w:r>
              <w:rPr>
                <w:rFonts w:hint="eastAsia" w:ascii="仿宋" w:hAnsi="仿宋" w:eastAsia="仿宋" w:cs="宋体"/>
                <w:iCs/>
                <w:color w:val="auto"/>
                <w:sz w:val="24"/>
                <w:highlight w:val="none"/>
              </w:rPr>
              <w:t>合同生效且具备实施条件后</w:t>
            </w:r>
            <w:r>
              <w:rPr>
                <w:rFonts w:hint="eastAsia" w:ascii="仿宋" w:hAnsi="仿宋" w:cs="宋体"/>
                <w:iCs/>
                <w:color w:val="auto"/>
                <w:sz w:val="24"/>
                <w:highlight w:val="none"/>
                <w:lang w:val="en-US" w:eastAsia="zh-CN"/>
              </w:rPr>
              <w:t>7个工作</w:t>
            </w:r>
            <w:r>
              <w:rPr>
                <w:rFonts w:hint="eastAsia" w:ascii="仿宋" w:hAnsi="仿宋" w:eastAsia="仿宋" w:cs="宋体"/>
                <w:iCs/>
                <w:color w:val="auto"/>
                <w:sz w:val="24"/>
                <w:highlight w:val="none"/>
              </w:rPr>
              <w:t>日内</w:t>
            </w:r>
            <w:r>
              <w:rPr>
                <w:rFonts w:hint="eastAsia" w:ascii="仿宋" w:hAnsi="仿宋" w:cs="宋体"/>
                <w:iCs/>
                <w:color w:val="auto"/>
                <w:sz w:val="24"/>
                <w:highlight w:val="none"/>
                <w:lang w:val="en-US" w:eastAsia="zh-CN"/>
              </w:rPr>
              <w:t>采购人向中标方</w:t>
            </w:r>
            <w:r>
              <w:rPr>
                <w:rFonts w:hint="eastAsia" w:ascii="仿宋" w:hAnsi="仿宋" w:eastAsia="仿宋" w:cs="宋体"/>
                <w:iCs/>
                <w:color w:val="auto"/>
                <w:sz w:val="24"/>
                <w:highlight w:val="none"/>
              </w:rPr>
              <w:t>支付</w:t>
            </w:r>
            <w:r>
              <w:rPr>
                <w:rFonts w:hint="eastAsia" w:ascii="仿宋" w:hAnsi="仿宋" w:cs="宋体"/>
                <w:iCs/>
                <w:color w:val="auto"/>
                <w:sz w:val="24"/>
                <w:highlight w:val="none"/>
                <w:lang w:val="en-US" w:eastAsia="zh-CN"/>
              </w:rPr>
              <w:t>合同款</w:t>
            </w:r>
            <w:r>
              <w:rPr>
                <w:rFonts w:hint="eastAsia" w:ascii="仿宋" w:hAnsi="仿宋" w:eastAsia="仿宋" w:cs="宋体"/>
                <w:iCs/>
                <w:color w:val="auto"/>
                <w:sz w:val="24"/>
                <w:highlight w:val="none"/>
              </w:rPr>
              <w:t>的</w:t>
            </w:r>
            <w:r>
              <w:rPr>
                <w:rFonts w:hint="eastAsia" w:ascii="仿宋" w:hAnsi="仿宋" w:cs="宋体"/>
                <w:iCs/>
                <w:color w:val="auto"/>
                <w:sz w:val="24"/>
                <w:highlight w:val="none"/>
                <w:lang w:val="en-US" w:eastAsia="zh-CN"/>
              </w:rPr>
              <w:t>2</w:t>
            </w:r>
            <w:r>
              <w:rPr>
                <w:rFonts w:hint="eastAsia" w:ascii="仿宋" w:hAnsi="仿宋" w:eastAsia="仿宋" w:cs="宋体"/>
                <w:iCs/>
                <w:color w:val="auto"/>
                <w:sz w:val="24"/>
                <w:highlight w:val="none"/>
              </w:rPr>
              <w:t>0%</w:t>
            </w:r>
            <w:r>
              <w:rPr>
                <w:rFonts w:hint="eastAsia" w:ascii="仿宋" w:hAnsi="仿宋" w:cs="宋体"/>
                <w:iCs/>
                <w:color w:val="auto"/>
                <w:sz w:val="24"/>
                <w:highlight w:val="none"/>
                <w:lang w:val="en-US" w:eastAsia="zh-CN"/>
              </w:rPr>
              <w:t>作为</w:t>
            </w:r>
            <w:r>
              <w:rPr>
                <w:rFonts w:hint="eastAsia" w:ascii="仿宋" w:hAnsi="仿宋" w:eastAsia="仿宋" w:cs="宋体"/>
                <w:iCs/>
                <w:color w:val="auto"/>
                <w:sz w:val="24"/>
                <w:highlight w:val="none"/>
              </w:rPr>
              <w:t>预付款</w:t>
            </w:r>
            <w:r>
              <w:rPr>
                <w:rFonts w:hint="eastAsia" w:ascii="仿宋" w:hAnsi="仿宋" w:cs="宋体"/>
                <w:iCs/>
                <w:color w:val="auto"/>
                <w:sz w:val="24"/>
                <w:highlight w:val="none"/>
                <w:lang w:eastAsia="zh-CN"/>
              </w:rPr>
              <w:t>，</w:t>
            </w:r>
            <w:r>
              <w:rPr>
                <w:rFonts w:hint="eastAsia" w:ascii="仿宋" w:hAnsi="仿宋" w:eastAsia="仿宋" w:cs="仿宋"/>
                <w:bCs/>
                <w:color w:val="auto"/>
                <w:sz w:val="24"/>
                <w:highlight w:val="none"/>
              </w:rPr>
              <w:t>每</w:t>
            </w:r>
            <w:r>
              <w:rPr>
                <w:rFonts w:hint="eastAsia" w:ascii="仿宋" w:hAnsi="仿宋" w:eastAsia="仿宋" w:cs="仿宋"/>
                <w:color w:val="auto"/>
                <w:sz w:val="24"/>
                <w:highlight w:val="none"/>
              </w:rPr>
              <w:t>三个月（季度）</w:t>
            </w:r>
            <w:r>
              <w:rPr>
                <w:rFonts w:hint="eastAsia" w:ascii="仿宋" w:hAnsi="仿宋" w:cs="仿宋"/>
                <w:color w:val="auto"/>
                <w:sz w:val="24"/>
                <w:highlight w:val="none"/>
                <w:lang w:val="en-US" w:eastAsia="zh-CN"/>
              </w:rPr>
              <w:t>在本季度结束后7个工作日内采购人向中标方</w:t>
            </w:r>
            <w:r>
              <w:rPr>
                <w:rFonts w:hint="eastAsia" w:ascii="仿宋" w:hAnsi="仿宋" w:eastAsia="仿宋" w:cs="仿宋"/>
                <w:color w:val="auto"/>
                <w:sz w:val="24"/>
                <w:highlight w:val="none"/>
              </w:rPr>
              <w:t>支付</w:t>
            </w:r>
            <w:r>
              <w:rPr>
                <w:rFonts w:hint="eastAsia" w:ascii="仿宋" w:hAnsi="仿宋" w:cs="仿宋"/>
                <w:color w:val="auto"/>
                <w:sz w:val="24"/>
                <w:highlight w:val="none"/>
                <w:lang w:val="en-US" w:eastAsia="zh-CN"/>
              </w:rPr>
              <w:t>合同款的</w:t>
            </w:r>
            <w:r>
              <w:rPr>
                <w:rFonts w:ascii="仿宋" w:hAnsi="仿宋" w:eastAsia="仿宋" w:cs="仿宋"/>
                <w:bCs/>
                <w:color w:val="auto"/>
                <w:sz w:val="24"/>
                <w:highlight w:val="none"/>
              </w:rPr>
              <w:t>20%</w:t>
            </w:r>
            <w:r>
              <w:rPr>
                <w:rFonts w:hint="eastAsia" w:ascii="仿宋" w:hAnsi="仿宋" w:eastAsia="仿宋" w:cs="仿宋"/>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02" w:type="dxa"/>
            <w:tcBorders>
              <w:top w:val="single" w:color="auto" w:sz="4" w:space="0"/>
              <w:bottom w:val="single" w:color="auto" w:sz="4" w:space="0"/>
              <w:right w:val="single" w:color="auto" w:sz="4" w:space="0"/>
            </w:tcBorders>
            <w:vAlign w:val="center"/>
          </w:tcPr>
          <w:p>
            <w:pPr>
              <w:jc w:val="center"/>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其他说明</w:t>
            </w:r>
          </w:p>
        </w:tc>
        <w:tc>
          <w:tcPr>
            <w:tcW w:w="7654" w:type="dxa"/>
            <w:tcBorders>
              <w:top w:val="single" w:color="auto" w:sz="4" w:space="0"/>
              <w:left w:val="single" w:color="auto" w:sz="4" w:space="0"/>
              <w:bottom w:val="single" w:color="auto" w:sz="4" w:space="0"/>
            </w:tcBorders>
            <w:vAlign w:val="center"/>
          </w:tcPr>
          <w:p>
            <w:pPr>
              <w:jc w:val="left"/>
              <w:rPr>
                <w:rFonts w:hint="eastAsia" w:ascii="仿宋" w:hAnsi="仿宋" w:eastAsia="仿宋" w:cs="仿宋"/>
                <w:bCs/>
                <w:color w:val="auto"/>
                <w:sz w:val="24"/>
                <w:highlight w:val="none"/>
                <w:lang w:val="en-US" w:eastAsia="zh-CN"/>
              </w:rPr>
            </w:pPr>
            <w:r>
              <w:rPr>
                <w:rFonts w:hint="eastAsia" w:ascii="仿宋" w:hAnsi="仿宋" w:cs="仿宋"/>
                <w:bCs/>
                <w:color w:val="auto"/>
                <w:sz w:val="24"/>
                <w:highlight w:val="none"/>
                <w:lang w:val="en-US" w:eastAsia="zh-CN"/>
              </w:rPr>
              <w:t>无</w:t>
            </w:r>
          </w:p>
        </w:tc>
      </w:tr>
    </w:tbl>
    <w:p>
      <w:pPr>
        <w:rPr>
          <w:rFonts w:hint="eastAsia" w:ascii="仿宋" w:hAnsi="仿宋" w:eastAsia="仿宋" w:cs="华文仿宋"/>
          <w:color w:val="auto"/>
          <w:sz w:val="24"/>
          <w:highlight w:val="none"/>
          <w:lang w:eastAsia="zh-CN"/>
        </w:rPr>
      </w:pPr>
      <w:r>
        <w:rPr>
          <w:rFonts w:hint="eastAsia" w:ascii="仿宋" w:hAnsi="仿宋" w:eastAsia="仿宋" w:cs="华文仿宋"/>
          <w:color w:val="auto"/>
          <w:sz w:val="24"/>
          <w:highlight w:val="none"/>
          <w:lang w:eastAsia="zh-CN"/>
        </w:rPr>
        <w:br w:type="page"/>
      </w:r>
    </w:p>
    <w:p>
      <w:pPr>
        <w:snapToGrid w:val="0"/>
        <w:spacing w:line="36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第四部分</w:t>
      </w:r>
      <w:r>
        <w:rPr>
          <w:rFonts w:ascii="仿宋" w:hAnsi="仿宋" w:eastAsia="仿宋" w:cs="仿宋_GB2312"/>
          <w:b/>
          <w:color w:val="auto"/>
          <w:sz w:val="36"/>
          <w:szCs w:val="36"/>
          <w:highlight w:val="none"/>
        </w:rPr>
        <w:t xml:space="preserve">   </w:t>
      </w:r>
      <w:bookmarkStart w:id="27" w:name="_Toc184308043"/>
      <w:bookmarkEnd w:id="27"/>
      <w:bookmarkStart w:id="28" w:name="_Toc184310272"/>
      <w:bookmarkEnd w:id="28"/>
      <w:bookmarkStart w:id="29" w:name="_Toc184310312"/>
      <w:bookmarkEnd w:id="29"/>
      <w:bookmarkStart w:id="30" w:name="_Toc184313300"/>
      <w:bookmarkEnd w:id="30"/>
      <w:bookmarkStart w:id="31" w:name="_Toc184313304"/>
      <w:bookmarkEnd w:id="31"/>
      <w:bookmarkStart w:id="32" w:name="_Toc184310278"/>
      <w:bookmarkEnd w:id="32"/>
      <w:bookmarkStart w:id="33" w:name="_Toc184308059"/>
      <w:bookmarkEnd w:id="33"/>
      <w:bookmarkStart w:id="34" w:name="_Toc184308046"/>
      <w:bookmarkEnd w:id="34"/>
      <w:bookmarkStart w:id="35" w:name="_Toc184308045"/>
      <w:bookmarkEnd w:id="35"/>
      <w:bookmarkStart w:id="36" w:name="_Toc184313245"/>
      <w:bookmarkEnd w:id="36"/>
      <w:bookmarkStart w:id="37" w:name="_Toc184310318"/>
      <w:bookmarkEnd w:id="37"/>
      <w:bookmarkStart w:id="38" w:name="_Toc184313243"/>
      <w:bookmarkEnd w:id="38"/>
      <w:bookmarkStart w:id="39" w:name="_Toc184310340"/>
      <w:bookmarkEnd w:id="39"/>
      <w:bookmarkStart w:id="40" w:name="_Toc184308044"/>
      <w:bookmarkEnd w:id="40"/>
      <w:bookmarkStart w:id="41" w:name="_Toc184314415"/>
      <w:bookmarkEnd w:id="41"/>
      <w:bookmarkStart w:id="42" w:name="_Toc184308073"/>
      <w:bookmarkEnd w:id="42"/>
      <w:bookmarkStart w:id="43" w:name="_Toc184312111"/>
      <w:bookmarkEnd w:id="43"/>
      <w:bookmarkStart w:id="44" w:name="_Toc184314433"/>
      <w:bookmarkEnd w:id="44"/>
      <w:bookmarkStart w:id="45" w:name="_Toc184313286"/>
      <w:bookmarkEnd w:id="45"/>
      <w:bookmarkStart w:id="46" w:name="_Toc184312092"/>
      <w:bookmarkEnd w:id="46"/>
      <w:bookmarkStart w:id="47" w:name="_Toc184312129"/>
      <w:bookmarkEnd w:id="47"/>
      <w:bookmarkStart w:id="48" w:name="_Toc184314470"/>
      <w:bookmarkEnd w:id="48"/>
      <w:bookmarkStart w:id="49" w:name="_Toc184312125"/>
      <w:bookmarkEnd w:id="49"/>
      <w:bookmarkStart w:id="50" w:name="_Toc184312076"/>
      <w:bookmarkEnd w:id="50"/>
      <w:bookmarkStart w:id="51" w:name="_Toc184314474"/>
      <w:bookmarkEnd w:id="51"/>
      <w:bookmarkStart w:id="52" w:name="_Toc184308060"/>
      <w:bookmarkEnd w:id="52"/>
      <w:bookmarkStart w:id="53" w:name="_Toc184308106"/>
      <w:bookmarkEnd w:id="53"/>
      <w:bookmarkStart w:id="54" w:name="_Toc184313261"/>
      <w:bookmarkEnd w:id="54"/>
      <w:bookmarkStart w:id="55" w:name="_Toc184308091"/>
      <w:bookmarkEnd w:id="55"/>
      <w:bookmarkStart w:id="56" w:name="_Toc184312090"/>
      <w:bookmarkEnd w:id="56"/>
      <w:bookmarkStart w:id="57" w:name="_Toc184313288"/>
      <w:bookmarkEnd w:id="57"/>
      <w:bookmarkStart w:id="58" w:name="_Toc184310288"/>
      <w:bookmarkEnd w:id="58"/>
      <w:bookmarkStart w:id="59" w:name="_Toc184308076"/>
      <w:bookmarkEnd w:id="59"/>
      <w:bookmarkStart w:id="60" w:name="_Toc184310277"/>
      <w:bookmarkEnd w:id="60"/>
      <w:bookmarkStart w:id="61" w:name="_Toc184310287"/>
      <w:bookmarkEnd w:id="61"/>
      <w:bookmarkStart w:id="62" w:name="_Toc184308077"/>
      <w:bookmarkEnd w:id="62"/>
      <w:bookmarkStart w:id="63" w:name="_Toc184312109"/>
      <w:bookmarkEnd w:id="63"/>
      <w:bookmarkStart w:id="64" w:name="_Toc184310330"/>
      <w:bookmarkEnd w:id="64"/>
      <w:bookmarkStart w:id="65" w:name="_Toc184313290"/>
      <w:bookmarkEnd w:id="65"/>
      <w:bookmarkStart w:id="66" w:name="_Toc184313309"/>
      <w:bookmarkEnd w:id="66"/>
      <w:bookmarkStart w:id="67" w:name="_Toc184312134"/>
      <w:bookmarkEnd w:id="67"/>
      <w:bookmarkStart w:id="68" w:name="_Toc184312080"/>
      <w:bookmarkEnd w:id="68"/>
      <w:bookmarkStart w:id="69" w:name="_Toc184308098"/>
      <w:bookmarkEnd w:id="69"/>
      <w:bookmarkStart w:id="70" w:name="_Toc184308096"/>
      <w:bookmarkEnd w:id="70"/>
      <w:bookmarkStart w:id="71" w:name="_Toc184313296"/>
      <w:bookmarkEnd w:id="71"/>
      <w:bookmarkStart w:id="72" w:name="_Toc184313265"/>
      <w:bookmarkEnd w:id="72"/>
      <w:bookmarkStart w:id="73" w:name="_Toc184314437"/>
      <w:bookmarkEnd w:id="73"/>
      <w:bookmarkStart w:id="74" w:name="_Toc184310325"/>
      <w:bookmarkEnd w:id="74"/>
      <w:bookmarkStart w:id="75" w:name="_Toc184314435"/>
      <w:bookmarkEnd w:id="75"/>
      <w:bookmarkStart w:id="76" w:name="_Toc184312075"/>
      <w:bookmarkEnd w:id="76"/>
      <w:bookmarkStart w:id="77" w:name="_Toc184314481"/>
      <w:bookmarkEnd w:id="77"/>
      <w:bookmarkStart w:id="78" w:name="_Toc184313305"/>
      <w:bookmarkEnd w:id="78"/>
      <w:bookmarkStart w:id="79" w:name="_Toc184313299"/>
      <w:bookmarkEnd w:id="79"/>
      <w:bookmarkStart w:id="80" w:name="_Toc184310320"/>
      <w:bookmarkEnd w:id="80"/>
      <w:bookmarkStart w:id="81" w:name="_Toc184310313"/>
      <w:bookmarkEnd w:id="81"/>
      <w:bookmarkStart w:id="82" w:name="_Toc184314412"/>
      <w:bookmarkEnd w:id="82"/>
      <w:bookmarkStart w:id="83" w:name="_Toc184312121"/>
      <w:bookmarkEnd w:id="83"/>
      <w:bookmarkStart w:id="84" w:name="_Toc184310333"/>
      <w:bookmarkEnd w:id="84"/>
      <w:bookmarkStart w:id="85" w:name="_Toc184308088"/>
      <w:bookmarkEnd w:id="85"/>
      <w:bookmarkStart w:id="86" w:name="_Toc184312124"/>
      <w:bookmarkEnd w:id="86"/>
      <w:bookmarkStart w:id="87" w:name="_Toc184310304"/>
      <w:bookmarkEnd w:id="87"/>
      <w:bookmarkStart w:id="88" w:name="_Toc184310294"/>
      <w:bookmarkEnd w:id="88"/>
      <w:bookmarkStart w:id="89" w:name="_Toc184308089"/>
      <w:bookmarkEnd w:id="89"/>
      <w:bookmarkStart w:id="90" w:name="_Toc184312128"/>
      <w:bookmarkEnd w:id="90"/>
      <w:bookmarkStart w:id="91" w:name="_Toc184312110"/>
      <w:bookmarkEnd w:id="91"/>
      <w:bookmarkStart w:id="92" w:name="_Toc184314413"/>
      <w:bookmarkEnd w:id="92"/>
      <w:bookmarkStart w:id="93" w:name="_Toc184314421"/>
      <w:bookmarkEnd w:id="93"/>
      <w:bookmarkStart w:id="94" w:name="_Toc184313274"/>
      <w:bookmarkEnd w:id="94"/>
      <w:bookmarkStart w:id="95" w:name="_Toc184313256"/>
      <w:bookmarkEnd w:id="95"/>
      <w:bookmarkStart w:id="96" w:name="_Toc184310321"/>
      <w:bookmarkEnd w:id="96"/>
      <w:bookmarkStart w:id="97" w:name="_Toc184308097"/>
      <w:bookmarkEnd w:id="97"/>
      <w:bookmarkStart w:id="98" w:name="_Toc184308042"/>
      <w:bookmarkEnd w:id="98"/>
      <w:bookmarkStart w:id="99" w:name="_Toc184308094"/>
      <w:bookmarkEnd w:id="99"/>
      <w:bookmarkStart w:id="100" w:name="_Toc184312133"/>
      <w:bookmarkEnd w:id="100"/>
      <w:bookmarkStart w:id="101" w:name="_Toc184312093"/>
      <w:bookmarkEnd w:id="101"/>
      <w:bookmarkStart w:id="102" w:name="_Toc184313285"/>
      <w:bookmarkEnd w:id="102"/>
      <w:bookmarkStart w:id="103" w:name="_Toc184313294"/>
      <w:bookmarkEnd w:id="103"/>
      <w:bookmarkStart w:id="104" w:name="_Toc184312107"/>
      <w:bookmarkEnd w:id="104"/>
      <w:bookmarkStart w:id="105" w:name="_Toc184314425"/>
      <w:bookmarkEnd w:id="105"/>
      <w:bookmarkStart w:id="106" w:name="_Toc184314427"/>
      <w:bookmarkEnd w:id="106"/>
      <w:bookmarkStart w:id="107" w:name="_Toc184312122"/>
      <w:bookmarkEnd w:id="107"/>
      <w:bookmarkStart w:id="108" w:name="_Toc184308090"/>
      <w:bookmarkEnd w:id="108"/>
      <w:bookmarkStart w:id="109" w:name="_Toc184314477"/>
      <w:bookmarkEnd w:id="109"/>
      <w:bookmarkStart w:id="110" w:name="_Toc184308037"/>
      <w:bookmarkEnd w:id="110"/>
      <w:bookmarkStart w:id="111" w:name="_Toc184314451"/>
      <w:bookmarkEnd w:id="111"/>
      <w:bookmarkStart w:id="112" w:name="_Toc184312127"/>
      <w:bookmarkEnd w:id="112"/>
      <w:bookmarkStart w:id="113" w:name="_Toc184314469"/>
      <w:bookmarkEnd w:id="113"/>
      <w:bookmarkStart w:id="114" w:name="_Toc184314463"/>
      <w:bookmarkEnd w:id="114"/>
      <w:bookmarkStart w:id="115" w:name="_Toc184308092"/>
      <w:bookmarkEnd w:id="115"/>
      <w:bookmarkStart w:id="116" w:name="_Toc184313250"/>
      <w:bookmarkEnd w:id="116"/>
      <w:bookmarkStart w:id="117" w:name="_Toc184313252"/>
      <w:bookmarkEnd w:id="117"/>
      <w:bookmarkStart w:id="118" w:name="_Toc184308063"/>
      <w:bookmarkEnd w:id="118"/>
      <w:bookmarkStart w:id="119" w:name="_Toc184314423"/>
      <w:bookmarkEnd w:id="119"/>
      <w:bookmarkStart w:id="120" w:name="_Toc184310326"/>
      <w:bookmarkEnd w:id="120"/>
      <w:bookmarkStart w:id="121" w:name="_Toc184313248"/>
      <w:bookmarkEnd w:id="121"/>
      <w:bookmarkStart w:id="122" w:name="_Toc184314467"/>
      <w:bookmarkEnd w:id="122"/>
      <w:bookmarkStart w:id="123" w:name="_Toc184310335"/>
      <w:bookmarkEnd w:id="123"/>
      <w:bookmarkStart w:id="124" w:name="_Toc184314424"/>
      <w:bookmarkEnd w:id="124"/>
      <w:bookmarkStart w:id="125" w:name="_Toc184312123"/>
      <w:bookmarkEnd w:id="125"/>
      <w:bookmarkStart w:id="126" w:name="_Toc184308099"/>
      <w:bookmarkEnd w:id="126"/>
      <w:bookmarkStart w:id="127" w:name="_Toc184312085"/>
      <w:bookmarkEnd w:id="127"/>
      <w:bookmarkStart w:id="128" w:name="_Toc184308085"/>
      <w:bookmarkEnd w:id="128"/>
      <w:bookmarkStart w:id="129" w:name="_Toc184312091"/>
      <w:bookmarkEnd w:id="129"/>
      <w:bookmarkStart w:id="130" w:name="_Toc184313298"/>
      <w:bookmarkEnd w:id="130"/>
      <w:bookmarkStart w:id="131" w:name="_Toc184314449"/>
      <w:bookmarkEnd w:id="131"/>
      <w:bookmarkStart w:id="132" w:name="_Toc184308049"/>
      <w:bookmarkEnd w:id="132"/>
      <w:bookmarkStart w:id="133" w:name="_Toc184310291"/>
      <w:bookmarkEnd w:id="133"/>
      <w:bookmarkStart w:id="134" w:name="_Toc184308104"/>
      <w:bookmarkEnd w:id="134"/>
      <w:bookmarkStart w:id="135" w:name="_Toc184308081"/>
      <w:bookmarkEnd w:id="135"/>
      <w:bookmarkStart w:id="136" w:name="_Toc184308095"/>
      <w:bookmarkEnd w:id="136"/>
      <w:bookmarkStart w:id="137" w:name="_Toc184310299"/>
      <w:bookmarkEnd w:id="137"/>
      <w:bookmarkStart w:id="138" w:name="_Toc184312067"/>
      <w:bookmarkEnd w:id="138"/>
      <w:bookmarkStart w:id="139" w:name="_Toc184314450"/>
      <w:bookmarkEnd w:id="139"/>
      <w:bookmarkStart w:id="140" w:name="_Toc184314468"/>
      <w:bookmarkEnd w:id="140"/>
      <w:bookmarkStart w:id="141" w:name="_Toc184310295"/>
      <w:bookmarkEnd w:id="141"/>
      <w:bookmarkStart w:id="142" w:name="_Toc184313277"/>
      <w:bookmarkEnd w:id="142"/>
      <w:bookmarkStart w:id="143" w:name="_Toc184314458"/>
      <w:bookmarkEnd w:id="143"/>
      <w:bookmarkStart w:id="144" w:name="_Toc184312120"/>
      <w:bookmarkEnd w:id="144"/>
      <w:bookmarkStart w:id="145" w:name="_Toc184310338"/>
      <w:bookmarkEnd w:id="145"/>
      <w:bookmarkStart w:id="146" w:name="_Toc184313242"/>
      <w:bookmarkEnd w:id="146"/>
      <w:bookmarkStart w:id="147" w:name="_Toc184308054"/>
      <w:bookmarkEnd w:id="147"/>
      <w:bookmarkStart w:id="148" w:name="_Toc184310331"/>
      <w:bookmarkEnd w:id="148"/>
      <w:bookmarkStart w:id="149" w:name="_Toc184314417"/>
      <w:bookmarkEnd w:id="149"/>
      <w:bookmarkStart w:id="150" w:name="_Toc184314432"/>
      <w:bookmarkEnd w:id="150"/>
      <w:bookmarkStart w:id="151" w:name="_Toc184313263"/>
      <w:bookmarkEnd w:id="151"/>
      <w:bookmarkStart w:id="152" w:name="_Toc184310292"/>
      <w:bookmarkEnd w:id="152"/>
      <w:bookmarkStart w:id="153" w:name="_Toc184314476"/>
      <w:bookmarkEnd w:id="153"/>
      <w:bookmarkStart w:id="154" w:name="_Toc184312071"/>
      <w:bookmarkEnd w:id="154"/>
      <w:bookmarkStart w:id="155" w:name="_Toc184312132"/>
      <w:bookmarkEnd w:id="155"/>
      <w:bookmarkStart w:id="156" w:name="_Toc184313287"/>
      <w:bookmarkEnd w:id="156"/>
      <w:bookmarkStart w:id="157" w:name="_Toc184310290"/>
      <w:bookmarkEnd w:id="157"/>
      <w:bookmarkStart w:id="158" w:name="_Toc184310334"/>
      <w:bookmarkEnd w:id="158"/>
      <w:bookmarkStart w:id="159" w:name="_Toc184308036"/>
      <w:bookmarkEnd w:id="159"/>
      <w:bookmarkStart w:id="160" w:name="_Toc184308068"/>
      <w:bookmarkEnd w:id="160"/>
      <w:bookmarkStart w:id="161" w:name="_Toc184314411"/>
      <w:bookmarkEnd w:id="161"/>
      <w:bookmarkStart w:id="162" w:name="_Toc184310276"/>
      <w:bookmarkEnd w:id="162"/>
      <w:bookmarkStart w:id="163" w:name="_Toc184314454"/>
      <w:bookmarkEnd w:id="163"/>
      <w:bookmarkStart w:id="164" w:name="_Toc184310314"/>
      <w:bookmarkEnd w:id="164"/>
      <w:bookmarkStart w:id="165" w:name="_Toc184308103"/>
      <w:bookmarkEnd w:id="165"/>
      <w:bookmarkStart w:id="166" w:name="_Toc184308061"/>
      <w:bookmarkEnd w:id="166"/>
      <w:bookmarkStart w:id="167" w:name="_Toc184312114"/>
      <w:bookmarkEnd w:id="167"/>
      <w:bookmarkStart w:id="168" w:name="_Toc184314419"/>
      <w:bookmarkEnd w:id="168"/>
      <w:bookmarkStart w:id="169" w:name="_Toc184314452"/>
      <w:bookmarkEnd w:id="169"/>
      <w:bookmarkStart w:id="170" w:name="_Toc184312082"/>
      <w:bookmarkEnd w:id="170"/>
      <w:bookmarkStart w:id="171" w:name="_Toc184312098"/>
      <w:bookmarkEnd w:id="171"/>
      <w:bookmarkStart w:id="172" w:name="_Toc184308062"/>
      <w:bookmarkEnd w:id="172"/>
      <w:bookmarkStart w:id="173" w:name="_Toc184310329"/>
      <w:bookmarkEnd w:id="173"/>
      <w:bookmarkStart w:id="174" w:name="_Toc184313241"/>
      <w:bookmarkEnd w:id="174"/>
      <w:bookmarkStart w:id="175" w:name="_Toc184312074"/>
      <w:bookmarkEnd w:id="175"/>
      <w:bookmarkStart w:id="176" w:name="_Toc184314416"/>
      <w:bookmarkEnd w:id="176"/>
      <w:bookmarkStart w:id="177" w:name="_Toc184310332"/>
      <w:bookmarkEnd w:id="177"/>
      <w:bookmarkStart w:id="178" w:name="_Toc184312106"/>
      <w:bookmarkEnd w:id="178"/>
      <w:bookmarkStart w:id="179" w:name="_Toc184314457"/>
      <w:bookmarkEnd w:id="179"/>
      <w:bookmarkStart w:id="180" w:name="_Toc184308075"/>
      <w:bookmarkEnd w:id="180"/>
      <w:bookmarkStart w:id="181" w:name="_Toc184314418"/>
      <w:bookmarkEnd w:id="181"/>
      <w:bookmarkStart w:id="182" w:name="_Toc184308067"/>
      <w:bookmarkEnd w:id="182"/>
      <w:bookmarkStart w:id="183" w:name="_Toc184312112"/>
      <w:bookmarkEnd w:id="183"/>
      <w:bookmarkStart w:id="184" w:name="_Toc184314448"/>
      <w:bookmarkEnd w:id="184"/>
      <w:bookmarkStart w:id="185" w:name="_Toc184314447"/>
      <w:bookmarkEnd w:id="185"/>
      <w:bookmarkStart w:id="186" w:name="_Toc184310336"/>
      <w:bookmarkEnd w:id="186"/>
      <w:bookmarkStart w:id="187" w:name="_Toc184308064"/>
      <w:bookmarkEnd w:id="187"/>
      <w:bookmarkStart w:id="188" w:name="_Toc184308065"/>
      <w:bookmarkEnd w:id="188"/>
      <w:bookmarkStart w:id="189" w:name="_Toc184312068"/>
      <w:bookmarkEnd w:id="189"/>
      <w:bookmarkStart w:id="190" w:name="_Toc184314426"/>
      <w:bookmarkEnd w:id="190"/>
      <w:bookmarkStart w:id="191" w:name="_Toc184313278"/>
      <w:bookmarkEnd w:id="191"/>
      <w:bookmarkStart w:id="192" w:name="_Toc184314431"/>
      <w:bookmarkEnd w:id="192"/>
      <w:bookmarkStart w:id="193" w:name="_Toc184312117"/>
      <w:bookmarkEnd w:id="193"/>
      <w:bookmarkStart w:id="194" w:name="_Toc184314436"/>
      <w:bookmarkEnd w:id="194"/>
      <w:bookmarkStart w:id="195" w:name="_Toc184313303"/>
      <w:bookmarkEnd w:id="195"/>
      <w:bookmarkStart w:id="196" w:name="_Toc184308057"/>
      <w:bookmarkEnd w:id="196"/>
      <w:bookmarkStart w:id="197" w:name="_Toc184310317"/>
      <w:bookmarkEnd w:id="197"/>
      <w:bookmarkStart w:id="198" w:name="_Toc184312084"/>
      <w:bookmarkEnd w:id="198"/>
      <w:bookmarkStart w:id="199" w:name="_Toc184314464"/>
      <w:bookmarkEnd w:id="199"/>
      <w:bookmarkStart w:id="200" w:name="_Toc184312069"/>
      <w:bookmarkEnd w:id="200"/>
      <w:bookmarkStart w:id="201" w:name="_Toc184310322"/>
      <w:bookmarkEnd w:id="201"/>
      <w:bookmarkStart w:id="202" w:name="_Toc184308047"/>
      <w:bookmarkEnd w:id="202"/>
      <w:bookmarkStart w:id="203" w:name="_Toc184310275"/>
      <w:bookmarkEnd w:id="203"/>
      <w:bookmarkStart w:id="204" w:name="_Toc184314475"/>
      <w:bookmarkEnd w:id="204"/>
      <w:bookmarkStart w:id="205" w:name="_Toc184310282"/>
      <w:bookmarkEnd w:id="205"/>
      <w:bookmarkStart w:id="206" w:name="_Toc184312105"/>
      <w:bookmarkEnd w:id="206"/>
      <w:bookmarkStart w:id="207" w:name="_Toc184313254"/>
      <w:bookmarkEnd w:id="207"/>
      <w:bookmarkStart w:id="208" w:name="_Toc184313284"/>
      <w:bookmarkEnd w:id="208"/>
      <w:bookmarkStart w:id="209" w:name="_Toc184308058"/>
      <w:bookmarkEnd w:id="209"/>
      <w:bookmarkStart w:id="210" w:name="_Toc184310280"/>
      <w:bookmarkEnd w:id="210"/>
      <w:bookmarkStart w:id="211" w:name="_Toc184310296"/>
      <w:bookmarkEnd w:id="211"/>
      <w:bookmarkStart w:id="212" w:name="_Toc184313280"/>
      <w:bookmarkEnd w:id="212"/>
      <w:bookmarkStart w:id="213" w:name="_Toc184308107"/>
      <w:bookmarkEnd w:id="213"/>
      <w:bookmarkStart w:id="214" w:name="_Toc184312095"/>
      <w:bookmarkEnd w:id="214"/>
      <w:bookmarkStart w:id="215" w:name="_Toc184310341"/>
      <w:bookmarkEnd w:id="215"/>
      <w:bookmarkStart w:id="216" w:name="_Toc184314473"/>
      <w:bookmarkEnd w:id="216"/>
      <w:bookmarkStart w:id="217" w:name="_Toc184314455"/>
      <w:bookmarkEnd w:id="217"/>
      <w:bookmarkStart w:id="218" w:name="_Toc184314479"/>
      <w:bookmarkEnd w:id="218"/>
      <w:bookmarkStart w:id="219" w:name="_Toc184312116"/>
      <w:bookmarkEnd w:id="219"/>
      <w:bookmarkStart w:id="220" w:name="_Toc184314430"/>
      <w:bookmarkEnd w:id="220"/>
      <w:bookmarkStart w:id="221" w:name="_Toc184314439"/>
      <w:bookmarkEnd w:id="221"/>
      <w:bookmarkStart w:id="222" w:name="_Toc184313310"/>
      <w:bookmarkEnd w:id="222"/>
      <w:bookmarkStart w:id="223" w:name="_Toc184308074"/>
      <w:bookmarkEnd w:id="223"/>
      <w:bookmarkStart w:id="224" w:name="_Toc184312108"/>
      <w:bookmarkEnd w:id="224"/>
      <w:bookmarkStart w:id="225" w:name="_Toc184308055"/>
      <w:bookmarkEnd w:id="225"/>
      <w:bookmarkStart w:id="226" w:name="_Toc184312086"/>
      <w:bookmarkEnd w:id="226"/>
      <w:bookmarkStart w:id="227" w:name="_Toc184313306"/>
      <w:bookmarkEnd w:id="227"/>
      <w:bookmarkStart w:id="228" w:name="_Toc184314446"/>
      <w:bookmarkEnd w:id="228"/>
      <w:bookmarkStart w:id="229" w:name="_Toc184310293"/>
      <w:bookmarkEnd w:id="229"/>
      <w:bookmarkStart w:id="230" w:name="_Toc184314428"/>
      <w:bookmarkEnd w:id="230"/>
      <w:bookmarkStart w:id="231" w:name="_Toc184310301"/>
      <w:bookmarkEnd w:id="231"/>
      <w:bookmarkStart w:id="232" w:name="_Toc184313259"/>
      <w:bookmarkEnd w:id="232"/>
      <w:bookmarkStart w:id="233" w:name="_Toc184310281"/>
      <w:bookmarkEnd w:id="233"/>
      <w:bookmarkStart w:id="234" w:name="_Toc184313275"/>
      <w:bookmarkEnd w:id="234"/>
      <w:bookmarkStart w:id="235" w:name="_Toc184314443"/>
      <w:bookmarkEnd w:id="235"/>
      <w:bookmarkStart w:id="236" w:name="_Toc184310298"/>
      <w:bookmarkEnd w:id="236"/>
      <w:bookmarkStart w:id="237" w:name="_Toc184308079"/>
      <w:bookmarkEnd w:id="237"/>
      <w:bookmarkStart w:id="238" w:name="_Toc184312103"/>
      <w:bookmarkEnd w:id="238"/>
      <w:bookmarkStart w:id="239" w:name="_Toc184313262"/>
      <w:bookmarkEnd w:id="239"/>
      <w:bookmarkStart w:id="240" w:name="_Toc184314459"/>
      <w:bookmarkEnd w:id="240"/>
      <w:bookmarkStart w:id="241" w:name="_Toc184308039"/>
      <w:bookmarkEnd w:id="241"/>
      <w:bookmarkStart w:id="242" w:name="_Toc184312083"/>
      <w:bookmarkEnd w:id="242"/>
      <w:bookmarkStart w:id="243" w:name="_Toc184308093"/>
      <w:bookmarkEnd w:id="243"/>
      <w:bookmarkStart w:id="244" w:name="_Toc184310273"/>
      <w:bookmarkEnd w:id="244"/>
      <w:bookmarkStart w:id="245" w:name="_Toc184312094"/>
      <w:bookmarkEnd w:id="245"/>
      <w:bookmarkStart w:id="246" w:name="_Toc184313251"/>
      <w:bookmarkEnd w:id="246"/>
      <w:bookmarkStart w:id="247" w:name="_Toc184314466"/>
      <w:bookmarkEnd w:id="247"/>
      <w:bookmarkStart w:id="248" w:name="_Toc184314461"/>
      <w:bookmarkEnd w:id="248"/>
      <w:bookmarkStart w:id="249" w:name="_Toc184314462"/>
      <w:bookmarkEnd w:id="249"/>
      <w:bookmarkStart w:id="250" w:name="_Toc184308086"/>
      <w:bookmarkEnd w:id="250"/>
      <w:bookmarkStart w:id="251" w:name="_Toc184314434"/>
      <w:bookmarkEnd w:id="251"/>
      <w:bookmarkStart w:id="252" w:name="_Toc184313253"/>
      <w:bookmarkEnd w:id="252"/>
      <w:bookmarkStart w:id="253" w:name="_Toc184313273"/>
      <w:bookmarkEnd w:id="253"/>
      <w:bookmarkStart w:id="254" w:name="_Toc184313268"/>
      <w:bookmarkEnd w:id="254"/>
      <w:bookmarkStart w:id="255" w:name="_Toc184310328"/>
      <w:bookmarkEnd w:id="255"/>
      <w:bookmarkStart w:id="256" w:name="_Toc184312081"/>
      <w:bookmarkEnd w:id="256"/>
      <w:bookmarkStart w:id="257" w:name="_Toc184312079"/>
      <w:bookmarkEnd w:id="257"/>
      <w:bookmarkStart w:id="258" w:name="_Toc184312087"/>
      <w:bookmarkEnd w:id="258"/>
      <w:bookmarkStart w:id="259" w:name="_Toc184312118"/>
      <w:bookmarkEnd w:id="259"/>
      <w:bookmarkStart w:id="260" w:name="_Toc184314410"/>
      <w:bookmarkEnd w:id="260"/>
      <w:bookmarkStart w:id="261" w:name="_Toc184310327"/>
      <w:bookmarkEnd w:id="261"/>
      <w:bookmarkStart w:id="262" w:name="_Toc184313301"/>
      <w:bookmarkEnd w:id="262"/>
      <w:bookmarkStart w:id="263" w:name="_Toc184312100"/>
      <w:bookmarkEnd w:id="263"/>
      <w:bookmarkStart w:id="264" w:name="_Toc184313289"/>
      <w:bookmarkEnd w:id="264"/>
      <w:bookmarkStart w:id="265" w:name="_Toc184312070"/>
      <w:bookmarkEnd w:id="265"/>
      <w:bookmarkStart w:id="266" w:name="_Toc184314444"/>
      <w:bookmarkEnd w:id="266"/>
      <w:bookmarkStart w:id="267" w:name="_Toc184310324"/>
      <w:bookmarkEnd w:id="267"/>
      <w:bookmarkStart w:id="268" w:name="_Toc184308084"/>
      <w:bookmarkEnd w:id="268"/>
      <w:bookmarkStart w:id="269" w:name="_Toc184308066"/>
      <w:bookmarkEnd w:id="269"/>
      <w:bookmarkStart w:id="270" w:name="_Toc184312126"/>
      <w:bookmarkEnd w:id="270"/>
      <w:bookmarkStart w:id="271" w:name="_Toc184313266"/>
      <w:bookmarkEnd w:id="271"/>
      <w:bookmarkStart w:id="272" w:name="_Toc184312135"/>
      <w:bookmarkEnd w:id="272"/>
      <w:bookmarkStart w:id="273" w:name="_Toc184310289"/>
      <w:bookmarkEnd w:id="273"/>
      <w:bookmarkStart w:id="274" w:name="_Toc184308053"/>
      <w:bookmarkEnd w:id="274"/>
      <w:bookmarkStart w:id="275" w:name="_Toc184313264"/>
      <w:bookmarkEnd w:id="275"/>
      <w:bookmarkStart w:id="276" w:name="_Toc184314429"/>
      <w:bookmarkEnd w:id="276"/>
      <w:bookmarkStart w:id="277" w:name="_Toc184308040"/>
      <w:bookmarkEnd w:id="277"/>
      <w:bookmarkStart w:id="278" w:name="_Toc184314460"/>
      <w:bookmarkEnd w:id="278"/>
      <w:bookmarkStart w:id="279" w:name="_Toc184314441"/>
      <w:bookmarkEnd w:id="279"/>
      <w:bookmarkStart w:id="280" w:name="_Toc184308056"/>
      <w:bookmarkEnd w:id="280"/>
      <w:bookmarkStart w:id="281" w:name="_Toc184308078"/>
      <w:bookmarkEnd w:id="281"/>
      <w:bookmarkStart w:id="282" w:name="_Toc184314420"/>
      <w:bookmarkEnd w:id="282"/>
      <w:bookmarkStart w:id="283" w:name="_Toc184314465"/>
      <w:bookmarkEnd w:id="283"/>
      <w:bookmarkStart w:id="284" w:name="_Toc184308108"/>
      <w:bookmarkEnd w:id="284"/>
      <w:bookmarkStart w:id="285" w:name="_Toc184314440"/>
      <w:bookmarkEnd w:id="285"/>
      <w:bookmarkStart w:id="286" w:name="_Toc184312137"/>
      <w:bookmarkEnd w:id="286"/>
      <w:bookmarkStart w:id="287" w:name="_Toc184313293"/>
      <w:bookmarkEnd w:id="287"/>
      <w:bookmarkStart w:id="288" w:name="_Toc184308101"/>
      <w:bookmarkEnd w:id="288"/>
      <w:bookmarkStart w:id="289" w:name="_Toc184312138"/>
      <w:bookmarkEnd w:id="289"/>
      <w:bookmarkStart w:id="290" w:name="_Toc184310284"/>
      <w:bookmarkEnd w:id="290"/>
      <w:bookmarkStart w:id="291" w:name="_Toc184312136"/>
      <w:bookmarkEnd w:id="291"/>
      <w:bookmarkStart w:id="292" w:name="_Toc184312097"/>
      <w:bookmarkEnd w:id="292"/>
      <w:bookmarkStart w:id="293" w:name="_Toc184314456"/>
      <w:bookmarkEnd w:id="293"/>
      <w:bookmarkStart w:id="294" w:name="_Toc184314438"/>
      <w:bookmarkEnd w:id="294"/>
      <w:bookmarkStart w:id="295" w:name="_Toc184312099"/>
      <w:bookmarkEnd w:id="295"/>
      <w:bookmarkStart w:id="296" w:name="_Toc184314478"/>
      <w:bookmarkEnd w:id="296"/>
      <w:bookmarkStart w:id="297" w:name="_Toc184308102"/>
      <w:bookmarkEnd w:id="297"/>
      <w:bookmarkStart w:id="298" w:name="_Toc184312104"/>
      <w:bookmarkEnd w:id="298"/>
      <w:bookmarkStart w:id="299" w:name="_Toc184312115"/>
      <w:bookmarkEnd w:id="299"/>
      <w:bookmarkStart w:id="300" w:name="_Toc184313292"/>
      <w:bookmarkEnd w:id="300"/>
      <w:bookmarkStart w:id="301" w:name="_Toc184308100"/>
      <w:bookmarkEnd w:id="301"/>
      <w:bookmarkStart w:id="302" w:name="_Toc184313307"/>
      <w:bookmarkEnd w:id="302"/>
      <w:bookmarkStart w:id="303" w:name="_Toc184310319"/>
      <w:bookmarkEnd w:id="303"/>
      <w:bookmarkStart w:id="304" w:name="_Toc184312131"/>
      <w:bookmarkEnd w:id="304"/>
      <w:bookmarkStart w:id="305" w:name="_Toc184308048"/>
      <w:bookmarkEnd w:id="305"/>
      <w:bookmarkStart w:id="306" w:name="_Toc184312119"/>
      <w:bookmarkEnd w:id="306"/>
      <w:bookmarkStart w:id="307" w:name="_Toc184312139"/>
      <w:bookmarkEnd w:id="307"/>
      <w:bookmarkStart w:id="308" w:name="_Toc184312096"/>
      <w:bookmarkEnd w:id="308"/>
      <w:bookmarkStart w:id="309" w:name="_Toc184313308"/>
      <w:bookmarkEnd w:id="309"/>
      <w:bookmarkStart w:id="310" w:name="_Toc184310307"/>
      <w:bookmarkEnd w:id="310"/>
      <w:bookmarkStart w:id="311" w:name="_Toc184314482"/>
      <w:bookmarkEnd w:id="311"/>
      <w:bookmarkStart w:id="312" w:name="_Toc184308038"/>
      <w:bookmarkEnd w:id="312"/>
      <w:bookmarkStart w:id="313" w:name="_Toc184308072"/>
      <w:bookmarkEnd w:id="313"/>
      <w:bookmarkStart w:id="314" w:name="_Toc184310303"/>
      <w:bookmarkEnd w:id="314"/>
      <w:bookmarkStart w:id="315" w:name="_Toc184310305"/>
      <w:bookmarkEnd w:id="315"/>
      <w:bookmarkStart w:id="316" w:name="_Toc184313244"/>
      <w:bookmarkEnd w:id="316"/>
      <w:bookmarkStart w:id="317" w:name="_Toc184308051"/>
      <w:bookmarkEnd w:id="317"/>
      <w:bookmarkStart w:id="318" w:name="_Toc184310343"/>
      <w:bookmarkEnd w:id="318"/>
      <w:bookmarkStart w:id="319" w:name="_Toc184308087"/>
      <w:bookmarkEnd w:id="319"/>
      <w:bookmarkStart w:id="320" w:name="_Toc184312072"/>
      <w:bookmarkEnd w:id="320"/>
      <w:bookmarkStart w:id="321" w:name="_Toc184310323"/>
      <w:bookmarkEnd w:id="321"/>
      <w:bookmarkStart w:id="322" w:name="_Toc184312113"/>
      <w:bookmarkEnd w:id="322"/>
      <w:bookmarkStart w:id="323" w:name="_Toc184313267"/>
      <w:bookmarkEnd w:id="323"/>
      <w:bookmarkStart w:id="324" w:name="_Toc184313269"/>
      <w:bookmarkEnd w:id="324"/>
      <w:bookmarkStart w:id="325" w:name="_Toc184308069"/>
      <w:bookmarkEnd w:id="325"/>
      <w:bookmarkStart w:id="326" w:name="_Toc184310297"/>
      <w:bookmarkEnd w:id="326"/>
      <w:bookmarkStart w:id="327" w:name="_Toc184314480"/>
      <w:bookmarkEnd w:id="327"/>
      <w:bookmarkStart w:id="328" w:name="_Toc184310342"/>
      <w:bookmarkEnd w:id="328"/>
      <w:bookmarkStart w:id="329" w:name="_Toc184308070"/>
      <w:bookmarkEnd w:id="329"/>
      <w:bookmarkStart w:id="330" w:name="_Toc184313249"/>
      <w:bookmarkEnd w:id="330"/>
      <w:bookmarkStart w:id="331" w:name="_Toc184310286"/>
      <w:bookmarkEnd w:id="331"/>
      <w:bookmarkStart w:id="332" w:name="_Toc184313283"/>
      <w:bookmarkEnd w:id="332"/>
      <w:bookmarkStart w:id="333" w:name="_Toc184310306"/>
      <w:bookmarkEnd w:id="333"/>
      <w:bookmarkStart w:id="334" w:name="_Toc184313255"/>
      <w:bookmarkEnd w:id="334"/>
      <w:bookmarkStart w:id="335" w:name="_Toc184313246"/>
      <w:bookmarkEnd w:id="335"/>
      <w:bookmarkStart w:id="336" w:name="_Toc184310311"/>
      <w:bookmarkEnd w:id="336"/>
      <w:bookmarkStart w:id="337" w:name="_Toc184313302"/>
      <w:bookmarkEnd w:id="337"/>
      <w:bookmarkStart w:id="338" w:name="_Toc184310316"/>
      <w:bookmarkEnd w:id="338"/>
      <w:bookmarkStart w:id="339" w:name="_Toc184310315"/>
      <w:bookmarkEnd w:id="339"/>
      <w:bookmarkStart w:id="340" w:name="_Toc184312102"/>
      <w:bookmarkEnd w:id="340"/>
      <w:bookmarkStart w:id="341" w:name="_Toc184308041"/>
      <w:bookmarkEnd w:id="341"/>
      <w:bookmarkStart w:id="342" w:name="_Toc184308082"/>
      <w:bookmarkEnd w:id="342"/>
      <w:bookmarkStart w:id="343" w:name="_Toc184313239"/>
      <w:bookmarkEnd w:id="343"/>
      <w:bookmarkStart w:id="344" w:name="_Toc184310300"/>
      <w:bookmarkEnd w:id="344"/>
      <w:bookmarkStart w:id="345" w:name="_Toc184310310"/>
      <w:bookmarkEnd w:id="345"/>
      <w:bookmarkStart w:id="346" w:name="_Toc184312088"/>
      <w:bookmarkEnd w:id="346"/>
      <w:bookmarkStart w:id="347" w:name="_Toc184312089"/>
      <w:bookmarkEnd w:id="347"/>
      <w:bookmarkStart w:id="348" w:name="_Toc184313271"/>
      <w:bookmarkEnd w:id="348"/>
      <w:bookmarkStart w:id="349" w:name="_Toc184308105"/>
      <w:bookmarkEnd w:id="349"/>
      <w:bookmarkStart w:id="350" w:name="_Toc184308083"/>
      <w:bookmarkEnd w:id="350"/>
      <w:bookmarkStart w:id="351" w:name="_Toc184314453"/>
      <w:bookmarkEnd w:id="351"/>
      <w:bookmarkStart w:id="352" w:name="_Toc184313281"/>
      <w:bookmarkEnd w:id="352"/>
      <w:bookmarkStart w:id="353" w:name="_Toc184310337"/>
      <w:bookmarkEnd w:id="353"/>
      <w:bookmarkStart w:id="354" w:name="_Toc184310308"/>
      <w:bookmarkEnd w:id="354"/>
      <w:bookmarkStart w:id="355" w:name="_Toc184313282"/>
      <w:bookmarkEnd w:id="355"/>
      <w:bookmarkStart w:id="356" w:name="_Toc184314445"/>
      <w:bookmarkEnd w:id="356"/>
      <w:bookmarkStart w:id="357" w:name="_Toc184313258"/>
      <w:bookmarkEnd w:id="357"/>
      <w:bookmarkStart w:id="358" w:name="_Toc184312077"/>
      <w:bookmarkEnd w:id="358"/>
      <w:bookmarkStart w:id="359" w:name="_Toc184313295"/>
      <w:bookmarkEnd w:id="359"/>
      <w:bookmarkStart w:id="360" w:name="_Toc184310274"/>
      <w:bookmarkEnd w:id="360"/>
      <w:bookmarkStart w:id="361" w:name="_Toc184314422"/>
      <w:bookmarkEnd w:id="361"/>
      <w:bookmarkStart w:id="362" w:name="_Toc184312101"/>
      <w:bookmarkEnd w:id="362"/>
      <w:bookmarkStart w:id="363" w:name="_Toc184314442"/>
      <w:bookmarkEnd w:id="363"/>
      <w:bookmarkStart w:id="364" w:name="_Toc184312073"/>
      <w:bookmarkEnd w:id="364"/>
      <w:bookmarkStart w:id="365" w:name="_Toc184313272"/>
      <w:bookmarkEnd w:id="365"/>
      <w:bookmarkStart w:id="366" w:name="_Toc184313270"/>
      <w:bookmarkEnd w:id="366"/>
      <w:bookmarkStart w:id="367" w:name="_Toc184313238"/>
      <w:bookmarkEnd w:id="367"/>
      <w:bookmarkStart w:id="368" w:name="_Toc184310309"/>
      <w:bookmarkEnd w:id="368"/>
      <w:bookmarkStart w:id="369" w:name="_Toc184314414"/>
      <w:bookmarkEnd w:id="369"/>
      <w:bookmarkStart w:id="370" w:name="_Toc184310283"/>
      <w:bookmarkEnd w:id="370"/>
      <w:bookmarkStart w:id="371" w:name="_Toc184313260"/>
      <w:bookmarkEnd w:id="371"/>
      <w:bookmarkStart w:id="372" w:name="_Toc184313240"/>
      <w:bookmarkEnd w:id="372"/>
      <w:bookmarkStart w:id="373" w:name="_Toc184313276"/>
      <w:bookmarkEnd w:id="373"/>
      <w:bookmarkStart w:id="374" w:name="_Toc184310302"/>
      <w:bookmarkEnd w:id="374"/>
      <w:bookmarkStart w:id="375" w:name="_Toc184313279"/>
      <w:bookmarkEnd w:id="375"/>
      <w:bookmarkStart w:id="376" w:name="_Toc184310285"/>
      <w:bookmarkEnd w:id="376"/>
      <w:bookmarkStart w:id="377" w:name="_Toc184313257"/>
      <w:bookmarkEnd w:id="377"/>
      <w:bookmarkStart w:id="378" w:name="_Toc184308050"/>
      <w:bookmarkEnd w:id="378"/>
      <w:bookmarkStart w:id="379" w:name="_Toc184310279"/>
      <w:bookmarkEnd w:id="379"/>
      <w:bookmarkStart w:id="380" w:name="_Toc184312130"/>
      <w:bookmarkEnd w:id="380"/>
      <w:bookmarkStart w:id="381" w:name="_Toc184313291"/>
      <w:bookmarkEnd w:id="381"/>
      <w:bookmarkStart w:id="382" w:name="_Toc184310344"/>
      <w:bookmarkEnd w:id="382"/>
      <w:bookmarkStart w:id="383" w:name="_Toc184314472"/>
      <w:bookmarkEnd w:id="383"/>
      <w:bookmarkStart w:id="384" w:name="_Toc184313247"/>
      <w:bookmarkEnd w:id="384"/>
      <w:bookmarkStart w:id="385" w:name="_Toc184308052"/>
      <w:bookmarkEnd w:id="385"/>
      <w:bookmarkStart w:id="386" w:name="_Toc184310339"/>
      <w:bookmarkEnd w:id="386"/>
      <w:bookmarkStart w:id="387" w:name="_Toc184308080"/>
      <w:bookmarkEnd w:id="387"/>
      <w:bookmarkStart w:id="388" w:name="_Toc184312078"/>
      <w:bookmarkEnd w:id="388"/>
      <w:bookmarkStart w:id="389" w:name="_Toc184314471"/>
      <w:bookmarkEnd w:id="389"/>
      <w:bookmarkStart w:id="390" w:name="_Toc184308071"/>
      <w:bookmarkEnd w:id="390"/>
      <w:bookmarkStart w:id="391" w:name="_Toc184313297"/>
      <w:bookmarkEnd w:id="391"/>
      <w:r>
        <w:rPr>
          <w:rFonts w:hint="eastAsia" w:ascii="仿宋" w:hAnsi="仿宋" w:eastAsia="仿宋" w:cs="仿宋_GB2312"/>
          <w:b/>
          <w:color w:val="auto"/>
          <w:sz w:val="36"/>
          <w:szCs w:val="36"/>
          <w:highlight w:val="none"/>
        </w:rPr>
        <w:t>评标办法</w:t>
      </w:r>
    </w:p>
    <w:p>
      <w:pPr>
        <w:snapToGrid w:val="0"/>
        <w:spacing w:line="360" w:lineRule="auto"/>
        <w:jc w:val="center"/>
        <w:rPr>
          <w:rFonts w:hint="eastAsia" w:ascii="仿宋" w:hAnsi="仿宋" w:eastAsia="仿宋" w:cs="仿宋_GB2312"/>
          <w:b/>
          <w:color w:val="auto"/>
          <w:sz w:val="32"/>
          <w:szCs w:val="20"/>
          <w:highlight w:val="none"/>
        </w:rPr>
      </w:pPr>
      <w:r>
        <w:rPr>
          <w:rFonts w:hint="eastAsia" w:ascii="仿宋" w:hAnsi="仿宋" w:eastAsia="仿宋" w:cs="仿宋_GB2312"/>
          <w:b/>
          <w:color w:val="auto"/>
          <w:sz w:val="32"/>
          <w:szCs w:val="20"/>
          <w:highlight w:val="none"/>
        </w:rPr>
        <w:t>评标办法前附表</w:t>
      </w:r>
    </w:p>
    <w:tbl>
      <w:tblPr>
        <w:tblStyle w:val="62"/>
        <w:tblW w:w="52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42"/>
        <w:gridCol w:w="5333"/>
        <w:gridCol w:w="9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370" w:type="pct"/>
            <w:vAlign w:val="center"/>
          </w:tcPr>
          <w:p>
            <w:pPr>
              <w:spacing w:line="360" w:lineRule="auto"/>
              <w:jc w:val="center"/>
              <w:outlineLvl w:val="0"/>
              <w:rPr>
                <w:rFonts w:ascii="仿宋" w:hAnsi="仿宋" w:eastAsia="仿宋" w:cs="仿宋_GB2312"/>
                <w:bCs/>
                <w:color w:val="auto"/>
                <w:sz w:val="24"/>
                <w:highlight w:val="none"/>
              </w:rPr>
            </w:pPr>
            <w:r>
              <w:rPr>
                <w:rFonts w:hint="eastAsia" w:ascii="仿宋" w:hAnsi="仿宋" w:eastAsia="仿宋" w:cs="仿宋_GB2312"/>
                <w:bCs/>
                <w:color w:val="auto"/>
                <w:sz w:val="24"/>
                <w:highlight w:val="none"/>
              </w:rPr>
              <w:t>序号</w:t>
            </w:r>
          </w:p>
        </w:tc>
        <w:tc>
          <w:tcPr>
            <w:tcW w:w="3179" w:type="pct"/>
            <w:gridSpan w:val="2"/>
            <w:vAlign w:val="center"/>
          </w:tcPr>
          <w:p>
            <w:pPr>
              <w:spacing w:line="360" w:lineRule="auto"/>
              <w:ind w:firstLine="1560" w:firstLineChars="650"/>
              <w:outlineLvl w:val="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评标标准</w:t>
            </w:r>
          </w:p>
        </w:tc>
        <w:tc>
          <w:tcPr>
            <w:tcW w:w="494" w:type="pct"/>
            <w:vAlign w:val="center"/>
          </w:tcPr>
          <w:p>
            <w:pPr>
              <w:spacing w:line="360" w:lineRule="auto"/>
              <w:jc w:val="center"/>
              <w:outlineLvl w:val="0"/>
              <w:rPr>
                <w:rFonts w:ascii="仿宋" w:hAnsi="仿宋" w:eastAsia="仿宋" w:cs="仿宋_GB2312"/>
                <w:bCs/>
                <w:color w:val="auto"/>
                <w:sz w:val="21"/>
                <w:szCs w:val="21"/>
                <w:highlight w:val="none"/>
              </w:rPr>
            </w:pPr>
            <w:r>
              <w:rPr>
                <w:rFonts w:hint="eastAsia" w:ascii="仿宋" w:hAnsi="仿宋" w:eastAsia="仿宋" w:cs="仿宋_GB2312"/>
                <w:bCs/>
                <w:color w:val="auto"/>
                <w:sz w:val="21"/>
                <w:szCs w:val="21"/>
                <w:highlight w:val="none"/>
              </w:rPr>
              <w:t>权重</w:t>
            </w:r>
          </w:p>
        </w:tc>
        <w:tc>
          <w:tcPr>
            <w:tcW w:w="954" w:type="pct"/>
          </w:tcPr>
          <w:p>
            <w:pPr>
              <w:spacing w:line="360" w:lineRule="auto"/>
              <w:outlineLvl w:val="0"/>
              <w:rPr>
                <w:rFonts w:ascii="仿宋" w:hAnsi="仿宋" w:eastAsia="仿宋" w:cs="仿宋_GB2312"/>
                <w:bCs/>
                <w:color w:val="auto"/>
                <w:sz w:val="24"/>
                <w:highlight w:val="none"/>
              </w:rPr>
            </w:pPr>
            <w:r>
              <w:rPr>
                <w:rFonts w:hint="eastAsia" w:ascii="仿宋" w:hAnsi="仿宋" w:eastAsia="仿宋" w:cs="仿宋_GB2312"/>
                <w:bCs/>
                <w:color w:val="auto"/>
                <w:sz w:val="24"/>
                <w:highlight w:val="none"/>
              </w:rPr>
              <w:t>投标文件中评标标准相应的商务技术资料目录</w:t>
            </w:r>
            <w:r>
              <w:rPr>
                <w:rFonts w:ascii="Arial" w:hAnsi="Arial" w:cs="Arial"/>
                <w:color w:val="auto"/>
                <w:sz w:val="20"/>
                <w:szCs w:val="20"/>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370" w:type="pct"/>
            <w:vAlign w:val="center"/>
          </w:tcPr>
          <w:p>
            <w:pPr>
              <w:spacing w:line="3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1</w:t>
            </w:r>
          </w:p>
        </w:tc>
        <w:tc>
          <w:tcPr>
            <w:tcW w:w="3179" w:type="pct"/>
            <w:gridSpan w:val="2"/>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管理体系认证</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0-4</w:t>
            </w:r>
            <w:r>
              <w:rPr>
                <w:rFonts w:hint="eastAsia" w:ascii="仿宋" w:hAnsi="仿宋" w:eastAsia="仿宋" w:cs="仿宋"/>
                <w:b/>
                <w:bCs/>
                <w:color w:val="auto"/>
                <w:sz w:val="24"/>
                <w:highlight w:val="none"/>
              </w:rPr>
              <w:t>分）</w:t>
            </w:r>
            <w:r>
              <w:rPr>
                <w:rFonts w:hint="eastAsia" w:ascii="仿宋" w:hAnsi="仿宋" w:eastAsia="仿宋" w:cs="仿宋"/>
                <w:color w:val="auto"/>
                <w:sz w:val="24"/>
                <w:highlight w:val="none"/>
              </w:rPr>
              <w:t>。供应商具有有效的质量管理体系认证的得</w:t>
            </w:r>
            <w:r>
              <w:rPr>
                <w:rFonts w:ascii="仿宋" w:hAnsi="仿宋" w:eastAsia="仿宋" w:cs="仿宋"/>
                <w:color w:val="auto"/>
                <w:sz w:val="24"/>
                <w:highlight w:val="none"/>
              </w:rPr>
              <w:t>1</w:t>
            </w:r>
            <w:r>
              <w:rPr>
                <w:rFonts w:hint="eastAsia" w:ascii="仿宋" w:hAnsi="仿宋" w:eastAsia="仿宋" w:cs="仿宋"/>
                <w:color w:val="auto"/>
                <w:sz w:val="24"/>
                <w:highlight w:val="none"/>
              </w:rPr>
              <w:t>分，环境管理体系认证的得</w:t>
            </w:r>
            <w:r>
              <w:rPr>
                <w:rFonts w:ascii="仿宋" w:hAnsi="仿宋" w:eastAsia="仿宋" w:cs="仿宋"/>
                <w:color w:val="auto"/>
                <w:sz w:val="24"/>
                <w:highlight w:val="none"/>
              </w:rPr>
              <w:t>1</w:t>
            </w:r>
            <w:r>
              <w:rPr>
                <w:rFonts w:hint="eastAsia" w:ascii="仿宋" w:hAnsi="仿宋" w:eastAsia="仿宋" w:cs="仿宋"/>
                <w:color w:val="auto"/>
                <w:sz w:val="24"/>
                <w:highlight w:val="none"/>
              </w:rPr>
              <w:t>分，职业健康管理体系认证的得</w:t>
            </w:r>
            <w:r>
              <w:rPr>
                <w:rFonts w:ascii="仿宋" w:hAnsi="仿宋" w:eastAsia="仿宋" w:cs="仿宋"/>
                <w:color w:val="auto"/>
                <w:sz w:val="24"/>
                <w:highlight w:val="none"/>
              </w:rPr>
              <w:t>1</w:t>
            </w:r>
            <w:r>
              <w:rPr>
                <w:rFonts w:hint="eastAsia" w:ascii="仿宋" w:hAnsi="仿宋" w:eastAsia="仿宋" w:cs="仿宋"/>
                <w:color w:val="auto"/>
                <w:sz w:val="24"/>
                <w:highlight w:val="none"/>
              </w:rPr>
              <w:t>分，企业诚信管理体系认证的得</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hint="eastAsia" w:ascii="仿宋" w:hAnsi="仿宋" w:eastAsia="仿宋" w:cs="仿宋"/>
                <w:b/>
                <w:color w:val="auto"/>
                <w:sz w:val="24"/>
                <w:highlight w:val="none"/>
              </w:rPr>
              <w:t>投标文件中应提供证明材料扫描件，投标文件中未提供证明材料不得分。</w:t>
            </w:r>
          </w:p>
        </w:tc>
        <w:tc>
          <w:tcPr>
            <w:tcW w:w="494" w:type="pct"/>
            <w:vAlign w:val="center"/>
          </w:tcPr>
          <w:p>
            <w:pPr>
              <w:adjustRightInd w:val="0"/>
              <w:snapToGrid w:val="0"/>
              <w:spacing w:line="300" w:lineRule="auto"/>
              <w:jc w:val="center"/>
              <w:rPr>
                <w:rFonts w:ascii="仿宋" w:hAnsi="仿宋" w:eastAsia="仿宋" w:cs="仿宋"/>
                <w:color w:val="auto"/>
                <w:sz w:val="21"/>
                <w:szCs w:val="21"/>
                <w:highlight w:val="none"/>
              </w:rPr>
            </w:pPr>
            <w:r>
              <w:rPr>
                <w:rFonts w:ascii="仿宋" w:hAnsi="仿宋" w:eastAsia="仿宋" w:cs="仿宋"/>
                <w:color w:val="auto"/>
                <w:sz w:val="21"/>
                <w:szCs w:val="21"/>
                <w:highlight w:val="none"/>
              </w:rPr>
              <w:t>4</w:t>
            </w:r>
          </w:p>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（客观）</w:t>
            </w:r>
          </w:p>
        </w:tc>
        <w:tc>
          <w:tcPr>
            <w:tcW w:w="954" w:type="pct"/>
            <w:vAlign w:val="center"/>
          </w:tcPr>
          <w:p>
            <w:pPr>
              <w:widowControl/>
              <w:spacing w:line="360" w:lineRule="auto"/>
              <w:jc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微软雅黑"/>
                <w:color w:val="auto"/>
                <w:sz w:val="24"/>
                <w:highlight w:val="none"/>
              </w:rPr>
              <w:t>管理体系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70" w:type="pct"/>
            <w:vAlign w:val="center"/>
          </w:tcPr>
          <w:p>
            <w:pPr>
              <w:spacing w:line="3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2</w:t>
            </w:r>
          </w:p>
        </w:tc>
        <w:tc>
          <w:tcPr>
            <w:tcW w:w="3179" w:type="pct"/>
            <w:gridSpan w:val="2"/>
            <w:vAlign w:val="center"/>
          </w:tcPr>
          <w:p>
            <w:pPr>
              <w:spacing w:line="276"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投标人自</w:t>
            </w:r>
            <w:r>
              <w:rPr>
                <w:rFonts w:ascii="仿宋" w:hAnsi="仿宋" w:eastAsia="仿宋" w:cs="仿宋"/>
                <w:color w:val="auto"/>
                <w:sz w:val="24"/>
                <w:highlight w:val="none"/>
              </w:rPr>
              <w:t>201</w:t>
            </w:r>
            <w:r>
              <w:rPr>
                <w:rFonts w:hint="eastAsia" w:ascii="仿宋" w:hAnsi="仿宋" w:cs="仿宋"/>
                <w:color w:val="auto"/>
                <w:sz w:val="24"/>
                <w:highlight w:val="none"/>
                <w:lang w:val="en-US" w:eastAsia="zh-CN"/>
              </w:rPr>
              <w:t>9</w:t>
            </w:r>
            <w:r>
              <w:rPr>
                <w:rFonts w:hint="eastAsia" w:ascii="仿宋" w:hAnsi="仿宋" w:eastAsia="仿宋" w:cs="仿宋"/>
                <w:color w:val="auto"/>
                <w:sz w:val="24"/>
                <w:highlight w:val="none"/>
              </w:rPr>
              <w:t>年</w:t>
            </w:r>
            <w:r>
              <w:rPr>
                <w:rFonts w:ascii="仿宋" w:hAnsi="仿宋" w:eastAsia="仿宋" w:cs="仿宋"/>
                <w:color w:val="auto"/>
                <w:sz w:val="24"/>
                <w:highlight w:val="none"/>
              </w:rPr>
              <w:t>1</w:t>
            </w:r>
            <w:r>
              <w:rPr>
                <w:rFonts w:hint="eastAsia" w:ascii="仿宋" w:hAnsi="仿宋" w:eastAsia="仿宋" w:cs="仿宋"/>
                <w:color w:val="auto"/>
                <w:sz w:val="24"/>
                <w:highlight w:val="none"/>
              </w:rPr>
              <w:t>月至投标截止日，具有公厕保洁项目业绩，</w:t>
            </w:r>
            <w:r>
              <w:rPr>
                <w:rFonts w:ascii="仿宋" w:hAnsi="仿宋" w:eastAsia="仿宋" w:cs="仿宋"/>
                <w:color w:val="auto"/>
                <w:sz w:val="24"/>
                <w:highlight w:val="none"/>
              </w:rPr>
              <w:t>1</w:t>
            </w:r>
            <w:r>
              <w:rPr>
                <w:rFonts w:hint="eastAsia" w:ascii="仿宋" w:hAnsi="仿宋" w:eastAsia="仿宋" w:cs="仿宋"/>
                <w:color w:val="auto"/>
                <w:sz w:val="24"/>
                <w:highlight w:val="none"/>
              </w:rPr>
              <w:t>个合同得</w:t>
            </w:r>
            <w:r>
              <w:rPr>
                <w:rFonts w:hint="eastAsia" w:ascii="仿宋" w:hAnsi="仿宋" w:cs="仿宋"/>
                <w:color w:val="auto"/>
                <w:sz w:val="24"/>
                <w:highlight w:val="none"/>
                <w:lang w:val="en-US" w:eastAsia="zh-CN"/>
              </w:rPr>
              <w:t>0.5</w:t>
            </w:r>
            <w:r>
              <w:rPr>
                <w:rFonts w:hint="eastAsia" w:ascii="仿宋" w:hAnsi="仿宋" w:eastAsia="仿宋" w:cs="仿宋"/>
                <w:color w:val="auto"/>
                <w:sz w:val="24"/>
                <w:highlight w:val="none"/>
              </w:rPr>
              <w:t>分，最高得</w:t>
            </w:r>
            <w:r>
              <w:rPr>
                <w:rFonts w:hint="eastAsia" w:ascii="仿宋" w:hAnsi="仿宋" w:cs="仿宋"/>
                <w:color w:val="auto"/>
                <w:sz w:val="24"/>
                <w:highlight w:val="none"/>
                <w:lang w:val="en-US" w:eastAsia="zh-CN"/>
              </w:rPr>
              <w:t>1</w:t>
            </w:r>
            <w:r>
              <w:rPr>
                <w:rFonts w:hint="eastAsia" w:ascii="仿宋" w:hAnsi="仿宋" w:eastAsia="仿宋" w:cs="仿宋"/>
                <w:color w:val="auto"/>
                <w:sz w:val="24"/>
                <w:highlight w:val="none"/>
              </w:rPr>
              <w:t>分。（</w:t>
            </w:r>
            <w:r>
              <w:rPr>
                <w:rFonts w:ascii="仿宋" w:hAnsi="仿宋" w:eastAsia="仿宋" w:cs="仿宋"/>
                <w:color w:val="auto"/>
                <w:sz w:val="24"/>
                <w:highlight w:val="none"/>
              </w:rPr>
              <w:t>0</w:t>
            </w:r>
            <w:r>
              <w:rPr>
                <w:rFonts w:hint="eastAsia" w:ascii="仿宋" w:hAnsi="仿宋" w:eastAsia="仿宋" w:cs="仿宋"/>
                <w:color w:val="auto"/>
                <w:sz w:val="24"/>
                <w:highlight w:val="none"/>
              </w:rPr>
              <w:t>－</w:t>
            </w:r>
            <w:r>
              <w:rPr>
                <w:rFonts w:hint="eastAsia" w:ascii="仿宋" w:hAnsi="仿宋" w:cs="仿宋"/>
                <w:color w:val="auto"/>
                <w:sz w:val="24"/>
                <w:highlight w:val="none"/>
                <w:lang w:val="en-US" w:eastAsia="zh-CN"/>
              </w:rPr>
              <w:t>1</w:t>
            </w:r>
            <w:r>
              <w:rPr>
                <w:rFonts w:hint="eastAsia" w:ascii="仿宋" w:hAnsi="仿宋" w:eastAsia="仿宋" w:cs="仿宋"/>
                <w:color w:val="auto"/>
                <w:sz w:val="24"/>
                <w:highlight w:val="none"/>
              </w:rPr>
              <w:t>分）</w:t>
            </w:r>
          </w:p>
          <w:p>
            <w:pPr>
              <w:spacing w:line="27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color w:val="auto"/>
                <w:sz w:val="24"/>
                <w:highlight w:val="none"/>
              </w:rPr>
              <w:t>以合同签订时间为准，投标文件中应提供证明材料扫描件，投标文件中未提供证明材料扫描件不得分。</w:t>
            </w:r>
          </w:p>
        </w:tc>
        <w:tc>
          <w:tcPr>
            <w:tcW w:w="494" w:type="pct"/>
            <w:vAlign w:val="center"/>
          </w:tcPr>
          <w:p>
            <w:pPr>
              <w:autoSpaceDE w:val="0"/>
              <w:adjustRightInd w:val="0"/>
              <w:snapToGrid w:val="0"/>
              <w:spacing w:line="300" w:lineRule="auto"/>
              <w:jc w:val="center"/>
              <w:rPr>
                <w:rFonts w:hint="eastAsia" w:ascii="仿宋" w:hAnsi="仿宋" w:cs="仿宋"/>
                <w:bCs/>
                <w:color w:val="auto"/>
                <w:kern w:val="0"/>
                <w:sz w:val="21"/>
                <w:szCs w:val="21"/>
                <w:highlight w:val="none"/>
                <w:lang w:val="en-US" w:eastAsia="zh-CN"/>
              </w:rPr>
            </w:pPr>
            <w:r>
              <w:rPr>
                <w:rFonts w:hint="eastAsia" w:ascii="仿宋" w:hAnsi="仿宋" w:cs="仿宋"/>
                <w:bCs/>
                <w:color w:val="auto"/>
                <w:kern w:val="0"/>
                <w:sz w:val="21"/>
                <w:szCs w:val="21"/>
                <w:highlight w:val="none"/>
                <w:lang w:val="en-US" w:eastAsia="zh-CN"/>
              </w:rPr>
              <w:t>1</w:t>
            </w:r>
          </w:p>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color w:val="auto"/>
                <w:sz w:val="21"/>
                <w:szCs w:val="21"/>
                <w:highlight w:val="none"/>
              </w:rPr>
              <w:t>（客观）</w:t>
            </w:r>
          </w:p>
        </w:tc>
        <w:tc>
          <w:tcPr>
            <w:tcW w:w="954" w:type="pct"/>
            <w:vAlign w:val="center"/>
          </w:tcPr>
          <w:p>
            <w:pPr>
              <w:widowControl/>
              <w:spacing w:line="360" w:lineRule="auto"/>
              <w:jc w:val="center"/>
              <w:rPr>
                <w:rFonts w:hint="eastAsia" w:ascii="仿宋" w:hAnsi="仿宋" w:eastAsia="仿宋" w:cs="微软雅黑"/>
                <w:color w:val="auto"/>
                <w:kern w:val="2"/>
                <w:sz w:val="24"/>
                <w:szCs w:val="24"/>
                <w:highlight w:val="none"/>
                <w:lang w:val="en-US" w:eastAsia="zh-CN" w:bidi="ar-SA"/>
              </w:rPr>
            </w:pPr>
            <w:r>
              <w:rPr>
                <w:rFonts w:hint="eastAsia" w:ascii="仿宋" w:hAnsi="仿宋" w:eastAsia="仿宋" w:cs="微软雅黑"/>
                <w:color w:val="auto"/>
                <w:sz w:val="24"/>
                <w:highlight w:val="none"/>
              </w:rPr>
              <w:t>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70" w:type="pct"/>
            <w:vAlign w:val="center"/>
          </w:tcPr>
          <w:p>
            <w:pPr>
              <w:spacing w:line="340" w:lineRule="exact"/>
              <w:jc w:val="center"/>
              <w:rPr>
                <w:rFonts w:hint="default" w:ascii="仿宋" w:hAnsi="仿宋" w:eastAsia="仿宋" w:cs="仿宋"/>
                <w:color w:val="auto"/>
                <w:szCs w:val="21"/>
                <w:highlight w:val="none"/>
                <w:lang w:val="en-US" w:eastAsia="zh-CN"/>
              </w:rPr>
            </w:pPr>
            <w:r>
              <w:rPr>
                <w:rFonts w:hint="eastAsia" w:ascii="仿宋" w:hAnsi="仿宋" w:cs="仿宋"/>
                <w:color w:val="auto"/>
                <w:szCs w:val="21"/>
                <w:highlight w:val="none"/>
                <w:lang w:val="en-US" w:eastAsia="zh-CN"/>
              </w:rPr>
              <w:t>3</w:t>
            </w:r>
          </w:p>
        </w:tc>
        <w:tc>
          <w:tcPr>
            <w:tcW w:w="3179" w:type="pct"/>
            <w:gridSpan w:val="2"/>
            <w:vAlign w:val="center"/>
          </w:tcPr>
          <w:p>
            <w:pPr>
              <w:spacing w:line="276" w:lineRule="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sz w:val="24"/>
                <w:highlight w:val="none"/>
              </w:rPr>
              <w:t>投标人获得与环卫作业有关的荣誉</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0-3</w:t>
            </w:r>
            <w:r>
              <w:rPr>
                <w:rFonts w:hint="eastAsia" w:ascii="仿宋" w:hAnsi="仿宋" w:eastAsia="仿宋" w:cs="仿宋"/>
                <w:b/>
                <w:bCs/>
                <w:color w:val="auto"/>
                <w:sz w:val="24"/>
                <w:highlight w:val="none"/>
              </w:rPr>
              <w:t>分）</w:t>
            </w:r>
            <w:r>
              <w:rPr>
                <w:rFonts w:hint="eastAsia" w:ascii="仿宋" w:hAnsi="仿宋" w:eastAsia="仿宋" w:cs="仿宋"/>
                <w:color w:val="auto"/>
                <w:sz w:val="24"/>
                <w:highlight w:val="none"/>
              </w:rPr>
              <w:t>。</w:t>
            </w:r>
            <w:r>
              <w:rPr>
                <w:rFonts w:ascii="仿宋" w:hAnsi="仿宋" w:eastAsia="仿宋" w:cs="仿宋"/>
                <w:color w:val="auto"/>
                <w:sz w:val="24"/>
                <w:highlight w:val="none"/>
              </w:rPr>
              <w:t>201</w:t>
            </w:r>
            <w:r>
              <w:rPr>
                <w:rFonts w:hint="eastAsia" w:ascii="仿宋" w:hAnsi="仿宋" w:cs="仿宋"/>
                <w:color w:val="auto"/>
                <w:sz w:val="24"/>
                <w:highlight w:val="none"/>
                <w:lang w:val="en-US" w:eastAsia="zh-CN"/>
              </w:rPr>
              <w:t>9</w:t>
            </w:r>
            <w:r>
              <w:rPr>
                <w:rFonts w:hint="eastAsia" w:ascii="仿宋" w:hAnsi="仿宋" w:eastAsia="仿宋" w:cs="仿宋"/>
                <w:color w:val="auto"/>
                <w:sz w:val="24"/>
                <w:highlight w:val="none"/>
              </w:rPr>
              <w:t>年</w:t>
            </w:r>
            <w:r>
              <w:rPr>
                <w:rFonts w:ascii="仿宋" w:hAnsi="仿宋" w:eastAsia="仿宋" w:cs="仿宋"/>
                <w:color w:val="auto"/>
                <w:sz w:val="24"/>
                <w:highlight w:val="none"/>
              </w:rPr>
              <w:t>1</w:t>
            </w:r>
            <w:r>
              <w:rPr>
                <w:rFonts w:hint="eastAsia" w:ascii="仿宋" w:hAnsi="仿宋" w:eastAsia="仿宋" w:cs="仿宋"/>
                <w:color w:val="auto"/>
                <w:sz w:val="24"/>
                <w:highlight w:val="none"/>
              </w:rPr>
              <w:t>月以来投标人所获相关行业主管部门颁发的荣誉。获得市级荣誉的得</w:t>
            </w:r>
            <w:r>
              <w:rPr>
                <w:rFonts w:ascii="仿宋" w:hAnsi="仿宋" w:eastAsia="仿宋" w:cs="仿宋"/>
                <w:color w:val="auto"/>
                <w:sz w:val="24"/>
                <w:highlight w:val="none"/>
              </w:rPr>
              <w:t>1</w:t>
            </w:r>
            <w:r>
              <w:rPr>
                <w:rFonts w:hint="eastAsia" w:ascii="仿宋" w:hAnsi="仿宋" w:eastAsia="仿宋" w:cs="仿宋"/>
                <w:color w:val="auto"/>
                <w:sz w:val="24"/>
                <w:highlight w:val="none"/>
              </w:rPr>
              <w:t>分，获得省级荣誉的得</w:t>
            </w:r>
            <w:r>
              <w:rPr>
                <w:rFonts w:ascii="仿宋" w:hAnsi="仿宋" w:eastAsia="仿宋" w:cs="仿宋"/>
                <w:color w:val="auto"/>
                <w:sz w:val="24"/>
                <w:highlight w:val="none"/>
              </w:rPr>
              <w:t>2</w:t>
            </w:r>
            <w:r>
              <w:rPr>
                <w:rFonts w:hint="eastAsia" w:ascii="仿宋" w:hAnsi="仿宋" w:eastAsia="仿宋" w:cs="仿宋"/>
                <w:color w:val="auto"/>
                <w:sz w:val="24"/>
                <w:highlight w:val="none"/>
              </w:rPr>
              <w:t>分，国家级荣誉的得</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r>
              <w:rPr>
                <w:rFonts w:hint="eastAsia" w:ascii="仿宋" w:hAnsi="仿宋" w:eastAsia="仿宋" w:cs="仿宋"/>
                <w:b/>
                <w:color w:val="auto"/>
                <w:sz w:val="24"/>
                <w:highlight w:val="none"/>
              </w:rPr>
              <w:t>投标人必须提供所获相关荣誉证明文件。</w:t>
            </w:r>
            <w:r>
              <w:rPr>
                <w:rFonts w:hint="eastAsia" w:ascii="仿宋" w:hAnsi="仿宋" w:eastAsia="仿宋" w:cs="仿宋"/>
                <w:color w:val="auto"/>
                <w:sz w:val="24"/>
                <w:highlight w:val="none"/>
              </w:rPr>
              <w:t>（如投标人</w:t>
            </w:r>
            <w:r>
              <w:rPr>
                <w:rFonts w:hint="eastAsia" w:ascii="仿宋" w:hAnsi="仿宋" w:cs="仿宋"/>
                <w:color w:val="auto"/>
                <w:sz w:val="24"/>
                <w:highlight w:val="none"/>
                <w:lang w:val="en-US" w:eastAsia="zh-CN"/>
              </w:rPr>
              <w:t>同一事项</w:t>
            </w:r>
            <w:r>
              <w:rPr>
                <w:rFonts w:hint="eastAsia" w:ascii="仿宋" w:hAnsi="仿宋" w:eastAsia="仿宋" w:cs="仿宋"/>
                <w:color w:val="auto"/>
                <w:sz w:val="24"/>
                <w:highlight w:val="none"/>
              </w:rPr>
              <w:t>提供多个荣誉证书的，只取其中一个最高级别计算得分。）</w:t>
            </w:r>
          </w:p>
        </w:tc>
        <w:tc>
          <w:tcPr>
            <w:tcW w:w="494" w:type="pct"/>
            <w:vAlign w:val="center"/>
          </w:tcPr>
          <w:p>
            <w:pPr>
              <w:autoSpaceDE w:val="0"/>
              <w:adjustRightInd w:val="0"/>
              <w:snapToGrid w:val="0"/>
              <w:spacing w:line="300" w:lineRule="auto"/>
              <w:jc w:val="center"/>
              <w:rPr>
                <w:rFonts w:ascii="仿宋" w:hAnsi="仿宋" w:eastAsia="仿宋" w:cs="仿宋"/>
                <w:bCs/>
                <w:color w:val="auto"/>
                <w:kern w:val="0"/>
                <w:sz w:val="21"/>
                <w:szCs w:val="21"/>
                <w:highlight w:val="none"/>
              </w:rPr>
            </w:pPr>
            <w:r>
              <w:rPr>
                <w:rFonts w:ascii="仿宋" w:hAnsi="仿宋" w:eastAsia="仿宋" w:cs="仿宋"/>
                <w:bCs/>
                <w:color w:val="auto"/>
                <w:kern w:val="0"/>
                <w:sz w:val="21"/>
                <w:szCs w:val="21"/>
                <w:highlight w:val="none"/>
              </w:rPr>
              <w:t>3</w:t>
            </w:r>
          </w:p>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color w:val="auto"/>
                <w:sz w:val="21"/>
                <w:szCs w:val="21"/>
                <w:highlight w:val="none"/>
              </w:rPr>
              <w:t>（客观）</w:t>
            </w:r>
          </w:p>
        </w:tc>
        <w:tc>
          <w:tcPr>
            <w:tcW w:w="954" w:type="pct"/>
            <w:vAlign w:val="center"/>
          </w:tcPr>
          <w:p>
            <w:pPr>
              <w:widowControl/>
              <w:spacing w:line="360" w:lineRule="auto"/>
              <w:jc w:val="center"/>
              <w:rPr>
                <w:rFonts w:hint="eastAsia" w:ascii="仿宋" w:hAnsi="仿宋" w:eastAsia="仿宋" w:cs="微软雅黑"/>
                <w:color w:val="auto"/>
                <w:sz w:val="24"/>
                <w:highlight w:val="none"/>
              </w:rPr>
            </w:pPr>
            <w:r>
              <w:rPr>
                <w:rFonts w:hint="eastAsia" w:ascii="仿宋" w:hAnsi="仿宋" w:eastAsia="仿宋" w:cs="仿宋"/>
                <w:color w:val="auto"/>
                <w:sz w:val="24"/>
                <w:highlight w:val="none"/>
              </w:rPr>
              <w:t>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70" w:type="pct"/>
            <w:vAlign w:val="center"/>
          </w:tcPr>
          <w:p>
            <w:pPr>
              <w:spacing w:line="340" w:lineRule="exact"/>
              <w:jc w:val="center"/>
              <w:rPr>
                <w:rFonts w:hint="default" w:ascii="仿宋" w:hAnsi="仿宋" w:eastAsia="仿宋" w:cs="仿宋"/>
                <w:color w:val="auto"/>
                <w:szCs w:val="21"/>
                <w:highlight w:val="none"/>
                <w:lang w:val="en-US" w:eastAsia="zh-CN"/>
              </w:rPr>
            </w:pPr>
            <w:r>
              <w:rPr>
                <w:rFonts w:hint="eastAsia" w:ascii="仿宋" w:hAnsi="仿宋" w:cs="仿宋"/>
                <w:color w:val="auto"/>
                <w:szCs w:val="21"/>
                <w:highlight w:val="none"/>
                <w:lang w:val="en-US" w:eastAsia="zh-CN"/>
              </w:rPr>
              <w:t>4</w:t>
            </w:r>
          </w:p>
        </w:tc>
        <w:tc>
          <w:tcPr>
            <w:tcW w:w="3179" w:type="pct"/>
            <w:gridSpan w:val="2"/>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与环卫作业相关的通报批评（</w:t>
            </w:r>
            <w:r>
              <w:rPr>
                <w:rFonts w:ascii="仿宋" w:hAnsi="仿宋" w:eastAsia="仿宋" w:cs="仿宋"/>
                <w:color w:val="auto"/>
                <w:sz w:val="24"/>
                <w:highlight w:val="none"/>
              </w:rPr>
              <w:t>0</w:t>
            </w:r>
            <w:r>
              <w:rPr>
                <w:rFonts w:hint="eastAsia" w:ascii="仿宋" w:hAnsi="仿宋" w:eastAsia="仿宋" w:cs="仿宋"/>
                <w:color w:val="auto"/>
                <w:sz w:val="24"/>
                <w:highlight w:val="none"/>
              </w:rPr>
              <w:t>－</w:t>
            </w:r>
            <w:r>
              <w:rPr>
                <w:rFonts w:ascii="仿宋" w:hAnsi="仿宋" w:eastAsia="仿宋" w:cs="仿宋"/>
                <w:color w:val="auto"/>
                <w:sz w:val="24"/>
                <w:highlight w:val="none"/>
              </w:rPr>
              <w:t>4</w:t>
            </w:r>
            <w:r>
              <w:rPr>
                <w:rFonts w:hint="eastAsia" w:ascii="仿宋" w:hAnsi="仿宋" w:eastAsia="仿宋" w:cs="仿宋"/>
                <w:color w:val="auto"/>
                <w:sz w:val="24"/>
                <w:highlight w:val="none"/>
              </w:rPr>
              <w:t>分）。</w:t>
            </w:r>
            <w:r>
              <w:rPr>
                <w:rFonts w:ascii="仿宋" w:hAnsi="仿宋" w:eastAsia="仿宋" w:cs="仿宋"/>
                <w:color w:val="auto"/>
                <w:sz w:val="24"/>
                <w:highlight w:val="none"/>
              </w:rPr>
              <w:t>201</w:t>
            </w:r>
            <w:r>
              <w:rPr>
                <w:rFonts w:hint="eastAsia" w:ascii="仿宋" w:hAnsi="仿宋" w:cs="仿宋"/>
                <w:color w:val="auto"/>
                <w:sz w:val="24"/>
                <w:highlight w:val="none"/>
                <w:lang w:val="en-US" w:eastAsia="zh-CN"/>
              </w:rPr>
              <w:t>9</w:t>
            </w:r>
            <w:r>
              <w:rPr>
                <w:rFonts w:hint="eastAsia" w:ascii="仿宋" w:hAnsi="仿宋" w:eastAsia="仿宋" w:cs="仿宋"/>
                <w:color w:val="auto"/>
                <w:sz w:val="24"/>
                <w:highlight w:val="none"/>
              </w:rPr>
              <w:t>年</w:t>
            </w:r>
            <w:r>
              <w:rPr>
                <w:rFonts w:ascii="仿宋" w:hAnsi="仿宋" w:eastAsia="仿宋" w:cs="仿宋"/>
                <w:color w:val="auto"/>
                <w:sz w:val="24"/>
                <w:highlight w:val="none"/>
              </w:rPr>
              <w:t>1</w:t>
            </w:r>
            <w:r>
              <w:rPr>
                <w:rFonts w:hint="eastAsia" w:ascii="仿宋" w:hAnsi="仿宋" w:eastAsia="仿宋" w:cs="仿宋"/>
                <w:color w:val="auto"/>
                <w:sz w:val="24"/>
                <w:highlight w:val="none"/>
              </w:rPr>
              <w:t>月</w:t>
            </w:r>
            <w:r>
              <w:rPr>
                <w:rFonts w:ascii="仿宋" w:hAnsi="仿宋" w:eastAsia="仿宋" w:cs="仿宋"/>
                <w:color w:val="auto"/>
                <w:sz w:val="24"/>
                <w:highlight w:val="none"/>
              </w:rPr>
              <w:t>1</w:t>
            </w:r>
            <w:r>
              <w:rPr>
                <w:rFonts w:hint="eastAsia" w:ascii="仿宋" w:hAnsi="仿宋" w:eastAsia="仿宋" w:cs="仿宋"/>
                <w:color w:val="auto"/>
                <w:sz w:val="24"/>
                <w:highlight w:val="none"/>
              </w:rPr>
              <w:t>日至今，投标人被市、区环卫主管部门通报批评，地、市级通报一次扣</w:t>
            </w:r>
            <w:r>
              <w:rPr>
                <w:rFonts w:ascii="仿宋" w:hAnsi="仿宋" w:eastAsia="仿宋" w:cs="仿宋"/>
                <w:color w:val="auto"/>
                <w:sz w:val="24"/>
                <w:highlight w:val="none"/>
              </w:rPr>
              <w:t>4</w:t>
            </w:r>
            <w:r>
              <w:rPr>
                <w:rFonts w:hint="eastAsia" w:ascii="仿宋" w:hAnsi="仿宋" w:eastAsia="仿宋" w:cs="仿宋"/>
                <w:color w:val="auto"/>
                <w:sz w:val="24"/>
                <w:highlight w:val="none"/>
              </w:rPr>
              <w:t>分，县、区级扣</w:t>
            </w:r>
            <w:r>
              <w:rPr>
                <w:rFonts w:ascii="仿宋" w:hAnsi="仿宋" w:eastAsia="仿宋" w:cs="仿宋"/>
                <w:color w:val="auto"/>
                <w:sz w:val="24"/>
                <w:highlight w:val="none"/>
              </w:rPr>
              <w:t>2</w:t>
            </w:r>
            <w:r>
              <w:rPr>
                <w:rFonts w:hint="eastAsia" w:ascii="仿宋" w:hAnsi="仿宋" w:eastAsia="仿宋" w:cs="仿宋"/>
                <w:color w:val="auto"/>
                <w:sz w:val="24"/>
                <w:highlight w:val="none"/>
              </w:rPr>
              <w:t>分，扣完</w:t>
            </w:r>
            <w:r>
              <w:rPr>
                <w:rFonts w:ascii="仿宋" w:hAnsi="仿宋" w:eastAsia="仿宋" w:cs="仿宋"/>
                <w:color w:val="auto"/>
                <w:sz w:val="24"/>
                <w:highlight w:val="none"/>
              </w:rPr>
              <w:t>4</w:t>
            </w:r>
            <w:r>
              <w:rPr>
                <w:rFonts w:hint="eastAsia" w:ascii="仿宋" w:hAnsi="仿宋" w:eastAsia="仿宋" w:cs="仿宋"/>
                <w:color w:val="auto"/>
                <w:sz w:val="24"/>
                <w:highlight w:val="none"/>
              </w:rPr>
              <w:t>分为止，未被通报批评过的得满分</w:t>
            </w:r>
            <w:r>
              <w:rPr>
                <w:rFonts w:ascii="仿宋" w:hAnsi="仿宋" w:eastAsia="仿宋" w:cs="仿宋"/>
                <w:color w:val="auto"/>
                <w:sz w:val="24"/>
                <w:highlight w:val="none"/>
              </w:rPr>
              <w:t>4</w:t>
            </w:r>
            <w:r>
              <w:rPr>
                <w:rFonts w:hint="eastAsia" w:ascii="仿宋" w:hAnsi="仿宋" w:eastAsia="仿宋" w:cs="仿宋"/>
                <w:color w:val="auto"/>
                <w:sz w:val="24"/>
                <w:highlight w:val="none"/>
              </w:rPr>
              <w:t>分</w:t>
            </w:r>
            <w:r>
              <w:rPr>
                <w:rFonts w:hint="eastAsia" w:ascii="仿宋" w:hAnsi="仿宋" w:eastAsia="仿宋" w:cs="仿宋"/>
                <w:b/>
                <w:color w:val="auto"/>
                <w:sz w:val="24"/>
                <w:highlight w:val="none"/>
              </w:rPr>
              <w:t>（以证书或公告发布之日为准，未被通报批评者请在投标文件中提供承诺书，无承诺书者不得分，不良信息信用已修复的，不作为负面信息使用，若有隐瞒的取消其中标资格）。</w:t>
            </w:r>
          </w:p>
        </w:tc>
        <w:tc>
          <w:tcPr>
            <w:tcW w:w="494" w:type="pct"/>
            <w:vAlign w:val="center"/>
          </w:tcPr>
          <w:p>
            <w:pPr>
              <w:autoSpaceDE w:val="0"/>
              <w:adjustRightInd w:val="0"/>
              <w:snapToGrid w:val="0"/>
              <w:spacing w:line="300" w:lineRule="auto"/>
              <w:jc w:val="center"/>
              <w:rPr>
                <w:rFonts w:ascii="仿宋" w:hAnsi="仿宋" w:eastAsia="仿宋" w:cs="仿宋"/>
                <w:bCs/>
                <w:color w:val="auto"/>
                <w:kern w:val="0"/>
                <w:sz w:val="21"/>
                <w:szCs w:val="21"/>
                <w:highlight w:val="none"/>
              </w:rPr>
            </w:pPr>
            <w:r>
              <w:rPr>
                <w:rFonts w:ascii="仿宋" w:hAnsi="仿宋" w:eastAsia="仿宋" w:cs="仿宋"/>
                <w:bCs/>
                <w:color w:val="auto"/>
                <w:kern w:val="0"/>
                <w:sz w:val="21"/>
                <w:szCs w:val="21"/>
                <w:highlight w:val="none"/>
              </w:rPr>
              <w:t>4</w:t>
            </w:r>
          </w:p>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color w:val="auto"/>
                <w:sz w:val="21"/>
                <w:szCs w:val="21"/>
                <w:highlight w:val="none"/>
              </w:rPr>
              <w:t>（客观）</w:t>
            </w:r>
          </w:p>
        </w:tc>
        <w:tc>
          <w:tcPr>
            <w:tcW w:w="954" w:type="pct"/>
            <w:vAlign w:val="center"/>
          </w:tcPr>
          <w:p>
            <w:pPr>
              <w:widowControl/>
              <w:spacing w:line="360" w:lineRule="auto"/>
              <w:jc w:val="center"/>
              <w:rPr>
                <w:rFonts w:hint="eastAsia" w:ascii="仿宋" w:hAnsi="仿宋" w:eastAsia="仿宋" w:cs="微软雅黑"/>
                <w:color w:val="auto"/>
                <w:sz w:val="24"/>
                <w:highlight w:val="none"/>
              </w:rPr>
            </w:pPr>
            <w:r>
              <w:rPr>
                <w:rFonts w:hint="eastAsia" w:ascii="仿宋" w:hAnsi="仿宋" w:eastAsia="仿宋" w:cs="仿宋"/>
                <w:color w:val="auto"/>
                <w:sz w:val="24"/>
                <w:highlight w:val="none"/>
              </w:rPr>
              <w:t>通报批评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70" w:type="pct"/>
            <w:vAlign w:val="center"/>
          </w:tcPr>
          <w:p>
            <w:pPr>
              <w:spacing w:line="340" w:lineRule="exact"/>
              <w:jc w:val="center"/>
              <w:rPr>
                <w:rFonts w:hint="default" w:ascii="仿宋" w:hAnsi="仿宋" w:eastAsia="仿宋" w:cs="仿宋"/>
                <w:color w:val="auto"/>
                <w:szCs w:val="21"/>
                <w:highlight w:val="none"/>
                <w:lang w:val="en-US" w:eastAsia="zh-CN"/>
              </w:rPr>
            </w:pPr>
            <w:r>
              <w:rPr>
                <w:rFonts w:hint="eastAsia" w:ascii="仿宋" w:hAnsi="仿宋" w:cs="仿宋"/>
                <w:color w:val="auto"/>
                <w:szCs w:val="21"/>
                <w:highlight w:val="none"/>
                <w:lang w:val="en-US" w:eastAsia="zh-CN"/>
              </w:rPr>
              <w:t>5</w:t>
            </w:r>
          </w:p>
        </w:tc>
        <w:tc>
          <w:tcPr>
            <w:tcW w:w="3179" w:type="pct"/>
            <w:gridSpan w:val="2"/>
            <w:vAlign w:val="center"/>
          </w:tcPr>
          <w:p>
            <w:pPr>
              <w:spacing w:beforeLines="50" w:afterLines="50" w:line="27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投标人的员工薪资发放规范及时（</w:t>
            </w:r>
            <w:r>
              <w:rPr>
                <w:rFonts w:ascii="仿宋" w:hAnsi="仿宋" w:eastAsia="仿宋" w:cs="仿宋"/>
                <w:color w:val="auto"/>
                <w:sz w:val="24"/>
                <w:highlight w:val="none"/>
              </w:rPr>
              <w:t>0</w:t>
            </w:r>
            <w:r>
              <w:rPr>
                <w:rFonts w:hint="eastAsia" w:ascii="仿宋" w:hAnsi="仿宋" w:eastAsia="仿宋" w:cs="仿宋"/>
                <w:color w:val="auto"/>
                <w:sz w:val="24"/>
                <w:highlight w:val="none"/>
              </w:rPr>
              <w:t>－</w:t>
            </w:r>
            <w:r>
              <w:rPr>
                <w:rFonts w:ascii="仿宋" w:hAnsi="仿宋" w:eastAsia="仿宋" w:cs="仿宋"/>
                <w:color w:val="auto"/>
                <w:sz w:val="24"/>
                <w:highlight w:val="none"/>
              </w:rPr>
              <w:t>4</w:t>
            </w:r>
            <w:r>
              <w:rPr>
                <w:rFonts w:hint="eastAsia" w:ascii="仿宋" w:hAnsi="仿宋" w:eastAsia="仿宋" w:cs="仿宋"/>
                <w:color w:val="auto"/>
                <w:sz w:val="24"/>
                <w:highlight w:val="none"/>
              </w:rPr>
              <w:t>分），</w:t>
            </w:r>
            <w:r>
              <w:rPr>
                <w:rFonts w:ascii="仿宋" w:hAnsi="仿宋" w:eastAsia="仿宋" w:cs="仿宋"/>
                <w:color w:val="auto"/>
                <w:sz w:val="24"/>
                <w:highlight w:val="none"/>
              </w:rPr>
              <w:t>201</w:t>
            </w:r>
            <w:r>
              <w:rPr>
                <w:rFonts w:hint="eastAsia" w:ascii="仿宋" w:hAnsi="仿宋" w:cs="仿宋"/>
                <w:color w:val="auto"/>
                <w:sz w:val="24"/>
                <w:highlight w:val="none"/>
                <w:lang w:val="en-US" w:eastAsia="zh-CN"/>
              </w:rPr>
              <w:t>9</w:t>
            </w:r>
            <w:r>
              <w:rPr>
                <w:rFonts w:hint="eastAsia" w:ascii="仿宋" w:hAnsi="仿宋" w:eastAsia="仿宋" w:cs="仿宋"/>
                <w:color w:val="auto"/>
                <w:sz w:val="24"/>
                <w:highlight w:val="none"/>
              </w:rPr>
              <w:t>年</w:t>
            </w:r>
            <w:r>
              <w:rPr>
                <w:rFonts w:ascii="仿宋" w:hAnsi="仿宋" w:eastAsia="仿宋" w:cs="仿宋"/>
                <w:color w:val="auto"/>
                <w:sz w:val="24"/>
                <w:highlight w:val="none"/>
              </w:rPr>
              <w:t>1</w:t>
            </w:r>
            <w:r>
              <w:rPr>
                <w:rFonts w:hint="eastAsia" w:ascii="仿宋" w:hAnsi="仿宋" w:eastAsia="仿宋" w:cs="仿宋"/>
                <w:color w:val="auto"/>
                <w:sz w:val="24"/>
                <w:highlight w:val="none"/>
              </w:rPr>
              <w:t>月</w:t>
            </w:r>
            <w:r>
              <w:rPr>
                <w:rFonts w:ascii="仿宋" w:hAnsi="仿宋" w:eastAsia="仿宋" w:cs="仿宋"/>
                <w:color w:val="auto"/>
                <w:sz w:val="24"/>
                <w:highlight w:val="none"/>
              </w:rPr>
              <w:t>1</w:t>
            </w:r>
            <w:r>
              <w:rPr>
                <w:rFonts w:hint="eastAsia" w:ascii="仿宋" w:hAnsi="仿宋" w:eastAsia="仿宋" w:cs="仿宋"/>
                <w:color w:val="auto"/>
                <w:sz w:val="24"/>
                <w:highlight w:val="none"/>
              </w:rPr>
              <w:t>日至今，未发生过有关员工薪酬及权益保障方面的投诉、被劳动部门处罚及被市级环卫主管部门通报批评的得</w:t>
            </w:r>
            <w:r>
              <w:rPr>
                <w:rFonts w:ascii="仿宋" w:hAnsi="仿宋" w:eastAsia="仿宋" w:cs="仿宋"/>
                <w:color w:val="auto"/>
                <w:sz w:val="24"/>
                <w:highlight w:val="none"/>
              </w:rPr>
              <w:t>4</w:t>
            </w:r>
            <w:r>
              <w:rPr>
                <w:rFonts w:hint="eastAsia" w:ascii="仿宋" w:hAnsi="仿宋" w:eastAsia="仿宋" w:cs="仿宋"/>
                <w:color w:val="auto"/>
                <w:sz w:val="24"/>
                <w:highlight w:val="none"/>
              </w:rPr>
              <w:t>分，否则不得分。</w:t>
            </w:r>
            <w:r>
              <w:rPr>
                <w:rFonts w:hint="eastAsia" w:ascii="仿宋" w:hAnsi="仿宋" w:eastAsia="仿宋" w:cs="仿宋"/>
                <w:b/>
                <w:color w:val="auto"/>
                <w:sz w:val="24"/>
                <w:highlight w:val="none"/>
              </w:rPr>
              <w:t>（以证书或公告发布之日为准，未被通报批评或处罚者请在投标文件中提供承诺书，无承诺书者不得分，若有隐瞒的取消其中标资格）。</w:t>
            </w:r>
          </w:p>
        </w:tc>
        <w:tc>
          <w:tcPr>
            <w:tcW w:w="494" w:type="pct"/>
            <w:vAlign w:val="center"/>
          </w:tcPr>
          <w:p>
            <w:pPr>
              <w:autoSpaceDE w:val="0"/>
              <w:adjustRightInd w:val="0"/>
              <w:snapToGrid w:val="0"/>
              <w:spacing w:line="300" w:lineRule="auto"/>
              <w:jc w:val="center"/>
              <w:rPr>
                <w:rFonts w:ascii="仿宋" w:hAnsi="仿宋" w:eastAsia="仿宋" w:cs="仿宋"/>
                <w:bCs/>
                <w:color w:val="auto"/>
                <w:kern w:val="0"/>
                <w:sz w:val="21"/>
                <w:szCs w:val="21"/>
                <w:highlight w:val="none"/>
              </w:rPr>
            </w:pPr>
            <w:r>
              <w:rPr>
                <w:rFonts w:ascii="仿宋" w:hAnsi="仿宋" w:eastAsia="仿宋" w:cs="仿宋"/>
                <w:bCs/>
                <w:color w:val="auto"/>
                <w:kern w:val="0"/>
                <w:sz w:val="21"/>
                <w:szCs w:val="21"/>
                <w:highlight w:val="none"/>
              </w:rPr>
              <w:t>4</w:t>
            </w:r>
          </w:p>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color w:val="auto"/>
                <w:sz w:val="21"/>
                <w:szCs w:val="21"/>
                <w:highlight w:val="none"/>
              </w:rPr>
              <w:t>（客观）</w:t>
            </w:r>
          </w:p>
        </w:tc>
        <w:tc>
          <w:tcPr>
            <w:tcW w:w="954" w:type="pct"/>
            <w:vAlign w:val="center"/>
          </w:tcPr>
          <w:p>
            <w:pPr>
              <w:widowControl/>
              <w:spacing w:line="360" w:lineRule="auto"/>
              <w:jc w:val="center"/>
              <w:rPr>
                <w:rFonts w:hint="eastAsia" w:ascii="仿宋" w:hAnsi="仿宋" w:eastAsia="仿宋" w:cs="微软雅黑"/>
                <w:color w:val="auto"/>
                <w:sz w:val="24"/>
                <w:highlight w:val="none"/>
              </w:rPr>
            </w:pPr>
            <w:r>
              <w:rPr>
                <w:rFonts w:hint="eastAsia" w:ascii="仿宋" w:hAnsi="仿宋" w:eastAsia="仿宋" w:cs="仿宋"/>
                <w:color w:val="auto"/>
                <w:sz w:val="24"/>
                <w:highlight w:val="none"/>
              </w:rPr>
              <w:t>工薪资发放规范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70" w:type="pct"/>
            <w:vAlign w:val="center"/>
          </w:tcPr>
          <w:p>
            <w:pPr>
              <w:spacing w:line="340" w:lineRule="exact"/>
              <w:jc w:val="center"/>
              <w:rPr>
                <w:rFonts w:hint="default" w:ascii="仿宋" w:hAnsi="仿宋" w:eastAsia="仿宋" w:cs="仿宋"/>
                <w:color w:val="auto"/>
                <w:szCs w:val="21"/>
                <w:highlight w:val="none"/>
                <w:lang w:val="en-US" w:eastAsia="zh-CN"/>
              </w:rPr>
            </w:pPr>
            <w:r>
              <w:rPr>
                <w:rFonts w:hint="eastAsia" w:ascii="仿宋" w:hAnsi="仿宋" w:cs="仿宋"/>
                <w:color w:val="auto"/>
                <w:szCs w:val="21"/>
                <w:highlight w:val="none"/>
                <w:lang w:val="en-US" w:eastAsia="zh-CN"/>
              </w:rPr>
              <w:t>6</w:t>
            </w:r>
          </w:p>
        </w:tc>
        <w:tc>
          <w:tcPr>
            <w:tcW w:w="3179" w:type="pct"/>
            <w:gridSpan w:val="2"/>
            <w:vAlign w:val="top"/>
          </w:tcPr>
          <w:p>
            <w:pPr>
              <w:spacing w:beforeLines="50" w:afterLines="50" w:line="27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员工管理制度（签订规范的员工劳动合同、业务培训制度）、完善的员工档案并提供员工的社保证明、人身意外伤害保险证明、员工考核制度、员工绩效评价的得</w:t>
            </w:r>
            <w:r>
              <w:rPr>
                <w:rFonts w:ascii="仿宋" w:hAnsi="仿宋" w:eastAsia="仿宋" w:cs="仿宋"/>
                <w:color w:val="auto"/>
                <w:sz w:val="24"/>
                <w:highlight w:val="none"/>
              </w:rPr>
              <w:t>3</w:t>
            </w:r>
            <w:r>
              <w:rPr>
                <w:rFonts w:hint="eastAsia" w:ascii="仿宋" w:hAnsi="仿宋" w:eastAsia="仿宋" w:cs="仿宋"/>
                <w:color w:val="auto"/>
                <w:sz w:val="24"/>
                <w:highlight w:val="none"/>
              </w:rPr>
              <w:t>分，每缺少一项扣</w:t>
            </w:r>
            <w:r>
              <w:rPr>
                <w:rFonts w:ascii="仿宋" w:hAnsi="仿宋" w:eastAsia="仿宋" w:cs="仿宋"/>
                <w:color w:val="auto"/>
                <w:sz w:val="24"/>
                <w:highlight w:val="none"/>
              </w:rPr>
              <w:t>0.6</w:t>
            </w:r>
            <w:r>
              <w:rPr>
                <w:rFonts w:hint="eastAsia" w:ascii="仿宋" w:hAnsi="仿宋" w:eastAsia="仿宋" w:cs="仿宋"/>
                <w:color w:val="auto"/>
                <w:sz w:val="24"/>
                <w:highlight w:val="none"/>
              </w:rPr>
              <w:t>分。（</w:t>
            </w:r>
            <w:r>
              <w:rPr>
                <w:rFonts w:ascii="仿宋" w:hAnsi="仿宋" w:eastAsia="仿宋" w:cs="仿宋"/>
                <w:color w:val="auto"/>
                <w:sz w:val="24"/>
                <w:highlight w:val="none"/>
              </w:rPr>
              <w:t>0</w:t>
            </w: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p>
        </w:tc>
        <w:tc>
          <w:tcPr>
            <w:tcW w:w="494" w:type="pct"/>
            <w:vAlign w:val="center"/>
          </w:tcPr>
          <w:p>
            <w:pPr>
              <w:spacing w:beforeLines="50" w:afterLines="50" w:line="340" w:lineRule="exact"/>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3</w:t>
            </w:r>
            <w:r>
              <w:rPr>
                <w:rFonts w:hint="eastAsia" w:ascii="仿宋" w:hAnsi="仿宋" w:eastAsia="仿宋" w:cs="仿宋"/>
                <w:color w:val="auto"/>
                <w:sz w:val="21"/>
                <w:szCs w:val="21"/>
                <w:highlight w:val="none"/>
              </w:rPr>
              <w:t>（客观）</w:t>
            </w:r>
          </w:p>
        </w:tc>
        <w:tc>
          <w:tcPr>
            <w:tcW w:w="954" w:type="pct"/>
            <w:vAlign w:val="center"/>
          </w:tcPr>
          <w:p>
            <w:pPr>
              <w:widowControl/>
              <w:spacing w:line="360" w:lineRule="auto"/>
              <w:jc w:val="center"/>
              <w:rPr>
                <w:rFonts w:hint="eastAsia" w:ascii="仿宋" w:hAnsi="仿宋" w:eastAsia="仿宋" w:cs="微软雅黑"/>
                <w:color w:val="auto"/>
                <w:sz w:val="24"/>
                <w:highlight w:val="none"/>
              </w:rPr>
            </w:pPr>
            <w:r>
              <w:rPr>
                <w:rFonts w:hint="eastAsia" w:ascii="仿宋" w:hAnsi="仿宋" w:eastAsia="仿宋" w:cs="仿宋"/>
                <w:color w:val="auto"/>
                <w:sz w:val="24"/>
                <w:highlight w:val="none"/>
              </w:rPr>
              <w:t>员工管理制度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70" w:type="pct"/>
            <w:vMerge w:val="restart"/>
            <w:vAlign w:val="center"/>
          </w:tcPr>
          <w:p>
            <w:pPr>
              <w:spacing w:line="340" w:lineRule="exact"/>
              <w:jc w:val="center"/>
              <w:rPr>
                <w:rFonts w:hint="default" w:ascii="仿宋" w:hAnsi="仿宋" w:eastAsia="仿宋" w:cs="仿宋"/>
                <w:color w:val="auto"/>
                <w:szCs w:val="21"/>
                <w:highlight w:val="none"/>
                <w:lang w:val="en-US" w:eastAsia="zh-CN"/>
              </w:rPr>
            </w:pPr>
            <w:r>
              <w:rPr>
                <w:rFonts w:hint="eastAsia" w:ascii="仿宋" w:hAnsi="仿宋" w:cs="仿宋"/>
                <w:color w:val="auto"/>
                <w:szCs w:val="21"/>
                <w:highlight w:val="none"/>
                <w:lang w:val="en-US" w:eastAsia="zh-CN"/>
              </w:rPr>
              <w:t>7</w:t>
            </w:r>
          </w:p>
        </w:tc>
        <w:tc>
          <w:tcPr>
            <w:tcW w:w="433" w:type="pct"/>
            <w:vMerge w:val="restart"/>
            <w:vAlign w:val="center"/>
          </w:tcPr>
          <w:p>
            <w:pPr>
              <w:spacing w:line="276" w:lineRule="auto"/>
              <w:jc w:val="left"/>
              <w:rPr>
                <w:rFonts w:hint="default" w:ascii="仿宋" w:hAnsi="仿宋" w:eastAsia="仿宋" w:cs="仿宋"/>
                <w:color w:val="auto"/>
                <w:kern w:val="2"/>
                <w:sz w:val="24"/>
                <w:szCs w:val="24"/>
                <w:highlight w:val="none"/>
                <w:lang w:val="en-US" w:eastAsia="zh-CN" w:bidi="ar-SA"/>
              </w:rPr>
            </w:pPr>
            <w:r>
              <w:rPr>
                <w:rFonts w:hint="eastAsia" w:ascii="仿宋" w:hAnsi="仿宋" w:cs="仿宋"/>
                <w:color w:val="auto"/>
                <w:kern w:val="2"/>
                <w:sz w:val="24"/>
                <w:szCs w:val="24"/>
                <w:highlight w:val="none"/>
                <w:lang w:val="en-US" w:eastAsia="zh-CN" w:bidi="ar-SA"/>
              </w:rPr>
              <w:t>安全生产</w:t>
            </w:r>
          </w:p>
        </w:tc>
        <w:tc>
          <w:tcPr>
            <w:tcW w:w="2746" w:type="pct"/>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a.</w:t>
            </w:r>
            <w:r>
              <w:rPr>
                <w:rFonts w:hint="eastAsia" w:ascii="仿宋" w:hAnsi="仿宋" w:eastAsia="仿宋" w:cs="仿宋"/>
                <w:color w:val="auto"/>
                <w:sz w:val="24"/>
                <w:highlight w:val="none"/>
              </w:rPr>
              <w:t>制订安全生产制度，得</w:t>
            </w:r>
            <w:r>
              <w:rPr>
                <w:rFonts w:ascii="仿宋" w:hAnsi="仿宋" w:eastAsia="仿宋" w:cs="仿宋"/>
                <w:color w:val="auto"/>
                <w:sz w:val="24"/>
                <w:highlight w:val="none"/>
              </w:rPr>
              <w:t>3</w:t>
            </w:r>
            <w:r>
              <w:rPr>
                <w:rFonts w:hint="eastAsia" w:ascii="仿宋" w:hAnsi="仿宋" w:eastAsia="仿宋" w:cs="仿宋"/>
                <w:color w:val="auto"/>
                <w:sz w:val="24"/>
                <w:highlight w:val="none"/>
              </w:rPr>
              <w:t>分，未制订的，该项不得分。（</w:t>
            </w:r>
            <w:r>
              <w:rPr>
                <w:rFonts w:ascii="仿宋" w:hAnsi="仿宋" w:eastAsia="仿宋" w:cs="仿宋"/>
                <w:color w:val="auto"/>
                <w:sz w:val="24"/>
                <w:highlight w:val="none"/>
              </w:rPr>
              <w:t>0</w:t>
            </w: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p>
        </w:tc>
        <w:tc>
          <w:tcPr>
            <w:tcW w:w="494" w:type="pct"/>
            <w:vAlign w:val="center"/>
          </w:tcPr>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ascii="仿宋" w:hAnsi="仿宋" w:eastAsia="仿宋" w:cs="仿宋"/>
                <w:bCs/>
                <w:color w:val="auto"/>
                <w:kern w:val="0"/>
                <w:sz w:val="21"/>
                <w:szCs w:val="21"/>
                <w:highlight w:val="none"/>
              </w:rPr>
              <w:t>3</w:t>
            </w:r>
            <w:r>
              <w:rPr>
                <w:rFonts w:hint="eastAsia" w:ascii="仿宋" w:hAnsi="仿宋" w:eastAsia="仿宋" w:cs="仿宋"/>
                <w:color w:val="auto"/>
                <w:sz w:val="21"/>
                <w:szCs w:val="21"/>
                <w:highlight w:val="none"/>
              </w:rPr>
              <w:t>（客观）</w:t>
            </w:r>
          </w:p>
        </w:tc>
        <w:tc>
          <w:tcPr>
            <w:tcW w:w="954" w:type="pct"/>
            <w:vMerge w:val="restart"/>
            <w:vAlign w:val="center"/>
          </w:tcPr>
          <w:p>
            <w:pPr>
              <w:widowControl/>
              <w:spacing w:line="360" w:lineRule="auto"/>
              <w:jc w:val="center"/>
              <w:rPr>
                <w:rFonts w:hint="eastAsia" w:ascii="仿宋" w:hAnsi="仿宋" w:eastAsia="仿宋" w:cs="微软雅黑"/>
                <w:color w:val="auto"/>
                <w:sz w:val="24"/>
                <w:highlight w:val="none"/>
              </w:rPr>
            </w:pPr>
            <w:r>
              <w:rPr>
                <w:rFonts w:hint="eastAsia" w:ascii="仿宋" w:hAnsi="仿宋" w:eastAsia="仿宋" w:cs="仿宋"/>
                <w:color w:val="auto"/>
                <w:sz w:val="24"/>
                <w:highlight w:val="none"/>
              </w:rPr>
              <w:t>全生产制度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b.</w:t>
            </w:r>
            <w:r>
              <w:rPr>
                <w:rFonts w:hint="eastAsia" w:ascii="仿宋" w:hAnsi="仿宋" w:eastAsia="仿宋" w:cs="仿宋"/>
                <w:color w:val="auto"/>
                <w:sz w:val="24"/>
                <w:highlight w:val="none"/>
              </w:rPr>
              <w:t>有专职安全员，且持有安全生产证书，得</w:t>
            </w:r>
            <w:r>
              <w:rPr>
                <w:rFonts w:ascii="仿宋" w:hAnsi="仿宋" w:eastAsia="仿宋" w:cs="仿宋"/>
                <w:color w:val="auto"/>
                <w:sz w:val="24"/>
                <w:highlight w:val="none"/>
              </w:rPr>
              <w:t>3</w:t>
            </w:r>
            <w:r>
              <w:rPr>
                <w:rFonts w:hint="eastAsia" w:ascii="仿宋" w:hAnsi="仿宋" w:eastAsia="仿宋" w:cs="仿宋"/>
                <w:color w:val="auto"/>
                <w:sz w:val="24"/>
                <w:highlight w:val="none"/>
              </w:rPr>
              <w:t>分，没有专职安全生产管理员的，该项不得分。（</w:t>
            </w:r>
            <w:r>
              <w:rPr>
                <w:rFonts w:ascii="仿宋" w:hAnsi="仿宋" w:eastAsia="仿宋" w:cs="仿宋"/>
                <w:color w:val="auto"/>
                <w:sz w:val="24"/>
                <w:highlight w:val="none"/>
              </w:rPr>
              <w:t>0</w:t>
            </w: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p>
        </w:tc>
        <w:tc>
          <w:tcPr>
            <w:tcW w:w="494" w:type="pct"/>
            <w:vAlign w:val="center"/>
          </w:tcPr>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ascii="仿宋" w:hAnsi="仿宋" w:eastAsia="仿宋" w:cs="仿宋"/>
                <w:bCs/>
                <w:color w:val="auto"/>
                <w:kern w:val="0"/>
                <w:sz w:val="21"/>
                <w:szCs w:val="21"/>
                <w:highlight w:val="none"/>
              </w:rPr>
              <w:t>3</w:t>
            </w:r>
            <w:r>
              <w:rPr>
                <w:rFonts w:hint="eastAsia" w:ascii="仿宋" w:hAnsi="仿宋" w:eastAsia="仿宋" w:cs="仿宋"/>
                <w:color w:val="auto"/>
                <w:sz w:val="21"/>
                <w:szCs w:val="21"/>
                <w:highlight w:val="none"/>
              </w:rPr>
              <w:t>（客观）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c.</w:t>
            </w:r>
            <w:r>
              <w:rPr>
                <w:rFonts w:hint="eastAsia" w:ascii="仿宋" w:hAnsi="仿宋" w:eastAsia="仿宋" w:cs="仿宋"/>
                <w:color w:val="auto"/>
                <w:sz w:val="24"/>
                <w:highlight w:val="none"/>
              </w:rPr>
              <w:t>定期开展安全生产培训，记录完整的，得</w:t>
            </w:r>
            <w:r>
              <w:rPr>
                <w:rFonts w:ascii="仿宋" w:hAnsi="仿宋" w:eastAsia="仿宋" w:cs="仿宋"/>
                <w:color w:val="auto"/>
                <w:sz w:val="24"/>
                <w:highlight w:val="none"/>
              </w:rPr>
              <w:t>3</w:t>
            </w:r>
            <w:r>
              <w:rPr>
                <w:rFonts w:hint="eastAsia" w:ascii="仿宋" w:hAnsi="仿宋" w:eastAsia="仿宋" w:cs="仿宋"/>
                <w:color w:val="auto"/>
                <w:sz w:val="24"/>
                <w:highlight w:val="none"/>
              </w:rPr>
              <w:t>分，未定期开展培训或无记录的，该项不得分。（</w:t>
            </w:r>
            <w:r>
              <w:rPr>
                <w:rFonts w:ascii="仿宋" w:hAnsi="仿宋" w:eastAsia="仿宋" w:cs="仿宋"/>
                <w:color w:val="auto"/>
                <w:sz w:val="24"/>
                <w:highlight w:val="none"/>
              </w:rPr>
              <w:t>0</w:t>
            </w: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分）</w:t>
            </w:r>
          </w:p>
        </w:tc>
        <w:tc>
          <w:tcPr>
            <w:tcW w:w="494" w:type="pct"/>
            <w:vAlign w:val="center"/>
          </w:tcPr>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ascii="仿宋" w:hAnsi="仿宋" w:eastAsia="仿宋" w:cs="仿宋"/>
                <w:bCs/>
                <w:color w:val="auto"/>
                <w:kern w:val="0"/>
                <w:sz w:val="21"/>
                <w:szCs w:val="21"/>
                <w:highlight w:val="none"/>
              </w:rPr>
              <w:t>3</w:t>
            </w:r>
            <w:r>
              <w:rPr>
                <w:rFonts w:hint="eastAsia" w:ascii="仿宋" w:hAnsi="仿宋" w:eastAsia="仿宋" w:cs="仿宋"/>
                <w:color w:val="auto"/>
                <w:sz w:val="21"/>
                <w:szCs w:val="21"/>
                <w:highlight w:val="none"/>
              </w:rPr>
              <w:t>（客观）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d.201</w:t>
            </w:r>
            <w:r>
              <w:rPr>
                <w:rFonts w:hint="eastAsia" w:ascii="仿宋" w:hAnsi="仿宋" w:cs="仿宋"/>
                <w:color w:val="auto"/>
                <w:sz w:val="24"/>
                <w:highlight w:val="none"/>
                <w:lang w:val="en-US" w:eastAsia="zh-CN"/>
              </w:rPr>
              <w:t>9</w:t>
            </w:r>
            <w:r>
              <w:rPr>
                <w:rFonts w:hint="eastAsia" w:ascii="仿宋" w:hAnsi="仿宋" w:eastAsia="仿宋" w:cs="仿宋"/>
                <w:color w:val="auto"/>
                <w:sz w:val="24"/>
                <w:highlight w:val="none"/>
              </w:rPr>
              <w:t>年</w:t>
            </w:r>
            <w:r>
              <w:rPr>
                <w:rFonts w:ascii="仿宋" w:hAnsi="仿宋" w:eastAsia="仿宋" w:cs="仿宋"/>
                <w:color w:val="auto"/>
                <w:sz w:val="24"/>
                <w:highlight w:val="none"/>
              </w:rPr>
              <w:t>1</w:t>
            </w:r>
            <w:r>
              <w:rPr>
                <w:rFonts w:hint="eastAsia" w:ascii="仿宋" w:hAnsi="仿宋" w:eastAsia="仿宋" w:cs="仿宋"/>
                <w:color w:val="auto"/>
                <w:sz w:val="24"/>
                <w:highlight w:val="none"/>
              </w:rPr>
              <w:t>月</w:t>
            </w:r>
            <w:r>
              <w:rPr>
                <w:rFonts w:ascii="仿宋" w:hAnsi="仿宋" w:eastAsia="仿宋" w:cs="仿宋"/>
                <w:color w:val="auto"/>
                <w:sz w:val="24"/>
                <w:highlight w:val="none"/>
              </w:rPr>
              <w:t>1</w:t>
            </w:r>
            <w:r>
              <w:rPr>
                <w:rFonts w:hint="eastAsia" w:ascii="仿宋" w:hAnsi="仿宋" w:eastAsia="仿宋" w:cs="仿宋"/>
                <w:color w:val="auto"/>
                <w:sz w:val="24"/>
                <w:highlight w:val="none"/>
              </w:rPr>
              <w:t>日至今，未发生安全生产有责事故的得</w:t>
            </w:r>
            <w:r>
              <w:rPr>
                <w:rFonts w:ascii="仿宋" w:hAnsi="仿宋" w:eastAsia="仿宋" w:cs="仿宋"/>
                <w:color w:val="auto"/>
                <w:sz w:val="24"/>
                <w:highlight w:val="none"/>
              </w:rPr>
              <w:t>4</w:t>
            </w:r>
            <w:r>
              <w:rPr>
                <w:rFonts w:hint="eastAsia" w:ascii="仿宋" w:hAnsi="仿宋" w:eastAsia="仿宋" w:cs="仿宋"/>
                <w:color w:val="auto"/>
                <w:sz w:val="24"/>
                <w:highlight w:val="none"/>
              </w:rPr>
              <w:t>分；发生安全有责事故造成人员死亡的，每发生一起扣</w:t>
            </w:r>
            <w:r>
              <w:rPr>
                <w:rFonts w:ascii="仿宋" w:hAnsi="仿宋" w:eastAsia="仿宋" w:cs="仿宋"/>
                <w:color w:val="auto"/>
                <w:sz w:val="24"/>
                <w:highlight w:val="none"/>
              </w:rPr>
              <w:t>4</w:t>
            </w:r>
            <w:r>
              <w:rPr>
                <w:rFonts w:hint="eastAsia" w:ascii="仿宋" w:hAnsi="仿宋" w:eastAsia="仿宋" w:cs="仿宋"/>
                <w:color w:val="auto"/>
                <w:sz w:val="24"/>
                <w:highlight w:val="none"/>
              </w:rPr>
              <w:t>分；发生有责安全事故造成人员受伤的，每发生一起扣</w:t>
            </w:r>
            <w:r>
              <w:rPr>
                <w:rFonts w:ascii="仿宋" w:hAnsi="仿宋" w:eastAsia="仿宋" w:cs="仿宋"/>
                <w:color w:val="auto"/>
                <w:sz w:val="24"/>
                <w:highlight w:val="none"/>
              </w:rPr>
              <w:t>2</w:t>
            </w:r>
            <w:r>
              <w:rPr>
                <w:rFonts w:hint="eastAsia" w:ascii="仿宋" w:hAnsi="仿宋" w:eastAsia="仿宋" w:cs="仿宋"/>
                <w:color w:val="auto"/>
                <w:sz w:val="24"/>
                <w:highlight w:val="none"/>
              </w:rPr>
              <w:t>分。本项起评分为</w:t>
            </w:r>
            <w:r>
              <w:rPr>
                <w:rFonts w:ascii="仿宋" w:hAnsi="仿宋" w:eastAsia="仿宋" w:cs="仿宋"/>
                <w:color w:val="auto"/>
                <w:sz w:val="24"/>
                <w:highlight w:val="none"/>
              </w:rPr>
              <w:t>4</w:t>
            </w:r>
            <w:r>
              <w:rPr>
                <w:rFonts w:hint="eastAsia" w:ascii="仿宋" w:hAnsi="仿宋" w:eastAsia="仿宋" w:cs="仿宋"/>
                <w:color w:val="auto"/>
                <w:sz w:val="24"/>
                <w:highlight w:val="none"/>
              </w:rPr>
              <w:t>分。</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0-4</w:t>
            </w:r>
            <w:r>
              <w:rPr>
                <w:rFonts w:hint="eastAsia" w:ascii="仿宋" w:hAnsi="仿宋" w:eastAsia="仿宋" w:cs="仿宋"/>
                <w:b/>
                <w:bCs/>
                <w:color w:val="auto"/>
                <w:sz w:val="24"/>
                <w:highlight w:val="none"/>
              </w:rPr>
              <w:t>分）</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（日期以安全生产事故发生之日为准，以市、区城管部门出具的相关材料为依据，无此情况者请在投标文件中提供承诺书，无承诺书者不得分，若有隐瞒的取消其中标资格。）</w:t>
            </w:r>
          </w:p>
        </w:tc>
        <w:tc>
          <w:tcPr>
            <w:tcW w:w="494" w:type="pct"/>
            <w:vAlign w:val="center"/>
          </w:tcPr>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ascii="仿宋" w:hAnsi="仿宋" w:eastAsia="仿宋" w:cs="仿宋"/>
                <w:bCs/>
                <w:color w:val="auto"/>
                <w:kern w:val="0"/>
                <w:sz w:val="21"/>
                <w:szCs w:val="21"/>
                <w:highlight w:val="none"/>
              </w:rPr>
              <w:t>4</w:t>
            </w:r>
            <w:r>
              <w:rPr>
                <w:rFonts w:hint="eastAsia" w:ascii="仿宋" w:hAnsi="仿宋" w:eastAsia="仿宋" w:cs="仿宋"/>
                <w:color w:val="auto"/>
                <w:sz w:val="21"/>
                <w:szCs w:val="21"/>
                <w:highlight w:val="none"/>
              </w:rPr>
              <w:t>（客观）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70" w:type="pct"/>
            <w:vMerge w:val="restart"/>
            <w:vAlign w:val="center"/>
          </w:tcPr>
          <w:p>
            <w:pPr>
              <w:spacing w:line="340" w:lineRule="exact"/>
              <w:jc w:val="center"/>
              <w:rPr>
                <w:rFonts w:hint="default" w:ascii="仿宋" w:hAnsi="仿宋" w:eastAsia="仿宋" w:cs="仿宋"/>
                <w:color w:val="auto"/>
                <w:szCs w:val="21"/>
                <w:highlight w:val="none"/>
                <w:lang w:val="en-US" w:eastAsia="zh-CN"/>
              </w:rPr>
            </w:pPr>
            <w:r>
              <w:rPr>
                <w:rFonts w:hint="eastAsia" w:ascii="仿宋" w:hAnsi="仿宋" w:cs="仿宋"/>
                <w:color w:val="auto"/>
                <w:szCs w:val="21"/>
                <w:highlight w:val="none"/>
                <w:lang w:val="en-US" w:eastAsia="zh-CN"/>
              </w:rPr>
              <w:t>8</w:t>
            </w:r>
          </w:p>
        </w:tc>
        <w:tc>
          <w:tcPr>
            <w:tcW w:w="433" w:type="pct"/>
            <w:vMerge w:val="restart"/>
            <w:vAlign w:val="center"/>
          </w:tcPr>
          <w:p>
            <w:pPr>
              <w:adjustRightInd w:val="0"/>
              <w:snapToGrid w:val="0"/>
              <w:spacing w:line="300"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整体服务方案</w:t>
            </w:r>
          </w:p>
          <w:p>
            <w:pPr>
              <w:spacing w:line="276" w:lineRule="auto"/>
              <w:jc w:val="left"/>
              <w:rPr>
                <w:rFonts w:hint="default" w:ascii="仿宋" w:hAnsi="仿宋" w:eastAsia="仿宋" w:cs="仿宋"/>
                <w:color w:val="auto"/>
                <w:kern w:val="2"/>
                <w:sz w:val="24"/>
                <w:szCs w:val="24"/>
                <w:highlight w:val="none"/>
                <w:lang w:val="en-US" w:eastAsia="zh-CN" w:bidi="ar-SA"/>
              </w:rPr>
            </w:pPr>
          </w:p>
        </w:tc>
        <w:tc>
          <w:tcPr>
            <w:tcW w:w="2746" w:type="pct"/>
            <w:vAlign w:val="center"/>
          </w:tcPr>
          <w:p>
            <w:pPr>
              <w:spacing w:line="276" w:lineRule="auto"/>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a.</w:t>
            </w:r>
            <w:r>
              <w:rPr>
                <w:rFonts w:hint="eastAsia" w:ascii="仿宋" w:hAnsi="仿宋" w:eastAsia="仿宋" w:cs="仿宋"/>
                <w:color w:val="auto"/>
                <w:sz w:val="24"/>
                <w:highlight w:val="none"/>
              </w:rPr>
              <w:t>保洁方案切合本招标项目预定要求，针对性、操作性强，有突出重点的保洁内容。</w:t>
            </w:r>
            <w:r>
              <w:rPr>
                <w:rFonts w:hint="eastAsia" w:ascii="仿宋" w:hAnsi="仿宋" w:eastAsia="仿宋" w:cs="仿宋"/>
                <w:b/>
                <w:color w:val="auto"/>
                <w:sz w:val="24"/>
                <w:highlight w:val="none"/>
              </w:rPr>
              <w:t>（</w:t>
            </w:r>
            <w:r>
              <w:rPr>
                <w:rFonts w:ascii="仿宋" w:hAnsi="仿宋" w:eastAsia="仿宋" w:cs="仿宋"/>
                <w:b/>
                <w:color w:val="auto"/>
                <w:sz w:val="24"/>
                <w:highlight w:val="none"/>
              </w:rPr>
              <w:t>0-4</w:t>
            </w:r>
            <w:r>
              <w:rPr>
                <w:rFonts w:hint="eastAsia" w:ascii="仿宋" w:hAnsi="仿宋" w:eastAsia="仿宋" w:cs="仿宋"/>
                <w:b/>
                <w:color w:val="auto"/>
                <w:sz w:val="24"/>
                <w:highlight w:val="none"/>
              </w:rPr>
              <w:t>分）</w:t>
            </w:r>
          </w:p>
        </w:tc>
        <w:tc>
          <w:tcPr>
            <w:tcW w:w="494" w:type="pct"/>
            <w:vAlign w:val="center"/>
          </w:tcPr>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4</w:t>
            </w:r>
            <w:r>
              <w:rPr>
                <w:rFonts w:hint="eastAsia" w:ascii="仿宋" w:hAnsi="仿宋" w:eastAsia="仿宋" w:cs="仿宋"/>
                <w:color w:val="auto"/>
                <w:sz w:val="21"/>
                <w:szCs w:val="21"/>
                <w:highlight w:val="none"/>
              </w:rPr>
              <w:t>（主观）</w:t>
            </w:r>
          </w:p>
        </w:tc>
        <w:tc>
          <w:tcPr>
            <w:tcW w:w="954" w:type="pct"/>
            <w:vMerge w:val="restart"/>
            <w:vAlign w:val="center"/>
          </w:tcPr>
          <w:p>
            <w:pPr>
              <w:widowControl/>
              <w:spacing w:line="360" w:lineRule="auto"/>
              <w:jc w:val="center"/>
              <w:rPr>
                <w:rFonts w:hint="eastAsia" w:ascii="仿宋" w:hAnsi="仿宋" w:eastAsia="仿宋" w:cs="微软雅黑"/>
                <w:color w:val="auto"/>
                <w:sz w:val="24"/>
                <w:highlight w:val="none"/>
              </w:rPr>
            </w:pPr>
            <w:r>
              <w:rPr>
                <w:rFonts w:hint="eastAsia" w:ascii="仿宋" w:hAnsi="仿宋" w:eastAsia="仿宋" w:cs="仿宋"/>
                <w:color w:val="auto"/>
                <w:sz w:val="24"/>
                <w:highlight w:val="none"/>
              </w:rPr>
              <w:t>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b.</w:t>
            </w:r>
            <w:r>
              <w:rPr>
                <w:rFonts w:hint="eastAsia" w:ascii="仿宋" w:hAnsi="仿宋" w:eastAsia="仿宋" w:cs="仿宋"/>
                <w:color w:val="auto"/>
                <w:sz w:val="24"/>
                <w:highlight w:val="none"/>
              </w:rPr>
              <w:t>突破传统运作模式，保洁管理、作业措施有创新，工作成效明显。评标委员会评分。</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0-4</w:t>
            </w:r>
            <w:r>
              <w:rPr>
                <w:rFonts w:hint="eastAsia" w:ascii="仿宋" w:hAnsi="仿宋" w:eastAsia="仿宋" w:cs="仿宋"/>
                <w:b/>
                <w:bCs/>
                <w:color w:val="auto"/>
                <w:sz w:val="24"/>
                <w:highlight w:val="none"/>
              </w:rPr>
              <w:t>分）</w:t>
            </w:r>
          </w:p>
        </w:tc>
        <w:tc>
          <w:tcPr>
            <w:tcW w:w="494" w:type="pct"/>
            <w:vAlign w:val="center"/>
          </w:tcPr>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4</w:t>
            </w:r>
            <w:r>
              <w:rPr>
                <w:rFonts w:hint="eastAsia" w:ascii="仿宋" w:hAnsi="仿宋" w:eastAsia="仿宋" w:cs="仿宋"/>
                <w:color w:val="auto"/>
                <w:sz w:val="21"/>
                <w:szCs w:val="21"/>
                <w:highlight w:val="none"/>
              </w:rPr>
              <w:t>（主观）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c.</w:t>
            </w:r>
            <w:r>
              <w:rPr>
                <w:rFonts w:hint="eastAsia" w:ascii="仿宋" w:hAnsi="仿宋" w:eastAsia="仿宋" w:cs="仿宋"/>
                <w:color w:val="auto"/>
                <w:sz w:val="24"/>
                <w:highlight w:val="none"/>
              </w:rPr>
              <w:t>质量保证及工作台账编制内容针对性、详细程度、可行性等及有利于本项目执行的角度评分。</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0-4</w:t>
            </w:r>
            <w:r>
              <w:rPr>
                <w:rFonts w:hint="eastAsia" w:ascii="仿宋" w:hAnsi="仿宋" w:eastAsia="仿宋" w:cs="仿宋"/>
                <w:b/>
                <w:bCs/>
                <w:color w:val="auto"/>
                <w:sz w:val="24"/>
                <w:highlight w:val="none"/>
              </w:rPr>
              <w:t>分）</w:t>
            </w:r>
          </w:p>
        </w:tc>
        <w:tc>
          <w:tcPr>
            <w:tcW w:w="494" w:type="pct"/>
            <w:vAlign w:val="center"/>
          </w:tcPr>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4</w:t>
            </w:r>
            <w:r>
              <w:rPr>
                <w:rFonts w:hint="eastAsia" w:ascii="仿宋" w:hAnsi="仿宋" w:eastAsia="仿宋" w:cs="仿宋"/>
                <w:color w:val="auto"/>
                <w:sz w:val="21"/>
                <w:szCs w:val="21"/>
                <w:highlight w:val="none"/>
              </w:rPr>
              <w:t>（主观）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jc w:val="left"/>
              <w:rPr>
                <w:rFonts w:ascii="仿宋" w:hAnsi="仿宋" w:eastAsia="仿宋" w:cs="仿宋"/>
                <w:color w:val="auto"/>
                <w:sz w:val="24"/>
                <w:highlight w:val="none"/>
              </w:rPr>
            </w:pPr>
            <w:r>
              <w:rPr>
                <w:rFonts w:ascii="仿宋" w:hAnsi="仿宋" w:eastAsia="仿宋" w:cs="仿宋"/>
                <w:color w:val="auto"/>
                <w:sz w:val="24"/>
                <w:highlight w:val="none"/>
              </w:rPr>
              <w:t>d.</w:t>
            </w:r>
            <w:r>
              <w:rPr>
                <w:rFonts w:hint="eastAsia" w:ascii="宋体" w:hAnsi="宋体" w:cs="Arial"/>
                <w:color w:val="auto"/>
                <w:sz w:val="24"/>
                <w:highlight w:val="none"/>
                <w:lang w:eastAsia="zh-CN"/>
              </w:rPr>
              <w:t>疫情防控</w:t>
            </w:r>
            <w:r>
              <w:rPr>
                <w:rFonts w:hint="eastAsia" w:ascii="宋体" w:hAnsi="宋体" w:cs="仿宋"/>
                <w:color w:val="auto"/>
                <w:sz w:val="24"/>
                <w:highlight w:val="none"/>
              </w:rPr>
              <w:t>制度</w:t>
            </w:r>
            <w:r>
              <w:rPr>
                <w:rFonts w:hint="eastAsia" w:ascii="仿宋" w:hAnsi="仿宋" w:eastAsia="仿宋" w:cs="仿宋"/>
                <w:color w:val="auto"/>
                <w:sz w:val="24"/>
                <w:highlight w:val="none"/>
              </w:rPr>
              <w:t>针对性、详细程度、可行性等。</w:t>
            </w:r>
            <w:r>
              <w:rPr>
                <w:rFonts w:hint="eastAsia" w:ascii="宋体" w:hAnsi="宋体" w:cs="Arial"/>
                <w:b/>
                <w:color w:val="auto"/>
                <w:sz w:val="24"/>
                <w:highlight w:val="none"/>
              </w:rPr>
              <w:t>（</w:t>
            </w:r>
            <w:r>
              <w:rPr>
                <w:rFonts w:ascii="宋体" w:hAnsi="宋体" w:cs="Arial"/>
                <w:b/>
                <w:color w:val="auto"/>
                <w:sz w:val="24"/>
                <w:highlight w:val="none"/>
              </w:rPr>
              <w:t>0-</w:t>
            </w:r>
            <w:r>
              <w:rPr>
                <w:rFonts w:hint="eastAsia" w:ascii="宋体" w:hAnsi="宋体" w:cs="Arial"/>
                <w:b/>
                <w:color w:val="auto"/>
                <w:sz w:val="24"/>
                <w:highlight w:val="none"/>
                <w:lang w:val="en-US" w:eastAsia="zh-CN"/>
              </w:rPr>
              <w:t>4</w:t>
            </w:r>
            <w:r>
              <w:rPr>
                <w:rFonts w:hint="eastAsia" w:ascii="宋体" w:hAnsi="宋体" w:cs="Arial"/>
                <w:b/>
                <w:color w:val="auto"/>
                <w:sz w:val="24"/>
                <w:highlight w:val="none"/>
              </w:rPr>
              <w:t>分）</w:t>
            </w:r>
          </w:p>
        </w:tc>
        <w:tc>
          <w:tcPr>
            <w:tcW w:w="494" w:type="pct"/>
            <w:vAlign w:val="center"/>
          </w:tcPr>
          <w:p>
            <w:pPr>
              <w:adjustRightInd w:val="0"/>
              <w:snapToGrid w:val="0"/>
              <w:spacing w:line="300" w:lineRule="auto"/>
              <w:jc w:val="center"/>
              <w:rPr>
                <w:rFonts w:ascii="仿宋" w:hAnsi="仿宋" w:eastAsia="仿宋" w:cs="仿宋"/>
                <w:color w:val="auto"/>
                <w:sz w:val="21"/>
                <w:szCs w:val="21"/>
                <w:highlight w:val="none"/>
              </w:rPr>
            </w:pPr>
            <w:r>
              <w:rPr>
                <w:rFonts w:ascii="仿宋" w:hAnsi="仿宋" w:eastAsia="仿宋" w:cs="仿宋"/>
                <w:color w:val="auto"/>
                <w:sz w:val="21"/>
                <w:szCs w:val="21"/>
                <w:highlight w:val="none"/>
              </w:rPr>
              <w:t>4</w:t>
            </w:r>
            <w:r>
              <w:rPr>
                <w:rFonts w:hint="eastAsia" w:ascii="仿宋" w:hAnsi="仿宋" w:eastAsia="仿宋" w:cs="仿宋"/>
                <w:color w:val="auto"/>
                <w:sz w:val="21"/>
                <w:szCs w:val="21"/>
                <w:highlight w:val="none"/>
              </w:rPr>
              <w:t>（主观）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cs="仿宋"/>
                <w:color w:val="auto"/>
                <w:sz w:val="24"/>
                <w:highlight w:val="none"/>
                <w:lang w:val="en-US" w:eastAsia="zh-CN"/>
              </w:rPr>
              <w:t>e</w:t>
            </w:r>
            <w:r>
              <w:rPr>
                <w:rFonts w:ascii="仿宋" w:hAnsi="仿宋" w:eastAsia="仿宋" w:cs="仿宋"/>
                <w:color w:val="auto"/>
                <w:sz w:val="24"/>
                <w:highlight w:val="none"/>
              </w:rPr>
              <w:t>.</w:t>
            </w:r>
            <w:r>
              <w:rPr>
                <w:rFonts w:hint="eastAsia" w:ascii="仿宋" w:hAnsi="仿宋" w:eastAsia="仿宋" w:cs="仿宋"/>
                <w:color w:val="auto"/>
                <w:sz w:val="24"/>
                <w:highlight w:val="none"/>
              </w:rPr>
              <w:t>应急能力方案（包括紧急情况及突发事件处理方案、重大活动保障应急预案、暴雨降雪等恶劣天气应急预案等）。</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0-4</w:t>
            </w:r>
            <w:r>
              <w:rPr>
                <w:rFonts w:hint="eastAsia" w:ascii="仿宋" w:hAnsi="仿宋" w:eastAsia="仿宋" w:cs="仿宋"/>
                <w:b/>
                <w:bCs/>
                <w:color w:val="auto"/>
                <w:sz w:val="24"/>
                <w:highlight w:val="none"/>
              </w:rPr>
              <w:t>分）</w:t>
            </w:r>
          </w:p>
        </w:tc>
        <w:tc>
          <w:tcPr>
            <w:tcW w:w="494" w:type="pct"/>
            <w:vAlign w:val="center"/>
          </w:tcPr>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4</w:t>
            </w:r>
            <w:r>
              <w:rPr>
                <w:rFonts w:hint="eastAsia" w:ascii="仿宋" w:hAnsi="仿宋" w:eastAsia="仿宋" w:cs="仿宋"/>
                <w:color w:val="auto"/>
                <w:sz w:val="21"/>
                <w:szCs w:val="21"/>
                <w:highlight w:val="none"/>
              </w:rPr>
              <w:t>（主观）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70" w:type="pct"/>
            <w:vAlign w:val="center"/>
          </w:tcPr>
          <w:p>
            <w:pPr>
              <w:jc w:val="center"/>
              <w:rPr>
                <w:rFonts w:hint="default" w:ascii="仿宋" w:hAnsi="仿宋" w:cs="仿宋_GB2312"/>
                <w:color w:val="auto"/>
                <w:sz w:val="24"/>
                <w:highlight w:val="none"/>
                <w:lang w:val="en-US" w:eastAsia="zh-CN"/>
              </w:rPr>
            </w:pPr>
            <w:r>
              <w:rPr>
                <w:rFonts w:hint="eastAsia" w:ascii="仿宋" w:hAnsi="仿宋" w:cs="仿宋_GB2312"/>
                <w:color w:val="auto"/>
                <w:sz w:val="24"/>
                <w:highlight w:val="none"/>
                <w:lang w:val="en-US" w:eastAsia="zh-CN"/>
              </w:rPr>
              <w:t>9</w:t>
            </w:r>
          </w:p>
        </w:tc>
        <w:tc>
          <w:tcPr>
            <w:tcW w:w="3179" w:type="pct"/>
            <w:gridSpan w:val="2"/>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公司管理体系</w:t>
            </w:r>
            <w:r>
              <w:rPr>
                <w:rFonts w:hint="eastAsia" w:ascii="仿宋" w:hAnsi="仿宋" w:cs="仿宋"/>
                <w:color w:val="auto"/>
                <w:sz w:val="24"/>
                <w:highlight w:val="none"/>
                <w:lang w:eastAsia="zh-CN"/>
              </w:rPr>
              <w:t>：</w:t>
            </w:r>
            <w:r>
              <w:rPr>
                <w:rFonts w:hint="eastAsia" w:ascii="仿宋" w:hAnsi="仿宋" w:eastAsia="仿宋" w:cs="仿宋"/>
                <w:color w:val="auto"/>
                <w:sz w:val="24"/>
                <w:highlight w:val="none"/>
              </w:rPr>
              <w:t>质量管理体系完善，制订内部考核制度，有专门的机构负责对本项目进行质量监管，针对本项目制订具体质量管理考核细则。（</w:t>
            </w:r>
            <w:r>
              <w:rPr>
                <w:rFonts w:ascii="仿宋" w:hAnsi="仿宋" w:eastAsia="仿宋" w:cs="仿宋"/>
                <w:b/>
                <w:bCs/>
                <w:color w:val="auto"/>
                <w:sz w:val="24"/>
                <w:highlight w:val="none"/>
              </w:rPr>
              <w:t>0-5</w:t>
            </w:r>
            <w:r>
              <w:rPr>
                <w:rFonts w:hint="eastAsia" w:ascii="仿宋" w:hAnsi="仿宋" w:eastAsia="仿宋" w:cs="仿宋"/>
                <w:b/>
                <w:bCs/>
                <w:color w:val="auto"/>
                <w:sz w:val="24"/>
                <w:highlight w:val="none"/>
              </w:rPr>
              <w:t>分</w:t>
            </w:r>
            <w:r>
              <w:rPr>
                <w:rFonts w:hint="eastAsia" w:ascii="仿宋" w:hAnsi="仿宋" w:eastAsia="仿宋" w:cs="仿宋"/>
                <w:color w:val="auto"/>
                <w:sz w:val="24"/>
                <w:highlight w:val="none"/>
              </w:rPr>
              <w:t>）</w:t>
            </w:r>
          </w:p>
        </w:tc>
        <w:tc>
          <w:tcPr>
            <w:tcW w:w="494" w:type="pct"/>
            <w:vAlign w:val="center"/>
          </w:tcPr>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5</w:t>
            </w:r>
            <w:r>
              <w:rPr>
                <w:rFonts w:hint="eastAsia" w:ascii="仿宋" w:hAnsi="仿宋" w:eastAsia="仿宋" w:cs="仿宋"/>
                <w:color w:val="auto"/>
                <w:sz w:val="21"/>
                <w:szCs w:val="21"/>
                <w:highlight w:val="none"/>
              </w:rPr>
              <w:t>（主观）</w:t>
            </w:r>
          </w:p>
        </w:tc>
        <w:tc>
          <w:tcPr>
            <w:tcW w:w="954" w:type="pct"/>
            <w:vAlign w:val="center"/>
          </w:tcPr>
          <w:p>
            <w:pPr>
              <w:snapToGrid w:val="0"/>
              <w:spacing w:line="360" w:lineRule="auto"/>
              <w:jc w:val="center"/>
              <w:rPr>
                <w:rFonts w:hint="eastAsia" w:ascii="仿宋" w:hAnsi="仿宋" w:cs="微软雅黑"/>
                <w:color w:val="auto"/>
                <w:kern w:val="2"/>
                <w:sz w:val="24"/>
                <w:szCs w:val="24"/>
                <w:highlight w:val="none"/>
                <w:lang w:val="en-US" w:eastAsia="zh-CN" w:bidi="ar-SA"/>
              </w:rPr>
            </w:pPr>
            <w:r>
              <w:rPr>
                <w:rFonts w:hint="eastAsia" w:ascii="仿宋" w:hAnsi="仿宋" w:eastAsia="仿宋" w:cs="仿宋"/>
                <w:color w:val="auto"/>
                <w:sz w:val="24"/>
                <w:highlight w:val="none"/>
              </w:rPr>
              <w:t>公司管理体系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70" w:type="pct"/>
            <w:vAlign w:val="center"/>
          </w:tcPr>
          <w:p>
            <w:pPr>
              <w:jc w:val="center"/>
              <w:rPr>
                <w:rFonts w:hint="default" w:ascii="仿宋" w:hAnsi="仿宋" w:cs="仿宋_GB2312"/>
                <w:color w:val="auto"/>
                <w:sz w:val="24"/>
                <w:highlight w:val="none"/>
                <w:lang w:val="en-US" w:eastAsia="zh-CN"/>
              </w:rPr>
            </w:pPr>
            <w:r>
              <w:rPr>
                <w:rFonts w:hint="eastAsia" w:ascii="仿宋" w:hAnsi="仿宋" w:cs="仿宋_GB2312"/>
                <w:color w:val="auto"/>
                <w:sz w:val="24"/>
                <w:highlight w:val="none"/>
                <w:lang w:val="en-US" w:eastAsia="zh-CN"/>
              </w:rPr>
              <w:t>10</w:t>
            </w:r>
          </w:p>
        </w:tc>
        <w:tc>
          <w:tcPr>
            <w:tcW w:w="3179" w:type="pct"/>
            <w:gridSpan w:val="2"/>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项目进场及移交方案</w:t>
            </w:r>
            <w:r>
              <w:rPr>
                <w:rFonts w:hint="eastAsia" w:ascii="仿宋" w:hAnsi="仿宋" w:cs="仿宋"/>
                <w:color w:val="auto"/>
                <w:sz w:val="24"/>
                <w:highlight w:val="none"/>
                <w:lang w:eastAsia="zh-CN"/>
              </w:rPr>
              <w:t>：</w:t>
            </w:r>
            <w:r>
              <w:rPr>
                <w:rFonts w:hint="eastAsia" w:ascii="仿宋" w:hAnsi="仿宋" w:eastAsia="仿宋" w:cs="仿宋"/>
                <w:color w:val="auto"/>
                <w:sz w:val="24"/>
                <w:highlight w:val="none"/>
              </w:rPr>
              <w:t>合同开始执行和合同到期后移交平稳过渡计划实施方案：企业进出场交接计划措施、平稳过渡实施方案等相关措施。</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0-4</w:t>
            </w:r>
            <w:r>
              <w:rPr>
                <w:rFonts w:hint="eastAsia" w:ascii="仿宋" w:hAnsi="仿宋" w:eastAsia="仿宋" w:cs="仿宋"/>
                <w:b/>
                <w:bCs/>
                <w:color w:val="auto"/>
                <w:sz w:val="24"/>
                <w:highlight w:val="none"/>
              </w:rPr>
              <w:t>分）</w:t>
            </w:r>
          </w:p>
        </w:tc>
        <w:tc>
          <w:tcPr>
            <w:tcW w:w="494" w:type="pct"/>
            <w:vAlign w:val="center"/>
          </w:tcPr>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4</w:t>
            </w:r>
            <w:r>
              <w:rPr>
                <w:rFonts w:hint="eastAsia" w:ascii="仿宋" w:hAnsi="仿宋" w:eastAsia="仿宋" w:cs="仿宋"/>
                <w:color w:val="auto"/>
                <w:sz w:val="21"/>
                <w:szCs w:val="21"/>
                <w:highlight w:val="none"/>
              </w:rPr>
              <w:t>（主观）</w:t>
            </w:r>
          </w:p>
        </w:tc>
        <w:tc>
          <w:tcPr>
            <w:tcW w:w="954" w:type="pct"/>
            <w:vAlign w:val="center"/>
          </w:tcPr>
          <w:p>
            <w:pPr>
              <w:snapToGrid w:val="0"/>
              <w:spacing w:line="360" w:lineRule="auto"/>
              <w:jc w:val="center"/>
              <w:rPr>
                <w:rFonts w:hint="eastAsia" w:ascii="仿宋" w:hAnsi="仿宋" w:cs="微软雅黑"/>
                <w:color w:val="auto"/>
                <w:kern w:val="2"/>
                <w:sz w:val="24"/>
                <w:szCs w:val="24"/>
                <w:highlight w:val="none"/>
                <w:lang w:val="en-US" w:eastAsia="zh-CN" w:bidi="ar-SA"/>
              </w:rPr>
            </w:pPr>
            <w:r>
              <w:rPr>
                <w:rFonts w:hint="eastAsia" w:ascii="仿宋" w:hAnsi="仿宋" w:eastAsia="仿宋" w:cs="仿宋"/>
                <w:color w:val="auto"/>
                <w:sz w:val="24"/>
                <w:highlight w:val="none"/>
              </w:rPr>
              <w:t>项目进场及移交方案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70" w:type="pct"/>
            <w:vMerge w:val="restart"/>
            <w:vAlign w:val="center"/>
          </w:tcPr>
          <w:p>
            <w:pPr>
              <w:spacing w:line="340" w:lineRule="exact"/>
              <w:jc w:val="center"/>
              <w:rPr>
                <w:rFonts w:hint="default" w:ascii="仿宋" w:hAnsi="仿宋" w:eastAsia="仿宋" w:cs="仿宋"/>
                <w:color w:val="auto"/>
                <w:szCs w:val="21"/>
                <w:highlight w:val="none"/>
                <w:lang w:val="en-US" w:eastAsia="zh-CN"/>
              </w:rPr>
            </w:pPr>
            <w:r>
              <w:rPr>
                <w:rFonts w:hint="eastAsia" w:ascii="仿宋" w:hAnsi="仿宋" w:cs="仿宋"/>
                <w:color w:val="auto"/>
                <w:szCs w:val="21"/>
                <w:highlight w:val="none"/>
                <w:lang w:val="en-US" w:eastAsia="zh-CN"/>
              </w:rPr>
              <w:t>11</w:t>
            </w:r>
          </w:p>
        </w:tc>
        <w:tc>
          <w:tcPr>
            <w:tcW w:w="433" w:type="pct"/>
            <w:vMerge w:val="restart"/>
            <w:vAlign w:val="center"/>
          </w:tcPr>
          <w:p>
            <w:pPr>
              <w:adjustRightInd w:val="0"/>
              <w:snapToGrid w:val="0"/>
              <w:spacing w:line="300" w:lineRule="auto"/>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保洁作业力量保障</w:t>
            </w:r>
          </w:p>
          <w:p>
            <w:pPr>
              <w:spacing w:line="276" w:lineRule="auto"/>
              <w:jc w:val="left"/>
              <w:rPr>
                <w:rFonts w:hint="default" w:ascii="仿宋" w:hAnsi="仿宋" w:eastAsia="仿宋" w:cs="仿宋"/>
                <w:color w:val="auto"/>
                <w:kern w:val="2"/>
                <w:sz w:val="24"/>
                <w:szCs w:val="24"/>
                <w:highlight w:val="none"/>
                <w:lang w:val="en-US" w:eastAsia="zh-CN" w:bidi="ar-SA"/>
              </w:rPr>
            </w:pPr>
          </w:p>
        </w:tc>
        <w:tc>
          <w:tcPr>
            <w:tcW w:w="2746" w:type="pct"/>
            <w:vAlign w:val="center"/>
          </w:tcPr>
          <w:p>
            <w:pPr>
              <w:spacing w:line="276" w:lineRule="auto"/>
              <w:jc w:val="left"/>
              <w:rPr>
                <w:rFonts w:ascii="仿宋" w:hAnsi="仿宋" w:eastAsia="仿宋" w:cs="仿宋"/>
                <w:color w:val="auto"/>
                <w:sz w:val="24"/>
                <w:highlight w:val="none"/>
              </w:rPr>
            </w:pPr>
            <w:r>
              <w:rPr>
                <w:rFonts w:ascii="仿宋" w:hAnsi="仿宋" w:eastAsia="仿宋" w:cs="仿宋"/>
                <w:color w:val="auto"/>
                <w:sz w:val="24"/>
                <w:highlight w:val="none"/>
              </w:rPr>
              <w:t>a.</w:t>
            </w:r>
            <w:r>
              <w:rPr>
                <w:rFonts w:hint="eastAsia" w:ascii="仿宋" w:hAnsi="仿宋" w:eastAsia="仿宋" w:cs="仿宋"/>
                <w:color w:val="auto"/>
                <w:sz w:val="24"/>
                <w:highlight w:val="none"/>
              </w:rPr>
              <w:t>提供吸粪车辆具体配置计划表并承诺仅供本项目使用。投入自有吸粪车用于本项目，满足的得</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0-5</w:t>
            </w:r>
            <w:r>
              <w:rPr>
                <w:rFonts w:hint="eastAsia" w:ascii="仿宋" w:hAnsi="仿宋" w:eastAsia="仿宋" w:cs="仿宋"/>
                <w:b/>
                <w:bCs/>
                <w:color w:val="auto"/>
                <w:sz w:val="24"/>
                <w:highlight w:val="none"/>
              </w:rPr>
              <w:t>分）</w:t>
            </w:r>
          </w:p>
          <w:p>
            <w:pPr>
              <w:spacing w:line="276" w:lineRule="auto"/>
              <w:jc w:val="lef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提供以上各类机具自有凭证（购车发票、行驶证）或可使用凭证（划拨使用证明及车辆明细等（不含租赁））、机具照片和保证仅用于本保洁项目的书面承诺书。无法提供上述机具证明材料、没有提供保证仅用于本保洁项目的书面承诺书的，均不得分。</w:t>
            </w:r>
          </w:p>
        </w:tc>
        <w:tc>
          <w:tcPr>
            <w:tcW w:w="494" w:type="pct"/>
            <w:vAlign w:val="center"/>
          </w:tcPr>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5</w:t>
            </w:r>
            <w:r>
              <w:rPr>
                <w:rFonts w:hint="eastAsia" w:ascii="仿宋" w:hAnsi="仿宋" w:eastAsia="仿宋" w:cs="仿宋"/>
                <w:color w:val="auto"/>
                <w:sz w:val="21"/>
                <w:szCs w:val="21"/>
                <w:highlight w:val="none"/>
              </w:rPr>
              <w:t>（客观）</w:t>
            </w:r>
          </w:p>
        </w:tc>
        <w:tc>
          <w:tcPr>
            <w:tcW w:w="954" w:type="pct"/>
            <w:vMerge w:val="restart"/>
            <w:vAlign w:val="center"/>
          </w:tcPr>
          <w:p>
            <w:pPr>
              <w:widowControl/>
              <w:spacing w:line="360" w:lineRule="auto"/>
              <w:jc w:val="center"/>
              <w:rPr>
                <w:rFonts w:hint="eastAsia" w:ascii="仿宋" w:hAnsi="仿宋" w:eastAsia="仿宋" w:cs="微软雅黑"/>
                <w:color w:val="auto"/>
                <w:sz w:val="24"/>
                <w:highlight w:val="none"/>
              </w:rPr>
            </w:pPr>
            <w:r>
              <w:rPr>
                <w:rFonts w:hint="eastAsia" w:ascii="仿宋" w:hAnsi="仿宋" w:eastAsia="仿宋" w:cs="仿宋"/>
                <w:color w:val="auto"/>
                <w:sz w:val="24"/>
                <w:highlight w:val="none"/>
              </w:rPr>
              <w:t>保洁作业力量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b.</w:t>
            </w:r>
            <w:r>
              <w:rPr>
                <w:rFonts w:hint="eastAsia" w:ascii="仿宋" w:hAnsi="仿宋" w:eastAsia="仿宋" w:cs="仿宋"/>
                <w:color w:val="auto"/>
                <w:sz w:val="24"/>
                <w:highlight w:val="none"/>
              </w:rPr>
              <w:t>保洁作业人员保障。提供保洁作业人员具体配置计划表，作业人员配备数量等于招标文件规定数量的得</w:t>
            </w:r>
            <w:r>
              <w:rPr>
                <w:rFonts w:ascii="仿宋" w:hAnsi="仿宋" w:eastAsia="仿宋" w:cs="仿宋"/>
                <w:color w:val="auto"/>
                <w:sz w:val="24"/>
                <w:highlight w:val="none"/>
              </w:rPr>
              <w:t>0</w:t>
            </w:r>
            <w:r>
              <w:rPr>
                <w:rFonts w:hint="eastAsia" w:ascii="仿宋" w:hAnsi="仿宋" w:eastAsia="仿宋" w:cs="仿宋"/>
                <w:color w:val="auto"/>
                <w:sz w:val="24"/>
                <w:highlight w:val="none"/>
              </w:rPr>
              <w:t>分，每多一人加</w:t>
            </w:r>
            <w:r>
              <w:rPr>
                <w:rFonts w:ascii="仿宋" w:hAnsi="仿宋" w:eastAsia="仿宋" w:cs="仿宋"/>
                <w:color w:val="auto"/>
                <w:sz w:val="24"/>
                <w:highlight w:val="none"/>
              </w:rPr>
              <w:t>1</w:t>
            </w:r>
            <w:r>
              <w:rPr>
                <w:rFonts w:hint="eastAsia" w:ascii="仿宋" w:hAnsi="仿宋" w:eastAsia="仿宋" w:cs="仿宋"/>
                <w:color w:val="auto"/>
                <w:sz w:val="24"/>
                <w:highlight w:val="none"/>
              </w:rPr>
              <w:t>分，最高得</w:t>
            </w:r>
            <w:r>
              <w:rPr>
                <w:rFonts w:ascii="仿宋" w:hAnsi="仿宋" w:eastAsia="仿宋" w:cs="仿宋"/>
                <w:color w:val="auto"/>
                <w:sz w:val="24"/>
                <w:highlight w:val="none"/>
              </w:rPr>
              <w:t>4</w:t>
            </w:r>
            <w:r>
              <w:rPr>
                <w:rFonts w:hint="eastAsia" w:ascii="仿宋" w:hAnsi="仿宋" w:eastAsia="仿宋" w:cs="仿宋"/>
                <w:color w:val="auto"/>
                <w:sz w:val="24"/>
                <w:highlight w:val="none"/>
              </w:rPr>
              <w:t>分。</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0-4</w:t>
            </w:r>
            <w:r>
              <w:rPr>
                <w:rFonts w:hint="eastAsia" w:ascii="仿宋" w:hAnsi="仿宋" w:eastAsia="仿宋" w:cs="仿宋"/>
                <w:b/>
                <w:bCs/>
                <w:color w:val="auto"/>
                <w:sz w:val="24"/>
                <w:highlight w:val="none"/>
              </w:rPr>
              <w:t>分）</w:t>
            </w:r>
          </w:p>
        </w:tc>
        <w:tc>
          <w:tcPr>
            <w:tcW w:w="494" w:type="pct"/>
            <w:vAlign w:val="center"/>
          </w:tcPr>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4</w:t>
            </w:r>
            <w:r>
              <w:rPr>
                <w:rFonts w:hint="eastAsia" w:ascii="仿宋" w:hAnsi="仿宋" w:eastAsia="仿宋" w:cs="仿宋"/>
                <w:color w:val="auto"/>
                <w:sz w:val="21"/>
                <w:szCs w:val="21"/>
                <w:highlight w:val="none"/>
              </w:rPr>
              <w:t>（客观）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c.</w:t>
            </w:r>
            <w:r>
              <w:rPr>
                <w:rFonts w:hint="eastAsia" w:ascii="仿宋" w:hAnsi="仿宋" w:eastAsia="仿宋" w:cs="仿宋"/>
                <w:color w:val="auto"/>
                <w:sz w:val="24"/>
                <w:highlight w:val="none"/>
              </w:rPr>
              <w:t>人员结构安排合理性，根据公厕管理难易程度安排保洁人员，重点突出，做到定人、定岗、定责任、定时间，评委根据投标文件响应情况及对有利于本项目实施的角度进行酌情打分。</w:t>
            </w:r>
            <w:r>
              <w:rPr>
                <w:rFonts w:hint="eastAsia" w:ascii="仿宋" w:hAnsi="仿宋" w:eastAsia="仿宋" w:cs="仿宋"/>
                <w:b/>
                <w:bCs/>
                <w:color w:val="auto"/>
                <w:sz w:val="24"/>
                <w:highlight w:val="none"/>
              </w:rPr>
              <w:t>（</w:t>
            </w:r>
            <w:r>
              <w:rPr>
                <w:rFonts w:ascii="仿宋" w:hAnsi="仿宋" w:eastAsia="仿宋" w:cs="仿宋"/>
                <w:b/>
                <w:bCs/>
                <w:color w:val="auto"/>
                <w:sz w:val="24"/>
                <w:highlight w:val="none"/>
              </w:rPr>
              <w:t>0-4</w:t>
            </w:r>
            <w:r>
              <w:rPr>
                <w:rFonts w:hint="eastAsia" w:ascii="仿宋" w:hAnsi="仿宋" w:eastAsia="仿宋" w:cs="仿宋"/>
                <w:b/>
                <w:bCs/>
                <w:color w:val="auto"/>
                <w:sz w:val="24"/>
                <w:highlight w:val="none"/>
              </w:rPr>
              <w:t>分）</w:t>
            </w:r>
          </w:p>
        </w:tc>
        <w:tc>
          <w:tcPr>
            <w:tcW w:w="494" w:type="pct"/>
            <w:vAlign w:val="center"/>
          </w:tcPr>
          <w:p>
            <w:pPr>
              <w:adjustRightInd w:val="0"/>
              <w:snapToGrid w:val="0"/>
              <w:spacing w:line="300" w:lineRule="auto"/>
              <w:jc w:val="center"/>
              <w:rPr>
                <w:rFonts w:hint="eastAsia"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4</w:t>
            </w:r>
            <w:r>
              <w:rPr>
                <w:rFonts w:hint="eastAsia" w:ascii="仿宋" w:hAnsi="仿宋" w:eastAsia="仿宋" w:cs="仿宋"/>
                <w:color w:val="auto"/>
                <w:sz w:val="21"/>
                <w:szCs w:val="21"/>
                <w:highlight w:val="none"/>
              </w:rPr>
              <w:t>（主观）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70" w:type="pct"/>
            <w:vMerge w:val="restart"/>
            <w:vAlign w:val="center"/>
          </w:tcPr>
          <w:p>
            <w:pPr>
              <w:spacing w:line="340" w:lineRule="exact"/>
              <w:jc w:val="center"/>
              <w:rPr>
                <w:rFonts w:hint="default" w:ascii="仿宋" w:hAnsi="仿宋" w:eastAsia="仿宋" w:cs="仿宋"/>
                <w:color w:val="auto"/>
                <w:szCs w:val="21"/>
                <w:highlight w:val="none"/>
                <w:lang w:val="en-US" w:eastAsia="zh-CN"/>
              </w:rPr>
            </w:pPr>
            <w:r>
              <w:rPr>
                <w:rFonts w:hint="eastAsia" w:ascii="仿宋" w:hAnsi="仿宋" w:cs="仿宋"/>
                <w:color w:val="auto"/>
                <w:szCs w:val="21"/>
                <w:highlight w:val="none"/>
                <w:lang w:val="en-US" w:eastAsia="zh-CN"/>
              </w:rPr>
              <w:t>12</w:t>
            </w:r>
          </w:p>
        </w:tc>
        <w:tc>
          <w:tcPr>
            <w:tcW w:w="433" w:type="pct"/>
            <w:vMerge w:val="restart"/>
            <w:vAlign w:val="center"/>
          </w:tcPr>
          <w:p>
            <w:pPr>
              <w:autoSpaceDE w:val="0"/>
              <w:adjustRightInd w:val="0"/>
              <w:snapToGrid w:val="0"/>
              <w:spacing w:line="300" w:lineRule="auto"/>
              <w:jc w:val="left"/>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拟投入本项目的项目组管理人员素质情况</w:t>
            </w:r>
          </w:p>
          <w:p>
            <w:pPr>
              <w:spacing w:line="276" w:lineRule="auto"/>
              <w:jc w:val="left"/>
              <w:rPr>
                <w:rFonts w:hint="default" w:ascii="仿宋" w:hAnsi="仿宋" w:eastAsia="仿宋" w:cs="仿宋"/>
                <w:color w:val="auto"/>
                <w:kern w:val="2"/>
                <w:sz w:val="24"/>
                <w:szCs w:val="24"/>
                <w:highlight w:val="none"/>
                <w:lang w:val="en-US" w:eastAsia="zh-CN" w:bidi="ar-SA"/>
              </w:rPr>
            </w:pPr>
          </w:p>
        </w:tc>
        <w:tc>
          <w:tcPr>
            <w:tcW w:w="2746" w:type="pct"/>
            <w:vAlign w:val="center"/>
          </w:tcPr>
          <w:p>
            <w:pPr>
              <w:spacing w:line="276" w:lineRule="auto"/>
              <w:rPr>
                <w:rFonts w:hint="eastAsia" w:ascii="仿宋" w:hAnsi="仿宋" w:eastAsia="仿宋" w:cs="仿宋"/>
                <w:color w:val="auto"/>
                <w:kern w:val="2"/>
                <w:sz w:val="24"/>
                <w:szCs w:val="24"/>
                <w:highlight w:val="none"/>
                <w:lang w:val="en-US" w:eastAsia="zh-CN" w:bidi="ar-SA"/>
              </w:rPr>
            </w:pPr>
            <w:r>
              <w:rPr>
                <w:rFonts w:ascii="仿宋" w:hAnsi="仿宋" w:eastAsia="仿宋" w:cs="仿宋"/>
                <w:bCs/>
                <w:color w:val="auto"/>
                <w:sz w:val="24"/>
                <w:highlight w:val="none"/>
              </w:rPr>
              <w:t>a.</w:t>
            </w:r>
            <w:r>
              <w:rPr>
                <w:rFonts w:hint="eastAsia" w:ascii="仿宋" w:hAnsi="仿宋" w:eastAsia="仿宋" w:cs="仿宋"/>
                <w:bCs/>
                <w:color w:val="auto"/>
                <w:sz w:val="24"/>
                <w:highlight w:val="none"/>
              </w:rPr>
              <w:t>本项目拟配备的项目经理：具有物业管理经理上岗证书、环卫类工程师的</w:t>
            </w:r>
            <w:r>
              <w:rPr>
                <w:rFonts w:ascii="仿宋" w:hAnsi="仿宋" w:eastAsia="仿宋" w:cs="仿宋"/>
                <w:bCs/>
                <w:color w:val="auto"/>
                <w:sz w:val="24"/>
                <w:highlight w:val="none"/>
              </w:rPr>
              <w:t>,</w:t>
            </w:r>
            <w:r>
              <w:rPr>
                <w:rFonts w:hint="eastAsia" w:ascii="仿宋" w:hAnsi="仿宋" w:eastAsia="仿宋" w:cs="仿宋"/>
                <w:bCs/>
                <w:color w:val="auto"/>
                <w:sz w:val="24"/>
                <w:highlight w:val="none"/>
              </w:rPr>
              <w:t>每符合一项得</w:t>
            </w:r>
            <w:r>
              <w:rPr>
                <w:rFonts w:ascii="仿宋" w:hAnsi="仿宋" w:eastAsia="仿宋" w:cs="仿宋"/>
                <w:bCs/>
                <w:color w:val="auto"/>
                <w:sz w:val="24"/>
                <w:highlight w:val="none"/>
              </w:rPr>
              <w:t>2</w:t>
            </w:r>
            <w:r>
              <w:rPr>
                <w:rFonts w:hint="eastAsia" w:ascii="仿宋" w:hAnsi="仿宋" w:eastAsia="仿宋" w:cs="仿宋"/>
                <w:bCs/>
                <w:color w:val="auto"/>
                <w:sz w:val="24"/>
                <w:highlight w:val="none"/>
              </w:rPr>
              <w:t>分，最高得</w:t>
            </w:r>
            <w:r>
              <w:rPr>
                <w:rFonts w:ascii="仿宋" w:hAnsi="仿宋" w:eastAsia="仿宋" w:cs="仿宋"/>
                <w:bCs/>
                <w:color w:val="auto"/>
                <w:sz w:val="24"/>
                <w:highlight w:val="none"/>
              </w:rPr>
              <w:t>4</w:t>
            </w:r>
            <w:r>
              <w:rPr>
                <w:rFonts w:hint="eastAsia" w:ascii="仿宋" w:hAnsi="仿宋" w:eastAsia="仿宋" w:cs="仿宋"/>
                <w:bCs/>
                <w:color w:val="auto"/>
                <w:sz w:val="24"/>
                <w:highlight w:val="none"/>
              </w:rPr>
              <w:t>分。</w:t>
            </w:r>
            <w:r>
              <w:rPr>
                <w:rFonts w:hint="eastAsia" w:ascii="仿宋" w:hAnsi="仿宋" w:eastAsia="仿宋" w:cs="仿宋"/>
                <w:b/>
                <w:bCs/>
                <w:color w:val="auto"/>
                <w:sz w:val="24"/>
                <w:highlight w:val="none"/>
              </w:rPr>
              <w:t>投标文件中提供证明材料，以及该持证人员近</w:t>
            </w:r>
            <w:r>
              <w:rPr>
                <w:rFonts w:ascii="仿宋" w:hAnsi="仿宋" w:eastAsia="仿宋" w:cs="仿宋"/>
                <w:b/>
                <w:bCs/>
                <w:color w:val="auto"/>
                <w:sz w:val="24"/>
                <w:highlight w:val="none"/>
              </w:rPr>
              <w:t>3</w:t>
            </w:r>
            <w:r>
              <w:rPr>
                <w:rFonts w:hint="eastAsia" w:ascii="仿宋" w:hAnsi="仿宋" w:eastAsia="仿宋" w:cs="仿宋"/>
                <w:b/>
                <w:bCs/>
                <w:color w:val="auto"/>
                <w:sz w:val="24"/>
                <w:highlight w:val="none"/>
              </w:rPr>
              <w:t>个月在投标单位的社保证明，投标文件中未提供证明材料扫描件不得分。</w:t>
            </w:r>
          </w:p>
        </w:tc>
        <w:tc>
          <w:tcPr>
            <w:tcW w:w="494" w:type="pct"/>
            <w:vAlign w:val="center"/>
          </w:tcPr>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ascii="仿宋" w:hAnsi="仿宋" w:eastAsia="仿宋" w:cs="仿宋"/>
                <w:bCs/>
                <w:color w:val="auto"/>
                <w:kern w:val="0"/>
                <w:sz w:val="21"/>
                <w:szCs w:val="21"/>
                <w:highlight w:val="none"/>
              </w:rPr>
              <w:t>4</w:t>
            </w:r>
            <w:r>
              <w:rPr>
                <w:rFonts w:hint="eastAsia" w:ascii="仿宋" w:hAnsi="仿宋" w:eastAsia="仿宋" w:cs="仿宋"/>
                <w:color w:val="auto"/>
                <w:sz w:val="21"/>
                <w:szCs w:val="21"/>
                <w:highlight w:val="none"/>
              </w:rPr>
              <w:t>（客观）</w:t>
            </w:r>
          </w:p>
        </w:tc>
        <w:tc>
          <w:tcPr>
            <w:tcW w:w="954" w:type="pct"/>
            <w:vMerge w:val="restart"/>
            <w:vAlign w:val="center"/>
          </w:tcPr>
          <w:p>
            <w:pPr>
              <w:widowControl/>
              <w:spacing w:line="360" w:lineRule="auto"/>
              <w:jc w:val="center"/>
              <w:rPr>
                <w:rFonts w:hint="eastAsia" w:ascii="仿宋" w:hAnsi="仿宋" w:eastAsia="仿宋" w:cs="微软雅黑"/>
                <w:color w:val="auto"/>
                <w:sz w:val="24"/>
                <w:highlight w:val="none"/>
              </w:rPr>
            </w:pPr>
            <w:r>
              <w:rPr>
                <w:rFonts w:hint="eastAsia" w:ascii="仿宋" w:hAnsi="仿宋" w:eastAsia="仿宋" w:cs="仿宋"/>
                <w:color w:val="auto"/>
                <w:sz w:val="24"/>
                <w:highlight w:val="none"/>
              </w:rPr>
              <w:t>项目组人员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rPr>
                <w:rFonts w:hint="eastAsia" w:ascii="仿宋" w:hAnsi="仿宋" w:eastAsia="仿宋" w:cs="仿宋"/>
                <w:bCs/>
                <w:color w:val="auto"/>
                <w:kern w:val="2"/>
                <w:sz w:val="24"/>
                <w:szCs w:val="24"/>
                <w:highlight w:val="none"/>
                <w:lang w:val="en-US" w:eastAsia="zh-CN" w:bidi="ar-SA"/>
              </w:rPr>
            </w:pPr>
            <w:r>
              <w:rPr>
                <w:rFonts w:ascii="仿宋" w:hAnsi="仿宋" w:eastAsia="仿宋" w:cs="仿宋"/>
                <w:bCs/>
                <w:color w:val="auto"/>
                <w:sz w:val="24"/>
                <w:highlight w:val="none"/>
              </w:rPr>
              <w:t>b.</w:t>
            </w:r>
            <w:r>
              <w:rPr>
                <w:rFonts w:hint="eastAsia" w:ascii="仿宋" w:hAnsi="仿宋" w:eastAsia="仿宋" w:cs="仿宋"/>
                <w:bCs/>
                <w:color w:val="auto"/>
                <w:sz w:val="24"/>
                <w:highlight w:val="none"/>
              </w:rPr>
              <w:t>本项目拟配备的管理（巡视）人员：具有公厕管养类证书的、环卫类工程师的，每符合一项得</w:t>
            </w:r>
            <w:r>
              <w:rPr>
                <w:rFonts w:ascii="仿宋" w:hAnsi="仿宋" w:eastAsia="仿宋" w:cs="仿宋"/>
                <w:bCs/>
                <w:color w:val="auto"/>
                <w:sz w:val="24"/>
                <w:highlight w:val="none"/>
              </w:rPr>
              <w:t>2</w:t>
            </w:r>
            <w:r>
              <w:rPr>
                <w:rFonts w:hint="eastAsia" w:ascii="仿宋" w:hAnsi="仿宋" w:eastAsia="仿宋" w:cs="仿宋"/>
                <w:bCs/>
                <w:color w:val="auto"/>
                <w:sz w:val="24"/>
                <w:highlight w:val="none"/>
              </w:rPr>
              <w:t>分，最高得</w:t>
            </w:r>
            <w:r>
              <w:rPr>
                <w:rFonts w:ascii="仿宋" w:hAnsi="仿宋" w:eastAsia="仿宋" w:cs="仿宋"/>
                <w:bCs/>
                <w:color w:val="auto"/>
                <w:sz w:val="24"/>
                <w:highlight w:val="none"/>
              </w:rPr>
              <w:t>4</w:t>
            </w:r>
            <w:r>
              <w:rPr>
                <w:rFonts w:hint="eastAsia" w:ascii="仿宋" w:hAnsi="仿宋" w:eastAsia="仿宋" w:cs="仿宋"/>
                <w:bCs/>
                <w:color w:val="auto"/>
                <w:sz w:val="24"/>
                <w:highlight w:val="none"/>
              </w:rPr>
              <w:t>分。</w:t>
            </w:r>
            <w:r>
              <w:rPr>
                <w:rFonts w:hint="eastAsia" w:ascii="仿宋" w:hAnsi="仿宋" w:eastAsia="仿宋" w:cs="仿宋"/>
                <w:b/>
                <w:bCs/>
                <w:color w:val="auto"/>
                <w:sz w:val="24"/>
                <w:highlight w:val="none"/>
              </w:rPr>
              <w:t>投标文件中提供证明材料，以及该持证人员近</w:t>
            </w:r>
            <w:r>
              <w:rPr>
                <w:rFonts w:ascii="仿宋" w:hAnsi="仿宋" w:eastAsia="仿宋" w:cs="仿宋"/>
                <w:b/>
                <w:bCs/>
                <w:color w:val="auto"/>
                <w:sz w:val="24"/>
                <w:highlight w:val="none"/>
              </w:rPr>
              <w:t>3</w:t>
            </w:r>
            <w:r>
              <w:rPr>
                <w:rFonts w:hint="eastAsia" w:ascii="仿宋" w:hAnsi="仿宋" w:eastAsia="仿宋" w:cs="仿宋"/>
                <w:b/>
                <w:bCs/>
                <w:color w:val="auto"/>
                <w:sz w:val="24"/>
                <w:highlight w:val="none"/>
              </w:rPr>
              <w:t>个月在投标单位的社保证明，投标文件中未提供证明材料扫描件不得分。</w:t>
            </w:r>
          </w:p>
        </w:tc>
        <w:tc>
          <w:tcPr>
            <w:tcW w:w="494" w:type="pct"/>
            <w:vAlign w:val="center"/>
          </w:tcPr>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ascii="仿宋" w:hAnsi="仿宋" w:eastAsia="仿宋" w:cs="仿宋"/>
                <w:bCs/>
                <w:color w:val="auto"/>
                <w:kern w:val="0"/>
                <w:sz w:val="21"/>
                <w:szCs w:val="21"/>
                <w:highlight w:val="none"/>
              </w:rPr>
              <w:t>4</w:t>
            </w:r>
            <w:r>
              <w:rPr>
                <w:rFonts w:hint="eastAsia" w:ascii="仿宋" w:hAnsi="仿宋" w:eastAsia="仿宋" w:cs="仿宋"/>
                <w:color w:val="auto"/>
                <w:sz w:val="21"/>
                <w:szCs w:val="21"/>
                <w:highlight w:val="none"/>
              </w:rPr>
              <w:t>（客观）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70" w:type="pct"/>
            <w:vMerge w:val="continue"/>
            <w:vAlign w:val="center"/>
          </w:tcPr>
          <w:p>
            <w:pPr>
              <w:spacing w:line="340" w:lineRule="exact"/>
              <w:jc w:val="center"/>
              <w:rPr>
                <w:rFonts w:hint="eastAsia" w:ascii="仿宋" w:hAnsi="仿宋" w:eastAsia="仿宋" w:cs="仿宋"/>
                <w:color w:val="auto"/>
                <w:szCs w:val="21"/>
                <w:highlight w:val="none"/>
                <w:lang w:val="en-US" w:eastAsia="zh-CN"/>
              </w:rPr>
            </w:pPr>
          </w:p>
        </w:tc>
        <w:tc>
          <w:tcPr>
            <w:tcW w:w="433" w:type="pct"/>
            <w:vMerge w:val="continue"/>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p>
        </w:tc>
        <w:tc>
          <w:tcPr>
            <w:tcW w:w="2746" w:type="pct"/>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ascii="仿宋" w:hAnsi="仿宋" w:eastAsia="仿宋" w:cs="仿宋"/>
                <w:color w:val="auto"/>
                <w:sz w:val="24"/>
                <w:highlight w:val="none"/>
              </w:rPr>
              <w:t>c.</w:t>
            </w:r>
            <w:r>
              <w:rPr>
                <w:rFonts w:hint="eastAsia" w:ascii="仿宋" w:hAnsi="仿宋" w:eastAsia="仿宋" w:cs="仿宋"/>
                <w:color w:val="auto"/>
                <w:sz w:val="24"/>
                <w:highlight w:val="none"/>
              </w:rPr>
              <w:t>拟派项目组成员中人员素质，是否有经专业培训机构培训合格的有关公厕管理、化粪池清理、污水处理等专业人员，投标人应在投标文件中提供专业人员的培训合格证，一个培训合格证得</w:t>
            </w:r>
            <w:r>
              <w:rPr>
                <w:rFonts w:ascii="仿宋" w:hAnsi="仿宋" w:eastAsia="仿宋" w:cs="仿宋"/>
                <w:color w:val="auto"/>
                <w:sz w:val="24"/>
                <w:highlight w:val="none"/>
              </w:rPr>
              <w:t>1</w:t>
            </w:r>
            <w:r>
              <w:rPr>
                <w:rFonts w:hint="eastAsia" w:ascii="仿宋" w:hAnsi="仿宋" w:eastAsia="仿宋" w:cs="仿宋"/>
                <w:color w:val="auto"/>
                <w:sz w:val="24"/>
                <w:highlight w:val="none"/>
              </w:rPr>
              <w:t>分，一人多证可重复计算。最高得</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r>
              <w:rPr>
                <w:rFonts w:hint="eastAsia" w:ascii="仿宋" w:hAnsi="仿宋" w:eastAsia="仿宋" w:cs="仿宋"/>
                <w:b/>
                <w:bCs/>
                <w:color w:val="auto"/>
                <w:sz w:val="24"/>
                <w:highlight w:val="none"/>
              </w:rPr>
              <w:t>投标文件中应提供证明材料复印件和所在单位社保证明材料复印件。投标文件中未提供证明材料扫描件不给分。（</w:t>
            </w:r>
            <w:r>
              <w:rPr>
                <w:rFonts w:ascii="仿宋" w:hAnsi="仿宋" w:eastAsia="仿宋" w:cs="仿宋"/>
                <w:b/>
                <w:bCs/>
                <w:color w:val="auto"/>
                <w:sz w:val="24"/>
                <w:highlight w:val="none"/>
              </w:rPr>
              <w:t>0-5</w:t>
            </w:r>
            <w:r>
              <w:rPr>
                <w:rFonts w:hint="eastAsia" w:ascii="仿宋" w:hAnsi="仿宋" w:eastAsia="仿宋" w:cs="仿宋"/>
                <w:b/>
                <w:bCs/>
                <w:color w:val="auto"/>
                <w:sz w:val="24"/>
                <w:highlight w:val="none"/>
              </w:rPr>
              <w:t>分）</w:t>
            </w:r>
          </w:p>
        </w:tc>
        <w:tc>
          <w:tcPr>
            <w:tcW w:w="494" w:type="pct"/>
            <w:vAlign w:val="center"/>
          </w:tcPr>
          <w:p>
            <w:pPr>
              <w:autoSpaceDE w:val="0"/>
              <w:adjustRightInd w:val="0"/>
              <w:snapToGrid w:val="0"/>
              <w:spacing w:line="300" w:lineRule="auto"/>
              <w:jc w:val="center"/>
              <w:rPr>
                <w:rFonts w:hint="eastAsia" w:ascii="仿宋" w:hAnsi="仿宋" w:eastAsia="仿宋" w:cs="仿宋"/>
                <w:bCs/>
                <w:color w:val="auto"/>
                <w:kern w:val="0"/>
                <w:sz w:val="21"/>
                <w:szCs w:val="21"/>
                <w:highlight w:val="none"/>
                <w:lang w:val="en-US" w:eastAsia="zh-CN" w:bidi="ar-SA"/>
              </w:rPr>
            </w:pPr>
            <w:r>
              <w:rPr>
                <w:rFonts w:ascii="仿宋" w:hAnsi="仿宋" w:eastAsia="仿宋" w:cs="仿宋"/>
                <w:bCs/>
                <w:color w:val="auto"/>
                <w:kern w:val="0"/>
                <w:sz w:val="21"/>
                <w:szCs w:val="21"/>
                <w:highlight w:val="none"/>
              </w:rPr>
              <w:t>5</w:t>
            </w:r>
            <w:r>
              <w:rPr>
                <w:rFonts w:hint="eastAsia" w:ascii="仿宋" w:hAnsi="仿宋" w:eastAsia="仿宋" w:cs="仿宋"/>
                <w:color w:val="auto"/>
                <w:sz w:val="21"/>
                <w:szCs w:val="21"/>
                <w:highlight w:val="none"/>
              </w:rPr>
              <w:t>（客观）</w:t>
            </w:r>
          </w:p>
        </w:tc>
        <w:tc>
          <w:tcPr>
            <w:tcW w:w="954" w:type="pct"/>
            <w:vMerge w:val="continue"/>
            <w:vAlign w:val="center"/>
          </w:tcPr>
          <w:p>
            <w:pPr>
              <w:widowControl/>
              <w:spacing w:line="360" w:lineRule="auto"/>
              <w:jc w:val="center"/>
              <w:rPr>
                <w:rFonts w:hint="eastAsia" w:ascii="仿宋" w:hAnsi="仿宋" w:eastAsia="仿宋" w:cs="微软雅黑"/>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70" w:type="pct"/>
            <w:vAlign w:val="center"/>
          </w:tcPr>
          <w:p>
            <w:pPr>
              <w:jc w:val="center"/>
              <w:rPr>
                <w:rFonts w:hint="default" w:ascii="仿宋" w:hAnsi="仿宋" w:cs="仿宋_GB2312"/>
                <w:color w:val="auto"/>
                <w:sz w:val="24"/>
                <w:highlight w:val="none"/>
                <w:lang w:val="en-US" w:eastAsia="zh-CN"/>
              </w:rPr>
            </w:pPr>
            <w:r>
              <w:rPr>
                <w:rFonts w:hint="eastAsia" w:ascii="仿宋" w:hAnsi="仿宋" w:cs="仿宋_GB2312"/>
                <w:color w:val="auto"/>
                <w:sz w:val="24"/>
                <w:highlight w:val="none"/>
                <w:lang w:val="en-US" w:eastAsia="zh-CN"/>
              </w:rPr>
              <w:t>13</w:t>
            </w:r>
          </w:p>
        </w:tc>
        <w:tc>
          <w:tcPr>
            <w:tcW w:w="3179" w:type="pct"/>
            <w:gridSpan w:val="2"/>
            <w:vAlign w:val="center"/>
          </w:tcPr>
          <w:p>
            <w:pPr>
              <w:spacing w:line="276"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项目实施过程中的安全文明、环境保护措施的是否有配置，是否得当，对公厕发生安全事故应对措施如何及时维护。（</w:t>
            </w:r>
            <w:r>
              <w:rPr>
                <w:rFonts w:ascii="仿宋" w:hAnsi="仿宋" w:eastAsia="仿宋" w:cs="仿宋"/>
                <w:b/>
                <w:bCs/>
                <w:color w:val="auto"/>
                <w:sz w:val="24"/>
                <w:highlight w:val="none"/>
              </w:rPr>
              <w:t>0-3</w:t>
            </w:r>
            <w:r>
              <w:rPr>
                <w:rFonts w:hint="eastAsia" w:ascii="仿宋" w:hAnsi="仿宋" w:eastAsia="仿宋" w:cs="仿宋"/>
                <w:b/>
                <w:bCs/>
                <w:color w:val="auto"/>
                <w:sz w:val="24"/>
                <w:highlight w:val="none"/>
              </w:rPr>
              <w:t>分</w:t>
            </w:r>
            <w:r>
              <w:rPr>
                <w:rFonts w:hint="eastAsia" w:ascii="仿宋" w:hAnsi="仿宋" w:eastAsia="仿宋" w:cs="仿宋"/>
                <w:color w:val="auto"/>
                <w:sz w:val="24"/>
                <w:highlight w:val="none"/>
              </w:rPr>
              <w:t>）</w:t>
            </w:r>
          </w:p>
        </w:tc>
        <w:tc>
          <w:tcPr>
            <w:tcW w:w="494" w:type="pct"/>
            <w:vAlign w:val="center"/>
          </w:tcPr>
          <w:p>
            <w:pPr>
              <w:adjustRightInd w:val="0"/>
              <w:snapToGrid w:val="0"/>
              <w:spacing w:line="300" w:lineRule="auto"/>
              <w:jc w:val="center"/>
              <w:rPr>
                <w:rFonts w:ascii="仿宋" w:hAnsi="仿宋" w:eastAsia="仿宋" w:cs="仿宋"/>
                <w:color w:val="auto"/>
                <w:kern w:val="2"/>
                <w:sz w:val="21"/>
                <w:szCs w:val="21"/>
                <w:highlight w:val="none"/>
                <w:lang w:val="en-US" w:eastAsia="zh-CN" w:bidi="ar-SA"/>
              </w:rPr>
            </w:pPr>
            <w:r>
              <w:rPr>
                <w:rFonts w:ascii="仿宋" w:hAnsi="仿宋" w:eastAsia="仿宋" w:cs="仿宋"/>
                <w:color w:val="auto"/>
                <w:sz w:val="21"/>
                <w:szCs w:val="21"/>
                <w:highlight w:val="none"/>
              </w:rPr>
              <w:t>3</w:t>
            </w:r>
            <w:r>
              <w:rPr>
                <w:rFonts w:hint="eastAsia" w:ascii="仿宋" w:hAnsi="仿宋" w:eastAsia="仿宋" w:cs="仿宋"/>
                <w:color w:val="auto"/>
                <w:sz w:val="21"/>
                <w:szCs w:val="21"/>
                <w:highlight w:val="none"/>
              </w:rPr>
              <w:t>（主观）</w:t>
            </w:r>
          </w:p>
        </w:tc>
        <w:tc>
          <w:tcPr>
            <w:tcW w:w="954" w:type="pct"/>
            <w:vAlign w:val="center"/>
          </w:tcPr>
          <w:p>
            <w:pPr>
              <w:snapToGrid w:val="0"/>
              <w:spacing w:line="360" w:lineRule="auto"/>
              <w:jc w:val="center"/>
              <w:rPr>
                <w:rFonts w:hint="eastAsia" w:ascii="仿宋" w:hAnsi="仿宋" w:cs="微软雅黑"/>
                <w:color w:val="auto"/>
                <w:kern w:val="2"/>
                <w:sz w:val="24"/>
                <w:szCs w:val="24"/>
                <w:highlight w:val="none"/>
                <w:lang w:val="en-US" w:eastAsia="zh-CN" w:bidi="ar-SA"/>
              </w:rPr>
            </w:pPr>
            <w:r>
              <w:rPr>
                <w:rFonts w:hint="eastAsia" w:ascii="仿宋" w:hAnsi="仿宋" w:eastAsia="仿宋" w:cs="仿宋"/>
                <w:color w:val="auto"/>
                <w:sz w:val="24"/>
                <w:highlight w:val="none"/>
              </w:rPr>
              <w:t>安全文明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370" w:type="pct"/>
            <w:vAlign w:val="center"/>
          </w:tcPr>
          <w:p>
            <w:pPr>
              <w:spacing w:line="360" w:lineRule="auto"/>
              <w:jc w:val="center"/>
              <w:outlineLvl w:val="0"/>
              <w:rPr>
                <w:rFonts w:hint="default" w:ascii="仿宋" w:hAnsi="仿宋" w:eastAsia="仿宋" w:cs="仿宋_GB2312"/>
                <w:color w:val="auto"/>
                <w:sz w:val="24"/>
                <w:highlight w:val="none"/>
                <w:lang w:val="en-US" w:eastAsia="zh-CN"/>
              </w:rPr>
            </w:pPr>
            <w:r>
              <w:rPr>
                <w:rFonts w:hint="eastAsia" w:ascii="仿宋" w:hAnsi="仿宋" w:cs="仿宋_GB2312"/>
                <w:color w:val="auto"/>
                <w:sz w:val="24"/>
                <w:highlight w:val="none"/>
                <w:lang w:val="en-US" w:eastAsia="zh-CN"/>
              </w:rPr>
              <w:t>14</w:t>
            </w:r>
          </w:p>
        </w:tc>
        <w:tc>
          <w:tcPr>
            <w:tcW w:w="3179" w:type="pct"/>
            <w:gridSpan w:val="2"/>
          </w:tcPr>
          <w:p>
            <w:pPr>
              <w:keepNext w:val="0"/>
              <w:keepLines w:val="0"/>
              <w:widowControl/>
              <w:suppressLineNumbers w:val="0"/>
              <w:jc w:val="both"/>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有效投标报价的最低价作为评标基准价，其最低报价为满分；按［投标报价得分=（评标基准价/投标报价）*</w:t>
            </w:r>
            <w:r>
              <w:rPr>
                <w:rFonts w:hint="eastAsia" w:ascii="仿宋" w:hAnsi="仿宋" w:cs="仿宋"/>
                <w:color w:val="auto"/>
                <w:sz w:val="24"/>
                <w:szCs w:val="24"/>
                <w:highlight w:val="none"/>
                <w:lang w:val="en-US" w:eastAsia="zh-CN"/>
              </w:rPr>
              <w:t>1</w:t>
            </w:r>
            <w:r>
              <w:rPr>
                <w:rFonts w:hint="eastAsia" w:ascii="仿宋" w:hAnsi="仿宋" w:eastAsia="仿宋" w:cs="仿宋"/>
                <w:color w:val="auto"/>
                <w:sz w:val="24"/>
                <w:szCs w:val="24"/>
                <w:highlight w:val="none"/>
              </w:rPr>
              <w:t>0］的计算公式计算。</w:t>
            </w:r>
          </w:p>
          <w:p>
            <w:pPr>
              <w:widowControl/>
              <w:shd w:val="clear" w:color="auto" w:fill="FFFFFF"/>
              <w:adjustRightInd/>
              <w:spacing w:after="225" w:line="315" w:lineRule="atLeast"/>
              <w:ind w:firstLine="4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评标过程中，不得去掉报价中的最高报价和最低报价。</w:t>
            </w:r>
          </w:p>
          <w:p>
            <w:pPr>
              <w:widowControl/>
              <w:shd w:val="clear" w:color="auto" w:fill="FFFFFF"/>
              <w:adjustRightInd/>
              <w:spacing w:after="225" w:line="315" w:lineRule="atLeast"/>
              <w:ind w:firstLine="4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因落实政府采购政策需要进行价格调整的，以调整后的价格计算评标基准价和投标报价。</w:t>
            </w:r>
          </w:p>
        </w:tc>
        <w:tc>
          <w:tcPr>
            <w:tcW w:w="494" w:type="pct"/>
            <w:vAlign w:val="center"/>
          </w:tcPr>
          <w:p>
            <w:pPr>
              <w:spacing w:line="360" w:lineRule="auto"/>
              <w:jc w:val="center"/>
              <w:outlineLvl w:val="0"/>
              <w:rPr>
                <w:rFonts w:hint="eastAsia" w:ascii="仿宋" w:hAnsi="仿宋" w:cs="仿宋_GB2312"/>
                <w:bCs/>
                <w:color w:val="auto"/>
                <w:sz w:val="21"/>
                <w:szCs w:val="21"/>
                <w:highlight w:val="none"/>
                <w:lang w:val="en-US" w:eastAsia="zh-CN"/>
              </w:rPr>
            </w:pPr>
            <w:r>
              <w:rPr>
                <w:rFonts w:hint="eastAsia" w:ascii="仿宋" w:hAnsi="仿宋" w:cs="仿宋_GB2312"/>
                <w:bCs/>
                <w:color w:val="auto"/>
                <w:sz w:val="21"/>
                <w:szCs w:val="21"/>
                <w:highlight w:val="none"/>
                <w:lang w:val="en-US" w:eastAsia="zh-CN"/>
              </w:rPr>
              <w:t>10分（客观）</w:t>
            </w:r>
          </w:p>
        </w:tc>
        <w:tc>
          <w:tcPr>
            <w:tcW w:w="954" w:type="pct"/>
            <w:vAlign w:val="center"/>
          </w:tcPr>
          <w:p>
            <w:pPr>
              <w:spacing w:line="360" w:lineRule="auto"/>
              <w:jc w:val="center"/>
              <w:outlineLvl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r>
    </w:tbl>
    <w:p>
      <w:pPr>
        <w:snapToGrid w:val="0"/>
        <w:spacing w:line="360" w:lineRule="auto"/>
        <w:rPr>
          <w:rFonts w:ascii="Arial" w:hAnsi="Arial" w:cs="Arial"/>
          <w:color w:val="auto"/>
          <w:sz w:val="20"/>
          <w:szCs w:val="20"/>
          <w:highlight w:val="none"/>
          <w:shd w:val="clear" w:color="auto" w:fill="FFFFFF"/>
        </w:rPr>
      </w:pPr>
    </w:p>
    <w:p>
      <w:pPr>
        <w:snapToGrid w:val="0"/>
        <w:spacing w:line="360" w:lineRule="auto"/>
        <w:rPr>
          <w:rFonts w:ascii="仿宋" w:hAnsi="仿宋" w:eastAsia="仿宋" w:cs="仿宋_GB2312"/>
          <w:color w:val="auto"/>
          <w:sz w:val="24"/>
          <w:highlight w:val="none"/>
        </w:rPr>
      </w:pPr>
      <w:r>
        <w:rPr>
          <w:rFonts w:ascii="Arial" w:hAnsi="Arial" w:cs="Arial"/>
          <w:color w:val="auto"/>
          <w:sz w:val="20"/>
          <w:szCs w:val="20"/>
          <w:highlight w:val="none"/>
          <w:shd w:val="clear" w:color="auto" w:fill="FFFFFF"/>
        </w:rPr>
        <w:t> *</w:t>
      </w:r>
      <w:r>
        <w:rPr>
          <w:rFonts w:hint="eastAsia" w:ascii="仿宋" w:hAnsi="仿宋" w:eastAsia="仿宋" w:cs="仿宋_GB2312"/>
          <w:b/>
          <w:color w:val="auto"/>
          <w:sz w:val="24"/>
          <w:highlight w:val="none"/>
        </w:rPr>
        <w:t>备注：</w:t>
      </w:r>
      <w:r>
        <w:rPr>
          <w:rFonts w:hint="eastAsia" w:ascii="仿宋" w:hAnsi="仿宋" w:eastAsia="仿宋" w:cs="仿宋_GB2312"/>
          <w:color w:val="auto"/>
          <w:sz w:val="24"/>
          <w:highlight w:val="none"/>
        </w:rPr>
        <w:t>投标人编制投标文件（商务技术文件部分）时，建议按此目录（序号和内容）提供评标标准相应的商务技术资料。</w:t>
      </w:r>
      <w:r>
        <w:rPr>
          <w:rFonts w:ascii="仿宋" w:hAnsi="仿宋" w:eastAsia="仿宋" w:cs="仿宋_GB2312"/>
          <w:color w:val="auto"/>
          <w:sz w:val="24"/>
          <w:highlight w:val="none"/>
        </w:rPr>
        <w:t> </w:t>
      </w:r>
    </w:p>
    <w:p>
      <w:pPr>
        <w:snapToGrid w:val="0"/>
        <w:spacing w:line="360" w:lineRule="auto"/>
        <w:rPr>
          <w:rFonts w:ascii="仿宋_GB2312" w:hAnsi="仿宋" w:eastAsia="仿宋_GB2312"/>
          <w:b/>
          <w:color w:val="auto"/>
          <w:sz w:val="28"/>
          <w:szCs w:val="28"/>
          <w:highlight w:val="none"/>
        </w:rPr>
      </w:pPr>
      <w:r>
        <w:rPr>
          <w:rFonts w:hint="eastAsia" w:ascii="仿宋_GB2312" w:hAnsi="仿宋" w:eastAsia="仿宋_GB2312" w:cs="仿宋_GB2312"/>
          <w:b/>
          <w:color w:val="auto"/>
          <w:sz w:val="32"/>
          <w:highlight w:val="none"/>
        </w:rPr>
        <w:t>一、评标方法</w:t>
      </w:r>
    </w:p>
    <w:p>
      <w:pPr>
        <w:adjustRightInd/>
        <w:spacing w:line="360" w:lineRule="auto"/>
        <w:ind w:firstLine="472" w:firstLineChars="196"/>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1.</w:t>
      </w:r>
      <w:r>
        <w:rPr>
          <w:rFonts w:hint="eastAsia" w:ascii="仿宋_GB2312" w:hAnsi="仿宋" w:eastAsia="仿宋_GB2312" w:cs="Arial"/>
          <w:b/>
          <w:color w:val="auto"/>
          <w:kern w:val="0"/>
          <w:sz w:val="24"/>
          <w:highlight w:val="none"/>
        </w:rPr>
        <w:t>本项目采用综合评分法。</w:t>
      </w:r>
      <w:r>
        <w:rPr>
          <w:rFonts w:hint="eastAsia" w:ascii="仿宋_GB2312" w:hAnsi="仿宋" w:eastAsia="仿宋_GB2312" w:cs="Arial"/>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color w:val="auto"/>
          <w:kern w:val="0"/>
          <w:sz w:val="24"/>
          <w:highlight w:val="none"/>
        </w:rPr>
      </w:pPr>
      <w:r>
        <w:rPr>
          <w:rFonts w:hint="eastAsia" w:ascii="仿宋_GB2312" w:hAnsi="仿宋" w:eastAsia="仿宋_GB2312" w:cs="仿宋_GB2312"/>
          <w:b/>
          <w:color w:val="auto"/>
          <w:sz w:val="32"/>
          <w:highlight w:val="none"/>
        </w:rPr>
        <w:t>二、评标标准</w:t>
      </w:r>
    </w:p>
    <w:p>
      <w:pPr>
        <w:spacing w:line="360" w:lineRule="auto"/>
        <w:ind w:firstLine="472" w:firstLineChars="196"/>
        <w:rPr>
          <w:rFonts w:ascii="仿宋_GB2312" w:hAnsi="仿宋_GB2312" w:eastAsia="仿宋_GB2312" w:cs="仿宋_GB2312"/>
          <w:b/>
          <w:color w:val="auto"/>
          <w:sz w:val="24"/>
          <w:highlight w:val="none"/>
        </w:rPr>
      </w:pPr>
      <w:r>
        <w:rPr>
          <w:rFonts w:ascii="仿宋_GB2312" w:hAnsi="仿宋_GB2312" w:eastAsia="仿宋_GB2312" w:cs="仿宋_GB2312"/>
          <w:b/>
          <w:color w:val="auto"/>
          <w:sz w:val="24"/>
          <w:highlight w:val="none"/>
        </w:rPr>
        <w:t>2.</w:t>
      </w:r>
      <w:r>
        <w:rPr>
          <w:color w:val="auto"/>
          <w:highlight w:val="none"/>
        </w:rPr>
        <w:t xml:space="preserve"> </w:t>
      </w:r>
      <w:r>
        <w:rPr>
          <w:rFonts w:hint="eastAsia" w:ascii="仿宋_GB2312" w:hAnsi="仿宋_GB2312" w:eastAsia="仿宋_GB2312" w:cs="仿宋_GB2312"/>
          <w:b/>
          <w:color w:val="auto"/>
          <w:sz w:val="24"/>
          <w:highlight w:val="none"/>
        </w:rPr>
        <w:t>评标标准：</w:t>
      </w:r>
      <w:r>
        <w:rPr>
          <w:rFonts w:hint="eastAsia" w:ascii="仿宋_GB2312" w:hAnsi="仿宋" w:eastAsia="仿宋_GB2312" w:cs="Arial"/>
          <w:color w:val="auto"/>
          <w:kern w:val="0"/>
          <w:sz w:val="24"/>
          <w:highlight w:val="none"/>
        </w:rPr>
        <w:t>见评标办法前附表。</w:t>
      </w:r>
    </w:p>
    <w:p>
      <w:pPr>
        <w:spacing w:line="360" w:lineRule="auto"/>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三、评标程序</w:t>
      </w:r>
    </w:p>
    <w:p>
      <w:pPr>
        <w:spacing w:line="360" w:lineRule="auto"/>
        <w:ind w:firstLine="472" w:firstLineChars="196"/>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3.1符合性审查。</w:t>
      </w:r>
      <w:r>
        <w:rPr>
          <w:rFonts w:ascii="仿宋_GB2312" w:hAnsi="仿宋" w:eastAsia="仿宋_GB2312" w:cs="Arial"/>
          <w:color w:val="auto"/>
          <w:kern w:val="0"/>
          <w:sz w:val="24"/>
          <w:highlight w:val="none"/>
        </w:rPr>
        <w:t>评标委员会应当对符合资格的投标人的投标文件进行符合性审查，以确定其是否满足招标文件的实质性要求。</w:t>
      </w:r>
      <w:r>
        <w:rPr>
          <w:rFonts w:hint="eastAsia" w:ascii="仿宋_GB2312" w:hAnsi="仿宋" w:eastAsia="仿宋_GB2312" w:cs="Arial"/>
          <w:color w:val="auto"/>
          <w:kern w:val="0"/>
          <w:sz w:val="24"/>
          <w:highlight w:val="none"/>
        </w:rPr>
        <w:t>不</w:t>
      </w:r>
      <w:r>
        <w:rPr>
          <w:rFonts w:ascii="仿宋_GB2312" w:hAnsi="仿宋" w:eastAsia="仿宋_GB2312" w:cs="Arial"/>
          <w:color w:val="auto"/>
          <w:kern w:val="0"/>
          <w:sz w:val="24"/>
          <w:highlight w:val="none"/>
        </w:rPr>
        <w:t>满足招标文件的实质性要求</w:t>
      </w:r>
      <w:r>
        <w:rPr>
          <w:rFonts w:hint="eastAsia" w:ascii="仿宋_GB2312" w:hAnsi="仿宋" w:eastAsia="仿宋_GB2312" w:cs="Arial"/>
          <w:color w:val="auto"/>
          <w:kern w:val="0"/>
          <w:sz w:val="24"/>
          <w:highlight w:val="none"/>
        </w:rPr>
        <w:t>的，投标无效。</w:t>
      </w:r>
    </w:p>
    <w:p>
      <w:pPr>
        <w:spacing w:line="360" w:lineRule="auto"/>
        <w:ind w:firstLine="472" w:firstLineChars="196"/>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 xml:space="preserve">3.2 </w:t>
      </w:r>
      <w:r>
        <w:rPr>
          <w:rFonts w:hint="eastAsia" w:ascii="仿宋_GB2312" w:hAnsi="仿宋" w:eastAsia="仿宋_GB2312" w:cs="Arial"/>
          <w:b/>
          <w:color w:val="auto"/>
          <w:kern w:val="0"/>
          <w:sz w:val="24"/>
          <w:highlight w:val="none"/>
        </w:rPr>
        <w:t>比较与评价。</w:t>
      </w:r>
      <w:r>
        <w:rPr>
          <w:rFonts w:ascii="仿宋_GB2312" w:hAnsi="仿宋" w:eastAsia="仿宋_GB2312" w:cs="Arial"/>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color w:val="auto"/>
          <w:kern w:val="0"/>
          <w:sz w:val="24"/>
          <w:highlight w:val="none"/>
        </w:rPr>
      </w:pPr>
      <w:r>
        <w:rPr>
          <w:rFonts w:ascii="仿宋_GB2312" w:hAnsi="仿宋" w:eastAsia="仿宋_GB2312" w:cs="Arial"/>
          <w:b/>
          <w:color w:val="auto"/>
          <w:kern w:val="0"/>
          <w:sz w:val="24"/>
          <w:highlight w:val="none"/>
        </w:rPr>
        <w:t>3.3汇总商务技术得分。</w:t>
      </w:r>
      <w:r>
        <w:rPr>
          <w:rFonts w:hint="eastAsia" w:ascii="仿宋_GB2312" w:hAnsi="仿宋" w:eastAsia="仿宋_GB2312" w:cs="Arial"/>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cs="Arial"/>
          <w:b/>
          <w:color w:val="auto"/>
          <w:kern w:val="0"/>
          <w:sz w:val="24"/>
          <w:highlight w:val="none"/>
        </w:rPr>
      </w:pPr>
      <w:r>
        <w:rPr>
          <w:rFonts w:ascii="仿宋_GB2312" w:hAnsi="仿宋" w:eastAsia="仿宋_GB2312" w:cs="Arial"/>
          <w:b/>
          <w:color w:val="auto"/>
          <w:kern w:val="0"/>
          <w:sz w:val="24"/>
          <w:highlight w:val="none"/>
        </w:rPr>
        <w:t>3.4报价评审。</w:t>
      </w:r>
    </w:p>
    <w:p>
      <w:pPr>
        <w:pStyle w:val="129"/>
        <w:spacing w:before="0"/>
        <w:ind w:firstLine="508" w:firstLineChars="212"/>
        <w:rPr>
          <w:rFonts w:ascii="仿宋_GB2312" w:hAnsi="仿宋" w:eastAsia="仿宋_GB2312" w:cs="Arial"/>
          <w:color w:val="auto"/>
          <w:kern w:val="0"/>
          <w:highlight w:val="none"/>
        </w:rPr>
      </w:pPr>
      <w:r>
        <w:rPr>
          <w:rFonts w:ascii="仿宋_GB2312" w:hAnsi="仿宋" w:eastAsia="仿宋_GB2312" w:cs="Arial"/>
          <w:color w:val="auto"/>
          <w:kern w:val="0"/>
          <w:highlight w:val="none"/>
        </w:rPr>
        <w:t>3.4.1投标文件报价出现前后不一致的，按照下列规定修正：</w:t>
      </w:r>
    </w:p>
    <w:p>
      <w:pPr>
        <w:pStyle w:val="129"/>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3.4.1.1投标文件中</w:t>
      </w:r>
      <w:r>
        <w:rPr>
          <w:rFonts w:hint="eastAsia" w:ascii="仿宋" w:hAnsi="仿宋" w:eastAsia="仿宋" w:cs="仿宋"/>
          <w:color w:val="auto"/>
          <w:kern w:val="0"/>
          <w:szCs w:val="24"/>
          <w:highlight w:val="none"/>
        </w:rPr>
        <w:t>投标报价明细表</w:t>
      </w:r>
      <w:r>
        <w:rPr>
          <w:rFonts w:ascii="仿宋" w:hAnsi="仿宋" w:eastAsia="仿宋" w:cs="仿宋"/>
          <w:color w:val="auto"/>
          <w:kern w:val="0"/>
          <w:szCs w:val="24"/>
          <w:highlight w:val="none"/>
        </w:rPr>
        <w:t>内容与投标文件中相应内容不一致的，以</w:t>
      </w:r>
      <w:r>
        <w:rPr>
          <w:rFonts w:hint="eastAsia" w:ascii="仿宋" w:hAnsi="仿宋" w:eastAsia="仿宋" w:cs="仿宋"/>
          <w:color w:val="auto"/>
          <w:kern w:val="0"/>
          <w:szCs w:val="24"/>
          <w:highlight w:val="none"/>
        </w:rPr>
        <w:t>投标报价明细表</w:t>
      </w:r>
      <w:r>
        <w:rPr>
          <w:rFonts w:ascii="仿宋" w:hAnsi="仿宋" w:eastAsia="仿宋" w:cs="仿宋"/>
          <w:color w:val="auto"/>
          <w:kern w:val="0"/>
          <w:szCs w:val="24"/>
          <w:highlight w:val="none"/>
        </w:rPr>
        <w:t>为准;</w:t>
      </w:r>
    </w:p>
    <w:p>
      <w:pPr>
        <w:pStyle w:val="129"/>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3.4.1.2大写金额和小写金额不一致的，以大写金额为准;</w:t>
      </w:r>
    </w:p>
    <w:p>
      <w:pPr>
        <w:pStyle w:val="129"/>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3.4.1.3单价金额小数点或者百分比有明显错位的，以</w:t>
      </w:r>
      <w:r>
        <w:rPr>
          <w:rFonts w:hint="eastAsia" w:ascii="仿宋" w:hAnsi="仿宋" w:eastAsia="仿宋" w:cs="仿宋"/>
          <w:color w:val="auto"/>
          <w:kern w:val="0"/>
          <w:szCs w:val="24"/>
          <w:highlight w:val="none"/>
        </w:rPr>
        <w:t>投标报价明细表</w:t>
      </w:r>
      <w:r>
        <w:rPr>
          <w:rFonts w:ascii="仿宋" w:hAnsi="仿宋" w:eastAsia="仿宋" w:cs="仿宋"/>
          <w:color w:val="auto"/>
          <w:kern w:val="0"/>
          <w:szCs w:val="24"/>
          <w:highlight w:val="none"/>
        </w:rPr>
        <w:t>的总价为准，并修改单价;</w:t>
      </w:r>
    </w:p>
    <w:p>
      <w:pPr>
        <w:pStyle w:val="129"/>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3.4.1.4总价金额与按单价汇总金额不一致的，以单价金额计算结果为准。</w:t>
      </w:r>
    </w:p>
    <w:p>
      <w:pPr>
        <w:pStyle w:val="129"/>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3.4.1.5同时出现两种以上不一致的，按照3.4.1</w:t>
      </w:r>
      <w:r>
        <w:rPr>
          <w:rFonts w:hint="eastAsia" w:ascii="仿宋" w:hAnsi="仿宋" w:eastAsia="仿宋" w:cs="仿宋"/>
          <w:color w:val="auto"/>
          <w:kern w:val="0"/>
          <w:szCs w:val="24"/>
          <w:highlight w:val="none"/>
        </w:rPr>
        <w:t>规定的顺序修正。修正后的报价按照财政部第</w:t>
      </w:r>
      <w:r>
        <w:rPr>
          <w:rFonts w:ascii="仿宋" w:hAnsi="仿宋" w:eastAsia="仿宋" w:cs="仿宋"/>
          <w:color w:val="auto"/>
          <w:kern w:val="0"/>
          <w:szCs w:val="24"/>
          <w:highlight w:val="none"/>
        </w:rPr>
        <w:t xml:space="preserve">87号令 </w:t>
      </w:r>
      <w:r>
        <w:rPr>
          <w:rFonts w:hint="eastAsia" w:ascii="仿宋" w:hAnsi="仿宋" w:eastAsia="仿宋" w:cs="仿宋"/>
          <w:color w:val="auto"/>
          <w:kern w:val="0"/>
          <w:szCs w:val="24"/>
          <w:highlight w:val="none"/>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3.4.2</w:t>
      </w:r>
      <w:r>
        <w:rPr>
          <w:rFonts w:hint="eastAsia" w:ascii="仿宋" w:hAnsi="仿宋" w:eastAsia="仿宋" w:cs="仿宋"/>
          <w:color w:val="auto"/>
          <w:kern w:val="0"/>
          <w:sz w:val="24"/>
          <w:highlight w:val="none"/>
        </w:rPr>
        <w:t>投标文件出现不是唯一的、有选择性投标报价的，投标无效。</w:t>
      </w:r>
    </w:p>
    <w:p>
      <w:pPr>
        <w:snapToGrid w:val="0"/>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3.4.3</w:t>
      </w:r>
      <w:r>
        <w:rPr>
          <w:rFonts w:hint="eastAsia" w:ascii="仿宋" w:hAnsi="仿宋" w:eastAsia="仿宋" w:cs="仿宋"/>
          <w:color w:val="auto"/>
          <w:kern w:val="0"/>
          <w:sz w:val="24"/>
          <w:highlight w:val="none"/>
        </w:rPr>
        <w:t>投标报价超过招标文件中规定的预算金额或者最高限价的，投标无效。</w:t>
      </w:r>
    </w:p>
    <w:p>
      <w:pPr>
        <w:pStyle w:val="129"/>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3.4.4</w:t>
      </w:r>
      <w:r>
        <w:rPr>
          <w:rFonts w:hint="eastAsia" w:ascii="仿宋" w:hAnsi="仿宋" w:eastAsia="仿宋" w:cs="仿宋"/>
          <w:color w:val="auto"/>
          <w:kern w:val="0"/>
          <w:szCs w:val="24"/>
          <w:highlight w:val="none"/>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color w:val="auto"/>
          <w:kern w:val="0"/>
          <w:szCs w:val="24"/>
          <w:highlight w:val="none"/>
        </w:rPr>
        <w:t>;投标人不能证明其报价合理性的，评标委员会应当将其作为无效投标处理。</w:t>
      </w:r>
    </w:p>
    <w:p>
      <w:pPr>
        <w:pStyle w:val="129"/>
        <w:spacing w:before="0"/>
        <w:ind w:firstLine="480"/>
        <w:rPr>
          <w:rFonts w:ascii="仿宋" w:hAnsi="仿宋" w:eastAsia="仿宋" w:cs="仿宋"/>
          <w:color w:val="auto"/>
          <w:kern w:val="0"/>
          <w:szCs w:val="24"/>
          <w:highlight w:val="none"/>
        </w:rPr>
      </w:pPr>
      <w:r>
        <w:rPr>
          <w:rFonts w:ascii="仿宋" w:hAnsi="仿宋" w:eastAsia="仿宋" w:cs="仿宋"/>
          <w:color w:val="auto"/>
          <w:kern w:val="0"/>
          <w:szCs w:val="24"/>
          <w:highlight w:val="none"/>
        </w:rPr>
        <w:t>3.4.5</w:t>
      </w:r>
      <w:r>
        <w:rPr>
          <w:rFonts w:hint="eastAsia" w:ascii="仿宋" w:hAnsi="仿宋" w:eastAsia="仿宋" w:cs="仿宋"/>
          <w:color w:val="auto"/>
          <w:kern w:val="0"/>
          <w:szCs w:val="24"/>
          <w:highlight w:val="none"/>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color w:val="auto"/>
          <w:kern w:val="0"/>
          <w:szCs w:val="24"/>
          <w:highlight w:val="none"/>
        </w:rPr>
        <w:t>10%的扣除，用扣除后的价格参与评审。接受大中型企业与小</w:t>
      </w:r>
      <w:r>
        <w:rPr>
          <w:rFonts w:hint="eastAsia" w:ascii="仿宋" w:hAnsi="仿宋" w:eastAsia="仿宋" w:cs="仿宋"/>
          <w:color w:val="auto"/>
          <w:kern w:val="0"/>
          <w:szCs w:val="24"/>
          <w:highlight w:val="none"/>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color w:val="auto"/>
          <w:kern w:val="0"/>
          <w:szCs w:val="24"/>
          <w:highlight w:val="none"/>
        </w:rPr>
        <w:t>30%以上的，对联合体或者大中型企业的报价给予3%的扣除，用扣除后的价格参加评审。组成联合体或者接受分包的小</w:t>
      </w:r>
      <w:r>
        <w:rPr>
          <w:rFonts w:hint="eastAsia" w:ascii="仿宋" w:hAnsi="仿宋" w:eastAsia="仿宋" w:cs="仿宋"/>
          <w:color w:val="auto"/>
          <w:kern w:val="0"/>
          <w:szCs w:val="24"/>
          <w:highlight w:val="none"/>
        </w:rPr>
        <w:t>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color w:val="auto"/>
          <w:kern w:val="0"/>
          <w:sz w:val="24"/>
          <w:highlight w:val="none"/>
          <w:u w:val="single"/>
        </w:rPr>
      </w:pPr>
      <w:r>
        <w:rPr>
          <w:rFonts w:hint="eastAsia" w:ascii="仿宋" w:hAnsi="仿宋" w:eastAsia="仿宋" w:cs="仿宋"/>
          <w:b/>
          <w:color w:val="auto"/>
          <w:kern w:val="0"/>
          <w:sz w:val="24"/>
          <w:highlight w:val="none"/>
        </w:rPr>
        <w:t>3.5排序与推荐</w:t>
      </w:r>
      <w:r>
        <w:rPr>
          <w:rFonts w:hint="eastAsia" w:ascii="仿宋" w:hAnsi="仿宋" w:eastAsia="仿宋" w:cs="仿宋"/>
          <w:b/>
          <w:color w:val="auto"/>
          <w:kern w:val="0"/>
          <w:sz w:val="24"/>
          <w:highlight w:val="none"/>
        </w:rPr>
        <w:t>。</w:t>
      </w:r>
      <w:r>
        <w:rPr>
          <w:rFonts w:hint="eastAsia" w:ascii="仿宋" w:hAnsi="仿宋" w:eastAsia="仿宋" w:cs="仿宋"/>
          <w:color w:val="auto"/>
          <w:kern w:val="0"/>
          <w:sz w:val="24"/>
          <w:highlight w:val="none"/>
          <w:u w:val="single"/>
        </w:rPr>
        <w:t>▲评标结果按评审后得分由高到低顺序排列。得分相同的，按投标报价由低到高顺序排列。得分且投标报价相同的并列。得分最高的投标人为排名第一的中标候选人。</w:t>
      </w:r>
    </w:p>
    <w:p>
      <w:pPr>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不同标项需分别制作投标文件，所有投标人可同时参加三个标项的投标，但是不能重复中标。</w:t>
      </w:r>
    </w:p>
    <w:p>
      <w:pPr>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本项目按照标项一、标项二、标项三顺序依次开评标，标项一中标单位不进入后续评审，依次类推。</w:t>
      </w:r>
    </w:p>
    <w:p>
      <w:pPr>
        <w:widowControl/>
        <w:shd w:val="clear" w:color="auto" w:fill="FFFFFF"/>
        <w:adjustRightInd/>
        <w:spacing w:after="225" w:line="315" w:lineRule="atLeast"/>
        <w:jc w:val="left"/>
        <w:rPr>
          <w:rFonts w:ascii="仿宋_GB2312" w:hAnsi="仿宋" w:eastAsia="仿宋_GB2312" w:cs="仿宋_GB2312"/>
          <w:b/>
          <w:color w:val="auto"/>
          <w:sz w:val="32"/>
          <w:highlight w:val="none"/>
        </w:rPr>
      </w:pPr>
      <w:r>
        <w:rPr>
          <w:rFonts w:hint="eastAsia" w:ascii="仿宋_GB2312" w:hAnsi="仿宋" w:eastAsia="仿宋_GB2312" w:cs="仿宋_GB2312"/>
          <w:b/>
          <w:color w:val="auto"/>
          <w:sz w:val="32"/>
          <w:highlight w:val="none"/>
        </w:rPr>
        <w:t>四、评标中的其他事项</w:t>
      </w:r>
    </w:p>
    <w:p>
      <w:pPr>
        <w:pStyle w:val="129"/>
        <w:spacing w:before="0"/>
        <w:ind w:firstLine="472" w:firstLineChars="196"/>
        <w:rPr>
          <w:rFonts w:ascii="仿宋_GB2312" w:hAnsi="仿宋" w:eastAsia="仿宋_GB2312" w:cs="Arial"/>
          <w:color w:val="auto"/>
          <w:kern w:val="0"/>
          <w:szCs w:val="24"/>
          <w:highlight w:val="none"/>
        </w:rPr>
      </w:pPr>
      <w:r>
        <w:rPr>
          <w:rFonts w:ascii="仿宋_GB2312" w:hAnsi="仿宋" w:eastAsia="仿宋_GB2312" w:cs="Arial"/>
          <w:b/>
          <w:color w:val="auto"/>
          <w:kern w:val="0"/>
          <w:szCs w:val="24"/>
          <w:highlight w:val="none"/>
        </w:rPr>
        <w:t>4.1</w:t>
      </w:r>
      <w:r>
        <w:rPr>
          <w:rFonts w:hint="eastAsia" w:ascii="仿宋_GB2312" w:hAnsi="仿宋" w:eastAsia="仿宋_GB2312" w:cs="Arial"/>
          <w:b/>
          <w:color w:val="auto"/>
          <w:kern w:val="0"/>
          <w:szCs w:val="24"/>
          <w:highlight w:val="none"/>
        </w:rPr>
        <w:t>投标人澄清、说明或者补正。</w:t>
      </w:r>
      <w:r>
        <w:rPr>
          <w:rFonts w:hint="eastAsia" w:ascii="仿宋_GB2312" w:hAnsi="仿宋" w:eastAsia="仿宋_GB2312" w:cs="Arial"/>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1021" w:leftChars="226" w:hanging="479" w:firstLineChars="0"/>
        <w:rPr>
          <w:rFonts w:ascii="仿宋_GB2312" w:hAnsi="仿宋" w:eastAsia="仿宋_GB2312" w:cs="仿宋_GB2312"/>
          <w:color w:val="auto"/>
          <w:szCs w:val="21"/>
          <w:highlight w:val="none"/>
        </w:rPr>
      </w:pPr>
      <w:r>
        <w:rPr>
          <w:rFonts w:ascii="仿宋_GB2312" w:hAnsi="仿宋" w:eastAsia="仿宋_GB2312" w:cs="Arial"/>
          <w:b/>
          <w:color w:val="auto"/>
          <w:kern w:val="0"/>
          <w:highlight w:val="none"/>
        </w:rPr>
        <w:t>4.2投标无效。</w:t>
      </w:r>
      <w:r>
        <w:rPr>
          <w:rFonts w:hint="eastAsia" w:ascii="仿宋_GB2312" w:hAnsi="仿宋" w:eastAsia="仿宋_GB2312" w:cs="仿宋_GB2312"/>
          <w:color w:val="auto"/>
          <w:szCs w:val="21"/>
          <w:highlight w:val="none"/>
        </w:rPr>
        <w:t>有下列情况之一的，投标无效：</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4.2.2投标文件未按照招标文件要求签署、盖章的；</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color w:val="auto"/>
          <w:kern w:val="0"/>
          <w:sz w:val="24"/>
          <w:highlight w:val="none"/>
        </w:rPr>
        <w:t>的；</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4.2.4投标文件含有采购人不能接受的附加条件的；</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 xml:space="preserve">  </w:t>
      </w:r>
      <w:r>
        <w:rPr>
          <w:rFonts w:hint="eastAsia" w:ascii="仿宋_GB2312" w:hAnsi="仿宋" w:eastAsia="仿宋_GB2312" w:cs="Arial"/>
          <w:color w:val="auto"/>
          <w:kern w:val="0"/>
          <w:sz w:val="24"/>
          <w:highlight w:val="none"/>
        </w:rPr>
        <w:t xml:space="preserve"> </w:t>
      </w:r>
      <w:r>
        <w:rPr>
          <w:rFonts w:ascii="仿宋_GB2312" w:hAnsi="仿宋" w:eastAsia="仿宋_GB2312" w:cs="Arial"/>
          <w:color w:val="auto"/>
          <w:kern w:val="0"/>
          <w:sz w:val="24"/>
          <w:highlight w:val="none"/>
        </w:rPr>
        <w:t>4.2.6投标文件出现不是唯一的、有选择性投标报价的;</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4.2.7投标报价超过招标文件中规定的预算金额或者最高限价的;</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4.2.9投标人对根据修正原则修正后的报价不确认的；</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4.2.10投标人提供虚假材料投标的；</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4.2.11投标人有恶意串通、妨碍其他投标人的竞争行为、损害采购人或者其他投标人的合法权益情形的；</w:t>
      </w:r>
    </w:p>
    <w:p>
      <w:pPr>
        <w:spacing w:line="360" w:lineRule="auto"/>
        <w:ind w:firstLine="480" w:firstLineChars="200"/>
        <w:rPr>
          <w:rFonts w:ascii="仿宋_GB2312" w:hAnsi="仿宋" w:eastAsia="仿宋_GB2312" w:cs="Arial"/>
          <w:color w:val="auto"/>
          <w:kern w:val="0"/>
          <w:sz w:val="24"/>
          <w:highlight w:val="none"/>
          <w:lang w:val="en-US"/>
        </w:rPr>
      </w:pPr>
      <w:r>
        <w:rPr>
          <w:rFonts w:ascii="仿宋_GB2312" w:hAnsi="仿宋" w:eastAsia="仿宋_GB2312" w:cs="Arial"/>
          <w:color w:val="auto"/>
          <w:kern w:val="0"/>
          <w:sz w:val="24"/>
          <w:highlight w:val="none"/>
          <w:lang w:val="en-US"/>
        </w:rPr>
        <w:t>4.2.1</w:t>
      </w:r>
      <w:r>
        <w:rPr>
          <w:rFonts w:hint="eastAsia" w:ascii="仿宋_GB2312" w:hAnsi="仿宋" w:eastAsia="仿宋_GB2312" w:cs="Arial"/>
          <w:color w:val="auto"/>
          <w:kern w:val="0"/>
          <w:sz w:val="24"/>
          <w:highlight w:val="none"/>
          <w:lang w:val="en-US" w:eastAsia="zh-CN"/>
        </w:rPr>
        <w:t>2</w:t>
      </w:r>
      <w:r>
        <w:rPr>
          <w:rFonts w:ascii="仿宋_GB2312" w:hAnsi="仿宋" w:eastAsia="仿宋_GB2312" w:cs="Arial"/>
          <w:color w:val="auto"/>
          <w:kern w:val="0"/>
          <w:sz w:val="24"/>
          <w:highlight w:val="none"/>
          <w:lang w:val="en-US"/>
        </w:rPr>
        <w:t xml:space="preserve"> </w:t>
      </w:r>
      <w:r>
        <w:rPr>
          <w:rFonts w:hint="eastAsia" w:ascii="仿宋_GB2312" w:hAnsi="仿宋" w:eastAsia="仿宋_GB2312" w:cs="Arial"/>
          <w:color w:val="auto"/>
          <w:kern w:val="0"/>
          <w:sz w:val="24"/>
          <w:highlight w:val="none"/>
          <w:lang w:val="en-US"/>
        </w:rPr>
        <w:t>投标文件不满足招标文件的其它实质性要求的；</w:t>
      </w:r>
    </w:p>
    <w:p>
      <w:pPr>
        <w:spacing w:line="360" w:lineRule="auto"/>
        <w:ind w:firstLine="480" w:firstLineChars="200"/>
        <w:rPr>
          <w:rFonts w:ascii="仿宋_GB2312" w:hAnsi="仿宋" w:eastAsia="仿宋_GB2312" w:cs="Arial"/>
          <w:color w:val="auto"/>
          <w:kern w:val="0"/>
          <w:sz w:val="24"/>
          <w:highlight w:val="none"/>
        </w:rPr>
      </w:pPr>
      <w:r>
        <w:rPr>
          <w:rFonts w:ascii="仿宋_GB2312" w:hAnsi="仿宋" w:eastAsia="仿宋_GB2312" w:cs="Arial"/>
          <w:color w:val="auto"/>
          <w:kern w:val="0"/>
          <w:sz w:val="24"/>
          <w:highlight w:val="none"/>
        </w:rPr>
        <w:t>4.2.1</w:t>
      </w:r>
      <w:r>
        <w:rPr>
          <w:rFonts w:hint="eastAsia" w:ascii="仿宋_GB2312" w:hAnsi="仿宋" w:eastAsia="仿宋_GB2312" w:cs="Arial"/>
          <w:color w:val="auto"/>
          <w:kern w:val="0"/>
          <w:sz w:val="24"/>
          <w:highlight w:val="none"/>
          <w:lang w:val="en-US" w:eastAsia="zh-CN"/>
        </w:rPr>
        <w:t>3</w:t>
      </w:r>
      <w:r>
        <w:rPr>
          <w:rFonts w:ascii="仿宋_GB2312" w:hAnsi="仿宋" w:eastAsia="仿宋_GB2312" w:cs="Arial"/>
          <w:color w:val="auto"/>
          <w:kern w:val="0"/>
          <w:sz w:val="24"/>
          <w:highlight w:val="none"/>
        </w:rPr>
        <w:t>法律、法规、规章（适用本市的）及省级以上规范性文件（适用本市的）规定的其他无效情形。</w:t>
      </w:r>
    </w:p>
    <w:p>
      <w:pPr>
        <w:pStyle w:val="26"/>
        <w:snapToGrid w:val="0"/>
        <w:spacing w:line="360" w:lineRule="auto"/>
        <w:ind w:firstLine="472" w:firstLineChars="196"/>
        <w:rPr>
          <w:rFonts w:ascii="仿宋_GB2312" w:hAnsi="仿宋" w:eastAsia="仿宋_GB2312" w:cs="仿宋_GB2312"/>
          <w:color w:val="auto"/>
          <w:highlight w:val="none"/>
        </w:rPr>
      </w:pPr>
      <w:r>
        <w:rPr>
          <w:rFonts w:ascii="仿宋_GB2312" w:hAnsi="仿宋" w:eastAsia="仿宋_GB2312" w:cs="仿宋_GB2312"/>
          <w:b/>
          <w:color w:val="auto"/>
          <w:highlight w:val="none"/>
        </w:rPr>
        <w:t>5.废标。</w:t>
      </w:r>
      <w:r>
        <w:rPr>
          <w:rFonts w:hint="eastAsia" w:ascii="仿宋_GB2312" w:hAnsi="仿宋" w:eastAsia="仿宋_GB2312" w:cs="仿宋_GB2312"/>
          <w:color w:val="auto"/>
          <w:highlight w:val="none"/>
        </w:rPr>
        <w:t>根据《中华人民共和国政府采购法》第三十六条之规定，在采购中，出现下列情形之一的，应予废标：</w:t>
      </w:r>
    </w:p>
    <w:p>
      <w:pPr>
        <w:pStyle w:val="26"/>
        <w:snapToGrid w:val="0"/>
        <w:spacing w:line="360" w:lineRule="auto"/>
        <w:rPr>
          <w:rFonts w:ascii="仿宋_GB2312" w:hAnsi="仿宋" w:eastAsia="仿宋_GB2312" w:cs="仿宋_GB2312"/>
          <w:color w:val="auto"/>
          <w:highlight w:val="none"/>
        </w:rPr>
      </w:pPr>
      <w:r>
        <w:rPr>
          <w:rFonts w:ascii="仿宋_GB2312" w:hAnsi="仿宋" w:eastAsia="仿宋_GB2312" w:cs="仿宋_GB2312"/>
          <w:color w:val="auto"/>
          <w:highlight w:val="none"/>
        </w:rPr>
        <w:t>5.1符合专业条件的供应商或者对招标文件作实质响应的供应商不足3家的；</w:t>
      </w:r>
    </w:p>
    <w:p>
      <w:pPr>
        <w:pStyle w:val="26"/>
        <w:snapToGrid w:val="0"/>
        <w:spacing w:line="360" w:lineRule="auto"/>
        <w:rPr>
          <w:rFonts w:ascii="仿宋_GB2312" w:hAnsi="仿宋" w:eastAsia="仿宋_GB2312" w:cs="仿宋_GB2312"/>
          <w:color w:val="auto"/>
          <w:highlight w:val="none"/>
        </w:rPr>
      </w:pPr>
      <w:r>
        <w:rPr>
          <w:rFonts w:ascii="仿宋_GB2312" w:hAnsi="仿宋" w:eastAsia="仿宋_GB2312" w:cs="仿宋_GB2312"/>
          <w:color w:val="auto"/>
          <w:highlight w:val="none"/>
        </w:rPr>
        <w:t>5.2出现影响采购公正的违法、违规行为的；</w:t>
      </w:r>
    </w:p>
    <w:p>
      <w:pPr>
        <w:pStyle w:val="26"/>
        <w:snapToGrid w:val="0"/>
        <w:spacing w:line="360" w:lineRule="auto"/>
        <w:rPr>
          <w:rFonts w:ascii="仿宋_GB2312" w:hAnsi="仿宋" w:eastAsia="仿宋_GB2312" w:cs="仿宋_GB2312"/>
          <w:color w:val="auto"/>
          <w:highlight w:val="none"/>
        </w:rPr>
      </w:pPr>
      <w:r>
        <w:rPr>
          <w:rFonts w:ascii="仿宋_GB2312" w:hAnsi="仿宋" w:eastAsia="仿宋_GB2312" w:cs="仿宋_GB2312"/>
          <w:color w:val="auto"/>
          <w:highlight w:val="none"/>
        </w:rPr>
        <w:t>5.3投标人的报价均超过了采购预算，采购人不能支付的；</w:t>
      </w:r>
    </w:p>
    <w:p>
      <w:pPr>
        <w:pStyle w:val="26"/>
        <w:snapToGrid w:val="0"/>
        <w:spacing w:line="360" w:lineRule="auto"/>
        <w:rPr>
          <w:rFonts w:ascii="仿宋_GB2312" w:hAnsi="仿宋" w:eastAsia="仿宋_GB2312" w:cs="仿宋_GB2312"/>
          <w:color w:val="auto"/>
          <w:highlight w:val="none"/>
        </w:rPr>
      </w:pPr>
      <w:r>
        <w:rPr>
          <w:rFonts w:ascii="仿宋_GB2312" w:hAnsi="仿宋" w:eastAsia="仿宋_GB2312" w:cs="仿宋_GB2312"/>
          <w:color w:val="auto"/>
          <w:highlight w:val="none"/>
        </w:rPr>
        <w:t>5.4因重大变故，采购任务取消的。</w:t>
      </w:r>
    </w:p>
    <w:p>
      <w:pPr>
        <w:pStyle w:val="26"/>
        <w:snapToGrid w:val="0"/>
        <w:spacing w:line="360" w:lineRule="auto"/>
        <w:rPr>
          <w:rFonts w:ascii="仿宋_GB2312" w:hAnsi="仿宋" w:eastAsia="仿宋_GB2312" w:cs="仿宋_GB2312"/>
          <w:color w:val="auto"/>
          <w:highlight w:val="none"/>
        </w:rPr>
      </w:pPr>
      <w:r>
        <w:rPr>
          <w:rFonts w:hint="eastAsia" w:ascii="仿宋_GB2312" w:hAnsi="仿宋" w:eastAsia="仿宋_GB2312" w:cs="仿宋_GB2312"/>
          <w:color w:val="auto"/>
          <w:highlight w:val="none"/>
        </w:rPr>
        <w:t>废标后，采购机构应当将废标理由通知所有投标人。</w:t>
      </w:r>
    </w:p>
    <w:p>
      <w:pPr>
        <w:pStyle w:val="26"/>
        <w:snapToGrid w:val="0"/>
        <w:spacing w:line="360" w:lineRule="auto"/>
        <w:ind w:firstLine="590" w:firstLineChars="245"/>
        <w:rPr>
          <w:rFonts w:ascii="仿宋_GB2312" w:hAnsi="仿宋" w:eastAsia="仿宋_GB2312" w:cs="仿宋_GB2312"/>
          <w:color w:val="auto"/>
          <w:highlight w:val="none"/>
        </w:rPr>
      </w:pPr>
      <w:r>
        <w:rPr>
          <w:rFonts w:ascii="仿宋_GB2312" w:hAnsi="仿宋" w:eastAsia="仿宋_GB2312" w:cs="仿宋_GB2312"/>
          <w:b/>
          <w:color w:val="auto"/>
          <w:highlight w:val="none"/>
        </w:rPr>
        <w:t>6.修改招标文件，重新组织采购活动。</w:t>
      </w:r>
      <w:r>
        <w:rPr>
          <w:rFonts w:hint="eastAsia" w:ascii="仿宋_GB2312" w:hAnsi="仿宋" w:eastAsia="仿宋_GB2312" w:cs="仿宋_GB2312"/>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6"/>
        <w:snapToGrid w:val="0"/>
        <w:spacing w:line="360" w:lineRule="auto"/>
        <w:ind w:firstLine="590" w:firstLineChars="245"/>
        <w:rPr>
          <w:rFonts w:ascii="仿宋_GB2312" w:hAnsi="仿宋" w:eastAsia="仿宋_GB2312" w:cs="仿宋_GB2312"/>
          <w:color w:val="auto"/>
          <w:highlight w:val="none"/>
        </w:rPr>
      </w:pPr>
      <w:r>
        <w:rPr>
          <w:rFonts w:hint="eastAsia" w:ascii="仿宋_GB2312" w:hAnsi="Helvetica" w:eastAsia="仿宋_GB2312" w:cs="Helvetica"/>
          <w:b/>
          <w:color w:val="auto"/>
          <w:kern w:val="0"/>
          <w:highlight w:val="none"/>
        </w:rPr>
        <w:t>7.重新开展采购。</w:t>
      </w:r>
      <w:r>
        <w:rPr>
          <w:rFonts w:hint="eastAsia" w:ascii="仿宋_GB2312" w:hAnsi="仿宋" w:eastAsia="仿宋_GB2312" w:cs="仿宋_GB2312"/>
          <w:color w:val="auto"/>
          <w:highlight w:val="none"/>
        </w:rPr>
        <w:t>有政府采购法第七十一条、第七十二条规定的违法行为之一，影响或者可能影响中标、成交结果的，依照下列规定处理：</w:t>
      </w:r>
    </w:p>
    <w:p>
      <w:pPr>
        <w:pStyle w:val="26"/>
        <w:snapToGrid w:val="0"/>
        <w:spacing w:line="360" w:lineRule="auto"/>
        <w:ind w:firstLine="600" w:firstLineChars="250"/>
        <w:rPr>
          <w:rFonts w:ascii="仿宋_GB2312" w:hAnsi="仿宋" w:eastAsia="仿宋_GB2312" w:cs="仿宋_GB2312"/>
          <w:color w:val="auto"/>
          <w:highlight w:val="none"/>
        </w:rPr>
      </w:pPr>
      <w:r>
        <w:rPr>
          <w:rFonts w:ascii="仿宋_GB2312" w:hAnsi="仿宋" w:eastAsia="仿宋_GB2312" w:cs="仿宋_GB2312"/>
          <w:color w:val="auto"/>
          <w:highlight w:val="none"/>
        </w:rPr>
        <w:t>7.1未确定中标或者中标人的，终止本次政府采购活动，重新开展政府采购</w:t>
      </w:r>
      <w:r>
        <w:rPr>
          <w:rFonts w:hint="eastAsia" w:ascii="仿宋_GB2312" w:hAnsi="仿宋" w:eastAsia="仿宋_GB2312" w:cs="仿宋_GB2312"/>
          <w:color w:val="auto"/>
          <w:highlight w:val="none"/>
        </w:rPr>
        <w:t>活动。</w:t>
      </w:r>
    </w:p>
    <w:p>
      <w:pPr>
        <w:pStyle w:val="26"/>
        <w:snapToGrid w:val="0"/>
        <w:spacing w:line="360" w:lineRule="auto"/>
        <w:ind w:firstLine="600" w:firstLineChars="250"/>
        <w:rPr>
          <w:rFonts w:ascii="仿宋_GB2312" w:hAnsi="仿宋" w:eastAsia="仿宋_GB2312" w:cs="仿宋_GB2312"/>
          <w:color w:val="auto"/>
          <w:highlight w:val="none"/>
        </w:rPr>
      </w:pPr>
      <w:r>
        <w:rPr>
          <w:rFonts w:ascii="仿宋_GB2312" w:hAnsi="仿宋" w:eastAsia="仿宋_GB2312" w:cs="仿宋_GB2312"/>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6"/>
        <w:snapToGrid w:val="0"/>
        <w:spacing w:line="360" w:lineRule="auto"/>
        <w:ind w:firstLine="600" w:firstLineChars="250"/>
        <w:rPr>
          <w:rFonts w:ascii="仿宋_GB2312" w:hAnsi="仿宋" w:eastAsia="仿宋_GB2312" w:cs="仿宋_GB2312"/>
          <w:color w:val="auto"/>
          <w:highlight w:val="none"/>
        </w:rPr>
      </w:pPr>
      <w:r>
        <w:rPr>
          <w:rFonts w:ascii="仿宋_GB2312" w:hAnsi="仿宋" w:eastAsia="仿宋_GB2312" w:cs="仿宋_GB2312"/>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26"/>
        <w:snapToGrid w:val="0"/>
        <w:spacing w:line="360" w:lineRule="auto"/>
        <w:rPr>
          <w:rFonts w:ascii="仿宋_GB2312" w:hAnsi="仿宋" w:eastAsia="仿宋_GB2312" w:cs="仿宋_GB2312"/>
          <w:color w:val="auto"/>
          <w:highlight w:val="none"/>
        </w:rPr>
      </w:pPr>
      <w:r>
        <w:rPr>
          <w:rFonts w:ascii="仿宋_GB2312" w:hAnsi="仿宋" w:eastAsia="仿宋_GB2312" w:cs="仿宋_GB2312"/>
          <w:color w:val="auto"/>
          <w:highlight w:val="none"/>
        </w:rPr>
        <w:t>7.4政府采购合同已经履行，给采购人、供应</w:t>
      </w:r>
      <w:r>
        <w:rPr>
          <w:rFonts w:hint="eastAsia" w:ascii="仿宋_GB2312" w:hAnsi="仿宋" w:eastAsia="仿宋_GB2312" w:cs="仿宋_GB2312"/>
          <w:color w:val="auto"/>
          <w:highlight w:val="none"/>
        </w:rPr>
        <w:t>商造成损失的，由责任人承担赔偿责任。</w:t>
      </w:r>
    </w:p>
    <w:p>
      <w:pPr>
        <w:pStyle w:val="26"/>
        <w:snapToGrid w:val="0"/>
        <w:spacing w:line="360" w:lineRule="auto"/>
        <w:rPr>
          <w:rFonts w:ascii="仿宋_GB2312" w:hAnsi="仿宋" w:eastAsia="仿宋_GB2312" w:cs="仿宋_GB2312"/>
          <w:color w:val="auto"/>
          <w:highlight w:val="none"/>
        </w:rPr>
      </w:pPr>
      <w:r>
        <w:rPr>
          <w:rFonts w:ascii="仿宋_GB2312" w:hAnsi="仿宋" w:eastAsia="仿宋_GB2312" w:cs="仿宋_GB2312"/>
          <w:color w:val="auto"/>
          <w:highlight w:val="none"/>
        </w:rPr>
        <w:t>7.5政府采购当事人有其他违反政府采购</w:t>
      </w:r>
      <w:r>
        <w:rPr>
          <w:rFonts w:hint="eastAsia" w:ascii="仿宋_GB2312" w:hAnsi="仿宋" w:eastAsia="仿宋_GB2312" w:cs="仿宋_GB2312"/>
          <w:color w:val="auto"/>
          <w:highlight w:val="none"/>
        </w:rPr>
        <w:t>法</w:t>
      </w:r>
      <w:r>
        <w:rPr>
          <w:rFonts w:hint="eastAsia" w:ascii="仿宋_GB2312" w:hAnsi="仿宋" w:eastAsia="仿宋_GB2312" w:cs="Arial"/>
          <w:color w:val="auto"/>
          <w:kern w:val="0"/>
          <w:highlight w:val="none"/>
        </w:rPr>
        <w:t>或者政府采购法实施条例等法律法规规定</w:t>
      </w:r>
      <w:r>
        <w:rPr>
          <w:rFonts w:hint="eastAsia" w:ascii="仿宋_GB2312" w:hAnsi="仿宋" w:eastAsia="仿宋_GB2312" w:cs="仿宋_GB2312"/>
          <w:color w:val="auto"/>
          <w:highlight w:val="none"/>
        </w:rPr>
        <w:t>的行为，经改正后仍然影响或者可能影响中标、成交结果或者依法被认定为中标、成交无效的，依照</w:t>
      </w:r>
      <w:r>
        <w:rPr>
          <w:rFonts w:ascii="仿宋_GB2312" w:hAnsi="仿宋" w:eastAsia="仿宋_GB2312" w:cs="仿宋_GB2312"/>
          <w:color w:val="auto"/>
          <w:highlight w:val="none"/>
        </w:rPr>
        <w:t>7.1-7.4规定处理。</w:t>
      </w:r>
    </w:p>
    <w:p>
      <w:pPr>
        <w:rPr>
          <w:color w:val="auto"/>
          <w:highlight w:val="none"/>
        </w:rPr>
      </w:pPr>
      <w:r>
        <w:rPr>
          <w:rFonts w:ascii="仿宋_GB2312" w:hAnsi="仿宋" w:eastAsia="仿宋_GB2312" w:cs="仿宋_GB2312"/>
          <w:color w:val="auto"/>
          <w:highlight w:val="none"/>
        </w:rPr>
        <w:br w:type="page"/>
      </w:r>
    </w:p>
    <w:bookmarkEnd w:id="26"/>
    <w:p>
      <w:pPr>
        <w:spacing w:line="240" w:lineRule="auto"/>
        <w:ind w:left="0" w:leftChars="0" w:firstLine="0" w:firstLineChars="0"/>
        <w:outlineLvl w:val="9"/>
        <w:rPr>
          <w:rFonts w:hint="eastAsia" w:ascii="仿宋_GB2312" w:hAnsi="仿宋" w:eastAsia="仿宋_GB2312" w:cs="仿宋_GB2312"/>
          <w:b/>
          <w:color w:val="auto"/>
          <w:sz w:val="36"/>
          <w:szCs w:val="36"/>
          <w:highlight w:val="none"/>
        </w:rPr>
      </w:pPr>
      <w:bookmarkStart w:id="392" w:name="第五部分"/>
      <w:bookmarkStart w:id="393" w:name="_Toc86217003"/>
    </w:p>
    <w:p>
      <w:pPr>
        <w:spacing w:line="360" w:lineRule="auto"/>
        <w:ind w:left="823" w:leftChars="343" w:firstLine="1084" w:firstLineChars="300"/>
        <w:outlineLvl w:val="0"/>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第五部分</w:t>
      </w:r>
      <w:r>
        <w:rPr>
          <w:rFonts w:ascii="仿宋_GB2312" w:hAnsi="仿宋" w:eastAsia="仿宋_GB2312" w:cs="仿宋_GB2312"/>
          <w:b/>
          <w:color w:val="auto"/>
          <w:sz w:val="36"/>
          <w:szCs w:val="36"/>
          <w:highlight w:val="none"/>
        </w:rPr>
        <w:t xml:space="preserve"> </w:t>
      </w:r>
      <w:r>
        <w:rPr>
          <w:rFonts w:hint="eastAsia" w:ascii="仿宋_GB2312" w:hAnsi="仿宋" w:eastAsia="仿宋_GB2312" w:cs="仿宋_GB2312"/>
          <w:b/>
          <w:color w:val="auto"/>
          <w:sz w:val="36"/>
          <w:szCs w:val="36"/>
          <w:highlight w:val="none"/>
        </w:rPr>
        <w:t>拟签订的合同文本</w:t>
      </w:r>
    </w:p>
    <w:p>
      <w:pPr>
        <w:rPr>
          <w:rFonts w:ascii="楷体" w:hAnsi="楷体" w:eastAsia="楷体"/>
          <w:color w:val="auto"/>
          <w:sz w:val="24"/>
          <w:highlight w:val="none"/>
          <w:u w:val="single"/>
        </w:rPr>
      </w:pPr>
      <w:r>
        <w:rPr>
          <w:rFonts w:hint="eastAsia" w:ascii="楷体" w:hAnsi="楷体" w:eastAsia="楷体"/>
          <w:color w:val="auto"/>
          <w:sz w:val="24"/>
          <w:highlight w:val="none"/>
        </w:rPr>
        <w:t>合同编号：</w:t>
      </w:r>
      <w:r>
        <w:rPr>
          <w:rFonts w:ascii="楷体" w:hAnsi="楷体" w:eastAsia="楷体"/>
          <w:color w:val="auto"/>
          <w:sz w:val="24"/>
          <w:highlight w:val="none"/>
          <w:u w:val="single"/>
        </w:rPr>
        <w:t xml:space="preserve">           </w:t>
      </w:r>
    </w:p>
    <w:p>
      <w:pPr>
        <w:spacing w:line="480" w:lineRule="auto"/>
        <w:jc w:val="center"/>
        <w:rPr>
          <w:rFonts w:ascii="楷体" w:hAnsi="楷体" w:eastAsia="楷体"/>
          <w:b/>
          <w:color w:val="auto"/>
          <w:sz w:val="28"/>
          <w:szCs w:val="28"/>
          <w:highlight w:val="none"/>
        </w:rPr>
      </w:pPr>
    </w:p>
    <w:p>
      <w:pPr>
        <w:spacing w:line="480" w:lineRule="auto"/>
        <w:jc w:val="center"/>
        <w:rPr>
          <w:rFonts w:ascii="仿宋" w:hAnsi="仿宋" w:eastAsia="仿宋"/>
          <w:b/>
          <w:color w:val="auto"/>
          <w:sz w:val="24"/>
          <w:highlight w:val="none"/>
        </w:rPr>
      </w:pPr>
    </w:p>
    <w:p>
      <w:pPr>
        <w:spacing w:line="480" w:lineRule="auto"/>
        <w:jc w:val="center"/>
        <w:rPr>
          <w:rFonts w:ascii="仿宋" w:hAnsi="仿宋" w:eastAsia="仿宋"/>
          <w:b/>
          <w:color w:val="auto"/>
          <w:sz w:val="24"/>
          <w:highlight w:val="none"/>
        </w:rPr>
      </w:pP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pPr>
        <w:pStyle w:val="699"/>
        <w:rPr>
          <w:rFonts w:ascii="仿宋" w:hAnsi="仿宋" w:eastAsia="仿宋"/>
          <w:color w:val="auto"/>
          <w:szCs w:val="24"/>
          <w:highlight w:val="none"/>
        </w:rPr>
      </w:pPr>
    </w:p>
    <w:p>
      <w:pPr>
        <w:pStyle w:val="699"/>
        <w:rPr>
          <w:rFonts w:ascii="仿宋" w:hAnsi="仿宋" w:eastAsia="仿宋"/>
          <w:color w:val="auto"/>
          <w:szCs w:val="24"/>
          <w:highlight w:val="none"/>
        </w:rPr>
      </w:pPr>
    </w:p>
    <w:p>
      <w:pPr>
        <w:pStyle w:val="699"/>
        <w:jc w:val="center"/>
        <w:rPr>
          <w:rFonts w:ascii="仿宋" w:hAnsi="仿宋" w:eastAsia="仿宋"/>
          <w:color w:val="auto"/>
          <w:szCs w:val="24"/>
          <w:highlight w:val="none"/>
        </w:rPr>
      </w:pPr>
    </w:p>
    <w:p>
      <w:pPr>
        <w:pStyle w:val="699"/>
        <w:ind w:firstLine="2843" w:firstLineChars="1180"/>
        <w:rPr>
          <w:rFonts w:ascii="仿宋" w:hAnsi="仿宋" w:eastAsia="仿宋"/>
          <w:b/>
          <w:color w:val="auto"/>
          <w:szCs w:val="24"/>
          <w:highlight w:val="none"/>
        </w:rPr>
      </w:pPr>
      <w:r>
        <w:rPr>
          <w:rFonts w:hint="eastAsia" w:ascii="仿宋" w:hAnsi="仿宋" w:eastAsia="仿宋"/>
          <w:b/>
          <w:color w:val="auto"/>
          <w:szCs w:val="24"/>
          <w:highlight w:val="none"/>
        </w:rPr>
        <w:t>第一部分</w:t>
      </w:r>
      <w:r>
        <w:rPr>
          <w:rFonts w:ascii="仿宋" w:hAnsi="仿宋" w:eastAsia="仿宋"/>
          <w:b/>
          <w:color w:val="auto"/>
          <w:szCs w:val="24"/>
          <w:highlight w:val="none"/>
        </w:rPr>
        <w:t xml:space="preserve"> </w:t>
      </w:r>
      <w:r>
        <w:rPr>
          <w:rFonts w:hint="eastAsia" w:ascii="仿宋" w:hAnsi="仿宋" w:eastAsia="仿宋"/>
          <w:b/>
          <w:color w:val="auto"/>
          <w:szCs w:val="24"/>
          <w:highlight w:val="none"/>
        </w:rPr>
        <w:t>合同书</w:t>
      </w:r>
    </w:p>
    <w:p>
      <w:pPr>
        <w:pStyle w:val="699"/>
        <w:rPr>
          <w:rFonts w:ascii="仿宋" w:hAnsi="仿宋" w:eastAsia="仿宋"/>
          <w:color w:val="auto"/>
          <w:szCs w:val="24"/>
          <w:highlight w:val="none"/>
        </w:rPr>
      </w:pPr>
    </w:p>
    <w:p>
      <w:pPr>
        <w:pStyle w:val="699"/>
        <w:rPr>
          <w:rFonts w:ascii="仿宋" w:hAnsi="仿宋" w:eastAsia="仿宋"/>
          <w:color w:val="auto"/>
          <w:szCs w:val="24"/>
          <w:highlight w:val="none"/>
        </w:rPr>
      </w:pP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pPr>
        <w:pStyle w:val="596"/>
        <w:spacing w:before="120" w:line="22" w:lineRule="atLeast"/>
        <w:rPr>
          <w:rFonts w:ascii="仿宋" w:hAnsi="仿宋" w:eastAsia="仿宋"/>
          <w:color w:val="auto"/>
          <w:szCs w:val="24"/>
          <w:highlight w:val="none"/>
        </w:rPr>
      </w:pPr>
    </w:p>
    <w:p>
      <w:pPr>
        <w:pStyle w:val="596"/>
        <w:spacing w:before="120" w:line="22" w:lineRule="atLeast"/>
        <w:rPr>
          <w:rFonts w:ascii="仿宋" w:hAnsi="仿宋" w:eastAsia="仿宋"/>
          <w:color w:val="auto"/>
          <w:szCs w:val="24"/>
          <w:highlight w:val="none"/>
        </w:rPr>
      </w:pPr>
    </w:p>
    <w:p>
      <w:pPr>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widowControl/>
        <w:jc w:val="left"/>
        <w:rPr>
          <w:rFonts w:ascii="仿宋" w:hAnsi="仿宋" w:eastAsia="仿宋"/>
          <w:color w:val="auto"/>
          <w:kern w:val="0"/>
          <w:sz w:val="24"/>
          <w:highlight w:val="none"/>
        </w:rPr>
        <w:sectPr>
          <w:pgSz w:w="11907" w:h="16840"/>
          <w:pgMar w:top="1474" w:right="1473" w:bottom="1474" w:left="1394" w:header="851" w:footer="851" w:gutter="0"/>
          <w:cols w:space="720" w:num="1"/>
        </w:sectPr>
      </w:pPr>
    </w:p>
    <w:p>
      <w:pPr>
        <w:adjustRightInd w:val="0"/>
        <w:snapToGrid w:val="0"/>
        <w:spacing w:line="360" w:lineRule="auto"/>
        <w:ind w:firstLine="480" w:firstLineChars="200"/>
        <w:rPr>
          <w:rFonts w:ascii="仿宋" w:hAnsi="仿宋" w:eastAsia="仿宋" w:cs="仿宋"/>
          <w:snapToGrid w:val="0"/>
          <w:color w:val="auto"/>
          <w:kern w:val="0"/>
          <w:sz w:val="24"/>
          <w:highlight w:val="none"/>
          <w:u w:val="single"/>
        </w:rPr>
      </w:pPr>
      <w:r>
        <w:rPr>
          <w:rFonts w:hint="eastAsia" w:ascii="仿宋" w:hAnsi="仿宋" w:eastAsia="仿宋" w:cs="仿宋"/>
          <w:snapToGrid w:val="0"/>
          <w:color w:val="auto"/>
          <w:kern w:val="0"/>
          <w:sz w:val="24"/>
          <w:highlight w:val="none"/>
        </w:rPr>
        <w:t>甲</w:t>
      </w:r>
      <w:r>
        <w:rPr>
          <w:rFonts w:ascii="仿宋" w:hAnsi="仿宋" w:eastAsia="仿宋" w:cs="仿宋"/>
          <w:snapToGrid w:val="0"/>
          <w:color w:val="auto"/>
          <w:kern w:val="0"/>
          <w:sz w:val="24"/>
          <w:highlight w:val="none"/>
        </w:rPr>
        <w:t xml:space="preserve">  </w:t>
      </w:r>
      <w:r>
        <w:rPr>
          <w:rFonts w:hint="eastAsia" w:ascii="仿宋" w:hAnsi="仿宋" w:eastAsia="仿宋" w:cs="仿宋"/>
          <w:snapToGrid w:val="0"/>
          <w:color w:val="auto"/>
          <w:kern w:val="0"/>
          <w:sz w:val="24"/>
          <w:highlight w:val="none"/>
        </w:rPr>
        <w:t>方：</w:t>
      </w:r>
      <w:r>
        <w:rPr>
          <w:rFonts w:ascii="仿宋" w:hAnsi="仿宋" w:eastAsia="仿宋" w:cs="仿宋"/>
          <w:snapToGrid w:val="0"/>
          <w:color w:val="auto"/>
          <w:kern w:val="0"/>
          <w:sz w:val="24"/>
          <w:highlight w:val="none"/>
          <w:u w:val="single"/>
        </w:rPr>
        <w:t xml:space="preserve"> </w:t>
      </w:r>
      <w:r>
        <w:rPr>
          <w:rFonts w:hint="eastAsia" w:ascii="仿宋" w:hAnsi="仿宋" w:eastAsia="仿宋" w:cs="仿宋"/>
          <w:snapToGrid w:val="0"/>
          <w:color w:val="auto"/>
          <w:kern w:val="0"/>
          <w:sz w:val="24"/>
          <w:highlight w:val="none"/>
          <w:u w:val="single"/>
        </w:rPr>
        <w:t>杭州钱塘区城市管理局</w:t>
      </w:r>
      <w:r>
        <w:rPr>
          <w:rFonts w:ascii="仿宋" w:hAnsi="仿宋" w:eastAsia="仿宋" w:cs="仿宋"/>
          <w:snapToGrid w:val="0"/>
          <w:color w:val="auto"/>
          <w:kern w:val="0"/>
          <w:sz w:val="24"/>
          <w:highlight w:val="none"/>
          <w:u w:val="single"/>
        </w:rPr>
        <w:t xml:space="preserve">   </w:t>
      </w:r>
    </w:p>
    <w:p>
      <w:pPr>
        <w:adjustRightInd w:val="0"/>
        <w:snapToGrid w:val="0"/>
        <w:spacing w:line="360" w:lineRule="auto"/>
        <w:ind w:firstLine="480" w:firstLineChars="200"/>
        <w:rPr>
          <w:rFonts w:ascii="仿宋" w:hAnsi="仿宋" w:eastAsia="仿宋" w:cs="仿宋"/>
          <w:snapToGrid w:val="0"/>
          <w:color w:val="auto"/>
          <w:kern w:val="0"/>
          <w:sz w:val="24"/>
          <w:highlight w:val="none"/>
          <w:u w:val="single"/>
        </w:rPr>
      </w:pPr>
      <w:r>
        <w:rPr>
          <w:rFonts w:hint="eastAsia" w:ascii="仿宋" w:hAnsi="仿宋" w:eastAsia="仿宋" w:cs="仿宋"/>
          <w:snapToGrid w:val="0"/>
          <w:color w:val="auto"/>
          <w:kern w:val="0"/>
          <w:sz w:val="24"/>
          <w:highlight w:val="none"/>
        </w:rPr>
        <w:t>乙</w:t>
      </w:r>
      <w:r>
        <w:rPr>
          <w:rFonts w:ascii="仿宋" w:hAnsi="仿宋" w:eastAsia="仿宋" w:cs="仿宋"/>
          <w:snapToGrid w:val="0"/>
          <w:color w:val="auto"/>
          <w:kern w:val="0"/>
          <w:sz w:val="24"/>
          <w:highlight w:val="none"/>
        </w:rPr>
        <w:t xml:space="preserve">  </w:t>
      </w:r>
      <w:r>
        <w:rPr>
          <w:rFonts w:hint="eastAsia" w:ascii="仿宋" w:hAnsi="仿宋" w:eastAsia="仿宋" w:cs="仿宋"/>
          <w:snapToGrid w:val="0"/>
          <w:color w:val="auto"/>
          <w:kern w:val="0"/>
          <w:sz w:val="24"/>
          <w:highlight w:val="none"/>
        </w:rPr>
        <w:t>方：</w:t>
      </w:r>
      <w:r>
        <w:rPr>
          <w:rFonts w:ascii="仿宋" w:hAnsi="仿宋" w:eastAsia="仿宋" w:cs="仿宋"/>
          <w:snapToGrid w:val="0"/>
          <w:color w:val="auto"/>
          <w:kern w:val="0"/>
          <w:sz w:val="24"/>
          <w:highlight w:val="none"/>
          <w:u w:val="single"/>
        </w:rPr>
        <w:t xml:space="preserve">                           </w:t>
      </w:r>
    </w:p>
    <w:p>
      <w:pPr>
        <w:adjustRightInd w:val="0"/>
        <w:snapToGrid w:val="0"/>
        <w:spacing w:line="360" w:lineRule="auto"/>
        <w:ind w:firstLine="480" w:firstLineChars="200"/>
        <w:rPr>
          <w:rFonts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合同编号：</w:t>
      </w:r>
      <w:r>
        <w:rPr>
          <w:rFonts w:ascii="仿宋" w:hAnsi="仿宋" w:eastAsia="仿宋" w:cs="仿宋"/>
          <w:snapToGrid w:val="0"/>
          <w:color w:val="auto"/>
          <w:kern w:val="0"/>
          <w:sz w:val="24"/>
          <w:highlight w:val="none"/>
          <w:u w:val="single"/>
        </w:rPr>
        <w:t xml:space="preserve">                      </w:t>
      </w:r>
      <w:r>
        <w:rPr>
          <w:rFonts w:ascii="仿宋" w:hAnsi="仿宋" w:eastAsia="仿宋" w:cs="仿宋"/>
          <w:snapToGrid w:val="0"/>
          <w:color w:val="auto"/>
          <w:kern w:val="0"/>
          <w:sz w:val="24"/>
          <w:highlight w:val="none"/>
        </w:rPr>
        <w:t xml:space="preserve">  </w:t>
      </w:r>
      <w:r>
        <w:rPr>
          <w:rFonts w:hint="eastAsia" w:ascii="仿宋" w:hAnsi="仿宋" w:eastAsia="仿宋" w:cs="仿宋"/>
          <w:snapToGrid w:val="0"/>
          <w:color w:val="auto"/>
          <w:kern w:val="0"/>
          <w:sz w:val="24"/>
          <w:highlight w:val="none"/>
        </w:rPr>
        <w:t>招标编号：</w:t>
      </w:r>
      <w:r>
        <w:rPr>
          <w:rFonts w:ascii="仿宋" w:hAnsi="仿宋" w:eastAsia="仿宋" w:cs="仿宋"/>
          <w:snapToGrid w:val="0"/>
          <w:color w:val="auto"/>
          <w:kern w:val="0"/>
          <w:sz w:val="24"/>
          <w:highlight w:val="none"/>
          <w:u w:val="single"/>
        </w:rPr>
        <w:t xml:space="preserve">          </w:t>
      </w:r>
    </w:p>
    <w:p>
      <w:pPr>
        <w:adjustRightInd w:val="0"/>
        <w:snapToGrid w:val="0"/>
        <w:spacing w:line="360" w:lineRule="auto"/>
        <w:ind w:firstLine="480" w:firstLineChars="200"/>
        <w:rPr>
          <w:rFonts w:ascii="仿宋" w:hAnsi="仿宋" w:eastAsia="仿宋" w:cs="仿宋"/>
          <w:snapToGrid w:val="0"/>
          <w:color w:val="auto"/>
          <w:kern w:val="0"/>
          <w:sz w:val="24"/>
          <w:highlight w:val="none"/>
          <w:u w:val="single"/>
        </w:rPr>
      </w:pPr>
      <w:r>
        <w:rPr>
          <w:rFonts w:hint="eastAsia" w:ascii="仿宋" w:hAnsi="仿宋" w:eastAsia="仿宋" w:cs="仿宋"/>
          <w:snapToGrid w:val="0"/>
          <w:color w:val="auto"/>
          <w:kern w:val="0"/>
          <w:sz w:val="24"/>
          <w:highlight w:val="none"/>
        </w:rPr>
        <w:t>合同签订地：</w:t>
      </w:r>
      <w:r>
        <w:rPr>
          <w:rFonts w:ascii="仿宋" w:hAnsi="仿宋" w:eastAsia="仿宋" w:cs="仿宋"/>
          <w:snapToGrid w:val="0"/>
          <w:color w:val="auto"/>
          <w:kern w:val="0"/>
          <w:sz w:val="24"/>
          <w:highlight w:val="none"/>
          <w:u w:val="single"/>
        </w:rPr>
        <w:t xml:space="preserve">               </w:t>
      </w:r>
      <w:r>
        <w:rPr>
          <w:rFonts w:ascii="仿宋" w:hAnsi="仿宋" w:eastAsia="仿宋" w:cs="仿宋"/>
          <w:snapToGrid w:val="0"/>
          <w:color w:val="auto"/>
          <w:kern w:val="0"/>
          <w:sz w:val="24"/>
          <w:highlight w:val="none"/>
        </w:rPr>
        <w:t xml:space="preserve">  </w:t>
      </w:r>
      <w:r>
        <w:rPr>
          <w:rFonts w:hint="eastAsia" w:ascii="仿宋" w:hAnsi="仿宋" w:eastAsia="仿宋" w:cs="仿宋"/>
          <w:snapToGrid w:val="0"/>
          <w:color w:val="auto"/>
          <w:kern w:val="0"/>
          <w:sz w:val="24"/>
          <w:highlight w:val="none"/>
        </w:rPr>
        <w:t>合同签订时间：</w:t>
      </w:r>
      <w:r>
        <w:rPr>
          <w:rFonts w:ascii="仿宋" w:hAnsi="仿宋" w:eastAsia="仿宋" w:cs="仿宋"/>
          <w:snapToGrid w:val="0"/>
          <w:color w:val="auto"/>
          <w:kern w:val="0"/>
          <w:sz w:val="24"/>
          <w:highlight w:val="none"/>
          <w:u w:val="single"/>
        </w:rPr>
        <w:t xml:space="preserve">           </w:t>
      </w:r>
    </w:p>
    <w:p>
      <w:pPr>
        <w:adjustRightInd w:val="0"/>
        <w:snapToGrid w:val="0"/>
        <w:spacing w:line="360" w:lineRule="auto"/>
        <w:ind w:firstLine="480" w:firstLineChars="200"/>
        <w:rPr>
          <w:rFonts w:ascii="仿宋" w:hAnsi="仿宋" w:eastAsia="仿宋" w:cs="仿宋"/>
          <w:snapToGrid w:val="0"/>
          <w:color w:val="auto"/>
          <w:kern w:val="0"/>
          <w:sz w:val="24"/>
          <w:highlight w:val="none"/>
          <w:u w:val="single"/>
        </w:rPr>
      </w:pPr>
      <w:r>
        <w:rPr>
          <w:rFonts w:hint="eastAsia" w:ascii="仿宋" w:hAnsi="仿宋" w:eastAsia="仿宋" w:cs="仿宋"/>
          <w:snapToGrid w:val="0"/>
          <w:color w:val="auto"/>
          <w:kern w:val="0"/>
          <w:sz w:val="24"/>
          <w:highlight w:val="none"/>
        </w:rPr>
        <w:t>本合同有效期：</w:t>
      </w:r>
      <w:r>
        <w:rPr>
          <w:rFonts w:ascii="仿宋" w:hAnsi="仿宋" w:eastAsia="仿宋" w:cs="仿宋"/>
          <w:snapToGrid w:val="0"/>
          <w:color w:val="auto"/>
          <w:kern w:val="0"/>
          <w:sz w:val="24"/>
          <w:highlight w:val="none"/>
          <w:u w:val="single"/>
        </w:rPr>
        <w:t xml:space="preserve">          </w:t>
      </w:r>
      <w:r>
        <w:rPr>
          <w:rFonts w:hint="eastAsia" w:ascii="仿宋" w:hAnsi="仿宋" w:eastAsia="仿宋" w:cs="仿宋"/>
          <w:snapToGrid w:val="0"/>
          <w:color w:val="auto"/>
          <w:kern w:val="0"/>
          <w:sz w:val="24"/>
          <w:highlight w:val="none"/>
          <w:u w:val="single"/>
        </w:rPr>
        <w:t>起</w:t>
      </w:r>
      <w:r>
        <w:rPr>
          <w:rFonts w:ascii="仿宋" w:hAnsi="仿宋" w:eastAsia="仿宋" w:cs="仿宋"/>
          <w:snapToGrid w:val="0"/>
          <w:color w:val="auto"/>
          <w:kern w:val="0"/>
          <w:sz w:val="24"/>
          <w:highlight w:val="none"/>
          <w:u w:val="single"/>
        </w:rPr>
        <w:t xml:space="preserve"> </w:t>
      </w:r>
      <w:r>
        <w:rPr>
          <w:rFonts w:hint="eastAsia" w:ascii="仿宋" w:hAnsi="仿宋" w:eastAsia="仿宋" w:cs="仿宋"/>
          <w:snapToGrid w:val="0"/>
          <w:color w:val="auto"/>
          <w:kern w:val="0"/>
          <w:sz w:val="24"/>
          <w:highlight w:val="none"/>
          <w:u w:val="single"/>
        </w:rPr>
        <w:t>至</w:t>
      </w:r>
      <w:r>
        <w:rPr>
          <w:rFonts w:ascii="仿宋" w:hAnsi="仿宋" w:eastAsia="仿宋" w:cs="仿宋"/>
          <w:snapToGrid w:val="0"/>
          <w:color w:val="auto"/>
          <w:kern w:val="0"/>
          <w:sz w:val="24"/>
          <w:highlight w:val="none"/>
          <w:u w:val="single"/>
        </w:rPr>
        <w:t xml:space="preserve">      </w:t>
      </w:r>
      <w:r>
        <w:rPr>
          <w:rFonts w:hint="eastAsia" w:ascii="仿宋" w:hAnsi="仿宋" w:eastAsia="仿宋" w:cs="仿宋"/>
          <w:snapToGrid w:val="0"/>
          <w:color w:val="auto"/>
          <w:kern w:val="0"/>
          <w:sz w:val="24"/>
          <w:highlight w:val="none"/>
          <w:u w:val="single"/>
        </w:rPr>
        <w:t>日止</w:t>
      </w:r>
      <w:r>
        <w:rPr>
          <w:rFonts w:ascii="仿宋" w:hAnsi="仿宋" w:eastAsia="仿宋" w:cs="仿宋"/>
          <w:snapToGrid w:val="0"/>
          <w:color w:val="auto"/>
          <w:kern w:val="0"/>
          <w:sz w:val="24"/>
          <w:highlight w:val="none"/>
          <w:u w:val="single"/>
        </w:rPr>
        <w:t xml:space="preserve"> </w:t>
      </w:r>
    </w:p>
    <w:p>
      <w:pPr>
        <w:adjustRightInd w:val="0"/>
        <w:snapToGrid w:val="0"/>
        <w:spacing w:line="360" w:lineRule="auto"/>
        <w:ind w:firstLine="480" w:firstLineChars="200"/>
        <w:rPr>
          <w:rFonts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本合同标的：</w:t>
      </w:r>
      <w:r>
        <w:rPr>
          <w:rFonts w:ascii="仿宋" w:hAnsi="仿宋" w:eastAsia="仿宋" w:cs="仿宋"/>
          <w:snapToGrid w:val="0"/>
          <w:color w:val="auto"/>
          <w:kern w:val="0"/>
          <w:sz w:val="24"/>
          <w:highlight w:val="none"/>
          <w:u w:val="single"/>
        </w:rPr>
        <w:t xml:space="preserve">                             </w:t>
      </w:r>
    </w:p>
    <w:p>
      <w:pPr>
        <w:adjustRightInd w:val="0"/>
        <w:snapToGrid w:val="0"/>
        <w:spacing w:line="360" w:lineRule="auto"/>
        <w:ind w:firstLine="480" w:firstLineChars="200"/>
        <w:rPr>
          <w:rFonts w:ascii="仿宋" w:hAnsi="仿宋" w:eastAsia="仿宋" w:cs="仿宋"/>
          <w:snapToGrid w:val="0"/>
          <w:color w:val="auto"/>
          <w:kern w:val="0"/>
          <w:sz w:val="24"/>
          <w:highlight w:val="none"/>
        </w:rPr>
      </w:pPr>
    </w:p>
    <w:p>
      <w:pPr>
        <w:adjustRightInd w:val="0"/>
        <w:snapToGrid w:val="0"/>
        <w:spacing w:line="360" w:lineRule="auto"/>
        <w:ind w:firstLine="480" w:firstLineChars="200"/>
        <w:rPr>
          <w:rFonts w:ascii="仿宋" w:hAnsi="仿宋" w:eastAsia="仿宋" w:cs="仿宋"/>
          <w:snapToGrid w:val="0"/>
          <w:color w:val="auto"/>
          <w:kern w:val="0"/>
          <w:sz w:val="24"/>
          <w:highlight w:val="none"/>
        </w:rPr>
      </w:pPr>
      <w:r>
        <w:rPr>
          <w:rFonts w:ascii="仿宋" w:hAnsi="仿宋" w:eastAsia="仿宋" w:cs="仿宋"/>
          <w:snapToGrid w:val="0"/>
          <w:color w:val="auto"/>
          <w:kern w:val="0"/>
          <w:sz w:val="24"/>
          <w:highlight w:val="none"/>
        </w:rPr>
        <w:t xml:space="preserve"> </w:t>
      </w:r>
      <w:r>
        <w:rPr>
          <w:rFonts w:hint="eastAsia" w:ascii="仿宋" w:hAnsi="仿宋" w:eastAsia="仿宋" w:cs="仿宋"/>
          <w:snapToGrid w:val="0"/>
          <w:color w:val="auto"/>
          <w:kern w:val="0"/>
          <w:sz w:val="24"/>
          <w:highlight w:val="none"/>
        </w:rPr>
        <w:t>杭州钱塘区城市管理局（以下简称甲方）委托第三方代理机构采用公开招标方式购买“</w:t>
      </w:r>
      <w:r>
        <w:rPr>
          <w:rFonts w:ascii="仿宋" w:hAnsi="仿宋" w:eastAsia="仿宋" w:cs="仿宋"/>
          <w:snapToGrid w:val="0"/>
          <w:color w:val="auto"/>
          <w:kern w:val="0"/>
          <w:sz w:val="24"/>
          <w:highlight w:val="none"/>
        </w:rPr>
        <w:t xml:space="preserve"> </w:t>
      </w:r>
      <w:r>
        <w:rPr>
          <w:rFonts w:ascii="仿宋" w:hAnsi="仿宋" w:eastAsia="仿宋" w:cs="仿宋"/>
          <w:snapToGrid w:val="0"/>
          <w:color w:val="auto"/>
          <w:kern w:val="0"/>
          <w:sz w:val="24"/>
          <w:highlight w:val="none"/>
          <w:u w:val="single"/>
        </w:rPr>
        <w:t xml:space="preserve">          </w:t>
      </w:r>
      <w:r>
        <w:rPr>
          <w:rFonts w:hint="eastAsia" w:ascii="仿宋" w:hAnsi="仿宋" w:eastAsia="仿宋" w:cs="仿宋"/>
          <w:snapToGrid w:val="0"/>
          <w:color w:val="auto"/>
          <w:kern w:val="0"/>
          <w:sz w:val="24"/>
          <w:highlight w:val="none"/>
        </w:rPr>
        <w:t>服务项目”（招标编号</w:t>
      </w:r>
      <w:r>
        <w:rPr>
          <w:rFonts w:ascii="仿宋" w:hAnsi="仿宋" w:eastAsia="仿宋" w:cs="仿宋"/>
          <w:snapToGrid w:val="0"/>
          <w:color w:val="auto"/>
          <w:kern w:val="0"/>
          <w:sz w:val="24"/>
          <w:highlight w:val="none"/>
          <w:u w:val="single"/>
        </w:rPr>
        <w:t xml:space="preserve">        </w:t>
      </w:r>
      <w:r>
        <w:rPr>
          <w:rFonts w:hint="eastAsia" w:ascii="仿宋" w:hAnsi="仿宋" w:eastAsia="仿宋" w:cs="仿宋"/>
          <w:snapToGrid w:val="0"/>
          <w:color w:val="auto"/>
          <w:kern w:val="0"/>
          <w:sz w:val="24"/>
          <w:highlight w:val="none"/>
        </w:rPr>
        <w:t>），经专家组现场评审并完成中标人资格公示确认无异议后</w:t>
      </w:r>
      <w:r>
        <w:rPr>
          <w:rFonts w:ascii="仿宋" w:hAnsi="仿宋" w:eastAsia="仿宋" w:cs="仿宋"/>
          <w:snapToGrid w:val="0"/>
          <w:color w:val="auto"/>
          <w:kern w:val="0"/>
          <w:sz w:val="24"/>
          <w:highlight w:val="none"/>
        </w:rPr>
        <w:t>,</w:t>
      </w:r>
      <w:r>
        <w:rPr>
          <w:rFonts w:hint="eastAsia" w:ascii="仿宋" w:hAnsi="仿宋" w:eastAsia="仿宋" w:cs="仿宋"/>
          <w:snapToGrid w:val="0"/>
          <w:color w:val="auto"/>
          <w:kern w:val="0"/>
          <w:sz w:val="24"/>
          <w:highlight w:val="none"/>
        </w:rPr>
        <w:t>确定</w:t>
      </w:r>
      <w:r>
        <w:rPr>
          <w:rFonts w:ascii="仿宋" w:hAnsi="仿宋" w:eastAsia="仿宋" w:cs="仿宋"/>
          <w:snapToGrid w:val="0"/>
          <w:color w:val="auto"/>
          <w:kern w:val="0"/>
          <w:sz w:val="24"/>
          <w:highlight w:val="none"/>
          <w:u w:val="single"/>
        </w:rPr>
        <w:t xml:space="preserve">              </w:t>
      </w:r>
      <w:r>
        <w:rPr>
          <w:rFonts w:hint="eastAsia" w:ascii="仿宋" w:hAnsi="仿宋" w:eastAsia="仿宋" w:cs="仿宋"/>
          <w:snapToGrid w:val="0"/>
          <w:color w:val="auto"/>
          <w:kern w:val="0"/>
          <w:sz w:val="24"/>
          <w:highlight w:val="none"/>
        </w:rPr>
        <w:t>（以下简称乙方）为最终确定的中标人。经甲、乙双方协商后签订本合同。</w:t>
      </w:r>
    </w:p>
    <w:p>
      <w:pPr>
        <w:spacing w:line="360" w:lineRule="auto"/>
        <w:ind w:firstLine="480" w:firstLineChars="200"/>
        <w:rPr>
          <w:rFonts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本合同制定严格依照法律、法规和规章的相关规定，遵循尽责、审慎和公平的原则，注重规范性、可行性和效率性，保障国有资产、财政资金的安全和公共资源的有效利用，承诺无条件接受审计部门的审核。</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一、服务范围</w:t>
      </w:r>
      <w:r>
        <w:rPr>
          <w:rFonts w:ascii="仿宋" w:hAnsi="仿宋" w:eastAsia="仿宋" w:cs="仿宋"/>
          <w:b/>
          <w:color w:val="auto"/>
          <w:sz w:val="24"/>
          <w:highlight w:val="none"/>
        </w:rPr>
        <w:t> </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甲方将以下设施清洁服务承包给乙方负责：</w:t>
      </w:r>
    </w:p>
    <w:tbl>
      <w:tblPr>
        <w:tblStyle w:val="62"/>
        <w:tblW w:w="85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776"/>
        <w:gridCol w:w="1408"/>
        <w:gridCol w:w="1541"/>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776"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公厕位置</w:t>
            </w:r>
          </w:p>
        </w:tc>
        <w:tc>
          <w:tcPr>
            <w:tcW w:w="1408"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坑位数</w:t>
            </w:r>
          </w:p>
        </w:tc>
        <w:tc>
          <w:tcPr>
            <w:tcW w:w="1541"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保洁等级</w:t>
            </w:r>
          </w:p>
        </w:tc>
        <w:tc>
          <w:tcPr>
            <w:tcW w:w="1123"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ascii="仿宋" w:hAnsi="仿宋" w:eastAsia="仿宋" w:cs="仿宋"/>
                <w:color w:val="auto"/>
                <w:sz w:val="24"/>
                <w:highlight w:val="none"/>
              </w:rPr>
            </w:pPr>
          </w:p>
        </w:tc>
        <w:tc>
          <w:tcPr>
            <w:tcW w:w="3776" w:type="dxa"/>
            <w:vAlign w:val="center"/>
          </w:tcPr>
          <w:p>
            <w:pPr>
              <w:spacing w:line="360" w:lineRule="auto"/>
              <w:rPr>
                <w:rFonts w:ascii="仿宋" w:hAnsi="仿宋" w:eastAsia="仿宋" w:cs="仿宋"/>
                <w:color w:val="auto"/>
                <w:sz w:val="24"/>
                <w:highlight w:val="none"/>
              </w:rPr>
            </w:pPr>
          </w:p>
        </w:tc>
        <w:tc>
          <w:tcPr>
            <w:tcW w:w="1408" w:type="dxa"/>
            <w:vAlign w:val="center"/>
          </w:tcPr>
          <w:p>
            <w:pPr>
              <w:spacing w:line="360" w:lineRule="auto"/>
              <w:rPr>
                <w:rFonts w:ascii="仿宋" w:hAnsi="仿宋" w:eastAsia="仿宋" w:cs="仿宋"/>
                <w:color w:val="auto"/>
                <w:sz w:val="24"/>
                <w:highlight w:val="none"/>
              </w:rPr>
            </w:pPr>
          </w:p>
        </w:tc>
        <w:tc>
          <w:tcPr>
            <w:tcW w:w="1541" w:type="dxa"/>
            <w:vAlign w:val="center"/>
          </w:tcPr>
          <w:p>
            <w:pPr>
              <w:spacing w:line="360" w:lineRule="auto"/>
              <w:rPr>
                <w:rFonts w:ascii="仿宋" w:hAnsi="仿宋" w:eastAsia="仿宋" w:cs="仿宋"/>
                <w:color w:val="auto"/>
                <w:sz w:val="24"/>
                <w:highlight w:val="none"/>
              </w:rPr>
            </w:pPr>
          </w:p>
        </w:tc>
        <w:tc>
          <w:tcPr>
            <w:tcW w:w="1123" w:type="dxa"/>
            <w:vAlign w:val="center"/>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ascii="仿宋" w:hAnsi="仿宋" w:eastAsia="仿宋" w:cs="仿宋"/>
                <w:color w:val="auto"/>
                <w:sz w:val="24"/>
                <w:highlight w:val="none"/>
              </w:rPr>
            </w:pPr>
          </w:p>
        </w:tc>
        <w:tc>
          <w:tcPr>
            <w:tcW w:w="3776" w:type="dxa"/>
            <w:vAlign w:val="center"/>
          </w:tcPr>
          <w:p>
            <w:pPr>
              <w:spacing w:line="360" w:lineRule="auto"/>
              <w:rPr>
                <w:rFonts w:ascii="仿宋" w:hAnsi="仿宋" w:eastAsia="仿宋" w:cs="仿宋"/>
                <w:color w:val="auto"/>
                <w:sz w:val="24"/>
                <w:highlight w:val="none"/>
              </w:rPr>
            </w:pPr>
          </w:p>
        </w:tc>
        <w:tc>
          <w:tcPr>
            <w:tcW w:w="1408" w:type="dxa"/>
            <w:vAlign w:val="center"/>
          </w:tcPr>
          <w:p>
            <w:pPr>
              <w:spacing w:line="360" w:lineRule="auto"/>
              <w:rPr>
                <w:rFonts w:ascii="仿宋" w:hAnsi="仿宋" w:eastAsia="仿宋" w:cs="仿宋"/>
                <w:color w:val="auto"/>
                <w:sz w:val="24"/>
                <w:highlight w:val="none"/>
              </w:rPr>
            </w:pPr>
          </w:p>
        </w:tc>
        <w:tc>
          <w:tcPr>
            <w:tcW w:w="1541" w:type="dxa"/>
            <w:vAlign w:val="center"/>
          </w:tcPr>
          <w:p>
            <w:pPr>
              <w:spacing w:line="360" w:lineRule="auto"/>
              <w:rPr>
                <w:rFonts w:ascii="仿宋" w:hAnsi="仿宋" w:eastAsia="仿宋" w:cs="仿宋"/>
                <w:color w:val="auto"/>
                <w:sz w:val="24"/>
                <w:highlight w:val="none"/>
              </w:rPr>
            </w:pPr>
          </w:p>
        </w:tc>
        <w:tc>
          <w:tcPr>
            <w:tcW w:w="1123" w:type="dxa"/>
            <w:vAlign w:val="center"/>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ascii="仿宋" w:hAnsi="仿宋" w:eastAsia="仿宋" w:cs="仿宋"/>
                <w:color w:val="auto"/>
                <w:sz w:val="24"/>
                <w:highlight w:val="none"/>
              </w:rPr>
            </w:pPr>
          </w:p>
        </w:tc>
        <w:tc>
          <w:tcPr>
            <w:tcW w:w="3776" w:type="dxa"/>
            <w:vAlign w:val="center"/>
          </w:tcPr>
          <w:p>
            <w:pPr>
              <w:spacing w:line="360" w:lineRule="auto"/>
              <w:rPr>
                <w:rFonts w:ascii="仿宋" w:hAnsi="仿宋" w:eastAsia="仿宋" w:cs="仿宋"/>
                <w:color w:val="auto"/>
                <w:sz w:val="24"/>
                <w:highlight w:val="none"/>
              </w:rPr>
            </w:pPr>
          </w:p>
        </w:tc>
        <w:tc>
          <w:tcPr>
            <w:tcW w:w="1408" w:type="dxa"/>
            <w:vAlign w:val="center"/>
          </w:tcPr>
          <w:p>
            <w:pPr>
              <w:spacing w:line="360" w:lineRule="auto"/>
              <w:rPr>
                <w:rFonts w:ascii="仿宋" w:hAnsi="仿宋" w:eastAsia="仿宋" w:cs="仿宋"/>
                <w:color w:val="auto"/>
                <w:sz w:val="24"/>
                <w:highlight w:val="none"/>
              </w:rPr>
            </w:pPr>
          </w:p>
        </w:tc>
        <w:tc>
          <w:tcPr>
            <w:tcW w:w="1541" w:type="dxa"/>
            <w:vAlign w:val="center"/>
          </w:tcPr>
          <w:p>
            <w:pPr>
              <w:spacing w:line="360" w:lineRule="auto"/>
              <w:rPr>
                <w:rFonts w:ascii="仿宋" w:hAnsi="仿宋" w:eastAsia="仿宋" w:cs="仿宋"/>
                <w:color w:val="auto"/>
                <w:sz w:val="24"/>
                <w:highlight w:val="none"/>
              </w:rPr>
            </w:pPr>
          </w:p>
        </w:tc>
        <w:tc>
          <w:tcPr>
            <w:tcW w:w="1123" w:type="dxa"/>
            <w:vAlign w:val="center"/>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ascii="仿宋" w:hAnsi="仿宋" w:eastAsia="仿宋" w:cs="仿宋"/>
                <w:color w:val="auto"/>
                <w:sz w:val="24"/>
                <w:highlight w:val="none"/>
              </w:rPr>
            </w:pPr>
          </w:p>
        </w:tc>
        <w:tc>
          <w:tcPr>
            <w:tcW w:w="3776" w:type="dxa"/>
            <w:vAlign w:val="center"/>
          </w:tcPr>
          <w:p>
            <w:pPr>
              <w:spacing w:line="360" w:lineRule="auto"/>
              <w:rPr>
                <w:rFonts w:ascii="仿宋" w:hAnsi="仿宋" w:eastAsia="仿宋" w:cs="仿宋"/>
                <w:color w:val="auto"/>
                <w:sz w:val="24"/>
                <w:highlight w:val="none"/>
              </w:rPr>
            </w:pPr>
          </w:p>
        </w:tc>
        <w:tc>
          <w:tcPr>
            <w:tcW w:w="1408" w:type="dxa"/>
            <w:vAlign w:val="center"/>
          </w:tcPr>
          <w:p>
            <w:pPr>
              <w:spacing w:line="360" w:lineRule="auto"/>
              <w:rPr>
                <w:rFonts w:ascii="仿宋" w:hAnsi="仿宋" w:eastAsia="仿宋" w:cs="仿宋"/>
                <w:color w:val="auto"/>
                <w:sz w:val="24"/>
                <w:highlight w:val="none"/>
              </w:rPr>
            </w:pPr>
          </w:p>
        </w:tc>
        <w:tc>
          <w:tcPr>
            <w:tcW w:w="1541" w:type="dxa"/>
            <w:vAlign w:val="center"/>
          </w:tcPr>
          <w:p>
            <w:pPr>
              <w:spacing w:line="360" w:lineRule="auto"/>
              <w:rPr>
                <w:rFonts w:ascii="仿宋" w:hAnsi="仿宋" w:eastAsia="仿宋" w:cs="仿宋"/>
                <w:color w:val="auto"/>
                <w:sz w:val="24"/>
                <w:highlight w:val="none"/>
              </w:rPr>
            </w:pPr>
          </w:p>
        </w:tc>
        <w:tc>
          <w:tcPr>
            <w:tcW w:w="1123" w:type="dxa"/>
            <w:vAlign w:val="center"/>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ascii="仿宋" w:hAnsi="仿宋" w:eastAsia="仿宋" w:cs="仿宋"/>
                <w:color w:val="auto"/>
                <w:sz w:val="24"/>
                <w:highlight w:val="none"/>
              </w:rPr>
            </w:pPr>
          </w:p>
        </w:tc>
        <w:tc>
          <w:tcPr>
            <w:tcW w:w="3776" w:type="dxa"/>
            <w:vAlign w:val="center"/>
          </w:tcPr>
          <w:p>
            <w:pPr>
              <w:spacing w:line="360" w:lineRule="auto"/>
              <w:rPr>
                <w:rFonts w:ascii="仿宋" w:hAnsi="仿宋" w:eastAsia="仿宋" w:cs="仿宋"/>
                <w:color w:val="auto"/>
                <w:sz w:val="24"/>
                <w:highlight w:val="none"/>
              </w:rPr>
            </w:pPr>
          </w:p>
        </w:tc>
        <w:tc>
          <w:tcPr>
            <w:tcW w:w="1408" w:type="dxa"/>
            <w:vAlign w:val="center"/>
          </w:tcPr>
          <w:p>
            <w:pPr>
              <w:spacing w:line="360" w:lineRule="auto"/>
              <w:rPr>
                <w:rFonts w:ascii="仿宋" w:hAnsi="仿宋" w:eastAsia="仿宋" w:cs="仿宋"/>
                <w:color w:val="auto"/>
                <w:sz w:val="24"/>
                <w:highlight w:val="none"/>
              </w:rPr>
            </w:pPr>
          </w:p>
        </w:tc>
        <w:tc>
          <w:tcPr>
            <w:tcW w:w="1541" w:type="dxa"/>
            <w:vAlign w:val="center"/>
          </w:tcPr>
          <w:p>
            <w:pPr>
              <w:spacing w:line="360" w:lineRule="auto"/>
              <w:rPr>
                <w:rFonts w:ascii="仿宋" w:hAnsi="仿宋" w:eastAsia="仿宋" w:cs="仿宋"/>
                <w:color w:val="auto"/>
                <w:sz w:val="24"/>
                <w:highlight w:val="none"/>
              </w:rPr>
            </w:pPr>
          </w:p>
        </w:tc>
        <w:tc>
          <w:tcPr>
            <w:tcW w:w="1123" w:type="dxa"/>
            <w:vAlign w:val="center"/>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rPr>
                <w:rFonts w:ascii="仿宋" w:hAnsi="仿宋" w:eastAsia="仿宋" w:cs="仿宋"/>
                <w:color w:val="auto"/>
                <w:sz w:val="24"/>
                <w:highlight w:val="none"/>
              </w:rPr>
            </w:pPr>
          </w:p>
        </w:tc>
        <w:tc>
          <w:tcPr>
            <w:tcW w:w="3776" w:type="dxa"/>
            <w:vAlign w:val="center"/>
          </w:tcPr>
          <w:p>
            <w:pPr>
              <w:spacing w:line="360" w:lineRule="auto"/>
              <w:rPr>
                <w:rFonts w:ascii="仿宋" w:hAnsi="仿宋" w:eastAsia="仿宋" w:cs="仿宋"/>
                <w:color w:val="auto"/>
                <w:sz w:val="24"/>
                <w:highlight w:val="none"/>
              </w:rPr>
            </w:pPr>
          </w:p>
        </w:tc>
        <w:tc>
          <w:tcPr>
            <w:tcW w:w="1408" w:type="dxa"/>
            <w:vAlign w:val="center"/>
          </w:tcPr>
          <w:p>
            <w:pPr>
              <w:spacing w:line="360" w:lineRule="auto"/>
              <w:rPr>
                <w:rFonts w:ascii="仿宋" w:hAnsi="仿宋" w:eastAsia="仿宋" w:cs="仿宋"/>
                <w:color w:val="auto"/>
                <w:sz w:val="24"/>
                <w:highlight w:val="none"/>
              </w:rPr>
            </w:pPr>
          </w:p>
        </w:tc>
        <w:tc>
          <w:tcPr>
            <w:tcW w:w="1541" w:type="dxa"/>
            <w:vAlign w:val="center"/>
          </w:tcPr>
          <w:p>
            <w:pPr>
              <w:spacing w:line="360" w:lineRule="auto"/>
              <w:rPr>
                <w:rFonts w:ascii="仿宋" w:hAnsi="仿宋" w:eastAsia="仿宋" w:cs="仿宋"/>
                <w:color w:val="auto"/>
                <w:sz w:val="24"/>
                <w:highlight w:val="none"/>
              </w:rPr>
            </w:pPr>
          </w:p>
        </w:tc>
        <w:tc>
          <w:tcPr>
            <w:tcW w:w="1123" w:type="dxa"/>
            <w:vAlign w:val="center"/>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5" w:type="dxa"/>
            <w:gridSpan w:val="2"/>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合计</w:t>
            </w:r>
          </w:p>
        </w:tc>
        <w:tc>
          <w:tcPr>
            <w:tcW w:w="1408" w:type="dxa"/>
            <w:vAlign w:val="center"/>
          </w:tcPr>
          <w:p>
            <w:pPr>
              <w:spacing w:line="360" w:lineRule="auto"/>
              <w:rPr>
                <w:rFonts w:ascii="仿宋" w:hAnsi="仿宋" w:eastAsia="仿宋" w:cs="仿宋"/>
                <w:color w:val="auto"/>
                <w:sz w:val="24"/>
                <w:highlight w:val="none"/>
              </w:rPr>
            </w:pPr>
          </w:p>
        </w:tc>
        <w:tc>
          <w:tcPr>
            <w:tcW w:w="1541" w:type="dxa"/>
            <w:vAlign w:val="center"/>
          </w:tcPr>
          <w:p>
            <w:pPr>
              <w:spacing w:line="360" w:lineRule="auto"/>
              <w:rPr>
                <w:rFonts w:ascii="仿宋" w:hAnsi="仿宋" w:eastAsia="仿宋" w:cs="仿宋"/>
                <w:color w:val="auto"/>
                <w:sz w:val="24"/>
                <w:highlight w:val="none"/>
              </w:rPr>
            </w:pPr>
          </w:p>
        </w:tc>
        <w:tc>
          <w:tcPr>
            <w:tcW w:w="1123" w:type="dxa"/>
            <w:vAlign w:val="center"/>
          </w:tcPr>
          <w:p>
            <w:pPr>
              <w:spacing w:line="360" w:lineRule="auto"/>
              <w:rPr>
                <w:rFonts w:ascii="仿宋" w:hAnsi="仿宋" w:eastAsia="仿宋" w:cs="仿宋"/>
                <w:color w:val="auto"/>
                <w:sz w:val="24"/>
                <w:highlight w:val="none"/>
              </w:rPr>
            </w:pPr>
          </w:p>
        </w:tc>
      </w:tr>
    </w:tbl>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二、服务内容</w:t>
      </w:r>
      <w:r>
        <w:rPr>
          <w:rFonts w:ascii="仿宋" w:hAnsi="仿宋" w:eastAsia="仿宋" w:cs="仿宋"/>
          <w:b/>
          <w:color w:val="auto"/>
          <w:sz w:val="24"/>
          <w:highlight w:val="none"/>
        </w:rPr>
        <w:t> </w:t>
      </w:r>
    </w:p>
    <w:p>
      <w:pPr>
        <w:snapToGrid w:val="0"/>
        <w:spacing w:line="360" w:lineRule="auto"/>
        <w:ind w:firstLine="480" w:firstLineChars="200"/>
        <w:rPr>
          <w:rFonts w:ascii="仿宋" w:cs="仿宋"/>
          <w:color w:val="auto"/>
          <w:highlight w:val="none"/>
        </w:rPr>
      </w:pPr>
      <w:r>
        <w:rPr>
          <w:rFonts w:ascii="仿宋" w:hAnsi="仿宋" w:cs="仿宋"/>
          <w:color w:val="auto"/>
          <w:highlight w:val="none"/>
        </w:rPr>
        <w:t>1.</w:t>
      </w:r>
      <w:r>
        <w:rPr>
          <w:rFonts w:hint="eastAsia" w:ascii="仿宋" w:hAnsi="仿宋" w:cs="仿宋"/>
          <w:color w:val="auto"/>
          <w:highlight w:val="none"/>
        </w:rPr>
        <w:t>做好服务范围内的保洁工作；</w:t>
      </w:r>
    </w:p>
    <w:p>
      <w:pPr>
        <w:spacing w:line="360" w:lineRule="auto"/>
        <w:ind w:right="322" w:rightChars="134" w:firstLine="480" w:firstLineChars="200"/>
        <w:rPr>
          <w:rFonts w:ascii="仿宋" w:cs="仿宋"/>
          <w:color w:val="auto"/>
          <w:highlight w:val="none"/>
        </w:rPr>
      </w:pPr>
      <w:r>
        <w:rPr>
          <w:rFonts w:ascii="仿宋" w:hAnsi="仿宋" w:cs="仿宋"/>
          <w:color w:val="auto"/>
          <w:highlight w:val="none"/>
        </w:rPr>
        <w:t>2.</w:t>
      </w:r>
      <w:r>
        <w:rPr>
          <w:rFonts w:hint="eastAsia" w:ascii="仿宋" w:hAnsi="仿宋" w:cs="仿宋"/>
          <w:color w:val="auto"/>
          <w:highlight w:val="none"/>
        </w:rPr>
        <w:t>按照公共厕所保洁与服务规范（</w:t>
      </w:r>
      <w:r>
        <w:rPr>
          <w:rFonts w:ascii="仿宋" w:hAnsi="仿宋" w:cs="仿宋"/>
          <w:color w:val="auto"/>
          <w:highlight w:val="none"/>
        </w:rPr>
        <w:t>DB3301</w:t>
      </w:r>
      <w:r>
        <w:rPr>
          <w:rFonts w:hint="eastAsia" w:ascii="仿宋" w:hAnsi="仿宋" w:cs="仿宋"/>
          <w:color w:val="auto"/>
          <w:highlight w:val="none"/>
        </w:rPr>
        <w:t>）对三星级公厕的各项要求执行。</w:t>
      </w:r>
    </w:p>
    <w:p>
      <w:pPr>
        <w:spacing w:line="360" w:lineRule="auto"/>
        <w:ind w:right="322" w:rightChars="134" w:firstLine="480" w:firstLineChars="200"/>
        <w:rPr>
          <w:rFonts w:ascii="仿宋" w:cs="仿宋"/>
          <w:color w:val="auto"/>
          <w:highlight w:val="none"/>
        </w:rPr>
      </w:pPr>
      <w:r>
        <w:rPr>
          <w:rFonts w:ascii="仿宋" w:hAnsi="仿宋" w:cs="仿宋"/>
          <w:color w:val="auto"/>
          <w:highlight w:val="none"/>
        </w:rPr>
        <w:t>3.</w:t>
      </w:r>
      <w:r>
        <w:rPr>
          <w:rFonts w:hint="eastAsia" w:ascii="仿宋" w:hAnsi="仿宋" w:cs="仿宋"/>
          <w:color w:val="auto"/>
          <w:highlight w:val="none"/>
        </w:rPr>
        <w:t>要求公厕做到</w:t>
      </w:r>
      <w:r>
        <w:rPr>
          <w:rFonts w:ascii="仿宋" w:hAnsi="仿宋" w:cs="仿宋"/>
          <w:color w:val="auto"/>
          <w:highlight w:val="none"/>
        </w:rPr>
        <w:t>24</w:t>
      </w:r>
      <w:r>
        <w:rPr>
          <w:rFonts w:hint="eastAsia" w:ascii="仿宋" w:hAnsi="仿宋" w:cs="仿宋"/>
          <w:color w:val="auto"/>
          <w:highlight w:val="none"/>
        </w:rPr>
        <w:t>小时免费对外开放并按星级厕所要求在保洁时段内落实清洁和设施维修</w:t>
      </w:r>
      <w:r>
        <w:rPr>
          <w:rFonts w:ascii="仿宋" w:cs="仿宋"/>
          <w:color w:val="auto"/>
          <w:highlight w:val="none"/>
        </w:rPr>
        <w:t>,</w:t>
      </w:r>
      <w:r>
        <w:rPr>
          <w:rFonts w:hint="eastAsia" w:ascii="仿宋" w:hAnsi="仿宋" w:cs="仿宋"/>
          <w:color w:val="auto"/>
          <w:highlight w:val="none"/>
        </w:rPr>
        <w:t>做到公厕设施</w:t>
      </w:r>
      <w:r>
        <w:rPr>
          <w:rFonts w:ascii="仿宋" w:hAnsi="仿宋" w:cs="仿宋"/>
          <w:color w:val="auto"/>
          <w:highlight w:val="none"/>
        </w:rPr>
        <w:t>(</w:t>
      </w:r>
      <w:r>
        <w:rPr>
          <w:rFonts w:hint="eastAsia" w:ascii="仿宋" w:hAnsi="仿宋" w:cs="仿宋"/>
          <w:color w:val="auto"/>
          <w:highlight w:val="none"/>
        </w:rPr>
        <w:t>含公厕附属式城管驿站</w:t>
      </w:r>
      <w:r>
        <w:rPr>
          <w:rFonts w:ascii="仿宋" w:hAnsi="仿宋" w:cs="仿宋"/>
          <w:color w:val="auto"/>
          <w:highlight w:val="none"/>
        </w:rPr>
        <w:t>)</w:t>
      </w:r>
      <w:r>
        <w:rPr>
          <w:rFonts w:hint="eastAsia" w:ascii="仿宋" w:hAnsi="仿宋" w:cs="仿宋"/>
          <w:color w:val="auto"/>
          <w:highlight w:val="none"/>
        </w:rPr>
        <w:t>及环卫洁具各项卫生指标符合要求，确保达到无粪迹、无尿垢、无蛛网、无蝇蛆、无积尘、无积水、无异味、无破损的总体目标。</w:t>
      </w:r>
    </w:p>
    <w:p>
      <w:pPr>
        <w:spacing w:line="360" w:lineRule="auto"/>
        <w:ind w:right="322" w:rightChars="134" w:firstLine="480" w:firstLineChars="200"/>
        <w:rPr>
          <w:rFonts w:ascii="仿宋" w:cs="仿宋"/>
          <w:color w:val="auto"/>
          <w:highlight w:val="none"/>
        </w:rPr>
      </w:pPr>
      <w:r>
        <w:rPr>
          <w:rFonts w:ascii="仿宋" w:hAnsi="仿宋" w:cs="仿宋"/>
          <w:color w:val="auto"/>
          <w:highlight w:val="none"/>
        </w:rPr>
        <w:t>4.</w:t>
      </w:r>
      <w:r>
        <w:rPr>
          <w:rFonts w:hint="eastAsia" w:ascii="仿宋" w:hAnsi="仿宋" w:cs="仿宋"/>
          <w:color w:val="auto"/>
          <w:highlight w:val="none"/>
        </w:rPr>
        <w:t>遇有重大活动或其他突发事件，必须无条件及时组织力量做好保洁管理等保障工作，服从杭州市钱塘区综合行政执法局的统一指挥。</w:t>
      </w:r>
    </w:p>
    <w:p>
      <w:pPr>
        <w:spacing w:line="360" w:lineRule="auto"/>
        <w:ind w:right="322" w:rightChars="134" w:firstLine="480" w:firstLineChars="200"/>
        <w:rPr>
          <w:rFonts w:ascii="仿宋" w:cs="仿宋"/>
          <w:color w:val="auto"/>
          <w:highlight w:val="none"/>
        </w:rPr>
      </w:pPr>
      <w:r>
        <w:rPr>
          <w:rFonts w:ascii="仿宋" w:hAnsi="仿宋" w:cs="仿宋"/>
          <w:color w:val="auto"/>
          <w:highlight w:val="none"/>
        </w:rPr>
        <w:t>5.</w:t>
      </w:r>
      <w:r>
        <w:rPr>
          <w:rFonts w:hint="eastAsia" w:ascii="仿宋" w:hAnsi="仿宋" w:cs="仿宋"/>
          <w:color w:val="auto"/>
          <w:highlight w:val="none"/>
        </w:rPr>
        <w:t>负责做好本承包标的作业范围内的“四化”长效管理抄告单、“数字城管”抄告单和群众信访、投诉处理件的处理、整改和回复工作。</w:t>
      </w:r>
    </w:p>
    <w:p>
      <w:pPr>
        <w:spacing w:line="360" w:lineRule="auto"/>
        <w:ind w:right="322" w:rightChars="134" w:firstLine="480" w:firstLineChars="200"/>
        <w:rPr>
          <w:rFonts w:ascii="仿宋" w:cs="仿宋"/>
          <w:color w:val="auto"/>
          <w:highlight w:val="none"/>
        </w:rPr>
      </w:pPr>
      <w:r>
        <w:rPr>
          <w:rFonts w:ascii="仿宋" w:hAnsi="仿宋" w:cs="仿宋"/>
          <w:color w:val="auto"/>
          <w:highlight w:val="none"/>
        </w:rPr>
        <w:t>6.</w:t>
      </w:r>
      <w:r>
        <w:rPr>
          <w:rFonts w:hint="eastAsia" w:ascii="仿宋" w:hAnsi="仿宋" w:cs="仿宋"/>
          <w:color w:val="auto"/>
          <w:highlight w:val="none"/>
        </w:rPr>
        <w:t>每个标段项目负责人或公厕管理员驻点独立式城管驿站办公，对城管驿站的零星维修、保洁管理、接待等日常工作进行负责。</w:t>
      </w:r>
    </w:p>
    <w:p>
      <w:pPr>
        <w:spacing w:line="360" w:lineRule="auto"/>
        <w:ind w:right="322" w:rightChars="134" w:firstLine="480" w:firstLineChars="200"/>
        <w:rPr>
          <w:rFonts w:ascii="仿宋" w:hAnsi="仿宋" w:eastAsia="仿宋" w:cs="仿宋"/>
          <w:color w:val="auto"/>
          <w:sz w:val="24"/>
          <w:highlight w:val="none"/>
        </w:rPr>
      </w:pPr>
      <w:r>
        <w:rPr>
          <w:rFonts w:ascii="仿宋" w:hAnsi="仿宋" w:cs="仿宋"/>
          <w:color w:val="auto"/>
          <w:highlight w:val="none"/>
        </w:rPr>
        <w:t>7.</w:t>
      </w:r>
      <w:r>
        <w:rPr>
          <w:rFonts w:hint="eastAsia" w:ascii="仿宋" w:hAnsi="仿宋" w:cs="仿宋"/>
          <w:color w:val="auto"/>
          <w:highlight w:val="none"/>
        </w:rPr>
        <w:t>做好日常台账和内业管理工作。</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三、承包期限</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w:t>
      </w:r>
      <w:r>
        <w:rPr>
          <w:rFonts w:hint="eastAsia" w:ascii="仿宋" w:hAnsi="仿宋" w:eastAsia="仿宋" w:cs="仿宋"/>
          <w:color w:val="auto"/>
          <w:sz w:val="24"/>
          <w:highlight w:val="none"/>
        </w:rPr>
        <w:t>）承包期限为</w:t>
      </w:r>
      <w:r>
        <w:rPr>
          <w:rFonts w:ascii="仿宋" w:hAnsi="仿宋" w:eastAsia="仿宋" w:cs="仿宋"/>
          <w:color w:val="auto"/>
          <w:sz w:val="24"/>
          <w:highlight w:val="none"/>
        </w:rPr>
        <w:t>1</w:t>
      </w:r>
      <w:r>
        <w:rPr>
          <w:rFonts w:hint="eastAsia" w:ascii="仿宋" w:hAnsi="仿宋" w:eastAsia="仿宋" w:cs="仿宋"/>
          <w:color w:val="auto"/>
          <w:sz w:val="24"/>
          <w:highlight w:val="none"/>
        </w:rPr>
        <w:t>年。本合同</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日起</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至</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年</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月</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日止。</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w:t>
      </w:r>
      <w:r>
        <w:rPr>
          <w:rFonts w:hint="eastAsia" w:ascii="仿宋" w:hAnsi="仿宋" w:eastAsia="仿宋" w:cs="仿宋"/>
          <w:color w:val="auto"/>
          <w:sz w:val="24"/>
          <w:highlight w:val="none"/>
        </w:rPr>
        <w:t>）在合同期内得到“达标”的考核评定，即具备在招标期限内续签合同的资格</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）合同期内得到“不达标”的考核评定，则在合同期到期后终止续签合同的资格</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w:t>
      </w:r>
      <w:r>
        <w:rPr>
          <w:rFonts w:hint="eastAsia" w:ascii="仿宋" w:hAnsi="仿宋" w:eastAsia="仿宋" w:cs="仿宋"/>
          <w:color w:val="auto"/>
          <w:sz w:val="24"/>
          <w:highlight w:val="none"/>
        </w:rPr>
        <w:t>）在招标期限内均能获得“优秀”的考核评定，且第三方绩效评价好的，经管委会同意后可根据原采购合同的约定续签合同，但续签的单次合同期限一般不得长于原采购的合同期限，且续签次数最多不超过</w:t>
      </w:r>
      <w:r>
        <w:rPr>
          <w:rFonts w:ascii="仿宋" w:hAnsi="仿宋" w:eastAsia="仿宋" w:cs="仿宋"/>
          <w:color w:val="auto"/>
          <w:sz w:val="24"/>
          <w:highlight w:val="none"/>
        </w:rPr>
        <w:t>2</w:t>
      </w:r>
      <w:r>
        <w:rPr>
          <w:rFonts w:hint="eastAsia" w:ascii="仿宋" w:hAnsi="仿宋" w:eastAsia="仿宋" w:cs="仿宋"/>
          <w:color w:val="auto"/>
          <w:sz w:val="24"/>
          <w:highlight w:val="none"/>
        </w:rPr>
        <w:t>次、累计时间最长不超过</w:t>
      </w:r>
      <w:r>
        <w:rPr>
          <w:rFonts w:ascii="仿宋" w:hAnsi="仿宋" w:eastAsia="仿宋" w:cs="仿宋"/>
          <w:color w:val="auto"/>
          <w:sz w:val="24"/>
          <w:highlight w:val="none"/>
        </w:rPr>
        <w:t>5</w:t>
      </w:r>
      <w:r>
        <w:rPr>
          <w:rFonts w:hint="eastAsia" w:ascii="仿宋" w:hAnsi="仿宋" w:eastAsia="仿宋" w:cs="仿宋"/>
          <w:color w:val="auto"/>
          <w:sz w:val="24"/>
          <w:highlight w:val="none"/>
        </w:rPr>
        <w:t>年。</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四、考核标准及要求</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按照本合同约定、招标文件、投标文件以及补充说明明确的相关要求。</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按照最新的《杭州市城区清洁度考核办法》（杭城管委〔</w:t>
      </w:r>
      <w:r>
        <w:rPr>
          <w:rFonts w:ascii="仿宋" w:hAnsi="仿宋" w:eastAsia="仿宋" w:cs="仿宋"/>
          <w:color w:val="auto"/>
          <w:sz w:val="24"/>
          <w:highlight w:val="none"/>
        </w:rPr>
        <w:t>2017</w:t>
      </w:r>
      <w:r>
        <w:rPr>
          <w:rFonts w:hint="eastAsia" w:ascii="仿宋" w:hAnsi="仿宋" w:eastAsia="仿宋" w:cs="仿宋"/>
          <w:color w:val="auto"/>
          <w:sz w:val="24"/>
          <w:highlight w:val="none"/>
        </w:rPr>
        <w:t>〕</w:t>
      </w:r>
      <w:r>
        <w:rPr>
          <w:rFonts w:ascii="仿宋" w:hAnsi="仿宋" w:eastAsia="仿宋" w:cs="仿宋"/>
          <w:color w:val="auto"/>
          <w:sz w:val="24"/>
          <w:highlight w:val="none"/>
        </w:rPr>
        <w:t>31</w:t>
      </w:r>
      <w:r>
        <w:rPr>
          <w:rFonts w:hint="eastAsia" w:ascii="仿宋" w:hAnsi="仿宋" w:eastAsia="仿宋" w:cs="仿宋"/>
          <w:color w:val="auto"/>
          <w:sz w:val="24"/>
          <w:highlight w:val="none"/>
        </w:rPr>
        <w:t>号）、杭州经济技术开发区环卫保洁养护作业标准及考核办法》以及《杭州经济技术开发区数字城管标准及考核办法》明确的管理及考核要求落实日常管理职责，接受上级部门管理指导和考核。</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五、合同价及付款方式</w:t>
      </w:r>
      <w:r>
        <w:rPr>
          <w:rFonts w:ascii="仿宋" w:hAnsi="仿宋" w:eastAsia="仿宋" w:cs="仿宋"/>
          <w:b/>
          <w:color w:val="auto"/>
          <w:sz w:val="24"/>
          <w:highlight w:val="none"/>
        </w:rPr>
        <w:t> </w:t>
      </w:r>
    </w:p>
    <w:p>
      <w:pPr>
        <w:adjustRightInd w:val="0"/>
        <w:snapToGrid w:val="0"/>
        <w:spacing w:line="360" w:lineRule="auto"/>
        <w:ind w:firstLine="480" w:firstLineChars="200"/>
        <w:jc w:val="left"/>
        <w:rPr>
          <w:rFonts w:ascii="仿宋" w:hAnsi="仿宋" w:eastAsia="仿宋" w:cs="仿宋"/>
          <w:color w:val="auto"/>
          <w:sz w:val="24"/>
          <w:highlight w:val="none"/>
          <w:u w:val="single"/>
        </w:rPr>
      </w:pPr>
      <w:r>
        <w:rPr>
          <w:rFonts w:ascii="仿宋" w:hAnsi="仿宋" w:eastAsia="仿宋" w:cs="仿宋"/>
          <w:color w:val="auto"/>
          <w:sz w:val="24"/>
          <w:highlight w:val="none"/>
        </w:rPr>
        <w:t>1.</w:t>
      </w:r>
      <w:r>
        <w:rPr>
          <w:rFonts w:hint="eastAsia" w:ascii="仿宋" w:hAnsi="仿宋" w:eastAsia="仿宋" w:cs="仿宋"/>
          <w:color w:val="auto"/>
          <w:sz w:val="24"/>
          <w:highlight w:val="none"/>
        </w:rPr>
        <w:t>本项目合同价为人民币</w:t>
      </w:r>
      <w:r>
        <w:rPr>
          <w:rFonts w:ascii="仿宋" w:hAnsi="仿宋" w:eastAsia="仿宋" w:cs="仿宋"/>
          <w:color w:val="auto"/>
          <w:sz w:val="24"/>
          <w:highlight w:val="none"/>
          <w:u w:val="single"/>
        </w:rPr>
        <w:t xml:space="preserve">                 </w:t>
      </w:r>
    </w:p>
    <w:p>
      <w:pPr>
        <w:adjustRightInd w:val="0"/>
        <w:snapToGrid w:val="0"/>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u w:val="single"/>
        </w:rPr>
        <w:t>2.</w:t>
      </w:r>
      <w:r>
        <w:rPr>
          <w:rFonts w:hint="eastAsia" w:ascii="仿宋" w:hAnsi="仿宋" w:eastAsia="仿宋" w:cs="仿宋"/>
          <w:color w:val="auto"/>
          <w:sz w:val="24"/>
          <w:highlight w:val="none"/>
          <w:u w:val="single"/>
        </w:rPr>
        <w:t>本项目每个坑位单价为</w:t>
      </w:r>
      <w:r>
        <w:rPr>
          <w:rFonts w:ascii="仿宋" w:hAnsi="仿宋" w:eastAsia="仿宋" w:cs="仿宋"/>
          <w:color w:val="auto"/>
          <w:sz w:val="24"/>
          <w:highlight w:val="none"/>
          <w:u w:val="single"/>
        </w:rPr>
        <w:t xml:space="preserve">                </w:t>
      </w:r>
    </w:p>
    <w:p>
      <w:pPr>
        <w:adjustRightInd w:val="0"/>
        <w:snapToGrid w:val="0"/>
        <w:spacing w:line="360" w:lineRule="auto"/>
        <w:ind w:firstLine="480" w:firstLineChars="200"/>
        <w:jc w:val="left"/>
        <w:rPr>
          <w:rFonts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清扫保洁经费包括垃圾清运、管理费、人员费用（含工资、奖金、房补、社保及教育培训、暂住费用、处理一切伤亡事故等费用）、税收、生产资料（环卫工具、各种机械设备的耗损）等一切费用。</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注：采用全包干形式，即管理任务包干、经费包干。甲方将需保洁的地段交给乙方，乙方按甲方的管理要求和标准组织保洁工作，并接受甲方的指导、监督和检查验收，甲方按约定付费。</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上述所有费用均为人民币。</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合同价有任何歧义或异议的，以甲方的意见为准。</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六</w:t>
      </w:r>
      <w:r>
        <w:rPr>
          <w:rFonts w:ascii="仿宋" w:hAnsi="仿宋" w:eastAsia="仿宋" w:cs="仿宋"/>
          <w:b/>
          <w:color w:val="auto"/>
          <w:sz w:val="24"/>
          <w:highlight w:val="none"/>
        </w:rPr>
        <w:t>.</w:t>
      </w:r>
      <w:r>
        <w:rPr>
          <w:rFonts w:hint="eastAsia" w:ascii="仿宋" w:hAnsi="仿宋" w:eastAsia="仿宋" w:cs="仿宋"/>
          <w:b/>
          <w:color w:val="auto"/>
          <w:sz w:val="24"/>
          <w:highlight w:val="none"/>
        </w:rPr>
        <w:t>支付方式</w:t>
      </w:r>
      <w:r>
        <w:rPr>
          <w:rFonts w:ascii="仿宋" w:hAnsi="仿宋" w:eastAsia="仿宋" w:cs="仿宋"/>
          <w:b/>
          <w:color w:val="auto"/>
          <w:sz w:val="24"/>
          <w:highlight w:val="none"/>
        </w:rPr>
        <w:t> </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bCs/>
          <w:color w:val="auto"/>
          <w:sz w:val="24"/>
          <w:highlight w:val="none"/>
        </w:rPr>
        <w:t>按季度付款：合同年内分</w:t>
      </w:r>
      <w:r>
        <w:rPr>
          <w:rFonts w:ascii="仿宋" w:hAnsi="仿宋" w:eastAsia="仿宋" w:cs="仿宋"/>
          <w:bCs/>
          <w:color w:val="auto"/>
          <w:sz w:val="24"/>
          <w:highlight w:val="none"/>
        </w:rPr>
        <w:t>5</w:t>
      </w:r>
      <w:r>
        <w:rPr>
          <w:rFonts w:hint="eastAsia" w:ascii="仿宋" w:hAnsi="仿宋" w:eastAsia="仿宋" w:cs="仿宋"/>
          <w:bCs/>
          <w:color w:val="auto"/>
          <w:sz w:val="24"/>
          <w:highlight w:val="none"/>
        </w:rPr>
        <w:t>次支付费用，</w:t>
      </w:r>
      <w:r>
        <w:rPr>
          <w:rFonts w:hint="eastAsia" w:ascii="仿宋" w:hAnsi="仿宋" w:eastAsia="仿宋" w:cs="宋体"/>
          <w:iCs/>
          <w:color w:val="auto"/>
          <w:sz w:val="24"/>
          <w:highlight w:val="none"/>
        </w:rPr>
        <w:t>合同生效且具备实施条件后</w:t>
      </w:r>
      <w:r>
        <w:rPr>
          <w:rFonts w:hint="eastAsia" w:ascii="仿宋" w:hAnsi="仿宋" w:cs="宋体"/>
          <w:iCs/>
          <w:color w:val="auto"/>
          <w:sz w:val="24"/>
          <w:highlight w:val="none"/>
          <w:lang w:val="en-US" w:eastAsia="zh-CN"/>
        </w:rPr>
        <w:t>7个工作</w:t>
      </w:r>
      <w:r>
        <w:rPr>
          <w:rFonts w:hint="eastAsia" w:ascii="仿宋" w:hAnsi="仿宋" w:eastAsia="仿宋" w:cs="宋体"/>
          <w:iCs/>
          <w:color w:val="auto"/>
          <w:sz w:val="24"/>
          <w:highlight w:val="none"/>
        </w:rPr>
        <w:t>日内</w:t>
      </w:r>
      <w:r>
        <w:rPr>
          <w:rFonts w:hint="eastAsia" w:ascii="仿宋" w:hAnsi="仿宋" w:cs="宋体"/>
          <w:iCs/>
          <w:color w:val="auto"/>
          <w:sz w:val="24"/>
          <w:highlight w:val="none"/>
          <w:lang w:val="en-US" w:eastAsia="zh-CN"/>
        </w:rPr>
        <w:t>甲方向乙方</w:t>
      </w:r>
      <w:r>
        <w:rPr>
          <w:rFonts w:hint="eastAsia" w:ascii="仿宋" w:hAnsi="仿宋" w:eastAsia="仿宋" w:cs="宋体"/>
          <w:iCs/>
          <w:color w:val="auto"/>
          <w:sz w:val="24"/>
          <w:highlight w:val="none"/>
        </w:rPr>
        <w:t>支付</w:t>
      </w:r>
      <w:r>
        <w:rPr>
          <w:rFonts w:hint="eastAsia" w:ascii="仿宋" w:hAnsi="仿宋" w:cs="宋体"/>
          <w:iCs/>
          <w:color w:val="auto"/>
          <w:sz w:val="24"/>
          <w:highlight w:val="none"/>
          <w:lang w:val="en-US" w:eastAsia="zh-CN"/>
        </w:rPr>
        <w:t>合同款</w:t>
      </w:r>
      <w:r>
        <w:rPr>
          <w:rFonts w:hint="eastAsia" w:ascii="仿宋" w:hAnsi="仿宋" w:eastAsia="仿宋" w:cs="宋体"/>
          <w:iCs/>
          <w:color w:val="auto"/>
          <w:sz w:val="24"/>
          <w:highlight w:val="none"/>
        </w:rPr>
        <w:t>的</w:t>
      </w:r>
      <w:r>
        <w:rPr>
          <w:rFonts w:hint="eastAsia" w:ascii="仿宋" w:hAnsi="仿宋" w:cs="宋体"/>
          <w:iCs/>
          <w:color w:val="auto"/>
          <w:sz w:val="24"/>
          <w:highlight w:val="none"/>
          <w:lang w:val="en-US" w:eastAsia="zh-CN"/>
        </w:rPr>
        <w:t>2</w:t>
      </w:r>
      <w:r>
        <w:rPr>
          <w:rFonts w:hint="eastAsia" w:ascii="仿宋" w:hAnsi="仿宋" w:eastAsia="仿宋" w:cs="宋体"/>
          <w:iCs/>
          <w:color w:val="auto"/>
          <w:sz w:val="24"/>
          <w:highlight w:val="none"/>
        </w:rPr>
        <w:t>0%</w:t>
      </w:r>
      <w:r>
        <w:rPr>
          <w:rFonts w:hint="eastAsia" w:ascii="仿宋" w:hAnsi="仿宋" w:cs="宋体"/>
          <w:iCs/>
          <w:color w:val="auto"/>
          <w:sz w:val="24"/>
          <w:highlight w:val="none"/>
          <w:lang w:val="en-US" w:eastAsia="zh-CN"/>
        </w:rPr>
        <w:t>作为</w:t>
      </w:r>
      <w:r>
        <w:rPr>
          <w:rFonts w:hint="eastAsia" w:ascii="仿宋" w:hAnsi="仿宋" w:eastAsia="仿宋" w:cs="宋体"/>
          <w:iCs/>
          <w:color w:val="auto"/>
          <w:sz w:val="24"/>
          <w:highlight w:val="none"/>
        </w:rPr>
        <w:t>预付款</w:t>
      </w:r>
      <w:r>
        <w:rPr>
          <w:rFonts w:hint="eastAsia" w:ascii="仿宋" w:hAnsi="仿宋" w:cs="宋体"/>
          <w:iCs/>
          <w:color w:val="auto"/>
          <w:sz w:val="24"/>
          <w:highlight w:val="none"/>
          <w:lang w:eastAsia="zh-CN"/>
        </w:rPr>
        <w:t>，</w:t>
      </w:r>
      <w:r>
        <w:rPr>
          <w:rFonts w:hint="eastAsia" w:ascii="仿宋" w:hAnsi="仿宋" w:eastAsia="仿宋" w:cs="仿宋"/>
          <w:bCs/>
          <w:color w:val="auto"/>
          <w:sz w:val="24"/>
          <w:highlight w:val="none"/>
        </w:rPr>
        <w:t>每</w:t>
      </w:r>
      <w:r>
        <w:rPr>
          <w:rFonts w:hint="eastAsia" w:ascii="仿宋" w:hAnsi="仿宋" w:eastAsia="仿宋" w:cs="仿宋"/>
          <w:color w:val="auto"/>
          <w:sz w:val="24"/>
          <w:highlight w:val="none"/>
        </w:rPr>
        <w:t>三个月（季度）</w:t>
      </w:r>
      <w:r>
        <w:rPr>
          <w:rFonts w:hint="eastAsia" w:ascii="仿宋" w:hAnsi="仿宋" w:cs="仿宋"/>
          <w:color w:val="auto"/>
          <w:sz w:val="24"/>
          <w:highlight w:val="none"/>
          <w:lang w:val="en-US" w:eastAsia="zh-CN"/>
        </w:rPr>
        <w:t>在本季度结束后7个工作日内</w:t>
      </w:r>
      <w:r>
        <w:rPr>
          <w:rFonts w:hint="eastAsia" w:ascii="仿宋" w:hAnsi="仿宋" w:cs="宋体"/>
          <w:iCs/>
          <w:color w:val="auto"/>
          <w:sz w:val="24"/>
          <w:highlight w:val="none"/>
          <w:lang w:val="en-US" w:eastAsia="zh-CN"/>
        </w:rPr>
        <w:t>甲方向乙方</w:t>
      </w:r>
      <w:r>
        <w:rPr>
          <w:rFonts w:hint="eastAsia" w:ascii="仿宋" w:hAnsi="仿宋" w:eastAsia="仿宋" w:cs="仿宋"/>
          <w:color w:val="auto"/>
          <w:sz w:val="24"/>
          <w:highlight w:val="none"/>
        </w:rPr>
        <w:t>支付</w:t>
      </w:r>
      <w:r>
        <w:rPr>
          <w:rFonts w:hint="eastAsia" w:ascii="仿宋" w:hAnsi="仿宋" w:cs="仿宋"/>
          <w:color w:val="auto"/>
          <w:sz w:val="24"/>
          <w:highlight w:val="none"/>
          <w:lang w:val="en-US" w:eastAsia="zh-CN"/>
        </w:rPr>
        <w:t>合同款的</w:t>
      </w:r>
      <w:r>
        <w:rPr>
          <w:rFonts w:ascii="仿宋" w:hAnsi="仿宋" w:eastAsia="仿宋" w:cs="仿宋"/>
          <w:bCs/>
          <w:color w:val="auto"/>
          <w:sz w:val="24"/>
          <w:highlight w:val="none"/>
        </w:rPr>
        <w:t>20%</w:t>
      </w:r>
      <w:r>
        <w:rPr>
          <w:rFonts w:hint="eastAsia" w:ascii="仿宋" w:hAnsi="仿宋" w:eastAsia="仿宋" w:cs="仿宋"/>
          <w:bCs/>
          <w:color w:val="auto"/>
          <w:sz w:val="24"/>
          <w:highlight w:val="none"/>
        </w:rPr>
        <w:t>。</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七、履约保证金</w:t>
      </w:r>
      <w:r>
        <w:rPr>
          <w:rFonts w:ascii="仿宋" w:hAnsi="仿宋" w:eastAsia="仿宋" w:cs="仿宋"/>
          <w:b/>
          <w:color w:val="auto"/>
          <w:sz w:val="24"/>
          <w:highlight w:val="none"/>
        </w:rPr>
        <w:t> </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本项目属服务类项目，不设履约保障金，涉及扣款等问题，直接从合同款中扣除。</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八、养护标准</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82"/>
        <w:gridCol w:w="6800"/>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48" w:type="dxa"/>
            <w:tcBorders>
              <w:top w:val="single" w:color="auto" w:sz="12" w:space="0"/>
              <w:left w:val="single" w:color="auto" w:sz="12" w:space="0"/>
              <w:bottom w:val="single" w:color="auto" w:sz="6" w:space="0"/>
              <w:right w:val="single" w:color="auto" w:sz="6" w:space="0"/>
            </w:tcBorders>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82" w:type="dxa"/>
            <w:tcBorders>
              <w:top w:val="single" w:color="auto" w:sz="12" w:space="0"/>
              <w:left w:val="single" w:color="auto" w:sz="6" w:space="0"/>
              <w:bottom w:val="single" w:color="auto" w:sz="6" w:space="0"/>
              <w:right w:val="single" w:color="auto" w:sz="6" w:space="0"/>
            </w:tcBorders>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6800" w:type="dxa"/>
            <w:tcBorders>
              <w:top w:val="single" w:color="auto" w:sz="12" w:space="0"/>
              <w:left w:val="single" w:color="auto" w:sz="6" w:space="0"/>
              <w:bottom w:val="single" w:color="auto" w:sz="6" w:space="0"/>
              <w:right w:val="single" w:color="auto" w:sz="6" w:space="0"/>
            </w:tcBorders>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要求</w:t>
            </w:r>
          </w:p>
        </w:tc>
        <w:tc>
          <w:tcPr>
            <w:tcW w:w="704" w:type="dxa"/>
            <w:tcBorders>
              <w:top w:val="single" w:color="auto" w:sz="12" w:space="0"/>
              <w:left w:val="single" w:color="auto" w:sz="6" w:space="0"/>
              <w:bottom w:val="single" w:color="auto" w:sz="6" w:space="0"/>
              <w:right w:val="single" w:color="auto" w:sz="12" w:space="0"/>
            </w:tcBorders>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882" w:type="dxa"/>
            <w:vMerge w:val="restart"/>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内业</w:t>
            </w: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每三个月</w:t>
            </w:r>
            <w:r>
              <w:rPr>
                <w:rFonts w:hint="eastAsia" w:ascii="仿宋" w:hAnsi="仿宋" w:eastAsia="仿宋" w:cs="仿宋"/>
                <w:color w:val="auto"/>
                <w:sz w:val="24"/>
                <w:highlight w:val="none"/>
              </w:rPr>
              <w:t>提交财务报表，应注明人工支出、设备支出和损耗支出。</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每三个月</w:t>
            </w:r>
            <w:r>
              <w:rPr>
                <w:rFonts w:hint="eastAsia" w:ascii="仿宋" w:hAnsi="仿宋" w:eastAsia="仿宋" w:cs="仿宋"/>
                <w:color w:val="auto"/>
                <w:sz w:val="24"/>
                <w:highlight w:val="none"/>
              </w:rPr>
              <w:t>提交人员工资清单、社保清单，住房补贴清单。</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每自然年</w:t>
            </w:r>
            <w:r>
              <w:rPr>
                <w:rFonts w:ascii="仿宋" w:hAnsi="仿宋" w:eastAsia="仿宋" w:cs="仿宋"/>
                <w:b/>
                <w:color w:val="auto"/>
                <w:sz w:val="24"/>
                <w:highlight w:val="none"/>
              </w:rPr>
              <w:t>/</w:t>
            </w:r>
            <w:r>
              <w:rPr>
                <w:rFonts w:hint="eastAsia" w:ascii="仿宋" w:hAnsi="仿宋" w:eastAsia="仿宋" w:cs="仿宋"/>
                <w:b/>
                <w:color w:val="auto"/>
                <w:sz w:val="24"/>
                <w:highlight w:val="none"/>
              </w:rPr>
              <w:t>合同年末</w:t>
            </w:r>
            <w:r>
              <w:rPr>
                <w:rFonts w:hint="eastAsia" w:ascii="仿宋" w:hAnsi="仿宋" w:eastAsia="仿宋" w:cs="仿宋"/>
                <w:color w:val="auto"/>
                <w:sz w:val="24"/>
                <w:highlight w:val="none"/>
              </w:rPr>
              <w:t>提供服装采购发票。（工作服每年更换一次，每人按春秋套装，冬装要求各配发两套，雨具配发一套）</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每自然年</w:t>
            </w:r>
            <w:r>
              <w:rPr>
                <w:rFonts w:ascii="仿宋" w:hAnsi="仿宋" w:eastAsia="仿宋" w:cs="仿宋"/>
                <w:b/>
                <w:color w:val="auto"/>
                <w:sz w:val="24"/>
                <w:highlight w:val="none"/>
              </w:rPr>
              <w:t>/</w:t>
            </w:r>
            <w:r>
              <w:rPr>
                <w:rFonts w:hint="eastAsia" w:ascii="仿宋" w:hAnsi="仿宋" w:eastAsia="仿宋" w:cs="仿宋"/>
                <w:b/>
                <w:color w:val="auto"/>
                <w:sz w:val="24"/>
                <w:highlight w:val="none"/>
              </w:rPr>
              <w:t>合同年初</w:t>
            </w:r>
            <w:r>
              <w:rPr>
                <w:rFonts w:hint="eastAsia" w:ascii="仿宋" w:hAnsi="仿宋" w:eastAsia="仿宋" w:cs="仿宋"/>
                <w:color w:val="auto"/>
                <w:sz w:val="24"/>
                <w:highlight w:val="none"/>
              </w:rPr>
              <w:t>提供重大活动保障、四防工作的应急保障方案，方案要有明确的人员投入和设备存放点。</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道路保洁人员核实。一类道路每</w:t>
            </w:r>
            <w:r>
              <w:rPr>
                <w:rFonts w:ascii="仿宋" w:hAnsi="仿宋" w:eastAsia="仿宋" w:cs="仿宋"/>
                <w:color w:val="auto"/>
                <w:sz w:val="24"/>
                <w:highlight w:val="none"/>
              </w:rPr>
              <w:t>5000</w:t>
            </w:r>
            <w:r>
              <w:rPr>
                <w:rFonts w:hint="eastAsia" w:ascii="仿宋" w:hAnsi="仿宋" w:eastAsia="仿宋" w:cs="仿宋"/>
                <w:color w:val="auto"/>
                <w:sz w:val="24"/>
                <w:highlight w:val="none"/>
              </w:rPr>
              <w:t>平方米覆盖</w:t>
            </w:r>
            <w:r>
              <w:rPr>
                <w:rFonts w:ascii="仿宋" w:hAnsi="仿宋" w:eastAsia="仿宋" w:cs="仿宋"/>
                <w:color w:val="auto"/>
                <w:sz w:val="24"/>
                <w:highlight w:val="none"/>
              </w:rPr>
              <w:t>1</w:t>
            </w:r>
            <w:r>
              <w:rPr>
                <w:rFonts w:hint="eastAsia" w:ascii="仿宋" w:hAnsi="仿宋" w:eastAsia="仿宋" w:cs="仿宋"/>
                <w:color w:val="auto"/>
                <w:sz w:val="24"/>
                <w:highlight w:val="none"/>
              </w:rPr>
              <w:t>个保洁岗位，二类道路每</w:t>
            </w:r>
            <w:r>
              <w:rPr>
                <w:rFonts w:ascii="仿宋" w:hAnsi="仿宋" w:eastAsia="仿宋" w:cs="仿宋"/>
                <w:color w:val="auto"/>
                <w:sz w:val="24"/>
                <w:highlight w:val="none"/>
              </w:rPr>
              <w:t>5500</w:t>
            </w:r>
            <w:r>
              <w:rPr>
                <w:rFonts w:hint="eastAsia" w:ascii="仿宋" w:hAnsi="仿宋" w:eastAsia="仿宋" w:cs="仿宋"/>
                <w:color w:val="auto"/>
                <w:sz w:val="24"/>
                <w:highlight w:val="none"/>
              </w:rPr>
              <w:t>平方米覆盖</w:t>
            </w:r>
            <w:r>
              <w:rPr>
                <w:rFonts w:ascii="仿宋" w:hAnsi="仿宋" w:eastAsia="仿宋" w:cs="仿宋"/>
                <w:color w:val="auto"/>
                <w:sz w:val="24"/>
                <w:highlight w:val="none"/>
              </w:rPr>
              <w:t>1</w:t>
            </w:r>
            <w:r>
              <w:rPr>
                <w:rFonts w:hint="eastAsia" w:ascii="仿宋" w:hAnsi="仿宋" w:eastAsia="仿宋" w:cs="仿宋"/>
                <w:color w:val="auto"/>
                <w:sz w:val="24"/>
                <w:highlight w:val="none"/>
              </w:rPr>
              <w:t>个保洁岗位，三类道路每</w:t>
            </w:r>
            <w:r>
              <w:rPr>
                <w:rFonts w:ascii="仿宋" w:hAnsi="仿宋" w:eastAsia="仿宋" w:cs="仿宋"/>
                <w:color w:val="auto"/>
                <w:sz w:val="24"/>
                <w:highlight w:val="none"/>
              </w:rPr>
              <w:t>6000</w:t>
            </w:r>
            <w:r>
              <w:rPr>
                <w:rFonts w:hint="eastAsia" w:ascii="仿宋" w:hAnsi="仿宋" w:eastAsia="仿宋" w:cs="仿宋"/>
                <w:color w:val="auto"/>
                <w:sz w:val="24"/>
                <w:highlight w:val="none"/>
              </w:rPr>
              <w:t>平方米覆盖</w:t>
            </w:r>
            <w:r>
              <w:rPr>
                <w:rFonts w:ascii="仿宋" w:hAnsi="仿宋" w:eastAsia="仿宋" w:cs="仿宋"/>
                <w:color w:val="auto"/>
                <w:sz w:val="24"/>
                <w:highlight w:val="none"/>
              </w:rPr>
              <w:t>1</w:t>
            </w:r>
            <w:r>
              <w:rPr>
                <w:rFonts w:hint="eastAsia" w:ascii="仿宋" w:hAnsi="仿宋" w:eastAsia="仿宋" w:cs="仿宋"/>
                <w:color w:val="auto"/>
                <w:sz w:val="24"/>
                <w:highlight w:val="none"/>
              </w:rPr>
              <w:t>个保洁岗位。</w:t>
            </w:r>
            <w:r>
              <w:rPr>
                <w:rFonts w:hint="eastAsia" w:ascii="仿宋" w:hAnsi="仿宋" w:eastAsia="仿宋" w:cs="仿宋"/>
                <w:b/>
                <w:color w:val="auto"/>
                <w:sz w:val="24"/>
                <w:highlight w:val="none"/>
              </w:rPr>
              <w:t>人员信息每月末电子版上报。</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6</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绿化带人员核实。每条涉及公共养护的河道配置一名绿化带巡查人员，并清理白色垃圾。</w:t>
            </w:r>
            <w:r>
              <w:rPr>
                <w:rFonts w:hint="eastAsia" w:ascii="仿宋" w:hAnsi="仿宋" w:eastAsia="仿宋" w:cs="仿宋"/>
                <w:b/>
                <w:color w:val="auto"/>
                <w:sz w:val="24"/>
                <w:highlight w:val="none"/>
              </w:rPr>
              <w:t>人员信息每月末电子版上报。</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7</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机械设备核实。根据养护道路覆盖长度和机械化设备限定工作效率，测算各单位机械设备数量。</w:t>
            </w:r>
            <w:r>
              <w:rPr>
                <w:rFonts w:hint="eastAsia" w:ascii="仿宋" w:hAnsi="仿宋" w:eastAsia="仿宋" w:cs="仿宋"/>
                <w:b/>
                <w:color w:val="auto"/>
                <w:sz w:val="24"/>
                <w:highlight w:val="none"/>
              </w:rPr>
              <w:t>设备信息每月末电子版上报。</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8</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管理职责。道路保洁和公共卫生间管理建立量化管理机制，每日道路保洁质量管控和公共卫生间质量管控不少于</w:t>
            </w:r>
            <w:r>
              <w:rPr>
                <w:rFonts w:ascii="仿宋" w:hAnsi="仿宋" w:eastAsia="仿宋" w:cs="仿宋"/>
                <w:color w:val="auto"/>
                <w:sz w:val="24"/>
                <w:highlight w:val="none"/>
              </w:rPr>
              <w:t>1</w:t>
            </w:r>
            <w:r>
              <w:rPr>
                <w:rFonts w:hint="eastAsia" w:ascii="仿宋" w:hAnsi="仿宋" w:eastAsia="仿宋" w:cs="仿宋"/>
                <w:color w:val="auto"/>
                <w:sz w:val="24"/>
                <w:highlight w:val="none"/>
              </w:rPr>
              <w:t>次。质量管控实行日记销号制，巡查实现全覆盖。</w:t>
            </w:r>
            <w:r>
              <w:rPr>
                <w:rFonts w:hint="eastAsia" w:ascii="仿宋" w:hAnsi="仿宋" w:eastAsia="仿宋" w:cs="仿宋"/>
                <w:b/>
                <w:color w:val="auto"/>
                <w:sz w:val="24"/>
                <w:highlight w:val="none"/>
              </w:rPr>
              <w:t>日记销号台账每月末纸质上报。</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9</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每自然年</w:t>
            </w:r>
            <w:r>
              <w:rPr>
                <w:rFonts w:ascii="仿宋" w:hAnsi="仿宋" w:eastAsia="仿宋" w:cs="仿宋"/>
                <w:b/>
                <w:color w:val="auto"/>
                <w:sz w:val="24"/>
                <w:highlight w:val="none"/>
              </w:rPr>
              <w:t>/</w:t>
            </w:r>
            <w:r>
              <w:rPr>
                <w:rFonts w:hint="eastAsia" w:ascii="仿宋" w:hAnsi="仿宋" w:eastAsia="仿宋" w:cs="仿宋"/>
                <w:b/>
                <w:color w:val="auto"/>
                <w:sz w:val="24"/>
                <w:highlight w:val="none"/>
              </w:rPr>
              <w:t>合同年初</w:t>
            </w:r>
            <w:r>
              <w:rPr>
                <w:rFonts w:hint="eastAsia" w:ascii="仿宋" w:hAnsi="仿宋" w:eastAsia="仿宋" w:cs="仿宋"/>
                <w:color w:val="auto"/>
                <w:sz w:val="24"/>
                <w:highlight w:val="none"/>
              </w:rPr>
              <w:t>提供规范的安全生产管理机制办法</w:t>
            </w:r>
            <w:r>
              <w:rPr>
                <w:rFonts w:hint="eastAsia" w:ascii="仿宋" w:hAnsi="仿宋" w:eastAsia="仿宋" w:cs="仿宋"/>
                <w:b/>
                <w:color w:val="auto"/>
                <w:sz w:val="24"/>
                <w:highlight w:val="none"/>
              </w:rPr>
              <w:t>，每三个月</w:t>
            </w:r>
            <w:r>
              <w:rPr>
                <w:rFonts w:hint="eastAsia" w:ascii="仿宋" w:hAnsi="仿宋" w:eastAsia="仿宋" w:cs="仿宋"/>
                <w:color w:val="auto"/>
                <w:sz w:val="24"/>
                <w:highlight w:val="none"/>
              </w:rPr>
              <w:t>开展一次安全生产的培训工作，全年（合同期内）不出现有责安全生产事故。</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10</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每自然年</w:t>
            </w:r>
            <w:r>
              <w:rPr>
                <w:rFonts w:ascii="仿宋" w:hAnsi="仿宋" w:eastAsia="仿宋" w:cs="仿宋"/>
                <w:b/>
                <w:color w:val="auto"/>
                <w:sz w:val="24"/>
                <w:highlight w:val="none"/>
              </w:rPr>
              <w:t>/</w:t>
            </w:r>
            <w:r>
              <w:rPr>
                <w:rFonts w:hint="eastAsia" w:ascii="仿宋" w:hAnsi="仿宋" w:eastAsia="仿宋" w:cs="仿宋"/>
                <w:b/>
                <w:color w:val="auto"/>
                <w:sz w:val="24"/>
                <w:highlight w:val="none"/>
              </w:rPr>
              <w:t>合同年初提供保单。</w:t>
            </w:r>
            <w:r>
              <w:rPr>
                <w:rFonts w:hint="eastAsia" w:ascii="仿宋" w:hAnsi="仿宋" w:eastAsia="仿宋" w:cs="仿宋"/>
                <w:color w:val="auto"/>
                <w:sz w:val="24"/>
                <w:highlight w:val="none"/>
              </w:rPr>
              <w:t>为保洁人员购买人身意外险，保额不低于</w:t>
            </w:r>
            <w:r>
              <w:rPr>
                <w:rFonts w:ascii="仿宋" w:hAnsi="仿宋" w:eastAsia="仿宋" w:cs="仿宋"/>
                <w:color w:val="auto"/>
                <w:sz w:val="24"/>
                <w:highlight w:val="none"/>
              </w:rPr>
              <w:t>80</w:t>
            </w:r>
            <w:r>
              <w:rPr>
                <w:rFonts w:hint="eastAsia" w:ascii="仿宋" w:hAnsi="仿宋" w:eastAsia="仿宋" w:cs="仿宋"/>
                <w:color w:val="auto"/>
                <w:sz w:val="24"/>
                <w:highlight w:val="none"/>
              </w:rPr>
              <w:t>万元。</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648" w:type="dxa"/>
            <w:tcBorders>
              <w:top w:val="single" w:color="auto" w:sz="6" w:space="0"/>
              <w:left w:val="single" w:color="auto" w:sz="12" w:space="0"/>
              <w:bottom w:val="single" w:color="auto" w:sz="12"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11</w:t>
            </w:r>
          </w:p>
        </w:tc>
        <w:tc>
          <w:tcPr>
            <w:tcW w:w="882" w:type="dxa"/>
            <w:vMerge w:val="continue"/>
            <w:tcBorders>
              <w:top w:val="single" w:color="auto" w:sz="6" w:space="0"/>
              <w:left w:val="single" w:color="auto" w:sz="6" w:space="0"/>
              <w:bottom w:val="single" w:color="auto" w:sz="12"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12" w:space="0"/>
              <w:right w:val="single" w:color="auto" w:sz="6" w:space="0"/>
            </w:tcBorders>
            <w:vAlign w:val="center"/>
          </w:tcPr>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每合同年初提供保洁实施计划（方案）。</w:t>
            </w:r>
            <w:r>
              <w:rPr>
                <w:rFonts w:hint="eastAsia" w:ascii="仿宋" w:hAnsi="仿宋" w:eastAsia="仿宋" w:cs="仿宋"/>
                <w:color w:val="auto"/>
                <w:sz w:val="24"/>
                <w:highlight w:val="none"/>
              </w:rPr>
              <w:t>对养护范围内的需保洁设施进行统计汇总，对各类设施建立明确的清洁计划，集中清理计划以及重点部位保障计划（方案）。利用巡查情况对变更的路面状况实时调整计划方案。</w:t>
            </w:r>
          </w:p>
        </w:tc>
        <w:tc>
          <w:tcPr>
            <w:tcW w:w="704" w:type="dxa"/>
            <w:tcBorders>
              <w:top w:val="single" w:color="auto" w:sz="6" w:space="0"/>
              <w:left w:val="single" w:color="auto" w:sz="6" w:space="0"/>
              <w:bottom w:val="single" w:color="auto" w:sz="12"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48" w:type="dxa"/>
            <w:tcBorders>
              <w:top w:val="single" w:color="auto" w:sz="12"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12</w:t>
            </w:r>
          </w:p>
        </w:tc>
        <w:tc>
          <w:tcPr>
            <w:tcW w:w="882" w:type="dxa"/>
            <w:vMerge w:val="continue"/>
            <w:tcBorders>
              <w:top w:val="single" w:color="auto" w:sz="12"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12"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建立规范的内部台账管理制度，对涉及环卫的台账资料，分门别类做好登记建档工作，做到随建随查。</w:t>
            </w:r>
          </w:p>
        </w:tc>
        <w:tc>
          <w:tcPr>
            <w:tcW w:w="704" w:type="dxa"/>
            <w:tcBorders>
              <w:top w:val="single" w:color="auto" w:sz="12"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13</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道路保洁和机械化保洁建立“传帮带”制度。建立骨干队伍，定期对捆扎扫把、普扫等开展培训工作。</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648" w:type="dxa"/>
            <w:tcBorders>
              <w:top w:val="single" w:color="auto" w:sz="6" w:space="0"/>
              <w:left w:val="single" w:color="auto" w:sz="12" w:space="0"/>
              <w:bottom w:val="single" w:color="auto" w:sz="12"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14</w:t>
            </w:r>
          </w:p>
        </w:tc>
        <w:tc>
          <w:tcPr>
            <w:tcW w:w="882" w:type="dxa"/>
            <w:vMerge w:val="continue"/>
            <w:tcBorders>
              <w:top w:val="single" w:color="auto" w:sz="6" w:space="0"/>
              <w:left w:val="single" w:color="auto" w:sz="6" w:space="0"/>
              <w:bottom w:val="single" w:color="auto" w:sz="12"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12" w:space="0"/>
              <w:right w:val="single" w:color="auto" w:sz="6"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内业协同。根据上级考核要求，及时上报内业工作资料。</w:t>
            </w:r>
          </w:p>
        </w:tc>
        <w:tc>
          <w:tcPr>
            <w:tcW w:w="704" w:type="dxa"/>
            <w:tcBorders>
              <w:top w:val="single" w:color="auto" w:sz="6" w:space="0"/>
              <w:left w:val="single" w:color="auto" w:sz="6" w:space="0"/>
              <w:bottom w:val="single" w:color="auto" w:sz="12"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648" w:type="dxa"/>
            <w:tcBorders>
              <w:top w:val="single" w:color="auto" w:sz="12"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882" w:type="dxa"/>
            <w:vMerge w:val="restart"/>
            <w:tcBorders>
              <w:top w:val="single" w:color="auto" w:sz="12" w:space="0"/>
              <w:left w:val="single" w:color="auto" w:sz="6"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外业</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（公共卫生间）</w:t>
            </w:r>
          </w:p>
        </w:tc>
        <w:tc>
          <w:tcPr>
            <w:tcW w:w="6800" w:type="dxa"/>
            <w:tcBorders>
              <w:top w:val="single" w:color="auto" w:sz="12"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管理公示。</w:t>
            </w:r>
            <w:r>
              <w:rPr>
                <w:rFonts w:hint="eastAsia" w:ascii="仿宋" w:hAnsi="仿宋" w:eastAsia="仿宋" w:cs="仿宋"/>
                <w:color w:val="auto"/>
                <w:sz w:val="24"/>
                <w:highlight w:val="none"/>
              </w:rPr>
              <w:t>按照统一要求，设置公共卫生间管理制度牌，包括公共卫生间名称、管理类型、公共卫生间编号、管理单位、联系电话、监督电话、开放时间等信息。</w:t>
            </w:r>
            <w:r>
              <w:rPr>
                <w:rFonts w:ascii="仿宋" w:hAnsi="仿宋" w:eastAsia="仿宋" w:cs="仿宋"/>
                <w:color w:val="auto"/>
                <w:sz w:val="24"/>
                <w:highlight w:val="none"/>
              </w:rPr>
              <w:t>24</w:t>
            </w:r>
            <w:r>
              <w:rPr>
                <w:rFonts w:hint="eastAsia" w:ascii="仿宋" w:hAnsi="仿宋" w:eastAsia="仿宋" w:cs="仿宋"/>
                <w:color w:val="auto"/>
                <w:sz w:val="24"/>
                <w:highlight w:val="none"/>
              </w:rPr>
              <w:t>小时免费开放。无障碍间、厕位正常开放使用，三星级公共卫生间保洁时段为上午</w:t>
            </w:r>
            <w:r>
              <w:rPr>
                <w:rFonts w:ascii="仿宋" w:hAnsi="仿宋" w:eastAsia="仿宋" w:cs="仿宋"/>
                <w:color w:val="auto"/>
                <w:sz w:val="24"/>
                <w:highlight w:val="none"/>
              </w:rPr>
              <w:t>6</w:t>
            </w:r>
            <w:r>
              <w:rPr>
                <w:rFonts w:hint="eastAsia" w:ascii="仿宋" w:hAnsi="仿宋" w:eastAsia="仿宋" w:cs="仿宋"/>
                <w:color w:val="auto"/>
                <w:sz w:val="24"/>
                <w:highlight w:val="none"/>
              </w:rPr>
              <w:t>点至夜间</w:t>
            </w:r>
            <w:r>
              <w:rPr>
                <w:rFonts w:ascii="仿宋" w:hAnsi="仿宋" w:eastAsia="仿宋" w:cs="仿宋"/>
                <w:color w:val="auto"/>
                <w:sz w:val="24"/>
                <w:highlight w:val="none"/>
              </w:rPr>
              <w:t>22</w:t>
            </w:r>
            <w:r>
              <w:rPr>
                <w:rFonts w:hint="eastAsia" w:ascii="仿宋" w:hAnsi="仿宋" w:eastAsia="仿宋" w:cs="仿宋"/>
                <w:color w:val="auto"/>
                <w:sz w:val="24"/>
                <w:highlight w:val="none"/>
              </w:rPr>
              <w:t>点。四星级公共卫生间为上午</w:t>
            </w:r>
            <w:r>
              <w:rPr>
                <w:rFonts w:ascii="仿宋" w:hAnsi="仿宋" w:eastAsia="仿宋" w:cs="仿宋"/>
                <w:color w:val="auto"/>
                <w:sz w:val="24"/>
                <w:highlight w:val="none"/>
              </w:rPr>
              <w:t>6</w:t>
            </w:r>
            <w:r>
              <w:rPr>
                <w:rFonts w:hint="eastAsia" w:ascii="仿宋" w:hAnsi="仿宋" w:eastAsia="仿宋" w:cs="仿宋"/>
                <w:color w:val="auto"/>
                <w:sz w:val="24"/>
                <w:highlight w:val="none"/>
              </w:rPr>
              <w:t>点至夜间</w:t>
            </w:r>
            <w:r>
              <w:rPr>
                <w:rFonts w:ascii="仿宋" w:hAnsi="仿宋" w:eastAsia="仿宋" w:cs="仿宋"/>
                <w:color w:val="auto"/>
                <w:sz w:val="24"/>
                <w:highlight w:val="none"/>
              </w:rPr>
              <w:t>0</w:t>
            </w:r>
            <w:r>
              <w:rPr>
                <w:rFonts w:hint="eastAsia" w:ascii="仿宋" w:hAnsi="仿宋" w:eastAsia="仿宋" w:cs="仿宋"/>
                <w:color w:val="auto"/>
                <w:sz w:val="24"/>
                <w:highlight w:val="none"/>
              </w:rPr>
              <w:t>点。五星级公共卫生间实行</w:t>
            </w:r>
            <w:r>
              <w:rPr>
                <w:rFonts w:ascii="仿宋" w:hAnsi="仿宋" w:eastAsia="仿宋" w:cs="仿宋"/>
                <w:color w:val="auto"/>
                <w:sz w:val="24"/>
                <w:highlight w:val="none"/>
              </w:rPr>
              <w:t>24</w:t>
            </w:r>
            <w:r>
              <w:rPr>
                <w:rFonts w:hint="eastAsia" w:ascii="仿宋" w:hAnsi="仿宋" w:eastAsia="仿宋" w:cs="仿宋"/>
                <w:color w:val="auto"/>
                <w:sz w:val="24"/>
                <w:highlight w:val="none"/>
              </w:rPr>
              <w:t>小时保洁。</w:t>
            </w:r>
          </w:p>
        </w:tc>
        <w:tc>
          <w:tcPr>
            <w:tcW w:w="704" w:type="dxa"/>
            <w:tcBorders>
              <w:top w:val="single" w:color="auto" w:sz="12"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设施管理</w:t>
            </w:r>
            <w:r>
              <w:rPr>
                <w:rFonts w:ascii="仿宋" w:hAnsi="仿宋" w:eastAsia="仿宋" w:cs="仿宋"/>
                <w:b/>
                <w:color w:val="auto"/>
                <w:sz w:val="24"/>
                <w:highlight w:val="none"/>
              </w:rPr>
              <w:t>1</w:t>
            </w:r>
            <w:r>
              <w:rPr>
                <w:rFonts w:hint="eastAsia" w:ascii="仿宋" w:hAnsi="仿宋" w:eastAsia="仿宋" w:cs="仿宋"/>
                <w:color w:val="auto"/>
                <w:sz w:val="24"/>
                <w:highlight w:val="none"/>
              </w:rPr>
              <w:t>。公共卫生间导向牌、公共卫生间标识牌、夜间灯光指示牌、男女卫生间、管理间、工具间和无障碍标识设置规范、醒目，无破损、遮挡、残缺歪斜等现象。</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设施管理</w:t>
            </w:r>
            <w:r>
              <w:rPr>
                <w:rFonts w:ascii="仿宋" w:hAnsi="仿宋" w:eastAsia="仿宋" w:cs="仿宋"/>
                <w:b/>
                <w:color w:val="auto"/>
                <w:sz w:val="24"/>
                <w:highlight w:val="none"/>
              </w:rPr>
              <w:t>2</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公共卫生间内无渗漏、破损，地面平整无破损，天花板、门窗及锁、窗栅、大小便厕位隔断、搁物台及金属扣件、镜子、挂衣钩、洗手台面及水池、大小便器、水龙头、拖把池、水箱、水阀、去水管、地漏等无缺失、破损及生锈。</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设施管理</w:t>
            </w:r>
            <w:r>
              <w:rPr>
                <w:rFonts w:ascii="仿宋" w:hAnsi="仿宋" w:eastAsia="仿宋" w:cs="仿宋"/>
                <w:b/>
                <w:color w:val="auto"/>
                <w:sz w:val="24"/>
                <w:highlight w:val="none"/>
              </w:rPr>
              <w:t>3</w:t>
            </w:r>
            <w:r>
              <w:rPr>
                <w:rFonts w:hint="eastAsia" w:ascii="仿宋" w:hAnsi="仿宋" w:eastAsia="仿宋" w:cs="仿宋"/>
                <w:color w:val="auto"/>
                <w:sz w:val="24"/>
                <w:highlight w:val="none"/>
              </w:rPr>
              <w:t>。供水、供电系统运行正常，无安全隐患。除臭、照明正常工作。洗手液、烘手机、手纸架等应保持设施完好，功能正常。</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设施管理</w:t>
            </w:r>
            <w:r>
              <w:rPr>
                <w:rFonts w:ascii="仿宋" w:hAnsi="仿宋" w:eastAsia="仿宋" w:cs="仿宋"/>
                <w:b/>
                <w:color w:val="auto"/>
                <w:sz w:val="24"/>
                <w:highlight w:val="none"/>
              </w:rPr>
              <w:t>4</w:t>
            </w:r>
            <w:r>
              <w:rPr>
                <w:rFonts w:hint="eastAsia" w:ascii="仿宋" w:hAnsi="仿宋" w:eastAsia="仿宋" w:cs="仿宋"/>
                <w:color w:val="auto"/>
                <w:sz w:val="24"/>
                <w:highlight w:val="none"/>
              </w:rPr>
              <w:t>。无障碍通道畅通，扶手完好，牢固、无障碍间卫生洁具及辅助设施完好。</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6</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形象管理。</w:t>
            </w:r>
            <w:r>
              <w:rPr>
                <w:rFonts w:hint="eastAsia" w:ascii="仿宋" w:hAnsi="仿宋" w:eastAsia="仿宋" w:cs="仿宋"/>
                <w:color w:val="auto"/>
                <w:sz w:val="24"/>
                <w:highlight w:val="none"/>
              </w:rPr>
              <w:t>保洁员应着统一的工作服并佩戴上岗证。三星级以上卫生间向公众提供洗手液、手纸服务。保洁作业期间需设置警示牌，冲洗卫生间地面和雨雪冰冻天气时需铺设防滑垫。保洁作业时应主动避让如厕人员。</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7</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b/>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作业规范</w:t>
            </w:r>
            <w:r>
              <w:rPr>
                <w:rFonts w:ascii="仿宋" w:hAnsi="仿宋" w:eastAsia="仿宋" w:cs="仿宋"/>
                <w:b/>
                <w:color w:val="auto"/>
                <w:sz w:val="24"/>
                <w:highlight w:val="none"/>
              </w:rPr>
              <w:t>1</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公共卫生间设置保洁日记。公厕上午</w:t>
            </w:r>
            <w:r>
              <w:rPr>
                <w:rFonts w:ascii="仿宋" w:hAnsi="仿宋" w:eastAsia="仿宋" w:cs="仿宋"/>
                <w:color w:val="auto"/>
                <w:sz w:val="24"/>
                <w:highlight w:val="none"/>
              </w:rPr>
              <w:t>6</w:t>
            </w:r>
            <w:r>
              <w:rPr>
                <w:rFonts w:hint="eastAsia" w:ascii="仿宋" w:hAnsi="仿宋" w:eastAsia="仿宋" w:cs="仿宋"/>
                <w:color w:val="auto"/>
                <w:sz w:val="24"/>
                <w:highlight w:val="none"/>
              </w:rPr>
              <w:t>点起进行彻底清理，保洁每</w:t>
            </w:r>
            <w:r>
              <w:rPr>
                <w:rFonts w:ascii="仿宋" w:hAnsi="仿宋" w:eastAsia="仿宋" w:cs="仿宋"/>
                <w:color w:val="auto"/>
                <w:sz w:val="24"/>
                <w:highlight w:val="none"/>
              </w:rPr>
              <w:t>3</w:t>
            </w:r>
            <w:r>
              <w:rPr>
                <w:rFonts w:hint="eastAsia" w:ascii="仿宋" w:hAnsi="仿宋" w:eastAsia="仿宋" w:cs="仿宋"/>
                <w:color w:val="auto"/>
                <w:sz w:val="24"/>
                <w:highlight w:val="none"/>
              </w:rPr>
              <w:t>小时（</w:t>
            </w:r>
            <w:r>
              <w:rPr>
                <w:rFonts w:ascii="仿宋" w:hAnsi="仿宋" w:eastAsia="仿宋" w:cs="仿宋"/>
                <w:color w:val="auto"/>
                <w:sz w:val="24"/>
                <w:highlight w:val="none"/>
              </w:rPr>
              <w:t>8</w:t>
            </w:r>
            <w:r>
              <w:rPr>
                <w:rFonts w:hint="eastAsia" w:ascii="仿宋" w:hAnsi="仿宋" w:eastAsia="仿宋" w:cs="仿宋"/>
                <w:color w:val="auto"/>
                <w:sz w:val="24"/>
                <w:highlight w:val="none"/>
              </w:rPr>
              <w:t>点、</w:t>
            </w:r>
            <w:r>
              <w:rPr>
                <w:rFonts w:ascii="仿宋" w:hAnsi="仿宋" w:eastAsia="仿宋" w:cs="仿宋"/>
                <w:color w:val="auto"/>
                <w:sz w:val="24"/>
                <w:highlight w:val="none"/>
              </w:rPr>
              <w:t>11</w:t>
            </w:r>
            <w:r>
              <w:rPr>
                <w:rFonts w:hint="eastAsia" w:ascii="仿宋" w:hAnsi="仿宋" w:eastAsia="仿宋" w:cs="仿宋"/>
                <w:color w:val="auto"/>
                <w:sz w:val="24"/>
                <w:highlight w:val="none"/>
              </w:rPr>
              <w:t>点、</w:t>
            </w:r>
            <w:r>
              <w:rPr>
                <w:rFonts w:ascii="仿宋" w:hAnsi="仿宋" w:eastAsia="仿宋" w:cs="仿宋"/>
                <w:color w:val="auto"/>
                <w:sz w:val="24"/>
                <w:highlight w:val="none"/>
              </w:rPr>
              <w:t>14</w:t>
            </w:r>
            <w:r>
              <w:rPr>
                <w:rFonts w:hint="eastAsia" w:ascii="仿宋" w:hAnsi="仿宋" w:eastAsia="仿宋" w:cs="仿宋"/>
                <w:color w:val="auto"/>
                <w:sz w:val="24"/>
                <w:highlight w:val="none"/>
              </w:rPr>
              <w:t>点、</w:t>
            </w:r>
            <w:r>
              <w:rPr>
                <w:rFonts w:ascii="仿宋" w:hAnsi="仿宋" w:eastAsia="仿宋" w:cs="仿宋"/>
                <w:color w:val="auto"/>
                <w:sz w:val="24"/>
                <w:highlight w:val="none"/>
              </w:rPr>
              <w:t>17</w:t>
            </w:r>
            <w:r>
              <w:rPr>
                <w:rFonts w:hint="eastAsia" w:ascii="仿宋" w:hAnsi="仿宋" w:eastAsia="仿宋" w:cs="仿宋"/>
                <w:color w:val="auto"/>
                <w:sz w:val="24"/>
                <w:highlight w:val="none"/>
              </w:rPr>
              <w:t>点、</w:t>
            </w:r>
            <w:r>
              <w:rPr>
                <w:rFonts w:ascii="仿宋" w:hAnsi="仿宋" w:eastAsia="仿宋" w:cs="仿宋"/>
                <w:color w:val="auto"/>
                <w:sz w:val="24"/>
                <w:highlight w:val="none"/>
              </w:rPr>
              <w:t>20</w:t>
            </w:r>
            <w:r>
              <w:rPr>
                <w:rFonts w:hint="eastAsia" w:ascii="仿宋" w:hAnsi="仿宋" w:eastAsia="仿宋" w:cs="仿宋"/>
                <w:color w:val="auto"/>
                <w:sz w:val="24"/>
                <w:highlight w:val="none"/>
              </w:rPr>
              <w:t>点）保洁一次，</w:t>
            </w:r>
            <w:r>
              <w:rPr>
                <w:rFonts w:ascii="仿宋" w:hAnsi="仿宋" w:eastAsia="仿宋" w:cs="仿宋"/>
                <w:color w:val="auto"/>
                <w:sz w:val="24"/>
                <w:highlight w:val="none"/>
              </w:rPr>
              <w:t>22</w:t>
            </w:r>
            <w:r>
              <w:rPr>
                <w:rFonts w:hint="eastAsia" w:ascii="仿宋" w:hAnsi="仿宋" w:eastAsia="仿宋" w:cs="仿宋"/>
                <w:color w:val="auto"/>
                <w:sz w:val="24"/>
                <w:highlight w:val="none"/>
              </w:rPr>
              <w:t>点前彻底清理一次。保洁员应对每次保洁情况做好记录，管理员每天对保洁员记录情况进行核实并检查公共卫生间管理情况。提出整改意见。</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8</w:t>
            </w:r>
          </w:p>
        </w:tc>
        <w:tc>
          <w:tcPr>
            <w:tcW w:w="882" w:type="dxa"/>
            <w:vMerge w:val="restart"/>
            <w:tcBorders>
              <w:top w:val="single" w:color="auto" w:sz="6" w:space="0"/>
              <w:left w:val="single" w:color="auto" w:sz="6"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外业</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（公共卫生间）</w:t>
            </w: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作业规范</w:t>
            </w:r>
            <w:r>
              <w:rPr>
                <w:rFonts w:ascii="仿宋" w:hAnsi="仿宋" w:eastAsia="仿宋" w:cs="仿宋"/>
                <w:b/>
                <w:color w:val="auto"/>
                <w:sz w:val="24"/>
                <w:highlight w:val="none"/>
              </w:rPr>
              <w:t>2</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公厕天花板、内外墙面、门窗、洗手台及台面、拖把池、大小便厕位隔断、搁物台、上下水管、镜子等无积尘、无污迹、无蛛网、无乱涂乱画。公厕内的垃圾桶或厕所纸篓，应及时清理，保持设施完好干净整洁，无满溢现象。公厕内无杂物堆放。公厕及厕位地面清洁无垃圾、污迹、积水。公厕内通风良好，无臭味。三星以上公厕异味</w:t>
            </w:r>
            <w:r>
              <w:rPr>
                <w:rFonts w:ascii="仿宋" w:hAnsi="仿宋" w:eastAsia="仿宋" w:cs="仿宋"/>
                <w:color w:val="auto"/>
                <w:sz w:val="24"/>
                <w:highlight w:val="none"/>
              </w:rPr>
              <w:t>0</w:t>
            </w:r>
            <w:r>
              <w:rPr>
                <w:rFonts w:hint="eastAsia" w:ascii="仿宋" w:hAnsi="仿宋" w:eastAsia="仿宋" w:cs="仿宋"/>
                <w:color w:val="auto"/>
                <w:sz w:val="24"/>
                <w:highlight w:val="none"/>
              </w:rPr>
              <w:t>度以上。</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9</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作业规范</w:t>
            </w:r>
            <w:r>
              <w:rPr>
                <w:rFonts w:ascii="仿宋" w:hAnsi="仿宋" w:eastAsia="仿宋" w:cs="仿宋"/>
                <w:b/>
                <w:color w:val="auto"/>
                <w:sz w:val="24"/>
                <w:highlight w:val="none"/>
              </w:rPr>
              <w:t>3</w:t>
            </w:r>
            <w:r>
              <w:rPr>
                <w:rFonts w:hint="eastAsia" w:ascii="仿宋" w:hAnsi="仿宋" w:eastAsia="仿宋" w:cs="仿宋"/>
                <w:color w:val="auto"/>
                <w:sz w:val="24"/>
                <w:highlight w:val="none"/>
              </w:rPr>
              <w:t>。倒粪池以及大小便、大便槽清洁，无粪便污垢、无积粪、无堵塞、洁净见底。小便器（槽）清洁无水锈、尿垢、垃圾、沟眼、管道保持畅通。</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10</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作业规范</w:t>
            </w:r>
            <w:r>
              <w:rPr>
                <w:rFonts w:ascii="仿宋" w:hAnsi="仿宋" w:eastAsia="仿宋" w:cs="仿宋"/>
                <w:b/>
                <w:color w:val="auto"/>
                <w:sz w:val="24"/>
                <w:highlight w:val="none"/>
              </w:rPr>
              <w:t>4</w:t>
            </w:r>
            <w:r>
              <w:rPr>
                <w:rFonts w:hint="eastAsia" w:ascii="仿宋" w:hAnsi="仿宋" w:eastAsia="仿宋" w:cs="仿宋"/>
                <w:color w:val="auto"/>
                <w:sz w:val="24"/>
                <w:highlight w:val="none"/>
              </w:rPr>
              <w:t>。公厕外环境（由绿化带的以绿化带外围为界限，无绿化带的外墙起</w:t>
            </w:r>
            <w:r>
              <w:rPr>
                <w:rFonts w:ascii="仿宋" w:hAnsi="仿宋" w:eastAsia="仿宋" w:cs="仿宋"/>
                <w:color w:val="auto"/>
                <w:sz w:val="24"/>
                <w:highlight w:val="none"/>
              </w:rPr>
              <w:t>4</w:t>
            </w:r>
            <w:r>
              <w:rPr>
                <w:rFonts w:hint="eastAsia" w:ascii="仿宋" w:hAnsi="仿宋" w:eastAsia="仿宋" w:cs="仿宋"/>
                <w:color w:val="auto"/>
                <w:sz w:val="24"/>
                <w:highlight w:val="none"/>
              </w:rPr>
              <w:t>米范围内）整洁有序，无垃圾、无粪便、无晾晒衣服、无杂物堆放吊挂、无落叶积留。不得将厕所垃圾倒入化粪池、果壳箱和其他非正规区域。</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11</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作业规范</w:t>
            </w:r>
            <w:r>
              <w:rPr>
                <w:rFonts w:ascii="仿宋" w:hAnsi="仿宋" w:eastAsia="仿宋" w:cs="仿宋"/>
                <w:b/>
                <w:color w:val="auto"/>
                <w:sz w:val="24"/>
                <w:highlight w:val="none"/>
              </w:rPr>
              <w:t>5</w:t>
            </w:r>
            <w:r>
              <w:rPr>
                <w:rFonts w:hint="eastAsia" w:ascii="仿宋" w:hAnsi="仿宋" w:eastAsia="仿宋" w:cs="仿宋"/>
                <w:color w:val="auto"/>
                <w:sz w:val="24"/>
                <w:highlight w:val="none"/>
              </w:rPr>
              <w:t>。粪污水应排入市政污水管网或经吸粪车转运至粪便处理场所处置，公厕化粪池每半年清理，疏通不少于</w:t>
            </w:r>
            <w:r>
              <w:rPr>
                <w:rFonts w:ascii="仿宋" w:hAnsi="仿宋" w:eastAsia="仿宋" w:cs="仿宋"/>
                <w:color w:val="auto"/>
                <w:sz w:val="24"/>
                <w:highlight w:val="none"/>
              </w:rPr>
              <w:t>1</w:t>
            </w:r>
            <w:r>
              <w:rPr>
                <w:rFonts w:hint="eastAsia" w:ascii="仿宋" w:hAnsi="仿宋" w:eastAsia="仿宋" w:cs="仿宋"/>
                <w:color w:val="auto"/>
                <w:sz w:val="24"/>
                <w:highlight w:val="none"/>
              </w:rPr>
              <w:t>次，贮粪池内的粪污水应及时转运。化粪池、贮粪池周围场地应保持整洁，地面无粪迹、垃圾、污水、恶臭、蝇蛆。化粪池无满溢问题，若发现满溢问题应在</w:t>
            </w:r>
            <w:r>
              <w:rPr>
                <w:rFonts w:ascii="仿宋" w:hAnsi="仿宋" w:eastAsia="仿宋" w:cs="仿宋"/>
                <w:color w:val="auto"/>
                <w:sz w:val="24"/>
                <w:highlight w:val="none"/>
              </w:rPr>
              <w:t>2</w:t>
            </w:r>
            <w:r>
              <w:rPr>
                <w:rFonts w:hint="eastAsia" w:ascii="仿宋" w:hAnsi="仿宋" w:eastAsia="仿宋" w:cs="仿宋"/>
                <w:color w:val="auto"/>
                <w:sz w:val="24"/>
                <w:highlight w:val="none"/>
              </w:rPr>
              <w:t>小时内予以解决。</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6" w:space="0"/>
              <w:left w:val="single" w:color="auto" w:sz="12" w:space="0"/>
              <w:bottom w:val="single" w:color="auto" w:sz="6"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12</w:t>
            </w:r>
          </w:p>
        </w:tc>
        <w:tc>
          <w:tcPr>
            <w:tcW w:w="882" w:type="dxa"/>
            <w:vMerge w:val="continue"/>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作业规范</w:t>
            </w:r>
            <w:r>
              <w:rPr>
                <w:rFonts w:ascii="仿宋" w:hAnsi="仿宋" w:eastAsia="仿宋" w:cs="仿宋"/>
                <w:b/>
                <w:color w:val="auto"/>
                <w:sz w:val="24"/>
                <w:highlight w:val="none"/>
              </w:rPr>
              <w:t>6</w:t>
            </w:r>
            <w:r>
              <w:rPr>
                <w:rFonts w:hint="eastAsia" w:ascii="仿宋" w:hAnsi="仿宋" w:eastAsia="仿宋" w:cs="仿宋"/>
                <w:color w:val="auto"/>
                <w:sz w:val="24"/>
                <w:highlight w:val="none"/>
              </w:rPr>
              <w:t>。公厕内外不得乱接水管。公厕管理员上班期间不得在公厕公共区域从事洗衣及洗碗等事情。公厕管理间只能用于公厕保洁管理人员使用，上班时间不得在管理间内干杂活、睡觉、闲杂人员不得随意在管理间内休息等。必须保持管理间内整洁有序，必要物品摆放整齐。不得在管理间内饮酒、吸烟。不得利用公厕从事销售商品（自动售纸机除外）、废品回收等经营性活动。公厕内不得饲养宠物。公厕无障碍间不得容留社会闲杂人员。</w:t>
            </w:r>
          </w:p>
        </w:tc>
        <w:tc>
          <w:tcPr>
            <w:tcW w:w="704" w:type="dxa"/>
            <w:tcBorders>
              <w:top w:val="single" w:color="auto" w:sz="6" w:space="0"/>
              <w:left w:val="single" w:color="auto" w:sz="6" w:space="0"/>
              <w:bottom w:val="single" w:color="auto" w:sz="6" w:space="0"/>
              <w:right w:val="single" w:color="auto" w:sz="12" w:space="0"/>
            </w:tcBorders>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6" w:space="0"/>
              <w:left w:val="single" w:color="auto" w:sz="12" w:space="0"/>
              <w:bottom w:val="single" w:color="auto" w:sz="12" w:space="0"/>
              <w:right w:val="single" w:color="auto" w:sz="6" w:space="0"/>
            </w:tcBorders>
          </w:tcPr>
          <w:p>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13</w:t>
            </w:r>
          </w:p>
        </w:tc>
        <w:tc>
          <w:tcPr>
            <w:tcW w:w="882" w:type="dxa"/>
            <w:vMerge w:val="continue"/>
            <w:tcBorders>
              <w:top w:val="single" w:color="auto" w:sz="6" w:space="0"/>
              <w:left w:val="single" w:color="auto" w:sz="6" w:space="0"/>
              <w:bottom w:val="single" w:color="auto" w:sz="12" w:space="0"/>
              <w:right w:val="single" w:color="auto" w:sz="6" w:space="0"/>
            </w:tcBorders>
          </w:tcPr>
          <w:p>
            <w:pPr>
              <w:spacing w:line="360" w:lineRule="auto"/>
              <w:rPr>
                <w:rFonts w:ascii="仿宋" w:hAnsi="仿宋" w:eastAsia="仿宋" w:cs="仿宋"/>
                <w:color w:val="auto"/>
                <w:sz w:val="24"/>
                <w:highlight w:val="none"/>
              </w:rPr>
            </w:pPr>
          </w:p>
        </w:tc>
        <w:tc>
          <w:tcPr>
            <w:tcW w:w="6800" w:type="dxa"/>
            <w:tcBorders>
              <w:top w:val="single" w:color="auto" w:sz="6" w:space="0"/>
              <w:left w:val="single" w:color="auto" w:sz="6" w:space="0"/>
              <w:bottom w:val="single" w:color="auto" w:sz="12" w:space="0"/>
              <w:right w:val="single" w:color="auto" w:sz="6" w:space="0"/>
            </w:tcBorders>
          </w:tcPr>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作业规范</w:t>
            </w:r>
            <w:r>
              <w:rPr>
                <w:rFonts w:ascii="仿宋" w:hAnsi="仿宋" w:eastAsia="仿宋" w:cs="仿宋"/>
                <w:b/>
                <w:color w:val="auto"/>
                <w:sz w:val="24"/>
                <w:highlight w:val="none"/>
              </w:rPr>
              <w:t>7</w:t>
            </w:r>
            <w:r>
              <w:rPr>
                <w:rFonts w:hint="eastAsia" w:ascii="仿宋" w:hAnsi="仿宋" w:eastAsia="仿宋" w:cs="仿宋"/>
                <w:color w:val="auto"/>
                <w:sz w:val="24"/>
                <w:highlight w:val="none"/>
              </w:rPr>
              <w:t>。不得利用公厕擅自设置广告。不得部分改变公厕用途。不得擅自出租公厕附属用房。</w:t>
            </w:r>
          </w:p>
        </w:tc>
        <w:tc>
          <w:tcPr>
            <w:tcW w:w="704" w:type="dxa"/>
            <w:tcBorders>
              <w:top w:val="single" w:color="auto" w:sz="6" w:space="0"/>
              <w:left w:val="single" w:color="auto" w:sz="6" w:space="0"/>
              <w:bottom w:val="single" w:color="auto" w:sz="12" w:space="0"/>
              <w:right w:val="single" w:color="auto" w:sz="12" w:space="0"/>
            </w:tcBorders>
          </w:tcPr>
          <w:p>
            <w:pPr>
              <w:spacing w:line="360" w:lineRule="auto"/>
              <w:rPr>
                <w:rFonts w:ascii="仿宋" w:hAnsi="仿宋" w:eastAsia="仿宋" w:cs="仿宋"/>
                <w:color w:val="auto"/>
                <w:sz w:val="24"/>
                <w:highlight w:val="none"/>
              </w:rPr>
            </w:pPr>
          </w:p>
        </w:tc>
      </w:tr>
    </w:tbl>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九、检查、考核及结果运用</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（一）检查。</w:t>
      </w:r>
      <w:r>
        <w:rPr>
          <w:rFonts w:hint="eastAsia" w:ascii="仿宋" w:hAnsi="仿宋" w:eastAsia="仿宋" w:cs="仿宋"/>
          <w:color w:val="auto"/>
          <w:sz w:val="24"/>
          <w:highlight w:val="none"/>
        </w:rPr>
        <w:t>开发区环卫保洁养护作业检查方式分为外业检查和内业检查两类。</w:t>
      </w:r>
    </w:p>
    <w:p>
      <w:pPr>
        <w:spacing w:line="360" w:lineRule="auto"/>
        <w:ind w:left="643"/>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外业检查</w:t>
      </w:r>
    </w:p>
    <w:p>
      <w:pPr>
        <w:spacing w:line="360" w:lineRule="auto"/>
        <w:ind w:left="643"/>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w:t>
      </w:r>
      <w:r>
        <w:rPr>
          <w:rFonts w:hint="eastAsia" w:ascii="仿宋" w:hAnsi="仿宋" w:eastAsia="仿宋" w:cs="仿宋"/>
          <w:color w:val="auto"/>
          <w:sz w:val="24"/>
          <w:highlight w:val="none"/>
        </w:rPr>
        <w:t>）市级检查</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每月根据杭州市对开发区的检查通报情况进行汇总后经抄告平台落实整改工作，抄告和整改情况按照“环卫保洁养护作业考核扣款标准”纳入月度考核。问题整改期限一般为</w:t>
      </w:r>
      <w:r>
        <w:rPr>
          <w:rFonts w:ascii="仿宋" w:hAnsi="仿宋" w:eastAsia="仿宋" w:cs="仿宋"/>
          <w:color w:val="auto"/>
          <w:sz w:val="24"/>
          <w:highlight w:val="none"/>
        </w:rPr>
        <w:t>2</w:t>
      </w:r>
      <w:r>
        <w:rPr>
          <w:rFonts w:hint="eastAsia" w:ascii="仿宋" w:hAnsi="仿宋" w:eastAsia="仿宋" w:cs="仿宋"/>
          <w:color w:val="auto"/>
          <w:sz w:val="24"/>
          <w:highlight w:val="none"/>
        </w:rPr>
        <w:t>天，反馈整改后</w:t>
      </w:r>
      <w:r>
        <w:rPr>
          <w:rFonts w:ascii="仿宋" w:hAnsi="仿宋" w:eastAsia="仿宋" w:cs="仿宋"/>
          <w:color w:val="auto"/>
          <w:sz w:val="24"/>
          <w:highlight w:val="none"/>
        </w:rPr>
        <w:t>1</w:t>
      </w:r>
      <w:r>
        <w:rPr>
          <w:rFonts w:hint="eastAsia" w:ascii="仿宋" w:hAnsi="仿宋" w:eastAsia="仿宋" w:cs="仿宋"/>
          <w:color w:val="auto"/>
          <w:sz w:val="24"/>
          <w:highlight w:val="none"/>
        </w:rPr>
        <w:t>周内对整改情况进行实地复核，未按整改期限完成或整改不到位的视为二次抄告，二次抄告问题仍未整改的视为多次抄告。扣款计入年度考核经费扣除。</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w:t>
      </w:r>
      <w:r>
        <w:rPr>
          <w:rFonts w:hint="eastAsia" w:ascii="仿宋" w:hAnsi="仿宋" w:eastAsia="仿宋" w:cs="仿宋"/>
          <w:color w:val="auto"/>
          <w:sz w:val="24"/>
          <w:highlight w:val="none"/>
        </w:rPr>
        <w:t>）媒体曝光和领导督办</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根据媒体曝光和领导督办问题的情况进行汇总后经抄告平台落实整改工作，抄告和整改情况按“有责投诉、负面报道”扣款标准纳入月度考核。问题整改期限一般为</w:t>
      </w:r>
      <w:r>
        <w:rPr>
          <w:rFonts w:ascii="仿宋" w:hAnsi="仿宋" w:eastAsia="仿宋" w:cs="仿宋"/>
          <w:color w:val="auto"/>
          <w:sz w:val="24"/>
          <w:highlight w:val="none"/>
        </w:rPr>
        <w:t>2</w:t>
      </w:r>
      <w:r>
        <w:rPr>
          <w:rFonts w:hint="eastAsia" w:ascii="仿宋" w:hAnsi="仿宋" w:eastAsia="仿宋" w:cs="仿宋"/>
          <w:color w:val="auto"/>
          <w:sz w:val="24"/>
          <w:highlight w:val="none"/>
        </w:rPr>
        <w:t>天，反馈整改后</w:t>
      </w:r>
      <w:r>
        <w:rPr>
          <w:rFonts w:ascii="仿宋" w:hAnsi="仿宋" w:eastAsia="仿宋" w:cs="仿宋"/>
          <w:color w:val="auto"/>
          <w:sz w:val="24"/>
          <w:highlight w:val="none"/>
        </w:rPr>
        <w:t>1</w:t>
      </w:r>
      <w:r>
        <w:rPr>
          <w:rFonts w:hint="eastAsia" w:ascii="仿宋" w:hAnsi="仿宋" w:eastAsia="仿宋" w:cs="仿宋"/>
          <w:color w:val="auto"/>
          <w:sz w:val="24"/>
          <w:highlight w:val="none"/>
        </w:rPr>
        <w:t>周内对整改情况进行实地复核，未按整改期限完成或整改不到位的视为二次抄告，二次抄告问题仍未整改的视为多次抄告。扣款计入年度考核经费扣除。</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）责任主体检查</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A</w:t>
      </w:r>
      <w:r>
        <w:rPr>
          <w:rFonts w:hint="eastAsia" w:ascii="仿宋" w:hAnsi="仿宋" w:eastAsia="仿宋" w:cs="仿宋"/>
          <w:color w:val="auto"/>
          <w:sz w:val="24"/>
          <w:highlight w:val="none"/>
        </w:rPr>
        <w:t>．定标明查。根据每月公布的计划进行现场检查。</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B</w:t>
      </w:r>
      <w:r>
        <w:rPr>
          <w:rFonts w:hint="eastAsia" w:ascii="仿宋" w:hAnsi="仿宋" w:eastAsia="仿宋" w:cs="仿宋"/>
          <w:color w:val="auto"/>
          <w:sz w:val="24"/>
          <w:highlight w:val="none"/>
        </w:rPr>
        <w:t>．随机抽查。甲方每月安排不少于</w:t>
      </w:r>
      <w:r>
        <w:rPr>
          <w:rFonts w:ascii="仿宋" w:hAnsi="仿宋" w:eastAsia="仿宋" w:cs="仿宋"/>
          <w:color w:val="auto"/>
          <w:sz w:val="24"/>
          <w:highlight w:val="none"/>
        </w:rPr>
        <w:t>4</w:t>
      </w:r>
      <w:r>
        <w:rPr>
          <w:rFonts w:hint="eastAsia" w:ascii="仿宋" w:hAnsi="仿宋" w:eastAsia="仿宋" w:cs="仿宋"/>
          <w:color w:val="auto"/>
          <w:sz w:val="24"/>
          <w:highlight w:val="none"/>
        </w:rPr>
        <w:t>次责任区域内的随机抽查工作。问题整改期限一般为</w:t>
      </w:r>
      <w:r>
        <w:rPr>
          <w:rFonts w:ascii="仿宋" w:hAnsi="仿宋" w:eastAsia="仿宋" w:cs="仿宋"/>
          <w:color w:val="auto"/>
          <w:sz w:val="24"/>
          <w:highlight w:val="none"/>
        </w:rPr>
        <w:t>2</w:t>
      </w:r>
      <w:r>
        <w:rPr>
          <w:rFonts w:hint="eastAsia" w:ascii="仿宋" w:hAnsi="仿宋" w:eastAsia="仿宋" w:cs="仿宋"/>
          <w:color w:val="auto"/>
          <w:sz w:val="24"/>
          <w:highlight w:val="none"/>
        </w:rPr>
        <w:t>天，反馈整改后</w:t>
      </w:r>
      <w:r>
        <w:rPr>
          <w:rFonts w:ascii="仿宋" w:hAnsi="仿宋" w:eastAsia="仿宋" w:cs="仿宋"/>
          <w:color w:val="auto"/>
          <w:sz w:val="24"/>
          <w:highlight w:val="none"/>
        </w:rPr>
        <w:t>1</w:t>
      </w:r>
      <w:r>
        <w:rPr>
          <w:rFonts w:hint="eastAsia" w:ascii="仿宋" w:hAnsi="仿宋" w:eastAsia="仿宋" w:cs="仿宋"/>
          <w:color w:val="auto"/>
          <w:sz w:val="24"/>
          <w:highlight w:val="none"/>
        </w:rPr>
        <w:t>周内对整改情况进行实地复核，未按整改期限完成或整改不到位的视为二次抄告，二次抄告问题仍未整改的视为多次抄告</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C</w:t>
      </w:r>
      <w:r>
        <w:rPr>
          <w:rFonts w:hint="eastAsia" w:ascii="仿宋" w:hAnsi="仿宋" w:eastAsia="仿宋" w:cs="仿宋"/>
          <w:color w:val="auto"/>
          <w:sz w:val="24"/>
          <w:highlight w:val="none"/>
        </w:rPr>
        <w:t>．联合检查。每月由甲方牵头，会同财政局、各养护管理主体组成联合检查组，对本辖区内各道路保洁（公共卫生间）养护状况进行现场检查评价考核。问题整改期限一般为</w:t>
      </w:r>
      <w:r>
        <w:rPr>
          <w:rFonts w:ascii="仿宋" w:hAnsi="仿宋" w:eastAsia="仿宋" w:cs="仿宋"/>
          <w:color w:val="auto"/>
          <w:sz w:val="24"/>
          <w:highlight w:val="none"/>
        </w:rPr>
        <w:t>2</w:t>
      </w:r>
      <w:r>
        <w:rPr>
          <w:rFonts w:hint="eastAsia" w:ascii="仿宋" w:hAnsi="仿宋" w:eastAsia="仿宋" w:cs="仿宋"/>
          <w:color w:val="auto"/>
          <w:sz w:val="24"/>
          <w:highlight w:val="none"/>
        </w:rPr>
        <w:t>天，反馈整改后</w:t>
      </w:r>
      <w:r>
        <w:rPr>
          <w:rFonts w:ascii="仿宋" w:hAnsi="仿宋" w:eastAsia="仿宋" w:cs="仿宋"/>
          <w:color w:val="auto"/>
          <w:sz w:val="24"/>
          <w:highlight w:val="none"/>
        </w:rPr>
        <w:t>1</w:t>
      </w:r>
      <w:r>
        <w:rPr>
          <w:rFonts w:hint="eastAsia" w:ascii="仿宋" w:hAnsi="仿宋" w:eastAsia="仿宋" w:cs="仿宋"/>
          <w:color w:val="auto"/>
          <w:sz w:val="24"/>
          <w:highlight w:val="none"/>
        </w:rPr>
        <w:t>周内对整改情况进行实地复核，未按整改期限完成或整改不到位的视为二次抄告，二次抄告问题仍未整改的视为多次抄告</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w:t>
      </w:r>
      <w:r>
        <w:rPr>
          <w:rFonts w:hint="eastAsia" w:ascii="仿宋" w:hAnsi="仿宋" w:eastAsia="仿宋" w:cs="仿宋"/>
          <w:color w:val="auto"/>
          <w:sz w:val="24"/>
          <w:highlight w:val="none"/>
        </w:rPr>
        <w:t>）第三方监管</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当月完成全部所有道路的巡查覆盖检查不少于</w:t>
      </w:r>
      <w:r>
        <w:rPr>
          <w:rFonts w:ascii="仿宋" w:hAnsi="仿宋" w:eastAsia="仿宋" w:cs="仿宋"/>
          <w:color w:val="auto"/>
          <w:sz w:val="24"/>
          <w:highlight w:val="none"/>
        </w:rPr>
        <w:t>4</w:t>
      </w:r>
      <w:r>
        <w:rPr>
          <w:rFonts w:hint="eastAsia" w:ascii="仿宋" w:hAnsi="仿宋" w:eastAsia="仿宋" w:cs="仿宋"/>
          <w:color w:val="auto"/>
          <w:sz w:val="24"/>
          <w:highlight w:val="none"/>
        </w:rPr>
        <w:t>次、且每周不少于</w:t>
      </w:r>
      <w:r>
        <w:rPr>
          <w:rFonts w:ascii="仿宋" w:hAnsi="仿宋" w:eastAsia="仿宋" w:cs="仿宋"/>
          <w:color w:val="auto"/>
          <w:sz w:val="24"/>
          <w:highlight w:val="none"/>
        </w:rPr>
        <w:t>1</w:t>
      </w:r>
      <w:r>
        <w:rPr>
          <w:rFonts w:hint="eastAsia" w:ascii="仿宋" w:hAnsi="仿宋" w:eastAsia="仿宋" w:cs="仿宋"/>
          <w:color w:val="auto"/>
          <w:sz w:val="24"/>
          <w:highlight w:val="none"/>
        </w:rPr>
        <w:t>次。检查发现的问题汇总后经抄告平台落实整改，抄告和整改情况按“环卫保洁养护作业考核扣款标准”纳入月度考核。问题整改期限一般为</w:t>
      </w:r>
      <w:r>
        <w:rPr>
          <w:rFonts w:ascii="仿宋" w:hAnsi="仿宋" w:eastAsia="仿宋" w:cs="仿宋"/>
          <w:color w:val="auto"/>
          <w:sz w:val="24"/>
          <w:highlight w:val="none"/>
        </w:rPr>
        <w:t>2</w:t>
      </w:r>
      <w:r>
        <w:rPr>
          <w:rFonts w:hint="eastAsia" w:ascii="仿宋" w:hAnsi="仿宋" w:eastAsia="仿宋" w:cs="仿宋"/>
          <w:color w:val="auto"/>
          <w:sz w:val="24"/>
          <w:highlight w:val="none"/>
        </w:rPr>
        <w:t>天，反馈整改后</w:t>
      </w:r>
      <w:r>
        <w:rPr>
          <w:rFonts w:ascii="仿宋" w:hAnsi="仿宋" w:eastAsia="仿宋" w:cs="仿宋"/>
          <w:color w:val="auto"/>
          <w:sz w:val="24"/>
          <w:highlight w:val="none"/>
        </w:rPr>
        <w:t>1</w:t>
      </w:r>
      <w:r>
        <w:rPr>
          <w:rFonts w:hint="eastAsia" w:ascii="仿宋" w:hAnsi="仿宋" w:eastAsia="仿宋" w:cs="仿宋"/>
          <w:color w:val="auto"/>
          <w:sz w:val="24"/>
          <w:highlight w:val="none"/>
        </w:rPr>
        <w:t>周内对整改情况进行实地复核，未完成或整改不到位的视为未整改件。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w:t>
      </w:r>
      <w:r>
        <w:rPr>
          <w:rFonts w:hint="eastAsia" w:ascii="仿宋" w:hAnsi="仿宋" w:eastAsia="仿宋" w:cs="仿宋"/>
          <w:color w:val="auto"/>
          <w:sz w:val="24"/>
          <w:highlight w:val="none"/>
        </w:rPr>
        <w:t>）数字城管检查</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根据《杭州经济技术开发区事件、部件管理办法》的规定进行检查，涉及扣款及考核依照相关规定执行。扣款计入年度考核经费扣除。</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）企业自查</w:t>
      </w:r>
    </w:p>
    <w:p>
      <w:pPr>
        <w:spacing w:line="360" w:lineRule="auto"/>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企业每天对各自管理的区域进行全方位的自查自改工作，并按照规定上报自查自改情况，自查自改情况应做好台帐记录，并对较严重或亟待解决的问题经抄告平台进行登记。企业自查优先于上述</w:t>
      </w:r>
      <w:r>
        <w:rPr>
          <w:rFonts w:ascii="仿宋" w:hAnsi="仿宋" w:eastAsia="仿宋" w:cs="仿宋"/>
          <w:color w:val="auto"/>
          <w:sz w:val="24"/>
          <w:highlight w:val="none"/>
        </w:rPr>
        <w:t>5</w:t>
      </w:r>
      <w:r>
        <w:rPr>
          <w:rFonts w:hint="eastAsia" w:ascii="仿宋" w:hAnsi="仿宋" w:eastAsia="仿宋" w:cs="仿宋"/>
          <w:color w:val="auto"/>
          <w:sz w:val="24"/>
          <w:highlight w:val="none"/>
        </w:rPr>
        <w:t>类检查的，可核减相关考核扣款。具体方法由企业及时上报并提供相关依据。</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内业检查</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每半年度（</w:t>
      </w:r>
      <w:r>
        <w:rPr>
          <w:rFonts w:ascii="仿宋" w:hAnsi="仿宋" w:eastAsia="仿宋" w:cs="仿宋"/>
          <w:color w:val="auto"/>
          <w:sz w:val="24"/>
          <w:highlight w:val="none"/>
        </w:rPr>
        <w:t>6</w:t>
      </w:r>
      <w:r>
        <w:rPr>
          <w:rFonts w:hint="eastAsia" w:ascii="仿宋" w:hAnsi="仿宋" w:eastAsia="仿宋" w:cs="仿宋"/>
          <w:color w:val="auto"/>
          <w:sz w:val="24"/>
          <w:highlight w:val="none"/>
        </w:rPr>
        <w:t>月和</w:t>
      </w:r>
      <w:r>
        <w:rPr>
          <w:rFonts w:ascii="仿宋" w:hAnsi="仿宋" w:eastAsia="仿宋" w:cs="仿宋"/>
          <w:color w:val="auto"/>
          <w:sz w:val="24"/>
          <w:highlight w:val="none"/>
        </w:rPr>
        <w:t>12</w:t>
      </w:r>
      <w:r>
        <w:rPr>
          <w:rFonts w:hint="eastAsia" w:ascii="仿宋" w:hAnsi="仿宋" w:eastAsia="仿宋" w:cs="仿宋"/>
          <w:color w:val="auto"/>
          <w:sz w:val="24"/>
          <w:highlight w:val="none"/>
        </w:rPr>
        <w:t>月）对各企业的工作台帐进行检查。台帐应落实长效管理机制，对增设虚假台帐、临时大量增补台帐，以及对台帐检查消极应付、敷衍塞责的，按照本《办法》中“环卫保洁作业考核扣款标准”严从重进行处罚。扣款计入年度考核经费扣除。</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（二）考核</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环卫保洁评定根据项目类别实行分项考核。具体为道路保洁（含绿化带保洁和城市基础设施保洁）考核、公共卫生间考核和倒班房考核。其中，道路保洁考核和公共卫生间考核结果对外公布并接受审查监督。</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w:t>
      </w:r>
      <w:r>
        <w:rPr>
          <w:rFonts w:hint="eastAsia" w:ascii="仿宋" w:hAnsi="仿宋" w:eastAsia="仿宋" w:cs="仿宋"/>
          <w:color w:val="auto"/>
          <w:sz w:val="24"/>
          <w:highlight w:val="none"/>
        </w:rPr>
        <w:t>）优秀。当年未发生省、市媒体负面曝光，未发生市级信访平台二次督办整改，市、区级二次抄告数月均少于</w:t>
      </w:r>
      <w:r>
        <w:rPr>
          <w:rFonts w:ascii="仿宋" w:hAnsi="仿宋" w:eastAsia="仿宋" w:cs="仿宋"/>
          <w:color w:val="auto"/>
          <w:sz w:val="24"/>
          <w:highlight w:val="none"/>
        </w:rPr>
        <w:t>1</w:t>
      </w:r>
      <w:r>
        <w:rPr>
          <w:rFonts w:hint="eastAsia" w:ascii="仿宋" w:hAnsi="仿宋" w:eastAsia="仿宋" w:cs="仿宋"/>
          <w:color w:val="auto"/>
          <w:sz w:val="24"/>
          <w:highlight w:val="none"/>
        </w:rPr>
        <w:t>条，数字城管每月及时整改均达标的。当年应获得各类荣誉奖励不少于</w:t>
      </w:r>
      <w:r>
        <w:rPr>
          <w:rFonts w:ascii="仿宋" w:hAnsi="仿宋" w:eastAsia="仿宋" w:cs="仿宋"/>
          <w:color w:val="auto"/>
          <w:sz w:val="24"/>
          <w:highlight w:val="none"/>
        </w:rPr>
        <w:t>1</w:t>
      </w:r>
      <w:r>
        <w:rPr>
          <w:rFonts w:hint="eastAsia" w:ascii="仿宋" w:hAnsi="仿宋" w:eastAsia="仿宋" w:cs="仿宋"/>
          <w:color w:val="auto"/>
          <w:sz w:val="24"/>
          <w:highlight w:val="none"/>
        </w:rPr>
        <w:t>个。</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w:t>
      </w:r>
      <w:r>
        <w:rPr>
          <w:rFonts w:hint="eastAsia" w:ascii="仿宋" w:hAnsi="仿宋" w:eastAsia="仿宋" w:cs="仿宋"/>
          <w:color w:val="auto"/>
          <w:sz w:val="24"/>
          <w:highlight w:val="none"/>
        </w:rPr>
        <w:t>）达标。当年养护责任范围内省市媒体负面曝光</w:t>
      </w:r>
      <w:r>
        <w:rPr>
          <w:rFonts w:ascii="仿宋" w:hAnsi="仿宋" w:eastAsia="仿宋" w:cs="仿宋"/>
          <w:color w:val="auto"/>
          <w:sz w:val="24"/>
          <w:highlight w:val="none"/>
        </w:rPr>
        <w:t>2</w:t>
      </w:r>
      <w:r>
        <w:rPr>
          <w:rFonts w:hint="eastAsia" w:ascii="仿宋" w:hAnsi="仿宋" w:eastAsia="仿宋" w:cs="仿宋"/>
          <w:color w:val="auto"/>
          <w:sz w:val="24"/>
          <w:highlight w:val="none"/>
        </w:rPr>
        <w:t>次（含）以下；或市级信访平台二次督办整改</w:t>
      </w:r>
      <w:r>
        <w:rPr>
          <w:rFonts w:ascii="仿宋" w:hAnsi="仿宋" w:eastAsia="仿宋" w:cs="仿宋"/>
          <w:color w:val="auto"/>
          <w:sz w:val="24"/>
          <w:highlight w:val="none"/>
        </w:rPr>
        <w:t>5</w:t>
      </w:r>
      <w:r>
        <w:rPr>
          <w:rFonts w:hint="eastAsia" w:ascii="仿宋" w:hAnsi="仿宋" w:eastAsia="仿宋" w:cs="仿宋"/>
          <w:color w:val="auto"/>
          <w:sz w:val="24"/>
          <w:highlight w:val="none"/>
        </w:rPr>
        <w:t>次（含）以下的；或市、区级二次抄告数全年累计少于</w:t>
      </w:r>
      <w:r>
        <w:rPr>
          <w:rFonts w:ascii="仿宋" w:hAnsi="仿宋" w:eastAsia="仿宋" w:cs="仿宋"/>
          <w:color w:val="auto"/>
          <w:sz w:val="24"/>
          <w:highlight w:val="none"/>
        </w:rPr>
        <w:t>20</w:t>
      </w:r>
      <w:r>
        <w:rPr>
          <w:rFonts w:hint="eastAsia" w:ascii="仿宋" w:hAnsi="仿宋" w:eastAsia="仿宋" w:cs="仿宋"/>
          <w:color w:val="auto"/>
          <w:sz w:val="24"/>
          <w:highlight w:val="none"/>
        </w:rPr>
        <w:t>条（含）的；或数字城管及时整改率不达标</w:t>
      </w:r>
      <w:r>
        <w:rPr>
          <w:rFonts w:ascii="仿宋" w:hAnsi="仿宋" w:eastAsia="仿宋" w:cs="仿宋"/>
          <w:color w:val="auto"/>
          <w:sz w:val="24"/>
          <w:highlight w:val="none"/>
        </w:rPr>
        <w:t>3</w:t>
      </w:r>
      <w:r>
        <w:rPr>
          <w:rFonts w:hint="eastAsia" w:ascii="仿宋" w:hAnsi="仿宋" w:eastAsia="仿宋" w:cs="仿宋"/>
          <w:color w:val="auto"/>
          <w:sz w:val="24"/>
          <w:highlight w:val="none"/>
        </w:rPr>
        <w:t>次（含）以下的。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w:t>
      </w:r>
      <w:r>
        <w:rPr>
          <w:rFonts w:hint="eastAsia" w:ascii="仿宋" w:hAnsi="仿宋" w:eastAsia="仿宋" w:cs="仿宋"/>
          <w:color w:val="auto"/>
          <w:sz w:val="24"/>
          <w:highlight w:val="none"/>
        </w:rPr>
        <w:t>）不达标。当年养护责任范围内省市媒体负面曝光</w:t>
      </w:r>
      <w:r>
        <w:rPr>
          <w:rFonts w:ascii="仿宋" w:hAnsi="仿宋" w:eastAsia="仿宋" w:cs="仿宋"/>
          <w:color w:val="auto"/>
          <w:sz w:val="24"/>
          <w:highlight w:val="none"/>
        </w:rPr>
        <w:t>3</w:t>
      </w:r>
      <w:r>
        <w:rPr>
          <w:rFonts w:hint="eastAsia" w:ascii="仿宋" w:hAnsi="仿宋" w:eastAsia="仿宋" w:cs="仿宋"/>
          <w:color w:val="auto"/>
          <w:sz w:val="24"/>
          <w:highlight w:val="none"/>
        </w:rPr>
        <w:t>次（含）以上；或市级信访平台二次督办整改</w:t>
      </w:r>
      <w:r>
        <w:rPr>
          <w:rFonts w:ascii="仿宋" w:hAnsi="仿宋" w:eastAsia="仿宋" w:cs="仿宋"/>
          <w:color w:val="auto"/>
          <w:sz w:val="24"/>
          <w:highlight w:val="none"/>
        </w:rPr>
        <w:t>6</w:t>
      </w:r>
      <w:r>
        <w:rPr>
          <w:rFonts w:hint="eastAsia" w:ascii="仿宋" w:hAnsi="仿宋" w:eastAsia="仿宋" w:cs="仿宋"/>
          <w:color w:val="auto"/>
          <w:sz w:val="24"/>
          <w:highlight w:val="none"/>
        </w:rPr>
        <w:t>次（含）以上的；或市、区级二次抄告数全年累计超过</w:t>
      </w:r>
      <w:r>
        <w:rPr>
          <w:rFonts w:ascii="仿宋" w:hAnsi="仿宋" w:eastAsia="仿宋" w:cs="仿宋"/>
          <w:color w:val="auto"/>
          <w:sz w:val="24"/>
          <w:highlight w:val="none"/>
        </w:rPr>
        <w:t>21</w:t>
      </w:r>
      <w:r>
        <w:rPr>
          <w:rFonts w:hint="eastAsia" w:ascii="仿宋" w:hAnsi="仿宋" w:eastAsia="仿宋" w:cs="仿宋"/>
          <w:color w:val="auto"/>
          <w:sz w:val="24"/>
          <w:highlight w:val="none"/>
        </w:rPr>
        <w:t>条（含）的；或数字城管及时整改率不达标</w:t>
      </w:r>
      <w:r>
        <w:rPr>
          <w:rFonts w:ascii="仿宋" w:hAnsi="仿宋" w:eastAsia="仿宋" w:cs="仿宋"/>
          <w:color w:val="auto"/>
          <w:sz w:val="24"/>
          <w:highlight w:val="none"/>
        </w:rPr>
        <w:t>4</w:t>
      </w:r>
      <w:r>
        <w:rPr>
          <w:rFonts w:hint="eastAsia" w:ascii="仿宋" w:hAnsi="仿宋" w:eastAsia="仿宋" w:cs="仿宋"/>
          <w:color w:val="auto"/>
          <w:sz w:val="24"/>
          <w:highlight w:val="none"/>
        </w:rPr>
        <w:t>次（含）以上的。</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（三）结果运用</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优秀。在招标期限内均能获得“优秀”的考核评定，且第三方绩效评价好的，经管委会同意后可根据原采购合同的约定续签合同，但续签的单次合同期限一般不得长于原采购的合同期限，且续签次数最多不超过</w:t>
      </w:r>
      <w:r>
        <w:rPr>
          <w:rFonts w:ascii="仿宋" w:hAnsi="仿宋" w:eastAsia="仿宋" w:cs="仿宋"/>
          <w:color w:val="auto"/>
          <w:sz w:val="24"/>
          <w:highlight w:val="none"/>
        </w:rPr>
        <w:t>2</w:t>
      </w:r>
      <w:r>
        <w:rPr>
          <w:rFonts w:hint="eastAsia" w:ascii="仿宋" w:hAnsi="仿宋" w:eastAsia="仿宋" w:cs="仿宋"/>
          <w:color w:val="auto"/>
          <w:sz w:val="24"/>
          <w:highlight w:val="none"/>
        </w:rPr>
        <w:t>次、累计时间最长不超过</w:t>
      </w:r>
      <w:r>
        <w:rPr>
          <w:rFonts w:ascii="仿宋" w:hAnsi="仿宋" w:eastAsia="仿宋" w:cs="仿宋"/>
          <w:color w:val="auto"/>
          <w:sz w:val="24"/>
          <w:highlight w:val="none"/>
        </w:rPr>
        <w:t>5</w:t>
      </w:r>
      <w:r>
        <w:rPr>
          <w:rFonts w:hint="eastAsia" w:ascii="仿宋" w:hAnsi="仿宋" w:eastAsia="仿宋" w:cs="仿宋"/>
          <w:color w:val="auto"/>
          <w:sz w:val="24"/>
          <w:highlight w:val="none"/>
        </w:rPr>
        <w:t>年。</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达标。在合同期内得到“达标”的考核评定，即具备在招标期限内续签合同的资格。</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不达标。如在合同期内得到“不达标”的考核评定，则在合同期到期后终止续签合同的资格。</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十、扣款标准</w:t>
      </w:r>
    </w:p>
    <w:p>
      <w:pPr>
        <w:adjustRightInd w:val="0"/>
        <w:snapToGrid w:val="0"/>
        <w:spacing w:line="360" w:lineRule="auto"/>
        <w:ind w:firstLine="482" w:firstLineChars="200"/>
        <w:rPr>
          <w:rFonts w:ascii="仿宋" w:hAnsi="仿宋" w:eastAsia="仿宋" w:cs="仿宋"/>
          <w:b/>
          <w:color w:val="auto"/>
          <w:sz w:val="24"/>
          <w:highlight w:val="none"/>
        </w:rPr>
      </w:pPr>
      <w:r>
        <w:rPr>
          <w:rFonts w:ascii="仿宋" w:hAnsi="仿宋" w:eastAsia="仿宋" w:cs="仿宋"/>
          <w:b/>
          <w:color w:val="auto"/>
          <w:sz w:val="24"/>
          <w:highlight w:val="none"/>
        </w:rPr>
        <w:drawing>
          <wp:inline distT="0" distB="0" distL="114300" distR="114300">
            <wp:extent cx="5242560" cy="3467100"/>
            <wp:effectExtent l="0" t="0" r="15240" b="0"/>
            <wp:docPr id="11" name="图片 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无标题"/>
                    <pic:cNvPicPr>
                      <a:picLocks noChangeAspect="1"/>
                    </pic:cNvPicPr>
                  </pic:nvPicPr>
                  <pic:blipFill>
                    <a:blip r:embed="rId28"/>
                    <a:stretch>
                      <a:fillRect/>
                    </a:stretch>
                  </pic:blipFill>
                  <pic:spPr>
                    <a:xfrm>
                      <a:off x="0" y="0"/>
                      <a:ext cx="5242560" cy="3467100"/>
                    </a:xfrm>
                    <a:prstGeom prst="rect">
                      <a:avLst/>
                    </a:prstGeom>
                    <a:noFill/>
                    <a:ln>
                      <a:noFill/>
                    </a:ln>
                  </pic:spPr>
                </pic:pic>
              </a:graphicData>
            </a:graphic>
          </wp:inline>
        </w:drawing>
      </w:r>
    </w:p>
    <w:p>
      <w:pPr>
        <w:adjustRightInd w:val="0"/>
        <w:snapToGrid w:val="0"/>
        <w:spacing w:line="360" w:lineRule="auto"/>
        <w:ind w:firstLine="472" w:firstLineChars="196"/>
        <w:rPr>
          <w:rFonts w:ascii="仿宋" w:hAnsi="仿宋" w:eastAsia="仿宋" w:cs="仿宋"/>
          <w:b/>
          <w:color w:val="auto"/>
          <w:sz w:val="24"/>
          <w:highlight w:val="none"/>
        </w:rPr>
      </w:pPr>
      <w:r>
        <w:rPr>
          <w:rFonts w:hint="eastAsia" w:ascii="仿宋" w:hAnsi="仿宋" w:eastAsia="仿宋" w:cs="仿宋"/>
          <w:b/>
          <w:color w:val="auto"/>
          <w:sz w:val="24"/>
          <w:highlight w:val="none"/>
        </w:rPr>
        <w:t>十一、权利和义务</w:t>
      </w:r>
      <w:r>
        <w:rPr>
          <w:rFonts w:ascii="仿宋" w:hAnsi="仿宋" w:eastAsia="仿宋" w:cs="仿宋"/>
          <w:b/>
          <w:color w:val="auto"/>
          <w:sz w:val="24"/>
          <w:highlight w:val="none"/>
        </w:rPr>
        <w:t> </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（一）甲方权利和义务</w:t>
      </w:r>
      <w:r>
        <w:rPr>
          <w:rFonts w:ascii="仿宋" w:hAnsi="仿宋" w:eastAsia="仿宋" w:cs="仿宋"/>
          <w:color w:val="auto"/>
          <w:sz w:val="24"/>
          <w:highlight w:val="none"/>
        </w:rPr>
        <w:t> </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提供道路清扫保洁质量标准、作业规范及考核办法。</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按约定拨付作业费用。</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如遇突发事件，协调乙方在作业过程中同其他部门的关系。</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（二）乙方权利和义务</w:t>
      </w:r>
      <w:r>
        <w:rPr>
          <w:rFonts w:ascii="仿宋" w:hAnsi="仿宋" w:eastAsia="仿宋" w:cs="仿宋"/>
          <w:color w:val="auto"/>
          <w:sz w:val="24"/>
          <w:highlight w:val="none"/>
        </w:rPr>
        <w:t> </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道路清扫保洁的质量标准和作业规范符合《招标文件》的各项规定。</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每班作业人数应按甲方要求落实到位。</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遇到重大活动、突发事件或自然灾害，必须服从甲方指挥与安排。</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协助甲方调查、解决市民来信来访及投诉，并根据甲方要求及时处理。</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发现市政公用设施损坏或缺损，及时与相关部门联系。</w:t>
      </w:r>
    </w:p>
    <w:p>
      <w:pP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完成甲方交办的清扫保洁突击性任务。</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十二、其他要求</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乙方应严格遵守《劳动法》、《劳动合同法》等劳动法规，保障职工合法权益。认真贯彻杭政办《浙江省人民政府办公厅关于进一步改善环卫工人工作生活条件促进环卫事业持续健康发展的若干意见》（浙政办发〔</w:t>
      </w:r>
      <w:r>
        <w:rPr>
          <w:rFonts w:ascii="仿宋" w:hAnsi="仿宋" w:eastAsia="仿宋" w:cs="仿宋"/>
          <w:color w:val="auto"/>
          <w:sz w:val="24"/>
          <w:highlight w:val="none"/>
        </w:rPr>
        <w:t>2009</w:t>
      </w:r>
      <w:r>
        <w:rPr>
          <w:rFonts w:hint="eastAsia" w:ascii="仿宋" w:hAnsi="仿宋" w:eastAsia="仿宋" w:cs="仿宋"/>
          <w:color w:val="auto"/>
          <w:sz w:val="24"/>
          <w:highlight w:val="none"/>
        </w:rPr>
        <w:t>〕</w:t>
      </w:r>
      <w:r>
        <w:rPr>
          <w:rFonts w:ascii="仿宋" w:hAnsi="仿宋" w:eastAsia="仿宋" w:cs="仿宋"/>
          <w:color w:val="auto"/>
          <w:sz w:val="24"/>
          <w:highlight w:val="none"/>
        </w:rPr>
        <w:t>190</w:t>
      </w:r>
      <w:r>
        <w:rPr>
          <w:rFonts w:hint="eastAsia" w:ascii="仿宋" w:hAnsi="仿宋" w:eastAsia="仿宋" w:cs="仿宋"/>
          <w:color w:val="auto"/>
          <w:sz w:val="24"/>
          <w:highlight w:val="none"/>
        </w:rPr>
        <w:t>号）和《杭州市人民政府办公厅关于进一步解决环卫工人实际困难</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保障其合法权益的意见》（〔</w:t>
      </w:r>
      <w:r>
        <w:rPr>
          <w:rFonts w:ascii="仿宋" w:hAnsi="仿宋" w:eastAsia="仿宋" w:cs="仿宋"/>
          <w:color w:val="auto"/>
          <w:sz w:val="24"/>
          <w:highlight w:val="none"/>
        </w:rPr>
        <w:t>2008</w:t>
      </w:r>
      <w:r>
        <w:rPr>
          <w:rFonts w:hint="eastAsia" w:ascii="仿宋" w:hAnsi="仿宋" w:eastAsia="仿宋" w:cs="仿宋"/>
          <w:color w:val="auto"/>
          <w:sz w:val="24"/>
          <w:highlight w:val="none"/>
        </w:rPr>
        <w:t>〕</w:t>
      </w:r>
      <w:r>
        <w:rPr>
          <w:rFonts w:ascii="仿宋" w:hAnsi="仿宋" w:eastAsia="仿宋" w:cs="仿宋"/>
          <w:color w:val="auto"/>
          <w:sz w:val="24"/>
          <w:highlight w:val="none"/>
        </w:rPr>
        <w:t>14</w:t>
      </w:r>
      <w:r>
        <w:rPr>
          <w:rFonts w:hint="eastAsia" w:ascii="仿宋" w:hAnsi="仿宋" w:eastAsia="仿宋" w:cs="仿宋"/>
          <w:color w:val="auto"/>
          <w:sz w:val="24"/>
          <w:highlight w:val="none"/>
        </w:rPr>
        <w:t>号）文件精神，保洁人员工资不得低于浙政办发〔</w:t>
      </w:r>
      <w:r>
        <w:rPr>
          <w:rFonts w:ascii="仿宋" w:hAnsi="仿宋" w:eastAsia="仿宋" w:cs="仿宋"/>
          <w:color w:val="auto"/>
          <w:sz w:val="24"/>
          <w:highlight w:val="none"/>
        </w:rPr>
        <w:t>2009</w:t>
      </w:r>
      <w:r>
        <w:rPr>
          <w:rFonts w:hint="eastAsia" w:ascii="仿宋" w:hAnsi="仿宋" w:eastAsia="仿宋" w:cs="仿宋"/>
          <w:color w:val="auto"/>
          <w:sz w:val="24"/>
          <w:highlight w:val="none"/>
        </w:rPr>
        <w:t>〕</w:t>
      </w:r>
      <w:r>
        <w:rPr>
          <w:rFonts w:ascii="仿宋" w:hAnsi="仿宋" w:eastAsia="仿宋" w:cs="仿宋"/>
          <w:color w:val="auto"/>
          <w:sz w:val="24"/>
          <w:highlight w:val="none"/>
        </w:rPr>
        <w:t>190</w:t>
      </w:r>
      <w:r>
        <w:rPr>
          <w:rFonts w:hint="eastAsia" w:ascii="仿宋" w:hAnsi="仿宋" w:eastAsia="仿宋" w:cs="仿宋"/>
          <w:color w:val="auto"/>
          <w:sz w:val="24"/>
          <w:highlight w:val="none"/>
        </w:rPr>
        <w:t>号和杭政办〔</w:t>
      </w:r>
      <w:r>
        <w:rPr>
          <w:rFonts w:ascii="仿宋" w:hAnsi="仿宋" w:eastAsia="仿宋" w:cs="仿宋"/>
          <w:color w:val="auto"/>
          <w:sz w:val="24"/>
          <w:highlight w:val="none"/>
        </w:rPr>
        <w:t>2008</w:t>
      </w:r>
      <w:r>
        <w:rPr>
          <w:rFonts w:hint="eastAsia" w:ascii="仿宋" w:hAnsi="仿宋" w:eastAsia="仿宋" w:cs="仿宋"/>
          <w:color w:val="auto"/>
          <w:sz w:val="24"/>
          <w:highlight w:val="none"/>
        </w:rPr>
        <w:t>〕</w:t>
      </w:r>
      <w:r>
        <w:rPr>
          <w:rFonts w:ascii="仿宋" w:hAnsi="仿宋" w:eastAsia="仿宋" w:cs="仿宋"/>
          <w:color w:val="auto"/>
          <w:sz w:val="24"/>
          <w:highlight w:val="none"/>
        </w:rPr>
        <w:t>14</w:t>
      </w:r>
      <w:r>
        <w:rPr>
          <w:rFonts w:hint="eastAsia" w:ascii="仿宋" w:hAnsi="仿宋" w:eastAsia="仿宋" w:cs="仿宋"/>
          <w:color w:val="auto"/>
          <w:sz w:val="24"/>
          <w:highlight w:val="none"/>
        </w:rPr>
        <w:t>号文件规定的工资标准，必须落实职工劳保福利待遇，为职工缴纳社会保险费（养老保险、医疗保险、失业保险、工伤保险和生育保险）与住房公积金，保障职工休息休假权利，加班必须足额支付加班费，环卫职工的工资、岗位津贴、加班工资等必须确保按月发放。乙方未达到上述要求的，甲方有权立即终止合同。</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乙方应根据甲方要求，做好重大活动保障和“四防”应急响应工作，结合开发区相关应急预案，制定本单位预案并组织实施。认真做好防汛抗台、抗雪防冻应急抢险工作，确保人员、设备落实到位，并做好数据、图片和台帐记录、存档，及时反映情况，严格服从甲方的统一指挥和安排。</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完成甲方交办的清扫保洁突击性任务。</w:t>
      </w:r>
    </w:p>
    <w:p>
      <w:pPr>
        <w:pStyle w:val="129"/>
        <w:spacing w:before="0"/>
        <w:ind w:firstLine="480"/>
        <w:rPr>
          <w:rFonts w:ascii="仿宋" w:hAnsi="仿宋" w:eastAsia="仿宋" w:cs="仿宋"/>
          <w:color w:val="auto"/>
          <w:szCs w:val="24"/>
          <w:highlight w:val="none"/>
        </w:rPr>
      </w:pPr>
      <w:r>
        <w:rPr>
          <w:rFonts w:ascii="仿宋" w:hAnsi="仿宋" w:eastAsia="仿宋" w:cs="仿宋"/>
          <w:color w:val="auto"/>
          <w:szCs w:val="24"/>
          <w:highlight w:val="none"/>
        </w:rPr>
        <w:t>4.</w:t>
      </w:r>
      <w:r>
        <w:rPr>
          <w:rFonts w:hint="eastAsia" w:ascii="仿宋" w:hAnsi="仿宋" w:eastAsia="仿宋" w:cs="仿宋"/>
          <w:color w:val="auto"/>
          <w:szCs w:val="24"/>
          <w:highlight w:val="none"/>
        </w:rPr>
        <w:t>保持果壳箱的整洁完好，合同期间由于作业操作不善，造成破损的，由中标单位负责赔偿；因其它原因破损要调换的及时报告。</w:t>
      </w:r>
    </w:p>
    <w:p>
      <w:pPr>
        <w:pStyle w:val="129"/>
        <w:spacing w:before="0"/>
        <w:ind w:firstLine="480"/>
        <w:rPr>
          <w:rFonts w:ascii="仿宋" w:hAnsi="仿宋" w:eastAsia="仿宋" w:cs="仿宋"/>
          <w:color w:val="auto"/>
          <w:szCs w:val="24"/>
          <w:highlight w:val="none"/>
        </w:rPr>
      </w:pPr>
      <w:r>
        <w:rPr>
          <w:rFonts w:ascii="仿宋" w:hAnsi="仿宋" w:eastAsia="仿宋" w:cs="仿宋"/>
          <w:color w:val="auto"/>
          <w:szCs w:val="24"/>
          <w:highlight w:val="none"/>
        </w:rPr>
        <w:t>5.</w:t>
      </w:r>
      <w:r>
        <w:rPr>
          <w:rFonts w:hint="eastAsia" w:ascii="仿宋" w:hAnsi="仿宋" w:eastAsia="仿宋" w:cs="仿宋"/>
          <w:color w:val="auto"/>
          <w:szCs w:val="24"/>
          <w:highlight w:val="none"/>
        </w:rPr>
        <w:t>清扫保洁员上岗须统一着装，佩戴上岗证、穿反光服和戴反光帽，对发现的问题要及时整改。</w:t>
      </w:r>
    </w:p>
    <w:p>
      <w:pPr>
        <w:pStyle w:val="129"/>
        <w:spacing w:before="0"/>
        <w:ind w:firstLine="480"/>
        <w:rPr>
          <w:rFonts w:ascii="仿宋" w:hAnsi="仿宋" w:eastAsia="仿宋" w:cs="仿宋"/>
          <w:color w:val="auto"/>
          <w:szCs w:val="24"/>
          <w:highlight w:val="none"/>
        </w:rPr>
      </w:pPr>
      <w:r>
        <w:rPr>
          <w:rFonts w:ascii="仿宋" w:hAnsi="仿宋" w:eastAsia="仿宋" w:cs="仿宋"/>
          <w:color w:val="auto"/>
          <w:szCs w:val="24"/>
          <w:highlight w:val="none"/>
        </w:rPr>
        <w:t>6.</w:t>
      </w:r>
      <w:r>
        <w:rPr>
          <w:rFonts w:hint="eastAsia" w:ascii="仿宋" w:hAnsi="仿宋" w:eastAsia="仿宋" w:cs="仿宋"/>
          <w:color w:val="auto"/>
          <w:szCs w:val="24"/>
          <w:highlight w:val="none"/>
        </w:rPr>
        <w:t>作业时作业车辆应停放适当地点，不影响行人和交通，收工后存放在甲方指定的停车场所进行集中管理，收工后作业工具不得放置在在绿化带等位置，放置地点由中标方自行负责。</w:t>
      </w:r>
    </w:p>
    <w:p>
      <w:pPr>
        <w:pStyle w:val="129"/>
        <w:spacing w:before="0"/>
        <w:ind w:firstLine="480"/>
        <w:rPr>
          <w:rFonts w:ascii="仿宋" w:hAnsi="仿宋" w:eastAsia="仿宋" w:cs="仿宋"/>
          <w:color w:val="auto"/>
          <w:szCs w:val="24"/>
          <w:highlight w:val="none"/>
        </w:rPr>
      </w:pPr>
      <w:r>
        <w:rPr>
          <w:rFonts w:ascii="仿宋" w:hAnsi="仿宋" w:eastAsia="仿宋" w:cs="仿宋"/>
          <w:color w:val="auto"/>
          <w:szCs w:val="24"/>
          <w:highlight w:val="none"/>
        </w:rPr>
        <w:t>7.</w:t>
      </w:r>
      <w:r>
        <w:rPr>
          <w:rFonts w:hint="eastAsia" w:ascii="仿宋" w:hAnsi="仿宋" w:eastAsia="仿宋" w:cs="仿宋"/>
          <w:color w:val="auto"/>
          <w:szCs w:val="24"/>
          <w:highlight w:val="none"/>
        </w:rPr>
        <w:t>遇到乱丢、乱扔、渣土抛洒污染路面等不文明行为及时进行劝阻，并进行市容环卫法规的宣传教育，做到说话文明，以理服人，对不听劝阻造成不良影响的，应及时向合同甲方或有关部门报告。</w:t>
      </w:r>
    </w:p>
    <w:p>
      <w:pPr>
        <w:pStyle w:val="129"/>
        <w:spacing w:before="0"/>
        <w:ind w:firstLine="480"/>
        <w:rPr>
          <w:rFonts w:ascii="仿宋" w:hAnsi="仿宋" w:eastAsia="仿宋" w:cs="仿宋"/>
          <w:color w:val="auto"/>
          <w:szCs w:val="24"/>
          <w:highlight w:val="none"/>
        </w:rPr>
      </w:pPr>
      <w:r>
        <w:rPr>
          <w:rFonts w:ascii="仿宋" w:hAnsi="仿宋" w:eastAsia="仿宋" w:cs="仿宋"/>
          <w:color w:val="auto"/>
          <w:szCs w:val="24"/>
          <w:highlight w:val="none"/>
        </w:rPr>
        <w:t>8.</w:t>
      </w:r>
      <w:r>
        <w:rPr>
          <w:rFonts w:hint="eastAsia" w:ascii="仿宋" w:hAnsi="仿宋" w:eastAsia="仿宋" w:cs="仿宋"/>
          <w:color w:val="auto"/>
          <w:szCs w:val="24"/>
          <w:highlight w:val="none"/>
        </w:rPr>
        <w:t>按照以人为本原则关心职工，严格遵守《劳动法》、《劳动合同法》等劳动法规，保障职工合法权益，不得采用劳务派遣的用工形式。认真贯彻杭政办《浙江省人民政府办公厅关于进一步改善环卫工人工作生活条件</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促进环卫事业持续健康发展的若干意见》（浙政办发〔</w:t>
      </w:r>
      <w:r>
        <w:rPr>
          <w:rFonts w:ascii="仿宋" w:hAnsi="仿宋" w:eastAsia="仿宋" w:cs="仿宋"/>
          <w:color w:val="auto"/>
          <w:szCs w:val="24"/>
          <w:highlight w:val="none"/>
        </w:rPr>
        <w:t>2009</w:t>
      </w:r>
      <w:r>
        <w:rPr>
          <w:rFonts w:hint="eastAsia" w:ascii="仿宋" w:hAnsi="仿宋" w:eastAsia="仿宋" w:cs="仿宋"/>
          <w:color w:val="auto"/>
          <w:szCs w:val="24"/>
          <w:highlight w:val="none"/>
        </w:rPr>
        <w:t>〕</w:t>
      </w:r>
      <w:r>
        <w:rPr>
          <w:rFonts w:ascii="仿宋" w:hAnsi="仿宋" w:eastAsia="仿宋" w:cs="仿宋"/>
          <w:color w:val="auto"/>
          <w:szCs w:val="24"/>
          <w:highlight w:val="none"/>
        </w:rPr>
        <w:t>190</w:t>
      </w:r>
      <w:r>
        <w:rPr>
          <w:rFonts w:hint="eastAsia" w:ascii="仿宋" w:hAnsi="仿宋" w:eastAsia="仿宋" w:cs="仿宋"/>
          <w:color w:val="auto"/>
          <w:szCs w:val="24"/>
          <w:highlight w:val="none"/>
        </w:rPr>
        <w:t>号）和《杭州市人民政府办公厅关于进一步解决环卫工人实际困难</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保障其合法权益的意见》（〔</w:t>
      </w:r>
      <w:r>
        <w:rPr>
          <w:rFonts w:ascii="仿宋" w:hAnsi="仿宋" w:eastAsia="仿宋" w:cs="仿宋"/>
          <w:color w:val="auto"/>
          <w:szCs w:val="24"/>
          <w:highlight w:val="none"/>
        </w:rPr>
        <w:t>2008</w:t>
      </w:r>
      <w:r>
        <w:rPr>
          <w:rFonts w:hint="eastAsia" w:ascii="仿宋" w:hAnsi="仿宋" w:eastAsia="仿宋" w:cs="仿宋"/>
          <w:color w:val="auto"/>
          <w:szCs w:val="24"/>
          <w:highlight w:val="none"/>
        </w:rPr>
        <w:t>〕</w:t>
      </w:r>
      <w:r>
        <w:rPr>
          <w:rFonts w:ascii="仿宋" w:hAnsi="仿宋" w:eastAsia="仿宋" w:cs="仿宋"/>
          <w:color w:val="auto"/>
          <w:szCs w:val="24"/>
          <w:highlight w:val="none"/>
        </w:rPr>
        <w:t>14</w:t>
      </w:r>
      <w:r>
        <w:rPr>
          <w:rFonts w:hint="eastAsia" w:ascii="仿宋" w:hAnsi="仿宋" w:eastAsia="仿宋" w:cs="仿宋"/>
          <w:color w:val="auto"/>
          <w:szCs w:val="24"/>
          <w:highlight w:val="none"/>
        </w:rPr>
        <w:t>号）文件精神，保洁人员工资不得低于浙政办发〔</w:t>
      </w:r>
      <w:r>
        <w:rPr>
          <w:rFonts w:ascii="仿宋" w:hAnsi="仿宋" w:eastAsia="仿宋" w:cs="仿宋"/>
          <w:color w:val="auto"/>
          <w:szCs w:val="24"/>
          <w:highlight w:val="none"/>
        </w:rPr>
        <w:t>2009</w:t>
      </w:r>
      <w:r>
        <w:rPr>
          <w:rFonts w:hint="eastAsia" w:ascii="仿宋" w:hAnsi="仿宋" w:eastAsia="仿宋" w:cs="仿宋"/>
          <w:color w:val="auto"/>
          <w:szCs w:val="24"/>
          <w:highlight w:val="none"/>
        </w:rPr>
        <w:t>〕</w:t>
      </w:r>
      <w:r>
        <w:rPr>
          <w:rFonts w:ascii="仿宋" w:hAnsi="仿宋" w:eastAsia="仿宋" w:cs="仿宋"/>
          <w:color w:val="auto"/>
          <w:szCs w:val="24"/>
          <w:highlight w:val="none"/>
        </w:rPr>
        <w:t>190</w:t>
      </w:r>
      <w:r>
        <w:rPr>
          <w:rFonts w:hint="eastAsia" w:ascii="仿宋" w:hAnsi="仿宋" w:eastAsia="仿宋" w:cs="仿宋"/>
          <w:color w:val="auto"/>
          <w:szCs w:val="24"/>
          <w:highlight w:val="none"/>
        </w:rPr>
        <w:t>号和杭政办〔</w:t>
      </w:r>
      <w:r>
        <w:rPr>
          <w:rFonts w:ascii="仿宋" w:hAnsi="仿宋" w:eastAsia="仿宋" w:cs="仿宋"/>
          <w:color w:val="auto"/>
          <w:szCs w:val="24"/>
          <w:highlight w:val="none"/>
        </w:rPr>
        <w:t>2008</w:t>
      </w:r>
      <w:r>
        <w:rPr>
          <w:rFonts w:hint="eastAsia" w:ascii="仿宋" w:hAnsi="仿宋" w:eastAsia="仿宋" w:cs="仿宋"/>
          <w:color w:val="auto"/>
          <w:szCs w:val="24"/>
          <w:highlight w:val="none"/>
        </w:rPr>
        <w:t>〕</w:t>
      </w:r>
      <w:r>
        <w:rPr>
          <w:rFonts w:ascii="仿宋" w:hAnsi="仿宋" w:eastAsia="仿宋" w:cs="仿宋"/>
          <w:color w:val="auto"/>
          <w:szCs w:val="24"/>
          <w:highlight w:val="none"/>
        </w:rPr>
        <w:t>14</w:t>
      </w:r>
      <w:r>
        <w:rPr>
          <w:rFonts w:hint="eastAsia" w:ascii="仿宋" w:hAnsi="仿宋" w:eastAsia="仿宋" w:cs="仿宋"/>
          <w:color w:val="auto"/>
          <w:szCs w:val="24"/>
          <w:highlight w:val="none"/>
        </w:rPr>
        <w:t>号文件规定的工资标准，必须落实职工劳保福利待遇，为职工缴纳社会保险费（养老保险、医疗保险、失业保险、工伤保险和生育保险）与住房公积金，“五金一险”须在杭州本地缴纳，保障职工休息休假权利，加班必须足额支付加班费，环卫职工的工资、岗位津贴、加班工资等必须确保按月发放。如因违法、违规造成上访或群体性事件的，由中标单位负责处理，并作警告处理。</w:t>
      </w:r>
    </w:p>
    <w:p>
      <w:pPr>
        <w:pStyle w:val="129"/>
        <w:spacing w:before="0"/>
        <w:ind w:firstLine="480"/>
        <w:rPr>
          <w:rFonts w:ascii="仿宋" w:hAnsi="仿宋" w:eastAsia="仿宋" w:cs="仿宋"/>
          <w:color w:val="auto"/>
          <w:szCs w:val="24"/>
          <w:highlight w:val="none"/>
        </w:rPr>
      </w:pPr>
      <w:r>
        <w:rPr>
          <w:rFonts w:ascii="仿宋" w:hAnsi="仿宋" w:eastAsia="仿宋" w:cs="仿宋"/>
          <w:color w:val="auto"/>
          <w:szCs w:val="24"/>
          <w:highlight w:val="none"/>
        </w:rPr>
        <w:t>9.</w:t>
      </w:r>
      <w:r>
        <w:rPr>
          <w:rFonts w:hint="eastAsia" w:ascii="仿宋" w:hAnsi="仿宋" w:eastAsia="仿宋" w:cs="仿宋"/>
          <w:color w:val="auto"/>
          <w:szCs w:val="24"/>
          <w:highlight w:val="none"/>
        </w:rPr>
        <w:t>建有工会组织，定期召开职工大会。应制定宣贯方案，确定宣贯人员，定时组织环卫行业政策法规的宣贯，做到上情下达、下情上达，保持职工队伍稳定。</w:t>
      </w:r>
    </w:p>
    <w:p>
      <w:pPr>
        <w:pStyle w:val="129"/>
        <w:spacing w:before="0"/>
        <w:ind w:firstLine="480"/>
        <w:rPr>
          <w:rFonts w:ascii="仿宋" w:hAnsi="仿宋" w:eastAsia="仿宋" w:cs="仿宋"/>
          <w:b/>
          <w:color w:val="auto"/>
          <w:szCs w:val="24"/>
          <w:highlight w:val="none"/>
        </w:rPr>
      </w:pPr>
      <w:r>
        <w:rPr>
          <w:rFonts w:ascii="仿宋" w:hAnsi="仿宋" w:eastAsia="仿宋" w:cs="仿宋"/>
          <w:color w:val="auto"/>
          <w:szCs w:val="24"/>
          <w:highlight w:val="none"/>
        </w:rPr>
        <w:t>10.</w:t>
      </w:r>
      <w:r>
        <w:rPr>
          <w:rFonts w:hint="eastAsia" w:ascii="仿宋" w:hAnsi="仿宋" w:eastAsia="仿宋" w:cs="仿宋"/>
          <w:color w:val="auto"/>
          <w:szCs w:val="24"/>
          <w:highlight w:val="none"/>
        </w:rPr>
        <w:t>为提升作业队伍形象，作业人员服装（含帽子、雨披、雨鞋等）按照《杭州市环卫作业队伍规范》（杭城管〔</w:t>
      </w:r>
      <w:r>
        <w:rPr>
          <w:rFonts w:ascii="仿宋" w:hAnsi="仿宋" w:eastAsia="仿宋" w:cs="仿宋"/>
          <w:color w:val="auto"/>
          <w:szCs w:val="24"/>
          <w:highlight w:val="none"/>
        </w:rPr>
        <w:t>2013</w:t>
      </w:r>
      <w:r>
        <w:rPr>
          <w:rFonts w:hint="eastAsia" w:ascii="仿宋" w:hAnsi="仿宋" w:eastAsia="仿宋" w:cs="仿宋"/>
          <w:color w:val="auto"/>
          <w:szCs w:val="24"/>
          <w:highlight w:val="none"/>
        </w:rPr>
        <w:t>〕</w:t>
      </w:r>
      <w:r>
        <w:rPr>
          <w:rFonts w:ascii="仿宋" w:hAnsi="仿宋" w:eastAsia="仿宋" w:cs="仿宋"/>
          <w:color w:val="auto"/>
          <w:szCs w:val="24"/>
          <w:highlight w:val="none"/>
        </w:rPr>
        <w:t>67</w:t>
      </w:r>
      <w:r>
        <w:rPr>
          <w:rFonts w:hint="eastAsia" w:ascii="仿宋" w:hAnsi="仿宋" w:eastAsia="仿宋" w:cs="仿宋"/>
          <w:color w:val="auto"/>
          <w:szCs w:val="24"/>
          <w:highlight w:val="none"/>
        </w:rPr>
        <w:t>号）要求进行采购，费用由中标单位列支。</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十三、安全生产</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为确保安全、文明施工，应该本着“安全第一，预防为主”的原则，建立安全管理组织体系；严格贯彻国家、省、市和劳动保护、安全生产部门颁发的有关安全生产、消防工作的方针、政策、法规、条例、规定等执行。</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合同期间，由于乙方安全措施不力、养护工作不到位、违反安全操作规程而导致责任事故或伤害，所发生的费用均由乙方自负，甲方保留追究责任的权利。</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十四、合同组成</w:t>
      </w:r>
      <w:r>
        <w:rPr>
          <w:rFonts w:ascii="仿宋" w:hAnsi="仿宋" w:eastAsia="仿宋" w:cs="仿宋"/>
          <w:b/>
          <w:color w:val="auto"/>
          <w:sz w:val="24"/>
          <w:highlight w:val="none"/>
        </w:rPr>
        <w:t> </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《招标文件》、《投标文件》、《中标通知书》及附件为本合同的有效组成部分，具有同等法律效力。</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十五、争议的解决</w:t>
      </w:r>
      <w:r>
        <w:rPr>
          <w:rFonts w:ascii="仿宋" w:hAnsi="仿宋" w:eastAsia="仿宋" w:cs="仿宋"/>
          <w:b/>
          <w:color w:val="auto"/>
          <w:sz w:val="24"/>
          <w:highlight w:val="none"/>
        </w:rPr>
        <w:t> </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合同未尽事宜，双方协商解决。协商不成，任何一方有权向甲方所在地人民法院起诉，诉讼费用、律师费用由败诉方负担。</w:t>
      </w:r>
    </w:p>
    <w:p>
      <w:pPr>
        <w:adjustRightInd w:val="0"/>
        <w:snapToGrid w:val="0"/>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十六、其他</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合同履行期内甲乙双方均不得随意变更或解除合同。合同若有未尽事宜需经双方共同协商，作出补充规定，补充规定与本合同有同等法律效力。本合同一式肆份，双方各执贰份。</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本合同如遇不可抗拒的原因无法继续履行时，即自然终止，双方自行承担各自损失。</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本合同如发生纠纷，甲、乙双方应当及时协商解决，如协商不成，按《中华人民共和国政府采购法》的规定处理。</w:t>
      </w:r>
    </w:p>
    <w:p>
      <w:pPr>
        <w:adjustRightInd w:val="0"/>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实行现状移交，乙方应无理由接收道路保洁养护管理。</w:t>
      </w:r>
    </w:p>
    <w:p>
      <w:pPr>
        <w:spacing w:line="360" w:lineRule="auto"/>
        <w:ind w:firstLine="480" w:firstLineChars="200"/>
        <w:rPr>
          <w:rFonts w:ascii="仿宋" w:hAnsi="仿宋" w:eastAsia="仿宋" w:cs="仿宋"/>
          <w:color w:val="auto"/>
          <w:sz w:val="24"/>
          <w:highlight w:val="none"/>
        </w:rPr>
      </w:pPr>
    </w:p>
    <w:p>
      <w:pPr>
        <w:adjustRightInd w:val="0"/>
        <w:snapToGrid w:val="0"/>
        <w:spacing w:line="360" w:lineRule="auto"/>
        <w:rPr>
          <w:rFonts w:ascii="仿宋" w:hAnsi="仿宋" w:eastAsia="仿宋" w:cs="仿宋"/>
          <w:color w:val="auto"/>
          <w:sz w:val="24"/>
          <w:highlight w:val="none"/>
        </w:rPr>
      </w:pPr>
    </w:p>
    <w:p>
      <w:pPr>
        <w:adjustRightInd w:val="0"/>
        <w:snapToGrid w:val="0"/>
        <w:spacing w:line="360" w:lineRule="auto"/>
        <w:rPr>
          <w:rFonts w:ascii="仿宋" w:hAnsi="仿宋" w:eastAsia="仿宋" w:cs="仿宋"/>
          <w:color w:val="auto"/>
          <w:sz w:val="24"/>
          <w:highlight w:val="none"/>
        </w:rPr>
      </w:pP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cs="仿宋"/>
          <w:color w:val="auto"/>
          <w:sz w:val="24"/>
          <w:highlight w:val="none"/>
          <w:lang w:val="en-US" w:eastAsia="zh-CN"/>
        </w:rPr>
        <w:t>甲方</w:t>
      </w:r>
      <w:r>
        <w:rPr>
          <w:rFonts w:hint="eastAsia" w:ascii="仿宋" w:hAnsi="仿宋" w:eastAsia="仿宋" w:cs="仿宋"/>
          <w:color w:val="auto"/>
          <w:sz w:val="24"/>
          <w:highlight w:val="none"/>
        </w:rPr>
        <w:t>名称：</w:t>
      </w:r>
      <w:r>
        <w:rPr>
          <w:rFonts w:ascii="仿宋" w:hAnsi="仿宋" w:eastAsia="仿宋" w:cs="仿宋"/>
          <w:color w:val="auto"/>
          <w:sz w:val="24"/>
          <w:highlight w:val="none"/>
        </w:rPr>
        <w:t xml:space="preserve">                              </w:t>
      </w:r>
      <w:r>
        <w:rPr>
          <w:rFonts w:hint="eastAsia" w:ascii="仿宋" w:hAnsi="仿宋" w:cs="仿宋"/>
          <w:color w:val="auto"/>
          <w:sz w:val="24"/>
          <w:highlight w:val="none"/>
          <w:lang w:val="en-US" w:eastAsia="zh-CN"/>
        </w:rPr>
        <w:t>乙方</w:t>
      </w:r>
      <w:r>
        <w:rPr>
          <w:rFonts w:hint="eastAsia" w:ascii="仿宋" w:hAnsi="仿宋" w:eastAsia="仿宋" w:cs="仿宋"/>
          <w:color w:val="auto"/>
          <w:sz w:val="24"/>
          <w:highlight w:val="none"/>
        </w:rPr>
        <w:t>名称：</w:t>
      </w:r>
      <w:r>
        <w:rPr>
          <w:rFonts w:ascii="仿宋" w:hAnsi="仿宋" w:eastAsia="仿宋" w:cs="仿宋"/>
          <w:color w:val="auto"/>
          <w:sz w:val="24"/>
          <w:highlight w:val="none"/>
        </w:rPr>
        <w:t xml:space="preserve"> </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（盖章）</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（盖章）</w:t>
      </w:r>
    </w:p>
    <w:p>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法定代表人盖章：</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法定代表人盖章：</w:t>
      </w:r>
    </w:p>
    <w:p>
      <w:pPr>
        <w:adjustRightInd w:val="0"/>
        <w:snapToGrid w:val="0"/>
        <w:spacing w:line="360" w:lineRule="auto"/>
        <w:ind w:firstLine="480" w:firstLineChars="200"/>
        <w:rPr>
          <w:rFonts w:ascii="仿宋" w:hAnsi="仿宋" w:eastAsia="仿宋" w:cs="仿宋"/>
          <w:color w:val="auto"/>
          <w:sz w:val="24"/>
          <w:highlight w:val="none"/>
        </w:rPr>
      </w:pPr>
    </w:p>
    <w:p>
      <w:pPr>
        <w:adjustRightInd w:val="0"/>
        <w:snapToGrid w:val="0"/>
        <w:spacing w:line="360" w:lineRule="auto"/>
        <w:ind w:firstLine="480" w:firstLineChars="200"/>
        <w:rPr>
          <w:rFonts w:ascii="仿宋" w:hAnsi="仿宋" w:eastAsia="仿宋" w:cs="仿宋"/>
          <w:color w:val="auto"/>
          <w:sz w:val="24"/>
          <w:highlight w:val="none"/>
        </w:rPr>
      </w:pPr>
    </w:p>
    <w:p>
      <w:pPr>
        <w:snapToGrid w:val="0"/>
        <w:spacing w:line="360" w:lineRule="auto"/>
        <w:ind w:firstLine="480"/>
        <w:rPr>
          <w:rFonts w:ascii="仿宋" w:hAnsi="仿宋" w:eastAsia="仿宋" w:cs="宋体"/>
          <w:iCs/>
          <w:color w:val="auto"/>
          <w:sz w:val="24"/>
          <w:highlight w:val="none"/>
        </w:rPr>
      </w:pPr>
      <w:r>
        <w:rPr>
          <w:rFonts w:hint="eastAsia" w:ascii="仿宋" w:hAnsi="仿宋" w:eastAsia="仿宋" w:cs="仿宋"/>
          <w:color w:val="auto"/>
          <w:sz w:val="24"/>
          <w:highlight w:val="none"/>
        </w:rPr>
        <w:t>签订时间：</w:t>
      </w:r>
      <w:r>
        <w:rPr>
          <w:rFonts w:ascii="仿宋" w:hAnsi="仿宋" w:eastAsia="仿宋" w:cs="仿宋"/>
          <w:color w:val="auto"/>
          <w:sz w:val="24"/>
          <w:highlight w:val="none"/>
        </w:rPr>
        <w:t xml:space="preserve">                    </w:t>
      </w:r>
      <w:r>
        <w:rPr>
          <w:rFonts w:hint="eastAsia" w:ascii="仿宋" w:hAnsi="仿宋" w:cs="仿宋"/>
          <w:color w:val="auto"/>
          <w:sz w:val="24"/>
          <w:highlight w:val="none"/>
          <w:lang w:val="en-US" w:eastAsia="zh-CN"/>
        </w:rPr>
        <w:t xml:space="preserve">           </w:t>
      </w:r>
      <w:r>
        <w:rPr>
          <w:rFonts w:hint="eastAsia" w:ascii="仿宋" w:hAnsi="仿宋" w:eastAsia="仿宋" w:cs="仿宋"/>
          <w:color w:val="auto"/>
          <w:sz w:val="24"/>
          <w:highlight w:val="none"/>
        </w:rPr>
        <w:t>签订地点：</w:t>
      </w:r>
      <w:r>
        <w:rPr>
          <w:rFonts w:ascii="仿宋" w:hAnsi="仿宋" w:eastAsia="仿宋" w:cs="宋体"/>
          <w:iCs/>
          <w:color w:val="auto"/>
          <w:sz w:val="24"/>
          <w:highlight w:val="none"/>
        </w:rPr>
        <w:t xml:space="preserve"> </w:t>
      </w:r>
    </w:p>
    <w:p>
      <w:pPr>
        <w:spacing w:line="360" w:lineRule="auto"/>
        <w:ind w:left="-480" w:leftChars="-200" w:right="-480" w:rightChars="-200" w:firstLine="480" w:firstLineChars="200"/>
        <w:rPr>
          <w:rFonts w:ascii="仿宋" w:hAnsi="仿宋" w:eastAsia="仿宋"/>
          <w:color w:val="auto"/>
          <w:sz w:val="24"/>
          <w:highlight w:val="none"/>
        </w:rPr>
      </w:pPr>
    </w:p>
    <w:p>
      <w:pPr>
        <w:spacing w:line="360" w:lineRule="auto"/>
        <w:ind w:left="-480" w:leftChars="-200" w:right="-480" w:rightChars="-200"/>
        <w:rPr>
          <w:rFonts w:ascii="仿宋" w:hAnsi="仿宋" w:eastAsia="仿宋"/>
          <w:color w:val="auto"/>
          <w:sz w:val="24"/>
          <w:highlight w:val="none"/>
        </w:rPr>
      </w:pPr>
    </w:p>
    <w:p>
      <w:pPr>
        <w:rPr>
          <w:rFonts w:ascii="仿宋" w:hAnsi="仿宋" w:eastAsia="仿宋"/>
          <w:color w:val="auto"/>
          <w:sz w:val="24"/>
          <w:highlight w:val="none"/>
        </w:rPr>
      </w:pPr>
      <w:r>
        <w:rPr>
          <w:rFonts w:ascii="仿宋" w:hAnsi="仿宋" w:eastAsia="仿宋"/>
          <w:color w:val="auto"/>
          <w:sz w:val="24"/>
          <w:highlight w:val="none"/>
        </w:rPr>
        <w:br w:type="page"/>
      </w:r>
    </w:p>
    <w:p>
      <w:pPr>
        <w:pStyle w:val="45"/>
        <w:rPr>
          <w:color w:val="auto"/>
          <w:highlight w:val="none"/>
        </w:rPr>
      </w:pPr>
    </w:p>
    <w:p>
      <w:pPr>
        <w:spacing w:line="360" w:lineRule="auto"/>
        <w:ind w:left="-480" w:leftChars="-200" w:right="-480" w:rightChars="-200" w:firstLine="480" w:firstLineChars="200"/>
        <w:jc w:val="center"/>
        <w:outlineLvl w:val="0"/>
        <w:rPr>
          <w:rFonts w:ascii="仿宋" w:hAnsi="仿宋" w:eastAsia="仿宋"/>
          <w:color w:val="auto"/>
          <w:sz w:val="24"/>
          <w:highlight w:val="none"/>
        </w:rPr>
      </w:pPr>
    </w:p>
    <w:p>
      <w:pPr>
        <w:spacing w:line="360" w:lineRule="auto"/>
        <w:ind w:left="720" w:firstLine="723" w:firstLineChars="200"/>
        <w:outlineLvl w:val="0"/>
        <w:rPr>
          <w:rFonts w:ascii="仿宋" w:hAnsi="仿宋" w:eastAsia="仿宋" w:cs="仿宋_GB2312"/>
          <w:b/>
          <w:color w:val="auto"/>
          <w:sz w:val="36"/>
          <w:szCs w:val="20"/>
          <w:highlight w:val="none"/>
        </w:rPr>
      </w:pPr>
      <w:r>
        <w:rPr>
          <w:rFonts w:hint="eastAsia" w:ascii="仿宋" w:hAnsi="仿宋" w:eastAsia="仿宋" w:cs="仿宋_GB2312"/>
          <w:b/>
          <w:color w:val="auto"/>
          <w:sz w:val="36"/>
          <w:szCs w:val="20"/>
          <w:highlight w:val="none"/>
        </w:rPr>
        <w:t>第六部分</w:t>
      </w:r>
      <w:bookmarkEnd w:id="392"/>
      <w:r>
        <w:rPr>
          <w:rFonts w:ascii="仿宋" w:hAnsi="仿宋" w:eastAsia="仿宋" w:cs="仿宋_GB2312"/>
          <w:b/>
          <w:color w:val="auto"/>
          <w:sz w:val="36"/>
          <w:szCs w:val="20"/>
          <w:highlight w:val="none"/>
        </w:rPr>
        <w:t xml:space="preserve"> </w:t>
      </w:r>
      <w:bookmarkEnd w:id="393"/>
      <w:r>
        <w:rPr>
          <w:rFonts w:hint="eastAsia" w:ascii="仿宋" w:hAnsi="仿宋" w:eastAsia="仿宋" w:cs="仿宋_GB2312"/>
          <w:b/>
          <w:color w:val="auto"/>
          <w:sz w:val="36"/>
          <w:szCs w:val="20"/>
          <w:highlight w:val="none"/>
        </w:rPr>
        <w:t>应提交的有关格式范例</w:t>
      </w:r>
    </w:p>
    <w:p>
      <w:pPr>
        <w:spacing w:line="360" w:lineRule="auto"/>
        <w:jc w:val="center"/>
        <w:outlineLvl w:val="0"/>
        <w:rPr>
          <w:rFonts w:ascii="仿宋_GB2312" w:hAnsi="仿宋" w:eastAsia="仿宋_GB2312" w:cs="仿宋_GB2312"/>
          <w:b/>
          <w:color w:val="auto"/>
          <w:kern w:val="0"/>
          <w:sz w:val="36"/>
          <w:szCs w:val="36"/>
          <w:highlight w:val="none"/>
        </w:rPr>
      </w:pPr>
    </w:p>
    <w:p>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资格文件部分</w:t>
      </w:r>
    </w:p>
    <w:p>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目录</w:t>
      </w:r>
    </w:p>
    <w:p>
      <w:pPr>
        <w:spacing w:line="360" w:lineRule="auto"/>
        <w:jc w:val="center"/>
        <w:outlineLvl w:val="0"/>
        <w:rPr>
          <w:rFonts w:ascii="仿宋_GB2312" w:hAnsi="仿宋" w:eastAsia="仿宋_GB2312" w:cs="仿宋_GB2312"/>
          <w:b/>
          <w:color w:val="auto"/>
          <w:kern w:val="0"/>
          <w:sz w:val="36"/>
          <w:szCs w:val="36"/>
          <w:highlight w:val="none"/>
        </w:rPr>
      </w:pP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1）符合参加政府采购活动应当具备的一般条件的承诺函……</w:t>
      </w:r>
      <w:r>
        <w:rPr>
          <w:rFonts w:hint="eastAsia" w:ascii="仿宋_GB2312" w:hAnsi="仿宋" w:eastAsia="仿宋_GB2312" w:cs="仿宋_GB2312"/>
          <w:color w:val="auto"/>
          <w:sz w:val="24"/>
          <w:highlight w:val="none"/>
        </w:rPr>
        <w:t>………（页码）</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2）落实政府采购政策需满足的资格要求……</w:t>
      </w:r>
      <w:r>
        <w:rPr>
          <w:rFonts w:hint="eastAsia" w:ascii="仿宋_GB2312" w:hAnsi="仿宋" w:eastAsia="仿宋_GB2312" w:cs="仿宋_GB2312"/>
          <w:color w:val="auto"/>
          <w:sz w:val="24"/>
          <w:highlight w:val="none"/>
        </w:rPr>
        <w:t>…………………………（页码）</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3）本项目的特定资格要求……</w:t>
      </w:r>
      <w:r>
        <w:rPr>
          <w:rFonts w:hint="eastAsia" w:ascii="仿宋_GB2312" w:hAnsi="仿宋" w:eastAsia="仿宋_GB2312" w:cs="仿宋_GB2312"/>
          <w:color w:val="auto"/>
          <w:sz w:val="24"/>
          <w:highlight w:val="none"/>
        </w:rPr>
        <w:t>…………………………………………（页码）</w:t>
      </w:r>
    </w:p>
    <w:p>
      <w:pPr>
        <w:snapToGrid w:val="0"/>
        <w:spacing w:line="360" w:lineRule="auto"/>
        <w:ind w:firstLine="480" w:firstLineChars="200"/>
        <w:rPr>
          <w:rFonts w:ascii="仿宋_GB2312" w:hAnsi="仿宋" w:eastAsia="仿宋_GB2312" w:cs="仿宋_GB2312"/>
          <w:color w:val="auto"/>
          <w:sz w:val="24"/>
          <w:highlight w:val="none"/>
        </w:rPr>
      </w:pPr>
    </w:p>
    <w:p>
      <w:pPr>
        <w:spacing w:line="360" w:lineRule="auto"/>
        <w:ind w:firstLine="480" w:firstLineChars="200"/>
        <w:rPr>
          <w:rFonts w:ascii="仿宋_GB2312" w:hAnsi="仿宋" w:eastAsia="仿宋_GB2312" w:cs="仿宋_GB2312"/>
          <w:color w:val="auto"/>
          <w:sz w:val="24"/>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r>
        <w:rPr>
          <w:rFonts w:ascii="仿宋_GB2312" w:hAnsi="仿宋" w:eastAsia="仿宋_GB2312" w:cs="仿宋_GB2312"/>
          <w:color w:val="auto"/>
          <w:kern w:val="0"/>
          <w:sz w:val="24"/>
          <w:highlight w:val="none"/>
        </w:rPr>
        <w:br w:type="page"/>
      </w:r>
      <w:r>
        <w:rPr>
          <w:rFonts w:ascii="仿宋_GB2312" w:hAnsi="仿宋" w:eastAsia="仿宋_GB2312" w:cs="仿宋_GB2312"/>
          <w:b/>
          <w:color w:val="auto"/>
          <w:kern w:val="0"/>
          <w:sz w:val="32"/>
          <w:szCs w:val="32"/>
          <w:highlight w:val="none"/>
        </w:rPr>
        <w:t xml:space="preserve">  一、 符合参加政府采购活动应当具备的一般条件的承诺函</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（采购人）、（采购代理机构）：</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我方参与（项目名称）【招标编号：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】政府采购活动，郑重承诺：</w:t>
      </w:r>
    </w:p>
    <w:p>
      <w:pPr>
        <w:snapToGrid w:val="0"/>
        <w:spacing w:line="360" w:lineRule="auto"/>
        <w:ind w:firstLine="360" w:firstLineChars="15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r>
        <w:rPr>
          <w:rFonts w:ascii="仿宋_GB2312" w:hAnsi="仿宋" w:eastAsia="仿宋_GB2312" w:cs="仿宋_GB2312"/>
          <w:color w:val="auto"/>
          <w:sz w:val="24"/>
          <w:highlight w:val="none"/>
        </w:rPr>
        <w:t>具有独立承担民事责任的能力；</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w:t>
      </w:r>
      <w:r>
        <w:rPr>
          <w:rFonts w:ascii="仿宋_GB2312" w:hAnsi="仿宋" w:eastAsia="仿宋_GB2312"/>
          <w:color w:val="auto"/>
          <w:sz w:val="24"/>
          <w:highlight w:val="none"/>
        </w:rPr>
        <w:t xml:space="preserve">具有良好的商业信誉和健全的财务会计制度； </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w:t>
      </w:r>
      <w:r>
        <w:rPr>
          <w:rFonts w:ascii="仿宋_GB2312" w:hAnsi="仿宋" w:eastAsia="仿宋_GB2312"/>
          <w:color w:val="auto"/>
          <w:sz w:val="24"/>
          <w:highlight w:val="none"/>
        </w:rPr>
        <w:t>具有履行合同所必需的设备和专业技术能力；</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ascii="仿宋_GB2312" w:hAnsi="仿宋" w:eastAsia="仿宋_GB2312"/>
          <w:color w:val="auto"/>
          <w:sz w:val="24"/>
          <w:highlight w:val="none"/>
        </w:rPr>
        <w:t>有依法缴纳税收和社会保障资金的良好记录；</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w:t>
      </w:r>
      <w:r>
        <w:rPr>
          <w:rFonts w:ascii="仿宋_GB2312" w:hAnsi="仿宋" w:eastAsia="仿宋_GB2312"/>
          <w:color w:val="auto"/>
          <w:sz w:val="24"/>
          <w:highlight w:val="none"/>
        </w:rPr>
        <w:t>参加政府采购活动前三年内，在经营活动中没有重大违法记录；</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w:t>
      </w:r>
      <w:r>
        <w:rPr>
          <w:rFonts w:ascii="仿宋_GB2312" w:hAnsi="仿宋" w:eastAsia="仿宋_GB2312"/>
          <w:color w:val="auto"/>
          <w:sz w:val="24"/>
          <w:highlight w:val="none"/>
        </w:rPr>
        <w:t>具有法律、行政法规规定的其他条件。</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（二）未被信用中国（</w:t>
      </w:r>
      <w:r>
        <w:rPr>
          <w:rFonts w:ascii="仿宋_GB2312" w:hAnsi="仿宋" w:eastAsia="仿宋_GB2312"/>
          <w:color w:val="auto"/>
          <w:sz w:val="24"/>
          <w:highlight w:val="none"/>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（三）不存在以下情况：</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r>
        <w:rPr>
          <w:rFonts w:ascii="仿宋_GB2312" w:hAnsi="仿宋" w:eastAsia="仿宋_GB2312" w:cs="仿宋_GB2312"/>
          <w:color w:val="auto"/>
          <w:sz w:val="24"/>
          <w:highlight w:val="none"/>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r>
        <w:rPr>
          <w:rFonts w:ascii="仿宋_GB2312" w:hAnsi="仿宋" w:eastAsia="仿宋_GB2312" w:cs="仿宋_GB2312"/>
          <w:color w:val="auto"/>
          <w:sz w:val="24"/>
          <w:highlight w:val="none"/>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w:t>
      </w:r>
      <w:r>
        <w:rPr>
          <w:rFonts w:ascii="仿宋_GB2312" w:hAnsi="仿宋" w:eastAsia="仿宋_GB2312" w:cs="仿宋_GB2312"/>
          <w:color w:val="auto"/>
          <w:kern w:val="0"/>
          <w:sz w:val="24"/>
          <w:highlight w:val="none"/>
          <w:lang w:val="zh-CN"/>
        </w:rPr>
        <w:t>(电子签名)：</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lang w:val="zh-CN"/>
        </w:rPr>
        <w:t xml:space="preserve">                        </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w:t>
      </w:r>
      <w:r>
        <w:rPr>
          <w:rFonts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rPr>
          <w:color w:val="auto"/>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二、落实政府采购政策需满足的资格要求</w:t>
      </w:r>
    </w:p>
    <w:p>
      <w:pPr>
        <w:spacing w:line="360" w:lineRule="auto"/>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（根据招标公告</w:t>
      </w:r>
      <w:r>
        <w:rPr>
          <w:rFonts w:hint="eastAsia" w:ascii="仿宋_GB2312" w:hAnsi="仿宋" w:eastAsia="仿宋_GB2312"/>
          <w:color w:val="auto"/>
          <w:sz w:val="24"/>
          <w:highlight w:val="none"/>
        </w:rPr>
        <w:t>落实政府采购政策需满足的资格要求选择提供相应的材料；未要求的，无需提供</w:t>
      </w:r>
      <w:r>
        <w:rPr>
          <w:rFonts w:hint="eastAsia" w:ascii="仿宋_GB2312" w:hAnsi="仿宋" w:eastAsia="仿宋_GB2312" w:cs="仿宋_GB2312"/>
          <w:color w:val="auto"/>
          <w:sz w:val="24"/>
          <w:highlight w:val="none"/>
        </w:rPr>
        <w:t>）</w:t>
      </w:r>
    </w:p>
    <w:p>
      <w:pPr>
        <w:snapToGrid w:val="0"/>
        <w:spacing w:before="50" w:after="50" w:line="360" w:lineRule="auto"/>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A</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color w:val="auto"/>
          <w:sz w:val="24"/>
          <w:highlight w:val="none"/>
        </w:rPr>
        <w:t>5</w:t>
      </w: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 xml:space="preserve"> </w:t>
      </w:r>
    </w:p>
    <w:p>
      <w:pPr>
        <w:widowControl/>
        <w:spacing w:line="360" w:lineRule="auto"/>
        <w:ind w:firstLine="480"/>
        <w:jc w:val="left"/>
        <w:rPr>
          <w:rFonts w:ascii="仿宋_GB2312" w:hAnsi="宋体" w:eastAsia="仿宋_GB2312"/>
          <w:color w:val="auto"/>
          <w:sz w:val="24"/>
          <w:highlight w:val="none"/>
        </w:rPr>
      </w:pPr>
    </w:p>
    <w:p>
      <w:pPr>
        <w:widowControl/>
        <w:spacing w:line="360" w:lineRule="auto"/>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B.</w:t>
      </w:r>
      <w:r>
        <w:rPr>
          <w:rFonts w:hint="eastAsia" w:ascii="仿宋_GB2312" w:hAnsi="仿宋" w:eastAsia="仿宋_GB2312" w:cs="仿宋_GB2312"/>
          <w:color w:val="auto"/>
          <w:sz w:val="24"/>
          <w:highlight w:val="none"/>
        </w:rPr>
        <w:t>要求以联合体形式参加的，提供联合协议和中小企业声明函（附件</w:t>
      </w:r>
      <w:r>
        <w:rPr>
          <w:rFonts w:ascii="仿宋_GB2312" w:hAnsi="仿宋" w:eastAsia="仿宋_GB2312" w:cs="仿宋_GB2312"/>
          <w:color w:val="auto"/>
          <w:sz w:val="24"/>
          <w:highlight w:val="none"/>
        </w:rPr>
        <w:t>5</w:t>
      </w:r>
      <w:r>
        <w:rPr>
          <w:rFonts w:hint="eastAsia" w:ascii="仿宋_GB2312" w:hAnsi="仿宋" w:eastAsia="仿宋_GB2312" w:cs="仿宋_GB2312"/>
          <w:color w:val="auto"/>
          <w:sz w:val="24"/>
          <w:highlight w:val="none"/>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cs="仿宋_GB2312"/>
          <w:b/>
          <w:color w:val="auto"/>
          <w:kern w:val="0"/>
          <w:sz w:val="32"/>
          <w:szCs w:val="32"/>
          <w:highlight w:val="none"/>
          <w:lang w:val="zh-CN"/>
        </w:rPr>
      </w:pPr>
      <w:r>
        <w:rPr>
          <w:rFonts w:ascii="仿宋_GB2312" w:hAnsi="仿宋" w:eastAsia="仿宋_GB2312" w:cs="仿宋_GB2312"/>
          <w:b/>
          <w:color w:val="auto"/>
          <w:sz w:val="24"/>
          <w:highlight w:val="none"/>
        </w:rPr>
        <w:t xml:space="preserve">    </w:t>
      </w:r>
      <w:r>
        <w:rPr>
          <w:rFonts w:hint="eastAsia" w:ascii="仿宋_GB2312" w:hAnsi="仿宋" w:eastAsia="仿宋_GB2312" w:cs="仿宋_GB2312"/>
          <w:b/>
          <w:color w:val="auto"/>
          <w:kern w:val="0"/>
          <w:sz w:val="32"/>
          <w:szCs w:val="32"/>
          <w:highlight w:val="none"/>
          <w:lang w:val="zh-CN"/>
        </w:rPr>
        <w:t>联合协议</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olor w:val="auto"/>
          <w:highlight w:val="none"/>
          <w:u w:val="single"/>
        </w:rPr>
        <w:t xml:space="preserve">             </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olor w:val="auto"/>
          <w:highlight w:val="none"/>
          <w:u w:val="single"/>
        </w:rPr>
        <w:t xml:space="preserve">            </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82" w:firstLineChars="200"/>
        <w:rPr>
          <w:rFonts w:ascii="仿宋" w:hAnsi="仿宋" w:eastAsia="仿宋"/>
          <w:color w:val="auto"/>
          <w:sz w:val="24"/>
          <w:highlight w:val="none"/>
        </w:rPr>
      </w:pPr>
      <w:r>
        <w:rPr>
          <w:rFonts w:ascii="仿宋_GB2312" w:hAnsi="仿宋" w:eastAsia="仿宋_GB2312" w:cs="仿宋_GB2312"/>
          <w:b/>
          <w:color w:val="auto"/>
          <w:sz w:val="24"/>
          <w:highlight w:val="none"/>
        </w:rPr>
        <w:t>C、</w:t>
      </w:r>
      <w:r>
        <w:rPr>
          <w:rFonts w:hint="eastAsia" w:ascii="仿宋_GB2312" w:hAnsi="仿宋" w:eastAsia="仿宋_GB2312" w:cs="仿宋_GB2312"/>
          <w:color w:val="auto"/>
          <w:sz w:val="24"/>
          <w:highlight w:val="none"/>
        </w:rPr>
        <w:t>要求合同分包的，提供分包意向协议和中小企业声明函（附件</w:t>
      </w:r>
      <w:r>
        <w:rPr>
          <w:rFonts w:ascii="仿宋_GB2312" w:hAnsi="仿宋" w:eastAsia="仿宋_GB2312" w:cs="仿宋_GB2312"/>
          <w:color w:val="auto"/>
          <w:sz w:val="24"/>
          <w:highlight w:val="none"/>
        </w:rPr>
        <w:t>5</w:t>
      </w:r>
      <w:r>
        <w:rPr>
          <w:rFonts w:hint="eastAsia" w:ascii="仿宋_GB2312" w:hAnsi="仿宋" w:eastAsia="仿宋_GB2312" w:cs="仿宋_GB2312"/>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br w:type="page"/>
      </w:r>
    </w:p>
    <w:p>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pStyle w:val="6"/>
        <w:ind w:left="758" w:leftChars="316" w:firstLine="229" w:firstLineChars="95"/>
        <w:rPr>
          <w:color w:val="auto"/>
          <w:highlight w:val="none"/>
        </w:rPr>
      </w:pPr>
      <w:r>
        <w:rPr>
          <w:rFonts w:hint="eastAsia" w:cs="仿宋_GB2312"/>
          <w:color w:val="auto"/>
          <w:kern w:val="0"/>
          <w:sz w:val="24"/>
          <w:szCs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655" w:leftChars="273"/>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left="655"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left="5861" w:leftChars="342" w:hanging="5040" w:hangingChars="2100"/>
        <w:rPr>
          <w:rFonts w:ascii="仿宋_GB2312" w:hAnsi="仿宋" w:eastAsia="仿宋_GB2312" w:cs="仿宋_GB2312"/>
          <w:color w:val="auto"/>
          <w:kern w:val="0"/>
          <w:sz w:val="24"/>
          <w:highlight w:val="none"/>
          <w:lang w:val="zh-CN"/>
        </w:rPr>
      </w:pP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w:t>
      </w:r>
      <w:r>
        <w:rPr>
          <w:rFonts w:ascii="仿宋_GB2312" w:hAnsi="仿宋" w:eastAsia="仿宋_GB2312" w:cs="仿宋_GB2312"/>
          <w:color w:val="auto"/>
          <w:kern w:val="0"/>
          <w:sz w:val="24"/>
          <w:highlight w:val="none"/>
          <w:lang w:val="zh-CN"/>
        </w:rPr>
        <w:t xml:space="preserve">  。                                           投标人名称(电子签名)：</w:t>
      </w:r>
    </w:p>
    <w:p>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widowControl/>
        <w:spacing w:line="360" w:lineRule="auto"/>
        <w:ind w:left="150"/>
        <w:jc w:val="center"/>
        <w:rPr>
          <w:rFonts w:ascii="仿宋_GB2312" w:hAnsi="仿宋" w:eastAsia="仿宋_GB2312" w:cs="仿宋_GB2312"/>
          <w:b/>
          <w:color w:val="auto"/>
          <w:kern w:val="0"/>
          <w:sz w:val="32"/>
          <w:szCs w:val="32"/>
          <w:highlight w:val="none"/>
        </w:rPr>
      </w:pPr>
    </w:p>
    <w:p>
      <w:pP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br w:type="page"/>
      </w:r>
    </w:p>
    <w:p>
      <w:pPr>
        <w:widowControl/>
        <w:spacing w:line="360" w:lineRule="auto"/>
        <w:ind w:left="15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三、本项目的特定资格要求</w:t>
      </w:r>
    </w:p>
    <w:p>
      <w:pPr>
        <w:spacing w:line="360" w:lineRule="auto"/>
        <w:jc w:val="center"/>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（根据招标公告本项目的特定资格要求</w:t>
      </w:r>
      <w:r>
        <w:rPr>
          <w:rFonts w:hint="eastAsia" w:ascii="仿宋_GB2312" w:hAnsi="仿宋" w:eastAsia="仿宋_GB2312"/>
          <w:color w:val="auto"/>
          <w:sz w:val="24"/>
          <w:highlight w:val="none"/>
        </w:rPr>
        <w:t>提供相应的材料；未要求的，无需提供</w:t>
      </w:r>
      <w:r>
        <w:rPr>
          <w:rFonts w:hint="eastAsia" w:ascii="仿宋_GB2312" w:hAnsi="仿宋" w:eastAsia="仿宋_GB2312" w:cs="仿宋_GB2312"/>
          <w:color w:val="auto"/>
          <w:sz w:val="24"/>
          <w:highlight w:val="none"/>
        </w:rPr>
        <w:t>）</w:t>
      </w:r>
    </w:p>
    <w:p>
      <w:pPr>
        <w:rPr>
          <w:color w:val="auto"/>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pacing w:line="360" w:lineRule="auto"/>
        <w:jc w:val="center"/>
        <w:outlineLvl w:val="0"/>
        <w:rPr>
          <w:rFonts w:ascii="仿宋_GB2312" w:hAnsi="仿宋" w:eastAsia="仿宋_GB2312" w:cs="仿宋_GB2312"/>
          <w:b/>
          <w:color w:val="auto"/>
          <w:kern w:val="0"/>
          <w:sz w:val="36"/>
          <w:szCs w:val="36"/>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pacing w:line="360" w:lineRule="auto"/>
        <w:jc w:val="center"/>
        <w:outlineLvl w:val="0"/>
        <w:rPr>
          <w:rFonts w:ascii="仿宋_GB2312" w:hAnsi="仿宋" w:eastAsia="仿宋_GB2312" w:cs="仿宋_GB2312"/>
          <w:b/>
          <w:color w:val="auto"/>
          <w:kern w:val="0"/>
          <w:sz w:val="36"/>
          <w:szCs w:val="36"/>
          <w:highlight w:val="none"/>
        </w:rPr>
      </w:pPr>
    </w:p>
    <w:p>
      <w:pPr>
        <w:snapToGrid w:val="0"/>
        <w:spacing w:line="360" w:lineRule="auto"/>
        <w:ind w:right="480"/>
        <w:jc w:val="center"/>
        <w:rPr>
          <w:rFonts w:ascii="仿宋_GB2312" w:hAnsi="仿宋" w:eastAsia="仿宋_GB2312" w:cs="仿宋_GB2312"/>
          <w:b/>
          <w:color w:val="auto"/>
          <w:kern w:val="0"/>
          <w:sz w:val="32"/>
          <w:szCs w:val="32"/>
          <w:highlight w:val="none"/>
        </w:rPr>
      </w:pPr>
    </w:p>
    <w:p>
      <w:pPr>
        <w:spacing w:line="360" w:lineRule="auto"/>
        <w:jc w:val="center"/>
        <w:outlineLvl w:val="0"/>
        <w:rPr>
          <w:rFonts w:ascii="仿宋_GB2312" w:hAnsi="仿宋" w:eastAsia="仿宋_GB2312" w:cs="仿宋_GB2312"/>
          <w:b/>
          <w:color w:val="auto"/>
          <w:kern w:val="0"/>
          <w:sz w:val="36"/>
          <w:szCs w:val="36"/>
          <w:highlight w:val="none"/>
        </w:rPr>
      </w:pPr>
    </w:p>
    <w:p>
      <w:pPr>
        <w:rPr>
          <w:rFonts w:hint="eastAsia"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br w:type="page"/>
      </w:r>
    </w:p>
    <w:p>
      <w:pPr>
        <w:spacing w:line="360" w:lineRule="auto"/>
        <w:ind w:right="420" w:firstLine="3614" w:firstLineChars="100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商务技术文件部分</w:t>
      </w:r>
    </w:p>
    <w:p>
      <w:pPr>
        <w:spacing w:line="360" w:lineRule="auto"/>
        <w:jc w:val="center"/>
        <w:outlineLvl w:val="0"/>
        <w:rPr>
          <w:rFonts w:ascii="仿宋_GB2312" w:hAnsi="仿宋" w:eastAsia="仿宋_GB2312" w:cs="仿宋_GB2312"/>
          <w:b/>
          <w:color w:val="auto"/>
          <w:kern w:val="0"/>
          <w:sz w:val="24"/>
          <w:highlight w:val="none"/>
        </w:rPr>
      </w:pPr>
    </w:p>
    <w:p>
      <w:pPr>
        <w:spacing w:line="360" w:lineRule="auto"/>
        <w:jc w:val="center"/>
        <w:outlineLvl w:val="0"/>
        <w:rPr>
          <w:rFonts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目录</w:t>
      </w:r>
    </w:p>
    <w:p>
      <w:pPr>
        <w:snapToGrid w:val="0"/>
        <w:spacing w:line="360" w:lineRule="auto"/>
        <w:jc w:val="both"/>
        <w:rPr>
          <w:rFonts w:hint="eastAsia"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1）投标函</w:t>
      </w:r>
      <w:r>
        <w:rPr>
          <w:rFonts w:hint="eastAsia" w:cs="仿宋_GB2312"/>
          <w:color w:val="auto"/>
          <w:highlight w:val="none"/>
        </w:rPr>
        <w:t>………………………………………………………………………（页码）</w:t>
      </w:r>
    </w:p>
    <w:p>
      <w:pPr>
        <w:snapToGrid w:val="0"/>
        <w:spacing w:line="360" w:lineRule="auto"/>
        <w:jc w:val="both"/>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2）授权委托书或法定代表人（单位负责人、自然人本人）身份证明</w:t>
      </w:r>
      <w:r>
        <w:rPr>
          <w:rFonts w:hint="eastAsia" w:cs="仿宋_GB2312"/>
          <w:color w:val="auto"/>
          <w:highlight w:val="none"/>
        </w:rPr>
        <w:t>……（页码）</w:t>
      </w:r>
    </w:p>
    <w:p>
      <w:pPr>
        <w:snapToGrid w:val="0"/>
        <w:spacing w:line="360" w:lineRule="auto"/>
        <w:jc w:val="both"/>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3）联合协议</w:t>
      </w:r>
      <w:r>
        <w:rPr>
          <w:rFonts w:hint="eastAsia" w:cs="仿宋_GB2312"/>
          <w:color w:val="auto"/>
          <w:highlight w:val="none"/>
        </w:rPr>
        <w:t>……………………………………………………………………（页码）</w:t>
      </w:r>
    </w:p>
    <w:p>
      <w:pPr>
        <w:snapToGrid w:val="0"/>
        <w:spacing w:line="360" w:lineRule="auto"/>
        <w:jc w:val="both"/>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4）分包意向协议</w:t>
      </w:r>
      <w:r>
        <w:rPr>
          <w:rFonts w:hint="eastAsia" w:cs="仿宋_GB2312"/>
          <w:color w:val="auto"/>
          <w:highlight w:val="none"/>
        </w:rPr>
        <w:t>………………………………………………………………（页码）</w:t>
      </w:r>
    </w:p>
    <w:p>
      <w:pPr>
        <w:snapToGrid w:val="0"/>
        <w:spacing w:line="360" w:lineRule="auto"/>
        <w:jc w:val="both"/>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5）符合性审查资料</w:t>
      </w:r>
      <w:r>
        <w:rPr>
          <w:rFonts w:hint="eastAsia" w:cs="仿宋_GB2312"/>
          <w:color w:val="auto"/>
          <w:highlight w:val="none"/>
        </w:rPr>
        <w:t>……………………………………………………………（页码）</w:t>
      </w:r>
    </w:p>
    <w:p>
      <w:pPr>
        <w:snapToGrid w:val="0"/>
        <w:spacing w:line="360" w:lineRule="auto"/>
        <w:jc w:val="both"/>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6）评标标准相应的商务技术资料</w:t>
      </w:r>
      <w:r>
        <w:rPr>
          <w:rFonts w:hint="eastAsia" w:cs="仿宋_GB2312"/>
          <w:color w:val="auto"/>
          <w:highlight w:val="none"/>
        </w:rPr>
        <w:t>…………………</w:t>
      </w:r>
      <w:r>
        <w:rPr>
          <w:rFonts w:hint="eastAsia" w:ascii="仿宋_GB2312" w:hAnsi="仿宋" w:eastAsia="仿宋_GB2312" w:cs="仿宋_GB2312"/>
          <w:color w:val="auto"/>
          <w:sz w:val="24"/>
          <w:highlight w:val="none"/>
        </w:rPr>
        <w:t>………</w:t>
      </w:r>
      <w:r>
        <w:rPr>
          <w:rFonts w:hint="eastAsia" w:cs="仿宋_GB2312"/>
          <w:color w:val="auto"/>
          <w:highlight w:val="none"/>
        </w:rPr>
        <w:t>…</w:t>
      </w:r>
      <w:r>
        <w:rPr>
          <w:rFonts w:hint="eastAsia" w:ascii="仿宋_GB2312" w:hAnsi="仿宋" w:eastAsia="仿宋_GB2312" w:cs="仿宋_GB2312"/>
          <w:color w:val="auto"/>
          <w:sz w:val="24"/>
          <w:highlight w:val="none"/>
        </w:rPr>
        <w:t>…</w:t>
      </w:r>
      <w:r>
        <w:rPr>
          <w:rFonts w:hint="eastAsia" w:cs="仿宋_GB2312"/>
          <w:color w:val="auto"/>
          <w:highlight w:val="none"/>
        </w:rPr>
        <w:t>……………（页码）</w:t>
      </w:r>
    </w:p>
    <w:p>
      <w:pPr>
        <w:snapToGrid w:val="0"/>
        <w:spacing w:line="360" w:lineRule="auto"/>
        <w:jc w:val="both"/>
        <w:rPr>
          <w:rFonts w:cs="仿宋_GB2312"/>
          <w:color w:val="auto"/>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7）商务技术偏离表</w:t>
      </w:r>
      <w:r>
        <w:rPr>
          <w:rFonts w:hint="eastAsia" w:cs="仿宋_GB2312"/>
          <w:color w:val="auto"/>
          <w:highlight w:val="none"/>
        </w:rPr>
        <w:t>……………………………………………………………（页码）</w:t>
      </w:r>
    </w:p>
    <w:p>
      <w:pPr>
        <w:snapToGrid w:val="0"/>
        <w:spacing w:line="360" w:lineRule="auto"/>
        <w:jc w:val="both"/>
        <w:rPr>
          <w:rFonts w:cs="仿宋_GB2312"/>
          <w:color w:val="auto"/>
          <w:highlight w:val="none"/>
        </w:rPr>
      </w:pPr>
      <w:r>
        <w:rPr>
          <w:rFonts w:hint="eastAsia"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8</w:t>
      </w:r>
      <w:r>
        <w:rPr>
          <w:rFonts w:hint="eastAsia" w:ascii="仿宋_GB2312" w:hAnsi="仿宋" w:eastAsia="仿宋_GB2312" w:cs="仿宋_GB2312"/>
          <w:color w:val="auto"/>
          <w:sz w:val="24"/>
          <w:highlight w:val="none"/>
          <w:lang w:val="zh-CN"/>
        </w:rPr>
        <w:t>）政府采购供应商廉洁自律承诺书</w:t>
      </w:r>
      <w:r>
        <w:rPr>
          <w:rFonts w:hint="eastAsia" w:cs="仿宋_GB2312"/>
          <w:color w:val="auto"/>
          <w:highlight w:val="none"/>
        </w:rPr>
        <w:t>…………………………………………（页码）</w:t>
      </w:r>
    </w:p>
    <w:p>
      <w:pPr>
        <w:snapToGrid w:val="0"/>
        <w:spacing w:line="360" w:lineRule="auto"/>
        <w:jc w:val="left"/>
        <w:rPr>
          <w:rFonts w:ascii="仿宋_GB2312" w:hAnsi="仿宋" w:eastAsia="仿宋_GB2312" w:cs="仿宋_GB2312"/>
          <w:b/>
          <w:color w:val="auto"/>
          <w:kern w:val="0"/>
          <w:sz w:val="32"/>
          <w:szCs w:val="32"/>
          <w:highlight w:val="non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rPr>
          <w:color w:val="auto"/>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kern w:val="0"/>
          <w:sz w:val="32"/>
          <w:szCs w:val="32"/>
          <w:highlight w:val="none"/>
        </w:rPr>
      </w:pPr>
    </w:p>
    <w:p>
      <w:pPr>
        <w:snapToGrid w:val="0"/>
        <w:spacing w:line="360" w:lineRule="auto"/>
        <w:jc w:val="center"/>
        <w:outlineLvl w:val="0"/>
        <w:rPr>
          <w:rFonts w:ascii="仿宋_GB2312" w:hAnsi="仿宋" w:eastAsia="仿宋_GB2312" w:cs="仿宋_GB2312"/>
          <w:b/>
          <w:color w:val="auto"/>
          <w:sz w:val="32"/>
          <w:szCs w:val="32"/>
          <w:highlight w:val="none"/>
        </w:rPr>
      </w:pPr>
      <w:r>
        <w:rPr>
          <w:rFonts w:hint="eastAsia" w:ascii="仿宋_GB2312" w:hAnsi="仿宋" w:eastAsia="仿宋_GB2312" w:cs="仿宋_GB2312"/>
          <w:b/>
          <w:color w:val="auto"/>
          <w:kern w:val="0"/>
          <w:sz w:val="32"/>
          <w:szCs w:val="32"/>
          <w:highlight w:val="none"/>
        </w:rPr>
        <w:t>一、投标</w:t>
      </w:r>
      <w:r>
        <w:rPr>
          <w:rFonts w:hint="eastAsia" w:ascii="仿宋_GB2312" w:hAnsi="仿宋" w:eastAsia="仿宋_GB2312" w:cs="仿宋_GB2312"/>
          <w:b/>
          <w:color w:val="auto"/>
          <w:sz w:val="32"/>
          <w:szCs w:val="32"/>
          <w:highlight w:val="none"/>
        </w:rPr>
        <w:t>函</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（采购人）、（采购代理机构）：</w:t>
      </w:r>
    </w:p>
    <w:p>
      <w:pPr>
        <w:snapToGrid w:val="0"/>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我方参加你方组织的（项目名称）</w:t>
      </w:r>
      <w:r>
        <w:rPr>
          <w:rFonts w:hint="eastAsia" w:ascii="仿宋_GB2312" w:hAnsi="仿宋" w:eastAsia="仿宋_GB2312" w:cs="仿宋_GB2312"/>
          <w:color w:val="auto"/>
          <w:sz w:val="24"/>
          <w:highlight w:val="none"/>
          <w:lang w:val="en-US" w:eastAsia="zh-CN"/>
        </w:rPr>
        <w:t>标项</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】招标的有关活动，并对此项目进行投标。为此：</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1、我方承诺投标有效期从提交投标文件的截止之日起</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天（不少于</w:t>
      </w:r>
      <w:r>
        <w:rPr>
          <w:rFonts w:ascii="仿宋_GB2312" w:hAnsi="仿宋" w:eastAsia="仿宋_GB2312" w:cs="仿宋_GB2312"/>
          <w:color w:val="auto"/>
          <w:sz w:val="24"/>
          <w:highlight w:val="none"/>
        </w:rPr>
        <w:t>90天）</w:t>
      </w:r>
      <w:r>
        <w:rPr>
          <w:rFonts w:hint="eastAsia"/>
          <w:color w:val="auto"/>
          <w:highlight w:val="none"/>
        </w:rPr>
        <w:t>，</w:t>
      </w:r>
      <w:r>
        <w:rPr>
          <w:rFonts w:hint="eastAsia" w:ascii="仿宋_GB2312" w:hAnsi="仿宋" w:eastAsia="仿宋_GB2312" w:cs="仿宋_GB2312"/>
          <w:color w:val="auto"/>
          <w:sz w:val="24"/>
          <w:highlight w:val="none"/>
        </w:rPr>
        <w:t>本投标文件在投标有效期满之前均具有约束力。</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2、我方的投标文件包括以下内容：</w:t>
      </w:r>
    </w:p>
    <w:p>
      <w:pPr>
        <w:snapToGrid w:val="0"/>
        <w:spacing w:line="360" w:lineRule="auto"/>
        <w:ind w:left="24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2.1资格文件：</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2.1.1</w:t>
      </w:r>
      <w:r>
        <w:rPr>
          <w:rFonts w:hint="eastAsia" w:ascii="仿宋_GB2312" w:hAnsi="仿宋" w:eastAsia="仿宋_GB2312" w:cs="仿宋_GB2312"/>
          <w:color w:val="auto"/>
          <w:sz w:val="24"/>
          <w:highlight w:val="none"/>
        </w:rPr>
        <w:t>承诺函；</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2.1.2落实政府采购政策需满足的资格要求</w:t>
      </w:r>
      <w:r>
        <w:rPr>
          <w:rFonts w:hint="eastAsia" w:ascii="仿宋_GB2312" w:hAnsi="仿宋" w:eastAsia="仿宋_GB2312" w:cs="仿宋_GB2312"/>
          <w:color w:val="auto"/>
          <w:sz w:val="24"/>
          <w:highlight w:val="none"/>
        </w:rPr>
        <w:t>（如果有）；</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2.1.3本项目的特定资格要求</w:t>
      </w:r>
      <w:r>
        <w:rPr>
          <w:rFonts w:hint="eastAsia" w:ascii="仿宋_GB2312" w:hAnsi="仿宋" w:eastAsia="仿宋_GB2312" w:cs="仿宋_GB2312"/>
          <w:color w:val="auto"/>
          <w:sz w:val="24"/>
          <w:highlight w:val="none"/>
        </w:rPr>
        <w:t>（如果有）。</w:t>
      </w:r>
    </w:p>
    <w:p>
      <w:pPr>
        <w:snapToGrid w:val="0"/>
        <w:spacing w:line="360" w:lineRule="auto"/>
        <w:ind w:left="240" w:leftChars="100" w:firstLine="480" w:firstLineChars="2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 xml:space="preserve"> </w:t>
      </w:r>
      <w:r>
        <w:rPr>
          <w:rFonts w:hint="eastAsia" w:ascii="仿宋_GB2312" w:hAnsi="仿宋" w:eastAsia="仿宋_GB2312" w:cs="仿宋_GB2312"/>
          <w:color w:val="auto"/>
          <w:sz w:val="24"/>
          <w:highlight w:val="none"/>
        </w:rPr>
        <w:t>商务技术</w:t>
      </w:r>
      <w:r>
        <w:rPr>
          <w:rFonts w:hint="eastAsia" w:ascii="仿宋_GB2312" w:hAnsi="仿宋" w:eastAsia="仿宋_GB2312" w:cs="仿宋_GB2312"/>
          <w:color w:val="auto"/>
          <w:sz w:val="24"/>
          <w:highlight w:val="none"/>
          <w:lang w:val="zh-CN"/>
        </w:rPr>
        <w:t>文件：</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2.2.1投标函；</w:t>
      </w:r>
      <w:r>
        <w:rPr>
          <w:rFonts w:ascii="仿宋_GB2312" w:hAnsi="仿宋" w:eastAsia="仿宋_GB2312" w:cs="仿宋_GB2312"/>
          <w:color w:val="auto"/>
          <w:sz w:val="24"/>
          <w:highlight w:val="none"/>
          <w:lang w:val="zh-CN"/>
        </w:rPr>
        <w:t xml:space="preserve"> </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2.2.2授权委托书或法定代表人（单位负责人）身份证明；</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2.2.3联合协议</w:t>
      </w:r>
      <w:r>
        <w:rPr>
          <w:rFonts w:hint="eastAsia" w:ascii="仿宋_GB2312" w:hAnsi="仿宋" w:eastAsia="仿宋_GB2312" w:cs="仿宋_GB2312"/>
          <w:color w:val="auto"/>
          <w:sz w:val="24"/>
          <w:highlight w:val="none"/>
        </w:rPr>
        <w:t>（如果有）；</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2.2.4分包意向协议</w:t>
      </w:r>
      <w:r>
        <w:rPr>
          <w:rFonts w:hint="eastAsia" w:ascii="仿宋_GB2312" w:hAnsi="仿宋" w:eastAsia="仿宋_GB2312" w:cs="仿宋_GB2312"/>
          <w:color w:val="auto"/>
          <w:sz w:val="24"/>
          <w:highlight w:val="none"/>
        </w:rPr>
        <w:t>（如果有）；</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2.2.5符合性审查资料；</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2.2.6评标标准相应的商务技术资料；</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2.2.7商务技术偏离表；</w:t>
      </w:r>
    </w:p>
    <w:p>
      <w:pPr>
        <w:snapToGrid w:val="0"/>
        <w:spacing w:line="360" w:lineRule="auto"/>
        <w:ind w:left="480" w:leftChars="200" w:firstLine="480" w:firstLineChars="200"/>
        <w:rPr>
          <w:rFonts w:ascii="仿宋_GB2312" w:hAnsi="仿宋" w:eastAsia="仿宋_GB2312" w:cs="仿宋_GB2312"/>
          <w:color w:val="auto"/>
          <w:sz w:val="24"/>
          <w:highlight w:val="none"/>
          <w:lang w:val="zh-CN"/>
        </w:rPr>
      </w:pP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8</w:t>
      </w:r>
      <w:r>
        <w:rPr>
          <w:rFonts w:hint="eastAsia" w:ascii="仿宋_GB2312" w:hAnsi="仿宋" w:eastAsia="仿宋_GB2312" w:cs="仿宋_GB2312"/>
          <w:color w:val="auto"/>
          <w:sz w:val="24"/>
          <w:highlight w:val="none"/>
          <w:lang w:val="zh-CN"/>
        </w:rPr>
        <w:t>政府采购供应商廉洁自律承诺书；</w:t>
      </w:r>
    </w:p>
    <w:p>
      <w:pPr>
        <w:snapToGrid w:val="0"/>
        <w:spacing w:line="360" w:lineRule="auto"/>
        <w:ind w:left="24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w:t>
      </w:r>
      <w:r>
        <w:rPr>
          <w:rFonts w:ascii="仿宋_GB2312" w:hAnsi="仿宋" w:eastAsia="仿宋_GB2312" w:cs="仿宋_GB2312"/>
          <w:color w:val="auto"/>
          <w:sz w:val="24"/>
          <w:highlight w:val="none"/>
          <w:lang w:val="zh-CN"/>
        </w:rPr>
        <w:t>.</w:t>
      </w:r>
      <w:r>
        <w:rPr>
          <w:rFonts w:ascii="仿宋_GB2312" w:hAnsi="仿宋" w:eastAsia="仿宋_GB2312" w:cs="仿宋_GB2312"/>
          <w:color w:val="auto"/>
          <w:sz w:val="24"/>
          <w:highlight w:val="none"/>
        </w:rPr>
        <w:t>3报价文件</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2.3.1</w:t>
      </w:r>
      <w:r>
        <w:rPr>
          <w:rFonts w:hint="eastAsia" w:ascii="仿宋_GB2312" w:hAnsi="仿宋" w:eastAsia="仿宋_GB2312" w:cs="仿宋_GB2312"/>
          <w:color w:val="auto"/>
          <w:sz w:val="24"/>
          <w:highlight w:val="none"/>
          <w:lang w:eastAsia="zh-CN"/>
        </w:rPr>
        <w:t>投标报价明细表</w:t>
      </w:r>
      <w:r>
        <w:rPr>
          <w:rFonts w:ascii="仿宋_GB2312" w:hAnsi="仿宋" w:eastAsia="仿宋_GB2312" w:cs="仿宋_GB2312"/>
          <w:color w:val="auto"/>
          <w:sz w:val="24"/>
          <w:highlight w:val="none"/>
        </w:rPr>
        <w:t>；</w:t>
      </w:r>
    </w:p>
    <w:p>
      <w:pPr>
        <w:snapToGrid w:val="0"/>
        <w:spacing w:line="360" w:lineRule="auto"/>
        <w:ind w:left="480" w:leftChars="2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2.3.2中小企业声明函</w:t>
      </w:r>
      <w:r>
        <w:rPr>
          <w:rFonts w:hint="eastAsia" w:ascii="仿宋_GB2312" w:hAnsi="仿宋" w:eastAsia="仿宋_GB2312" w:cs="仿宋_GB2312"/>
          <w:color w:val="auto"/>
          <w:sz w:val="24"/>
          <w:highlight w:val="none"/>
        </w:rPr>
        <w:t>（如果有）。</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4、如我方中标，我方承诺：</w:t>
      </w:r>
    </w:p>
    <w:p>
      <w:pPr>
        <w:snapToGrid w:val="0"/>
        <w:spacing w:line="360" w:lineRule="auto"/>
        <w:ind w:left="24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4.1在收到中标通知书后，在中标通知书规定的期限内与你方签订合同； </w:t>
      </w:r>
    </w:p>
    <w:p>
      <w:pPr>
        <w:snapToGrid w:val="0"/>
        <w:spacing w:line="360" w:lineRule="auto"/>
        <w:ind w:left="24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4.2在签订合同时不向你方提出附加条件； </w:t>
      </w:r>
    </w:p>
    <w:p>
      <w:pPr>
        <w:snapToGrid w:val="0"/>
        <w:spacing w:line="360" w:lineRule="auto"/>
        <w:ind w:left="24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4.3按照招标文件要求提交履约保证金； </w:t>
      </w:r>
    </w:p>
    <w:p>
      <w:pPr>
        <w:snapToGrid w:val="0"/>
        <w:spacing w:line="360" w:lineRule="auto"/>
        <w:ind w:left="24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4.4在合同约定的期限内完成合同规定的全部义务。 </w:t>
      </w:r>
    </w:p>
    <w:p>
      <w:pPr>
        <w:snapToGrid w:val="0"/>
        <w:spacing w:line="360" w:lineRule="auto"/>
        <w:ind w:left="240" w:leftChars="100" w:firstLine="480" w:firstLineChars="20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5、其他补充说明:</w:t>
      </w:r>
      <w:r>
        <w:rPr>
          <w:rFonts w:ascii="仿宋_GB2312" w:hAnsi="仿宋" w:eastAsia="仿宋_GB2312" w:cs="仿宋_GB2312"/>
          <w:color w:val="auto"/>
          <w:sz w:val="24"/>
          <w:highlight w:val="none"/>
          <w:u w:val="single"/>
        </w:rPr>
        <w:t xml:space="preserve">                                        </w:t>
      </w:r>
      <w:r>
        <w:rPr>
          <w:rFonts w:hint="eastAsia" w:ascii="仿宋_GB2312" w:hAnsi="仿宋" w:eastAsia="仿宋_GB2312" w:cs="仿宋_GB2312"/>
          <w:color w:val="auto"/>
          <w:sz w:val="24"/>
          <w:highlight w:val="none"/>
        </w:rPr>
        <w:t>。</w:t>
      </w:r>
    </w:p>
    <w:p>
      <w:pPr>
        <w:spacing w:line="360" w:lineRule="auto"/>
        <w:ind w:firstLine="3600" w:firstLineChars="15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投标人名称（电子签名）：</w:t>
      </w:r>
      <w:r>
        <w:rPr>
          <w:rFonts w:ascii="仿宋_GB2312" w:hAnsi="仿宋" w:eastAsia="仿宋_GB2312" w:cs="仿宋_GB2312"/>
          <w:color w:val="auto"/>
          <w:sz w:val="24"/>
          <w:highlight w:val="none"/>
        </w:rPr>
        <w:t xml:space="preserve">                          </w:t>
      </w:r>
    </w:p>
    <w:p>
      <w:pPr>
        <w:spacing w:line="360" w:lineRule="auto"/>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日期：  年   月   日</w:t>
      </w:r>
    </w:p>
    <w:p>
      <w:pPr>
        <w:snapToGrid w:val="0"/>
        <w:spacing w:line="360" w:lineRule="auto"/>
        <w:ind w:left="480" w:leftChars="200" w:firstLine="4200" w:firstLineChars="1750"/>
        <w:rPr>
          <w:rFonts w:ascii="仿宋_GB2312" w:hAnsi="仿宋" w:eastAsia="仿宋_GB2312" w:cs="仿宋_GB2312"/>
          <w:color w:val="auto"/>
          <w:kern w:val="0"/>
          <w:sz w:val="24"/>
          <w:highlight w:val="none"/>
          <w:u w:val="single"/>
          <w:lang w:val="zh-CN"/>
        </w:rPr>
      </w:pPr>
    </w:p>
    <w:p>
      <w:pPr>
        <w:snapToGrid w:val="0"/>
        <w:spacing w:line="360" w:lineRule="auto"/>
        <w:jc w:val="center"/>
        <w:rPr>
          <w:rFonts w:ascii="仿宋_GB2312" w:hAnsi="仿宋" w:eastAsia="仿宋_GB2312" w:cs="仿宋_GB2312"/>
          <w:b/>
          <w:color w:val="auto"/>
          <w:kern w:val="0"/>
          <w:sz w:val="32"/>
          <w:szCs w:val="32"/>
          <w:highlight w:val="none"/>
          <w:lang w:val="zh-CN"/>
        </w:rPr>
      </w:pPr>
    </w:p>
    <w:p>
      <w:pPr>
        <w:snapToGrid w:val="0"/>
        <w:spacing w:line="360" w:lineRule="auto"/>
        <w:rPr>
          <w:rFonts w:ascii="仿宋_GB2312" w:hAnsi="仿宋" w:eastAsia="仿宋_GB2312" w:cs="仿宋_GB2312"/>
          <w:color w:val="auto"/>
          <w:sz w:val="24"/>
          <w:highlight w:val="none"/>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p>
    <w:p>
      <w:pPr>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lang w:val="zh-CN"/>
        </w:rPr>
        <w:t>二、授权委托书或法定代表人（单位负责人、自然人本人）身份证明</w:t>
      </w:r>
    </w:p>
    <w:p>
      <w:pPr>
        <w:snapToGrid w:val="0"/>
        <w:spacing w:line="360" w:lineRule="auto"/>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w:t>
      </w:r>
    </w:p>
    <w:p>
      <w:pPr>
        <w:snapToGrid w:val="0"/>
        <w:spacing w:line="360" w:lineRule="auto"/>
        <w:ind w:firstLine="2872" w:firstLineChars="894"/>
        <w:rPr>
          <w:color w:val="auto"/>
          <w:highlight w:val="none"/>
        </w:rPr>
      </w:pPr>
      <w:r>
        <w:rPr>
          <w:rFonts w:hint="eastAsia" w:ascii="仿宋_GB2312" w:hAnsi="仿宋" w:eastAsia="仿宋_GB2312" w:cs="仿宋_GB2312"/>
          <w:b/>
          <w:color w:val="auto"/>
          <w:kern w:val="0"/>
          <w:sz w:val="32"/>
          <w:szCs w:val="32"/>
          <w:highlight w:val="none"/>
          <w:lang w:val="zh-CN"/>
        </w:rPr>
        <w:t>授权委托书（适用于非联合体投标）</w:t>
      </w:r>
      <w:r>
        <w:rPr>
          <w:color w:val="auto"/>
          <w:highlight w:val="none"/>
        </w:rPr>
        <w:t xml:space="preserve">                               </w:t>
      </w:r>
    </w:p>
    <w:p>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现</w:t>
      </w:r>
      <w:r>
        <w:rPr>
          <w:rFonts w:hint="eastAsia" w:ascii="仿宋_GB2312" w:hAnsi="仿宋" w:eastAsia="仿宋_GB2312" w:cs="仿宋_GB2312"/>
          <w:color w:val="auto"/>
          <w:kern w:val="0"/>
          <w:sz w:val="24"/>
          <w:highlight w:val="none"/>
          <w:lang w:val="zh-CN"/>
        </w:rPr>
        <w:t>委托</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（姓名）为我方代理人（身份证号码：</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，手机：</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），以我方名义处理</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政府采购投标的一切事项，其法律后果由我方承担。</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委托期限</w:t>
      </w:r>
      <w:r>
        <w:rPr>
          <w:rFonts w:hint="eastAsia" w:ascii="仿宋_GB2312" w:hAnsi="仿宋" w:eastAsia="仿宋_GB2312" w:cs="仿宋_GB2312"/>
          <w:color w:val="auto"/>
          <w:kern w:val="0"/>
          <w:sz w:val="24"/>
          <w:highlight w:val="none"/>
        </w:rPr>
        <w:t>：</w:t>
      </w:r>
      <w:r>
        <w:rPr>
          <w:rFonts w:hint="eastAsia" w:ascii="仿宋_GB2312" w:hAnsi="仿宋" w:eastAsia="仿宋_GB2312" w:cs="仿宋_GB2312"/>
          <w:color w:val="auto"/>
          <w:kern w:val="0"/>
          <w:sz w:val="24"/>
          <w:highlight w:val="none"/>
          <w:lang w:val="zh-CN"/>
        </w:rPr>
        <w:t>自</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日起至</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日止。</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特此告知。</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lang w:val="zh-CN"/>
        </w:rPr>
        <w:t xml:space="preserve">                                                 投标人名称(电子签名)：</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签发日期：  年  月   日</w:t>
      </w:r>
    </w:p>
    <w:p>
      <w:pPr>
        <w:snapToGrid w:val="0"/>
        <w:spacing w:line="360" w:lineRule="auto"/>
        <w:rPr>
          <w:rFonts w:ascii="仿宋_GB2312" w:hAnsi="仿宋" w:eastAsia="仿宋_GB2312" w:cs="仿宋_GB2312"/>
          <w:color w:val="auto"/>
          <w:sz w:val="24"/>
          <w:highlight w:val="none"/>
        </w:rPr>
      </w:pPr>
    </w:p>
    <w:p>
      <w:pPr>
        <w:snapToGrid w:val="0"/>
        <w:spacing w:line="360" w:lineRule="auto"/>
        <w:rPr>
          <w:rFonts w:ascii="仿宋_GB2312" w:hAnsi="仿宋" w:eastAsia="仿宋_GB2312" w:cs="仿宋_GB2312"/>
          <w:color w:val="auto"/>
          <w:sz w:val="24"/>
          <w:highlight w:val="none"/>
        </w:rPr>
      </w:pPr>
    </w:p>
    <w:p>
      <w:pPr>
        <w:snapToGrid w:val="0"/>
        <w:spacing w:line="360" w:lineRule="auto"/>
        <w:rPr>
          <w:rFonts w:ascii="仿宋_GB2312" w:hAnsi="仿宋" w:eastAsia="仿宋_GB2312" w:cs="仿宋_GB2312"/>
          <w:color w:val="auto"/>
          <w:sz w:val="24"/>
          <w:highlight w:val="none"/>
        </w:rPr>
      </w:pPr>
    </w:p>
    <w:p>
      <w:pPr>
        <w:jc w:val="center"/>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lang w:val="zh-CN"/>
        </w:rPr>
        <w:t xml:space="preserve">      </w:t>
      </w:r>
      <w:r>
        <w:rPr>
          <w:rFonts w:ascii="仿宋_GB2312" w:hAnsi="仿宋" w:eastAsia="仿宋_GB2312" w:cs="仿宋_GB2312"/>
          <w:b/>
          <w:color w:val="auto"/>
          <w:kern w:val="0"/>
          <w:sz w:val="32"/>
          <w:szCs w:val="32"/>
          <w:highlight w:val="none"/>
        </w:rPr>
        <w:t xml:space="preserve"> </w:t>
      </w:r>
      <w:r>
        <w:rPr>
          <w:rFonts w:hint="eastAsia" w:ascii="仿宋_GB2312" w:hAnsi="仿宋" w:eastAsia="仿宋_GB2312" w:cs="仿宋_GB2312"/>
          <w:b/>
          <w:color w:val="auto"/>
          <w:kern w:val="0"/>
          <w:sz w:val="32"/>
          <w:szCs w:val="32"/>
          <w:highlight w:val="none"/>
          <w:lang w:val="zh-CN"/>
        </w:rPr>
        <w:t>授权委托书（适用于联合体投标）</w:t>
      </w:r>
    </w:p>
    <w:p>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现</w:t>
      </w:r>
      <w:r>
        <w:rPr>
          <w:rFonts w:hint="eastAsia" w:ascii="仿宋_GB2312" w:hAnsi="仿宋" w:eastAsia="仿宋_GB2312" w:cs="仿宋_GB2312"/>
          <w:color w:val="auto"/>
          <w:kern w:val="0"/>
          <w:sz w:val="24"/>
          <w:highlight w:val="none"/>
          <w:lang w:val="zh-CN"/>
        </w:rPr>
        <w:t>委托</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（姓名）为我方代理人（身份证号码：</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，手机：</w:t>
      </w:r>
      <w:r>
        <w:rPr>
          <w:rFonts w:ascii="仿宋_GB2312" w:hAnsi="仿宋" w:eastAsia="仿宋_GB2312" w:cs="仿宋_GB2312"/>
          <w:color w:val="auto"/>
          <w:kern w:val="0"/>
          <w:sz w:val="24"/>
          <w:highlight w:val="none"/>
          <w:u w:val="single"/>
          <w:lang w:val="zh-CN"/>
        </w:rPr>
        <w:t xml:space="preserve">          </w:t>
      </w:r>
      <w:r>
        <w:rPr>
          <w:rFonts w:hint="eastAsia" w:ascii="仿宋_GB2312" w:hAnsi="仿宋" w:eastAsia="仿宋_GB2312" w:cs="仿宋_GB2312"/>
          <w:color w:val="auto"/>
          <w:kern w:val="0"/>
          <w:sz w:val="24"/>
          <w:highlight w:val="none"/>
          <w:lang w:val="zh-CN"/>
        </w:rPr>
        <w:t>），以我方名义处理</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政府采购投标的一切事项，其法律后果由我方承担。</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委托期限</w:t>
      </w:r>
      <w:r>
        <w:rPr>
          <w:rFonts w:hint="eastAsia" w:ascii="仿宋_GB2312" w:hAnsi="仿宋" w:eastAsia="仿宋_GB2312" w:cs="仿宋_GB2312"/>
          <w:color w:val="auto"/>
          <w:kern w:val="0"/>
          <w:sz w:val="24"/>
          <w:highlight w:val="none"/>
        </w:rPr>
        <w:t>：</w:t>
      </w:r>
      <w:r>
        <w:rPr>
          <w:rFonts w:hint="eastAsia" w:ascii="仿宋_GB2312" w:hAnsi="仿宋" w:eastAsia="仿宋_GB2312" w:cs="仿宋_GB2312"/>
          <w:color w:val="auto"/>
          <w:kern w:val="0"/>
          <w:sz w:val="24"/>
          <w:highlight w:val="none"/>
          <w:lang w:val="zh-CN"/>
        </w:rPr>
        <w:t>自</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日起至</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年</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日止。</w:t>
      </w:r>
    </w:p>
    <w:p>
      <w:pPr>
        <w:snapToGrid w:val="0"/>
        <w:spacing w:line="360" w:lineRule="auto"/>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特此告知。</w:t>
      </w: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rPr>
          <w:color w:val="auto"/>
          <w:highlight w:val="none"/>
        </w:rPr>
      </w:pP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autoSpaceDE w:val="0"/>
        <w:autoSpaceDN w:val="0"/>
        <w:spacing w:line="360" w:lineRule="auto"/>
        <w:jc w:val="center"/>
        <w:rPr>
          <w:rFonts w:hint="eastAsia" w:ascii="仿宋_GB2312" w:hAnsi="仿宋" w:eastAsia="仿宋_GB2312" w:cs="仿宋_GB2312"/>
          <w:b/>
          <w:color w:val="auto"/>
          <w:kern w:val="0"/>
          <w:sz w:val="32"/>
          <w:szCs w:val="32"/>
          <w:highlight w:val="none"/>
          <w:lang w:val="zh-CN"/>
        </w:rPr>
      </w:pPr>
    </w:p>
    <w:p>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kern w:val="0"/>
          <w:sz w:val="32"/>
          <w:szCs w:val="32"/>
          <w:highlight w:val="none"/>
          <w:lang w:val="zh-CN"/>
        </w:rPr>
        <w:t>法定代表人、单位负责人或自然人本人</w:t>
      </w:r>
      <w:r>
        <w:rPr>
          <w:rFonts w:hint="eastAsia" w:ascii="仿宋_GB2312" w:hAnsi="仿宋" w:eastAsia="仿宋_GB2312" w:cs="仿宋_GB2312"/>
          <w:b/>
          <w:color w:val="auto"/>
          <w:sz w:val="30"/>
          <w:szCs w:val="30"/>
          <w:highlight w:val="none"/>
        </w:rPr>
        <w:t>的身份证明（适用于法定代表人、单位负责人或者自然人本人代表投标人参加投标）</w:t>
      </w:r>
    </w:p>
    <w:p>
      <w:pPr>
        <w:pStyle w:val="147"/>
        <w:spacing w:line="36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正面：</w:t>
            </w:r>
            <w:r>
              <w:rPr>
                <w:rFonts w:ascii="仿宋_GB2312" w:hAnsi="仿宋" w:eastAsia="仿宋_GB2312"/>
                <w:bCs/>
                <w:color w:val="auto"/>
                <w:sz w:val="24"/>
                <w:highlight w:val="none"/>
              </w:rPr>
              <w:t xml:space="preserve">                                 </w:t>
            </w:r>
            <w:r>
              <w:rPr>
                <w:rFonts w:hint="eastAsia" w:ascii="仿宋_GB2312" w:hAnsi="仿宋" w:eastAsia="仿宋_GB2312"/>
                <w:bCs/>
                <w:color w:val="auto"/>
                <w:sz w:val="24"/>
                <w:highlight w:val="none"/>
              </w:rPr>
              <w:t>反面：</w:t>
            </w:r>
          </w:p>
          <w:p>
            <w:pPr>
              <w:pStyle w:val="147"/>
              <w:adjustRightInd w:val="0"/>
              <w:spacing w:line="360" w:lineRule="auto"/>
              <w:rPr>
                <w:rFonts w:ascii="仿宋_GB2312" w:hAnsi="仿宋" w:eastAsia="仿宋_GB2312"/>
                <w:bCs/>
                <w:color w:val="auto"/>
                <w:sz w:val="24"/>
                <w:highlight w:val="none"/>
              </w:rPr>
            </w:pPr>
          </w:p>
        </w:tc>
      </w:tr>
    </w:tbl>
    <w:p>
      <w:pPr>
        <w:snapToGrid w:val="0"/>
        <w:spacing w:line="360" w:lineRule="auto"/>
        <w:ind w:firstLine="576"/>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w:t>
      </w:r>
    </w:p>
    <w:p>
      <w:pPr>
        <w:snapToGrid w:val="0"/>
        <w:spacing w:line="360" w:lineRule="auto"/>
        <w:ind w:firstLine="576"/>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投标人名称(电子签名)：                              </w:t>
      </w:r>
    </w:p>
    <w:p>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left"/>
        <w:rPr>
          <w:rFonts w:hint="eastAsia"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rPr>
        <w:t>三、</w:t>
      </w:r>
      <w:r>
        <w:rPr>
          <w:rFonts w:hint="eastAsia" w:ascii="仿宋_GB2312" w:hAnsi="仿宋" w:eastAsia="仿宋_GB2312" w:cs="仿宋_GB2312"/>
          <w:b/>
          <w:color w:val="auto"/>
          <w:kern w:val="0"/>
          <w:sz w:val="32"/>
          <w:szCs w:val="32"/>
          <w:highlight w:val="none"/>
          <w:lang w:val="zh-CN"/>
        </w:rPr>
        <w:t>联合协议</w:t>
      </w:r>
    </w:p>
    <w:p>
      <w:pPr>
        <w:widowControl/>
        <w:spacing w:line="360" w:lineRule="auto"/>
        <w:ind w:firstLine="482" w:firstLineChars="20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olor w:val="auto"/>
          <w:highlight w:val="none"/>
          <w:u w:val="single"/>
        </w:rPr>
        <w:t xml:space="preserve">             </w:t>
      </w:r>
      <w:r>
        <w:rPr>
          <w:rFonts w:hint="eastAsia" w:ascii="仿宋_GB2312" w:hAnsi="仿宋" w:eastAsia="仿宋_GB2312" w:cs="仿宋_GB2312"/>
          <w:color w:val="auto"/>
          <w:kern w:val="0"/>
          <w:sz w:val="24"/>
          <w:highlight w:val="none"/>
          <w:lang w:val="zh-CN"/>
        </w:rPr>
        <w:t>；</w:t>
      </w:r>
      <w:r>
        <w:rPr>
          <w:rFonts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rPr>
        <w:t>提供的全部货物由小微企业制造，其合同份额占到合同总金额</w:t>
      </w:r>
      <w:r>
        <w:rPr>
          <w:rFonts w:ascii="仿宋_GB2312" w:hAnsi="仿宋" w:eastAsia="仿宋_GB2312" w:cs="仿宋_GB2312"/>
          <w:color w:val="auto"/>
          <w:kern w:val="0"/>
          <w:sz w:val="24"/>
          <w:highlight w:val="none"/>
          <w:u w:val="single"/>
        </w:rPr>
        <w:t xml:space="preserve">     </w:t>
      </w:r>
      <w:r>
        <w:rPr>
          <w:rFonts w:ascii="仿宋_GB2312" w:hAnsi="仿宋" w:eastAsia="仿宋_GB2312" w:cs="仿宋_GB2312"/>
          <w:color w:val="auto"/>
          <w:kern w:val="0"/>
          <w:sz w:val="24"/>
          <w:highlight w:val="none"/>
        </w:rPr>
        <w:t>%以上；</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color w:val="auto"/>
          <w:kern w:val="0"/>
          <w:sz w:val="24"/>
          <w:highlight w:val="none"/>
          <w:lang w:val="zh-CN"/>
        </w:rPr>
        <w:t xml:space="preserve"> 30%以上</w:t>
      </w:r>
      <w:r>
        <w:rPr>
          <w:rFonts w:hint="eastAsia" w:ascii="仿宋_GB2312" w:hAnsi="仿宋" w:eastAsia="仿宋_GB2312" w:cs="仿宋_GB2312"/>
          <w:b/>
          <w:color w:val="auto"/>
          <w:kern w:val="0"/>
          <w:sz w:val="24"/>
          <w:highlight w:val="none"/>
          <w:lang w:val="zh-CN"/>
        </w:rPr>
        <w:t>，对联合体报价给予</w:t>
      </w:r>
      <w:r>
        <w:rPr>
          <w:rFonts w:ascii="仿宋_GB2312" w:hAnsi="仿宋" w:eastAsia="仿宋_GB2312" w:cs="仿宋_GB2312"/>
          <w:b/>
          <w:color w:val="auto"/>
          <w:kern w:val="0"/>
          <w:sz w:val="24"/>
          <w:highlight w:val="none"/>
          <w:lang w:val="zh-CN"/>
        </w:rPr>
        <w:t>3%的扣除</w:t>
      </w: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highlight w:val="none"/>
          <w:lang w:val="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四、分包意向协议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pStyle w:val="6"/>
        <w:ind w:left="758" w:leftChars="316" w:firstLine="229" w:firstLineChars="95"/>
        <w:rPr>
          <w:color w:val="auto"/>
          <w:highlight w:val="none"/>
        </w:rPr>
      </w:pPr>
      <w:r>
        <w:rPr>
          <w:rFonts w:hint="eastAsia" w:cs="仿宋_GB2312"/>
          <w:color w:val="auto"/>
          <w:kern w:val="0"/>
          <w:sz w:val="24"/>
          <w:szCs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655" w:leftChars="273"/>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left="655"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olor w:val="auto"/>
          <w:highlight w:val="none"/>
          <w:u w:val="single"/>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u w:val="single"/>
        </w:rPr>
        <w:t>（分包供应商名称）提供的货物全部由小微企业制造，</w:t>
      </w:r>
      <w:r>
        <w:rPr>
          <w:rFonts w:hint="eastAsia" w:ascii="仿宋_GB2312" w:hAnsi="仿宋" w:eastAsia="仿宋_GB2312" w:cs="仿宋_GB2312"/>
          <w:color w:val="auto"/>
          <w:kern w:val="0"/>
          <w:sz w:val="24"/>
          <w:highlight w:val="none"/>
        </w:rPr>
        <w:t>其合同份额占到合同总金额</w:t>
      </w:r>
      <w:r>
        <w:rPr>
          <w:rFonts w:ascii="仿宋_GB2312" w:hAnsi="仿宋" w:eastAsia="仿宋_GB2312" w:cs="仿宋_GB2312"/>
          <w:color w:val="auto"/>
          <w:kern w:val="0"/>
          <w:sz w:val="24"/>
          <w:highlight w:val="none"/>
          <w:u w:val="single"/>
        </w:rPr>
        <w:t xml:space="preserve">     </w:t>
      </w:r>
      <w:r>
        <w:rPr>
          <w:rFonts w:ascii="仿宋_GB2312" w:hAnsi="仿宋" w:eastAsia="仿宋_GB2312" w:cs="仿宋_GB2312"/>
          <w:color w:val="auto"/>
          <w:kern w:val="0"/>
          <w:sz w:val="24"/>
          <w:highlight w:val="none"/>
        </w:rPr>
        <w:t>%以上</w:t>
      </w:r>
      <w:r>
        <w:rPr>
          <w:rFonts w:hint="eastAsia" w:ascii="仿宋_GB2312" w:hAnsi="仿宋" w:eastAsia="仿宋_GB2312"/>
          <w:color w:val="auto"/>
          <w:highlight w:val="none"/>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color w:val="auto"/>
          <w:kern w:val="0"/>
          <w:sz w:val="24"/>
          <w:highlight w:val="none"/>
          <w:lang w:val="zh-CN"/>
        </w:rPr>
        <w:t xml:space="preserve"> 30%以上</w:t>
      </w:r>
      <w:r>
        <w:rPr>
          <w:rFonts w:hint="eastAsia" w:ascii="仿宋_GB2312" w:hAnsi="仿宋" w:eastAsia="仿宋_GB2312" w:cs="仿宋_GB2312"/>
          <w:b/>
          <w:color w:val="auto"/>
          <w:kern w:val="0"/>
          <w:sz w:val="24"/>
          <w:highlight w:val="none"/>
          <w:lang w:val="zh-CN"/>
        </w:rPr>
        <w:t>的，对大中型企业的报价给予</w:t>
      </w:r>
      <w:r>
        <w:rPr>
          <w:rFonts w:ascii="仿宋_GB2312" w:hAnsi="仿宋" w:eastAsia="仿宋_GB2312" w:cs="仿宋_GB2312"/>
          <w:b/>
          <w:color w:val="auto"/>
          <w:kern w:val="0"/>
          <w:sz w:val="24"/>
          <w:highlight w:val="none"/>
          <w:lang w:val="zh-CN"/>
        </w:rPr>
        <w:t>3%的扣除</w:t>
      </w:r>
      <w:r>
        <w:rPr>
          <w:rFonts w:hint="eastAsia" w:ascii="仿宋_GB2312" w:hAnsi="仿宋" w:eastAsia="仿宋_GB2312" w:cs="仿宋_GB2312"/>
          <w:b/>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投标人名称(电子签名)：</w:t>
      </w:r>
    </w:p>
    <w:p>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五、符合性审查资料</w:t>
      </w:r>
    </w:p>
    <w:p>
      <w:pPr>
        <w:jc w:val="center"/>
        <w:rPr>
          <w:rFonts w:ascii="仿宋_GB2312" w:hAnsi="仿宋" w:eastAsia="仿宋_GB2312" w:cs="仿宋_GB2312"/>
          <w:b/>
          <w:color w:val="auto"/>
          <w:kern w:val="0"/>
          <w:sz w:val="32"/>
          <w:szCs w:val="32"/>
          <w:highlight w:val="none"/>
        </w:rPr>
      </w:pPr>
    </w:p>
    <w:tbl>
      <w:tblPr>
        <w:tblStyle w:val="62"/>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709"/>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4709" w:type="dxa"/>
            <w:vAlign w:val="center"/>
          </w:tcPr>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实质性要求</w:t>
            </w:r>
          </w:p>
        </w:tc>
        <w:tc>
          <w:tcPr>
            <w:tcW w:w="2551" w:type="dxa"/>
            <w:vAlign w:val="center"/>
          </w:tcPr>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需要提供的符合性审查资料</w:t>
            </w:r>
          </w:p>
        </w:tc>
        <w:tc>
          <w:tcPr>
            <w:tcW w:w="1418" w:type="dxa"/>
            <w:vAlign w:val="center"/>
          </w:tcPr>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投标文件中的</w:t>
            </w:r>
          </w:p>
          <w:p>
            <w:pPr>
              <w:snapToGrid w:val="0"/>
              <w:spacing w:line="240" w:lineRule="atLeast"/>
              <w:jc w:val="center"/>
              <w:rPr>
                <w:rFonts w:ascii="仿宋" w:hAnsi="仿宋" w:eastAsia="仿宋"/>
                <w:b/>
                <w:color w:val="auto"/>
                <w:sz w:val="24"/>
                <w:highlight w:val="none"/>
              </w:rPr>
            </w:pPr>
            <w:r>
              <w:rPr>
                <w:rFonts w:hint="eastAsia" w:ascii="仿宋" w:hAnsi="仿宋" w:eastAsia="仿宋"/>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olor w:val="auto"/>
                <w:sz w:val="24"/>
                <w:highlight w:val="none"/>
              </w:rPr>
            </w:pPr>
            <w:r>
              <w:rPr>
                <w:rFonts w:ascii="仿宋" w:hAnsi="仿宋" w:eastAsia="仿宋"/>
                <w:color w:val="auto"/>
                <w:sz w:val="24"/>
                <w:highlight w:val="none"/>
              </w:rPr>
              <w:t>1</w:t>
            </w:r>
          </w:p>
        </w:tc>
        <w:tc>
          <w:tcPr>
            <w:tcW w:w="4709" w:type="dxa"/>
          </w:tcPr>
          <w:p>
            <w:pPr>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投标文件按照招标文件要求签署、盖章。</w:t>
            </w:r>
          </w:p>
        </w:tc>
        <w:tc>
          <w:tcPr>
            <w:tcW w:w="2551" w:type="dxa"/>
            <w:vAlign w:val="center"/>
          </w:tcPr>
          <w:p>
            <w:pPr>
              <w:rPr>
                <w:rFonts w:ascii="仿宋" w:hAnsi="仿宋" w:eastAsia="仿宋"/>
                <w:color w:val="auto"/>
                <w:sz w:val="24"/>
                <w:highlight w:val="none"/>
              </w:rPr>
            </w:pPr>
            <w:r>
              <w:rPr>
                <w:rFonts w:hint="eastAsia" w:ascii="仿宋" w:hAnsi="仿宋" w:eastAsia="仿宋"/>
                <w:color w:val="auto"/>
                <w:sz w:val="24"/>
                <w:highlight w:val="none"/>
              </w:rPr>
              <w:t>需要使用电子签名或者签字盖章的投标文件的组成部分</w:t>
            </w:r>
          </w:p>
        </w:tc>
        <w:tc>
          <w:tcPr>
            <w:tcW w:w="1418" w:type="dxa"/>
          </w:tcPr>
          <w:p>
            <w:pPr>
              <w:rPr>
                <w:rFonts w:ascii="仿宋" w:hAnsi="仿宋" w:eastAsia="仿宋" w:cs="仿宋_GB2312"/>
                <w:color w:val="auto"/>
                <w:sz w:val="24"/>
                <w:highlight w:val="none"/>
              </w:rPr>
            </w:pPr>
          </w:p>
          <w:p>
            <w:pPr>
              <w:rPr>
                <w:rFonts w:ascii="仿宋" w:hAnsi="仿宋" w:eastAsia="仿宋" w:cs="仿宋_GB2312"/>
                <w:color w:val="auto"/>
                <w:sz w:val="24"/>
                <w:highlight w:val="none"/>
              </w:rPr>
            </w:pPr>
            <w:r>
              <w:rPr>
                <w:rFonts w:hint="eastAsia" w:ascii="仿宋" w:hAnsi="仿宋" w:eastAsia="仿宋" w:cs="仿宋_GB2312"/>
                <w:color w:val="auto"/>
                <w:sz w:val="24"/>
                <w:highlight w:val="none"/>
              </w:rPr>
              <w:t>见投标文件</w:t>
            </w:r>
          </w:p>
          <w:p>
            <w:pPr>
              <w:rPr>
                <w:color w:val="auto"/>
                <w:highlight w:val="none"/>
              </w:rPr>
            </w:pPr>
            <w:r>
              <w:rPr>
                <w:rFonts w:hint="eastAsia" w:ascii="仿宋" w:eastAsia="仿宋" w:cs="仿宋_GB2312"/>
                <w:color w:val="auto"/>
                <w:sz w:val="24"/>
                <w:highlight w:val="none"/>
              </w:rPr>
              <w:t>第</w:t>
            </w:r>
            <w:r>
              <w:rPr>
                <w:rFonts w:ascii="仿宋" w:eastAsia="仿宋" w:cs="仿宋_GB2312"/>
                <w:color w:val="auto"/>
                <w:sz w:val="24"/>
                <w:highlight w:val="none"/>
                <w:u w:val="single"/>
              </w:rPr>
              <w:t xml:space="preserve">  </w:t>
            </w:r>
            <w:r>
              <w:rPr>
                <w:rFonts w:hint="eastAsia" w:ascii="仿宋" w:eastAsia="仿宋" w:cs="仿宋_GB2312"/>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color w:val="auto"/>
                <w:sz w:val="24"/>
                <w:highlight w:val="none"/>
              </w:rPr>
            </w:pPr>
            <w:r>
              <w:rPr>
                <w:rFonts w:ascii="仿宋_GB2312" w:hAnsi="仿宋" w:eastAsia="仿宋_GB2312"/>
                <w:color w:val="auto"/>
                <w:sz w:val="24"/>
                <w:highlight w:val="none"/>
              </w:rPr>
              <w:t>2</w:t>
            </w:r>
          </w:p>
        </w:tc>
        <w:tc>
          <w:tcPr>
            <w:tcW w:w="4709" w:type="dxa"/>
          </w:tcPr>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color w:val="auto"/>
                <w:sz w:val="24"/>
                <w:highlight w:val="none"/>
              </w:rPr>
            </w:pPr>
            <w:r>
              <w:rPr>
                <w:rFonts w:hint="eastAsia" w:ascii="仿宋_GB2312" w:hAnsi="仿宋" w:eastAsia="仿宋_GB2312" w:cs="仿宋_GB2312"/>
                <w:color w:val="auto"/>
                <w:sz w:val="24"/>
                <w:highlight w:val="none"/>
              </w:rPr>
              <w:t>节能产品认证证书（本项目</w:t>
            </w:r>
            <w:r>
              <w:rPr>
                <w:rFonts w:hint="eastAsia" w:ascii="仿宋_GB2312" w:hAnsi="仿宋" w:eastAsia="仿宋_GB2312"/>
                <w:color w:val="auto"/>
                <w:sz w:val="24"/>
                <w:highlight w:val="none"/>
              </w:rPr>
              <w:t>拟采购的产品不属于政府强制采购的节能产品品目清单范围的</w:t>
            </w:r>
            <w:r>
              <w:rPr>
                <w:rFonts w:hint="eastAsia" w:ascii="仿宋_GB2312" w:hAnsi="仿宋" w:eastAsia="仿宋_GB2312" w:cs="仿宋_GB2312"/>
                <w:color w:val="auto"/>
                <w:sz w:val="24"/>
                <w:highlight w:val="none"/>
              </w:rPr>
              <w:t>，无需提供）</w:t>
            </w:r>
          </w:p>
        </w:tc>
        <w:tc>
          <w:tcPr>
            <w:tcW w:w="1418" w:type="dxa"/>
          </w:tcPr>
          <w:p>
            <w:pPr>
              <w:rPr>
                <w:rFonts w:ascii="仿宋" w:hAnsi="仿宋" w:eastAsia="仿宋" w:cs="仿宋_GB2312"/>
                <w:color w:val="auto"/>
                <w:sz w:val="24"/>
                <w:highlight w:val="none"/>
              </w:rPr>
            </w:pPr>
          </w:p>
          <w:p>
            <w:pPr>
              <w:rPr>
                <w:rFonts w:ascii="仿宋" w:hAnsi="仿宋" w:eastAsia="仿宋" w:cs="仿宋_GB2312"/>
                <w:color w:val="auto"/>
                <w:sz w:val="24"/>
                <w:highlight w:val="none"/>
              </w:rPr>
            </w:pPr>
          </w:p>
          <w:p>
            <w:pPr>
              <w:rPr>
                <w:rFonts w:ascii="仿宋" w:hAnsi="仿宋" w:eastAsia="仿宋" w:cs="仿宋_GB2312"/>
                <w:color w:val="auto"/>
                <w:sz w:val="24"/>
                <w:highlight w:val="none"/>
              </w:rPr>
            </w:pPr>
            <w:r>
              <w:rPr>
                <w:rFonts w:hint="eastAsia" w:ascii="仿宋" w:hAnsi="仿宋" w:eastAsia="仿宋" w:cs="仿宋_GB2312"/>
                <w:color w:val="auto"/>
                <w:sz w:val="24"/>
                <w:highlight w:val="none"/>
              </w:rPr>
              <w:t>见投标文件</w:t>
            </w:r>
          </w:p>
          <w:p>
            <w:pPr>
              <w:pStyle w:val="6"/>
              <w:rPr>
                <w:color w:val="auto"/>
                <w:highlight w:val="none"/>
                <w:lang w:val="en-US"/>
              </w:rPr>
            </w:pPr>
            <w:r>
              <w:rPr>
                <w:rFonts w:hint="eastAsia" w:ascii="仿宋" w:eastAsia="仿宋" w:cs="仿宋_GB2312"/>
                <w:b w:val="0"/>
                <w:bCs w:val="0"/>
                <w:color w:val="auto"/>
                <w:sz w:val="24"/>
                <w:szCs w:val="24"/>
                <w:highlight w:val="none"/>
                <w:lang w:val="en-US"/>
              </w:rPr>
              <w:t>第</w:t>
            </w:r>
            <w:r>
              <w:rPr>
                <w:rFonts w:ascii="仿宋" w:eastAsia="仿宋" w:cs="仿宋_GB2312"/>
                <w:b w:val="0"/>
                <w:bCs w:val="0"/>
                <w:color w:val="auto"/>
                <w:sz w:val="24"/>
                <w:szCs w:val="24"/>
                <w:highlight w:val="none"/>
                <w:u w:val="single"/>
                <w:lang w:val="en-US"/>
              </w:rPr>
              <w:t xml:space="preserve">  </w:t>
            </w:r>
            <w:r>
              <w:rPr>
                <w:rFonts w:hint="eastAsia" w:ascii="仿宋" w:eastAsia="仿宋" w:cs="仿宋_GB2312"/>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olor w:val="auto"/>
                <w:sz w:val="24"/>
                <w:highlight w:val="none"/>
              </w:rPr>
            </w:pPr>
            <w:r>
              <w:rPr>
                <w:rFonts w:ascii="仿宋" w:hAnsi="仿宋" w:eastAsia="仿宋"/>
                <w:color w:val="auto"/>
                <w:sz w:val="24"/>
                <w:highlight w:val="none"/>
              </w:rPr>
              <w:t>3</w:t>
            </w:r>
          </w:p>
        </w:tc>
        <w:tc>
          <w:tcPr>
            <w:tcW w:w="4709" w:type="dxa"/>
          </w:tcPr>
          <w:p>
            <w:pPr>
              <w:spacing w:line="360" w:lineRule="auto"/>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投标文件中承诺的投标有效期不少于招标文件中载明的投标有效期。</w:t>
            </w:r>
          </w:p>
        </w:tc>
        <w:tc>
          <w:tcPr>
            <w:tcW w:w="2551" w:type="dxa"/>
            <w:vAlign w:val="center"/>
          </w:tcPr>
          <w:p>
            <w:pPr>
              <w:rPr>
                <w:rFonts w:ascii="仿宋" w:hAnsi="仿宋" w:eastAsia="仿宋"/>
                <w:color w:val="auto"/>
                <w:sz w:val="24"/>
                <w:highlight w:val="none"/>
              </w:rPr>
            </w:pPr>
            <w:r>
              <w:rPr>
                <w:rFonts w:hint="eastAsia" w:ascii="仿宋" w:hAnsi="仿宋" w:eastAsia="仿宋"/>
                <w:color w:val="auto"/>
                <w:sz w:val="24"/>
                <w:highlight w:val="none"/>
              </w:rPr>
              <w:t>投标函</w:t>
            </w:r>
          </w:p>
        </w:tc>
        <w:tc>
          <w:tcPr>
            <w:tcW w:w="1418" w:type="dxa"/>
          </w:tcPr>
          <w:p>
            <w:pPr>
              <w:rPr>
                <w:color w:val="auto"/>
                <w:highlight w:val="none"/>
              </w:rPr>
            </w:pPr>
            <w:r>
              <w:rPr>
                <w:rFonts w:hint="eastAsia" w:ascii="仿宋" w:hAnsi="仿宋" w:eastAsia="仿宋" w:cs="仿宋_GB2312"/>
                <w:color w:val="auto"/>
                <w:sz w:val="24"/>
                <w:highlight w:val="none"/>
              </w:rPr>
              <w:t>见投标文件第</w:t>
            </w:r>
            <w:r>
              <w:rPr>
                <w:rFonts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olor w:val="auto"/>
                <w:sz w:val="24"/>
                <w:highlight w:val="none"/>
              </w:rPr>
            </w:pPr>
            <w:r>
              <w:rPr>
                <w:rFonts w:ascii="仿宋" w:hAnsi="仿宋" w:eastAsia="仿宋"/>
                <w:color w:val="auto"/>
                <w:sz w:val="24"/>
                <w:highlight w:val="none"/>
              </w:rPr>
              <w:t>4</w:t>
            </w:r>
          </w:p>
        </w:tc>
        <w:tc>
          <w:tcPr>
            <w:tcW w:w="4709" w:type="dxa"/>
          </w:tcPr>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投标文件满足招标文件的其它实质性要求。</w:t>
            </w:r>
          </w:p>
        </w:tc>
        <w:tc>
          <w:tcPr>
            <w:tcW w:w="2551" w:type="dxa"/>
            <w:vAlign w:val="center"/>
          </w:tcPr>
          <w:p>
            <w:pPr>
              <w:rPr>
                <w:rFonts w:ascii="仿宋" w:hAnsi="仿宋" w:eastAsia="仿宋"/>
                <w:color w:val="auto"/>
                <w:sz w:val="24"/>
                <w:highlight w:val="none"/>
              </w:rPr>
            </w:pPr>
            <w:r>
              <w:rPr>
                <w:rFonts w:hint="eastAsia" w:ascii="仿宋_GB2312" w:hAnsi="仿宋" w:eastAsia="仿宋_GB2312" w:cs="仿宋_GB2312"/>
                <w:color w:val="auto"/>
                <w:kern w:val="0"/>
                <w:sz w:val="24"/>
                <w:highlight w:val="none"/>
              </w:rPr>
              <w:t>招标文件其它实质性要求相应的材料（“▲”</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rPr>
              <w:t>系指实质性要求条款，招标文件无其它实质性要求的，无需提供）</w:t>
            </w:r>
          </w:p>
        </w:tc>
        <w:tc>
          <w:tcPr>
            <w:tcW w:w="1418" w:type="dxa"/>
          </w:tcPr>
          <w:p>
            <w:pPr>
              <w:rPr>
                <w:color w:val="auto"/>
                <w:highlight w:val="none"/>
              </w:rPr>
            </w:pPr>
            <w:r>
              <w:rPr>
                <w:rFonts w:hint="eastAsia" w:ascii="仿宋" w:hAnsi="仿宋" w:eastAsia="仿宋" w:cs="仿宋_GB2312"/>
                <w:color w:val="auto"/>
                <w:sz w:val="24"/>
                <w:highlight w:val="none"/>
              </w:rPr>
              <w:t>见投标文件第</w:t>
            </w:r>
            <w:r>
              <w:rPr>
                <w:rFonts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页</w:t>
            </w:r>
          </w:p>
        </w:tc>
      </w:tr>
    </w:tbl>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rPr>
        <w:t xml:space="preserve">            </w:t>
      </w: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color w:val="auto"/>
          <w:highlight w:val="none"/>
        </w:rPr>
      </w:pPr>
      <w:r>
        <w:rPr>
          <w:rFonts w:hint="eastAsia" w:ascii="仿宋_GB2312" w:hAnsi="仿宋" w:eastAsia="仿宋_GB2312" w:cs="仿宋_GB2312"/>
          <w:b/>
          <w:color w:val="auto"/>
          <w:kern w:val="0"/>
          <w:sz w:val="32"/>
          <w:szCs w:val="32"/>
          <w:highlight w:val="none"/>
        </w:rPr>
        <w:t>六、评标标准相应的商务技术资料</w:t>
      </w:r>
    </w:p>
    <w:p>
      <w:pPr>
        <w:snapToGrid w:val="0"/>
        <w:spacing w:line="360" w:lineRule="auto"/>
        <w:jc w:val="left"/>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（按招标文件第四部分评标办法前附表中“投标文件中评标标准相应的商务技术资料目录”提供资料）</w:t>
      </w:r>
    </w:p>
    <w:p>
      <w:pPr>
        <w:pStyle w:val="3"/>
        <w:rPr>
          <w:color w:val="auto"/>
          <w:highlight w:val="none"/>
        </w:rPr>
      </w:pPr>
      <w:r>
        <w:rPr>
          <w:rFonts w:hint="eastAsia" w:ascii="仿宋_GB2312" w:hAnsi="仿宋" w:eastAsia="仿宋_GB2312" w:cs="仿宋_GB2312"/>
          <w:color w:val="auto"/>
          <w:sz w:val="24"/>
          <w:highlight w:val="none"/>
          <w:lang w:val="en-US" w:eastAsia="zh-CN"/>
        </w:rPr>
        <w:t>注：如果本项目涉及硬件设备采购，还需提供投标产品规格配置清单（设备名称、品牌及型号、规格配置详细说明、数量等）。所有技术指标表述均应采用中文，如当前公布的技术指标只有英文表述的，必须由投标人作出中文注释（评审时以中文注释为准）。否则任何含糊不清的表述导致评标委员会技术扣分直至认定为投标无效都将是投标人的责任。</w:t>
      </w: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序号</w:t>
            </w:r>
          </w:p>
        </w:tc>
        <w:tc>
          <w:tcPr>
            <w:tcW w:w="3683" w:type="dxa"/>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招标文件章节及具体内容</w:t>
            </w:r>
          </w:p>
        </w:tc>
        <w:tc>
          <w:tcPr>
            <w:tcW w:w="3546" w:type="dxa"/>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投标文件章节及具体内容</w:t>
            </w:r>
          </w:p>
        </w:tc>
        <w:tc>
          <w:tcPr>
            <w:tcW w:w="1276" w:type="dxa"/>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1</w:t>
            </w:r>
          </w:p>
        </w:tc>
        <w:tc>
          <w:tcPr>
            <w:tcW w:w="3683" w:type="dxa"/>
          </w:tcPr>
          <w:p>
            <w:pPr>
              <w:jc w:val="center"/>
              <w:rPr>
                <w:rFonts w:ascii="仿宋_GB2312" w:hAnsi="仿宋" w:eastAsia="仿宋_GB2312" w:cs="仿宋_GB2312"/>
                <w:b/>
                <w:color w:val="auto"/>
                <w:kern w:val="0"/>
                <w:sz w:val="32"/>
                <w:szCs w:val="32"/>
                <w:highlight w:val="none"/>
              </w:rPr>
            </w:pPr>
          </w:p>
        </w:tc>
        <w:tc>
          <w:tcPr>
            <w:tcW w:w="3546" w:type="dxa"/>
          </w:tcPr>
          <w:p>
            <w:pPr>
              <w:jc w:val="center"/>
              <w:rPr>
                <w:rFonts w:ascii="仿宋_GB2312" w:hAnsi="仿宋" w:eastAsia="仿宋_GB2312" w:cs="仿宋_GB2312"/>
                <w:b/>
                <w:color w:val="auto"/>
                <w:kern w:val="0"/>
                <w:sz w:val="32"/>
                <w:szCs w:val="32"/>
                <w:highlight w:val="none"/>
              </w:rPr>
            </w:pPr>
          </w:p>
        </w:tc>
        <w:tc>
          <w:tcPr>
            <w:tcW w:w="1276" w:type="dxa"/>
          </w:tcPr>
          <w:p>
            <w:pPr>
              <w:jc w:val="center"/>
              <w:rPr>
                <w:rFonts w:ascii="仿宋_GB2312" w:hAnsi="仿宋"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color w:val="auto"/>
                <w:kern w:val="0"/>
                <w:sz w:val="24"/>
                <w:highlight w:val="none"/>
              </w:rPr>
            </w:pPr>
            <w:r>
              <w:rPr>
                <w:rFonts w:ascii="仿宋_GB2312" w:hAnsi="仿宋" w:eastAsia="仿宋_GB2312" w:cs="仿宋_GB2312"/>
                <w:color w:val="auto"/>
                <w:kern w:val="0"/>
                <w:sz w:val="24"/>
                <w:highlight w:val="none"/>
              </w:rPr>
              <w:t>2</w:t>
            </w:r>
          </w:p>
        </w:tc>
        <w:tc>
          <w:tcPr>
            <w:tcW w:w="3683" w:type="dxa"/>
          </w:tcPr>
          <w:p>
            <w:pPr>
              <w:jc w:val="center"/>
              <w:rPr>
                <w:rFonts w:ascii="仿宋_GB2312" w:hAnsi="仿宋" w:eastAsia="仿宋_GB2312" w:cs="仿宋_GB2312"/>
                <w:b/>
                <w:color w:val="auto"/>
                <w:kern w:val="0"/>
                <w:sz w:val="32"/>
                <w:szCs w:val="32"/>
                <w:highlight w:val="none"/>
              </w:rPr>
            </w:pPr>
          </w:p>
        </w:tc>
        <w:tc>
          <w:tcPr>
            <w:tcW w:w="3546" w:type="dxa"/>
          </w:tcPr>
          <w:p>
            <w:pPr>
              <w:jc w:val="center"/>
              <w:rPr>
                <w:rFonts w:ascii="仿宋_GB2312" w:hAnsi="仿宋" w:eastAsia="仿宋_GB2312" w:cs="仿宋_GB2312"/>
                <w:b/>
                <w:color w:val="auto"/>
                <w:kern w:val="0"/>
                <w:sz w:val="32"/>
                <w:szCs w:val="32"/>
                <w:highlight w:val="none"/>
              </w:rPr>
            </w:pPr>
          </w:p>
        </w:tc>
        <w:tc>
          <w:tcPr>
            <w:tcW w:w="1276" w:type="dxa"/>
          </w:tcPr>
          <w:p>
            <w:pPr>
              <w:jc w:val="center"/>
              <w:rPr>
                <w:rFonts w:ascii="仿宋_GB2312" w:hAnsi="仿宋"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w:t>
            </w:r>
          </w:p>
        </w:tc>
        <w:tc>
          <w:tcPr>
            <w:tcW w:w="3683" w:type="dxa"/>
          </w:tcPr>
          <w:p>
            <w:pPr>
              <w:jc w:val="center"/>
              <w:rPr>
                <w:rFonts w:ascii="仿宋_GB2312" w:hAnsi="仿宋" w:eastAsia="仿宋_GB2312" w:cs="仿宋_GB2312"/>
                <w:b/>
                <w:color w:val="auto"/>
                <w:kern w:val="0"/>
                <w:sz w:val="32"/>
                <w:szCs w:val="32"/>
                <w:highlight w:val="none"/>
              </w:rPr>
            </w:pPr>
          </w:p>
        </w:tc>
        <w:tc>
          <w:tcPr>
            <w:tcW w:w="3546" w:type="dxa"/>
          </w:tcPr>
          <w:p>
            <w:pPr>
              <w:jc w:val="center"/>
              <w:rPr>
                <w:rFonts w:ascii="仿宋_GB2312" w:hAnsi="仿宋" w:eastAsia="仿宋_GB2312" w:cs="仿宋_GB2312"/>
                <w:b/>
                <w:color w:val="auto"/>
                <w:kern w:val="0"/>
                <w:sz w:val="32"/>
                <w:szCs w:val="32"/>
                <w:highlight w:val="none"/>
              </w:rPr>
            </w:pPr>
          </w:p>
        </w:tc>
        <w:tc>
          <w:tcPr>
            <w:tcW w:w="1276" w:type="dxa"/>
          </w:tcPr>
          <w:p>
            <w:pPr>
              <w:jc w:val="center"/>
              <w:rPr>
                <w:rFonts w:ascii="仿宋_GB2312" w:hAnsi="仿宋" w:eastAsia="仿宋_GB2312" w:cs="仿宋_GB2312"/>
                <w:b/>
                <w:color w:val="auto"/>
                <w:kern w:val="0"/>
                <w:sz w:val="32"/>
                <w:szCs w:val="32"/>
                <w:highlight w:val="none"/>
              </w:rPr>
            </w:pPr>
          </w:p>
        </w:tc>
      </w:tr>
    </w:tbl>
    <w:p>
      <w:pPr>
        <w:jc w:val="left"/>
        <w:rPr>
          <w:rFonts w:hint="eastAsia" w:ascii="仿宋_GB2312" w:hAnsi="仿宋" w:eastAsia="仿宋_GB2312" w:cs="仿宋_GB2312"/>
          <w:color w:val="auto"/>
          <w:kern w:val="0"/>
          <w:sz w:val="24"/>
          <w:highlight w:val="none"/>
          <w:lang w:eastAsia="zh-CN"/>
        </w:rPr>
      </w:pPr>
      <w:r>
        <w:rPr>
          <w:rFonts w:hint="eastAsia" w:ascii="仿宋_GB2312" w:hAnsi="仿宋" w:eastAsia="仿宋_GB2312" w:cs="仿宋_GB2312"/>
          <w:color w:val="auto"/>
          <w:kern w:val="0"/>
          <w:sz w:val="24"/>
          <w:highlight w:val="none"/>
        </w:rPr>
        <w:t>投标人保证：除商务技术偏离表列出的偏离外，投标人响应招标文件的全部要求</w:t>
      </w:r>
      <w:r>
        <w:rPr>
          <w:rFonts w:hint="eastAsia" w:ascii="仿宋_GB2312" w:hAnsi="仿宋" w:eastAsia="仿宋_GB2312" w:cs="仿宋_GB2312"/>
          <w:color w:val="auto"/>
          <w:kern w:val="0"/>
          <w:sz w:val="24"/>
          <w:highlight w:val="none"/>
          <w:lang w:eastAsia="zh-CN"/>
        </w:rPr>
        <w:t>。</w:t>
      </w: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jc w:val="center"/>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b/>
          <w:bCs/>
          <w:color w:val="auto"/>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2891" w:firstLineChars="900"/>
        <w:rPr>
          <w:rFonts w:ascii="仿宋_GB2312" w:hAnsi="仿宋" w:eastAsia="仿宋_GB2312" w:cs="仿宋_GB2312"/>
          <w:b/>
          <w:color w:val="auto"/>
          <w:kern w:val="0"/>
          <w:sz w:val="32"/>
          <w:szCs w:val="32"/>
          <w:highlight w:val="none"/>
        </w:rPr>
      </w:pPr>
    </w:p>
    <w:p>
      <w:pPr>
        <w:ind w:firstLine="1911" w:firstLineChars="595"/>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八、</w:t>
      </w:r>
      <w:r>
        <w:rPr>
          <w:rFonts w:hint="eastAsia" w:ascii="仿宋_GB2312" w:hAnsi="仿宋" w:eastAsia="仿宋_GB2312" w:cs="仿宋_GB2312"/>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_GB2312"/>
          <w:color w:val="auto"/>
          <w:sz w:val="24"/>
          <w:highlight w:val="none"/>
        </w:rPr>
      </w:pPr>
    </w:p>
    <w:p>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一、不向项目有关人员及部门赠送礼金礼物、有价证券、回扣以及中介费、介绍费、咨询费等好处费；</w:t>
      </w:r>
      <w:r>
        <w:rPr>
          <w:rFonts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二、不为项目有关人员及部门报销应由你方单位或个人支付的费用；</w:t>
      </w:r>
      <w:r>
        <w:rPr>
          <w:rFonts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三、不向项目有关人员及部门提供有可能影响公正的宴请和健身娱乐等活动；</w:t>
      </w:r>
      <w:r>
        <w:rPr>
          <w:rFonts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autoSpaceDE w:val="0"/>
        <w:autoSpaceDN w:val="0"/>
        <w:spacing w:line="360" w:lineRule="auto"/>
        <w:ind w:left="550"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autoSpaceDE w:val="0"/>
        <w:autoSpaceDN w:val="0"/>
        <w:spacing w:line="360" w:lineRule="auto"/>
        <w:ind w:left="550"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楷体" w:eastAsia="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楷体" w:eastAsia="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楷体" w:eastAsia="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等法律法规，诚实守信，合法经营，坚决抵制各种违法违纪行为。</w:t>
      </w:r>
      <w:r>
        <w:rPr>
          <w:rFonts w:ascii="仿宋_GB2312" w:hAnsi="仿宋_GB2312" w:eastAsia="仿宋_GB2312" w:cs="仿宋_GB2312"/>
          <w:color w:val="auto"/>
          <w:kern w:val="0"/>
          <w:sz w:val="24"/>
          <w:highlight w:val="none"/>
          <w:lang w:val="zh-CN"/>
        </w:rPr>
        <w:t xml:space="preserve">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w:t>
      </w:r>
      <w:r>
        <w:rPr>
          <w:rFonts w:ascii="仿宋_GB2312" w:hAnsi="仿宋_GB2312" w:eastAsia="仿宋_GB2312" w:cs="仿宋_GB2312"/>
          <w:color w:val="auto"/>
          <w:kern w:val="0"/>
          <w:sz w:val="24"/>
          <w:highlight w:val="none"/>
          <w:lang w:val="zh-CN"/>
        </w:rPr>
        <w:t xml:space="preserve">                                                                                                                                                                                                               </w:t>
      </w:r>
    </w:p>
    <w:p>
      <w:pPr>
        <w:spacing w:line="360" w:lineRule="auto"/>
        <w:ind w:left="5280" w:leftChars="2200"/>
        <w:rPr>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lang w:val="zh-CN"/>
        </w:rPr>
        <w:t xml:space="preserve">   年   月   日</w:t>
      </w:r>
    </w:p>
    <w:p>
      <w:pPr>
        <w:spacing w:line="360" w:lineRule="auto"/>
        <w:jc w:val="center"/>
        <w:rPr>
          <w:rFonts w:ascii="仿宋_GB2312" w:hAnsi="仿宋" w:eastAsia="仿宋_GB2312" w:cs="仿宋_GB2312"/>
          <w:b/>
          <w:bCs/>
          <w:color w:val="auto"/>
          <w:sz w:val="24"/>
          <w:highlight w:val="none"/>
        </w:rPr>
      </w:pPr>
    </w:p>
    <w:p>
      <w:pPr>
        <w:spacing w:line="360" w:lineRule="auto"/>
        <w:jc w:val="center"/>
        <w:rPr>
          <w:rFonts w:ascii="仿宋_GB2312" w:hAnsi="仿宋" w:eastAsia="仿宋_GB2312" w:cs="仿宋_GB2312"/>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报价文件部分</w:t>
      </w:r>
    </w:p>
    <w:p>
      <w:pPr>
        <w:spacing w:line="360" w:lineRule="auto"/>
        <w:jc w:val="center"/>
        <w:outlineLvl w:val="0"/>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目录</w:t>
      </w:r>
    </w:p>
    <w:p>
      <w:pPr>
        <w:spacing w:line="360" w:lineRule="auto"/>
        <w:jc w:val="center"/>
        <w:outlineLvl w:val="0"/>
        <w:rPr>
          <w:rFonts w:ascii="仿宋_GB2312" w:hAnsi="仿宋" w:eastAsia="仿宋_GB2312" w:cs="仿宋_GB2312"/>
          <w:b/>
          <w:color w:val="auto"/>
          <w:kern w:val="0"/>
          <w:sz w:val="36"/>
          <w:szCs w:val="36"/>
          <w:highlight w:val="none"/>
        </w:rPr>
      </w:pP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1）</w:t>
      </w:r>
      <w:r>
        <w:rPr>
          <w:rFonts w:hint="eastAsia" w:ascii="仿宋_GB2312" w:hAnsi="仿宋" w:eastAsia="仿宋_GB2312" w:cs="仿宋_GB2312"/>
          <w:color w:val="auto"/>
          <w:sz w:val="24"/>
          <w:highlight w:val="none"/>
          <w:lang w:eastAsia="zh-CN"/>
        </w:rPr>
        <w:t>投标报价明细表</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…………………………………………………（页码）</w:t>
      </w:r>
    </w:p>
    <w:p>
      <w:pPr>
        <w:snapToGrid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ascii="仿宋_GB2312" w:hAnsi="仿宋" w:eastAsia="仿宋_GB2312" w:cs="仿宋_GB2312"/>
          <w:color w:val="auto"/>
          <w:sz w:val="24"/>
          <w:highlight w:val="none"/>
        </w:rPr>
        <w:t>2）中小企业声明函……</w:t>
      </w:r>
      <w:r>
        <w:rPr>
          <w:rFonts w:hint="eastAsia" w:ascii="仿宋_GB2312" w:hAnsi="仿宋" w:eastAsia="仿宋_GB2312" w:cs="仿宋_GB2312"/>
          <w:color w:val="auto"/>
          <w:sz w:val="24"/>
          <w:highlight w:val="none"/>
        </w:rPr>
        <w:t>…………………………………………………（页码）</w:t>
      </w:r>
    </w:p>
    <w:p>
      <w:pPr>
        <w:rPr>
          <w:rFonts w:ascii="仿宋_GB2312" w:hAnsi="仿宋" w:eastAsia="仿宋_GB2312" w:cs="仿宋_GB2312"/>
          <w:color w:val="auto"/>
          <w:kern w:val="0"/>
          <w:sz w:val="24"/>
          <w:highlight w:val="none"/>
          <w:lang w:val="zh-CN"/>
        </w:rPr>
      </w:pPr>
      <w:r>
        <w:rPr>
          <w:rFonts w:ascii="仿宋_GB2312" w:hAnsi="仿宋" w:eastAsia="仿宋_GB2312" w:cs="仿宋_GB2312"/>
          <w:b/>
          <w:color w:val="auto"/>
          <w:kern w:val="0"/>
          <w:sz w:val="32"/>
          <w:szCs w:val="32"/>
          <w:highlight w:val="none"/>
        </w:rPr>
        <w:br w:type="page"/>
      </w:r>
    </w:p>
    <w:p>
      <w:pPr>
        <w:snapToGrid w:val="0"/>
        <w:spacing w:line="360" w:lineRule="auto"/>
        <w:jc w:val="center"/>
        <w:rPr>
          <w:rFonts w:hint="eastAsia" w:ascii="仿宋_GB2312" w:hAnsi="仿宋" w:eastAsia="仿宋_GB2312" w:cs="仿宋_GB2312"/>
          <w:color w:val="auto"/>
          <w:kern w:val="2"/>
          <w:sz w:val="32"/>
          <w:szCs w:val="32"/>
          <w:highlight w:val="none"/>
          <w:lang w:eastAsia="zh-CN"/>
        </w:rPr>
      </w:pPr>
      <w:r>
        <w:rPr>
          <w:rFonts w:hint="eastAsia" w:ascii="仿宋_GB2312" w:hAnsi="仿宋" w:eastAsia="仿宋_GB2312" w:cs="仿宋_GB2312"/>
          <w:color w:val="auto"/>
          <w:kern w:val="2"/>
          <w:sz w:val="32"/>
          <w:szCs w:val="32"/>
          <w:highlight w:val="none"/>
        </w:rPr>
        <w:t>一、</w:t>
      </w:r>
      <w:r>
        <w:rPr>
          <w:rFonts w:hint="eastAsia" w:ascii="仿宋_GB2312" w:hAnsi="仿宋" w:eastAsia="仿宋_GB2312" w:cs="仿宋_GB2312"/>
          <w:color w:val="auto"/>
          <w:kern w:val="2"/>
          <w:sz w:val="32"/>
          <w:szCs w:val="32"/>
          <w:highlight w:val="none"/>
          <w:lang w:eastAsia="zh-CN"/>
        </w:rPr>
        <w:t>投标报价明细表</w:t>
      </w:r>
    </w:p>
    <w:p>
      <w:pPr>
        <w:snapToGrid w:val="0"/>
        <w:spacing w:line="360" w:lineRule="auto"/>
        <w:rPr>
          <w:rFonts w:hint="default" w:ascii="仿宋_GB2312" w:hAnsi="仿宋" w:eastAsia="仿宋_GB2312" w:cs="仿宋_GB2312"/>
          <w:color w:val="auto"/>
          <w:sz w:val="24"/>
          <w:highlight w:val="none"/>
          <w:u w:val="single"/>
          <w:lang w:val="en-US"/>
        </w:rPr>
      </w:pPr>
      <w:r>
        <w:rPr>
          <w:rFonts w:hint="eastAsia" w:ascii="仿宋_GB2312" w:hAnsi="仿宋" w:eastAsia="仿宋_GB2312" w:cs="仿宋_GB2312"/>
          <w:b/>
          <w:bCs/>
          <w:color w:val="auto"/>
          <w:sz w:val="28"/>
          <w:szCs w:val="28"/>
          <w:highlight w:val="none"/>
          <w:lang w:eastAsia="zh-CN"/>
        </w:rPr>
        <w:t>标项</w:t>
      </w:r>
      <w:r>
        <w:rPr>
          <w:rFonts w:hint="eastAsia" w:ascii="仿宋_GB2312" w:hAnsi="仿宋" w:eastAsia="仿宋_GB2312" w:cs="仿宋_GB2312"/>
          <w:b/>
          <w:bCs/>
          <w:color w:val="auto"/>
          <w:sz w:val="28"/>
          <w:szCs w:val="28"/>
          <w:highlight w:val="none"/>
          <w:u w:val="single"/>
          <w:lang w:val="en-US" w:eastAsia="zh-CN"/>
        </w:rPr>
        <w:t xml:space="preserve">   </w:t>
      </w:r>
    </w:p>
    <w:p>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（采购人）、（采购代理机构）</w:t>
      </w:r>
      <w:r>
        <w:rPr>
          <w:rFonts w:hint="eastAsia" w:ascii="仿宋_GB2312" w:hAnsi="仿宋" w:eastAsia="仿宋_GB2312" w:cs="仿宋_GB2312"/>
          <w:color w:val="auto"/>
          <w:kern w:val="0"/>
          <w:sz w:val="24"/>
          <w:highlight w:val="none"/>
          <w:lang w:val="zh-CN"/>
        </w:rPr>
        <w:t>：</w:t>
      </w:r>
    </w:p>
    <w:p>
      <w:pPr>
        <w:snapToGrid w:val="0"/>
        <w:spacing w:line="360" w:lineRule="auto"/>
        <w:ind w:firstLine="482"/>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按你方招标文件要求，我们，本投标文件签字方，谨此向你方发出要约如下：如你方接受本投标，我方承诺按照如下投标报价明细表的价格完成</w:t>
      </w:r>
      <w:r>
        <w:rPr>
          <w:rFonts w:hint="eastAsia" w:ascii="仿宋_GB2312" w:hAnsi="仿宋" w:eastAsia="仿宋_GB2312" w:cs="仿宋_GB2312"/>
          <w:color w:val="auto"/>
          <w:sz w:val="24"/>
          <w:highlight w:val="none"/>
        </w:rPr>
        <w:t>（项目名称）</w:t>
      </w:r>
      <w:r>
        <w:rPr>
          <w:rFonts w:hint="eastAsia" w:ascii="仿宋_GB2312" w:hAnsi="仿宋" w:eastAsia="仿宋_GB2312" w:cs="仿宋_GB2312"/>
          <w:color w:val="auto"/>
          <w:kern w:val="0"/>
          <w:sz w:val="24"/>
          <w:highlight w:val="none"/>
          <w:lang w:val="zh-CN"/>
        </w:rPr>
        <w:t>【招标编号：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】的实施</w:t>
      </w:r>
      <w:r>
        <w:rPr>
          <w:rFonts w:hint="eastAsia" w:ascii="仿宋_GB2312" w:hAnsi="仿宋" w:eastAsia="仿宋_GB2312" w:cs="仿宋_GB2312"/>
          <w:color w:val="auto"/>
          <w:kern w:val="0"/>
          <w:sz w:val="24"/>
          <w:highlight w:val="none"/>
          <w:lang w:val="zh-CN"/>
        </w:rPr>
        <w:t>。</w:t>
      </w:r>
    </w:p>
    <w:p>
      <w:pPr>
        <w:spacing w:line="360" w:lineRule="auto"/>
        <w:jc w:val="center"/>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投标报价明细表</w:t>
      </w:r>
      <w:r>
        <w:rPr>
          <w:rFonts w:ascii="仿宋_GB2312" w:hAnsi="仿宋" w:eastAsia="仿宋_GB2312" w:cs="仿宋_GB2312"/>
          <w:b/>
          <w:color w:val="auto"/>
          <w:kern w:val="0"/>
          <w:sz w:val="24"/>
          <w:highlight w:val="none"/>
          <w:lang w:val="zh-CN"/>
        </w:rPr>
        <w:t>(单位均为人民币元)</w:t>
      </w:r>
    </w:p>
    <w:tbl>
      <w:tblPr>
        <w:tblStyle w:val="62"/>
        <w:tblW w:w="97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2"/>
        <w:gridCol w:w="1768"/>
        <w:gridCol w:w="1881"/>
        <w:gridCol w:w="1416"/>
        <w:gridCol w:w="1140"/>
        <w:gridCol w:w="28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jc w:val="center"/>
        </w:trPr>
        <w:tc>
          <w:tcPr>
            <w:tcW w:w="9717" w:type="dxa"/>
            <w:gridSpan w:val="6"/>
            <w:tcBorders>
              <w:top w:val="single" w:color="auto" w:sz="4" w:space="0"/>
              <w:bottom w:val="single" w:color="auto" w:sz="4" w:space="0"/>
            </w:tcBorders>
          </w:tcPr>
          <w:p>
            <w:pPr>
              <w:snapToGrid w:val="0"/>
              <w:spacing w:line="400" w:lineRule="exact"/>
              <w:jc w:val="center"/>
              <w:rPr>
                <w:rFonts w:ascii="仿宋" w:hAnsi="仿宋" w:eastAsia="仿宋"/>
                <w:b/>
                <w:color w:val="auto"/>
                <w:sz w:val="24"/>
                <w:highlight w:val="none"/>
              </w:rPr>
            </w:pPr>
            <w:r>
              <w:rPr>
                <w:rFonts w:hint="eastAsia" w:ascii="仿宋" w:hAnsi="仿宋" w:eastAsia="仿宋"/>
                <w:b/>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2440" w:type="dxa"/>
            <w:gridSpan w:val="2"/>
            <w:vMerge w:val="restart"/>
            <w:tcBorders>
              <w:top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r>
              <w:rPr>
                <w:rFonts w:hint="eastAsia" w:ascii="仿宋" w:hAnsi="仿宋" w:eastAsia="仿宋"/>
                <w:b/>
                <w:color w:val="auto"/>
                <w:sz w:val="24"/>
                <w:highlight w:val="none"/>
              </w:rPr>
              <w:t>服务内容</w:t>
            </w:r>
          </w:p>
        </w:tc>
        <w:tc>
          <w:tcPr>
            <w:tcW w:w="1881" w:type="dxa"/>
            <w:vMerge w:val="restart"/>
            <w:tcBorders>
              <w:top w:val="single" w:color="auto" w:sz="4" w:space="0"/>
              <w:left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r>
              <w:rPr>
                <w:rFonts w:hint="eastAsia" w:ascii="仿宋" w:hAnsi="仿宋" w:eastAsia="仿宋"/>
                <w:b/>
                <w:color w:val="auto"/>
                <w:sz w:val="24"/>
                <w:highlight w:val="none"/>
              </w:rPr>
              <w:t>服务人员数量</w:t>
            </w:r>
          </w:p>
        </w:tc>
        <w:tc>
          <w:tcPr>
            <w:tcW w:w="1416" w:type="dxa"/>
            <w:vMerge w:val="restart"/>
            <w:tcBorders>
              <w:top w:val="single" w:color="auto" w:sz="4" w:space="0"/>
              <w:left w:val="single" w:color="auto" w:sz="4" w:space="0"/>
              <w:bottom w:val="nil"/>
              <w:right w:val="single" w:color="auto" w:sz="4" w:space="0"/>
            </w:tcBorders>
            <w:vAlign w:val="center"/>
          </w:tcPr>
          <w:p>
            <w:pPr>
              <w:snapToGrid w:val="0"/>
              <w:spacing w:line="400" w:lineRule="exact"/>
              <w:rPr>
                <w:rFonts w:ascii="仿宋" w:hAnsi="仿宋" w:eastAsia="仿宋"/>
                <w:b/>
                <w:color w:val="auto"/>
                <w:sz w:val="24"/>
                <w:highlight w:val="none"/>
              </w:rPr>
            </w:pPr>
            <w:r>
              <w:rPr>
                <w:rFonts w:hint="eastAsia" w:ascii="仿宋" w:hAnsi="仿宋" w:eastAsia="仿宋"/>
                <w:b/>
                <w:color w:val="auto"/>
                <w:sz w:val="24"/>
                <w:highlight w:val="none"/>
              </w:rPr>
              <w:t>工作量</w:t>
            </w:r>
          </w:p>
        </w:tc>
        <w:tc>
          <w:tcPr>
            <w:tcW w:w="1140"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auto"/>
                <w:sz w:val="24"/>
                <w:highlight w:val="none"/>
              </w:rPr>
            </w:pPr>
            <w:r>
              <w:rPr>
                <w:rFonts w:hint="eastAsia" w:ascii="仿宋" w:hAnsi="仿宋" w:eastAsia="仿宋"/>
                <w:b/>
                <w:color w:val="auto"/>
                <w:sz w:val="24"/>
                <w:highlight w:val="none"/>
              </w:rPr>
              <w:t>单价（元）</w:t>
            </w:r>
          </w:p>
        </w:tc>
        <w:tc>
          <w:tcPr>
            <w:tcW w:w="2840" w:type="dxa"/>
            <w:vMerge w:val="restart"/>
            <w:tcBorders>
              <w:top w:val="single" w:color="auto" w:sz="4" w:space="0"/>
              <w:left w:val="single" w:color="auto" w:sz="4" w:space="0"/>
              <w:bottom w:val="nil"/>
            </w:tcBorders>
            <w:vAlign w:val="center"/>
          </w:tcPr>
          <w:p>
            <w:pPr>
              <w:snapToGrid w:val="0"/>
              <w:spacing w:line="400" w:lineRule="exact"/>
              <w:jc w:val="center"/>
              <w:rPr>
                <w:rFonts w:ascii="仿宋" w:hAnsi="仿宋" w:eastAsia="仿宋"/>
                <w:b/>
                <w:color w:val="auto"/>
                <w:sz w:val="24"/>
                <w:highlight w:val="none"/>
              </w:rPr>
            </w:pPr>
            <w:r>
              <w:rPr>
                <w:rFonts w:hint="eastAsia" w:ascii="仿宋" w:hAnsi="仿宋" w:eastAsia="仿宋"/>
                <w:b/>
                <w:color w:val="auto"/>
                <w:sz w:val="24"/>
                <w:highlight w:val="none"/>
              </w:rPr>
              <w:t>总价（元）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2440" w:type="dxa"/>
            <w:gridSpan w:val="2"/>
            <w:vMerge w:val="continue"/>
            <w:tcBorders>
              <w:bottom w:val="nil"/>
              <w:right w:val="single" w:color="auto" w:sz="4" w:space="0"/>
            </w:tcBorders>
            <w:vAlign w:val="center"/>
          </w:tcPr>
          <w:p>
            <w:pPr>
              <w:widowControl/>
              <w:jc w:val="left"/>
              <w:rPr>
                <w:rFonts w:ascii="仿宋" w:hAnsi="仿宋" w:eastAsia="仿宋"/>
                <w:b/>
                <w:color w:val="auto"/>
                <w:sz w:val="24"/>
                <w:highlight w:val="none"/>
              </w:rPr>
            </w:pPr>
          </w:p>
        </w:tc>
        <w:tc>
          <w:tcPr>
            <w:tcW w:w="1881" w:type="dxa"/>
            <w:vMerge w:val="continue"/>
            <w:tcBorders>
              <w:left w:val="single" w:color="auto" w:sz="4" w:space="0"/>
              <w:bottom w:val="nil"/>
              <w:right w:val="single" w:color="auto" w:sz="4" w:space="0"/>
            </w:tcBorders>
            <w:vAlign w:val="center"/>
          </w:tcPr>
          <w:p>
            <w:pPr>
              <w:widowControl/>
              <w:jc w:val="left"/>
              <w:rPr>
                <w:rFonts w:ascii="仿宋" w:hAnsi="仿宋" w:eastAsia="仿宋"/>
                <w:b/>
                <w:color w:val="auto"/>
                <w:sz w:val="24"/>
                <w:highlight w:val="none"/>
              </w:rPr>
            </w:pPr>
          </w:p>
        </w:tc>
        <w:tc>
          <w:tcPr>
            <w:tcW w:w="1416"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auto"/>
                <w:sz w:val="24"/>
                <w:highlight w:val="none"/>
              </w:rPr>
            </w:pPr>
          </w:p>
        </w:tc>
        <w:tc>
          <w:tcPr>
            <w:tcW w:w="1140"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auto"/>
                <w:sz w:val="24"/>
                <w:highlight w:val="none"/>
              </w:rPr>
            </w:pPr>
          </w:p>
        </w:tc>
        <w:tc>
          <w:tcPr>
            <w:tcW w:w="2840" w:type="dxa"/>
            <w:vMerge w:val="continue"/>
            <w:tcBorders>
              <w:top w:val="single" w:color="auto" w:sz="4" w:space="0"/>
              <w:left w:val="single" w:color="auto" w:sz="4" w:space="0"/>
              <w:bottom w:val="nil"/>
            </w:tcBorders>
            <w:vAlign w:val="center"/>
          </w:tcPr>
          <w:p>
            <w:pPr>
              <w:widowControl/>
              <w:jc w:val="left"/>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2440" w:type="dxa"/>
            <w:gridSpan w:val="2"/>
            <w:tcBorders>
              <w:top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8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2840" w:type="dxa"/>
            <w:tcBorders>
              <w:top w:val="single" w:color="auto" w:sz="4" w:space="0"/>
              <w:left w:val="single" w:color="auto" w:sz="4" w:space="0"/>
              <w:bottom w:val="single" w:color="auto" w:sz="4" w:space="0"/>
            </w:tcBorders>
            <w:vAlign w:val="center"/>
          </w:tcPr>
          <w:p>
            <w:pPr>
              <w:snapToGrid w:val="0"/>
              <w:spacing w:line="400" w:lineRule="exact"/>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2440" w:type="dxa"/>
            <w:gridSpan w:val="2"/>
            <w:tcBorders>
              <w:top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8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2840" w:type="dxa"/>
            <w:tcBorders>
              <w:top w:val="single" w:color="auto" w:sz="4" w:space="0"/>
              <w:left w:val="single" w:color="auto" w:sz="4" w:space="0"/>
              <w:bottom w:val="single" w:color="auto" w:sz="4" w:space="0"/>
            </w:tcBorders>
            <w:vAlign w:val="center"/>
          </w:tcPr>
          <w:p>
            <w:pPr>
              <w:snapToGrid w:val="0"/>
              <w:spacing w:line="400" w:lineRule="exact"/>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2440" w:type="dxa"/>
            <w:gridSpan w:val="2"/>
            <w:tcBorders>
              <w:top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8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2840" w:type="dxa"/>
            <w:tcBorders>
              <w:top w:val="single" w:color="auto" w:sz="4" w:space="0"/>
              <w:left w:val="single" w:color="auto" w:sz="4" w:space="0"/>
              <w:bottom w:val="single" w:color="auto" w:sz="4" w:space="0"/>
            </w:tcBorders>
            <w:vAlign w:val="center"/>
          </w:tcPr>
          <w:p>
            <w:pPr>
              <w:snapToGrid w:val="0"/>
              <w:spacing w:line="400" w:lineRule="exact"/>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2440" w:type="dxa"/>
            <w:gridSpan w:val="2"/>
            <w:tcBorders>
              <w:top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8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2840" w:type="dxa"/>
            <w:tcBorders>
              <w:top w:val="single" w:color="auto" w:sz="4" w:space="0"/>
              <w:left w:val="single" w:color="auto" w:sz="4" w:space="0"/>
              <w:bottom w:val="single" w:color="auto" w:sz="4" w:space="0"/>
            </w:tcBorders>
            <w:vAlign w:val="center"/>
          </w:tcPr>
          <w:p>
            <w:pPr>
              <w:snapToGrid w:val="0"/>
              <w:spacing w:line="400" w:lineRule="exact"/>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2440" w:type="dxa"/>
            <w:gridSpan w:val="2"/>
            <w:tcBorders>
              <w:top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r>
              <w:rPr>
                <w:rFonts w:hint="eastAsia" w:ascii="仿宋" w:hAnsi="仿宋" w:eastAsia="仿宋"/>
                <w:b/>
                <w:color w:val="auto"/>
                <w:sz w:val="24"/>
                <w:highlight w:val="none"/>
              </w:rPr>
              <w:t>…</w:t>
            </w:r>
          </w:p>
        </w:tc>
        <w:tc>
          <w:tcPr>
            <w:tcW w:w="188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41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auto"/>
                <w:sz w:val="24"/>
                <w:highlight w:val="none"/>
              </w:rPr>
            </w:pPr>
          </w:p>
        </w:tc>
        <w:tc>
          <w:tcPr>
            <w:tcW w:w="2840" w:type="dxa"/>
            <w:tcBorders>
              <w:top w:val="single" w:color="auto" w:sz="4" w:space="0"/>
              <w:left w:val="single" w:color="auto" w:sz="4" w:space="0"/>
              <w:bottom w:val="single" w:color="auto" w:sz="4" w:space="0"/>
            </w:tcBorders>
            <w:vAlign w:val="center"/>
          </w:tcPr>
          <w:p>
            <w:pPr>
              <w:snapToGrid w:val="0"/>
              <w:spacing w:line="400" w:lineRule="exact"/>
              <w:jc w:val="center"/>
              <w:rPr>
                <w:rFonts w:ascii="仿宋" w:hAnsi="仿宋" w:eastAsia="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672" w:type="dxa"/>
            <w:tcBorders>
              <w:top w:val="single" w:color="auto" w:sz="4" w:space="0"/>
              <w:bottom w:val="single" w:color="auto" w:sz="4" w:space="0"/>
              <w:right w:val="single" w:color="auto" w:sz="4" w:space="0"/>
            </w:tcBorders>
          </w:tcPr>
          <w:p>
            <w:pPr>
              <w:snapToGrid w:val="0"/>
              <w:spacing w:line="400" w:lineRule="exact"/>
              <w:rPr>
                <w:rFonts w:ascii="仿宋" w:hAnsi="仿宋" w:eastAsia="仿宋"/>
                <w:b/>
                <w:color w:val="auto"/>
                <w:sz w:val="24"/>
                <w:highlight w:val="none"/>
              </w:rPr>
            </w:pPr>
          </w:p>
        </w:tc>
        <w:tc>
          <w:tcPr>
            <w:tcW w:w="9045" w:type="dxa"/>
            <w:gridSpan w:val="5"/>
            <w:tcBorders>
              <w:top w:val="single" w:color="auto" w:sz="4" w:space="0"/>
              <w:left w:val="single" w:color="auto" w:sz="4" w:space="0"/>
              <w:bottom w:val="single" w:color="auto" w:sz="4" w:space="0"/>
            </w:tcBorders>
            <w:vAlign w:val="center"/>
          </w:tcPr>
          <w:p>
            <w:pPr>
              <w:snapToGrid w:val="0"/>
              <w:spacing w:line="400" w:lineRule="exact"/>
              <w:rPr>
                <w:rFonts w:ascii="仿宋" w:hAnsi="仿宋" w:eastAsia="仿宋"/>
                <w:b/>
                <w:color w:val="auto"/>
                <w:sz w:val="24"/>
                <w:highlight w:val="none"/>
              </w:rPr>
            </w:pPr>
            <w:r>
              <w:rPr>
                <w:rFonts w:hint="eastAsia" w:ascii="仿宋" w:hAnsi="仿宋" w:eastAsia="仿宋"/>
                <w:b/>
                <w:color w:val="auto"/>
                <w:sz w:val="24"/>
                <w:highlight w:val="none"/>
              </w:rPr>
              <w:t>（表格请自行扩充）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jc w:val="center"/>
        </w:trPr>
        <w:tc>
          <w:tcPr>
            <w:tcW w:w="672" w:type="dxa"/>
            <w:tcBorders>
              <w:top w:val="single" w:color="auto" w:sz="4" w:space="0"/>
              <w:bottom w:val="single" w:color="auto" w:sz="4" w:space="0"/>
              <w:right w:val="single" w:color="auto" w:sz="4" w:space="0"/>
            </w:tcBorders>
          </w:tcPr>
          <w:p>
            <w:pPr>
              <w:snapToGrid w:val="0"/>
              <w:spacing w:line="400" w:lineRule="exact"/>
              <w:rPr>
                <w:rFonts w:ascii="仿宋" w:hAnsi="仿宋" w:eastAsia="仿宋"/>
                <w:b/>
                <w:color w:val="auto"/>
                <w:sz w:val="24"/>
                <w:highlight w:val="none"/>
              </w:rPr>
            </w:pPr>
          </w:p>
        </w:tc>
        <w:tc>
          <w:tcPr>
            <w:tcW w:w="9045" w:type="dxa"/>
            <w:gridSpan w:val="5"/>
            <w:tcBorders>
              <w:top w:val="single" w:color="auto" w:sz="4" w:space="0"/>
              <w:left w:val="single" w:color="auto" w:sz="4" w:space="0"/>
              <w:bottom w:val="single" w:color="auto" w:sz="4" w:space="0"/>
            </w:tcBorders>
            <w:vAlign w:val="center"/>
          </w:tcPr>
          <w:p>
            <w:pPr>
              <w:snapToGrid w:val="0"/>
              <w:spacing w:line="400" w:lineRule="exact"/>
              <w:rPr>
                <w:rFonts w:ascii="仿宋" w:hAnsi="仿宋" w:eastAsia="仿宋"/>
                <w:b/>
                <w:color w:val="auto"/>
                <w:sz w:val="24"/>
                <w:highlight w:val="none"/>
              </w:rPr>
            </w:pPr>
            <w:r>
              <w:rPr>
                <w:rFonts w:hint="eastAsia" w:ascii="仿宋" w:hAnsi="仿宋" w:eastAsia="仿宋"/>
                <w:b/>
                <w:color w:val="auto"/>
                <w:sz w:val="24"/>
                <w:highlight w:val="none"/>
              </w:rPr>
              <w:t>投标总价合计金额大写：</w:t>
            </w:r>
            <w:r>
              <w:rPr>
                <w:rFonts w:ascii="仿宋" w:hAnsi="仿宋" w:eastAsia="仿宋"/>
                <w:b/>
                <w:color w:val="auto"/>
                <w:sz w:val="24"/>
                <w:highlight w:val="none"/>
              </w:rPr>
              <w:t xml:space="preserve">                                </w:t>
            </w:r>
            <w:r>
              <w:rPr>
                <w:rFonts w:hint="eastAsia" w:ascii="仿宋" w:hAnsi="仿宋" w:eastAsia="仿宋"/>
                <w:b/>
                <w:color w:val="auto"/>
                <w:sz w:val="24"/>
                <w:highlight w:val="none"/>
              </w:rPr>
              <w:t>小写：</w:t>
            </w:r>
            <w:r>
              <w:rPr>
                <w:rFonts w:ascii="仿宋" w:hAnsi="仿宋" w:eastAsia="仿宋"/>
                <w:b/>
                <w:color w:val="auto"/>
                <w:sz w:val="24"/>
                <w:highlight w:val="none"/>
              </w:rPr>
              <w:t xml:space="preserve"> </w:t>
            </w:r>
            <w:r>
              <w:rPr>
                <w:rFonts w:hint="eastAsia" w:ascii="仿宋" w:hAnsi="仿宋" w:eastAsia="仿宋"/>
                <w:b/>
                <w:color w:val="auto"/>
                <w:sz w:val="24"/>
                <w:highlight w:val="none"/>
              </w:rPr>
              <w:t>￥</w:t>
            </w:r>
            <w:r>
              <w:rPr>
                <w:rFonts w:ascii="仿宋" w:hAnsi="仿宋" w:eastAsia="仿宋"/>
                <w:b/>
                <w:color w:val="auto"/>
                <w:sz w:val="24"/>
                <w:highlight w:val="none"/>
                <w:u w:val="single"/>
              </w:rPr>
              <w:t xml:space="preserve">          </w:t>
            </w:r>
          </w:p>
        </w:tc>
      </w:tr>
    </w:tbl>
    <w:p>
      <w:pPr>
        <w:snapToGrid w:val="0"/>
        <w:spacing w:line="360" w:lineRule="auto"/>
        <w:ind w:left="480"/>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注：</w:t>
      </w:r>
    </w:p>
    <w:p>
      <w:pPr>
        <w:spacing w:line="360" w:lineRule="auto"/>
        <w:ind w:firstLine="480" w:firstLineChars="200"/>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1、有关本项目实施所涉及的一切费用均计入报价。</w:t>
      </w:r>
      <w:r>
        <w:rPr>
          <w:rFonts w:hint="eastAsia" w:ascii="仿宋_GB2312" w:hAnsi="仿宋"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b/>
          <w:color w:val="auto"/>
          <w:kern w:val="0"/>
          <w:sz w:val="24"/>
          <w:highlight w:val="none"/>
          <w:lang w:val="zh-CN"/>
        </w:rPr>
        <w:t>不得出现“</w:t>
      </w:r>
      <w:r>
        <w:rPr>
          <w:rFonts w:ascii="仿宋_GB2312" w:hAnsi="仿宋" w:eastAsia="仿宋_GB2312" w:cs="仿宋_GB2312"/>
          <w:b/>
          <w:color w:val="auto"/>
          <w:kern w:val="0"/>
          <w:sz w:val="24"/>
          <w:highlight w:val="none"/>
          <w:lang w:val="zh-CN"/>
        </w:rPr>
        <w:t>0元”“免费赠送”等形式的无偿报价</w:t>
      </w:r>
      <w:r>
        <w:rPr>
          <w:rFonts w:hint="eastAsia" w:ascii="仿宋_GB2312" w:hAnsi="仿宋" w:eastAsia="仿宋_GB2312" w:cs="仿宋_GB2312"/>
          <w:b/>
          <w:color w:val="auto"/>
          <w:kern w:val="0"/>
          <w:sz w:val="24"/>
          <w:highlight w:val="none"/>
          <w:lang w:val="zh-CN"/>
        </w:rPr>
        <w:t>，</w:t>
      </w:r>
      <w:r>
        <w:rPr>
          <w:rFonts w:hint="eastAsia" w:ascii="仿宋_GB2312" w:hAnsi="仿宋" w:eastAsia="仿宋_GB2312" w:cs="仿宋_GB2312"/>
          <w:b/>
          <w:color w:val="auto"/>
          <w:kern w:val="0"/>
          <w:sz w:val="24"/>
          <w:highlight w:val="none"/>
        </w:rPr>
        <w:t>否则视为</w:t>
      </w:r>
      <w:r>
        <w:rPr>
          <w:rFonts w:hint="eastAsia" w:ascii="仿宋_GB2312" w:hAnsi="仿宋" w:eastAsia="仿宋_GB2312"/>
          <w:b/>
          <w:color w:val="auto"/>
          <w:sz w:val="24"/>
          <w:highlight w:val="none"/>
        </w:rPr>
        <w:t>投标文件含有采购人不能接受的附加条件的，投标无效</w:t>
      </w:r>
      <w:r>
        <w:rPr>
          <w:rFonts w:hint="eastAsia" w:ascii="仿宋_GB2312" w:hAnsi="仿宋" w:eastAsia="仿宋_GB2312" w:cs="仿宋_GB2312"/>
          <w:b/>
          <w:color w:val="auto"/>
          <w:kern w:val="0"/>
          <w:sz w:val="24"/>
          <w:highlight w:val="none"/>
          <w:lang w:val="zh-CN"/>
        </w:rPr>
        <w:t>。</w:t>
      </w:r>
    </w:p>
    <w:p>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en-US" w:eastAsia="zh-CN"/>
        </w:rPr>
        <w:t>2</w:t>
      </w:r>
      <w:r>
        <w:rPr>
          <w:rFonts w:ascii="仿宋_GB2312" w:hAnsi="仿宋" w:eastAsia="仿宋_GB2312" w:cs="仿宋_GB2312"/>
          <w:color w:val="auto"/>
          <w:kern w:val="0"/>
          <w:sz w:val="24"/>
          <w:highlight w:val="none"/>
          <w:lang w:val="zh-CN"/>
        </w:rPr>
        <w:t>、特别提示：采购机构将对项目名称和项目编号，中标供应商名称、地址和中标金额，主要中标标的</w:t>
      </w:r>
      <w:r>
        <w:rPr>
          <w:rFonts w:hint="eastAsia" w:ascii="仿宋_GB2312" w:hAnsi="仿宋" w:eastAsia="仿宋_GB2312" w:cs="仿宋_GB2312"/>
          <w:color w:val="auto"/>
          <w:kern w:val="0"/>
          <w:sz w:val="24"/>
          <w:highlight w:val="none"/>
          <w:lang w:val="zh-CN"/>
        </w:rPr>
        <w:t>的名称、数量、单价等予以公示。</w:t>
      </w:r>
    </w:p>
    <w:p>
      <w:pPr>
        <w:autoSpaceDE w:val="0"/>
        <w:autoSpaceDN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w:t>
      </w:r>
      <w:r>
        <w:rPr>
          <w:rFonts w:ascii="仿宋_GB2312" w:hAnsi="仿宋_GB2312" w:eastAsia="仿宋_GB2312" w:cs="仿宋_GB2312"/>
          <w:color w:val="auto"/>
          <w:kern w:val="0"/>
          <w:sz w:val="24"/>
          <w:highlight w:val="none"/>
          <w:lang w:val="zh-CN"/>
        </w:rPr>
        <w:t xml:space="preserve">                                                                                                                                                                                                               </w:t>
      </w:r>
    </w:p>
    <w:p>
      <w:pPr>
        <w:jc w:val="center"/>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lang w:val="zh-CN"/>
        </w:rPr>
        <w:t xml:space="preserve">   年   月   日</w:t>
      </w:r>
    </w:p>
    <w:p>
      <w:pPr>
        <w:pStyle w:val="2"/>
        <w:rPr>
          <w:rFonts w:hint="eastAsia"/>
          <w:color w:val="auto"/>
          <w:highlight w:val="none"/>
        </w:rPr>
      </w:pPr>
    </w:p>
    <w:p>
      <w:pPr>
        <w:rPr>
          <w:rFonts w:hint="eastAsia" w:ascii="仿宋_GB2312" w:hAnsi="仿宋" w:eastAsia="仿宋_GB2312" w:cs="仿宋_GB2312"/>
          <w:color w:val="auto"/>
          <w:kern w:val="2"/>
          <w:sz w:val="32"/>
          <w:szCs w:val="32"/>
          <w:highlight w:val="none"/>
        </w:rPr>
      </w:pPr>
      <w:r>
        <w:rPr>
          <w:rFonts w:hint="eastAsia" w:ascii="仿宋_GB2312" w:hAnsi="仿宋" w:eastAsia="仿宋_GB2312" w:cs="仿宋_GB2312"/>
          <w:color w:val="auto"/>
          <w:kern w:val="2"/>
          <w:sz w:val="32"/>
          <w:szCs w:val="32"/>
          <w:highlight w:val="none"/>
        </w:rPr>
        <w:br w:type="page"/>
      </w:r>
    </w:p>
    <w:p>
      <w:pPr>
        <w:pStyle w:val="690"/>
        <w:keepNext w:val="0"/>
        <w:pageBreakBefore w:val="0"/>
        <w:tabs>
          <w:tab w:val="clear" w:pos="720"/>
        </w:tabs>
        <w:snapToGrid w:val="0"/>
        <w:spacing w:before="120" w:after="120"/>
        <w:ind w:firstLine="643"/>
        <w:outlineLvl w:val="9"/>
        <w:rPr>
          <w:rFonts w:ascii="仿宋_GB2312" w:hAnsi="宋体" w:eastAsia="仿宋_GB2312"/>
          <w:color w:val="auto"/>
          <w:sz w:val="32"/>
          <w:szCs w:val="32"/>
          <w:highlight w:val="none"/>
        </w:rPr>
      </w:pPr>
      <w:r>
        <w:rPr>
          <w:rFonts w:hint="eastAsia" w:ascii="仿宋_GB2312" w:hAnsi="仿宋" w:eastAsia="仿宋_GB2312" w:cs="仿宋_GB2312"/>
          <w:color w:val="auto"/>
          <w:kern w:val="2"/>
          <w:sz w:val="32"/>
          <w:szCs w:val="32"/>
          <w:highlight w:val="none"/>
        </w:rPr>
        <w:t>二、</w:t>
      </w:r>
      <w:r>
        <w:rPr>
          <w:rFonts w:hint="eastAsia" w:ascii="仿宋_GB2312" w:hAnsi="宋体" w:eastAsia="仿宋_GB2312"/>
          <w:color w:val="auto"/>
          <w:sz w:val="32"/>
          <w:szCs w:val="32"/>
          <w:highlight w:val="none"/>
        </w:rPr>
        <w:t>中小企业声明函</w:t>
      </w:r>
    </w:p>
    <w:p>
      <w:pPr>
        <w:widowControl/>
        <w:spacing w:line="360" w:lineRule="auto"/>
        <w:ind w:firstLine="120" w:firstLineChars="5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hAnsi="仿宋" w:eastAsia="仿宋_GB2312" w:cs="仿宋_GB2312"/>
          <w:b/>
          <w:color w:val="auto"/>
          <w:sz w:val="24"/>
          <w:highlight w:val="none"/>
        </w:rPr>
        <w:t>5）。</w:t>
      </w:r>
      <w:r>
        <w:rPr>
          <w:rFonts w:hint="eastAsia" w:ascii="仿宋_GB2312" w:hAnsi="仿宋" w:eastAsia="仿宋_GB2312" w:cs="仿宋_GB2312"/>
          <w:b/>
          <w:color w:val="auto"/>
          <w:sz w:val="24"/>
          <w:highlight w:val="none"/>
        </w:rPr>
        <w:t>]</w:t>
      </w:r>
    </w:p>
    <w:p>
      <w:pPr>
        <w:pStyle w:val="690"/>
        <w:keepNext w:val="0"/>
        <w:pageBreakBefore w:val="0"/>
        <w:tabs>
          <w:tab w:val="clear" w:pos="720"/>
        </w:tabs>
        <w:snapToGrid w:val="0"/>
        <w:spacing w:before="120" w:after="120"/>
        <w:ind w:firstLine="643"/>
        <w:outlineLvl w:val="9"/>
        <w:rPr>
          <w:rFonts w:ascii="仿宋_GB2312" w:hAnsi="宋体" w:eastAsia="仿宋_GB2312"/>
          <w:b w:val="0"/>
          <w:color w:val="auto"/>
          <w:sz w:val="32"/>
          <w:szCs w:val="32"/>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ind w:right="420" w:firstLine="3614" w:firstLineChars="1000"/>
        <w:rPr>
          <w:rFonts w:ascii="仿宋_GB2312" w:hAnsi="仿宋" w:eastAsia="仿宋_GB2312" w:cs="仿宋_GB2312"/>
          <w:b/>
          <w:color w:val="auto"/>
          <w:kern w:val="0"/>
          <w:sz w:val="36"/>
          <w:szCs w:val="36"/>
          <w:highlight w:val="none"/>
        </w:rPr>
      </w:pPr>
    </w:p>
    <w:p>
      <w:pPr>
        <w:spacing w:line="360" w:lineRule="auto"/>
        <w:jc w:val="center"/>
        <w:rPr>
          <w:rFonts w:ascii="仿宋" w:hAnsi="仿宋" w:eastAsia="仿宋" w:cs="仿宋_GB2312"/>
          <w:b/>
          <w:color w:val="auto"/>
          <w:sz w:val="32"/>
          <w:szCs w:val="32"/>
          <w:highlight w:val="none"/>
        </w:rPr>
      </w:pPr>
      <w:r>
        <w:rPr>
          <w:rFonts w:hint="eastAsia" w:ascii="仿宋" w:hAnsi="仿宋" w:eastAsia="仿宋" w:cs="仿宋_GB2312"/>
          <w:b/>
          <w:color w:val="auto"/>
          <w:sz w:val="30"/>
          <w:szCs w:val="30"/>
          <w:highlight w:val="none"/>
        </w:rPr>
        <w:t>关于钱塘新区政府采购支持中小企业信用融资相关事项通知</w:t>
      </w:r>
    </w:p>
    <w:p>
      <w:pPr>
        <w:spacing w:line="360" w:lineRule="auto"/>
        <w:jc w:val="center"/>
        <w:rPr>
          <w:rFonts w:ascii="仿宋" w:hAnsi="仿宋" w:eastAsia="仿宋" w:cs="仿宋_GB2312"/>
          <w:b/>
          <w:color w:val="auto"/>
          <w:sz w:val="10"/>
          <w:szCs w:val="10"/>
          <w:highlight w:val="none"/>
        </w:rPr>
      </w:pPr>
    </w:p>
    <w:p>
      <w:pPr>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为支持和促进中小企业发展，进一步发挥政府采购政策功能，根据《杭州市政府采购支持中小企业信用融资管理办法》《关于钱塘新区政府采购支持中小企业信用融资有关事项的通知》，现将相关事项通知如下：</w:t>
      </w:r>
    </w:p>
    <w:p>
      <w:pPr>
        <w:snapToGrid w:val="0"/>
        <w:spacing w:line="360" w:lineRule="auto"/>
        <w:ind w:firstLine="482" w:firstLineChars="200"/>
        <w:jc w:val="left"/>
        <w:rPr>
          <w:rFonts w:hint="eastAsia" w:ascii="仿宋_GB2312" w:hAnsi="仿宋" w:eastAsia="仿宋_GB2312" w:cs="仿宋_GB2312"/>
          <w:b/>
          <w:bCs/>
          <w:color w:val="auto"/>
          <w:kern w:val="0"/>
          <w:sz w:val="24"/>
          <w:highlight w:val="none"/>
          <w:lang w:val="zh-CN"/>
        </w:rPr>
      </w:pPr>
      <w:r>
        <w:rPr>
          <w:rFonts w:hint="eastAsia" w:ascii="仿宋_GB2312" w:hAnsi="仿宋" w:eastAsia="仿宋_GB2312" w:cs="仿宋_GB2312"/>
          <w:b/>
          <w:bCs/>
          <w:color w:val="auto"/>
          <w:kern w:val="0"/>
          <w:sz w:val="24"/>
          <w:highlight w:val="none"/>
          <w:lang w:val="zh-CN"/>
        </w:rPr>
        <w:t>一、适用对象</w:t>
      </w:r>
    </w:p>
    <w:p>
      <w:pPr>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在浙江“政采云”平台注册入库，并取得钱塘区政府采购合同的中小企业供应商。</w:t>
      </w:r>
    </w:p>
    <w:p>
      <w:pPr>
        <w:snapToGrid w:val="0"/>
        <w:spacing w:line="360" w:lineRule="auto"/>
        <w:ind w:firstLine="482" w:firstLineChars="200"/>
        <w:jc w:val="left"/>
        <w:rPr>
          <w:rFonts w:hint="eastAsia" w:ascii="仿宋_GB2312" w:hAnsi="仿宋" w:eastAsia="仿宋_GB2312" w:cs="仿宋_GB2312"/>
          <w:b/>
          <w:bCs/>
          <w:color w:val="auto"/>
          <w:kern w:val="0"/>
          <w:sz w:val="24"/>
          <w:highlight w:val="none"/>
          <w:lang w:val="zh-CN"/>
        </w:rPr>
      </w:pPr>
      <w:r>
        <w:rPr>
          <w:rFonts w:hint="eastAsia" w:ascii="仿宋_GB2312" w:hAnsi="仿宋" w:eastAsia="仿宋_GB2312" w:cs="仿宋_GB2312"/>
          <w:b/>
          <w:bCs/>
          <w:color w:val="auto"/>
          <w:kern w:val="0"/>
          <w:sz w:val="24"/>
          <w:highlight w:val="none"/>
          <w:lang w:val="zh-CN"/>
        </w:rPr>
        <w:t>二、相关信息获取方式</w:t>
      </w:r>
    </w:p>
    <w:p>
      <w:pPr>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请登陆杭州钱塘新区管理委员会官网（http://qt.hangzhou.gov.cn） “公告公示”专栏，查看信用融资政策文件及各相关银行服务方案。</w:t>
      </w:r>
    </w:p>
    <w:p>
      <w:pPr>
        <w:snapToGrid w:val="0"/>
        <w:spacing w:line="360" w:lineRule="auto"/>
        <w:ind w:firstLine="482" w:firstLineChars="200"/>
        <w:jc w:val="left"/>
        <w:rPr>
          <w:rFonts w:hint="eastAsia" w:ascii="仿宋_GB2312" w:hAnsi="仿宋" w:eastAsia="仿宋_GB2312" w:cs="仿宋_GB2312"/>
          <w:b/>
          <w:bCs/>
          <w:color w:val="auto"/>
          <w:kern w:val="0"/>
          <w:sz w:val="24"/>
          <w:highlight w:val="none"/>
          <w:lang w:val="zh-CN"/>
        </w:rPr>
      </w:pPr>
      <w:r>
        <w:rPr>
          <w:rFonts w:hint="eastAsia" w:ascii="仿宋_GB2312" w:hAnsi="仿宋" w:eastAsia="仿宋_GB2312" w:cs="仿宋_GB2312"/>
          <w:b/>
          <w:bCs/>
          <w:color w:val="auto"/>
          <w:kern w:val="0"/>
          <w:sz w:val="24"/>
          <w:highlight w:val="none"/>
          <w:lang w:val="zh-CN"/>
        </w:rPr>
        <w:t>三、申请方式和步骤</w:t>
      </w:r>
    </w:p>
    <w:p>
      <w:pPr>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1、供应商若有融资意向，需先与钱塘区财政局合作的银行对接，办理相关融资前期手续；</w:t>
      </w:r>
    </w:p>
    <w:p>
      <w:pPr>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2、中标后，供应商应与采购单位或者采购代理机构及时联系，告知融资需求；</w:t>
      </w:r>
    </w:p>
    <w:p>
      <w:pPr>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3、相关合作银行联系并审核供应商及相关中标信息，办理相关融资事宜；</w:t>
      </w:r>
    </w:p>
    <w:p>
      <w:pPr>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en-US" w:eastAsia="zh-CN"/>
        </w:rPr>
        <w:t>4</w:t>
      </w:r>
      <w:r>
        <w:rPr>
          <w:rFonts w:hint="eastAsia" w:ascii="仿宋_GB2312" w:hAnsi="仿宋" w:eastAsia="仿宋_GB2312" w:cs="仿宋_GB2312"/>
          <w:color w:val="auto"/>
          <w:kern w:val="0"/>
          <w:sz w:val="24"/>
          <w:highlight w:val="none"/>
          <w:lang w:val="zh-CN"/>
        </w:rPr>
        <w:t>、采购单位应及时将信用融资合同提交备案。</w:t>
      </w:r>
    </w:p>
    <w:p>
      <w:pPr>
        <w:snapToGrid w:val="0"/>
        <w:spacing w:line="360" w:lineRule="auto"/>
        <w:ind w:firstLine="482" w:firstLineChars="200"/>
        <w:jc w:val="left"/>
        <w:rPr>
          <w:rFonts w:hint="eastAsia" w:ascii="仿宋_GB2312" w:hAnsi="仿宋" w:eastAsia="仿宋_GB2312" w:cs="仿宋_GB2312"/>
          <w:b/>
          <w:bCs/>
          <w:color w:val="auto"/>
          <w:kern w:val="0"/>
          <w:sz w:val="24"/>
          <w:highlight w:val="none"/>
          <w:lang w:val="zh-CN"/>
        </w:rPr>
      </w:pPr>
      <w:r>
        <w:rPr>
          <w:rFonts w:hint="eastAsia" w:ascii="仿宋_GB2312" w:hAnsi="仿宋" w:eastAsia="仿宋_GB2312" w:cs="仿宋_GB2312"/>
          <w:b/>
          <w:bCs/>
          <w:color w:val="auto"/>
          <w:kern w:val="0"/>
          <w:sz w:val="24"/>
          <w:highlight w:val="none"/>
          <w:lang w:val="zh-CN"/>
        </w:rPr>
        <w:t>四、注意事项</w:t>
      </w:r>
    </w:p>
    <w:p>
      <w:pPr>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请各采购单位和采购代理机构积极支持和配合政府采购信用融资工作，在合同备案环节务必请仔细核对收款银行、账号信息等内容。</w:t>
      </w:r>
    </w:p>
    <w:p>
      <w:pPr>
        <w:snapToGrid w:val="0"/>
        <w:spacing w:line="360" w:lineRule="auto"/>
        <w:ind w:firstLine="482" w:firstLineChars="200"/>
        <w:jc w:val="left"/>
        <w:rPr>
          <w:rFonts w:hint="eastAsia" w:ascii="仿宋_GB2312" w:hAnsi="仿宋" w:eastAsia="仿宋_GB2312" w:cs="仿宋_GB2312"/>
          <w:b/>
          <w:bCs/>
          <w:color w:val="auto"/>
          <w:kern w:val="0"/>
          <w:sz w:val="24"/>
          <w:highlight w:val="none"/>
          <w:lang w:val="zh-CN"/>
        </w:rPr>
      </w:pPr>
      <w:r>
        <w:rPr>
          <w:rFonts w:hint="eastAsia" w:ascii="仿宋_GB2312" w:hAnsi="仿宋" w:eastAsia="仿宋_GB2312" w:cs="仿宋_GB2312"/>
          <w:b/>
          <w:bCs/>
          <w:color w:val="auto"/>
          <w:kern w:val="0"/>
          <w:sz w:val="24"/>
          <w:highlight w:val="none"/>
          <w:lang w:val="zh-CN"/>
        </w:rPr>
        <w:t>五、合作银行及联系方式</w:t>
      </w:r>
    </w:p>
    <w:tbl>
      <w:tblPr>
        <w:tblStyle w:val="62"/>
        <w:tblW w:w="0" w:type="auto"/>
        <w:tblInd w:w="95" w:type="dxa"/>
        <w:tblLayout w:type="fixed"/>
        <w:tblCellMar>
          <w:top w:w="0" w:type="dxa"/>
          <w:left w:w="108" w:type="dxa"/>
          <w:bottom w:w="0" w:type="dxa"/>
          <w:right w:w="108" w:type="dxa"/>
        </w:tblCellMar>
      </w:tblPr>
      <w:tblGrid>
        <w:gridCol w:w="1080"/>
        <w:gridCol w:w="3020"/>
        <w:gridCol w:w="1420"/>
        <w:gridCol w:w="3220"/>
      </w:tblGrid>
      <w:tr>
        <w:tblPrEx>
          <w:tblCellMar>
            <w:top w:w="0" w:type="dxa"/>
            <w:left w:w="108" w:type="dxa"/>
            <w:bottom w:w="0" w:type="dxa"/>
            <w:right w:w="108" w:type="dxa"/>
          </w:tblCellMar>
        </w:tblPrEx>
        <w:trPr>
          <w:trHeight w:val="75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联系人</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电话</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1</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建设银行钱塘</w:t>
            </w:r>
            <w:r>
              <w:rPr>
                <w:rFonts w:hint="eastAsia" w:ascii="仿宋_GB2312" w:hAnsi="仿宋_GB2312" w:eastAsia="仿宋_GB2312" w:cs="仿宋_GB2312"/>
                <w:color w:val="auto"/>
                <w:kern w:val="0"/>
                <w:sz w:val="24"/>
                <w:szCs w:val="24"/>
                <w:highlight w:val="none"/>
              </w:rPr>
              <w:t>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张苏航</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13065710830</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2</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中信银行开发支行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左劼</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13777889798</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3</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民生银行下沙支行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吕刚</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13906811832</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4</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杭州银行钱塘支行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费莎</w:t>
            </w:r>
          </w:p>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严培蓓</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13388617781</w:t>
            </w:r>
          </w:p>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13858023883</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5</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兴业银行开发区支行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丁萍</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13777421564</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6</w:t>
            </w:r>
          </w:p>
        </w:tc>
        <w:tc>
          <w:tcPr>
            <w:tcW w:w="302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中国银行钱塘支行</w:t>
            </w:r>
          </w:p>
        </w:tc>
        <w:tc>
          <w:tcPr>
            <w:tcW w:w="142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高飞</w:t>
            </w:r>
          </w:p>
        </w:tc>
        <w:tc>
          <w:tcPr>
            <w:tcW w:w="322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86722499</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7</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工商银行</w:t>
            </w:r>
            <w:r>
              <w:rPr>
                <w:rFonts w:hint="eastAsia" w:ascii="仿宋_GB2312" w:hAnsi="仿宋_GB2312" w:eastAsia="仿宋_GB2312" w:cs="仿宋_GB2312"/>
                <w:color w:val="auto"/>
                <w:kern w:val="0"/>
                <w:sz w:val="24"/>
                <w:szCs w:val="24"/>
                <w:highlight w:val="none"/>
              </w:rPr>
              <w:t>开发区支行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李燕珍</w:t>
            </w:r>
          </w:p>
        </w:tc>
        <w:tc>
          <w:tcPr>
            <w:tcW w:w="322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13735710338</w:t>
            </w:r>
          </w:p>
        </w:tc>
      </w:tr>
      <w:tr>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8</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宁波银行开发区支行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贾磊</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13575745232</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9</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杭州联合银行下沙支行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王宁</w:t>
            </w:r>
          </w:p>
        </w:tc>
        <w:tc>
          <w:tcPr>
            <w:tcW w:w="32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18906520030</w:t>
            </w:r>
          </w:p>
        </w:tc>
      </w:tr>
      <w:tr>
        <w:tblPrEx>
          <w:tblCellMar>
            <w:top w:w="0" w:type="dxa"/>
            <w:left w:w="108" w:type="dxa"/>
            <w:bottom w:w="0" w:type="dxa"/>
            <w:right w:w="108" w:type="dxa"/>
          </w:tblCellMar>
        </w:tblPrEx>
        <w:trPr>
          <w:trHeight w:val="562"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10</w:t>
            </w:r>
          </w:p>
        </w:tc>
        <w:tc>
          <w:tcPr>
            <w:tcW w:w="30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农业银行</w:t>
            </w:r>
            <w:r>
              <w:rPr>
                <w:rFonts w:hint="eastAsia" w:ascii="仿宋_GB2312" w:hAnsi="仿宋_GB2312" w:eastAsia="仿宋_GB2312" w:cs="仿宋_GB2312"/>
                <w:color w:val="auto"/>
                <w:kern w:val="0"/>
                <w:sz w:val="24"/>
                <w:szCs w:val="24"/>
                <w:highlight w:val="none"/>
                <w:lang w:eastAsia="zh-CN"/>
              </w:rPr>
              <w:t>钱塘</w:t>
            </w:r>
            <w:r>
              <w:rPr>
                <w:rFonts w:hint="eastAsia" w:ascii="仿宋_GB2312" w:hAnsi="仿宋_GB2312" w:eastAsia="仿宋_GB2312" w:cs="仿宋_GB2312"/>
                <w:color w:val="auto"/>
                <w:kern w:val="0"/>
                <w:sz w:val="24"/>
                <w:szCs w:val="24"/>
                <w:highlight w:val="none"/>
              </w:rPr>
              <w:t>支行</w:t>
            </w:r>
          </w:p>
        </w:tc>
        <w:tc>
          <w:tcPr>
            <w:tcW w:w="1420" w:type="dxa"/>
            <w:tcBorders>
              <w:top w:val="nil"/>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王安东</w:t>
            </w:r>
          </w:p>
          <w:p>
            <w:pPr>
              <w:widowControl/>
              <w:jc w:val="center"/>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rPr>
              <w:t>方若愚</w:t>
            </w:r>
          </w:p>
        </w:tc>
        <w:tc>
          <w:tcPr>
            <w:tcW w:w="3220" w:type="dxa"/>
            <w:tcBorders>
              <w:top w:val="nil"/>
              <w:left w:val="nil"/>
              <w:bottom w:val="single" w:color="auto" w:sz="4" w:space="0"/>
              <w:right w:val="single" w:color="auto" w:sz="4" w:space="0"/>
            </w:tcBorders>
            <w:noWrap/>
            <w:vAlign w:val="center"/>
          </w:tcPr>
          <w:p>
            <w:pPr>
              <w:widowControl/>
              <w:jc w:val="center"/>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15158025713</w:t>
            </w:r>
          </w:p>
          <w:p>
            <w:pPr>
              <w:widowControl/>
              <w:jc w:val="center"/>
              <w:rPr>
                <w:rFonts w:hint="default"/>
                <w:color w:val="auto"/>
                <w:highlight w:val="none"/>
                <w:lang w:val="en-US" w:eastAsia="zh-CN"/>
              </w:rPr>
            </w:pPr>
            <w:r>
              <w:rPr>
                <w:rFonts w:hint="default" w:ascii="仿宋_GB2312" w:hAnsi="仿宋_GB2312" w:eastAsia="仿宋_GB2312" w:cs="仿宋_GB2312"/>
                <w:color w:val="auto"/>
                <w:kern w:val="0"/>
                <w:sz w:val="24"/>
                <w:szCs w:val="24"/>
                <w:highlight w:val="none"/>
                <w:lang w:val="en-US" w:eastAsia="zh-CN"/>
              </w:rPr>
              <w:t>15067483470</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11</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浙商银行杭州钱塘支行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徐伟刚</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82921293</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18258888258</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12</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浦发银行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林云鹏</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18805812679</w:t>
            </w:r>
          </w:p>
        </w:tc>
      </w:tr>
    </w:tbl>
    <w:p>
      <w:pPr>
        <w:spacing w:line="360" w:lineRule="auto"/>
        <w:ind w:left="5060" w:hanging="5060" w:hangingChars="2100"/>
        <w:rPr>
          <w:rFonts w:ascii="仿宋_GB2312" w:hAnsi="仿宋" w:eastAsia="仿宋_GB2312" w:cs="仿宋_GB2312"/>
          <w:b/>
          <w:bCs/>
          <w:color w:val="auto"/>
          <w:kern w:val="0"/>
          <w:sz w:val="24"/>
          <w:highlight w:val="none"/>
        </w:rPr>
      </w:pPr>
    </w:p>
    <w:p>
      <w:pPr>
        <w:pStyle w:val="5"/>
        <w:keepNext w:val="0"/>
        <w:keepLines w:val="0"/>
        <w:pageBreakBefore/>
        <w:widowControl/>
        <w:spacing w:before="100" w:beforeAutospacing="1" w:after="100" w:afterAutospacing="1" w:line="360" w:lineRule="auto"/>
        <w:ind w:left="1290" w:firstLine="3092" w:firstLineChars="700"/>
        <w:rPr>
          <w:rFonts w:ascii="仿宋_GB2312" w:hAnsi="仿宋" w:eastAsia="仿宋_GB2312"/>
          <w:color w:val="auto"/>
          <w:highlight w:val="none"/>
        </w:rPr>
      </w:pPr>
      <w:bookmarkStart w:id="394" w:name="_Toc465665161"/>
      <w:r>
        <w:rPr>
          <w:rFonts w:hint="eastAsia" w:ascii="仿宋_GB2312" w:hAnsi="仿宋" w:eastAsia="仿宋_GB2312"/>
          <w:color w:val="auto"/>
          <w:highlight w:val="none"/>
        </w:rPr>
        <w:t>附件</w:t>
      </w:r>
      <w:bookmarkEnd w:id="394"/>
    </w:p>
    <w:p>
      <w:pPr>
        <w:spacing w:line="360" w:lineRule="auto"/>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附件</w:t>
      </w:r>
      <w:r>
        <w:rPr>
          <w:rFonts w:ascii="仿宋_GB2312" w:hAnsi="仿宋" w:eastAsia="仿宋_GB2312"/>
          <w:b/>
          <w:color w:val="auto"/>
          <w:spacing w:val="6"/>
          <w:sz w:val="32"/>
          <w:szCs w:val="32"/>
          <w:highlight w:val="none"/>
        </w:rPr>
        <w:t>1：</w:t>
      </w:r>
    </w:p>
    <w:p>
      <w:pPr>
        <w:spacing w:line="360" w:lineRule="auto"/>
        <w:jc w:val="center"/>
        <w:rPr>
          <w:rFonts w:ascii="仿宋_GB2312" w:hAnsi="仿宋" w:eastAsia="仿宋_GB2312"/>
          <w:b/>
          <w:color w:val="auto"/>
          <w:spacing w:val="6"/>
          <w:sz w:val="32"/>
          <w:szCs w:val="32"/>
          <w:highlight w:val="none"/>
        </w:rPr>
      </w:pPr>
      <w:bookmarkStart w:id="395" w:name="OLE_LINK13"/>
      <w:bookmarkStart w:id="396" w:name="OLE_LINK14"/>
      <w:r>
        <w:rPr>
          <w:rFonts w:hint="eastAsia" w:ascii="仿宋_GB2312" w:hAnsi="仿宋" w:eastAsia="仿宋_GB2312"/>
          <w:b/>
          <w:color w:val="auto"/>
          <w:spacing w:val="6"/>
          <w:sz w:val="32"/>
          <w:szCs w:val="32"/>
          <w:highlight w:val="none"/>
        </w:rPr>
        <w:t>残疾人福利性单位声明函</w:t>
      </w:r>
    </w:p>
    <w:bookmarkEnd w:id="395"/>
    <w:bookmarkEnd w:id="396"/>
    <w:p>
      <w:pPr>
        <w:spacing w:line="360" w:lineRule="auto"/>
        <w:rPr>
          <w:rFonts w:ascii="仿宋_GB2312" w:hAnsi="仿宋" w:eastAsia="仿宋_GB2312"/>
          <w:b/>
          <w:color w:val="auto"/>
          <w:spacing w:val="6"/>
          <w:sz w:val="30"/>
          <w:szCs w:val="30"/>
          <w:highlight w:val="none"/>
        </w:rPr>
      </w:pPr>
    </w:p>
    <w:p>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本单位郑重声明，根据《财政部</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民政部</w:t>
      </w: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sz w:val="24"/>
          <w:highlight w:val="none"/>
        </w:rPr>
        <w:t>中国残疾人联合会关于促进残疾人就业政府采购政策的通知》（财库〔</w:t>
      </w:r>
      <w:r>
        <w:rPr>
          <w:rFonts w:ascii="仿宋_GB2312" w:hAnsi="仿宋" w:eastAsia="仿宋_GB2312" w:cs="仿宋_GB2312"/>
          <w:color w:val="auto"/>
          <w:sz w:val="24"/>
          <w:highlight w:val="none"/>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80" w:firstLineChars="200"/>
        <w:rPr>
          <w:rFonts w:ascii="仿宋_GB2312" w:hAnsi="仿宋" w:eastAsia="仿宋_GB2312" w:cs="仿宋_GB2312"/>
          <w:color w:val="auto"/>
          <w:sz w:val="24"/>
          <w:highlight w:val="none"/>
        </w:rPr>
      </w:pPr>
    </w:p>
    <w:p>
      <w:pPr>
        <w:tabs>
          <w:tab w:val="left" w:pos="4860"/>
        </w:tabs>
        <w:spacing w:line="360" w:lineRule="auto"/>
        <w:ind w:right="1560" w:firstLine="480" w:firstLineChars="200"/>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w:t>
      </w:r>
      <w:r>
        <w:rPr>
          <w:rFonts w:hint="eastAsia" w:ascii="仿宋_GB2312" w:hAnsi="仿宋" w:eastAsia="仿宋_GB2312" w:cs="仿宋_GB2312"/>
          <w:color w:val="auto"/>
          <w:kern w:val="0"/>
          <w:sz w:val="24"/>
          <w:highlight w:val="none"/>
          <w:lang w:val="zh-CN"/>
        </w:rPr>
        <w:t>投标人名称（电子签名）</w:t>
      </w:r>
      <w:r>
        <w:rPr>
          <w:rFonts w:hint="eastAsia" w:ascii="仿宋_GB2312" w:hAnsi="仿宋" w:eastAsia="仿宋_GB2312" w:cs="仿宋_GB2312"/>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日  期：</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80" w:firstLineChars="200"/>
        <w:rPr>
          <w:rFonts w:ascii="仿宋_GB2312" w:hAnsi="仿宋" w:eastAsia="仿宋_GB2312"/>
          <w:color w:val="auto"/>
          <w:highlight w:val="none"/>
        </w:rPr>
      </w:pPr>
    </w:p>
    <w:p>
      <w:pPr>
        <w:spacing w:line="360" w:lineRule="auto"/>
        <w:ind w:firstLine="480" w:firstLineChars="200"/>
        <w:rPr>
          <w:rFonts w:ascii="仿宋_GB2312" w:hAnsi="仿宋" w:eastAsia="仿宋_GB2312"/>
          <w:color w:val="auto"/>
          <w:highlight w:val="none"/>
        </w:rPr>
      </w:pPr>
    </w:p>
    <w:p>
      <w:pPr>
        <w:spacing w:line="360" w:lineRule="auto"/>
        <w:ind w:firstLine="480" w:firstLineChars="200"/>
        <w:rPr>
          <w:rFonts w:ascii="仿宋_GB2312" w:hAnsi="仿宋" w:eastAsia="仿宋_GB2312"/>
          <w:color w:val="auto"/>
          <w:highlight w:val="none"/>
        </w:rPr>
      </w:pPr>
    </w:p>
    <w:p>
      <w:pPr>
        <w:spacing w:line="360" w:lineRule="auto"/>
        <w:ind w:firstLine="480" w:firstLineChars="200"/>
        <w:rPr>
          <w:rFonts w:ascii="仿宋_GB2312" w:hAnsi="仿宋" w:eastAsia="仿宋_GB2312"/>
          <w:color w:val="auto"/>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rPr>
          <w:rFonts w:ascii="仿宋_GB2312" w:hAnsi="仿宋" w:eastAsia="仿宋_GB2312" w:cs="仿宋_GB2312"/>
          <w:b/>
          <w:color w:val="auto"/>
          <w:sz w:val="24"/>
          <w:highlight w:val="none"/>
        </w:rPr>
      </w:pPr>
    </w:p>
    <w:p>
      <w:pPr>
        <w:spacing w:line="360" w:lineRule="auto"/>
        <w:jc w:val="left"/>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附件</w:t>
      </w:r>
      <w:r>
        <w:rPr>
          <w:rFonts w:ascii="仿宋_GB2312" w:hAnsi="仿宋" w:eastAsia="仿宋_GB2312"/>
          <w:b/>
          <w:color w:val="auto"/>
          <w:spacing w:val="6"/>
          <w:sz w:val="32"/>
          <w:szCs w:val="32"/>
          <w:highlight w:val="none"/>
        </w:rPr>
        <w:t>2：质疑函范本及制作说明</w:t>
      </w:r>
    </w:p>
    <w:p>
      <w:pPr>
        <w:spacing w:line="360" w:lineRule="auto"/>
        <w:jc w:val="center"/>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质疑函范本</w:t>
      </w:r>
    </w:p>
    <w:p>
      <w:pPr>
        <w:snapToGrid w:val="0"/>
        <w:spacing w:before="240"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ascii="仿宋_GB2312" w:hAnsi="仿宋" w:eastAsia="仿宋_GB2312" w:cs="仿宋"/>
          <w:color w:val="auto"/>
          <w:sz w:val="24"/>
          <w:highlight w:val="none"/>
          <w:u w:val="dotted"/>
        </w:rPr>
        <w:t xml:space="preserve">                                           </w:t>
      </w:r>
      <w:r>
        <w:rPr>
          <w:rFonts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ascii="仿宋_GB2312" w:hAnsi="仿宋" w:eastAsia="仿宋_GB2312" w:cs="仿宋"/>
          <w:color w:val="auto"/>
          <w:sz w:val="24"/>
          <w:highlight w:val="none"/>
        </w:rPr>
        <w:t xml:space="preserve"> </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1：</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ascii="仿宋_GB2312" w:hAnsi="仿宋" w:eastAsia="仿宋_GB2312" w:cs="仿宋"/>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签字</w:t>
      </w:r>
      <w:r>
        <w:rPr>
          <w:rFonts w:ascii="仿宋_GB2312" w:hAnsi="仿宋" w:eastAsia="仿宋_GB2312"/>
          <w:color w:val="auto"/>
          <w:sz w:val="24"/>
          <w:highlight w:val="none"/>
        </w:rPr>
        <w:t xml:space="preserve">(签章)：                   公章：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日期：</w:t>
      </w:r>
      <w:r>
        <w:rPr>
          <w:rFonts w:ascii="仿宋_GB2312" w:hAnsi="仿宋" w:eastAsia="仿宋_GB2312"/>
          <w:color w:val="auto"/>
          <w:sz w:val="24"/>
          <w:highlight w:val="none"/>
        </w:rPr>
        <w:t xml:space="preserve">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b/>
          <w:color w:val="auto"/>
          <w:sz w:val="24"/>
          <w:highlight w:val="none"/>
        </w:rPr>
      </w:pPr>
    </w:p>
    <w:p>
      <w:pPr>
        <w:spacing w:line="360" w:lineRule="auto"/>
        <w:rPr>
          <w:rFonts w:ascii="仿宋_GB2312" w:hAnsi="仿宋" w:eastAsia="仿宋_GB2312"/>
          <w:b/>
          <w:color w:val="auto"/>
          <w:sz w:val="24"/>
          <w:highlight w:val="none"/>
        </w:rPr>
      </w:pPr>
    </w:p>
    <w:p>
      <w:pPr>
        <w:spacing w:line="360" w:lineRule="auto"/>
        <w:rPr>
          <w:rFonts w:ascii="仿宋_GB2312" w:hAnsi="仿宋" w:eastAsia="仿宋_GB2312"/>
          <w:b/>
          <w:color w:val="auto"/>
          <w:sz w:val="24"/>
          <w:highlight w:val="none"/>
        </w:rPr>
      </w:pP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质疑函制作说明：</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2.质疑供应商若委托代理人进行质疑的，</w:t>
      </w:r>
      <w:r>
        <w:rPr>
          <w:rFonts w:hint="eastAsia" w:ascii="仿宋_GB2312" w:hAnsi="仿宋" w:eastAsia="仿宋_GB2312"/>
          <w:color w:val="auto"/>
          <w:sz w:val="24"/>
          <w:highlight w:val="none"/>
        </w:rPr>
        <w:t>质疑函应按要求列明“授权代表”的有关内容，并在附件中提交由质疑</w:t>
      </w:r>
      <w:r>
        <w:rPr>
          <w:rFonts w:hint="eastAsia" w:ascii="仿宋_GB2312" w:hAnsi="仿宋" w:eastAsia="仿宋_GB2312"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6.质疑供应商为自然人的，</w:t>
      </w:r>
      <w:r>
        <w:rPr>
          <w:rFonts w:hint="eastAsia" w:ascii="仿宋_GB2312" w:hAnsi="仿宋" w:eastAsia="仿宋_GB2312"/>
          <w:color w:val="auto"/>
          <w:sz w:val="24"/>
          <w:highlight w:val="none"/>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olor w:val="auto"/>
          <w:sz w:val="30"/>
          <w:szCs w:val="30"/>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center"/>
        <w:rPr>
          <w:rFonts w:ascii="仿宋_GB2312" w:hAnsi="仿宋" w:eastAsia="仿宋_GB2312"/>
          <w:b/>
          <w:color w:val="auto"/>
          <w:spacing w:val="6"/>
          <w:sz w:val="32"/>
          <w:szCs w:val="32"/>
          <w:highlight w:val="none"/>
        </w:rPr>
      </w:pPr>
    </w:p>
    <w:p>
      <w:pPr>
        <w:spacing w:line="360" w:lineRule="auto"/>
        <w:jc w:val="left"/>
        <w:rPr>
          <w:rFonts w:ascii="仿宋_GB2312" w:hAnsi="仿宋" w:eastAsia="仿宋_GB2312"/>
          <w:b/>
          <w:color w:val="auto"/>
          <w:spacing w:val="6"/>
          <w:sz w:val="32"/>
          <w:szCs w:val="32"/>
          <w:highlight w:val="none"/>
        </w:rPr>
      </w:pPr>
    </w:p>
    <w:p>
      <w:pPr>
        <w:spacing w:line="360" w:lineRule="auto"/>
        <w:jc w:val="left"/>
        <w:rPr>
          <w:rFonts w:ascii="仿宋_GB2312" w:hAnsi="仿宋" w:eastAsia="仿宋_GB2312"/>
          <w:b/>
          <w:color w:val="auto"/>
          <w:spacing w:val="6"/>
          <w:sz w:val="32"/>
          <w:szCs w:val="32"/>
          <w:highlight w:val="none"/>
        </w:rPr>
      </w:pPr>
    </w:p>
    <w:p>
      <w:pPr>
        <w:spacing w:line="360" w:lineRule="auto"/>
        <w:jc w:val="left"/>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附件</w:t>
      </w:r>
      <w:r>
        <w:rPr>
          <w:rFonts w:ascii="仿宋_GB2312" w:hAnsi="仿宋" w:eastAsia="仿宋_GB2312"/>
          <w:b/>
          <w:color w:val="auto"/>
          <w:spacing w:val="6"/>
          <w:sz w:val="32"/>
          <w:szCs w:val="32"/>
          <w:highlight w:val="none"/>
        </w:rPr>
        <w:t>3：投诉书范本及制作说明</w:t>
      </w:r>
    </w:p>
    <w:p>
      <w:pPr>
        <w:spacing w:line="360" w:lineRule="auto"/>
        <w:jc w:val="center"/>
        <w:rPr>
          <w:rFonts w:ascii="仿宋_GB2312" w:hAnsi="仿宋" w:eastAsia="仿宋_GB2312"/>
          <w:b/>
          <w:color w:val="auto"/>
          <w:sz w:val="24"/>
          <w:highlight w:val="none"/>
        </w:rPr>
      </w:pPr>
    </w:p>
    <w:p>
      <w:pPr>
        <w:spacing w:line="360" w:lineRule="auto"/>
        <w:jc w:val="center"/>
        <w:rPr>
          <w:rFonts w:ascii="仿宋_GB2312" w:hAnsi="仿宋" w:eastAsia="仿宋_GB2312"/>
          <w:b/>
          <w:color w:val="auto"/>
          <w:spacing w:val="6"/>
          <w:sz w:val="32"/>
          <w:szCs w:val="32"/>
          <w:highlight w:val="none"/>
        </w:rPr>
      </w:pPr>
      <w:r>
        <w:rPr>
          <w:rFonts w:hint="eastAsia" w:ascii="仿宋_GB2312" w:hAnsi="仿宋" w:eastAsia="仿宋_GB2312"/>
          <w:b/>
          <w:color w:val="auto"/>
          <w:spacing w:val="6"/>
          <w:sz w:val="32"/>
          <w:szCs w:val="32"/>
          <w:highlight w:val="none"/>
        </w:rPr>
        <w:t>投诉书范本</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一、投诉相关主体基本情况</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投诉人：</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pPr>
        <w:tabs>
          <w:tab w:val="left" w:pos="6510"/>
        </w:tabs>
        <w:spacing w:line="360" w:lineRule="auto"/>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法定代表人</w:t>
      </w:r>
      <w:r>
        <w:rPr>
          <w:rFonts w:ascii="仿宋_GB2312" w:hAnsi="仿宋" w:eastAsia="仿宋_GB2312"/>
          <w:color w:val="auto"/>
          <w:sz w:val="24"/>
          <w:highlight w:val="none"/>
        </w:rPr>
        <w:t>/主要负责人：</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 xml:space="preserve">  </w:t>
      </w:r>
    </w:p>
    <w:p>
      <w:pPr>
        <w:tabs>
          <w:tab w:val="left" w:pos="6510"/>
        </w:tabs>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联系电话：</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授权代表：</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联系电话</w:t>
      </w:r>
      <w:r>
        <w:rPr>
          <w:rFonts w:hint="eastAsia" w:ascii="仿宋_GB2312" w:hAnsi="仿宋" w:eastAsia="仿宋_GB2312"/>
          <w:color w:val="auto"/>
          <w:sz w:val="24"/>
          <w:highlight w:val="none"/>
          <w:u w:val="dotted"/>
        </w:rPr>
        <w:t>：</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被投诉人</w:t>
      </w:r>
      <w:r>
        <w:rPr>
          <w:rFonts w:ascii="仿宋_GB2312" w:hAnsi="仿宋" w:eastAsia="仿宋_GB2312"/>
          <w:color w:val="auto"/>
          <w:sz w:val="24"/>
          <w:highlight w:val="none"/>
        </w:rPr>
        <w:t>1：</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联系电话：</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被投诉人</w:t>
      </w:r>
      <w:r>
        <w:rPr>
          <w:rFonts w:ascii="仿宋_GB2312" w:hAnsi="仿宋" w:eastAsia="仿宋_GB2312"/>
          <w:color w:val="auto"/>
          <w:sz w:val="24"/>
          <w:highlight w:val="none"/>
        </w:rPr>
        <w:t>2</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相关供应商：</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址：</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邮编：</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联系电话：</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二、投诉项目基本情况</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采购项目名称：</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采购项目编号：</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包号：</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采购人名称：</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u w:val="single"/>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代理机构名称：</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采购文件公告</w:t>
      </w:r>
      <w:r>
        <w:rPr>
          <w:rFonts w:ascii="仿宋_GB2312" w:hAnsi="仿宋" w:eastAsia="仿宋_GB2312"/>
          <w:color w:val="auto"/>
          <w:sz w:val="24"/>
          <w:highlight w:val="none"/>
        </w:rPr>
        <w:t>:</w:t>
      </w:r>
      <w:r>
        <w:rPr>
          <w:rFonts w:hint="eastAsia" w:ascii="仿宋_GB2312" w:hAnsi="仿宋" w:eastAsia="仿宋_GB2312"/>
          <w:color w:val="auto"/>
          <w:sz w:val="24"/>
          <w:highlight w:val="none"/>
          <w:u w:val="dotted"/>
        </w:rPr>
        <w:t>是</w:t>
      </w:r>
      <w:r>
        <w:rPr>
          <w:rFonts w:ascii="仿宋_GB2312" w:hAnsi="仿宋" w:eastAsia="仿宋_GB2312"/>
          <w:color w:val="auto"/>
          <w:sz w:val="24"/>
          <w:highlight w:val="none"/>
          <w:u w:val="dotted"/>
        </w:rPr>
        <w:t xml:space="preserve">/否 </w:t>
      </w:r>
      <w:r>
        <w:rPr>
          <w:rFonts w:hint="eastAsia" w:ascii="仿宋_GB2312" w:hAnsi="仿宋" w:eastAsia="仿宋_GB2312"/>
          <w:color w:val="auto"/>
          <w:sz w:val="24"/>
          <w:highlight w:val="none"/>
        </w:rPr>
        <w:t>公告期限：</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采购结果公告</w:t>
      </w:r>
      <w:r>
        <w:rPr>
          <w:rFonts w:ascii="仿宋_GB2312" w:hAnsi="仿宋" w:eastAsia="仿宋_GB2312"/>
          <w:color w:val="auto"/>
          <w:sz w:val="24"/>
          <w:highlight w:val="none"/>
        </w:rPr>
        <w:t>:</w:t>
      </w:r>
      <w:r>
        <w:rPr>
          <w:rFonts w:hint="eastAsia" w:ascii="仿宋_GB2312" w:hAnsi="仿宋" w:eastAsia="仿宋_GB2312"/>
          <w:color w:val="auto"/>
          <w:sz w:val="24"/>
          <w:highlight w:val="none"/>
          <w:u w:val="dotted"/>
        </w:rPr>
        <w:t>是</w:t>
      </w:r>
      <w:r>
        <w:rPr>
          <w:rFonts w:ascii="仿宋_GB2312" w:hAnsi="仿宋" w:eastAsia="仿宋_GB2312"/>
          <w:color w:val="auto"/>
          <w:sz w:val="24"/>
          <w:highlight w:val="none"/>
          <w:u w:val="dotted"/>
        </w:rPr>
        <w:t xml:space="preserve">/否 </w:t>
      </w:r>
      <w:r>
        <w:rPr>
          <w:rFonts w:hint="eastAsia" w:ascii="仿宋_GB2312" w:hAnsi="仿宋" w:eastAsia="仿宋_GB2312"/>
          <w:color w:val="auto"/>
          <w:sz w:val="24"/>
          <w:highlight w:val="none"/>
        </w:rPr>
        <w:t>公告期限：</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三、质疑基本情况</w:t>
      </w:r>
    </w:p>
    <w:p>
      <w:pPr>
        <w:spacing w:line="360" w:lineRule="auto"/>
        <w:ind w:firstLine="480" w:firstLineChars="200"/>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投诉人于</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年</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月</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日</w:t>
      </w:r>
      <w:r>
        <w:rPr>
          <w:rFonts w:ascii="仿宋_GB2312" w:hAnsi="仿宋" w:eastAsia="仿宋_GB2312"/>
          <w:color w:val="auto"/>
          <w:sz w:val="24"/>
          <w:highlight w:val="none"/>
        </w:rPr>
        <w:t>,向</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提出质疑，质疑事项为：</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 xml:space="preserve">  </w:t>
      </w:r>
    </w:p>
    <w:p>
      <w:pPr>
        <w:spacing w:line="360" w:lineRule="auto"/>
        <w:ind w:firstLine="360" w:firstLineChars="150"/>
        <w:rPr>
          <w:rFonts w:ascii="仿宋_GB2312" w:hAnsi="仿宋" w:eastAsia="仿宋_GB2312"/>
          <w:color w:val="auto"/>
          <w:sz w:val="24"/>
          <w:highlight w:val="none"/>
        </w:rPr>
      </w:pPr>
      <w:r>
        <w:rPr>
          <w:rFonts w:hint="eastAsia" w:ascii="仿宋_GB2312" w:hAnsi="仿宋" w:eastAsia="仿宋_GB2312"/>
          <w:color w:val="auto"/>
          <w:sz w:val="24"/>
          <w:highlight w:val="none"/>
          <w:u w:val="dotted"/>
        </w:rPr>
        <w:t>采购人</w:t>
      </w:r>
      <w:r>
        <w:rPr>
          <w:rFonts w:ascii="仿宋_GB2312" w:hAnsi="仿宋" w:eastAsia="仿宋_GB2312"/>
          <w:color w:val="auto"/>
          <w:sz w:val="24"/>
          <w:highlight w:val="none"/>
          <w:u w:val="dotted"/>
        </w:rPr>
        <w:t>/代理机构</w:t>
      </w:r>
      <w:r>
        <w:rPr>
          <w:rFonts w:hint="eastAsia" w:ascii="仿宋_GB2312" w:hAnsi="仿宋" w:eastAsia="仿宋_GB2312"/>
          <w:color w:val="auto"/>
          <w:sz w:val="24"/>
          <w:highlight w:val="none"/>
        </w:rPr>
        <w:t>于</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年</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月</w:t>
      </w:r>
      <w:r>
        <w:rPr>
          <w:rFonts w:ascii="仿宋_GB2312" w:hAnsi="仿宋" w:eastAsia="仿宋_GB2312"/>
          <w:color w:val="auto"/>
          <w:sz w:val="24"/>
          <w:highlight w:val="none"/>
          <w:u w:val="dotted"/>
        </w:rPr>
        <w:t xml:space="preserve">   </w:t>
      </w:r>
      <w:r>
        <w:rPr>
          <w:rFonts w:hint="eastAsia" w:ascii="仿宋_GB2312" w:hAnsi="仿宋" w:eastAsia="仿宋_GB2312"/>
          <w:color w:val="auto"/>
          <w:sz w:val="24"/>
          <w:highlight w:val="none"/>
        </w:rPr>
        <w:t>日</w:t>
      </w:r>
      <w:r>
        <w:rPr>
          <w:rFonts w:ascii="仿宋_GB2312" w:hAnsi="仿宋" w:eastAsia="仿宋_GB2312"/>
          <w:color w:val="auto"/>
          <w:sz w:val="24"/>
          <w:highlight w:val="none"/>
        </w:rPr>
        <w:t>,就质疑事项</w:t>
      </w:r>
      <w:r>
        <w:rPr>
          <w:rFonts w:hint="eastAsia" w:ascii="仿宋_GB2312" w:hAnsi="仿宋" w:eastAsia="仿宋_GB2312"/>
          <w:color w:val="auto"/>
          <w:sz w:val="24"/>
          <w:highlight w:val="none"/>
        </w:rPr>
        <w:t>作出了答复</w:t>
      </w:r>
      <w:r>
        <w:rPr>
          <w:rFonts w:ascii="仿宋_GB2312" w:hAnsi="仿宋" w:eastAsia="仿宋_GB2312"/>
          <w:color w:val="auto"/>
          <w:sz w:val="24"/>
          <w:highlight w:val="none"/>
        </w:rPr>
        <w:t>/没有在法定期限内</w:t>
      </w:r>
      <w:r>
        <w:rPr>
          <w:rFonts w:hint="eastAsia" w:ascii="仿宋_GB2312" w:hAnsi="仿宋" w:eastAsia="仿宋_GB2312"/>
          <w:color w:val="auto"/>
          <w:sz w:val="24"/>
          <w:highlight w:val="none"/>
        </w:rPr>
        <w:t>作出答复。</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四、投诉事项具体内容</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投诉事项</w:t>
      </w:r>
      <w:r>
        <w:rPr>
          <w:rFonts w:ascii="仿宋_GB2312" w:hAnsi="仿宋" w:eastAsia="仿宋_GB2312"/>
          <w:color w:val="auto"/>
          <w:sz w:val="24"/>
          <w:highlight w:val="none"/>
        </w:rPr>
        <w:t xml:space="preserve"> 1：</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事实依据：</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single"/>
        </w:rPr>
      </w:pPr>
      <w:r>
        <w:rPr>
          <w:rFonts w:hint="eastAsia" w:ascii="仿宋_GB2312" w:hAnsi="仿宋" w:eastAsia="仿宋_GB2312"/>
          <w:color w:val="auto"/>
          <w:sz w:val="24"/>
          <w:highlight w:val="none"/>
        </w:rPr>
        <w:t>法律依据：</w:t>
      </w: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u w:val="dotted"/>
        </w:rPr>
      </w:pPr>
      <w:r>
        <w:rPr>
          <w:rFonts w:ascii="仿宋_GB2312" w:hAnsi="仿宋" w:eastAsia="仿宋_GB2312"/>
          <w:color w:val="auto"/>
          <w:sz w:val="24"/>
          <w:highlight w:val="none"/>
          <w:u w:val="dotted"/>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投诉事项</w:t>
      </w:r>
      <w:r>
        <w:rPr>
          <w:rFonts w:ascii="仿宋_GB2312" w:hAnsi="仿宋" w:eastAsia="仿宋_GB2312"/>
          <w:color w:val="auto"/>
          <w:sz w:val="24"/>
          <w:highlight w:val="none"/>
        </w:rPr>
        <w:t>2</w:t>
      </w:r>
    </w:p>
    <w:p>
      <w:pPr>
        <w:spacing w:line="360" w:lineRule="auto"/>
        <w:rPr>
          <w:rFonts w:ascii="仿宋_GB2312" w:hAnsi="仿宋" w:eastAsia="仿宋_GB2312"/>
          <w:color w:val="auto"/>
          <w:sz w:val="24"/>
          <w:highlight w:val="none"/>
          <w:u w:val="dotted"/>
        </w:rPr>
      </w:pPr>
      <w:r>
        <w:rPr>
          <w:rFonts w:hint="eastAsia" w:ascii="仿宋_GB2312" w:hAnsi="仿宋" w:eastAsia="仿宋_GB2312"/>
          <w:color w:val="auto"/>
          <w:sz w:val="24"/>
          <w:highlight w:val="none"/>
        </w:rPr>
        <w:t>……</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五、与投诉事项相关的投诉请求</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请求：</w:t>
      </w:r>
      <w:r>
        <w:rPr>
          <w:rFonts w:ascii="仿宋_GB2312" w:hAnsi="仿宋" w:eastAsia="仿宋_GB2312"/>
          <w:color w:val="auto"/>
          <w:sz w:val="24"/>
          <w:highlight w:val="none"/>
          <w:u w:val="dotted"/>
        </w:rPr>
        <w:t xml:space="preserve">                                              </w:t>
      </w:r>
      <w:r>
        <w:rPr>
          <w:rFonts w:ascii="仿宋_GB2312" w:hAnsi="仿宋" w:eastAsia="仿宋_GB2312"/>
          <w:color w:val="auto"/>
          <w:sz w:val="24"/>
          <w:highlight w:val="none"/>
        </w:rPr>
        <w:t xml:space="preserve"> </w:t>
      </w:r>
    </w:p>
    <w:p>
      <w:pPr>
        <w:spacing w:line="360" w:lineRule="auto"/>
        <w:rPr>
          <w:rFonts w:ascii="仿宋_GB2312" w:hAnsi="仿宋" w:eastAsia="仿宋_GB2312"/>
          <w:color w:val="auto"/>
          <w:sz w:val="24"/>
          <w:highlight w:val="none"/>
          <w:u w:val="single"/>
        </w:rPr>
      </w:pPr>
      <w:r>
        <w:rPr>
          <w:rFonts w:ascii="仿宋_GB2312" w:hAnsi="仿宋" w:eastAsia="仿宋_GB2312"/>
          <w:color w:val="auto"/>
          <w:sz w:val="24"/>
          <w:highlight w:val="none"/>
        </w:rPr>
        <w:t xml:space="preserve">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签字</w:t>
      </w:r>
      <w:r>
        <w:rPr>
          <w:rFonts w:ascii="仿宋_GB2312" w:hAnsi="仿宋" w:eastAsia="仿宋_GB2312"/>
          <w:color w:val="auto"/>
          <w:sz w:val="24"/>
          <w:highlight w:val="none"/>
        </w:rPr>
        <w:t xml:space="preserve">(签章)：                   公章：                      </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日期：</w:t>
      </w:r>
      <w:r>
        <w:rPr>
          <w:rFonts w:ascii="仿宋_GB2312" w:hAnsi="仿宋" w:eastAsia="仿宋_GB2312"/>
          <w:color w:val="auto"/>
          <w:sz w:val="24"/>
          <w:highlight w:val="none"/>
        </w:rPr>
        <w:t xml:space="preserve">    </w:t>
      </w:r>
    </w:p>
    <w:p>
      <w:pPr>
        <w:spacing w:line="360" w:lineRule="auto"/>
        <w:rPr>
          <w:rFonts w:ascii="仿宋_GB2312" w:hAnsi="仿宋" w:eastAsia="仿宋_GB2312"/>
          <w:b/>
          <w:color w:val="auto"/>
          <w:sz w:val="24"/>
          <w:highlight w:val="none"/>
        </w:rPr>
      </w:pPr>
    </w:p>
    <w:p>
      <w:pPr>
        <w:spacing w:line="360" w:lineRule="auto"/>
        <w:rPr>
          <w:rFonts w:ascii="仿宋_GB2312" w:hAnsi="仿宋" w:eastAsia="仿宋_GB2312"/>
          <w:b/>
          <w:color w:val="auto"/>
          <w:sz w:val="24"/>
          <w:highlight w:val="none"/>
        </w:rPr>
      </w:pPr>
    </w:p>
    <w:p>
      <w:pPr>
        <w:spacing w:line="36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投诉书制作说明：</w:t>
      </w:r>
    </w:p>
    <w:p>
      <w:pPr>
        <w:widowControl/>
        <w:spacing w:line="360" w:lineRule="auto"/>
        <w:ind w:firstLine="480" w:firstLineChars="200"/>
        <w:rPr>
          <w:rFonts w:ascii="仿宋_GB2312" w:hAnsi="仿宋" w:eastAsia="仿宋_GB2312" w:cs="宋体"/>
          <w:color w:val="auto"/>
          <w:kern w:val="0"/>
          <w:sz w:val="24"/>
          <w:highlight w:val="none"/>
        </w:rPr>
      </w:pPr>
      <w:r>
        <w:rPr>
          <w:rFonts w:ascii="仿宋_GB2312" w:hAnsi="仿宋" w:eastAsia="仿宋_GB2312"/>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color w:val="auto"/>
          <w:kern w:val="0"/>
          <w:sz w:val="24"/>
          <w:highlight w:val="none"/>
        </w:rPr>
      </w:pPr>
      <w:r>
        <w:rPr>
          <w:rFonts w:ascii="仿宋_GB2312" w:hAnsi="仿宋" w:eastAsia="仿宋_GB2312"/>
          <w:color w:val="auto"/>
          <w:sz w:val="24"/>
          <w:highlight w:val="none"/>
        </w:rPr>
        <w:t>2.投诉人若委托代理人进行投诉的，投诉书应按照要求列明“授权代表”的有关内容，并在附件中提交由</w:t>
      </w:r>
      <w:r>
        <w:rPr>
          <w:rFonts w:hint="eastAsia" w:ascii="仿宋_GB2312" w:hAnsi="仿宋" w:eastAsia="仿宋_GB2312"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olor w:val="auto"/>
          <w:sz w:val="24"/>
          <w:highlight w:val="none"/>
        </w:rPr>
      </w:pPr>
      <w:r>
        <w:rPr>
          <w:rFonts w:ascii="仿宋_GB2312" w:hAnsi="仿宋" w:eastAsia="仿宋_GB2312"/>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宋体"/>
          <w:color w:val="auto"/>
          <w:kern w:val="0"/>
          <w:sz w:val="24"/>
          <w:highlight w:val="none"/>
        </w:rPr>
      </w:pPr>
      <w:r>
        <w:rPr>
          <w:rFonts w:ascii="仿宋_GB2312" w:hAnsi="仿宋" w:eastAsia="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color w:val="auto"/>
          <w:sz w:val="24"/>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rPr>
          <w:rFonts w:hint="eastAsia"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br w:type="page"/>
      </w:r>
    </w:p>
    <w:p>
      <w:pPr>
        <w:autoSpaceDE w:val="0"/>
        <w:autoSpaceDN w:val="0"/>
        <w:jc w:val="center"/>
        <w:rPr>
          <w:rFonts w:ascii="仿宋" w:hAnsi="仿宋" w:eastAsia="仿宋"/>
          <w:b/>
          <w:bCs/>
          <w:color w:val="auto"/>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4：</w:t>
      </w:r>
      <w:r>
        <w:rPr>
          <w:rFonts w:hint="eastAsia" w:ascii="仿宋" w:hAnsi="仿宋" w:eastAsia="仿宋"/>
          <w:b/>
          <w:bCs/>
          <w:color w:val="auto"/>
          <w:sz w:val="32"/>
          <w:szCs w:val="32"/>
          <w:highlight w:val="none"/>
        </w:rPr>
        <w:t>业务专用章使用说明函</w:t>
      </w:r>
    </w:p>
    <w:p>
      <w:pPr>
        <w:spacing w:line="360" w:lineRule="auto"/>
        <w:rPr>
          <w:rFonts w:ascii="仿宋" w:hAnsi="仿宋" w:eastAsia="仿宋"/>
          <w:color w:val="auto"/>
          <w:sz w:val="24"/>
          <w:highlight w:val="none"/>
        </w:rPr>
      </w:pPr>
      <w:r>
        <w:rPr>
          <w:rFonts w:hint="eastAsia" w:ascii="仿宋" w:hAnsi="仿宋" w:eastAsia="仿宋" w:cs="仿宋_GB2312"/>
          <w:color w:val="auto"/>
          <w:sz w:val="24"/>
          <w:highlight w:val="none"/>
          <w:u w:val="single"/>
        </w:rPr>
        <w:t>（采购人）、（采购代理机构）</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kern w:val="0"/>
          <w:sz w:val="24"/>
          <w:highlight w:val="none"/>
          <w:u w:val="single"/>
          <w:lang w:val="zh-CN"/>
        </w:rPr>
        <w:t xml:space="preserve">                         </w:t>
      </w:r>
      <w:r>
        <w:rPr>
          <w:rFonts w:ascii="仿宋" w:hAnsi="仿宋" w:eastAsia="仿宋" w:cs="仿宋_GB2312"/>
          <w:color w:val="auto"/>
          <w:sz w:val="24"/>
          <w:highlight w:val="none"/>
        </w:rPr>
        <w:t>(投标人全称)</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w:t>
      </w:r>
      <w:r>
        <w:rPr>
          <w:rFonts w:hint="eastAsia" w:ascii="仿宋_GB2312" w:hAnsi="仿宋" w:eastAsia="仿宋_GB2312" w:cs="仿宋_GB2312"/>
          <w:color w:val="auto"/>
          <w:sz w:val="24"/>
          <w:highlight w:val="none"/>
        </w:rPr>
        <w:t>（项目名称）项目</w:t>
      </w:r>
      <w:r>
        <w:rPr>
          <w:rFonts w:hint="eastAsia" w:ascii="仿宋" w:hAnsi="仿宋" w:eastAsia="仿宋" w:cs="仿宋_GB2312"/>
          <w:color w:val="auto"/>
          <w:sz w:val="24"/>
          <w:highlight w:val="none"/>
        </w:rPr>
        <w:t>【招标编号：（采购编号）</w:t>
      </w:r>
      <w:r>
        <w:rPr>
          <w:rFonts w:ascii="仿宋" w:hAnsi="仿宋" w:eastAsia="仿宋" w:cs="仿宋_GB2312"/>
          <w:color w:val="auto"/>
          <w:sz w:val="24"/>
          <w:highlight w:val="none"/>
        </w:rPr>
        <w:t>】</w:t>
      </w:r>
      <w:r>
        <w:rPr>
          <w:rFonts w:hint="eastAsia" w:ascii="仿宋" w:hAnsi="仿宋" w:eastAsia="仿宋" w:cs="宋体"/>
          <w:bCs/>
          <w:color w:val="auto"/>
          <w:sz w:val="24"/>
          <w:highlight w:val="none"/>
        </w:rPr>
        <w:t>投标活动中作如下说明：</w:t>
      </w:r>
      <w:r>
        <w:rPr>
          <w:rFonts w:hint="eastAsia" w:ascii="仿宋" w:hAnsi="仿宋" w:eastAsia="仿宋" w:cs="宋体"/>
          <w:color w:val="auto"/>
          <w:sz w:val="24"/>
          <w:highlight w:val="none"/>
        </w:rPr>
        <w:t>我方所使用的“</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专用章”与法定名称章具有同等的法律效力，对使用“</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专用章”的行为予以完全承认，并愿意承担相应责任。</w:t>
      </w:r>
      <w:r>
        <w:rPr>
          <w:rFonts w:ascii="仿宋" w:hAnsi="仿宋" w:eastAsia="仿宋" w:cs="宋体"/>
          <w:color w:val="auto"/>
          <w:sz w:val="24"/>
          <w:highlight w:val="none"/>
        </w:rPr>
        <w:t xml:space="preserve">   </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投标单位（法定名称章）：</w:t>
      </w:r>
    </w:p>
    <w:p>
      <w:pPr>
        <w:ind w:right="1440" w:firstLine="494"/>
        <w:jc w:val="center"/>
        <w:rPr>
          <w:rFonts w:ascii="仿宋" w:hAnsi="仿宋" w:eastAsia="仿宋" w:cs="宋体"/>
          <w:color w:val="auto"/>
          <w:sz w:val="24"/>
          <w:highlight w:val="none"/>
        </w:rPr>
      </w:pPr>
      <w:r>
        <w:rPr>
          <w:rFonts w:ascii="仿宋" w:hAnsi="仿宋" w:eastAsia="仿宋" w:cs="宋体"/>
          <w:color w:val="auto"/>
          <w:sz w:val="24"/>
          <w:highlight w:val="none"/>
        </w:rPr>
        <w:t xml:space="preserve">                              日期：       年     月     日</w:t>
      </w:r>
    </w:p>
    <w:p>
      <w:pPr>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pPr>
        <w:spacing w:line="360" w:lineRule="auto"/>
        <w:rPr>
          <w:rFonts w:ascii="仿宋" w:hAnsi="仿宋" w:eastAsia="仿宋"/>
          <w:bCs/>
          <w:color w:val="auto"/>
          <w:sz w:val="24"/>
          <w:highlight w:val="none"/>
        </w:rPr>
      </w:pPr>
      <w:r>
        <w:rPr>
          <w:rFonts w:ascii="仿宋" w:hAnsi="仿宋"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宋体"/>
          <w:color w:val="auto"/>
          <w:sz w:val="24"/>
          <w:highlight w:val="none"/>
        </w:rPr>
        <w:t>投标单位法定名称章（印模）</w:t>
      </w:r>
      <w:r>
        <w:rPr>
          <w:rFonts w:ascii="仿宋" w:hAnsi="仿宋" w:eastAsia="仿宋" w:cs="宋体"/>
          <w:color w:val="auto"/>
          <w:sz w:val="24"/>
          <w:highlight w:val="none"/>
        </w:rPr>
        <w:t xml:space="preserve">                </w:t>
      </w:r>
      <w:r>
        <w:rPr>
          <w:rFonts w:hint="eastAsia" w:ascii="仿宋" w:hAnsi="仿宋" w:eastAsia="仿宋" w:cs="宋体"/>
          <w:color w:val="auto"/>
          <w:sz w:val="24"/>
          <w:highlight w:val="none"/>
        </w:rPr>
        <w:t>投标单位“</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专用章”（印模）</w:t>
      </w: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ascii="仿宋" w:hAnsi="仿宋" w:eastAsia="仿宋"/>
          <w:b/>
          <w:color w:val="auto"/>
          <w:spacing w:val="6"/>
          <w:sz w:val="32"/>
          <w:szCs w:val="32"/>
          <w:highlight w:val="none"/>
        </w:rPr>
      </w:pPr>
    </w:p>
    <w:p>
      <w:pPr>
        <w:autoSpaceDE w:val="0"/>
        <w:autoSpaceDN w:val="0"/>
        <w:jc w:val="center"/>
        <w:rPr>
          <w:rFonts w:hint="eastAsia" w:ascii="仿宋" w:hAnsi="仿宋" w:eastAsia="仿宋"/>
          <w:b/>
          <w:color w:val="auto"/>
          <w:spacing w:val="6"/>
          <w:sz w:val="32"/>
          <w:szCs w:val="32"/>
          <w:highlight w:val="none"/>
        </w:rPr>
      </w:pPr>
    </w:p>
    <w:p>
      <w:pPr>
        <w:rPr>
          <w:rFonts w:hint="eastAsia"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br w:type="page"/>
      </w:r>
    </w:p>
    <w:p>
      <w:pPr>
        <w:autoSpaceDE w:val="0"/>
        <w:autoSpaceDN w:val="0"/>
        <w:jc w:val="center"/>
        <w:rPr>
          <w:rFonts w:ascii="仿宋" w:hAnsi="仿宋" w:eastAsia="仿宋"/>
          <w:b/>
          <w:bCs/>
          <w:color w:val="auto"/>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5</w:t>
      </w:r>
      <w:r>
        <w:rPr>
          <w:rFonts w:hint="eastAsia" w:ascii="仿宋" w:hAnsi="仿宋" w:eastAsia="仿宋"/>
          <w:b/>
          <w:color w:val="auto"/>
          <w:spacing w:val="6"/>
          <w:sz w:val="32"/>
          <w:szCs w:val="32"/>
          <w:highlight w:val="none"/>
        </w:rPr>
        <w:t>：</w:t>
      </w:r>
      <w:r>
        <w:rPr>
          <w:rFonts w:hint="eastAsia" w:ascii="仿宋_GB2312" w:hAnsi="宋体" w:eastAsia="仿宋_GB2312"/>
          <w:b/>
          <w:color w:val="auto"/>
          <w:sz w:val="32"/>
          <w:szCs w:val="32"/>
          <w:highlight w:val="none"/>
        </w:rPr>
        <w:t>中小企业声明函</w:t>
      </w:r>
    </w:p>
    <w:p>
      <w:pPr>
        <w:spacing w:line="360" w:lineRule="auto"/>
        <w:jc w:val="center"/>
        <w:rPr>
          <w:rFonts w:hint="eastAsia" w:ascii="仿宋_GB2312" w:hAnsi="宋体" w:eastAsia="仿宋_GB2312"/>
          <w:b/>
          <w:color w:val="auto"/>
          <w:sz w:val="32"/>
          <w:szCs w:val="32"/>
          <w:highlight w:val="none"/>
        </w:rPr>
      </w:pPr>
    </w:p>
    <w:p>
      <w:pPr>
        <w:spacing w:line="360" w:lineRule="auto"/>
        <w:jc w:val="center"/>
        <w:rPr>
          <w:rFonts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中小企业声明函（货物）</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本公司（联合体）郑重声明，根据《政府采购促进中小企业发展管理办法》（财库</w:t>
      </w:r>
      <w:r>
        <w:rPr>
          <w:rFonts w:hint="eastAsia" w:ascii="宋体" w:hAnsi="宋体" w:cs="宋体"/>
          <w:color w:val="auto"/>
          <w:sz w:val="24"/>
          <w:highlight w:val="none"/>
        </w:rPr>
        <w:t>﹝</w:t>
      </w:r>
      <w:r>
        <w:rPr>
          <w:rFonts w:ascii="仿宋_GB2312" w:hAnsi="宋体" w:eastAsia="仿宋_GB2312"/>
          <w:color w:val="auto"/>
          <w:sz w:val="24"/>
          <w:highlight w:val="none"/>
        </w:rPr>
        <w:t>2020</w:t>
      </w:r>
      <w:r>
        <w:rPr>
          <w:rFonts w:hint="eastAsia" w:ascii="宋体" w:hAnsi="宋体" w:cs="宋体"/>
          <w:color w:val="auto"/>
          <w:sz w:val="24"/>
          <w:highlight w:val="none"/>
        </w:rPr>
        <w:t>﹞</w:t>
      </w:r>
      <w:r>
        <w:rPr>
          <w:rFonts w:ascii="仿宋_GB2312" w:hAnsi="宋体" w:eastAsia="仿宋_GB2312"/>
          <w:color w:val="auto"/>
          <w:sz w:val="24"/>
          <w:highlight w:val="none"/>
        </w:rPr>
        <w:t xml:space="preserve">46 </w:t>
      </w:r>
      <w:r>
        <w:rPr>
          <w:rFonts w:hint="eastAsia" w:ascii="仿宋_GB2312" w:hAnsi="宋体" w:eastAsia="仿宋_GB2312"/>
          <w:color w:val="auto"/>
          <w:sz w:val="24"/>
          <w:highlight w:val="none"/>
        </w:rPr>
        <w:t>号）的规定，本公司（联合体）参加</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（单位名称）</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的</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（项目名称）</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1.</w:t>
      </w:r>
      <w:r>
        <w:rPr>
          <w:color w:val="auto"/>
          <w:highlight w:val="none"/>
        </w:rPr>
        <w:t xml:space="preserve"> </w:t>
      </w:r>
      <w:r>
        <w:rPr>
          <w:rFonts w:hint="eastAsia" w:ascii="仿宋_GB2312" w:hAnsi="宋体" w:eastAsia="仿宋_GB2312"/>
          <w:color w:val="auto"/>
          <w:sz w:val="24"/>
          <w:highlight w:val="none"/>
          <w:u w:val="single"/>
        </w:rPr>
        <w:t>（标的名称）</w:t>
      </w:r>
      <w:r>
        <w:rPr>
          <w:rFonts w:ascii="仿宋_GB2312" w:hAnsi="宋体" w:eastAsia="仿宋_GB2312"/>
          <w:color w:val="auto"/>
          <w:sz w:val="24"/>
          <w:highlight w:val="none"/>
        </w:rPr>
        <w:t xml:space="preserve"> ，属于 </w:t>
      </w:r>
      <w:r>
        <w:rPr>
          <w:rFonts w:hint="eastAsia" w:ascii="仿宋_GB2312" w:hAnsi="宋体" w:eastAsia="仿宋_GB2312"/>
          <w:color w:val="auto"/>
          <w:sz w:val="24"/>
          <w:highlight w:val="none"/>
          <w:u w:val="single"/>
        </w:rPr>
        <w:t>（采购文件中明确的所属行业）</w:t>
      </w:r>
      <w:r>
        <w:rPr>
          <w:rFonts w:hint="eastAsia" w:ascii="仿宋_GB2312" w:hAnsi="宋体" w:eastAsia="仿宋_GB2312"/>
          <w:color w:val="auto"/>
          <w:sz w:val="24"/>
          <w:highlight w:val="none"/>
        </w:rPr>
        <w:t>行业</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；制造商为</w:t>
      </w:r>
      <w:r>
        <w:rPr>
          <w:rFonts w:ascii="仿宋_GB2312" w:hAnsi="宋体" w:eastAsia="仿宋_GB2312"/>
          <w:color w:val="auto"/>
          <w:sz w:val="24"/>
          <w:highlight w:val="none"/>
          <w:u w:val="single"/>
        </w:rPr>
        <w:t xml:space="preserve"> （企业名称）</w:t>
      </w:r>
      <w:r>
        <w:rPr>
          <w:rFonts w:ascii="仿宋_GB2312" w:hAnsi="宋体" w:eastAsia="仿宋_GB2312"/>
          <w:color w:val="auto"/>
          <w:sz w:val="24"/>
          <w:highlight w:val="none"/>
        </w:rPr>
        <w:t xml:space="preserve"> ，从业人员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 xml:space="preserve"> （中型企业、小型企业、微型企业）</w:t>
      </w:r>
      <w:r>
        <w:rPr>
          <w:rFonts w:ascii="仿宋_GB2312" w:hAnsi="宋体" w:eastAsia="仿宋_GB2312"/>
          <w:color w:val="auto"/>
          <w:sz w:val="24"/>
          <w:highlight w:val="none"/>
        </w:rPr>
        <w:t xml:space="preserve"> ；</w:t>
      </w:r>
    </w:p>
    <w:p>
      <w:pPr>
        <w:spacing w:line="360" w:lineRule="auto"/>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w:t>
      </w:r>
      <w:r>
        <w:rPr>
          <w:color w:val="auto"/>
          <w:highlight w:val="none"/>
        </w:rPr>
        <w:t xml:space="preserve"> </w:t>
      </w:r>
      <w:r>
        <w:rPr>
          <w:rFonts w:hint="eastAsia" w:ascii="仿宋_GB2312" w:hAnsi="宋体" w:eastAsia="仿宋_GB2312"/>
          <w:color w:val="auto"/>
          <w:sz w:val="24"/>
          <w:highlight w:val="none"/>
          <w:u w:val="single"/>
        </w:rPr>
        <w:t>（标的名称）</w:t>
      </w:r>
      <w:r>
        <w:rPr>
          <w:rFonts w:ascii="仿宋_GB2312" w:hAnsi="宋体" w:eastAsia="仿宋_GB2312"/>
          <w:color w:val="auto"/>
          <w:sz w:val="24"/>
          <w:highlight w:val="none"/>
        </w:rPr>
        <w:t xml:space="preserve"> ，属于 </w:t>
      </w:r>
      <w:r>
        <w:rPr>
          <w:rFonts w:hint="eastAsia" w:ascii="仿宋_GB2312" w:hAnsi="宋体" w:eastAsia="仿宋_GB2312"/>
          <w:color w:val="auto"/>
          <w:sz w:val="24"/>
          <w:highlight w:val="none"/>
          <w:u w:val="single"/>
        </w:rPr>
        <w:t>（采购文件中明确的所属行业）</w:t>
      </w:r>
      <w:r>
        <w:rPr>
          <w:rFonts w:hint="eastAsia" w:ascii="仿宋_GB2312" w:hAnsi="宋体" w:eastAsia="仿宋_GB2312"/>
          <w:color w:val="auto"/>
          <w:sz w:val="24"/>
          <w:highlight w:val="none"/>
        </w:rPr>
        <w:t>行业</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；制造商为</w:t>
      </w:r>
      <w:r>
        <w:rPr>
          <w:rFonts w:ascii="仿宋_GB2312" w:hAnsi="宋体" w:eastAsia="仿宋_GB2312"/>
          <w:color w:val="auto"/>
          <w:sz w:val="24"/>
          <w:highlight w:val="none"/>
          <w:u w:val="single"/>
        </w:rPr>
        <w:t xml:space="preserve"> （企业名称）</w:t>
      </w:r>
      <w:r>
        <w:rPr>
          <w:rFonts w:ascii="仿宋_GB2312" w:hAnsi="宋体" w:eastAsia="仿宋_GB2312"/>
          <w:color w:val="auto"/>
          <w:sz w:val="24"/>
          <w:highlight w:val="none"/>
        </w:rPr>
        <w:t xml:space="preserve"> ，从业人员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 xml:space="preserve"> （中型企业、小型企业、微型企业）</w:t>
      </w:r>
      <w:r>
        <w:rPr>
          <w:rFonts w:ascii="仿宋_GB2312" w:hAnsi="宋体" w:eastAsia="仿宋_GB2312"/>
          <w:color w:val="auto"/>
          <w:sz w:val="24"/>
          <w:highlight w:val="none"/>
        </w:rPr>
        <w:t xml:space="preserve"> ；</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w:t>
      </w:r>
      <w:r>
        <w:rPr>
          <w:rFonts w:ascii="仿宋_GB2312" w:hAnsi="仿宋" w:eastAsia="仿宋_GB2312" w:cs="仿宋_GB2312"/>
          <w:color w:val="auto"/>
          <w:kern w:val="0"/>
          <w:sz w:val="24"/>
          <w:highlight w:val="none"/>
          <w:lang w:val="zh-CN"/>
        </w:rPr>
        <w:t>(电子签名)：</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w:t>
      </w:r>
      <w:r>
        <w:rPr>
          <w:rFonts w:hint="eastAsia" w:ascii="仿宋_GB2312" w:hAnsi="仿宋" w:eastAsia="仿宋_GB2312" w:cs="仿宋_GB2312"/>
          <w:color w:val="auto"/>
          <w:kern w:val="0"/>
          <w:sz w:val="24"/>
          <w:highlight w:val="none"/>
        </w:rPr>
        <w:t>：</w:t>
      </w:r>
      <w:r>
        <w:rPr>
          <w:rFonts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pPr>
        <w:spacing w:line="360" w:lineRule="auto"/>
        <w:jc w:val="left"/>
        <w:rPr>
          <w:rFonts w:ascii="仿宋_GB2312" w:hAnsi="宋体" w:eastAsia="仿宋_GB2312"/>
          <w:color w:val="auto"/>
          <w:sz w:val="18"/>
          <w:szCs w:val="18"/>
          <w:highlight w:val="none"/>
        </w:rPr>
      </w:pPr>
      <w:r>
        <w:rPr>
          <w:rFonts w:hint="eastAsia" w:ascii="仿宋_GB2312" w:hAnsi="宋体" w:eastAsia="仿宋_GB2312"/>
          <w:color w:val="auto"/>
          <w:sz w:val="18"/>
          <w:szCs w:val="18"/>
          <w:highlight w:val="none"/>
        </w:rPr>
        <w:t>从业人员、营业收入、资产总额填报上一年度数据，无上一年度数据的新成立企业可不填报。</w:t>
      </w:r>
    </w:p>
    <w:p>
      <w:pPr>
        <w:spacing w:line="360" w:lineRule="auto"/>
        <w:ind w:firstLine="480" w:firstLineChars="20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注：符合《关于促进残疾人就业政府采购政策的通知》（财库〔</w:t>
      </w:r>
      <w:r>
        <w:rPr>
          <w:rFonts w:ascii="仿宋_GB2312" w:hAnsi="仿宋" w:eastAsia="仿宋_GB2312" w:cs="仿宋_GB2312"/>
          <w:color w:val="auto"/>
          <w:sz w:val="24"/>
          <w:highlight w:val="none"/>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br w:type="page"/>
      </w:r>
    </w:p>
    <w:p>
      <w:pPr>
        <w:spacing w:line="360" w:lineRule="auto"/>
        <w:jc w:val="both"/>
        <w:rPr>
          <w:rFonts w:hint="eastAsia" w:ascii="仿宋_GB2312" w:hAnsi="仿宋" w:eastAsia="仿宋_GB2312" w:cs="仿宋_GB2312"/>
          <w:b/>
          <w:color w:val="auto"/>
          <w:sz w:val="32"/>
          <w:szCs w:val="32"/>
          <w:highlight w:val="none"/>
        </w:rPr>
      </w:pPr>
    </w:p>
    <w:p>
      <w:pPr>
        <w:spacing w:line="360" w:lineRule="auto"/>
        <w:jc w:val="center"/>
        <w:rPr>
          <w:rFonts w:ascii="仿宋_GB2312" w:hAnsi="宋体" w:eastAsia="仿宋_GB2312"/>
          <w:b/>
          <w:color w:val="auto"/>
          <w:sz w:val="32"/>
          <w:szCs w:val="32"/>
          <w:highlight w:val="none"/>
        </w:rPr>
      </w:pPr>
      <w:r>
        <w:rPr>
          <w:rFonts w:hint="eastAsia" w:ascii="仿宋_GB2312" w:hAnsi="仿宋" w:eastAsia="仿宋_GB2312" w:cs="仿宋_GB2312"/>
          <w:b/>
          <w:color w:val="auto"/>
          <w:sz w:val="32"/>
          <w:szCs w:val="32"/>
          <w:highlight w:val="none"/>
        </w:rPr>
        <w:t>中小企业声明函</w:t>
      </w:r>
      <w:r>
        <w:rPr>
          <w:rFonts w:hint="eastAsia" w:ascii="仿宋_GB2312" w:hAnsi="宋体" w:eastAsia="仿宋_GB2312"/>
          <w:b/>
          <w:color w:val="auto"/>
          <w:sz w:val="32"/>
          <w:szCs w:val="32"/>
          <w:highlight w:val="none"/>
        </w:rPr>
        <w:t>（工程、服务）</w:t>
      </w:r>
    </w:p>
    <w:p>
      <w:pPr>
        <w:spacing w:line="360" w:lineRule="auto"/>
        <w:rPr>
          <w:rFonts w:ascii="仿宋_GB2312" w:hAnsi="仿宋" w:eastAsia="仿宋_GB2312"/>
          <w:color w:val="auto"/>
          <w:highlight w:val="none"/>
        </w:rPr>
      </w:pPr>
    </w:p>
    <w:p>
      <w:pPr>
        <w:spacing w:line="360" w:lineRule="auto"/>
        <w:ind w:firstLine="360" w:firstLineChars="1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本公司（联合体）郑重声明，根据《政府采购促进中小企业发展管理办法》（财库﹝</w:t>
      </w:r>
      <w:r>
        <w:rPr>
          <w:rFonts w:ascii="仿宋_GB2312" w:hAnsi="宋体" w:eastAsia="仿宋_GB2312"/>
          <w:color w:val="auto"/>
          <w:sz w:val="24"/>
          <w:highlight w:val="none"/>
        </w:rPr>
        <w:t xml:space="preserve">2020﹞46 </w:t>
      </w:r>
      <w:r>
        <w:rPr>
          <w:rFonts w:hint="eastAsia" w:ascii="仿宋_GB2312" w:hAnsi="宋体" w:eastAsia="仿宋_GB2312"/>
          <w:color w:val="auto"/>
          <w:sz w:val="24"/>
          <w:highlight w:val="none"/>
        </w:rPr>
        <w:t>号）的规定，本公司（联合体）参加</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（单位名称）</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的</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（项目名称）</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宋体" w:eastAsia="仿宋_GB2312"/>
          <w:color w:val="auto"/>
          <w:sz w:val="24"/>
          <w:highlight w:val="none"/>
        </w:rPr>
      </w:pPr>
      <w:r>
        <w:rPr>
          <w:rFonts w:ascii="仿宋_GB2312" w:hAnsi="宋体" w:eastAsia="仿宋_GB2312"/>
          <w:color w:val="auto"/>
          <w:sz w:val="24"/>
          <w:highlight w:val="none"/>
        </w:rPr>
        <w:t>1.</w:t>
      </w:r>
      <w:r>
        <w:rPr>
          <w:color w:val="auto"/>
          <w:highlight w:val="none"/>
        </w:rPr>
        <w:t xml:space="preserve"> </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u w:val="single"/>
        </w:rPr>
        <w:t>（采购文件中明确的所属行业）</w:t>
      </w:r>
      <w:r>
        <w:rPr>
          <w:rFonts w:ascii="仿宋_GB2312" w:hAnsi="宋体" w:eastAsia="仿宋_GB2312"/>
          <w:color w:val="auto"/>
          <w:sz w:val="24"/>
          <w:highlight w:val="none"/>
        </w:rPr>
        <w:t xml:space="preserve"> ；承建（承接）企业为 </w:t>
      </w:r>
      <w:r>
        <w:rPr>
          <w:rFonts w:hint="eastAsia" w:ascii="仿宋_GB2312" w:hAnsi="宋体" w:eastAsia="仿宋_GB2312"/>
          <w:color w:val="auto"/>
          <w:sz w:val="24"/>
          <w:highlight w:val="none"/>
          <w:u w:val="single"/>
        </w:rPr>
        <w:t>（企业名称）</w:t>
      </w:r>
      <w:r>
        <w:rPr>
          <w:rFonts w:ascii="仿宋_GB2312" w:hAnsi="宋体" w:eastAsia="仿宋_GB2312"/>
          <w:color w:val="auto"/>
          <w:sz w:val="24"/>
          <w:highlight w:val="none"/>
        </w:rPr>
        <w:t xml:space="preserve"> ，从业人员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 xml:space="preserve"> （中型企业、小型企业、微型企业） </w:t>
      </w:r>
      <w:r>
        <w:rPr>
          <w:rFonts w:hint="eastAsia" w:ascii="仿宋_GB2312" w:hAnsi="宋体" w:eastAsia="仿宋_GB2312"/>
          <w:color w:val="auto"/>
          <w:sz w:val="24"/>
          <w:highlight w:val="none"/>
        </w:rPr>
        <w:t>；</w:t>
      </w:r>
    </w:p>
    <w:p>
      <w:pPr>
        <w:spacing w:line="360" w:lineRule="auto"/>
        <w:ind w:firstLine="480" w:firstLineChars="200"/>
        <w:jc w:val="left"/>
        <w:rPr>
          <w:rFonts w:ascii="仿宋_GB2312" w:hAnsi="宋体" w:eastAsia="仿宋_GB2312"/>
          <w:color w:val="auto"/>
          <w:sz w:val="24"/>
          <w:highlight w:val="none"/>
        </w:rPr>
      </w:pPr>
      <w:r>
        <w:rPr>
          <w:rFonts w:ascii="仿宋_GB2312" w:hAnsi="宋体" w:eastAsia="仿宋_GB2312"/>
          <w:color w:val="auto"/>
          <w:sz w:val="24"/>
          <w:highlight w:val="none"/>
        </w:rPr>
        <w:t>2.</w:t>
      </w:r>
      <w:r>
        <w:rPr>
          <w:color w:val="auto"/>
          <w:highlight w:val="none"/>
        </w:rPr>
        <w:t xml:space="preserve"> </w:t>
      </w:r>
      <w:r>
        <w:rPr>
          <w:rFonts w:hint="eastAsia" w:ascii="仿宋_GB2312" w:hAnsi="宋体" w:eastAsia="仿宋_GB2312"/>
          <w:color w:val="auto"/>
          <w:sz w:val="24"/>
          <w:highlight w:val="none"/>
          <w:u w:val="single"/>
        </w:rPr>
        <w:t>（标的名称）</w:t>
      </w:r>
      <w:r>
        <w:rPr>
          <w:rFonts w:hint="eastAsia" w:ascii="仿宋_GB2312" w:hAnsi="宋体" w:eastAsia="仿宋_GB2312"/>
          <w:color w:val="auto"/>
          <w:sz w:val="24"/>
          <w:highlight w:val="none"/>
        </w:rPr>
        <w:t>，属于</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u w:val="single"/>
        </w:rPr>
        <w:t>（采购文件中明确的所属行业）</w:t>
      </w:r>
      <w:r>
        <w:rPr>
          <w:rFonts w:ascii="仿宋_GB2312" w:hAnsi="宋体" w:eastAsia="仿宋_GB2312"/>
          <w:color w:val="auto"/>
          <w:sz w:val="24"/>
          <w:highlight w:val="none"/>
        </w:rPr>
        <w:t xml:space="preserve"> ；承建（承接）企业为 </w:t>
      </w:r>
      <w:r>
        <w:rPr>
          <w:rFonts w:hint="eastAsia" w:ascii="仿宋_GB2312" w:hAnsi="宋体" w:eastAsia="仿宋_GB2312"/>
          <w:color w:val="auto"/>
          <w:sz w:val="24"/>
          <w:highlight w:val="none"/>
          <w:u w:val="single"/>
        </w:rPr>
        <w:t>（企业名称）</w:t>
      </w:r>
      <w:r>
        <w:rPr>
          <w:rFonts w:ascii="仿宋_GB2312" w:hAnsi="宋体" w:eastAsia="仿宋_GB2312"/>
          <w:color w:val="auto"/>
          <w:sz w:val="24"/>
          <w:highlight w:val="none"/>
        </w:rPr>
        <w:t xml:space="preserve"> ，从业人员</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人，营业收入为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万元，资产总额为</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万元属于</w:t>
      </w:r>
      <w:r>
        <w:rPr>
          <w:rFonts w:ascii="仿宋_GB2312" w:hAnsi="宋体" w:eastAsia="仿宋_GB2312"/>
          <w:color w:val="auto"/>
          <w:sz w:val="24"/>
          <w:highlight w:val="none"/>
          <w:u w:val="single"/>
        </w:rPr>
        <w:t xml:space="preserve"> （中型企业、小型企业、微型企业） </w:t>
      </w:r>
      <w:r>
        <w:rPr>
          <w:rFonts w:hint="eastAsia" w:ascii="仿宋_GB2312" w:hAnsi="宋体" w:eastAsia="仿宋_GB2312"/>
          <w:color w:val="auto"/>
          <w:sz w:val="24"/>
          <w:highlight w:val="none"/>
        </w:rPr>
        <w:t>；</w:t>
      </w:r>
    </w:p>
    <w:p>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w:t>
      </w:r>
    </w:p>
    <w:p>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本企业对上述声明内容的真实性负责。如有虚假，将依法承担相应责任。</w:t>
      </w:r>
    </w:p>
    <w:p>
      <w:pPr>
        <w:spacing w:line="360" w:lineRule="auto"/>
        <w:ind w:right="1760"/>
        <w:jc w:val="right"/>
        <w:rPr>
          <w:rFonts w:ascii="仿宋_GB2312" w:hAnsi="宋体" w:eastAsia="仿宋_GB2312"/>
          <w:color w:val="auto"/>
          <w:sz w:val="24"/>
          <w:highlight w:val="none"/>
        </w:rPr>
      </w:pPr>
      <w:r>
        <w:rPr>
          <w:rFonts w:hint="eastAsia" w:ascii="仿宋_GB2312" w:hAnsi="仿宋" w:eastAsia="仿宋_GB2312" w:cs="仿宋_GB2312"/>
          <w:color w:val="auto"/>
          <w:sz w:val="24"/>
          <w:highlight w:val="none"/>
        </w:rPr>
        <w:t>投标人</w:t>
      </w:r>
      <w:r>
        <w:rPr>
          <w:rFonts w:hint="eastAsia" w:ascii="仿宋_GB2312" w:hAnsi="宋体" w:eastAsia="仿宋_GB2312"/>
          <w:color w:val="auto"/>
          <w:sz w:val="24"/>
          <w:highlight w:val="none"/>
        </w:rPr>
        <w:t>名称（</w:t>
      </w:r>
      <w:r>
        <w:rPr>
          <w:rFonts w:hint="eastAsia" w:ascii="仿宋_GB2312" w:hAnsi="仿宋" w:eastAsia="仿宋_GB2312" w:cs="仿宋_GB2312"/>
          <w:color w:val="auto"/>
          <w:sz w:val="24"/>
          <w:highlight w:val="none"/>
        </w:rPr>
        <w:t>电子签名</w:t>
      </w:r>
      <w:r>
        <w:rPr>
          <w:rFonts w:hint="eastAsia" w:ascii="仿宋_GB2312" w:hAnsi="宋体" w:eastAsia="仿宋_GB2312"/>
          <w:color w:val="auto"/>
          <w:sz w:val="24"/>
          <w:highlight w:val="none"/>
        </w:rPr>
        <w:t>）：</w:t>
      </w:r>
    </w:p>
    <w:p>
      <w:pPr>
        <w:spacing w:line="360" w:lineRule="auto"/>
        <w:ind w:right="1120" w:firstLine="4680" w:firstLineChars="1950"/>
        <w:rPr>
          <w:rFonts w:ascii="仿宋_GB2312" w:hAnsi="宋体" w:eastAsia="仿宋_GB2312"/>
          <w:color w:val="auto"/>
          <w:sz w:val="24"/>
          <w:highlight w:val="none"/>
        </w:rPr>
      </w:pPr>
      <w:r>
        <w:rPr>
          <w:rFonts w:hint="eastAsia" w:ascii="仿宋_GB2312" w:hAnsi="宋体" w:eastAsia="仿宋_GB2312"/>
          <w:color w:val="auto"/>
          <w:sz w:val="24"/>
          <w:highlight w:val="none"/>
        </w:rPr>
        <w:t>日</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期：</w:t>
      </w:r>
    </w:p>
    <w:p>
      <w:pPr>
        <w:spacing w:line="360" w:lineRule="auto"/>
        <w:ind w:firstLine="354" w:firstLineChars="147"/>
        <w:jc w:val="left"/>
        <w:rPr>
          <w:rFonts w:ascii="仿宋_GB2312" w:hAnsi="宋体" w:eastAsia="仿宋_GB2312"/>
          <w:b/>
          <w:color w:val="auto"/>
          <w:szCs w:val="21"/>
          <w:highlight w:val="none"/>
        </w:rPr>
      </w:pPr>
      <w:r>
        <w:rPr>
          <w:rFonts w:hint="eastAsia" w:ascii="仿宋_GB2312" w:hAnsi="宋体" w:eastAsia="仿宋_GB2312"/>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_GB2312"/>
          <w:color w:val="auto"/>
          <w:sz w:val="24"/>
          <w:highlight w:val="none"/>
        </w:rPr>
      </w:pPr>
    </w:p>
    <w:p>
      <w:pPr>
        <w:spacing w:line="360" w:lineRule="auto"/>
        <w:ind w:right="420"/>
        <w:rPr>
          <w:rFonts w:ascii="仿宋_GB2312" w:hAnsi="仿宋" w:eastAsia="仿宋_GB2312" w:cs="仿宋_GB2312"/>
          <w:color w:val="auto"/>
          <w:sz w:val="24"/>
          <w:highlight w:val="none"/>
        </w:rPr>
      </w:pPr>
      <w:r>
        <w:rPr>
          <w:rFonts w:ascii="仿宋_GB2312" w:hAnsi="仿宋" w:eastAsia="仿宋_GB2312" w:cs="仿宋_GB2312"/>
          <w:color w:val="auto"/>
          <w:sz w:val="24"/>
          <w:highlight w:val="none"/>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color w:val="auto"/>
          <w:highlight w:val="none"/>
          <w:lang w:val="en-US"/>
        </w:rPr>
      </w:pPr>
    </w:p>
    <w:p>
      <w:pPr>
        <w:spacing w:line="360" w:lineRule="auto"/>
        <w:ind w:right="420"/>
        <w:rPr>
          <w:color w:val="auto"/>
          <w:highlight w:val="none"/>
        </w:rPr>
      </w:pPr>
    </w:p>
    <w:p>
      <w:pPr>
        <w:spacing w:line="360" w:lineRule="auto"/>
        <w:rPr>
          <w:rFonts w:ascii="仿宋" w:hAnsi="仿宋" w:eastAsia="仿宋"/>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536"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swiss"/>
    <w:pitch w:val="default"/>
    <w:sig w:usb0="E4002EFF" w:usb1="C000E47F" w:usb2="00000009" w:usb3="00000000" w:csb0="200001FF" w:csb1="00000000"/>
  </w:font>
  <w:font w:name="Latha">
    <w:panose1 w:val="020B0604020202020204"/>
    <w:charset w:val="00"/>
    <w:family w:val="swiss"/>
    <w:pitch w:val="default"/>
    <w:sig w:usb0="00100003"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397" w:name="_Toc36110187"/>
    <w:bookmarkStart w:id="398" w:name="_Toc91899912"/>
    <w:bookmarkStart w:id="399" w:name="_Toc164085800"/>
    <w:bookmarkStart w:id="400" w:name="_Toc131845147"/>
    <w:r>
      <w:rPr>
        <w:rFonts w:hint="eastAsia" w:ascii="仿宋_GB2312" w:eastAsia="仿宋_GB2312"/>
        <w:kern w:val="0"/>
        <w:szCs w:val="21"/>
      </w:rPr>
      <w:t xml:space="preserve"> 页</w:t>
    </w:r>
    <w:bookmarkEnd w:id="397"/>
    <w:bookmarkEnd w:id="398"/>
    <w:bookmarkEnd w:id="399"/>
    <w:bookmarkEnd w:id="40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tabs>
        <w:tab w:val="right" w:pos="9040"/>
        <w:tab w:val="clear" w:pos="8306"/>
      </w:tabs>
      <w:ind w:right="-617" w:rightChars="-257"/>
      <w:jc w:val="right"/>
    </w:pPr>
    <w:r>
      <w:t></w:t>
    </w:r>
    <w:r>
      <w:rPr>
        <w:rFonts w:hint="eastAsia"/>
      </w:rPr>
      <w:t xml:space="preserve">       </w:t>
    </w:r>
    <w:r>
      <w:t>杭州市</w:t>
    </w:r>
    <w:r>
      <w:rPr>
        <w:rFonts w:hint="eastAsia"/>
        <w:lang w:val="en-US" w:eastAsia="zh-CN"/>
      </w:rPr>
      <w:t>钱塘区</w:t>
    </w:r>
    <w:r>
      <w:t>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w:t>
    </w:r>
    <w:r>
      <w:rPr>
        <w:rFonts w:hint="eastAsia"/>
        <w:lang w:val="en-US" w:eastAsia="zh-CN"/>
      </w:rPr>
      <w:t>钱塘区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w:t>
    </w:r>
    <w:r>
      <w:rPr>
        <w:rFonts w:hint="eastAsia"/>
        <w:lang w:val="en-US" w:eastAsia="zh-CN"/>
      </w:rPr>
      <w:t>钱塘区</w:t>
    </w:r>
    <w:r>
      <w:t>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w:t>
    </w:r>
    <w:r>
      <w:rPr>
        <w:rFonts w:hint="eastAsia"/>
        <w:lang w:val="en-US" w:eastAsia="zh-CN"/>
      </w:rPr>
      <w:t>钱塘区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杭州市</w:t>
    </w:r>
    <w:r>
      <w:rPr>
        <w:rFonts w:hint="eastAsia"/>
        <w:lang w:val="en-US" w:eastAsia="zh-CN"/>
      </w:rPr>
      <w:t>钱塘区</w:t>
    </w:r>
    <w: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60F62D"/>
    <w:multiLevelType w:val="singleLevel"/>
    <w:tmpl w:val="6960F62D"/>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020"/>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2DEE"/>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6ED2"/>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67FFD"/>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8FF"/>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7C039A"/>
    <w:rsid w:val="019F7441"/>
    <w:rsid w:val="01B37585"/>
    <w:rsid w:val="01D55165"/>
    <w:rsid w:val="01DF6BF8"/>
    <w:rsid w:val="01EC2C57"/>
    <w:rsid w:val="023B6CB2"/>
    <w:rsid w:val="026B2E25"/>
    <w:rsid w:val="02824D4D"/>
    <w:rsid w:val="02DA018C"/>
    <w:rsid w:val="02DC4B10"/>
    <w:rsid w:val="02DD76CE"/>
    <w:rsid w:val="02F36323"/>
    <w:rsid w:val="02F5619C"/>
    <w:rsid w:val="0326446A"/>
    <w:rsid w:val="032D5555"/>
    <w:rsid w:val="036634D2"/>
    <w:rsid w:val="03DD35E4"/>
    <w:rsid w:val="04076900"/>
    <w:rsid w:val="041A5A3B"/>
    <w:rsid w:val="042311BA"/>
    <w:rsid w:val="042B157A"/>
    <w:rsid w:val="044A0B40"/>
    <w:rsid w:val="048F763B"/>
    <w:rsid w:val="049F330E"/>
    <w:rsid w:val="04AA775C"/>
    <w:rsid w:val="04AF1889"/>
    <w:rsid w:val="04D75109"/>
    <w:rsid w:val="04F66F48"/>
    <w:rsid w:val="05251E14"/>
    <w:rsid w:val="05A16594"/>
    <w:rsid w:val="05A7762D"/>
    <w:rsid w:val="05DE0936"/>
    <w:rsid w:val="060E5941"/>
    <w:rsid w:val="06110FAF"/>
    <w:rsid w:val="06493CA7"/>
    <w:rsid w:val="065A3ABE"/>
    <w:rsid w:val="065A6178"/>
    <w:rsid w:val="066F1CF3"/>
    <w:rsid w:val="06802705"/>
    <w:rsid w:val="06930BB8"/>
    <w:rsid w:val="06D939D5"/>
    <w:rsid w:val="07245D42"/>
    <w:rsid w:val="07264C62"/>
    <w:rsid w:val="0779354C"/>
    <w:rsid w:val="07E94B80"/>
    <w:rsid w:val="08061376"/>
    <w:rsid w:val="08452D77"/>
    <w:rsid w:val="086401F8"/>
    <w:rsid w:val="08751CAA"/>
    <w:rsid w:val="087E4C40"/>
    <w:rsid w:val="089748FF"/>
    <w:rsid w:val="08A435E9"/>
    <w:rsid w:val="08D66AD6"/>
    <w:rsid w:val="08DA33A3"/>
    <w:rsid w:val="08E80F13"/>
    <w:rsid w:val="09134260"/>
    <w:rsid w:val="09335624"/>
    <w:rsid w:val="0944690F"/>
    <w:rsid w:val="09535675"/>
    <w:rsid w:val="095900C1"/>
    <w:rsid w:val="095F057D"/>
    <w:rsid w:val="09642282"/>
    <w:rsid w:val="09733572"/>
    <w:rsid w:val="09772C16"/>
    <w:rsid w:val="098353B5"/>
    <w:rsid w:val="09A92330"/>
    <w:rsid w:val="09B06B87"/>
    <w:rsid w:val="09C13146"/>
    <w:rsid w:val="09E04166"/>
    <w:rsid w:val="09F14739"/>
    <w:rsid w:val="0A142DE9"/>
    <w:rsid w:val="0A1C0718"/>
    <w:rsid w:val="0A3E7710"/>
    <w:rsid w:val="0A5B7E63"/>
    <w:rsid w:val="0AA374A5"/>
    <w:rsid w:val="0AAB7649"/>
    <w:rsid w:val="0ABC5606"/>
    <w:rsid w:val="0B15276E"/>
    <w:rsid w:val="0B30404E"/>
    <w:rsid w:val="0B48482D"/>
    <w:rsid w:val="0B4C6C14"/>
    <w:rsid w:val="0B631A88"/>
    <w:rsid w:val="0B683D45"/>
    <w:rsid w:val="0B7F3F11"/>
    <w:rsid w:val="0B884417"/>
    <w:rsid w:val="0BF6188C"/>
    <w:rsid w:val="0BF73C91"/>
    <w:rsid w:val="0C170175"/>
    <w:rsid w:val="0C353956"/>
    <w:rsid w:val="0C571A41"/>
    <w:rsid w:val="0C5C1171"/>
    <w:rsid w:val="0C5E1CBC"/>
    <w:rsid w:val="0C615B50"/>
    <w:rsid w:val="0C662B30"/>
    <w:rsid w:val="0C827929"/>
    <w:rsid w:val="0C8445DA"/>
    <w:rsid w:val="0C87121B"/>
    <w:rsid w:val="0C9E222B"/>
    <w:rsid w:val="0CC007F7"/>
    <w:rsid w:val="0CD8573D"/>
    <w:rsid w:val="0CFE707A"/>
    <w:rsid w:val="0D063BDA"/>
    <w:rsid w:val="0D08375F"/>
    <w:rsid w:val="0D184CFB"/>
    <w:rsid w:val="0D232EDB"/>
    <w:rsid w:val="0D4A7419"/>
    <w:rsid w:val="0D580CD3"/>
    <w:rsid w:val="0D827401"/>
    <w:rsid w:val="0D84094E"/>
    <w:rsid w:val="0D8A00E9"/>
    <w:rsid w:val="0D8D589E"/>
    <w:rsid w:val="0DA01C73"/>
    <w:rsid w:val="0DD63300"/>
    <w:rsid w:val="0DF50604"/>
    <w:rsid w:val="0DF702FE"/>
    <w:rsid w:val="0E060E51"/>
    <w:rsid w:val="0E5604B2"/>
    <w:rsid w:val="0E6D5D79"/>
    <w:rsid w:val="0E9D0089"/>
    <w:rsid w:val="0EB803EE"/>
    <w:rsid w:val="0EF94D4B"/>
    <w:rsid w:val="0F073156"/>
    <w:rsid w:val="0F4958DC"/>
    <w:rsid w:val="0F515DF7"/>
    <w:rsid w:val="0F596BA8"/>
    <w:rsid w:val="0F6248D2"/>
    <w:rsid w:val="0F693536"/>
    <w:rsid w:val="0F7B0511"/>
    <w:rsid w:val="0F7B76D9"/>
    <w:rsid w:val="0F816ACD"/>
    <w:rsid w:val="0F87344A"/>
    <w:rsid w:val="0F9832DB"/>
    <w:rsid w:val="0FBF3FD2"/>
    <w:rsid w:val="0FBF7FF3"/>
    <w:rsid w:val="10001163"/>
    <w:rsid w:val="10646583"/>
    <w:rsid w:val="1072498F"/>
    <w:rsid w:val="107D43E9"/>
    <w:rsid w:val="107D4B15"/>
    <w:rsid w:val="108A3C80"/>
    <w:rsid w:val="10A049F6"/>
    <w:rsid w:val="10C26171"/>
    <w:rsid w:val="10F33360"/>
    <w:rsid w:val="10FC16EA"/>
    <w:rsid w:val="110F1D40"/>
    <w:rsid w:val="11266F33"/>
    <w:rsid w:val="118963A1"/>
    <w:rsid w:val="11B147AE"/>
    <w:rsid w:val="11C6522A"/>
    <w:rsid w:val="11E104CC"/>
    <w:rsid w:val="11E20309"/>
    <w:rsid w:val="12255233"/>
    <w:rsid w:val="12530213"/>
    <w:rsid w:val="125D4C68"/>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9A6173"/>
    <w:rsid w:val="14A7619D"/>
    <w:rsid w:val="150536C3"/>
    <w:rsid w:val="150C1963"/>
    <w:rsid w:val="151447A0"/>
    <w:rsid w:val="153576D5"/>
    <w:rsid w:val="154A6454"/>
    <w:rsid w:val="15762120"/>
    <w:rsid w:val="15F20C1E"/>
    <w:rsid w:val="16A8729C"/>
    <w:rsid w:val="16B33777"/>
    <w:rsid w:val="16BC70A7"/>
    <w:rsid w:val="16C6339E"/>
    <w:rsid w:val="172F2D79"/>
    <w:rsid w:val="17557BEF"/>
    <w:rsid w:val="17D349C1"/>
    <w:rsid w:val="1830729E"/>
    <w:rsid w:val="183811AC"/>
    <w:rsid w:val="183F0D66"/>
    <w:rsid w:val="185F0FC1"/>
    <w:rsid w:val="1870062C"/>
    <w:rsid w:val="18817102"/>
    <w:rsid w:val="18830A15"/>
    <w:rsid w:val="18852B28"/>
    <w:rsid w:val="188B5321"/>
    <w:rsid w:val="188C5EAB"/>
    <w:rsid w:val="18AD2173"/>
    <w:rsid w:val="18B1529D"/>
    <w:rsid w:val="194E0F99"/>
    <w:rsid w:val="195C774C"/>
    <w:rsid w:val="19932372"/>
    <w:rsid w:val="19A20DD5"/>
    <w:rsid w:val="19AB6C74"/>
    <w:rsid w:val="19AE03F1"/>
    <w:rsid w:val="1A071A03"/>
    <w:rsid w:val="1A1F16AE"/>
    <w:rsid w:val="1A3B5C77"/>
    <w:rsid w:val="1A407C9B"/>
    <w:rsid w:val="1A984BAD"/>
    <w:rsid w:val="1AA7450E"/>
    <w:rsid w:val="1AB8220E"/>
    <w:rsid w:val="1AE4166C"/>
    <w:rsid w:val="1AF06CFB"/>
    <w:rsid w:val="1AF11B8D"/>
    <w:rsid w:val="1B11359C"/>
    <w:rsid w:val="1B2A271F"/>
    <w:rsid w:val="1B530544"/>
    <w:rsid w:val="1B713184"/>
    <w:rsid w:val="1B894423"/>
    <w:rsid w:val="1BA209CF"/>
    <w:rsid w:val="1BB4777D"/>
    <w:rsid w:val="1BD75AB8"/>
    <w:rsid w:val="1C0459C2"/>
    <w:rsid w:val="1C13053F"/>
    <w:rsid w:val="1C1B3B4A"/>
    <w:rsid w:val="1C88086E"/>
    <w:rsid w:val="1C92024C"/>
    <w:rsid w:val="1CB25FAA"/>
    <w:rsid w:val="1CBA27B2"/>
    <w:rsid w:val="1CC96B83"/>
    <w:rsid w:val="1CDF7469"/>
    <w:rsid w:val="1D266CE1"/>
    <w:rsid w:val="1D3963AF"/>
    <w:rsid w:val="1D6A673C"/>
    <w:rsid w:val="1D9247AE"/>
    <w:rsid w:val="1D944134"/>
    <w:rsid w:val="1DB567EC"/>
    <w:rsid w:val="1DF51A98"/>
    <w:rsid w:val="1E193E07"/>
    <w:rsid w:val="1E3D060F"/>
    <w:rsid w:val="1E3F7D2E"/>
    <w:rsid w:val="1E4134E4"/>
    <w:rsid w:val="1E5062B3"/>
    <w:rsid w:val="1E523514"/>
    <w:rsid w:val="1E560BB7"/>
    <w:rsid w:val="1E714A66"/>
    <w:rsid w:val="1E802593"/>
    <w:rsid w:val="1EA703CC"/>
    <w:rsid w:val="1EB7330C"/>
    <w:rsid w:val="1ED007AB"/>
    <w:rsid w:val="1F0A0FF3"/>
    <w:rsid w:val="1F5771FF"/>
    <w:rsid w:val="1FC05C69"/>
    <w:rsid w:val="1FE868A9"/>
    <w:rsid w:val="20034907"/>
    <w:rsid w:val="200F3851"/>
    <w:rsid w:val="20173E4B"/>
    <w:rsid w:val="204E48BC"/>
    <w:rsid w:val="208921B3"/>
    <w:rsid w:val="20973DEB"/>
    <w:rsid w:val="209C5078"/>
    <w:rsid w:val="20B26522"/>
    <w:rsid w:val="20B44310"/>
    <w:rsid w:val="211116EB"/>
    <w:rsid w:val="216133FC"/>
    <w:rsid w:val="21D56769"/>
    <w:rsid w:val="21E14C3C"/>
    <w:rsid w:val="21E52EF3"/>
    <w:rsid w:val="21FB5D7B"/>
    <w:rsid w:val="220B1C3D"/>
    <w:rsid w:val="221D1D20"/>
    <w:rsid w:val="22334A87"/>
    <w:rsid w:val="229949F1"/>
    <w:rsid w:val="22BE6801"/>
    <w:rsid w:val="233500BF"/>
    <w:rsid w:val="23377FF7"/>
    <w:rsid w:val="236B425F"/>
    <w:rsid w:val="23836192"/>
    <w:rsid w:val="23901F29"/>
    <w:rsid w:val="239962AA"/>
    <w:rsid w:val="239C0061"/>
    <w:rsid w:val="23B908A4"/>
    <w:rsid w:val="23E95BEF"/>
    <w:rsid w:val="23F8607F"/>
    <w:rsid w:val="23FD0064"/>
    <w:rsid w:val="245375B0"/>
    <w:rsid w:val="24642C0A"/>
    <w:rsid w:val="249E7A14"/>
    <w:rsid w:val="24B22173"/>
    <w:rsid w:val="24B95AD9"/>
    <w:rsid w:val="24BE24DA"/>
    <w:rsid w:val="24CF5825"/>
    <w:rsid w:val="24D663E6"/>
    <w:rsid w:val="24D77F2B"/>
    <w:rsid w:val="24D804D4"/>
    <w:rsid w:val="258B00E2"/>
    <w:rsid w:val="25A917A6"/>
    <w:rsid w:val="25BE27CC"/>
    <w:rsid w:val="25F54D01"/>
    <w:rsid w:val="25F74A5C"/>
    <w:rsid w:val="2628662C"/>
    <w:rsid w:val="262D45DE"/>
    <w:rsid w:val="26891855"/>
    <w:rsid w:val="26A53EF9"/>
    <w:rsid w:val="26A94201"/>
    <w:rsid w:val="26AC274F"/>
    <w:rsid w:val="26C304D5"/>
    <w:rsid w:val="27044A29"/>
    <w:rsid w:val="271D34C8"/>
    <w:rsid w:val="273E043A"/>
    <w:rsid w:val="27595274"/>
    <w:rsid w:val="276142BF"/>
    <w:rsid w:val="27783712"/>
    <w:rsid w:val="27907362"/>
    <w:rsid w:val="27930616"/>
    <w:rsid w:val="27B24123"/>
    <w:rsid w:val="28044029"/>
    <w:rsid w:val="28333E1D"/>
    <w:rsid w:val="283F090E"/>
    <w:rsid w:val="28454BD6"/>
    <w:rsid w:val="28455253"/>
    <w:rsid w:val="28551971"/>
    <w:rsid w:val="285B1C53"/>
    <w:rsid w:val="289F7086"/>
    <w:rsid w:val="28C32028"/>
    <w:rsid w:val="28CC490F"/>
    <w:rsid w:val="28DA0759"/>
    <w:rsid w:val="28DE40AA"/>
    <w:rsid w:val="29345E77"/>
    <w:rsid w:val="294C65AD"/>
    <w:rsid w:val="2963612E"/>
    <w:rsid w:val="29806583"/>
    <w:rsid w:val="298B3C4C"/>
    <w:rsid w:val="29B91B25"/>
    <w:rsid w:val="29F26D24"/>
    <w:rsid w:val="29F82F90"/>
    <w:rsid w:val="2A15033F"/>
    <w:rsid w:val="2A1662C1"/>
    <w:rsid w:val="2A1C7367"/>
    <w:rsid w:val="2A2815FA"/>
    <w:rsid w:val="2A325A8B"/>
    <w:rsid w:val="2A6D6092"/>
    <w:rsid w:val="2A7D76B4"/>
    <w:rsid w:val="2B1020EE"/>
    <w:rsid w:val="2B437463"/>
    <w:rsid w:val="2B5260DB"/>
    <w:rsid w:val="2B5B5A5F"/>
    <w:rsid w:val="2B67536E"/>
    <w:rsid w:val="2B7807EE"/>
    <w:rsid w:val="2B7B2D90"/>
    <w:rsid w:val="2BA03472"/>
    <w:rsid w:val="2BBF00EC"/>
    <w:rsid w:val="2BC36A66"/>
    <w:rsid w:val="2BC37CFD"/>
    <w:rsid w:val="2BD5237F"/>
    <w:rsid w:val="2BE536CE"/>
    <w:rsid w:val="2BE758D9"/>
    <w:rsid w:val="2C09049E"/>
    <w:rsid w:val="2C0A4D8F"/>
    <w:rsid w:val="2C0A653C"/>
    <w:rsid w:val="2C191F85"/>
    <w:rsid w:val="2C587C1E"/>
    <w:rsid w:val="2C923DA9"/>
    <w:rsid w:val="2CE82D6F"/>
    <w:rsid w:val="2D343236"/>
    <w:rsid w:val="2DD15014"/>
    <w:rsid w:val="2DF72DE4"/>
    <w:rsid w:val="2E0220AF"/>
    <w:rsid w:val="2E4B082A"/>
    <w:rsid w:val="2E563BF7"/>
    <w:rsid w:val="2E5D4E86"/>
    <w:rsid w:val="2E5D790B"/>
    <w:rsid w:val="2E9A3C18"/>
    <w:rsid w:val="2EBB0FEE"/>
    <w:rsid w:val="2EC63002"/>
    <w:rsid w:val="2F0A6B38"/>
    <w:rsid w:val="2F1750AC"/>
    <w:rsid w:val="2F787B90"/>
    <w:rsid w:val="2F946CCB"/>
    <w:rsid w:val="2FD25781"/>
    <w:rsid w:val="2FFD7934"/>
    <w:rsid w:val="305B1897"/>
    <w:rsid w:val="30733ACD"/>
    <w:rsid w:val="308C3862"/>
    <w:rsid w:val="309379D8"/>
    <w:rsid w:val="30A270F7"/>
    <w:rsid w:val="30CD2C66"/>
    <w:rsid w:val="30DF1478"/>
    <w:rsid w:val="30EC586F"/>
    <w:rsid w:val="31554CFE"/>
    <w:rsid w:val="319375DC"/>
    <w:rsid w:val="319C6071"/>
    <w:rsid w:val="31AC537E"/>
    <w:rsid w:val="31DC7DE2"/>
    <w:rsid w:val="31E3679B"/>
    <w:rsid w:val="31E732FD"/>
    <w:rsid w:val="32517576"/>
    <w:rsid w:val="32545E86"/>
    <w:rsid w:val="328D5B94"/>
    <w:rsid w:val="32BE5C2C"/>
    <w:rsid w:val="32FB6478"/>
    <w:rsid w:val="33263B3F"/>
    <w:rsid w:val="334E24B3"/>
    <w:rsid w:val="336963EB"/>
    <w:rsid w:val="33816EEB"/>
    <w:rsid w:val="33846123"/>
    <w:rsid w:val="33EB55CD"/>
    <w:rsid w:val="33EC4C02"/>
    <w:rsid w:val="340D2360"/>
    <w:rsid w:val="3410665D"/>
    <w:rsid w:val="34124E23"/>
    <w:rsid w:val="34211214"/>
    <w:rsid w:val="342E63AB"/>
    <w:rsid w:val="34950E68"/>
    <w:rsid w:val="34986E94"/>
    <w:rsid w:val="34AF62C9"/>
    <w:rsid w:val="34CB4388"/>
    <w:rsid w:val="34FA6E12"/>
    <w:rsid w:val="351B7034"/>
    <w:rsid w:val="353428FA"/>
    <w:rsid w:val="356E638F"/>
    <w:rsid w:val="358D5588"/>
    <w:rsid w:val="360D1549"/>
    <w:rsid w:val="36383C2B"/>
    <w:rsid w:val="363A3B40"/>
    <w:rsid w:val="364D069A"/>
    <w:rsid w:val="365302AE"/>
    <w:rsid w:val="36607A0A"/>
    <w:rsid w:val="366A4187"/>
    <w:rsid w:val="366E227C"/>
    <w:rsid w:val="366F2E0D"/>
    <w:rsid w:val="367B6A5C"/>
    <w:rsid w:val="367E6AA5"/>
    <w:rsid w:val="368F553E"/>
    <w:rsid w:val="36A74ADA"/>
    <w:rsid w:val="36AD60D5"/>
    <w:rsid w:val="36B224F9"/>
    <w:rsid w:val="36CD06D8"/>
    <w:rsid w:val="36EC0CC9"/>
    <w:rsid w:val="37153EE7"/>
    <w:rsid w:val="371D36CD"/>
    <w:rsid w:val="373F410B"/>
    <w:rsid w:val="37EE7094"/>
    <w:rsid w:val="38262F33"/>
    <w:rsid w:val="38296C89"/>
    <w:rsid w:val="383002EB"/>
    <w:rsid w:val="38586797"/>
    <w:rsid w:val="38BC0149"/>
    <w:rsid w:val="38D87D1C"/>
    <w:rsid w:val="39636459"/>
    <w:rsid w:val="396B7F6C"/>
    <w:rsid w:val="39B417A9"/>
    <w:rsid w:val="39B966BF"/>
    <w:rsid w:val="39FC5695"/>
    <w:rsid w:val="3A006D8E"/>
    <w:rsid w:val="3A3651E5"/>
    <w:rsid w:val="3A6F0BDF"/>
    <w:rsid w:val="3A744481"/>
    <w:rsid w:val="3A8C7BEF"/>
    <w:rsid w:val="3A906246"/>
    <w:rsid w:val="3B221D3B"/>
    <w:rsid w:val="3B2349B7"/>
    <w:rsid w:val="3B616CFF"/>
    <w:rsid w:val="3B6259F6"/>
    <w:rsid w:val="3B7017EA"/>
    <w:rsid w:val="3B976654"/>
    <w:rsid w:val="3BC01EFC"/>
    <w:rsid w:val="3BCA786A"/>
    <w:rsid w:val="3BD31E2F"/>
    <w:rsid w:val="3BD625E2"/>
    <w:rsid w:val="3BF15831"/>
    <w:rsid w:val="3BF36F22"/>
    <w:rsid w:val="3C105946"/>
    <w:rsid w:val="3C471448"/>
    <w:rsid w:val="3C5F759A"/>
    <w:rsid w:val="3C6C525A"/>
    <w:rsid w:val="3C9963E7"/>
    <w:rsid w:val="3CCE23CB"/>
    <w:rsid w:val="3CD17D17"/>
    <w:rsid w:val="3D092ABE"/>
    <w:rsid w:val="3D3C7F39"/>
    <w:rsid w:val="3D440F09"/>
    <w:rsid w:val="3D4504A0"/>
    <w:rsid w:val="3D662991"/>
    <w:rsid w:val="3D8734BB"/>
    <w:rsid w:val="3D9A11D4"/>
    <w:rsid w:val="3DA16D89"/>
    <w:rsid w:val="3DA364BE"/>
    <w:rsid w:val="3DE041CB"/>
    <w:rsid w:val="3E0D48F6"/>
    <w:rsid w:val="3E1868B4"/>
    <w:rsid w:val="3E377251"/>
    <w:rsid w:val="3E42664B"/>
    <w:rsid w:val="3E5A7334"/>
    <w:rsid w:val="3E6F7297"/>
    <w:rsid w:val="3E7B5D6B"/>
    <w:rsid w:val="3E843E66"/>
    <w:rsid w:val="3E8F51FE"/>
    <w:rsid w:val="3E926F87"/>
    <w:rsid w:val="3E9A59DE"/>
    <w:rsid w:val="3EAF4836"/>
    <w:rsid w:val="3EC33DFA"/>
    <w:rsid w:val="3F060E16"/>
    <w:rsid w:val="3F1D1096"/>
    <w:rsid w:val="3F2F0234"/>
    <w:rsid w:val="3F401855"/>
    <w:rsid w:val="3F6363FE"/>
    <w:rsid w:val="3F756B8F"/>
    <w:rsid w:val="3F81250C"/>
    <w:rsid w:val="3F95482B"/>
    <w:rsid w:val="3FB3156E"/>
    <w:rsid w:val="4019356B"/>
    <w:rsid w:val="40592157"/>
    <w:rsid w:val="406E1CAE"/>
    <w:rsid w:val="40A0133A"/>
    <w:rsid w:val="40C31A53"/>
    <w:rsid w:val="40FF545D"/>
    <w:rsid w:val="410067C8"/>
    <w:rsid w:val="4135050E"/>
    <w:rsid w:val="41806702"/>
    <w:rsid w:val="418F0D2A"/>
    <w:rsid w:val="41D01505"/>
    <w:rsid w:val="42474939"/>
    <w:rsid w:val="424C3C57"/>
    <w:rsid w:val="42613FF3"/>
    <w:rsid w:val="42660D96"/>
    <w:rsid w:val="42857F51"/>
    <w:rsid w:val="428667D2"/>
    <w:rsid w:val="42C102E6"/>
    <w:rsid w:val="42CD1CE0"/>
    <w:rsid w:val="42E1381E"/>
    <w:rsid w:val="42ED6459"/>
    <w:rsid w:val="42FE58DD"/>
    <w:rsid w:val="43174B3D"/>
    <w:rsid w:val="43415CBD"/>
    <w:rsid w:val="434B790E"/>
    <w:rsid w:val="4360274F"/>
    <w:rsid w:val="4369300C"/>
    <w:rsid w:val="437A2EFB"/>
    <w:rsid w:val="43977AB6"/>
    <w:rsid w:val="439C056B"/>
    <w:rsid w:val="43A3342B"/>
    <w:rsid w:val="43C77C27"/>
    <w:rsid w:val="43DE09EE"/>
    <w:rsid w:val="44002FAD"/>
    <w:rsid w:val="4488419C"/>
    <w:rsid w:val="449101DD"/>
    <w:rsid w:val="44DE1391"/>
    <w:rsid w:val="451B225C"/>
    <w:rsid w:val="452410C9"/>
    <w:rsid w:val="45317DFB"/>
    <w:rsid w:val="456D3CE4"/>
    <w:rsid w:val="4579042C"/>
    <w:rsid w:val="457F0571"/>
    <w:rsid w:val="457F108D"/>
    <w:rsid w:val="458043A8"/>
    <w:rsid w:val="45851176"/>
    <w:rsid w:val="45C63B94"/>
    <w:rsid w:val="45E87A96"/>
    <w:rsid w:val="46004DE1"/>
    <w:rsid w:val="460E7DA5"/>
    <w:rsid w:val="46402DFD"/>
    <w:rsid w:val="46422483"/>
    <w:rsid w:val="4659254A"/>
    <w:rsid w:val="465B0637"/>
    <w:rsid w:val="465E3F0D"/>
    <w:rsid w:val="466A16E6"/>
    <w:rsid w:val="46893F2B"/>
    <w:rsid w:val="46B575C9"/>
    <w:rsid w:val="46C4686E"/>
    <w:rsid w:val="471F398D"/>
    <w:rsid w:val="47785793"/>
    <w:rsid w:val="477B778F"/>
    <w:rsid w:val="478203EC"/>
    <w:rsid w:val="47A13F1B"/>
    <w:rsid w:val="47A73327"/>
    <w:rsid w:val="47B025FA"/>
    <w:rsid w:val="4809698F"/>
    <w:rsid w:val="4811697D"/>
    <w:rsid w:val="484C4889"/>
    <w:rsid w:val="487A3E25"/>
    <w:rsid w:val="488B5503"/>
    <w:rsid w:val="48937E21"/>
    <w:rsid w:val="489A0361"/>
    <w:rsid w:val="48B94FF3"/>
    <w:rsid w:val="48E37AAB"/>
    <w:rsid w:val="48FD4B4C"/>
    <w:rsid w:val="4908230F"/>
    <w:rsid w:val="490A68E0"/>
    <w:rsid w:val="491055FE"/>
    <w:rsid w:val="495F5B3E"/>
    <w:rsid w:val="496F77D7"/>
    <w:rsid w:val="497654FD"/>
    <w:rsid w:val="49B64211"/>
    <w:rsid w:val="49F6167F"/>
    <w:rsid w:val="4A064FA0"/>
    <w:rsid w:val="4A16615C"/>
    <w:rsid w:val="4A1A388C"/>
    <w:rsid w:val="4A4424D7"/>
    <w:rsid w:val="4AB82D0F"/>
    <w:rsid w:val="4AEB7664"/>
    <w:rsid w:val="4AFD7C19"/>
    <w:rsid w:val="4B0567D1"/>
    <w:rsid w:val="4B236AAE"/>
    <w:rsid w:val="4B707271"/>
    <w:rsid w:val="4B9739F7"/>
    <w:rsid w:val="4BEE2503"/>
    <w:rsid w:val="4C245A30"/>
    <w:rsid w:val="4CB6685F"/>
    <w:rsid w:val="4CC367FE"/>
    <w:rsid w:val="4CC72A3A"/>
    <w:rsid w:val="4D077F3C"/>
    <w:rsid w:val="4D123355"/>
    <w:rsid w:val="4D2A3B31"/>
    <w:rsid w:val="4D312C52"/>
    <w:rsid w:val="4D7F5185"/>
    <w:rsid w:val="4D905305"/>
    <w:rsid w:val="4D964A72"/>
    <w:rsid w:val="4D9C1254"/>
    <w:rsid w:val="4E351802"/>
    <w:rsid w:val="4E793892"/>
    <w:rsid w:val="4E800872"/>
    <w:rsid w:val="4EC569ED"/>
    <w:rsid w:val="4ED50EA1"/>
    <w:rsid w:val="4EEC050C"/>
    <w:rsid w:val="4F104EC3"/>
    <w:rsid w:val="4F47354A"/>
    <w:rsid w:val="4F701B08"/>
    <w:rsid w:val="4F911C54"/>
    <w:rsid w:val="4F9F6A34"/>
    <w:rsid w:val="4FE625E0"/>
    <w:rsid w:val="5021480F"/>
    <w:rsid w:val="50962ECB"/>
    <w:rsid w:val="50A42E38"/>
    <w:rsid w:val="50A4577F"/>
    <w:rsid w:val="50B53FBE"/>
    <w:rsid w:val="50B73D1F"/>
    <w:rsid w:val="50BD5BC9"/>
    <w:rsid w:val="50C11EEE"/>
    <w:rsid w:val="50CE1332"/>
    <w:rsid w:val="50E40117"/>
    <w:rsid w:val="50E97CFC"/>
    <w:rsid w:val="50FA4028"/>
    <w:rsid w:val="5105097F"/>
    <w:rsid w:val="510D65B7"/>
    <w:rsid w:val="511157AB"/>
    <w:rsid w:val="5142540C"/>
    <w:rsid w:val="51497F84"/>
    <w:rsid w:val="518832C8"/>
    <w:rsid w:val="51A0432A"/>
    <w:rsid w:val="51A86090"/>
    <w:rsid w:val="51B7396D"/>
    <w:rsid w:val="51DB38BF"/>
    <w:rsid w:val="522E4CC3"/>
    <w:rsid w:val="5244713B"/>
    <w:rsid w:val="52615633"/>
    <w:rsid w:val="52977FD4"/>
    <w:rsid w:val="52A25790"/>
    <w:rsid w:val="52A96B6F"/>
    <w:rsid w:val="52B45975"/>
    <w:rsid w:val="52C378C2"/>
    <w:rsid w:val="52D94AA4"/>
    <w:rsid w:val="52EA3A62"/>
    <w:rsid w:val="52F50BB8"/>
    <w:rsid w:val="53097272"/>
    <w:rsid w:val="53544462"/>
    <w:rsid w:val="5397158E"/>
    <w:rsid w:val="54013861"/>
    <w:rsid w:val="54487265"/>
    <w:rsid w:val="544D6070"/>
    <w:rsid w:val="54605E1E"/>
    <w:rsid w:val="54656D67"/>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2468CA"/>
    <w:rsid w:val="563E1B99"/>
    <w:rsid w:val="566B6D1E"/>
    <w:rsid w:val="566F1F48"/>
    <w:rsid w:val="57032A2C"/>
    <w:rsid w:val="570F5219"/>
    <w:rsid w:val="575D12B5"/>
    <w:rsid w:val="57610A87"/>
    <w:rsid w:val="577B1140"/>
    <w:rsid w:val="577B7F21"/>
    <w:rsid w:val="577F181B"/>
    <w:rsid w:val="57921984"/>
    <w:rsid w:val="579737F0"/>
    <w:rsid w:val="57AB7B30"/>
    <w:rsid w:val="57AF5251"/>
    <w:rsid w:val="57B26373"/>
    <w:rsid w:val="57B63F04"/>
    <w:rsid w:val="57CB64E6"/>
    <w:rsid w:val="57CD20C2"/>
    <w:rsid w:val="57D675AB"/>
    <w:rsid w:val="57D95FDD"/>
    <w:rsid w:val="588A050B"/>
    <w:rsid w:val="58917D2F"/>
    <w:rsid w:val="5894085C"/>
    <w:rsid w:val="58AE4F0C"/>
    <w:rsid w:val="58B85899"/>
    <w:rsid w:val="58D173B3"/>
    <w:rsid w:val="58E363A9"/>
    <w:rsid w:val="595E1678"/>
    <w:rsid w:val="596D5BD4"/>
    <w:rsid w:val="597E3DD8"/>
    <w:rsid w:val="59A04E1D"/>
    <w:rsid w:val="59EE6F2C"/>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96DA7"/>
    <w:rsid w:val="5C205C9B"/>
    <w:rsid w:val="5C2A048C"/>
    <w:rsid w:val="5C3D2493"/>
    <w:rsid w:val="5C80234E"/>
    <w:rsid w:val="5C8A680C"/>
    <w:rsid w:val="5CC337CD"/>
    <w:rsid w:val="5D0C4701"/>
    <w:rsid w:val="5D0F0395"/>
    <w:rsid w:val="5D221076"/>
    <w:rsid w:val="5D397964"/>
    <w:rsid w:val="5D5A391C"/>
    <w:rsid w:val="5D5F10C0"/>
    <w:rsid w:val="5D891B7B"/>
    <w:rsid w:val="5DAD38EE"/>
    <w:rsid w:val="5E006862"/>
    <w:rsid w:val="5E0207B9"/>
    <w:rsid w:val="5E1834A1"/>
    <w:rsid w:val="5E261785"/>
    <w:rsid w:val="5E2C5875"/>
    <w:rsid w:val="5E335564"/>
    <w:rsid w:val="5E4A7017"/>
    <w:rsid w:val="5E552BBA"/>
    <w:rsid w:val="5E611C10"/>
    <w:rsid w:val="5EFC7377"/>
    <w:rsid w:val="5F06174D"/>
    <w:rsid w:val="5F205F8A"/>
    <w:rsid w:val="5F2C38F8"/>
    <w:rsid w:val="5F3A3602"/>
    <w:rsid w:val="5F6277C6"/>
    <w:rsid w:val="5F6D0B1D"/>
    <w:rsid w:val="5F8D0B82"/>
    <w:rsid w:val="5FA6729D"/>
    <w:rsid w:val="5FCC5339"/>
    <w:rsid w:val="5FE34A5B"/>
    <w:rsid w:val="5FE4307B"/>
    <w:rsid w:val="5FFE1E36"/>
    <w:rsid w:val="60232584"/>
    <w:rsid w:val="604D4D4A"/>
    <w:rsid w:val="607330CE"/>
    <w:rsid w:val="60825176"/>
    <w:rsid w:val="609F2AC4"/>
    <w:rsid w:val="60DC5CFB"/>
    <w:rsid w:val="60FA2EE8"/>
    <w:rsid w:val="61054A27"/>
    <w:rsid w:val="610A52BC"/>
    <w:rsid w:val="611D2366"/>
    <w:rsid w:val="61421856"/>
    <w:rsid w:val="615227C4"/>
    <w:rsid w:val="61654E3F"/>
    <w:rsid w:val="61767EFC"/>
    <w:rsid w:val="6182292A"/>
    <w:rsid w:val="619F7F92"/>
    <w:rsid w:val="61A30182"/>
    <w:rsid w:val="61F94C26"/>
    <w:rsid w:val="62000E56"/>
    <w:rsid w:val="624F3E49"/>
    <w:rsid w:val="62632286"/>
    <w:rsid w:val="62885958"/>
    <w:rsid w:val="62CA79B8"/>
    <w:rsid w:val="62F40B65"/>
    <w:rsid w:val="62FC2CFE"/>
    <w:rsid w:val="63024505"/>
    <w:rsid w:val="635B1DB5"/>
    <w:rsid w:val="63711FED"/>
    <w:rsid w:val="63880DDC"/>
    <w:rsid w:val="638D750D"/>
    <w:rsid w:val="63AC6CC0"/>
    <w:rsid w:val="63EC71C5"/>
    <w:rsid w:val="63F303BE"/>
    <w:rsid w:val="64055776"/>
    <w:rsid w:val="64240056"/>
    <w:rsid w:val="643B782A"/>
    <w:rsid w:val="643E143A"/>
    <w:rsid w:val="648B6EEF"/>
    <w:rsid w:val="64C158BF"/>
    <w:rsid w:val="64CE2EAA"/>
    <w:rsid w:val="64F25582"/>
    <w:rsid w:val="650054DB"/>
    <w:rsid w:val="653C3090"/>
    <w:rsid w:val="65457BCE"/>
    <w:rsid w:val="65854376"/>
    <w:rsid w:val="658767BE"/>
    <w:rsid w:val="65892531"/>
    <w:rsid w:val="66195831"/>
    <w:rsid w:val="662A4220"/>
    <w:rsid w:val="662E75B1"/>
    <w:rsid w:val="66342C2E"/>
    <w:rsid w:val="663E784C"/>
    <w:rsid w:val="668B6A45"/>
    <w:rsid w:val="66CD36E6"/>
    <w:rsid w:val="67136C12"/>
    <w:rsid w:val="672F3F24"/>
    <w:rsid w:val="673E055F"/>
    <w:rsid w:val="67551CE3"/>
    <w:rsid w:val="67A22552"/>
    <w:rsid w:val="67B22DCC"/>
    <w:rsid w:val="67BE71AA"/>
    <w:rsid w:val="67D90273"/>
    <w:rsid w:val="67DE5875"/>
    <w:rsid w:val="67E55852"/>
    <w:rsid w:val="67EB1AB4"/>
    <w:rsid w:val="67FA1285"/>
    <w:rsid w:val="68551F4F"/>
    <w:rsid w:val="68774B26"/>
    <w:rsid w:val="687C10C9"/>
    <w:rsid w:val="68840C16"/>
    <w:rsid w:val="68876EFB"/>
    <w:rsid w:val="68884654"/>
    <w:rsid w:val="689F444F"/>
    <w:rsid w:val="68B96DBB"/>
    <w:rsid w:val="68CA2805"/>
    <w:rsid w:val="68E937A3"/>
    <w:rsid w:val="69111FC0"/>
    <w:rsid w:val="693E15D3"/>
    <w:rsid w:val="69561038"/>
    <w:rsid w:val="69627681"/>
    <w:rsid w:val="6977531D"/>
    <w:rsid w:val="69A300BA"/>
    <w:rsid w:val="69CC2BFF"/>
    <w:rsid w:val="69FD55B8"/>
    <w:rsid w:val="6A0B1C62"/>
    <w:rsid w:val="6A2406C8"/>
    <w:rsid w:val="6A37493D"/>
    <w:rsid w:val="6A5A184D"/>
    <w:rsid w:val="6A667CB9"/>
    <w:rsid w:val="6A82511C"/>
    <w:rsid w:val="6ADE0BD1"/>
    <w:rsid w:val="6AE96859"/>
    <w:rsid w:val="6B147746"/>
    <w:rsid w:val="6B24787C"/>
    <w:rsid w:val="6B573233"/>
    <w:rsid w:val="6B574999"/>
    <w:rsid w:val="6B5B6274"/>
    <w:rsid w:val="6B935D53"/>
    <w:rsid w:val="6C097901"/>
    <w:rsid w:val="6C196F71"/>
    <w:rsid w:val="6C226FCB"/>
    <w:rsid w:val="6C31226F"/>
    <w:rsid w:val="6C552F0B"/>
    <w:rsid w:val="6C5A07E8"/>
    <w:rsid w:val="6C8C67B7"/>
    <w:rsid w:val="6C9D744C"/>
    <w:rsid w:val="6C9F0987"/>
    <w:rsid w:val="6D167928"/>
    <w:rsid w:val="6D26299B"/>
    <w:rsid w:val="6D4772EC"/>
    <w:rsid w:val="6D8819DC"/>
    <w:rsid w:val="6D9078AF"/>
    <w:rsid w:val="6DAA3FEF"/>
    <w:rsid w:val="6DC0172B"/>
    <w:rsid w:val="6DCB690C"/>
    <w:rsid w:val="6DD41A5B"/>
    <w:rsid w:val="6DF43C2E"/>
    <w:rsid w:val="6DF51CA3"/>
    <w:rsid w:val="6E4A39F8"/>
    <w:rsid w:val="6E5A6DD8"/>
    <w:rsid w:val="6E8335BD"/>
    <w:rsid w:val="6E8E12EF"/>
    <w:rsid w:val="6E972936"/>
    <w:rsid w:val="6ED446C5"/>
    <w:rsid w:val="6F2A2D4B"/>
    <w:rsid w:val="6F2A7D94"/>
    <w:rsid w:val="6F8331F1"/>
    <w:rsid w:val="6F9A118C"/>
    <w:rsid w:val="6FAE1A09"/>
    <w:rsid w:val="6FCC5197"/>
    <w:rsid w:val="6FD75BF8"/>
    <w:rsid w:val="707723D0"/>
    <w:rsid w:val="709F6AD5"/>
    <w:rsid w:val="70CC4DD8"/>
    <w:rsid w:val="70D06A63"/>
    <w:rsid w:val="70F5661B"/>
    <w:rsid w:val="71233EF6"/>
    <w:rsid w:val="71360107"/>
    <w:rsid w:val="713B688E"/>
    <w:rsid w:val="71B5658F"/>
    <w:rsid w:val="71D43752"/>
    <w:rsid w:val="71F1796A"/>
    <w:rsid w:val="72154626"/>
    <w:rsid w:val="72262B5D"/>
    <w:rsid w:val="72283FF7"/>
    <w:rsid w:val="722D0A37"/>
    <w:rsid w:val="722E7212"/>
    <w:rsid w:val="723A0474"/>
    <w:rsid w:val="724C67D0"/>
    <w:rsid w:val="725923E4"/>
    <w:rsid w:val="72864BF7"/>
    <w:rsid w:val="729023FC"/>
    <w:rsid w:val="73C0646E"/>
    <w:rsid w:val="742222F5"/>
    <w:rsid w:val="74476126"/>
    <w:rsid w:val="74511C71"/>
    <w:rsid w:val="74706664"/>
    <w:rsid w:val="747F3682"/>
    <w:rsid w:val="74956EB9"/>
    <w:rsid w:val="749C4185"/>
    <w:rsid w:val="74B1537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6460E7"/>
    <w:rsid w:val="78775729"/>
    <w:rsid w:val="78A42DB0"/>
    <w:rsid w:val="78A656AB"/>
    <w:rsid w:val="78B2245C"/>
    <w:rsid w:val="78E172CC"/>
    <w:rsid w:val="78EA1D1F"/>
    <w:rsid w:val="78F148D9"/>
    <w:rsid w:val="7904172F"/>
    <w:rsid w:val="790F7E27"/>
    <w:rsid w:val="792A231A"/>
    <w:rsid w:val="79316829"/>
    <w:rsid w:val="7967694A"/>
    <w:rsid w:val="797E66A9"/>
    <w:rsid w:val="79A97383"/>
    <w:rsid w:val="79D41D23"/>
    <w:rsid w:val="79E27E8B"/>
    <w:rsid w:val="79F850CE"/>
    <w:rsid w:val="79FD443C"/>
    <w:rsid w:val="7A1D1975"/>
    <w:rsid w:val="7A3E5150"/>
    <w:rsid w:val="7A41472A"/>
    <w:rsid w:val="7A4670D6"/>
    <w:rsid w:val="7A534B63"/>
    <w:rsid w:val="7A615382"/>
    <w:rsid w:val="7A635363"/>
    <w:rsid w:val="7A67303B"/>
    <w:rsid w:val="7A850E5E"/>
    <w:rsid w:val="7AAB1D04"/>
    <w:rsid w:val="7ABA4368"/>
    <w:rsid w:val="7AD05746"/>
    <w:rsid w:val="7B257FFD"/>
    <w:rsid w:val="7B343476"/>
    <w:rsid w:val="7B5A2978"/>
    <w:rsid w:val="7B5A7E4C"/>
    <w:rsid w:val="7B667AF9"/>
    <w:rsid w:val="7B7468F8"/>
    <w:rsid w:val="7BEE0103"/>
    <w:rsid w:val="7C0A0FE4"/>
    <w:rsid w:val="7C254906"/>
    <w:rsid w:val="7C590818"/>
    <w:rsid w:val="7C7272B1"/>
    <w:rsid w:val="7C7C10F6"/>
    <w:rsid w:val="7C853BEA"/>
    <w:rsid w:val="7C881368"/>
    <w:rsid w:val="7CD40756"/>
    <w:rsid w:val="7CE27788"/>
    <w:rsid w:val="7D0C32F1"/>
    <w:rsid w:val="7D0F408D"/>
    <w:rsid w:val="7D491C6C"/>
    <w:rsid w:val="7D5429C0"/>
    <w:rsid w:val="7D6E6D43"/>
    <w:rsid w:val="7DB57A34"/>
    <w:rsid w:val="7DE60973"/>
    <w:rsid w:val="7DEF0916"/>
    <w:rsid w:val="7DFB432E"/>
    <w:rsid w:val="7E1E5218"/>
    <w:rsid w:val="7E4C02D3"/>
    <w:rsid w:val="7E9A4E1F"/>
    <w:rsid w:val="7EA7723A"/>
    <w:rsid w:val="7EF56FBB"/>
    <w:rsid w:val="7EFF551E"/>
    <w:rsid w:val="7F0768EB"/>
    <w:rsid w:val="7F143BEC"/>
    <w:rsid w:val="7F22175F"/>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仿宋" w:cs="Times New Roman"/>
      <w:kern w:val="2"/>
      <w:sz w:val="24"/>
      <w:szCs w:val="24"/>
      <w:lang w:val="en-US" w:eastAsia="zh-CN" w:bidi="ar-SA"/>
    </w:rPr>
  </w:style>
  <w:style w:type="paragraph" w:styleId="5">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7"/>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18"/>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Normal Indent"/>
    <w:basedOn w:val="1"/>
    <w:next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9">
    <w:name w:val="caption"/>
    <w:basedOn w:val="1"/>
    <w:next w:val="1"/>
    <w:link w:val="226"/>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0"/>
    <w:qFormat/>
    <w:uiPriority w:val="0"/>
    <w:pPr>
      <w:shd w:val="clear" w:color="auto" w:fill="000080"/>
    </w:pPr>
  </w:style>
  <w:style w:type="paragraph" w:styleId="22">
    <w:name w:val="annotation text"/>
    <w:basedOn w:val="1"/>
    <w:link w:val="341"/>
    <w:qFormat/>
    <w:uiPriority w:val="99"/>
    <w:pPr>
      <w:jc w:val="left"/>
    </w:pPr>
  </w:style>
  <w:style w:type="paragraph" w:styleId="23">
    <w:name w:val="Salutation"/>
    <w:basedOn w:val="1"/>
    <w:next w:val="1"/>
    <w:link w:val="295"/>
    <w:qFormat/>
    <w:uiPriority w:val="0"/>
    <w:rPr>
      <w:rFonts w:ascii="仿宋_GB2312" w:eastAsia="仿宋_GB2312"/>
      <w:sz w:val="28"/>
      <w:szCs w:val="20"/>
    </w:rPr>
  </w:style>
  <w:style w:type="paragraph" w:styleId="24">
    <w:name w:val="Body Text 3"/>
    <w:basedOn w:val="1"/>
    <w:link w:val="327"/>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next w:val="27"/>
    <w:link w:val="262"/>
    <w:qFormat/>
    <w:uiPriority w:val="0"/>
    <w:pPr>
      <w:spacing w:line="480" w:lineRule="exact"/>
      <w:ind w:firstLine="480" w:firstLineChars="200"/>
    </w:pPr>
    <w:rPr>
      <w:rFonts w:ascii="宋体" w:hAnsi="宋体"/>
      <w:sz w:val="24"/>
    </w:rPr>
  </w:style>
  <w:style w:type="paragraph" w:styleId="27">
    <w:name w:val="Body Text First Indent 2"/>
    <w:basedOn w:val="26"/>
    <w:link w:val="119"/>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3"/>
    <w:qFormat/>
    <w:uiPriority w:val="0"/>
    <w:rPr>
      <w:rFonts w:ascii="宋体" w:hAnsi="宋体" w:eastAsia="仿宋" w:cs="Arial"/>
      <w:snapToGrid w:val="0"/>
      <w:sz w:val="24"/>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79"/>
    <w:qFormat/>
    <w:uiPriority w:val="0"/>
    <w:pPr>
      <w:ind w:left="100" w:leftChars="2500"/>
    </w:pPr>
    <w:rPr>
      <w:rFonts w:ascii="宋体"/>
      <w:sz w:val="24"/>
      <w:szCs w:val="21"/>
      <w:lang w:val="zh-CN"/>
    </w:rPr>
  </w:style>
  <w:style w:type="paragraph" w:styleId="39">
    <w:name w:val="Body Text Indent 2"/>
    <w:basedOn w:val="1"/>
    <w:link w:val="305"/>
    <w:qFormat/>
    <w:uiPriority w:val="0"/>
    <w:pPr>
      <w:spacing w:line="360" w:lineRule="auto"/>
      <w:ind w:firstLine="601"/>
      <w:textAlignment w:val="baseline"/>
    </w:pPr>
    <w:rPr>
      <w:rFonts w:ascii="宋体"/>
      <w:kern w:val="0"/>
      <w:sz w:val="28"/>
      <w:szCs w:val="20"/>
    </w:rPr>
  </w:style>
  <w:style w:type="paragraph" w:styleId="40">
    <w:name w:val="endnote text"/>
    <w:basedOn w:val="1"/>
    <w:link w:val="929"/>
    <w:qFormat/>
    <w:uiPriority w:val="0"/>
    <w:rPr>
      <w:lang w:val="zh-CN"/>
    </w:rPr>
  </w:style>
  <w:style w:type="paragraph" w:styleId="41">
    <w:name w:val="Balloon Text"/>
    <w:basedOn w:val="1"/>
    <w:link w:val="186"/>
    <w:qFormat/>
    <w:uiPriority w:val="0"/>
    <w:rPr>
      <w:sz w:val="18"/>
      <w:szCs w:val="18"/>
    </w:rPr>
  </w:style>
  <w:style w:type="paragraph" w:styleId="42">
    <w:name w:val="footer"/>
    <w:basedOn w:val="1"/>
    <w:link w:val="380"/>
    <w:qFormat/>
    <w:uiPriority w:val="99"/>
    <w:pPr>
      <w:tabs>
        <w:tab w:val="center" w:pos="4153"/>
        <w:tab w:val="right" w:pos="8306"/>
      </w:tabs>
      <w:snapToGrid w:val="0"/>
      <w:jc w:val="left"/>
    </w:pPr>
    <w:rPr>
      <w:sz w:val="18"/>
      <w:szCs w:val="18"/>
    </w:rPr>
  </w:style>
  <w:style w:type="paragraph" w:styleId="43">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8"/>
    <w:link w:val="307"/>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299"/>
    <w:qFormat/>
    <w:uiPriority w:val="0"/>
    <w:pPr>
      <w:spacing w:after="120" w:line="480" w:lineRule="auto"/>
    </w:pPr>
  </w:style>
  <w:style w:type="paragraph" w:styleId="58">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5"/>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2 Char"/>
    <w:qFormat/>
    <w:uiPriority w:val="0"/>
    <w:rPr>
      <w:rFonts w:ascii="Arial" w:hAnsi="Arial" w:eastAsia="黑体"/>
      <w:b/>
      <w:kern w:val="2"/>
      <w:sz w:val="32"/>
      <w:lang w:val="en-US" w:eastAsia="zh-CN"/>
    </w:rPr>
  </w:style>
  <w:style w:type="character" w:customStyle="1" w:styleId="80">
    <w:name w:val="标题 3 字符"/>
    <w:qFormat/>
    <w:uiPriority w:val="9"/>
    <w:rPr>
      <w:b/>
      <w:bCs/>
      <w:kern w:val="2"/>
      <w:sz w:val="32"/>
      <w:szCs w:val="32"/>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27"/>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5"/>
    <w:qFormat/>
    <w:uiPriority w:val="0"/>
    <w:rPr>
      <w:rFonts w:ascii="宋体" w:hAnsi="宋体" w:eastAsia="仿宋" w:cs="Arial"/>
      <w:snapToGrid w:val="0"/>
      <w:kern w:val="2"/>
      <w:sz w:val="24"/>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9"/>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10"/>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6"/>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8"/>
    <w:qFormat/>
    <w:uiPriority w:val="0"/>
    <w:rPr>
      <w:rFonts w:ascii="宋体"/>
      <w:kern w:val="2"/>
      <w:sz w:val="24"/>
      <w:szCs w:val="21"/>
      <w:lang w:val="zh-CN"/>
    </w:rPr>
  </w:style>
  <w:style w:type="character" w:customStyle="1" w:styleId="180">
    <w:name w:val="标题 9 Char"/>
    <w:link w:val="13"/>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41"/>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18"/>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21"/>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7"/>
    <w:qFormat/>
    <w:uiPriority w:val="0"/>
    <w:rPr>
      <w:rFonts w:ascii="仿宋_GB2312" w:hAnsi="仿宋" w:eastAsia="仿宋_GB2312" w:cs="仿宋_GB2312"/>
      <w:sz w:val="32"/>
      <w:szCs w:val="30"/>
      <w:lang w:val="zh-CN"/>
    </w:rPr>
  </w:style>
  <w:style w:type="character" w:customStyle="1" w:styleId="216">
    <w:name w:val="HTML 地址 Char"/>
    <w:link w:val="32"/>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8"/>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9"/>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6"/>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5"/>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60"/>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9"/>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3"/>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8"/>
    <w:qFormat/>
    <w:uiPriority w:val="0"/>
    <w:rPr>
      <w:rFonts w:ascii="黑体" w:hAnsi="Courier New" w:eastAsia="黑体"/>
    </w:rPr>
  </w:style>
  <w:style w:type="character" w:customStyle="1" w:styleId="299">
    <w:name w:val="正文文本 2 Char1"/>
    <w:link w:val="57"/>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8"/>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11"/>
    <w:qFormat/>
    <w:uiPriority w:val="0"/>
    <w:rPr>
      <w:b/>
      <w:bCs/>
      <w:kern w:val="2"/>
      <w:sz w:val="24"/>
      <w:szCs w:val="24"/>
    </w:rPr>
  </w:style>
  <w:style w:type="character" w:customStyle="1" w:styleId="305">
    <w:name w:val="正文文本缩进 2 Char"/>
    <w:link w:val="39"/>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2"/>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3"/>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8"/>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4"/>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2"/>
    <w:qFormat/>
    <w:uiPriority w:val="0"/>
    <w:rPr>
      <w:kern w:val="2"/>
      <w:sz w:val="21"/>
      <w:szCs w:val="24"/>
    </w:rPr>
  </w:style>
  <w:style w:type="character" w:customStyle="1" w:styleId="342">
    <w:name w:val="签名 Char"/>
    <w:link w:val="44"/>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2"/>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4"/>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2"/>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3"/>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8"/>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8"/>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6"/>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7"/>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9"/>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7"/>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8"/>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8"/>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7"/>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5"/>
    <w:qFormat/>
    <w:uiPriority w:val="0"/>
    <w:pPr>
      <w:tabs>
        <w:tab w:val="left" w:pos="840"/>
      </w:tabs>
      <w:adjustRightInd/>
      <w:ind w:left="840" w:hanging="420"/>
    </w:pPr>
  </w:style>
  <w:style w:type="paragraph" w:customStyle="1" w:styleId="623">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8"/>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9"/>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7"/>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1"/>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9"/>
    <w:next w:val="1"/>
    <w:qFormat/>
    <w:uiPriority w:val="0"/>
    <w:pPr>
      <w:tabs>
        <w:tab w:val="left" w:pos="1080"/>
      </w:tabs>
      <w:ind w:left="1080" w:hanging="1080"/>
    </w:pPr>
  </w:style>
  <w:style w:type="paragraph" w:customStyle="1" w:styleId="894">
    <w:name w:val="数字标题1"/>
    <w:basedOn w:val="5"/>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40"/>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_Style 468"/>
    <w:basedOn w:val="1"/>
    <w:next w:val="255"/>
    <w:qFormat/>
    <w:uiPriority w:val="99"/>
    <w:pPr>
      <w:adjustRightInd w:val="0"/>
      <w:spacing w:line="360" w:lineRule="auto"/>
      <w:ind w:firstLine="200" w:firstLineChars="200"/>
    </w:pPr>
    <w:rPr>
      <w:rFonts w:ascii="宋体" w:hAnsi="宋体" w:eastAsia="宋体" w:cs="Times New Roman"/>
      <w:kern w:val="0"/>
      <w:sz w:val="20"/>
    </w:rPr>
  </w:style>
  <w:style w:type="character" w:customStyle="1" w:styleId="962">
    <w:name w:val="ca-1"/>
    <w:qFormat/>
    <w:uiPriority w:val="0"/>
  </w:style>
  <w:style w:type="paragraph" w:customStyle="1" w:styleId="963">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87</Pages>
  <Words>45579</Words>
  <Characters>47936</Characters>
  <Lines>287</Lines>
  <Paragraphs>81</Paragraphs>
  <TotalTime>54</TotalTime>
  <ScaleCrop>false</ScaleCrop>
  <LinksUpToDate>false</LinksUpToDate>
  <CharactersWithSpaces>53695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CMJ</cp:lastModifiedBy>
  <cp:lastPrinted>2021-12-27T03:06:00Z</cp:lastPrinted>
  <dcterms:modified xsi:type="dcterms:W3CDTF">2022-04-02T07:43:48Z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A1726A302C654811884CF4247FEA66BE</vt:lpwstr>
  </property>
</Properties>
</file>