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cs="仿宋"/>
          <w:b/>
          <w:bCs/>
          <w:color w:val="auto"/>
          <w:sz w:val="44"/>
          <w:szCs w:val="44"/>
          <w:highlight w:val="none"/>
        </w:rPr>
      </w:pPr>
    </w:p>
    <w:p>
      <w:pPr>
        <w:adjustRightInd w:val="0"/>
        <w:snapToGrid w:val="0"/>
        <w:spacing w:line="360" w:lineRule="auto"/>
        <w:jc w:val="center"/>
        <w:rPr>
          <w:rFonts w:ascii="仿宋" w:hAnsi="仿宋" w:eastAsia="仿宋" w:cs="仿宋"/>
          <w:b/>
          <w:bCs/>
          <w:color w:val="auto"/>
          <w:sz w:val="44"/>
          <w:szCs w:val="44"/>
          <w:highlight w:val="none"/>
        </w:rPr>
      </w:pPr>
    </w:p>
    <w:p>
      <w:pPr>
        <w:adjustRightInd w:val="0"/>
        <w:snapToGrid w:val="0"/>
        <w:spacing w:line="360" w:lineRule="auto"/>
        <w:jc w:val="center"/>
        <w:rPr>
          <w:rFonts w:ascii="仿宋" w:hAnsi="仿宋" w:eastAsia="仿宋" w:cs="仿宋"/>
          <w:b/>
          <w:bCs/>
          <w:color w:val="auto"/>
          <w:sz w:val="44"/>
          <w:szCs w:val="44"/>
          <w:highlight w:val="none"/>
        </w:rPr>
      </w:pPr>
      <w:r>
        <w:rPr>
          <w:rFonts w:hint="eastAsia" w:ascii="仿宋" w:hAnsi="仿宋" w:eastAsia="仿宋" w:cs="仿宋"/>
          <w:b/>
          <w:bCs/>
          <w:color w:val="auto"/>
          <w:sz w:val="52"/>
          <w:szCs w:val="52"/>
          <w:highlight w:val="none"/>
          <w:lang w:eastAsia="zh-CN"/>
        </w:rPr>
        <w:t>全区泵站提升改造工程设备采购</w:t>
      </w:r>
      <w:r>
        <w:rPr>
          <w:rFonts w:hint="eastAsia" w:ascii="仿宋" w:hAnsi="仿宋" w:eastAsia="仿宋" w:cs="仿宋"/>
          <w:b/>
          <w:bCs/>
          <w:color w:val="auto"/>
          <w:sz w:val="52"/>
          <w:szCs w:val="52"/>
          <w:highlight w:val="none"/>
        </w:rPr>
        <w:t>项目</w:t>
      </w:r>
    </w:p>
    <w:p>
      <w:pPr>
        <w:adjustRightInd w:val="0"/>
        <w:snapToGrid w:val="0"/>
        <w:spacing w:line="360" w:lineRule="auto"/>
        <w:jc w:val="center"/>
        <w:rPr>
          <w:rFonts w:ascii="仿宋" w:hAnsi="仿宋" w:eastAsia="仿宋" w:cs="仿宋"/>
          <w:b/>
          <w:bCs/>
          <w:color w:val="auto"/>
          <w:sz w:val="44"/>
          <w:szCs w:val="44"/>
          <w:highlight w:val="none"/>
        </w:rPr>
      </w:pPr>
    </w:p>
    <w:p>
      <w:pPr>
        <w:spacing w:line="360" w:lineRule="auto"/>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招标文件</w:t>
      </w:r>
    </w:p>
    <w:p>
      <w:pPr>
        <w:spacing w:line="360" w:lineRule="auto"/>
        <w:jc w:val="center"/>
        <w:rPr>
          <w:rFonts w:ascii="仿宋" w:hAnsi="仿宋" w:eastAsia="仿宋" w:cs="仿宋"/>
          <w:b/>
          <w:bCs/>
          <w:color w:val="auto"/>
          <w:sz w:val="72"/>
          <w:szCs w:val="72"/>
          <w:highlight w:val="none"/>
        </w:rPr>
      </w:pPr>
    </w:p>
    <w:p>
      <w:pPr>
        <w:spacing w:line="360" w:lineRule="auto"/>
        <w:jc w:val="center"/>
        <w:rPr>
          <w:rFonts w:ascii="仿宋" w:hAnsi="仿宋" w:eastAsia="仿宋" w:cs="仿宋"/>
          <w:b/>
          <w:bCs/>
          <w:color w:val="auto"/>
          <w:sz w:val="72"/>
          <w:szCs w:val="72"/>
          <w:highlight w:val="none"/>
        </w:rPr>
      </w:pPr>
    </w:p>
    <w:p>
      <w:pPr>
        <w:spacing w:line="360" w:lineRule="auto"/>
        <w:jc w:val="center"/>
        <w:rPr>
          <w:rFonts w:hint="eastAsia" w:ascii="仿宋" w:hAnsi="仿宋" w:eastAsia="仿宋" w:cs="仿宋"/>
          <w:color w:val="auto"/>
          <w:sz w:val="44"/>
          <w:szCs w:val="44"/>
          <w:highlight w:val="none"/>
          <w:lang w:eastAsia="zh-CN"/>
        </w:rPr>
      </w:pPr>
      <w:r>
        <w:rPr>
          <w:rFonts w:hint="eastAsia" w:ascii="仿宋" w:hAnsi="仿宋" w:eastAsia="仿宋" w:cs="仿宋"/>
          <w:color w:val="auto"/>
          <w:sz w:val="44"/>
          <w:szCs w:val="44"/>
          <w:highlight w:val="none"/>
        </w:rPr>
        <w:t>编号：</w:t>
      </w:r>
      <w:r>
        <w:rPr>
          <w:rFonts w:hint="eastAsia" w:ascii="仿宋" w:hAnsi="仿宋" w:eastAsia="仿宋" w:cs="仿宋"/>
          <w:color w:val="auto"/>
          <w:sz w:val="44"/>
          <w:szCs w:val="44"/>
          <w:highlight w:val="none"/>
          <w:lang w:eastAsia="zh-CN"/>
        </w:rPr>
        <w:t>QTXQ-GK-2021-002</w:t>
      </w:r>
    </w:p>
    <w:p>
      <w:pPr>
        <w:spacing w:line="360" w:lineRule="auto"/>
        <w:jc w:val="center"/>
        <w:rPr>
          <w:rFonts w:ascii="仿宋" w:hAnsi="仿宋" w:eastAsia="仿宋" w:cs="仿宋"/>
          <w:color w:val="auto"/>
          <w:sz w:val="44"/>
          <w:szCs w:val="44"/>
          <w:highlight w:val="none"/>
        </w:rPr>
      </w:pPr>
    </w:p>
    <w:p>
      <w:pPr>
        <w:spacing w:line="360" w:lineRule="auto"/>
        <w:jc w:val="center"/>
        <w:rPr>
          <w:rFonts w:ascii="仿宋" w:hAnsi="仿宋" w:eastAsia="仿宋" w:cs="仿宋"/>
          <w:color w:val="auto"/>
          <w:sz w:val="44"/>
          <w:szCs w:val="44"/>
          <w:highlight w:val="none"/>
        </w:rPr>
      </w:pPr>
    </w:p>
    <w:p>
      <w:pPr>
        <w:pStyle w:val="8"/>
        <w:jc w:val="center"/>
        <w:rPr>
          <w:color w:val="auto"/>
          <w:highlight w:val="none"/>
        </w:rPr>
      </w:pPr>
    </w:p>
    <w:p>
      <w:pPr>
        <w:pStyle w:val="8"/>
        <w:jc w:val="center"/>
        <w:rPr>
          <w:color w:val="auto"/>
          <w:highlight w:val="none"/>
        </w:rPr>
      </w:pPr>
    </w:p>
    <w:p>
      <w:pPr>
        <w:pStyle w:val="8"/>
        <w:jc w:val="center"/>
        <w:rPr>
          <w:color w:val="auto"/>
          <w:highlight w:val="none"/>
        </w:rPr>
      </w:pPr>
    </w:p>
    <w:p>
      <w:pPr>
        <w:pStyle w:val="8"/>
        <w:jc w:val="center"/>
        <w:rPr>
          <w:color w:val="auto"/>
          <w:highlight w:val="none"/>
        </w:rPr>
      </w:pPr>
    </w:p>
    <w:p>
      <w:pPr>
        <w:pStyle w:val="8"/>
        <w:jc w:val="center"/>
        <w:rPr>
          <w:color w:val="auto"/>
          <w:highlight w:val="none"/>
        </w:rPr>
      </w:pPr>
    </w:p>
    <w:p>
      <w:pPr>
        <w:pStyle w:val="8"/>
        <w:jc w:val="center"/>
        <w:rPr>
          <w:color w:val="auto"/>
          <w:highlight w:val="none"/>
        </w:rPr>
      </w:pPr>
    </w:p>
    <w:p>
      <w:pPr>
        <w:spacing w:line="360" w:lineRule="auto"/>
        <w:jc w:val="center"/>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lang w:eastAsia="zh-CN"/>
        </w:rPr>
        <w:t>杭州钱塘新区综合行政执法局</w:t>
      </w:r>
    </w:p>
    <w:p>
      <w:pPr>
        <w:spacing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杭州市公共资源交易中心钱塘新区分中心</w:t>
      </w:r>
    </w:p>
    <w:p>
      <w:pPr>
        <w:spacing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二〇二</w:t>
      </w:r>
      <w:r>
        <w:rPr>
          <w:rFonts w:hint="eastAsia" w:ascii="仿宋" w:hAnsi="仿宋" w:eastAsia="仿宋" w:cs="仿宋"/>
          <w:color w:val="auto"/>
          <w:sz w:val="36"/>
          <w:szCs w:val="36"/>
          <w:highlight w:val="none"/>
          <w:lang w:val="en-US" w:eastAsia="zh-CN"/>
        </w:rPr>
        <w:t>一</w:t>
      </w:r>
      <w:r>
        <w:rPr>
          <w:rFonts w:hint="eastAsia" w:ascii="仿宋" w:hAnsi="仿宋" w:eastAsia="仿宋" w:cs="仿宋"/>
          <w:color w:val="auto"/>
          <w:sz w:val="36"/>
          <w:szCs w:val="36"/>
          <w:highlight w:val="none"/>
        </w:rPr>
        <w:t>年</w:t>
      </w:r>
      <w:r>
        <w:rPr>
          <w:rFonts w:hint="eastAsia" w:ascii="仿宋" w:hAnsi="仿宋" w:eastAsia="仿宋" w:cs="仿宋"/>
          <w:color w:val="auto"/>
          <w:sz w:val="36"/>
          <w:szCs w:val="36"/>
          <w:highlight w:val="none"/>
          <w:lang w:val="en-US" w:eastAsia="zh-CN"/>
        </w:rPr>
        <w:t>一</w:t>
      </w:r>
      <w:r>
        <w:rPr>
          <w:rFonts w:hint="eastAsia" w:ascii="仿宋" w:hAnsi="仿宋" w:eastAsia="仿宋" w:cs="仿宋"/>
          <w:color w:val="auto"/>
          <w:sz w:val="36"/>
          <w:szCs w:val="36"/>
          <w:highlight w:val="none"/>
        </w:rPr>
        <w:t>月</w:t>
      </w:r>
      <w:r>
        <w:rPr>
          <w:rFonts w:hint="eastAsia" w:ascii="仿宋" w:hAnsi="仿宋" w:eastAsia="仿宋" w:cs="仿宋"/>
          <w:color w:val="auto"/>
          <w:sz w:val="36"/>
          <w:szCs w:val="36"/>
          <w:highlight w:val="none"/>
          <w:lang w:val="en-US" w:eastAsia="zh-CN"/>
        </w:rPr>
        <w:t>十五</w:t>
      </w:r>
      <w:r>
        <w:rPr>
          <w:rFonts w:hint="eastAsia" w:ascii="仿宋" w:hAnsi="仿宋" w:eastAsia="仿宋" w:cs="仿宋"/>
          <w:color w:val="auto"/>
          <w:sz w:val="36"/>
          <w:szCs w:val="36"/>
          <w:highlight w:val="none"/>
        </w:rPr>
        <w:t>日</w:t>
      </w:r>
    </w:p>
    <w:p>
      <w:pPr>
        <w:spacing w:line="360" w:lineRule="auto"/>
        <w:jc w:val="center"/>
        <w:rPr>
          <w:rFonts w:ascii="仿宋" w:hAnsi="仿宋" w:eastAsia="仿宋" w:cs="仿宋"/>
          <w:color w:val="auto"/>
          <w:sz w:val="36"/>
          <w:szCs w:val="36"/>
          <w:highlight w:val="none"/>
        </w:rPr>
        <w:sectPr>
          <w:headerReference r:id="rId3" w:type="default"/>
          <w:pgSz w:w="11906" w:h="16838"/>
          <w:pgMar w:top="1440" w:right="1416" w:bottom="1440" w:left="1418" w:header="930" w:footer="992" w:gutter="0"/>
          <w:cols w:space="425" w:num="1"/>
          <w:docGrid w:type="lines" w:linePitch="312" w:charSpace="0"/>
        </w:sectPr>
      </w:pPr>
    </w:p>
    <w:p>
      <w:pPr>
        <w:spacing w:line="360" w:lineRule="auto"/>
        <w:ind w:firstLine="964" w:firstLineChars="200"/>
        <w:jc w:val="center"/>
        <w:rPr>
          <w:rFonts w:ascii="仿宋" w:hAnsi="仿宋" w:eastAsia="仿宋" w:cs="仿宋_GB2312"/>
          <w:b/>
          <w:color w:val="auto"/>
          <w:sz w:val="48"/>
          <w:szCs w:val="48"/>
          <w:highlight w:val="none"/>
        </w:rPr>
      </w:pPr>
    </w:p>
    <w:p>
      <w:pPr>
        <w:spacing w:line="360" w:lineRule="auto"/>
        <w:ind w:firstLine="964" w:firstLineChars="200"/>
        <w:jc w:val="center"/>
        <w:rPr>
          <w:rFonts w:ascii="仿宋" w:hAnsi="仿宋" w:eastAsia="仿宋" w:cs="仿宋_GB2312"/>
          <w:b/>
          <w:color w:val="auto"/>
          <w:sz w:val="48"/>
          <w:szCs w:val="48"/>
          <w:highlight w:val="none"/>
        </w:rPr>
      </w:pPr>
    </w:p>
    <w:p>
      <w:pPr>
        <w:spacing w:line="360" w:lineRule="auto"/>
        <w:ind w:firstLine="964" w:firstLineChars="200"/>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  录</w:t>
      </w:r>
    </w:p>
    <w:p>
      <w:pPr>
        <w:spacing w:line="360" w:lineRule="auto"/>
        <w:ind w:firstLine="964" w:firstLineChars="200"/>
        <w:jc w:val="center"/>
        <w:rPr>
          <w:rFonts w:ascii="仿宋" w:hAnsi="仿宋" w:eastAsia="仿宋" w:cs="仿宋_GB2312"/>
          <w:b/>
          <w:color w:val="auto"/>
          <w:sz w:val="48"/>
          <w:szCs w:val="48"/>
          <w:highlight w:val="none"/>
        </w:rPr>
      </w:pPr>
    </w:p>
    <w:p>
      <w:pPr>
        <w:spacing w:line="360" w:lineRule="auto"/>
        <w:ind w:firstLine="964" w:firstLineChars="200"/>
        <w:jc w:val="center"/>
        <w:rPr>
          <w:rFonts w:ascii="仿宋" w:hAnsi="仿宋" w:eastAsia="仿宋" w:cs="仿宋_GB2312"/>
          <w:b/>
          <w:color w:val="auto"/>
          <w:sz w:val="48"/>
          <w:szCs w:val="48"/>
          <w:highlight w:val="none"/>
        </w:rPr>
      </w:pPr>
    </w:p>
    <w:p>
      <w:pPr>
        <w:spacing w:line="360" w:lineRule="auto"/>
        <w:ind w:left="1680" w:leftChars="8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      招标公告</w:t>
      </w:r>
    </w:p>
    <w:p>
      <w:pPr>
        <w:spacing w:line="360" w:lineRule="auto"/>
        <w:ind w:left="1680" w:leftChars="8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left="1680" w:leftChars="8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left="1680" w:leftChars="8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评标方法及评分标准</w:t>
      </w:r>
    </w:p>
    <w:p>
      <w:pPr>
        <w:spacing w:line="360" w:lineRule="auto"/>
        <w:ind w:left="1680" w:leftChars="8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拟签订的合同文本</w:t>
      </w:r>
    </w:p>
    <w:p>
      <w:pPr>
        <w:spacing w:line="360" w:lineRule="auto"/>
        <w:ind w:left="1680" w:leftChars="800"/>
        <w:jc w:val="left"/>
        <w:rPr>
          <w:rFonts w:ascii="仿宋" w:hAnsi="仿宋" w:eastAsia="仿宋" w:cs="仿宋_GB2312"/>
          <w:color w:val="auto"/>
          <w:sz w:val="32"/>
          <w:szCs w:val="32"/>
          <w:highlight w:val="none"/>
        </w:rPr>
        <w:sectPr>
          <w:footerReference r:id="rId4" w:type="default"/>
          <w:pgSz w:w="11906" w:h="16838"/>
          <w:pgMar w:top="1440" w:right="1800" w:bottom="1440" w:left="1800" w:header="930" w:footer="992" w:gutter="0"/>
          <w:pgNumType w:start="1"/>
          <w:cols w:space="425" w:num="1"/>
          <w:docGrid w:type="lines" w:linePitch="312" w:charSpace="0"/>
        </w:sectPr>
      </w:pPr>
      <w:r>
        <w:rPr>
          <w:rFonts w:hint="eastAsia" w:ascii="仿宋" w:hAnsi="仿宋" w:eastAsia="仿宋" w:cs="仿宋_GB2312"/>
          <w:color w:val="auto"/>
          <w:sz w:val="32"/>
          <w:szCs w:val="32"/>
          <w:highlight w:val="none"/>
        </w:rPr>
        <w:t>第六部分      应提交的有关格式范例</w:t>
      </w:r>
    </w:p>
    <w:p>
      <w:pPr>
        <w:spacing w:line="360" w:lineRule="auto"/>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highlight w:val="none"/>
        </w:rPr>
      </w:pPr>
      <w:bookmarkStart w:id="0" w:name="_Toc35393796"/>
      <w:bookmarkStart w:id="1" w:name="_Toc28359085"/>
      <w:bookmarkStart w:id="2" w:name="_Toc35393627"/>
      <w:bookmarkStart w:id="3" w:name="_Toc28359008"/>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u w:val="single"/>
          <w:lang w:eastAsia="zh-CN"/>
        </w:rPr>
        <w:t>全区泵站提升改造工程设备采购</w:t>
      </w:r>
      <w:r>
        <w:rPr>
          <w:rFonts w:ascii="仿宋" w:hAnsi="仿宋" w:eastAsia="仿宋"/>
          <w:color w:val="auto"/>
          <w:sz w:val="28"/>
          <w:szCs w:val="28"/>
          <w:highlight w:val="none"/>
          <w:u w:val="single"/>
        </w:rPr>
        <w:t>项目</w:t>
      </w:r>
      <w:r>
        <w:rPr>
          <w:rFonts w:hint="eastAsia" w:ascii="仿宋" w:hAnsi="仿宋" w:eastAsia="仿宋"/>
          <w:color w:val="auto"/>
          <w:sz w:val="28"/>
          <w:szCs w:val="28"/>
          <w:highlight w:val="none"/>
        </w:rPr>
        <w:t xml:space="preserve"> 招标项目的潜在投标人应在</w:t>
      </w:r>
      <w:r>
        <w:rPr>
          <w:rFonts w:hint="eastAsia" w:ascii="仿宋" w:hAnsi="仿宋" w:eastAsia="仿宋"/>
          <w:color w:val="auto"/>
          <w:sz w:val="28"/>
          <w:szCs w:val="28"/>
          <w:highlight w:val="none"/>
          <w:u w:val="single"/>
        </w:rPr>
        <w:t>政府采购云平台</w:t>
      </w:r>
      <w:r>
        <w:rPr>
          <w:rFonts w:hint="eastAsia" w:ascii="仿宋" w:hAnsi="仿宋" w:eastAsia="仿宋"/>
          <w:color w:val="auto"/>
          <w:sz w:val="28"/>
          <w:szCs w:val="28"/>
          <w:highlight w:val="none"/>
        </w:rPr>
        <w:t>获取招标文件，并于</w:t>
      </w:r>
      <w:r>
        <w:rPr>
          <w:rFonts w:hint="eastAsia" w:ascii="仿宋" w:hAnsi="仿宋" w:eastAsia="仿宋"/>
          <w:color w:val="auto"/>
          <w:sz w:val="28"/>
          <w:szCs w:val="28"/>
          <w:highlight w:val="none"/>
          <w:u w:val="single"/>
        </w:rPr>
        <w:t>202</w:t>
      </w:r>
      <w:r>
        <w:rPr>
          <w:rFonts w:hint="eastAsia" w:ascii="仿宋" w:hAnsi="仿宋" w:eastAsia="仿宋"/>
          <w:color w:val="auto"/>
          <w:sz w:val="28"/>
          <w:szCs w:val="28"/>
          <w:highlight w:val="none"/>
          <w:u w:val="single"/>
          <w:lang w:val="en-US" w:eastAsia="zh-CN"/>
        </w:rPr>
        <w:t>1</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2</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5</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9</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3</w:t>
      </w:r>
      <w:r>
        <w:rPr>
          <w:rFonts w:hint="eastAsia" w:ascii="仿宋" w:hAnsi="仿宋" w:eastAsia="仿宋"/>
          <w:bCs/>
          <w:color w:val="auto"/>
          <w:sz w:val="28"/>
          <w:szCs w:val="28"/>
          <w:highlight w:val="none"/>
          <w:u w:val="single"/>
        </w:rPr>
        <w:t>0分</w:t>
      </w:r>
      <w:r>
        <w:rPr>
          <w:rFonts w:hint="eastAsia" w:ascii="仿宋" w:hAnsi="仿宋" w:eastAsia="仿宋"/>
          <w:bCs/>
          <w:color w:val="auto"/>
          <w:sz w:val="28"/>
          <w:szCs w:val="28"/>
          <w:highlight w:val="none"/>
        </w:rPr>
        <w:t>（北京时间）前递交投标</w:t>
      </w:r>
      <w:r>
        <w:rPr>
          <w:rFonts w:ascii="仿宋" w:hAnsi="仿宋" w:eastAsia="仿宋"/>
          <w:bCs/>
          <w:color w:val="auto"/>
          <w:sz w:val="28"/>
          <w:szCs w:val="28"/>
          <w:highlight w:val="none"/>
        </w:rPr>
        <w:t>文件</w:t>
      </w:r>
      <w:r>
        <w:rPr>
          <w:rFonts w:hint="eastAsia" w:ascii="仿宋" w:hAnsi="仿宋" w:eastAsia="仿宋"/>
          <w:color w:val="auto"/>
          <w:sz w:val="28"/>
          <w:szCs w:val="28"/>
          <w:highlight w:val="none"/>
        </w:rPr>
        <w:t>。</w:t>
      </w:r>
    </w:p>
    <w:p>
      <w:pPr>
        <w:pStyle w:val="3"/>
        <w:spacing w:line="360" w:lineRule="auto"/>
        <w:ind w:firstLine="560" w:firstLineChars="200"/>
        <w:rPr>
          <w:color w:val="auto"/>
          <w:highlight w:val="none"/>
        </w:rPr>
      </w:pPr>
      <w:bookmarkStart w:id="4" w:name="_Toc28359079"/>
      <w:bookmarkStart w:id="5" w:name="_Toc28359002"/>
      <w:bookmarkStart w:id="6" w:name="_Toc35393790"/>
      <w:bookmarkStart w:id="7" w:name="_Toc35393621"/>
      <w:bookmarkStart w:id="8" w:name="_Hlk24379207"/>
      <w:r>
        <w:rPr>
          <w:rFonts w:hint="eastAsia" w:ascii="黑体" w:hAnsi="黑体" w:cs="宋体"/>
          <w:b w:val="0"/>
          <w:color w:val="auto"/>
          <w:sz w:val="28"/>
          <w:szCs w:val="28"/>
          <w:highlight w:val="none"/>
        </w:rPr>
        <w:t>一、项目基本情况</w:t>
      </w:r>
      <w:bookmarkEnd w:id="4"/>
      <w:bookmarkEnd w:id="5"/>
      <w:bookmarkEnd w:id="6"/>
      <w:bookmarkEnd w:id="7"/>
    </w:p>
    <w:p>
      <w:pPr>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项目编号：</w:t>
      </w:r>
      <w:r>
        <w:rPr>
          <w:rFonts w:hint="eastAsia" w:ascii="仿宋" w:hAnsi="仿宋" w:eastAsia="仿宋"/>
          <w:color w:val="auto"/>
          <w:sz w:val="28"/>
          <w:szCs w:val="28"/>
          <w:highlight w:val="none"/>
          <w:lang w:eastAsia="zh-CN"/>
        </w:rPr>
        <w:t>QTXQ-GK-2021-002</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项目名称：</w:t>
      </w:r>
      <w:r>
        <w:rPr>
          <w:rFonts w:hint="eastAsia" w:ascii="仿宋" w:hAnsi="仿宋" w:eastAsia="仿宋"/>
          <w:color w:val="auto"/>
          <w:sz w:val="28"/>
          <w:szCs w:val="28"/>
          <w:highlight w:val="none"/>
          <w:lang w:eastAsia="zh-CN"/>
        </w:rPr>
        <w:t>全区泵站提升改造工程设备采购</w:t>
      </w:r>
      <w:r>
        <w:rPr>
          <w:rFonts w:ascii="仿宋" w:hAnsi="仿宋" w:eastAsia="仿宋"/>
          <w:color w:val="auto"/>
          <w:sz w:val="28"/>
          <w:szCs w:val="28"/>
          <w:highlight w:val="none"/>
        </w:rPr>
        <w:t>项目</w:t>
      </w:r>
    </w:p>
    <w:bookmarkEnd w:id="8"/>
    <w:p>
      <w:pPr>
        <w:ind w:firstLine="560" w:firstLineChars="200"/>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ascii="仿宋" w:hAnsi="仿宋" w:eastAsia="仿宋" w:cs="仿宋"/>
          <w:color w:val="auto"/>
          <w:sz w:val="27"/>
          <w:szCs w:val="27"/>
          <w:highlight w:val="none"/>
        </w:rPr>
        <w:t>（元）</w:t>
      </w:r>
      <w:r>
        <w:rPr>
          <w:rFonts w:hint="eastAsia" w:ascii="仿宋" w:hAnsi="仿宋" w:eastAsia="仿宋"/>
          <w:color w:val="auto"/>
          <w:sz w:val="28"/>
          <w:szCs w:val="28"/>
          <w:highlight w:val="none"/>
        </w:rPr>
        <w:t>：11176923</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最高限价</w:t>
      </w:r>
      <w:r>
        <w:rPr>
          <w:rFonts w:ascii="仿宋" w:hAnsi="仿宋" w:eastAsia="仿宋" w:cs="仿宋"/>
          <w:color w:val="auto"/>
          <w:sz w:val="27"/>
          <w:szCs w:val="27"/>
          <w:highlight w:val="none"/>
        </w:rPr>
        <w:t>（元）</w:t>
      </w:r>
      <w:r>
        <w:rPr>
          <w:rFonts w:hint="eastAsia" w:ascii="仿宋" w:hAnsi="仿宋" w:eastAsia="仿宋"/>
          <w:color w:val="auto"/>
          <w:sz w:val="28"/>
          <w:szCs w:val="28"/>
          <w:highlight w:val="none"/>
        </w:rPr>
        <w:t>：11176923</w:t>
      </w:r>
      <w:r>
        <w:rPr>
          <w:rFonts w:hint="eastAsia" w:ascii="仿宋" w:hAnsi="仿宋" w:eastAsia="仿宋"/>
          <w:color w:val="auto"/>
          <w:sz w:val="28"/>
          <w:szCs w:val="28"/>
          <w:highlight w:val="none"/>
          <w:lang w:val="en-US" w:eastAsia="zh-CN"/>
        </w:rPr>
        <w:t xml:space="preserve">  </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采购需求：</w:t>
      </w:r>
    </w:p>
    <w:p>
      <w:pPr>
        <w:pStyle w:val="8"/>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标项名称：</w:t>
      </w:r>
      <w:r>
        <w:rPr>
          <w:rFonts w:hint="eastAsia" w:ascii="仿宋" w:hAnsi="仿宋" w:eastAsia="仿宋"/>
          <w:color w:val="auto"/>
          <w:sz w:val="28"/>
          <w:szCs w:val="28"/>
          <w:highlight w:val="none"/>
          <w:u w:val="none"/>
          <w:lang w:eastAsia="zh-CN"/>
        </w:rPr>
        <w:t>全区泵站提升改造工程设备采购</w:t>
      </w:r>
    </w:p>
    <w:p>
      <w:pPr>
        <w:pStyle w:val="8"/>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数量：1</w:t>
      </w:r>
    </w:p>
    <w:p>
      <w:pPr>
        <w:pStyle w:val="8"/>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预算金额</w:t>
      </w:r>
      <w:r>
        <w:rPr>
          <w:rFonts w:ascii="仿宋" w:hAnsi="仿宋" w:eastAsia="仿宋" w:cs="仿宋"/>
          <w:color w:val="auto"/>
          <w:sz w:val="27"/>
          <w:szCs w:val="27"/>
          <w:highlight w:val="none"/>
        </w:rPr>
        <w:t>（元）</w:t>
      </w:r>
      <w:r>
        <w:rPr>
          <w:rFonts w:hint="eastAsia" w:ascii="仿宋" w:hAnsi="仿宋" w:eastAsia="仿宋"/>
          <w:color w:val="auto"/>
          <w:sz w:val="28"/>
          <w:szCs w:val="28"/>
          <w:highlight w:val="none"/>
        </w:rPr>
        <w:t>：11176923</w:t>
      </w:r>
    </w:p>
    <w:p>
      <w:pPr>
        <w:ind w:firstLine="540" w:firstLineChars="200"/>
        <w:rPr>
          <w:rFonts w:ascii="仿宋" w:hAnsi="仿宋"/>
          <w:color w:val="auto"/>
          <w:sz w:val="28"/>
          <w:szCs w:val="28"/>
          <w:highlight w:val="none"/>
        </w:rPr>
      </w:pPr>
      <w:r>
        <w:rPr>
          <w:rFonts w:ascii="仿宋" w:hAnsi="仿宋" w:eastAsia="仿宋" w:cs="仿宋"/>
          <w:color w:val="auto"/>
          <w:sz w:val="27"/>
          <w:szCs w:val="27"/>
          <w:highlight w:val="none"/>
        </w:rPr>
        <w:t>简要规格描述或项目基本概况介绍、用途：</w:t>
      </w:r>
      <w:r>
        <w:rPr>
          <w:rFonts w:hint="eastAsia" w:ascii="仿宋" w:hAnsi="仿宋" w:eastAsia="仿宋"/>
          <w:color w:val="auto"/>
          <w:sz w:val="28"/>
          <w:szCs w:val="28"/>
          <w:highlight w:val="none"/>
        </w:rPr>
        <w:t>包括</w:t>
      </w:r>
      <w:r>
        <w:rPr>
          <w:rFonts w:hint="eastAsia" w:ascii="仿宋" w:hAnsi="仿宋" w:eastAsia="仿宋"/>
          <w:color w:val="auto"/>
          <w:sz w:val="28"/>
          <w:szCs w:val="28"/>
          <w:highlight w:val="none"/>
          <w:lang w:val="en-US" w:eastAsia="en-US"/>
        </w:rPr>
        <w:t>泵站水泵更换及附属设施</w:t>
      </w:r>
      <w:r>
        <w:rPr>
          <w:rFonts w:hint="eastAsia" w:ascii="仿宋" w:hAnsi="仿宋" w:eastAsia="仿宋"/>
          <w:color w:val="auto"/>
          <w:sz w:val="28"/>
          <w:szCs w:val="28"/>
          <w:highlight w:val="none"/>
          <w:lang w:val="en-US" w:eastAsia="zh-CN"/>
        </w:rPr>
        <w:t>、</w:t>
      </w:r>
      <w:r>
        <w:rPr>
          <w:rFonts w:hint="eastAsia" w:ascii="仿宋" w:hAnsi="仿宋" w:eastAsia="仿宋"/>
          <w:color w:val="auto"/>
          <w:sz w:val="28"/>
          <w:szCs w:val="28"/>
          <w:highlight w:val="none"/>
          <w:lang w:val="en-US" w:eastAsia="en-US"/>
        </w:rPr>
        <w:t>格栅、闸、阀、EPS电源及附属设施</w:t>
      </w:r>
      <w:r>
        <w:rPr>
          <w:rFonts w:hint="eastAsia" w:ascii="仿宋" w:hAnsi="仿宋" w:eastAsia="仿宋"/>
          <w:color w:val="auto"/>
          <w:sz w:val="28"/>
          <w:szCs w:val="28"/>
          <w:highlight w:val="none"/>
          <w:lang w:val="en-US" w:eastAsia="zh-CN"/>
        </w:rPr>
        <w:t>、</w:t>
      </w:r>
      <w:r>
        <w:rPr>
          <w:rFonts w:hint="eastAsia" w:ascii="仿宋" w:hAnsi="仿宋" w:eastAsia="仿宋"/>
          <w:color w:val="auto"/>
          <w:sz w:val="28"/>
          <w:szCs w:val="28"/>
          <w:highlight w:val="none"/>
          <w:lang w:val="en-US" w:eastAsia="en-US"/>
        </w:rPr>
        <w:t>泵站除臭设备</w:t>
      </w:r>
      <w:r>
        <w:rPr>
          <w:rFonts w:hint="eastAsia" w:ascii="仿宋" w:hAnsi="仿宋" w:eastAsia="仿宋"/>
          <w:color w:val="auto"/>
          <w:sz w:val="28"/>
          <w:szCs w:val="28"/>
          <w:highlight w:val="none"/>
          <w:lang w:val="en-US" w:eastAsia="zh-CN"/>
        </w:rPr>
        <w:t>等</w:t>
      </w:r>
      <w:r>
        <w:rPr>
          <w:rFonts w:hint="eastAsia" w:ascii="仿宋" w:hAnsi="仿宋" w:eastAsia="仿宋"/>
          <w:color w:val="auto"/>
          <w:sz w:val="28"/>
          <w:szCs w:val="28"/>
          <w:highlight w:val="none"/>
          <w:lang w:val="en-US" w:eastAsia="en-US"/>
        </w:rPr>
        <w:t>改造；</w:t>
      </w:r>
      <w:r>
        <w:rPr>
          <w:rFonts w:hint="eastAsia" w:ascii="仿宋" w:hAnsi="仿宋" w:eastAsia="仿宋"/>
          <w:color w:val="auto"/>
          <w:sz w:val="28"/>
          <w:szCs w:val="28"/>
          <w:highlight w:val="none"/>
        </w:rPr>
        <w:t>（具体见设备清单），其中包含供货、安装</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调试</w:t>
      </w:r>
      <w:r>
        <w:rPr>
          <w:rFonts w:hint="eastAsia" w:ascii="仿宋" w:hAnsi="仿宋" w:eastAsia="仿宋"/>
          <w:color w:val="auto"/>
          <w:sz w:val="28"/>
          <w:szCs w:val="28"/>
          <w:highlight w:val="none"/>
          <w:lang w:val="en-US" w:eastAsia="zh-CN"/>
        </w:rPr>
        <w:t>及试运行</w:t>
      </w:r>
      <w:r>
        <w:rPr>
          <w:rFonts w:hint="eastAsia" w:ascii="仿宋" w:hAnsi="仿宋" w:eastAsia="仿宋"/>
          <w:color w:val="auto"/>
          <w:sz w:val="28"/>
          <w:szCs w:val="28"/>
          <w:highlight w:val="none"/>
        </w:rPr>
        <w:t>、验收、培训、质保期内的售后服务等。</w:t>
      </w:r>
    </w:p>
    <w:p>
      <w:pPr>
        <w:pStyle w:val="8"/>
        <w:ind w:firstLine="540" w:firstLineChars="20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备注：无</w:t>
      </w:r>
    </w:p>
    <w:p>
      <w:pPr>
        <w:ind w:firstLine="560" w:firstLineChars="20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合同履行期限：合同签订后</w:t>
      </w:r>
      <w:r>
        <w:rPr>
          <w:rFonts w:hint="eastAsia" w:ascii="仿宋" w:hAnsi="仿宋" w:eastAsia="仿宋"/>
          <w:color w:val="auto"/>
          <w:sz w:val="28"/>
          <w:szCs w:val="28"/>
          <w:highlight w:val="none"/>
          <w:u w:val="single"/>
          <w:lang w:val="en-US" w:eastAsia="zh-CN"/>
        </w:rPr>
        <w:t xml:space="preserve"> 90</w:t>
      </w:r>
      <w:r>
        <w:rPr>
          <w:rFonts w:hint="eastAsia" w:ascii="仿宋" w:hAnsi="仿宋" w:eastAsia="仿宋"/>
          <w:color w:val="auto"/>
          <w:sz w:val="28"/>
          <w:szCs w:val="28"/>
          <w:highlight w:val="none"/>
        </w:rPr>
        <w:t>日内完成供货安装调试。</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本项目（否）接受联合体投标。</w:t>
      </w:r>
    </w:p>
    <w:p>
      <w:pPr>
        <w:pStyle w:val="3"/>
        <w:spacing w:line="360" w:lineRule="auto"/>
        <w:ind w:firstLine="560" w:firstLineChars="200"/>
        <w:rPr>
          <w:rFonts w:ascii="黑体" w:hAnsi="黑体" w:cs="宋体"/>
          <w:b w:val="0"/>
          <w:color w:val="auto"/>
          <w:sz w:val="28"/>
          <w:szCs w:val="28"/>
          <w:highlight w:val="none"/>
        </w:rPr>
      </w:pPr>
      <w:bookmarkStart w:id="9" w:name="_Toc28359003"/>
      <w:bookmarkStart w:id="10" w:name="_Toc35393791"/>
      <w:bookmarkStart w:id="11" w:name="_Toc35393622"/>
      <w:bookmarkStart w:id="12" w:name="_Toc28359080"/>
      <w:r>
        <w:rPr>
          <w:rFonts w:hint="eastAsia" w:ascii="黑体" w:hAnsi="黑体" w:cs="宋体"/>
          <w:b w:val="0"/>
          <w:color w:val="auto"/>
          <w:sz w:val="28"/>
          <w:szCs w:val="28"/>
          <w:highlight w:val="none"/>
        </w:rPr>
        <w:t>二、申请人的资格要求：</w:t>
      </w:r>
      <w:bookmarkEnd w:id="9"/>
      <w:bookmarkEnd w:id="10"/>
      <w:bookmarkEnd w:id="11"/>
      <w:bookmarkEnd w:id="12"/>
    </w:p>
    <w:p>
      <w:pPr>
        <w:wordWrap w:val="0"/>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满足《中华人民共和国政府采购法》第二十二条规定，且未被“信用中国”（www.creditchina.gov.cn）、中国政府采购网（www.ccgp.gov.cn）列入失信被执行人、重大税收违法案件当事人名单、政府采购严重违法失信行为记录名单；</w:t>
      </w:r>
    </w:p>
    <w:p>
      <w:pPr>
        <w:ind w:firstLine="560" w:firstLineChars="200"/>
        <w:rPr>
          <w:rFonts w:ascii="仿宋" w:hAnsi="仿宋" w:eastAsia="仿宋"/>
          <w:color w:val="auto"/>
          <w:sz w:val="28"/>
          <w:szCs w:val="28"/>
          <w:highlight w:val="none"/>
        </w:rPr>
      </w:pPr>
      <w:bookmarkStart w:id="13" w:name="_Toc28359081"/>
      <w:bookmarkStart w:id="14" w:name="_Toc28359004"/>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.落实政府采购政策需满足的资格要求：无；</w:t>
      </w:r>
    </w:p>
    <w:p>
      <w:pPr>
        <w:wordWrap w:val="0"/>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3.本项目的特定资格要求：无。</w:t>
      </w:r>
    </w:p>
    <w:p>
      <w:pPr>
        <w:pStyle w:val="3"/>
        <w:spacing w:line="360" w:lineRule="auto"/>
        <w:ind w:firstLine="560" w:firstLineChars="200"/>
        <w:rPr>
          <w:rFonts w:ascii="黑体" w:hAnsi="黑体" w:cs="宋体"/>
          <w:b w:val="0"/>
          <w:color w:val="auto"/>
          <w:sz w:val="28"/>
          <w:szCs w:val="28"/>
          <w:highlight w:val="none"/>
        </w:rPr>
      </w:pPr>
      <w:bookmarkStart w:id="15" w:name="_Toc35393623"/>
      <w:bookmarkStart w:id="16" w:name="_Toc35393792"/>
      <w:r>
        <w:rPr>
          <w:rFonts w:hint="eastAsia" w:ascii="黑体" w:hAnsi="黑体" w:cs="宋体"/>
          <w:b w:val="0"/>
          <w:color w:val="auto"/>
          <w:sz w:val="28"/>
          <w:szCs w:val="28"/>
          <w:highlight w:val="none"/>
        </w:rPr>
        <w:t>三、获取招标文件</w:t>
      </w:r>
      <w:bookmarkEnd w:id="13"/>
      <w:bookmarkEnd w:id="14"/>
      <w:bookmarkEnd w:id="15"/>
      <w:bookmarkEnd w:id="16"/>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时间：</w:t>
      </w:r>
      <w:r>
        <w:rPr>
          <w:rFonts w:hint="eastAsia" w:ascii="仿宋" w:hAnsi="仿宋" w:eastAsia="仿宋" w:cs="宋体"/>
          <w:color w:val="auto"/>
          <w:sz w:val="28"/>
          <w:szCs w:val="28"/>
          <w:highlight w:val="none"/>
          <w:u w:val="single"/>
        </w:rPr>
        <w:t xml:space="preserve"> / </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rPr>
        <w:t>202</w:t>
      </w:r>
      <w:r>
        <w:rPr>
          <w:rFonts w:hint="eastAsia" w:ascii="仿宋" w:hAnsi="仿宋" w:eastAsia="仿宋" w:cs="宋体"/>
          <w:color w:val="auto"/>
          <w:sz w:val="28"/>
          <w:szCs w:val="28"/>
          <w:highlight w:val="none"/>
          <w:u w:val="single"/>
          <w:lang w:val="en-US" w:eastAsia="zh-CN"/>
        </w:rPr>
        <w:t>1</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2</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5</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，每天上午00:00至12:00 ，下午12:00至23:59（北京时间，线上获取法定节假日均可，线下获取文件法定节假日除外）</w:t>
      </w:r>
    </w:p>
    <w:p>
      <w:pPr>
        <w:spacing w:line="360" w:lineRule="auto"/>
        <w:ind w:firstLine="560" w:firstLineChars="200"/>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地点：政府采购云平台（https://www.zcygov.cn/）</w:t>
      </w:r>
    </w:p>
    <w:p>
      <w:pPr>
        <w:spacing w:line="360" w:lineRule="auto"/>
        <w:ind w:firstLine="560" w:firstLineChars="200"/>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方式：</w:t>
      </w:r>
      <w:r>
        <w:rPr>
          <w:rFonts w:hint="eastAsia" w:ascii="仿宋" w:hAnsi="仿宋" w:eastAsia="仿宋" w:cs="宋体"/>
          <w:b/>
          <w:bCs/>
          <w:color w:val="auto"/>
          <w:sz w:val="28"/>
          <w:szCs w:val="28"/>
          <w:highlight w:val="none"/>
        </w:rPr>
        <w:t>潜在供应商登陆政府采购云平台，在线申请获取招标文件。进入“项目采购”应用，在获取招标文件菜单中选择项目，申请获取招标文件。</w:t>
      </w:r>
      <w:r>
        <w:rPr>
          <w:rFonts w:hint="eastAsia" w:ascii="仿宋" w:hAnsi="仿宋" w:eastAsia="仿宋" w:cs="宋体"/>
          <w:color w:val="auto"/>
          <w:sz w:val="28"/>
          <w:szCs w:val="28"/>
          <w:highlight w:val="none"/>
        </w:rPr>
        <w:t>（仅需浏览招标文件的供应商可点击“游客，浏览招标文件”直接下载招标文件浏览。）</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售价（元）：0</w:t>
      </w:r>
    </w:p>
    <w:p>
      <w:pPr>
        <w:pStyle w:val="3"/>
        <w:spacing w:line="360" w:lineRule="auto"/>
        <w:ind w:firstLine="560" w:firstLineChars="200"/>
        <w:rPr>
          <w:rFonts w:ascii="黑体" w:hAnsi="黑体" w:cs="宋体"/>
          <w:b w:val="0"/>
          <w:color w:val="auto"/>
          <w:sz w:val="28"/>
          <w:szCs w:val="28"/>
          <w:highlight w:val="none"/>
        </w:rPr>
      </w:pPr>
      <w:bookmarkStart w:id="17" w:name="_Toc28359082"/>
      <w:bookmarkStart w:id="18" w:name="_Toc28359005"/>
      <w:bookmarkStart w:id="19" w:name="_Toc35393793"/>
      <w:bookmarkStart w:id="20" w:name="_Toc35393624"/>
      <w:r>
        <w:rPr>
          <w:rFonts w:hint="eastAsia" w:ascii="黑体" w:hAnsi="黑体" w:cs="宋体"/>
          <w:b w:val="0"/>
          <w:color w:val="auto"/>
          <w:sz w:val="28"/>
          <w:szCs w:val="28"/>
          <w:highlight w:val="none"/>
        </w:rPr>
        <w:t>四、提交投标文件</w:t>
      </w:r>
      <w:bookmarkEnd w:id="17"/>
      <w:bookmarkEnd w:id="18"/>
      <w:r>
        <w:rPr>
          <w:rFonts w:hint="eastAsia" w:ascii="黑体" w:hAnsi="黑体" w:cs="宋体"/>
          <w:b w:val="0"/>
          <w:color w:val="auto"/>
          <w:sz w:val="28"/>
          <w:szCs w:val="28"/>
          <w:highlight w:val="none"/>
        </w:rPr>
        <w:t>截止时间、开标时间和地点</w:t>
      </w:r>
      <w:bookmarkEnd w:id="19"/>
      <w:bookmarkEnd w:id="20"/>
    </w:p>
    <w:p>
      <w:pPr>
        <w:ind w:firstLine="560" w:firstLineChars="200"/>
        <w:rPr>
          <w:rFonts w:ascii="仿宋" w:hAnsi="仿宋" w:eastAsia="仿宋"/>
          <w:bCs/>
          <w:color w:val="auto"/>
          <w:sz w:val="28"/>
          <w:szCs w:val="28"/>
          <w:highlight w:val="none"/>
        </w:rPr>
      </w:pPr>
      <w:r>
        <w:rPr>
          <w:rFonts w:hint="eastAsia" w:ascii="仿宋" w:hAnsi="仿宋" w:eastAsia="仿宋"/>
          <w:bCs/>
          <w:color w:val="auto"/>
          <w:sz w:val="28"/>
          <w:szCs w:val="28"/>
          <w:highlight w:val="none"/>
        </w:rPr>
        <w:t>提交投标文件截止时间：</w:t>
      </w:r>
      <w:r>
        <w:rPr>
          <w:rFonts w:hint="eastAsia" w:ascii="仿宋" w:hAnsi="仿宋" w:eastAsia="仿宋"/>
          <w:bCs/>
          <w:color w:val="auto"/>
          <w:sz w:val="28"/>
          <w:szCs w:val="28"/>
          <w:highlight w:val="none"/>
          <w:u w:val="single"/>
        </w:rPr>
        <w:t>202</w:t>
      </w:r>
      <w:r>
        <w:rPr>
          <w:rFonts w:hint="eastAsia" w:ascii="仿宋" w:hAnsi="仿宋" w:eastAsia="仿宋"/>
          <w:bCs/>
          <w:color w:val="auto"/>
          <w:sz w:val="28"/>
          <w:szCs w:val="28"/>
          <w:highlight w:val="none"/>
          <w:u w:val="single"/>
          <w:lang w:val="en-US" w:eastAsia="zh-CN"/>
        </w:rPr>
        <w:t>1</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2</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5</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9</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3</w:t>
      </w:r>
      <w:r>
        <w:rPr>
          <w:rFonts w:hint="eastAsia" w:ascii="仿宋" w:hAnsi="仿宋" w:eastAsia="仿宋"/>
          <w:bCs/>
          <w:color w:val="auto"/>
          <w:sz w:val="28"/>
          <w:szCs w:val="28"/>
          <w:highlight w:val="none"/>
          <w:u w:val="single"/>
        </w:rPr>
        <w:t>0分</w:t>
      </w:r>
      <w:r>
        <w:rPr>
          <w:rFonts w:hint="eastAsia" w:ascii="仿宋" w:hAnsi="仿宋" w:eastAsia="仿宋"/>
          <w:bCs/>
          <w:color w:val="auto"/>
          <w:sz w:val="28"/>
          <w:szCs w:val="28"/>
          <w:highlight w:val="none"/>
        </w:rPr>
        <w:t>（北京时间）</w:t>
      </w:r>
    </w:p>
    <w:p>
      <w:pPr>
        <w:ind w:firstLine="560" w:firstLineChars="200"/>
        <w:rPr>
          <w:rFonts w:ascii="仿宋" w:hAnsi="仿宋" w:eastAsia="仿宋" w:cs="宋体"/>
          <w:color w:val="auto"/>
          <w:sz w:val="28"/>
          <w:szCs w:val="28"/>
          <w:highlight w:val="none"/>
        </w:rPr>
      </w:pPr>
      <w:r>
        <w:rPr>
          <w:rFonts w:hint="eastAsia" w:ascii="仿宋" w:hAnsi="仿宋" w:eastAsia="仿宋"/>
          <w:color w:val="auto"/>
          <w:sz w:val="28"/>
          <w:szCs w:val="28"/>
          <w:highlight w:val="none"/>
        </w:rPr>
        <w:t>投标地点（网址）：</w:t>
      </w:r>
      <w:r>
        <w:rPr>
          <w:rFonts w:hint="eastAsia" w:ascii="仿宋" w:hAnsi="仿宋" w:eastAsia="仿宋" w:cs="宋体"/>
          <w:color w:val="auto"/>
          <w:sz w:val="28"/>
          <w:szCs w:val="28"/>
          <w:highlight w:val="none"/>
        </w:rPr>
        <w:t>政府采购云平台（https://www.zcygov.cn/）</w:t>
      </w:r>
    </w:p>
    <w:p>
      <w:pPr>
        <w:ind w:firstLine="540" w:firstLineChars="200"/>
        <w:rPr>
          <w:rFonts w:ascii="仿宋" w:hAnsi="仿宋" w:eastAsia="仿宋" w:cs="仿宋"/>
          <w:color w:val="auto"/>
          <w:sz w:val="27"/>
          <w:szCs w:val="27"/>
          <w:highlight w:val="none"/>
        </w:rPr>
      </w:pPr>
      <w:r>
        <w:rPr>
          <w:rFonts w:ascii="仿宋" w:hAnsi="仿宋" w:eastAsia="仿宋" w:cs="仿宋"/>
          <w:color w:val="auto"/>
          <w:sz w:val="27"/>
          <w:szCs w:val="27"/>
          <w:highlight w:val="none"/>
        </w:rPr>
        <w:t>开标时间：</w:t>
      </w:r>
      <w:r>
        <w:rPr>
          <w:rFonts w:hint="eastAsia" w:ascii="仿宋" w:hAnsi="仿宋" w:eastAsia="仿宋"/>
          <w:bCs/>
          <w:color w:val="auto"/>
          <w:sz w:val="28"/>
          <w:szCs w:val="28"/>
          <w:highlight w:val="none"/>
          <w:u w:val="single"/>
        </w:rPr>
        <w:t>202</w:t>
      </w:r>
      <w:r>
        <w:rPr>
          <w:rFonts w:hint="eastAsia" w:ascii="仿宋" w:hAnsi="仿宋" w:eastAsia="仿宋"/>
          <w:bCs/>
          <w:color w:val="auto"/>
          <w:sz w:val="28"/>
          <w:szCs w:val="28"/>
          <w:highlight w:val="none"/>
          <w:u w:val="single"/>
          <w:lang w:val="en-US" w:eastAsia="zh-CN"/>
        </w:rPr>
        <w:t>1</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2</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5</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9</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3</w:t>
      </w:r>
      <w:r>
        <w:rPr>
          <w:rFonts w:hint="eastAsia" w:ascii="仿宋" w:hAnsi="仿宋" w:eastAsia="仿宋"/>
          <w:bCs/>
          <w:color w:val="auto"/>
          <w:sz w:val="28"/>
          <w:szCs w:val="28"/>
          <w:highlight w:val="none"/>
          <w:u w:val="single"/>
        </w:rPr>
        <w:t>0分</w:t>
      </w:r>
      <w:r>
        <w:rPr>
          <w:rFonts w:hint="eastAsia" w:ascii="仿宋" w:hAnsi="仿宋" w:eastAsia="仿宋"/>
          <w:bCs/>
          <w:color w:val="auto"/>
          <w:sz w:val="28"/>
          <w:szCs w:val="28"/>
          <w:highlight w:val="none"/>
        </w:rPr>
        <w:t>（北京时间）</w:t>
      </w:r>
    </w:p>
    <w:p>
      <w:pPr>
        <w:ind w:firstLine="540" w:firstLineChars="200"/>
        <w:rPr>
          <w:rFonts w:ascii="仿宋" w:hAnsi="仿宋" w:eastAsia="仿宋" w:cs="仿宋"/>
          <w:color w:val="auto"/>
          <w:sz w:val="27"/>
          <w:szCs w:val="27"/>
          <w:highlight w:val="none"/>
        </w:rPr>
      </w:pPr>
      <w:r>
        <w:rPr>
          <w:rFonts w:ascii="仿宋" w:hAnsi="仿宋" w:eastAsia="仿宋" w:cs="仿宋"/>
          <w:color w:val="auto"/>
          <w:sz w:val="27"/>
          <w:szCs w:val="27"/>
          <w:highlight w:val="none"/>
        </w:rPr>
        <w:t>开标地点（网址）：</w:t>
      </w:r>
      <w:r>
        <w:rPr>
          <w:rFonts w:hint="eastAsia" w:ascii="仿宋" w:hAnsi="仿宋" w:eastAsia="仿宋" w:cs="宋体"/>
          <w:color w:val="auto"/>
          <w:sz w:val="28"/>
          <w:szCs w:val="28"/>
          <w:highlight w:val="none"/>
        </w:rPr>
        <w:t>政府采购云平台（https://www.zcygov.cn/）</w:t>
      </w:r>
    </w:p>
    <w:p>
      <w:pPr>
        <w:pStyle w:val="3"/>
        <w:spacing w:line="360" w:lineRule="auto"/>
        <w:ind w:firstLine="560" w:firstLineChars="200"/>
        <w:rPr>
          <w:rFonts w:ascii="黑体" w:hAnsi="黑体" w:cs="宋体"/>
          <w:b w:val="0"/>
          <w:color w:val="auto"/>
          <w:sz w:val="28"/>
          <w:szCs w:val="28"/>
          <w:highlight w:val="none"/>
        </w:rPr>
      </w:pPr>
      <w:bookmarkStart w:id="21" w:name="_Toc35393794"/>
      <w:bookmarkStart w:id="22" w:name="_Toc28359007"/>
      <w:bookmarkStart w:id="23" w:name="_Toc28359084"/>
      <w:bookmarkStart w:id="24" w:name="_Toc35393625"/>
      <w:r>
        <w:rPr>
          <w:rFonts w:hint="eastAsia" w:ascii="黑体" w:hAnsi="黑体" w:cs="宋体"/>
          <w:b w:val="0"/>
          <w:color w:val="auto"/>
          <w:sz w:val="28"/>
          <w:szCs w:val="28"/>
          <w:highlight w:val="none"/>
        </w:rPr>
        <w:t>五、公告期限</w:t>
      </w:r>
      <w:bookmarkEnd w:id="21"/>
      <w:bookmarkEnd w:id="22"/>
      <w:bookmarkEnd w:id="23"/>
      <w:bookmarkEnd w:id="24"/>
    </w:p>
    <w:p>
      <w:pPr>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自本公告发布之日起5个工作日。</w:t>
      </w:r>
    </w:p>
    <w:p>
      <w:pPr>
        <w:pStyle w:val="3"/>
        <w:spacing w:line="360" w:lineRule="auto"/>
        <w:ind w:firstLine="560" w:firstLineChars="200"/>
        <w:rPr>
          <w:rFonts w:ascii="黑体" w:hAnsi="黑体" w:cs="宋体"/>
          <w:b w:val="0"/>
          <w:color w:val="auto"/>
          <w:sz w:val="28"/>
          <w:szCs w:val="28"/>
          <w:highlight w:val="none"/>
        </w:rPr>
      </w:pPr>
      <w:bookmarkStart w:id="25" w:name="_Toc35393626"/>
      <w:bookmarkStart w:id="26" w:name="_Toc35393795"/>
      <w:r>
        <w:rPr>
          <w:rFonts w:hint="eastAsia" w:ascii="黑体" w:hAnsi="黑体" w:cs="宋体"/>
          <w:b w:val="0"/>
          <w:color w:val="auto"/>
          <w:sz w:val="28"/>
          <w:szCs w:val="28"/>
          <w:highlight w:val="none"/>
        </w:rPr>
        <w:t>六、其他补充事宜</w:t>
      </w:r>
      <w:bookmarkEnd w:id="25"/>
      <w:bookmarkEnd w:id="26"/>
    </w:p>
    <w:p>
      <w:pPr>
        <w:pStyle w:val="13"/>
        <w:ind w:firstLine="560" w:firstLineChars="200"/>
        <w:rPr>
          <w:rFonts w:ascii="仿宋" w:hAnsi="仿宋" w:eastAsia="仿宋" w:cs="仿宋"/>
          <w:color w:val="auto"/>
          <w:sz w:val="28"/>
          <w:szCs w:val="28"/>
          <w:highlight w:val="none"/>
          <w:lang w:val="en-US"/>
        </w:rPr>
      </w:pPr>
      <w:r>
        <w:rPr>
          <w:rFonts w:ascii="仿宋" w:hAnsi="仿宋" w:eastAsia="仿宋" w:cs="仿宋"/>
          <w:color w:val="auto"/>
          <w:sz w:val="28"/>
          <w:szCs w:val="28"/>
          <w:highlight w:val="none"/>
          <w:lang w:val="en-US"/>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仿宋"/>
          <w:color w:val="auto"/>
          <w:sz w:val="28"/>
          <w:szCs w:val="28"/>
          <w:highlight w:val="none"/>
          <w:lang w:val="en-US"/>
        </w:rPr>
        <w:t>2.其他事项：</w:t>
      </w:r>
      <w:r>
        <w:rPr>
          <w:rFonts w:hint="eastAsia" w:ascii="仿宋" w:hAnsi="仿宋" w:eastAsia="仿宋" w:cs="宋体"/>
          <w:color w:val="auto"/>
          <w:sz w:val="28"/>
          <w:szCs w:val="28"/>
          <w:highlight w:val="none"/>
          <w:lang w:val="en-US"/>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仿宋" w:hAnsi="仿宋" w:eastAsia="仿宋" w:cs="宋体"/>
          <w:color w:val="auto"/>
          <w:sz w:val="28"/>
          <w:szCs w:val="28"/>
          <w:highlight w:val="none"/>
        </w:rPr>
        <w:t>采购代理机构将拒绝接受未按上述要求获取招标文件的供应商的投标文件（如以联合体形式参加政府采购活动的，获取采购文件时须以联合体名义进行）。</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3</w:t>
      </w:r>
      <w:r>
        <w:rPr>
          <w:rFonts w:hint="eastAsia" w:ascii="仿宋" w:hAnsi="仿宋" w:eastAsia="仿宋" w:cs="仿宋"/>
          <w:color w:val="auto"/>
          <w:sz w:val="28"/>
          <w:szCs w:val="28"/>
          <w:highlight w:val="none"/>
          <w:lang w:val="en-US"/>
        </w:rPr>
        <w:t>.</w:t>
      </w:r>
      <w:r>
        <w:rPr>
          <w:rFonts w:hint="eastAsia" w:ascii="仿宋" w:hAnsi="仿宋" w:eastAsia="仿宋" w:cs="宋体"/>
          <w:color w:val="auto"/>
          <w:sz w:val="28"/>
          <w:szCs w:val="28"/>
          <w:highlight w:val="none"/>
        </w:rPr>
        <w:t>钱塘新区政府采购支持中小企业信用融资：为支持和促进中小企业发展，进一步发挥政府采购政策功能，根据《杭州市政府采购支持中小企业信用融资管理办法》《关于钱塘新区政府采购支持中小企业信用融资有关事项的通知》，现将相关事项通知如下：</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1）适用对象：在浙江“政采云”平台注册入库，并取得钱塘新区政府采购合同的中小企业供应商。</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2）相关信息获取方式：具体合作银行及联系方式详见采购文件。登陆杭州钱塘新区管理委员会官网（http://qt.hangzhou.gov.cn） “公告公示”专栏，可查看信用融资政策文件及各相关银行服务方案。</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3）申请方式和步骤：(1)供应商若有融资意向，需先与钱塘新区财政金融局合作的银行对接，办理相关融资前期手续；(2)中标后，供应商应与采购单位或者采购代理机构及时联系，告知融资需求；(3)相关合作银行联系并审核供应商及相关中标信息，办理相关融资事宜；(4)采购单位或者采购代理机构在政府采购信息系统录入中标合同信息时，须标注合同为信用融资合同，并选择相应的信用融资合作银行，录入账号信息；(5)采购人应及时将信用融资合同提交财政金融局备案。</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4）注意事项</w:t>
      </w:r>
    </w:p>
    <w:p>
      <w:pPr>
        <w:pStyle w:val="13"/>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请各采购单位和采购代理机构积极支持和配合政府采购信用融资工作，在合同备案环节务必请仔细核对收款银行、账号信息等内容，一旦录入将无法修改。</w:t>
      </w:r>
    </w:p>
    <w:p>
      <w:pPr>
        <w:pStyle w:val="3"/>
        <w:spacing w:line="360" w:lineRule="auto"/>
        <w:ind w:firstLine="560" w:firstLineChars="200"/>
        <w:rPr>
          <w:rFonts w:ascii="黑体" w:hAnsi="黑体" w:cs="宋体"/>
          <w:b w:val="0"/>
          <w:color w:val="auto"/>
          <w:sz w:val="28"/>
          <w:szCs w:val="28"/>
          <w:highlight w:val="none"/>
        </w:rPr>
      </w:pPr>
      <w:r>
        <w:rPr>
          <w:rFonts w:hint="eastAsia" w:ascii="黑体" w:hAnsi="黑体" w:cs="宋体"/>
          <w:b w:val="0"/>
          <w:color w:val="auto"/>
          <w:sz w:val="28"/>
          <w:szCs w:val="28"/>
          <w:highlight w:val="none"/>
        </w:rPr>
        <w:t>七、对本次招标提出询问，请按</w:t>
      </w:r>
      <w:r>
        <w:rPr>
          <w:rFonts w:ascii="黑体" w:hAnsi="黑体" w:cs="宋体"/>
          <w:b w:val="0"/>
          <w:color w:val="auto"/>
          <w:sz w:val="28"/>
          <w:szCs w:val="28"/>
          <w:highlight w:val="none"/>
        </w:rPr>
        <w:t>以下方式</w:t>
      </w:r>
      <w:r>
        <w:rPr>
          <w:rFonts w:hint="eastAsia" w:ascii="黑体" w:hAnsi="黑体" w:cs="宋体"/>
          <w:b w:val="0"/>
          <w:color w:val="auto"/>
          <w:sz w:val="28"/>
          <w:szCs w:val="28"/>
          <w:highlight w:val="none"/>
        </w:rPr>
        <w:t>联系。</w:t>
      </w:r>
      <w:bookmarkEnd w:id="0"/>
      <w:bookmarkEnd w:id="1"/>
      <w:bookmarkEnd w:id="2"/>
      <w:bookmarkEnd w:id="3"/>
    </w:p>
    <w:p>
      <w:pPr>
        <w:widowControl/>
        <w:ind w:firstLine="560" w:firstLineChars="200"/>
        <w:jc w:val="left"/>
        <w:rPr>
          <w:rFonts w:ascii="仿宋_GB2312" w:eastAsia="仿宋_GB2312"/>
          <w:color w:val="auto"/>
          <w:sz w:val="28"/>
          <w:szCs w:val="28"/>
          <w:highlight w:val="none"/>
        </w:rPr>
      </w:pPr>
      <w:r>
        <w:rPr>
          <w:rFonts w:hint="eastAsia" w:ascii="仿宋" w:hAnsi="仿宋" w:eastAsia="仿宋" w:cs="宋体"/>
          <w:color w:val="auto"/>
          <w:sz w:val="28"/>
          <w:szCs w:val="28"/>
          <w:highlight w:val="none"/>
        </w:rPr>
        <w:t>1.采购人信息</w:t>
      </w:r>
    </w:p>
    <w:p>
      <w:pPr>
        <w:spacing w:line="360" w:lineRule="auto"/>
        <w:ind w:firstLine="560" w:firstLineChars="200"/>
        <w:jc w:val="left"/>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lang w:eastAsia="zh-CN"/>
        </w:rPr>
        <w:t>杭州钱塘新区综合行政执法局</w:t>
      </w:r>
    </w:p>
    <w:p>
      <w:pPr>
        <w:spacing w:line="360" w:lineRule="auto"/>
        <w:ind w:firstLine="560" w:firstLineChars="200"/>
        <w:jc w:val="left"/>
        <w:rPr>
          <w:rFonts w:hint="eastAsia" w:ascii="仿宋" w:hAnsi="仿宋" w:eastAsia="仿宋" w:cs="宋体"/>
          <w:color w:val="auto"/>
          <w:sz w:val="28"/>
          <w:szCs w:val="28"/>
          <w:highlight w:val="none"/>
          <w:u w:val="single"/>
        </w:rPr>
      </w:pPr>
      <w:r>
        <w:rPr>
          <w:rFonts w:hint="eastAsia" w:ascii="仿宋" w:hAnsi="仿宋" w:eastAsia="仿宋"/>
          <w:color w:val="auto"/>
          <w:sz w:val="28"/>
          <w:szCs w:val="28"/>
          <w:highlight w:val="none"/>
        </w:rPr>
        <w:t>地 址：</w:t>
      </w:r>
      <w:r>
        <w:rPr>
          <w:rFonts w:hint="eastAsia" w:ascii="仿宋" w:hAnsi="仿宋" w:eastAsia="仿宋" w:cs="宋体"/>
          <w:color w:val="auto"/>
          <w:sz w:val="28"/>
          <w:szCs w:val="28"/>
          <w:highlight w:val="none"/>
          <w:u w:val="single"/>
          <w:lang w:val="zh-TW" w:eastAsia="zh-TW"/>
        </w:rPr>
        <w:t>浙江省杭州市江干区松合路</w:t>
      </w:r>
      <w:r>
        <w:rPr>
          <w:rFonts w:hint="eastAsia" w:ascii="仿宋" w:hAnsi="仿宋" w:eastAsia="仿宋" w:cs="宋体"/>
          <w:color w:val="auto"/>
          <w:sz w:val="28"/>
          <w:szCs w:val="28"/>
          <w:highlight w:val="none"/>
          <w:u w:val="single"/>
        </w:rPr>
        <w:t>369</w:t>
      </w:r>
      <w:r>
        <w:rPr>
          <w:rFonts w:hint="eastAsia" w:ascii="仿宋" w:hAnsi="仿宋" w:eastAsia="仿宋" w:cs="宋体"/>
          <w:color w:val="auto"/>
          <w:sz w:val="28"/>
          <w:szCs w:val="28"/>
          <w:highlight w:val="none"/>
          <w:u w:val="single"/>
          <w:lang w:val="zh-TW" w:eastAsia="zh-TW"/>
        </w:rPr>
        <w:t>号</w:t>
      </w:r>
    </w:p>
    <w:p>
      <w:pPr>
        <w:spacing w:line="360" w:lineRule="auto"/>
        <w:ind w:firstLine="560" w:firstLineChars="200"/>
        <w:jc w:val="left"/>
        <w:rPr>
          <w:rFonts w:ascii="仿宋" w:hAnsi="仿宋" w:eastAsia="仿宋"/>
          <w:color w:val="auto"/>
          <w:sz w:val="28"/>
          <w:szCs w:val="28"/>
          <w:highlight w:val="none"/>
          <w:u w:val="single"/>
        </w:rPr>
      </w:pPr>
      <w:bookmarkStart w:id="27" w:name="_Toc28359086"/>
      <w:bookmarkStart w:id="28" w:name="_Toc28359009"/>
      <w:r>
        <w:rPr>
          <w:rFonts w:hint="eastAsia" w:ascii="仿宋" w:hAnsi="仿宋" w:eastAsia="仿宋"/>
          <w:color w:val="auto"/>
          <w:sz w:val="28"/>
          <w:szCs w:val="28"/>
          <w:highlight w:val="none"/>
        </w:rPr>
        <w:t>项目经办人：</w:t>
      </w:r>
      <w:r>
        <w:rPr>
          <w:rFonts w:hint="eastAsia" w:ascii="仿宋" w:hAnsi="仿宋" w:eastAsia="仿宋"/>
          <w:color w:val="auto"/>
          <w:sz w:val="28"/>
          <w:szCs w:val="28"/>
          <w:highlight w:val="none"/>
          <w:u w:val="single"/>
          <w:lang w:val="en-US" w:eastAsia="zh-CN"/>
        </w:rPr>
        <w:t>单工</w:t>
      </w:r>
      <w:r>
        <w:rPr>
          <w:rFonts w:hint="eastAsia" w:ascii="仿宋" w:hAnsi="仿宋" w:eastAsia="仿宋"/>
          <w:color w:val="auto"/>
          <w:sz w:val="28"/>
          <w:szCs w:val="28"/>
          <w:highlight w:val="none"/>
        </w:rPr>
        <w:t xml:space="preserve">          联系电话：</w:t>
      </w:r>
      <w:r>
        <w:rPr>
          <w:rFonts w:hint="eastAsia" w:ascii="仿宋" w:hAnsi="仿宋" w:eastAsia="仿宋" w:cs="宋体"/>
          <w:color w:val="auto"/>
          <w:sz w:val="28"/>
          <w:szCs w:val="28"/>
          <w:highlight w:val="none"/>
          <w:u w:val="single"/>
        </w:rPr>
        <w:t>0571-</w:t>
      </w:r>
      <w:r>
        <w:rPr>
          <w:rFonts w:hint="eastAsia" w:ascii="仿宋" w:hAnsi="仿宋" w:eastAsia="仿宋" w:cs="宋体"/>
          <w:color w:val="auto"/>
          <w:sz w:val="28"/>
          <w:szCs w:val="28"/>
          <w:highlight w:val="none"/>
          <w:u w:val="single"/>
          <w:lang w:val="zh-TW" w:eastAsia="zh-TW"/>
        </w:rPr>
        <w:t>86871931</w:t>
      </w:r>
      <w:r>
        <w:rPr>
          <w:rFonts w:hint="eastAsia" w:ascii="仿宋" w:hAnsi="仿宋" w:eastAsia="仿宋" w:cs="宋体"/>
          <w:color w:val="auto"/>
          <w:sz w:val="28"/>
          <w:szCs w:val="28"/>
          <w:highlight w:val="none"/>
          <w:u w:val="single"/>
        </w:rPr>
        <w:t xml:space="preserve"> </w:t>
      </w:r>
    </w:p>
    <w:p>
      <w:pPr>
        <w:spacing w:line="360" w:lineRule="auto"/>
        <w:ind w:firstLine="560" w:firstLineChars="200"/>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质疑联系人：</w:t>
      </w:r>
      <w:r>
        <w:rPr>
          <w:rFonts w:hint="eastAsia" w:ascii="仿宋" w:hAnsi="仿宋" w:eastAsia="仿宋"/>
          <w:color w:val="auto"/>
          <w:sz w:val="28"/>
          <w:szCs w:val="28"/>
          <w:highlight w:val="none"/>
          <w:u w:val="single"/>
        </w:rPr>
        <w:t>杨工</w:t>
      </w:r>
      <w:r>
        <w:rPr>
          <w:rFonts w:hint="eastAsia" w:ascii="仿宋" w:hAnsi="仿宋" w:eastAsia="仿宋"/>
          <w:color w:val="auto"/>
          <w:sz w:val="28"/>
          <w:szCs w:val="28"/>
          <w:highlight w:val="none"/>
        </w:rPr>
        <w:t xml:space="preserve">        </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u w:val="single"/>
        </w:rPr>
        <w:t xml:space="preserve">0571-86933036 </w:t>
      </w:r>
    </w:p>
    <w:p>
      <w:pPr>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s="宋体"/>
          <w:color w:val="auto"/>
          <w:sz w:val="28"/>
          <w:szCs w:val="28"/>
          <w:highlight w:val="none"/>
        </w:rPr>
        <w:t>2.采购代理机构信息</w:t>
      </w:r>
      <w:bookmarkEnd w:id="27"/>
      <w:bookmarkEnd w:id="28"/>
    </w:p>
    <w:p>
      <w:pPr>
        <w:spacing w:line="360" w:lineRule="auto"/>
        <w:ind w:firstLine="560" w:firstLineChars="200"/>
        <w:rPr>
          <w:rFonts w:ascii="仿宋" w:hAnsi="仿宋" w:eastAsia="仿宋"/>
          <w:color w:val="auto"/>
          <w:sz w:val="28"/>
          <w:szCs w:val="28"/>
          <w:highlight w:val="none"/>
          <w:u w:val="single"/>
        </w:rPr>
      </w:pPr>
      <w:bookmarkStart w:id="29" w:name="_Toc28359010"/>
      <w:bookmarkStart w:id="30" w:name="_Toc28359087"/>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杭州市公共资源交易中心钱塘新区分中心</w:t>
      </w:r>
    </w:p>
    <w:p>
      <w:pPr>
        <w:spacing w:line="360" w:lineRule="auto"/>
        <w:ind w:firstLine="560" w:firstLineChars="20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杭州钱塘新区幸福南路1116号</w:t>
      </w:r>
    </w:p>
    <w:p>
      <w:pPr>
        <w:spacing w:line="360" w:lineRule="auto"/>
        <w:ind w:firstLine="560" w:firstLineChars="200"/>
        <w:jc w:val="left"/>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项目经办人：</w:t>
      </w:r>
      <w:r>
        <w:rPr>
          <w:rFonts w:hint="eastAsia" w:ascii="仿宋" w:hAnsi="仿宋" w:eastAsia="仿宋"/>
          <w:color w:val="auto"/>
          <w:sz w:val="28"/>
          <w:szCs w:val="28"/>
          <w:highlight w:val="none"/>
          <w:u w:val="single"/>
        </w:rPr>
        <w:t>陈  工</w:t>
      </w:r>
      <w:r>
        <w:rPr>
          <w:rFonts w:hint="eastAsia" w:ascii="仿宋" w:hAnsi="仿宋" w:eastAsia="仿宋"/>
          <w:color w:val="auto"/>
          <w:sz w:val="28"/>
          <w:szCs w:val="28"/>
          <w:highlight w:val="none"/>
        </w:rPr>
        <w:t xml:space="preserve">          联系电话：</w:t>
      </w:r>
      <w:r>
        <w:rPr>
          <w:rFonts w:hint="eastAsia" w:ascii="仿宋" w:hAnsi="仿宋" w:eastAsia="仿宋"/>
          <w:color w:val="auto"/>
          <w:sz w:val="28"/>
          <w:szCs w:val="28"/>
          <w:highlight w:val="none"/>
          <w:u w:val="single"/>
        </w:rPr>
        <w:t>0571-</w:t>
      </w:r>
      <w:r>
        <w:rPr>
          <w:rFonts w:hint="eastAsia" w:ascii="仿宋" w:hAnsi="仿宋" w:eastAsia="仿宋"/>
          <w:color w:val="auto"/>
          <w:sz w:val="28"/>
          <w:szCs w:val="28"/>
          <w:highlight w:val="none"/>
          <w:u w:val="single"/>
          <w:lang w:val="en-US" w:eastAsia="zh-CN"/>
        </w:rPr>
        <w:t>82987992</w:t>
      </w:r>
    </w:p>
    <w:p>
      <w:pPr>
        <w:pStyle w:val="13"/>
        <w:ind w:firstLine="560" w:firstLineChars="200"/>
        <w:rPr>
          <w:rFonts w:ascii="仿宋" w:hAnsi="仿宋" w:eastAsia="仿宋" w:cstheme="minorBidi"/>
          <w:color w:val="auto"/>
          <w:sz w:val="28"/>
          <w:szCs w:val="28"/>
          <w:highlight w:val="none"/>
          <w:lang w:val="en-US"/>
        </w:rPr>
      </w:pPr>
      <w:r>
        <w:rPr>
          <w:rFonts w:hint="eastAsia" w:ascii="仿宋" w:hAnsi="仿宋" w:eastAsia="仿宋" w:cstheme="minorBidi"/>
          <w:color w:val="auto"/>
          <w:sz w:val="28"/>
          <w:szCs w:val="28"/>
          <w:highlight w:val="none"/>
          <w:lang w:val="en-US"/>
        </w:rPr>
        <w:t>质疑联系人：</w:t>
      </w:r>
      <w:r>
        <w:rPr>
          <w:rFonts w:hint="eastAsia" w:ascii="仿宋" w:hAnsi="仿宋" w:eastAsia="仿宋" w:cstheme="minorBidi"/>
          <w:color w:val="auto"/>
          <w:sz w:val="28"/>
          <w:szCs w:val="28"/>
          <w:highlight w:val="none"/>
          <w:u w:val="single"/>
          <w:lang w:val="en-US"/>
        </w:rPr>
        <w:t>杨  工</w:t>
      </w:r>
      <w:r>
        <w:rPr>
          <w:rFonts w:hint="eastAsia" w:ascii="仿宋" w:hAnsi="仿宋" w:eastAsia="仿宋" w:cstheme="minorBidi"/>
          <w:color w:val="auto"/>
          <w:sz w:val="28"/>
          <w:szCs w:val="28"/>
          <w:highlight w:val="none"/>
          <w:lang w:val="en-US"/>
        </w:rPr>
        <w:t xml:space="preserve">          联系电话：</w:t>
      </w:r>
      <w:r>
        <w:rPr>
          <w:rFonts w:hint="eastAsia" w:ascii="仿宋" w:hAnsi="仿宋" w:eastAsia="仿宋" w:cstheme="minorBidi"/>
          <w:color w:val="auto"/>
          <w:sz w:val="28"/>
          <w:szCs w:val="28"/>
          <w:highlight w:val="none"/>
          <w:u w:val="single"/>
          <w:lang w:val="en-US"/>
        </w:rPr>
        <w:t>0571-89899169</w:t>
      </w:r>
    </w:p>
    <w:p>
      <w:pPr>
        <w:spacing w:line="360" w:lineRule="auto"/>
        <w:ind w:firstLine="560" w:firstLineChars="200"/>
        <w:rPr>
          <w:rFonts w:ascii="仿宋" w:hAnsi="仿宋" w:eastAsia="仿宋"/>
          <w:color w:val="auto"/>
          <w:sz w:val="28"/>
          <w:szCs w:val="28"/>
          <w:highlight w:val="none"/>
          <w:u w:val="single"/>
        </w:rPr>
      </w:pPr>
      <w:r>
        <w:rPr>
          <w:rFonts w:hint="eastAsia" w:ascii="仿宋" w:hAnsi="仿宋" w:eastAsia="仿宋" w:cs="宋体"/>
          <w:color w:val="auto"/>
          <w:sz w:val="28"/>
          <w:szCs w:val="28"/>
          <w:highlight w:val="none"/>
        </w:rPr>
        <w:t>3.</w:t>
      </w:r>
      <w:bookmarkEnd w:id="29"/>
      <w:bookmarkEnd w:id="30"/>
      <w:r>
        <w:rPr>
          <w:rFonts w:hint="eastAsia" w:ascii="仿宋" w:hAnsi="仿宋" w:eastAsia="仿宋" w:cs="宋体"/>
          <w:color w:val="auto"/>
          <w:sz w:val="28"/>
          <w:szCs w:val="28"/>
          <w:highlight w:val="none"/>
        </w:rPr>
        <w:t>同级财政监督管理部门信息</w:t>
      </w:r>
    </w:p>
    <w:p>
      <w:pPr>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杭州钱塘新区财政金融局</w:t>
      </w:r>
    </w:p>
    <w:p>
      <w:pPr>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钱塘中心青六北路499号1号楼</w:t>
      </w:r>
    </w:p>
    <w:p>
      <w:pPr>
        <w:spacing w:line="360" w:lineRule="auto"/>
        <w:ind w:firstLine="560" w:firstLineChars="200"/>
        <w:rPr>
          <w:rFonts w:hint="eastAsia" w:ascii="仿宋" w:hAnsi="仿宋" w:eastAsia="仿宋"/>
          <w:color w:val="auto"/>
          <w:sz w:val="28"/>
          <w:szCs w:val="28"/>
          <w:highlight w:val="none"/>
          <w:u w:val="single"/>
        </w:rPr>
      </w:pPr>
      <w:r>
        <w:rPr>
          <w:rFonts w:hint="eastAsia" w:ascii="仿宋" w:hAnsi="仿宋" w:eastAsia="仿宋"/>
          <w:color w:val="auto"/>
          <w:sz w:val="28"/>
          <w:szCs w:val="28"/>
          <w:highlight w:val="none"/>
        </w:rPr>
        <w:t>监管联系人：</w:t>
      </w:r>
      <w:r>
        <w:rPr>
          <w:rFonts w:hint="eastAsia" w:ascii="仿宋" w:hAnsi="仿宋" w:eastAsia="仿宋"/>
          <w:color w:val="auto"/>
          <w:sz w:val="28"/>
          <w:szCs w:val="28"/>
          <w:highlight w:val="none"/>
          <w:u w:val="single"/>
        </w:rPr>
        <w:t>任女士</w:t>
      </w:r>
      <w:r>
        <w:rPr>
          <w:rFonts w:hint="eastAsia" w:ascii="仿宋" w:hAnsi="仿宋" w:eastAsia="仿宋"/>
          <w:color w:val="auto"/>
          <w:sz w:val="28"/>
          <w:szCs w:val="28"/>
          <w:highlight w:val="none"/>
        </w:rPr>
        <w:t xml:space="preserve">          联系电话：</w:t>
      </w:r>
      <w:r>
        <w:rPr>
          <w:rFonts w:hint="eastAsia" w:ascii="仿宋" w:hAnsi="仿宋" w:eastAsia="仿宋"/>
          <w:color w:val="auto"/>
          <w:sz w:val="28"/>
          <w:szCs w:val="28"/>
          <w:highlight w:val="none"/>
          <w:u w:val="single"/>
        </w:rPr>
        <w:t>0571-82987260</w:t>
      </w:r>
    </w:p>
    <w:p>
      <w:pPr>
        <w:spacing w:line="360" w:lineRule="auto"/>
        <w:ind w:firstLine="560" w:firstLineChars="200"/>
        <w:rPr>
          <w:rFonts w:hint="eastAsia" w:ascii="仿宋" w:hAnsi="仿宋" w:eastAsia="仿宋"/>
          <w:color w:val="auto"/>
          <w:sz w:val="28"/>
          <w:szCs w:val="28"/>
          <w:highlight w:val="none"/>
          <w:u w:val="single"/>
        </w:rPr>
      </w:pPr>
    </w:p>
    <w:p>
      <w:pPr>
        <w:pStyle w:val="11"/>
        <w:kinsoku w:val="0"/>
        <w:ind w:firstLine="0" w:firstLineChars="0"/>
        <w:jc w:val="both"/>
        <w:rPr>
          <w:rFonts w:hint="default" w:ascii="仿宋" w:hAnsi="仿宋" w:eastAsia="仿宋" w:cs="仿宋"/>
          <w:color w:val="000000"/>
          <w:sz w:val="28"/>
          <w:szCs w:val="28"/>
        </w:rPr>
      </w:pPr>
      <w:r>
        <w:rPr>
          <w:rFonts w:ascii="仿宋" w:hAnsi="仿宋" w:eastAsia="仿宋" w:cs="仿宋"/>
          <w:color w:val="000000"/>
          <w:sz w:val="28"/>
          <w:szCs w:val="28"/>
        </w:rPr>
        <w:t>若对项目采购电子交易系统操作有疑问，可登录政采云（https://www.zcygov.cn/），点击右侧咨询小采，获取采小蜜智能服务管家帮助，或拨打政采云服务热线400-881-7190获取热线服务帮助。        </w:t>
      </w:r>
    </w:p>
    <w:p>
      <w:pPr>
        <w:spacing w:line="360" w:lineRule="auto"/>
        <w:ind w:firstLine="560" w:firstLineChars="200"/>
        <w:jc w:val="left"/>
        <w:rPr>
          <w:rFonts w:hint="eastAsia" w:ascii="仿宋" w:hAnsi="仿宋" w:eastAsia="仿宋"/>
          <w:color w:val="auto"/>
          <w:sz w:val="28"/>
          <w:szCs w:val="28"/>
          <w:highlight w:val="none"/>
          <w:u w:val="single"/>
        </w:rPr>
        <w:sectPr>
          <w:footerReference r:id="rId5" w:type="default"/>
          <w:pgSz w:w="11906" w:h="16838"/>
          <w:pgMar w:top="1440" w:right="1274" w:bottom="1440" w:left="1418" w:header="930" w:footer="992" w:gutter="0"/>
          <w:pgNumType w:start="1"/>
          <w:cols w:space="425" w:num="1"/>
          <w:docGrid w:type="lines" w:linePitch="312" w:charSpace="0"/>
        </w:sectPr>
      </w:pPr>
      <w:r>
        <w:rPr>
          <w:rFonts w:hint="eastAsia" w:ascii="仿宋" w:hAnsi="仿宋" w:eastAsia="仿宋" w:cs="仿宋"/>
          <w:color w:val="000000"/>
          <w:sz w:val="28"/>
          <w:szCs w:val="28"/>
        </w:rPr>
        <w:t>CA问题联系电话（人工）：汇信CA 400-888-4636；天谷CA 400-087-8198。</w:t>
      </w:r>
    </w:p>
    <w:p>
      <w:pPr>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第二部分 投标人须知</w:t>
      </w: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前附表</w:t>
      </w:r>
    </w:p>
    <w:tbl>
      <w:tblPr>
        <w:tblStyle w:val="15"/>
        <w:tblW w:w="85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21"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color w:val="auto"/>
                <w:highlight w:val="none"/>
                <w:lang w:val="zh-CN"/>
              </w:rPr>
            </w:pPr>
            <w:r>
              <w:rPr>
                <w:rFonts w:hint="eastAsia" w:ascii="仿宋" w:hAnsi="仿宋" w:eastAsia="仿宋"/>
                <w:color w:val="auto"/>
                <w:kern w:val="0"/>
                <w:sz w:val="24"/>
                <w:highlight w:val="none"/>
                <w:lang w:val="zh-CN"/>
              </w:rPr>
              <w:t>有关本项目开展所需的费用均计入报价。</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p>
          <w:p>
            <w:pPr>
              <w:snapToGrid w:val="0"/>
              <w:spacing w:line="360" w:lineRule="auto"/>
              <w:ind w:firstLine="482" w:firstLineChars="200"/>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投标报价出现下列情形的，投标无效：</w:t>
            </w:r>
          </w:p>
          <w:p>
            <w:pPr>
              <w:snapToGrid w:val="0"/>
              <w:spacing w:line="360" w:lineRule="auto"/>
              <w:ind w:firstLine="482" w:firstLineChars="200"/>
              <w:jc w:val="left"/>
              <w:rPr>
                <w:rFonts w:ascii="仿宋" w:hAnsi="仿宋" w:eastAsia="仿宋" w:cs="仿宋_GB2312"/>
                <w:b/>
                <w:color w:val="auto"/>
                <w:kern w:val="0"/>
                <w:sz w:val="24"/>
                <w:highlight w:val="none"/>
                <w:lang w:val="zh-CN"/>
              </w:rPr>
            </w:pPr>
            <w:r>
              <w:rPr>
                <w:rFonts w:hint="eastAsia" w:ascii="仿宋" w:hAnsi="仿宋" w:eastAsia="仿宋"/>
                <w:b/>
                <w:color w:val="auto"/>
                <w:sz w:val="24"/>
                <w:highlight w:val="none"/>
              </w:rPr>
              <w:t>▲</w:t>
            </w:r>
            <w:r>
              <w:rPr>
                <w:rFonts w:hint="eastAsia" w:ascii="仿宋" w:hAnsi="仿宋" w:eastAsia="仿宋" w:cs="仿宋_GB2312"/>
                <w:b/>
                <w:color w:val="auto"/>
                <w:kern w:val="0"/>
                <w:sz w:val="24"/>
                <w:highlight w:val="none"/>
                <w:lang w:val="zh-CN"/>
              </w:rPr>
              <w:t>投标文件出现不是唯一的、有选择性投标报价的；</w:t>
            </w:r>
          </w:p>
          <w:p>
            <w:pPr>
              <w:snapToGrid w:val="0"/>
              <w:spacing w:line="360" w:lineRule="auto"/>
              <w:ind w:firstLine="482" w:firstLineChars="200"/>
              <w:jc w:val="left"/>
              <w:rPr>
                <w:rFonts w:ascii="仿宋" w:hAnsi="仿宋" w:eastAsia="仿宋" w:cs="仿宋_GB2312"/>
                <w:b/>
                <w:color w:val="auto"/>
                <w:sz w:val="24"/>
                <w:highlight w:val="none"/>
                <w:lang w:val="zh-CN"/>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投标报价高于本项目最高限价的;</w:t>
            </w:r>
          </w:p>
          <w:p>
            <w:pPr>
              <w:spacing w:line="360" w:lineRule="auto"/>
              <w:ind w:firstLine="482" w:firstLineChars="200"/>
              <w:rPr>
                <w:rFonts w:ascii="仿宋" w:hAnsi="仿宋" w:eastAsia="仿宋" w:cs="Arial"/>
                <w:b/>
                <w:color w:val="auto"/>
                <w:kern w:val="0"/>
                <w:sz w:val="24"/>
                <w:highlight w:val="none"/>
              </w:rPr>
            </w:pPr>
            <w:r>
              <w:rPr>
                <w:rFonts w:hint="eastAsia" w:ascii="仿宋" w:hAnsi="仿宋" w:eastAsia="仿宋"/>
                <w:b/>
                <w:color w:val="auto"/>
                <w:sz w:val="24"/>
                <w:highlight w:val="none"/>
              </w:rPr>
              <w:t>▲</w:t>
            </w:r>
            <w:r>
              <w:rPr>
                <w:rFonts w:hint="eastAsia" w:ascii="仿宋" w:hAnsi="仿宋" w:eastAsia="仿宋" w:cs="Arial"/>
                <w:b/>
                <w:color w:val="auto"/>
                <w:kern w:val="0"/>
                <w:sz w:val="24"/>
                <w:highlight w:val="none"/>
              </w:rPr>
              <w:t>报价明显低于其他通过符合性审查投标人的报价，有可能影响产品质量或者不能诚信履约的，未能按要求提供书面说明或者提交相关证明材料（如成本测算资料），不能证明其报价合理性的；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▲《投标报价明细表》填写不完整或字迹不能辨认或有漏项的；</w:t>
            </w:r>
          </w:p>
          <w:p>
            <w:pPr>
              <w:spacing w:line="360" w:lineRule="auto"/>
              <w:ind w:firstLine="482" w:firstLineChars="200"/>
              <w:rPr>
                <w:rFonts w:ascii="仿宋" w:hAnsi="仿宋" w:eastAsia="仿宋"/>
                <w:b/>
                <w:color w:val="auto"/>
                <w:sz w:val="24"/>
                <w:highlight w:val="none"/>
              </w:rPr>
            </w:pPr>
            <w:r>
              <w:rPr>
                <w:rFonts w:hint="eastAsia" w:ascii="仿宋" w:hAnsi="仿宋" w:eastAsia="仿宋" w:cs="Arial"/>
                <w:b/>
                <w:color w:val="auto"/>
                <w:kern w:val="0"/>
                <w:sz w:val="24"/>
                <w:highlight w:val="none"/>
              </w:rPr>
              <w:t>▲投标人对根据修正原则修正后的报价不确认的</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分包或转包</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hint="eastAsia" w:ascii="仿宋" w:hAnsi="仿宋" w:eastAsia="仿宋" w:cs="仿宋_GB2312"/>
                <w:color w:val="auto"/>
                <w:sz w:val="24"/>
                <w:highlight w:val="none"/>
                <w:lang w:val="en-US" w:eastAsia="zh-CN"/>
              </w:rPr>
              <w:t>中标单位经采购人同意后可以</w:t>
            </w:r>
            <w:r>
              <w:rPr>
                <w:rFonts w:hint="eastAsia" w:ascii="仿宋" w:hAnsi="仿宋" w:eastAsia="仿宋" w:cs="仿宋_GB2312"/>
                <w:color w:val="auto"/>
                <w:sz w:val="24"/>
                <w:highlight w:val="none"/>
              </w:rPr>
              <w:t>将工程中的</w:t>
            </w:r>
            <w:r>
              <w:rPr>
                <w:rFonts w:hint="eastAsia" w:ascii="仿宋" w:hAnsi="仿宋" w:eastAsia="仿宋" w:cs="仿宋_GB2312"/>
                <w:color w:val="auto"/>
                <w:sz w:val="24"/>
                <w:highlight w:val="none"/>
                <w:lang w:val="en-US" w:eastAsia="zh-CN"/>
              </w:rPr>
              <w:t>设备安装</w:t>
            </w:r>
            <w:r>
              <w:rPr>
                <w:rFonts w:hint="eastAsia" w:ascii="仿宋" w:hAnsi="仿宋" w:eastAsia="仿宋" w:cs="仿宋_GB2312"/>
                <w:color w:val="auto"/>
                <w:sz w:val="24"/>
                <w:highlight w:val="none"/>
              </w:rPr>
              <w:t>工程发包给具有相应资质条件的分包单位</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lang w:val="en-US" w:eastAsia="zh-CN"/>
              </w:rPr>
              <w:t>但不得二次分包</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3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（1）资格证明文件：见招标文件第二部分</w:t>
            </w:r>
            <w:r>
              <w:rPr>
                <w:rFonts w:hint="eastAsia" w:ascii="仿宋" w:hAnsi="仿宋" w:eastAsia="仿宋" w:cs="仿宋_GB2312"/>
                <w:color w:val="auto"/>
                <w:sz w:val="24"/>
                <w:highlight w:val="none"/>
              </w:rPr>
              <w:t>11.1。</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（2）资信证明文件：根据招标文件第四部分具体评标标准提供。</w:t>
            </w:r>
          </w:p>
          <w:p>
            <w:pPr>
              <w:spacing w:line="360" w:lineRule="auto"/>
              <w:ind w:firstLine="480" w:firstLineChars="200"/>
              <w:rPr>
                <w:rFonts w:ascii="仿宋" w:hAnsi="仿宋" w:eastAsia="仿宋"/>
                <w:color w:val="auto"/>
                <w:kern w:val="0"/>
                <w:sz w:val="24"/>
                <w:highlight w:val="none"/>
              </w:rPr>
            </w:pPr>
            <w:r>
              <w:rPr>
                <w:rFonts w:hint="eastAsia" w:ascii="仿宋" w:hAnsi="仿宋" w:eastAsia="仿宋"/>
                <w:color w:val="auto"/>
                <w:sz w:val="24"/>
                <w:highlight w:val="none"/>
              </w:rPr>
              <w:t>▲</w:t>
            </w:r>
            <w:r>
              <w:rPr>
                <w:rFonts w:hint="eastAsia" w:ascii="仿宋" w:hAnsi="仿宋" w:eastAsia="仿宋" w:cs="仿宋_GB2312"/>
                <w:b/>
                <w:color w:val="auto"/>
                <w:sz w:val="24"/>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投标文件的组成、递交、接受和解密</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ascii="仿宋" w:hAnsi="仿宋" w:eastAsia="仿宋" w:cs="仿宋_GB2312"/>
                <w:color w:val="auto"/>
                <w:sz w:val="24"/>
                <w:highlight w:val="none"/>
              </w:rPr>
            </w:pPr>
            <w:r>
              <w:rPr>
                <w:rFonts w:hint="eastAsia" w:ascii="仿宋" w:hAnsi="仿宋" w:eastAsia="仿宋" w:cs="仿宋_GB2312"/>
                <w:b/>
                <w:bCs/>
                <w:color w:val="auto"/>
                <w:sz w:val="24"/>
                <w:highlight w:val="none"/>
              </w:rPr>
              <w:t>投标文件的组成：</w:t>
            </w:r>
            <w:r>
              <w:rPr>
                <w:rFonts w:hint="eastAsia" w:ascii="仿宋" w:hAnsi="仿宋" w:eastAsia="仿宋" w:cs="仿宋_GB2312"/>
                <w:color w:val="auto"/>
                <w:sz w:val="24"/>
                <w:highlight w:val="none"/>
              </w:rPr>
              <w:t>投标文件均由资格文件、报价文件及商务技术文件组成。</w:t>
            </w:r>
            <w:r>
              <w:rPr>
                <w:rFonts w:hint="eastAsia" w:ascii="仿宋" w:hAnsi="仿宋" w:eastAsia="仿宋" w:cs="仿宋_GB2312"/>
                <w:color w:val="auto"/>
                <w:sz w:val="24"/>
                <w:highlight w:val="none"/>
              </w:rPr>
              <w:cr/>
            </w:r>
            <w:r>
              <w:rPr>
                <w:rFonts w:hint="eastAsia" w:ascii="仿宋" w:hAnsi="仿宋" w:eastAsia="仿宋" w:cs="仿宋_GB2312"/>
                <w:color w:val="auto"/>
                <w:sz w:val="24"/>
                <w:highlight w:val="none"/>
              </w:rPr>
              <w:t xml:space="preserve">    </w:t>
            </w:r>
            <w:r>
              <w:rPr>
                <w:rFonts w:hint="eastAsia" w:ascii="仿宋" w:hAnsi="仿宋" w:eastAsia="仿宋" w:cs="仿宋_GB2312"/>
                <w:b/>
                <w:bCs/>
                <w:color w:val="auto"/>
                <w:sz w:val="24"/>
                <w:highlight w:val="none"/>
              </w:rPr>
              <w:t>投标文件的递交：</w:t>
            </w:r>
            <w:r>
              <w:rPr>
                <w:rFonts w:hint="eastAsia" w:ascii="仿宋" w:hAnsi="仿宋" w:eastAsia="仿宋" w:cs="仿宋_GB2312"/>
                <w:color w:val="auto"/>
                <w:sz w:val="24"/>
                <w:highlight w:val="none"/>
              </w:rPr>
              <w:t>目前政府采购全流程电子化交易，供应商应准备电子投标文件。电子投标文件按政采云平台项目采购-电子招投标操作指南及本招标文件要求递交。</w:t>
            </w:r>
            <w:r>
              <w:rPr>
                <w:rFonts w:hint="eastAsia" w:ascii="仿宋" w:hAnsi="仿宋" w:eastAsia="仿宋" w:cs="仿宋_GB2312"/>
                <w:color w:val="auto"/>
                <w:sz w:val="24"/>
                <w:highlight w:val="none"/>
              </w:rPr>
              <w:cr/>
            </w:r>
            <w:r>
              <w:rPr>
                <w:rFonts w:hint="eastAsia" w:ascii="仿宋" w:hAnsi="仿宋" w:eastAsia="仿宋" w:cs="仿宋_GB2312"/>
                <w:color w:val="auto"/>
                <w:sz w:val="24"/>
                <w:highlight w:val="none"/>
              </w:rPr>
              <w:t xml:space="preserve">    </w:t>
            </w:r>
            <w:r>
              <w:rPr>
                <w:rFonts w:hint="eastAsia" w:ascii="仿宋" w:hAnsi="仿宋" w:eastAsia="仿宋" w:cs="仿宋_GB2312"/>
                <w:b/>
                <w:bCs/>
                <w:color w:val="auto"/>
                <w:sz w:val="24"/>
                <w:highlight w:val="none"/>
              </w:rPr>
              <w:t>投标文件的接受：</w:t>
            </w:r>
            <w:r>
              <w:rPr>
                <w:rFonts w:hint="eastAsia" w:ascii="仿宋" w:hAnsi="仿宋" w:eastAsia="仿宋" w:cs="仿宋_GB2312"/>
                <w:color w:val="auto"/>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82" w:firstLineChars="200"/>
              <w:rPr>
                <w:color w:val="auto"/>
                <w:highlight w:val="none"/>
              </w:rPr>
            </w:pPr>
            <w:r>
              <w:rPr>
                <w:rFonts w:hint="eastAsia" w:ascii="仿宋" w:hAnsi="仿宋" w:eastAsia="仿宋" w:cs="仿宋_GB2312"/>
                <w:b/>
                <w:bCs/>
                <w:color w:val="auto"/>
                <w:sz w:val="24"/>
                <w:highlight w:val="none"/>
              </w:rPr>
              <w:t>投标文件的解密：</w:t>
            </w:r>
            <w:r>
              <w:rPr>
                <w:rFonts w:hint="eastAsia" w:ascii="仿宋" w:hAnsi="仿宋" w:eastAsia="仿宋" w:cs="仿宋_GB2312"/>
                <w:color w:val="auto"/>
                <w:sz w:val="24"/>
                <w:highlight w:val="none"/>
              </w:rPr>
              <w:t>投标人务必按时自行解密，规定时间内未解密或解密失败者作无效响应处理。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8"/>
              <w:spacing w:line="360" w:lineRule="auto"/>
              <w:rPr>
                <w:rFonts w:hint="default" w:ascii="仿宋" w:hAnsi="仿宋" w:eastAsia="仿宋" w:cs="Times New Roman"/>
                <w:bCs/>
                <w:color w:val="auto"/>
                <w:sz w:val="24"/>
                <w:szCs w:val="20"/>
                <w:highlight w:val="none"/>
                <w:lang w:val="en-US" w:eastAsia="zh-CN"/>
              </w:rPr>
            </w:pPr>
            <w:r>
              <w:rPr>
                <w:rFonts w:hint="eastAsia" w:ascii="仿宋" w:hAnsi="仿宋" w:eastAsia="仿宋" w:cs="仿宋_GB2312"/>
                <w:bCs/>
                <w:color w:val="auto"/>
                <w:kern w:val="0"/>
                <w:sz w:val="24"/>
                <w:highlight w:val="none"/>
                <w:lang w:val="zh-CN"/>
              </w:rPr>
              <w:t>不组织，</w:t>
            </w:r>
            <w:r>
              <w:rPr>
                <w:rFonts w:hint="eastAsia" w:ascii="仿宋" w:hAnsi="仿宋" w:eastAsia="仿宋" w:cs="仿宋_GB2312"/>
                <w:bCs/>
                <w:color w:val="auto"/>
                <w:kern w:val="0"/>
                <w:sz w:val="24"/>
                <w:highlight w:val="none"/>
                <w:lang w:val="en-US" w:eastAsia="zh-CN"/>
              </w:rPr>
              <w:t>自行前往。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b/>
                <w:color w:val="auto"/>
                <w:sz w:val="24"/>
                <w:szCs w:val="22"/>
                <w:highlight w:val="none"/>
              </w:rPr>
            </w:pPr>
            <w:r>
              <w:rPr>
                <w:rFonts w:hint="eastAsia" w:ascii="仿宋" w:hAnsi="仿宋" w:eastAsia="仿宋"/>
                <w:b/>
                <w:color w:val="auto"/>
                <w:sz w:val="24"/>
                <w:szCs w:val="22"/>
                <w:highlight w:val="none"/>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8"/>
              <w:jc w:val="left"/>
              <w:rPr>
                <w:rFonts w:ascii="仿宋" w:hAnsi="仿宋" w:eastAsia="仿宋"/>
                <w:bCs/>
                <w:color w:val="auto"/>
                <w:sz w:val="24"/>
                <w:highlight w:val="none"/>
              </w:rPr>
            </w:pPr>
            <w:r>
              <w:rPr>
                <w:rFonts w:hint="eastAsia" w:ascii="仿宋" w:hAnsi="仿宋" w:eastAsia="仿宋"/>
                <w:bCs/>
                <w:color w:val="auto"/>
                <w:sz w:val="24"/>
                <w:highlight w:val="none"/>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b/>
                <w:color w:val="auto"/>
                <w:sz w:val="24"/>
                <w:szCs w:val="22"/>
                <w:highlight w:val="none"/>
              </w:rPr>
            </w:pPr>
            <w:r>
              <w:rPr>
                <w:rFonts w:hint="eastAsia" w:ascii="仿宋" w:hAnsi="仿宋" w:eastAsia="仿宋"/>
                <w:b/>
                <w:color w:val="auto"/>
                <w:sz w:val="24"/>
                <w:szCs w:val="22"/>
                <w:highlight w:val="none"/>
              </w:rPr>
              <w:t>现场演示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8"/>
              <w:jc w:val="left"/>
              <w:rPr>
                <w:rFonts w:ascii="仿宋" w:hAnsi="仿宋" w:eastAsia="仿宋"/>
                <w:bCs/>
                <w:color w:val="auto"/>
                <w:sz w:val="24"/>
                <w:highlight w:val="none"/>
              </w:rPr>
            </w:pPr>
            <w:r>
              <w:rPr>
                <w:rFonts w:hint="eastAsia" w:ascii="仿宋" w:hAnsi="仿宋" w:eastAsia="仿宋"/>
                <w:bCs/>
                <w:color w:val="auto"/>
                <w:sz w:val="24"/>
                <w:highlight w:val="none"/>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采购代理机构代理费用</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6" w:hRule="atLeast"/>
          <w:jc w:val="center"/>
        </w:trPr>
        <w:tc>
          <w:tcPr>
            <w:tcW w:w="629" w:type="dxa"/>
            <w:tcBorders>
              <w:top w:val="single" w:color="auto" w:sz="4" w:space="0"/>
              <w:left w:val="single" w:color="000000" w:sz="8" w:space="0"/>
              <w:bottom w:val="single" w:color="000000" w:sz="8"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政府采购信用融资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为支持和促进中小企业发展，进一步发挥政府采购政策功能，根据《杭州市政府采购支持中小企业信用融资管理办法》和《关于钱塘新区政府采购支持中小企业信用融资有关事项的通知》，供应商若有融资意向，详见本采购文件尾页《关于钱塘新区政府采购支持中小企业信用融资相关事项通知》，或登录杭州钱塘新区管理委员会官网查看信用融资相关政策及各相关银行服务方案、联系方式。</w:t>
            </w:r>
          </w:p>
        </w:tc>
      </w:tr>
    </w:tbl>
    <w:p>
      <w:pPr>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一、总则</w:t>
      </w:r>
    </w:p>
    <w:p>
      <w:pPr>
        <w:snapToGrid w:val="0"/>
        <w:spacing w:line="360" w:lineRule="auto"/>
        <w:ind w:firstLine="482" w:firstLineChars="200"/>
        <w:jc w:val="left"/>
        <w:outlineLvl w:val="1"/>
        <w:rPr>
          <w:rFonts w:ascii="仿宋" w:hAnsi="仿宋" w:eastAsia="仿宋"/>
          <w:b/>
          <w:color w:val="auto"/>
          <w:sz w:val="24"/>
          <w:highlight w:val="none"/>
        </w:rPr>
      </w:pPr>
      <w:r>
        <w:rPr>
          <w:rFonts w:hint="eastAsia" w:ascii="仿宋" w:hAnsi="仿宋" w:eastAsia="仿宋"/>
          <w:b/>
          <w:color w:val="auto"/>
          <w:sz w:val="24"/>
          <w:highlight w:val="none"/>
        </w:rPr>
        <w:t>1.</w:t>
      </w:r>
      <w:r>
        <w:rPr>
          <w:rFonts w:ascii="仿宋" w:hAnsi="仿宋" w:eastAsia="仿宋"/>
          <w:b/>
          <w:color w:val="auto"/>
          <w:sz w:val="24"/>
          <w:highlight w:val="none"/>
        </w:rPr>
        <w:t xml:space="preserve"> 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spacing w:line="360" w:lineRule="auto"/>
        <w:ind w:firstLine="482" w:firstLineChars="200"/>
        <w:outlineLvl w:val="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2.定义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2.2</w:t>
      </w:r>
      <w:r>
        <w:rPr>
          <w:rFonts w:ascii="仿宋" w:hAnsi="仿宋" w:eastAsia="仿宋"/>
          <w:color w:val="auto"/>
          <w:sz w:val="24"/>
          <w:highlight w:val="none"/>
        </w:rPr>
        <w:t xml:space="preserve"> </w:t>
      </w:r>
      <w:r>
        <w:rPr>
          <w:rFonts w:hint="eastAsia" w:ascii="仿宋" w:hAnsi="仿宋" w:eastAsia="仿宋"/>
          <w:color w:val="auto"/>
          <w:sz w:val="24"/>
          <w:highlight w:val="none"/>
        </w:rPr>
        <w:t>“采购代理机构”系指招标公告中载明的本项目的采购代理机构。</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 xml:space="preserve">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2.4</w:t>
      </w:r>
      <w:r>
        <w:rPr>
          <w:rFonts w:ascii="仿宋" w:hAnsi="仿宋" w:eastAsia="仿宋"/>
          <w:color w:val="auto"/>
          <w:sz w:val="24"/>
          <w:highlight w:val="none"/>
        </w:rPr>
        <w:t xml:space="preserve"> </w:t>
      </w:r>
      <w:r>
        <w:rPr>
          <w:rFonts w:hint="eastAsia" w:ascii="仿宋" w:hAnsi="仿宋" w:eastAsia="仿宋"/>
          <w:color w:val="auto"/>
          <w:sz w:val="24"/>
          <w:highlight w:val="none"/>
        </w:rPr>
        <w:t>“负责人”系指法人企业的法定负责人，或其他组织为</w:t>
      </w:r>
      <w:r>
        <w:rPr>
          <w:rFonts w:ascii="仿宋" w:hAnsi="仿宋" w:eastAsia="仿宋"/>
          <w:color w:val="auto"/>
          <w:sz w:val="24"/>
          <w:highlight w:val="none"/>
        </w:rPr>
        <w:t>法律、行政法规规定代表单位行使职权的主要负责人</w:t>
      </w:r>
      <w:r>
        <w:rPr>
          <w:rFonts w:hint="eastAsia" w:ascii="仿宋" w:hAnsi="仿宋" w:eastAsia="仿宋"/>
          <w:color w:val="auto"/>
          <w:sz w:val="24"/>
          <w:highlight w:val="none"/>
        </w:rPr>
        <w:t>，或自然人本人。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2.5“公章”系指单位法定名称章。</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2.6</w:t>
      </w:r>
      <w:r>
        <w:rPr>
          <w:rFonts w:ascii="仿宋" w:hAnsi="仿宋" w:eastAsia="仿宋"/>
          <w:color w:val="auto"/>
          <w:sz w:val="24"/>
          <w:highlight w:val="none"/>
        </w:rPr>
        <w:t xml:space="preserve"> </w:t>
      </w:r>
      <w:r>
        <w:rPr>
          <w:rFonts w:hint="eastAsia" w:ascii="仿宋" w:hAnsi="仿宋" w:eastAsia="仿宋"/>
          <w:color w:val="auto"/>
          <w:sz w:val="24"/>
          <w:highlight w:val="none"/>
        </w:rPr>
        <w:t>“▲” 系指实质性要求条款，“★”系产品采购项目中单一产品或核心产品，“※”系指重要技术指标。</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3.</w:t>
      </w:r>
      <w:r>
        <w:rPr>
          <w:rFonts w:hint="eastAsia" w:ascii="仿宋" w:hAnsi="仿宋" w:eastAsia="仿宋"/>
          <w:color w:val="auto"/>
          <w:highlight w:val="none"/>
        </w:rPr>
        <w:t xml:space="preserve"> </w:t>
      </w:r>
      <w:r>
        <w:rPr>
          <w:rFonts w:hint="eastAsia" w:ascii="仿宋" w:hAnsi="仿宋" w:eastAsia="仿宋"/>
          <w:b/>
          <w:color w:val="auto"/>
          <w:sz w:val="24"/>
          <w:highlight w:val="none"/>
        </w:rPr>
        <w:t>采购项目需要落实的政府采购政策</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3.2 节能环保要求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本次采购对属于节能产品政府采购品目清单规定的政府强制采购产品范围内的产品实施强制采购。投标人应当在投标文件中提供国家确定的认证机构出具的、处于有效期之内的节能产品认证证书（复制件）。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次采购对属于品目清单范围但不属于政府强制采购产品的，实施优先采购，具体按评审办法。投标人在投标文件中提供国家确定的认证机构出具的、处于有效期之内的节能产品或环境标志产品认证证书（复制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节能产品政府采购品目清单，以财政部、国家发展改革委发布的最新一期节能产品政府采购品目清单为准。环境标志产品政府采购品目清单，以财政部、生态环境部发布的最新一期环境标志产品政府采购品目清单为准。国家确定的认证机构以国家市场监管总局发布的参与实施政府采购节能产品、环境标志产品认证机构名录为准。（需按附件的格式提供该产品的认证证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3.3</w:t>
      </w:r>
      <w:r>
        <w:rPr>
          <w:rFonts w:hint="eastAsia" w:ascii="仿宋" w:hAnsi="仿宋" w:eastAsia="仿宋"/>
          <w:bCs/>
          <w:color w:val="auto"/>
          <w:sz w:val="24"/>
          <w:highlight w:val="none"/>
        </w:rPr>
        <w:t>小型、微型</w:t>
      </w:r>
      <w:r>
        <w:rPr>
          <w:rFonts w:hint="eastAsia" w:ascii="仿宋" w:hAnsi="仿宋" w:eastAsia="仿宋"/>
          <w:color w:val="auto"/>
          <w:sz w:val="24"/>
          <w:highlight w:val="none"/>
        </w:rPr>
        <w:t>企业价格扣除。</w:t>
      </w:r>
    </w:p>
    <w:p>
      <w:pPr>
        <w:spacing w:line="360" w:lineRule="auto"/>
        <w:ind w:firstLine="480" w:firstLineChars="200"/>
        <w:rPr>
          <w:rFonts w:ascii="仿宋" w:hAnsi="仿宋" w:eastAsia="仿宋"/>
          <w:bCs/>
          <w:color w:val="auto"/>
          <w:sz w:val="24"/>
          <w:highlight w:val="none"/>
        </w:rPr>
      </w:pPr>
      <w:r>
        <w:rPr>
          <w:rFonts w:hint="eastAsia" w:ascii="仿宋" w:hAnsi="仿宋" w:eastAsia="仿宋"/>
          <w:color w:val="auto"/>
          <w:sz w:val="24"/>
          <w:highlight w:val="none"/>
        </w:rPr>
        <w:t>3.3.1</w:t>
      </w:r>
      <w:r>
        <w:rPr>
          <w:rFonts w:hint="eastAsia" w:ascii="仿宋" w:hAnsi="仿宋" w:eastAsia="仿宋"/>
          <w:bCs/>
          <w:color w:val="auto"/>
          <w:sz w:val="24"/>
          <w:highlight w:val="none"/>
        </w:rPr>
        <w:t>小型、微型企业应当同时符合以下条件：</w:t>
      </w:r>
    </w:p>
    <w:p>
      <w:pPr>
        <w:spacing w:line="360" w:lineRule="auto"/>
        <w:ind w:firstLine="480" w:firstLineChars="200"/>
        <w:rPr>
          <w:rFonts w:ascii="仿宋" w:hAnsi="仿宋" w:eastAsia="仿宋"/>
          <w:bCs/>
          <w:color w:val="auto"/>
          <w:sz w:val="24"/>
          <w:highlight w:val="none"/>
        </w:rPr>
      </w:pPr>
      <w:r>
        <w:rPr>
          <w:rFonts w:hint="eastAsia" w:ascii="仿宋" w:hAnsi="仿宋" w:eastAsia="仿宋"/>
          <w:bCs/>
          <w:color w:val="auto"/>
          <w:sz w:val="24"/>
          <w:highlight w:val="none"/>
        </w:rPr>
        <w:t>（1）符合小微企业划分标准；</w:t>
      </w:r>
    </w:p>
    <w:p>
      <w:pPr>
        <w:spacing w:line="360" w:lineRule="auto"/>
        <w:ind w:firstLine="480" w:firstLineChars="200"/>
        <w:rPr>
          <w:rFonts w:ascii="仿宋" w:hAnsi="仿宋" w:eastAsia="仿宋"/>
          <w:bCs/>
          <w:color w:val="auto"/>
          <w:sz w:val="24"/>
          <w:highlight w:val="none"/>
        </w:rPr>
      </w:pPr>
      <w:r>
        <w:rPr>
          <w:rFonts w:hint="eastAsia" w:ascii="仿宋" w:hAnsi="仿宋" w:eastAsia="仿宋"/>
          <w:bCs/>
          <w:color w:val="auto"/>
          <w:sz w:val="24"/>
          <w:highlight w:val="none"/>
        </w:rPr>
        <w:t>（2）</w:t>
      </w:r>
      <w:r>
        <w:rPr>
          <w:rFonts w:hint="eastAsia" w:ascii="仿宋" w:hAnsi="仿宋" w:eastAsia="仿宋"/>
          <w:b/>
          <w:bCs/>
          <w:color w:val="auto"/>
          <w:sz w:val="24"/>
          <w:highlight w:val="none"/>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3.3.2小型、微型企业应按照招标文件格式要求提供《小微企业声明函》。</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3.3.3对于非专门面向此类企业的项目，对小型和微型企业产品的投标价格给予6 %的扣除，用扣除后的价格参与评审。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联合体各方均为小型、微型企业的，联合体视同为小型、微型企业。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4. 询问、质疑、投诉</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4.1供应商询问</w:t>
      </w:r>
    </w:p>
    <w:p>
      <w:pPr>
        <w:pStyle w:val="8"/>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可以就采购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4.2供应商质疑</w:t>
      </w:r>
    </w:p>
    <w:p>
      <w:pPr>
        <w:pStyle w:val="8"/>
        <w:spacing w:line="360" w:lineRule="auto"/>
        <w:ind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.1提出质疑的供应商应当是参与所质疑项目采购活动的供应商。潜在供应商已依法获取其可质疑的采购文件的，可以对该文件提出质疑。</w:t>
      </w:r>
    </w:p>
    <w:p>
      <w:pPr>
        <w:pStyle w:val="8"/>
        <w:spacing w:line="360" w:lineRule="auto"/>
        <w:ind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4"/>
        <w:spacing w:line="360" w:lineRule="auto"/>
        <w:ind w:firstLine="480" w:firstLineChars="200"/>
        <w:rPr>
          <w:rFonts w:ascii="仿宋" w:hAnsi="仿宋" w:eastAsia="仿宋"/>
          <w:snapToGrid/>
          <w:color w:val="auto"/>
          <w:kern w:val="2"/>
          <w:sz w:val="24"/>
          <w:highlight w:val="none"/>
        </w:rPr>
      </w:pPr>
      <w:r>
        <w:rPr>
          <w:rFonts w:hint="eastAsia" w:ascii="仿宋" w:hAnsi="仿宋" w:eastAsia="仿宋"/>
          <w:snapToGrid/>
          <w:color w:val="auto"/>
          <w:kern w:val="2"/>
          <w:sz w:val="24"/>
          <w:highlight w:val="none"/>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委托协议的规定：对采购文件中特定资格条件、采购需求、评分办法提出的质疑，原则上由采购人负责答复；对采购文件中其他内容提出的质疑，原则上由采购代理机构负责答复。</w:t>
      </w:r>
    </w:p>
    <w:p>
      <w:pPr>
        <w:pStyle w:val="8"/>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对采购过程提出质疑的，质疑期限为各采购程序环节结束之日起计算。对同一采购程序环节的质疑，供应商须一次性提出。根据采购人与采购代理机构签订的委托协议的规定：对采购过程中有关现场考察或开标前答疑会事项提出的质疑，原则上由采购人负责答复；对采购过程中其它事项提出的质疑，原则上由采购代理机构负责答复。</w:t>
      </w:r>
    </w:p>
    <w:p>
      <w:pPr>
        <w:pStyle w:val="8"/>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（3）对采购结果提出质疑的，质疑期限自采购结果公告期限届满之日起计算。对采购结果提出质疑的，采购代理机构负责答复。</w:t>
      </w:r>
    </w:p>
    <w:p>
      <w:pPr>
        <w:pStyle w:val="8"/>
        <w:snapToGri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4.2.3</w:t>
      </w:r>
      <w:r>
        <w:rPr>
          <w:rFonts w:ascii="仿宋" w:hAnsi="仿宋" w:eastAsia="仿宋"/>
          <w:color w:val="auto"/>
          <w:sz w:val="24"/>
          <w:highlight w:val="none"/>
        </w:rPr>
        <w:t>供应商提出质疑应当提交质疑函和必要的证明材料。质疑函应当包括下列内容：</w:t>
      </w:r>
    </w:p>
    <w:p>
      <w:pPr>
        <w:pStyle w:val="22"/>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4.2.3.1</w:t>
      </w:r>
      <w:r>
        <w:rPr>
          <w:rFonts w:ascii="仿宋" w:hAnsi="仿宋" w:eastAsia="仿宋" w:cs="Arial"/>
          <w:snapToGrid w:val="0"/>
          <w:color w:val="auto"/>
          <w:kern w:val="2"/>
          <w:szCs w:val="21"/>
          <w:highlight w:val="none"/>
        </w:rPr>
        <w:t>供应商的姓名或者名称、地址、邮编、联系人及联系电话；</w:t>
      </w:r>
    </w:p>
    <w:p>
      <w:pPr>
        <w:pStyle w:val="22"/>
        <w:shd w:val="clear" w:color="auto" w:fill="FFFFFF"/>
        <w:snapToGrid w:val="0"/>
        <w:spacing w:after="24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4.2.3.2</w:t>
      </w:r>
      <w:r>
        <w:rPr>
          <w:rFonts w:ascii="仿宋" w:hAnsi="仿宋" w:eastAsia="仿宋" w:cs="Arial"/>
          <w:snapToGrid w:val="0"/>
          <w:color w:val="auto"/>
          <w:kern w:val="2"/>
          <w:szCs w:val="21"/>
          <w:highlight w:val="none"/>
        </w:rPr>
        <w:t>质疑项目的名称、编号；</w:t>
      </w:r>
    </w:p>
    <w:p>
      <w:pPr>
        <w:pStyle w:val="22"/>
        <w:shd w:val="clear" w:color="auto" w:fill="FFFFFF"/>
        <w:snapToGrid w:val="0"/>
        <w:spacing w:after="24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4.2.3.3</w:t>
      </w:r>
      <w:r>
        <w:rPr>
          <w:rFonts w:ascii="仿宋" w:hAnsi="仿宋" w:eastAsia="仿宋" w:cs="Arial"/>
          <w:snapToGrid w:val="0"/>
          <w:color w:val="auto"/>
          <w:kern w:val="2"/>
          <w:szCs w:val="21"/>
          <w:highlight w:val="none"/>
        </w:rPr>
        <w:t>具体、明确的质疑事项和与质疑事项相关的请求；</w:t>
      </w:r>
    </w:p>
    <w:p>
      <w:pPr>
        <w:pStyle w:val="22"/>
        <w:shd w:val="clear" w:color="auto" w:fill="FFFFFF"/>
        <w:snapToGrid w:val="0"/>
        <w:spacing w:after="24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4.2.3.4</w:t>
      </w:r>
      <w:r>
        <w:rPr>
          <w:rFonts w:ascii="仿宋" w:hAnsi="仿宋" w:eastAsia="仿宋" w:cs="Arial"/>
          <w:snapToGrid w:val="0"/>
          <w:color w:val="auto"/>
          <w:kern w:val="2"/>
          <w:szCs w:val="21"/>
          <w:highlight w:val="none"/>
        </w:rPr>
        <w:t>事实依据；</w:t>
      </w:r>
    </w:p>
    <w:p>
      <w:pPr>
        <w:pStyle w:val="22"/>
        <w:shd w:val="clear" w:color="auto" w:fill="FFFFFF"/>
        <w:snapToGrid w:val="0"/>
        <w:spacing w:after="24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4.2.3.5</w:t>
      </w:r>
      <w:r>
        <w:rPr>
          <w:rFonts w:ascii="仿宋" w:hAnsi="仿宋" w:eastAsia="仿宋" w:cs="Arial"/>
          <w:snapToGrid w:val="0"/>
          <w:color w:val="auto"/>
          <w:kern w:val="2"/>
          <w:szCs w:val="21"/>
          <w:highlight w:val="none"/>
        </w:rPr>
        <w:t>必要的法律依据；</w:t>
      </w:r>
    </w:p>
    <w:p>
      <w:pPr>
        <w:pStyle w:val="22"/>
        <w:shd w:val="clear" w:color="auto" w:fill="FFFFFF"/>
        <w:snapToGrid w:val="0"/>
        <w:spacing w:after="24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4.2.3.6</w:t>
      </w:r>
      <w:r>
        <w:rPr>
          <w:rFonts w:ascii="仿宋" w:hAnsi="仿宋" w:eastAsia="仿宋" w:cs="Arial"/>
          <w:snapToGrid w:val="0"/>
          <w:color w:val="auto"/>
          <w:kern w:val="2"/>
          <w:szCs w:val="21"/>
          <w:highlight w:val="none"/>
        </w:rPr>
        <w:t>提出质疑的日期。</w:t>
      </w:r>
    </w:p>
    <w:p>
      <w:pPr>
        <w:pStyle w:val="22"/>
        <w:shd w:val="clear" w:color="auto" w:fill="FFFFFF"/>
        <w:snapToGrid w:val="0"/>
        <w:spacing w:after="240" w:afterAutospacing="0" w:line="360" w:lineRule="auto"/>
        <w:ind w:firstLine="480" w:firstLineChars="200"/>
        <w:contextualSpacing/>
        <w:rPr>
          <w:rFonts w:ascii="仿宋" w:hAnsi="仿宋" w:eastAsia="仿宋"/>
          <w:color w:val="auto"/>
          <w:highlight w:val="none"/>
        </w:rPr>
      </w:pPr>
      <w:r>
        <w:rPr>
          <w:rFonts w:hint="eastAsia" w:ascii="仿宋" w:hAnsi="仿宋" w:eastAsia="仿宋"/>
          <w:color w:val="auto"/>
          <w:highlight w:val="none"/>
        </w:rPr>
        <w:t>供应商提交的质疑函需一式三份。</w:t>
      </w:r>
      <w:r>
        <w:rPr>
          <w:rFonts w:ascii="仿宋" w:hAnsi="仿宋" w:eastAsia="仿宋"/>
          <w:color w:val="auto"/>
          <w:highlight w:val="none"/>
        </w:rPr>
        <w:t>供应商为自然人的，应当由本人签字；供应商为法人或者其他组织的，应当由法定代表人、主要负责人，或者其授权代表签字或者盖章，并加盖公章。</w:t>
      </w:r>
    </w:p>
    <w:p>
      <w:pPr>
        <w:pStyle w:val="22"/>
        <w:shd w:val="clear" w:color="auto" w:fill="FFFFFF"/>
        <w:snapToGrid w:val="0"/>
        <w:spacing w:before="0" w:beforeAutospacing="0" w:after="0" w:afterAutospacing="0" w:line="360" w:lineRule="auto"/>
        <w:ind w:firstLine="480" w:firstLineChars="200"/>
        <w:contextualSpacing/>
        <w:rPr>
          <w:rFonts w:ascii="仿宋" w:hAnsi="仿宋" w:eastAsia="仿宋"/>
          <w:color w:val="auto"/>
          <w:highlight w:val="none"/>
        </w:rPr>
      </w:pPr>
      <w:r>
        <w:rPr>
          <w:rFonts w:hint="eastAsia" w:ascii="仿宋" w:hAnsi="仿宋" w:eastAsia="仿宋"/>
          <w:color w:val="auto"/>
          <w:highlight w:val="none"/>
        </w:rPr>
        <w:t>质疑函范本及制作说明详见附件2。</w:t>
      </w:r>
    </w:p>
    <w:p>
      <w:pPr>
        <w:pStyle w:val="22"/>
        <w:shd w:val="clear" w:color="auto" w:fill="FFFFFF"/>
        <w:snapToGrid w:val="0"/>
        <w:spacing w:before="0" w:beforeAutospacing="0" w:after="0" w:afterAutospacing="0" w:line="360" w:lineRule="auto"/>
        <w:ind w:firstLine="480" w:firstLineChars="200"/>
        <w:contextualSpacing/>
        <w:rPr>
          <w:rFonts w:ascii="仿宋" w:hAnsi="仿宋" w:eastAsia="仿宋"/>
          <w:color w:val="auto"/>
          <w:highlight w:val="none"/>
        </w:rPr>
      </w:pPr>
      <w:r>
        <w:rPr>
          <w:rFonts w:hint="eastAsia" w:ascii="仿宋" w:hAnsi="仿宋" w:eastAsia="仿宋" w:cs="微软雅黑"/>
          <w:color w:val="auto"/>
          <w:highlight w:val="none"/>
          <w:lang w:val="zh-CN"/>
        </w:rPr>
        <w:t>4.2</w:t>
      </w:r>
      <w:r>
        <w:rPr>
          <w:rFonts w:hint="eastAsia" w:ascii="仿宋" w:hAnsi="仿宋" w:eastAsia="仿宋"/>
          <w:color w:val="auto"/>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22"/>
        <w:shd w:val="clear" w:color="auto" w:fill="FFFFFF"/>
        <w:snapToGrid w:val="0"/>
        <w:spacing w:before="0" w:beforeAutospacing="0" w:after="0" w:afterAutospacing="0" w:line="360" w:lineRule="auto"/>
        <w:ind w:firstLine="480" w:firstLineChars="200"/>
        <w:contextualSpacing/>
        <w:rPr>
          <w:rFonts w:ascii="仿宋" w:hAnsi="仿宋" w:eastAsia="仿宋"/>
          <w:color w:val="auto"/>
          <w:kern w:val="2"/>
          <w:highlight w:val="none"/>
        </w:rPr>
      </w:pPr>
      <w:r>
        <w:rPr>
          <w:rFonts w:hint="eastAsia" w:ascii="仿宋" w:hAnsi="仿宋" w:eastAsia="仿宋" w:cs="微软雅黑"/>
          <w:color w:val="auto"/>
          <w:highlight w:val="none"/>
          <w:lang w:val="zh-CN"/>
        </w:rPr>
        <w:t>4.2</w:t>
      </w:r>
      <w:r>
        <w:rPr>
          <w:rFonts w:hint="eastAsia" w:ascii="仿宋" w:hAnsi="仿宋" w:eastAsia="仿宋"/>
          <w:color w:val="auto"/>
          <w:highlight w:val="none"/>
        </w:rPr>
        <w:t>.5询问或者质疑事项可能影响采购结果的，采购人应当暂停签订合同，已经签订合同的，应当中止履行合同。</w:t>
      </w:r>
    </w:p>
    <w:p>
      <w:pPr>
        <w:pStyle w:val="22"/>
        <w:shd w:val="clear" w:color="auto" w:fill="FFFFFF"/>
        <w:snapToGrid w:val="0"/>
        <w:spacing w:before="0" w:beforeAutospacing="0" w:after="0" w:afterAutospacing="0" w:line="360" w:lineRule="auto"/>
        <w:ind w:firstLine="482" w:firstLineChars="200"/>
        <w:contextualSpacing/>
        <w:rPr>
          <w:rFonts w:ascii="仿宋" w:hAnsi="仿宋" w:eastAsia="仿宋"/>
          <w:b/>
          <w:bCs/>
          <w:color w:val="auto"/>
          <w:kern w:val="2"/>
          <w:highlight w:val="none"/>
        </w:rPr>
      </w:pPr>
      <w:r>
        <w:rPr>
          <w:rFonts w:hint="eastAsia" w:ascii="仿宋" w:hAnsi="仿宋" w:eastAsia="仿宋"/>
          <w:b/>
          <w:bCs/>
          <w:color w:val="auto"/>
          <w:kern w:val="2"/>
          <w:highlight w:val="none"/>
        </w:rPr>
        <w:t>4.2.6质疑接收人：杨工；联系电话：0571-89899169，传真：0571-86871959；地址：杭州市公共资源交易中心钱塘新区分中心（杭州钱塘新区幸福南路1116号和茂大厦622办公室）。</w:t>
      </w:r>
    </w:p>
    <w:p>
      <w:pPr>
        <w:pStyle w:val="22"/>
        <w:shd w:val="clear" w:color="auto" w:fill="FFFFFF"/>
        <w:snapToGrid w:val="0"/>
        <w:spacing w:after="240" w:afterAutospacing="0" w:line="360" w:lineRule="auto"/>
        <w:ind w:firstLine="480" w:firstLineChars="200"/>
        <w:contextualSpacing/>
        <w:rPr>
          <w:rFonts w:ascii="仿宋" w:hAnsi="仿宋" w:eastAsia="仿宋" w:cs="微软雅黑"/>
          <w:color w:val="auto"/>
          <w:highlight w:val="none"/>
          <w:lang w:val="zh-CN"/>
        </w:rPr>
      </w:pPr>
      <w:r>
        <w:rPr>
          <w:rFonts w:hint="eastAsia" w:ascii="仿宋" w:hAnsi="仿宋" w:eastAsia="仿宋" w:cs="微软雅黑"/>
          <w:color w:val="auto"/>
          <w:highlight w:val="none"/>
          <w:lang w:val="zh-CN"/>
        </w:rPr>
        <w:t>4.3供应商投诉</w:t>
      </w:r>
    </w:p>
    <w:p>
      <w:pPr>
        <w:pStyle w:val="22"/>
        <w:shd w:val="clear" w:color="auto" w:fill="FFFFFF"/>
        <w:snapToGrid w:val="0"/>
        <w:spacing w:after="240" w:afterAutospacing="0" w:line="360" w:lineRule="auto"/>
        <w:ind w:firstLine="480" w:firstLineChars="20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.1质疑供应商对采购人、采购代理机构的答复不满意或者采购人、采购代理机构未在规定的时间内作出答复的，可以在答复期满后十五个工作日内向同级政府采购监督管理部门提出投诉。</w:t>
      </w:r>
    </w:p>
    <w:p>
      <w:pPr>
        <w:pStyle w:val="22"/>
        <w:shd w:val="clear" w:color="auto" w:fill="FFFFFF"/>
        <w:snapToGrid w:val="0"/>
        <w:spacing w:after="240" w:afterAutospacing="0" w:line="360" w:lineRule="auto"/>
        <w:ind w:firstLine="480" w:firstLineChars="20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w:t>
      </w:r>
      <w:r>
        <w:rPr>
          <w:rFonts w:hint="eastAsia"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22"/>
        <w:shd w:val="clear" w:color="auto" w:fill="FFFFFF"/>
        <w:snapToGrid w:val="0"/>
        <w:spacing w:after="240" w:afterAutospacing="0" w:line="360" w:lineRule="auto"/>
        <w:ind w:firstLine="480" w:firstLineChars="20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.3供应商投诉应当有明确的请求和必要的证明材料。</w:t>
      </w:r>
    </w:p>
    <w:p>
      <w:pPr>
        <w:pStyle w:val="22"/>
        <w:shd w:val="clear" w:color="auto" w:fill="FFFFFF"/>
        <w:snapToGrid w:val="0"/>
        <w:spacing w:after="240" w:afterAutospacing="0" w:line="360" w:lineRule="auto"/>
        <w:ind w:firstLine="480" w:firstLineChars="20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.5 以联合体形式参加政府采购活动的，其投诉应当由组成联合体的所有供应商共同提出。</w:t>
      </w:r>
    </w:p>
    <w:p>
      <w:pPr>
        <w:pStyle w:val="22"/>
        <w:shd w:val="clear" w:color="auto" w:fill="FFFFFF"/>
        <w:snapToGrid w:val="0"/>
        <w:spacing w:before="0" w:beforeAutospacing="0" w:after="0" w:afterAutospacing="0" w:line="360" w:lineRule="auto"/>
        <w:ind w:firstLine="480" w:firstLineChars="200"/>
        <w:contextualSpacing/>
        <w:rPr>
          <w:rFonts w:ascii="仿宋" w:hAnsi="仿宋" w:eastAsia="仿宋"/>
          <w:color w:val="auto"/>
          <w:highlight w:val="none"/>
        </w:rPr>
      </w:pPr>
      <w:r>
        <w:rPr>
          <w:rFonts w:hint="eastAsia" w:ascii="仿宋" w:hAnsi="仿宋" w:eastAsia="仿宋"/>
          <w:color w:val="auto"/>
          <w:highlight w:val="none"/>
        </w:rPr>
        <w:t>投诉书范本及制作说明详见附件3。</w:t>
      </w:r>
    </w:p>
    <w:p>
      <w:pPr>
        <w:pStyle w:val="22"/>
        <w:shd w:val="clear" w:color="auto" w:fill="FFFFFF"/>
        <w:snapToGrid w:val="0"/>
        <w:spacing w:before="0" w:beforeAutospacing="0" w:after="0" w:afterAutospacing="0" w:line="360" w:lineRule="auto"/>
        <w:ind w:firstLine="480" w:firstLineChars="200"/>
        <w:contextualSpacing/>
        <w:rPr>
          <w:rFonts w:ascii="仿宋" w:hAnsi="仿宋" w:eastAsia="仿宋"/>
          <w:color w:val="auto"/>
          <w:highlight w:val="none"/>
        </w:rPr>
      </w:pPr>
    </w:p>
    <w:p>
      <w:pPr>
        <w:spacing w:line="360" w:lineRule="auto"/>
        <w:jc w:val="center"/>
        <w:outlineLvl w:val="0"/>
        <w:rPr>
          <w:rFonts w:ascii="仿宋" w:hAnsi="仿宋" w:eastAsia="仿宋" w:cs="仿宋_GB2312"/>
          <w:b/>
          <w:color w:val="auto"/>
          <w:sz w:val="32"/>
          <w:szCs w:val="20"/>
          <w:highlight w:val="none"/>
        </w:rPr>
      </w:pPr>
      <w:bookmarkStart w:id="31" w:name="_Hlt74714665"/>
      <w:bookmarkEnd w:id="31"/>
      <w:bookmarkStart w:id="32" w:name="_Hlt68057669"/>
      <w:bookmarkEnd w:id="32"/>
      <w:bookmarkStart w:id="33" w:name="_Hlt75236290"/>
      <w:bookmarkEnd w:id="33"/>
      <w:bookmarkStart w:id="34" w:name="_Hlt68072990"/>
      <w:bookmarkEnd w:id="34"/>
      <w:bookmarkStart w:id="35" w:name="_Hlt74729768"/>
      <w:bookmarkEnd w:id="35"/>
      <w:bookmarkStart w:id="36" w:name="_Hlt74730295"/>
      <w:bookmarkEnd w:id="36"/>
      <w:bookmarkStart w:id="37" w:name="_Hlt74707468"/>
      <w:bookmarkEnd w:id="37"/>
      <w:bookmarkStart w:id="38" w:name="_Toc91899879"/>
      <w:r>
        <w:rPr>
          <w:rFonts w:hint="eastAsia" w:ascii="仿宋" w:hAnsi="仿宋" w:eastAsia="仿宋" w:cs="仿宋_GB2312"/>
          <w:b/>
          <w:color w:val="auto"/>
          <w:sz w:val="32"/>
          <w:szCs w:val="20"/>
          <w:highlight w:val="none"/>
        </w:rPr>
        <w:t>二、招标文件</w:t>
      </w:r>
      <w:bookmarkEnd w:id="38"/>
      <w:r>
        <w:rPr>
          <w:rFonts w:hint="eastAsia" w:ascii="仿宋" w:hAnsi="仿宋" w:eastAsia="仿宋" w:cs="仿宋_GB2312"/>
          <w:b/>
          <w:color w:val="auto"/>
          <w:sz w:val="32"/>
          <w:szCs w:val="20"/>
          <w:highlight w:val="none"/>
        </w:rPr>
        <w:t>的构成、澄清、修改</w:t>
      </w:r>
    </w:p>
    <w:p>
      <w:pPr>
        <w:pStyle w:val="8"/>
        <w:spacing w:line="360" w:lineRule="auto"/>
        <w:ind w:firstLine="482" w:firstLineChars="200"/>
        <w:rPr>
          <w:rFonts w:ascii="仿宋" w:hAnsi="仿宋" w:eastAsia="仿宋" w:cs="仿宋_GB2312"/>
          <w:b/>
          <w:color w:val="auto"/>
          <w:sz w:val="24"/>
          <w:szCs w:val="24"/>
          <w:highlight w:val="none"/>
        </w:rPr>
      </w:pPr>
      <w:bookmarkStart w:id="39" w:name="_Toc91899880"/>
      <w:bookmarkStart w:id="40" w:name="_Hlt74730307"/>
      <w:r>
        <w:rPr>
          <w:rFonts w:hint="eastAsia" w:ascii="仿宋" w:hAnsi="仿宋" w:eastAsia="仿宋" w:cs="仿宋_GB2312"/>
          <w:b/>
          <w:color w:val="auto"/>
          <w:sz w:val="24"/>
          <w:szCs w:val="24"/>
          <w:highlight w:val="none"/>
        </w:rPr>
        <w:t>5．招标文件的构成</w:t>
      </w:r>
      <w:bookmarkEnd w:id="39"/>
    </w:p>
    <w:bookmarkEnd w:id="40"/>
    <w:p>
      <w:pPr>
        <w:pStyle w:val="8"/>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5.1 招标文件包括下列文件及附件</w:t>
      </w:r>
    </w:p>
    <w:p>
      <w:pPr>
        <w:pStyle w:val="8"/>
        <w:numPr>
          <w:ilvl w:val="0"/>
          <w:numId w:val="2"/>
        </w:numPr>
        <w:spacing w:line="360" w:lineRule="auto"/>
        <w:ind w:left="839"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第一部分 招标公告</w:t>
      </w:r>
    </w:p>
    <w:p>
      <w:pPr>
        <w:pStyle w:val="8"/>
        <w:numPr>
          <w:ilvl w:val="0"/>
          <w:numId w:val="2"/>
        </w:numPr>
        <w:spacing w:line="360" w:lineRule="auto"/>
        <w:ind w:left="839"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第二部分 投标人须知</w:t>
      </w:r>
    </w:p>
    <w:p>
      <w:pPr>
        <w:pStyle w:val="8"/>
        <w:numPr>
          <w:ilvl w:val="0"/>
          <w:numId w:val="2"/>
        </w:numPr>
        <w:spacing w:line="360" w:lineRule="auto"/>
        <w:ind w:left="839"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第三部分 采购需求</w:t>
      </w:r>
    </w:p>
    <w:p>
      <w:pPr>
        <w:pStyle w:val="8"/>
        <w:numPr>
          <w:ilvl w:val="0"/>
          <w:numId w:val="2"/>
        </w:numPr>
        <w:spacing w:line="360" w:lineRule="auto"/>
        <w:ind w:left="839"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第四部分 评标方法及评分标准</w:t>
      </w:r>
    </w:p>
    <w:p>
      <w:pPr>
        <w:pStyle w:val="8"/>
        <w:numPr>
          <w:ilvl w:val="0"/>
          <w:numId w:val="2"/>
        </w:numPr>
        <w:spacing w:line="360" w:lineRule="auto"/>
        <w:ind w:left="839"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第五部分 拟签订的合同文本</w:t>
      </w:r>
    </w:p>
    <w:p>
      <w:pPr>
        <w:pStyle w:val="8"/>
        <w:numPr>
          <w:ilvl w:val="0"/>
          <w:numId w:val="2"/>
        </w:numPr>
        <w:spacing w:line="360" w:lineRule="auto"/>
        <w:ind w:left="839"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第六部分 应提交的有关格式范例</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澄清或者修改的内容为招标文件的组成部分</w:t>
      </w:r>
      <w:r>
        <w:rPr>
          <w:rFonts w:hint="eastAsia" w:ascii="仿宋" w:hAnsi="仿宋" w:eastAsia="仿宋" w:cs="仿宋_GB2312"/>
          <w:color w:val="auto"/>
          <w:sz w:val="24"/>
          <w:highlight w:val="none"/>
        </w:rPr>
        <w:t>。</w:t>
      </w:r>
    </w:p>
    <w:p>
      <w:pPr>
        <w:pStyle w:val="8"/>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6. 招标文件的澄清、修改</w:t>
      </w:r>
    </w:p>
    <w:p>
      <w:pPr>
        <w:pStyle w:val="23"/>
        <w:snapToGrid w:val="0"/>
        <w:ind w:firstLine="480"/>
        <w:rPr>
          <w:rFonts w:ascii="仿宋" w:hAnsi="仿宋" w:eastAsia="仿宋" w:cs="仿宋_GB2312"/>
          <w:color w:val="auto"/>
          <w:highlight w:val="none"/>
        </w:rPr>
      </w:pPr>
      <w:r>
        <w:rPr>
          <w:rFonts w:hint="eastAsia" w:ascii="仿宋" w:hAnsi="仿宋" w:eastAsia="仿宋" w:cs="仿宋_GB2312"/>
          <w:color w:val="auto"/>
          <w:highlight w:val="none"/>
        </w:rPr>
        <w:t>6.1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23"/>
        <w:snapToGrid w:val="0"/>
        <w:ind w:firstLine="480"/>
        <w:rPr>
          <w:rFonts w:ascii="仿宋" w:hAnsi="仿宋" w:eastAsia="仿宋"/>
          <w:color w:val="auto"/>
          <w:highlight w:val="none"/>
        </w:rPr>
      </w:pPr>
      <w:r>
        <w:rPr>
          <w:rFonts w:hint="eastAsia" w:ascii="仿宋" w:hAnsi="仿宋" w:eastAsia="仿宋"/>
          <w:color w:val="auto"/>
          <w:highlight w:val="none"/>
        </w:rPr>
        <w:t>6.2采购代理机构如对已发出的招标文件进行必要澄清或者修改的，将在发布招标公告的网站上发布更正公告，同时视情况延长投标截止时间和开标时间。该澄清或者修改的内容为招标文件的组成部分。</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投标文件未按招标文件的澄清、修改的内容编制，又不符合实质性要求的，投标无效。</w:t>
      </w:r>
    </w:p>
    <w:p>
      <w:pPr>
        <w:spacing w:line="360" w:lineRule="auto"/>
        <w:ind w:firstLine="482" w:firstLineChars="200"/>
        <w:rPr>
          <w:rFonts w:ascii="仿宋" w:hAnsi="仿宋" w:eastAsia="仿宋" w:cs="仿宋_GB2312"/>
          <w:b/>
          <w:color w:val="auto"/>
          <w:sz w:val="24"/>
          <w:szCs w:val="21"/>
          <w:highlight w:val="none"/>
        </w:rPr>
      </w:pPr>
    </w:p>
    <w:p>
      <w:pPr>
        <w:spacing w:line="360" w:lineRule="auto"/>
        <w:jc w:val="center"/>
        <w:outlineLvl w:val="0"/>
        <w:rPr>
          <w:rFonts w:ascii="仿宋" w:hAnsi="仿宋" w:eastAsia="仿宋" w:cs="仿宋_GB2312"/>
          <w:b/>
          <w:color w:val="auto"/>
          <w:sz w:val="30"/>
          <w:szCs w:val="20"/>
          <w:highlight w:val="none"/>
        </w:rPr>
      </w:pPr>
      <w:bookmarkStart w:id="41" w:name="_Hlt75236011"/>
      <w:bookmarkEnd w:id="41"/>
      <w:bookmarkStart w:id="42" w:name="_Toc91899884"/>
      <w:r>
        <w:rPr>
          <w:rFonts w:hint="eastAsia" w:ascii="仿宋" w:hAnsi="仿宋" w:eastAsia="仿宋" w:cs="仿宋_GB2312"/>
          <w:b/>
          <w:color w:val="auto"/>
          <w:sz w:val="32"/>
          <w:szCs w:val="20"/>
          <w:highlight w:val="none"/>
        </w:rPr>
        <w:t>三、投标</w:t>
      </w:r>
      <w:bookmarkEnd w:id="42"/>
    </w:p>
    <w:p>
      <w:pPr>
        <w:pStyle w:val="8"/>
        <w:spacing w:line="360" w:lineRule="auto"/>
        <w:ind w:firstLine="482" w:firstLineChars="200"/>
        <w:rPr>
          <w:rFonts w:ascii="仿宋" w:hAnsi="仿宋" w:eastAsia="仿宋" w:cs="仿宋_GB2312"/>
          <w:b/>
          <w:color w:val="auto"/>
          <w:sz w:val="24"/>
          <w:szCs w:val="24"/>
          <w:highlight w:val="none"/>
        </w:rPr>
      </w:pPr>
      <w:bookmarkStart w:id="43" w:name="_Toc86216991"/>
      <w:bookmarkStart w:id="44" w:name="_Toc91899892"/>
      <w:r>
        <w:rPr>
          <w:rFonts w:hint="eastAsia" w:ascii="仿宋" w:hAnsi="仿宋" w:eastAsia="仿宋" w:cs="仿宋_GB2312"/>
          <w:b/>
          <w:color w:val="auto"/>
          <w:sz w:val="24"/>
          <w:szCs w:val="24"/>
          <w:highlight w:val="none"/>
        </w:rPr>
        <w:t>7. 招标文件的获取</w:t>
      </w:r>
    </w:p>
    <w:p>
      <w:pPr>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w:t>
      </w:r>
    </w:p>
    <w:p>
      <w:pPr>
        <w:pStyle w:val="8"/>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8.开标前答疑会或现场考察</w:t>
      </w:r>
    </w:p>
    <w:p>
      <w:pPr>
        <w:pStyle w:val="8"/>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color w:val="auto"/>
          <w:sz w:val="24"/>
          <w:szCs w:val="24"/>
          <w:highlight w:val="none"/>
        </w:rPr>
        <w:t>采购人不单独或分别组织只有一个供应商参加的现场考察和答疑会。</w:t>
      </w:r>
    </w:p>
    <w:p>
      <w:pPr>
        <w:pStyle w:val="8"/>
        <w:spacing w:line="360" w:lineRule="auto"/>
        <w:ind w:firstLine="482" w:firstLineChars="200"/>
        <w:rPr>
          <w:rFonts w:ascii="仿宋" w:hAnsi="仿宋" w:eastAsia="仿宋" w:cs="仿宋_GB2312"/>
          <w:b/>
          <w:color w:val="auto"/>
          <w:szCs w:val="24"/>
          <w:highlight w:val="none"/>
        </w:rPr>
      </w:pPr>
      <w:r>
        <w:rPr>
          <w:rFonts w:hint="eastAsia" w:ascii="仿宋" w:hAnsi="仿宋" w:eastAsia="仿宋"/>
          <w:b/>
          <w:color w:val="auto"/>
          <w:kern w:val="28"/>
          <w:sz w:val="24"/>
          <w:szCs w:val="24"/>
          <w:highlight w:val="none"/>
        </w:rPr>
        <w:t>9.投标保证金</w:t>
      </w:r>
    </w:p>
    <w:p>
      <w:pPr>
        <w:pStyle w:val="23"/>
        <w:ind w:firstLine="480"/>
        <w:rPr>
          <w:rFonts w:ascii="仿宋" w:hAnsi="仿宋" w:eastAsia="仿宋"/>
          <w:color w:val="auto"/>
          <w:szCs w:val="24"/>
          <w:highlight w:val="none"/>
        </w:rPr>
      </w:pPr>
      <w:r>
        <w:rPr>
          <w:rFonts w:hint="eastAsia" w:ascii="仿宋" w:hAnsi="仿宋" w:eastAsia="仿宋" w:cs="仿宋_GB2312"/>
          <w:color w:val="auto"/>
          <w:highlight w:val="none"/>
        </w:rPr>
        <w:t>本项目不需要交纳投标保证金</w:t>
      </w:r>
      <w:r>
        <w:rPr>
          <w:rFonts w:hint="eastAsia" w:ascii="仿宋" w:hAnsi="仿宋" w:eastAsia="仿宋"/>
          <w:color w:val="auto"/>
          <w:szCs w:val="24"/>
          <w:highlight w:val="none"/>
        </w:rPr>
        <w:t>。</w:t>
      </w:r>
    </w:p>
    <w:p>
      <w:pPr>
        <w:pStyle w:val="8"/>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8"/>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11. 投标文件的组成</w:t>
      </w:r>
    </w:p>
    <w:p>
      <w:pPr>
        <w:pStyle w:val="8"/>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kern w:val="0"/>
          <w:sz w:val="24"/>
          <w:szCs w:val="24"/>
          <w:highlight w:val="none"/>
        </w:rPr>
        <w:t>投标文件应当包括以下主要内容：</w:t>
      </w:r>
      <w:r>
        <w:rPr>
          <w:rFonts w:hint="eastAsia" w:ascii="仿宋" w:hAnsi="仿宋" w:eastAsia="仿宋" w:cs="仿宋_GB2312"/>
          <w:b/>
          <w:color w:val="auto"/>
          <w:sz w:val="24"/>
          <w:szCs w:val="24"/>
          <w:highlight w:val="none"/>
        </w:rPr>
        <w:t>资格文件、报价文件、商务技术文件</w:t>
      </w:r>
      <w:r>
        <w:rPr>
          <w:rFonts w:hint="eastAsia" w:ascii="仿宋" w:hAnsi="仿宋" w:eastAsia="仿宋" w:cs="仿宋_GB2312"/>
          <w:color w:val="auto"/>
          <w:sz w:val="24"/>
          <w:szCs w:val="24"/>
          <w:highlight w:val="none"/>
        </w:rPr>
        <w:t>。投标文件应当对招标文件提出的要求和条件作出明确响应。</w:t>
      </w:r>
    </w:p>
    <w:p>
      <w:pPr>
        <w:snapToGrid w:val="0"/>
        <w:spacing w:line="360" w:lineRule="auto"/>
        <w:ind w:firstLine="480" w:firstLineChars="200"/>
        <w:rPr>
          <w:rFonts w:ascii="仿宋" w:hAnsi="仿宋" w:eastAsia="仿宋" w:cs="仿宋_GB2312"/>
          <w:b/>
          <w:color w:val="auto"/>
          <w:kern w:val="0"/>
          <w:sz w:val="24"/>
          <w:highlight w:val="none"/>
        </w:rPr>
      </w:pPr>
      <w:r>
        <w:rPr>
          <w:rFonts w:hint="eastAsia"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应包括以下内容</w:t>
      </w:r>
      <w:r>
        <w:rPr>
          <w:rFonts w:hint="eastAsia" w:ascii="仿宋" w:hAnsi="仿宋" w:eastAsia="仿宋" w:cs="仿宋_GB2312"/>
          <w:b/>
          <w:bCs/>
          <w:color w:val="auto"/>
          <w:sz w:val="24"/>
          <w:highlight w:val="none"/>
        </w:rPr>
        <w:t>（均需CA签章）</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rPr>
        <w:t>证明其符合《中华人民共和国政府采购法》</w:t>
      </w:r>
      <w:r>
        <w:rPr>
          <w:rFonts w:hint="eastAsia" w:ascii="仿宋" w:hAnsi="仿宋" w:eastAsia="仿宋" w:cs="Arial"/>
          <w:color w:val="auto"/>
          <w:kern w:val="0"/>
          <w:sz w:val="24"/>
          <w:highlight w:val="none"/>
        </w:rPr>
        <w:t>规定的供应商基本条件和采购项目对供应商的特定条件</w:t>
      </w:r>
      <w:r>
        <w:rPr>
          <w:rFonts w:hint="eastAsia" w:ascii="仿宋" w:hAnsi="仿宋" w:eastAsia="仿宋" w:cs="仿宋_GB2312"/>
          <w:color w:val="auto"/>
          <w:sz w:val="24"/>
          <w:highlight w:val="none"/>
        </w:rPr>
        <w:t>（如果项目要求）</w:t>
      </w:r>
      <w:r>
        <w:rPr>
          <w:rFonts w:hint="eastAsia" w:ascii="仿宋" w:hAnsi="仿宋" w:eastAsia="仿宋" w:cs="仿宋_GB2312"/>
          <w:color w:val="auto"/>
          <w:kern w:val="0"/>
          <w:sz w:val="24"/>
          <w:highlight w:val="none"/>
        </w:rPr>
        <w:t>的有关资格证明文件。</w:t>
      </w:r>
      <w:r>
        <w:rPr>
          <w:rFonts w:hint="eastAsia" w:ascii="仿宋" w:hAnsi="仿宋" w:eastAsia="仿宋" w:cs="仿宋_GB2312"/>
          <w:b/>
          <w:color w:val="auto"/>
          <w:kern w:val="0"/>
          <w:sz w:val="24"/>
          <w:highlight w:val="none"/>
        </w:rPr>
        <w:t>（以联合体形式进行政府采购的，参加联合体的供应商均应当提供）</w:t>
      </w:r>
    </w:p>
    <w:p>
      <w:pPr>
        <w:pStyle w:val="8"/>
        <w:spacing w:line="360" w:lineRule="auto"/>
        <w:ind w:firstLine="480" w:firstLineChars="200"/>
        <w:rPr>
          <w:rFonts w:ascii="仿宋" w:hAnsi="仿宋" w:eastAsia="仿宋"/>
          <w:color w:val="auto"/>
          <w:sz w:val="24"/>
          <w:highlight w:val="none"/>
        </w:rPr>
      </w:pPr>
      <w:bookmarkStart w:id="45" w:name="_Hlt68073093"/>
      <w:bookmarkEnd w:id="45"/>
      <w:bookmarkStart w:id="46" w:name="_Hlt68072998"/>
      <w:bookmarkEnd w:id="46"/>
      <w:bookmarkStart w:id="47" w:name="_Hlt68403820"/>
      <w:bookmarkEnd w:id="47"/>
      <w:r>
        <w:rPr>
          <w:rFonts w:hint="eastAsia" w:ascii="仿宋" w:hAnsi="仿宋" w:eastAsia="仿宋" w:cs="仿宋_GB2312"/>
          <w:color w:val="auto"/>
          <w:sz w:val="24"/>
          <w:highlight w:val="none"/>
        </w:rPr>
        <w:t>11.1.1</w:t>
      </w:r>
      <w:r>
        <w:rPr>
          <w:rFonts w:hint="eastAsia" w:ascii="仿宋" w:hAnsi="仿宋" w:eastAsia="仿宋"/>
          <w:color w:val="auto"/>
          <w:sz w:val="24"/>
          <w:highlight w:val="none"/>
        </w:rPr>
        <w:t>营业执照(或事业法人登记证或其他工商等登记证明材料)扫描件（投标人为自然人的，提供</w:t>
      </w:r>
      <w:r>
        <w:rPr>
          <w:rFonts w:hint="eastAsia" w:ascii="仿宋" w:hAnsi="仿宋" w:eastAsia="仿宋" w:cs="Helvetica"/>
          <w:color w:val="auto"/>
          <w:kern w:val="0"/>
          <w:sz w:val="24"/>
          <w:highlight w:val="none"/>
        </w:rPr>
        <w:t>自然人的身份证明</w:t>
      </w:r>
      <w:r>
        <w:rPr>
          <w:rFonts w:hint="eastAsia" w:ascii="仿宋" w:hAnsi="仿宋" w:eastAsia="仿宋"/>
          <w:color w:val="auto"/>
          <w:sz w:val="24"/>
          <w:highlight w:val="none"/>
        </w:rPr>
        <w:t>）、税务登记证(</w:t>
      </w:r>
      <w:r>
        <w:rPr>
          <w:rFonts w:hint="eastAsia" w:ascii="仿宋" w:hAnsi="仿宋" w:eastAsia="仿宋" w:cs="Helvetica"/>
          <w:color w:val="auto"/>
          <w:kern w:val="0"/>
          <w:sz w:val="24"/>
          <w:highlight w:val="none"/>
        </w:rPr>
        <w:t>或其它依法缴纳税收的相关材料</w:t>
      </w:r>
      <w:r>
        <w:rPr>
          <w:rFonts w:hint="eastAsia" w:ascii="仿宋" w:hAnsi="仿宋" w:eastAsia="仿宋"/>
          <w:color w:val="auto"/>
          <w:sz w:val="24"/>
          <w:highlight w:val="none"/>
        </w:rPr>
        <w:t>)扫描件、社保登记证（</w:t>
      </w:r>
      <w:r>
        <w:rPr>
          <w:rFonts w:hint="eastAsia" w:ascii="仿宋" w:hAnsi="仿宋" w:eastAsia="仿宋" w:cs="Helvetica"/>
          <w:color w:val="auto"/>
          <w:kern w:val="0"/>
          <w:sz w:val="24"/>
          <w:highlight w:val="none"/>
        </w:rPr>
        <w:t>或其它依法缴纳社会保障资金的相关材料</w:t>
      </w:r>
      <w:r>
        <w:rPr>
          <w:rFonts w:hint="eastAsia" w:ascii="仿宋" w:hAnsi="仿宋" w:eastAsia="仿宋"/>
          <w:color w:val="auto"/>
          <w:sz w:val="24"/>
          <w:highlight w:val="none"/>
        </w:rPr>
        <w:t>）扫描件；实施“多证合一、一照一码”登记制度改革的，只需提供改革后取得的营业执照扫描件；</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11.1.2 2019年度资产负债表等财务报表资料文件（或其它财务状况报告，新成立的公司，必须提供情况说明）；</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11.1.3具有履行合同所必需的设备和专业技术能力的承诺函；</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11.1.4参加政府采购活动前三年内，在经营活动中没有重大违法记录的声明；</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11.1.5具有良好商业信誉的特别声明； </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11.1.6</w:t>
      </w:r>
      <w:r>
        <w:rPr>
          <w:rFonts w:hint="eastAsia" w:ascii="仿宋" w:hAnsi="仿宋" w:eastAsia="仿宋"/>
          <w:color w:val="auto"/>
          <w:sz w:val="24"/>
          <w:highlight w:val="none"/>
        </w:rPr>
        <w:t>未被“信用中国”（www.creditchina.gov.cn）、中国政府采购网（www.ccgp.gov.cn）列入失信被执行人、重大税收违法案件当事人名单、政府采购严重违法失信行为记录名单的声明或查询截图；</w:t>
      </w:r>
    </w:p>
    <w:p>
      <w:pPr>
        <w:pStyle w:val="8"/>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11.1.7符合特定资格条件（如果项目要求）的有关证明材料（扫描件）；</w:t>
      </w:r>
    </w:p>
    <w:p>
      <w:pPr>
        <w:pStyle w:val="8"/>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附法定代表人授权书（如法定代表人直接参加投标并对相应文件签字的，只需提供其身份证扫描件正反面；如以联合体形式参加政府采购活动的，按招标文件有关格式范例提供联合体投标授权书）。</w:t>
      </w:r>
    </w:p>
    <w:p>
      <w:pPr>
        <w:snapToGrid w:val="0"/>
        <w:spacing w:line="360" w:lineRule="auto"/>
        <w:ind w:firstLine="480" w:firstLineChars="200"/>
        <w:rPr>
          <w:rFonts w:ascii="仿宋" w:hAnsi="仿宋" w:eastAsia="仿宋" w:cs="仿宋_GB2312"/>
          <w:color w:val="auto"/>
          <w:sz w:val="24"/>
          <w:highlight w:val="none"/>
          <w:u w:val="single"/>
          <w:lang w:val="zh-CN"/>
        </w:rPr>
      </w:pPr>
      <w:r>
        <w:rPr>
          <w:rFonts w:hint="eastAsia" w:ascii="仿宋" w:hAnsi="仿宋" w:eastAsia="仿宋" w:cs="仿宋_GB2312"/>
          <w:color w:val="auto"/>
          <w:kern w:val="0"/>
          <w:sz w:val="24"/>
          <w:highlight w:val="none"/>
          <w:lang w:val="zh-CN"/>
        </w:rPr>
        <w:t xml:space="preserve">11.2 </w:t>
      </w:r>
      <w:r>
        <w:rPr>
          <w:rFonts w:hint="eastAsia" w:ascii="仿宋" w:hAnsi="仿宋" w:eastAsia="仿宋" w:cs="仿宋_GB2312"/>
          <w:color w:val="auto"/>
          <w:sz w:val="24"/>
          <w:highlight w:val="none"/>
        </w:rPr>
        <w:t>投标人的</w:t>
      </w:r>
      <w:r>
        <w:rPr>
          <w:rFonts w:hint="eastAsia" w:ascii="仿宋" w:hAnsi="仿宋" w:eastAsia="仿宋" w:cs="仿宋_GB2312"/>
          <w:b/>
          <w:color w:val="auto"/>
          <w:sz w:val="24"/>
          <w:highlight w:val="none"/>
        </w:rPr>
        <w:t>报价文件</w:t>
      </w:r>
      <w:r>
        <w:rPr>
          <w:rFonts w:hint="eastAsia" w:ascii="仿宋" w:hAnsi="仿宋" w:eastAsia="仿宋" w:cs="仿宋_GB2312"/>
          <w:color w:val="auto"/>
          <w:sz w:val="24"/>
          <w:highlight w:val="none"/>
        </w:rPr>
        <w:t>应包括以下内容</w:t>
      </w:r>
      <w:r>
        <w:rPr>
          <w:rFonts w:hint="eastAsia" w:ascii="仿宋" w:hAnsi="仿宋" w:eastAsia="仿宋" w:cs="仿宋_GB2312"/>
          <w:b/>
          <w:bCs/>
          <w:color w:val="auto"/>
          <w:sz w:val="24"/>
          <w:highlight w:val="none"/>
        </w:rPr>
        <w:t>（均需CA签章）</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11.2.1</w:t>
      </w:r>
      <w:r>
        <w:rPr>
          <w:rFonts w:hint="eastAsia" w:ascii="仿宋" w:hAnsi="仿宋" w:eastAsia="仿宋" w:cs="仿宋_GB2312"/>
          <w:color w:val="auto"/>
          <w:kern w:val="0"/>
          <w:sz w:val="24"/>
          <w:highlight w:val="none"/>
        </w:rPr>
        <w:t>投标响应函</w:t>
      </w:r>
      <w:r>
        <w:rPr>
          <w:rFonts w:hint="eastAsia" w:ascii="仿宋" w:hAnsi="仿宋" w:eastAsia="仿宋" w:cs="仿宋_GB2312"/>
          <w:color w:val="auto"/>
          <w:sz w:val="24"/>
          <w:highlight w:val="none"/>
        </w:rPr>
        <w:t>；</w:t>
      </w:r>
    </w:p>
    <w:p>
      <w:pPr>
        <w:pStyle w:val="8"/>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11.2.2投标(开标)一览表（请直接在政采云系统中填写，无需另外提供）；</w:t>
      </w:r>
    </w:p>
    <w:p>
      <w:pPr>
        <w:pStyle w:val="8"/>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11.2.3投标报价明细表；</w:t>
      </w:r>
    </w:p>
    <w:p>
      <w:pPr>
        <w:pStyle w:val="8"/>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11.2.4小微企业声明函。</w:t>
      </w:r>
    </w:p>
    <w:p>
      <w:pPr>
        <w:pStyle w:val="8"/>
        <w:snapToGrid w:val="0"/>
        <w:spacing w:line="360" w:lineRule="auto"/>
        <w:ind w:firstLine="480" w:firstLineChars="200"/>
        <w:rPr>
          <w:rFonts w:ascii="仿宋" w:hAnsi="仿宋" w:eastAsia="仿宋" w:cs="仿宋_GB2312"/>
          <w:color w:val="auto"/>
          <w:sz w:val="24"/>
          <w:szCs w:val="24"/>
          <w:highlight w:val="none"/>
          <w:lang w:val="zh-CN"/>
        </w:rPr>
      </w:pPr>
      <w:r>
        <w:rPr>
          <w:rFonts w:hint="eastAsia" w:ascii="仿宋" w:hAnsi="仿宋" w:eastAsia="仿宋" w:cs="仿宋_GB2312"/>
          <w:color w:val="auto"/>
          <w:kern w:val="0"/>
          <w:sz w:val="24"/>
          <w:szCs w:val="24"/>
          <w:highlight w:val="none"/>
          <w:lang w:val="zh-CN"/>
        </w:rPr>
        <w:t>11.3  投标人的</w:t>
      </w:r>
      <w:r>
        <w:rPr>
          <w:rFonts w:hint="eastAsia" w:ascii="仿宋" w:hAnsi="仿宋" w:eastAsia="仿宋" w:cs="仿宋_GB2312"/>
          <w:b/>
          <w:color w:val="auto"/>
          <w:sz w:val="24"/>
          <w:szCs w:val="24"/>
          <w:highlight w:val="none"/>
        </w:rPr>
        <w:t>商务技术</w:t>
      </w:r>
      <w:r>
        <w:rPr>
          <w:rFonts w:hint="eastAsia" w:ascii="仿宋" w:hAnsi="仿宋" w:eastAsia="仿宋" w:cs="仿宋_GB2312"/>
          <w:b/>
          <w:color w:val="auto"/>
          <w:kern w:val="0"/>
          <w:sz w:val="24"/>
          <w:szCs w:val="24"/>
          <w:highlight w:val="none"/>
          <w:lang w:val="zh-CN"/>
        </w:rPr>
        <w:t>文件应</w:t>
      </w:r>
      <w:r>
        <w:rPr>
          <w:rFonts w:hint="eastAsia" w:ascii="仿宋" w:hAnsi="仿宋" w:eastAsia="仿宋" w:cs="仿宋_GB2312"/>
          <w:color w:val="auto"/>
          <w:kern w:val="0"/>
          <w:sz w:val="24"/>
          <w:szCs w:val="24"/>
          <w:highlight w:val="none"/>
          <w:lang w:val="zh-CN"/>
        </w:rPr>
        <w:t>包括以下内容</w:t>
      </w:r>
      <w:r>
        <w:rPr>
          <w:rFonts w:hint="eastAsia" w:ascii="仿宋" w:hAnsi="仿宋" w:eastAsia="仿宋" w:cs="仿宋_GB2312"/>
          <w:b/>
          <w:bCs/>
          <w:color w:val="auto"/>
          <w:sz w:val="24"/>
          <w:highlight w:val="none"/>
        </w:rPr>
        <w:t>（均需CA签章）</w:t>
      </w:r>
      <w:r>
        <w:rPr>
          <w:rFonts w:hint="eastAsia" w:ascii="仿宋" w:hAnsi="仿宋" w:eastAsia="仿宋" w:cs="仿宋_GB2312"/>
          <w:color w:val="auto"/>
          <w:kern w:val="0"/>
          <w:sz w:val="24"/>
          <w:szCs w:val="24"/>
          <w:highlight w:val="none"/>
          <w:lang w:val="zh-CN"/>
        </w:rPr>
        <w:t>：</w:t>
      </w:r>
      <w:r>
        <w:rPr>
          <w:rFonts w:hint="eastAsia" w:ascii="仿宋" w:hAnsi="仿宋" w:eastAsia="仿宋" w:cs="仿宋_GB2312"/>
          <w:color w:val="auto"/>
          <w:sz w:val="24"/>
          <w:szCs w:val="24"/>
          <w:highlight w:val="none"/>
          <w:lang w:val="zh-CN"/>
        </w:rPr>
        <w:t xml:space="preserve"> </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11.3.1</w:t>
      </w:r>
      <w:r>
        <w:rPr>
          <w:rFonts w:hint="eastAsia" w:ascii="仿宋" w:hAnsi="仿宋" w:eastAsia="仿宋"/>
          <w:color w:val="auto"/>
          <w:sz w:val="24"/>
          <w:highlight w:val="none"/>
        </w:rPr>
        <w:t>营业执照(或事业法人登记证或其他工商等登记证明材料)复印件（投标人为自然人的，须提供</w:t>
      </w:r>
      <w:r>
        <w:rPr>
          <w:rFonts w:hint="eastAsia" w:ascii="仿宋" w:hAnsi="仿宋" w:eastAsia="仿宋" w:cs="Helvetica"/>
          <w:color w:val="auto"/>
          <w:kern w:val="0"/>
          <w:sz w:val="24"/>
          <w:highlight w:val="none"/>
        </w:rPr>
        <w:t>自然人的身份证明</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11.3.2</w:t>
      </w:r>
      <w:r>
        <w:rPr>
          <w:rFonts w:hint="eastAsia" w:ascii="仿宋" w:hAnsi="仿宋" w:eastAsia="仿宋" w:cs="仿宋_GB2312"/>
          <w:color w:val="auto"/>
          <w:sz w:val="24"/>
          <w:highlight w:val="none"/>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olor w:val="auto"/>
          <w:sz w:val="24"/>
          <w:highlight w:val="none"/>
        </w:rPr>
        <w:t>▲</w:t>
      </w:r>
      <w:r>
        <w:rPr>
          <w:rFonts w:hint="eastAsia" w:ascii="仿宋" w:hAnsi="仿宋" w:eastAsia="仿宋" w:cs="仿宋_GB2312"/>
          <w:b/>
          <w:color w:val="auto"/>
          <w:sz w:val="24"/>
          <w:highlight w:val="none"/>
        </w:rPr>
        <w:t>投标文件中法定代表人授权书所载内容与本项目内容有异的，投标无效</w:t>
      </w:r>
    </w:p>
    <w:p>
      <w:pPr>
        <w:pStyle w:val="8"/>
        <w:spacing w:line="360" w:lineRule="auto"/>
        <w:ind w:firstLine="480" w:firstLineChars="200"/>
        <w:rPr>
          <w:rFonts w:ascii="仿宋" w:hAnsi="仿宋" w:eastAsia="仿宋"/>
          <w:color w:val="auto"/>
          <w:sz w:val="24"/>
          <w:highlight w:val="none"/>
        </w:rPr>
      </w:pPr>
      <w:r>
        <w:rPr>
          <w:rFonts w:hint="eastAsia" w:ascii="仿宋" w:hAnsi="仿宋" w:eastAsia="仿宋" w:cs="仿宋_GB2312"/>
          <w:color w:val="auto"/>
          <w:sz w:val="24"/>
          <w:highlight w:val="none"/>
          <w:lang w:val="zh-CN"/>
        </w:rPr>
        <w:t>11.3.3</w:t>
      </w:r>
      <w:r>
        <w:rPr>
          <w:rFonts w:hint="eastAsia" w:ascii="仿宋" w:hAnsi="仿宋" w:eastAsia="仿宋"/>
          <w:color w:val="auto"/>
          <w:sz w:val="24"/>
          <w:highlight w:val="none"/>
        </w:rPr>
        <w:t>如以联合体形式参加政府采购活动的，</w:t>
      </w:r>
      <w:r>
        <w:rPr>
          <w:rFonts w:hint="eastAsia" w:ascii="仿宋" w:hAnsi="仿宋" w:eastAsia="仿宋"/>
          <w:color w:val="auto"/>
          <w:sz w:val="24"/>
          <w:szCs w:val="24"/>
          <w:highlight w:val="none"/>
        </w:rPr>
        <w:t>联合体各方应当指定牵头人，授权其代表所有联合体成员负责投标和合同实施阶段的主办、协调工作，并应当向采购代理机构提交由所有联合体成员各方法定代表人签署的授权书，同时</w:t>
      </w:r>
      <w:r>
        <w:rPr>
          <w:rFonts w:hint="eastAsia" w:ascii="仿宋" w:hAnsi="仿宋" w:eastAsia="仿宋"/>
          <w:color w:val="auto"/>
          <w:sz w:val="24"/>
          <w:highlight w:val="none"/>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color w:val="auto"/>
          <w:sz w:val="24"/>
          <w:highlight w:val="none"/>
        </w:rPr>
        <w:t>▲如以联合体形式参加政府采购活动的，联合体协议不符合招标文件规定的联合体协议要求的，投标无效。</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11.3.4</w:t>
      </w:r>
      <w:r>
        <w:rPr>
          <w:rFonts w:hint="eastAsia" w:ascii="仿宋" w:hAnsi="仿宋" w:eastAsia="仿宋" w:cs="仿宋_GB2312"/>
          <w:color w:val="auto"/>
          <w:sz w:val="24"/>
          <w:highlight w:val="none"/>
        </w:rPr>
        <w:t>资信文件：</w:t>
      </w:r>
      <w:r>
        <w:rPr>
          <w:rFonts w:hint="eastAsia" w:ascii="仿宋" w:hAnsi="仿宋" w:eastAsia="仿宋" w:cs="仿宋_GB2312"/>
          <w:color w:val="auto"/>
          <w:kern w:val="0"/>
          <w:sz w:val="24"/>
          <w:szCs w:val="20"/>
          <w:highlight w:val="none"/>
        </w:rPr>
        <w:t>见投标须知前附表所述；</w:t>
      </w:r>
    </w:p>
    <w:p>
      <w:pPr>
        <w:pStyle w:val="23"/>
        <w:snapToGrid w:val="0"/>
        <w:ind w:firstLine="480"/>
        <w:rPr>
          <w:rFonts w:ascii="仿宋" w:hAnsi="仿宋" w:eastAsia="仿宋"/>
          <w:color w:val="auto"/>
          <w:kern w:val="0"/>
          <w:highlight w:val="none"/>
          <w:lang w:val="zh-CN"/>
        </w:rPr>
      </w:pPr>
      <w:r>
        <w:rPr>
          <w:rFonts w:hint="eastAsia" w:ascii="仿宋" w:hAnsi="仿宋" w:eastAsia="仿宋" w:cs="仿宋_GB2312"/>
          <w:color w:val="auto"/>
          <w:highlight w:val="none"/>
          <w:lang w:val="zh-CN"/>
        </w:rPr>
        <w:t>11.3.5</w:t>
      </w:r>
      <w:r>
        <w:rPr>
          <w:rFonts w:hint="eastAsia" w:ascii="仿宋" w:hAnsi="仿宋" w:eastAsia="仿宋" w:cs="宋体"/>
          <w:color w:val="auto"/>
          <w:kern w:val="0"/>
          <w:highlight w:val="none"/>
        </w:rPr>
        <w:t>投标截止时间前三年投标人的主要业绩证明材料即</w:t>
      </w:r>
      <w:r>
        <w:rPr>
          <w:rFonts w:hint="eastAsia" w:ascii="仿宋" w:hAnsi="仿宋" w:eastAsia="仿宋"/>
          <w:color w:val="auto"/>
          <w:highlight w:val="none"/>
          <w:lang w:val="zh-CN"/>
        </w:rPr>
        <w:t>合同</w:t>
      </w:r>
      <w:r>
        <w:rPr>
          <w:rFonts w:hint="eastAsia" w:ascii="仿宋" w:hAnsi="仿宋" w:eastAsia="仿宋"/>
          <w:color w:val="auto"/>
          <w:highlight w:val="none"/>
        </w:rPr>
        <w:t>和用户验收报告</w:t>
      </w:r>
      <w:r>
        <w:rPr>
          <w:rFonts w:hint="eastAsia" w:ascii="仿宋" w:hAnsi="仿宋" w:eastAsia="仿宋"/>
          <w:color w:val="auto"/>
          <w:szCs w:val="24"/>
          <w:highlight w:val="none"/>
        </w:rPr>
        <w:t>（</w:t>
      </w:r>
      <w:r>
        <w:rPr>
          <w:rFonts w:hint="eastAsia" w:ascii="仿宋" w:hAnsi="仿宋" w:eastAsia="仿宋" w:cs="Arial"/>
          <w:color w:val="auto"/>
          <w:highlight w:val="none"/>
        </w:rPr>
        <w:t>联合体投标的，联合体各方</w:t>
      </w:r>
      <w:r>
        <w:rPr>
          <w:rFonts w:hint="eastAsia" w:ascii="仿宋" w:hAnsi="仿宋" w:eastAsia="仿宋" w:cs="Helvetica"/>
          <w:color w:val="auto"/>
          <w:kern w:val="0"/>
          <w:highlight w:val="none"/>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olor w:val="auto"/>
          <w:szCs w:val="24"/>
          <w:highlight w:val="none"/>
        </w:rPr>
        <w:t>)</w:t>
      </w:r>
      <w:r>
        <w:rPr>
          <w:rFonts w:hint="eastAsia" w:ascii="仿宋" w:hAnsi="仿宋" w:eastAsia="仿宋" w:cs="宋体"/>
          <w:color w:val="auto"/>
          <w:kern w:val="0"/>
          <w:highlight w:val="none"/>
        </w:rPr>
        <w:t>；</w:t>
      </w:r>
    </w:p>
    <w:p>
      <w:pPr>
        <w:snapToGrid w:val="0"/>
        <w:spacing w:line="360" w:lineRule="auto"/>
        <w:ind w:firstLine="540" w:firstLineChars="225"/>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11.3.6</w:t>
      </w:r>
      <w:r>
        <w:rPr>
          <w:rFonts w:hint="eastAsia" w:ascii="仿宋" w:hAnsi="仿宋" w:eastAsia="仿宋" w:cs="仿宋_GB2312"/>
          <w:color w:val="auto"/>
          <w:kern w:val="0"/>
          <w:sz w:val="24"/>
          <w:highlight w:val="none"/>
          <w:lang w:val="zh-CN"/>
        </w:rPr>
        <w:t xml:space="preserve">投标人认为需要的其他商务文件或说明，包括（但不限于）以下内容：交货期、地点、付款方式等的响应情况； </w:t>
      </w:r>
    </w:p>
    <w:p>
      <w:pPr>
        <w:pStyle w:val="8"/>
        <w:snapToGrid w:val="0"/>
        <w:spacing w:line="360" w:lineRule="auto"/>
        <w:ind w:firstLine="480" w:firstLineChars="20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zh-CN"/>
        </w:rPr>
        <w:t>11.3.7技术方案：</w:t>
      </w:r>
      <w:r>
        <w:rPr>
          <w:rFonts w:hint="eastAsia" w:ascii="仿宋" w:hAnsi="仿宋" w:eastAsia="仿宋" w:cs="仿宋_GB2312"/>
          <w:color w:val="auto"/>
          <w:sz w:val="24"/>
          <w:highlight w:val="none"/>
          <w:lang w:val="en-US" w:eastAsia="zh-CN"/>
        </w:rPr>
        <w:t>基本</w:t>
      </w:r>
      <w:r>
        <w:rPr>
          <w:rFonts w:hint="eastAsia" w:ascii="仿宋" w:hAnsi="仿宋" w:eastAsia="仿宋" w:cs="仿宋"/>
          <w:color w:val="auto"/>
          <w:sz w:val="24"/>
          <w:highlight w:val="none"/>
          <w:lang w:val="en-US" w:eastAsia="zh-CN"/>
        </w:rPr>
        <w:t>工作</w:t>
      </w:r>
      <w:r>
        <w:rPr>
          <w:rFonts w:hint="eastAsia" w:ascii="仿宋" w:hAnsi="仿宋" w:eastAsia="仿宋" w:cs="仿宋"/>
          <w:color w:val="auto"/>
          <w:sz w:val="24"/>
          <w:highlight w:val="none"/>
        </w:rPr>
        <w:t>方案的完整性；</w:t>
      </w:r>
      <w:r>
        <w:rPr>
          <w:rFonts w:hint="eastAsia" w:ascii="仿宋" w:hAnsi="仿宋" w:eastAsia="仿宋" w:cs="仿宋"/>
          <w:color w:val="auto"/>
          <w:sz w:val="24"/>
          <w:highlight w:val="none"/>
          <w:lang w:val="en-US" w:eastAsia="zh-CN"/>
        </w:rPr>
        <w:t>技术参数及性能指标的符合性；深化方案的合理性；</w:t>
      </w:r>
    </w:p>
    <w:p>
      <w:pPr>
        <w:pStyle w:val="8"/>
        <w:snapToGrid w:val="0"/>
        <w:spacing w:line="360" w:lineRule="auto"/>
        <w:ind w:firstLine="482" w:firstLineChars="200"/>
        <w:rPr>
          <w:rFonts w:ascii="仿宋" w:hAnsi="仿宋" w:eastAsia="仿宋" w:cs="仿宋_GB2312"/>
          <w:color w:val="auto"/>
          <w:sz w:val="24"/>
          <w:highlight w:val="none"/>
        </w:rPr>
      </w:pPr>
      <w:r>
        <w:rPr>
          <w:rFonts w:hint="eastAsia" w:ascii="仿宋" w:hAnsi="仿宋" w:eastAsia="仿宋" w:cs="仿宋_GB2312"/>
          <w:b/>
          <w:color w:val="auto"/>
          <w:sz w:val="24"/>
          <w:highlight w:val="none"/>
        </w:rPr>
        <w:t>所有表述均应采用中文，如当前公布的技术指标只有英文表述的，必须由投标人作出中文注释（评审时以中文注释为准</w:t>
      </w:r>
      <w:r>
        <w:rPr>
          <w:rFonts w:ascii="仿宋" w:hAnsi="仿宋" w:eastAsia="仿宋" w:cs="仿宋_GB2312"/>
          <w:b/>
          <w:color w:val="auto"/>
          <w:sz w:val="24"/>
          <w:highlight w:val="none"/>
        </w:rPr>
        <w:t>）</w:t>
      </w:r>
      <w:r>
        <w:rPr>
          <w:rFonts w:hint="eastAsia" w:ascii="仿宋" w:hAnsi="仿宋" w:eastAsia="仿宋" w:cs="仿宋_GB2312"/>
          <w:b/>
          <w:color w:val="auto"/>
          <w:sz w:val="24"/>
          <w:highlight w:val="none"/>
        </w:rPr>
        <w:t>。否则</w:t>
      </w:r>
      <w:r>
        <w:rPr>
          <w:rFonts w:hint="eastAsia" w:ascii="仿宋" w:hAnsi="仿宋" w:eastAsia="仿宋" w:cs="仿宋_GB2312"/>
          <w:b/>
          <w:color w:val="auto"/>
          <w:kern w:val="0"/>
          <w:sz w:val="24"/>
          <w:highlight w:val="none"/>
          <w:lang w:val="zh-CN"/>
        </w:rPr>
        <w:t>任何含糊不清的</w:t>
      </w:r>
      <w:r>
        <w:rPr>
          <w:rFonts w:hint="eastAsia" w:ascii="仿宋" w:hAnsi="仿宋" w:eastAsia="仿宋" w:cs="仿宋_GB2312"/>
          <w:b/>
          <w:color w:val="auto"/>
          <w:sz w:val="24"/>
          <w:highlight w:val="none"/>
        </w:rPr>
        <w:t>表述导致</w:t>
      </w:r>
      <w:r>
        <w:rPr>
          <w:rFonts w:hint="eastAsia" w:ascii="仿宋" w:hAnsi="仿宋" w:eastAsia="仿宋" w:cs="仿宋_GB2312"/>
          <w:b/>
          <w:color w:val="auto"/>
          <w:kern w:val="0"/>
          <w:sz w:val="24"/>
          <w:highlight w:val="none"/>
          <w:lang w:val="zh-CN"/>
        </w:rPr>
        <w:t>评标委员会技术扣分直至认定为投标无效都将是投标人的责任</w:t>
      </w:r>
      <w:r>
        <w:rPr>
          <w:rFonts w:hint="eastAsia" w:ascii="仿宋" w:hAnsi="仿宋" w:eastAsia="仿宋" w:cs="仿宋_GB2312"/>
          <w:color w:val="auto"/>
          <w:sz w:val="24"/>
          <w:highlight w:val="none"/>
        </w:rPr>
        <w:t>。</w:t>
      </w:r>
    </w:p>
    <w:p>
      <w:pPr>
        <w:pStyle w:val="8"/>
        <w:snapToGrid w:val="0"/>
        <w:spacing w:line="360" w:lineRule="auto"/>
        <w:ind w:firstLine="482" w:firstLineChars="200"/>
        <w:rPr>
          <w:rFonts w:ascii="仿宋" w:hAnsi="仿宋" w:eastAsia="仿宋" w:cs="仿宋_GB2312"/>
          <w:color w:val="auto"/>
          <w:sz w:val="24"/>
          <w:highlight w:val="none"/>
        </w:rPr>
      </w:pPr>
      <w:r>
        <w:rPr>
          <w:rFonts w:hint="eastAsia" w:ascii="仿宋" w:hAnsi="仿宋" w:eastAsia="仿宋" w:cs="仿宋_GB2312"/>
          <w:b/>
          <w:color w:val="auto"/>
          <w:sz w:val="24"/>
          <w:highlight w:val="none"/>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color w:val="auto"/>
          <w:sz w:val="24"/>
          <w:highlight w:val="none"/>
        </w:rPr>
        <w:t>）</w:t>
      </w:r>
      <w:r>
        <w:rPr>
          <w:rFonts w:hint="eastAsia" w:ascii="仿宋" w:hAnsi="仿宋" w:eastAsia="仿宋" w:cs="仿宋_GB2312"/>
          <w:b/>
          <w:color w:val="auto"/>
          <w:sz w:val="24"/>
          <w:highlight w:val="none"/>
        </w:rPr>
        <w:t>。否则</w:t>
      </w:r>
      <w:r>
        <w:rPr>
          <w:rFonts w:hint="eastAsia" w:ascii="仿宋" w:hAnsi="仿宋" w:eastAsia="仿宋" w:cs="仿宋_GB2312"/>
          <w:b/>
          <w:color w:val="auto"/>
          <w:kern w:val="0"/>
          <w:sz w:val="24"/>
          <w:highlight w:val="none"/>
          <w:lang w:val="zh-CN"/>
        </w:rPr>
        <w:t>任何含糊不清的</w:t>
      </w:r>
      <w:r>
        <w:rPr>
          <w:rFonts w:hint="eastAsia" w:ascii="仿宋" w:hAnsi="仿宋" w:eastAsia="仿宋" w:cs="仿宋_GB2312"/>
          <w:b/>
          <w:color w:val="auto"/>
          <w:sz w:val="24"/>
          <w:highlight w:val="none"/>
        </w:rPr>
        <w:t>表述导致</w:t>
      </w:r>
      <w:r>
        <w:rPr>
          <w:rFonts w:hint="eastAsia" w:ascii="仿宋" w:hAnsi="仿宋" w:eastAsia="仿宋" w:cs="仿宋_GB2312"/>
          <w:b/>
          <w:color w:val="auto"/>
          <w:kern w:val="0"/>
          <w:sz w:val="24"/>
          <w:highlight w:val="none"/>
          <w:lang w:val="zh-CN"/>
        </w:rPr>
        <w:t>评标委员会技术扣分直至认定为投标无效都将是投标人的责任</w:t>
      </w:r>
      <w:r>
        <w:rPr>
          <w:rFonts w:hint="eastAsia" w:ascii="仿宋" w:hAnsi="仿宋" w:eastAsia="仿宋" w:cs="仿宋_GB2312"/>
          <w:color w:val="auto"/>
          <w:sz w:val="24"/>
          <w:highlight w:val="none"/>
        </w:rPr>
        <w:t>。</w:t>
      </w:r>
    </w:p>
    <w:p>
      <w:pPr>
        <w:pStyle w:val="8"/>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11.3.8</w:t>
      </w:r>
      <w:r>
        <w:rPr>
          <w:rFonts w:hint="eastAsia" w:ascii="仿宋" w:hAnsi="仿宋" w:eastAsia="仿宋" w:cs="仿宋_GB2312"/>
          <w:color w:val="auto"/>
          <w:sz w:val="24"/>
          <w:highlight w:val="none"/>
        </w:rPr>
        <w:t>投标人在投标文件技术偏离说明表中，</w:t>
      </w:r>
      <w:r>
        <w:rPr>
          <w:rFonts w:hint="eastAsia" w:ascii="仿宋" w:hAnsi="仿宋" w:eastAsia="仿宋" w:cs="仿宋_GB2312"/>
          <w:color w:val="auto"/>
          <w:kern w:val="0"/>
          <w:sz w:val="24"/>
          <w:highlight w:val="none"/>
          <w:lang w:val="zh-CN"/>
        </w:rPr>
        <w:t>应对</w:t>
      </w:r>
      <w:r>
        <w:rPr>
          <w:rFonts w:hint="eastAsia" w:ascii="仿宋" w:hAnsi="仿宋" w:eastAsia="仿宋" w:cs="仿宋_GB2312"/>
          <w:color w:val="auto"/>
          <w:sz w:val="24"/>
          <w:highlight w:val="none"/>
        </w:rPr>
        <w:t>采购需求</w:t>
      </w:r>
      <w:r>
        <w:rPr>
          <w:rFonts w:hint="eastAsia" w:ascii="仿宋" w:hAnsi="仿宋" w:eastAsia="仿宋" w:cs="仿宋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11.3.9</w:t>
      </w:r>
      <w:r>
        <w:rPr>
          <w:rFonts w:hint="eastAsia" w:ascii="仿宋" w:hAnsi="仿宋" w:eastAsia="仿宋" w:cs="仿宋_GB2312"/>
          <w:color w:val="auto"/>
          <w:kern w:val="0"/>
          <w:sz w:val="24"/>
          <w:highlight w:val="none"/>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11.3.10</w:t>
      </w:r>
      <w:r>
        <w:rPr>
          <w:rFonts w:hint="eastAsia" w:ascii="仿宋" w:hAnsi="仿宋" w:eastAsia="仿宋" w:cs="仿宋_GB2312"/>
          <w:color w:val="auto"/>
          <w:kern w:val="0"/>
          <w:sz w:val="24"/>
          <w:highlight w:val="none"/>
          <w:lang w:val="zh-CN"/>
        </w:rPr>
        <w:t>针对本项目的售后服务方案。项目验收之前、验收之后的维护方案；针对本项目的维护方案等；人员培训；应急响应方案；投标人应以书面形式完整准确地表述售后服务承诺(范围、标准及期限等)、投标人可能增加的服务承诺等。</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11.3.11</w:t>
      </w:r>
      <w:r>
        <w:rPr>
          <w:rFonts w:hint="eastAsia" w:ascii="仿宋" w:hAnsi="仿宋" w:eastAsia="仿宋" w:cs="仿宋_GB2312"/>
          <w:color w:val="auto"/>
          <w:kern w:val="0"/>
          <w:sz w:val="24"/>
          <w:highlight w:val="none"/>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11.3.12</w:t>
      </w:r>
      <w:r>
        <w:rPr>
          <w:rFonts w:hint="eastAsia" w:ascii="仿宋" w:hAnsi="仿宋" w:eastAsia="仿宋" w:cs="仿宋_GB2312"/>
          <w:color w:val="auto"/>
          <w:kern w:val="0"/>
          <w:sz w:val="24"/>
          <w:highlight w:val="none"/>
          <w:lang w:val="zh-CN"/>
        </w:rPr>
        <w:t>优惠条件及特殊承诺；</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11.3.13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11.3.14</w:t>
      </w:r>
      <w:r>
        <w:rPr>
          <w:rFonts w:hint="eastAsia" w:ascii="仿宋" w:hAnsi="仿宋" w:eastAsia="仿宋" w:cs="仿宋_GB2312"/>
          <w:color w:val="auto"/>
          <w:kern w:val="0"/>
          <w:sz w:val="24"/>
          <w:highlight w:val="none"/>
          <w:lang w:val="zh-CN"/>
        </w:rPr>
        <w:t>合理化建议；（如果有）</w:t>
      </w:r>
    </w:p>
    <w:p>
      <w:pPr>
        <w:pStyle w:val="8"/>
        <w:spacing w:line="360" w:lineRule="auto"/>
        <w:ind w:firstLine="480" w:firstLineChars="200"/>
        <w:rPr>
          <w:rFonts w:ascii="仿宋" w:hAnsi="仿宋" w:eastAsia="仿宋" w:cs="仿宋_GB2312"/>
          <w:color w:val="auto"/>
          <w:kern w:val="0"/>
          <w:sz w:val="24"/>
          <w:szCs w:val="24"/>
          <w:highlight w:val="none"/>
          <w:lang w:val="zh-CN"/>
        </w:rPr>
      </w:pPr>
      <w:r>
        <w:rPr>
          <w:rFonts w:hint="eastAsia" w:ascii="仿宋" w:hAnsi="仿宋" w:eastAsia="仿宋" w:cs="仿宋_GB2312"/>
          <w:color w:val="auto"/>
          <w:sz w:val="24"/>
          <w:highlight w:val="none"/>
          <w:lang w:val="zh-CN"/>
        </w:rPr>
        <w:t>11.3.15</w:t>
      </w:r>
      <w:r>
        <w:rPr>
          <w:rFonts w:hint="eastAsia" w:ascii="仿宋" w:hAnsi="仿宋" w:eastAsia="仿宋" w:cs="仿宋_GB2312"/>
          <w:color w:val="auto"/>
          <w:kern w:val="0"/>
          <w:sz w:val="24"/>
          <w:szCs w:val="24"/>
          <w:highlight w:val="none"/>
          <w:lang w:val="zh-CN"/>
        </w:rPr>
        <w:t>投标人认为需要的其他技术文件或说明；</w:t>
      </w:r>
    </w:p>
    <w:p>
      <w:pPr>
        <w:tabs>
          <w:tab w:val="left" w:pos="0"/>
        </w:tabs>
        <w:autoSpaceDE w:val="0"/>
        <w:autoSpaceDN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11.3.16</w:t>
      </w:r>
      <w:r>
        <w:rPr>
          <w:rFonts w:hint="eastAsia" w:ascii="仿宋" w:hAnsi="仿宋" w:eastAsia="仿宋" w:cs="仿宋_GB2312"/>
          <w:color w:val="auto"/>
          <w:kern w:val="0"/>
          <w:sz w:val="24"/>
          <w:highlight w:val="none"/>
          <w:lang w:val="zh-CN"/>
        </w:rPr>
        <w:t>关于对招标文件商务、合同中有关条款的拒绝声明。（如果有）</w:t>
      </w:r>
    </w:p>
    <w:p>
      <w:pPr>
        <w:tabs>
          <w:tab w:val="left" w:pos="0"/>
        </w:tabs>
        <w:autoSpaceDE w:val="0"/>
        <w:autoSpaceDN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11.3.17</w:t>
      </w:r>
      <w:r>
        <w:rPr>
          <w:rFonts w:hint="eastAsia" w:ascii="仿宋" w:hAnsi="仿宋" w:eastAsia="仿宋" w:cs="仿宋_GB2312"/>
          <w:color w:val="auto"/>
          <w:kern w:val="0"/>
          <w:sz w:val="24"/>
          <w:highlight w:val="none"/>
          <w:lang w:val="zh-CN"/>
        </w:rPr>
        <w:t>关于招标文件中有关无效标条款的声明。</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▲投标文件含有采购人不能接受的附加条件的，投标无效；</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▲投标人提供虚假材料投标的，投标无效。</w:t>
      </w:r>
    </w:p>
    <w:p>
      <w:pPr>
        <w:pStyle w:val="23"/>
        <w:snapToGrid w:val="0"/>
        <w:ind w:firstLine="482"/>
        <w:outlineLvl w:val="0"/>
        <w:rPr>
          <w:rFonts w:ascii="仿宋" w:hAnsi="仿宋" w:eastAsia="仿宋" w:cs="仿宋_GB2312"/>
          <w:b/>
          <w:color w:val="auto"/>
          <w:szCs w:val="24"/>
          <w:highlight w:val="none"/>
        </w:rPr>
      </w:pPr>
      <w:bookmarkStart w:id="48" w:name="_Toc91899887"/>
      <w:r>
        <w:rPr>
          <w:rFonts w:hint="eastAsia" w:ascii="仿宋" w:hAnsi="仿宋" w:eastAsia="仿宋" w:cs="仿宋_GB2312"/>
          <w:b/>
          <w:color w:val="auto"/>
          <w:szCs w:val="24"/>
          <w:highlight w:val="none"/>
        </w:rPr>
        <w:t>12</w:t>
      </w:r>
      <w:r>
        <w:rPr>
          <w:rFonts w:hint="eastAsia"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bookmarkEnd w:id="48"/>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投标文件为电子投标文件。按“政采云供应商项目采购-电子招投标操作指南”及本招标文件要求制作、加密并递交。</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13.投标文件的签署、盖章</w:t>
      </w:r>
    </w:p>
    <w:p>
      <w:pPr>
        <w:pStyle w:val="23"/>
        <w:snapToGrid w:val="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投标文件按照招标文件第六部分格式要</w:t>
      </w:r>
      <w:r>
        <w:rPr>
          <w:rFonts w:hint="eastAsia" w:ascii="仿宋" w:hAnsi="仿宋" w:eastAsia="仿宋" w:cs="仿宋_GB2312"/>
          <w:color w:val="auto"/>
          <w:highlight w:val="none"/>
        </w:rPr>
        <w:t>求进行签署、CA签章。</w:t>
      </w:r>
    </w:p>
    <w:p>
      <w:pPr>
        <w:pStyle w:val="23"/>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14. 投标文件的提交</w:t>
      </w:r>
    </w:p>
    <w:p>
      <w:pPr>
        <w:pStyle w:val="23"/>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14.1</w:t>
      </w:r>
      <w:r>
        <w:rPr>
          <w:rFonts w:hint="eastAsia" w:ascii="仿宋" w:hAnsi="仿宋" w:eastAsia="仿宋" w:cs="仿宋_GB2312"/>
          <w:color w:val="auto"/>
          <w:highlight w:val="none"/>
        </w:rPr>
        <w:t>投标人应按“招标公告”规定的时间、方式将投标文件提交给</w:t>
      </w:r>
      <w:r>
        <w:rPr>
          <w:rFonts w:hint="eastAsia" w:ascii="仿宋" w:hAnsi="仿宋" w:eastAsia="仿宋" w:cs="仿宋_GB2312"/>
          <w:color w:val="auto"/>
          <w:szCs w:val="24"/>
          <w:highlight w:val="none"/>
        </w:rPr>
        <w:t>采购代理机构</w:t>
      </w:r>
      <w:r>
        <w:rPr>
          <w:rFonts w:hint="eastAsia" w:ascii="仿宋" w:hAnsi="仿宋" w:eastAsia="仿宋" w:cs="仿宋_GB2312"/>
          <w:color w:val="auto"/>
          <w:highlight w:val="none"/>
        </w:rPr>
        <w:t>，</w:t>
      </w:r>
      <w:r>
        <w:rPr>
          <w:rFonts w:hint="eastAsia" w:ascii="仿宋" w:hAnsi="仿宋" w:eastAsia="仿宋" w:cs="仿宋_GB2312"/>
          <w:color w:val="auto"/>
          <w:szCs w:val="24"/>
          <w:highlight w:val="none"/>
        </w:rPr>
        <w:t>采购代理机构</w:t>
      </w:r>
      <w:r>
        <w:rPr>
          <w:rFonts w:hint="eastAsia" w:ascii="仿宋" w:hAnsi="仿宋" w:eastAsia="仿宋" w:cs="仿宋_GB2312"/>
          <w:color w:val="auto"/>
          <w:highlight w:val="none"/>
        </w:rPr>
        <w:t>将拒绝接受逾期送达的投标文件。目前政府采购全流程电子化交易，供应商应准备电子投标文件。电子投标文件按政采云平台项目采购-电子招投标操作指南及本招标文件要求递交。</w:t>
      </w:r>
    </w:p>
    <w:p>
      <w:pPr>
        <w:pStyle w:val="23"/>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14.2采购代理机构可以视情况延长投标文件提交的截止时间。在上述情况下，采购代理机构与投标人以前在投标截止期方面的全部权利、责任和义务，将适用于延长至新的投标截止期。</w:t>
      </w:r>
    </w:p>
    <w:bookmarkEnd w:id="43"/>
    <w:bookmarkEnd w:id="44"/>
    <w:p>
      <w:pPr>
        <w:pStyle w:val="8"/>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15. 投标文件的补充、修改、撤回</w:t>
      </w:r>
    </w:p>
    <w:p>
      <w:pPr>
        <w:spacing w:line="360" w:lineRule="auto"/>
        <w:ind w:firstLine="480" w:firstLineChars="200"/>
        <w:rPr>
          <w:rFonts w:ascii="仿宋" w:hAnsi="仿宋" w:eastAsia="仿宋" w:cs="仿宋_GB2312"/>
          <w:b/>
          <w:color w:val="auto"/>
          <w:sz w:val="24"/>
          <w:highlight w:val="none"/>
        </w:rPr>
      </w:pPr>
      <w:r>
        <w:rPr>
          <w:rFonts w:hint="eastAsia" w:ascii="仿宋" w:hAnsi="仿宋" w:eastAsia="仿宋" w:cs="仿宋_GB2312"/>
          <w:color w:val="auto"/>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pStyle w:val="23"/>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16.投标文件的无效处理</w:t>
      </w:r>
    </w:p>
    <w:p>
      <w:pPr>
        <w:pStyle w:val="7"/>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w:t>
      </w:r>
      <w:r>
        <w:rPr>
          <w:rFonts w:hint="eastAsia" w:ascii="仿宋" w:hAnsi="仿宋" w:eastAsia="仿宋"/>
          <w:color w:val="auto"/>
          <w:highlight w:val="none"/>
        </w:rPr>
        <w:t>第13项规定</w:t>
      </w:r>
      <w:r>
        <w:rPr>
          <w:rFonts w:hint="eastAsia" w:ascii="仿宋" w:hAnsi="仿宋" w:eastAsia="仿宋" w:cs="仿宋_GB2312"/>
          <w:color w:val="auto"/>
          <w:szCs w:val="21"/>
          <w:highlight w:val="none"/>
        </w:rPr>
        <w:t>的情形之一的，投标无效：</w:t>
      </w:r>
    </w:p>
    <w:p>
      <w:pPr>
        <w:pStyle w:val="23"/>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17.投标有效期</w:t>
      </w:r>
    </w:p>
    <w:p>
      <w:pPr>
        <w:spacing w:line="360" w:lineRule="auto"/>
        <w:ind w:firstLine="480" w:firstLineChars="200"/>
        <w:rPr>
          <w:rFonts w:ascii="仿宋" w:hAnsi="仿宋" w:eastAsia="仿宋" w:cs="仿宋_GB2312"/>
          <w:b/>
          <w:color w:val="auto"/>
          <w:sz w:val="24"/>
          <w:szCs w:val="21"/>
          <w:highlight w:val="none"/>
        </w:rPr>
      </w:pPr>
      <w:r>
        <w:rPr>
          <w:rFonts w:hint="eastAsia" w:ascii="仿宋" w:hAnsi="仿宋" w:eastAsia="仿宋" w:cs="仿宋_GB2312"/>
          <w:color w:val="auto"/>
          <w:sz w:val="24"/>
          <w:szCs w:val="20"/>
          <w:highlight w:val="none"/>
        </w:rPr>
        <w:t>17.1投标有效期为从提交投标文件的截止之日起90天。▲</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23"/>
        <w:ind w:firstLine="480"/>
        <w:rPr>
          <w:rFonts w:ascii="仿宋" w:hAnsi="仿宋" w:eastAsia="仿宋" w:cs="仿宋_GB2312"/>
          <w:color w:val="auto"/>
          <w:highlight w:val="none"/>
        </w:rPr>
      </w:pPr>
      <w:r>
        <w:rPr>
          <w:rFonts w:hint="eastAsia" w:ascii="仿宋" w:hAnsi="仿宋" w:eastAsia="仿宋" w:cs="仿宋_GB2312"/>
          <w:color w:val="auto"/>
          <w:highlight w:val="none"/>
        </w:rPr>
        <w:t>17.2投标文件合格投递后，自投标截止日期起，在投标有效期内有效。</w:t>
      </w:r>
    </w:p>
    <w:p>
      <w:pPr>
        <w:pStyle w:val="23"/>
        <w:ind w:firstLine="480"/>
        <w:rPr>
          <w:rFonts w:ascii="仿宋" w:hAnsi="仿宋" w:eastAsia="仿宋" w:cs="仿宋_GB2312"/>
          <w:color w:val="auto"/>
          <w:highlight w:val="none"/>
        </w:rPr>
      </w:pPr>
      <w:r>
        <w:rPr>
          <w:rFonts w:hint="eastAsia" w:ascii="仿宋" w:hAnsi="仿宋" w:eastAsia="仿宋" w:cs="仿宋_GB2312"/>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23"/>
        <w:ind w:firstLine="480"/>
        <w:rPr>
          <w:rFonts w:ascii="仿宋" w:hAnsi="仿宋" w:eastAsia="仿宋" w:cs="仿宋_GB2312"/>
          <w:color w:val="auto"/>
          <w:highlight w:val="none"/>
        </w:rPr>
      </w:pPr>
    </w:p>
    <w:p>
      <w:pPr>
        <w:pStyle w:val="23"/>
        <w:ind w:firstLine="0" w:firstLineChars="0"/>
        <w:jc w:val="center"/>
        <w:rPr>
          <w:rFonts w:ascii="仿宋" w:hAnsi="仿宋" w:eastAsia="仿宋" w:cs="仿宋_GB2312"/>
          <w:b/>
          <w:color w:val="auto"/>
          <w:sz w:val="32"/>
          <w:highlight w:val="none"/>
        </w:rPr>
      </w:pPr>
      <w:bookmarkStart w:id="49" w:name="_Toc91899897"/>
      <w:r>
        <w:rPr>
          <w:rFonts w:hint="eastAsia" w:ascii="仿宋" w:hAnsi="仿宋" w:eastAsia="仿宋" w:cs="仿宋_GB2312"/>
          <w:b/>
          <w:color w:val="auto"/>
          <w:sz w:val="32"/>
          <w:highlight w:val="none"/>
        </w:rPr>
        <w:t>四、开评标</w:t>
      </w:r>
      <w:bookmarkEnd w:id="49"/>
      <w:r>
        <w:rPr>
          <w:rFonts w:hint="eastAsia" w:ascii="仿宋" w:hAnsi="仿宋" w:eastAsia="仿宋" w:cs="仿宋_GB2312"/>
          <w:b/>
          <w:color w:val="auto"/>
          <w:sz w:val="32"/>
          <w:highlight w:val="none"/>
        </w:rPr>
        <w:t>程序</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18.组织开标程序</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招标方将按照招标文件规定的时间、地点和程序组织开标，各投标人无须参加现场开标会议，请自行登录政采云平台关注开标信息。</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18.1.开标会由招标方主持，主持人介绍开标现场的人员情况，宣读递交投标文件的投标人名单、开标纪律、应当回避的情形等注意事项。</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18.2.电子招投标开标及评审程序</w:t>
      </w:r>
    </w:p>
    <w:p>
      <w:pPr>
        <w:pStyle w:val="24"/>
        <w:spacing w:before="0" w:line="360" w:lineRule="auto"/>
        <w:ind w:left="0" w:firstLine="482" w:firstLineChars="200"/>
        <w:contextualSpacing/>
        <w:rPr>
          <w:rFonts w:ascii="仿宋" w:hAnsi="仿宋" w:eastAsia="仿宋" w:cs="仿宋_GB2312"/>
          <w:b/>
          <w:bCs/>
          <w:color w:val="auto"/>
          <w:sz w:val="24"/>
          <w:highlight w:val="none"/>
        </w:rPr>
      </w:pPr>
      <w:r>
        <w:rPr>
          <w:rFonts w:hint="eastAsia" w:ascii="仿宋" w:hAnsi="仿宋" w:eastAsia="仿宋" w:cs="仿宋_GB2312"/>
          <w:b/>
          <w:bCs/>
          <w:color w:val="auto"/>
          <w:sz w:val="24"/>
          <w:highlight w:val="none"/>
        </w:rPr>
        <w:t>18.2.1投标截止时间后，投标人登录政采云平台，用“项目采购-开标评标”功能对电子投标文件进行在线解密。在线解密电子投标文件时间为开标时间起半个小时内。</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18.2.2采购人或代理机构对资格文件进行评审；</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18.2.3评标委员会对商务技术文件进行评审；</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18.2.4在系统上公开资格和商务技术评审结果；</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18.2.5在系统上公开报价开标情况；</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18.2.6评标委员会对报价情况进行评审；</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18.2.7在系统上公布评审结果。</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18.3.特别说明：</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18.3.1政采云公司如对电子化开标及评审程序有调整的，按调整后的程序操作。</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18.3.2目前政府采购全流程电子化交易，投标人须在规定时间内自行解密。</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18.3.3本项目原则上采用政采云电子招投标开标及评审程序，但有下情形之一的，按以下情况处理：</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18.3.3.1若个别投标人在规定时间内无法解密或解密失败的作无效投标处理。解密成功的投标人不足三家的，本项目流标重新组织采购活动。</w:t>
      </w:r>
    </w:p>
    <w:p>
      <w:pPr>
        <w:pStyle w:val="24"/>
        <w:spacing w:before="0" w:line="360" w:lineRule="auto"/>
        <w:ind w:left="0" w:firstLine="480" w:firstLineChars="2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18.3.3.2若因政采云平台原因无法读取或电子开评标无法正常进行，交易中心将情况上报行业监管部门同意后，重新组织采购活动。</w:t>
      </w:r>
    </w:p>
    <w:p>
      <w:pPr>
        <w:pStyle w:val="24"/>
        <w:spacing w:before="0" w:line="360" w:lineRule="auto"/>
        <w:ind w:left="0" w:firstLine="480" w:firstLineChars="200"/>
        <w:contextualSpacing/>
        <w:rPr>
          <w:rFonts w:ascii="仿宋" w:hAnsi="仿宋" w:eastAsia="仿宋" w:cs="仿宋_GB2312"/>
          <w:color w:val="auto"/>
          <w:sz w:val="24"/>
          <w:highlight w:val="none"/>
        </w:rPr>
      </w:pPr>
    </w:p>
    <w:p>
      <w:pPr>
        <w:snapToGrid w:val="0"/>
        <w:spacing w:line="360" w:lineRule="auto"/>
        <w:jc w:val="center"/>
        <w:outlineLvl w:val="0"/>
        <w:rPr>
          <w:rFonts w:ascii="仿宋" w:hAnsi="仿宋" w:eastAsia="仿宋" w:cs="仿宋_GB2312"/>
          <w:b/>
          <w:color w:val="auto"/>
          <w:sz w:val="32"/>
          <w:szCs w:val="32"/>
          <w:highlight w:val="none"/>
        </w:rPr>
      </w:pPr>
      <w:bookmarkStart w:id="50" w:name="_Hlt75236101"/>
      <w:bookmarkEnd w:id="50"/>
      <w:bookmarkStart w:id="51" w:name="_Toc91899902"/>
      <w:r>
        <w:rPr>
          <w:rFonts w:hint="eastAsia" w:ascii="仿宋" w:hAnsi="仿宋" w:eastAsia="仿宋" w:cs="仿宋_GB2312"/>
          <w:b/>
          <w:color w:val="auto"/>
          <w:sz w:val="32"/>
          <w:szCs w:val="32"/>
          <w:highlight w:val="none"/>
        </w:rPr>
        <w:t>五、评标</w:t>
      </w:r>
      <w:bookmarkEnd w:id="51"/>
    </w:p>
    <w:p>
      <w:pPr>
        <w:spacing w:line="360" w:lineRule="auto"/>
        <w:ind w:firstLine="482" w:firstLineChars="200"/>
        <w:rPr>
          <w:rFonts w:ascii="仿宋" w:hAnsi="仿宋" w:eastAsia="仿宋" w:cs="仿宋_GB2312"/>
          <w:b/>
          <w:color w:val="auto"/>
          <w:sz w:val="24"/>
          <w:highlight w:val="none"/>
        </w:rPr>
      </w:pPr>
      <w:bookmarkStart w:id="52" w:name="_Toc91899903"/>
      <w:r>
        <w:rPr>
          <w:rFonts w:hint="eastAsia" w:ascii="仿宋" w:hAnsi="仿宋" w:eastAsia="仿宋" w:cs="仿宋_GB2312"/>
          <w:b/>
          <w:color w:val="auto"/>
          <w:sz w:val="24"/>
          <w:highlight w:val="none"/>
        </w:rPr>
        <w:t>19.</w:t>
      </w:r>
      <w:r>
        <w:rPr>
          <w:rFonts w:hint="eastAsia" w:ascii="仿宋" w:hAnsi="仿宋" w:eastAsia="仿宋"/>
          <w:color w:val="auto"/>
          <w:highlight w:val="none"/>
        </w:rPr>
        <w:t xml:space="preserve"> </w:t>
      </w: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color w:val="auto"/>
          <w:sz w:val="24"/>
          <w:highlight w:val="none"/>
        </w:rPr>
        <w:t>详见招标文件第四部分“评标方法及评分标准”。</w:t>
      </w:r>
    </w:p>
    <w:p>
      <w:pPr>
        <w:spacing w:line="360" w:lineRule="auto"/>
        <w:ind w:firstLine="482" w:firstLineChars="200"/>
        <w:rPr>
          <w:rFonts w:ascii="仿宋" w:hAnsi="仿宋" w:eastAsia="仿宋" w:cs="仿宋_GB2312"/>
          <w:b/>
          <w:color w:val="auto"/>
          <w:sz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2"/>
          <w:szCs w:val="32"/>
          <w:highlight w:val="none"/>
        </w:rPr>
        <w:t>六、定 标</w:t>
      </w:r>
    </w:p>
    <w:p>
      <w:pPr>
        <w:pStyle w:val="7"/>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20. 确定中标供应商</w:t>
      </w:r>
    </w:p>
    <w:p>
      <w:pPr>
        <w:pStyle w:val="23"/>
        <w:snapToGrid w:val="0"/>
        <w:ind w:firstLine="480"/>
        <w:rPr>
          <w:rFonts w:ascii="仿宋" w:hAnsi="仿宋" w:eastAsia="仿宋" w:cs="仿宋_GB2312"/>
          <w:b/>
          <w:color w:val="auto"/>
          <w:spacing w:val="-6"/>
          <w:szCs w:val="24"/>
          <w:highlight w:val="none"/>
        </w:rPr>
      </w:pPr>
      <w:r>
        <w:rPr>
          <w:rFonts w:hint="eastAsia" w:ascii="仿宋" w:hAnsi="仿宋" w:eastAsia="仿宋" w:cs="仿宋_GB2312"/>
          <w:color w:val="auto"/>
          <w:szCs w:val="24"/>
          <w:highlight w:val="none"/>
        </w:rPr>
        <w:t>采购代理机构将自评审结束之日起2个工作日内将评审报告送交采购人。采购人将自</w:t>
      </w:r>
      <w:r>
        <w:rPr>
          <w:rFonts w:hint="eastAsia" w:ascii="仿宋" w:hAnsi="仿宋" w:eastAsia="仿宋" w:cs="仿宋_GB2312"/>
          <w:color w:val="auto"/>
          <w:spacing w:val="-6"/>
          <w:szCs w:val="24"/>
          <w:highlight w:val="none"/>
        </w:rPr>
        <w:t>收到评审报告之日起5个工作日内在评审报告推荐的中标候选人中按顺序确定中标供应商。</w:t>
      </w:r>
    </w:p>
    <w:p>
      <w:pPr>
        <w:pStyle w:val="23"/>
        <w:snapToGrid w:val="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21. 中标通知与中标结果公告</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21.1采购代理机构将在自中标人确定之日起2个工作日内，在发布招标公告的网站上公告中标结果,同时向中标人发出中标通知书。</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21.2</w:t>
      </w:r>
      <w:r>
        <w:rPr>
          <w:rFonts w:ascii="仿宋" w:hAnsi="仿宋" w:eastAsia="仿宋" w:cs="仿宋_GB2312"/>
          <w:color w:val="auto"/>
          <w:sz w:val="24"/>
          <w:highlight w:val="none"/>
        </w:rPr>
        <w:t>中标结果公告内容包括采购人及其委托的</w:t>
      </w:r>
      <w:r>
        <w:rPr>
          <w:rFonts w:hint="eastAsia" w:ascii="仿宋" w:hAnsi="仿宋" w:eastAsia="仿宋" w:cs="仿宋_GB2312"/>
          <w:color w:val="auto"/>
          <w:sz w:val="24"/>
          <w:highlight w:val="none"/>
        </w:rPr>
        <w:t>采购代理机构</w:t>
      </w:r>
      <w:r>
        <w:rPr>
          <w:rFonts w:ascii="仿宋" w:hAnsi="仿宋" w:eastAsia="仿宋" w:cs="仿宋_GB2312"/>
          <w:color w:val="auto"/>
          <w:sz w:val="24"/>
          <w:highlight w:val="none"/>
        </w:rPr>
        <w:t>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21.3</w:t>
      </w:r>
      <w:r>
        <w:rPr>
          <w:rFonts w:ascii="仿宋" w:hAnsi="仿宋" w:eastAsia="仿宋" w:cs="仿宋_GB2312"/>
          <w:color w:val="auto"/>
          <w:sz w:val="24"/>
          <w:highlight w:val="none"/>
        </w:rPr>
        <w:t>公告期限为1个工作日。</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七、合同授予</w:t>
      </w:r>
    </w:p>
    <w:p>
      <w:pPr>
        <w:pStyle w:val="7"/>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 xml:space="preserve">22. </w:t>
      </w:r>
      <w:r>
        <w:rPr>
          <w:rFonts w:hint="eastAsia" w:ascii="仿宋" w:hAnsi="仿宋" w:eastAsia="仿宋" w:cs="仿宋_GB2312"/>
          <w:color w:val="auto"/>
          <w:highlight w:val="none"/>
        </w:rPr>
        <w:t>合同主要条款详见第五部分拟签订的合同文本。</w:t>
      </w:r>
    </w:p>
    <w:p>
      <w:pPr>
        <w:pStyle w:val="7"/>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23. 合同的签订</w:t>
      </w:r>
    </w:p>
    <w:p>
      <w:pPr>
        <w:widowControl/>
        <w:shd w:val="clear" w:color="auto" w:fill="FFFFFF"/>
        <w:spacing w:line="360" w:lineRule="auto"/>
        <w:ind w:firstLine="480" w:firstLineChars="200"/>
        <w:jc w:val="left"/>
        <w:rPr>
          <w:rFonts w:hint="eastAsia" w:ascii="仿宋" w:hAnsi="仿宋" w:eastAsia="仿宋" w:cs="Arial"/>
          <w:color w:val="auto"/>
          <w:kern w:val="0"/>
          <w:sz w:val="24"/>
          <w:highlight w:val="none"/>
        </w:rPr>
      </w:pPr>
      <w:r>
        <w:rPr>
          <w:rFonts w:hint="eastAsia" w:ascii="仿宋" w:hAnsi="仿宋" w:eastAsia="仿宋" w:cs="仿宋_GB2312"/>
          <w:color w:val="auto"/>
          <w:sz w:val="24"/>
          <w:highlight w:val="none"/>
        </w:rPr>
        <w:t>23.1</w:t>
      </w:r>
      <w:r>
        <w:rPr>
          <w:rFonts w:hint="eastAsia" w:ascii="仿宋" w:hAnsi="仿宋" w:eastAsia="仿宋" w:cs="Arial"/>
          <w:color w:val="auto"/>
          <w:kern w:val="0"/>
          <w:sz w:val="24"/>
          <w:highlight w:val="none"/>
        </w:rPr>
        <w:t xml:space="preserve"> 采购人与中标人应当在中标通知书发出之日起三十日内，按照招标文件确定的事项签订政府采购合同。</w:t>
      </w:r>
    </w:p>
    <w:p>
      <w:pPr>
        <w:widowControl/>
        <w:shd w:val="clear" w:color="auto" w:fill="FFFFFF"/>
        <w:spacing w:line="360" w:lineRule="auto"/>
        <w:ind w:firstLine="480" w:firstLineChars="200"/>
        <w:jc w:val="left"/>
        <w:rPr>
          <w:rFonts w:hint="eastAsia" w:ascii="仿宋" w:hAnsi="仿宋" w:eastAsia="仿宋" w:cs="Arial"/>
          <w:color w:val="auto"/>
          <w:kern w:val="0"/>
          <w:sz w:val="24"/>
          <w:highlight w:val="none"/>
        </w:rPr>
      </w:pPr>
      <w:r>
        <w:rPr>
          <w:rFonts w:hint="eastAsia" w:ascii="仿宋" w:hAnsi="仿宋" w:eastAsia="仿宋" w:cs="仿宋"/>
          <w:color w:val="auto"/>
          <w:sz w:val="24"/>
          <w:szCs w:val="24"/>
          <w:highlight w:val="none"/>
          <w:shd w:val="clear" w:color="auto" w:fill="FFFFFF"/>
        </w:rPr>
        <w:t>采购人应当自政府采购合同签订之日起</w:t>
      </w:r>
      <w:r>
        <w:rPr>
          <w:rFonts w:ascii="仿宋" w:hAnsi="仿宋" w:eastAsia="仿宋" w:cs="仿宋"/>
          <w:color w:val="auto"/>
          <w:sz w:val="24"/>
          <w:szCs w:val="24"/>
          <w:highlight w:val="none"/>
          <w:shd w:val="clear" w:color="auto" w:fill="FFFFFF"/>
        </w:rPr>
        <w:t>2</w:t>
      </w:r>
      <w:r>
        <w:rPr>
          <w:rFonts w:hint="eastAsia" w:ascii="仿宋" w:hAnsi="仿宋" w:eastAsia="仿宋" w:cs="仿宋"/>
          <w:color w:val="auto"/>
          <w:sz w:val="24"/>
          <w:szCs w:val="24"/>
          <w:highlight w:val="none"/>
          <w:shd w:val="clear" w:color="auto" w:fill="FFFFFF"/>
        </w:rPr>
        <w:t>个工作日内，将政府采购合同在省级以上人民政府财政部门指定的媒体上公告，但政府采购合同中涉及国家秘密、商业秘密的内容除外。</w:t>
      </w:r>
      <w:r>
        <w:rPr>
          <w:rFonts w:hint="eastAsia" w:ascii="仿宋" w:hAnsi="仿宋" w:eastAsia="仿宋" w:cs="仿宋"/>
          <w:color w:val="auto"/>
          <w:kern w:val="0"/>
          <w:sz w:val="24"/>
          <w:szCs w:val="24"/>
          <w:highlight w:val="none"/>
        </w:rPr>
        <w:t>政府采购项目的采购合同自签订之日起七个工作日内，采购人应当将合同副本报同级政府采购监督管理部门和有关部门备案，同时将合同副本送至交易中心存档。</w:t>
      </w:r>
    </w:p>
    <w:p>
      <w:pPr>
        <w:pStyle w:val="23"/>
        <w:snapToGrid w:val="0"/>
        <w:ind w:firstLine="480"/>
        <w:rPr>
          <w:rFonts w:ascii="仿宋" w:hAnsi="仿宋" w:eastAsia="仿宋"/>
          <w:color w:val="auto"/>
          <w:kern w:val="0"/>
          <w:highlight w:val="none"/>
        </w:rPr>
      </w:pPr>
      <w:r>
        <w:rPr>
          <w:rFonts w:hint="eastAsia" w:ascii="仿宋" w:hAnsi="仿宋" w:eastAsia="仿宋" w:cs="仿宋_GB2312"/>
          <w:color w:val="auto"/>
          <w:kern w:val="0"/>
          <w:highlight w:val="none"/>
          <w:lang w:val="zh-CN"/>
        </w:rPr>
        <w:t>2</w:t>
      </w:r>
      <w:r>
        <w:rPr>
          <w:rFonts w:hint="eastAsia" w:ascii="仿宋" w:hAnsi="仿宋" w:eastAsia="仿宋" w:cs="仿宋_GB2312"/>
          <w:color w:val="auto"/>
          <w:kern w:val="0"/>
          <w:highlight w:val="none"/>
        </w:rPr>
        <w:t>3</w:t>
      </w:r>
      <w:r>
        <w:rPr>
          <w:rFonts w:hint="eastAsia" w:ascii="仿宋" w:hAnsi="仿宋" w:eastAsia="仿宋" w:cs="仿宋_GB2312"/>
          <w:color w:val="auto"/>
          <w:kern w:val="0"/>
          <w:highlight w:val="none"/>
          <w:lang w:val="zh-CN"/>
        </w:rPr>
        <w:t>.2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23"/>
        <w:snapToGrid w:val="0"/>
        <w:ind w:firstLine="480"/>
        <w:rPr>
          <w:rFonts w:ascii="仿宋" w:hAnsi="仿宋" w:eastAsia="仿宋" w:cs="仿宋_GB2312"/>
          <w:color w:val="auto"/>
          <w:highlight w:val="none"/>
        </w:rPr>
      </w:pPr>
      <w:r>
        <w:rPr>
          <w:rFonts w:hint="eastAsia" w:ascii="仿宋" w:hAnsi="仿宋" w:eastAsia="仿宋" w:cs="仿宋_GB2312"/>
          <w:color w:val="auto"/>
          <w:highlight w:val="none"/>
        </w:rPr>
        <w:t>23.3如签订合同并生效后，供应商无故拒绝或延期，除按照合同条款处理外，列入不良行为记录一次，并给予通报。</w:t>
      </w:r>
    </w:p>
    <w:p>
      <w:pPr>
        <w:pStyle w:val="23"/>
        <w:snapToGrid w:val="0"/>
        <w:ind w:firstLine="480"/>
        <w:rPr>
          <w:rFonts w:ascii="仿宋" w:hAnsi="仿宋" w:eastAsia="仿宋" w:cs="仿宋_GB2312"/>
          <w:color w:val="auto"/>
          <w:highlight w:val="none"/>
        </w:rPr>
      </w:pPr>
      <w:r>
        <w:rPr>
          <w:rFonts w:hint="eastAsia" w:ascii="仿宋" w:hAnsi="仿宋" w:eastAsia="仿宋" w:cs="仿宋_GB2312"/>
          <w:color w:val="auto"/>
          <w:highlight w:val="none"/>
        </w:rPr>
        <w:t>23.4中标供应商拒绝与采购人签订合同的，采购人可以按照评审报告推荐的中标或者成交候选人名单排序，确定下一候选人为中标供应商，也可以重新开展政府采购活动。</w:t>
      </w:r>
    </w:p>
    <w:p>
      <w:pPr>
        <w:pStyle w:val="7"/>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24. 履约保证金</w:t>
      </w:r>
    </w:p>
    <w:p>
      <w:pPr>
        <w:tabs>
          <w:tab w:val="left" w:pos="0"/>
        </w:tabs>
        <w:spacing w:line="360" w:lineRule="auto"/>
        <w:ind w:firstLine="480" w:firstLineChars="200"/>
        <w:rPr>
          <w:rFonts w:ascii="仿宋" w:hAnsi="仿宋" w:eastAsia="仿宋"/>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。履约保证金的数额不得超过政府采购合同金额的5%。</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八、验收</w:t>
      </w:r>
    </w:p>
    <w:p>
      <w:pPr>
        <w:pStyle w:val="7"/>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25.验收</w:t>
      </w:r>
    </w:p>
    <w:p>
      <w:pPr>
        <w:tabs>
          <w:tab w:val="left" w:pos="0"/>
        </w:tabs>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25.2采购人可以邀请参加本项目的其他投标人或者第三方机构参与验收。参与验收的投标人或者第三方机构的意见作为验收书的参考资料一并存档。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25.3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ascii="仿宋" w:hAnsi="仿宋" w:eastAsia="仿宋" w:cs="Helvetica"/>
          <w:color w:val="auto"/>
          <w:kern w:val="0"/>
          <w:sz w:val="24"/>
          <w:highlight w:val="none"/>
        </w:rPr>
        <w:sectPr>
          <w:pgSz w:w="11906" w:h="16838"/>
          <w:pgMar w:top="1440" w:right="1274" w:bottom="1440" w:left="1560" w:header="930" w:footer="992" w:gutter="0"/>
          <w:cols w:space="425" w:num="1"/>
          <w:docGrid w:type="lines" w:linePitch="312" w:charSpace="0"/>
        </w:sectPr>
      </w:pPr>
      <w:r>
        <w:rPr>
          <w:rFonts w:hint="eastAsia" w:ascii="仿宋" w:hAnsi="仿宋" w:eastAsia="仿宋" w:cs="Helvetica"/>
          <w:color w:val="auto"/>
          <w:kern w:val="0"/>
          <w:sz w:val="24"/>
          <w:highlight w:val="none"/>
        </w:rPr>
        <w:t>25.4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52"/>
    </w:p>
    <w:p>
      <w:pPr>
        <w:numPr>
          <w:ilvl w:val="0"/>
          <w:numId w:val="3"/>
        </w:numPr>
        <w:tabs>
          <w:tab w:val="left" w:pos="0"/>
        </w:tabs>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 xml:space="preserve">  采购需求</w:t>
      </w:r>
    </w:p>
    <w:p>
      <w:pPr>
        <w:spacing w:line="288" w:lineRule="auto"/>
        <w:rPr>
          <w:rFonts w:ascii="宋体" w:hAnsi="宋体"/>
          <w:b/>
          <w:color w:val="auto"/>
          <w:szCs w:val="21"/>
          <w:highlight w:val="none"/>
        </w:rPr>
      </w:pPr>
    </w:p>
    <w:p>
      <w:pPr>
        <w:autoSpaceDE w:val="0"/>
        <w:autoSpaceDN w:val="0"/>
        <w:spacing w:line="360" w:lineRule="auto"/>
        <w:ind w:firstLine="562" w:firstLineChars="200"/>
        <w:jc w:val="center"/>
        <w:rPr>
          <w:rFonts w:ascii="仿宋" w:hAnsi="仿宋" w:eastAsia="仿宋" w:cs="仿宋"/>
          <w:b/>
          <w:bCs/>
          <w:color w:val="auto"/>
          <w:sz w:val="28"/>
          <w:szCs w:val="28"/>
          <w:highlight w:val="none"/>
          <w:lang w:eastAsia="en-US"/>
        </w:rPr>
      </w:pPr>
      <w:r>
        <w:rPr>
          <w:rFonts w:hint="eastAsia" w:ascii="仿宋" w:hAnsi="仿宋" w:eastAsia="仿宋" w:cs="仿宋"/>
          <w:b/>
          <w:bCs/>
          <w:color w:val="auto"/>
          <w:sz w:val="28"/>
          <w:szCs w:val="28"/>
          <w:highlight w:val="none"/>
        </w:rPr>
        <w:t>第一章、技术需求</w:t>
      </w:r>
    </w:p>
    <w:p>
      <w:pPr>
        <w:autoSpaceDE w:val="0"/>
        <w:autoSpaceDN w:val="0"/>
        <w:spacing w:line="360" w:lineRule="auto"/>
        <w:ind w:firstLine="482" w:firstLineChars="200"/>
        <w:rPr>
          <w:rFonts w:ascii="仿宋" w:hAnsi="仿宋" w:eastAsia="仿宋" w:cs="仿宋"/>
          <w:b/>
          <w:color w:val="auto"/>
          <w:sz w:val="24"/>
          <w:highlight w:val="none"/>
          <w:lang w:eastAsia="en-US"/>
        </w:rPr>
      </w:pPr>
      <w:r>
        <w:rPr>
          <w:rFonts w:hint="eastAsia" w:ascii="仿宋" w:hAnsi="仿宋" w:eastAsia="仿宋" w:cs="仿宋"/>
          <w:b/>
          <w:bCs/>
          <w:color w:val="auto"/>
          <w:sz w:val="24"/>
          <w:highlight w:val="none"/>
          <w:lang w:eastAsia="en-US"/>
        </w:rPr>
        <w:t>一、项目概况</w:t>
      </w:r>
    </w:p>
    <w:p>
      <w:pPr>
        <w:autoSpaceDE w:val="0"/>
        <w:autoSpaceDN w:val="0"/>
        <w:spacing w:line="360" w:lineRule="auto"/>
        <w:ind w:firstLine="482" w:firstLineChars="200"/>
        <w:rPr>
          <w:rFonts w:ascii="仿宋" w:hAnsi="仿宋" w:eastAsia="仿宋" w:cs="仿宋"/>
          <w:b/>
          <w:color w:val="auto"/>
          <w:kern w:val="0"/>
          <w:sz w:val="24"/>
          <w:highlight w:val="none"/>
          <w:lang w:eastAsia="en-US"/>
        </w:rPr>
      </w:pPr>
      <w:r>
        <w:rPr>
          <w:rFonts w:hint="eastAsia" w:ascii="仿宋" w:hAnsi="仿宋" w:eastAsia="仿宋" w:cs="仿宋"/>
          <w:b/>
          <w:color w:val="auto"/>
          <w:kern w:val="0"/>
          <w:sz w:val="24"/>
          <w:highlight w:val="none"/>
          <w:lang w:eastAsia="en-US"/>
        </w:rPr>
        <w:t>（一）采购内容</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1.项目名称：全区泵站提升改造工程设备采购</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2.项目内容：</w:t>
      </w:r>
    </w:p>
    <w:p>
      <w:pPr>
        <w:autoSpaceDE w:val="0"/>
        <w:autoSpaceDN w:val="0"/>
        <w:spacing w:line="360" w:lineRule="auto"/>
        <w:ind w:firstLine="480" w:firstLineChars="200"/>
        <w:rPr>
          <w:rFonts w:ascii="仿宋" w:hAnsi="仿宋" w:eastAsia="仿宋" w:cs="仿宋"/>
          <w:color w:val="auto"/>
          <w:sz w:val="24"/>
          <w:highlight w:val="none"/>
        </w:rPr>
      </w:pPr>
      <w:bookmarkStart w:id="53" w:name="_TOC_250016"/>
      <w:bookmarkEnd w:id="53"/>
      <w:r>
        <w:rPr>
          <w:rFonts w:hint="eastAsia" w:ascii="仿宋" w:hAnsi="仿宋" w:eastAsia="仿宋" w:cs="仿宋"/>
          <w:color w:val="auto"/>
          <w:sz w:val="24"/>
          <w:highlight w:val="none"/>
        </w:rPr>
        <w:t>本次项目主要对下沙片区(文渊北路污水泵站、农垦路污水泵站、文渊北路雨水泵站、元成路雨水泵站、一号箱涵临时污水泵站)泵站水泵更换及附属设施改造；下沙片区(规划一号泵站、东部四号污水泵站、高教东区污水泵站、东部一号污水泵站、文渊北路雨水泵站)5座泵站格栅、闸、阀、EPS电源及附属设施改造；本次设计主要对下沙片区(1号泵站、三号污水泵站、高教东区污水泵站、东部一号污水泵站、东部二号污水泵站、东部三号污水泵站、规划一号污水泵站、高教西区污水泵站)8座泵站除臭设备改造；江东片区江东1#、2#、A、B等泵站水泵、格栅及附属设施进行更换。</w:t>
      </w:r>
    </w:p>
    <w:p>
      <w:pPr>
        <w:autoSpaceDE w:val="0"/>
        <w:autoSpaceDN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bCs/>
          <w:color w:val="auto"/>
          <w:sz w:val="24"/>
          <w:highlight w:val="none"/>
        </w:rPr>
        <w:t>二、基本要求</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（一）总则</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1.投标人需按本采购文件的要求完成设备/设施的设计、制造、运输、安装、调试及试运行、验收、培训及售后服务等工作。按工作顺序提交所需的技术资料，所有资料必须符合本采购文件的要求。</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2.对招标需求，投标文件中须进行一一对应的响应描述，评标委员会以投标文件中的相关方案、数据、资料作为评审依据。</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3.投标人务必确保响应内容的真实性、有效性。中标</w:t>
      </w:r>
      <w:r>
        <w:rPr>
          <w:rFonts w:hint="eastAsia" w:ascii="仿宋" w:hAnsi="仿宋" w:eastAsia="仿宋" w:cs="仿宋"/>
          <w:color w:val="auto"/>
          <w:sz w:val="24"/>
          <w:highlight w:val="none"/>
          <w:lang w:val="en-US" w:eastAsia="zh-CN"/>
        </w:rPr>
        <w:t>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en-US" w:eastAsia="zh-CN"/>
        </w:rPr>
        <w:t>相应的材料（如业绩等证明材料）将进行网上公示，且</w:t>
      </w:r>
      <w:r>
        <w:rPr>
          <w:rFonts w:hint="eastAsia" w:ascii="仿宋" w:hAnsi="仿宋" w:eastAsia="仿宋" w:cs="仿宋"/>
          <w:color w:val="auto"/>
          <w:sz w:val="24"/>
          <w:highlight w:val="none"/>
        </w:rPr>
        <w:t>采购人有权要求中标</w:t>
      </w:r>
      <w:r>
        <w:rPr>
          <w:rFonts w:hint="eastAsia" w:ascii="仿宋" w:hAnsi="仿宋" w:eastAsia="仿宋" w:cs="仿宋"/>
          <w:color w:val="auto"/>
          <w:sz w:val="24"/>
          <w:highlight w:val="none"/>
          <w:lang w:val="en-US" w:eastAsia="zh-CN"/>
        </w:rPr>
        <w:t>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en-US" w:eastAsia="zh-CN"/>
        </w:rPr>
        <w:t>在24小时内</w:t>
      </w:r>
      <w:r>
        <w:rPr>
          <w:rFonts w:hint="eastAsia" w:ascii="仿宋" w:hAnsi="仿宋" w:eastAsia="仿宋" w:cs="仿宋"/>
          <w:color w:val="auto"/>
          <w:sz w:val="24"/>
          <w:highlight w:val="none"/>
        </w:rPr>
        <w:t>提供相应资料的原件备查，若发现投标响应的参数及资料弄虚作假的，采购人将取消中标</w:t>
      </w:r>
      <w:r>
        <w:rPr>
          <w:rFonts w:hint="eastAsia" w:ascii="仿宋" w:hAnsi="仿宋" w:eastAsia="仿宋" w:cs="仿宋"/>
          <w:color w:val="auto"/>
          <w:sz w:val="24"/>
          <w:highlight w:val="none"/>
          <w:lang w:val="en-US" w:eastAsia="zh-CN"/>
        </w:rPr>
        <w:t>候选</w:t>
      </w:r>
      <w:r>
        <w:rPr>
          <w:rFonts w:hint="eastAsia" w:ascii="仿宋" w:hAnsi="仿宋" w:eastAsia="仿宋" w:cs="仿宋"/>
          <w:color w:val="auto"/>
          <w:sz w:val="24"/>
          <w:highlight w:val="none"/>
        </w:rPr>
        <w:t>人的中标资格，并将追究中标人的法律及经济责任。</w:t>
      </w:r>
    </w:p>
    <w:p>
      <w:pPr>
        <w:autoSpaceDE w:val="0"/>
        <w:autoSpaceDN w:val="0"/>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投标人必须对项目实施环境及作业条件进行综合评估并制定具有针对性的专项方案。在中标后15天内提供具有现场针对性的有限空间作业、有毒有害气体检测、施工临时用电、污水导流、泵站清淤、起重机吊装等专项方案。逾期未提交的，招标人有权取消中标人的中标资格。</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.中标人必须确保整体性能、使用效果达到采购人要求（或整改后达到招标要求）。同时，投标人必须保证产品能满足国家规定的技术及节能环保要求（如有）。</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（二）执行标准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1.项目图纸、设计文稿</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2.国家标准、国家现行规范(如有新标准请务必按最新标准执行)</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《离心泵技术条件（Ⅰ类）》</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 16907-1997</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《离心泵技术条件（Ⅱ类）》</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 5656-2008</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《钢制压力容器》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GB150-1998</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《气压给水设计规范》</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CECS76:95</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《回转动力水泵水力性能验收试验 1 级和 2 级》</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GB/T3216-2005</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《旋转电机 定额和性能》</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GB755-2008</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《中小型旋转电机安全通用要求》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GB14711-93</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《泵产品涂漆技术条件》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JB/T4297-2008</w:t>
      </w:r>
    </w:p>
    <w:p>
      <w:pPr>
        <w:tabs>
          <w:tab w:val="left" w:pos="5163"/>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《水泵流量的测定方法》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GB/T3214-2007</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《产品标牌》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GB/T13306-1991</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《泵的振动测量和评价方法》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JB/T8097-1999</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《泵的噪声测量和评价方法》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JB/T8098-1999</w:t>
      </w:r>
    </w:p>
    <w:p>
      <w:pPr>
        <w:tabs>
          <w:tab w:val="left" w:pos="5319"/>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《旋转电机整体结构的防护等级（IP 代码）》</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GB4942.1-2006</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《低压成套开关设备和电控设备基本试验方法》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 10233-2005</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《电气控制设备》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GB/T3797-2005</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《潜水排污泵》</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CJ/T3038-1995</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《潜水电泵用机械密封技术条件》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JB/T5966-1995</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《污水污物潜水电泵》</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JB/T5118-2001</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《潜水电泵试验方法》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GB/T12785-2002</w:t>
      </w:r>
    </w:p>
    <w:p>
      <w:pPr>
        <w:tabs>
          <w:tab w:val="left" w:pos="5163"/>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《离心泵的技术规范》</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ISO 5199</w:t>
      </w:r>
    </w:p>
    <w:p>
      <w:pPr>
        <w:tabs>
          <w:tab w:val="left" w:pos="5215"/>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《Y2 系列（IP54）三相异步电动机技术条件》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JB/T8680.1-1998</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《外壳防护等级的分类》</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IEC TC529</w:t>
      </w:r>
    </w:p>
    <w:p>
      <w:pPr>
        <w:tabs>
          <w:tab w:val="left" w:pos="5163"/>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《低压开关设备和控制设备总则》</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GB/T14048.1-2000</w:t>
      </w:r>
    </w:p>
    <w:p>
      <w:pPr>
        <w:tabs>
          <w:tab w:val="left" w:pos="337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《低压开关设备和控制设备 自动转换开关电器》 GB14048.11-2008</w:t>
      </w:r>
    </w:p>
    <w:p>
      <w:pPr>
        <w:tabs>
          <w:tab w:val="left" w:pos="52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《低压开关设备和控制设备 低压断路器》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GB14048.2-2001</w:t>
      </w:r>
    </w:p>
    <w:p>
      <w:pPr>
        <w:tabs>
          <w:tab w:val="left" w:pos="3761"/>
        </w:tabs>
        <w:autoSpaceDE w:val="0"/>
        <w:autoSpaceDN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《低压开关设备和控制设备 低压开关、隔离器、隔离开关及熔断器组合电器》GB14048.3-2002</w:t>
      </w:r>
    </w:p>
    <w:p>
      <w:pPr>
        <w:tabs>
          <w:tab w:val="left" w:pos="5371"/>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《低压成套开关设备和控制设备》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GB7251.1-2005</w:t>
      </w:r>
    </w:p>
    <w:p>
      <w:pPr>
        <w:tabs>
          <w:tab w:val="left" w:pos="5371"/>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《电器设备外壳防护等级》</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GB20138-2006</w:t>
      </w:r>
    </w:p>
    <w:p>
      <w:pPr>
        <w:tabs>
          <w:tab w:val="left" w:pos="553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《外壳防护等级(IP 代码)》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GB4208-1993</w:t>
      </w:r>
    </w:p>
    <w:p>
      <w:pPr>
        <w:tabs>
          <w:tab w:val="left" w:pos="5371"/>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《旋转电机尺寸及输出功率等级》</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GB4772.1-3-1999</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《电磁兼容试验和测量技术 抗静电放电抗扰度试验》 GB/T 17626.2-1998</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《中小型三相异步电动机能效限定值及能效等级》   （GB18613–2012）</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《恶臭污染物排放标准》</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（三）项目特点</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本项目属于市政管网所属污水泵房设备采购，设备主要包括：潜水泵、格栅除污机、螺旋输送机、各类阀门、闸门、启闭机、除臭工艺设备等。该项目有如下特点，对设备提出了较高要求：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1.泵站区域的生产废水排水波动较大，且上游雨污分流情况不理想。</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2.进水水质与普通市政污水不同，腐蚀性、酸碱性强，水温较高，水中含泥量大，也有固体和长纤维的情形。根据项目现场实测，污水水温区间为 5°C-65°C 之间，有时甚至长期达到65-70°C。介质酸碱度大，PH 值在 2-12 之间。各类与水接触设备均要求有良好的耐高温、耐腐蚀性能。</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3.项目进水水质较为复杂，废气排放成分复杂且浓度较高，除臭工艺采用二级干式滤料除臭方式，要求排放达到最新环保标准。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投标人务必重视本项目的特点。投标人的投标方案应具备针对性、可操作性；投标人的货物应确保可以长期、高效运行在恶劣工况下；投标人提供的案例也应符合上述特点，具有说服力。</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（四）注意事项</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必须提供改造提升方案内的所有设施/设备及要求配置，包含必要的测试或检测，至泵站项目施工现场运输及装卸，原有设备的拆卸（包括设备拆除时须集水池及事故排放井淤泥清理处置、抽水、进水管道及事故排放井管道封堵和拆除工作），新设备材料的现场保管，设备安装（包括设备安装时集水池淤泥清理处置、抽水、进水管道及事故排放井管道封堵和拆除工作及设备基础砼浇筑、灌浆等），系统调试，验收，售后服务，质量缺陷期运行维护及保养等。</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2.各投标人须结合现场踏勘的情况，对相关投标设备的尺寸进行确认，投标人应根据实际尺寸供货。如出现因尺寸偏差而引起的设备选型、生产、安装、调试所产生的所有风险由投标人自行承担。</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3.如有新投入的设备，经调试后，整个泵站系统不得出现兼容性问题。</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4.个别泵站仅有一组设备，不具备不断水施工条件。投标文件提供深化且具有针对性的临时排水方案。具体的详细方案由中标人编制，交采购人备案。</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5.淤泥清理、外运及处置需提供详细方案。</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安全措施，包括设备安全、人员安全（包括但不限于有限空间作业、防范触电、起重机吊装等），投标文件提供详细方案。</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6.除臭设备（含风管、风机、排气筒）为成套设备，投标文件提供初步设计方案。具体的详细方案由中标人编制，交采购人备案。</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7.拆除或安装过程中如有涉及的绿化或市政设施破坏的，需按原状恢复；现场施工产生的垃圾必须及时清理外运。以上费用务必妥善考虑，含入相关报价中。</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8.闸门和清污机等部分设备有许可证要求的，投标采用的型号应具有有效的水工金属结构生产许可证（在水利部产品质量监督总站可查询）。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9.中标人必须做好与采购人、使用部门、其他改造单位的配合、协调工作。如有涉及配合费用的，请自行考虑含入报价。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如中标，中标人必须根据采购人提供的设计方案、本次招标的具体内容，编制最终施工图。施工图经采购人、监理单位书面确认后方可按图实施。实施完成后，由采购人、监理单位、中标人三方对该采购内容进行验收，出具书面验收记录。</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11.采购文件给定的设施数量最终的实施范围以采购人及监理确认的数量为准，且添购资金不得超过合同价的10%。</w:t>
      </w:r>
    </w:p>
    <w:p>
      <w:pPr>
        <w:autoSpaceDE w:val="0"/>
        <w:autoSpaceDN w:val="0"/>
        <w:spacing w:line="360" w:lineRule="auto"/>
        <w:ind w:firstLine="482" w:firstLineChars="200"/>
        <w:rPr>
          <w:rFonts w:ascii="仿宋" w:hAnsi="仿宋" w:eastAsia="仿宋" w:cs="仿宋"/>
          <w:b/>
          <w:color w:val="auto"/>
          <w:sz w:val="24"/>
          <w:highlight w:val="none"/>
        </w:rPr>
      </w:pPr>
      <w:bookmarkStart w:id="54" w:name="_TOC_250015"/>
      <w:bookmarkEnd w:id="54"/>
      <w:r>
        <w:rPr>
          <w:rFonts w:hint="eastAsia" w:ascii="仿宋" w:hAnsi="仿宋" w:eastAsia="仿宋" w:cs="仿宋"/>
          <w:b/>
          <w:bCs/>
          <w:color w:val="auto"/>
          <w:sz w:val="24"/>
          <w:highlight w:val="none"/>
        </w:rPr>
        <w:t>三、招标清单</w:t>
      </w:r>
    </w:p>
    <w:p>
      <w:pPr>
        <w:spacing w:line="360" w:lineRule="auto"/>
        <w:jc w:val="left"/>
        <w:outlineLvl w:val="1"/>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1、下沙片区5座泵站水泵更换及附属设施改造</w:t>
      </w:r>
    </w:p>
    <w:p>
      <w:pPr>
        <w:spacing w:line="360" w:lineRule="auto"/>
        <w:jc w:val="center"/>
        <w:outlineLvl w:val="2"/>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文渊北路污水泵站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080"/>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10"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80"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10"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8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潜污泵350QW1200-15-75</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Q=1200m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H=15m，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N=75kW</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nil"/>
              <w:left w:val="nil"/>
              <w:bottom w:val="single" w:color="auto" w:sz="4" w:space="0"/>
              <w:right w:val="single" w:color="000000" w:sz="4" w:space="0"/>
            </w:tcBorders>
            <w:vAlign w:val="center"/>
          </w:tcPr>
          <w:p>
            <w:pPr>
              <w:jc w:val="left"/>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jc w:val="left"/>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 w:hRule="atLeast"/>
        </w:trPr>
        <w:tc>
          <w:tcPr>
            <w:tcW w:w="710"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8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10"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8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门字起重机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起重能力3t；</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地面以上高度4m；跨度10m；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固定式，手动，成品采购，含底座（钢板,螺栓）、支柱、轨道等。安装水泵轴线上。</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含固定基础：钢筋砼，1200*1200*1200，见结构图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10"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8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D350×500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10"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8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1000×1000×12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10"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8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包括泵站设备更换时必须进行的通风、气体检测、泵站清淤（暂定100m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jc w:val="center"/>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农垦路污水泵站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潜污泵200QW450-22-45</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450</w:t>
            </w:r>
            <w:r>
              <w:rPr>
                <w:rFonts w:ascii="仿宋" w:hAnsi="仿宋" w:eastAsia="仿宋" w:cs="宋体"/>
                <w:color w:val="auto"/>
                <w:sz w:val="24"/>
                <w:highlight w:val="none"/>
              </w:rPr>
              <w:t>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22</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45</w:t>
            </w:r>
            <w:r>
              <w:rPr>
                <w:rFonts w:ascii="仿宋" w:hAnsi="仿宋" w:eastAsia="仿宋" w:cs="宋体"/>
                <w:color w:val="auto"/>
                <w:sz w:val="24"/>
                <w:highlight w:val="none"/>
              </w:rPr>
              <w:t xml:space="preserve">kW </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jc w:val="left"/>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门字起重机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起重能力3t；</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地面以上高度4m；跨度10m；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固定式，手动，成品采购，含底座（钢板,螺栓）、支柱、轨道等。安装水泵轴线上。</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含固定基础：钢筋砼，1200*1200*1200，见结构图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D200×300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800×800×12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包括泵站设备更换时必须进行的通风、气体检测、泵站清淤（暂定50m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rPr>
          <w:b/>
          <w:color w:val="auto"/>
          <w:highlight w:val="none"/>
        </w:rPr>
      </w:pPr>
      <w:r>
        <w:rPr>
          <w:rFonts w:hint="eastAsia"/>
          <w:b/>
          <w:color w:val="auto"/>
          <w:highlight w:val="none"/>
        </w:rPr>
        <w:t>注：上述设备均包含安装所需相应法兰片、螺栓、线缆等配件,均由厂家配套提供。</w:t>
      </w:r>
    </w:p>
    <w:p>
      <w:pPr>
        <w:rPr>
          <w:rFonts w:hint="eastAsia"/>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文渊北路雨水泵站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136"/>
        <w:gridCol w:w="2055"/>
        <w:gridCol w:w="788"/>
        <w:gridCol w:w="831"/>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13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5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88"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3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339"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13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潜污泵200QW400-10-18.5</w:t>
            </w:r>
          </w:p>
        </w:tc>
        <w:tc>
          <w:tcPr>
            <w:tcW w:w="2055"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400</w:t>
            </w:r>
            <w:r>
              <w:rPr>
                <w:rFonts w:ascii="仿宋" w:hAnsi="仿宋" w:eastAsia="仿宋" w:cs="宋体"/>
                <w:color w:val="auto"/>
                <w:sz w:val="24"/>
                <w:highlight w:val="none"/>
              </w:rPr>
              <w:t>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10</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18.5</w:t>
            </w:r>
            <w:r>
              <w:rPr>
                <w:rFonts w:ascii="仿宋" w:hAnsi="仿宋" w:eastAsia="仿宋" w:cs="宋体"/>
                <w:color w:val="auto"/>
                <w:sz w:val="24"/>
                <w:highlight w:val="none"/>
              </w:rPr>
              <w:t xml:space="preserve">kW </w:t>
            </w:r>
          </w:p>
        </w:tc>
        <w:tc>
          <w:tcPr>
            <w:tcW w:w="788"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3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3339"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一控三</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D200×300</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800×800×12</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包括泵站设备更换时必须进行的通风、气体检测、泵站清淤（暂定20m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rPr>
          <w:b/>
          <w:color w:val="auto"/>
          <w:highlight w:val="none"/>
        </w:rPr>
      </w:pPr>
      <w:r>
        <w:rPr>
          <w:rFonts w:hint="eastAsia"/>
          <w:b/>
          <w:color w:val="auto"/>
          <w:highlight w:val="none"/>
        </w:rPr>
        <w:t>注：上述设备均包含安装所需相应法兰片、螺栓、线缆等配件,均由厂家配套提供。</w:t>
      </w:r>
    </w:p>
    <w:p>
      <w:pPr>
        <w:rPr>
          <w:b/>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元成路雨水泵站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136"/>
        <w:gridCol w:w="2055"/>
        <w:gridCol w:w="788"/>
        <w:gridCol w:w="831"/>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13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5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88"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3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339"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13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潜污泵150WQ210-7-7.5</w:t>
            </w:r>
          </w:p>
        </w:tc>
        <w:tc>
          <w:tcPr>
            <w:tcW w:w="2055"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210</w:t>
            </w:r>
            <w:r>
              <w:rPr>
                <w:rFonts w:ascii="仿宋" w:hAnsi="仿宋" w:eastAsia="仿宋" w:cs="宋体"/>
                <w:color w:val="auto"/>
                <w:sz w:val="24"/>
                <w:highlight w:val="none"/>
              </w:rPr>
              <w:t>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7</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7.5</w:t>
            </w:r>
            <w:r>
              <w:rPr>
                <w:rFonts w:ascii="仿宋" w:hAnsi="仿宋" w:eastAsia="仿宋" w:cs="宋体"/>
                <w:color w:val="auto"/>
                <w:sz w:val="24"/>
                <w:highlight w:val="none"/>
              </w:rPr>
              <w:t>kW</w:t>
            </w:r>
          </w:p>
        </w:tc>
        <w:tc>
          <w:tcPr>
            <w:tcW w:w="788"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3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D150×250</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800×800×12</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包括泵站设备更换时必须进行的通风、气体检测、泵站清淤（暂定20m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rPr>
          <w:b/>
          <w:color w:val="auto"/>
          <w:highlight w:val="none"/>
        </w:rPr>
      </w:pPr>
      <w:r>
        <w:rPr>
          <w:rFonts w:hint="eastAsia"/>
          <w:b/>
          <w:color w:val="auto"/>
          <w:highlight w:val="none"/>
        </w:rPr>
        <w:t>注：上述设备均包含安装所需相应法兰片、螺栓、线缆等配件,均由厂家配套提供。</w:t>
      </w:r>
    </w:p>
    <w:p>
      <w:pPr>
        <w:rPr>
          <w:rFonts w:hint="eastAsia"/>
          <w:color w:val="auto"/>
          <w:highlight w:val="none"/>
        </w:rPr>
      </w:pPr>
    </w:p>
    <w:p>
      <w:pPr>
        <w:rPr>
          <w:rFonts w:hint="eastAsia"/>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一号箱涵临时污水泵站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136"/>
        <w:gridCol w:w="2055"/>
        <w:gridCol w:w="788"/>
        <w:gridCol w:w="831"/>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13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5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88"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3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339"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13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潜污泵200WQ400-7-15</w:t>
            </w:r>
          </w:p>
        </w:tc>
        <w:tc>
          <w:tcPr>
            <w:tcW w:w="2055"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400</w:t>
            </w:r>
            <w:r>
              <w:rPr>
                <w:rFonts w:ascii="仿宋" w:hAnsi="仿宋" w:eastAsia="仿宋" w:cs="宋体"/>
                <w:color w:val="auto"/>
                <w:sz w:val="24"/>
                <w:highlight w:val="none"/>
              </w:rPr>
              <w:t>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7</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15</w:t>
            </w:r>
            <w:r>
              <w:rPr>
                <w:rFonts w:ascii="仿宋" w:hAnsi="仿宋" w:eastAsia="仿宋" w:cs="宋体"/>
                <w:color w:val="auto"/>
                <w:sz w:val="24"/>
                <w:highlight w:val="none"/>
              </w:rPr>
              <w:t>kW</w:t>
            </w:r>
          </w:p>
        </w:tc>
        <w:tc>
          <w:tcPr>
            <w:tcW w:w="788"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3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D200×300</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800×800×12</w:t>
            </w: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13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5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88"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3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339"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包括泵站设备更换时必须进行的封堵（气囊及砖墙）、导流临排措施、通风、气体检测、泵站清淤（暂定20m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rPr>
          <w:b/>
          <w:color w:val="auto"/>
          <w:highlight w:val="none"/>
        </w:rPr>
      </w:pPr>
      <w:r>
        <w:rPr>
          <w:rFonts w:hint="eastAsia"/>
          <w:b/>
          <w:color w:val="auto"/>
          <w:highlight w:val="none"/>
        </w:rPr>
        <w:t>注：上述设备均包含安装所需相应法兰片、螺栓、线缆等配件,均由厂家配套提供。</w:t>
      </w:r>
    </w:p>
    <w:p>
      <w:pPr>
        <w:widowControl/>
        <w:jc w:val="left"/>
        <w:rPr>
          <w:rFonts w:ascii="宋体" w:hAnsi="宋体" w:cs="宋体"/>
          <w:b/>
          <w:bCs/>
          <w:color w:val="auto"/>
          <w:kern w:val="0"/>
          <w:sz w:val="24"/>
          <w:highlight w:val="none"/>
        </w:rPr>
      </w:pPr>
    </w:p>
    <w:p>
      <w:pPr>
        <w:spacing w:line="276" w:lineRule="auto"/>
        <w:jc w:val="left"/>
        <w:outlineLvl w:val="1"/>
        <w:rPr>
          <w:rFonts w:ascii="宋体" w:hAnsi="宋体" w:cs="宋体"/>
          <w:b/>
          <w:bCs/>
          <w:color w:val="auto"/>
          <w:kern w:val="0"/>
          <w:sz w:val="24"/>
          <w:highlight w:val="none"/>
        </w:rPr>
      </w:pPr>
      <w:r>
        <w:rPr>
          <w:rFonts w:hint="eastAsia" w:ascii="宋体" w:hAnsi="宋体" w:cs="宋体"/>
          <w:b/>
          <w:bCs/>
          <w:color w:val="auto"/>
          <w:kern w:val="0"/>
          <w:sz w:val="24"/>
          <w:highlight w:val="none"/>
        </w:rPr>
        <w:t>2、下沙片区5座泵站格栅、闸、阀、EPS电源及附属设施改造</w:t>
      </w: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规划一号污水泵站一期</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手电两用弹性座封闸阀</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DN800</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个</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原阀门需拆除。带防潮、防爆电机，N=1.5kW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手电两用弹性座封偏心旋塞阀</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DN800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原阀门需拆除。带防潮、防爆电机，N=1.5kW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弹性座封闸阀</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DN350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59°斜钢梯T3A07</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B=0.7m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H=4.9m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原钢梯需拆除。参国标图集15J401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进水管防腐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DN800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原管道表面锈渣需清理干净。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出水管防腐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DN350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原管道表面锈渣需清理干净。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7</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出水管防腐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DN400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原管道表面锈渣需清理干净。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1000×1000×12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不锈钢栏杆</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H=1.2m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16</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800×800（闸板厚度≥15mm）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原闸门需拆除。双向止水，配不锈钢螺杆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1200×1200（闸板厚度≥20mm）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新增泵站总管进水闸门，双向止水，配不锈钢螺杆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启闭力2吨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原启闭机需拆除。配防爆、防潮电机，现场可控制启闭机在现状基础上提高1.5m安装，提高采用钢筋砼。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包括泵站设备更换时必须进行的封堵（气囊及砖墙）、导流临排措施、通风、气体检测、泵站清淤（暂定100m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规划一号污水泵站二期</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手电两用弹性座封闸阀</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w:t>
            </w:r>
            <w:r>
              <w:rPr>
                <w:rFonts w:hint="eastAsia" w:ascii="仿宋" w:hAnsi="仿宋" w:eastAsia="仿宋" w:cs="宋体"/>
                <w:color w:val="auto"/>
                <w:sz w:val="24"/>
                <w:highlight w:val="none"/>
              </w:rPr>
              <w:t>10</w:t>
            </w:r>
            <w:r>
              <w:rPr>
                <w:rFonts w:ascii="仿宋" w:hAnsi="仿宋" w:eastAsia="仿宋" w:cs="宋体"/>
                <w:color w:val="auto"/>
                <w:sz w:val="24"/>
                <w:highlight w:val="none"/>
              </w:rPr>
              <w:t>00</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个</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原阀门需拆除。带防潮、防爆电机，N=1.5kW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回转式格栅除污机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栅宽1800mm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栅条净距20mm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N=2.0KW</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格栅深度h=4.9m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原设备需拆除。格栅深度为暂估，安装前需复核，包含电气控制箱2套，排渣口高1000mm。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机架采用304不锈钢(厚度≥8mm)；耙齿采用增强尼龙(厚度≥4mm)。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螺旋输送压榨机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L=8.0m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N=3.0kw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新增。出渣口高≥1000mm，包含螺旋输送机电气控制箱1套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不锈钢栏杆</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H=1.2m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16</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1000×1000（闸板厚度≥20mm）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原闸门需拆除。双向受力型，反向6m，配不锈钢螺杆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1600×1600（闸板厚度≥25mm）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新增。双向受力型，反向6m，配不锈钢螺杆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7</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启闭力2吨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原启闭机需拆除。配防爆、防潮电机，现场可控制启闭机在现状基础上提高1.5m安装，提高采用钢筋砼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启闭力3吨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原启闭机需拆除。配防爆、防潮电机，现场可控制启闭机在现状基础上提高1.5m安装，提高采用钢筋砼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EPS电源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15kW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新增。置于室外，防护等级IP65，配套电缆。供进水阀门和闸门使用。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门字起重机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起重能力3t；</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地面以上高度4m；跨度10m；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固定式，手动，成品采购，含底座（钢板,螺栓）、支柱、轨道等。安装设备出口轴线上。</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含固定基础：现状梁，见结构图</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jc w:val="center"/>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东部1#污水泵站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出水管防腐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DN500~800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原管道表面锈渣需清理干净。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橡胶瓣止回阀</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D500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原止回阀需拆除。</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东部4#污水泵站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螺旋输送压榨机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w:t>
            </w:r>
            <w:r>
              <w:rPr>
                <w:rFonts w:hint="eastAsia" w:ascii="仿宋" w:hAnsi="仿宋" w:eastAsia="仿宋" w:cs="宋体"/>
                <w:color w:val="auto"/>
                <w:sz w:val="24"/>
                <w:highlight w:val="none"/>
              </w:rPr>
              <w:t>6</w:t>
            </w:r>
            <w:r>
              <w:rPr>
                <w:rFonts w:ascii="仿宋" w:hAnsi="仿宋" w:eastAsia="仿宋" w:cs="宋体"/>
                <w:color w:val="auto"/>
                <w:sz w:val="24"/>
                <w:highlight w:val="none"/>
              </w:rPr>
              <w:t>.0m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N=3.0kw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台</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新增。出渣口高≥1000mm，包含螺旋输送机电气控制箱1套</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文渊北路雨水泵站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回转式格栅除污机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栅宽850mm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栅条净距20mm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N=1.5KW</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格栅深度h=4.5m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原设备需拆除。格栅深度为暂估，安装前需复核，包含电气控制箱1套，排渣口高1000mm。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机架采用304不锈钢(厚度≥8mm)；耙齿采用增强尼龙(厚度≥4mm)。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盖板框架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1300×5000</w:t>
            </w:r>
          </w:p>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12.6</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包括泵站设备更换时必须进行的通风、气体检测、泵站清淤（暂定20m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高教东区污水泵站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启闭力2吨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原进水启闭机需拆除。配防爆、防潮电机，现场可控制。</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widowControl/>
        <w:jc w:val="left"/>
        <w:rPr>
          <w:rFonts w:hint="eastAsia" w:ascii="宋体" w:hAnsi="宋体" w:cs="宋体"/>
          <w:b/>
          <w:bCs/>
          <w:color w:val="auto"/>
          <w:kern w:val="0"/>
          <w:sz w:val="24"/>
          <w:highlight w:val="none"/>
        </w:rPr>
      </w:pPr>
    </w:p>
    <w:p>
      <w:pPr>
        <w:widowControl/>
        <w:jc w:val="left"/>
        <w:rPr>
          <w:rFonts w:hint="eastAsia" w:ascii="宋体" w:hAnsi="宋体" w:cs="宋体"/>
          <w:b/>
          <w:bCs/>
          <w:color w:val="auto"/>
          <w:kern w:val="0"/>
          <w:sz w:val="24"/>
          <w:highlight w:val="none"/>
        </w:rPr>
      </w:pPr>
    </w:p>
    <w:p>
      <w:pPr>
        <w:widowControl/>
        <w:jc w:val="left"/>
        <w:rPr>
          <w:rFonts w:ascii="宋体" w:hAnsi="宋体" w:cs="宋体"/>
          <w:b/>
          <w:bCs/>
          <w:color w:val="auto"/>
          <w:kern w:val="0"/>
          <w:sz w:val="24"/>
          <w:highlight w:val="none"/>
        </w:rPr>
      </w:pPr>
    </w:p>
    <w:p>
      <w:pPr>
        <w:spacing w:line="276" w:lineRule="auto"/>
        <w:jc w:val="left"/>
        <w:outlineLvl w:val="1"/>
        <w:rPr>
          <w:rFonts w:ascii="宋体" w:hAnsi="宋体" w:cs="宋体"/>
          <w:b/>
          <w:bCs/>
          <w:color w:val="auto"/>
          <w:kern w:val="0"/>
          <w:sz w:val="24"/>
          <w:highlight w:val="none"/>
        </w:rPr>
      </w:pPr>
      <w:r>
        <w:rPr>
          <w:rFonts w:hint="eastAsia" w:ascii="宋体" w:hAnsi="宋体" w:cs="宋体"/>
          <w:b/>
          <w:bCs/>
          <w:color w:val="auto"/>
          <w:kern w:val="0"/>
          <w:sz w:val="24"/>
          <w:highlight w:val="none"/>
        </w:rPr>
        <w:t>3、下沙片区8座泵站除臭设备改造</w:t>
      </w: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1#污水泵站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L×B×H=2.6m×1.8m×1.8m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不锈钢304，采用矩形全封闭结构安装，含箱体、风管进出接口、干式滤料(含量≥1.8m3)及其支架、过滤网、检修口等。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/h,1000Pa，N=2.2kW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DN400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1300x2200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DN150-DN300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b/>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3#污水泵站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L×B×H=2.6m×1.8m×1.8m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不锈钢304，采用矩形全封闭结构安装，含箱体、风管进出接口、干式滤料(含量≥1.8m3)及其支架、过滤网、检修口等。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/h,1000Pa，N=2.2kW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DN400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210</w:t>
            </w:r>
            <w:r>
              <w:rPr>
                <w:rFonts w:ascii="仿宋" w:hAnsi="仿宋" w:eastAsia="仿宋" w:cs="宋体"/>
                <w:color w:val="auto"/>
                <w:sz w:val="24"/>
                <w:highlight w:val="none"/>
              </w:rPr>
              <w:t>0x</w:t>
            </w:r>
            <w:r>
              <w:rPr>
                <w:rFonts w:hint="eastAsia" w:ascii="仿宋" w:hAnsi="仿宋" w:eastAsia="仿宋" w:cs="宋体"/>
                <w:color w:val="auto"/>
                <w:sz w:val="24"/>
                <w:highlight w:val="none"/>
              </w:rPr>
              <w:t>360</w:t>
            </w:r>
            <w:r>
              <w:rPr>
                <w:rFonts w:ascii="仿宋" w:hAnsi="仿宋" w:eastAsia="仿宋" w:cs="宋体"/>
                <w:color w:val="auto"/>
                <w:sz w:val="24"/>
                <w:highlight w:val="none"/>
              </w:rPr>
              <w:t>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1800x2200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DN150-DN300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b/>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高教西区污水泵站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L×B×H=3.2m×2.2m×2.0m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不锈钢304，采用矩形全封闭结构安装，含箱体、风管进出接口、干式滤料(含量≥4.1m3)及其支架、过滤网、检修口等。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/h,1000Pa，N=4kW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DN700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w:t>
            </w:r>
            <w:r>
              <w:rPr>
                <w:rFonts w:hint="eastAsia" w:ascii="仿宋" w:hAnsi="仿宋" w:eastAsia="仿宋" w:cs="宋体"/>
                <w:color w:val="auto"/>
                <w:sz w:val="24"/>
                <w:highlight w:val="none"/>
              </w:rPr>
              <w:t>4</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b/>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高教东区污水泵站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L×B×H=3.2m×2.2m×2.0m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不锈钢304，采用矩形全封闭结构安装，含箱体、风管进出接口、干式滤料(含量≥4.1m3)及其支架、过滤网、检修口等。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/h,1000Pa，N=4kW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DN700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26</w:t>
            </w:r>
            <w:r>
              <w:rPr>
                <w:rFonts w:ascii="仿宋" w:hAnsi="仿宋" w:eastAsia="仿宋" w:cs="宋体"/>
                <w:color w:val="auto"/>
                <w:sz w:val="24"/>
                <w:highlight w:val="none"/>
              </w:rPr>
              <w:t>00x</w:t>
            </w:r>
            <w:r>
              <w:rPr>
                <w:rFonts w:hint="eastAsia" w:ascii="仿宋" w:hAnsi="仿宋" w:eastAsia="仿宋" w:cs="宋体"/>
                <w:color w:val="auto"/>
                <w:sz w:val="24"/>
                <w:highlight w:val="none"/>
              </w:rPr>
              <w:t>47</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w:t>
            </w:r>
            <w:r>
              <w:rPr>
                <w:rFonts w:hint="eastAsia" w:ascii="仿宋" w:hAnsi="仿宋" w:eastAsia="仿宋" w:cs="宋体"/>
                <w:color w:val="auto"/>
                <w:sz w:val="24"/>
                <w:highlight w:val="none"/>
              </w:rPr>
              <w:t>4</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b/>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东部1#污水泵站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L×B×H=3.2m×2.2m×2.0m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不锈钢304，采用矩形全封闭结构安装，含箱体、风管进出接口、干式滤料(含量≥1.8m3)及其支架、过滤网、检修口等。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/h,1000Pa，N=4kW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DN700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26</w:t>
            </w:r>
            <w:r>
              <w:rPr>
                <w:rFonts w:ascii="仿宋" w:hAnsi="仿宋" w:eastAsia="仿宋" w:cs="宋体"/>
                <w:color w:val="auto"/>
                <w:sz w:val="24"/>
                <w:highlight w:val="none"/>
              </w:rPr>
              <w:t>00x</w:t>
            </w:r>
            <w:r>
              <w:rPr>
                <w:rFonts w:hint="eastAsia" w:ascii="仿宋" w:hAnsi="仿宋" w:eastAsia="仿宋" w:cs="宋体"/>
                <w:color w:val="auto"/>
                <w:sz w:val="24"/>
                <w:highlight w:val="none"/>
              </w:rPr>
              <w:t>47</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r>
              <w:rPr>
                <w:rFonts w:ascii="仿宋" w:hAnsi="仿宋" w:eastAsia="仿宋" w:cs="宋体"/>
                <w:color w:val="auto"/>
                <w:sz w:val="24"/>
                <w:highlight w:val="none"/>
              </w:rPr>
              <w:t>00x</w:t>
            </w:r>
            <w:r>
              <w:rPr>
                <w:rFonts w:hint="eastAsia" w:ascii="仿宋" w:hAnsi="仿宋" w:eastAsia="仿宋" w:cs="宋体"/>
                <w:color w:val="auto"/>
                <w:sz w:val="24"/>
                <w:highlight w:val="none"/>
              </w:rPr>
              <w:t>150</w:t>
            </w:r>
            <w:r>
              <w:rPr>
                <w:rFonts w:ascii="仿宋" w:hAnsi="仿宋" w:eastAsia="仿宋" w:cs="宋体"/>
                <w:color w:val="auto"/>
                <w:sz w:val="24"/>
                <w:highlight w:val="none"/>
              </w:rPr>
              <w:t>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不锈钢盖板</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15</w:t>
            </w:r>
            <w:r>
              <w:rPr>
                <w:rFonts w:ascii="仿宋" w:hAnsi="仿宋" w:eastAsia="仿宋" w:cs="宋体"/>
                <w:color w:val="auto"/>
                <w:sz w:val="24"/>
                <w:highlight w:val="none"/>
              </w:rPr>
              <w:t>00x</w:t>
            </w:r>
            <w:r>
              <w:rPr>
                <w:rFonts w:hint="eastAsia" w:ascii="仿宋" w:hAnsi="仿宋" w:eastAsia="仿宋" w:cs="宋体"/>
                <w:color w:val="auto"/>
                <w:sz w:val="24"/>
                <w:highlight w:val="none"/>
              </w:rPr>
              <w:t>35</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w:t>
            </w:r>
            <w:r>
              <w:rPr>
                <w:rFonts w:hint="eastAsia" w:ascii="仿宋" w:hAnsi="仿宋" w:eastAsia="仿宋" w:cs="宋体"/>
                <w:color w:val="auto"/>
                <w:sz w:val="24"/>
                <w:highlight w:val="none"/>
              </w:rPr>
              <w:t>4</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b/>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东部2#污水泵站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L×B×H=4.5m×2.2m×2.0m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不锈钢304，采用矩形全封闭结构安装，含箱体、风管进出接口、干式滤料(含量≥5.1m3)及其支架、过滤网、检修口等。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/h,1000Pa，N=5.5kW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w:t>
            </w:r>
            <w:r>
              <w:rPr>
                <w:rFonts w:hint="eastAsia" w:ascii="仿宋" w:hAnsi="仿宋" w:eastAsia="仿宋" w:cs="宋体"/>
                <w:color w:val="auto"/>
                <w:sz w:val="24"/>
                <w:highlight w:val="none"/>
              </w:rPr>
              <w:t>8</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w:t>
            </w:r>
            <w:r>
              <w:rPr>
                <w:rFonts w:hint="eastAsia" w:ascii="仿宋" w:hAnsi="仿宋" w:eastAsia="仿宋" w:cs="宋体"/>
                <w:color w:val="auto"/>
                <w:sz w:val="24"/>
                <w:highlight w:val="none"/>
              </w:rPr>
              <w:t>50</w:t>
            </w:r>
            <w:r>
              <w:rPr>
                <w:rFonts w:ascii="仿宋" w:hAnsi="仿宋" w:eastAsia="仿宋" w:cs="宋体"/>
                <w:color w:val="auto"/>
                <w:sz w:val="24"/>
                <w:highlight w:val="none"/>
              </w:rPr>
              <w:t>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东部3#污水泵站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L×B×H=4.5m×2.2m×2.0m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不锈钢304，采用矩形全封闭结构安装，含箱体、风管进出接口、干式滤料(含量≥5.1m3)及其支架、过滤网、检修口等。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/h,1000Pa，N=5.5kW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w:t>
            </w:r>
            <w:r>
              <w:rPr>
                <w:rFonts w:hint="eastAsia" w:ascii="仿宋" w:hAnsi="仿宋" w:eastAsia="仿宋" w:cs="宋体"/>
                <w:color w:val="auto"/>
                <w:sz w:val="24"/>
                <w:highlight w:val="none"/>
              </w:rPr>
              <w:t>8</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w:t>
            </w:r>
            <w:r>
              <w:rPr>
                <w:rFonts w:hint="eastAsia" w:ascii="仿宋" w:hAnsi="仿宋" w:eastAsia="仿宋" w:cs="宋体"/>
                <w:color w:val="auto"/>
                <w:sz w:val="24"/>
                <w:highlight w:val="none"/>
              </w:rPr>
              <w:t>50</w:t>
            </w:r>
            <w:r>
              <w:rPr>
                <w:rFonts w:ascii="仿宋" w:hAnsi="仿宋" w:eastAsia="仿宋" w:cs="宋体"/>
                <w:color w:val="auto"/>
                <w:sz w:val="24"/>
                <w:highlight w:val="none"/>
              </w:rPr>
              <w:t>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rFonts w:hint="eastAsia"/>
          <w:b/>
          <w:color w:val="auto"/>
          <w:highlight w:val="none"/>
        </w:rPr>
      </w:pPr>
    </w:p>
    <w:p>
      <w:pPr>
        <w:rPr>
          <w:rFonts w:hint="eastAsia"/>
          <w:b/>
          <w:color w:val="auto"/>
          <w:highlight w:val="none"/>
        </w:rPr>
      </w:pPr>
    </w:p>
    <w:p>
      <w:pPr>
        <w:rPr>
          <w:b/>
          <w:color w:val="auto"/>
          <w:highlight w:val="none"/>
        </w:rPr>
      </w:pPr>
    </w:p>
    <w:p>
      <w:pPr>
        <w:spacing w:line="276" w:lineRule="auto"/>
        <w:jc w:val="center"/>
        <w:outlineLvl w:val="2"/>
        <w:rPr>
          <w:b/>
          <w:color w:val="auto"/>
          <w:highlight w:val="none"/>
        </w:rPr>
      </w:pPr>
      <w:r>
        <w:rPr>
          <w:rFonts w:hint="eastAsia"/>
          <w:b/>
          <w:color w:val="auto"/>
          <w:highlight w:val="none"/>
        </w:rPr>
        <w:t>规划一号污水泵站一期</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L×B×H=2.6m×1.8m×1.8m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不锈钢304，采用矩形全封闭结构安装，含箱体、风管进出接口、干式滤料(含量≥1.8m3)及其支架、过滤网、检修口等。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/h,1000Pa，N=2.2kW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DN400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DN150-DN300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b/>
          <w:color w:val="auto"/>
          <w:highlight w:val="none"/>
        </w:rPr>
      </w:pPr>
    </w:p>
    <w:p>
      <w:pPr>
        <w:spacing w:line="276" w:lineRule="auto"/>
        <w:jc w:val="center"/>
        <w:outlineLvl w:val="2"/>
        <w:rPr>
          <w:b/>
          <w:color w:val="auto"/>
          <w:highlight w:val="none"/>
        </w:rPr>
      </w:pPr>
      <w:r>
        <w:rPr>
          <w:rFonts w:hint="eastAsia"/>
          <w:b/>
          <w:color w:val="auto"/>
          <w:highlight w:val="none"/>
        </w:rPr>
        <w:t>规划一号污水泵站二期</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682"/>
        <w:gridCol w:w="3096"/>
        <w:gridCol w:w="730"/>
        <w:gridCol w:w="767"/>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1682"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309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730"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767"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2874"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vMerge w:val="restart"/>
            <w:tcBorders>
              <w:top w:val="nil"/>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682"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除臭设备</w:t>
            </w:r>
          </w:p>
        </w:tc>
        <w:tc>
          <w:tcPr>
            <w:tcW w:w="309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L×B×H=</w:t>
            </w:r>
            <w:r>
              <w:rPr>
                <w:rFonts w:hint="eastAsia" w:ascii="仿宋" w:hAnsi="仿宋" w:eastAsia="仿宋" w:cs="宋体"/>
                <w:color w:val="auto"/>
                <w:sz w:val="24"/>
                <w:highlight w:val="none"/>
              </w:rPr>
              <w:t>3.2</w:t>
            </w:r>
            <w:r>
              <w:rPr>
                <w:rFonts w:ascii="仿宋" w:hAnsi="仿宋" w:eastAsia="仿宋" w:cs="宋体"/>
                <w:color w:val="auto"/>
                <w:sz w:val="24"/>
                <w:highlight w:val="none"/>
              </w:rPr>
              <w:t>m×</w:t>
            </w:r>
            <w:r>
              <w:rPr>
                <w:rFonts w:hint="eastAsia" w:ascii="仿宋" w:hAnsi="仿宋" w:eastAsia="仿宋" w:cs="宋体"/>
                <w:color w:val="auto"/>
                <w:sz w:val="24"/>
                <w:highlight w:val="none"/>
              </w:rPr>
              <w:t>2.2</w:t>
            </w:r>
            <w:r>
              <w:rPr>
                <w:rFonts w:ascii="仿宋" w:hAnsi="仿宋" w:eastAsia="仿宋" w:cs="宋体"/>
                <w:color w:val="auto"/>
                <w:sz w:val="24"/>
                <w:highlight w:val="none"/>
              </w:rPr>
              <w:t>m×</w:t>
            </w:r>
            <w:r>
              <w:rPr>
                <w:rFonts w:hint="eastAsia" w:ascii="仿宋" w:hAnsi="仿宋" w:eastAsia="仿宋" w:cs="宋体"/>
                <w:color w:val="auto"/>
                <w:sz w:val="24"/>
                <w:highlight w:val="none"/>
              </w:rPr>
              <w:t>2.2m</w:t>
            </w:r>
          </w:p>
        </w:tc>
        <w:tc>
          <w:tcPr>
            <w:tcW w:w="730"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767"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不锈钢304，采用矩形全封闭结构安装，含箱体、风管进出接口、干式滤料(含量≥2.7m3)及其支架、过滤网、检修口等。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离心风机</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5000m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/h,1000Pa，N=3kW</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玻璃钢，整机含电机、防震垫、进风阀及弹性接头等。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电控柜</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柜体不锈钢304，IP55，该控制柜为独立控制系统，具有完善的自动控制系统，在正常运行时无需人工操作。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系统内部电缆及配件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包括除臭电控柜到本系统内部的所有连接电缆及相关电气配件。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系统内部连接风管及排气筒</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w:t>
            </w:r>
            <w:r>
              <w:rPr>
                <w:rFonts w:hint="eastAsia" w:ascii="仿宋" w:hAnsi="仿宋" w:eastAsia="仿宋" w:cs="宋体"/>
                <w:color w:val="auto"/>
                <w:sz w:val="24"/>
                <w:highlight w:val="none"/>
              </w:rPr>
              <w:t>55</w:t>
            </w:r>
            <w:r>
              <w:rPr>
                <w:rFonts w:ascii="仿宋" w:hAnsi="仿宋" w:eastAsia="仿宋" w:cs="宋体"/>
                <w:color w:val="auto"/>
                <w:sz w:val="24"/>
                <w:highlight w:val="none"/>
              </w:rPr>
              <w:t>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排气筒护架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配套排气筒</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碳钢防腐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格栅机密封罩</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满足密封要求</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不锈钢骨架+耐力板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DN150-DN</w:t>
            </w:r>
            <w:r>
              <w:rPr>
                <w:rFonts w:hint="eastAsia" w:ascii="仿宋" w:hAnsi="仿宋" w:eastAsia="仿宋" w:cs="宋体"/>
                <w:color w:val="auto"/>
                <w:sz w:val="24"/>
                <w:highlight w:val="none"/>
              </w:rPr>
              <w:t>4</w:t>
            </w:r>
            <w:r>
              <w:rPr>
                <w:rFonts w:ascii="仿宋" w:hAnsi="仿宋" w:eastAsia="仿宋" w:cs="宋体"/>
                <w:color w:val="auto"/>
                <w:sz w:val="24"/>
                <w:highlight w:val="none"/>
              </w:rPr>
              <w:t>00</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风管支架</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配套除臭管道</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不锈钢304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restart"/>
            <w:tcBorders>
              <w:top w:val="single" w:color="auto" w:sz="4" w:space="0"/>
              <w:left w:val="single" w:color="000000"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H</w:t>
            </w:r>
            <w:r>
              <w:rPr>
                <w:rFonts w:hint="eastAsia" w:ascii="仿宋" w:hAnsi="仿宋" w:eastAsia="仿宋" w:cs="宋体"/>
                <w:color w:val="auto"/>
                <w:sz w:val="24"/>
                <w:highlight w:val="none"/>
                <w:vertAlign w:val="subscript"/>
              </w:rPr>
              <w:t>2</w:t>
            </w:r>
            <w:r>
              <w:rPr>
                <w:rFonts w:hint="eastAsia" w:ascii="仿宋" w:hAnsi="仿宋" w:eastAsia="仿宋" w:cs="宋体"/>
                <w:color w:val="auto"/>
                <w:sz w:val="24"/>
                <w:highlight w:val="none"/>
              </w:rPr>
              <w:t>S检测仪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vMerge w:val="continue"/>
            <w:tcBorders>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1682"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NH</w:t>
            </w:r>
            <w:r>
              <w:rPr>
                <w:rFonts w:hint="eastAsia" w:ascii="仿宋" w:hAnsi="仿宋" w:eastAsia="仿宋" w:cs="宋体"/>
                <w:color w:val="auto"/>
                <w:sz w:val="24"/>
                <w:highlight w:val="none"/>
                <w:vertAlign w:val="subscript"/>
              </w:rPr>
              <w:t>3</w:t>
            </w:r>
            <w:r>
              <w:rPr>
                <w:rFonts w:hint="eastAsia" w:ascii="仿宋" w:hAnsi="仿宋" w:eastAsia="仿宋" w:cs="宋体"/>
                <w:color w:val="auto"/>
                <w:sz w:val="24"/>
                <w:highlight w:val="none"/>
              </w:rPr>
              <w:t>检测仪</w:t>
            </w:r>
          </w:p>
        </w:tc>
        <w:tc>
          <w:tcPr>
            <w:tcW w:w="309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4-20mA，0-100/1000ppm</w:t>
            </w:r>
          </w:p>
        </w:tc>
        <w:tc>
          <w:tcPr>
            <w:tcW w:w="730"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767"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874"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耐腐蚀</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注：除臭设备为成套设备，包含除臭装置、风管、风机、电控柜、检测仪等。</w:t>
      </w:r>
    </w:p>
    <w:p>
      <w:pPr>
        <w:rPr>
          <w:rFonts w:hint="eastAsia"/>
          <w:color w:val="auto"/>
          <w:highlight w:val="none"/>
        </w:rPr>
      </w:pPr>
    </w:p>
    <w:p>
      <w:pPr>
        <w:spacing w:line="276" w:lineRule="auto"/>
        <w:jc w:val="left"/>
        <w:outlineLvl w:val="1"/>
        <w:rPr>
          <w:rFonts w:ascii="宋体" w:hAnsi="宋体" w:cs="宋体"/>
          <w:b/>
          <w:bCs/>
          <w:color w:val="auto"/>
          <w:kern w:val="0"/>
          <w:sz w:val="24"/>
          <w:highlight w:val="none"/>
        </w:rPr>
      </w:pPr>
      <w:r>
        <w:rPr>
          <w:rFonts w:hint="eastAsia" w:ascii="宋体" w:hAnsi="宋体" w:cs="宋体"/>
          <w:b/>
          <w:bCs/>
          <w:color w:val="auto"/>
          <w:kern w:val="0"/>
          <w:sz w:val="24"/>
          <w:highlight w:val="none"/>
        </w:rPr>
        <w:t>4、江东片区4座泵站水泵更换及附属设施改造</w:t>
      </w: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江东1#泵站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潜污泵250QW700-10-30</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7</w:t>
            </w:r>
            <w:r>
              <w:rPr>
                <w:rFonts w:ascii="仿宋" w:hAnsi="仿宋" w:eastAsia="仿宋" w:cs="宋体"/>
                <w:color w:val="auto"/>
                <w:sz w:val="24"/>
                <w:highlight w:val="none"/>
              </w:rPr>
              <w:t>00m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H=1</w:t>
            </w:r>
            <w:r>
              <w:rPr>
                <w:rFonts w:hint="eastAsia" w:ascii="仿宋" w:hAnsi="仿宋" w:eastAsia="仿宋" w:cs="宋体"/>
                <w:color w:val="auto"/>
                <w:sz w:val="24"/>
                <w:highlight w:val="none"/>
              </w:rPr>
              <w:t>0</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30</w:t>
            </w:r>
            <w:r>
              <w:rPr>
                <w:rFonts w:ascii="仿宋" w:hAnsi="仿宋" w:eastAsia="仿宋" w:cs="宋体"/>
                <w:color w:val="auto"/>
                <w:sz w:val="24"/>
                <w:highlight w:val="none"/>
              </w:rPr>
              <w:t>kW</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回转式格栅除污机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栅宽1000mm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栅条净距20mm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N=1.1KW</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格栅深度h=8.2m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原设备需拆除。格栅深度为暂估，安装前需复核，包含电气控制箱2套，排渣口高1000mm。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机架采用304不锈钢(厚度≥8mm)；耙齿采用增强尼龙(厚度≥4mm)。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800×800（闸板厚度≥15mm）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启闭力3吨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hint="eastAsia" w:ascii="仿宋" w:hAnsi="仿宋" w:eastAsia="仿宋" w:cs="宋体"/>
                <w:color w:val="auto"/>
                <w:sz w:val="24"/>
                <w:highlight w:val="none"/>
              </w:rPr>
              <w:t>型电动葫芦</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ascii="仿宋" w:hAnsi="仿宋" w:eastAsia="仿宋" w:cs="宋体"/>
                <w:color w:val="auto"/>
                <w:sz w:val="24"/>
                <w:highlight w:val="none"/>
              </w:rPr>
              <w:t xml:space="preserve">  2-12D</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原电动葫芦需拆除。起重量2吨,起重高度12m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7</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工字钢25b，L=8.5m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原工字钢表面锈渣需清理干净。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螺旋输送压榨机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w:t>
            </w:r>
            <w:r>
              <w:rPr>
                <w:rFonts w:hint="eastAsia" w:ascii="仿宋" w:hAnsi="仿宋" w:eastAsia="仿宋" w:cs="宋体"/>
                <w:color w:val="auto"/>
                <w:sz w:val="24"/>
                <w:highlight w:val="none"/>
              </w:rPr>
              <w:t>6</w:t>
            </w:r>
            <w:r>
              <w:rPr>
                <w:rFonts w:ascii="仿宋" w:hAnsi="仿宋" w:eastAsia="仿宋" w:cs="宋体"/>
                <w:color w:val="auto"/>
                <w:sz w:val="24"/>
                <w:highlight w:val="none"/>
              </w:rPr>
              <w:t>.0m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N=3.0kw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新增。出渣口高≥1000mm，包含螺旋输送机电气控制箱1套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D250×350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900×1000×12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DN350,δ=9</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40</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钢制，泵后至现状可曲挠橡胶接头前。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包括泵站设备更换时必须进行的封堵（气囊及砖墙）、导流临排措施、通风、气体检测、泵站清淤（暂定150m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rPr>
          <w:rFonts w:ascii="宋体" w:hAnsi="宋体" w:cs="宋体"/>
          <w:b/>
          <w:bCs/>
          <w:color w:val="auto"/>
          <w:kern w:val="0"/>
          <w:sz w:val="24"/>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江东2#泵站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潜污泵300QW900-8-30</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9</w:t>
            </w:r>
            <w:r>
              <w:rPr>
                <w:rFonts w:ascii="仿宋" w:hAnsi="仿宋" w:eastAsia="仿宋" w:cs="宋体"/>
                <w:color w:val="auto"/>
                <w:sz w:val="24"/>
                <w:highlight w:val="none"/>
              </w:rPr>
              <w:t>00m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8</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30</w:t>
            </w:r>
            <w:r>
              <w:rPr>
                <w:rFonts w:ascii="仿宋" w:hAnsi="仿宋" w:eastAsia="仿宋" w:cs="宋体"/>
                <w:color w:val="auto"/>
                <w:sz w:val="24"/>
                <w:highlight w:val="none"/>
              </w:rPr>
              <w:t>kW</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回转式格栅除污机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栅宽1000mm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栅条净距20mm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N=1.1KW</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格栅深度h=7.8m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原设备需拆除。格栅深度为暂估，安装前需复核，包含电气控制箱2套，排渣口高1000mm。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机架采用304不锈钢(厚度≥8mm)；耙齿采用增强尼龙(厚度≥4mm)。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800×800（闸板厚度≥15mm）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1000×1000（闸板厚度≥20mm）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启闭力3吨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7</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hint="eastAsia" w:ascii="仿宋" w:hAnsi="仿宋" w:eastAsia="仿宋" w:cs="宋体"/>
                <w:color w:val="auto"/>
                <w:sz w:val="24"/>
                <w:highlight w:val="none"/>
              </w:rPr>
              <w:t>型电动葫芦</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ascii="仿宋" w:hAnsi="仿宋" w:eastAsia="仿宋" w:cs="宋体"/>
                <w:color w:val="auto"/>
                <w:sz w:val="24"/>
                <w:highlight w:val="none"/>
              </w:rPr>
              <w:t xml:space="preserve">  2-12D</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原电动葫芦需拆除。起重量2吨,起重高度12m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工字钢25b，L=8.5m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原工字钢表面锈渣需清理干净。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螺旋输送压榨机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w:t>
            </w:r>
            <w:r>
              <w:rPr>
                <w:rFonts w:hint="eastAsia" w:ascii="仿宋" w:hAnsi="仿宋" w:eastAsia="仿宋" w:cs="宋体"/>
                <w:color w:val="auto"/>
                <w:sz w:val="24"/>
                <w:highlight w:val="none"/>
              </w:rPr>
              <w:t>5</w:t>
            </w:r>
            <w:r>
              <w:rPr>
                <w:rFonts w:ascii="仿宋" w:hAnsi="仿宋" w:eastAsia="仿宋" w:cs="宋体"/>
                <w:color w:val="auto"/>
                <w:sz w:val="24"/>
                <w:highlight w:val="none"/>
              </w:rPr>
              <w:t>.0m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N=3.0kw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新增。出渣口高≥1000mm，包含螺旋输送机电气控制箱1套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w:t>
            </w:r>
            <w:r>
              <w:rPr>
                <w:rFonts w:hint="eastAsia" w:ascii="仿宋" w:hAnsi="仿宋" w:eastAsia="仿宋" w:cs="宋体"/>
                <w:color w:val="auto"/>
                <w:sz w:val="24"/>
                <w:highlight w:val="none"/>
              </w:rPr>
              <w:t>30</w:t>
            </w:r>
            <w:r>
              <w:rPr>
                <w:rFonts w:ascii="仿宋" w:hAnsi="仿宋" w:eastAsia="仿宋" w:cs="宋体"/>
                <w:color w:val="auto"/>
                <w:sz w:val="24"/>
                <w:highlight w:val="none"/>
              </w:rPr>
              <w:t>0×</w:t>
            </w:r>
            <w:r>
              <w:rPr>
                <w:rFonts w:hint="eastAsia" w:ascii="仿宋" w:hAnsi="仿宋" w:eastAsia="仿宋" w:cs="宋体"/>
                <w:color w:val="auto"/>
                <w:sz w:val="24"/>
                <w:highlight w:val="none"/>
              </w:rPr>
              <w:t>50</w:t>
            </w:r>
            <w:r>
              <w:rPr>
                <w:rFonts w:ascii="仿宋" w:hAnsi="仿宋" w:eastAsia="仿宋" w:cs="宋体"/>
                <w:color w:val="auto"/>
                <w:sz w:val="24"/>
                <w:highlight w:val="none"/>
              </w:rPr>
              <w:t>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11</w:t>
            </w:r>
            <w:r>
              <w:rPr>
                <w:rFonts w:ascii="仿宋" w:hAnsi="仿宋" w:eastAsia="仿宋" w:cs="宋体"/>
                <w:color w:val="auto"/>
                <w:sz w:val="24"/>
                <w:highlight w:val="none"/>
              </w:rPr>
              <w:t>00×1000×12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DN500,δ=10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米</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35</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钢制，泵后至现状可曲挠橡胶接头前。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橡胶瓣止回阀</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D500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原止回阀需拆除。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包括泵站设备更换时必须进行的封堵（气囊及砖墙）、导流临排措施、通风、气体检测、泵站清淤（暂定150m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rPr>
          <w:rFonts w:ascii="宋体" w:hAnsi="宋体" w:cs="宋体"/>
          <w:b/>
          <w:bCs/>
          <w:color w:val="auto"/>
          <w:kern w:val="0"/>
          <w:sz w:val="24"/>
          <w:highlight w:val="none"/>
        </w:rPr>
      </w:pPr>
    </w:p>
    <w:p>
      <w:pPr>
        <w:rPr>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江东A泵站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潜污泵250QW600-7-22</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6</w:t>
            </w:r>
            <w:r>
              <w:rPr>
                <w:rFonts w:ascii="仿宋" w:hAnsi="仿宋" w:eastAsia="仿宋" w:cs="宋体"/>
                <w:color w:val="auto"/>
                <w:sz w:val="24"/>
                <w:highlight w:val="none"/>
              </w:rPr>
              <w:t>00m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7</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22</w:t>
            </w:r>
            <w:r>
              <w:rPr>
                <w:rFonts w:ascii="仿宋" w:hAnsi="仿宋" w:eastAsia="仿宋" w:cs="宋体"/>
                <w:color w:val="auto"/>
                <w:sz w:val="24"/>
                <w:highlight w:val="none"/>
              </w:rPr>
              <w:t>kW</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回转式格栅除污机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栅宽1000mm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栅条净距20mm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N=1.5KW</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格栅深度h=8.4m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原设备需拆除。格栅深度为暂估，安装前需复核，包含电气控制箱2套，排渣口高1000mm。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机架采用304不锈钢(厚度≥8mm)；耙齿采用增强尼龙(厚度≥4mm)。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600×600（闸板厚度≥15mm）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1000×1000（闸板厚度≥20mm）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启闭力3吨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hint="eastAsia" w:ascii="仿宋" w:hAnsi="仿宋" w:eastAsia="仿宋" w:cs="宋体"/>
                <w:color w:val="auto"/>
                <w:sz w:val="24"/>
                <w:highlight w:val="none"/>
              </w:rPr>
              <w:t>型电动葫芦</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ascii="仿宋" w:hAnsi="仿宋" w:eastAsia="仿宋" w:cs="宋体"/>
                <w:color w:val="auto"/>
                <w:sz w:val="24"/>
                <w:highlight w:val="none"/>
              </w:rPr>
              <w:t xml:space="preserve">  2-12D</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原电动葫芦需拆除。起重量2吨,起重高度12m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7</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工字钢25b，L=8.5m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原工字钢表面锈渣需清理干净。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螺旋输送压榨机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w:t>
            </w:r>
            <w:r>
              <w:rPr>
                <w:rFonts w:hint="eastAsia" w:ascii="仿宋" w:hAnsi="仿宋" w:eastAsia="仿宋" w:cs="宋体"/>
                <w:color w:val="auto"/>
                <w:sz w:val="24"/>
                <w:highlight w:val="none"/>
              </w:rPr>
              <w:t>6</w:t>
            </w:r>
            <w:r>
              <w:rPr>
                <w:rFonts w:ascii="仿宋" w:hAnsi="仿宋" w:eastAsia="仿宋" w:cs="宋体"/>
                <w:color w:val="auto"/>
                <w:sz w:val="24"/>
                <w:highlight w:val="none"/>
              </w:rPr>
              <w:t>.0m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N=3.0kw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新增。出渣口高≥1000mm，包含螺旋输送机电气控制箱1套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D250×400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900×1000×12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包括泵站设备更换时必须进行的封堵（气囊及砖墙）、导流临排措施、通风、气体检测、泵站清淤（暂定150m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rPr>
          <w:color w:val="auto"/>
          <w:highlight w:val="none"/>
        </w:rPr>
      </w:pPr>
    </w:p>
    <w:p>
      <w:pPr>
        <w:spacing w:line="276" w:lineRule="auto"/>
        <w:jc w:val="center"/>
        <w:outlineLvl w:val="2"/>
        <w:rPr>
          <w:rFonts w:ascii="宋体" w:hAnsi="宋体" w:cs="宋体"/>
          <w:b/>
          <w:bCs/>
          <w:color w:val="auto"/>
          <w:kern w:val="0"/>
          <w:sz w:val="24"/>
          <w:highlight w:val="none"/>
        </w:rPr>
      </w:pPr>
      <w:r>
        <w:rPr>
          <w:rFonts w:hint="eastAsia" w:ascii="宋体" w:hAnsi="宋体" w:cs="宋体"/>
          <w:b/>
          <w:bCs/>
          <w:color w:val="auto"/>
          <w:kern w:val="0"/>
          <w:sz w:val="24"/>
          <w:highlight w:val="none"/>
        </w:rPr>
        <w:t>江东B泵站</w:t>
      </w:r>
    </w:p>
    <w:tbl>
      <w:tblPr>
        <w:tblStyle w:val="16"/>
        <w:tblW w:w="992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016"/>
        <w:gridCol w:w="2076"/>
        <w:gridCol w:w="805"/>
        <w:gridCol w:w="851"/>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74" w:type="dxa"/>
            <w:tcBorders>
              <w:top w:val="single" w:color="000000" w:sz="4" w:space="0"/>
              <w:left w:val="single" w:color="000000" w:sz="4" w:space="0"/>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序号</w:t>
            </w:r>
          </w:p>
        </w:tc>
        <w:tc>
          <w:tcPr>
            <w:tcW w:w="201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名称</w:t>
            </w:r>
          </w:p>
        </w:tc>
        <w:tc>
          <w:tcPr>
            <w:tcW w:w="2076"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技术规格需求</w:t>
            </w:r>
          </w:p>
        </w:tc>
        <w:tc>
          <w:tcPr>
            <w:tcW w:w="805"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单位</w:t>
            </w:r>
          </w:p>
        </w:tc>
        <w:tc>
          <w:tcPr>
            <w:tcW w:w="85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hint="eastAsia" w:ascii="仿宋" w:hAnsi="仿宋" w:eastAsia="仿宋"/>
                <w:color w:val="auto"/>
                <w:sz w:val="24"/>
                <w:highlight w:val="none"/>
              </w:rPr>
              <w:t>数量</w:t>
            </w:r>
          </w:p>
        </w:tc>
        <w:tc>
          <w:tcPr>
            <w:tcW w:w="3401" w:type="dxa"/>
            <w:tcBorders>
              <w:top w:val="single" w:color="000000" w:sz="4" w:space="0"/>
              <w:left w:val="nil"/>
              <w:bottom w:val="single" w:color="000000" w:sz="4" w:space="0"/>
              <w:right w:val="single" w:color="000000" w:sz="4" w:space="0"/>
            </w:tcBorders>
            <w:vAlign w:val="center"/>
          </w:tcPr>
          <w:p>
            <w:pPr>
              <w:autoSpaceDE w:val="0"/>
              <w:spacing w:line="360" w:lineRule="auto"/>
              <w:jc w:val="center"/>
              <w:rPr>
                <w:rFonts w:ascii="仿宋" w:hAnsi="仿宋" w:eastAsia="仿宋" w:cs="宋体"/>
                <w:color w:val="auto"/>
                <w:sz w:val="24"/>
                <w:highlight w:val="none"/>
              </w:rPr>
            </w:pPr>
            <w:r>
              <w:rPr>
                <w:rFonts w:ascii="仿宋" w:hAnsi="仿宋" w:eastAsia="仿宋"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74" w:type="dxa"/>
            <w:tcBorders>
              <w:top w:val="nil"/>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2016"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潜污泵250QW600-15-45</w:t>
            </w:r>
          </w:p>
        </w:tc>
        <w:tc>
          <w:tcPr>
            <w:tcW w:w="2076" w:type="dxa"/>
            <w:tcBorders>
              <w:top w:val="single" w:color="000000"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Q=</w:t>
            </w:r>
            <w:r>
              <w:rPr>
                <w:rFonts w:hint="eastAsia" w:ascii="仿宋" w:hAnsi="仿宋" w:eastAsia="仿宋" w:cs="宋体"/>
                <w:color w:val="auto"/>
                <w:sz w:val="24"/>
                <w:highlight w:val="none"/>
              </w:rPr>
              <w:t>6</w:t>
            </w:r>
            <w:r>
              <w:rPr>
                <w:rFonts w:ascii="仿宋" w:hAnsi="仿宋" w:eastAsia="仿宋" w:cs="宋体"/>
                <w:color w:val="auto"/>
                <w:sz w:val="24"/>
                <w:highlight w:val="none"/>
              </w:rPr>
              <w:t>00m</w:t>
            </w:r>
            <w:r>
              <w:rPr>
                <w:rFonts w:hint="eastAsia" w:ascii="仿宋" w:hAnsi="仿宋" w:eastAsia="仿宋" w:cs="宋体"/>
                <w:color w:val="auto"/>
                <w:sz w:val="24"/>
                <w:highlight w:val="none"/>
                <w:vertAlign w:val="superscript"/>
              </w:rPr>
              <w:t>3</w:t>
            </w:r>
            <w:r>
              <w:rPr>
                <w:rFonts w:ascii="仿宋" w:hAnsi="仿宋" w:eastAsia="仿宋" w:cs="宋体"/>
                <w:color w:val="auto"/>
                <w:sz w:val="24"/>
                <w:highlight w:val="none"/>
              </w:rPr>
              <w:t>/h，</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H=</w:t>
            </w:r>
            <w:r>
              <w:rPr>
                <w:rFonts w:hint="eastAsia" w:ascii="仿宋" w:hAnsi="仿宋" w:eastAsia="仿宋" w:cs="宋体"/>
                <w:color w:val="auto"/>
                <w:sz w:val="24"/>
                <w:highlight w:val="none"/>
              </w:rPr>
              <w:t>15</w:t>
            </w:r>
            <w:r>
              <w:rPr>
                <w:rFonts w:ascii="仿宋" w:hAnsi="仿宋" w:eastAsia="仿宋" w:cs="宋体"/>
                <w:color w:val="auto"/>
                <w:sz w:val="24"/>
                <w:highlight w:val="none"/>
              </w:rPr>
              <w:t>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w:t>
            </w:r>
            <w:r>
              <w:rPr>
                <w:rFonts w:hint="eastAsia" w:ascii="仿宋" w:hAnsi="仿宋" w:eastAsia="仿宋" w:cs="宋体"/>
                <w:color w:val="auto"/>
                <w:sz w:val="24"/>
                <w:highlight w:val="none"/>
              </w:rPr>
              <w:t>45</w:t>
            </w:r>
            <w:r>
              <w:rPr>
                <w:rFonts w:ascii="仿宋" w:hAnsi="仿宋" w:eastAsia="仿宋" w:cs="宋体"/>
                <w:color w:val="auto"/>
                <w:sz w:val="24"/>
                <w:highlight w:val="none"/>
              </w:rPr>
              <w:t>kW</w:t>
            </w:r>
          </w:p>
        </w:tc>
        <w:tc>
          <w:tcPr>
            <w:tcW w:w="805"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nil"/>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原水泵需拆除。成套设备，含导轨系统（导轨为不锈钢304、不锈钢304材质提升链6根）耦合装置及保护器，配备相应的电缆、浮球。</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叶轮采用优质铸铁≥HT250。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控制柜</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一控二</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原控制柜需拆除。带PLC装置，与水泵配套供应，板材厚度≥2mm,电气箱防护等级为IP65。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回转式格栅除污机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栅宽1000mm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栅条净距20mm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N=1.5KW</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格栅深度h=7.6m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原设备需拆除。格栅深度为暂估，安装前需复核，包含电气控制箱2套，排渣口高1000mm。</w:t>
            </w:r>
          </w:p>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机架采用304不锈钢(厚度≥8mm)；耙齿采用增强尼龙(厚度≥4mm)。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800×800（闸板厚度≥15mm）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ZMF型明杆式镶铜铸铁方闸门</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1000×1000（闸板厚度≥20mm）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原闸门需拆除。正向水头9m，反向3m，配不锈钢螺杆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手电两用启闭机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启闭力3吨</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原启闭机需拆除。配防爆、防潮电机，现场可控制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6</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hint="eastAsia" w:ascii="仿宋" w:hAnsi="仿宋" w:eastAsia="仿宋" w:cs="宋体"/>
                <w:color w:val="auto"/>
                <w:sz w:val="24"/>
                <w:highlight w:val="none"/>
              </w:rPr>
              <w:t>型电动葫芦</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MD</w:t>
            </w:r>
            <w:r>
              <w:rPr>
                <w:rFonts w:hint="eastAsia" w:ascii="仿宋" w:hAnsi="仿宋" w:eastAsia="仿宋" w:cs="宋体"/>
                <w:color w:val="auto"/>
                <w:sz w:val="24"/>
                <w:highlight w:val="none"/>
                <w:vertAlign w:val="subscript"/>
              </w:rPr>
              <w:t>1</w:t>
            </w:r>
            <w:r>
              <w:rPr>
                <w:rFonts w:ascii="仿宋" w:hAnsi="仿宋" w:eastAsia="仿宋" w:cs="宋体"/>
                <w:color w:val="auto"/>
                <w:sz w:val="24"/>
                <w:highlight w:val="none"/>
              </w:rPr>
              <w:t xml:space="preserve">  2-12D</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原电动葫芦需拆除。起重量2吨,起重高度12m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7</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工字钢防腐</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工字钢25b，L=8.5m</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2</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原工字钢表面锈渣需清理干净。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螺旋输送压榨机</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L=</w:t>
            </w:r>
            <w:r>
              <w:rPr>
                <w:rFonts w:hint="eastAsia" w:ascii="仿宋" w:hAnsi="仿宋" w:eastAsia="仿宋" w:cs="宋体"/>
                <w:color w:val="auto"/>
                <w:sz w:val="24"/>
                <w:highlight w:val="none"/>
              </w:rPr>
              <w:t>6</w:t>
            </w:r>
            <w:r>
              <w:rPr>
                <w:rFonts w:ascii="仿宋" w:hAnsi="仿宋" w:eastAsia="仿宋" w:cs="宋体"/>
                <w:color w:val="auto"/>
                <w:sz w:val="24"/>
                <w:highlight w:val="none"/>
              </w:rPr>
              <w:t>.0m</w:t>
            </w:r>
          </w:p>
          <w:p>
            <w:pPr>
              <w:autoSpaceDE w:val="0"/>
              <w:rPr>
                <w:rFonts w:ascii="仿宋" w:hAnsi="仿宋" w:eastAsia="仿宋" w:cs="宋体"/>
                <w:color w:val="auto"/>
                <w:sz w:val="24"/>
                <w:highlight w:val="none"/>
              </w:rPr>
            </w:pPr>
            <w:r>
              <w:rPr>
                <w:rFonts w:ascii="仿宋" w:hAnsi="仿宋" w:eastAsia="仿宋" w:cs="宋体"/>
                <w:color w:val="auto"/>
                <w:sz w:val="24"/>
                <w:highlight w:val="none"/>
              </w:rPr>
              <w:t>N=3.0kw</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新增。出渣口高≥1000mm，包含螺旋输送机电气控制箱1套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钢制同心异径管</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D300×400</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个</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钢制，国标02S403，待水泵厂家确定后需复核出口尺寸。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水泵安装基座预埋件</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ascii="仿宋" w:hAnsi="仿宋" w:eastAsia="仿宋" w:cs="宋体"/>
                <w:color w:val="auto"/>
                <w:sz w:val="24"/>
                <w:highlight w:val="none"/>
              </w:rPr>
              <w:t>900×1000×12</w:t>
            </w: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块</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钢制，视现状情况植筋处理。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 w:hRule="atLeast"/>
        </w:trPr>
        <w:tc>
          <w:tcPr>
            <w:tcW w:w="774" w:type="dxa"/>
            <w:tcBorders>
              <w:top w:val="single" w:color="auto" w:sz="4" w:space="0"/>
              <w:left w:val="single" w:color="000000" w:sz="4" w:space="0"/>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11</w:t>
            </w:r>
          </w:p>
        </w:tc>
        <w:tc>
          <w:tcPr>
            <w:tcW w:w="201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其他</w:t>
            </w:r>
          </w:p>
        </w:tc>
        <w:tc>
          <w:tcPr>
            <w:tcW w:w="2076"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p>
        </w:tc>
        <w:tc>
          <w:tcPr>
            <w:tcW w:w="805"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项</w:t>
            </w:r>
          </w:p>
        </w:tc>
        <w:tc>
          <w:tcPr>
            <w:tcW w:w="85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3401" w:type="dxa"/>
            <w:tcBorders>
              <w:top w:val="single" w:color="auto" w:sz="4" w:space="0"/>
              <w:left w:val="nil"/>
              <w:bottom w:val="single" w:color="auto" w:sz="4" w:space="0"/>
              <w:right w:val="single" w:color="000000" w:sz="4" w:space="0"/>
            </w:tcBorders>
            <w:vAlign w:val="center"/>
          </w:tcPr>
          <w:p>
            <w:pPr>
              <w:autoSpaceDE w:val="0"/>
              <w:rPr>
                <w:rFonts w:ascii="仿宋" w:hAnsi="仿宋" w:eastAsia="仿宋" w:cs="宋体"/>
                <w:color w:val="auto"/>
                <w:sz w:val="24"/>
                <w:highlight w:val="none"/>
              </w:rPr>
            </w:pPr>
            <w:r>
              <w:rPr>
                <w:rFonts w:hint="eastAsia" w:ascii="仿宋" w:hAnsi="仿宋" w:eastAsia="仿宋" w:cs="宋体"/>
                <w:color w:val="auto"/>
                <w:sz w:val="24"/>
                <w:highlight w:val="none"/>
              </w:rPr>
              <w:t>包括泵站设备更换时必须进行的封堵（气囊及砖墙）、导流临排措施、通风、气体检测、泵站清淤（暂定150m</w:t>
            </w:r>
            <w:r>
              <w:rPr>
                <w:rFonts w:hint="eastAsia" w:ascii="仿宋" w:hAnsi="仿宋" w:eastAsia="仿宋" w:cs="宋体"/>
                <w:color w:val="auto"/>
                <w:sz w:val="24"/>
                <w:highlight w:val="none"/>
                <w:vertAlign w:val="superscript"/>
              </w:rPr>
              <w:t>3</w:t>
            </w:r>
            <w:r>
              <w:rPr>
                <w:rFonts w:hint="eastAsia" w:ascii="仿宋" w:hAnsi="仿宋" w:eastAsia="仿宋" w:cs="宋体"/>
                <w:color w:val="auto"/>
                <w:sz w:val="24"/>
                <w:highlight w:val="none"/>
              </w:rPr>
              <w:t>）以及该淤泥外运处理达到环保标准。</w:t>
            </w:r>
          </w:p>
        </w:tc>
      </w:tr>
    </w:tbl>
    <w:p>
      <w:pPr>
        <w:spacing w:line="276"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注：上述设备均包含安装所需相应法兰片、螺栓、线缆等配件,均由厂家配套提供。</w:t>
      </w:r>
    </w:p>
    <w:p>
      <w:pPr>
        <w:spacing w:line="276" w:lineRule="auto"/>
        <w:rPr>
          <w:rFonts w:ascii="宋体" w:hAnsi="宋体" w:cs="宋体"/>
          <w:b/>
          <w:bCs/>
          <w:color w:val="auto"/>
          <w:kern w:val="0"/>
          <w:sz w:val="24"/>
          <w:highlight w:val="none"/>
        </w:rPr>
      </w:pPr>
    </w:p>
    <w:p>
      <w:pPr>
        <w:autoSpaceDE w:val="0"/>
        <w:autoSpaceDN w:val="0"/>
        <w:spacing w:line="360" w:lineRule="auto"/>
        <w:ind w:firstLine="482" w:firstLineChars="200"/>
        <w:rPr>
          <w:rFonts w:ascii="仿宋" w:hAnsi="仿宋" w:eastAsia="仿宋" w:cs="仿宋"/>
          <w:b/>
          <w:color w:val="auto"/>
          <w:sz w:val="24"/>
          <w:highlight w:val="none"/>
        </w:rPr>
      </w:pPr>
      <w:bookmarkStart w:id="55" w:name="_TOC_250014"/>
      <w:bookmarkEnd w:id="55"/>
      <w:r>
        <w:rPr>
          <w:rFonts w:hint="eastAsia" w:ascii="仿宋" w:hAnsi="仿宋" w:eastAsia="仿宋" w:cs="仿宋"/>
          <w:b/>
          <w:bCs/>
          <w:color w:val="auto"/>
          <w:sz w:val="24"/>
          <w:highlight w:val="none"/>
        </w:rPr>
        <w:t>四、工艺要求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1.废水温度高，腐蚀性、酸碱性均较强，施工前应编制临时排水方案，保证施工期间排水及施工人员安全。</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2.钢制管配件防腐</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表面处理:内外壁表面处理应达到 GB8923-2011《涂覆涂料前钢材表面处理》Sa2.5 级；配件可采用人工除锈，应达到 St3 级标准。</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内防腐:管道及配件内防腐采用环氧煤沥青涂料，加强级防腐，一底两面，涂层干膜总厚度不少于 300</w:t>
      </w:r>
      <w:r>
        <w:rPr>
          <w:rFonts w:hint="eastAsia" w:ascii="仿宋" w:hAnsi="仿宋" w:eastAsia="仿宋" w:cs="仿宋"/>
          <w:color w:val="auto"/>
          <w:sz w:val="24"/>
          <w:highlight w:val="none"/>
          <w:lang w:eastAsia="en-US"/>
        </w:rPr>
        <w:t>μ</w:t>
      </w:r>
      <w:r>
        <w:rPr>
          <w:rFonts w:hint="eastAsia" w:ascii="仿宋" w:hAnsi="仿宋" w:eastAsia="仿宋" w:cs="仿宋"/>
          <w:color w:val="auto"/>
          <w:sz w:val="24"/>
          <w:highlight w:val="none"/>
        </w:rPr>
        <w:t xml:space="preserve">m。管道涂覆前应按涂料生产商推荐的方法准备涂料，并根据产品说明书中给出的配比、工艺要求、施工条件和环境温度要求进行配置。钢管在内表面处理后，应在钢管两端50～100mm 范围留有不涂区。在不涂区先涂刷硅酸锌等可焊性防锈涂料，干膜厚度应在 20～30 </w:t>
      </w:r>
      <w:r>
        <w:rPr>
          <w:rFonts w:hint="eastAsia" w:ascii="仿宋" w:hAnsi="仿宋" w:eastAsia="仿宋" w:cs="仿宋"/>
          <w:color w:val="auto"/>
          <w:sz w:val="24"/>
          <w:highlight w:val="none"/>
          <w:lang w:eastAsia="en-US"/>
        </w:rPr>
        <w:t>μ</w:t>
      </w:r>
      <w:r>
        <w:rPr>
          <w:rFonts w:hint="eastAsia" w:ascii="仿宋" w:hAnsi="仿宋" w:eastAsia="仿宋" w:cs="仿宋"/>
          <w:color w:val="auto"/>
          <w:sz w:val="24"/>
          <w:highlight w:val="none"/>
        </w:rPr>
        <w:t>m。在液体环氧涂料涂敷时，液体环氧涂料内防腐层应覆盖可焊性涂料 10～20mm。</w:t>
      </w:r>
    </w:p>
    <w:p>
      <w:pPr>
        <w:tabs>
          <w:tab w:val="left" w:pos="966"/>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外防腐:管道及配件外防腐采用环氧煤沥青涂料外防腐，加强级防腐，四油一布，干膜总厚度不少于 400</w:t>
      </w:r>
      <w:r>
        <w:rPr>
          <w:rFonts w:hint="eastAsia" w:ascii="仿宋" w:hAnsi="仿宋" w:eastAsia="仿宋" w:cs="仿宋"/>
          <w:color w:val="auto"/>
          <w:sz w:val="24"/>
          <w:highlight w:val="none"/>
          <w:lang w:eastAsia="en-US"/>
        </w:rPr>
        <w:t>μ</w:t>
      </w:r>
      <w:r>
        <w:rPr>
          <w:rFonts w:hint="eastAsia" w:ascii="仿宋" w:hAnsi="仿宋" w:eastAsia="仿宋" w:cs="仿宋"/>
          <w:color w:val="auto"/>
          <w:sz w:val="24"/>
          <w:highlight w:val="none"/>
        </w:rPr>
        <w:t>m。外防腐施工质量及检验按 GB50268-2008 规定执行。</w:t>
      </w:r>
    </w:p>
    <w:p>
      <w:pPr>
        <w:tabs>
          <w:tab w:val="left" w:pos="966"/>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非埋地钢管外防腐:出水阀门井、电磁流量计内管道及配件外防腐采用环氧煤沥青涂料外防腐，一底两面，干膜总厚度不小于 240</w:t>
      </w:r>
      <w:r>
        <w:rPr>
          <w:rFonts w:hint="eastAsia" w:ascii="仿宋" w:hAnsi="仿宋" w:eastAsia="仿宋" w:cs="仿宋"/>
          <w:color w:val="auto"/>
          <w:sz w:val="24"/>
          <w:highlight w:val="none"/>
          <w:lang w:eastAsia="en-US"/>
        </w:rPr>
        <w:t>μ</w:t>
      </w:r>
      <w:r>
        <w:rPr>
          <w:rFonts w:hint="eastAsia" w:ascii="仿宋" w:hAnsi="仿宋" w:eastAsia="仿宋" w:cs="仿宋"/>
          <w:color w:val="auto"/>
          <w:sz w:val="24"/>
          <w:highlight w:val="none"/>
        </w:rPr>
        <w:t>m，再加氯璜化防腐面漆二道，面漆颜色由建设单位自行决定。</w:t>
      </w:r>
    </w:p>
    <w:p>
      <w:pPr>
        <w:tabs>
          <w:tab w:val="left" w:pos="966"/>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 浸入水中管道外防腐:泵池内管道及配件外壁防腐采用环氧煤沥青涂料外防腐，一底两面，干膜总厚度不小于 240</w:t>
      </w:r>
      <w:r>
        <w:rPr>
          <w:rFonts w:hint="eastAsia" w:ascii="仿宋" w:hAnsi="仿宋" w:eastAsia="仿宋" w:cs="仿宋"/>
          <w:color w:val="auto"/>
          <w:sz w:val="24"/>
          <w:highlight w:val="none"/>
          <w:lang w:eastAsia="en-US"/>
        </w:rPr>
        <w:t>μ</w:t>
      </w:r>
      <w:r>
        <w:rPr>
          <w:rFonts w:hint="eastAsia" w:ascii="仿宋" w:hAnsi="仿宋" w:eastAsia="仿宋" w:cs="仿宋"/>
          <w:color w:val="auto"/>
          <w:sz w:val="24"/>
          <w:highlight w:val="none"/>
        </w:rPr>
        <w:t>m。</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3.泵站内需配备便携式报警装置，检修、维护时携便携式 H S 气体浓度报警装置及防护用品。</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4.对泵池及阀门井需要清淤并妥善处置。</w:t>
      </w:r>
    </w:p>
    <w:p>
      <w:pPr>
        <w:autoSpaceDE w:val="0"/>
        <w:autoSpaceDN w:val="0"/>
        <w:spacing w:line="360" w:lineRule="auto"/>
        <w:ind w:firstLine="482" w:firstLineChars="200"/>
        <w:rPr>
          <w:rFonts w:ascii="仿宋" w:hAnsi="仿宋" w:eastAsia="仿宋" w:cs="仿宋"/>
          <w:b/>
          <w:color w:val="auto"/>
          <w:sz w:val="24"/>
          <w:highlight w:val="none"/>
        </w:rPr>
      </w:pPr>
      <w:bookmarkStart w:id="56" w:name="_TOC_250013"/>
      <w:bookmarkEnd w:id="56"/>
      <w:r>
        <w:rPr>
          <w:rFonts w:hint="eastAsia" w:ascii="仿宋" w:hAnsi="仿宋" w:eastAsia="仿宋" w:cs="仿宋"/>
          <w:b/>
          <w:bCs/>
          <w:color w:val="auto"/>
          <w:sz w:val="24"/>
          <w:highlight w:val="none"/>
        </w:rPr>
        <w:t>五、选型要求</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（一）潜污泵</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本章节涉及泵站内的潜污泵的采购技术要求，承包商提供的潜污泵为成套装置，并需配备出水弯座、卡爪、导杆、提升链、15 米潜水电缆、紧固件等有效和安全运行所必需的附件。</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1.资料提交</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投标文件中必须提交以下资料：</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总体布置图应画出每种类型潜污泵平面及剖面图，并应表明所有的外形安装尺寸及运行所需的空间；</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 制造及质量保证设施；</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 部件表；</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 提供潜污泵的特性曲线（流量、扬程、效率、功率）(该项需水泵生产厂家提供承诺,确认所有参数无差错)；</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 产品样本（含产品结构彩色剖面图）；</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2.设计和现场条件</w:t>
      </w:r>
    </w:p>
    <w:p>
      <w:pPr>
        <w:tabs>
          <w:tab w:val="left" w:pos="1172"/>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泵的性能试验规程应以 ISO9906 (2011)为准。</w:t>
      </w:r>
    </w:p>
    <w:p>
      <w:pPr>
        <w:tabs>
          <w:tab w:val="left" w:pos="1172"/>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潜水电机须能连续运行、间歇运行和长期停止状态后恢复运行。</w:t>
      </w:r>
    </w:p>
    <w:p>
      <w:pPr>
        <w:tabs>
          <w:tab w:val="left" w:pos="1172"/>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潜污泵应是立式、单级和可脱卸的具无阻塞性潜水泵，能泵送污水并与潜水电机的轴为一个整体。</w:t>
      </w:r>
    </w:p>
    <w:p>
      <w:pPr>
        <w:tabs>
          <w:tab w:val="left" w:pos="1172"/>
          <w:tab w:val="left" w:pos="2500"/>
        </w:tabs>
        <w:autoSpaceDE w:val="0"/>
        <w:autoSpaceDN w:val="0"/>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2.4 技术要求</w:t>
      </w:r>
      <w:r>
        <w:rPr>
          <w:rFonts w:ascii="仿宋" w:hAnsi="仿宋" w:eastAsia="仿宋" w:cs="仿宋"/>
          <w:color w:val="auto"/>
          <w:sz w:val="24"/>
          <w:highlight w:val="none"/>
        </w:rPr>
        <w:tab/>
      </w:r>
    </w:p>
    <w:p>
      <w:pPr>
        <w:autoSpaceDE w:val="0"/>
        <w:autoSpaceDN w:val="0"/>
        <w:spacing w:line="360" w:lineRule="auto"/>
        <w:ind w:firstLine="480" w:firstLineChars="200"/>
        <w:rPr>
          <w:rFonts w:ascii="宋体" w:hAnsi="宋体" w:eastAsia="宋体" w:cs="宋体"/>
          <w:color w:val="auto"/>
          <w:szCs w:val="21"/>
          <w:highlight w:val="none"/>
        </w:rPr>
      </w:pPr>
      <w:r>
        <w:rPr>
          <w:rFonts w:hint="eastAsia" w:ascii="仿宋" w:hAnsi="仿宋" w:eastAsia="仿宋" w:cs="仿宋"/>
          <w:color w:val="auto"/>
          <w:sz w:val="24"/>
          <w:highlight w:val="none"/>
        </w:rPr>
        <w:t>潜污泵在任何工况条件下不过载，不发生汽蚀，并满足如下参数需求</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051"/>
        <w:gridCol w:w="1471"/>
        <w:gridCol w:w="1521"/>
        <w:gridCol w:w="1155"/>
        <w:gridCol w:w="152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额定流量（m</w:t>
            </w:r>
            <w:r>
              <w:rPr>
                <w:rFonts w:hint="eastAsia" w:ascii="仿宋" w:hAnsi="仿宋" w:eastAsia="仿宋" w:cs="仿宋"/>
                <w:color w:val="auto"/>
                <w:kern w:val="0"/>
                <w:szCs w:val="21"/>
                <w:highlight w:val="none"/>
                <w:vertAlign w:val="superscript"/>
              </w:rPr>
              <w:t>3</w:t>
            </w:r>
            <w:r>
              <w:rPr>
                <w:rFonts w:hint="eastAsia" w:ascii="仿宋" w:hAnsi="仿宋" w:eastAsia="仿宋" w:cs="仿宋"/>
                <w:color w:val="auto"/>
                <w:kern w:val="0"/>
                <w:szCs w:val="21"/>
                <w:highlight w:val="none"/>
              </w:rPr>
              <w:t>/h）</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额定扬程(H)</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水泵转速(r/min)</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水泵效率区间（%）</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出水口径(mm)</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额定参考功率(kW）</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电缆长度(m)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1200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15</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980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70-85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75</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450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22</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980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65-85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200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45</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10</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980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70-85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200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18.5</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210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1450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70-85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7.5</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1450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65-85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200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15</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10</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980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70-85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30</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8</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980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75-85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300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30</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980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65-85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22</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7"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600</w:t>
            </w:r>
          </w:p>
        </w:tc>
        <w:tc>
          <w:tcPr>
            <w:tcW w:w="105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15</w:t>
            </w:r>
          </w:p>
        </w:tc>
        <w:tc>
          <w:tcPr>
            <w:tcW w:w="147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1450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65-85</w:t>
            </w:r>
          </w:p>
        </w:tc>
        <w:tc>
          <w:tcPr>
            <w:tcW w:w="1155"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250</w:t>
            </w:r>
          </w:p>
        </w:tc>
        <w:tc>
          <w:tcPr>
            <w:tcW w:w="1521"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45</w:t>
            </w:r>
          </w:p>
        </w:tc>
        <w:tc>
          <w:tcPr>
            <w:tcW w:w="1332" w:type="dxa"/>
            <w:shd w:val="clear" w:color="auto" w:fill="auto"/>
            <w:vAlign w:val="center"/>
          </w:tcPr>
          <w:p>
            <w:pPr>
              <w:widowControl/>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按现场实际</w:t>
            </w:r>
          </w:p>
        </w:tc>
      </w:tr>
    </w:tbl>
    <w:p>
      <w:pPr>
        <w:autoSpaceDE w:val="0"/>
        <w:autoSpaceDN w:val="0"/>
        <w:spacing w:line="288" w:lineRule="auto"/>
        <w:ind w:firstLine="200" w:firstLineChars="200"/>
        <w:rPr>
          <w:rFonts w:ascii="宋体" w:hAnsi="宋体" w:eastAsia="宋体" w:cs="宋体"/>
          <w:color w:val="auto"/>
          <w:sz w:val="10"/>
          <w:szCs w:val="21"/>
          <w:highlight w:val="none"/>
          <w:lang w:eastAsia="en-US"/>
        </w:rPr>
      </w:pPr>
    </w:p>
    <w:p>
      <w:pPr>
        <w:tabs>
          <w:tab w:val="left" w:pos="964"/>
        </w:tabs>
        <w:autoSpaceDE w:val="0"/>
        <w:autoSpaceDN w:val="0"/>
        <w:spacing w:line="360" w:lineRule="auto"/>
        <w:ind w:firstLine="480" w:firstLineChars="200"/>
        <w:rPr>
          <w:rFonts w:ascii="仿宋" w:hAnsi="仿宋" w:eastAsia="仿宋" w:cs="仿宋"/>
          <w:color w:val="auto"/>
          <w:sz w:val="24"/>
          <w:highlight w:val="none"/>
          <w:lang w:eastAsia="en-US"/>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en-US"/>
        </w:rPr>
        <w:t>性能和结构</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潜污泵应是立式、单级和可脱卸的具无阻塞性潜水泵，能够在 10m 水深下持续长期运行，安全运行时间至少为 10,000h。潜水电机直接与泵叶轮同轴相连，水力部件由水泵壳体、叶轮组成。为了确保流量稳定且没有过多涡旋，水力部件应设计和制造成没有锐利的棱角。泵出水配管法兰应按 ISO 标准，公称压力 1MP 以上。</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水泵能自动稳固地与排水连接座联接，并且水泵能够在双导杆引导下从泵坑顶部到排水连接座之间自由滑动。</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潜水电机应能连续运行、间歇运行和长期停止状态后恢复运行。泵的性能试验规程应以GB-12785-2014为准。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 泵壳</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泵壳采用灰铸铁整体浇铸，其材料牌号应至少为 优质铸铁HT250或以上，泵壳内表面经喷砂、打磨后应光滑、无疵瑕，所有水流通过部分应设计成无锐角形式，以使流速和流态变化趋于平稳。流道的断面应足够大，以使相应粒径的杂物能通过。泵壳要有足够的厚度来承受所有的载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每台泵壳都必须在制造车间进行静压试验，试验压力不得小于关闭水头的 2 倍（如特性曲线所示），试验时间应至少持续 10min。在这一试验压力下，泵的任一部分均不得有变形、渗漏等缺陷。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除有其它说明外，所有要求水密封的接触面都必须作机械加工和设置Ｏ型圈，靠金属加工面之间的接触，使Ｏ型圈受压达到密封的装配，而不需要施加特殊的外力。</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 泵叶轮</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叶轮采用整体铸造无堵塞离心叶轮型式。叶轮和泵轴之间采用双键固定在轴的端部，并采用保护橡皮帽进行密封。叶轮和轴须采用内部锁定装置，以防叶轮在反转时发生松动现象。叶轮采铸铁HT250或者更优。</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叶轮应进行动平衡试验，动平衡精度应不低于 ISO1940 G6.3 级（供货前提供检测报告）。</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 泵轴</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泵轴和电机轴必须为整体结构，并与泵送的液体完全分开。轴材料采用高强度耐腐蚀不锈钢1.4021(420)制造。</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 泵轴承</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上部轴承为圆柱滚子轴承，下部轴承组包括一对单列向心推力球轴承和一只单列圆柱滚子轴承，轴承的设计使用寿命应不小于 100,000 小时。设计的轴承必须能够承受所有轴向和径向负荷。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轴承应选用通用知名品牌的产品，以便日后业主自行采购备件（如采用厂家专用轴承，则每台水泵必须免费提供壹套备用的轴承）。</w:t>
      </w:r>
    </w:p>
    <w:p>
      <w:pPr>
        <w:tabs>
          <w:tab w:val="left" w:pos="86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 耐磨环</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为了在蜗壳和叶轮间能有效密封，应安装耐磨环。耐磨环必须可靠地紧固在叶轮和泵壳上，   在正常运行条件下或泵逆向运转时都不会发生松动。耐磨环的结构形式应考虑到容易拆除和更换。耐磨环采用铸铁HT250或者更优材质。</w:t>
      </w:r>
    </w:p>
    <w:p>
      <w:pPr>
        <w:tabs>
          <w:tab w:val="left" w:pos="86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3.6 机械密封</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采用两个上下双重独立的高质量机械密封系统，可以顺时针或逆时针转动，而不会带来不良后果。机械密封均采用碳化硅/碳化硅，介质酸碱度范围为 pH6～10。机械密封应该是免维护的，润滑与被输送液体相隔开，应能抵抗热冲击，并具有良好紧急运行的特点。</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两机械密封间应有一油室，油室内充有符合卫生标准要求的石蜡油，用石蜡油润滑和冷却机械密封，并作为输送介质和电机腔间的缓冲，作为进一步的保护措施。制造厂应保证机械密封的设计使用寿命不低于 25,000 小时。</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机械密封采用通用知名品牌的产品，以便日后业主自行采购备件（如采用厂家专用机械密封，则每台水泵必须免费提供两套备用的机械密封）。</w:t>
      </w:r>
    </w:p>
    <w:p>
      <w:pPr>
        <w:tabs>
          <w:tab w:val="left" w:pos="86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3.7 电机</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电机应为鼠笼潜水电机，3相、380V、50HZ，防护等级 IP68，绝缘等级 F 级或者更优。电机功率的选配应保证在工作范围内任一点运行时，都不会出现过载，在设计流量时的安全余量应不少于 10％，在变频运行下的电机安全余量应不少于 15%，电机能每小时启动 15次，采用耐热型电机，能连续泵送温度最高为 60°C 的介质。并且定子绕组的平均温升不超过 105°C。定子应热压嵌入定子室，并与转子保持合适的间隙(水泵生产厂家应提供电机耐热性能承诺,确认符合本文件要求)。</w:t>
      </w:r>
    </w:p>
    <w:p>
      <w:pPr>
        <w:tabs>
          <w:tab w:val="left" w:pos="86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3.8 电缆和电缆密封</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机应配有控制和动力水下电缆，每根电缆都有一个单独的进口，并进行可靠的密封，如果动力电缆是多芯电缆，则每根电缆还要进行单独密封。为了达到最大限度地保护电机，即使在偶然的不正常运行情况下，电缆损坏且电机仍在水下，电缆进口也不会有湿汽进入电机和接线盒。</w:t>
      </w:r>
    </w:p>
    <w:p>
      <w:pPr>
        <w:tabs>
          <w:tab w:val="left" w:pos="86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3.9 水泵保护系统</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泵应设有一套保护系统，用于阻塞、过载、故障等发出指示，应该在电机或主轴出现严重损   坏前发出相关信号。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3.10 电机过载保护：</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电机的每一绕组均由 PTC 型温度传感器保护，三个传感器应串联连接，这些传感器都应在摄氏 105℃时动作。</w:t>
      </w:r>
    </w:p>
    <w:p>
      <w:pPr>
        <w:tabs>
          <w:tab w:val="left" w:pos="860"/>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3.11 安装附件</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每一台泵应配有固定在池底的出水弯管，泵应能顺利沿导杆向下滑行并通过卡爪自动与弯座耦合。耦合必须牢固可靠，密封面不会有漏水现象，采用刚性面密封是不允许的，同时必须易于维护时提升、起吊水泵。</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4.主要材料</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叶轮</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优质铸铁 HT250或者更优</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泵壳</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优质铸铁 HT250或者更优</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主轴</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不锈钢 1.4021(420)或者更优</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耐磨环</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优质铸铁 HT250或者更优</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提升链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不锈钢 304</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导 杆       不锈钢 304</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机械密封</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碳化硅/碳化硅</w:t>
      </w:r>
    </w:p>
    <w:p>
      <w:pPr>
        <w:tabs>
          <w:tab w:val="left" w:pos="1697"/>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化学螺栓</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不锈钢 304</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5.设备防腐</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除不锈钢外，所有与泵送介质接触的金属表面由水基底漆和两组涂层保护。泵外壳底漆运用浸泡、喷漆、刷涂工序，采用磷酸锌合成树脂漆喷漆处理，外涂双组份高固环氧树脂漆喷漆处理，涂层厚度根据 ISO2808 标准，总干膜厚度为 240</w:t>
      </w:r>
      <w:r>
        <w:rPr>
          <w:rFonts w:hint="eastAsia" w:ascii="仿宋" w:hAnsi="仿宋" w:eastAsia="仿宋" w:cs="仿宋"/>
          <w:color w:val="auto"/>
          <w:sz w:val="24"/>
          <w:highlight w:val="none"/>
          <w:lang w:eastAsia="en-US"/>
        </w:rPr>
        <w:t>μ</w:t>
      </w:r>
      <w:r>
        <w:rPr>
          <w:rFonts w:hint="eastAsia" w:ascii="仿宋" w:hAnsi="仿宋" w:eastAsia="仿宋" w:cs="仿宋"/>
          <w:color w:val="auto"/>
          <w:sz w:val="24"/>
          <w:highlight w:val="none"/>
        </w:rPr>
        <w:t>m。</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6.设备检验和测试</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出厂前应进行工厂检验及测试，提供测试报告：性能或出厂试验报告、产品合格证或质量证明书。</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潜污泵安装后，承包商应按技术指标进行检验，并符合规定的性能指标。</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带负荷运转 1 小时（根据进水池的水位确定运行时间），检测其流量、扬程及效率是否符合要求。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运转时应平稳、无异常声音和振动，电机电流值正常，潜水电机外壳防护等级 IP68。控制电缆线与现场匹配，型号为 JYV5*4mm2。</w:t>
      </w:r>
    </w:p>
    <w:p>
      <w:pPr>
        <w:numPr>
          <w:ilvl w:val="0"/>
          <w:numId w:val="4"/>
        </w:numPr>
        <w:autoSpaceDE w:val="0"/>
        <w:autoSpaceDN w:val="0"/>
        <w:spacing w:line="360" w:lineRule="auto"/>
        <w:ind w:firstLine="482" w:firstLineChars="200"/>
        <w:rPr>
          <w:rFonts w:ascii="仿宋" w:hAnsi="仿宋" w:eastAsia="仿宋" w:cs="仿宋"/>
          <w:b/>
          <w:color w:val="auto"/>
          <w:kern w:val="0"/>
          <w:sz w:val="24"/>
          <w:highlight w:val="none"/>
          <w:lang w:eastAsia="en-US"/>
        </w:rPr>
      </w:pPr>
      <w:r>
        <w:rPr>
          <w:rFonts w:hint="eastAsia" w:ascii="仿宋" w:hAnsi="仿宋" w:eastAsia="仿宋" w:cs="仿宋"/>
          <w:b/>
          <w:color w:val="auto"/>
          <w:kern w:val="0"/>
          <w:sz w:val="24"/>
          <w:highlight w:val="none"/>
          <w:lang w:eastAsia="en-US"/>
        </w:rPr>
        <w:t>格栅机</w:t>
      </w:r>
    </w:p>
    <w:p>
      <w:pPr>
        <w:autoSpaceDE w:val="0"/>
        <w:autoSpaceDN w:val="0"/>
        <w:spacing w:line="360" w:lineRule="auto"/>
        <w:ind w:firstLine="480" w:firstLineChars="200"/>
        <w:rPr>
          <w:rFonts w:ascii="仿宋" w:hAnsi="仿宋" w:eastAsia="仿宋" w:cs="仿宋"/>
          <w:color w:val="auto"/>
          <w:kern w:val="0"/>
          <w:sz w:val="24"/>
          <w:highlight w:val="none"/>
          <w:lang w:eastAsia="en-US"/>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eastAsia="en-US"/>
        </w:rPr>
        <w:t>一般要求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回转式格栅除污机（下称格栅除污机）为成套装置，每台格栅除污机应成套地配备安全、有效、可靠运行所需的附件。回转式格栅除污机需配套防护罩、润滑系统、液位差计、就地控制箱以及由控制箱至设备的所有电力电缆和控制电缆等，同时需配套回转式格栅除污机有效和安全运行所需的附件。</w:t>
      </w:r>
    </w:p>
    <w:p>
      <w:pPr>
        <w:tabs>
          <w:tab w:val="left" w:pos="966"/>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2.工艺设计与现场条件</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格栅除污机配合尺寸应符合设计图的要求。</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格栅除污机应能在渠道的整个宽度上耙污，格栅除污机的支架和钢平台、所有的构件的设计应保证在最恶劣的环境中使用寿命不少于 15 年。</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每台格栅除污机应有处理污水高峰流量的能力，平均栅渣量约为 0.1m³／10³m³（污水）。</w:t>
      </w:r>
    </w:p>
    <w:p>
      <w:pPr>
        <w:tabs>
          <w:tab w:val="left" w:pos="966"/>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正常情况下，格栅除污机为间歇运行，但必要时也能连续 24 小时运行，线速度不大于3m/min。</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机械设备无故障工作时间不应小于 10000 小时，整机的工作寿命不应少于 10 年。</w:t>
      </w:r>
    </w:p>
    <w:p>
      <w:pPr>
        <w:tabs>
          <w:tab w:val="left" w:pos="96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3.结构与材料</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回转式格栅除污机主要由驱动装置、机架、传动链轮、牵引链条、犁形齿耙及电气控制柜等主要部件组成。</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驱动电机安装在机架侧向的输出轴上，齿耙在二侧传动链条的带动下，犁形齿耙自下而上将整个渠道宽度范围内的污物向上提取，抵达上部时，通过导轨及链轮的转向动能，自动完成卸污工作。</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整个格栅部件直接安装在渠道上，水中的固体物由犁形齿耙串接成的滤带捕获，通过耙齿送至除污机驱动装置后部的较高位置后排出。滤带在运动过程中，当耙齿在下一排耙齿臂之间通过时，滤带得以自清洁。同时一个旋转的刷子还应对滤带进一步清洁。耙齿经装配后，彼此形成垂直和水平的空间，让水流通过。耙齿应由抗冲击载荷强、在污水中不变形及耐磨性能高的增强尼龙制造，寿命达到 10 年。</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回转式格栅除污机应有可靠的清污效果，在结构设计上应有可靠的自净能力，无污物缠绕、卡滞现象，且格栅底部不得有污物堆积形成死角。在格栅前后水位差达 1.0m 的情况下，组合而成的齿耙应具有足够的强度和刚度，不应发生变形及断齿而影响设备的正常运行。</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4.主要材料</w:t>
      </w:r>
      <w:r>
        <w:rPr>
          <w:rFonts w:hint="eastAsia" w:ascii="仿宋" w:hAnsi="仿宋" w:eastAsia="仿宋" w:cs="仿宋"/>
          <w:color w:val="auto"/>
          <w:sz w:val="24"/>
          <w:highlight w:val="none"/>
        </w:rPr>
        <w:tab/>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驱动轴</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420 不锈钢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机架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304 不锈钢(厚度≥8mm)</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机罩</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304 不锈钢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耙齿</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增强尼龙(厚度≥4mm)</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链条</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304 不锈钢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导向装置</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304 不锈钢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紧固件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304 不锈钢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注：上述部件材质等级上必须高（大）于或等于上述要求。</w:t>
      </w:r>
    </w:p>
    <w:p>
      <w:pPr>
        <w:numPr>
          <w:ilvl w:val="0"/>
          <w:numId w:val="4"/>
        </w:numPr>
        <w:autoSpaceDE w:val="0"/>
        <w:autoSpaceDN w:val="0"/>
        <w:spacing w:line="360" w:lineRule="auto"/>
        <w:ind w:firstLine="482" w:firstLineChars="200"/>
        <w:rPr>
          <w:rFonts w:ascii="仿宋" w:hAnsi="仿宋" w:eastAsia="仿宋" w:cs="仿宋"/>
          <w:b/>
          <w:color w:val="auto"/>
          <w:kern w:val="0"/>
          <w:sz w:val="24"/>
          <w:highlight w:val="none"/>
          <w:lang w:eastAsia="en-US"/>
        </w:rPr>
      </w:pPr>
      <w:r>
        <w:rPr>
          <w:rFonts w:hint="eastAsia" w:ascii="仿宋" w:hAnsi="仿宋" w:eastAsia="仿宋" w:cs="仿宋"/>
          <w:b/>
          <w:color w:val="auto"/>
          <w:kern w:val="0"/>
          <w:sz w:val="24"/>
          <w:highlight w:val="none"/>
          <w:lang w:eastAsia="en-US"/>
        </w:rPr>
        <w:t>螺旋输送</w:t>
      </w:r>
      <w:r>
        <w:rPr>
          <w:rFonts w:hint="eastAsia" w:ascii="仿宋" w:hAnsi="仿宋" w:eastAsia="仿宋" w:cs="仿宋"/>
          <w:b/>
          <w:color w:val="auto"/>
          <w:kern w:val="0"/>
          <w:sz w:val="24"/>
          <w:highlight w:val="none"/>
        </w:rPr>
        <w:t>压榨机</w:t>
      </w:r>
    </w:p>
    <w:p>
      <w:pPr>
        <w:autoSpaceDE w:val="0"/>
        <w:autoSpaceDN w:val="0"/>
        <w:spacing w:line="360" w:lineRule="auto"/>
        <w:ind w:firstLine="480" w:firstLineChars="200"/>
        <w:rPr>
          <w:rFonts w:ascii="仿宋" w:hAnsi="仿宋" w:eastAsia="仿宋" w:cs="仿宋"/>
          <w:color w:val="auto"/>
          <w:kern w:val="0"/>
          <w:sz w:val="24"/>
          <w:highlight w:val="none"/>
          <w:lang w:eastAsia="en-US"/>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eastAsia="en-US"/>
        </w:rPr>
        <w:t>一般要求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此螺旋输送压榨机用于输送格栅栅渣。主要由 U 型槽、无轴螺旋、夹架、进料口、出料口、轴承、驱动齿轮马达、衬套组成。设备能 24 小时运转，并能与格栅联锁动作，即格栅启动时，螺旋输送压榨机亦启动，格栅停止运行后，螺旋输送压榨机还能运行一段时间。要求有不小于 1m 的压榨段。</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无轴螺旋输送压榨机的进料斗应向上扩口，以接纳格栅除污机的卸料，除接料口外，其余均采用罩盖密闭。</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减速机轴承应有良好的润滑，减速机的齿轮设计应符合 ISO 或等同标准。无轴螺旋片应具有足够的强度和刚度，厚度不小于 20mm。</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输送压榨机槽内的耐磨衬板或耐磨衬条应能方便地更换，使用寿命应保证 2 年以上。</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2.材质</w:t>
      </w:r>
    </w:p>
    <w:p>
      <w:pPr>
        <w:tabs>
          <w:tab w:val="left" w:pos="274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螺旋叶片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304 或 316 或 420 不锈钢</w:t>
      </w:r>
    </w:p>
    <w:p>
      <w:pPr>
        <w:tabs>
          <w:tab w:val="left" w:pos="31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输送机壳体、盖罩</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304 或 316 不锈钢</w:t>
      </w:r>
    </w:p>
    <w:p>
      <w:pPr>
        <w:tabs>
          <w:tab w:val="left" w:pos="31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耐磨衬条（或衬板）</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耐磨工程塑料</w:t>
      </w:r>
    </w:p>
    <w:p>
      <w:pPr>
        <w:tabs>
          <w:tab w:val="left" w:pos="3271"/>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紧固件                    304 或 321 不锈钢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注：上述部件材质等级上必须高（大）于或等于上述要求。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3.控制系统</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控制系统应能做到现场手动或 PLC 控制运行，应与格栅除污机进行联锁控制，并与全站自控系统配套。</w:t>
      </w:r>
    </w:p>
    <w:p>
      <w:pPr>
        <w:numPr>
          <w:ilvl w:val="0"/>
          <w:numId w:val="4"/>
        </w:numPr>
        <w:autoSpaceDE w:val="0"/>
        <w:autoSpaceDN w:val="0"/>
        <w:spacing w:line="360" w:lineRule="auto"/>
        <w:ind w:firstLine="482" w:firstLineChars="200"/>
        <w:rPr>
          <w:rFonts w:ascii="仿宋" w:hAnsi="仿宋" w:eastAsia="仿宋" w:cs="仿宋"/>
          <w:b/>
          <w:color w:val="auto"/>
          <w:kern w:val="0"/>
          <w:sz w:val="24"/>
          <w:highlight w:val="none"/>
          <w:lang w:eastAsia="en-US"/>
        </w:rPr>
      </w:pPr>
      <w:r>
        <w:rPr>
          <w:rFonts w:hint="eastAsia" w:ascii="仿宋" w:hAnsi="仿宋" w:eastAsia="仿宋" w:cs="仿宋"/>
          <w:b/>
          <w:color w:val="auto"/>
          <w:kern w:val="0"/>
          <w:sz w:val="24"/>
          <w:highlight w:val="none"/>
          <w:lang w:eastAsia="en-US"/>
        </w:rPr>
        <w:t>闸门</w:t>
      </w:r>
    </w:p>
    <w:p>
      <w:pPr>
        <w:autoSpaceDE w:val="0"/>
        <w:autoSpaceDN w:val="0"/>
        <w:spacing w:line="360" w:lineRule="auto"/>
        <w:ind w:firstLine="480" w:firstLineChars="200"/>
        <w:rPr>
          <w:rFonts w:ascii="仿宋" w:hAnsi="仿宋" w:eastAsia="仿宋" w:cs="仿宋"/>
          <w:color w:val="auto"/>
          <w:kern w:val="0"/>
          <w:sz w:val="24"/>
          <w:highlight w:val="none"/>
          <w:lang w:eastAsia="en-US"/>
        </w:rPr>
      </w:pPr>
      <w:r>
        <w:rPr>
          <w:rFonts w:hint="eastAsia" w:ascii="仿宋" w:hAnsi="仿宋" w:eastAsia="仿宋" w:cs="仿宋"/>
          <w:color w:val="auto"/>
          <w:kern w:val="0"/>
          <w:sz w:val="24"/>
          <w:highlight w:val="none"/>
          <w:lang w:eastAsia="en-US"/>
        </w:rPr>
        <w:t>1.一般要求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铸铁镶铜闸门为明杆式结构形式，闸门主要由门框、门体、导轨、楔座、密封装置等组成。主体均采用实心结构。</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闸门的设计、制造、检验、和验收等都符合 CJ/T3006-92《供水排水用铸铁闸门》标准。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手电两用启闭机按 JB/T9019.1～9019.2《螺杆式启闭机》标准。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铸铁闸门的门框、门体及导轨应采用 HT200 灰铸铁铸造，在最大水压作用下，其安全系数不小于 5。</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闸门与门框的密封面应采用有色金属（不包括铝合金）制造，密封面应精确地加工，其渗漏量不超过 1.25L/min∙m（密封长度）。门体提升或关闭用的螺杆应采用高强度不锈钢材料制造， 螺杆在最大启门力或关闭力作用下，其安全系数为 2。对于闸门丝杆直径不少于 55mm。丝杆由不低于 2Cr13 不锈钢或同等及以上的材质制成并且为实心。</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2.主要材质</w:t>
      </w:r>
    </w:p>
    <w:p>
      <w:pPr>
        <w:tabs>
          <w:tab w:val="left" w:pos="274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门体</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HT200 铸铁</w:t>
      </w:r>
    </w:p>
    <w:p>
      <w:pPr>
        <w:tabs>
          <w:tab w:val="left" w:pos="274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门框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HT200 铸铁</w:t>
      </w:r>
    </w:p>
    <w:p>
      <w:pPr>
        <w:tabs>
          <w:tab w:val="left" w:pos="274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导轨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HT200 铸铁</w:t>
      </w:r>
    </w:p>
    <w:p>
      <w:pPr>
        <w:tabs>
          <w:tab w:val="left" w:pos="274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密封条</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铜合金</w:t>
      </w:r>
    </w:p>
    <w:p>
      <w:pPr>
        <w:tabs>
          <w:tab w:val="left" w:pos="274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楔块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铜合金</w:t>
      </w:r>
    </w:p>
    <w:p>
      <w:pPr>
        <w:tabs>
          <w:tab w:val="left" w:pos="316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螺杆或接杆            不锈钢 420</w:t>
      </w:r>
    </w:p>
    <w:p>
      <w:pPr>
        <w:tabs>
          <w:tab w:val="left" w:pos="3588"/>
          <w:tab w:val="left" w:pos="442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导向支承（衬套）      球墨铸铁（青铜） </w:t>
      </w:r>
    </w:p>
    <w:p>
      <w:pPr>
        <w:tabs>
          <w:tab w:val="left" w:pos="3588"/>
          <w:tab w:val="left" w:pos="4428"/>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紧固件                不锈钢 316</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注：上述部件材质等级上必须高（大）于或等于上述要求。</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（五）除臭设备</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本项目采用的除臭技术是以新型化学吸附滤料为核心，依托专用处理系统设备进行废气有效收集、处理，达到脱臭及净化空气的目的。</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干式化学过滤除臭技术的除臭原理可以分成两个部分，即物理吸附和化学反应。物理吸附是化学吸附滤料扑捉、收集臭气分子的主要方式，通过物理吸附有效的将废气内的各项臭气分子附着于化学滤料内，为后续化学反应分解过程提供条件，化学反应则是除臭的主要手段，通过合成在滤料上的有效化学成分对吸附后的污染物质进行化学反应分解。</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1.物理吸附</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干式化学过滤除臭技术原理中的物理吸附过程不同于常规的碳填料吸附过程。 常规的碳吸附只是单一物理吸附，它是利用吸附载体强大的外表面积来吸附污染物分子，随着物附着量的增大，吸附载体的吸附能力逐渐减小，直至饱和，而且饱和后的吸附载体很容易造成二次污染，需要经过脱附处理或专业的固废处理。而干式化学过滤的吸附只需将污染物质吸附在化学滤料内，让污染物质与化学滤料内的化学分子能够充分接触反应。</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2.化学催化氧化反应</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干式化学过滤除臭技术的化学催化氧化反应是基于物理吸附的基础上，通过合成在滤料上的催化氧化剂对吸附的污染物发生一系列催化氧化反应，从而达到去除污染物的目的。   </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3.本项目除臭设备要达到以下能力：</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 过程速度很快，并且是不可逆的。</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 可以将有毒有害气体化学氧化为无害的固体。</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4.本项目使用的滤料采用化学滤料，不得采用活性炭等物理过滤滤料，滤料参数必须满足以下要求：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 粒径≤8.0mm，堆积密度：0.7-0.8g/cm3，水含量≤30%，高锰酸钠和氧化镁含量≥10%；  </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 滤料的去除效率：氨、硫化氢、甲硫醇和臭气浓度去除率均需≥95%；</w:t>
      </w:r>
    </w:p>
    <w:p>
      <w:pPr>
        <w:tabs>
          <w:tab w:val="left" w:pos="1069"/>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4.3 滤料对污染物的去除能力：硫化氢≥40%，二氧化硫≥7%，二氧化氮≥30%；</w:t>
      </w:r>
    </w:p>
    <w:p>
      <w:pPr>
        <w:tabs>
          <w:tab w:val="left" w:pos="1069"/>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4.4 滤料安全性：使用后的滤料符合 EPA 无毒废料限值要求。</w:t>
      </w:r>
    </w:p>
    <w:p>
      <w:pPr>
        <w:tabs>
          <w:tab w:val="left" w:pos="1069"/>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注：以上内容均需提供第三方机构的检测报告以作证明。</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（六）阀门、钢管、法兰盘、线缆等</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1.DN350、DN200 对夹式蝶形止回阀</w:t>
      </w:r>
    </w:p>
    <w:p>
      <w:pPr>
        <w:autoSpaceDE w:val="0"/>
        <w:autoSpaceDN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与现场管道匹配。</w:t>
      </w:r>
      <w:r>
        <w:rPr>
          <w:rFonts w:hint="eastAsia" w:ascii="仿宋" w:hAnsi="仿宋" w:eastAsia="仿宋" w:cs="仿宋"/>
          <w:color w:val="auto"/>
          <w:sz w:val="24"/>
          <w:highlight w:val="none"/>
        </w:rPr>
        <w:t>使用温度≤80°C,使用介质为清水、污水及油；阀体为球墨铸铁，阀盖为球墨铸铁，阀瓣为铸钢外面包橡胶，销轴为不锈钢。</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2.DN350、DN200 涡轮法兰式蝶阀</w:t>
      </w:r>
    </w:p>
    <w:p>
      <w:pPr>
        <w:autoSpaceDE w:val="0"/>
        <w:autoSpaceDN w:val="0"/>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与现场管道匹配。</w:t>
      </w:r>
      <w:r>
        <w:rPr>
          <w:rFonts w:hint="eastAsia" w:ascii="仿宋" w:hAnsi="仿宋" w:eastAsia="仿宋" w:cs="仿宋"/>
          <w:color w:val="auto"/>
          <w:kern w:val="0"/>
          <w:sz w:val="24"/>
          <w:highlight w:val="none"/>
        </w:rPr>
        <w:t>使用温度≤80°C,使用介质为清水、污水及油；</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阀体为球墨铸铁，碟板为球墨铸铁，阀杆为镍合金不锈钢，阀体盖为球墨铸铁，下轴套为青铜，下端盖为球墨铸铁，密封座为丁晴橡胶或三元乙丙橡胶，上轴套为青铜，上端盖为球墨铸铁，   传动装置为球墨铸铁，契行销为捏合金不锈钢。</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3.钢管、弯头、法兰盘、缆线等</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 DN350、DN200 钢管。与现场管道匹配，国标，壁厚 10mm,1.0MPa 压力，管道防腐按照国家标准实施。</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 DN350*250、DN150*200 变径管。与现场管道匹配，按 GB4216.3-84PN 标准。</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 DN200、DN350 法兰盘。与现场管道匹配，按 GB4216.3-84PN 标准。</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 电力电缆线。与现场匹配，型号为 YJV-1KV(3*35+1*16mm2))。</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 控制电缆线。与现场匹配，型号为 JYV5*4mm2。</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（七）电气</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1.泵站供电负荷为二级，供电电源应满足二级负荷要求。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2.各设备均设置现地控制箱，箱上需有启动/停止按钮及运行指示，以及手动/自动转换开关。所有箱体均为不锈钢材质，钢板厚度不小于 2mm。所有室内控制箱防护等级应大于 IP42，所有室外控制箱防护等级应大于 IP56。所有室外控制箱应设双门，所有按钮及指示灯均装设于内门上，内、外门均须安装安全锁具。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3.动力箱，控制箱及照明配电箱均为明装；安装高度为底边距地 1.5m；箱体高度大于 1.2m 的为落地式安装，下垫 10#槽钢。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4.至落地设备的管线管口伸出地面 150mm 并加防水弯头，或做防水处理。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5.动力低压出线电缆均选用 YJV-0.6/1kV 型电力电缆，主要采用电缆沟敷设，局部采用穿管埋地敷设。室外照明电缆均选用 VV-0.6/1kV 型电力电缆，采用穿管埋地敷设。</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6.照明及插座支线采用 BV-500 型电线，长距离线段中间加接线盒过渡，照明、插座支线均为穿 SC 管沿墙、沿顶棚的结构层明敷。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7.本工程所有控制箱的二次控制接线及控制要求详见国家标准图集。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8.本工程 SC 管均为热镀锌钢管，SC 管为电线管。</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9.所有穿过建筑物伸缩缝、沉降缝的管线应按国家、地方标准图集中有关作法施工。</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10.电缆沟做法详见 94D101-5，室外电缆沟采用混凝土盖板，电缆沟及盖板做法参考 02J331。埋入前电缆沟沟底铲平夯实，电缆周围填入不少于 100mm 厚的软土或沙土，土层上部用定型的混凝土盖板盖好。直埋电缆电缆上皮距地面大于 0.7m，直埋电缆穿过路面时穿镀锌钢管保护，并可靠接地，做法详见 92DQ4-59-65。</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（八）其他</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1、技术资料的语言文字和数量</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技术文件和图纸以中文描述，文字资料纸采用 A4 规格，大于 A4 的图表折叠成 A4 尺寸。</w:t>
      </w:r>
    </w:p>
    <w:p>
      <w:pPr>
        <w:autoSpaceDE w:val="0"/>
        <w:autoSpaceDN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2、设备的铭牌</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设备的铭牌为印压式，刻在 1mm 厚的不锈钢板上，并将其固定在设备易于看见的位置。铭牌上至少有下列内容：</w:t>
      </w:r>
    </w:p>
    <w:p>
      <w:pPr>
        <w:autoSpaceDE w:val="0"/>
        <w:autoSpaceDN w:val="0"/>
        <w:spacing w:line="360" w:lineRule="auto"/>
        <w:ind w:left="315" w:leftChars="150"/>
        <w:rPr>
          <w:rFonts w:ascii="仿宋" w:hAnsi="仿宋" w:eastAsia="仿宋" w:cs="仿宋"/>
          <w:color w:val="auto"/>
          <w:sz w:val="24"/>
          <w:highlight w:val="none"/>
        </w:rPr>
      </w:pPr>
      <w:r>
        <w:rPr>
          <w:rFonts w:hint="eastAsia" w:ascii="仿宋" w:hAnsi="仿宋" w:eastAsia="仿宋" w:cs="仿宋"/>
          <w:color w:val="auto"/>
          <w:sz w:val="24"/>
          <w:highlight w:val="none"/>
        </w:rPr>
        <w:t>制造厂家的名称、设备的型号和类型、设备的编号、其它必要的技术参数、制造厂家指定的其它内容。</w:t>
      </w:r>
    </w:p>
    <w:p>
      <w:pPr>
        <w:autoSpaceDE w:val="0"/>
        <w:autoSpaceDN w:val="0"/>
        <w:spacing w:line="360" w:lineRule="auto"/>
        <w:ind w:left="315" w:leftChars="150"/>
        <w:rPr>
          <w:rFonts w:ascii="仿宋" w:hAnsi="仿宋" w:eastAsia="仿宋" w:cs="仿宋"/>
          <w:b/>
          <w:color w:val="auto"/>
          <w:kern w:val="0"/>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kern w:val="0"/>
          <w:sz w:val="24"/>
          <w:highlight w:val="none"/>
        </w:rPr>
        <w:t>制造公差和喷涂工艺</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 设备零件采用公制，其制作公差必须符合国标标准。并能与任何一个生产厂制作的相同规格的零件进行互换。</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 除了铝质表面不需要油漆外，金属表面的涂装过程均包括清洗、预处理、打底和油漆。设备的防腐处理和喷涂工艺须在制造厂内完成，但当设备在现场安装后由于各种原因需要再次喷   涂时，投标商必须按照业主的要求完成喷涂工艺。防腐保护喷涂标准必须符合 GB 标准或等同标准。要求设备进行表面处理有优良的耐腐蚀性，表面处理寿命不小于 10年。</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4、润滑剂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必须提供能满足各种需要润滑的设备两年运行时间所需要的润滑剂用量，并推荐一至两个生产同类润滑剂的生产厂家。对于需要周期性补充润滑剂（脂）的所有独立机构的轴承，均必须配备经过业主代表批准的滑脂嘴。如有必要，采用延伸管引到便于操作的位置。润滑剂（脂）所需的手压工具或润滑剂（脂）泵随工具和配件一起提供。</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5、备品备件和专用工具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5.1 凡是本招标文件所要求的各种设备及配套电机，投标商须根据 5 年运行时间，列出备品备件（含易耗品）和专用工具的名称和数量。</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随机备品备件（含易耗品）和专用工具、通过运行验收且正式投入使用后的 24 个月内所需的备品备件（含易耗品）需投标人报价并计入投标总价。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缺陷责任期结束后 3 年内所需的备品备件（含易耗品）需投标人报价，经业主同意后按照合同确定的内容供货，费用不计入投标总价。</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 这部分报价的真实性和合理性在评标时将作为一项考虑因素。这些备件应在备件一览表中逐一列出和报价，并引用恰当的部件编号，以便参考投标文件时可一一对应。</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5.3 所有同种易损件和备品备件要有互换性。</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易损件和备件的包装保护，应能保证长期存放而不变质，且应有明显标志。</w:t>
      </w:r>
    </w:p>
    <w:p>
      <w:pPr>
        <w:autoSpaceDE w:val="0"/>
        <w:autoSpaceDN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6</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材料要求</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6.1 一般要求</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在规定使用“不锈钢”时，其相应环境下的抗腐蚀能力不得低于规范 GB /T1220-1992 或其它相应标准对不锈钢的规定。需要焊接的不锈钢应采用不受晶间腐蚀影响的不锈钢类型，并采用   等级大小合适的低碳焊条。与废水或周围空气直接接触的部分必须能够完全抵抗此类环境中产生   的腐蚀或磨耗，并且能保证其性能不因时间推移、光线照射或其它任何原因而引起老化现象。</w:t>
      </w:r>
    </w:p>
    <w:p>
      <w:pPr>
        <w:autoSpaceDE w:val="0"/>
        <w:autoSpaceDN w:val="0"/>
        <w:spacing w:line="360" w:lineRule="auto"/>
        <w:ind w:firstLine="482" w:firstLineChars="200"/>
        <w:rPr>
          <w:rFonts w:ascii="仿宋" w:hAnsi="仿宋" w:eastAsia="仿宋" w:cs="仿宋"/>
          <w:b/>
          <w:color w:val="auto"/>
          <w:kern w:val="0"/>
          <w:sz w:val="24"/>
          <w:highlight w:val="none"/>
          <w:lang w:eastAsia="en-US"/>
        </w:rPr>
      </w:pPr>
      <w:r>
        <w:rPr>
          <w:rFonts w:hint="eastAsia" w:ascii="仿宋" w:hAnsi="仿宋" w:eastAsia="仿宋" w:cs="仿宋"/>
          <w:b/>
          <w:color w:val="auto"/>
          <w:kern w:val="0"/>
          <w:sz w:val="24"/>
          <w:highlight w:val="none"/>
        </w:rPr>
        <w:t xml:space="preserve">6.2 </w:t>
      </w:r>
      <w:r>
        <w:rPr>
          <w:rFonts w:hint="eastAsia" w:ascii="仿宋" w:hAnsi="仿宋" w:eastAsia="仿宋" w:cs="仿宋"/>
          <w:b/>
          <w:color w:val="auto"/>
          <w:kern w:val="0"/>
          <w:sz w:val="24"/>
          <w:highlight w:val="none"/>
          <w:lang w:eastAsia="en-US"/>
        </w:rPr>
        <w:t>互换性</w:t>
      </w:r>
    </w:p>
    <w:p>
      <w:pPr>
        <w:numPr>
          <w:ilvl w:val="0"/>
          <w:numId w:val="5"/>
        </w:numPr>
        <w:tabs>
          <w:tab w:val="left" w:pos="1174"/>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设备的所有类似组件总体上必须具备良好的互换性，其零部件也应如此。</w:t>
      </w:r>
    </w:p>
    <w:p>
      <w:pPr>
        <w:numPr>
          <w:ilvl w:val="0"/>
          <w:numId w:val="5"/>
        </w:numPr>
        <w:tabs>
          <w:tab w:val="left" w:pos="1174"/>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所供应的设备类型必须在可行范围内适于标准化，零部件具备最大的互换性。</w:t>
      </w:r>
    </w:p>
    <w:p>
      <w:pPr>
        <w:numPr>
          <w:ilvl w:val="0"/>
          <w:numId w:val="5"/>
        </w:numPr>
        <w:tabs>
          <w:tab w:val="left" w:pos="1174"/>
        </w:tabs>
        <w:autoSpaceDE w:val="0"/>
        <w:autoSpaceDN w:val="0"/>
        <w:spacing w:line="360" w:lineRule="auto"/>
        <w:ind w:left="0"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所有设备构件的尺寸单位采用公制单位。</w:t>
      </w:r>
    </w:p>
    <w:p>
      <w:pPr>
        <w:tabs>
          <w:tab w:val="left" w:pos="1174"/>
        </w:tabs>
        <w:autoSpaceDE w:val="0"/>
        <w:autoSpaceDN w:val="0"/>
        <w:spacing w:line="360" w:lineRule="auto"/>
        <w:ind w:firstLine="482" w:firstLineChars="200"/>
        <w:rPr>
          <w:rFonts w:ascii="仿宋" w:hAnsi="仿宋" w:eastAsia="仿宋" w:cs="仿宋"/>
          <w:b/>
          <w:color w:val="auto"/>
          <w:sz w:val="24"/>
          <w:highlight w:val="none"/>
          <w:lang w:eastAsia="en-US"/>
        </w:rPr>
      </w:pPr>
      <w:r>
        <w:rPr>
          <w:rFonts w:hint="eastAsia" w:ascii="仿宋" w:hAnsi="仿宋" w:eastAsia="仿宋" w:cs="仿宋"/>
          <w:b/>
          <w:color w:val="auto"/>
          <w:sz w:val="24"/>
          <w:highlight w:val="none"/>
        </w:rPr>
        <w:t>6.</w:t>
      </w:r>
      <w:r>
        <w:rPr>
          <w:rFonts w:hint="eastAsia" w:ascii="仿宋" w:hAnsi="仿宋" w:eastAsia="仿宋" w:cs="仿宋"/>
          <w:b/>
          <w:color w:val="auto"/>
          <w:sz w:val="24"/>
          <w:highlight w:val="none"/>
          <w:lang w:eastAsia="en-US"/>
        </w:rPr>
        <w:t>3</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lang w:eastAsia="en-US"/>
        </w:rPr>
        <w:t>工艺控制</w:t>
      </w:r>
    </w:p>
    <w:p>
      <w:pPr>
        <w:numPr>
          <w:ilvl w:val="0"/>
          <w:numId w:val="6"/>
        </w:numPr>
        <w:tabs>
          <w:tab w:val="left" w:pos="1175"/>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工作质量和涂层必须保证第一流的质量，遵循最佳工艺操作方法。涂层标准见其它相关部分。</w:t>
      </w:r>
    </w:p>
    <w:p>
      <w:pPr>
        <w:numPr>
          <w:ilvl w:val="0"/>
          <w:numId w:val="6"/>
        </w:numPr>
        <w:tabs>
          <w:tab w:val="left" w:pos="1175"/>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同类设备及其部件应具有互换性，备件的制造材料应与原件相同，并与设备的类似构件相匹配。对可以更换部件的加工必须是精确的，并符合规定的允许偏差，以便可以根据生产厂   家的图纸很快安装其替换品。</w:t>
      </w:r>
    </w:p>
    <w:p>
      <w:pPr>
        <w:numPr>
          <w:ilvl w:val="0"/>
          <w:numId w:val="6"/>
        </w:numPr>
        <w:tabs>
          <w:tab w:val="left" w:pos="1175"/>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所有设备构件在运行时无过度振动，且噪音最小。转动部件必须是平衡的，以使它在各种不同速度及满负荷运行时，不会因平衡性不好而产生振动现象。</w:t>
      </w:r>
    </w:p>
    <w:p>
      <w:pPr>
        <w:numPr>
          <w:ilvl w:val="0"/>
          <w:numId w:val="6"/>
        </w:numPr>
        <w:tabs>
          <w:tab w:val="left" w:pos="1174"/>
        </w:tabs>
        <w:autoSpaceDE w:val="0"/>
        <w:autoSpaceDN w:val="0"/>
        <w:spacing w:line="360" w:lineRule="auto"/>
        <w:ind w:left="0"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 xml:space="preserve">对于可能因灰尘或水份造成磨耗或损坏的部件，用防尘罩或防水罩密封。   </w:t>
      </w:r>
    </w:p>
    <w:p>
      <w:pPr>
        <w:tabs>
          <w:tab w:val="left" w:pos="1174"/>
        </w:tabs>
        <w:autoSpaceDE w:val="0"/>
        <w:autoSpaceDN w:val="0"/>
        <w:spacing w:line="360" w:lineRule="auto"/>
        <w:ind w:left="420" w:leftChars="200"/>
        <w:rPr>
          <w:rFonts w:ascii="仿宋" w:hAnsi="仿宋" w:eastAsia="仿宋" w:cs="仿宋"/>
          <w:b/>
          <w:color w:val="auto"/>
          <w:sz w:val="24"/>
          <w:highlight w:val="none"/>
          <w:lang w:eastAsia="en-US"/>
        </w:rPr>
      </w:pPr>
      <w:r>
        <w:rPr>
          <w:rFonts w:hint="eastAsia" w:ascii="仿宋" w:hAnsi="仿宋" w:eastAsia="仿宋" w:cs="仿宋"/>
          <w:b/>
          <w:color w:val="auto"/>
          <w:sz w:val="24"/>
          <w:highlight w:val="none"/>
        </w:rPr>
        <w:t xml:space="preserve">6.4 </w:t>
      </w:r>
      <w:r>
        <w:rPr>
          <w:rFonts w:hint="eastAsia" w:ascii="仿宋" w:hAnsi="仿宋" w:eastAsia="仿宋" w:cs="仿宋"/>
          <w:b/>
          <w:color w:val="auto"/>
          <w:sz w:val="24"/>
          <w:highlight w:val="none"/>
          <w:lang w:eastAsia="en-US"/>
        </w:rPr>
        <w:t>噪声控制</w:t>
      </w:r>
    </w:p>
    <w:p>
      <w:pPr>
        <w:numPr>
          <w:ilvl w:val="0"/>
          <w:numId w:val="7"/>
        </w:numPr>
        <w:tabs>
          <w:tab w:val="left" w:pos="1174"/>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投标人必须采取预防措施，确保安装的所有机械设备在运行时保持静音。</w:t>
      </w:r>
    </w:p>
    <w:p>
      <w:pPr>
        <w:numPr>
          <w:ilvl w:val="0"/>
          <w:numId w:val="7"/>
        </w:numPr>
        <w:tabs>
          <w:tab w:val="left" w:pos="1175"/>
        </w:tabs>
        <w:autoSpaceDE w:val="0"/>
        <w:autoSpaceDN w:val="0"/>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除非另行规定，在必要位置设置噪音消除装置，以确保设备运行时其周边一米范围内的噪声等级不超过 70 分贝。</w:t>
      </w:r>
    </w:p>
    <w:p>
      <w:pPr>
        <w:autoSpaceDE w:val="0"/>
        <w:autoSpaceDN w:val="0"/>
        <w:spacing w:line="360" w:lineRule="auto"/>
        <w:ind w:firstLine="482" w:firstLineChars="200"/>
        <w:rPr>
          <w:rFonts w:ascii="仿宋" w:hAnsi="仿宋" w:eastAsia="仿宋" w:cs="仿宋"/>
          <w:b/>
          <w:color w:val="auto"/>
          <w:sz w:val="24"/>
          <w:highlight w:val="none"/>
        </w:rPr>
      </w:pPr>
      <w:bookmarkStart w:id="57" w:name="_TOC_250012"/>
      <w:bookmarkEnd w:id="57"/>
      <w:r>
        <w:rPr>
          <w:rFonts w:hint="eastAsia" w:ascii="仿宋" w:hAnsi="仿宋" w:eastAsia="仿宋" w:cs="仿宋"/>
          <w:b/>
          <w:bCs/>
          <w:color w:val="auto"/>
          <w:sz w:val="24"/>
          <w:highlight w:val="none"/>
        </w:rPr>
        <w:t>六、伴随服务要求</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1.设备及相关资料提交</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包装必须与运输方式相适应，包装方式的确定及包装费用均由中标人负责；由于不适当的包装而造成货物在运输过程中有任何损坏由中标人负责。</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 包装应足以承受整个过程中的运输、转运、装卸、储存等，充分考虑到运输途中的各种情况（如暴露于恶劣气候等）和杭州地区的气候特点。</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 设备安装图和相关技术资料，其中需表明详细的技术规格，特性曲线（含变频），装配结构、零件材料和防护涂层说明，以及设备的外形尺寸和安装、维修运行所需的空间要求。预留埋件详图和相关荷载。制造和质量保证措施。设备的安装、运行、维修手册。电气原理图、接线端子图及备件表。</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 中标人必须获得真实有效的设备制造厂家授权。相关资料（原件）在合同签署前提交。</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2.技术交底</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中标人应配合采购人（或其监理单位等），完成本次采购范围内系统的供货、安装、技术和服务。</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中标人需向采购人和有关施工单位进行技术交底，完善预留埋件、洞口、系统产品协议、接口等等内容，支持配合相关单位完成全系统的顺利安装、调试、开通运行。</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3.到货验收</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 中标人应派员在所供设备、材料到工地时与采购人（或其委托人、监理单位）一起进行到货验收。若到场设备、材料发现任何损坏及质量问题，卖方应负责及时更换设备零件，并妥善处理直至采购人满意。</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 所有设备必须是全新的，未曾使用过的。所有材料、设备均需有产品合格证和质保书、试验（试车）报告等资料。采购人若对材料有疑问时，有权要求复验。</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 临时仓储用房（如有），由投标人自行解决，费用纳入投标总价。</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4.安装与调试</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 测试包括在设计条件下检验设备性能。</w:t>
      </w:r>
    </w:p>
    <w:p>
      <w:pPr>
        <w:tabs>
          <w:tab w:val="left" w:pos="1175"/>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4.1.1 保证流量点及关死扬程至界限点整个工作范围内的扬程、水泵效率、水泵轴功率等水力性能试验。</w:t>
      </w:r>
    </w:p>
    <w:p>
      <w:pPr>
        <w:tabs>
          <w:tab w:val="left" w:pos="1175"/>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4.1.2 根据试验结果绘制扬程/流量 H/Q（含主要变频区段）、水泵效率/流量</w:t>
      </w:r>
      <w:r>
        <w:rPr>
          <w:rFonts w:hint="eastAsia" w:ascii="仿宋" w:hAnsi="仿宋" w:eastAsia="仿宋" w:cs="仿宋"/>
          <w:color w:val="auto"/>
          <w:sz w:val="24"/>
          <w:highlight w:val="none"/>
          <w:lang w:eastAsia="en-US"/>
        </w:rPr>
        <w:t>η</w:t>
      </w:r>
      <w:r>
        <w:rPr>
          <w:rFonts w:hint="eastAsia" w:ascii="仿宋" w:hAnsi="仿宋" w:eastAsia="仿宋" w:cs="仿宋"/>
          <w:color w:val="auto"/>
          <w:sz w:val="24"/>
          <w:highlight w:val="none"/>
        </w:rPr>
        <w:t>/Q、水泵轴功率/流量 P/Q 曲线。</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4.1.3 试验时同时对泵机组轴承温度进行检查。</w:t>
      </w:r>
    </w:p>
    <w:p>
      <w:pPr>
        <w:tabs>
          <w:tab w:val="left" w:pos="1174"/>
        </w:tabs>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4.1.4 每台泵在额定点的流量使用流量计测定。</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 采购人有权要求中标人在指定日期派遣工程师到现场进行安装指导和调试工作，并提供全部安装、调试过程中的特殊工具、润滑剂、易损件。专用仪器、仪表由中标人自带。</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4.3 设备在现场安装试验合格后，将进行整套机组试运行，以检验水泵机组在工厂试验中获得的性能参数。试运行在中标人派遣的工程师指导及采购人的监督下进行，具体连续运行时间由   养护单位根据泵站实际情况确定。</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全部试运行程序及步骤将根据试验时的现场条件由双方共同协商决定。中标人须提交 3 份详细描述所有结果的报告，供中标人批准。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4.4 所有测试以及检测报告经核实、签字后提交给采购人。</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5.竣工验收</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5.1 根据政府采购履约验收的有关规定，进行履约验收，验收合格报告作为项目支付的依据。</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 验收指标和标准：</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根据采购文件确定的技术指标或者服务要求确定验收指标和标准。未进行相应约定的，应当  符合国家强制性规定、政策要求、安全标准、行业或企业有关标准等。</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5.3 为评定所投产品是否符合招标方改造方案要求，采购人将视具体情况决定是否需要指定检测机构对中标人提供的设备进行第三方抽样检测（含水泵的内部结构、水泵材质、技术指标等   鉴定）；并对有关技术参数进行评定。检测单位为具有法定检测资格的机构。检测、运输及相关   费用由过错方承担。</w:t>
      </w:r>
    </w:p>
    <w:p>
      <w:pPr>
        <w:autoSpaceDE w:val="0"/>
        <w:autoSpaceDN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6.项目投入</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6.1 为本项目组建专门的技术团队，设项目负责人一名。技术团队的人员建议具有相关经验，有上岗证书或职业/执业证书。技术负责人建议具有高级职称。</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 设置专职安全员一名，需具备安全员证。</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6.3 可为甲方（或使用单位、维保单位，后同）提供培训服务。培训在安装调试后举行。如甲方在使用过程中遇到问题，可提供及时的技术指导。</w:t>
      </w:r>
    </w:p>
    <w:p>
      <w:pPr>
        <w:autoSpaceDE w:val="0"/>
        <w:autoSpaceDN w:val="0"/>
        <w:spacing w:line="360" w:lineRule="auto"/>
        <w:ind w:firstLine="482" w:firstLineChars="200"/>
        <w:rPr>
          <w:rFonts w:ascii="仿宋" w:hAnsi="仿宋" w:eastAsia="仿宋" w:cs="仿宋"/>
          <w:b/>
          <w:color w:val="auto"/>
          <w:sz w:val="24"/>
          <w:highlight w:val="none"/>
        </w:rPr>
      </w:pPr>
      <w:bookmarkStart w:id="58" w:name="_TOC_250011"/>
      <w:bookmarkEnd w:id="58"/>
      <w:r>
        <w:rPr>
          <w:rFonts w:hint="eastAsia" w:ascii="仿宋" w:hAnsi="仿宋" w:eastAsia="仿宋" w:cs="仿宋"/>
          <w:b/>
          <w:bCs/>
          <w:color w:val="auto"/>
          <w:sz w:val="24"/>
          <w:highlight w:val="none"/>
        </w:rPr>
        <w:t>七、售后服务</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1.质保期内的售后服务</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维修好后，中标人需将一式两份报告给采购人，包括故障原因，解决措施，完成修理所费时间及恢复正常运行日期。</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 质保期内的售后服务，属于设备设施自身问题的，或者属于中标人质保条款内的，或者属于中标人合同应尽义务的，相关费用均应含在投标报价中，采购人不另行支付。</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2.质保期后的售后服务</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系统质保期满后，如系统出现故障，由中标人进行维修，具体费用在投标文件中进行明确。如系统质保期后出现设备故障，无论该设备是否在质保期内，中标人须免费联系设备制造商或维保单位前来维修。</w:t>
      </w:r>
    </w:p>
    <w:p>
      <w:pPr>
        <w:autoSpaceDE w:val="0"/>
        <w:autoSpaceDN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非设备自身原因、因第三方原因造成的系统故障，中标人也负责维修维护，仅收取成本费用。</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2.3 中标人须提交系统质保期满后的维护方案及费用等相关承诺。</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1.除招标文件中所明确的技术规格和品牌外，欢迎其他能满足本项目技术需求且性能相当于或高于所明确品牌的产品参加投标报价。同时在采购需求偏离表中作出详细对比说明。</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2.如技术要求中未特别注明需执行的国家相关标准、行业标准、地方标准或者其他标准、规范，则统一执行最新标准、规范。</w:t>
      </w:r>
    </w:p>
    <w:p>
      <w:pPr>
        <w:spacing w:line="360" w:lineRule="auto"/>
        <w:ind w:firstLine="480" w:firstLineChars="200"/>
        <w:rPr>
          <w:rFonts w:ascii="仿宋" w:hAnsi="仿宋" w:eastAsia="仿宋" w:cs="宋体"/>
          <w:color w:val="auto"/>
          <w:sz w:val="24"/>
          <w:highlight w:val="none"/>
        </w:rPr>
      </w:pPr>
    </w:p>
    <w:p>
      <w:pPr>
        <w:spacing w:line="288" w:lineRule="auto"/>
        <w:rPr>
          <w:rFonts w:ascii="宋体" w:hAnsi="宋体" w:cs="宋体"/>
          <w:color w:val="auto"/>
          <w:sz w:val="24"/>
          <w:highlight w:val="none"/>
        </w:rPr>
      </w:pPr>
      <w:r>
        <w:rPr>
          <w:rFonts w:hint="eastAsia" w:ascii="宋体" w:hAnsi="宋体" w:cs="宋体"/>
          <w:color w:val="auto"/>
          <w:sz w:val="24"/>
          <w:highlight w:val="none"/>
        </w:rPr>
        <w:br w:type="page"/>
      </w:r>
    </w:p>
    <w:p>
      <w:pPr>
        <w:spacing w:line="288" w:lineRule="auto"/>
        <w:jc w:val="center"/>
        <w:rPr>
          <w:rFonts w:hint="default" w:ascii="宋体" w:hAnsi="宋体" w:cs="宋体"/>
          <w:color w:val="auto"/>
          <w:sz w:val="24"/>
          <w:highlight w:val="none"/>
          <w:lang w:val="en-US"/>
        </w:rPr>
      </w:pPr>
      <w:r>
        <w:rPr>
          <w:rFonts w:hint="eastAsia" w:ascii="仿宋" w:hAnsi="仿宋" w:eastAsia="仿宋" w:cs="仿宋"/>
          <w:b/>
          <w:bCs/>
          <w:color w:val="auto"/>
          <w:w w:val="100"/>
          <w:sz w:val="28"/>
          <w:szCs w:val="28"/>
          <w:highlight w:val="none"/>
          <w:lang w:val="en-US" w:eastAsia="zh-CN" w:bidi="ar-SA"/>
        </w:rPr>
        <w:t>第二章、付款方式</w:t>
      </w:r>
    </w:p>
    <w:tbl>
      <w:tblPr>
        <w:tblStyle w:val="15"/>
        <w:tblW w:w="9822" w:type="dxa"/>
        <w:tblInd w:w="-2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84"/>
        <w:gridCol w:w="74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38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88" w:lineRule="auto"/>
              <w:ind w:left="0" w:right="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履约保证金</w:t>
            </w:r>
          </w:p>
        </w:tc>
        <w:tc>
          <w:tcPr>
            <w:tcW w:w="743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1.合同签订后一周内，中标人向采购人提交合同金额5%的履约保证金，履约保证金在质保期内无质量问题和维护问题，质保期满后，于一周内退还（不计息）；</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2.提交方式：支票、汇票、本票或者金融机构、担保机构出具的保函等非现金形式。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38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88" w:lineRule="auto"/>
              <w:ind w:left="0" w:right="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付款方式</w:t>
            </w:r>
          </w:p>
        </w:tc>
        <w:tc>
          <w:tcPr>
            <w:tcW w:w="743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合同签订后 30天内，采购人向中标人支付暂定合同总价 30%的金额作为预付款；中标人将全部货物交付采购人，并通过采购人第一次履约验收后，采购人支付暂定合同总价 20%的款项；中标人全部系统安装调试完成，竣工决算通过，如中标人无违约情况并通过考核未扣分的情况下，采购人向中标人支付至决算价的 100%。</w:t>
            </w:r>
          </w:p>
        </w:tc>
      </w:tr>
    </w:tbl>
    <w:p>
      <w:pPr>
        <w:spacing w:line="288" w:lineRule="auto"/>
        <w:rPr>
          <w:rFonts w:hint="eastAsia" w:ascii="宋体" w:hAnsi="宋体" w:cs="Times New Roman"/>
          <w:b/>
          <w:color w:val="auto"/>
          <w:sz w:val="24"/>
          <w:highlight w:val="none"/>
        </w:rPr>
      </w:pPr>
    </w:p>
    <w:p>
      <w:pPr>
        <w:spacing w:line="288" w:lineRule="auto"/>
        <w:jc w:val="center"/>
        <w:rPr>
          <w:rFonts w:hint="eastAsia" w:ascii="仿宋" w:hAnsi="仿宋" w:eastAsia="仿宋" w:cs="仿宋"/>
          <w:b/>
          <w:bCs/>
          <w:color w:val="auto"/>
          <w:w w:val="100"/>
          <w:sz w:val="28"/>
          <w:szCs w:val="28"/>
          <w:highlight w:val="none"/>
          <w:lang w:val="en-US" w:eastAsia="zh-CN" w:bidi="ar-SA"/>
        </w:rPr>
      </w:pPr>
      <w:r>
        <w:rPr>
          <w:rFonts w:hint="eastAsia" w:ascii="仿宋" w:hAnsi="仿宋" w:eastAsia="仿宋" w:cs="仿宋"/>
          <w:b/>
          <w:bCs/>
          <w:color w:val="auto"/>
          <w:w w:val="100"/>
          <w:sz w:val="28"/>
          <w:szCs w:val="28"/>
          <w:highlight w:val="none"/>
          <w:lang w:val="en-US" w:eastAsia="zh-CN" w:bidi="ar-SA"/>
        </w:rPr>
        <w:t>第三章、服务要求（技术要求里另有注明的以技术要求为准）</w:t>
      </w:r>
    </w:p>
    <w:tbl>
      <w:tblPr>
        <w:tblStyle w:val="15"/>
        <w:tblW w:w="98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9"/>
        <w:gridCol w:w="80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质保期</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color w:val="auto"/>
                <w:spacing w:val="-6"/>
                <w:sz w:val="24"/>
                <w:szCs w:val="24"/>
                <w:highlight w:val="none"/>
                <w:lang w:val="en-US" w:eastAsia="zh-CN"/>
              </w:rPr>
              <w:t>验收通过，全系统交付采购人使用之日起1</w:t>
            </w:r>
            <w:r>
              <w:rPr>
                <w:rFonts w:hint="eastAsia" w:ascii="仿宋" w:hAnsi="仿宋" w:eastAsia="仿宋" w:cs="仿宋"/>
                <w:color w:val="auto"/>
                <w:spacing w:val="-6"/>
                <w:sz w:val="24"/>
                <w:szCs w:val="24"/>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服务标准</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color w:val="auto"/>
                <w:sz w:val="24"/>
                <w:szCs w:val="24"/>
                <w:highlight w:val="none"/>
              </w:rPr>
              <w:t>质保期内因不能排除的故障而影响工作的情况每发生一次，其质保期相应延长60天，质保期内因货物本身缺陷造成各种故障应由中标人免费予以更换，否则将扣除</w:t>
            </w: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rPr>
              <w:t>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服务效率</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维修点需提供 7*24 小时服务。维修人员需在接到维修电话后 2 小时内响应，4 小时内赶到现场。维修点需提供足够的备件以适应</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维修需求。如 4 小时内未能到达</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指定地点的，</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有权另行指定维修单位。相关费用在履约保证金内扣除，相关标准服从</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交付时间和地点</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交付时间：根据建设计划要求，本项目</w:t>
            </w:r>
            <w:r>
              <w:rPr>
                <w:rFonts w:hint="eastAsia" w:ascii="仿宋" w:hAnsi="仿宋" w:eastAsia="仿宋" w:cs="仿宋"/>
                <w:color w:val="auto"/>
                <w:spacing w:val="-6"/>
                <w:sz w:val="24"/>
                <w:szCs w:val="24"/>
                <w:highlight w:val="none"/>
                <w:lang w:val="en-US" w:eastAsia="zh-CN"/>
              </w:rPr>
              <w:t>合同签订生效后90天内交付并通过验收</w:t>
            </w:r>
            <w:r>
              <w:rPr>
                <w:rFonts w:hint="eastAsia" w:ascii="仿宋" w:hAnsi="仿宋" w:eastAsia="仿宋" w:cs="仿宋"/>
                <w:color w:val="auto"/>
                <w:spacing w:val="-6"/>
                <w:sz w:val="24"/>
                <w:szCs w:val="24"/>
                <w:highlight w:val="none"/>
              </w:rPr>
              <w:t>。</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color w:val="auto"/>
                <w:spacing w:val="-6"/>
                <w:sz w:val="24"/>
                <w:szCs w:val="24"/>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验收标准</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2.投标人应于投标文件中提供合同货物的验收标准和检测办法，并在验收中提供采购人认可的相应检测手段，验收标准应符合中国有关的国家、地方、行业的标准，如若中标，经采购人确认后作为验收的依据。</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3.如中标人委托国内代理（或其他机构）负责安装或配合安装，应在签约时指明，但中标人仍要对合同货物及其安装质量负全部责任。</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其他技术、服务要求</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1.培训：</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中标人应对采购人的操作人员、维修人员免费进行培训。</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中标人应提供相应的培训计划。</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1.3 </w:t>
            </w:r>
            <w:r>
              <w:rPr>
                <w:rFonts w:hint="eastAsia" w:ascii="仿宋" w:hAnsi="仿宋" w:eastAsia="仿宋" w:cs="仿宋"/>
                <w:color w:val="auto"/>
                <w:sz w:val="24"/>
                <w:szCs w:val="24"/>
                <w:highlight w:val="none"/>
                <w:lang w:val="en-US" w:eastAsia="zh-CN"/>
              </w:rPr>
              <w:t>中</w:t>
            </w:r>
            <w:r>
              <w:rPr>
                <w:rFonts w:hint="eastAsia" w:ascii="仿宋" w:hAnsi="仿宋" w:eastAsia="仿宋" w:cs="仿宋"/>
                <w:color w:val="auto"/>
                <w:sz w:val="24"/>
                <w:szCs w:val="24"/>
                <w:highlight w:val="none"/>
              </w:rPr>
              <w:t>标人应对上述内容的实现方式、地点、人数、时间在投标文件中详细说明。</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2.技术支持：</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中标人应及时免费提供合同货物软件的升级，免费提供合同货物新功能和应用的资料。</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3.安装调试（若需要安装调试）：</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安装地点：采购人指定地点。</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安装完成时间：接到采购人通知后在</w:t>
            </w:r>
            <w:r>
              <w:rPr>
                <w:rFonts w:hint="eastAsia" w:ascii="仿宋" w:hAnsi="仿宋" w:eastAsia="仿宋" w:cs="仿宋"/>
                <w:color w:val="auto"/>
                <w:sz w:val="24"/>
                <w:szCs w:val="24"/>
                <w:highlight w:val="none"/>
                <w:lang w:val="en-US" w:eastAsia="zh-CN"/>
              </w:rPr>
              <w:t>规定时间</w:t>
            </w:r>
            <w:r>
              <w:rPr>
                <w:rFonts w:hint="eastAsia" w:ascii="仿宋" w:hAnsi="仿宋" w:eastAsia="仿宋" w:cs="仿宋"/>
                <w:color w:val="auto"/>
                <w:sz w:val="24"/>
                <w:szCs w:val="24"/>
                <w:highlight w:val="none"/>
              </w:rPr>
              <w:t>内完成安装和调试，如在规定的时间内由于中标人的原因不能完成安装和调试，中标人应承担由此给采购人造成的损失。</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安装标准：符合我国国家有关技术规范要求和技术标准，所有的软件和硬件必须保证同时安装到位。</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中标人免费提供合同货物的安装服务。</w:t>
            </w:r>
          </w:p>
          <w:p>
            <w:pPr>
              <w:keepNext w:val="0"/>
              <w:keepLines w:val="0"/>
              <w:suppressLineNumbers w:val="0"/>
              <w:spacing w:before="0" w:beforeAutospacing="0" w:after="0" w:afterAutospacing="0" w:line="24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3.5 中标人在投标文件中应提供安装调试计划、对安装场地和环境的要求。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报价方式</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pStyle w:val="39"/>
              <w:widowControl/>
              <w:ind w:right="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按</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的管理要求和标准组织工作，并接受</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的指导、监督和检查验收，不得将业务转包。</w:t>
            </w:r>
          </w:p>
          <w:p>
            <w:pPr>
              <w:pStyle w:val="39"/>
              <w:widowControl/>
              <w:spacing w:before="1" w:beforeAutospacing="0"/>
              <w:ind w:right="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.投标报价</w:t>
            </w:r>
            <w:r>
              <w:rPr>
                <w:rFonts w:hint="eastAsia" w:ascii="仿宋" w:hAnsi="仿宋" w:eastAsia="仿宋" w:cs="仿宋"/>
                <w:color w:val="auto"/>
                <w:sz w:val="24"/>
                <w:szCs w:val="24"/>
                <w:highlight w:val="none"/>
              </w:rPr>
              <w:t>包括技术深化、设备材料设计/制造/购置费、安装及调试费、验收、质保期内应尽义务的费用、技术支持、售后服务、与其它项目单位协作配合可能产生的费用和税金等费用均计入报价。投标人须充分考虑各种市场情况及风险，一旦中标，无论何种原因，</w:t>
            </w:r>
            <w:r>
              <w:rPr>
                <w:rFonts w:hint="eastAsia" w:ascii="仿宋" w:hAnsi="仿宋" w:eastAsia="仿宋" w:cs="仿宋"/>
                <w:color w:val="auto"/>
                <w:sz w:val="24"/>
                <w:szCs w:val="24"/>
                <w:highlight w:val="none"/>
                <w:lang w:val="en-US" w:eastAsia="zh-CN"/>
              </w:rPr>
              <w:t>价格</w:t>
            </w:r>
            <w:r>
              <w:rPr>
                <w:rFonts w:hint="eastAsia" w:ascii="仿宋" w:hAnsi="仿宋" w:eastAsia="仿宋" w:cs="仿宋"/>
                <w:color w:val="auto"/>
                <w:sz w:val="24"/>
                <w:szCs w:val="24"/>
                <w:highlight w:val="none"/>
              </w:rPr>
              <w:t>不作调整。</w:t>
            </w:r>
          </w:p>
          <w:p>
            <w:pPr>
              <w:pStyle w:val="39"/>
              <w:widowControl/>
              <w:spacing w:before="3" w:beforeAutospacing="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投标时，投标报价采用招标文件提供的清单。</w:t>
            </w:r>
          </w:p>
          <w:p>
            <w:pPr>
              <w:pStyle w:val="39"/>
              <w:widowControl/>
              <w:spacing w:before="2" w:beforeAutospacing="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图纸电子版见招标公告附件。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5.采购量暂按招标文件提供的招标清单确定，在项目竣工决算时，以监理签证、甲方核定的实际采购量按实决算。</w:t>
            </w:r>
          </w:p>
          <w:p>
            <w:pPr>
              <w:pStyle w:val="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部分旧的设施设备或材料拆装后，由中标人交</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处理</w:t>
            </w:r>
            <w:r>
              <w:rPr>
                <w:rFonts w:hint="eastAsia" w:ascii="仿宋" w:hAnsi="仿宋" w:eastAsia="仿宋" w:cs="仿宋"/>
                <w:b/>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olor w:val="auto"/>
                <w:sz w:val="24"/>
                <w:highlight w:val="none"/>
              </w:rPr>
              <w:t>★</w:t>
            </w:r>
            <w:r>
              <w:rPr>
                <w:rFonts w:hint="eastAsia" w:ascii="仿宋" w:hAnsi="仿宋" w:eastAsia="仿宋" w:cs="仿宋"/>
                <w:b/>
                <w:bCs/>
                <w:color w:val="auto"/>
                <w:sz w:val="24"/>
                <w:szCs w:val="24"/>
                <w:highlight w:val="none"/>
                <w:lang w:val="en-US" w:eastAsia="zh-CN"/>
              </w:rPr>
              <w:t>核心产品</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本项目核心产品为潜污泵、格栅机、除臭设备。</w:t>
            </w:r>
          </w:p>
        </w:tc>
      </w:tr>
    </w:tbl>
    <w:p>
      <w:pPr>
        <w:rPr>
          <w:color w:val="auto"/>
          <w:highlight w:val="none"/>
        </w:rPr>
      </w:pPr>
    </w:p>
    <w:p>
      <w:pPr>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 xml:space="preserve">第四部分   </w:t>
      </w:r>
      <w:bookmarkStart w:id="59" w:name="_Toc184313307"/>
      <w:bookmarkEnd w:id="59"/>
      <w:bookmarkStart w:id="60" w:name="_Toc184314447"/>
      <w:bookmarkEnd w:id="60"/>
      <w:bookmarkStart w:id="61" w:name="_Toc184312080"/>
      <w:bookmarkEnd w:id="61"/>
      <w:bookmarkStart w:id="62" w:name="_Toc184310275"/>
      <w:bookmarkEnd w:id="62"/>
      <w:bookmarkStart w:id="63" w:name="_Toc184314440"/>
      <w:bookmarkEnd w:id="63"/>
      <w:bookmarkStart w:id="64" w:name="_Toc184313309"/>
      <w:bookmarkEnd w:id="64"/>
      <w:bookmarkStart w:id="65" w:name="_Toc184308093"/>
      <w:bookmarkEnd w:id="65"/>
      <w:bookmarkStart w:id="66" w:name="_Toc184310279"/>
      <w:bookmarkEnd w:id="66"/>
      <w:bookmarkStart w:id="67" w:name="_Toc184312106"/>
      <w:bookmarkEnd w:id="67"/>
      <w:bookmarkStart w:id="68" w:name="_Toc184308059"/>
      <w:bookmarkEnd w:id="68"/>
      <w:bookmarkStart w:id="69" w:name="_Toc184313254"/>
      <w:bookmarkEnd w:id="69"/>
      <w:bookmarkStart w:id="70" w:name="_Toc184308057"/>
      <w:bookmarkEnd w:id="70"/>
      <w:bookmarkStart w:id="71" w:name="_Toc184313278"/>
      <w:bookmarkEnd w:id="71"/>
      <w:bookmarkStart w:id="72" w:name="_Toc184314412"/>
      <w:bookmarkEnd w:id="72"/>
      <w:bookmarkStart w:id="73" w:name="_Toc184310296"/>
      <w:bookmarkEnd w:id="73"/>
      <w:bookmarkStart w:id="74" w:name="_Toc184313256"/>
      <w:bookmarkEnd w:id="74"/>
      <w:bookmarkStart w:id="75" w:name="_Toc184312122"/>
      <w:bookmarkEnd w:id="75"/>
      <w:bookmarkStart w:id="76" w:name="_Toc184312121"/>
      <w:bookmarkEnd w:id="76"/>
      <w:bookmarkStart w:id="77" w:name="_Toc184313291"/>
      <w:bookmarkEnd w:id="77"/>
      <w:bookmarkStart w:id="78" w:name="_Toc184312087"/>
      <w:bookmarkEnd w:id="78"/>
      <w:bookmarkStart w:id="79" w:name="_Toc184310336"/>
      <w:bookmarkEnd w:id="79"/>
      <w:bookmarkStart w:id="80" w:name="_Toc184313257"/>
      <w:bookmarkEnd w:id="80"/>
      <w:bookmarkStart w:id="81" w:name="_Toc184313285"/>
      <w:bookmarkEnd w:id="81"/>
      <w:bookmarkStart w:id="82" w:name="_Toc184313251"/>
      <w:bookmarkEnd w:id="82"/>
      <w:bookmarkStart w:id="83" w:name="_Toc184313259"/>
      <w:bookmarkEnd w:id="83"/>
      <w:bookmarkStart w:id="84" w:name="_Toc184310276"/>
      <w:bookmarkEnd w:id="84"/>
      <w:bookmarkStart w:id="85" w:name="_Toc184308075"/>
      <w:bookmarkEnd w:id="85"/>
      <w:bookmarkStart w:id="86" w:name="_Toc184310312"/>
      <w:bookmarkEnd w:id="86"/>
      <w:bookmarkStart w:id="87" w:name="_Toc184312117"/>
      <w:bookmarkEnd w:id="87"/>
      <w:bookmarkStart w:id="88" w:name="_Toc184312092"/>
      <w:bookmarkEnd w:id="88"/>
      <w:bookmarkStart w:id="89" w:name="_Toc184308037"/>
      <w:bookmarkEnd w:id="89"/>
      <w:bookmarkStart w:id="90" w:name="_Toc184308055"/>
      <w:bookmarkEnd w:id="90"/>
      <w:bookmarkStart w:id="91" w:name="_Toc184308041"/>
      <w:bookmarkEnd w:id="91"/>
      <w:bookmarkStart w:id="92" w:name="_Toc184312109"/>
      <w:bookmarkEnd w:id="92"/>
      <w:bookmarkStart w:id="93" w:name="_Toc184312124"/>
      <w:bookmarkEnd w:id="93"/>
      <w:bookmarkStart w:id="94" w:name="_Toc184310281"/>
      <w:bookmarkEnd w:id="94"/>
      <w:bookmarkStart w:id="95" w:name="_Toc184312089"/>
      <w:bookmarkEnd w:id="95"/>
      <w:bookmarkStart w:id="96" w:name="_Toc184308098"/>
      <w:bookmarkEnd w:id="96"/>
      <w:bookmarkStart w:id="97" w:name="_Toc184310291"/>
      <w:bookmarkEnd w:id="97"/>
      <w:bookmarkStart w:id="98" w:name="_Toc184313244"/>
      <w:bookmarkEnd w:id="98"/>
      <w:bookmarkStart w:id="99" w:name="_Toc184310287"/>
      <w:bookmarkEnd w:id="99"/>
      <w:bookmarkStart w:id="100" w:name="_Toc184313245"/>
      <w:bookmarkEnd w:id="100"/>
      <w:bookmarkStart w:id="101" w:name="_Toc184310338"/>
      <w:bookmarkEnd w:id="101"/>
      <w:bookmarkStart w:id="102" w:name="_Toc184310277"/>
      <w:bookmarkEnd w:id="102"/>
      <w:bookmarkStart w:id="103" w:name="_Toc184313258"/>
      <w:bookmarkEnd w:id="103"/>
      <w:bookmarkStart w:id="104" w:name="_Toc184312073"/>
      <w:bookmarkEnd w:id="104"/>
      <w:bookmarkStart w:id="105" w:name="_Toc184310273"/>
      <w:bookmarkEnd w:id="105"/>
      <w:bookmarkStart w:id="106" w:name="_Toc184312110"/>
      <w:bookmarkEnd w:id="106"/>
      <w:bookmarkStart w:id="107" w:name="_Toc184310302"/>
      <w:bookmarkEnd w:id="107"/>
      <w:bookmarkStart w:id="108" w:name="_Toc184314432"/>
      <w:bookmarkEnd w:id="108"/>
      <w:bookmarkStart w:id="109" w:name="_Toc184314428"/>
      <w:bookmarkEnd w:id="109"/>
      <w:bookmarkStart w:id="110" w:name="_Toc184308049"/>
      <w:bookmarkEnd w:id="110"/>
      <w:bookmarkStart w:id="111" w:name="_Toc184312090"/>
      <w:bookmarkEnd w:id="111"/>
      <w:bookmarkStart w:id="112" w:name="_Toc184314429"/>
      <w:bookmarkEnd w:id="112"/>
      <w:bookmarkStart w:id="113" w:name="_Toc184310330"/>
      <w:bookmarkEnd w:id="113"/>
      <w:bookmarkStart w:id="114" w:name="_Toc184312134"/>
      <w:bookmarkEnd w:id="114"/>
      <w:bookmarkStart w:id="115" w:name="_Toc184314477"/>
      <w:bookmarkEnd w:id="115"/>
      <w:bookmarkStart w:id="116" w:name="_Toc184313296"/>
      <w:bookmarkEnd w:id="116"/>
      <w:bookmarkStart w:id="117" w:name="_Toc184314459"/>
      <w:bookmarkEnd w:id="117"/>
      <w:bookmarkStart w:id="118" w:name="_Toc184313293"/>
      <w:bookmarkEnd w:id="118"/>
      <w:bookmarkStart w:id="119" w:name="_Toc184313280"/>
      <w:bookmarkEnd w:id="119"/>
      <w:bookmarkStart w:id="120" w:name="_Toc184310320"/>
      <w:bookmarkEnd w:id="120"/>
      <w:bookmarkStart w:id="121" w:name="_Toc184312083"/>
      <w:bookmarkEnd w:id="121"/>
      <w:bookmarkStart w:id="122" w:name="_Toc184314465"/>
      <w:bookmarkEnd w:id="122"/>
      <w:bookmarkStart w:id="123" w:name="_Toc184312125"/>
      <w:bookmarkEnd w:id="123"/>
      <w:bookmarkStart w:id="124" w:name="_Toc184308054"/>
      <w:bookmarkEnd w:id="124"/>
      <w:bookmarkStart w:id="125" w:name="_Toc184308097"/>
      <w:bookmarkEnd w:id="125"/>
      <w:bookmarkStart w:id="126" w:name="_Toc184310342"/>
      <w:bookmarkEnd w:id="126"/>
      <w:bookmarkStart w:id="127" w:name="_Toc184308045"/>
      <w:bookmarkEnd w:id="127"/>
      <w:bookmarkStart w:id="128" w:name="_Toc184308056"/>
      <w:bookmarkEnd w:id="128"/>
      <w:bookmarkStart w:id="129" w:name="_Toc184310292"/>
      <w:bookmarkEnd w:id="129"/>
      <w:bookmarkStart w:id="130" w:name="_Toc184310316"/>
      <w:bookmarkEnd w:id="130"/>
      <w:bookmarkStart w:id="131" w:name="_Toc184310319"/>
      <w:bookmarkEnd w:id="131"/>
      <w:bookmarkStart w:id="132" w:name="_Toc184314417"/>
      <w:bookmarkEnd w:id="132"/>
      <w:bookmarkStart w:id="133" w:name="_Toc184312084"/>
      <w:bookmarkEnd w:id="133"/>
      <w:bookmarkStart w:id="134" w:name="_Toc184308101"/>
      <w:bookmarkEnd w:id="134"/>
      <w:bookmarkStart w:id="135" w:name="_Toc184313300"/>
      <w:bookmarkEnd w:id="135"/>
      <w:bookmarkStart w:id="136" w:name="_Toc184310317"/>
      <w:bookmarkEnd w:id="136"/>
      <w:bookmarkStart w:id="137" w:name="_Toc184312074"/>
      <w:bookmarkEnd w:id="137"/>
      <w:bookmarkStart w:id="138" w:name="_Toc184313303"/>
      <w:bookmarkEnd w:id="138"/>
      <w:bookmarkStart w:id="139" w:name="_Toc184312116"/>
      <w:bookmarkEnd w:id="139"/>
      <w:bookmarkStart w:id="140" w:name="_Toc184314434"/>
      <w:bookmarkEnd w:id="140"/>
      <w:bookmarkStart w:id="141" w:name="_Toc184308052"/>
      <w:bookmarkEnd w:id="141"/>
      <w:bookmarkStart w:id="142" w:name="_Toc184314471"/>
      <w:bookmarkEnd w:id="142"/>
      <w:bookmarkStart w:id="143" w:name="_Toc184312069"/>
      <w:bookmarkEnd w:id="143"/>
      <w:bookmarkStart w:id="144" w:name="_Toc184314478"/>
      <w:bookmarkEnd w:id="144"/>
      <w:bookmarkStart w:id="145" w:name="_Toc184308046"/>
      <w:bookmarkEnd w:id="145"/>
      <w:bookmarkStart w:id="146" w:name="_Toc184314426"/>
      <w:bookmarkEnd w:id="146"/>
      <w:bookmarkStart w:id="147" w:name="_Toc184313304"/>
      <w:bookmarkEnd w:id="147"/>
      <w:bookmarkStart w:id="148" w:name="_Toc184314473"/>
      <w:bookmarkEnd w:id="148"/>
      <w:bookmarkStart w:id="149" w:name="_Toc184313248"/>
      <w:bookmarkEnd w:id="149"/>
      <w:bookmarkStart w:id="150" w:name="_Toc184310339"/>
      <w:bookmarkEnd w:id="150"/>
      <w:bookmarkStart w:id="151" w:name="_Toc184312082"/>
      <w:bookmarkEnd w:id="151"/>
      <w:bookmarkStart w:id="152" w:name="_Toc184312135"/>
      <w:bookmarkEnd w:id="152"/>
      <w:bookmarkStart w:id="153" w:name="_Toc184313298"/>
      <w:bookmarkEnd w:id="153"/>
      <w:bookmarkStart w:id="154" w:name="_Toc184314452"/>
      <w:bookmarkEnd w:id="154"/>
      <w:bookmarkStart w:id="155" w:name="_Toc184313255"/>
      <w:bookmarkEnd w:id="155"/>
      <w:bookmarkStart w:id="156" w:name="_Toc184313265"/>
      <w:bookmarkEnd w:id="156"/>
      <w:bookmarkStart w:id="157" w:name="_Toc184312127"/>
      <w:bookmarkEnd w:id="157"/>
      <w:bookmarkStart w:id="158" w:name="_Toc184308095"/>
      <w:bookmarkEnd w:id="158"/>
      <w:bookmarkStart w:id="159" w:name="_Toc184308076"/>
      <w:bookmarkEnd w:id="159"/>
      <w:bookmarkStart w:id="160" w:name="_Toc184313253"/>
      <w:bookmarkEnd w:id="160"/>
      <w:bookmarkStart w:id="161" w:name="_Toc184314430"/>
      <w:bookmarkEnd w:id="161"/>
      <w:bookmarkStart w:id="162" w:name="_Toc184314427"/>
      <w:bookmarkEnd w:id="162"/>
      <w:bookmarkStart w:id="163" w:name="_Toc184308042"/>
      <w:bookmarkEnd w:id="163"/>
      <w:bookmarkStart w:id="164" w:name="_Toc184314424"/>
      <w:bookmarkEnd w:id="164"/>
      <w:bookmarkStart w:id="165" w:name="_Toc184313301"/>
      <w:bookmarkEnd w:id="165"/>
      <w:bookmarkStart w:id="166" w:name="_Toc184314468"/>
      <w:bookmarkEnd w:id="166"/>
      <w:bookmarkStart w:id="167" w:name="_Toc184314469"/>
      <w:bookmarkEnd w:id="167"/>
      <w:bookmarkStart w:id="168" w:name="_Toc184312123"/>
      <w:bookmarkEnd w:id="168"/>
      <w:bookmarkStart w:id="169" w:name="_Toc184313305"/>
      <w:bookmarkEnd w:id="169"/>
      <w:bookmarkStart w:id="170" w:name="_Toc184312107"/>
      <w:bookmarkEnd w:id="170"/>
      <w:bookmarkStart w:id="171" w:name="_Toc184314451"/>
      <w:bookmarkEnd w:id="171"/>
      <w:bookmarkStart w:id="172" w:name="_Toc184308073"/>
      <w:bookmarkEnd w:id="172"/>
      <w:bookmarkStart w:id="173" w:name="_Toc184310344"/>
      <w:bookmarkEnd w:id="173"/>
      <w:bookmarkStart w:id="174" w:name="_Toc184310315"/>
      <w:bookmarkEnd w:id="174"/>
      <w:bookmarkStart w:id="175" w:name="_Toc184313283"/>
      <w:bookmarkEnd w:id="175"/>
      <w:bookmarkStart w:id="176" w:name="_Toc184308039"/>
      <w:bookmarkEnd w:id="176"/>
      <w:bookmarkStart w:id="177" w:name="_Toc184308092"/>
      <w:bookmarkEnd w:id="177"/>
      <w:bookmarkStart w:id="178" w:name="_Toc184310294"/>
      <w:bookmarkEnd w:id="178"/>
      <w:bookmarkStart w:id="179" w:name="_Toc184308105"/>
      <w:bookmarkEnd w:id="179"/>
      <w:bookmarkStart w:id="180" w:name="_Toc184310341"/>
      <w:bookmarkEnd w:id="180"/>
      <w:bookmarkStart w:id="181" w:name="_Toc184312095"/>
      <w:bookmarkEnd w:id="181"/>
      <w:bookmarkStart w:id="182" w:name="_Toc184313281"/>
      <w:bookmarkEnd w:id="182"/>
      <w:bookmarkStart w:id="183" w:name="_Toc184308103"/>
      <w:bookmarkEnd w:id="183"/>
      <w:bookmarkStart w:id="184" w:name="_Toc184308104"/>
      <w:bookmarkEnd w:id="184"/>
      <w:bookmarkStart w:id="185" w:name="_Toc184314472"/>
      <w:bookmarkEnd w:id="185"/>
      <w:bookmarkStart w:id="186" w:name="_Toc184313308"/>
      <w:bookmarkEnd w:id="186"/>
      <w:bookmarkStart w:id="187" w:name="_Toc184314457"/>
      <w:bookmarkEnd w:id="187"/>
      <w:bookmarkStart w:id="188" w:name="_Toc184312128"/>
      <w:bookmarkEnd w:id="188"/>
      <w:bookmarkStart w:id="189" w:name="_Toc184308050"/>
      <w:bookmarkEnd w:id="189"/>
      <w:bookmarkStart w:id="190" w:name="_Toc184310295"/>
      <w:bookmarkEnd w:id="190"/>
      <w:bookmarkStart w:id="191" w:name="_Toc184313262"/>
      <w:bookmarkEnd w:id="191"/>
      <w:bookmarkStart w:id="192" w:name="_Toc184310298"/>
      <w:bookmarkEnd w:id="192"/>
      <w:bookmarkStart w:id="193" w:name="_Toc184308079"/>
      <w:bookmarkEnd w:id="193"/>
      <w:bookmarkStart w:id="194" w:name="_Toc184308043"/>
      <w:bookmarkEnd w:id="194"/>
      <w:bookmarkStart w:id="195" w:name="_Toc184312114"/>
      <w:bookmarkEnd w:id="195"/>
      <w:bookmarkStart w:id="196" w:name="_Toc184310328"/>
      <w:bookmarkEnd w:id="196"/>
      <w:bookmarkStart w:id="197" w:name="_Toc184308062"/>
      <w:bookmarkEnd w:id="197"/>
      <w:bookmarkStart w:id="198" w:name="_Toc184310340"/>
      <w:bookmarkEnd w:id="198"/>
      <w:bookmarkStart w:id="199" w:name="_Toc184313282"/>
      <w:bookmarkEnd w:id="199"/>
      <w:bookmarkStart w:id="200" w:name="_Toc184313290"/>
      <w:bookmarkEnd w:id="200"/>
      <w:bookmarkStart w:id="201" w:name="_Toc184312115"/>
      <w:bookmarkEnd w:id="201"/>
      <w:bookmarkStart w:id="202" w:name="_Toc184308040"/>
      <w:bookmarkEnd w:id="202"/>
      <w:bookmarkStart w:id="203" w:name="_Toc184308090"/>
      <w:bookmarkEnd w:id="203"/>
      <w:bookmarkStart w:id="204" w:name="_Toc184310304"/>
      <w:bookmarkEnd w:id="204"/>
      <w:bookmarkStart w:id="205" w:name="_Toc184312067"/>
      <w:bookmarkEnd w:id="205"/>
      <w:bookmarkStart w:id="206" w:name="_Toc184314437"/>
      <w:bookmarkEnd w:id="206"/>
      <w:bookmarkStart w:id="207" w:name="_Toc184308106"/>
      <w:bookmarkEnd w:id="207"/>
      <w:bookmarkStart w:id="208" w:name="_Toc184314425"/>
      <w:bookmarkEnd w:id="208"/>
      <w:bookmarkStart w:id="209" w:name="_Toc184310321"/>
      <w:bookmarkEnd w:id="209"/>
      <w:bookmarkStart w:id="210" w:name="_Toc184312094"/>
      <w:bookmarkEnd w:id="210"/>
      <w:bookmarkStart w:id="211" w:name="_Toc184312130"/>
      <w:bookmarkEnd w:id="211"/>
      <w:bookmarkStart w:id="212" w:name="_Toc184308107"/>
      <w:bookmarkEnd w:id="212"/>
      <w:bookmarkStart w:id="213" w:name="_Toc184312133"/>
      <w:bookmarkEnd w:id="213"/>
      <w:bookmarkStart w:id="214" w:name="_Toc184314435"/>
      <w:bookmarkEnd w:id="214"/>
      <w:bookmarkStart w:id="215" w:name="_Toc184314416"/>
      <w:bookmarkEnd w:id="215"/>
      <w:bookmarkStart w:id="216" w:name="_Toc184312079"/>
      <w:bookmarkEnd w:id="216"/>
      <w:bookmarkStart w:id="217" w:name="_Toc184308061"/>
      <w:bookmarkEnd w:id="217"/>
      <w:bookmarkStart w:id="218" w:name="_Toc184308053"/>
      <w:bookmarkEnd w:id="218"/>
      <w:bookmarkStart w:id="219" w:name="_Toc184313295"/>
      <w:bookmarkEnd w:id="219"/>
      <w:bookmarkStart w:id="220" w:name="_Toc184312132"/>
      <w:bookmarkEnd w:id="220"/>
      <w:bookmarkStart w:id="221" w:name="_Toc184310290"/>
      <w:bookmarkEnd w:id="221"/>
      <w:bookmarkStart w:id="222" w:name="_Toc184312077"/>
      <w:bookmarkEnd w:id="222"/>
      <w:bookmarkStart w:id="223" w:name="_Toc184312119"/>
      <w:bookmarkEnd w:id="223"/>
      <w:bookmarkStart w:id="224" w:name="_Toc184308096"/>
      <w:bookmarkEnd w:id="224"/>
      <w:bookmarkStart w:id="225" w:name="_Toc184308091"/>
      <w:bookmarkEnd w:id="225"/>
      <w:bookmarkStart w:id="226" w:name="_Toc184310335"/>
      <w:bookmarkEnd w:id="226"/>
      <w:bookmarkStart w:id="227" w:name="_Toc184310327"/>
      <w:bookmarkEnd w:id="227"/>
      <w:bookmarkStart w:id="228" w:name="_Toc184313284"/>
      <w:bookmarkEnd w:id="228"/>
      <w:bookmarkStart w:id="229" w:name="_Toc184312072"/>
      <w:bookmarkEnd w:id="229"/>
      <w:bookmarkStart w:id="230" w:name="_Toc184310293"/>
      <w:bookmarkEnd w:id="230"/>
      <w:bookmarkStart w:id="231" w:name="_Toc184310272"/>
      <w:bookmarkEnd w:id="231"/>
      <w:bookmarkStart w:id="232" w:name="_Toc184310282"/>
      <w:bookmarkEnd w:id="232"/>
      <w:bookmarkStart w:id="233" w:name="_Toc184310284"/>
      <w:bookmarkEnd w:id="233"/>
      <w:bookmarkStart w:id="234" w:name="_Toc184312131"/>
      <w:bookmarkEnd w:id="234"/>
      <w:bookmarkStart w:id="235" w:name="_Toc184308038"/>
      <w:bookmarkEnd w:id="235"/>
      <w:bookmarkStart w:id="236" w:name="_Toc184310318"/>
      <w:bookmarkEnd w:id="236"/>
      <w:bookmarkStart w:id="237" w:name="_Toc184310288"/>
      <w:bookmarkEnd w:id="237"/>
      <w:bookmarkStart w:id="238" w:name="_Toc184314462"/>
      <w:bookmarkEnd w:id="238"/>
      <w:bookmarkStart w:id="239" w:name="_Toc184314461"/>
      <w:bookmarkEnd w:id="239"/>
      <w:bookmarkStart w:id="240" w:name="_Toc184308048"/>
      <w:bookmarkEnd w:id="240"/>
      <w:bookmarkStart w:id="241" w:name="_Toc184314474"/>
      <w:bookmarkEnd w:id="241"/>
      <w:bookmarkStart w:id="242" w:name="_Toc184314418"/>
      <w:bookmarkEnd w:id="242"/>
      <w:bookmarkStart w:id="243" w:name="_Toc184313246"/>
      <w:bookmarkEnd w:id="243"/>
      <w:bookmarkStart w:id="244" w:name="_Toc184312137"/>
      <w:bookmarkEnd w:id="244"/>
      <w:bookmarkStart w:id="245" w:name="_Toc184312099"/>
      <w:bookmarkEnd w:id="245"/>
      <w:bookmarkStart w:id="246" w:name="_Toc184313252"/>
      <w:bookmarkEnd w:id="246"/>
      <w:bookmarkStart w:id="247" w:name="_Toc184308060"/>
      <w:bookmarkEnd w:id="247"/>
      <w:bookmarkStart w:id="248" w:name="_Toc184313243"/>
      <w:bookmarkEnd w:id="248"/>
      <w:bookmarkStart w:id="249" w:name="_Toc184312118"/>
      <w:bookmarkEnd w:id="249"/>
      <w:bookmarkStart w:id="250" w:name="_Toc184308080"/>
      <w:bookmarkEnd w:id="250"/>
      <w:bookmarkStart w:id="251" w:name="_Toc184313263"/>
      <w:bookmarkEnd w:id="251"/>
      <w:bookmarkStart w:id="252" w:name="_Toc184314433"/>
      <w:bookmarkEnd w:id="252"/>
      <w:bookmarkStart w:id="253" w:name="_Toc184312070"/>
      <w:bookmarkEnd w:id="253"/>
      <w:bookmarkStart w:id="254" w:name="_Toc184313277"/>
      <w:bookmarkEnd w:id="254"/>
      <w:bookmarkStart w:id="255" w:name="_Toc184310278"/>
      <w:bookmarkEnd w:id="255"/>
      <w:bookmarkStart w:id="256" w:name="_Toc184313273"/>
      <w:bookmarkEnd w:id="256"/>
      <w:bookmarkStart w:id="257" w:name="_Toc184308067"/>
      <w:bookmarkEnd w:id="257"/>
      <w:bookmarkStart w:id="258" w:name="_Toc184312076"/>
      <w:bookmarkEnd w:id="258"/>
      <w:bookmarkStart w:id="259" w:name="_Toc184314411"/>
      <w:bookmarkEnd w:id="259"/>
      <w:bookmarkStart w:id="260" w:name="_Toc184314414"/>
      <w:bookmarkEnd w:id="260"/>
      <w:bookmarkStart w:id="261" w:name="_Toc184313260"/>
      <w:bookmarkEnd w:id="261"/>
      <w:bookmarkStart w:id="262" w:name="_Toc184308077"/>
      <w:bookmarkEnd w:id="262"/>
      <w:bookmarkStart w:id="263" w:name="_Toc184313261"/>
      <w:bookmarkEnd w:id="263"/>
      <w:bookmarkStart w:id="264" w:name="_Toc184308099"/>
      <w:bookmarkEnd w:id="264"/>
      <w:bookmarkStart w:id="265" w:name="_Toc184308082"/>
      <w:bookmarkEnd w:id="265"/>
      <w:bookmarkStart w:id="266" w:name="_Toc184312129"/>
      <w:bookmarkEnd w:id="266"/>
      <w:bookmarkStart w:id="267" w:name="_Toc184312112"/>
      <w:bookmarkEnd w:id="267"/>
      <w:bookmarkStart w:id="268" w:name="_Toc184308078"/>
      <w:bookmarkEnd w:id="268"/>
      <w:bookmarkStart w:id="269" w:name="_Toc184314450"/>
      <w:bookmarkEnd w:id="269"/>
      <w:bookmarkStart w:id="270" w:name="_Toc184313241"/>
      <w:bookmarkEnd w:id="270"/>
      <w:bookmarkStart w:id="271" w:name="_Toc184312104"/>
      <w:bookmarkEnd w:id="271"/>
      <w:bookmarkStart w:id="272" w:name="_Toc184314463"/>
      <w:bookmarkEnd w:id="272"/>
      <w:bookmarkStart w:id="273" w:name="_Toc184313297"/>
      <w:bookmarkEnd w:id="273"/>
      <w:bookmarkStart w:id="274" w:name="_Toc184310326"/>
      <w:bookmarkEnd w:id="274"/>
      <w:bookmarkStart w:id="275" w:name="_Toc184313287"/>
      <w:bookmarkEnd w:id="275"/>
      <w:bookmarkStart w:id="276" w:name="_Toc184312098"/>
      <w:bookmarkEnd w:id="276"/>
      <w:bookmarkStart w:id="277" w:name="_Toc184310299"/>
      <w:bookmarkEnd w:id="277"/>
      <w:bookmarkStart w:id="278" w:name="_Toc184313306"/>
      <w:bookmarkEnd w:id="278"/>
      <w:bookmarkStart w:id="279" w:name="_Toc184308036"/>
      <w:bookmarkEnd w:id="279"/>
      <w:bookmarkStart w:id="280" w:name="_Toc184310314"/>
      <w:bookmarkEnd w:id="280"/>
      <w:bookmarkStart w:id="281" w:name="_Toc184310329"/>
      <w:bookmarkEnd w:id="281"/>
      <w:bookmarkStart w:id="282" w:name="_Toc184310309"/>
      <w:bookmarkEnd w:id="282"/>
      <w:bookmarkStart w:id="283" w:name="_Toc184314445"/>
      <w:bookmarkEnd w:id="283"/>
      <w:bookmarkStart w:id="284" w:name="_Toc184314415"/>
      <w:bookmarkEnd w:id="284"/>
      <w:bookmarkStart w:id="285" w:name="_Toc184314443"/>
      <w:bookmarkEnd w:id="285"/>
      <w:bookmarkStart w:id="286" w:name="_Toc184313270"/>
      <w:bookmarkEnd w:id="286"/>
      <w:bookmarkStart w:id="287" w:name="_Toc184313274"/>
      <w:bookmarkEnd w:id="287"/>
      <w:bookmarkStart w:id="288" w:name="_Toc184310274"/>
      <w:bookmarkEnd w:id="288"/>
      <w:bookmarkStart w:id="289" w:name="_Toc184308063"/>
      <w:bookmarkEnd w:id="289"/>
      <w:bookmarkStart w:id="290" w:name="_Toc184313276"/>
      <w:bookmarkEnd w:id="290"/>
      <w:bookmarkStart w:id="291" w:name="_Toc184313286"/>
      <w:bookmarkEnd w:id="291"/>
      <w:bookmarkStart w:id="292" w:name="_Toc184314419"/>
      <w:bookmarkEnd w:id="292"/>
      <w:bookmarkStart w:id="293" w:name="_Toc184314444"/>
      <w:bookmarkEnd w:id="293"/>
      <w:bookmarkStart w:id="294" w:name="_Toc184314479"/>
      <w:bookmarkEnd w:id="294"/>
      <w:bookmarkStart w:id="295" w:name="_Toc184312088"/>
      <w:bookmarkEnd w:id="295"/>
      <w:bookmarkStart w:id="296" w:name="_Toc184312085"/>
      <w:bookmarkEnd w:id="296"/>
      <w:bookmarkStart w:id="297" w:name="_Toc184310283"/>
      <w:bookmarkEnd w:id="297"/>
      <w:bookmarkStart w:id="298" w:name="_Toc184312139"/>
      <w:bookmarkEnd w:id="298"/>
      <w:bookmarkStart w:id="299" w:name="_Toc184312126"/>
      <w:bookmarkEnd w:id="299"/>
      <w:bookmarkStart w:id="300" w:name="_Toc184308044"/>
      <w:bookmarkEnd w:id="300"/>
      <w:bookmarkStart w:id="301" w:name="_Toc184310324"/>
      <w:bookmarkEnd w:id="301"/>
      <w:bookmarkStart w:id="302" w:name="_Toc184314460"/>
      <w:bookmarkEnd w:id="302"/>
      <w:bookmarkStart w:id="303" w:name="_Toc184310343"/>
      <w:bookmarkEnd w:id="303"/>
      <w:bookmarkStart w:id="304" w:name="_Toc184314448"/>
      <w:bookmarkEnd w:id="304"/>
      <w:bookmarkStart w:id="305" w:name="_Toc184314455"/>
      <w:bookmarkEnd w:id="305"/>
      <w:bookmarkStart w:id="306" w:name="_Toc184310323"/>
      <w:bookmarkEnd w:id="306"/>
      <w:bookmarkStart w:id="307" w:name="_Toc184312101"/>
      <w:bookmarkEnd w:id="307"/>
      <w:bookmarkStart w:id="308" w:name="_Toc184312111"/>
      <w:bookmarkEnd w:id="308"/>
      <w:bookmarkStart w:id="309" w:name="_Toc184314470"/>
      <w:bookmarkEnd w:id="309"/>
      <w:bookmarkStart w:id="310" w:name="_Toc184314422"/>
      <w:bookmarkEnd w:id="310"/>
      <w:bookmarkStart w:id="311" w:name="_Toc184312108"/>
      <w:bookmarkEnd w:id="311"/>
      <w:bookmarkStart w:id="312" w:name="_Toc184313240"/>
      <w:bookmarkEnd w:id="312"/>
      <w:bookmarkStart w:id="313" w:name="_Toc184310305"/>
      <w:bookmarkEnd w:id="313"/>
      <w:bookmarkStart w:id="314" w:name="_Toc184312100"/>
      <w:bookmarkEnd w:id="314"/>
      <w:bookmarkStart w:id="315" w:name="_Toc184312075"/>
      <w:bookmarkEnd w:id="315"/>
      <w:bookmarkStart w:id="316" w:name="_Toc184314436"/>
      <w:bookmarkEnd w:id="316"/>
      <w:bookmarkStart w:id="317" w:name="_Toc184313292"/>
      <w:bookmarkEnd w:id="317"/>
      <w:bookmarkStart w:id="318" w:name="_Toc184310313"/>
      <w:bookmarkEnd w:id="318"/>
      <w:bookmarkStart w:id="319" w:name="_Toc184313279"/>
      <w:bookmarkEnd w:id="319"/>
      <w:bookmarkStart w:id="320" w:name="_Toc184310322"/>
      <w:bookmarkEnd w:id="320"/>
      <w:bookmarkStart w:id="321" w:name="_Toc184314446"/>
      <w:bookmarkEnd w:id="321"/>
      <w:bookmarkStart w:id="322" w:name="_Toc184312105"/>
      <w:bookmarkEnd w:id="322"/>
      <w:bookmarkStart w:id="323" w:name="_Toc184313242"/>
      <w:bookmarkEnd w:id="323"/>
      <w:bookmarkStart w:id="324" w:name="_Toc184308068"/>
      <w:bookmarkEnd w:id="324"/>
      <w:bookmarkStart w:id="325" w:name="_Toc184308083"/>
      <w:bookmarkEnd w:id="325"/>
      <w:bookmarkStart w:id="326" w:name="_Toc184308072"/>
      <w:bookmarkEnd w:id="326"/>
      <w:bookmarkStart w:id="327" w:name="_Toc184308088"/>
      <w:bookmarkEnd w:id="327"/>
      <w:bookmarkStart w:id="328" w:name="_Toc184310308"/>
      <w:bookmarkEnd w:id="328"/>
      <w:bookmarkStart w:id="329" w:name="_Toc184308074"/>
      <w:bookmarkEnd w:id="329"/>
      <w:bookmarkStart w:id="330" w:name="_Toc184314413"/>
      <w:bookmarkEnd w:id="330"/>
      <w:bookmarkStart w:id="331" w:name="_Toc184312136"/>
      <w:bookmarkEnd w:id="331"/>
      <w:bookmarkStart w:id="332" w:name="_Toc184308089"/>
      <w:bookmarkEnd w:id="332"/>
      <w:bookmarkStart w:id="333" w:name="_Toc184313250"/>
      <w:bookmarkEnd w:id="333"/>
      <w:bookmarkStart w:id="334" w:name="_Toc184308108"/>
      <w:bookmarkEnd w:id="334"/>
      <w:bookmarkStart w:id="335" w:name="_Toc184310306"/>
      <w:bookmarkEnd w:id="335"/>
      <w:bookmarkStart w:id="336" w:name="_Toc184310303"/>
      <w:bookmarkEnd w:id="336"/>
      <w:bookmarkStart w:id="337" w:name="_Toc184310331"/>
      <w:bookmarkEnd w:id="337"/>
      <w:bookmarkStart w:id="338" w:name="_Toc184312086"/>
      <w:bookmarkEnd w:id="338"/>
      <w:bookmarkStart w:id="339" w:name="_Toc184308066"/>
      <w:bookmarkEnd w:id="339"/>
      <w:bookmarkStart w:id="340" w:name="_Toc184310332"/>
      <w:bookmarkEnd w:id="340"/>
      <w:bookmarkStart w:id="341" w:name="_Toc184308069"/>
      <w:bookmarkEnd w:id="341"/>
      <w:bookmarkStart w:id="342" w:name="_Toc184310325"/>
      <w:bookmarkEnd w:id="342"/>
      <w:bookmarkStart w:id="343" w:name="_Toc184313310"/>
      <w:bookmarkEnd w:id="343"/>
      <w:bookmarkStart w:id="344" w:name="_Toc184313239"/>
      <w:bookmarkEnd w:id="344"/>
      <w:bookmarkStart w:id="345" w:name="_Toc184314456"/>
      <w:bookmarkEnd w:id="345"/>
      <w:bookmarkStart w:id="346" w:name="_Toc184313302"/>
      <w:bookmarkEnd w:id="346"/>
      <w:bookmarkStart w:id="347" w:name="_Toc184310280"/>
      <w:bookmarkEnd w:id="347"/>
      <w:bookmarkStart w:id="348" w:name="_Toc184314441"/>
      <w:bookmarkEnd w:id="348"/>
      <w:bookmarkStart w:id="349" w:name="_Toc184313288"/>
      <w:bookmarkEnd w:id="349"/>
      <w:bookmarkStart w:id="350" w:name="_Toc184313289"/>
      <w:bookmarkEnd w:id="350"/>
      <w:bookmarkStart w:id="351" w:name="_Toc184310334"/>
      <w:bookmarkEnd w:id="351"/>
      <w:bookmarkStart w:id="352" w:name="_Toc184314454"/>
      <w:bookmarkEnd w:id="352"/>
      <w:bookmarkStart w:id="353" w:name="_Toc184312097"/>
      <w:bookmarkEnd w:id="353"/>
      <w:bookmarkStart w:id="354" w:name="_Toc184308085"/>
      <w:bookmarkEnd w:id="354"/>
      <w:bookmarkStart w:id="355" w:name="_Toc184314421"/>
      <w:bookmarkEnd w:id="355"/>
      <w:bookmarkStart w:id="356" w:name="_Toc184314453"/>
      <w:bookmarkEnd w:id="356"/>
      <w:bookmarkStart w:id="357" w:name="_Toc184310333"/>
      <w:bookmarkEnd w:id="357"/>
      <w:bookmarkStart w:id="358" w:name="_Toc184314439"/>
      <w:bookmarkEnd w:id="358"/>
      <w:bookmarkStart w:id="359" w:name="_Toc184308070"/>
      <w:bookmarkEnd w:id="359"/>
      <w:bookmarkStart w:id="360" w:name="_Toc184313249"/>
      <w:bookmarkEnd w:id="360"/>
      <w:bookmarkStart w:id="361" w:name="_Toc184308051"/>
      <w:bookmarkEnd w:id="361"/>
      <w:bookmarkStart w:id="362" w:name="_Toc184314476"/>
      <w:bookmarkEnd w:id="362"/>
      <w:bookmarkStart w:id="363" w:name="_Toc184313299"/>
      <w:bookmarkEnd w:id="363"/>
      <w:bookmarkStart w:id="364" w:name="_Toc184314467"/>
      <w:bookmarkEnd w:id="364"/>
      <w:bookmarkStart w:id="365" w:name="_Toc184312120"/>
      <w:bookmarkEnd w:id="365"/>
      <w:bookmarkStart w:id="366" w:name="_Toc184312071"/>
      <w:bookmarkEnd w:id="366"/>
      <w:bookmarkStart w:id="367" w:name="_Toc184313271"/>
      <w:bookmarkEnd w:id="367"/>
      <w:bookmarkStart w:id="368" w:name="_Toc184312068"/>
      <w:bookmarkEnd w:id="368"/>
      <w:bookmarkStart w:id="369" w:name="_Toc184310307"/>
      <w:bookmarkEnd w:id="369"/>
      <w:bookmarkStart w:id="370" w:name="_Toc184313275"/>
      <w:bookmarkEnd w:id="370"/>
      <w:bookmarkStart w:id="371" w:name="_Toc184308087"/>
      <w:bookmarkEnd w:id="371"/>
      <w:bookmarkStart w:id="372" w:name="_Toc184313247"/>
      <w:bookmarkEnd w:id="372"/>
      <w:bookmarkStart w:id="373" w:name="_Toc184314458"/>
      <w:bookmarkEnd w:id="373"/>
      <w:bookmarkStart w:id="374" w:name="_Toc184312102"/>
      <w:bookmarkEnd w:id="374"/>
      <w:bookmarkStart w:id="375" w:name="_Toc184310285"/>
      <w:bookmarkEnd w:id="375"/>
      <w:bookmarkStart w:id="376" w:name="_Toc184308084"/>
      <w:bookmarkEnd w:id="376"/>
      <w:bookmarkStart w:id="377" w:name="_Toc184310337"/>
      <w:bookmarkEnd w:id="377"/>
      <w:bookmarkStart w:id="378" w:name="_Toc184314475"/>
      <w:bookmarkEnd w:id="378"/>
      <w:bookmarkStart w:id="379" w:name="_Toc184314420"/>
      <w:bookmarkEnd w:id="379"/>
      <w:bookmarkStart w:id="380" w:name="_Toc184313238"/>
      <w:bookmarkEnd w:id="380"/>
      <w:bookmarkStart w:id="381" w:name="_Toc184314423"/>
      <w:bookmarkEnd w:id="381"/>
      <w:bookmarkStart w:id="382" w:name="_Toc184308094"/>
      <w:bookmarkEnd w:id="382"/>
      <w:bookmarkStart w:id="383" w:name="_Toc184308064"/>
      <w:bookmarkEnd w:id="383"/>
      <w:bookmarkStart w:id="384" w:name="_Toc184308086"/>
      <w:bookmarkEnd w:id="384"/>
      <w:bookmarkStart w:id="385" w:name="_Toc184312091"/>
      <w:bookmarkEnd w:id="385"/>
      <w:bookmarkStart w:id="386" w:name="_Toc184312103"/>
      <w:bookmarkEnd w:id="386"/>
      <w:bookmarkStart w:id="387" w:name="_Toc184308071"/>
      <w:bookmarkEnd w:id="387"/>
      <w:bookmarkStart w:id="388" w:name="_Toc184313267"/>
      <w:bookmarkEnd w:id="388"/>
      <w:bookmarkStart w:id="389" w:name="_Toc184308081"/>
      <w:bookmarkEnd w:id="389"/>
      <w:bookmarkStart w:id="390" w:name="_Toc184310310"/>
      <w:bookmarkEnd w:id="390"/>
      <w:bookmarkStart w:id="391" w:name="_Toc184314480"/>
      <w:bookmarkEnd w:id="391"/>
      <w:bookmarkStart w:id="392" w:name="_Toc184310289"/>
      <w:bookmarkEnd w:id="392"/>
      <w:bookmarkStart w:id="393" w:name="_Toc184308058"/>
      <w:bookmarkEnd w:id="393"/>
      <w:bookmarkStart w:id="394" w:name="_Toc184314449"/>
      <w:bookmarkEnd w:id="394"/>
      <w:bookmarkStart w:id="395" w:name="_Toc184308047"/>
      <w:bookmarkEnd w:id="395"/>
      <w:bookmarkStart w:id="396" w:name="_Toc184314464"/>
      <w:bookmarkEnd w:id="396"/>
      <w:bookmarkStart w:id="397" w:name="_Toc184314466"/>
      <w:bookmarkEnd w:id="397"/>
      <w:bookmarkStart w:id="398" w:name="_Toc184312138"/>
      <w:bookmarkEnd w:id="398"/>
      <w:bookmarkStart w:id="399" w:name="_Toc184312078"/>
      <w:bookmarkEnd w:id="399"/>
      <w:bookmarkStart w:id="400" w:name="_Toc184308065"/>
      <w:bookmarkEnd w:id="400"/>
      <w:bookmarkStart w:id="401" w:name="_Toc184312113"/>
      <w:bookmarkEnd w:id="401"/>
      <w:bookmarkStart w:id="402" w:name="_Toc184314442"/>
      <w:bookmarkEnd w:id="402"/>
      <w:bookmarkStart w:id="403" w:name="_Toc184314481"/>
      <w:bookmarkEnd w:id="403"/>
      <w:bookmarkStart w:id="404" w:name="_Toc184314431"/>
      <w:bookmarkEnd w:id="404"/>
      <w:bookmarkStart w:id="405" w:name="_Toc184314438"/>
      <w:bookmarkEnd w:id="405"/>
      <w:bookmarkStart w:id="406" w:name="_Toc184313272"/>
      <w:bookmarkEnd w:id="406"/>
      <w:bookmarkStart w:id="407" w:name="_Toc184310297"/>
      <w:bookmarkEnd w:id="407"/>
      <w:bookmarkStart w:id="408" w:name="_Toc184313294"/>
      <w:bookmarkEnd w:id="408"/>
      <w:bookmarkStart w:id="409" w:name="_Toc184312093"/>
      <w:bookmarkEnd w:id="409"/>
      <w:bookmarkStart w:id="410" w:name="_Toc184313266"/>
      <w:bookmarkEnd w:id="410"/>
      <w:bookmarkStart w:id="411" w:name="_Toc184310301"/>
      <w:bookmarkEnd w:id="411"/>
      <w:bookmarkStart w:id="412" w:name="_Toc184310300"/>
      <w:bookmarkEnd w:id="412"/>
      <w:bookmarkStart w:id="413" w:name="_Toc184313269"/>
      <w:bookmarkEnd w:id="413"/>
      <w:bookmarkStart w:id="414" w:name="_Toc184314482"/>
      <w:bookmarkEnd w:id="414"/>
      <w:bookmarkStart w:id="415" w:name="_Toc184313268"/>
      <w:bookmarkEnd w:id="415"/>
      <w:bookmarkStart w:id="416" w:name="_Toc184314410"/>
      <w:bookmarkEnd w:id="416"/>
      <w:bookmarkStart w:id="417" w:name="_Toc184308100"/>
      <w:bookmarkEnd w:id="417"/>
      <w:bookmarkStart w:id="418" w:name="_Toc184312081"/>
      <w:bookmarkEnd w:id="418"/>
      <w:bookmarkStart w:id="419" w:name="_Toc184313264"/>
      <w:bookmarkEnd w:id="419"/>
      <w:bookmarkStart w:id="420" w:name="_Toc184312096"/>
      <w:bookmarkEnd w:id="420"/>
      <w:bookmarkStart w:id="421" w:name="_Toc184310311"/>
      <w:bookmarkEnd w:id="421"/>
      <w:bookmarkStart w:id="422" w:name="_Toc184310286"/>
      <w:bookmarkEnd w:id="422"/>
      <w:bookmarkStart w:id="423" w:name="_Toc184308102"/>
      <w:bookmarkEnd w:id="423"/>
      <w:r>
        <w:rPr>
          <w:rFonts w:hint="eastAsia" w:ascii="仿宋" w:hAnsi="仿宋" w:eastAsia="仿宋" w:cs="仿宋_GB2312"/>
          <w:b/>
          <w:color w:val="auto"/>
          <w:sz w:val="36"/>
          <w:szCs w:val="36"/>
          <w:highlight w:val="none"/>
        </w:rPr>
        <w:t>评标方法及评分标准</w:t>
      </w:r>
    </w:p>
    <w:p>
      <w:pPr>
        <w:snapToGrid w:val="0"/>
        <w:spacing w:line="360" w:lineRule="auto"/>
        <w:jc w:val="center"/>
        <w:rPr>
          <w:rFonts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spacing w:line="360" w:lineRule="auto"/>
        <w:ind w:firstLine="482" w:firstLineChars="200"/>
        <w:rPr>
          <w:rFonts w:ascii="仿宋" w:hAnsi="仿宋" w:eastAsia="仿宋" w:cs="Arial"/>
          <w:color w:val="auto"/>
          <w:kern w:val="0"/>
          <w:sz w:val="24"/>
          <w:highlight w:val="none"/>
        </w:rPr>
      </w:pPr>
      <w:r>
        <w:rPr>
          <w:rFonts w:hint="eastAsia" w:ascii="仿宋" w:hAnsi="仿宋" w:eastAsia="仿宋" w:cs="Arial"/>
          <w:b/>
          <w:color w:val="auto"/>
          <w:kern w:val="0"/>
          <w:sz w:val="24"/>
          <w:highlight w:val="none"/>
        </w:rPr>
        <w:t>1.综合评分法。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二、评标委员会的组成</w:t>
      </w:r>
    </w:p>
    <w:p>
      <w:pPr>
        <w:snapToGrid w:val="0"/>
        <w:spacing w:line="360" w:lineRule="auto"/>
        <w:ind w:firstLine="482" w:firstLineChars="200"/>
        <w:rPr>
          <w:rFonts w:ascii="仿宋" w:hAnsi="仿宋" w:eastAsia="仿宋" w:cs="Arial"/>
          <w:color w:val="auto"/>
          <w:kern w:val="0"/>
          <w:sz w:val="24"/>
          <w:highlight w:val="none"/>
        </w:rPr>
      </w:pPr>
      <w:r>
        <w:rPr>
          <w:rFonts w:hint="eastAsia" w:ascii="仿宋" w:hAnsi="仿宋" w:eastAsia="仿宋" w:cs="Arial"/>
          <w:b/>
          <w:color w:val="auto"/>
          <w:kern w:val="0"/>
          <w:sz w:val="24"/>
          <w:highlight w:val="none"/>
        </w:rPr>
        <w:t>2.评标委员会的组成。</w:t>
      </w:r>
      <w:r>
        <w:rPr>
          <w:rFonts w:ascii="仿宋" w:hAnsi="仿宋" w:eastAsia="仿宋" w:cs="Arial"/>
          <w:color w:val="auto"/>
          <w:kern w:val="0"/>
          <w:sz w:val="24"/>
          <w:highlight w:val="none"/>
        </w:rPr>
        <w:t>评标委员会由采购人代表和评审专家组成，成员人数为</w:t>
      </w:r>
      <w:r>
        <w:rPr>
          <w:rFonts w:hint="eastAsia" w:ascii="仿宋" w:hAnsi="仿宋" w:eastAsia="仿宋" w:cs="Arial"/>
          <w:color w:val="auto"/>
          <w:kern w:val="0"/>
          <w:sz w:val="24"/>
          <w:highlight w:val="none"/>
        </w:rPr>
        <w:t>5</w:t>
      </w:r>
      <w:r>
        <w:rPr>
          <w:rFonts w:ascii="仿宋" w:hAnsi="仿宋" w:eastAsia="仿宋" w:cs="Arial"/>
          <w:color w:val="auto"/>
          <w:kern w:val="0"/>
          <w:sz w:val="24"/>
          <w:highlight w:val="none"/>
        </w:rPr>
        <w:t>人以上单数，其中评审专家不少于成员总数的三分之二。</w:t>
      </w:r>
    </w:p>
    <w:p>
      <w:pPr>
        <w:pStyle w:val="23"/>
        <w:ind w:firstLine="482"/>
        <w:rPr>
          <w:rFonts w:ascii="仿宋" w:hAnsi="仿宋" w:eastAsia="仿宋" w:cs="Arial"/>
          <w:color w:val="auto"/>
          <w:kern w:val="0"/>
          <w:highlight w:val="none"/>
        </w:rPr>
      </w:pPr>
      <w:r>
        <w:rPr>
          <w:rFonts w:hint="eastAsia" w:ascii="仿宋" w:hAnsi="仿宋" w:eastAsia="仿宋" w:cs="Arial"/>
          <w:b/>
          <w:color w:val="auto"/>
          <w:kern w:val="0"/>
          <w:highlight w:val="none"/>
        </w:rPr>
        <w:t>3.评</w:t>
      </w:r>
      <w:r>
        <w:rPr>
          <w:rFonts w:hint="eastAsia" w:ascii="仿宋" w:hAnsi="仿宋" w:eastAsia="仿宋" w:cs="Arial"/>
          <w:b/>
          <w:color w:val="auto"/>
          <w:kern w:val="0"/>
          <w:szCs w:val="24"/>
          <w:highlight w:val="none"/>
        </w:rPr>
        <w:t>标委员会的组成人员的回避。</w:t>
      </w:r>
      <w:r>
        <w:rPr>
          <w:rFonts w:hint="eastAsia" w:ascii="仿宋" w:hAnsi="仿宋" w:eastAsia="仿宋" w:cs="Arial"/>
          <w:color w:val="auto"/>
          <w:kern w:val="0"/>
          <w:highlight w:val="none"/>
        </w:rPr>
        <w:t>在政府采购活动中，评标委员会的组成人员与供应商有下列利害关系之一的，应当回避：</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3.1参加采购活动前3年内与供应商存在劳动关系；</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3.2参加采购活动前3年内担任供应商的董事、监事；</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3.3参加采购活动前3年内是供应商的控股股东或者实际控制人；</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3.4与供应商的法定代表人或者负责人有夫妻、直系血亲、三代以内旁系血亲或者近姻亲关系；</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3.5与供应商有其他可能影响政府采购活动公平、公正进行的关系。</w:t>
      </w:r>
    </w:p>
    <w:p>
      <w:pPr>
        <w:snapToGrid w:val="0"/>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highlight w:val="none"/>
        </w:rPr>
        <w:t>三、评标委员会的职责</w:t>
      </w:r>
    </w:p>
    <w:p>
      <w:pPr>
        <w:pStyle w:val="23"/>
        <w:ind w:firstLine="482"/>
        <w:rPr>
          <w:rFonts w:ascii="仿宋" w:hAnsi="仿宋" w:eastAsia="仿宋" w:cs="Arial"/>
          <w:b/>
          <w:color w:val="auto"/>
          <w:kern w:val="0"/>
          <w:szCs w:val="24"/>
          <w:highlight w:val="none"/>
        </w:rPr>
      </w:pPr>
      <w:r>
        <w:rPr>
          <w:rFonts w:hint="eastAsia" w:ascii="仿宋" w:hAnsi="仿宋" w:eastAsia="仿宋" w:cs="Arial"/>
          <w:b/>
          <w:color w:val="auto"/>
          <w:kern w:val="0"/>
          <w:szCs w:val="24"/>
          <w:highlight w:val="none"/>
        </w:rPr>
        <w:t>4.</w:t>
      </w:r>
      <w:r>
        <w:rPr>
          <w:rFonts w:ascii="仿宋" w:hAnsi="仿宋" w:eastAsia="仿宋" w:cs="Arial"/>
          <w:b/>
          <w:color w:val="auto"/>
          <w:kern w:val="0"/>
          <w:szCs w:val="24"/>
          <w:highlight w:val="none"/>
        </w:rPr>
        <w:t>评标委员会负责具体评标事务，并独立履行下列职责：</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4.1</w:t>
      </w:r>
      <w:r>
        <w:rPr>
          <w:rFonts w:ascii="仿宋" w:hAnsi="仿宋" w:eastAsia="仿宋" w:cs="Arial"/>
          <w:color w:val="auto"/>
          <w:kern w:val="0"/>
          <w:highlight w:val="none"/>
        </w:rPr>
        <w:t>审查、评价投标文件是否符合招标文件的商务、技术等实质性要求；</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4.2</w:t>
      </w:r>
      <w:r>
        <w:rPr>
          <w:rFonts w:ascii="仿宋" w:hAnsi="仿宋" w:eastAsia="仿宋" w:cs="Arial"/>
          <w:color w:val="auto"/>
          <w:kern w:val="0"/>
          <w:highlight w:val="none"/>
        </w:rPr>
        <w:t>要求投标人对投标文件有关事项作出澄清或者说明；</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4.3</w:t>
      </w:r>
      <w:r>
        <w:rPr>
          <w:rFonts w:ascii="仿宋" w:hAnsi="仿宋" w:eastAsia="仿宋" w:cs="Arial"/>
          <w:color w:val="auto"/>
          <w:kern w:val="0"/>
          <w:highlight w:val="none"/>
        </w:rPr>
        <w:t>对投标文件进行比较和评价；</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4.4</w:t>
      </w:r>
      <w:r>
        <w:rPr>
          <w:rFonts w:ascii="仿宋" w:hAnsi="仿宋" w:eastAsia="仿宋" w:cs="Arial"/>
          <w:color w:val="auto"/>
          <w:kern w:val="0"/>
          <w:highlight w:val="none"/>
        </w:rPr>
        <w:t>确定中标候选人名单，以及根据采购人委托直接确定中标人；</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4.5</w:t>
      </w:r>
      <w:r>
        <w:rPr>
          <w:rFonts w:ascii="仿宋" w:hAnsi="仿宋" w:eastAsia="仿宋" w:cs="Arial"/>
          <w:color w:val="auto"/>
          <w:kern w:val="0"/>
          <w:highlight w:val="none"/>
        </w:rPr>
        <w:t>向采购人、</w:t>
      </w:r>
      <w:r>
        <w:rPr>
          <w:rFonts w:hint="eastAsia" w:ascii="仿宋" w:hAnsi="仿宋" w:eastAsia="仿宋" w:cs="Arial"/>
          <w:color w:val="auto"/>
          <w:kern w:val="0"/>
          <w:highlight w:val="none"/>
        </w:rPr>
        <w:t>采购代理机构</w:t>
      </w:r>
      <w:r>
        <w:rPr>
          <w:rFonts w:ascii="仿宋" w:hAnsi="仿宋" w:eastAsia="仿宋" w:cs="Arial"/>
          <w:color w:val="auto"/>
          <w:kern w:val="0"/>
          <w:highlight w:val="none"/>
        </w:rPr>
        <w:t>或者有关部门报告评标中发现的违法行为</w:t>
      </w:r>
      <w:r>
        <w:rPr>
          <w:rFonts w:hint="eastAsia" w:ascii="仿宋" w:hAnsi="仿宋" w:eastAsia="仿宋" w:cs="Arial"/>
          <w:color w:val="auto"/>
          <w:kern w:val="0"/>
          <w:highlight w:val="none"/>
        </w:rPr>
        <w:t>；</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4.6法律、法规、规章、招标文件等规定的其它事项。</w:t>
      </w:r>
    </w:p>
    <w:p>
      <w:pPr>
        <w:pStyle w:val="23"/>
        <w:ind w:firstLine="482"/>
        <w:rPr>
          <w:rFonts w:ascii="仿宋" w:hAnsi="仿宋" w:eastAsia="仿宋" w:cs="Arial"/>
          <w:b/>
          <w:color w:val="auto"/>
          <w:kern w:val="0"/>
          <w:szCs w:val="24"/>
          <w:highlight w:val="none"/>
        </w:rPr>
      </w:pPr>
      <w:r>
        <w:rPr>
          <w:rFonts w:hint="eastAsia" w:ascii="仿宋" w:hAnsi="仿宋" w:eastAsia="仿宋" w:cs="Arial"/>
          <w:b/>
          <w:color w:val="auto"/>
          <w:kern w:val="0"/>
          <w:szCs w:val="24"/>
          <w:highlight w:val="none"/>
        </w:rPr>
        <w:t>5.</w:t>
      </w:r>
      <w:r>
        <w:rPr>
          <w:rFonts w:ascii="仿宋" w:hAnsi="仿宋" w:eastAsia="仿宋" w:cs="Arial"/>
          <w:b/>
          <w:color w:val="auto"/>
          <w:kern w:val="0"/>
          <w:szCs w:val="24"/>
          <w:highlight w:val="none"/>
        </w:rPr>
        <w:t>评标委员会及其成员不得有下列行为：</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5.1</w:t>
      </w:r>
      <w:r>
        <w:rPr>
          <w:rFonts w:ascii="仿宋" w:hAnsi="仿宋" w:eastAsia="仿宋" w:cs="Arial"/>
          <w:color w:val="auto"/>
          <w:kern w:val="0"/>
          <w:highlight w:val="none"/>
        </w:rPr>
        <w:t>确定参与评标至评标结束前私自接触投标人；</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5.2</w:t>
      </w:r>
      <w:r>
        <w:rPr>
          <w:rFonts w:ascii="仿宋" w:hAnsi="仿宋" w:eastAsia="仿宋" w:cs="Arial"/>
          <w:color w:val="auto"/>
          <w:kern w:val="0"/>
          <w:highlight w:val="none"/>
        </w:rPr>
        <w:t>接受投标人提出的与投标文件不一致的澄清或者说明，本办法第五十一条规定的情形除外；</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5.3</w:t>
      </w:r>
      <w:r>
        <w:rPr>
          <w:rFonts w:ascii="仿宋" w:hAnsi="仿宋" w:eastAsia="仿宋" w:cs="Arial"/>
          <w:color w:val="auto"/>
          <w:kern w:val="0"/>
          <w:highlight w:val="none"/>
        </w:rPr>
        <w:t>违反评标纪律发表倾向性意见或者征询采购人的倾向性意见；</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5.4</w:t>
      </w:r>
      <w:r>
        <w:rPr>
          <w:rFonts w:ascii="仿宋" w:hAnsi="仿宋" w:eastAsia="仿宋" w:cs="Arial"/>
          <w:color w:val="auto"/>
          <w:kern w:val="0"/>
          <w:highlight w:val="none"/>
        </w:rPr>
        <w:t>对需要专业判断的主观评审因素协商评分；</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5.5</w:t>
      </w:r>
      <w:r>
        <w:rPr>
          <w:rFonts w:ascii="仿宋" w:hAnsi="仿宋" w:eastAsia="仿宋" w:cs="Arial"/>
          <w:color w:val="auto"/>
          <w:kern w:val="0"/>
          <w:highlight w:val="none"/>
        </w:rPr>
        <w:t>在评标过程中擅离职守，影响评标程序正常进行的；</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5.6</w:t>
      </w:r>
      <w:r>
        <w:rPr>
          <w:rFonts w:ascii="仿宋" w:hAnsi="仿宋" w:eastAsia="仿宋" w:cs="Arial"/>
          <w:color w:val="auto"/>
          <w:kern w:val="0"/>
          <w:highlight w:val="none"/>
        </w:rPr>
        <w:t>记录、复制或者带走任何评标资料；</w:t>
      </w:r>
    </w:p>
    <w:p>
      <w:pPr>
        <w:pStyle w:val="23"/>
        <w:ind w:firstLine="480"/>
        <w:rPr>
          <w:rFonts w:ascii="仿宋" w:hAnsi="仿宋" w:eastAsia="仿宋" w:cs="Arial"/>
          <w:color w:val="auto"/>
          <w:kern w:val="0"/>
          <w:highlight w:val="none"/>
        </w:rPr>
      </w:pPr>
      <w:r>
        <w:rPr>
          <w:rFonts w:hint="eastAsia" w:ascii="仿宋" w:hAnsi="仿宋" w:eastAsia="仿宋" w:cs="Arial"/>
          <w:color w:val="auto"/>
          <w:kern w:val="0"/>
          <w:highlight w:val="none"/>
        </w:rPr>
        <w:t>5.7</w:t>
      </w:r>
      <w:r>
        <w:rPr>
          <w:rFonts w:ascii="仿宋" w:hAnsi="仿宋" w:eastAsia="仿宋" w:cs="Arial"/>
          <w:color w:val="auto"/>
          <w:kern w:val="0"/>
          <w:highlight w:val="none"/>
        </w:rPr>
        <w:t>其他不遵守评标纪律的行为。</w:t>
      </w:r>
    </w:p>
    <w:p>
      <w:pPr>
        <w:pStyle w:val="23"/>
        <w:ind w:firstLine="480"/>
        <w:rPr>
          <w:rFonts w:ascii="仿宋" w:hAnsi="仿宋" w:eastAsia="仿宋" w:cs="Arial"/>
          <w:color w:val="auto"/>
          <w:kern w:val="0"/>
          <w:highlight w:val="none"/>
        </w:rPr>
      </w:pPr>
      <w:r>
        <w:rPr>
          <w:rFonts w:ascii="仿宋" w:hAnsi="仿宋" w:eastAsia="仿宋" w:cs="Arial"/>
          <w:color w:val="auto"/>
          <w:kern w:val="0"/>
          <w:highlight w:val="none"/>
        </w:rPr>
        <w:t>评标委员会成员有</w:t>
      </w:r>
      <w:r>
        <w:rPr>
          <w:rFonts w:hint="eastAsia" w:ascii="仿宋" w:hAnsi="仿宋" w:eastAsia="仿宋" w:cs="Arial"/>
          <w:color w:val="auto"/>
          <w:kern w:val="0"/>
          <w:highlight w:val="none"/>
        </w:rPr>
        <w:t>5.1-5.5</w:t>
      </w:r>
      <w:r>
        <w:rPr>
          <w:rFonts w:ascii="仿宋" w:hAnsi="仿宋" w:eastAsia="仿宋" w:cs="Arial"/>
          <w:color w:val="auto"/>
          <w:kern w:val="0"/>
          <w:highlight w:val="none"/>
        </w:rPr>
        <w:t>行为之一的，其评审意见无效，并不得获取评审劳务报酬和报销异地评审差旅费。</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四、评审程序</w:t>
      </w:r>
    </w:p>
    <w:p>
      <w:pPr>
        <w:pStyle w:val="23"/>
        <w:ind w:firstLine="482"/>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6.符合性审查。</w:t>
      </w:r>
      <w:r>
        <w:rPr>
          <w:rFonts w:ascii="仿宋" w:hAnsi="仿宋" w:eastAsia="仿宋" w:cs="Arial"/>
          <w:b/>
          <w:color w:val="auto"/>
          <w:kern w:val="0"/>
          <w:szCs w:val="24"/>
          <w:highlight w:val="none"/>
        </w:rPr>
        <w:t xml:space="preserve"> </w:t>
      </w:r>
      <w:r>
        <w:rPr>
          <w:rFonts w:ascii="仿宋" w:hAnsi="仿宋" w:eastAsia="仿宋" w:cs="Arial"/>
          <w:color w:val="auto"/>
          <w:kern w:val="0"/>
          <w:szCs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Cs w:val="24"/>
          <w:highlight w:val="none"/>
        </w:rPr>
        <w:t>。符合投标无效情形的，投标无效</w:t>
      </w:r>
      <w:r>
        <w:rPr>
          <w:rFonts w:ascii="仿宋" w:hAnsi="仿宋" w:eastAsia="仿宋" w:cs="Arial"/>
          <w:color w:val="auto"/>
          <w:kern w:val="0"/>
          <w:szCs w:val="24"/>
          <w:highlight w:val="none"/>
        </w:rPr>
        <w:t>。</w:t>
      </w:r>
    </w:p>
    <w:p>
      <w:pPr>
        <w:pStyle w:val="23"/>
        <w:ind w:firstLine="482"/>
        <w:rPr>
          <w:rFonts w:ascii="仿宋" w:hAnsi="仿宋" w:eastAsia="仿宋" w:cs="Arial"/>
          <w:bCs/>
          <w:color w:val="auto"/>
          <w:kern w:val="0"/>
          <w:szCs w:val="24"/>
          <w:highlight w:val="none"/>
        </w:rPr>
      </w:pPr>
      <w:r>
        <w:rPr>
          <w:rFonts w:hint="eastAsia" w:ascii="仿宋" w:hAnsi="仿宋" w:eastAsia="仿宋" w:cs="Arial"/>
          <w:b/>
          <w:color w:val="auto"/>
          <w:kern w:val="0"/>
          <w:szCs w:val="24"/>
          <w:highlight w:val="none"/>
        </w:rPr>
        <w:t>7.投标人澄清、说明或者补正。</w:t>
      </w:r>
      <w:r>
        <w:rPr>
          <w:rFonts w:hint="eastAsia" w:ascii="仿宋" w:hAnsi="仿宋" w:eastAsia="仿宋" w:cs="Arial"/>
          <w:bCs/>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在规定时间内投标人如未作出相应的澄清、说明或者补正的，则视为放弃该项权利。投标人的澄清、说明或者补正不得超出投标文件的范围或者改变投标文件的实质性内容。</w:t>
      </w:r>
    </w:p>
    <w:p>
      <w:pPr>
        <w:pStyle w:val="23"/>
        <w:ind w:firstLine="482"/>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8.</w:t>
      </w:r>
      <w:r>
        <w:rPr>
          <w:rFonts w:ascii="仿宋" w:hAnsi="仿宋" w:eastAsia="仿宋" w:cs="Arial"/>
          <w:b/>
          <w:color w:val="auto"/>
          <w:kern w:val="0"/>
          <w:szCs w:val="24"/>
          <w:highlight w:val="none"/>
        </w:rPr>
        <w:t xml:space="preserve"> 比较与评价</w:t>
      </w:r>
      <w:r>
        <w:rPr>
          <w:rFonts w:hint="eastAsia" w:ascii="仿宋" w:hAnsi="仿宋" w:eastAsia="仿宋" w:cs="Arial"/>
          <w:b/>
          <w:color w:val="auto"/>
          <w:kern w:val="0"/>
          <w:szCs w:val="24"/>
          <w:highlight w:val="none"/>
        </w:rPr>
        <w:t>。</w:t>
      </w:r>
      <w:r>
        <w:rPr>
          <w:rFonts w:ascii="仿宋" w:hAnsi="仿宋" w:eastAsia="仿宋" w:cs="Arial"/>
          <w:color w:val="auto"/>
          <w:kern w:val="0"/>
          <w:szCs w:val="24"/>
          <w:highlight w:val="none"/>
        </w:rPr>
        <w:t>标委员会应当按照评标标准，对符合性审查合格的投标文件进行商务和技术评估，综合比较与评价。</w:t>
      </w:r>
    </w:p>
    <w:p>
      <w:pPr>
        <w:pStyle w:val="23"/>
        <w:ind w:firstLine="482"/>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9.</w:t>
      </w:r>
      <w:r>
        <w:rPr>
          <w:rFonts w:ascii="仿宋" w:hAnsi="仿宋" w:eastAsia="仿宋" w:cs="Arial"/>
          <w:b/>
          <w:color w:val="auto"/>
          <w:kern w:val="0"/>
          <w:szCs w:val="24"/>
          <w:highlight w:val="none"/>
        </w:rPr>
        <w:t xml:space="preserve"> 汇总</w:t>
      </w:r>
      <w:r>
        <w:rPr>
          <w:rFonts w:hint="eastAsia" w:ascii="仿宋" w:hAnsi="仿宋" w:eastAsia="仿宋" w:cs="Arial"/>
          <w:b/>
          <w:color w:val="auto"/>
          <w:kern w:val="0"/>
          <w:szCs w:val="24"/>
          <w:highlight w:val="none"/>
        </w:rPr>
        <w:t>（商务技术得分情况）。</w:t>
      </w:r>
      <w:r>
        <w:rPr>
          <w:rFonts w:ascii="仿宋" w:hAnsi="仿宋" w:eastAsia="仿宋" w:cs="Arial"/>
          <w:color w:val="auto"/>
          <w:kern w:val="0"/>
          <w:szCs w:val="24"/>
          <w:highlight w:val="none"/>
        </w:rPr>
        <w:t>评标委员会各成员应当独立对每个投标人的</w:t>
      </w:r>
      <w:r>
        <w:rPr>
          <w:rFonts w:hint="eastAsia" w:ascii="仿宋" w:hAnsi="仿宋" w:eastAsia="仿宋" w:cs="Arial"/>
          <w:color w:val="auto"/>
          <w:kern w:val="0"/>
          <w:szCs w:val="24"/>
          <w:highlight w:val="none"/>
        </w:rPr>
        <w:t>商务和技术</w:t>
      </w:r>
      <w:r>
        <w:rPr>
          <w:rFonts w:ascii="仿宋" w:hAnsi="仿宋" w:eastAsia="仿宋" w:cs="Arial"/>
          <w:color w:val="auto"/>
          <w:kern w:val="0"/>
          <w:szCs w:val="24"/>
          <w:highlight w:val="none"/>
        </w:rPr>
        <w:t>文件进行评价，并汇总</w:t>
      </w:r>
      <w:r>
        <w:rPr>
          <w:rFonts w:hint="eastAsia" w:ascii="仿宋" w:hAnsi="仿宋" w:eastAsia="仿宋" w:cs="Arial"/>
          <w:color w:val="auto"/>
          <w:kern w:val="0"/>
          <w:szCs w:val="24"/>
          <w:highlight w:val="none"/>
        </w:rPr>
        <w:t>商务技术得分情况</w:t>
      </w:r>
      <w:r>
        <w:rPr>
          <w:rFonts w:ascii="仿宋" w:hAnsi="仿宋" w:eastAsia="仿宋" w:cs="Arial"/>
          <w:color w:val="auto"/>
          <w:kern w:val="0"/>
          <w:szCs w:val="24"/>
          <w:highlight w:val="none"/>
        </w:rPr>
        <w:t>。</w:t>
      </w:r>
    </w:p>
    <w:p>
      <w:pPr>
        <w:pStyle w:val="23"/>
        <w:ind w:firstLine="482"/>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10. 报价审核。</w:t>
      </w:r>
      <w:r>
        <w:rPr>
          <w:rFonts w:hint="eastAsia" w:ascii="仿宋" w:hAnsi="仿宋" w:eastAsia="仿宋" w:cs="Arial"/>
          <w:color w:val="auto"/>
          <w:kern w:val="0"/>
          <w:szCs w:val="24"/>
          <w:highlight w:val="none"/>
        </w:rPr>
        <w:t>对经商务和技术评审符合采购需求的投标人的报价的合理性、准确性等进行审查核实。</w:t>
      </w:r>
    </w:p>
    <w:p>
      <w:pPr>
        <w:pStyle w:val="23"/>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3"/>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10.2根据财政部发布的《政府采购促进中小企业发展暂行办法》规定，对于非专门面向中小企业的项目，对小型和微型企业产品的价格给予一定的扣除，用扣除后的价格参与评审。</w:t>
      </w:r>
    </w:p>
    <w:p>
      <w:pPr>
        <w:pStyle w:val="23"/>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10.3投标价格的修正原则。投标文件报价出现前后不一致的，按照下列规定修正：</w:t>
      </w:r>
    </w:p>
    <w:p>
      <w:pPr>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10.3.1投标文件中报价明细表内容与投标文件中相应内容不一致的，以报价明细表为准；</w:t>
      </w:r>
    </w:p>
    <w:p>
      <w:pPr>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10.3.2大写金额和小写金额不一致的，以大写金额为准；</w:t>
      </w:r>
    </w:p>
    <w:p>
      <w:pPr>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10.3.3单价金额小数点或者百分比有明显错位的，以报价明细表的总价为准，并修改单价；</w:t>
      </w:r>
    </w:p>
    <w:p>
      <w:pPr>
        <w:pStyle w:val="23"/>
        <w:ind w:firstLine="480"/>
        <w:rPr>
          <w:rFonts w:ascii="仿宋" w:hAnsi="仿宋" w:eastAsia="仿宋" w:cs="Arial"/>
          <w:color w:val="auto"/>
          <w:kern w:val="0"/>
          <w:szCs w:val="24"/>
          <w:highlight w:val="none"/>
        </w:rPr>
      </w:pPr>
      <w:r>
        <w:rPr>
          <w:rFonts w:hint="eastAsia" w:ascii="仿宋" w:hAnsi="仿宋" w:eastAsia="仿宋" w:cs="Arial"/>
          <w:color w:val="auto"/>
          <w:kern w:val="0"/>
          <w:highlight w:val="none"/>
        </w:rPr>
        <w:t>10.3.4总价金额与按单价汇总金额不一致的，以单价金额计算结果为准。</w:t>
      </w:r>
    </w:p>
    <w:p>
      <w:pPr>
        <w:pStyle w:val="23"/>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ascii="仿宋" w:hAnsi="仿宋" w:eastAsia="仿宋" w:cs="仿宋_GB2312"/>
          <w:b/>
          <w:bCs/>
          <w:color w:val="auto"/>
          <w:sz w:val="24"/>
          <w:highlight w:val="none"/>
        </w:rPr>
      </w:pPr>
      <w:r>
        <w:rPr>
          <w:rFonts w:hint="eastAsia" w:ascii="仿宋" w:hAnsi="仿宋" w:eastAsia="仿宋" w:cs="仿宋_GB2312"/>
          <w:bCs/>
          <w:color w:val="auto"/>
          <w:sz w:val="24"/>
          <w:highlight w:val="none"/>
        </w:rPr>
        <w:t>▲</w:t>
      </w:r>
      <w:r>
        <w:rPr>
          <w:rFonts w:hint="eastAsia" w:ascii="仿宋" w:hAnsi="仿宋" w:eastAsia="仿宋" w:cs="仿宋_GB2312"/>
          <w:b/>
          <w:bCs/>
          <w:color w:val="auto"/>
          <w:sz w:val="24"/>
          <w:highlight w:val="none"/>
        </w:rPr>
        <w:t>投标人对根据修正原则修正后的报价不确认的，投标无效。</w:t>
      </w:r>
    </w:p>
    <w:p>
      <w:pPr>
        <w:spacing w:line="360" w:lineRule="auto"/>
        <w:ind w:firstLine="482" w:firstLineChars="200"/>
        <w:rPr>
          <w:rFonts w:ascii="仿宋" w:hAnsi="仿宋" w:eastAsia="仿宋" w:cs="Arial"/>
          <w:color w:val="auto"/>
          <w:kern w:val="0"/>
          <w:sz w:val="24"/>
          <w:highlight w:val="none"/>
        </w:rPr>
      </w:pPr>
      <w:r>
        <w:rPr>
          <w:rFonts w:hint="eastAsia" w:ascii="仿宋" w:hAnsi="仿宋" w:eastAsia="仿宋" w:cs="Arial"/>
          <w:b/>
          <w:color w:val="auto"/>
          <w:kern w:val="0"/>
          <w:sz w:val="24"/>
          <w:highlight w:val="none"/>
        </w:rPr>
        <w:t>11.</w:t>
      </w:r>
      <w:r>
        <w:rPr>
          <w:rFonts w:ascii="仿宋" w:hAnsi="仿宋" w:eastAsia="仿宋" w:cs="Arial"/>
          <w:b/>
          <w:color w:val="auto"/>
          <w:kern w:val="0"/>
          <w:sz w:val="24"/>
          <w:highlight w:val="none"/>
        </w:rPr>
        <w:t>汇总</w:t>
      </w:r>
      <w:r>
        <w:rPr>
          <w:rFonts w:hint="eastAsia" w:ascii="仿宋" w:hAnsi="仿宋" w:eastAsia="仿宋" w:cs="Arial"/>
          <w:b/>
          <w:color w:val="auto"/>
          <w:kern w:val="0"/>
          <w:sz w:val="24"/>
          <w:highlight w:val="none"/>
        </w:rPr>
        <w:t>得分。</w:t>
      </w:r>
      <w:r>
        <w:rPr>
          <w:rFonts w:ascii="仿宋" w:hAnsi="仿宋" w:eastAsia="仿宋" w:cs="Arial"/>
          <w:color w:val="auto"/>
          <w:kern w:val="0"/>
          <w:sz w:val="24"/>
          <w:highlight w:val="none"/>
        </w:rPr>
        <w:t>评标委员会各成员应当独立对每个投标人的投标文件进行评价，并汇总每个投标人的得分。</w:t>
      </w:r>
    </w:p>
    <w:p>
      <w:pPr>
        <w:spacing w:line="360" w:lineRule="auto"/>
        <w:ind w:firstLine="482" w:firstLineChars="200"/>
        <w:rPr>
          <w:rFonts w:ascii="仿宋" w:hAnsi="仿宋" w:eastAsia="仿宋" w:cs="Arial"/>
          <w:b/>
          <w:color w:val="auto"/>
          <w:kern w:val="0"/>
          <w:sz w:val="24"/>
          <w:highlight w:val="none"/>
        </w:rPr>
      </w:pPr>
      <w:r>
        <w:rPr>
          <w:rFonts w:hint="eastAsia" w:ascii="仿宋" w:hAnsi="仿宋" w:eastAsia="仿宋" w:cs="Arial"/>
          <w:b/>
          <w:color w:val="auto"/>
          <w:kern w:val="0"/>
          <w:sz w:val="24"/>
          <w:highlight w:val="none"/>
        </w:rPr>
        <w:t>12.</w:t>
      </w:r>
      <w:r>
        <w:rPr>
          <w:rFonts w:ascii="仿宋" w:hAnsi="仿宋" w:eastAsia="仿宋" w:cs="Arial"/>
          <w:b/>
          <w:color w:val="auto"/>
          <w:kern w:val="0"/>
          <w:sz w:val="24"/>
          <w:highlight w:val="none"/>
        </w:rPr>
        <w:t>顺序排列</w:t>
      </w:r>
      <w:r>
        <w:rPr>
          <w:rFonts w:hint="eastAsia" w:ascii="仿宋" w:hAnsi="仿宋" w:eastAsia="仿宋" w:cs="Arial"/>
          <w:b/>
          <w:color w:val="auto"/>
          <w:kern w:val="0"/>
          <w:sz w:val="24"/>
          <w:highlight w:val="none"/>
        </w:rPr>
        <w:t>与中标候选推荐。</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12.1</w:t>
      </w:r>
      <w:r>
        <w:rPr>
          <w:rFonts w:ascii="仿宋" w:hAnsi="仿宋" w:eastAsia="仿宋" w:cs="仿宋_GB2312"/>
          <w:color w:val="auto"/>
          <w:sz w:val="24"/>
          <w:szCs w:val="21"/>
          <w:highlight w:val="none"/>
        </w:rPr>
        <w:t>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12.2多家投标人</w:t>
      </w:r>
      <w:r>
        <w:rPr>
          <w:rFonts w:ascii="仿宋" w:hAnsi="仿宋" w:eastAsia="仿宋" w:cs="仿宋_GB2312"/>
          <w:color w:val="auto"/>
          <w:sz w:val="24"/>
          <w:szCs w:val="21"/>
          <w:highlight w:val="none"/>
        </w:rPr>
        <w:t>提供相同品牌产品</w:t>
      </w:r>
      <w:r>
        <w:rPr>
          <w:rFonts w:hint="eastAsia" w:ascii="仿宋" w:hAnsi="仿宋" w:eastAsia="仿宋" w:cs="仿宋_GB2312"/>
          <w:color w:val="auto"/>
          <w:sz w:val="24"/>
          <w:szCs w:val="21"/>
          <w:highlight w:val="none"/>
        </w:rPr>
        <w:t>（</w:t>
      </w:r>
      <w:r>
        <w:rPr>
          <w:rFonts w:ascii="仿宋" w:hAnsi="仿宋" w:eastAsia="仿宋" w:cs="仿宋_GB2312"/>
          <w:color w:val="auto"/>
          <w:sz w:val="24"/>
          <w:szCs w:val="21"/>
          <w:highlight w:val="none"/>
        </w:rPr>
        <w:t>单一产品采购项目</w:t>
      </w:r>
      <w:r>
        <w:rPr>
          <w:rFonts w:hint="eastAsia" w:ascii="仿宋" w:hAnsi="仿宋" w:eastAsia="仿宋" w:cs="仿宋_GB2312"/>
          <w:color w:val="auto"/>
          <w:sz w:val="24"/>
          <w:szCs w:val="21"/>
          <w:highlight w:val="none"/>
        </w:rPr>
        <w:t>中的该产品或者非</w:t>
      </w:r>
      <w:r>
        <w:rPr>
          <w:rFonts w:ascii="仿宋" w:hAnsi="仿宋" w:eastAsia="仿宋" w:cs="仿宋_GB2312"/>
          <w:color w:val="auto"/>
          <w:sz w:val="24"/>
          <w:szCs w:val="21"/>
          <w:highlight w:val="none"/>
        </w:rPr>
        <w:t>单一产品采购项目</w:t>
      </w:r>
      <w:r>
        <w:rPr>
          <w:rFonts w:hint="eastAsia" w:ascii="仿宋" w:hAnsi="仿宋" w:eastAsia="仿宋" w:cs="仿宋_GB2312"/>
          <w:color w:val="auto"/>
          <w:sz w:val="24"/>
          <w:szCs w:val="21"/>
          <w:highlight w:val="none"/>
        </w:rPr>
        <w:t>的核心产品）</w:t>
      </w:r>
      <w:r>
        <w:rPr>
          <w:rFonts w:ascii="仿宋" w:hAnsi="仿宋" w:eastAsia="仿宋" w:cs="仿宋_GB2312"/>
          <w:color w:val="auto"/>
          <w:sz w:val="24"/>
          <w:szCs w:val="21"/>
          <w:highlight w:val="none"/>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7"/>
        <w:spacing w:line="360" w:lineRule="auto"/>
        <w:ind w:firstLine="562"/>
        <w:rPr>
          <w:rFonts w:ascii="仿宋" w:hAnsi="仿宋" w:eastAsia="仿宋" w:cs="仿宋_GB2312"/>
          <w:color w:val="auto"/>
          <w:szCs w:val="21"/>
          <w:highlight w:val="none"/>
        </w:rPr>
      </w:pPr>
      <w:r>
        <w:rPr>
          <w:rFonts w:hint="eastAsia" w:ascii="仿宋" w:hAnsi="仿宋" w:eastAsia="仿宋" w:cs="仿宋_GB2312"/>
          <w:b/>
          <w:color w:val="auto"/>
          <w:spacing w:val="20"/>
          <w:highlight w:val="none"/>
        </w:rPr>
        <w:t>13.投标无效。</w:t>
      </w:r>
      <w:r>
        <w:rPr>
          <w:rFonts w:hint="eastAsia" w:ascii="仿宋" w:hAnsi="仿宋" w:eastAsia="仿宋" w:cs="仿宋_GB2312"/>
          <w:color w:val="auto"/>
          <w:szCs w:val="21"/>
          <w:highlight w:val="none"/>
        </w:rPr>
        <w:t>有下列情况之一的，投标无效：</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w:t>
      </w:r>
      <w:r>
        <w:rPr>
          <w:rFonts w:hint="eastAsia" w:ascii="仿宋" w:hAnsi="仿宋" w:eastAsia="仿宋" w:cs="仿宋_GB2312"/>
          <w:color w:val="auto"/>
          <w:sz w:val="24"/>
          <w:highlight w:val="none"/>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13.2</w:t>
      </w:r>
      <w:r>
        <w:rPr>
          <w:rFonts w:hint="eastAsia" w:ascii="仿宋" w:hAnsi="仿宋" w:eastAsia="仿宋" w:cs="仿宋_GB2312"/>
          <w:color w:val="auto"/>
          <w:sz w:val="24"/>
          <w:highlight w:val="none"/>
        </w:rPr>
        <w:t>为采购项目提供整体设计、规范编制或者项目管理、监理、检测等服务的供应商再参加该采购项目的其他采购活动的；</w:t>
      </w:r>
      <w:r>
        <w:rPr>
          <w:rFonts w:ascii="仿宋" w:hAnsi="仿宋" w:eastAsia="仿宋" w:cs="仿宋_GB2312"/>
          <w:color w:val="auto"/>
          <w:sz w:val="24"/>
          <w:highlight w:val="none"/>
        </w:rPr>
        <w:t xml:space="preserve"> </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13.3</w:t>
      </w:r>
      <w:r>
        <w:rPr>
          <w:rFonts w:hint="eastAsia" w:ascii="仿宋" w:hAnsi="仿宋" w:eastAsia="仿宋" w:cs="仿宋_GB2312"/>
          <w:color w:val="auto"/>
          <w:sz w:val="24"/>
          <w:highlight w:val="none"/>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13.4</w:t>
      </w:r>
      <w:r>
        <w:rPr>
          <w:rFonts w:hint="eastAsia" w:ascii="仿宋" w:hAnsi="仿宋" w:eastAsia="仿宋" w:cs="仿宋_GB2312"/>
          <w:color w:val="auto"/>
          <w:sz w:val="24"/>
          <w:highlight w:val="none"/>
        </w:rPr>
        <w:t>如以联合体形式参加政府采购活动的，联合体协议不符合招标文件规定的联合体协议要求的；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13.5</w:t>
      </w:r>
      <w:r>
        <w:rPr>
          <w:rFonts w:hint="eastAsia" w:ascii="仿宋" w:hAnsi="仿宋" w:eastAsia="仿宋" w:cs="仿宋_GB2312"/>
          <w:color w:val="auto"/>
          <w:sz w:val="24"/>
          <w:highlight w:val="none"/>
        </w:rPr>
        <w:t>投标文件未按招标文件的澄清、修改的内容编制，又不符合实质性要求的；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13.6</w:t>
      </w:r>
      <w:r>
        <w:rPr>
          <w:rFonts w:hint="eastAsia" w:ascii="仿宋" w:hAnsi="仿宋" w:eastAsia="仿宋" w:cs="仿宋_GB2312"/>
          <w:color w:val="auto"/>
          <w:sz w:val="24"/>
          <w:highlight w:val="none"/>
        </w:rPr>
        <w:t>投标文件中法定代表人授权书所载内容与本项目内容有异的；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13.7</w:t>
      </w:r>
      <w:r>
        <w:rPr>
          <w:rFonts w:hint="eastAsia" w:ascii="仿宋" w:hAnsi="仿宋" w:eastAsia="仿宋" w:cs="仿宋_GB2312"/>
          <w:color w:val="auto"/>
          <w:sz w:val="24"/>
          <w:highlight w:val="none"/>
        </w:rPr>
        <w:t>投标文件未按照招标文件要求签署、盖章（CA签章）的；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13.8未传输递交电子投标文件的或规定时间内未解密或解密失败的；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13.9采购</w:t>
      </w:r>
      <w:r>
        <w:rPr>
          <w:rFonts w:ascii="仿宋" w:hAnsi="仿宋" w:eastAsia="仿宋" w:cs="仿宋_GB2312"/>
          <w:color w:val="auto"/>
          <w:sz w:val="24"/>
          <w:highlight w:val="none"/>
        </w:rPr>
        <w:t>人拟采购的产品属于</w:t>
      </w:r>
      <w:r>
        <w:rPr>
          <w:rFonts w:hint="eastAsia" w:ascii="仿宋" w:hAnsi="仿宋" w:eastAsia="仿宋" w:cs="仿宋_GB2312"/>
          <w:color w:val="auto"/>
          <w:sz w:val="24"/>
          <w:highlight w:val="none"/>
        </w:rPr>
        <w:t>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olor w:val="auto"/>
          <w:sz w:val="24"/>
          <w:highlight w:val="none"/>
        </w:rPr>
        <w:t>13.10</w:t>
      </w:r>
      <w:r>
        <w:rPr>
          <w:rFonts w:hint="eastAsia" w:ascii="仿宋" w:hAnsi="仿宋" w:eastAsia="仿宋" w:cs="仿宋_GB2312"/>
          <w:color w:val="auto"/>
          <w:sz w:val="24"/>
          <w:szCs w:val="21"/>
          <w:highlight w:val="none"/>
        </w:rPr>
        <w:t>投标文件含有采购人不能接受的附加条件的；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13.11投标文件中承诺的投标有效期少于招标文件中载明的投标有效期的；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13.12投标人所投内容不符合采购需求中实质性要求的；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13.13投标文件出现不是唯一的、有选择性投标报价的;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13.14投标报价高于本项目采购预算或者最高限价的;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13.15报价明显低于其他通过符合性审查投标人的报价，有可能影响产品质量或者不能诚信履约的，未能按要求提供书面说明或者提交相关证明材料，不能证明其报价合理性的;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13.16《投标报价明细表》填写不完整或字迹不能辨认或有漏项的；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13.17投标人对根据修正原则修正后的报价不确认的；</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13.18投标人提供虚假材料投标的（包括但不限于以下情节）；</w:t>
      </w:r>
    </w:p>
    <w:p>
      <w:pPr>
        <w:spacing w:line="360" w:lineRule="auto"/>
        <w:ind w:left="479" w:leftChars="228"/>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13.18.1使用伪造、变造的许可证件；</w:t>
      </w:r>
      <w:r>
        <w:rPr>
          <w:rFonts w:hint="eastAsia" w:ascii="仿宋" w:hAnsi="仿宋" w:eastAsia="仿宋" w:cs="仿宋_GB2312"/>
          <w:color w:val="auto"/>
          <w:sz w:val="24"/>
          <w:szCs w:val="21"/>
          <w:highlight w:val="none"/>
        </w:rPr>
        <w:br w:type="textWrapping"/>
      </w:r>
      <w:r>
        <w:rPr>
          <w:rFonts w:hint="eastAsia" w:ascii="仿宋" w:hAnsi="仿宋" w:eastAsia="仿宋" w:cs="仿宋_GB2312"/>
          <w:color w:val="auto"/>
          <w:sz w:val="24"/>
          <w:szCs w:val="21"/>
          <w:highlight w:val="none"/>
        </w:rPr>
        <w:t>13.18.2提供虚假的财务状况或者业绩；</w:t>
      </w:r>
      <w:r>
        <w:rPr>
          <w:rFonts w:hint="eastAsia" w:ascii="仿宋" w:hAnsi="仿宋" w:eastAsia="仿宋" w:cs="仿宋_GB2312"/>
          <w:color w:val="auto"/>
          <w:sz w:val="24"/>
          <w:szCs w:val="21"/>
          <w:highlight w:val="none"/>
        </w:rPr>
        <w:br w:type="textWrapping"/>
      </w:r>
      <w:r>
        <w:rPr>
          <w:rFonts w:hint="eastAsia" w:ascii="仿宋" w:hAnsi="仿宋" w:eastAsia="仿宋" w:cs="仿宋_GB2312"/>
          <w:color w:val="auto"/>
          <w:sz w:val="24"/>
          <w:szCs w:val="21"/>
          <w:highlight w:val="none"/>
        </w:rPr>
        <w:t>13.18.3提供虚假的项目负责人或者主要技术人员简历、劳动关系证明；</w:t>
      </w:r>
      <w:r>
        <w:rPr>
          <w:rFonts w:hint="eastAsia" w:ascii="仿宋" w:hAnsi="仿宋" w:eastAsia="仿宋" w:cs="仿宋_GB2312"/>
          <w:color w:val="auto"/>
          <w:sz w:val="24"/>
          <w:szCs w:val="21"/>
          <w:highlight w:val="none"/>
        </w:rPr>
        <w:br w:type="textWrapping"/>
      </w:r>
      <w:r>
        <w:rPr>
          <w:rFonts w:hint="eastAsia" w:ascii="仿宋" w:hAnsi="仿宋" w:eastAsia="仿宋" w:cs="仿宋_GB2312"/>
          <w:color w:val="auto"/>
          <w:sz w:val="24"/>
          <w:szCs w:val="21"/>
          <w:highlight w:val="none"/>
        </w:rPr>
        <w:t>13.18.4提供虚假的信用状况；</w:t>
      </w:r>
      <w:r>
        <w:rPr>
          <w:rFonts w:hint="eastAsia" w:ascii="仿宋" w:hAnsi="仿宋" w:eastAsia="仿宋" w:cs="仿宋_GB2312"/>
          <w:color w:val="auto"/>
          <w:sz w:val="24"/>
          <w:szCs w:val="21"/>
          <w:highlight w:val="none"/>
        </w:rPr>
        <w:br w:type="textWrapping"/>
      </w:r>
      <w:r>
        <w:rPr>
          <w:rFonts w:ascii="仿宋" w:hAnsi="仿宋" w:eastAsia="仿宋" w:cs="仿宋_GB2312"/>
          <w:color w:val="auto"/>
          <w:sz w:val="24"/>
          <w:szCs w:val="21"/>
          <w:highlight w:val="none"/>
        </w:rPr>
        <w:t>13.</w:t>
      </w:r>
      <w:r>
        <w:rPr>
          <w:rFonts w:hint="eastAsia" w:ascii="仿宋" w:hAnsi="仿宋" w:eastAsia="仿宋" w:cs="仿宋_GB2312"/>
          <w:color w:val="auto"/>
          <w:sz w:val="24"/>
          <w:szCs w:val="21"/>
          <w:highlight w:val="none"/>
        </w:rPr>
        <w:t>18</w:t>
      </w:r>
      <w:r>
        <w:rPr>
          <w:rFonts w:ascii="仿宋" w:hAnsi="仿宋" w:eastAsia="仿宋" w:cs="仿宋_GB2312"/>
          <w:color w:val="auto"/>
          <w:sz w:val="24"/>
          <w:szCs w:val="21"/>
          <w:highlight w:val="none"/>
        </w:rPr>
        <w:t>.</w:t>
      </w:r>
      <w:r>
        <w:rPr>
          <w:rFonts w:hint="eastAsia" w:ascii="仿宋" w:hAnsi="仿宋" w:eastAsia="仿宋" w:cs="仿宋_GB2312"/>
          <w:color w:val="auto"/>
          <w:sz w:val="24"/>
          <w:szCs w:val="21"/>
          <w:highlight w:val="none"/>
        </w:rPr>
        <w:t>5其他弄虚作假的行为。</w:t>
      </w:r>
      <w:r>
        <w:rPr>
          <w:rFonts w:hint="eastAsia" w:ascii="仿宋" w:hAnsi="仿宋" w:eastAsia="仿宋" w:cs="仿宋_GB2312"/>
          <w:color w:val="auto"/>
          <w:sz w:val="24"/>
          <w:szCs w:val="21"/>
          <w:highlight w:val="none"/>
        </w:rPr>
        <w:br w:type="textWrapping"/>
      </w:r>
      <w:r>
        <w:rPr>
          <w:rFonts w:hint="eastAsia" w:ascii="仿宋" w:hAnsi="仿宋" w:eastAsia="仿宋" w:cs="仿宋_GB2312"/>
          <w:color w:val="auto"/>
          <w:sz w:val="24"/>
          <w:szCs w:val="21"/>
          <w:highlight w:val="none"/>
        </w:rPr>
        <w:t>13.19投标人有恶意串通、妨碍其他投标人的竞争行为、损害采购人或者其</w:t>
      </w:r>
    </w:p>
    <w:p>
      <w:pPr>
        <w:spacing w:line="360" w:lineRule="auto"/>
        <w:rPr>
          <w:rFonts w:eastAsia="仿宋"/>
          <w:color w:val="auto"/>
          <w:highlight w:val="none"/>
        </w:rPr>
      </w:pPr>
      <w:r>
        <w:rPr>
          <w:rFonts w:hint="eastAsia" w:ascii="仿宋" w:hAnsi="仿宋" w:eastAsia="仿宋" w:cs="仿宋_GB2312"/>
          <w:color w:val="auto"/>
          <w:sz w:val="24"/>
          <w:szCs w:val="21"/>
          <w:highlight w:val="none"/>
        </w:rPr>
        <w:t>他投标人的合法权益情形的；有下列情形之一的，属于或视为恶意串通，其投标无效；</w:t>
      </w:r>
    </w:p>
    <w:p>
      <w:pPr>
        <w:spacing w:line="360" w:lineRule="auto"/>
        <w:ind w:firstLine="480" w:firstLineChars="200"/>
        <w:rPr>
          <w:color w:val="auto"/>
          <w:highlight w:val="none"/>
        </w:rPr>
      </w:pPr>
      <w:r>
        <w:rPr>
          <w:rFonts w:hint="eastAsia" w:ascii="仿宋" w:hAnsi="仿宋" w:eastAsia="仿宋" w:cs="仿宋_GB2312"/>
          <w:color w:val="auto"/>
          <w:sz w:val="24"/>
          <w:szCs w:val="21"/>
          <w:highlight w:val="none"/>
        </w:rPr>
        <w:t>13.19.1供应商直接或者间接从采购人或者采购代理机构处获得其他供应商的相关情况并修改其投标文件或者响应文件；</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13.19.2供应商按照采购人或者采购代理机构的授意撤换、修改投标文件或者响应文件；</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13.19.3供应商之间协商报价、技术方案等投标文件或者响应文件的实质性内容；</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13.19.4属于同一集团、协会、商会等组织成员的供应商按照该组织要求协同参加政府采购活动；</w:t>
      </w:r>
    </w:p>
    <w:p>
      <w:pPr>
        <w:spacing w:line="360" w:lineRule="auto"/>
        <w:ind w:firstLine="480" w:firstLineChars="200"/>
        <w:rPr>
          <w:color w:val="auto"/>
          <w:highlight w:val="none"/>
        </w:rPr>
      </w:pPr>
      <w:r>
        <w:rPr>
          <w:rFonts w:hint="eastAsia" w:ascii="仿宋" w:hAnsi="仿宋" w:eastAsia="仿宋" w:cs="仿宋_GB2312"/>
          <w:color w:val="auto"/>
          <w:sz w:val="24"/>
          <w:szCs w:val="21"/>
          <w:highlight w:val="none"/>
        </w:rPr>
        <w:t>13.19.5供应商之间事先约定由某一特定供应商中标、成交；</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13.19.6供应商之间商定部分供应商放弃参加政府采购活动或者放弃中标、成交；</w:t>
      </w:r>
    </w:p>
    <w:p>
      <w:pPr>
        <w:spacing w:line="360" w:lineRule="auto"/>
        <w:ind w:firstLine="480" w:firstLineChars="200"/>
        <w:rPr>
          <w:color w:val="auto"/>
          <w:highlight w:val="none"/>
        </w:rPr>
      </w:pPr>
      <w:r>
        <w:rPr>
          <w:rFonts w:hint="eastAsia" w:ascii="仿宋" w:hAnsi="仿宋" w:eastAsia="仿宋" w:cs="仿宋_GB2312"/>
          <w:color w:val="auto"/>
          <w:sz w:val="24"/>
          <w:szCs w:val="21"/>
          <w:highlight w:val="none"/>
        </w:rPr>
        <w:t>13.19.7供应商与采购人或者采购代理机构之间、供应商相互之间，为谋求特定供应商中标、成交或者排斥其他供应商的其他串通行为。</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13.19.8不同投标人的投标文件由同一单位或者个人编制；</w:t>
      </w:r>
    </w:p>
    <w:p>
      <w:pPr>
        <w:spacing w:line="360" w:lineRule="auto"/>
        <w:ind w:firstLine="480" w:firstLineChars="200"/>
        <w:rPr>
          <w:color w:val="auto"/>
          <w:highlight w:val="none"/>
        </w:rPr>
      </w:pPr>
      <w:r>
        <w:rPr>
          <w:rFonts w:hint="eastAsia" w:ascii="仿宋" w:hAnsi="仿宋" w:eastAsia="仿宋" w:cs="仿宋_GB2312"/>
          <w:color w:val="auto"/>
          <w:sz w:val="24"/>
          <w:szCs w:val="21"/>
          <w:highlight w:val="none"/>
        </w:rPr>
        <w:t>13.19.9不同投标人委托同一单位或者个人办理投标事宜；</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13.19.10不同投标人的投标文件载明的项目管理成员或者联系人员为同一人；</w:t>
      </w:r>
    </w:p>
    <w:p>
      <w:pPr>
        <w:spacing w:line="360" w:lineRule="auto"/>
        <w:ind w:firstLine="480" w:firstLineChars="200"/>
        <w:rPr>
          <w:rFonts w:ascii="仿宋" w:hAnsi="仿宋" w:eastAsia="仿宋" w:cs="仿宋_GB2312"/>
          <w:color w:val="auto"/>
          <w:sz w:val="24"/>
          <w:szCs w:val="21"/>
          <w:highlight w:val="none"/>
        </w:rPr>
      </w:pPr>
      <w:r>
        <w:rPr>
          <w:rFonts w:hint="eastAsia" w:ascii="仿宋" w:hAnsi="仿宋" w:eastAsia="仿宋" w:cs="仿宋_GB2312"/>
          <w:color w:val="auto"/>
          <w:sz w:val="24"/>
          <w:szCs w:val="21"/>
          <w:highlight w:val="none"/>
        </w:rPr>
        <w:t>13.19.11不同投标人的投标文件异常一致或者投标报价呈规律性差异。</w:t>
      </w:r>
    </w:p>
    <w:p>
      <w:pPr>
        <w:spacing w:line="360" w:lineRule="auto"/>
        <w:ind w:firstLine="480" w:firstLineChars="200"/>
        <w:rPr>
          <w:color w:val="auto"/>
          <w:highlight w:val="none"/>
        </w:rPr>
      </w:pPr>
      <w:r>
        <w:rPr>
          <w:rFonts w:hint="eastAsia" w:ascii="仿宋" w:hAnsi="仿宋" w:eastAsia="仿宋" w:cs="仿宋_GB2312"/>
          <w:color w:val="auto"/>
          <w:sz w:val="24"/>
          <w:szCs w:val="21"/>
          <w:highlight w:val="none"/>
        </w:rPr>
        <w:t>13.20法律、法规、规章（适用本市的）及省级以上规范性文件（适用本市的）规定的其他无效情形。</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五、评标报告</w:t>
      </w:r>
    </w:p>
    <w:p>
      <w:pPr>
        <w:pStyle w:val="23"/>
        <w:ind w:firstLine="482"/>
        <w:rPr>
          <w:rFonts w:ascii="仿宋" w:hAnsi="仿宋" w:eastAsia="仿宋" w:cs="仿宋_GB2312"/>
          <w:color w:val="auto"/>
          <w:szCs w:val="24"/>
          <w:highlight w:val="none"/>
        </w:rPr>
      </w:pPr>
      <w:r>
        <w:rPr>
          <w:rFonts w:hint="eastAsia" w:ascii="仿宋" w:hAnsi="仿宋" w:eastAsia="仿宋" w:cs="仿宋_GB2312"/>
          <w:b/>
          <w:color w:val="auto"/>
          <w:szCs w:val="24"/>
          <w:highlight w:val="none"/>
        </w:rPr>
        <w:t>14.</w:t>
      </w:r>
      <w:r>
        <w:rPr>
          <w:rFonts w:ascii="仿宋" w:hAnsi="仿宋" w:eastAsia="仿宋" w:cs="仿宋_GB2312"/>
          <w:b/>
          <w:color w:val="auto"/>
          <w:szCs w:val="24"/>
          <w:highlight w:val="none"/>
        </w:rPr>
        <w:t xml:space="preserve"> 评标报告</w:t>
      </w:r>
      <w:r>
        <w:rPr>
          <w:rFonts w:hint="eastAsia" w:ascii="仿宋" w:hAnsi="仿宋" w:eastAsia="仿宋" w:cs="仿宋_GB2312"/>
          <w:b/>
          <w:color w:val="auto"/>
          <w:szCs w:val="24"/>
          <w:highlight w:val="none"/>
        </w:rPr>
        <w:t>与推荐</w:t>
      </w:r>
      <w:r>
        <w:rPr>
          <w:rFonts w:ascii="仿宋" w:hAnsi="仿宋" w:eastAsia="仿宋" w:cs="仿宋_GB2312"/>
          <w:b/>
          <w:color w:val="auto"/>
          <w:szCs w:val="24"/>
          <w:highlight w:val="none"/>
        </w:rPr>
        <w:t>中标候选人</w:t>
      </w:r>
      <w:r>
        <w:rPr>
          <w:rFonts w:hint="eastAsia" w:ascii="仿宋" w:hAnsi="仿宋" w:eastAsia="仿宋" w:cs="仿宋_GB2312"/>
          <w:b/>
          <w:color w:val="auto"/>
          <w:szCs w:val="24"/>
          <w:highlight w:val="none"/>
        </w:rPr>
        <w:t>。</w:t>
      </w:r>
      <w:r>
        <w:rPr>
          <w:rFonts w:ascii="仿宋" w:hAnsi="仿宋" w:eastAsia="仿宋" w:cs="仿宋_GB2312"/>
          <w:color w:val="auto"/>
          <w:szCs w:val="24"/>
          <w:highlight w:val="none"/>
        </w:rPr>
        <w:t>评标委员会根据全体评标成员签字的原始评标记录和评标结果编写评标报告</w:t>
      </w:r>
      <w:r>
        <w:rPr>
          <w:rFonts w:hint="eastAsia" w:ascii="仿宋" w:hAnsi="仿宋" w:eastAsia="仿宋" w:cs="仿宋_GB2312"/>
          <w:color w:val="auto"/>
          <w:szCs w:val="24"/>
          <w:highlight w:val="none"/>
        </w:rPr>
        <w:t>，</w:t>
      </w:r>
      <w:r>
        <w:rPr>
          <w:rFonts w:ascii="仿宋" w:hAnsi="仿宋" w:eastAsia="仿宋" w:cs="仿宋_GB2312"/>
          <w:color w:val="auto"/>
          <w:szCs w:val="24"/>
          <w:highlight w:val="none"/>
        </w:rPr>
        <w:t>并</w:t>
      </w:r>
      <w:r>
        <w:rPr>
          <w:rFonts w:hint="eastAsia" w:ascii="仿宋" w:hAnsi="仿宋" w:eastAsia="仿宋" w:cs="仿宋_GB2312"/>
          <w:color w:val="auto"/>
          <w:szCs w:val="24"/>
          <w:highlight w:val="none"/>
        </w:rPr>
        <w:t>推荐</w:t>
      </w:r>
      <w:r>
        <w:rPr>
          <w:rFonts w:ascii="仿宋" w:hAnsi="仿宋" w:eastAsia="仿宋" w:cs="仿宋_GB2312"/>
          <w:color w:val="auto"/>
          <w:szCs w:val="24"/>
          <w:highlight w:val="none"/>
        </w:rPr>
        <w:t>中标候选人</w:t>
      </w:r>
      <w:r>
        <w:rPr>
          <w:rFonts w:hint="eastAsia" w:ascii="仿宋" w:hAnsi="仿宋" w:eastAsia="仿宋" w:cs="仿宋_GB2312"/>
          <w:color w:val="auto"/>
          <w:szCs w:val="24"/>
          <w:highlight w:val="none"/>
        </w:rPr>
        <w:t>，评审</w:t>
      </w:r>
      <w:r>
        <w:rPr>
          <w:rFonts w:ascii="仿宋" w:hAnsi="仿宋" w:eastAsia="仿宋" w:cs="仿宋_GB2312"/>
          <w:color w:val="auto"/>
          <w:szCs w:val="24"/>
          <w:highlight w:val="none"/>
        </w:rPr>
        <w:t>报告由</w:t>
      </w:r>
      <w:r>
        <w:rPr>
          <w:rFonts w:hint="eastAsia" w:ascii="仿宋" w:hAnsi="仿宋" w:eastAsia="仿宋" w:cs="仿宋_GB2312"/>
          <w:color w:val="auto"/>
          <w:szCs w:val="24"/>
          <w:highlight w:val="none"/>
        </w:rPr>
        <w:t>评标委员会</w:t>
      </w:r>
      <w:r>
        <w:rPr>
          <w:rFonts w:ascii="仿宋" w:hAnsi="仿宋" w:eastAsia="仿宋" w:cs="仿宋_GB2312"/>
          <w:color w:val="auto"/>
          <w:szCs w:val="24"/>
          <w:highlight w:val="none"/>
        </w:rPr>
        <w:t>成员签字</w:t>
      </w:r>
      <w:r>
        <w:rPr>
          <w:rFonts w:hint="eastAsia" w:ascii="仿宋" w:hAnsi="仿宋" w:eastAsia="仿宋" w:cs="仿宋_GB2312"/>
          <w:color w:val="auto"/>
          <w:szCs w:val="24"/>
          <w:highlight w:val="none"/>
        </w:rPr>
        <w:t>确认提交</w:t>
      </w:r>
      <w:r>
        <w:rPr>
          <w:rFonts w:ascii="仿宋" w:hAnsi="仿宋" w:eastAsia="仿宋" w:cs="仿宋_GB2312"/>
          <w:color w:val="auto"/>
          <w:szCs w:val="24"/>
          <w:highlight w:val="none"/>
        </w:rPr>
        <w:t>。</w:t>
      </w:r>
    </w:p>
    <w:p>
      <w:pPr>
        <w:widowControl/>
        <w:spacing w:before="100" w:beforeAutospacing="1" w:after="100" w:afterAutospacing="1" w:line="360" w:lineRule="auto"/>
        <w:ind w:firstLine="482" w:firstLineChars="200"/>
        <w:jc w:val="left"/>
        <w:rPr>
          <w:color w:val="auto"/>
          <w:highlight w:val="none"/>
        </w:rPr>
      </w:pPr>
      <w:r>
        <w:rPr>
          <w:rFonts w:hint="eastAsia" w:ascii="仿宋" w:hAnsi="仿宋" w:eastAsia="仿宋" w:cs="仿宋_GB2312"/>
          <w:b/>
          <w:color w:val="auto"/>
          <w:sz w:val="24"/>
          <w:highlight w:val="none"/>
        </w:rPr>
        <w:t>15.</w:t>
      </w:r>
      <w:r>
        <w:rPr>
          <w:rFonts w:ascii="仿宋" w:hAnsi="仿宋" w:eastAsia="仿宋" w:cs="仿宋_GB2312"/>
          <w:b/>
          <w:color w:val="auto"/>
          <w:sz w:val="24"/>
          <w:highlight w:val="none"/>
        </w:rPr>
        <w:t xml:space="preserve"> </w:t>
      </w:r>
      <w:r>
        <w:rPr>
          <w:rFonts w:hint="eastAsia" w:ascii="仿宋" w:hAnsi="仿宋" w:eastAsia="仿宋" w:cs="仿宋_GB2312"/>
          <w:b/>
          <w:color w:val="auto"/>
          <w:sz w:val="24"/>
          <w:highlight w:val="none"/>
        </w:rPr>
        <w:t>评标争议</w:t>
      </w:r>
      <w:r>
        <w:rPr>
          <w:rFonts w:ascii="仿宋" w:hAnsi="仿宋" w:eastAsia="仿宋" w:cs="仿宋_GB2312"/>
          <w:b/>
          <w:color w:val="auto"/>
          <w:sz w:val="24"/>
          <w:highlight w:val="none"/>
        </w:rPr>
        <w:t>事项</w:t>
      </w:r>
      <w:r>
        <w:rPr>
          <w:rFonts w:hint="eastAsia" w:ascii="仿宋" w:hAnsi="仿宋" w:eastAsia="仿宋" w:cs="仿宋_GB2312"/>
          <w:b/>
          <w:color w:val="auto"/>
          <w:sz w:val="24"/>
          <w:highlight w:val="none"/>
        </w:rPr>
        <w:t>处理。</w:t>
      </w:r>
      <w:r>
        <w:rPr>
          <w:rFonts w:ascii="仿宋" w:hAnsi="仿宋" w:eastAsia="仿宋" w:cs="仿宋_GB2312"/>
          <w:color w:val="auto"/>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六、 废标</w:t>
      </w:r>
    </w:p>
    <w:p>
      <w:pPr>
        <w:pStyle w:val="7"/>
        <w:snapToGrid w:val="0"/>
        <w:spacing w:line="360" w:lineRule="auto"/>
        <w:ind w:firstLine="482"/>
        <w:rPr>
          <w:rFonts w:ascii="仿宋" w:hAnsi="仿宋" w:eastAsia="仿宋" w:cs="仿宋_GB2312"/>
          <w:color w:val="auto"/>
          <w:highlight w:val="none"/>
        </w:rPr>
      </w:pPr>
      <w:r>
        <w:rPr>
          <w:rFonts w:hint="eastAsia" w:ascii="仿宋" w:hAnsi="仿宋" w:eastAsia="仿宋" w:cs="仿宋_GB2312"/>
          <w:b/>
          <w:color w:val="auto"/>
          <w:highlight w:val="none"/>
        </w:rPr>
        <w:t>16.废标。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16.1符合专业条件的供应商或者对招标文件作实质响应的供应商不足3家的；</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16.2出现影响采购公正的违法、违规行为的；</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16.3投标人的报价均超过了采购预算，采购人不能支付的；</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16.4因重大变故，采购任务取消的。</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废标后，采购代理机构应当将废标理由通知所有投标人。</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 重新组织采购</w:t>
      </w:r>
    </w:p>
    <w:p>
      <w:pPr>
        <w:pStyle w:val="7"/>
        <w:snapToGrid w:val="0"/>
        <w:spacing w:line="360" w:lineRule="auto"/>
        <w:ind w:firstLine="482"/>
        <w:rPr>
          <w:rFonts w:ascii="仿宋" w:hAnsi="仿宋" w:eastAsia="仿宋" w:cs="仿宋_GB2312"/>
          <w:color w:val="auto"/>
          <w:highlight w:val="none"/>
        </w:rPr>
      </w:pPr>
      <w:r>
        <w:rPr>
          <w:rFonts w:hint="eastAsia" w:ascii="仿宋" w:hAnsi="仿宋" w:eastAsia="仿宋" w:cs="仿宋_GB2312"/>
          <w:b/>
          <w:color w:val="auto"/>
          <w:highlight w:val="none"/>
        </w:rPr>
        <w:t>17.修改招标文件，重新组织采购活动。</w:t>
      </w: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7"/>
        <w:snapToGrid w:val="0"/>
        <w:spacing w:line="360" w:lineRule="auto"/>
        <w:ind w:firstLine="482"/>
        <w:rPr>
          <w:rFonts w:ascii="仿宋" w:hAnsi="仿宋" w:eastAsia="仿宋" w:cs="仿宋_GB2312"/>
          <w:color w:val="auto"/>
          <w:highlight w:val="none"/>
        </w:rPr>
      </w:pPr>
      <w:r>
        <w:rPr>
          <w:rFonts w:hint="eastAsia" w:ascii="仿宋" w:hAnsi="仿宋" w:eastAsia="仿宋" w:cs="Helvetica"/>
          <w:b/>
          <w:color w:val="auto"/>
          <w:kern w:val="0"/>
          <w:highlight w:val="none"/>
        </w:rPr>
        <w:t>18.重新开展采购。</w:t>
      </w: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18.1未确定中标或者成交供应商的，终止本次政府采购活动，重新开展政府采购活动。</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18.3政府采购合同已签订但尚未履行的，撤销合同，从合格的中标或者成交候选人中另行确定中标或者成交供应商；没有合格的中标或者成交候选人的，重新开展政府采购活动。</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18.4政府采购合同已经履行，给采购人、供应商造成损失的，由责任人承担赔偿责任。</w:t>
      </w:r>
    </w:p>
    <w:p>
      <w:pPr>
        <w:pStyle w:val="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八、评审过程的保密与录像</w:t>
      </w:r>
    </w:p>
    <w:p>
      <w:pPr>
        <w:widowControl/>
        <w:spacing w:line="360" w:lineRule="auto"/>
        <w:ind w:firstLine="482" w:firstLineChars="200"/>
        <w:rPr>
          <w:rFonts w:ascii="仿宋" w:hAnsi="仿宋" w:eastAsia="仿宋" w:cs="仿宋_GB2312"/>
          <w:color w:val="auto"/>
          <w:sz w:val="24"/>
          <w:highlight w:val="none"/>
        </w:rPr>
      </w:pPr>
      <w:r>
        <w:rPr>
          <w:rFonts w:hint="eastAsia" w:ascii="仿宋" w:hAnsi="仿宋" w:eastAsia="仿宋" w:cs="仿宋_GB2312"/>
          <w:b/>
          <w:color w:val="auto"/>
          <w:sz w:val="24"/>
          <w:highlight w:val="none"/>
        </w:rPr>
        <w:t>19.保密。</w:t>
      </w:r>
      <w:r>
        <w:rPr>
          <w:rFonts w:ascii="仿宋" w:hAnsi="仿宋" w:eastAsia="仿宋" w:cs="仿宋_GB2312"/>
          <w:color w:val="auto"/>
          <w:sz w:val="24"/>
          <w:highlight w:val="none"/>
        </w:rPr>
        <w:t>评审活动在严格保密的情况下进行。评审过程中凡是与采购响应文件评审和比较、中标成交供应商推荐等评审有关的情况，以及涉及国家秘密和商业秘密等信息，评审委员会成员、采购人和</w:t>
      </w:r>
      <w:r>
        <w:rPr>
          <w:rFonts w:hint="eastAsia" w:ascii="仿宋" w:hAnsi="仿宋" w:eastAsia="仿宋" w:cs="仿宋_GB2312"/>
          <w:color w:val="auto"/>
          <w:sz w:val="24"/>
          <w:highlight w:val="none"/>
        </w:rPr>
        <w:t>采购代理机构</w:t>
      </w:r>
      <w:r>
        <w:rPr>
          <w:rFonts w:ascii="仿宋" w:hAnsi="仿宋" w:eastAsia="仿宋" w:cs="仿宋_GB2312"/>
          <w:color w:val="auto"/>
          <w:sz w:val="24"/>
          <w:highlight w:val="none"/>
        </w:rPr>
        <w:t>工作人员、相关监督人员等与评审有关的人员应当予以保密。</w:t>
      </w:r>
    </w:p>
    <w:p>
      <w:pPr>
        <w:widowControl/>
        <w:spacing w:line="360" w:lineRule="auto"/>
        <w:ind w:firstLine="482" w:firstLineChars="200"/>
        <w:rPr>
          <w:color w:val="auto"/>
          <w:highlight w:val="none"/>
        </w:rPr>
      </w:pPr>
      <w:r>
        <w:rPr>
          <w:rFonts w:hint="eastAsia" w:ascii="仿宋" w:hAnsi="仿宋" w:eastAsia="仿宋" w:cs="仿宋_GB2312"/>
          <w:b/>
          <w:color w:val="auto"/>
          <w:sz w:val="24"/>
          <w:highlight w:val="none"/>
        </w:rPr>
        <w:t>20.录音录像。</w:t>
      </w:r>
      <w:r>
        <w:rPr>
          <w:rFonts w:hint="eastAsia" w:ascii="仿宋" w:hAnsi="仿宋" w:eastAsia="仿宋" w:cs="仿宋_GB2312"/>
          <w:color w:val="auto"/>
          <w:sz w:val="24"/>
          <w:highlight w:val="none"/>
        </w:rPr>
        <w:t>采购代理机构对评审工作现场进行全过程录音录像，录音录像资料作为采购项目文件随其他文件一并存档。</w:t>
      </w:r>
    </w:p>
    <w:p>
      <w:pPr>
        <w:snapToGrid w:val="0"/>
        <w:spacing w:line="360" w:lineRule="auto"/>
        <w:jc w:val="center"/>
        <w:rPr>
          <w:rFonts w:hint="eastAsia" w:ascii="仿宋" w:hAnsi="仿宋" w:eastAsia="仿宋" w:cs="仿宋_GB2312"/>
          <w:b/>
          <w:color w:val="auto"/>
          <w:sz w:val="32"/>
          <w:highlight w:val="none"/>
        </w:rPr>
      </w:pP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九、具体评标标准</w:t>
      </w:r>
    </w:p>
    <w:p>
      <w:pPr>
        <w:autoSpaceDE w:val="0"/>
        <w:autoSpaceDN w:val="0"/>
        <w:spacing w:line="460" w:lineRule="exact"/>
        <w:ind w:firstLine="482" w:firstLineChars="200"/>
        <w:rPr>
          <w:rFonts w:ascii="仿宋" w:hAnsi="仿宋" w:eastAsia="仿宋"/>
          <w:b/>
          <w:color w:val="auto"/>
          <w:sz w:val="24"/>
          <w:highlight w:val="none"/>
        </w:rPr>
      </w:pPr>
      <w:r>
        <w:rPr>
          <w:rFonts w:hint="eastAsia" w:ascii="仿宋" w:hAnsi="仿宋" w:eastAsia="仿宋" w:cs="仿宋_GB2312"/>
          <w:b/>
          <w:color w:val="auto"/>
          <w:sz w:val="24"/>
          <w:highlight w:val="none"/>
        </w:rPr>
        <w:t>21.</w:t>
      </w:r>
      <w:r>
        <w:rPr>
          <w:rFonts w:hint="eastAsia" w:ascii="仿宋" w:hAnsi="仿宋" w:eastAsia="仿宋"/>
          <w:b/>
          <w:color w:val="auto"/>
          <w:sz w:val="24"/>
          <w:highlight w:val="none"/>
        </w:rPr>
        <w:t>本项目采用综合评分法</w:t>
      </w:r>
      <w:r>
        <w:rPr>
          <w:rFonts w:hint="eastAsia" w:ascii="仿宋" w:hAnsi="仿宋" w:eastAsia="仿宋"/>
          <w:color w:val="auto"/>
          <w:sz w:val="24"/>
          <w:highlight w:val="none"/>
        </w:rPr>
        <w:t>，各投标人的综合得分为：投标价格得分+商务技术得分之和，</w:t>
      </w:r>
      <w:r>
        <w:rPr>
          <w:rFonts w:hint="eastAsia" w:ascii="仿宋" w:hAnsi="仿宋" w:eastAsia="仿宋"/>
          <w:b/>
          <w:color w:val="auto"/>
          <w:sz w:val="24"/>
          <w:highlight w:val="none"/>
        </w:rPr>
        <w:t>总和为</w:t>
      </w:r>
      <w:r>
        <w:rPr>
          <w:rFonts w:hint="eastAsia" w:ascii="仿宋" w:hAnsi="仿宋" w:eastAsia="仿宋"/>
          <w:b/>
          <w:color w:val="auto"/>
          <w:sz w:val="24"/>
          <w:highlight w:val="none"/>
          <w:u w:val="single"/>
        </w:rPr>
        <w:t>100</w:t>
      </w:r>
      <w:r>
        <w:rPr>
          <w:rFonts w:hint="eastAsia" w:ascii="仿宋" w:hAnsi="仿宋" w:eastAsia="仿宋"/>
          <w:b/>
          <w:color w:val="auto"/>
          <w:sz w:val="24"/>
          <w:highlight w:val="none"/>
        </w:rPr>
        <w:t>分</w:t>
      </w:r>
      <w:r>
        <w:rPr>
          <w:rFonts w:hint="eastAsia" w:ascii="仿宋" w:hAnsi="仿宋" w:eastAsia="仿宋"/>
          <w:color w:val="auto"/>
          <w:sz w:val="24"/>
          <w:highlight w:val="none"/>
        </w:rPr>
        <w:t>，其中：</w:t>
      </w:r>
      <w:r>
        <w:rPr>
          <w:rFonts w:hint="eastAsia" w:ascii="仿宋" w:hAnsi="仿宋" w:eastAsia="仿宋"/>
          <w:b/>
          <w:color w:val="auto"/>
          <w:sz w:val="24"/>
          <w:highlight w:val="none"/>
        </w:rPr>
        <w:t>投标价格得分</w:t>
      </w:r>
      <w:r>
        <w:rPr>
          <w:rFonts w:hint="eastAsia" w:ascii="仿宋" w:hAnsi="仿宋" w:eastAsia="仿宋"/>
          <w:b/>
          <w:color w:val="auto"/>
          <w:sz w:val="24"/>
          <w:highlight w:val="none"/>
          <w:u w:val="single"/>
        </w:rPr>
        <w:t>30</w:t>
      </w:r>
      <w:r>
        <w:rPr>
          <w:rFonts w:hint="eastAsia" w:ascii="仿宋" w:hAnsi="仿宋" w:eastAsia="仿宋"/>
          <w:b/>
          <w:color w:val="auto"/>
          <w:sz w:val="24"/>
          <w:highlight w:val="none"/>
        </w:rPr>
        <w:t>分，商务</w:t>
      </w:r>
      <w:r>
        <w:rPr>
          <w:rFonts w:hint="eastAsia" w:ascii="仿宋" w:hAnsi="仿宋" w:eastAsia="仿宋"/>
          <w:b/>
          <w:bCs/>
          <w:color w:val="auto"/>
          <w:sz w:val="24"/>
          <w:highlight w:val="none"/>
        </w:rPr>
        <w:t>技术得分</w:t>
      </w:r>
      <w:r>
        <w:rPr>
          <w:rFonts w:hint="eastAsia" w:ascii="仿宋" w:hAnsi="仿宋" w:eastAsia="仿宋"/>
          <w:b/>
          <w:bCs/>
          <w:color w:val="auto"/>
          <w:sz w:val="24"/>
          <w:highlight w:val="none"/>
          <w:u w:val="single"/>
        </w:rPr>
        <w:t>70</w:t>
      </w:r>
      <w:r>
        <w:rPr>
          <w:rFonts w:hint="eastAsia" w:ascii="仿宋" w:hAnsi="仿宋" w:eastAsia="仿宋"/>
          <w:b/>
          <w:color w:val="auto"/>
          <w:sz w:val="24"/>
          <w:highlight w:val="none"/>
        </w:rPr>
        <w:t>分。</w:t>
      </w:r>
    </w:p>
    <w:p>
      <w:pPr>
        <w:tabs>
          <w:tab w:val="left" w:pos="0"/>
        </w:tabs>
        <w:spacing w:line="460" w:lineRule="exact"/>
        <w:ind w:firstLine="482" w:firstLineChars="200"/>
        <w:rPr>
          <w:color w:val="auto"/>
          <w:highlight w:val="none"/>
        </w:rPr>
      </w:pPr>
      <w:r>
        <w:rPr>
          <w:rFonts w:hint="eastAsia" w:ascii="仿宋" w:hAnsi="仿宋" w:eastAsia="仿宋" w:cs="仿宋_GB2312"/>
          <w:b/>
          <w:color w:val="auto"/>
          <w:sz w:val="24"/>
          <w:highlight w:val="none"/>
        </w:rPr>
        <w:t>22.</w:t>
      </w:r>
      <w:r>
        <w:rPr>
          <w:rFonts w:hint="eastAsia" w:ascii="仿宋" w:hAnsi="仿宋" w:eastAsia="仿宋"/>
          <w:b/>
          <w:color w:val="auto"/>
          <w:sz w:val="24"/>
          <w:highlight w:val="none"/>
        </w:rPr>
        <w:t>各投标人的商务技术得分为：评标委员会各成员评分的算术平均值。各投标人的投标价格得分按投标价格评分</w:t>
      </w:r>
      <w:r>
        <w:rPr>
          <w:rFonts w:hint="eastAsia" w:ascii="仿宋" w:hAnsi="仿宋" w:eastAsia="仿宋" w:cs="宋体"/>
          <w:b/>
          <w:color w:val="auto"/>
          <w:kern w:val="0"/>
          <w:sz w:val="24"/>
          <w:highlight w:val="none"/>
        </w:rPr>
        <w:t>公式由采购代理机构计算，</w:t>
      </w:r>
      <w:r>
        <w:rPr>
          <w:rFonts w:hint="eastAsia" w:ascii="仿宋" w:hAnsi="仿宋" w:eastAsia="仿宋"/>
          <w:b/>
          <w:color w:val="auto"/>
          <w:sz w:val="24"/>
          <w:highlight w:val="none"/>
        </w:rPr>
        <w:t>评标委员会审核。</w:t>
      </w:r>
      <w:r>
        <w:rPr>
          <w:rFonts w:hint="eastAsia" w:ascii="仿宋" w:hAnsi="仿宋" w:eastAsia="仿宋"/>
          <w:color w:val="auto"/>
          <w:sz w:val="24"/>
          <w:highlight w:val="none"/>
        </w:rPr>
        <w:t>根据上述评标原则，分值安排如下：</w:t>
      </w:r>
    </w:p>
    <w:p>
      <w:pPr>
        <w:spacing w:line="460" w:lineRule="exact"/>
        <w:ind w:firstLine="482" w:firstLineChars="200"/>
        <w:rPr>
          <w:rFonts w:ascii="仿宋" w:hAnsi="仿宋" w:eastAsia="仿宋"/>
          <w:b/>
          <w:color w:val="auto"/>
          <w:sz w:val="24"/>
          <w:highlight w:val="none"/>
        </w:rPr>
      </w:pPr>
      <w:r>
        <w:rPr>
          <w:rFonts w:hint="eastAsia" w:ascii="仿宋" w:hAnsi="仿宋" w:eastAsia="仿宋"/>
          <w:b/>
          <w:bCs/>
          <w:color w:val="auto"/>
          <w:sz w:val="24"/>
          <w:highlight w:val="none"/>
        </w:rPr>
        <w:t>23.</w:t>
      </w:r>
      <w:r>
        <w:rPr>
          <w:rFonts w:hint="eastAsia" w:ascii="仿宋" w:hAnsi="仿宋" w:eastAsia="仿宋"/>
          <w:b/>
          <w:color w:val="auto"/>
          <w:sz w:val="24"/>
          <w:highlight w:val="none"/>
        </w:rPr>
        <w:t>投标价格（A=30分）：</w:t>
      </w:r>
    </w:p>
    <w:p>
      <w:pPr>
        <w:autoSpaceDE w:val="0"/>
        <w:autoSpaceDN w:val="0"/>
        <w:spacing w:line="460" w:lineRule="exact"/>
        <w:ind w:firstLine="482" w:firstLineChars="200"/>
        <w:rPr>
          <w:rFonts w:ascii="仿宋" w:hAnsi="仿宋" w:eastAsia="仿宋" w:cs="仿宋_GB2312"/>
          <w:color w:val="auto"/>
          <w:sz w:val="24"/>
          <w:highlight w:val="none"/>
          <w:lang w:val="zh-CN"/>
        </w:rPr>
      </w:pPr>
      <w:r>
        <w:rPr>
          <w:rFonts w:hint="eastAsia" w:ascii="仿宋" w:hAnsi="仿宋" w:eastAsia="仿宋" w:cs="仿宋_GB2312"/>
          <w:b/>
          <w:bCs/>
          <w:color w:val="auto"/>
          <w:sz w:val="24"/>
          <w:highlight w:val="none"/>
        </w:rPr>
        <w:t>23.1</w:t>
      </w:r>
      <w:r>
        <w:rPr>
          <w:rFonts w:hint="eastAsia" w:ascii="仿宋" w:hAnsi="仿宋" w:eastAsia="仿宋" w:cs="仿宋_GB2312"/>
          <w:b/>
          <w:bCs/>
          <w:color w:val="auto"/>
          <w:sz w:val="24"/>
          <w:highlight w:val="none"/>
          <w:lang w:val="zh-CN"/>
        </w:rPr>
        <w:t>报价的合理性：</w:t>
      </w:r>
      <w:r>
        <w:rPr>
          <w:rFonts w:hint="eastAsia" w:ascii="仿宋" w:hAnsi="仿宋" w:eastAsia="仿宋" w:cs="仿宋_GB2312"/>
          <w:color w:val="auto"/>
          <w:sz w:val="24"/>
          <w:highlight w:val="none"/>
          <w:lang w:val="zh-CN"/>
        </w:rPr>
        <w:t>分析总报价及各个分项报价是否合理，报价范围是否完整，有否重大错漏项</w:t>
      </w:r>
      <w:r>
        <w:rPr>
          <w:rFonts w:hint="eastAsia" w:ascii="仿宋" w:hAnsi="仿宋" w:eastAsia="仿宋"/>
          <w:color w:val="auto"/>
          <w:sz w:val="24"/>
          <w:highlight w:val="none"/>
        </w:rPr>
        <w:t>，评标委员会认为投标报价出现异常时，有权要求投标人在评标期间对投标报价的详细组成和投标产品的供应渠道等事项作出解释和澄清，并确认其投标报价是否有效</w:t>
      </w:r>
      <w:r>
        <w:rPr>
          <w:rFonts w:hint="eastAsia" w:ascii="仿宋" w:hAnsi="仿宋" w:eastAsia="仿宋" w:cs="仿宋_GB2312"/>
          <w:color w:val="auto"/>
          <w:sz w:val="24"/>
          <w:highlight w:val="none"/>
          <w:lang w:val="zh-CN"/>
        </w:rPr>
        <w:t>。</w:t>
      </w:r>
    </w:p>
    <w:p>
      <w:pPr>
        <w:spacing w:line="460" w:lineRule="exact"/>
        <w:ind w:firstLine="482" w:firstLineChars="200"/>
        <w:rPr>
          <w:rFonts w:ascii="仿宋" w:hAnsi="仿宋" w:eastAsia="仿宋"/>
          <w:color w:val="auto"/>
          <w:sz w:val="24"/>
          <w:highlight w:val="none"/>
        </w:rPr>
      </w:pPr>
      <w:r>
        <w:rPr>
          <w:rFonts w:hint="eastAsia" w:ascii="仿宋" w:hAnsi="仿宋" w:eastAsia="仿宋" w:cs="仿宋_GB2312"/>
          <w:b/>
          <w:bCs/>
          <w:color w:val="auto"/>
          <w:sz w:val="24"/>
          <w:highlight w:val="none"/>
        </w:rPr>
        <w:t>23.2</w:t>
      </w:r>
      <w:r>
        <w:rPr>
          <w:rFonts w:hint="eastAsia" w:ascii="仿宋" w:hAnsi="仿宋" w:eastAsia="仿宋" w:cs="仿宋_GB2312"/>
          <w:b/>
          <w:bCs/>
          <w:color w:val="auto"/>
          <w:sz w:val="24"/>
          <w:highlight w:val="none"/>
          <w:lang w:val="zh-CN"/>
        </w:rPr>
        <w:t>报价分计算方法：</w:t>
      </w:r>
      <w:r>
        <w:rPr>
          <w:rFonts w:hint="eastAsia" w:ascii="仿宋" w:hAnsi="仿宋" w:eastAsia="仿宋" w:cs="仿宋_GB2312"/>
          <w:color w:val="auto"/>
          <w:sz w:val="24"/>
          <w:highlight w:val="none"/>
          <w:lang w:val="zh-CN"/>
        </w:rPr>
        <w:t>根据各投标人的有效投标报价，以满足招标文件要求且有效投标价格的最低的投标报价为评标基准价，其价格分为</w:t>
      </w:r>
      <w:r>
        <w:rPr>
          <w:rFonts w:hint="eastAsia" w:ascii="仿宋" w:hAnsi="仿宋" w:eastAsia="仿宋" w:cs="仿宋_GB2312"/>
          <w:color w:val="auto"/>
          <w:sz w:val="24"/>
          <w:highlight w:val="none"/>
        </w:rPr>
        <w:t>30</w:t>
      </w:r>
      <w:r>
        <w:rPr>
          <w:rFonts w:hint="eastAsia" w:ascii="仿宋" w:hAnsi="仿宋" w:eastAsia="仿宋" w:cs="仿宋_GB2312"/>
          <w:color w:val="auto"/>
          <w:sz w:val="24"/>
          <w:highlight w:val="none"/>
          <w:lang w:val="zh-CN"/>
        </w:rPr>
        <w:t>分。其他投标人的价格分统一按照下列公式计算：投标报价得分＝(评标基准价/有效投标报价)</w:t>
      </w:r>
      <w:r>
        <w:rPr>
          <w:rFonts w:hint="eastAsia" w:ascii="仿宋" w:hAnsi="仿宋" w:eastAsia="仿宋"/>
          <w:color w:val="auto"/>
          <w:sz w:val="24"/>
          <w:highlight w:val="none"/>
        </w:rPr>
        <w:t>×</w:t>
      </w:r>
      <w:r>
        <w:rPr>
          <w:rFonts w:hint="eastAsia" w:ascii="仿宋" w:hAnsi="仿宋" w:eastAsia="仿宋" w:cs="仿宋_GB2312"/>
          <w:color w:val="auto"/>
          <w:sz w:val="24"/>
          <w:highlight w:val="none"/>
          <w:lang w:val="zh-CN"/>
        </w:rPr>
        <w:t>价格权值</w:t>
      </w:r>
      <w:r>
        <w:rPr>
          <w:rFonts w:hint="eastAsia" w:ascii="仿宋" w:hAnsi="仿宋" w:eastAsia="仿宋"/>
          <w:color w:val="auto"/>
          <w:sz w:val="24"/>
          <w:highlight w:val="none"/>
        </w:rPr>
        <w:t>×</w:t>
      </w:r>
      <w:r>
        <w:rPr>
          <w:rFonts w:hint="eastAsia" w:ascii="仿宋" w:hAnsi="仿宋" w:eastAsia="仿宋" w:cs="仿宋_GB2312"/>
          <w:color w:val="auto"/>
          <w:sz w:val="24"/>
          <w:highlight w:val="none"/>
          <w:lang w:val="zh-CN"/>
        </w:rPr>
        <w:t>100(精确到小数点后二位，由采购代理机构当场统一计算)。</w:t>
      </w:r>
    </w:p>
    <w:p>
      <w:pPr>
        <w:snapToGrid w:val="0"/>
        <w:spacing w:line="460" w:lineRule="exact"/>
        <w:ind w:firstLine="482" w:firstLineChars="200"/>
        <w:rPr>
          <w:rFonts w:ascii="仿宋" w:hAnsi="仿宋" w:eastAsia="仿宋"/>
          <w:color w:val="auto"/>
          <w:sz w:val="24"/>
          <w:highlight w:val="none"/>
        </w:rPr>
      </w:pPr>
      <w:bookmarkStart w:id="424" w:name="_Hlk497393397"/>
      <w:r>
        <w:rPr>
          <w:rFonts w:hint="eastAsia" w:ascii="仿宋" w:hAnsi="仿宋" w:eastAsia="仿宋"/>
          <w:b/>
          <w:color w:val="auto"/>
          <w:sz w:val="24"/>
          <w:highlight w:val="none"/>
        </w:rPr>
        <w:t>24.商务技术（B=70分）</w:t>
      </w:r>
      <w:bookmarkEnd w:id="424"/>
      <w:r>
        <w:rPr>
          <w:rFonts w:hint="eastAsia" w:ascii="仿宋" w:hAnsi="仿宋" w:eastAsia="仿宋"/>
          <w:color w:val="auto"/>
          <w:sz w:val="24"/>
          <w:highlight w:val="none"/>
        </w:rPr>
        <w:t>：</w:t>
      </w:r>
    </w:p>
    <w:p>
      <w:pPr>
        <w:snapToGrid w:val="0"/>
        <w:spacing w:line="4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24.1评分细则：</w:t>
      </w:r>
    </w:p>
    <w:tbl>
      <w:tblPr>
        <w:tblStyle w:val="15"/>
        <w:tblW w:w="1006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3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noWrap w:val="0"/>
            <w:vAlign w:val="center"/>
          </w:tcPr>
          <w:p>
            <w:pPr>
              <w:keepNext w:val="0"/>
              <w:keepLines w:val="0"/>
              <w:suppressLineNumbers w:val="0"/>
              <w:spacing w:before="0" w:beforeAutospacing="0" w:after="0" w:afterAutospacing="0" w:line="288" w:lineRule="auto"/>
              <w:ind w:left="0" w:right="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评审因素</w:t>
            </w:r>
          </w:p>
        </w:tc>
        <w:tc>
          <w:tcPr>
            <w:tcW w:w="836" w:type="dxa"/>
            <w:noWrap w:val="0"/>
            <w:vAlign w:val="center"/>
          </w:tcPr>
          <w:p>
            <w:pPr>
              <w:keepNext w:val="0"/>
              <w:keepLines w:val="0"/>
              <w:suppressLineNumbers w:val="0"/>
              <w:spacing w:before="0" w:beforeAutospacing="0" w:after="0" w:afterAutospacing="0" w:line="288" w:lineRule="auto"/>
              <w:ind w:left="0" w:right="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分值</w:t>
            </w:r>
          </w:p>
        </w:tc>
        <w:tc>
          <w:tcPr>
            <w:tcW w:w="7794" w:type="dxa"/>
            <w:noWrap w:val="0"/>
            <w:vAlign w:val="center"/>
          </w:tcPr>
          <w:p>
            <w:pPr>
              <w:keepNext w:val="0"/>
              <w:keepLines w:val="0"/>
              <w:widowControl w:val="0"/>
              <w:suppressLineNumbers w:val="0"/>
              <w:spacing w:before="0" w:beforeAutospacing="0" w:after="0" w:afterAutospacing="0" w:line="288" w:lineRule="auto"/>
              <w:ind w:left="0" w:right="0"/>
              <w:jc w:val="center"/>
              <w:rPr>
                <w:rFonts w:hint="eastAsia" w:ascii="仿宋" w:hAnsi="仿宋" w:eastAsia="仿宋" w:cs="仿宋"/>
                <w:b/>
                <w:color w:val="auto"/>
                <w:spacing w:val="-6"/>
                <w:kern w:val="0"/>
                <w:sz w:val="24"/>
                <w:szCs w:val="24"/>
                <w:highlight w:val="none"/>
                <w:lang w:val="en-US" w:eastAsia="zh-CN" w:bidi="ar-SA"/>
              </w:rPr>
            </w:pPr>
            <w:r>
              <w:rPr>
                <w:rFonts w:hint="eastAsia" w:ascii="仿宋" w:hAnsi="仿宋" w:eastAsia="仿宋" w:cs="仿宋"/>
                <w:b/>
                <w:color w:val="auto"/>
                <w:spacing w:val="-6"/>
                <w:kern w:val="0"/>
                <w:sz w:val="24"/>
                <w:szCs w:val="24"/>
                <w:highlight w:val="none"/>
                <w:lang w:val="en-US" w:eastAsia="zh-CN" w:bidi="ar-SA"/>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63" w:type="dxa"/>
            <w:gridSpan w:val="3"/>
            <w:noWrap w:val="0"/>
            <w:vAlign w:val="center"/>
          </w:tcPr>
          <w:p>
            <w:pPr>
              <w:keepNext w:val="0"/>
              <w:keepLines w:val="0"/>
              <w:widowControl w:val="0"/>
              <w:suppressLineNumbers w:val="0"/>
              <w:spacing w:before="0" w:beforeAutospacing="0" w:after="0" w:afterAutospacing="0" w:line="288" w:lineRule="auto"/>
              <w:ind w:left="0" w:right="0"/>
              <w:jc w:val="left"/>
              <w:rPr>
                <w:rFonts w:hint="eastAsia" w:ascii="仿宋" w:hAnsi="仿宋" w:eastAsia="仿宋" w:cs="仿宋"/>
                <w:b/>
                <w:color w:val="auto"/>
                <w:spacing w:val="-6"/>
                <w:kern w:val="0"/>
                <w:sz w:val="24"/>
                <w:szCs w:val="24"/>
                <w:highlight w:val="none"/>
                <w:lang w:val="en-US" w:eastAsia="zh-CN" w:bidi="ar-SA"/>
              </w:rPr>
            </w:pPr>
            <w:r>
              <w:rPr>
                <w:rFonts w:hint="eastAsia" w:ascii="仿宋" w:hAnsi="仿宋" w:eastAsia="仿宋" w:cs="仿宋"/>
                <w:b/>
                <w:color w:val="auto"/>
                <w:spacing w:val="-6"/>
                <w:kern w:val="0"/>
                <w:sz w:val="24"/>
                <w:szCs w:val="24"/>
                <w:highlight w:val="none"/>
                <w:lang w:val="en-US" w:eastAsia="zh-CN" w:bidi="ar-SA"/>
              </w:rPr>
              <w:t>商务分（3分）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3" w:type="dxa"/>
            <w:noWrap w:val="0"/>
            <w:vAlign w:val="center"/>
          </w:tcPr>
          <w:p>
            <w:pPr>
              <w:keepNext w:val="0"/>
              <w:keepLines w:val="0"/>
              <w:suppressLineNumbers w:val="0"/>
              <w:spacing w:before="0" w:beforeAutospacing="0" w:after="0" w:afterAutospacing="0" w:line="288"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投标人信誉</w:t>
            </w:r>
          </w:p>
          <w:p>
            <w:pPr>
              <w:pStyle w:val="7"/>
              <w:ind w:left="0" w:leftChars="0" w:firstLine="0" w:firstLineChars="0"/>
              <w:jc w:val="center"/>
              <w:rPr>
                <w:rFonts w:hint="eastAsia" w:ascii="仿宋" w:hAnsi="仿宋" w:eastAsia="仿宋" w:cs="仿宋"/>
                <w:color w:val="auto"/>
                <w:sz w:val="24"/>
                <w:szCs w:val="24"/>
                <w:highlight w:val="none"/>
                <w:lang w:eastAsia="zh-CN"/>
              </w:rPr>
            </w:pPr>
            <w:r>
              <w:rPr>
                <w:rFonts w:hint="eastAsia" w:ascii="仿宋" w:hAnsi="仿宋" w:eastAsia="仿宋" w:cs="仿宋"/>
                <w:b/>
                <w:bCs/>
                <w:color w:val="auto"/>
                <w:spacing w:val="-6"/>
                <w:sz w:val="24"/>
                <w:szCs w:val="24"/>
                <w:highlight w:val="none"/>
                <w:lang w:eastAsia="zh-CN"/>
              </w:rPr>
              <w:t>（</w:t>
            </w:r>
            <w:r>
              <w:rPr>
                <w:rFonts w:hint="eastAsia" w:ascii="仿宋" w:hAnsi="仿宋" w:eastAsia="仿宋" w:cs="仿宋"/>
                <w:b/>
                <w:bCs/>
                <w:color w:val="auto"/>
                <w:spacing w:val="-6"/>
                <w:sz w:val="24"/>
                <w:szCs w:val="24"/>
                <w:highlight w:val="none"/>
                <w:lang w:val="en-US" w:eastAsia="zh-CN"/>
              </w:rPr>
              <w:t>客观</w:t>
            </w:r>
            <w:r>
              <w:rPr>
                <w:rFonts w:hint="eastAsia" w:ascii="仿宋" w:hAnsi="仿宋" w:eastAsia="仿宋" w:cs="仿宋"/>
                <w:b/>
                <w:bCs/>
                <w:color w:val="auto"/>
                <w:spacing w:val="-6"/>
                <w:sz w:val="24"/>
                <w:szCs w:val="24"/>
                <w:highlight w:val="none"/>
                <w:lang w:eastAsia="zh-CN"/>
              </w:rPr>
              <w:t>）</w:t>
            </w:r>
          </w:p>
        </w:tc>
        <w:tc>
          <w:tcPr>
            <w:tcW w:w="836" w:type="dxa"/>
            <w:noWrap w:val="0"/>
            <w:vAlign w:val="center"/>
          </w:tcPr>
          <w:p>
            <w:pPr>
              <w:keepNext w:val="0"/>
              <w:keepLines w:val="0"/>
              <w:suppressLineNumbers w:val="0"/>
              <w:spacing w:before="0" w:beforeAutospacing="0" w:after="0" w:afterAutospacing="0" w:line="288" w:lineRule="auto"/>
              <w:ind w:left="0" w:right="0"/>
              <w:jc w:val="center"/>
              <w:rPr>
                <w:rFonts w:hint="eastAsia" w:ascii="仿宋" w:hAnsi="仿宋" w:eastAsia="仿宋" w:cs="仿宋"/>
                <w:color w:val="auto"/>
                <w:spacing w:val="-6"/>
                <w:sz w:val="24"/>
                <w:szCs w:val="24"/>
                <w:highlight w:val="none"/>
                <w:lang w:eastAsia="zh-CN"/>
              </w:rPr>
            </w:pPr>
            <w:r>
              <w:rPr>
                <w:rFonts w:hint="eastAsia" w:ascii="仿宋" w:hAnsi="仿宋" w:eastAsia="仿宋" w:cs="仿宋"/>
                <w:color w:val="auto"/>
                <w:spacing w:val="-6"/>
                <w:sz w:val="24"/>
                <w:szCs w:val="24"/>
                <w:highlight w:val="none"/>
                <w:lang w:val="en-US" w:eastAsia="zh-CN"/>
              </w:rPr>
              <w:t>3</w:t>
            </w:r>
          </w:p>
        </w:tc>
        <w:tc>
          <w:tcPr>
            <w:tcW w:w="7794" w:type="dxa"/>
            <w:noWrap w:val="0"/>
            <w:vAlign w:val="center"/>
          </w:tcPr>
          <w:p>
            <w:pPr>
              <w:keepNext w:val="0"/>
              <w:keepLines w:val="0"/>
              <w:suppressLineNumbers w:val="0"/>
              <w:spacing w:before="0" w:beforeAutospacing="0" w:after="0" w:afterAutospacing="0" w:line="288" w:lineRule="auto"/>
              <w:ind w:right="0"/>
              <w:rPr>
                <w:rFonts w:hint="eastAsia" w:ascii="仿宋" w:hAnsi="仿宋" w:eastAsia="仿宋" w:cs="仿宋"/>
                <w:color w:val="auto"/>
                <w:spacing w:val="-6"/>
                <w:sz w:val="24"/>
                <w:szCs w:val="24"/>
                <w:highlight w:val="none"/>
                <w:lang w:eastAsia="zh-CN"/>
              </w:rPr>
            </w:pPr>
            <w:r>
              <w:rPr>
                <w:rFonts w:hint="eastAsia" w:ascii="仿宋" w:hAnsi="仿宋" w:eastAsia="仿宋" w:cs="仿宋"/>
                <w:color w:val="auto"/>
                <w:spacing w:val="-6"/>
                <w:sz w:val="24"/>
                <w:szCs w:val="24"/>
                <w:highlight w:val="none"/>
              </w:rPr>
              <w:t>投标人所投品牌制造商具有质量管理体系认证证书、环境管理体系认证证书、职业健康安全管理体系认证证书的，每取得1个认证证书得1 分，满分</w:t>
            </w:r>
            <w:r>
              <w:rPr>
                <w:rFonts w:hint="eastAsia" w:ascii="仿宋" w:hAnsi="仿宋" w:eastAsia="仿宋" w:cs="仿宋"/>
                <w:color w:val="auto"/>
                <w:spacing w:val="-6"/>
                <w:sz w:val="24"/>
                <w:szCs w:val="24"/>
                <w:highlight w:val="none"/>
                <w:lang w:val="en-US" w:eastAsia="zh-CN"/>
              </w:rPr>
              <w:t>3</w:t>
            </w:r>
            <w:r>
              <w:rPr>
                <w:rFonts w:hint="eastAsia" w:ascii="仿宋" w:hAnsi="仿宋" w:eastAsia="仿宋" w:cs="仿宋"/>
                <w:color w:val="auto"/>
                <w:spacing w:val="-6"/>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3" w:type="dxa"/>
            <w:gridSpan w:val="3"/>
            <w:noWrap w:val="0"/>
            <w:vAlign w:val="center"/>
          </w:tcPr>
          <w:p>
            <w:pPr>
              <w:keepNext w:val="0"/>
              <w:keepLines w:val="0"/>
              <w:widowControl w:val="0"/>
              <w:suppressLineNumbers w:val="0"/>
              <w:spacing w:before="0" w:beforeAutospacing="0" w:after="0" w:afterAutospacing="0" w:line="288" w:lineRule="auto"/>
              <w:ind w:left="0" w:right="0" w:firstLine="0"/>
              <w:jc w:val="left"/>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b/>
                <w:color w:val="auto"/>
                <w:spacing w:val="-6"/>
                <w:kern w:val="2"/>
                <w:sz w:val="24"/>
                <w:szCs w:val="24"/>
                <w:highlight w:val="none"/>
                <w:lang w:val="en-US" w:eastAsia="zh-CN" w:bidi="ar-SA"/>
              </w:rPr>
              <w:t>技术分（67分）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基本工作方案（9分）</w:t>
            </w:r>
          </w:p>
          <w:p>
            <w:pPr>
              <w:pStyle w:val="7"/>
              <w:ind w:left="0" w:lef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b/>
                <w:bCs/>
                <w:color w:val="auto"/>
                <w:spacing w:val="-6"/>
                <w:kern w:val="2"/>
                <w:sz w:val="24"/>
                <w:szCs w:val="24"/>
                <w:highlight w:val="none"/>
                <w:lang w:val="en-US" w:eastAsia="zh-CN" w:bidi="ar"/>
              </w:rPr>
              <w:t>（主观）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sz w:val="24"/>
                <w:szCs w:val="24"/>
                <w:highlight w:val="none"/>
                <w:lang w:val="en-US"/>
              </w:rPr>
            </w:pPr>
            <w:r>
              <w:rPr>
                <w:rFonts w:hint="eastAsia" w:ascii="仿宋" w:hAnsi="仿宋" w:eastAsia="仿宋" w:cs="仿宋"/>
                <w:color w:val="auto"/>
                <w:spacing w:val="-6"/>
                <w:kern w:val="2"/>
                <w:sz w:val="24"/>
                <w:szCs w:val="24"/>
                <w:highlight w:val="none"/>
                <w:lang w:val="en-US" w:eastAsia="zh-CN" w:bidi="ar"/>
              </w:rPr>
              <w:t>1.5</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工程重点难点分析及相应的措施。</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针对性强、措施具体、可操作性强，得1.5分；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有针对性措施、能用于操作，得1分；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4"/>
                <w:szCs w:val="24"/>
                <w:highlight w:val="none"/>
              </w:rPr>
            </w:pPr>
            <w:r>
              <w:rPr>
                <w:rFonts w:hint="eastAsia" w:ascii="仿宋" w:hAnsi="仿宋" w:eastAsia="仿宋" w:cs="仿宋"/>
                <w:color w:val="auto"/>
                <w:spacing w:val="-6"/>
                <w:kern w:val="2"/>
                <w:sz w:val="24"/>
                <w:szCs w:val="24"/>
                <w:highlight w:val="none"/>
                <w:lang w:val="en-US" w:eastAsia="zh-CN" w:bidi="ar"/>
              </w:rPr>
              <w:t>针对性不强或存在与项目无关内容，不得分。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1.5</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项目组织及策划方案。</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组织及各阶段方案内容详实、完整、叙述清楚且先进、合理、可操作性强，得1.5分；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组织及各阶段方案内容较完整、叙述较清楚、有可操作性，得1分；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组织及各阶段施工方案内容不完整、叙述混乱、不合理、可操作性不强，不得分。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1.5</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工期安排。</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工期明确，对项目有利，完全满足业主对项目工期要求且关键工期优于业主要求、科学合理1.5分；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工期较明确，能满足业主对项目工期要求且关键工期满足业主要求1分；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组织及各阶段工期不合理，不得分。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1.5</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质量管理和质量保证措施。</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质量管理和保证措施具体详细，十分明确，得1.5分；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有具体质量管理和保证措施，较清楚明确，得1分；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质量管理和保证措施基本具备，不得分。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color w:val="auto"/>
                <w:highlight w:val="none"/>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1.5</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安装调试方案。</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组织及各阶段方案内容详实、完整、叙述清楚且先进、合理、可操作性强，得1.5分；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组织及各阶段施工方案内容较完整、叙述较清楚、有可操作性，得1分；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组织及各阶段施工方案内容不完整、叙述混乱、不合理、可操作性不强，不得分。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color w:val="auto"/>
                <w:highlight w:val="none"/>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1.5</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验收方案。</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验收方案针对性强、合理、非常明确的，得1.5分；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验收方案基本满足要求、较合理、较明确的，得1分；</w:t>
            </w:r>
          </w:p>
          <w:p>
            <w:pPr>
              <w:keepNext w:val="0"/>
              <w:keepLines w:val="0"/>
              <w:widowControl w:val="0"/>
              <w:suppressLineNumbers w:val="0"/>
              <w:spacing w:before="0" w:beforeAutospacing="0" w:after="0" w:afterAutospacing="0"/>
              <w:ind w:left="0" w:leftChars="0" w:right="0" w:rightChars="0"/>
              <w:jc w:val="both"/>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验收方案出现与本项目无关的内容、针对性差、叙述混乱、不合理，不得分。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水泵系统（8分）</w:t>
            </w:r>
            <w:r>
              <w:rPr>
                <w:rFonts w:hint="eastAsia" w:ascii="仿宋" w:hAnsi="仿宋" w:eastAsia="仿宋" w:cs="仿宋"/>
                <w:b/>
                <w:bCs/>
                <w:color w:val="auto"/>
                <w:spacing w:val="-6"/>
                <w:kern w:val="2"/>
                <w:sz w:val="24"/>
                <w:szCs w:val="24"/>
                <w:highlight w:val="none"/>
                <w:lang w:val="en-US" w:eastAsia="zh-CN" w:bidi="ar"/>
              </w:rPr>
              <w:t>（主观）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根据选型要求，清单中水泵的技术参数，水泵系统符合招标要求的，得3分，有负偏离的该项不得分。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投标人采用投标水泵系统参与本项目的选型思路、考量及原则。</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根据本项目工况特点、注意事项，在投标文件中提供投标产品（设备类别、使用场合应符合招标文件要求）的选型方案。</w:t>
            </w:r>
          </w:p>
          <w:p>
            <w:pPr>
              <w:keepNext w:val="0"/>
              <w:keepLines w:val="0"/>
              <w:widowControl w:val="0"/>
              <w:suppressLineNumbers w:val="0"/>
              <w:spacing w:before="0" w:beforeAutospacing="0" w:after="0" w:afterAutospacing="0"/>
              <w:ind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评标委员会根据招标文件中的要求，评价该选型思路、考量及原则是否成熟可靠，可以应对使用环境的不利因素，可以匹配本项目特点，得到满意的使用效果，同时具备先进性、经济型、耐用性。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color w:val="auto"/>
                <w:highlight w:val="none"/>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效果评价。根据以上选型方案，提供两个该水泵系统在市政污水提升泵站使用效果的使用案例，并提供有效证明材料。一套完整的材料得1分，否则0分，本项最多2分。</w:t>
            </w:r>
            <w:r>
              <w:rPr>
                <w:rFonts w:hint="eastAsia" w:ascii="仿宋" w:hAnsi="仿宋" w:eastAsia="仿宋" w:cs="仿宋"/>
                <w:color w:val="auto"/>
                <w:spacing w:val="-6"/>
                <w:sz w:val="24"/>
                <w:szCs w:val="24"/>
                <w:highlight w:val="none"/>
              </w:rPr>
              <w:t>【</w:t>
            </w:r>
            <w:r>
              <w:rPr>
                <w:rFonts w:hint="eastAsia" w:ascii="仿宋" w:hAnsi="仿宋" w:eastAsia="仿宋" w:cs="仿宋"/>
                <w:color w:val="auto"/>
                <w:spacing w:val="-6"/>
                <w:sz w:val="24"/>
                <w:szCs w:val="24"/>
                <w:highlight w:val="none"/>
                <w:lang w:val="en-US" w:eastAsia="zh-CN"/>
              </w:rPr>
              <w:t>每项案例</w:t>
            </w:r>
            <w:r>
              <w:rPr>
                <w:rFonts w:hint="eastAsia" w:ascii="仿宋" w:hAnsi="仿宋" w:eastAsia="仿宋" w:cs="仿宋"/>
                <w:color w:val="auto"/>
                <w:spacing w:val="-6"/>
                <w:sz w:val="24"/>
                <w:szCs w:val="24"/>
                <w:highlight w:val="none"/>
              </w:rPr>
              <w:t>提供材料</w:t>
            </w:r>
            <w:r>
              <w:rPr>
                <w:rFonts w:hint="eastAsia" w:ascii="仿宋" w:hAnsi="仿宋" w:eastAsia="仿宋" w:cs="仿宋"/>
                <w:color w:val="auto"/>
                <w:spacing w:val="-6"/>
                <w:sz w:val="24"/>
                <w:szCs w:val="24"/>
                <w:highlight w:val="none"/>
                <w:lang w:val="en-US" w:eastAsia="zh-CN"/>
              </w:rPr>
              <w:t>①</w:t>
            </w:r>
            <w:r>
              <w:rPr>
                <w:rFonts w:hint="eastAsia" w:ascii="仿宋" w:hAnsi="仿宋" w:eastAsia="仿宋" w:cs="仿宋"/>
                <w:color w:val="auto"/>
                <w:spacing w:val="-6"/>
                <w:sz w:val="24"/>
                <w:szCs w:val="24"/>
                <w:highlight w:val="none"/>
              </w:rPr>
              <w:t>合同</w:t>
            </w:r>
            <w:r>
              <w:rPr>
                <w:rFonts w:hint="eastAsia" w:ascii="仿宋" w:hAnsi="仿宋" w:eastAsia="仿宋" w:cs="仿宋"/>
                <w:color w:val="auto"/>
                <w:spacing w:val="-6"/>
                <w:sz w:val="24"/>
                <w:szCs w:val="24"/>
                <w:highlight w:val="none"/>
                <w:lang w:eastAsia="zh-CN"/>
              </w:rPr>
              <w:t>（合同甲方应是该合同所供应货物的终端用户，而不是中间商、代理商等）；</w:t>
            </w:r>
            <w:r>
              <w:rPr>
                <w:rFonts w:hint="eastAsia" w:ascii="仿宋" w:hAnsi="仿宋" w:eastAsia="仿宋" w:cs="仿宋"/>
                <w:color w:val="auto"/>
                <w:spacing w:val="-6"/>
                <w:sz w:val="24"/>
                <w:szCs w:val="24"/>
                <w:highlight w:val="none"/>
                <w:lang w:val="en-US" w:eastAsia="zh-CN"/>
              </w:rPr>
              <w:t>②发票；③</w:t>
            </w:r>
            <w:r>
              <w:rPr>
                <w:rFonts w:hint="eastAsia" w:ascii="仿宋" w:hAnsi="仿宋" w:eastAsia="仿宋" w:cs="仿宋"/>
                <w:color w:val="auto"/>
                <w:spacing w:val="-6"/>
                <w:sz w:val="24"/>
                <w:szCs w:val="24"/>
                <w:highlight w:val="none"/>
              </w:rPr>
              <w:t>现场设备</w:t>
            </w:r>
            <w:r>
              <w:rPr>
                <w:rFonts w:hint="eastAsia" w:ascii="仿宋" w:hAnsi="仿宋" w:eastAsia="仿宋" w:cs="仿宋"/>
                <w:color w:val="auto"/>
                <w:spacing w:val="-6"/>
                <w:sz w:val="24"/>
                <w:szCs w:val="24"/>
                <w:highlight w:val="none"/>
                <w:lang w:val="en-US" w:eastAsia="zh-CN"/>
              </w:rPr>
              <w:t>照片</w:t>
            </w:r>
            <w:r>
              <w:rPr>
                <w:rFonts w:hint="eastAsia" w:ascii="仿宋" w:hAnsi="仿宋" w:eastAsia="仿宋" w:cs="仿宋"/>
                <w:color w:val="auto"/>
                <w:spacing w:val="-6"/>
                <w:sz w:val="24"/>
                <w:szCs w:val="24"/>
                <w:highlight w:val="none"/>
              </w:rPr>
              <w:t>资料</w:t>
            </w:r>
            <w:r>
              <w:rPr>
                <w:rFonts w:hint="eastAsia" w:ascii="仿宋" w:hAnsi="仿宋" w:eastAsia="仿宋" w:cs="仿宋"/>
                <w:color w:val="auto"/>
                <w:spacing w:val="-6"/>
                <w:sz w:val="24"/>
                <w:szCs w:val="24"/>
                <w:highlight w:val="none"/>
                <w:lang w:val="en-US" w:eastAsia="zh-CN"/>
              </w:rPr>
              <w:t>④</w:t>
            </w:r>
            <w:r>
              <w:rPr>
                <w:rFonts w:hint="eastAsia" w:ascii="仿宋" w:hAnsi="仿宋" w:eastAsia="仿宋" w:cs="仿宋"/>
                <w:color w:val="auto"/>
                <w:spacing w:val="-6"/>
                <w:sz w:val="24"/>
                <w:szCs w:val="24"/>
                <w:highlight w:val="none"/>
              </w:rPr>
              <w:t>加盖</w:t>
            </w:r>
            <w:r>
              <w:rPr>
                <w:rFonts w:hint="eastAsia" w:ascii="仿宋" w:hAnsi="仿宋" w:eastAsia="仿宋" w:cs="仿宋"/>
                <w:color w:val="auto"/>
                <w:spacing w:val="-6"/>
                <w:sz w:val="24"/>
                <w:szCs w:val="24"/>
                <w:highlight w:val="none"/>
                <w:lang w:val="en-US" w:eastAsia="zh-CN"/>
              </w:rPr>
              <w:t>使用单位</w:t>
            </w:r>
            <w:r>
              <w:rPr>
                <w:rFonts w:hint="eastAsia" w:ascii="仿宋" w:hAnsi="仿宋" w:eastAsia="仿宋" w:cs="仿宋"/>
                <w:color w:val="auto"/>
                <w:spacing w:val="-6"/>
                <w:sz w:val="24"/>
                <w:szCs w:val="24"/>
                <w:highlight w:val="none"/>
              </w:rPr>
              <w:t>公章的</w:t>
            </w:r>
            <w:r>
              <w:rPr>
                <w:rFonts w:hint="eastAsia" w:ascii="仿宋" w:hAnsi="仿宋" w:eastAsia="仿宋" w:cs="仿宋"/>
                <w:color w:val="auto"/>
                <w:spacing w:val="-6"/>
                <w:sz w:val="24"/>
                <w:szCs w:val="24"/>
                <w:highlight w:val="none"/>
                <w:lang w:val="en-US" w:eastAsia="zh-CN"/>
              </w:rPr>
              <w:t>用户评价</w:t>
            </w:r>
            <w:r>
              <w:rPr>
                <w:rFonts w:hint="eastAsia" w:ascii="仿宋" w:hAnsi="仿宋" w:eastAsia="仿宋" w:cs="仿宋"/>
                <w:color w:val="auto"/>
                <w:spacing w:val="-6"/>
                <w:sz w:val="24"/>
                <w:szCs w:val="24"/>
                <w:highlight w:val="none"/>
              </w:rPr>
              <w:t>，内容应</w:t>
            </w:r>
            <w:r>
              <w:rPr>
                <w:rFonts w:hint="eastAsia" w:ascii="仿宋" w:hAnsi="仿宋" w:eastAsia="仿宋" w:cs="仿宋"/>
                <w:color w:val="auto"/>
                <w:spacing w:val="-6"/>
                <w:sz w:val="24"/>
                <w:szCs w:val="24"/>
                <w:highlight w:val="none"/>
                <w:lang w:val="en-US" w:eastAsia="zh-CN"/>
              </w:rPr>
              <w:t>为正面评价</w:t>
            </w:r>
            <w:r>
              <w:rPr>
                <w:rFonts w:hint="eastAsia" w:ascii="仿宋" w:hAnsi="仿宋" w:eastAsia="仿宋" w:cs="仿宋"/>
                <w:color w:val="auto"/>
                <w:spacing w:val="-6"/>
                <w:sz w:val="24"/>
                <w:szCs w:val="24"/>
                <w:highlight w:val="none"/>
              </w:rPr>
              <w:t>包括工程名称、工程规模、安装地点</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lang w:val="en-US" w:eastAsia="zh-CN"/>
              </w:rPr>
              <w:t>使用单位</w:t>
            </w:r>
            <w:r>
              <w:rPr>
                <w:rFonts w:hint="eastAsia" w:ascii="仿宋" w:hAnsi="仿宋" w:eastAsia="仿宋" w:cs="仿宋"/>
                <w:color w:val="auto"/>
                <w:spacing w:val="-6"/>
                <w:sz w:val="24"/>
                <w:szCs w:val="24"/>
                <w:highlight w:val="none"/>
              </w:rPr>
              <w:t>联系方式（固定电话）等</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。①②</w:t>
            </w:r>
            <w:r>
              <w:rPr>
                <w:rFonts w:hint="eastAsia" w:ascii="仿宋" w:hAnsi="仿宋" w:eastAsia="仿宋" w:cs="仿宋"/>
                <w:color w:val="auto"/>
                <w:spacing w:val="-6"/>
                <w:sz w:val="24"/>
                <w:szCs w:val="24"/>
                <w:highlight w:val="none"/>
                <w:lang w:val="en-US" w:eastAsia="zh-CN"/>
              </w:rPr>
              <w:t>③④四</w:t>
            </w:r>
            <w:r>
              <w:rPr>
                <w:rFonts w:hint="eastAsia" w:ascii="仿宋" w:hAnsi="仿宋" w:eastAsia="仿宋" w:cs="仿宋"/>
                <w:color w:val="auto"/>
                <w:spacing w:val="-6"/>
                <w:sz w:val="24"/>
                <w:szCs w:val="24"/>
                <w:highlight w:val="none"/>
              </w:rPr>
              <w:t>项内容所要求的资料都必须提供，缺一不可，否则不予认可</w:t>
            </w:r>
            <w:r>
              <w:rPr>
                <w:rFonts w:hint="eastAsia" w:ascii="仿宋" w:hAnsi="仿宋" w:eastAsia="仿宋" w:cs="仿宋"/>
                <w:color w:val="auto"/>
                <w:spacing w:val="-6"/>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格栅机系统（8分）</w:t>
            </w:r>
          </w:p>
          <w:p>
            <w:pPr>
              <w:pStyle w:val="7"/>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pacing w:val="-6"/>
                <w:kern w:val="2"/>
                <w:sz w:val="24"/>
                <w:szCs w:val="24"/>
                <w:highlight w:val="none"/>
                <w:lang w:val="en-US" w:eastAsia="zh-CN" w:bidi="ar"/>
              </w:rPr>
              <w:t>（主观）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根据选型要求，清单中格栅机的技术参数，格栅机系统符合招标要求的，得 3 分，有负偏离的该项不得分。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投标人采用投标格栅机系统参与本项目的选型思路、考量及原则。</w:t>
            </w:r>
          </w:p>
          <w:p>
            <w:pPr>
              <w:keepNext w:val="0"/>
              <w:keepLines w:val="0"/>
              <w:widowControl w:val="0"/>
              <w:suppressLineNumbers w:val="0"/>
              <w:spacing w:before="0" w:beforeAutospacing="0" w:after="0" w:afterAutospacing="0"/>
              <w:ind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根据本项目工况特点、注意事项，在投标文件中提供投标产品（设备类别、使用场合应符合招标文件要求）的选型方案。</w:t>
            </w:r>
          </w:p>
          <w:p>
            <w:pPr>
              <w:keepNext w:val="0"/>
              <w:keepLines w:val="0"/>
              <w:widowControl w:val="0"/>
              <w:suppressLineNumbers w:val="0"/>
              <w:spacing w:before="0" w:beforeAutospacing="0" w:after="0" w:afterAutospacing="0"/>
              <w:ind w:right="0" w:rightChars="0"/>
              <w:jc w:val="both"/>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评标委员会根据招标文件中的要求，评价该选型思路、考量及原则是否成熟可靠，可以应对使用环境的不利因素，可以匹配本项目特点，得到满意的使用效果，同时具备先进性、经济型、耐用性。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color w:val="auto"/>
                <w:highlight w:val="none"/>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效果评价。根据以上选型方案，提供两个该格栅机系统在市政污水提升泵站使用效果的使用案例，并提供有效证明材料。一套完整的材料得1分，否则0分，本项最多2分。</w:t>
            </w:r>
            <w:r>
              <w:rPr>
                <w:rFonts w:hint="eastAsia" w:ascii="仿宋" w:hAnsi="仿宋" w:eastAsia="仿宋" w:cs="仿宋"/>
                <w:color w:val="auto"/>
                <w:spacing w:val="-6"/>
                <w:sz w:val="24"/>
                <w:szCs w:val="24"/>
                <w:highlight w:val="none"/>
              </w:rPr>
              <w:t>【</w:t>
            </w:r>
            <w:r>
              <w:rPr>
                <w:rFonts w:hint="eastAsia" w:ascii="仿宋" w:hAnsi="仿宋" w:eastAsia="仿宋" w:cs="仿宋"/>
                <w:color w:val="auto"/>
                <w:spacing w:val="-6"/>
                <w:sz w:val="24"/>
                <w:szCs w:val="24"/>
                <w:highlight w:val="none"/>
                <w:lang w:val="en-US" w:eastAsia="zh-CN"/>
              </w:rPr>
              <w:t>每项案例</w:t>
            </w:r>
            <w:r>
              <w:rPr>
                <w:rFonts w:hint="eastAsia" w:ascii="仿宋" w:hAnsi="仿宋" w:eastAsia="仿宋" w:cs="仿宋"/>
                <w:color w:val="auto"/>
                <w:spacing w:val="-6"/>
                <w:sz w:val="24"/>
                <w:szCs w:val="24"/>
                <w:highlight w:val="none"/>
              </w:rPr>
              <w:t>提供材料</w:t>
            </w:r>
            <w:r>
              <w:rPr>
                <w:rFonts w:hint="eastAsia" w:ascii="仿宋" w:hAnsi="仿宋" w:eastAsia="仿宋" w:cs="仿宋"/>
                <w:color w:val="auto"/>
                <w:spacing w:val="-6"/>
                <w:sz w:val="24"/>
                <w:szCs w:val="24"/>
                <w:highlight w:val="none"/>
                <w:lang w:val="en-US" w:eastAsia="zh-CN"/>
              </w:rPr>
              <w:t>①</w:t>
            </w:r>
            <w:r>
              <w:rPr>
                <w:rFonts w:hint="eastAsia" w:ascii="仿宋" w:hAnsi="仿宋" w:eastAsia="仿宋" w:cs="仿宋"/>
                <w:color w:val="auto"/>
                <w:spacing w:val="-6"/>
                <w:sz w:val="24"/>
                <w:szCs w:val="24"/>
                <w:highlight w:val="none"/>
              </w:rPr>
              <w:t>合同</w:t>
            </w:r>
            <w:r>
              <w:rPr>
                <w:rFonts w:hint="eastAsia" w:ascii="仿宋" w:hAnsi="仿宋" w:eastAsia="仿宋" w:cs="仿宋"/>
                <w:color w:val="auto"/>
                <w:spacing w:val="-6"/>
                <w:sz w:val="24"/>
                <w:szCs w:val="24"/>
                <w:highlight w:val="none"/>
                <w:lang w:eastAsia="zh-CN"/>
              </w:rPr>
              <w:t>（合同甲方应是该合同所供应货物的终端用户，而不是中间商、代理商等）；</w:t>
            </w:r>
            <w:r>
              <w:rPr>
                <w:rFonts w:hint="eastAsia" w:ascii="仿宋" w:hAnsi="仿宋" w:eastAsia="仿宋" w:cs="仿宋"/>
                <w:color w:val="auto"/>
                <w:spacing w:val="-6"/>
                <w:sz w:val="24"/>
                <w:szCs w:val="24"/>
                <w:highlight w:val="none"/>
                <w:lang w:val="en-US" w:eastAsia="zh-CN"/>
              </w:rPr>
              <w:t>②发票；③</w:t>
            </w:r>
            <w:r>
              <w:rPr>
                <w:rFonts w:hint="eastAsia" w:ascii="仿宋" w:hAnsi="仿宋" w:eastAsia="仿宋" w:cs="仿宋"/>
                <w:color w:val="auto"/>
                <w:spacing w:val="-6"/>
                <w:sz w:val="24"/>
                <w:szCs w:val="24"/>
                <w:highlight w:val="none"/>
              </w:rPr>
              <w:t>现场设备</w:t>
            </w:r>
            <w:r>
              <w:rPr>
                <w:rFonts w:hint="eastAsia" w:ascii="仿宋" w:hAnsi="仿宋" w:eastAsia="仿宋" w:cs="仿宋"/>
                <w:color w:val="auto"/>
                <w:spacing w:val="-6"/>
                <w:sz w:val="24"/>
                <w:szCs w:val="24"/>
                <w:highlight w:val="none"/>
                <w:lang w:val="en-US" w:eastAsia="zh-CN"/>
              </w:rPr>
              <w:t>照片</w:t>
            </w:r>
            <w:r>
              <w:rPr>
                <w:rFonts w:hint="eastAsia" w:ascii="仿宋" w:hAnsi="仿宋" w:eastAsia="仿宋" w:cs="仿宋"/>
                <w:color w:val="auto"/>
                <w:spacing w:val="-6"/>
                <w:sz w:val="24"/>
                <w:szCs w:val="24"/>
                <w:highlight w:val="none"/>
              </w:rPr>
              <w:t>资料</w:t>
            </w:r>
            <w:r>
              <w:rPr>
                <w:rFonts w:hint="eastAsia" w:ascii="仿宋" w:hAnsi="仿宋" w:eastAsia="仿宋" w:cs="仿宋"/>
                <w:color w:val="auto"/>
                <w:spacing w:val="-6"/>
                <w:sz w:val="24"/>
                <w:szCs w:val="24"/>
                <w:highlight w:val="none"/>
                <w:lang w:val="en-US" w:eastAsia="zh-CN"/>
              </w:rPr>
              <w:t>④</w:t>
            </w:r>
            <w:r>
              <w:rPr>
                <w:rFonts w:hint="eastAsia" w:ascii="仿宋" w:hAnsi="仿宋" w:eastAsia="仿宋" w:cs="仿宋"/>
                <w:color w:val="auto"/>
                <w:spacing w:val="-6"/>
                <w:sz w:val="24"/>
                <w:szCs w:val="24"/>
                <w:highlight w:val="none"/>
              </w:rPr>
              <w:t>加盖</w:t>
            </w:r>
            <w:r>
              <w:rPr>
                <w:rFonts w:hint="eastAsia" w:ascii="仿宋" w:hAnsi="仿宋" w:eastAsia="仿宋" w:cs="仿宋"/>
                <w:color w:val="auto"/>
                <w:spacing w:val="-6"/>
                <w:sz w:val="24"/>
                <w:szCs w:val="24"/>
                <w:highlight w:val="none"/>
                <w:lang w:val="en-US" w:eastAsia="zh-CN"/>
              </w:rPr>
              <w:t>使用单位</w:t>
            </w:r>
            <w:r>
              <w:rPr>
                <w:rFonts w:hint="eastAsia" w:ascii="仿宋" w:hAnsi="仿宋" w:eastAsia="仿宋" w:cs="仿宋"/>
                <w:color w:val="auto"/>
                <w:spacing w:val="-6"/>
                <w:sz w:val="24"/>
                <w:szCs w:val="24"/>
                <w:highlight w:val="none"/>
              </w:rPr>
              <w:t>公章的</w:t>
            </w:r>
            <w:r>
              <w:rPr>
                <w:rFonts w:hint="eastAsia" w:ascii="仿宋" w:hAnsi="仿宋" w:eastAsia="仿宋" w:cs="仿宋"/>
                <w:color w:val="auto"/>
                <w:spacing w:val="-6"/>
                <w:sz w:val="24"/>
                <w:szCs w:val="24"/>
                <w:highlight w:val="none"/>
                <w:lang w:val="en-US" w:eastAsia="zh-CN"/>
              </w:rPr>
              <w:t>用户评价</w:t>
            </w:r>
            <w:r>
              <w:rPr>
                <w:rFonts w:hint="eastAsia" w:ascii="仿宋" w:hAnsi="仿宋" w:eastAsia="仿宋" w:cs="仿宋"/>
                <w:color w:val="auto"/>
                <w:spacing w:val="-6"/>
                <w:sz w:val="24"/>
                <w:szCs w:val="24"/>
                <w:highlight w:val="none"/>
              </w:rPr>
              <w:t>，内容应</w:t>
            </w:r>
            <w:r>
              <w:rPr>
                <w:rFonts w:hint="eastAsia" w:ascii="仿宋" w:hAnsi="仿宋" w:eastAsia="仿宋" w:cs="仿宋"/>
                <w:color w:val="auto"/>
                <w:spacing w:val="-6"/>
                <w:sz w:val="24"/>
                <w:szCs w:val="24"/>
                <w:highlight w:val="none"/>
                <w:lang w:val="en-US" w:eastAsia="zh-CN"/>
              </w:rPr>
              <w:t>为正面评价</w:t>
            </w:r>
            <w:r>
              <w:rPr>
                <w:rFonts w:hint="eastAsia" w:ascii="仿宋" w:hAnsi="仿宋" w:eastAsia="仿宋" w:cs="仿宋"/>
                <w:color w:val="auto"/>
                <w:spacing w:val="-6"/>
                <w:sz w:val="24"/>
                <w:szCs w:val="24"/>
                <w:highlight w:val="none"/>
              </w:rPr>
              <w:t>包括工程名称、工程规模、安装地点</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lang w:val="en-US" w:eastAsia="zh-CN"/>
              </w:rPr>
              <w:t>使用单位</w:t>
            </w:r>
            <w:r>
              <w:rPr>
                <w:rFonts w:hint="eastAsia" w:ascii="仿宋" w:hAnsi="仿宋" w:eastAsia="仿宋" w:cs="仿宋"/>
                <w:color w:val="auto"/>
                <w:spacing w:val="-6"/>
                <w:sz w:val="24"/>
                <w:szCs w:val="24"/>
                <w:highlight w:val="none"/>
              </w:rPr>
              <w:t>联系方式（固定电话）等</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。①②</w:t>
            </w:r>
            <w:r>
              <w:rPr>
                <w:rFonts w:hint="eastAsia" w:ascii="仿宋" w:hAnsi="仿宋" w:eastAsia="仿宋" w:cs="仿宋"/>
                <w:color w:val="auto"/>
                <w:spacing w:val="-6"/>
                <w:sz w:val="24"/>
                <w:szCs w:val="24"/>
                <w:highlight w:val="none"/>
                <w:lang w:val="en-US" w:eastAsia="zh-CN"/>
              </w:rPr>
              <w:t>③④四</w:t>
            </w:r>
            <w:r>
              <w:rPr>
                <w:rFonts w:hint="eastAsia" w:ascii="仿宋" w:hAnsi="仿宋" w:eastAsia="仿宋" w:cs="仿宋"/>
                <w:color w:val="auto"/>
                <w:spacing w:val="-6"/>
                <w:sz w:val="24"/>
                <w:szCs w:val="24"/>
                <w:highlight w:val="none"/>
              </w:rPr>
              <w:t>项内容所要求的资料都必须提供，缺一不可，否则不予认可</w:t>
            </w:r>
            <w:r>
              <w:rPr>
                <w:rFonts w:hint="eastAsia" w:ascii="仿宋" w:hAnsi="仿宋" w:eastAsia="仿宋" w:cs="仿宋"/>
                <w:color w:val="auto"/>
                <w:spacing w:val="-6"/>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除臭系统（8分）</w:t>
            </w:r>
          </w:p>
          <w:p>
            <w:pPr>
              <w:pStyle w:val="7"/>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pacing w:val="-6"/>
                <w:kern w:val="2"/>
                <w:sz w:val="24"/>
                <w:szCs w:val="24"/>
                <w:highlight w:val="none"/>
                <w:lang w:val="en-US" w:eastAsia="zh-CN" w:bidi="ar"/>
              </w:rPr>
              <w:t>（主观）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根据选型要求，清单中除臭系统的技术参数，除臭系统符合招标要求的，得 3 分，有负偏离的该项不得分。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投标人采用投标除臭系统参与本项目的选型思路、考量及原则。</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根据本项目工况特点、注意事项，在投标文件中提供投标产品（设备类别、使用场合应符合招标文件要求）的选型方案。</w:t>
            </w:r>
          </w:p>
          <w:p>
            <w:pPr>
              <w:keepNext w:val="0"/>
              <w:keepLines w:val="0"/>
              <w:widowControl w:val="0"/>
              <w:suppressLineNumbers w:val="0"/>
              <w:spacing w:before="0" w:beforeAutospacing="0" w:after="0" w:afterAutospacing="0"/>
              <w:ind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评标委员会根据招标文件中的要求，评价该选型思路、考量及原则是否成熟可靠，可以应对使用环境的不利因素，可以匹配本项目特点，得到满意的使用效果，同时具备先进性、经济型、耐用性。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color w:val="auto"/>
                <w:highlight w:val="none"/>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效果评价。根据以上选型方案，提供两个该除臭系统在市政污水提升泵站使用效果的使用案例，并提供有效证明材料。一套完整的材料得1分，否则0分，本项最多2分。</w:t>
            </w:r>
            <w:r>
              <w:rPr>
                <w:rFonts w:hint="eastAsia" w:ascii="仿宋" w:hAnsi="仿宋" w:eastAsia="仿宋" w:cs="仿宋"/>
                <w:color w:val="auto"/>
                <w:spacing w:val="-6"/>
                <w:sz w:val="24"/>
                <w:szCs w:val="24"/>
                <w:highlight w:val="none"/>
              </w:rPr>
              <w:t>【</w:t>
            </w:r>
            <w:r>
              <w:rPr>
                <w:rFonts w:hint="eastAsia" w:ascii="仿宋" w:hAnsi="仿宋" w:eastAsia="仿宋" w:cs="仿宋"/>
                <w:color w:val="auto"/>
                <w:spacing w:val="-6"/>
                <w:sz w:val="24"/>
                <w:szCs w:val="24"/>
                <w:highlight w:val="none"/>
                <w:lang w:val="en-US" w:eastAsia="zh-CN"/>
              </w:rPr>
              <w:t>每项案例</w:t>
            </w:r>
            <w:r>
              <w:rPr>
                <w:rFonts w:hint="eastAsia" w:ascii="仿宋" w:hAnsi="仿宋" w:eastAsia="仿宋" w:cs="仿宋"/>
                <w:color w:val="auto"/>
                <w:spacing w:val="-6"/>
                <w:sz w:val="24"/>
                <w:szCs w:val="24"/>
                <w:highlight w:val="none"/>
              </w:rPr>
              <w:t>提供材料</w:t>
            </w:r>
            <w:r>
              <w:rPr>
                <w:rFonts w:hint="eastAsia" w:ascii="仿宋" w:hAnsi="仿宋" w:eastAsia="仿宋" w:cs="仿宋"/>
                <w:color w:val="auto"/>
                <w:spacing w:val="-6"/>
                <w:sz w:val="24"/>
                <w:szCs w:val="24"/>
                <w:highlight w:val="none"/>
                <w:lang w:val="en-US" w:eastAsia="zh-CN"/>
              </w:rPr>
              <w:t>①</w:t>
            </w:r>
            <w:r>
              <w:rPr>
                <w:rFonts w:hint="eastAsia" w:ascii="仿宋" w:hAnsi="仿宋" w:eastAsia="仿宋" w:cs="仿宋"/>
                <w:color w:val="auto"/>
                <w:spacing w:val="-6"/>
                <w:sz w:val="24"/>
                <w:szCs w:val="24"/>
                <w:highlight w:val="none"/>
              </w:rPr>
              <w:t>合同</w:t>
            </w:r>
            <w:r>
              <w:rPr>
                <w:rFonts w:hint="eastAsia" w:ascii="仿宋" w:hAnsi="仿宋" w:eastAsia="仿宋" w:cs="仿宋"/>
                <w:color w:val="auto"/>
                <w:spacing w:val="-6"/>
                <w:sz w:val="24"/>
                <w:szCs w:val="24"/>
                <w:highlight w:val="none"/>
                <w:lang w:eastAsia="zh-CN"/>
              </w:rPr>
              <w:t>（合同甲方应是该合同所供应货物的终端用户，而不是中间商、代理商等）</w:t>
            </w:r>
            <w:r>
              <w:rPr>
                <w:rFonts w:hint="eastAsia" w:ascii="仿宋" w:hAnsi="仿宋" w:eastAsia="仿宋" w:cs="仿宋"/>
                <w:color w:val="auto"/>
                <w:spacing w:val="-6"/>
                <w:sz w:val="24"/>
                <w:szCs w:val="24"/>
                <w:highlight w:val="none"/>
                <w:lang w:val="en-US" w:eastAsia="zh-CN"/>
              </w:rPr>
              <w:t>②发票；③</w:t>
            </w:r>
            <w:r>
              <w:rPr>
                <w:rFonts w:hint="eastAsia" w:ascii="仿宋" w:hAnsi="仿宋" w:eastAsia="仿宋" w:cs="仿宋"/>
                <w:color w:val="auto"/>
                <w:spacing w:val="-6"/>
                <w:sz w:val="24"/>
                <w:szCs w:val="24"/>
                <w:highlight w:val="none"/>
              </w:rPr>
              <w:t>现场设备</w:t>
            </w:r>
            <w:r>
              <w:rPr>
                <w:rFonts w:hint="eastAsia" w:ascii="仿宋" w:hAnsi="仿宋" w:eastAsia="仿宋" w:cs="仿宋"/>
                <w:color w:val="auto"/>
                <w:spacing w:val="-6"/>
                <w:sz w:val="24"/>
                <w:szCs w:val="24"/>
                <w:highlight w:val="none"/>
                <w:lang w:val="en-US" w:eastAsia="zh-CN"/>
              </w:rPr>
              <w:t>照片</w:t>
            </w:r>
            <w:r>
              <w:rPr>
                <w:rFonts w:hint="eastAsia" w:ascii="仿宋" w:hAnsi="仿宋" w:eastAsia="仿宋" w:cs="仿宋"/>
                <w:color w:val="auto"/>
                <w:spacing w:val="-6"/>
                <w:sz w:val="24"/>
                <w:szCs w:val="24"/>
                <w:highlight w:val="none"/>
              </w:rPr>
              <w:t>资料</w:t>
            </w:r>
            <w:r>
              <w:rPr>
                <w:rFonts w:hint="eastAsia" w:ascii="仿宋" w:hAnsi="仿宋" w:eastAsia="仿宋" w:cs="仿宋"/>
                <w:color w:val="auto"/>
                <w:spacing w:val="-6"/>
                <w:sz w:val="24"/>
                <w:szCs w:val="24"/>
                <w:highlight w:val="none"/>
                <w:lang w:val="en-US" w:eastAsia="zh-CN"/>
              </w:rPr>
              <w:t>④</w:t>
            </w:r>
            <w:r>
              <w:rPr>
                <w:rFonts w:hint="eastAsia" w:ascii="仿宋" w:hAnsi="仿宋" w:eastAsia="仿宋" w:cs="仿宋"/>
                <w:color w:val="auto"/>
                <w:spacing w:val="-6"/>
                <w:sz w:val="24"/>
                <w:szCs w:val="24"/>
                <w:highlight w:val="none"/>
              </w:rPr>
              <w:t>加盖</w:t>
            </w:r>
            <w:r>
              <w:rPr>
                <w:rFonts w:hint="eastAsia" w:ascii="仿宋" w:hAnsi="仿宋" w:eastAsia="仿宋" w:cs="仿宋"/>
                <w:color w:val="auto"/>
                <w:spacing w:val="-6"/>
                <w:sz w:val="24"/>
                <w:szCs w:val="24"/>
                <w:highlight w:val="none"/>
                <w:lang w:val="en-US" w:eastAsia="zh-CN"/>
              </w:rPr>
              <w:t>使用单位</w:t>
            </w:r>
            <w:r>
              <w:rPr>
                <w:rFonts w:hint="eastAsia" w:ascii="仿宋" w:hAnsi="仿宋" w:eastAsia="仿宋" w:cs="仿宋"/>
                <w:color w:val="auto"/>
                <w:spacing w:val="-6"/>
                <w:sz w:val="24"/>
                <w:szCs w:val="24"/>
                <w:highlight w:val="none"/>
              </w:rPr>
              <w:t>公章的</w:t>
            </w:r>
            <w:r>
              <w:rPr>
                <w:rFonts w:hint="eastAsia" w:ascii="仿宋" w:hAnsi="仿宋" w:eastAsia="仿宋" w:cs="仿宋"/>
                <w:color w:val="auto"/>
                <w:spacing w:val="-6"/>
                <w:sz w:val="24"/>
                <w:szCs w:val="24"/>
                <w:highlight w:val="none"/>
                <w:lang w:val="en-US" w:eastAsia="zh-CN"/>
              </w:rPr>
              <w:t>用户评价</w:t>
            </w:r>
            <w:r>
              <w:rPr>
                <w:rFonts w:hint="eastAsia" w:ascii="仿宋" w:hAnsi="仿宋" w:eastAsia="仿宋" w:cs="仿宋"/>
                <w:color w:val="auto"/>
                <w:spacing w:val="-6"/>
                <w:sz w:val="24"/>
                <w:szCs w:val="24"/>
                <w:highlight w:val="none"/>
              </w:rPr>
              <w:t>，内容应</w:t>
            </w:r>
            <w:r>
              <w:rPr>
                <w:rFonts w:hint="eastAsia" w:ascii="仿宋" w:hAnsi="仿宋" w:eastAsia="仿宋" w:cs="仿宋"/>
                <w:color w:val="auto"/>
                <w:spacing w:val="-6"/>
                <w:sz w:val="24"/>
                <w:szCs w:val="24"/>
                <w:highlight w:val="none"/>
                <w:lang w:val="en-US" w:eastAsia="zh-CN"/>
              </w:rPr>
              <w:t>为正面评价</w:t>
            </w:r>
            <w:r>
              <w:rPr>
                <w:rFonts w:hint="eastAsia" w:ascii="仿宋" w:hAnsi="仿宋" w:eastAsia="仿宋" w:cs="仿宋"/>
                <w:color w:val="auto"/>
                <w:spacing w:val="-6"/>
                <w:sz w:val="24"/>
                <w:szCs w:val="24"/>
                <w:highlight w:val="none"/>
              </w:rPr>
              <w:t>包括工程名称、工程规模、安装地点</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lang w:val="en-US" w:eastAsia="zh-CN"/>
              </w:rPr>
              <w:t>使用单位</w:t>
            </w:r>
            <w:r>
              <w:rPr>
                <w:rFonts w:hint="eastAsia" w:ascii="仿宋" w:hAnsi="仿宋" w:eastAsia="仿宋" w:cs="仿宋"/>
                <w:color w:val="auto"/>
                <w:spacing w:val="-6"/>
                <w:sz w:val="24"/>
                <w:szCs w:val="24"/>
                <w:highlight w:val="none"/>
              </w:rPr>
              <w:t>联系方式（固定电话）等</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。①②</w:t>
            </w:r>
            <w:r>
              <w:rPr>
                <w:rFonts w:hint="eastAsia" w:ascii="仿宋" w:hAnsi="仿宋" w:eastAsia="仿宋" w:cs="仿宋"/>
                <w:color w:val="auto"/>
                <w:spacing w:val="-6"/>
                <w:sz w:val="24"/>
                <w:szCs w:val="24"/>
                <w:highlight w:val="none"/>
                <w:lang w:val="en-US" w:eastAsia="zh-CN"/>
              </w:rPr>
              <w:t>③④四</w:t>
            </w:r>
            <w:r>
              <w:rPr>
                <w:rFonts w:hint="eastAsia" w:ascii="仿宋" w:hAnsi="仿宋" w:eastAsia="仿宋" w:cs="仿宋"/>
                <w:color w:val="auto"/>
                <w:spacing w:val="-6"/>
                <w:sz w:val="24"/>
                <w:szCs w:val="24"/>
                <w:highlight w:val="none"/>
              </w:rPr>
              <w:t>项内容所要求的资料都必须提供，缺一不可，否则不予认可</w:t>
            </w:r>
            <w:r>
              <w:rPr>
                <w:rFonts w:hint="eastAsia" w:ascii="仿宋" w:hAnsi="仿宋" w:eastAsia="仿宋" w:cs="仿宋"/>
                <w:color w:val="auto"/>
                <w:spacing w:val="-6"/>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其他重要设备的技术参数、性能指标（8分）</w:t>
            </w:r>
          </w:p>
          <w:p>
            <w:pPr>
              <w:pStyle w:val="7"/>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pacing w:val="-6"/>
                <w:kern w:val="2"/>
                <w:sz w:val="24"/>
                <w:szCs w:val="24"/>
                <w:highlight w:val="none"/>
                <w:lang w:val="en-US" w:eastAsia="zh-CN" w:bidi="ar"/>
              </w:rPr>
              <w:t>（主观）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闸门，根据其技术参数、性能指标的评分。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压榨机，根据其技术参数、性能指标的评分。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阀门、钢管、法兰盘、线缆等，根据其技术参数、性能指标的评分。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电气系统的选型，根据其技术参数、性能指标的评分。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33"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检测报告 （6分）</w:t>
            </w:r>
          </w:p>
          <w:p>
            <w:pPr>
              <w:pStyle w:val="7"/>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pacing w:val="-6"/>
                <w:kern w:val="2"/>
                <w:sz w:val="24"/>
                <w:szCs w:val="24"/>
                <w:highlight w:val="none"/>
                <w:lang w:val="en-US" w:eastAsia="zh-CN" w:bidi="ar"/>
              </w:rPr>
              <w:t>（客观）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6</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检测报告。提供投标产品第三方检测报告，检测报告必须是核心产品（水泵、格栅、除臭设备），每个类别最多2分，满分6分。</w:t>
            </w:r>
            <w:bookmarkStart w:id="435" w:name="_GoBack"/>
            <w:bookmarkEnd w:id="4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33" w:type="dxa"/>
            <w:noWrap w:val="0"/>
            <w:vAlign w:val="center"/>
          </w:tcPr>
          <w:p>
            <w:pPr>
              <w:pStyle w:val="7"/>
              <w:ind w:left="0" w:leftChars="0" w:firstLine="0" w:firstLineChars="0"/>
              <w:jc w:val="center"/>
              <w:rPr>
                <w:rFonts w:hint="eastAsia" w:ascii="仿宋" w:hAnsi="仿宋" w:eastAsia="仿宋" w:cs="仿宋"/>
                <w:b/>
                <w:bCs/>
                <w:color w:val="auto"/>
                <w:spacing w:val="-6"/>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SA"/>
              </w:rPr>
              <w:t>售后服务及相关承诺 （3分）</w:t>
            </w:r>
            <w:r>
              <w:rPr>
                <w:rFonts w:hint="eastAsia" w:ascii="仿宋" w:hAnsi="仿宋" w:eastAsia="仿宋" w:cs="仿宋"/>
                <w:b/>
                <w:bCs/>
                <w:color w:val="auto"/>
                <w:spacing w:val="-6"/>
                <w:kern w:val="2"/>
                <w:sz w:val="24"/>
                <w:szCs w:val="24"/>
                <w:highlight w:val="none"/>
                <w:lang w:val="en-US" w:eastAsia="zh-CN" w:bidi="ar"/>
              </w:rPr>
              <w:t>（客观）</w:t>
            </w:r>
          </w:p>
        </w:tc>
        <w:tc>
          <w:tcPr>
            <w:tcW w:w="836" w:type="dxa"/>
            <w:noWrap w:val="0"/>
            <w:vAlign w:val="center"/>
          </w:tcPr>
          <w:p>
            <w:pPr>
              <w:pStyle w:val="7"/>
              <w:ind w:left="0" w:leftChars="0" w:firstLine="0" w:firstLineChars="0"/>
              <w:jc w:val="center"/>
              <w:rPr>
                <w:rFonts w:hint="default" w:ascii="仿宋" w:hAnsi="仿宋" w:eastAsia="仿宋" w:cs="仿宋"/>
                <w:b/>
                <w:bCs/>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pStyle w:val="7"/>
              <w:ind w:left="0" w:leftChars="0" w:firstLine="0" w:firstLineChars="0"/>
              <w:jc w:val="left"/>
              <w:rPr>
                <w:rFonts w:hint="eastAsia" w:ascii="仿宋" w:hAnsi="仿宋" w:eastAsia="仿宋" w:cs="仿宋"/>
                <w:b/>
                <w:bCs/>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据投标人提供的售后服务方案、维护人员配备、承诺的技术培训和售后服务机构设置等情况，提供详细、完善的本地化长期售后服务的承诺情况，售后服务承诺的可行性、完整性以及保障措施，产品质量保证期内外的后续技术支持和维护能力情况等酌情打分。本项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拟投入人员及机电安装力量（7分）</w:t>
            </w:r>
          </w:p>
          <w:p>
            <w:pPr>
              <w:pStyle w:val="7"/>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pacing w:val="-6"/>
                <w:kern w:val="2"/>
                <w:sz w:val="24"/>
                <w:szCs w:val="24"/>
                <w:highlight w:val="none"/>
                <w:lang w:val="en-US" w:eastAsia="zh-CN" w:bidi="ar"/>
              </w:rPr>
              <w:t>（客观）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拟派技术负责人具有高级及以上职称的得2分，中级职称的得 1分，本项最多2分。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拟派项目负责人（一人）具有一级建造师资格的得2分，具有二级建造师资格的得1分，（建造师专业为水利工程或机电安装工程或市政工程）。本项最多得2分。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color w:val="auto"/>
                <w:highlight w:val="none"/>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具有机电安装专业工程三级及以上资质得3分。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深化方案、图纸    （10分）</w:t>
            </w:r>
          </w:p>
          <w:p>
            <w:pPr>
              <w:pStyle w:val="7"/>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pacing w:val="-6"/>
                <w:kern w:val="2"/>
                <w:sz w:val="24"/>
                <w:szCs w:val="24"/>
                <w:highlight w:val="none"/>
                <w:lang w:val="en-US" w:eastAsia="zh-CN" w:bidi="ar"/>
              </w:rPr>
              <w:t>（主观）</w:t>
            </w: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水泵、格栅、闸门、除臭的安装的深化方案（含图纸），一个得1分，满分3分。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编制具有针对性的临时排水方案（含图纸）、有限时间企业停水应急方案。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2</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default"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泵站淤泥清理方案。提供①淤泥处置单位资质证书、②拟投入特种作业人员证书。缺一不得分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p>
        </w:tc>
        <w:tc>
          <w:tcPr>
            <w:tcW w:w="83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3</w:t>
            </w:r>
          </w:p>
        </w:tc>
        <w:tc>
          <w:tcPr>
            <w:tcW w:w="7794"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结合本项目的特点，编制有针对性的安全措施方案，包括设备安全、人员安全（包括但不限于有限空间作业、防范触电、起重机吊装方案等）。</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方案内容详实、完整、叙述清楚且先进、合理、可操作性强，得3分；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方案内容较完整、叙述较清楚、有可操作性，得2分；</w:t>
            </w:r>
          </w:p>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pacing w:val="-6"/>
                <w:kern w:val="2"/>
                <w:sz w:val="24"/>
                <w:szCs w:val="24"/>
                <w:highlight w:val="none"/>
                <w:lang w:val="en-US" w:eastAsia="zh-CN" w:bidi="ar"/>
              </w:rPr>
            </w:pPr>
            <w:r>
              <w:rPr>
                <w:rFonts w:hint="eastAsia" w:ascii="仿宋" w:hAnsi="仿宋" w:eastAsia="仿宋" w:cs="仿宋"/>
                <w:color w:val="auto"/>
                <w:spacing w:val="-6"/>
                <w:kern w:val="2"/>
                <w:sz w:val="24"/>
                <w:szCs w:val="24"/>
                <w:highlight w:val="none"/>
                <w:lang w:val="en-US" w:eastAsia="zh-CN" w:bidi="ar"/>
              </w:rPr>
              <w:t>方案内容不完整、叙述混乱、不合理、可操作性不强，不得分。</w:t>
            </w:r>
          </w:p>
        </w:tc>
      </w:tr>
    </w:tbl>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注：</w:t>
      </w:r>
      <w:r>
        <w:rPr>
          <w:rFonts w:hint="eastAsia" w:ascii="仿宋" w:hAnsi="仿宋" w:eastAsia="仿宋" w:cs="仿宋"/>
          <w:b/>
          <w:bCs/>
          <w:color w:val="auto"/>
          <w:sz w:val="24"/>
          <w:highlight w:val="none"/>
        </w:rPr>
        <w:t>中标</w:t>
      </w:r>
      <w:r>
        <w:rPr>
          <w:rFonts w:hint="eastAsia" w:ascii="仿宋" w:hAnsi="仿宋" w:eastAsia="仿宋" w:cs="仿宋"/>
          <w:b/>
          <w:bCs/>
          <w:color w:val="auto"/>
          <w:sz w:val="24"/>
          <w:highlight w:val="none"/>
          <w:lang w:val="en-US" w:eastAsia="zh-CN"/>
        </w:rPr>
        <w:t>候选</w:t>
      </w:r>
      <w:r>
        <w:rPr>
          <w:rFonts w:hint="eastAsia" w:ascii="仿宋" w:hAnsi="仿宋" w:eastAsia="仿宋" w:cs="仿宋"/>
          <w:b/>
          <w:bCs/>
          <w:color w:val="auto"/>
          <w:sz w:val="24"/>
          <w:highlight w:val="none"/>
        </w:rPr>
        <w:t>人</w:t>
      </w:r>
      <w:r>
        <w:rPr>
          <w:rFonts w:hint="eastAsia" w:ascii="仿宋" w:hAnsi="仿宋" w:eastAsia="仿宋" w:cs="仿宋"/>
          <w:b/>
          <w:bCs/>
          <w:color w:val="auto"/>
          <w:sz w:val="24"/>
          <w:highlight w:val="none"/>
          <w:lang w:val="en-US" w:eastAsia="zh-CN"/>
        </w:rPr>
        <w:t>相应的材料（如业绩等证明材料）将进行网上公示。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24.2上述内容，商务技术文件未涉及的得0分。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24.3投标文件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24.4投标人应提供权威部门认定的各类有效证明文件及资料,未提供或者资料无效不得分，凡由采购人提出的有关供应商条件和采购项目对供应商的特定要求，由采购人负责查验材料的真伪。</w:t>
      </w:r>
    </w:p>
    <w:p>
      <w:pPr>
        <w:spacing w:line="360" w:lineRule="auto"/>
        <w:ind w:firstLine="482" w:firstLineChars="200"/>
        <w:outlineLvl w:val="0"/>
        <w:rPr>
          <w:rFonts w:ascii="仿宋" w:hAnsi="仿宋" w:eastAsia="仿宋"/>
          <w:b/>
          <w:color w:val="auto"/>
          <w:sz w:val="24"/>
          <w:highlight w:val="none"/>
        </w:rPr>
      </w:pPr>
      <w:r>
        <w:rPr>
          <w:rFonts w:hint="eastAsia" w:ascii="仿宋" w:hAnsi="仿宋" w:eastAsia="仿宋"/>
          <w:b/>
          <w:color w:val="auto"/>
          <w:sz w:val="24"/>
          <w:highlight w:val="none"/>
        </w:rPr>
        <w:t>25.综合得分=A+B</w:t>
      </w:r>
    </w:p>
    <w:p>
      <w:pPr>
        <w:spacing w:line="360" w:lineRule="auto"/>
        <w:ind w:firstLine="482" w:firstLineChars="200"/>
        <w:jc w:val="left"/>
        <w:rPr>
          <w:rFonts w:ascii="仿宋" w:hAnsi="仿宋" w:eastAsia="仿宋" w:cs="仿宋"/>
          <w:color w:val="auto"/>
          <w:sz w:val="24"/>
          <w:highlight w:val="none"/>
        </w:rPr>
        <w:sectPr>
          <w:pgSz w:w="11906" w:h="16838"/>
          <w:pgMar w:top="1440" w:right="1416" w:bottom="1440" w:left="1560" w:header="930" w:footer="992" w:gutter="0"/>
          <w:cols w:space="425" w:num="1"/>
          <w:docGrid w:type="lines" w:linePitch="312" w:charSpace="0"/>
        </w:sectPr>
      </w:pPr>
      <w:r>
        <w:rPr>
          <w:rFonts w:hint="eastAsia" w:ascii="仿宋" w:hAnsi="仿宋" w:eastAsia="仿宋" w:cs="仿宋"/>
          <w:b/>
          <w:bCs/>
          <w:color w:val="auto"/>
          <w:sz w:val="24"/>
          <w:highlight w:val="none"/>
        </w:rPr>
        <w:t>26.</w:t>
      </w:r>
      <w:r>
        <w:rPr>
          <w:rFonts w:hint="eastAsia" w:ascii="仿宋" w:hAnsi="仿宋" w:eastAsia="仿宋" w:cs="仿宋"/>
          <w:color w:val="auto"/>
          <w:sz w:val="24"/>
          <w:highlight w:val="none"/>
        </w:rPr>
        <w:t>采购代理机构有权对评标委员会各成员的评分情况和评审意见进行合理性和合规性审查，如发现评标委员会成员的评审意见带有明显倾向性，或不按规定程序和标准评审、计分的，评标委员会成员应进行书面澄清和说明；评标委员会成员拒不接受采购代理机构审查的，采购代理机构将向同级政府采购监督管理部门报告并予以处理。</w:t>
      </w:r>
    </w:p>
    <w:p>
      <w:pPr>
        <w:spacing w:line="360" w:lineRule="auto"/>
        <w:jc w:val="center"/>
        <w:outlineLvl w:val="0"/>
        <w:rPr>
          <w:rFonts w:ascii="仿宋" w:hAnsi="仿宋" w:eastAsia="仿宋" w:cs="仿宋_GB2312"/>
          <w:b/>
          <w:color w:val="auto"/>
          <w:sz w:val="36"/>
          <w:szCs w:val="36"/>
          <w:highlight w:val="none"/>
        </w:rPr>
      </w:pPr>
    </w:p>
    <w:p>
      <w:pPr>
        <w:spacing w:line="360" w:lineRule="auto"/>
        <w:jc w:val="center"/>
        <w:outlineLvl w:val="0"/>
        <w:rPr>
          <w:color w:val="auto"/>
          <w:highlight w:val="none"/>
        </w:rPr>
      </w:pPr>
      <w:r>
        <w:rPr>
          <w:rFonts w:hint="eastAsia" w:ascii="仿宋" w:hAnsi="仿宋" w:eastAsia="仿宋" w:cs="仿宋_GB2312"/>
          <w:b/>
          <w:color w:val="auto"/>
          <w:sz w:val="36"/>
          <w:szCs w:val="36"/>
          <w:highlight w:val="none"/>
        </w:rPr>
        <w:t>第五部分 拟签订的合同文本</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合同编号：</w:t>
      </w:r>
      <w:r>
        <w:rPr>
          <w:rFonts w:hint="eastAsia" w:ascii="仿宋" w:hAnsi="仿宋" w:eastAsia="仿宋"/>
          <w:color w:val="auto"/>
          <w:sz w:val="24"/>
          <w:highlight w:val="none"/>
          <w:u w:val="single"/>
        </w:rPr>
        <w:t xml:space="preserve">           </w:t>
      </w:r>
    </w:p>
    <w:p>
      <w:pPr>
        <w:pStyle w:val="25"/>
        <w:rPr>
          <w:rFonts w:ascii="仿宋" w:hAnsi="仿宋" w:eastAsia="仿宋"/>
          <w:color w:val="auto"/>
          <w:szCs w:val="24"/>
          <w:highlight w:val="none"/>
        </w:rPr>
      </w:pPr>
    </w:p>
    <w:p>
      <w:pPr>
        <w:pStyle w:val="25"/>
        <w:rPr>
          <w:rFonts w:ascii="仿宋" w:hAnsi="仿宋" w:eastAsia="仿宋"/>
          <w:color w:val="auto"/>
          <w:szCs w:val="24"/>
          <w:highlight w:val="none"/>
        </w:rPr>
      </w:pPr>
    </w:p>
    <w:p>
      <w:pPr>
        <w:spacing w:before="120" w:line="360" w:lineRule="auto"/>
        <w:rPr>
          <w:rFonts w:ascii="仿宋" w:hAnsi="仿宋" w:eastAsia="仿宋"/>
          <w:color w:val="auto"/>
          <w:sz w:val="24"/>
          <w:highlight w:val="none"/>
        </w:rPr>
      </w:pPr>
    </w:p>
    <w:p>
      <w:pPr>
        <w:spacing w:before="120" w:line="360" w:lineRule="auto"/>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hint="eastAsia" w:ascii="仿宋" w:hAnsi="仿宋" w:eastAsia="仿宋"/>
          <w:color w:val="auto"/>
          <w:sz w:val="24"/>
          <w:highlight w:val="none"/>
          <w:u w:val="single"/>
        </w:rPr>
        <w:t xml:space="preserve">                                   </w:t>
      </w:r>
    </w:p>
    <w:p>
      <w:pPr>
        <w:pStyle w:val="26"/>
        <w:spacing w:before="120"/>
        <w:rPr>
          <w:rFonts w:ascii="仿宋" w:hAnsi="仿宋" w:eastAsia="仿宋"/>
          <w:color w:val="auto"/>
          <w:szCs w:val="24"/>
          <w:highlight w:val="none"/>
        </w:rPr>
      </w:pPr>
    </w:p>
    <w:p>
      <w:pPr>
        <w:pStyle w:val="26"/>
        <w:spacing w:before="120"/>
        <w:rPr>
          <w:rFonts w:ascii="仿宋" w:hAnsi="仿宋" w:eastAsia="仿宋"/>
          <w:color w:val="auto"/>
          <w:szCs w:val="24"/>
          <w:highlight w:val="none"/>
        </w:rPr>
      </w:pPr>
    </w:p>
    <w:p>
      <w:pPr>
        <w:spacing w:line="360" w:lineRule="auto"/>
        <w:rPr>
          <w:rFonts w:ascii="仿宋" w:hAnsi="仿宋" w:eastAsia="仿宋"/>
          <w:color w:val="auto"/>
          <w:sz w:val="24"/>
          <w:highlight w:val="none"/>
        </w:rPr>
      </w:pPr>
    </w:p>
    <w:p>
      <w:pPr>
        <w:spacing w:before="120" w:line="360" w:lineRule="auto"/>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hint="eastAsia" w:ascii="仿宋" w:hAnsi="仿宋" w:eastAsia="仿宋"/>
          <w:color w:val="auto"/>
          <w:sz w:val="24"/>
          <w:highlight w:val="none"/>
          <w:u w:val="single"/>
        </w:rPr>
        <w:t xml:space="preserve">                                       </w:t>
      </w:r>
    </w:p>
    <w:p>
      <w:pPr>
        <w:spacing w:before="120" w:line="360" w:lineRule="auto"/>
        <w:rPr>
          <w:rFonts w:ascii="仿宋" w:hAnsi="仿宋" w:eastAsia="仿宋"/>
          <w:color w:val="auto"/>
          <w:sz w:val="24"/>
          <w:highlight w:val="none"/>
        </w:rPr>
      </w:pPr>
    </w:p>
    <w:p>
      <w:pPr>
        <w:spacing w:before="120" w:line="360" w:lineRule="auto"/>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hint="eastAsia" w:ascii="仿宋" w:hAnsi="仿宋" w:eastAsia="仿宋"/>
          <w:color w:val="auto"/>
          <w:sz w:val="24"/>
          <w:highlight w:val="none"/>
          <w:u w:val="single"/>
        </w:rPr>
        <w:t xml:space="preserve">                                       </w:t>
      </w:r>
    </w:p>
    <w:p>
      <w:pPr>
        <w:spacing w:before="120" w:line="360" w:lineRule="auto"/>
        <w:rPr>
          <w:rFonts w:ascii="仿宋" w:hAnsi="仿宋" w:eastAsia="仿宋"/>
          <w:color w:val="auto"/>
          <w:sz w:val="24"/>
          <w:highlight w:val="none"/>
        </w:rPr>
      </w:pPr>
    </w:p>
    <w:p>
      <w:pPr>
        <w:spacing w:before="120" w:line="360" w:lineRule="auto"/>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hint="eastAsia" w:ascii="仿宋" w:hAnsi="仿宋" w:eastAsia="仿宋"/>
          <w:color w:val="auto"/>
          <w:sz w:val="24"/>
          <w:highlight w:val="none"/>
          <w:u w:val="single"/>
        </w:rPr>
        <w:t xml:space="preserve">                                     </w:t>
      </w:r>
    </w:p>
    <w:p>
      <w:pPr>
        <w:spacing w:before="120" w:line="360" w:lineRule="auto"/>
        <w:rPr>
          <w:rFonts w:ascii="仿宋" w:hAnsi="仿宋" w:eastAsia="仿宋"/>
          <w:color w:val="auto"/>
          <w:sz w:val="24"/>
          <w:highlight w:val="none"/>
        </w:rPr>
      </w:pPr>
    </w:p>
    <w:p>
      <w:pPr>
        <w:spacing w:before="120" w:line="360" w:lineRule="auto"/>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autoSpaceDE w:val="0"/>
        <w:autoSpaceDN w:val="0"/>
        <w:spacing w:line="360" w:lineRule="auto"/>
        <w:ind w:firstLine="640"/>
        <w:jc w:val="center"/>
        <w:rPr>
          <w:rFonts w:ascii="仿宋" w:hAnsi="仿宋" w:eastAsia="仿宋"/>
          <w:color w:val="auto"/>
          <w:sz w:val="24"/>
          <w:highlight w:val="none"/>
        </w:rPr>
        <w:sectPr>
          <w:headerReference r:id="rId6" w:type="default"/>
          <w:footerReference r:id="rId7" w:type="default"/>
          <w:pgSz w:w="11907" w:h="16840"/>
          <w:pgMar w:top="1474" w:right="1134" w:bottom="1474" w:left="1418" w:header="930" w:footer="992" w:gutter="0"/>
          <w:cols w:space="720" w:num="1"/>
          <w:docGrid w:linePitch="462" w:charSpace="0"/>
        </w:sectPr>
      </w:pPr>
    </w:p>
    <w:p>
      <w:pPr>
        <w:spacing w:line="360" w:lineRule="auto"/>
        <w:ind w:firstLine="562" w:firstLineChars="200"/>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第一部分 合同书</w:t>
      </w:r>
    </w:p>
    <w:p>
      <w:pPr>
        <w:keepNext w:val="0"/>
        <w:keepLines w:val="0"/>
        <w:pageBreakBefore w:val="0"/>
        <w:kinsoku/>
        <w:wordWrap/>
        <w:overflowPunct/>
        <w:topLinePunct w:val="0"/>
        <w:bidi w:val="0"/>
        <w:adjustRightInd/>
        <w:snapToGrid/>
        <w:spacing w:line="360" w:lineRule="auto"/>
        <w:ind w:left="218" w:leftChars="104" w:firstLine="198" w:firstLineChars="87"/>
        <w:jc w:val="center"/>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（本合同为合同样稿，最终稿由三方协商后确定，合同实质性内容不得更改；签订合同时删除此行）</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甲方：杭州钱塘新区城市管理局</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地址：</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授权代表： </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联系人： </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联系电话：</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 xml:space="preserve"> </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乙方： </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地址：</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法定代表人：</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统一社会信用代码：</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授权代表：</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联系人： </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联系电话：</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 xml:space="preserve">根据《中华人民共和国政府采购法》、《中华人民共和国合同法》等相关法律法规、和  </w:t>
      </w:r>
      <w:r>
        <w:rPr>
          <w:rFonts w:hint="eastAsia" w:ascii="仿宋" w:hAnsi="仿宋" w:eastAsia="仿宋" w:cs="仿宋"/>
          <w:color w:val="auto"/>
          <w:spacing w:val="0"/>
          <w:kern w:val="0"/>
          <w:sz w:val="24"/>
          <w:szCs w:val="24"/>
          <w:highlight w:val="none"/>
          <w:u w:val="single"/>
          <w:lang w:val="en-US" w:eastAsia="zh-CN" w:bidi="ar"/>
        </w:rPr>
        <w:t>全区泵站提升改造工程</w:t>
      </w:r>
      <w:r>
        <w:rPr>
          <w:rFonts w:hint="eastAsia" w:ascii="仿宋" w:hAnsi="仿宋" w:eastAsia="仿宋" w:cs="仿宋"/>
          <w:color w:val="auto"/>
          <w:spacing w:val="0"/>
          <w:kern w:val="0"/>
          <w:sz w:val="24"/>
          <w:szCs w:val="24"/>
          <w:highlight w:val="none"/>
          <w:u w:val="none"/>
          <w:lang w:val="en-US" w:eastAsia="zh-CN" w:bidi="ar"/>
        </w:rPr>
        <w:t>设备采购项目</w:t>
      </w:r>
      <w:r>
        <w:rPr>
          <w:rFonts w:hint="eastAsia" w:ascii="仿宋" w:hAnsi="仿宋" w:eastAsia="仿宋" w:cs="仿宋"/>
          <w:color w:val="auto"/>
          <w:spacing w:val="0"/>
          <w:kern w:val="0"/>
          <w:sz w:val="24"/>
          <w:szCs w:val="24"/>
          <w:highlight w:val="none"/>
          <w:lang w:val="en-US" w:eastAsia="zh-CN" w:bidi="ar"/>
        </w:rPr>
        <w:t>（采购编号：</w:t>
      </w:r>
      <w:r>
        <w:rPr>
          <w:rFonts w:hint="eastAsia" w:ascii="仿宋" w:hAnsi="仿宋" w:eastAsia="仿宋" w:cs="仿宋"/>
          <w:color w:val="auto"/>
          <w:spacing w:val="0"/>
          <w:kern w:val="0"/>
          <w:sz w:val="24"/>
          <w:szCs w:val="24"/>
          <w:highlight w:val="none"/>
          <w:u w:val="single"/>
          <w:lang w:val="en-US" w:eastAsia="zh-CN" w:bidi="ar"/>
        </w:rPr>
        <w:t xml:space="preserve"> QTXQ-GK-2021-XXX </w:t>
      </w:r>
      <w:r>
        <w:rPr>
          <w:rFonts w:hint="eastAsia" w:ascii="仿宋" w:hAnsi="仿宋" w:eastAsia="仿宋" w:cs="仿宋"/>
          <w:color w:val="auto"/>
          <w:spacing w:val="0"/>
          <w:kern w:val="0"/>
          <w:sz w:val="24"/>
          <w:szCs w:val="24"/>
          <w:highlight w:val="none"/>
          <w:lang w:val="en-US" w:eastAsia="zh-CN" w:bidi="ar"/>
        </w:rPr>
        <w:t>）的中标情况，遵循平等、自愿、公平、诚实信用的原则，由采购单位（以下简称甲方）与经评审最终确定的成交供应商（以下简称乙方）结合本项目具体情况，经双方协商一致后达成以下条款:</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p>
    <w:p>
      <w:pPr>
        <w:keepNext w:val="0"/>
        <w:keepLines w:val="0"/>
        <w:pageBreakBefore w:val="0"/>
        <w:widowControl w:val="0"/>
        <w:numPr>
          <w:ilvl w:val="0"/>
          <w:numId w:val="8"/>
        </w:numPr>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kern w:val="0"/>
          <w:sz w:val="24"/>
          <w:szCs w:val="24"/>
          <w:highlight w:val="none"/>
          <w:lang w:val="en-US" w:eastAsia="zh-CN" w:bidi="ar"/>
        </w:rPr>
      </w:pPr>
      <w:r>
        <w:rPr>
          <w:rFonts w:hint="eastAsia" w:ascii="仿宋" w:hAnsi="仿宋" w:eastAsia="仿宋" w:cs="仿宋"/>
          <w:b/>
          <w:color w:val="auto"/>
          <w:spacing w:val="0"/>
          <w:kern w:val="0"/>
          <w:sz w:val="24"/>
          <w:szCs w:val="24"/>
          <w:highlight w:val="none"/>
          <w:lang w:val="en-US" w:eastAsia="zh-CN" w:bidi="ar"/>
        </w:rPr>
        <w:t>项目概况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0" w:afterAutospacing="0" w:line="360" w:lineRule="auto"/>
        <w:ind w:leftChars="0" w:right="0" w:rightChars="0" w:firstLine="480" w:firstLineChars="20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1、项目名称：</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leftChars="0" w:right="0" w:firstLine="420" w:firstLineChars="175"/>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2、项目地点：</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3、项目内容：</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4、承包方式：包工包料包安全</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第二条 工期</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工期：</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u w:val="single"/>
          <w:lang w:val="en-US" w:eastAsia="zh-CN" w:bidi="ar"/>
        </w:rPr>
        <w:tab/>
      </w:r>
      <w:r>
        <w:rPr>
          <w:rFonts w:hint="eastAsia" w:ascii="仿宋" w:hAnsi="仿宋" w:eastAsia="仿宋" w:cs="仿宋"/>
          <w:color w:val="auto"/>
          <w:spacing w:val="0"/>
          <w:kern w:val="0"/>
          <w:sz w:val="24"/>
          <w:szCs w:val="24"/>
          <w:highlight w:val="none"/>
          <w:lang w:val="en-US" w:eastAsia="zh-CN" w:bidi="ar"/>
        </w:rPr>
        <w:t>，乙方应在</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lang w:val="en-US" w:eastAsia="zh-CN" w:bidi="ar"/>
        </w:rPr>
        <w:t>前施工完毕并通过甲方的验收。具体开工时间以甲方书面通知为准。</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第三条 合同价款</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1、报价包括但不限于技术深化、设备材料设计/制造/购置费、安装及调试费、验收、质保期、技术支持、售后服务、与其它项目单位协作配合可能产生的费用和税金等费用。</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2、合同总价大写：   </w:t>
      </w:r>
      <w:r>
        <w:rPr>
          <w:rFonts w:hint="eastAsia" w:ascii="仿宋" w:hAnsi="仿宋" w:eastAsia="仿宋" w:cs="仿宋"/>
          <w:color w:val="auto"/>
          <w:spacing w:val="0"/>
          <w:kern w:val="0"/>
          <w:sz w:val="24"/>
          <w:szCs w:val="24"/>
          <w:highlight w:val="none"/>
          <w:lang w:val="en-US" w:eastAsia="zh-CN" w:bidi="ar"/>
        </w:rPr>
        <w:tab/>
      </w:r>
      <w:r>
        <w:rPr>
          <w:rFonts w:hint="eastAsia" w:ascii="仿宋" w:hAnsi="仿宋" w:eastAsia="仿宋" w:cs="仿宋"/>
          <w:color w:val="auto"/>
          <w:spacing w:val="0"/>
          <w:kern w:val="0"/>
          <w:sz w:val="24"/>
          <w:szCs w:val="24"/>
          <w:highlight w:val="none"/>
          <w:lang w:val="en-US" w:eastAsia="zh-CN" w:bidi="ar"/>
        </w:rPr>
        <w:t xml:space="preserve">小写：      </w:t>
      </w:r>
      <w:r>
        <w:rPr>
          <w:rFonts w:hint="eastAsia" w:ascii="仿宋" w:hAnsi="仿宋" w:eastAsia="仿宋" w:cs="仿宋"/>
          <w:color w:val="auto"/>
          <w:spacing w:val="0"/>
          <w:kern w:val="0"/>
          <w:sz w:val="24"/>
          <w:szCs w:val="24"/>
          <w:highlight w:val="none"/>
          <w:lang w:val="en-US" w:eastAsia="zh-CN" w:bidi="ar"/>
        </w:rPr>
        <w:tab/>
      </w:r>
      <w:r>
        <w:rPr>
          <w:rFonts w:hint="eastAsia" w:ascii="仿宋" w:hAnsi="仿宋" w:eastAsia="仿宋" w:cs="仿宋"/>
          <w:color w:val="auto"/>
          <w:spacing w:val="0"/>
          <w:kern w:val="0"/>
          <w:sz w:val="24"/>
          <w:szCs w:val="24"/>
          <w:highlight w:val="none"/>
          <w:lang w:val="en-US" w:eastAsia="zh-CN" w:bidi="ar"/>
        </w:rPr>
        <w:t>（人民币）（计价清单见乙方的中标报价清单）</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3、采购量暂按招标文件提供的招标清单确定，在项目竣工决算时，以监理签证、甲方核定的实际采购量按实决算。</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4、如发生税率调整，甲乙双方约定以不含税（含税）价格不变作为基准，调整增值税税额。   其他政策性调整，则视为“政府行为”的不可抗力。</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第四条</w:t>
      </w:r>
      <w:r>
        <w:rPr>
          <w:rFonts w:hint="eastAsia" w:ascii="仿宋" w:hAnsi="仿宋" w:eastAsia="仿宋" w:cs="仿宋"/>
          <w:b/>
          <w:color w:val="auto"/>
          <w:spacing w:val="0"/>
          <w:kern w:val="0"/>
          <w:sz w:val="24"/>
          <w:szCs w:val="24"/>
          <w:highlight w:val="none"/>
          <w:lang w:val="en-US" w:eastAsia="zh-CN" w:bidi="ar"/>
        </w:rPr>
        <w:tab/>
      </w:r>
      <w:r>
        <w:rPr>
          <w:rFonts w:hint="eastAsia" w:ascii="仿宋" w:hAnsi="仿宋" w:eastAsia="仿宋" w:cs="仿宋"/>
          <w:b/>
          <w:color w:val="auto"/>
          <w:spacing w:val="0"/>
          <w:kern w:val="0"/>
          <w:sz w:val="24"/>
          <w:szCs w:val="24"/>
          <w:highlight w:val="none"/>
          <w:lang w:val="en-US" w:eastAsia="zh-CN" w:bidi="ar"/>
        </w:rPr>
        <w:t>履约保证金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1、合同签定后 10 天内，乙方向甲方支付暂定合同总价 5%的金额作为履约保证金。项目全部内容履约完毕（含验收交付、伴随服务、以及必须的质保期内的售后服务），履约保证金无息退还。如有违约内容，则扣除相应违约款项后（全部违约款项超过了履约保证金金额的，从合同尾款应付部分扣除相应金额），无息退还。</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2、除电汇、支票等形式外，履约保证金及质量保证金也可采用经甲方认可的银行、保险公司出具的保函。</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第五条</w:t>
      </w:r>
      <w:r>
        <w:rPr>
          <w:rFonts w:hint="eastAsia" w:ascii="仿宋" w:hAnsi="仿宋" w:eastAsia="仿宋" w:cs="仿宋"/>
          <w:b/>
          <w:color w:val="auto"/>
          <w:spacing w:val="0"/>
          <w:kern w:val="0"/>
          <w:sz w:val="24"/>
          <w:szCs w:val="24"/>
          <w:highlight w:val="none"/>
          <w:lang w:val="en-US" w:eastAsia="zh-CN" w:bidi="ar"/>
        </w:rPr>
        <w:tab/>
      </w:r>
      <w:r>
        <w:rPr>
          <w:rFonts w:hint="eastAsia" w:ascii="仿宋" w:hAnsi="仿宋" w:eastAsia="仿宋" w:cs="仿宋"/>
          <w:b/>
          <w:color w:val="auto"/>
          <w:spacing w:val="0"/>
          <w:kern w:val="0"/>
          <w:sz w:val="24"/>
          <w:szCs w:val="24"/>
          <w:highlight w:val="none"/>
          <w:lang w:val="en-US" w:eastAsia="zh-CN" w:bidi="ar"/>
        </w:rPr>
        <w:t>付款方式</w:t>
      </w:r>
    </w:p>
    <w:p>
      <w:pPr>
        <w:pStyle w:val="21"/>
        <w:keepNext w:val="0"/>
        <w:keepLines w:val="0"/>
        <w:pageBreakBefore w:val="0"/>
        <w:widowControl/>
        <w:numPr>
          <w:ilvl w:val="0"/>
          <w:numId w:val="0"/>
        </w:numPr>
        <w:kinsoku/>
        <w:wordWrap/>
        <w:overflowPunct/>
        <w:topLinePunct w:val="0"/>
        <w:bidi w:val="0"/>
        <w:adjustRightInd/>
        <w:snapToGrid/>
        <w:spacing w:before="0" w:beforeAutospacing="0" w:after="0" w:afterAutospacing="0" w:line="360" w:lineRule="auto"/>
        <w:ind w:right="0" w:rightChars="0" w:firstLine="480" w:firstLineChars="20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en-US" w:eastAsia="zh-CN"/>
        </w:rPr>
        <w:t>1、</w:t>
      </w:r>
      <w:r>
        <w:rPr>
          <w:rFonts w:hint="eastAsia" w:ascii="仿宋" w:hAnsi="仿宋" w:eastAsia="仿宋" w:cs="仿宋"/>
          <w:color w:val="auto"/>
          <w:spacing w:val="0"/>
          <w:sz w:val="24"/>
          <w:szCs w:val="24"/>
          <w:highlight w:val="none"/>
        </w:rPr>
        <w:t>甲乙双方签订合同后</w:t>
      </w:r>
      <w:r>
        <w:rPr>
          <w:rFonts w:hint="eastAsia" w:ascii="仿宋" w:hAnsi="仿宋" w:eastAsia="仿宋" w:cs="仿宋"/>
          <w:color w:val="auto"/>
          <w:spacing w:val="0"/>
          <w:sz w:val="24"/>
          <w:szCs w:val="24"/>
          <w:highlight w:val="none"/>
          <w:lang w:val="en-US" w:eastAsia="zh-CN"/>
        </w:rPr>
        <w:t>30</w:t>
      </w:r>
      <w:r>
        <w:rPr>
          <w:rFonts w:hint="eastAsia" w:ascii="仿宋" w:hAnsi="仿宋" w:eastAsia="仿宋" w:cs="仿宋"/>
          <w:color w:val="auto"/>
          <w:spacing w:val="0"/>
          <w:sz w:val="24"/>
          <w:szCs w:val="24"/>
          <w:highlight w:val="none"/>
        </w:rPr>
        <w:t>天内，甲方向乙方支付暂定合同总价 30%的金额作为预付款；乙方将全部货物交付甲方，并通过甲方第一次履约验收后，甲方支付暂定合同总价 20%的款项；乙方全部系统安装调试完成，竣工决算通过，如乙方无违约情况并通过考核未扣分的情况下，甲方向乙方支付至决算价的 100%。</w:t>
      </w:r>
    </w:p>
    <w:p>
      <w:pPr>
        <w:pStyle w:val="21"/>
        <w:keepNext w:val="0"/>
        <w:keepLines w:val="0"/>
        <w:pageBreakBefore w:val="0"/>
        <w:widowControl/>
        <w:numPr>
          <w:ilvl w:val="0"/>
          <w:numId w:val="0"/>
        </w:numPr>
        <w:kinsoku/>
        <w:wordWrap/>
        <w:overflowPunct/>
        <w:topLinePunct w:val="0"/>
        <w:bidi w:val="0"/>
        <w:adjustRightInd/>
        <w:snapToGrid/>
        <w:spacing w:before="0" w:beforeAutospacing="0" w:after="0" w:afterAutospacing="0" w:line="360" w:lineRule="auto"/>
        <w:ind w:left="420" w:leftChars="0" w:right="0" w:rightChars="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en-US" w:eastAsia="zh-CN"/>
        </w:rPr>
        <w:t>2、</w:t>
      </w:r>
      <w:r>
        <w:rPr>
          <w:rFonts w:hint="eastAsia" w:ascii="仿宋" w:hAnsi="仿宋" w:eastAsia="仿宋" w:cs="仿宋"/>
          <w:color w:val="auto"/>
          <w:spacing w:val="0"/>
          <w:sz w:val="24"/>
          <w:szCs w:val="24"/>
          <w:highlight w:val="none"/>
        </w:rPr>
        <w:t>决算价由甲方、监理单位审核。如财政支付制度有要求的，决算价还需经财政部门审定后确认。</w:t>
      </w:r>
    </w:p>
    <w:p>
      <w:pPr>
        <w:pStyle w:val="21"/>
        <w:keepNext w:val="0"/>
        <w:keepLines w:val="0"/>
        <w:pageBreakBefore w:val="0"/>
        <w:widowControl/>
        <w:numPr>
          <w:ilvl w:val="0"/>
          <w:numId w:val="0"/>
        </w:numPr>
        <w:kinsoku/>
        <w:wordWrap/>
        <w:overflowPunct/>
        <w:topLinePunct w:val="0"/>
        <w:bidi w:val="0"/>
        <w:adjustRightInd/>
        <w:snapToGrid/>
        <w:spacing w:before="0" w:beforeAutospacing="0" w:after="0" w:afterAutospacing="0" w:line="360" w:lineRule="auto"/>
        <w:ind w:right="0" w:rightChars="0" w:firstLine="480" w:firstLineChars="20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甲方付款前，乙方应向甲方提供符合甲方要求的等额发票，否则甲方的付款期限相应顺延，乙方对此无异议且不得以此为由拒绝或迟延履行本合同项下的任何义务。</w:t>
      </w:r>
    </w:p>
    <w:p>
      <w:pPr>
        <w:pStyle w:val="21"/>
        <w:keepNext w:val="0"/>
        <w:keepLines w:val="0"/>
        <w:pageBreakBefore w:val="0"/>
        <w:widowControl/>
        <w:numPr>
          <w:ilvl w:val="0"/>
          <w:numId w:val="0"/>
        </w:numPr>
        <w:kinsoku/>
        <w:wordWrap/>
        <w:overflowPunct/>
        <w:topLinePunct w:val="0"/>
        <w:bidi w:val="0"/>
        <w:adjustRightInd/>
        <w:snapToGrid/>
        <w:spacing w:before="0" w:beforeAutospacing="0" w:after="0" w:afterAutospacing="0" w:line="360" w:lineRule="auto"/>
        <w:ind w:right="0" w:rightChars="0" w:firstLine="480" w:firstLineChars="20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en-US" w:eastAsia="zh-CN"/>
        </w:rPr>
        <w:t>3、</w:t>
      </w:r>
      <w:r>
        <w:rPr>
          <w:rFonts w:hint="eastAsia" w:ascii="仿宋" w:hAnsi="仿宋" w:eastAsia="仿宋" w:cs="仿宋"/>
          <w:color w:val="auto"/>
          <w:spacing w:val="0"/>
          <w:sz w:val="24"/>
          <w:szCs w:val="24"/>
          <w:highlight w:val="none"/>
        </w:rPr>
        <w:t>未提供发票、验收合格单等前述凭证，甲方无需支付任何费用且乙方不得以此为由拒绝或迟延履行任何义务。</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第六条</w:t>
      </w:r>
      <w:r>
        <w:rPr>
          <w:rFonts w:hint="eastAsia" w:ascii="仿宋" w:hAnsi="仿宋" w:eastAsia="仿宋" w:cs="仿宋"/>
          <w:b/>
          <w:color w:val="auto"/>
          <w:spacing w:val="0"/>
          <w:kern w:val="0"/>
          <w:sz w:val="24"/>
          <w:szCs w:val="24"/>
          <w:highlight w:val="none"/>
          <w:lang w:val="en-US" w:eastAsia="zh-CN" w:bidi="ar"/>
        </w:rPr>
        <w:tab/>
      </w:r>
      <w:r>
        <w:rPr>
          <w:rFonts w:hint="eastAsia" w:ascii="仿宋" w:hAnsi="仿宋" w:eastAsia="仿宋" w:cs="仿宋"/>
          <w:b/>
          <w:color w:val="auto"/>
          <w:spacing w:val="0"/>
          <w:kern w:val="0"/>
          <w:sz w:val="24"/>
          <w:szCs w:val="24"/>
          <w:highlight w:val="none"/>
          <w:lang w:val="en-US" w:eastAsia="zh-CN" w:bidi="ar"/>
        </w:rPr>
        <w:t>交货地点</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1、乙方应按甲方在上述指定的交货地点</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u w:val="single"/>
          <w:lang w:val="en-US" w:eastAsia="zh-CN" w:bidi="ar"/>
        </w:rPr>
        <w:tab/>
      </w:r>
      <w:r>
        <w:rPr>
          <w:rFonts w:hint="eastAsia" w:ascii="仿宋" w:hAnsi="仿宋" w:eastAsia="仿宋" w:cs="仿宋"/>
          <w:color w:val="auto"/>
          <w:spacing w:val="0"/>
          <w:kern w:val="0"/>
          <w:sz w:val="24"/>
          <w:szCs w:val="24"/>
          <w:highlight w:val="none"/>
          <w:lang w:val="en-US" w:eastAsia="zh-CN" w:bidi="ar"/>
        </w:rPr>
        <w:t>卸货。本合同为“交钥匙工程”，货物的卸货、保管等由乙方负责，甲方负责协调卸货场地。甲方必须保证交货地点是乙方机动车可以到达的位置，否则乙方有权拒绝卸货。</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2、产品在到达甲方所要求上述地点交货前的运输、保险等事项均由乙方办理，并由乙方自行承担交货验收合格前的一切费用和风险。</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第七条</w:t>
      </w:r>
      <w:r>
        <w:rPr>
          <w:rFonts w:hint="eastAsia" w:ascii="仿宋" w:hAnsi="仿宋" w:eastAsia="仿宋" w:cs="仿宋"/>
          <w:b/>
          <w:color w:val="auto"/>
          <w:spacing w:val="0"/>
          <w:kern w:val="0"/>
          <w:sz w:val="24"/>
          <w:szCs w:val="24"/>
          <w:highlight w:val="none"/>
          <w:lang w:val="en-US" w:eastAsia="zh-CN" w:bidi="ar"/>
        </w:rPr>
        <w:tab/>
      </w:r>
      <w:r>
        <w:rPr>
          <w:rFonts w:hint="eastAsia" w:ascii="仿宋" w:hAnsi="仿宋" w:eastAsia="仿宋" w:cs="仿宋"/>
          <w:b/>
          <w:color w:val="auto"/>
          <w:spacing w:val="0"/>
          <w:kern w:val="0"/>
          <w:sz w:val="24"/>
          <w:szCs w:val="24"/>
          <w:highlight w:val="none"/>
          <w:lang w:val="en-US" w:eastAsia="zh-CN" w:bidi="ar"/>
        </w:rPr>
        <w:t>产品质量的要求</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乙方必须保证所提供设备是原厂生产的、全新的、未使用过的完全符合招标文件的质量、规格和性能的要求；设备中采用的主要的、核心的、关键的元件及技术标准与《设备及主要材料配置明细表》的内容一致。否则，乙方除及时更换符合标准的设备外，还需支付甲方合同总价的10%作为违约金。</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2、必须达到或超过国家、行业标准并符合招标文件的要求。</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3、履约期间，甲方可以任意抽取主设备对配置进行检验，如果检验质量得不到相关标准要求，甲方有权认为其产品不合格，乙方应及时提供合格的产品，在收到甲方通知后 7 日内还不能提供的，则乙方应向甲方支付违约金，违约金为合同标的额的 5%，违约金不足以弥补甲方损失的，乙方应当补足。</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第八条 产品的交货验收及保管方式</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乙方根据施工图纸及报价时确定的材料品牌和相应的规范要求采购工程所需的材料、设备，并提供产品的合格证、产品检验报告、质量信誉卡、保修书、使用说明等有关证明文件，未经甲方许可，材料品牌不允须调整。材料、设备到货前 24 小时，乙方以书面形式通知甲方组织验收。</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2、货物到货时，包装必须完好无缺，产品包装要求包装包括规格型号、产品种类、数量等，货物在安装完成验收通过前丢失、损坏的，相关风险由乙方承担。</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8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3、严格按照采购文件开展履约验收。甲方成立验收小组，按照采购合同的约定对乙方履约情况进行验收。验收时，按照采购合同的约定对技术、服务、安全标准等履约情况进行确认。验收结束后出具验收书，列明各项标准的验收情况及项目总体评价，由验收双方共同签署。本项目   共分二次验收：一次为到货验收，一次为竣工验收。</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4、验收合格的项目，甲方将根据采购合同的约定及时向乙方支付采购资金、退还履约保证金。</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default" w:ascii="仿宋" w:hAnsi="仿宋" w:eastAsia="仿宋" w:cs="仿宋"/>
          <w:b/>
          <w:color w:val="auto"/>
          <w:spacing w:val="0"/>
          <w:sz w:val="24"/>
          <w:szCs w:val="24"/>
          <w:highlight w:val="none"/>
          <w:lang w:val="en-US"/>
        </w:rPr>
      </w:pPr>
      <w:r>
        <w:rPr>
          <w:rFonts w:hint="eastAsia" w:ascii="仿宋" w:hAnsi="仿宋" w:eastAsia="仿宋" w:cs="仿宋"/>
          <w:color w:val="auto"/>
          <w:spacing w:val="0"/>
          <w:kern w:val="0"/>
          <w:sz w:val="24"/>
          <w:szCs w:val="24"/>
          <w:highlight w:val="none"/>
          <w:lang w:val="en-US" w:eastAsia="zh-CN" w:bidi="ar"/>
        </w:rPr>
        <w:t>5、甲方产品通过交货验收后原则上视为本批次的产品质量为合格产品，具体以安装及使用结果为准。在安装及使用过程中发现质量问题的，乙方必须承担其产品质量的责任和义务，乙方应根据甲方要求及时予以退换货，存在违约情形的，还应承担相应的违约责任指定</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1、甲方负责提供施工现场。</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2、在乙方保质保量地履行本合同义务的情况下，按合同约定支付价款。</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3、提供施工电源及水源接入点，但水、电费由乙方自行承担。</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4、项目开展过程中，甲方负责（或授权监理单位负责）检查监督工程质量，督促施工进度，对乙方予以考核。</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5、甲方负责提供有关资料，做好施工期间协调工作。</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6、甲方按有关技术规范及要求对乙方施工的质量、数量进行验收存档。  </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第九条</w:t>
      </w:r>
      <w:r>
        <w:rPr>
          <w:rFonts w:hint="eastAsia" w:ascii="仿宋" w:hAnsi="仿宋" w:eastAsia="仿宋" w:cs="仿宋"/>
          <w:b/>
          <w:color w:val="auto"/>
          <w:spacing w:val="0"/>
          <w:kern w:val="0"/>
          <w:sz w:val="24"/>
          <w:szCs w:val="24"/>
          <w:highlight w:val="none"/>
          <w:lang w:val="en-US" w:eastAsia="zh-CN" w:bidi="ar"/>
        </w:rPr>
        <w:tab/>
      </w:r>
      <w:r>
        <w:rPr>
          <w:rFonts w:hint="eastAsia" w:ascii="仿宋" w:hAnsi="仿宋" w:eastAsia="仿宋" w:cs="仿宋"/>
          <w:b/>
          <w:color w:val="auto"/>
          <w:spacing w:val="0"/>
          <w:kern w:val="0"/>
          <w:sz w:val="24"/>
          <w:szCs w:val="24"/>
          <w:highlight w:val="none"/>
          <w:lang w:val="en-US" w:eastAsia="zh-CN" w:bidi="ar"/>
        </w:rPr>
        <w:t>乙方职责与义务</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乙方安排专业人员配合甲方完善整体方案、施工图并按有关技术规范进行施工，确保项目质量。甲乙双方确认最终图纸及方案后，乙方提供详细的施工图纸，经甲方书面认可后，严格按照甲方确认的施工图纸和相关的施工规范及标准施工。如有设计变更，必须经甲方书面确认后方可施工。</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2、乙方在开工之前，提前十日以书面形式提供设备安装施工进度计划及施工组织设计。项目开展期间，乙方应服从甲方、监理工作的进度要求，及时进场并保证工期。</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3、乙方按照合同约定的开工时间及时组织人员和设备进场，并按甲方认可的材料、施工规范及施工标准施工、并随时接受甲方检查。乙方采购的材料及设备，须符合中标设备清单表中的品牌、规格、数量，并经甲方验收合格后方可使用，同时必须保证按期完工。</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4、乙方对设备检修口提出尺寸要求，具体作业由土建单位实施。</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5、项目施工期间，乙方以图片、视频、文字内容等形式，每周定期出具项目进展情况总结，包括工作量、工作数据、工作小结等。项目开展当中有新技术新工艺等情形的，需及时上报甲方确认。</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6、安全文明施工：在工程的施工及存续期间，严格按照相应的安全操作规程施工。财产安全、施工环境安全保护、施工人员安全、第三者安全等，一切由乙方负责，如发生安全事故，一切直接经济损失和间接损失由乙方承担，并赔偿由此给甲方带来的全部损失。</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7、对乙方项目经理的授权范围如下：代表乙方全面负责本项目的质量、安全、工期及成本控制，做好本项目施工管理、协调和监督工作，行使并履行本合同明确约定或合理推定的工程师的全部权力和职责，受理与其相关的所有通知、指示、同意、批准、证书、决定及其通讯联络。乙方项目经理易人的，必须提前 5 天书面通知甲方并征得甲方同意。擅自更换的，每发生一次乙方应向甲方支付</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lang w:val="en-US" w:eastAsia="zh-CN" w:bidi="ar"/>
        </w:rPr>
        <w:t>元违约金并赔偿甲方因此产生的一切损失。</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8、进行重要施工工序或环节时，项目经理、技术负责人等必须到场。</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9、工程交付甲方之前，乙方负责已完工的成品及半成品的保护（包括原有建筑物成品的保护），工程风险自本合同约定开工之日开始，乙方向甲方交付经甲方验收合格的工程之日起转移。</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10、保护现场清洁，做到工完清场，文明施工。</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11、乙方负责无偿培训甲方人员，能熟练操作设备。</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第十条</w:t>
      </w:r>
      <w:r>
        <w:rPr>
          <w:rFonts w:hint="eastAsia" w:ascii="仿宋" w:hAnsi="仿宋" w:eastAsia="仿宋" w:cs="仿宋"/>
          <w:b/>
          <w:color w:val="auto"/>
          <w:spacing w:val="0"/>
          <w:kern w:val="0"/>
          <w:sz w:val="24"/>
          <w:szCs w:val="24"/>
          <w:highlight w:val="none"/>
          <w:lang w:val="en-US" w:eastAsia="zh-CN" w:bidi="ar"/>
        </w:rPr>
        <w:tab/>
      </w:r>
      <w:r>
        <w:rPr>
          <w:rFonts w:hint="eastAsia" w:ascii="仿宋" w:hAnsi="仿宋" w:eastAsia="仿宋" w:cs="仿宋"/>
          <w:b/>
          <w:color w:val="auto"/>
          <w:spacing w:val="0"/>
          <w:kern w:val="0"/>
          <w:sz w:val="24"/>
          <w:szCs w:val="24"/>
          <w:highlight w:val="none"/>
          <w:lang w:val="en-US" w:eastAsia="zh-CN" w:bidi="ar"/>
        </w:rPr>
        <w:t>合同变更</w:t>
      </w:r>
    </w:p>
    <w:p>
      <w:pPr>
        <w:spacing w:line="360" w:lineRule="auto"/>
        <w:ind w:firstLine="480" w:firstLineChars="200"/>
        <w:rPr>
          <w:rFonts w:hint="eastAsia" w:ascii="仿宋_GB2312" w:hAnsi="楷体" w:eastAsia="仿宋_GB2312"/>
          <w:color w:val="auto"/>
          <w:sz w:val="24"/>
          <w:highlight w:val="none"/>
          <w:lang w:val="en-US" w:eastAsia="zh-CN"/>
        </w:rPr>
      </w:pPr>
      <w:r>
        <w:rPr>
          <w:rFonts w:hint="eastAsia" w:ascii="仿宋_GB2312" w:hAnsi="楷体" w:eastAsia="仿宋_GB2312"/>
          <w:color w:val="auto"/>
          <w:sz w:val="24"/>
          <w:highlight w:val="none"/>
          <w:lang w:val="en-US" w:eastAsia="zh-CN"/>
        </w:rPr>
        <w:t>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auto"/>
        <w:ind w:firstLine="480" w:firstLineChars="200"/>
        <w:rPr>
          <w:rFonts w:hint="eastAsia" w:ascii="仿宋_GB2312" w:hAnsi="楷体" w:eastAsia="仿宋_GB2312"/>
          <w:color w:val="auto"/>
          <w:sz w:val="24"/>
          <w:highlight w:val="none"/>
          <w:lang w:val="en-US" w:eastAsia="zh-CN"/>
        </w:rPr>
      </w:pPr>
      <w:r>
        <w:rPr>
          <w:rFonts w:hint="eastAsia" w:ascii="仿宋_GB2312" w:hAnsi="楷体" w:eastAsia="仿宋_GB2312"/>
          <w:color w:val="auto"/>
          <w:sz w:val="24"/>
          <w:highlight w:val="none"/>
          <w:lang w:val="en-US" w:eastAsia="zh-CN"/>
        </w:rPr>
        <w:t>2、合同继续履行将损害国家利益和社会公共利益的，双方当事人应当以书面形式变更合同。有过错的一方应当承担赔偿责任，双方当事人都有过错的，各自承担相应的责任。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第十一条  隐蔽工程验收检查及返工</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工程具备隐蔽条件时，乙方自检合格后提前 12 小时书面通知监理方及甲方共同进行隐蔽工程的检查和验收，并形成隐蔽验收记录。如未通知验收或者验收不合格，乙方即自行进行下一工序的，甲方有权要求返工，费用由乙方承担，工期不顺延。</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第十二条  竣工验收</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1、工程具备竣工验收条件后，乙方向监理方提供完整的竣工资料。监理方在收到完整、合格的竣工资料后 3 天内，组织有关人员验收，并在验收后 3 天内给予批准接受或提出修改意见。</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2、验收标准：现场调试使用，工程质量及使用功能必须达到国家规定的合格等级，并且符合国家、行业、地方标准。因乙方原因未达到质量标准的，乙方承担全部返工费用，工期不顺延。</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3、工程未验收合格，乙方必须及时整改。不符合交付条件或提交的交付文件不符合本合同约定的，甲方有权注明原因并拒绝接受工程。</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第十三条  培训</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乙方须向甲方提供设备操作及维修培训，包括管理、操作人员各 2 名，维修人员 2 名。乙方须提供详细的培训计划,包括培训内容、培训时间等。</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乙方提供的负责培训的人员应具备同类产品</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u w:val="single"/>
          <w:lang w:val="en-US" w:eastAsia="zh-CN" w:bidi="ar"/>
        </w:rPr>
        <w:tab/>
      </w:r>
      <w:r>
        <w:rPr>
          <w:rFonts w:hint="eastAsia" w:ascii="仿宋" w:hAnsi="仿宋" w:eastAsia="仿宋" w:cs="仿宋"/>
          <w:color w:val="auto"/>
          <w:spacing w:val="0"/>
          <w:kern w:val="0"/>
          <w:sz w:val="24"/>
          <w:szCs w:val="24"/>
          <w:highlight w:val="none"/>
          <w:lang w:val="en-US" w:eastAsia="zh-CN" w:bidi="ar"/>
        </w:rPr>
        <w:t>年以上的实际维修经历和丰富经验，并具有培训能力。</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第十四条 违约责任</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1、乙方未按合同约定履行义务，造成质量低下、进度迟缓、管理混乱或将中标项目转让（转包给他人），甲方有权解除合同，乙方应向甲方支付</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lang w:val="en-US" w:eastAsia="zh-CN" w:bidi="ar"/>
        </w:rPr>
        <w:t>元违约金，违约金不足以弥补甲方损失的，乙方应补足。</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2、乙方工程进度不符合合同约定的，乙方每延误工程一天，按合同额每日千分之三支付违约金。延期超过三十天的，甲方有权解除合同并没收履约保证金。同时乙方应向甲方支付</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lang w:val="en-US" w:eastAsia="zh-CN" w:bidi="ar"/>
        </w:rPr>
        <w:t>元违约金，违约金不足以弥补甲方损失的，乙方应补足。由于甲方原因影响工程进度的，工期予以顺延。</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pacing w:val="0"/>
          <w:kern w:val="0"/>
          <w:sz w:val="24"/>
          <w:szCs w:val="24"/>
          <w:highlight w:val="none"/>
          <w:lang w:val="en-US" w:eastAsia="zh-CN" w:bidi="ar"/>
        </w:rPr>
        <w:t>3、</w:t>
      </w:r>
      <w:r>
        <w:rPr>
          <w:rFonts w:hint="eastAsia" w:ascii="仿宋" w:hAnsi="仿宋" w:eastAsia="仿宋" w:cs="仿宋"/>
          <w:color w:val="auto"/>
          <w:sz w:val="24"/>
          <w:szCs w:val="24"/>
          <w:highlight w:val="none"/>
          <w:lang w:val="en-US" w:eastAsia="zh-CN"/>
        </w:rPr>
        <w:t>乙方需确保提供产品相关资料的真实性。若乙方提供的资料存在弄虚作假的情况，甲方有权解除合同，并有权保留追究责任的权利。</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4、乙方采购的材料、设备到货后，必须附产品合格证及产品质量保证书等资料。乙方在规定时间内提交的，按逾期一天一千元违约金计算</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材料、设备在收货、安装及使用过程中，甲方有权要求乙方将相关设备运至甲方指定的检测机构对设备进行检测，相应的检测费用由乙方承担，若检测的结果与招标文件、图纸等相应参数要求不符合或有质量问题，乙方应无条件更换，并承担相应费用及扣除履约保证金等责任，若二次检测不符合相关要求，甲方有权单方解除合同，并扣除全部履约保证金。</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6、工程质量保证合格，施工过程中，未按设计、规范施工而造成质量低劣及因施工单位原因造成工程进度无故推迟，经三次指出整改无效，甲方有权责令乙方清场，</w:t>
      </w:r>
      <w:r>
        <w:rPr>
          <w:rFonts w:hint="eastAsia" w:ascii="仿宋" w:hAnsi="仿宋" w:eastAsia="仿宋" w:cs="仿宋"/>
          <w:color w:val="auto"/>
          <w:spacing w:val="0"/>
          <w:kern w:val="0"/>
          <w:sz w:val="24"/>
          <w:szCs w:val="24"/>
          <w:highlight w:val="none"/>
          <w:lang w:val="en-US" w:eastAsia="zh-CN" w:bidi="ar"/>
        </w:rPr>
        <w:t>甲方有权解除合同并没收履约保证金</w:t>
      </w:r>
      <w:r>
        <w:rPr>
          <w:rFonts w:hint="eastAsia" w:ascii="仿宋" w:hAnsi="仿宋" w:eastAsia="仿宋" w:cs="仿宋"/>
          <w:color w:val="auto"/>
          <w:kern w:val="2"/>
          <w:sz w:val="24"/>
          <w:szCs w:val="24"/>
          <w:highlight w:val="none"/>
          <w:lang w:val="en-US" w:eastAsia="zh-CN" w:bidi="ar-SA"/>
        </w:rPr>
        <w:t>。</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7、乙方提交详细施工组织设计和施工专项方案的期限的约定：</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firstLine="720" w:firstLineChars="3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7.1合同签订完成之日起10天内完成提供详细且具有针对性的施工组织设计和施工专项方案，逾期不提交的，每逾期一日，向发包人支付一千元违约金，因此影响工程施工的，甲方有权单方解除合同，并扣完履约保证金。</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firstLine="720" w:firstLineChars="3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7.2甲方和监理人在收到详细的施工组织设计后确认或提出修改意见的期限：监理人及甲方收到施工组织设计之日起7日内审核批准或提出修改意见，乙方修改后再行提交审核。监理及发包人对施工组织设计方案的确认是对施工组织设计方案可行性的确认，并不是对所涉费用的确认，也不免除乙方对施工组织设计方案应承担的责任。</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firstLine="720" w:firstLineChars="300"/>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7.3施工专项方案由监理单位确认完成后7日内，乙方应组织不少于5名及以上单数的专家对专项方案进行论证，相关专家须报甲方认可，并承担相应的费用。</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8、在施工过程中，对职能部门、建设、监理、设计等单位提出的整改意见，应及时整改并回复，因整改不力或不及时整改，每次发包人对乙方扣款一千至一万元罚金。相关扣款在结算款中予以扣除。</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9、乙方被有关部门报批、警告、抄告、罚款等，乙方承担一切责任，并每被查处一次，每次发包人对乙方扣款五千元罚金，相关扣款在结算款中予以扣除</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10、乙方</w:t>
      </w:r>
      <w:r>
        <w:rPr>
          <w:rFonts w:hint="default" w:ascii="仿宋" w:hAnsi="仿宋" w:eastAsia="仿宋" w:cs="仿宋"/>
          <w:color w:val="auto"/>
          <w:kern w:val="2"/>
          <w:sz w:val="24"/>
          <w:szCs w:val="24"/>
          <w:highlight w:val="none"/>
          <w:lang w:val="en-US" w:eastAsia="zh-CN" w:bidi="ar-SA"/>
        </w:rPr>
        <w:t>上报的主要施工管理人员擅自离开施工现场的违约责任：主要施工管理人员因故不能到工地或不能参加例会，应提前24小时以书面形式向发包人或监理人请假并在获得批准后方可缺席，否则，每次处以一千元的罚金，相关扣款在当期工程款中扣除。</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r>
        <w:rPr>
          <w:rFonts w:hint="default" w:ascii="仿宋" w:hAnsi="仿宋" w:eastAsia="仿宋" w:cs="仿宋"/>
          <w:color w:val="auto"/>
          <w:kern w:val="2"/>
          <w:sz w:val="24"/>
          <w:szCs w:val="24"/>
          <w:highlight w:val="none"/>
          <w:lang w:val="en-US" w:eastAsia="zh-CN" w:bidi="ar-SA"/>
        </w:rPr>
        <w:t>、</w:t>
      </w:r>
      <w:r>
        <w:rPr>
          <w:rFonts w:hint="eastAsia" w:ascii="仿宋" w:hAnsi="仿宋" w:eastAsia="仿宋" w:cs="仿宋"/>
          <w:color w:val="auto"/>
          <w:kern w:val="2"/>
          <w:sz w:val="24"/>
          <w:szCs w:val="24"/>
          <w:highlight w:val="none"/>
          <w:lang w:val="en-US" w:eastAsia="zh-CN" w:bidi="ar-SA"/>
        </w:rPr>
        <w:t>甲方</w:t>
      </w:r>
      <w:r>
        <w:rPr>
          <w:rFonts w:hint="default" w:ascii="仿宋" w:hAnsi="仿宋" w:eastAsia="仿宋" w:cs="仿宋"/>
          <w:color w:val="auto"/>
          <w:kern w:val="2"/>
          <w:sz w:val="24"/>
          <w:szCs w:val="24"/>
          <w:highlight w:val="none"/>
          <w:lang w:val="en-US" w:eastAsia="zh-CN" w:bidi="ar-SA"/>
        </w:rPr>
        <w:t>有权要求</w:t>
      </w:r>
      <w:r>
        <w:rPr>
          <w:rFonts w:hint="eastAsia" w:ascii="仿宋" w:hAnsi="仿宋" w:eastAsia="仿宋" w:cs="仿宋"/>
          <w:color w:val="auto"/>
          <w:kern w:val="2"/>
          <w:sz w:val="24"/>
          <w:szCs w:val="24"/>
          <w:highlight w:val="none"/>
          <w:lang w:val="en-US" w:eastAsia="zh-CN" w:bidi="ar-SA"/>
        </w:rPr>
        <w:t>乙方</w:t>
      </w:r>
      <w:r>
        <w:rPr>
          <w:rFonts w:hint="default" w:ascii="仿宋" w:hAnsi="仿宋" w:eastAsia="仿宋" w:cs="仿宋"/>
          <w:color w:val="auto"/>
          <w:kern w:val="2"/>
          <w:sz w:val="24"/>
          <w:szCs w:val="24"/>
          <w:highlight w:val="none"/>
          <w:lang w:val="en-US" w:eastAsia="zh-CN" w:bidi="ar-SA"/>
        </w:rPr>
        <w:t>撤换</w:t>
      </w:r>
      <w:r>
        <w:rPr>
          <w:rFonts w:hint="eastAsia" w:ascii="仿宋" w:hAnsi="仿宋" w:eastAsia="仿宋" w:cs="仿宋"/>
          <w:color w:val="auto"/>
          <w:kern w:val="2"/>
          <w:sz w:val="24"/>
          <w:szCs w:val="24"/>
          <w:highlight w:val="none"/>
          <w:lang w:val="en-US" w:eastAsia="zh-CN" w:bidi="ar-SA"/>
        </w:rPr>
        <w:t>不配合发包人工作</w:t>
      </w:r>
      <w:r>
        <w:rPr>
          <w:rFonts w:hint="default" w:ascii="仿宋" w:hAnsi="仿宋" w:eastAsia="仿宋" w:cs="仿宋"/>
          <w:color w:val="auto"/>
          <w:kern w:val="2"/>
          <w:sz w:val="24"/>
          <w:szCs w:val="24"/>
          <w:highlight w:val="none"/>
          <w:lang w:val="en-US" w:eastAsia="zh-CN" w:bidi="ar-SA"/>
        </w:rPr>
        <w:t>、管理不力、贻误工期</w:t>
      </w:r>
      <w:r>
        <w:rPr>
          <w:rFonts w:hint="eastAsia" w:ascii="仿宋" w:hAnsi="仿宋" w:eastAsia="仿宋" w:cs="仿宋"/>
          <w:color w:val="auto"/>
          <w:kern w:val="2"/>
          <w:sz w:val="24"/>
          <w:szCs w:val="24"/>
          <w:highlight w:val="none"/>
          <w:lang w:val="en-US" w:eastAsia="zh-CN" w:bidi="ar-SA"/>
        </w:rPr>
        <w:t>、</w:t>
      </w:r>
      <w:r>
        <w:rPr>
          <w:rFonts w:hint="default" w:ascii="仿宋" w:hAnsi="仿宋" w:eastAsia="仿宋" w:cs="仿宋"/>
          <w:color w:val="auto"/>
          <w:kern w:val="2"/>
          <w:sz w:val="24"/>
          <w:szCs w:val="24"/>
          <w:highlight w:val="none"/>
          <w:lang w:val="en-US" w:eastAsia="zh-CN" w:bidi="ar-SA"/>
        </w:rPr>
        <w:t>造成安全事故和工程质量事故、违法乱纪的项目负责人，</w:t>
      </w:r>
      <w:r>
        <w:rPr>
          <w:rFonts w:hint="eastAsia" w:ascii="仿宋" w:hAnsi="仿宋" w:eastAsia="仿宋" w:cs="仿宋"/>
          <w:color w:val="auto"/>
          <w:kern w:val="2"/>
          <w:sz w:val="24"/>
          <w:szCs w:val="24"/>
          <w:highlight w:val="none"/>
          <w:lang w:val="en-US" w:eastAsia="zh-CN" w:bidi="ar-SA"/>
        </w:rPr>
        <w:t>乙方</w:t>
      </w:r>
      <w:r>
        <w:rPr>
          <w:rFonts w:hint="default" w:ascii="仿宋" w:hAnsi="仿宋" w:eastAsia="仿宋" w:cs="仿宋"/>
          <w:color w:val="auto"/>
          <w:kern w:val="2"/>
          <w:sz w:val="24"/>
          <w:szCs w:val="24"/>
          <w:highlight w:val="none"/>
          <w:lang w:val="en-US" w:eastAsia="zh-CN" w:bidi="ar-SA"/>
        </w:rPr>
        <w:t>应在24小时内作出更换，直至</w:t>
      </w:r>
      <w:r>
        <w:rPr>
          <w:rFonts w:hint="eastAsia" w:ascii="仿宋" w:hAnsi="仿宋" w:eastAsia="仿宋" w:cs="仿宋"/>
          <w:color w:val="auto"/>
          <w:kern w:val="2"/>
          <w:sz w:val="24"/>
          <w:szCs w:val="24"/>
          <w:highlight w:val="none"/>
          <w:lang w:val="en-US" w:eastAsia="zh-CN" w:bidi="ar-SA"/>
        </w:rPr>
        <w:t>甲方</w:t>
      </w:r>
      <w:r>
        <w:rPr>
          <w:rFonts w:hint="default" w:ascii="仿宋" w:hAnsi="仿宋" w:eastAsia="仿宋" w:cs="仿宋"/>
          <w:color w:val="auto"/>
          <w:kern w:val="2"/>
          <w:sz w:val="24"/>
          <w:szCs w:val="24"/>
          <w:highlight w:val="none"/>
          <w:lang w:val="en-US" w:eastAsia="zh-CN" w:bidi="ar-SA"/>
        </w:rPr>
        <w:t>满意为止，不得拒绝和拖延，由此发生的一切费用由承包承担。</w:t>
      </w:r>
      <w:r>
        <w:rPr>
          <w:rFonts w:hint="eastAsia" w:ascii="仿宋" w:hAnsi="仿宋" w:eastAsia="仿宋" w:cs="仿宋"/>
          <w:color w:val="auto"/>
          <w:kern w:val="2"/>
          <w:sz w:val="24"/>
          <w:szCs w:val="24"/>
          <w:highlight w:val="none"/>
          <w:lang w:val="en-US" w:eastAsia="zh-CN" w:bidi="ar-SA"/>
        </w:rPr>
        <w:t>乙方</w:t>
      </w:r>
      <w:r>
        <w:rPr>
          <w:rFonts w:hint="default" w:ascii="仿宋" w:hAnsi="仿宋" w:eastAsia="仿宋" w:cs="仿宋"/>
          <w:color w:val="auto"/>
          <w:kern w:val="2"/>
          <w:sz w:val="24"/>
          <w:szCs w:val="24"/>
          <w:highlight w:val="none"/>
          <w:lang w:val="en-US" w:eastAsia="zh-CN" w:bidi="ar-SA"/>
        </w:rPr>
        <w:t>拒绝更换的，</w:t>
      </w:r>
      <w:r>
        <w:rPr>
          <w:rFonts w:hint="eastAsia" w:ascii="仿宋" w:hAnsi="仿宋" w:eastAsia="仿宋" w:cs="仿宋"/>
          <w:color w:val="auto"/>
          <w:kern w:val="2"/>
          <w:sz w:val="24"/>
          <w:szCs w:val="24"/>
          <w:highlight w:val="none"/>
          <w:lang w:val="en-US" w:eastAsia="zh-CN" w:bidi="ar-SA"/>
        </w:rPr>
        <w:t>甲方</w:t>
      </w:r>
      <w:r>
        <w:rPr>
          <w:rFonts w:hint="default" w:ascii="仿宋" w:hAnsi="仿宋" w:eastAsia="仿宋" w:cs="仿宋"/>
          <w:color w:val="auto"/>
          <w:kern w:val="2"/>
          <w:sz w:val="24"/>
          <w:szCs w:val="24"/>
          <w:highlight w:val="none"/>
          <w:lang w:val="en-US" w:eastAsia="zh-CN" w:bidi="ar-SA"/>
        </w:rPr>
        <w:t>有权单方解除本合同并且</w:t>
      </w:r>
      <w:r>
        <w:rPr>
          <w:rFonts w:hint="eastAsia" w:ascii="仿宋" w:hAnsi="仿宋" w:eastAsia="仿宋" w:cs="仿宋"/>
          <w:color w:val="auto"/>
          <w:kern w:val="2"/>
          <w:sz w:val="24"/>
          <w:szCs w:val="24"/>
          <w:highlight w:val="none"/>
          <w:lang w:val="en-US" w:eastAsia="zh-CN" w:bidi="ar-SA"/>
        </w:rPr>
        <w:t>乙方</w:t>
      </w:r>
      <w:r>
        <w:rPr>
          <w:rFonts w:hint="default" w:ascii="仿宋" w:hAnsi="仿宋" w:eastAsia="仿宋" w:cs="仿宋"/>
          <w:color w:val="auto"/>
          <w:kern w:val="2"/>
          <w:sz w:val="24"/>
          <w:szCs w:val="24"/>
          <w:highlight w:val="none"/>
          <w:lang w:val="en-US" w:eastAsia="zh-CN" w:bidi="ar-SA"/>
        </w:rPr>
        <w:t>应向</w:t>
      </w:r>
      <w:r>
        <w:rPr>
          <w:rFonts w:hint="eastAsia" w:ascii="仿宋" w:hAnsi="仿宋" w:eastAsia="仿宋" w:cs="仿宋"/>
          <w:color w:val="auto"/>
          <w:kern w:val="2"/>
          <w:sz w:val="24"/>
          <w:szCs w:val="24"/>
          <w:highlight w:val="none"/>
          <w:lang w:val="en-US" w:eastAsia="zh-CN" w:bidi="ar-SA"/>
        </w:rPr>
        <w:t>甲方</w:t>
      </w:r>
      <w:r>
        <w:rPr>
          <w:rFonts w:hint="default" w:ascii="仿宋" w:hAnsi="仿宋" w:eastAsia="仿宋" w:cs="仿宋"/>
          <w:color w:val="auto"/>
          <w:kern w:val="2"/>
          <w:sz w:val="24"/>
          <w:szCs w:val="24"/>
          <w:highlight w:val="none"/>
          <w:lang w:val="en-US" w:eastAsia="zh-CN" w:bidi="ar-SA"/>
        </w:rPr>
        <w:t>支付违约金</w:t>
      </w:r>
      <w:r>
        <w:rPr>
          <w:rFonts w:hint="eastAsia" w:ascii="仿宋" w:hAnsi="仿宋" w:eastAsia="仿宋" w:cs="仿宋"/>
          <w:color w:val="auto"/>
          <w:kern w:val="2"/>
          <w:sz w:val="24"/>
          <w:szCs w:val="24"/>
          <w:highlight w:val="none"/>
          <w:lang w:val="en-US" w:eastAsia="zh-CN" w:bidi="ar-SA"/>
        </w:rPr>
        <w:t>两</w:t>
      </w:r>
      <w:r>
        <w:rPr>
          <w:rFonts w:hint="default" w:ascii="仿宋" w:hAnsi="仿宋" w:eastAsia="仿宋" w:cs="仿宋"/>
          <w:color w:val="auto"/>
          <w:kern w:val="2"/>
          <w:sz w:val="24"/>
          <w:szCs w:val="24"/>
          <w:highlight w:val="none"/>
          <w:lang w:val="en-US" w:eastAsia="zh-CN" w:bidi="ar-SA"/>
        </w:rPr>
        <w:t>万元，由此造成</w:t>
      </w:r>
      <w:r>
        <w:rPr>
          <w:rFonts w:hint="eastAsia" w:ascii="仿宋" w:hAnsi="仿宋" w:eastAsia="仿宋" w:cs="仿宋"/>
          <w:color w:val="auto"/>
          <w:kern w:val="2"/>
          <w:sz w:val="24"/>
          <w:szCs w:val="24"/>
          <w:highlight w:val="none"/>
          <w:lang w:val="en-US" w:eastAsia="zh-CN" w:bidi="ar-SA"/>
        </w:rPr>
        <w:t>甲方</w:t>
      </w:r>
      <w:r>
        <w:rPr>
          <w:rFonts w:hint="default" w:ascii="仿宋" w:hAnsi="仿宋" w:eastAsia="仿宋" w:cs="仿宋"/>
          <w:color w:val="auto"/>
          <w:kern w:val="2"/>
          <w:sz w:val="24"/>
          <w:szCs w:val="24"/>
          <w:highlight w:val="none"/>
          <w:lang w:val="en-US" w:eastAsia="zh-CN" w:bidi="ar-SA"/>
        </w:rPr>
        <w:t>的损失由</w:t>
      </w:r>
      <w:r>
        <w:rPr>
          <w:rFonts w:hint="eastAsia" w:ascii="仿宋" w:hAnsi="仿宋" w:eastAsia="仿宋" w:cs="仿宋"/>
          <w:color w:val="auto"/>
          <w:kern w:val="2"/>
          <w:sz w:val="24"/>
          <w:szCs w:val="24"/>
          <w:highlight w:val="none"/>
          <w:lang w:val="en-US" w:eastAsia="zh-CN" w:bidi="ar-SA"/>
        </w:rPr>
        <w:t>乙方</w:t>
      </w:r>
      <w:r>
        <w:rPr>
          <w:rFonts w:hint="default" w:ascii="仿宋" w:hAnsi="仿宋" w:eastAsia="仿宋" w:cs="仿宋"/>
          <w:color w:val="auto"/>
          <w:kern w:val="2"/>
          <w:sz w:val="24"/>
          <w:szCs w:val="24"/>
          <w:highlight w:val="none"/>
          <w:lang w:val="en-US" w:eastAsia="zh-CN" w:bidi="ar-SA"/>
        </w:rPr>
        <w:t>以赔偿。</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第十五条 质保期</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1、质保内容包括本合同及设计变更所包含的工程项目。</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2、工程质保期限：整个系统自验收合格交付使用之日起</w:t>
      </w:r>
      <w:r>
        <w:rPr>
          <w:rFonts w:hint="eastAsia" w:ascii="仿宋" w:hAnsi="仿宋" w:eastAsia="仿宋" w:cs="仿宋"/>
          <w:color w:val="auto"/>
          <w:spacing w:val="0"/>
          <w:kern w:val="0"/>
          <w:sz w:val="24"/>
          <w:szCs w:val="24"/>
          <w:highlight w:val="none"/>
          <w:u w:val="single"/>
          <w:lang w:val="en-US" w:eastAsia="zh-CN" w:bidi="ar"/>
        </w:rPr>
        <w:t xml:space="preserve"> </w:t>
      </w:r>
      <w:r>
        <w:rPr>
          <w:rFonts w:hint="eastAsia" w:ascii="仿宋" w:hAnsi="仿宋" w:eastAsia="仿宋" w:cs="仿宋"/>
          <w:color w:val="auto"/>
          <w:spacing w:val="0"/>
          <w:kern w:val="0"/>
          <w:sz w:val="24"/>
          <w:szCs w:val="24"/>
          <w:highlight w:val="none"/>
          <w:u w:val="single"/>
          <w:lang w:val="en-US" w:eastAsia="zh-CN" w:bidi="ar"/>
        </w:rPr>
        <w:tab/>
      </w:r>
      <w:r>
        <w:rPr>
          <w:rFonts w:hint="eastAsia" w:ascii="仿宋" w:hAnsi="仿宋" w:eastAsia="仿宋" w:cs="仿宋"/>
          <w:color w:val="auto"/>
          <w:spacing w:val="0"/>
          <w:kern w:val="0"/>
          <w:sz w:val="24"/>
          <w:szCs w:val="24"/>
          <w:highlight w:val="none"/>
          <w:lang w:val="en-US" w:eastAsia="zh-CN" w:bidi="ar"/>
        </w:rPr>
        <w:t>个月。</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3、维修点须设在杭州市区（或承诺，中标后可以按要求设置维修点），可以处理所有的维修服务，且需提供 24 小时服务，维修人员需在接到维修电话后对故障能在 30 分钟内响应，2 小时内赶到现场，提供不间断的服务直到结束。除甲方另行书面同意外，乙方应在收到甲方通知后   内修复完毕。维修点需提供足够的备件以适应招标人维修需求。如乙方未达到前述承诺的，甲方可委托其他单位或人员维修，并扣除乙方相应的履约保证金。</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4、零部件的更换自更换之日起重新计算更换部位的履约保证金。</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5、甲方报修后，乙方应及时进行维修。修好后，中标人需将一式两份报告给招标人，包括   故障原因，解决措施，完成修理所费时间及恢复正常运行日期。</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6、质保期内免费上门保修服务。质保期外终身维修及保养，并按成本价格随时提供原有设备的备品备件。详见《售后服务承诺》。</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第十六条 不可抗力</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1、不可抗力是指因无法预见、无法避免且无法克服之原因发生的事项，包括但不限于地震、台风、海啸、瘟疫、火灾、洪水、重大疫情、政府行为、战争、恐怖袭击、蓄意破坏等客观情况。</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2、本合同项下任何一方对于因不可抗力致使本合同不能履行或不能全部履行而给对方造成的任何损失不承担违约责任。</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3、如果发生不可抗力事件，则受影响的一方应采取积极有效的措施以减少因本合同不能履行或不能全部履行而给对方造成的损失，并应在不可抗力事件发生后三个工作日内通知对方，并   在 15 日内出具官方证明文件。</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4、不可抗力影响因素消失以后，双方应协商是否继续履行合同。如果不可抗力因素对合同一方的义务产生实质性、无法补救的影响，导致合同已无法履行，双方应通过书面形式终止本合同。</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5、如果因本条第 2 款和/或第 4 款所述原因导致本合同被提前终止，则任何一方均无需继续履行其在本合同项下的义务，也无需为此向另一方承担任何责任；但双方应根据诚实信用原则，   合理确定本合同终止前甲方为乙方提供的服务所应支付的费用，并进行相应的结算。但一方延迟履行后发生不可抗力的，不能免除该方的责任。</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第十七条  争议</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1、未尽事宜的解决：本合同未尽事宜和工程量调整，可经双方协商一致后达成补充协议， 补充协议与本合同有同等的法律效力。</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2、解决合同纠纷的方式：执行本合同发生争议时，由当事人协商解决。如协商不成，依法向</w:t>
      </w:r>
      <w:r>
        <w:rPr>
          <w:rFonts w:hint="eastAsia" w:ascii="仿宋" w:hAnsi="仿宋" w:eastAsia="仿宋" w:cs="仿宋"/>
          <w:color w:val="auto"/>
          <w:spacing w:val="0"/>
          <w:kern w:val="0"/>
          <w:sz w:val="24"/>
          <w:szCs w:val="24"/>
          <w:highlight w:val="none"/>
          <w:u w:val="single"/>
          <w:lang w:val="en-US" w:eastAsia="zh-CN" w:bidi="ar"/>
        </w:rPr>
        <w:t>甲方所在地人民法院</w:t>
      </w:r>
      <w:r>
        <w:rPr>
          <w:rFonts w:hint="eastAsia" w:ascii="仿宋" w:hAnsi="仿宋" w:eastAsia="仿宋" w:cs="仿宋"/>
          <w:color w:val="auto"/>
          <w:spacing w:val="0"/>
          <w:kern w:val="0"/>
          <w:sz w:val="24"/>
          <w:szCs w:val="24"/>
          <w:highlight w:val="none"/>
          <w:lang w:val="en-US" w:eastAsia="zh-CN" w:bidi="ar"/>
        </w:rPr>
        <w:t>诉讼。</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第十八条  合同生效与终止</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1、合同生效的日期：本合同自甲乙双方签字或盖章之日起生效。</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 xml:space="preserve">2、合同的终止日期：本合同至本工程无质量问题，质保期满后，自行终止。  </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leftChars="0" w:right="0" w:firstLine="0" w:firstLineChars="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第十九条  合同份数</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pacing w:val="0"/>
          <w:kern w:val="0"/>
          <w:sz w:val="24"/>
          <w:szCs w:val="24"/>
          <w:highlight w:val="none"/>
          <w:lang w:val="en-US" w:eastAsia="zh-CN" w:bidi="ar"/>
        </w:rPr>
      </w:pPr>
      <w:r>
        <w:rPr>
          <w:rFonts w:hint="eastAsia" w:ascii="仿宋" w:hAnsi="仿宋" w:eastAsia="仿宋" w:cs="仿宋"/>
          <w:color w:val="auto"/>
          <w:spacing w:val="0"/>
          <w:kern w:val="0"/>
          <w:sz w:val="24"/>
          <w:szCs w:val="24"/>
          <w:highlight w:val="none"/>
          <w:lang w:val="en-US" w:eastAsia="zh-CN" w:bidi="ar"/>
        </w:rPr>
        <w:t>合同文件一式</w:t>
      </w:r>
      <w:r>
        <w:rPr>
          <w:rFonts w:hint="eastAsia" w:ascii="仿宋" w:hAnsi="仿宋" w:eastAsia="仿宋" w:cs="仿宋"/>
          <w:color w:val="auto"/>
          <w:spacing w:val="0"/>
          <w:kern w:val="0"/>
          <w:sz w:val="24"/>
          <w:szCs w:val="24"/>
          <w:highlight w:val="none"/>
          <w:u w:val="single"/>
          <w:lang w:val="en-US" w:eastAsia="zh-CN" w:bidi="ar"/>
        </w:rPr>
        <w:t>玖</w:t>
      </w:r>
      <w:r>
        <w:rPr>
          <w:rFonts w:hint="eastAsia" w:ascii="仿宋" w:hAnsi="仿宋" w:eastAsia="仿宋" w:cs="仿宋"/>
          <w:color w:val="auto"/>
          <w:spacing w:val="0"/>
          <w:kern w:val="0"/>
          <w:sz w:val="24"/>
          <w:szCs w:val="24"/>
          <w:highlight w:val="none"/>
          <w:lang w:val="en-US" w:eastAsia="zh-CN" w:bidi="ar"/>
        </w:rPr>
        <w:t>份，具有同等的法律效力，甲乙双方各持</w:t>
      </w:r>
      <w:r>
        <w:rPr>
          <w:rFonts w:hint="eastAsia" w:ascii="仿宋" w:hAnsi="仿宋" w:eastAsia="仿宋" w:cs="仿宋"/>
          <w:color w:val="auto"/>
          <w:spacing w:val="0"/>
          <w:kern w:val="0"/>
          <w:sz w:val="24"/>
          <w:szCs w:val="24"/>
          <w:highlight w:val="none"/>
          <w:u w:val="single"/>
          <w:lang w:val="en-US" w:eastAsia="zh-CN" w:bidi="ar"/>
        </w:rPr>
        <w:t>肆</w:t>
      </w:r>
      <w:r>
        <w:rPr>
          <w:rFonts w:hint="eastAsia" w:ascii="仿宋" w:hAnsi="仿宋" w:eastAsia="仿宋" w:cs="仿宋"/>
          <w:color w:val="auto"/>
          <w:spacing w:val="0"/>
          <w:kern w:val="0"/>
          <w:sz w:val="24"/>
          <w:szCs w:val="24"/>
          <w:highlight w:val="none"/>
          <w:lang w:val="en-US" w:eastAsia="zh-CN" w:bidi="ar"/>
        </w:rPr>
        <w:t>份，鉴证方执</w:t>
      </w:r>
      <w:r>
        <w:rPr>
          <w:rFonts w:hint="eastAsia" w:ascii="仿宋" w:hAnsi="仿宋" w:eastAsia="仿宋" w:cs="仿宋"/>
          <w:color w:val="auto"/>
          <w:spacing w:val="0"/>
          <w:kern w:val="0"/>
          <w:sz w:val="24"/>
          <w:szCs w:val="24"/>
          <w:highlight w:val="none"/>
          <w:u w:val="single"/>
          <w:lang w:val="en-US" w:eastAsia="zh-CN" w:bidi="ar"/>
        </w:rPr>
        <w:t>壹</w:t>
      </w:r>
      <w:r>
        <w:rPr>
          <w:rFonts w:hint="eastAsia" w:ascii="仿宋" w:hAnsi="仿宋" w:eastAsia="仿宋" w:cs="仿宋"/>
          <w:color w:val="auto"/>
          <w:spacing w:val="0"/>
          <w:kern w:val="0"/>
          <w:sz w:val="24"/>
          <w:szCs w:val="24"/>
          <w:highlight w:val="none"/>
          <w:lang w:val="en-US" w:eastAsia="zh-CN" w:bidi="ar"/>
        </w:rPr>
        <w:t>份。</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仿宋" w:hAnsi="仿宋" w:eastAsia="仿宋" w:cs="仿宋"/>
          <w:b/>
          <w:color w:val="auto"/>
          <w:spacing w:val="0"/>
          <w:sz w:val="24"/>
          <w:szCs w:val="24"/>
          <w:highlight w:val="none"/>
        </w:rPr>
      </w:pPr>
      <w:r>
        <w:rPr>
          <w:rFonts w:hint="eastAsia" w:ascii="仿宋" w:hAnsi="仿宋" w:eastAsia="仿宋" w:cs="仿宋"/>
          <w:b/>
          <w:color w:val="auto"/>
          <w:spacing w:val="0"/>
          <w:kern w:val="0"/>
          <w:sz w:val="24"/>
          <w:szCs w:val="24"/>
          <w:highlight w:val="none"/>
          <w:lang w:val="en-US" w:eastAsia="zh-CN" w:bidi="ar"/>
        </w:rPr>
        <w:t>第二十条  双方需要说明的事项</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jc w:val="both"/>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kern w:val="0"/>
          <w:sz w:val="24"/>
          <w:szCs w:val="24"/>
          <w:highlight w:val="none"/>
          <w:lang w:val="en-US" w:eastAsia="zh-CN" w:bidi="ar"/>
        </w:rPr>
        <w:t>1、乙方提供的相关图纸、产品样本作为合同附件，与合同具有同等法律效力。</w:t>
      </w:r>
    </w:p>
    <w:p>
      <w:pPr>
        <w:pStyle w:val="11"/>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line="360" w:lineRule="auto"/>
        <w:ind w:left="0" w:right="0" w:firstLine="42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0"/>
          <w:kern w:val="0"/>
          <w:sz w:val="24"/>
          <w:szCs w:val="24"/>
          <w:highlight w:val="none"/>
          <w:lang w:val="en-US" w:eastAsia="zh-CN" w:bidi="ar"/>
        </w:rPr>
        <w:t>2、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color w:val="auto"/>
          <w:sz w:val="24"/>
          <w:szCs w:val="24"/>
          <w:highlight w:val="none"/>
        </w:rPr>
      </w:pPr>
    </w:p>
    <w:tbl>
      <w:tblPr>
        <w:tblStyle w:val="15"/>
        <w:tblW w:w="9356"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4678"/>
        <w:gridCol w:w="46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甲方（需方）：（公章）</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乙方（供方）：（公章）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7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Style w:val="38"/>
                <w:rFonts w:hint="eastAsia" w:ascii="仿宋" w:hAnsi="仿宋" w:eastAsia="仿宋" w:cs="仿宋"/>
                <w:color w:val="auto"/>
                <w:spacing w:val="-6"/>
                <w:sz w:val="24"/>
                <w:szCs w:val="24"/>
                <w:highlight w:val="none"/>
              </w:rPr>
            </w:pPr>
            <w:r>
              <w:rPr>
                <w:rStyle w:val="38"/>
                <w:rFonts w:hint="eastAsia" w:ascii="仿宋" w:hAnsi="仿宋" w:eastAsia="仿宋" w:cs="仿宋"/>
                <w:color w:val="auto"/>
                <w:spacing w:val="-6"/>
                <w:sz w:val="24"/>
                <w:szCs w:val="24"/>
                <w:highlight w:val="none"/>
                <w:lang w:val="zh-TW" w:eastAsia="zh-TW"/>
              </w:rPr>
              <w:t>甲方代表：</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40"/>
                <w:rFonts w:hint="eastAsia" w:ascii="仿宋" w:hAnsi="仿宋" w:eastAsia="仿宋" w:cs="仿宋"/>
                <w:color w:val="auto"/>
                <w:spacing w:val="-6"/>
                <w:sz w:val="24"/>
                <w:szCs w:val="24"/>
                <w:highlight w:val="none"/>
              </w:rPr>
              <w:t>(</w:t>
            </w:r>
            <w:r>
              <w:rPr>
                <w:rStyle w:val="38"/>
                <w:rFonts w:hint="eastAsia" w:ascii="仿宋" w:hAnsi="仿宋" w:eastAsia="仿宋" w:cs="仿宋"/>
                <w:color w:val="auto"/>
                <w:spacing w:val="-6"/>
                <w:sz w:val="24"/>
                <w:szCs w:val="24"/>
                <w:highlight w:val="none"/>
                <w:lang w:val="zh-TW" w:eastAsia="zh-TW"/>
              </w:rPr>
              <w:t>签字）</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Style w:val="38"/>
                <w:rFonts w:hint="eastAsia" w:ascii="仿宋" w:hAnsi="仿宋" w:eastAsia="仿宋" w:cs="仿宋"/>
                <w:color w:val="auto"/>
                <w:spacing w:val="-6"/>
                <w:sz w:val="24"/>
                <w:szCs w:val="24"/>
                <w:highlight w:val="none"/>
              </w:rPr>
            </w:pPr>
            <w:r>
              <w:rPr>
                <w:rStyle w:val="38"/>
                <w:rFonts w:hint="eastAsia" w:ascii="仿宋" w:hAnsi="仿宋" w:eastAsia="仿宋" w:cs="仿宋"/>
                <w:color w:val="auto"/>
                <w:spacing w:val="-6"/>
                <w:sz w:val="24"/>
                <w:szCs w:val="24"/>
                <w:highlight w:val="none"/>
                <w:lang w:val="zh-TW" w:eastAsia="zh-TW"/>
              </w:rPr>
              <w:t>乙方代表：</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z w:val="24"/>
                <w:szCs w:val="24"/>
                <w:highlight w:val="none"/>
                <w:lang w:val="zh-TW" w:eastAsia="zh-TW"/>
              </w:rPr>
              <w:t>地址：</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地址：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z w:val="24"/>
                <w:szCs w:val="24"/>
                <w:highlight w:val="none"/>
                <w:lang w:val="zh-TW" w:eastAsia="zh-TW"/>
              </w:rPr>
              <w:t>邮编：</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邮编：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z w:val="24"/>
                <w:szCs w:val="24"/>
                <w:highlight w:val="none"/>
                <w:lang w:val="zh-TW" w:eastAsia="zh-TW"/>
              </w:rPr>
              <w:t>电话：</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z w:val="24"/>
                <w:szCs w:val="24"/>
                <w:highlight w:val="none"/>
                <w:lang w:val="zh-TW" w:eastAsia="zh-TW"/>
              </w:rPr>
              <w:t>传真：</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传真：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z w:val="24"/>
                <w:szCs w:val="24"/>
                <w:highlight w:val="none"/>
                <w:lang w:val="zh-TW" w:eastAsia="zh-TW"/>
              </w:rPr>
              <w:t>开户银行：</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开户银行：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z w:val="24"/>
                <w:szCs w:val="24"/>
                <w:highlight w:val="none"/>
                <w:lang w:val="zh-TW" w:eastAsia="zh-TW"/>
              </w:rPr>
              <w:t>帐号：</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帐号：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签字日期：</w:t>
            </w:r>
            <w:r>
              <w:rPr>
                <w:rStyle w:val="40"/>
                <w:rFonts w:hint="eastAsia" w:ascii="仿宋" w:hAnsi="仿宋" w:eastAsia="仿宋" w:cs="仿宋"/>
                <w:color w:val="auto"/>
                <w:spacing w:val="-6"/>
                <w:sz w:val="24"/>
                <w:szCs w:val="24"/>
                <w:highlight w:val="none"/>
              </w:rPr>
              <w:t xml:space="preserve">      </w:t>
            </w:r>
            <w:r>
              <w:rPr>
                <w:rStyle w:val="38"/>
                <w:rFonts w:hint="eastAsia" w:ascii="仿宋" w:hAnsi="仿宋" w:eastAsia="仿宋" w:cs="仿宋"/>
                <w:color w:val="auto"/>
                <w:spacing w:val="-6"/>
                <w:sz w:val="24"/>
                <w:szCs w:val="24"/>
                <w:highlight w:val="none"/>
                <w:lang w:val="zh-TW" w:eastAsia="zh-TW"/>
              </w:rPr>
              <w:t>年</w:t>
            </w:r>
            <w:r>
              <w:rPr>
                <w:rStyle w:val="40"/>
                <w:rFonts w:hint="eastAsia" w:ascii="仿宋" w:hAnsi="仿宋" w:eastAsia="仿宋" w:cs="仿宋"/>
                <w:color w:val="auto"/>
                <w:spacing w:val="-6"/>
                <w:sz w:val="24"/>
                <w:szCs w:val="24"/>
                <w:highlight w:val="none"/>
              </w:rPr>
              <w:t xml:space="preserve">    </w:t>
            </w:r>
            <w:r>
              <w:rPr>
                <w:rStyle w:val="38"/>
                <w:rFonts w:hint="eastAsia" w:ascii="仿宋" w:hAnsi="仿宋" w:eastAsia="仿宋" w:cs="仿宋"/>
                <w:color w:val="auto"/>
                <w:spacing w:val="-6"/>
                <w:sz w:val="24"/>
                <w:szCs w:val="24"/>
                <w:highlight w:val="none"/>
                <w:lang w:val="zh-TW" w:eastAsia="zh-TW"/>
              </w:rPr>
              <w:t>月</w:t>
            </w:r>
            <w:r>
              <w:rPr>
                <w:rStyle w:val="40"/>
                <w:rFonts w:hint="eastAsia" w:ascii="仿宋" w:hAnsi="仿宋" w:eastAsia="仿宋" w:cs="仿宋"/>
                <w:color w:val="auto"/>
                <w:spacing w:val="-6"/>
                <w:sz w:val="24"/>
                <w:szCs w:val="24"/>
                <w:highlight w:val="none"/>
              </w:rPr>
              <w:t xml:space="preserve">    </w:t>
            </w:r>
            <w:r>
              <w:rPr>
                <w:rStyle w:val="38"/>
                <w:rFonts w:hint="eastAsia" w:ascii="仿宋" w:hAnsi="仿宋" w:eastAsia="仿宋" w:cs="仿宋"/>
                <w:color w:val="auto"/>
                <w:spacing w:val="-6"/>
                <w:sz w:val="24"/>
                <w:szCs w:val="24"/>
                <w:highlight w:val="none"/>
                <w:lang w:val="zh-TW" w:eastAsia="zh-TW"/>
              </w:rPr>
              <w:t>日</w:t>
            </w:r>
          </w:p>
        </w:tc>
        <w:tc>
          <w:tcPr>
            <w:tcW w:w="467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Style w:val="38"/>
                <w:rFonts w:hint="eastAsia" w:ascii="仿宋" w:hAnsi="仿宋" w:eastAsia="仿宋" w:cs="仿宋"/>
                <w:color w:val="auto"/>
                <w:spacing w:val="-6"/>
                <w:sz w:val="24"/>
                <w:szCs w:val="24"/>
                <w:highlight w:val="none"/>
                <w:lang w:val="zh-TW" w:eastAsia="zh-TW"/>
              </w:rPr>
              <w:t>签字日期：</w:t>
            </w:r>
            <w:r>
              <w:rPr>
                <w:rStyle w:val="40"/>
                <w:rFonts w:hint="eastAsia" w:ascii="仿宋" w:hAnsi="仿宋" w:eastAsia="仿宋" w:cs="仿宋"/>
                <w:color w:val="auto"/>
                <w:spacing w:val="-6"/>
                <w:sz w:val="24"/>
                <w:szCs w:val="24"/>
                <w:highlight w:val="none"/>
              </w:rPr>
              <w:t xml:space="preserve">      </w:t>
            </w:r>
            <w:r>
              <w:rPr>
                <w:rStyle w:val="38"/>
                <w:rFonts w:hint="eastAsia" w:ascii="仿宋" w:hAnsi="仿宋" w:eastAsia="仿宋" w:cs="仿宋"/>
                <w:color w:val="auto"/>
                <w:spacing w:val="-6"/>
                <w:sz w:val="24"/>
                <w:szCs w:val="24"/>
                <w:highlight w:val="none"/>
                <w:lang w:val="zh-TW" w:eastAsia="zh-TW"/>
              </w:rPr>
              <w:t>年</w:t>
            </w:r>
            <w:r>
              <w:rPr>
                <w:rStyle w:val="40"/>
                <w:rFonts w:hint="eastAsia" w:ascii="仿宋" w:hAnsi="仿宋" w:eastAsia="仿宋" w:cs="仿宋"/>
                <w:color w:val="auto"/>
                <w:spacing w:val="-6"/>
                <w:sz w:val="24"/>
                <w:szCs w:val="24"/>
                <w:highlight w:val="none"/>
              </w:rPr>
              <w:t xml:space="preserve">    </w:t>
            </w:r>
            <w:r>
              <w:rPr>
                <w:rStyle w:val="38"/>
                <w:rFonts w:hint="eastAsia" w:ascii="仿宋" w:hAnsi="仿宋" w:eastAsia="仿宋" w:cs="仿宋"/>
                <w:color w:val="auto"/>
                <w:spacing w:val="-6"/>
                <w:sz w:val="24"/>
                <w:szCs w:val="24"/>
                <w:highlight w:val="none"/>
                <w:lang w:val="zh-TW" w:eastAsia="zh-TW"/>
              </w:rPr>
              <w:t>月</w:t>
            </w:r>
            <w:r>
              <w:rPr>
                <w:rStyle w:val="40"/>
                <w:rFonts w:hint="eastAsia" w:ascii="仿宋" w:hAnsi="仿宋" w:eastAsia="仿宋" w:cs="仿宋"/>
                <w:color w:val="auto"/>
                <w:spacing w:val="-6"/>
                <w:sz w:val="24"/>
                <w:szCs w:val="24"/>
                <w:highlight w:val="none"/>
              </w:rPr>
              <w:t xml:space="preserve">    </w:t>
            </w:r>
            <w:r>
              <w:rPr>
                <w:rStyle w:val="38"/>
                <w:rFonts w:hint="eastAsia" w:ascii="仿宋" w:hAnsi="仿宋" w:eastAsia="仿宋" w:cs="仿宋"/>
                <w:color w:val="auto"/>
                <w:spacing w:val="-6"/>
                <w:sz w:val="24"/>
                <w:szCs w:val="24"/>
                <w:highlight w:val="none"/>
                <w:lang w:val="zh-TW" w:eastAsia="zh-TW"/>
              </w:rPr>
              <w:t>日</w:t>
            </w:r>
          </w:p>
        </w:tc>
      </w:tr>
    </w:tbl>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p>
    <w:p>
      <w:pPr>
        <w:pStyle w:val="13"/>
        <w:rPr>
          <w:color w:val="auto"/>
          <w:highlight w:val="none"/>
        </w:rPr>
      </w:pPr>
      <w:r>
        <w:rPr>
          <w:rFonts w:hint="eastAsia" w:ascii="仿宋" w:hAnsi="仿宋" w:eastAsia="仿宋" w:cs="仿宋_GB2312"/>
          <w:b/>
          <w:color w:val="auto"/>
          <w:sz w:val="36"/>
          <w:highlight w:val="none"/>
        </w:rPr>
        <w:br w:type="page"/>
      </w:r>
    </w:p>
    <w:p>
      <w:pPr>
        <w:snapToGrid w:val="0"/>
        <w:spacing w:line="360" w:lineRule="auto"/>
        <w:jc w:val="center"/>
        <w:rPr>
          <w:rFonts w:ascii="仿宋" w:hAnsi="仿宋" w:eastAsia="仿宋" w:cs="仿宋_GB2312"/>
          <w:b/>
          <w:color w:val="auto"/>
          <w:sz w:val="36"/>
          <w:highlight w:val="none"/>
        </w:rPr>
      </w:pPr>
      <w:r>
        <w:rPr>
          <w:rFonts w:hint="eastAsia" w:ascii="仿宋" w:hAnsi="仿宋" w:eastAsia="仿宋" w:cs="仿宋_GB2312"/>
          <w:b/>
          <w:color w:val="auto"/>
          <w:sz w:val="36"/>
          <w:highlight w:val="none"/>
        </w:rPr>
        <w:t>第六部分 应提交的有关格式范例</w:t>
      </w:r>
    </w:p>
    <w:p>
      <w:pPr>
        <w:spacing w:line="360" w:lineRule="auto"/>
        <w:ind w:firstLine="480" w:firstLineChars="200"/>
        <w:outlineLvl w:val="0"/>
        <w:rPr>
          <w:rFonts w:ascii="仿宋" w:hAnsi="仿宋" w:eastAsia="仿宋" w:cs="仿宋_GB2312"/>
          <w:color w:val="auto"/>
          <w:sz w:val="36"/>
          <w:szCs w:val="36"/>
          <w:highlight w:val="none"/>
          <w:lang w:val="zh-CN"/>
        </w:rPr>
      </w:pPr>
      <w:r>
        <w:rPr>
          <w:rFonts w:hint="eastAsia" w:ascii="仿宋" w:hAnsi="仿宋" w:eastAsia="仿宋" w:cs="仿宋_GB2312"/>
          <w:color w:val="auto"/>
          <w:sz w:val="24"/>
          <w:highlight w:val="none"/>
        </w:rPr>
        <w:t>投标人按照以下格式编制投标文件，并将资格文件、报价文件、商务技术文件分别装订成册。</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（1）法定代表人授权书 ………………………………………………………（页码）</w:t>
      </w:r>
    </w:p>
    <w:p>
      <w:pPr>
        <w:snapToGrid w:val="0"/>
        <w:spacing w:line="360" w:lineRule="auto"/>
        <w:ind w:left="480" w:hanging="480" w:hanging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（2）</w:t>
      </w:r>
      <w:r>
        <w:rPr>
          <w:rFonts w:hint="eastAsia" w:ascii="仿宋" w:hAnsi="仿宋" w:eastAsia="仿宋"/>
          <w:color w:val="auto"/>
          <w:sz w:val="24"/>
          <w:highlight w:val="none"/>
        </w:rPr>
        <w:t>营业执照(或事业法人登记证或其他工商等登记证明材料)…………</w:t>
      </w:r>
      <w:r>
        <w:rPr>
          <w:rFonts w:hint="eastAsia" w:ascii="仿宋" w:hAnsi="仿宋" w:eastAsia="仿宋" w:cs="仿宋_GB2312"/>
          <w:color w:val="auto"/>
          <w:kern w:val="0"/>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kern w:val="0"/>
          <w:sz w:val="24"/>
          <w:highlight w:val="none"/>
        </w:rPr>
        <w:t>（3）</w:t>
      </w:r>
      <w:r>
        <w:rPr>
          <w:rFonts w:hint="eastAsia" w:ascii="仿宋" w:hAnsi="仿宋" w:eastAsia="仿宋" w:cs="仿宋_GB2312"/>
          <w:color w:val="auto"/>
          <w:sz w:val="24"/>
          <w:highlight w:val="none"/>
        </w:rPr>
        <w:t>资产负债表等财务报表资料文件</w:t>
      </w:r>
      <w:r>
        <w:rPr>
          <w:rFonts w:hint="eastAsia" w:ascii="仿宋" w:hAnsi="仿宋" w:eastAsia="仿宋" w:cs="仿宋_GB2312"/>
          <w:color w:val="auto"/>
          <w:kern w:val="0"/>
          <w:sz w:val="24"/>
          <w:highlight w:val="none"/>
        </w:rPr>
        <w:t>………………………………………（页码）</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（4）具有履行合同所必需的设备和专业技术能力的承诺函………………（页码）</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（5）没有重大违法记录的声明</w:t>
      </w:r>
      <w:r>
        <w:rPr>
          <w:rFonts w:hint="eastAsia" w:ascii="仿宋" w:hAnsi="仿宋" w:eastAsia="仿宋" w:cs="仿宋_GB2312"/>
          <w:color w:val="auto"/>
          <w:kern w:val="0"/>
          <w:sz w:val="24"/>
          <w:highlight w:val="none"/>
        </w:rPr>
        <w:t>………………………………………………（页码）</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（6）具有良好商业信誉特别声明</w:t>
      </w:r>
      <w:r>
        <w:rPr>
          <w:rFonts w:hint="eastAsia" w:ascii="仿宋" w:hAnsi="仿宋" w:eastAsia="仿宋" w:cs="仿宋_GB2312"/>
          <w:color w:val="auto"/>
          <w:kern w:val="0"/>
          <w:sz w:val="24"/>
          <w:highlight w:val="none"/>
        </w:rPr>
        <w:t>……………………………………………（页码）</w:t>
      </w:r>
    </w:p>
    <w:p>
      <w:pPr>
        <w:snapToGrid w:val="0"/>
        <w:spacing w:line="360" w:lineRule="auto"/>
        <w:ind w:left="720" w:hanging="720" w:hangingChars="300"/>
        <w:rPr>
          <w:rFonts w:eastAsia="仿宋"/>
          <w:color w:val="auto"/>
          <w:highlight w:val="none"/>
        </w:rPr>
      </w:pPr>
      <w:r>
        <w:rPr>
          <w:rFonts w:hint="eastAsia" w:ascii="仿宋" w:hAnsi="仿宋" w:eastAsia="仿宋" w:cs="仿宋_GB2312"/>
          <w:color w:val="auto"/>
          <w:kern w:val="0"/>
          <w:sz w:val="24"/>
          <w:highlight w:val="none"/>
        </w:rPr>
        <w:t>（7）</w:t>
      </w:r>
      <w:r>
        <w:rPr>
          <w:rFonts w:hint="eastAsia" w:ascii="仿宋" w:hAnsi="仿宋" w:eastAsia="仿宋"/>
          <w:color w:val="auto"/>
          <w:sz w:val="24"/>
          <w:highlight w:val="none"/>
        </w:rPr>
        <w:t>未被“信用中国”（www.creditchina.gov.cn）、中国政府采购网（www.ccgp.gov.cn）列入失信被执行人、重大税收违法案件当事人名单、政府采购严重违法失信行为记录名单的声明或查询截图</w:t>
      </w:r>
      <w:r>
        <w:rPr>
          <w:rFonts w:hint="eastAsia" w:ascii="仿宋" w:hAnsi="仿宋" w:eastAsia="仿宋" w:cs="仿宋_GB2312"/>
          <w:color w:val="auto"/>
          <w:kern w:val="0"/>
          <w:sz w:val="24"/>
          <w:highlight w:val="none"/>
        </w:rPr>
        <w:t>…………（页码）</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（8）</w:t>
      </w:r>
      <w:r>
        <w:rPr>
          <w:rFonts w:hint="eastAsia" w:ascii="仿宋" w:hAnsi="仿宋" w:eastAsia="仿宋" w:cs="仿宋_GB2312"/>
          <w:color w:val="auto"/>
          <w:sz w:val="24"/>
          <w:highlight w:val="none"/>
        </w:rPr>
        <w:t>符合特定资格条件（如果项目要求）的有关证明材料（扫描件）</w:t>
      </w:r>
      <w:r>
        <w:rPr>
          <w:rFonts w:hint="eastAsia" w:ascii="仿宋" w:hAnsi="仿宋" w:eastAsia="仿宋" w:cs="仿宋_GB2312"/>
          <w:color w:val="auto"/>
          <w:kern w:val="0"/>
          <w:sz w:val="24"/>
          <w:highlight w:val="none"/>
        </w:rPr>
        <w:t>…（页码）</w:t>
      </w:r>
    </w:p>
    <w:p>
      <w:pPr>
        <w:spacing w:line="360" w:lineRule="auto"/>
        <w:ind w:firstLine="480" w:firstLineChars="200"/>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附：法定代表人授权书（如法定代表人直接参加投标并对相应文件签字的，只需提供其身份证扫描件正反面；</w:t>
      </w:r>
      <w:r>
        <w:rPr>
          <w:rFonts w:hint="eastAsia" w:ascii="仿宋" w:hAnsi="仿宋" w:eastAsia="仿宋"/>
          <w:color w:val="auto"/>
          <w:sz w:val="24"/>
          <w:highlight w:val="none"/>
        </w:rPr>
        <w:t>如以联合体形式参加政府采购活动的，按招标文件有关格式范例提供联合体投标授权书）</w:t>
      </w:r>
    </w:p>
    <w:p>
      <w:pPr>
        <w:spacing w:line="360" w:lineRule="auto"/>
        <w:ind w:firstLine="480" w:firstLineChars="200"/>
        <w:rPr>
          <w:rFonts w:ascii="仿宋" w:hAnsi="仿宋" w:eastAsia="仿宋"/>
          <w:color w:val="auto"/>
          <w:sz w:val="24"/>
          <w:highlight w:val="none"/>
        </w:rPr>
      </w:pPr>
    </w:p>
    <w:p>
      <w:pPr>
        <w:snapToGrid w:val="0"/>
        <w:spacing w:line="360" w:lineRule="auto"/>
        <w:rPr>
          <w:rFonts w:ascii="仿宋" w:hAnsi="仿宋" w:eastAsia="仿宋" w:cs="仿宋_GB2312"/>
          <w:color w:val="auto"/>
          <w:sz w:val="24"/>
          <w:highlight w:val="none"/>
        </w:rPr>
      </w:pPr>
    </w:p>
    <w:p>
      <w:pPr>
        <w:snapToGrid w:val="0"/>
        <w:spacing w:line="360" w:lineRule="auto"/>
        <w:ind w:firstLine="3240" w:firstLineChars="900"/>
        <w:rPr>
          <w:rFonts w:ascii="仿宋" w:hAnsi="仿宋" w:eastAsia="仿宋" w:cs="仿宋_GB2312"/>
          <w:color w:val="auto"/>
          <w:sz w:val="36"/>
          <w:szCs w:val="36"/>
          <w:highlight w:val="none"/>
        </w:rPr>
      </w:pPr>
    </w:p>
    <w:p>
      <w:pPr>
        <w:snapToGrid w:val="0"/>
        <w:spacing w:line="360" w:lineRule="auto"/>
        <w:ind w:firstLine="3240" w:firstLineChars="900"/>
        <w:rPr>
          <w:rFonts w:ascii="仿宋" w:hAnsi="仿宋" w:eastAsia="仿宋" w:cs="仿宋_GB2312"/>
          <w:color w:val="auto"/>
          <w:sz w:val="36"/>
          <w:szCs w:val="36"/>
          <w:highlight w:val="none"/>
        </w:rPr>
      </w:pPr>
    </w:p>
    <w:p>
      <w:pPr>
        <w:snapToGrid w:val="0"/>
        <w:spacing w:line="360" w:lineRule="auto"/>
        <w:jc w:val="center"/>
        <w:rPr>
          <w:rFonts w:ascii="仿宋" w:hAnsi="仿宋" w:eastAsia="仿宋" w:cs="仿宋_GB2312"/>
          <w:b/>
          <w:color w:val="auto"/>
          <w:kern w:val="0"/>
          <w:sz w:val="32"/>
          <w:szCs w:val="32"/>
          <w:highlight w:val="none"/>
          <w:lang w:val="zh-CN"/>
        </w:rPr>
      </w:pPr>
      <w:r>
        <w:rPr>
          <w:rFonts w:ascii="仿宋" w:hAnsi="仿宋" w:eastAsia="仿宋" w:cs="仿宋_GB2312"/>
          <w:b/>
          <w:color w:val="auto"/>
          <w:kern w:val="0"/>
          <w:sz w:val="32"/>
          <w:szCs w:val="32"/>
          <w:highlight w:val="none"/>
          <w:lang w:val="zh-CN"/>
        </w:rPr>
        <w:br w:type="page"/>
      </w:r>
      <w:r>
        <w:rPr>
          <w:rFonts w:hint="eastAsia" w:ascii="仿宋" w:hAnsi="仿宋" w:eastAsia="仿宋" w:cs="仿宋_GB2312"/>
          <w:b/>
          <w:color w:val="auto"/>
          <w:kern w:val="0"/>
          <w:sz w:val="30"/>
          <w:szCs w:val="30"/>
          <w:highlight w:val="none"/>
          <w:lang w:val="zh-CN"/>
        </w:rPr>
        <w:t>一、法定代表人授权书</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lang w:eastAsia="zh-CN"/>
        </w:rPr>
        <w:t>杭州钱塘新区综合行政执法局</w:t>
      </w:r>
      <w:r>
        <w:rPr>
          <w:rFonts w:hint="eastAsia" w:ascii="仿宋" w:hAnsi="仿宋" w:eastAsia="仿宋" w:cs="仿宋_GB2312"/>
          <w:color w:val="auto"/>
          <w:sz w:val="24"/>
          <w:highlight w:val="none"/>
        </w:rPr>
        <w:t>、杭州市公共资源交易中心钱塘新区分中心</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兹委派我公司</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先生/女士(其在本公司的职务是：</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，身份证号码：</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)，代表我公司全权处理</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w:t>
      </w:r>
      <w:r>
        <w:rPr>
          <w:rFonts w:hint="eastAsia" w:ascii="仿宋" w:hAnsi="仿宋" w:eastAsia="仿宋" w:cs="仿宋_GB2312"/>
          <w:color w:val="auto"/>
          <w:kern w:val="0"/>
          <w:sz w:val="24"/>
          <w:highlight w:val="none"/>
          <w:lang w:val="zh-CN"/>
        </w:rPr>
        <w:t>【编号：QTXQ-GK-2021-002】政府采购投标的一切事项，若中标则全权代表本公司签订相关合同，并负责处理合同履行等事宜。</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本授权书有效期：自   年 月  日起至  年  月  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特此告知。</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投标人名称(公章)：</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法定代表人(签字或盖章)：</w:t>
      </w:r>
    </w:p>
    <w:p>
      <w:pPr>
        <w:snapToGrid w:val="0"/>
        <w:spacing w:line="360" w:lineRule="auto"/>
        <w:ind w:right="240"/>
        <w:jc w:val="right"/>
        <w:rPr>
          <w:rFonts w:ascii="仿宋" w:hAnsi="仿宋" w:eastAsia="仿宋" w:cs="仿宋_GB2312"/>
          <w:b/>
          <w:color w:val="auto"/>
          <w:kern w:val="0"/>
          <w:sz w:val="32"/>
          <w:szCs w:val="32"/>
          <w:highlight w:val="none"/>
          <w:lang w:val="zh-CN"/>
        </w:rPr>
      </w:pPr>
      <w:r>
        <w:rPr>
          <w:rFonts w:hint="eastAsia" w:ascii="仿宋" w:hAnsi="仿宋" w:eastAsia="仿宋" w:cs="仿宋_GB2312"/>
          <w:color w:val="auto"/>
          <w:kern w:val="0"/>
          <w:sz w:val="24"/>
          <w:highlight w:val="none"/>
          <w:lang w:val="zh-CN"/>
        </w:rPr>
        <w:t>签发日期：  年  月   日</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附：法定代表人及其授权代表的身份证（扫描件）</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pStyle w:val="27"/>
        <w:spacing w:line="360" w:lineRule="auto"/>
        <w:rPr>
          <w:rFonts w:ascii="仿宋" w:hAnsi="仿宋" w:eastAsia="仿宋"/>
          <w:bCs/>
          <w:color w:val="auto"/>
          <w:sz w:val="24"/>
          <w:highlight w:val="none"/>
        </w:rPr>
      </w:pP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snapToGrid w:val="0"/>
        <w:spacing w:line="360" w:lineRule="auto"/>
        <w:jc w:val="center"/>
        <w:rPr>
          <w:rFonts w:ascii="仿宋" w:hAnsi="仿宋" w:eastAsia="仿宋" w:cs="仿宋_GB2312"/>
          <w:b/>
          <w:color w:val="auto"/>
          <w:kern w:val="0"/>
          <w:sz w:val="30"/>
          <w:szCs w:val="30"/>
          <w:highlight w:val="none"/>
          <w:lang w:val="zh-CN"/>
        </w:rPr>
      </w:pPr>
    </w:p>
    <w:p>
      <w:pPr>
        <w:snapToGrid w:val="0"/>
        <w:spacing w:line="360" w:lineRule="auto"/>
        <w:jc w:val="center"/>
        <w:rPr>
          <w:rFonts w:ascii="仿宋" w:hAnsi="仿宋" w:eastAsia="仿宋" w:cs="仿宋_GB2312"/>
          <w:b/>
          <w:color w:val="auto"/>
          <w:kern w:val="0"/>
          <w:sz w:val="30"/>
          <w:szCs w:val="30"/>
          <w:highlight w:val="none"/>
          <w:lang w:val="zh-CN"/>
        </w:rPr>
      </w:pPr>
      <w:r>
        <w:rPr>
          <w:rFonts w:hint="eastAsia" w:ascii="仿宋" w:hAnsi="仿宋" w:eastAsia="仿宋" w:cs="仿宋_GB2312"/>
          <w:b/>
          <w:color w:val="auto"/>
          <w:kern w:val="0"/>
          <w:sz w:val="30"/>
          <w:szCs w:val="30"/>
          <w:highlight w:val="none"/>
          <w:lang w:val="zh-CN"/>
        </w:rPr>
        <w:t>联合体投标授权书（适用联合体投标）</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兹委派</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公司</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先生/女士(其在该公司的职务是：</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公司</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先生/女士(其在该公司的职务是：</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)；……，代表本联合体全权处理</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w:t>
      </w:r>
      <w:r>
        <w:rPr>
          <w:rFonts w:hint="eastAsia" w:ascii="仿宋" w:hAnsi="仿宋" w:eastAsia="仿宋" w:cs="仿宋_GB2312"/>
          <w:color w:val="auto"/>
          <w:kern w:val="0"/>
          <w:sz w:val="24"/>
          <w:highlight w:val="none"/>
          <w:lang w:val="zh-CN"/>
        </w:rPr>
        <w:t>【编号：QTXQ-GK-2021-002】政府采购投标的一切事项，若中标则全权代表本联合体签订相关合同，并负责处理合同履行等事宜。</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本授权书有效期：自   年 月  日起至  年  月  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特此告知。</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单位：            （公章）         单位：          （公章）</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法定代表人：（签字或盖章）         法定代表人：（签字或盖章）</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    年   月   日             日期：    年   月   日</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附：法定代表人及其授权代表的身份证（扫描件）</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spacing w:line="360" w:lineRule="auto"/>
        <w:jc w:val="center"/>
        <w:rPr>
          <w:rFonts w:ascii="仿宋" w:hAnsi="仿宋" w:eastAsia="仿宋" w:cs="仿宋_GB2312"/>
          <w:b/>
          <w:color w:val="auto"/>
          <w:kern w:val="0"/>
          <w:sz w:val="30"/>
          <w:szCs w:val="30"/>
          <w:highlight w:val="none"/>
          <w:lang w:val="zh-CN"/>
        </w:rPr>
      </w:pPr>
    </w:p>
    <w:p>
      <w:pPr>
        <w:spacing w:line="360" w:lineRule="auto"/>
        <w:jc w:val="center"/>
        <w:rPr>
          <w:rFonts w:ascii="仿宋" w:hAnsi="仿宋" w:eastAsia="仿宋" w:cs="仿宋_GB2312"/>
          <w:b/>
          <w:color w:val="auto"/>
          <w:sz w:val="30"/>
          <w:szCs w:val="30"/>
          <w:highlight w:val="none"/>
        </w:rPr>
      </w:pPr>
      <w:r>
        <w:rPr>
          <w:rFonts w:hint="eastAsia" w:ascii="仿宋" w:hAnsi="仿宋" w:eastAsia="仿宋" w:cs="仿宋_GB2312"/>
          <w:b/>
          <w:color w:val="auto"/>
          <w:kern w:val="0"/>
          <w:sz w:val="30"/>
          <w:szCs w:val="30"/>
          <w:highlight w:val="none"/>
          <w:lang w:val="zh-CN"/>
        </w:rPr>
        <w:t>二、</w:t>
      </w:r>
      <w:r>
        <w:rPr>
          <w:rFonts w:hint="eastAsia" w:ascii="仿宋" w:hAnsi="仿宋" w:eastAsia="仿宋" w:cs="仿宋_GB2312"/>
          <w:b/>
          <w:color w:val="auto"/>
          <w:sz w:val="30"/>
          <w:szCs w:val="30"/>
          <w:highlight w:val="none"/>
        </w:rPr>
        <w:t>营业执照(或事业法人登记证或其他工商等登记证明材料)扫描件（投标人为自然人的，提供自然人的身份证明）、税务登记证(或其它依法缴纳税收的相关材料)扫描件、社保登记证（或其它依法缴纳社会保障资金的相关材料）扫描件；实施“多证合一、一照一码”登记制度改革的，只需提供改革后取得的营业执照扫描件（扫描件）</w:t>
      </w:r>
    </w:p>
    <w:p>
      <w:pPr>
        <w:spacing w:line="360" w:lineRule="auto"/>
        <w:jc w:val="center"/>
        <w:rPr>
          <w:rFonts w:ascii="仿宋" w:hAnsi="仿宋" w:eastAsia="仿宋" w:cs="仿宋_GB2312"/>
          <w:b/>
          <w:color w:val="auto"/>
          <w:sz w:val="30"/>
          <w:szCs w:val="30"/>
          <w:highlight w:val="none"/>
        </w:rPr>
      </w:pPr>
    </w:p>
    <w:p>
      <w:pPr>
        <w:spacing w:line="360" w:lineRule="auto"/>
        <w:jc w:val="center"/>
        <w:rPr>
          <w:rFonts w:ascii="仿宋" w:hAnsi="仿宋" w:eastAsia="仿宋" w:cs="仿宋_GB2312"/>
          <w:b/>
          <w:color w:val="auto"/>
          <w:sz w:val="30"/>
          <w:szCs w:val="30"/>
          <w:highlight w:val="none"/>
        </w:rPr>
      </w:pPr>
      <w:r>
        <w:rPr>
          <w:rFonts w:hint="eastAsia" w:ascii="仿宋" w:hAnsi="仿宋" w:eastAsia="仿宋" w:cs="仿宋_GB2312"/>
          <w:b/>
          <w:color w:val="auto"/>
          <w:sz w:val="30"/>
          <w:szCs w:val="30"/>
          <w:highlight w:val="none"/>
        </w:rPr>
        <w:t>三、资产负债表等财务报表资料文件（扫描件）</w:t>
      </w:r>
    </w:p>
    <w:p>
      <w:pPr>
        <w:snapToGrid w:val="0"/>
        <w:spacing w:line="360" w:lineRule="auto"/>
        <w:ind w:right="480"/>
        <w:rPr>
          <w:rFonts w:ascii="仿宋" w:hAnsi="仿宋" w:eastAsia="仿宋" w:cs="仿宋_GB2312"/>
          <w:b/>
          <w:color w:val="auto"/>
          <w:kern w:val="0"/>
          <w:sz w:val="32"/>
          <w:szCs w:val="32"/>
          <w:highlight w:val="none"/>
          <w:lang w:val="zh-CN"/>
        </w:rPr>
      </w:pPr>
    </w:p>
    <w:p>
      <w:pPr>
        <w:snapToGrid w:val="0"/>
        <w:spacing w:line="360" w:lineRule="auto"/>
        <w:ind w:right="480"/>
        <w:jc w:val="center"/>
        <w:rPr>
          <w:rFonts w:ascii="仿宋" w:hAnsi="仿宋" w:eastAsia="仿宋" w:cs="仿宋_GB2312"/>
          <w:b/>
          <w:color w:val="auto"/>
          <w:kern w:val="0"/>
          <w:sz w:val="30"/>
          <w:szCs w:val="30"/>
          <w:highlight w:val="none"/>
        </w:rPr>
      </w:pPr>
      <w:r>
        <w:rPr>
          <w:rFonts w:hint="eastAsia" w:ascii="仿宋" w:hAnsi="仿宋" w:eastAsia="仿宋" w:cs="仿宋_GB2312"/>
          <w:b/>
          <w:color w:val="auto"/>
          <w:kern w:val="0"/>
          <w:sz w:val="30"/>
          <w:szCs w:val="30"/>
          <w:highlight w:val="none"/>
        </w:rPr>
        <w:t>四、具有履行合同所必需的设备和专业技术能力的承诺函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lang w:eastAsia="zh-CN"/>
        </w:rPr>
        <w:t>杭州钱塘新区综合行政执法局</w:t>
      </w:r>
      <w:r>
        <w:rPr>
          <w:rFonts w:hint="eastAsia" w:ascii="仿宋" w:hAnsi="仿宋" w:eastAsia="仿宋" w:cs="仿宋_GB2312"/>
          <w:color w:val="auto"/>
          <w:sz w:val="24"/>
          <w:highlight w:val="none"/>
        </w:rPr>
        <w:t>、杭州市公共资源交易中心钱塘新区分中心：</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我方郑重承诺，我方具有履行</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项目【招标编号：</w:t>
      </w:r>
      <w:r>
        <w:rPr>
          <w:rFonts w:hint="eastAsia" w:ascii="仿宋" w:hAnsi="仿宋" w:eastAsia="仿宋" w:cs="仿宋_GB2312"/>
          <w:color w:val="auto"/>
          <w:sz w:val="24"/>
          <w:highlight w:val="none"/>
          <w:lang w:eastAsia="zh-CN"/>
        </w:rPr>
        <w:t>QTXQ-GK-2021-002</w:t>
      </w:r>
      <w:r>
        <w:rPr>
          <w:rFonts w:hint="eastAsia" w:ascii="仿宋" w:hAnsi="仿宋" w:eastAsia="仿宋" w:cs="仿宋_GB2312"/>
          <w:color w:val="auto"/>
          <w:sz w:val="24"/>
          <w:highlight w:val="none"/>
        </w:rPr>
        <w:t>】合同所必需的设备和专业技术能力。如中标，我方将保证合同顺利履行。</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w:t>
      </w:r>
    </w:p>
    <w:p>
      <w:pPr>
        <w:snapToGrid w:val="0"/>
        <w:spacing w:line="360" w:lineRule="auto"/>
        <w:ind w:firstLine="5040" w:firstLineChars="21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投标人名称(公章)：</w:t>
      </w:r>
    </w:p>
    <w:p>
      <w:pPr>
        <w:snapToGrid w:val="0"/>
        <w:spacing w:line="360" w:lineRule="auto"/>
        <w:ind w:firstLine="5160" w:firstLineChars="2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rPr>
          <w:rFonts w:ascii="仿宋" w:hAnsi="仿宋" w:eastAsia="仿宋" w:cs="仿宋_GB2312"/>
          <w:b/>
          <w:color w:val="auto"/>
          <w:kern w:val="0"/>
          <w:sz w:val="32"/>
          <w:szCs w:val="32"/>
          <w:highlight w:val="none"/>
        </w:rPr>
      </w:pPr>
    </w:p>
    <w:p>
      <w:pPr>
        <w:spacing w:line="360" w:lineRule="auto"/>
        <w:jc w:val="center"/>
        <w:rPr>
          <w:rFonts w:ascii="仿宋" w:hAnsi="仿宋" w:eastAsia="仿宋" w:cs="仿宋_GB2312"/>
          <w:b/>
          <w:color w:val="auto"/>
          <w:kern w:val="0"/>
          <w:sz w:val="30"/>
          <w:szCs w:val="30"/>
          <w:highlight w:val="none"/>
        </w:rPr>
      </w:pPr>
      <w:r>
        <w:rPr>
          <w:rFonts w:hint="eastAsia" w:ascii="仿宋" w:hAnsi="仿宋" w:eastAsia="仿宋" w:cs="仿宋_GB2312"/>
          <w:b/>
          <w:color w:val="auto"/>
          <w:kern w:val="0"/>
          <w:sz w:val="30"/>
          <w:szCs w:val="30"/>
          <w:highlight w:val="none"/>
        </w:rPr>
        <w:t>五、参加政府采购活动前三年内，在经营活动中</w:t>
      </w:r>
    </w:p>
    <w:p>
      <w:pPr>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0"/>
          <w:szCs w:val="30"/>
          <w:highlight w:val="none"/>
        </w:rPr>
        <w:t>没有重大违法记录的声明</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lang w:eastAsia="zh-CN"/>
        </w:rPr>
        <w:t>杭州钱塘新区综合行政执法局</w:t>
      </w:r>
      <w:r>
        <w:rPr>
          <w:rFonts w:hint="eastAsia" w:ascii="仿宋" w:hAnsi="仿宋" w:eastAsia="仿宋" w:cs="仿宋_GB2312"/>
          <w:color w:val="auto"/>
          <w:sz w:val="24"/>
          <w:highlight w:val="none"/>
        </w:rPr>
        <w:t>、杭州市公共资源交易中心钱塘新区分中心</w:t>
      </w:r>
      <w:r>
        <w:rPr>
          <w:rFonts w:hint="eastAsia" w:ascii="仿宋" w:hAnsi="仿宋" w:eastAsia="仿宋" w:cs="仿宋_GB2312"/>
          <w:color w:val="auto"/>
          <w:kern w:val="0"/>
          <w:sz w:val="24"/>
          <w:highlight w:val="none"/>
          <w:lang w:val="zh-CN"/>
        </w:rPr>
        <w:t>：</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kern w:val="0"/>
          <w:sz w:val="24"/>
          <w:highlight w:val="none"/>
          <w:lang w:val="zh-CN"/>
        </w:rPr>
        <w:t>我方</w:t>
      </w:r>
      <w:r>
        <w:rPr>
          <w:rFonts w:hint="eastAsia" w:ascii="仿宋" w:hAnsi="仿宋" w:eastAsia="仿宋" w:cs="仿宋_GB2312"/>
          <w:color w:val="auto"/>
          <w:sz w:val="24"/>
          <w:highlight w:val="none"/>
        </w:rPr>
        <w:t>声明投标截止时间前三年，在</w:t>
      </w:r>
      <w:r>
        <w:rPr>
          <w:rFonts w:hint="eastAsia" w:ascii="仿宋" w:hAnsi="仿宋" w:eastAsia="仿宋" w:cs="仿宋_GB2312"/>
          <w:color w:val="auto"/>
          <w:kern w:val="0"/>
          <w:sz w:val="24"/>
          <w:highlight w:val="none"/>
        </w:rPr>
        <w:t>经营活动中</w:t>
      </w:r>
      <w:r>
        <w:rPr>
          <w:rFonts w:hint="eastAsia" w:ascii="仿宋" w:hAnsi="仿宋" w:eastAsia="仿宋" w:cs="仿宋_GB2312"/>
          <w:color w:val="auto"/>
          <w:sz w:val="24"/>
          <w:highlight w:val="none"/>
        </w:rPr>
        <w:t xml:space="preserve">没有重大违法记录。 </w:t>
      </w:r>
    </w:p>
    <w:p>
      <w:pPr>
        <w:spacing w:line="360" w:lineRule="auto"/>
        <w:ind w:firstLine="480" w:firstLineChars="200"/>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投标人名称(公章)：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napToGrid w:val="0"/>
        <w:spacing w:line="360" w:lineRule="auto"/>
        <w:rPr>
          <w:rFonts w:ascii="仿宋" w:hAnsi="仿宋" w:eastAsia="仿宋" w:cs="仿宋_GB2312"/>
          <w:color w:val="auto"/>
          <w:kern w:val="0"/>
          <w:sz w:val="24"/>
          <w:highlight w:val="none"/>
          <w:lang w:val="zh-CN"/>
        </w:rPr>
      </w:pPr>
    </w:p>
    <w:p>
      <w:pPr>
        <w:rPr>
          <w:rFonts w:hint="eastAsia" w:ascii="仿宋" w:hAnsi="仿宋" w:eastAsia="仿宋" w:cs="仿宋_GB2312"/>
          <w:b/>
          <w:color w:val="auto"/>
          <w:kern w:val="0"/>
          <w:sz w:val="30"/>
          <w:szCs w:val="30"/>
          <w:highlight w:val="none"/>
        </w:rPr>
      </w:pPr>
      <w:r>
        <w:rPr>
          <w:rFonts w:hint="eastAsia" w:ascii="仿宋" w:hAnsi="仿宋" w:eastAsia="仿宋" w:cs="仿宋_GB2312"/>
          <w:b/>
          <w:color w:val="auto"/>
          <w:kern w:val="0"/>
          <w:sz w:val="30"/>
          <w:szCs w:val="30"/>
          <w:highlight w:val="none"/>
        </w:rPr>
        <w:br w:type="page"/>
      </w:r>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0"/>
          <w:szCs w:val="30"/>
          <w:highlight w:val="none"/>
        </w:rPr>
        <w:t>六、具有良好商业信誉特别声明</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lang w:eastAsia="zh-CN"/>
        </w:rPr>
        <w:t>杭州钱塘新区综合行政执法局</w:t>
      </w:r>
      <w:r>
        <w:rPr>
          <w:rFonts w:hint="eastAsia" w:ascii="仿宋" w:hAnsi="仿宋" w:eastAsia="仿宋" w:cs="仿宋_GB2312"/>
          <w:color w:val="auto"/>
          <w:sz w:val="24"/>
          <w:highlight w:val="none"/>
        </w:rPr>
        <w:t>、杭州市公共资源交易中心钱塘新区分中心</w:t>
      </w:r>
      <w:r>
        <w:rPr>
          <w:rFonts w:hint="eastAsia" w:ascii="仿宋" w:hAnsi="仿宋" w:eastAsia="仿宋" w:cs="仿宋_GB2312"/>
          <w:color w:val="auto"/>
          <w:kern w:val="0"/>
          <w:sz w:val="24"/>
          <w:highlight w:val="none"/>
          <w:lang w:val="zh-CN"/>
        </w:rPr>
        <w:t>：</w:t>
      </w:r>
    </w:p>
    <w:p>
      <w:pPr>
        <w:snapToGrid w:val="0"/>
        <w:spacing w:line="360" w:lineRule="auto"/>
        <w:ind w:firstLine="48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rPr>
        <w:t>截至投标截止时间，我方具有良好的商业信誉，不存在下列情形（包括但不限于）。否则，我方将承担在资格审查时不被通过的后果。</w:t>
      </w:r>
    </w:p>
    <w:p>
      <w:pPr>
        <w:pStyle w:val="23"/>
        <w:ind w:firstLine="495" w:firstLineChars="0"/>
        <w:rPr>
          <w:rFonts w:ascii="仿宋" w:hAnsi="仿宋" w:eastAsia="仿宋"/>
          <w:color w:val="auto"/>
          <w:highlight w:val="none"/>
        </w:rPr>
      </w:pPr>
      <w:r>
        <w:rPr>
          <w:rFonts w:hint="eastAsia" w:ascii="仿宋" w:hAnsi="仿宋" w:eastAsia="仿宋"/>
          <w:color w:val="auto"/>
          <w:highlight w:val="none"/>
        </w:rPr>
        <w:t>1</w:t>
      </w:r>
      <w:r>
        <w:rPr>
          <w:rFonts w:hint="eastAsia" w:ascii="仿宋" w:hAnsi="仿宋" w:eastAsia="仿宋" w:cs="仿宋_GB2312"/>
          <w:b/>
          <w:color w:val="auto"/>
          <w:szCs w:val="24"/>
          <w:highlight w:val="none"/>
        </w:rPr>
        <w:t>、</w:t>
      </w:r>
      <w:r>
        <w:rPr>
          <w:rFonts w:hint="eastAsia" w:ascii="仿宋" w:hAnsi="仿宋" w:eastAsia="仿宋"/>
          <w:color w:val="auto"/>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2、截至投标截止时间，因违反《浙江省政府采购供应商注册及诚信管理暂行办法》而被列入‘黑名单’，在处罚有效期内。 </w:t>
      </w:r>
    </w:p>
    <w:p>
      <w:pPr>
        <w:spacing w:line="360" w:lineRule="auto"/>
        <w:ind w:firstLine="480" w:firstLineChars="200"/>
        <w:rPr>
          <w:rFonts w:ascii="仿宋" w:hAnsi="仿宋" w:eastAsia="仿宋"/>
          <w:color w:val="auto"/>
          <w:sz w:val="24"/>
          <w:highlight w:val="none"/>
        </w:rPr>
      </w:pPr>
    </w:p>
    <w:p>
      <w:pPr>
        <w:snapToGrid w:val="0"/>
        <w:spacing w:line="360" w:lineRule="auto"/>
        <w:ind w:firstLine="5160" w:firstLineChars="21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pStyle w:val="6"/>
        <w:rPr>
          <w:color w:val="auto"/>
          <w:highlight w:val="none"/>
        </w:rPr>
      </w:pPr>
    </w:p>
    <w:p>
      <w:pPr>
        <w:spacing w:line="360" w:lineRule="auto"/>
        <w:jc w:val="center"/>
        <w:rPr>
          <w:rFonts w:ascii="仿宋" w:hAnsi="仿宋" w:eastAsia="仿宋" w:cs="仿宋_GB2312"/>
          <w:b/>
          <w:color w:val="auto"/>
          <w:sz w:val="30"/>
          <w:szCs w:val="30"/>
          <w:highlight w:val="none"/>
        </w:rPr>
      </w:pPr>
      <w:r>
        <w:rPr>
          <w:rFonts w:hint="eastAsia" w:ascii="仿宋" w:hAnsi="仿宋" w:eastAsia="仿宋" w:cs="仿宋_GB2312"/>
          <w:b/>
          <w:color w:val="auto"/>
          <w:sz w:val="30"/>
          <w:szCs w:val="30"/>
          <w:highlight w:val="none"/>
        </w:rPr>
        <w:t>七、未被“信用中国”（www.creditchina.gov.cn）、中国政府采购网（www.ccgp.gov.cn）列入失信被执行人、重大税收违法案件当事人名单、政府采购严重违法失信行为记录名单的声明或查询截图</w:t>
      </w:r>
    </w:p>
    <w:p>
      <w:pPr>
        <w:spacing w:line="360" w:lineRule="auto"/>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0"/>
          <w:szCs w:val="30"/>
          <w:highlight w:val="none"/>
        </w:rPr>
        <w:t>八、特定资格条件要求的资质文件（扫描件）</w:t>
      </w:r>
    </w:p>
    <w:p>
      <w:pPr>
        <w:widowControl/>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spacing w:line="360" w:lineRule="auto"/>
        <w:jc w:val="left"/>
        <w:rPr>
          <w:rFonts w:ascii="仿宋" w:hAnsi="仿宋" w:eastAsia="仿宋" w:cs="仿宋_GB2312"/>
          <w:b/>
          <w:bCs/>
          <w:color w:val="auto"/>
          <w:sz w:val="32"/>
          <w:szCs w:val="32"/>
          <w:highlight w:val="none"/>
        </w:rPr>
      </w:pPr>
      <w:r>
        <w:rPr>
          <w:rFonts w:hint="eastAsia" w:ascii="仿宋" w:hAnsi="仿宋" w:eastAsia="仿宋" w:cs="仿宋_GB2312"/>
          <w:b/>
          <w:color w:val="auto"/>
          <w:sz w:val="28"/>
          <w:szCs w:val="28"/>
          <w:highlight w:val="none"/>
        </w:rPr>
        <w:t>附：法定代表人授权书（如法定代表人直接参加投标并对相应文件签字的，只需提供其身份证扫描件正反面；如以联合体形式参加政府采购活动的，按招标文件有关格式范例提供联合体投标授权书）</w:t>
      </w:r>
      <w:r>
        <w:rPr>
          <w:rFonts w:hint="eastAsia" w:ascii="仿宋" w:hAnsi="仿宋" w:eastAsia="仿宋" w:cs="仿宋_GB2312"/>
          <w:b/>
          <w:bCs/>
          <w:color w:val="auto"/>
          <w:sz w:val="32"/>
          <w:szCs w:val="32"/>
          <w:highlight w:val="none"/>
        </w:rPr>
        <w:br w:type="page"/>
      </w:r>
    </w:p>
    <w:p>
      <w:pPr>
        <w:snapToGrid w:val="0"/>
        <w:spacing w:line="360" w:lineRule="auto"/>
        <w:jc w:val="center"/>
        <w:rPr>
          <w:rFonts w:ascii="仿宋" w:hAnsi="仿宋" w:eastAsia="仿宋" w:cs="仿宋_GB2312"/>
          <w:b/>
          <w:bCs/>
          <w:color w:val="auto"/>
          <w:sz w:val="32"/>
          <w:szCs w:val="32"/>
          <w:highlight w:val="none"/>
        </w:rPr>
      </w:pPr>
    </w:p>
    <w:p>
      <w:pPr>
        <w:snapToGrid w:val="0"/>
        <w:spacing w:line="360" w:lineRule="auto"/>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（1）投标响应函……………………………………………………（页码）</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（2）投标报价明细表………………………………………………（页码）</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（3）小微企业声明函………………………………………………（页码）</w:t>
      </w: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sz w:val="32"/>
          <w:szCs w:val="32"/>
          <w:highlight w:val="none"/>
        </w:rPr>
      </w:pPr>
      <w:r>
        <w:rPr>
          <w:rFonts w:ascii="仿宋" w:hAnsi="仿宋" w:eastAsia="仿宋" w:cs="仿宋_GB2312"/>
          <w:b/>
          <w:color w:val="auto"/>
          <w:kern w:val="0"/>
          <w:sz w:val="32"/>
          <w:szCs w:val="32"/>
          <w:highlight w:val="none"/>
        </w:rPr>
        <w:br w:type="page"/>
      </w:r>
      <w:r>
        <w:rPr>
          <w:rFonts w:hint="eastAsia" w:ascii="仿宋" w:hAnsi="仿宋" w:eastAsia="仿宋" w:cs="仿宋_GB2312"/>
          <w:b/>
          <w:color w:val="auto"/>
          <w:kern w:val="0"/>
          <w:sz w:val="32"/>
          <w:szCs w:val="32"/>
          <w:highlight w:val="none"/>
        </w:rPr>
        <w:t>一、投标响应</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lang w:eastAsia="zh-CN"/>
        </w:rPr>
        <w:t>杭州钱塘新区综合行政执法局</w:t>
      </w:r>
      <w:r>
        <w:rPr>
          <w:rFonts w:hint="eastAsia" w:ascii="仿宋" w:hAnsi="仿宋" w:eastAsia="仿宋" w:cs="仿宋_GB2312"/>
          <w:color w:val="auto"/>
          <w:sz w:val="24"/>
          <w:highlight w:val="none"/>
        </w:rPr>
        <w:t>、杭州市公共资源交易中心钱塘新区分中心：</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sz w:val="24"/>
          <w:highlight w:val="none"/>
        </w:rPr>
        <w:t>(投标人全称)授权</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sz w:val="24"/>
          <w:highlight w:val="none"/>
        </w:rPr>
        <w:t>(全权代表姓名)</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sz w:val="24"/>
          <w:highlight w:val="none"/>
        </w:rPr>
        <w:t>(职务、职称)为全权代表，参加贵方组织的</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项目【招标编号：</w:t>
      </w:r>
      <w:r>
        <w:rPr>
          <w:rFonts w:hint="eastAsia" w:ascii="仿宋" w:hAnsi="仿宋" w:eastAsia="仿宋" w:cs="仿宋_GB2312"/>
          <w:color w:val="auto"/>
          <w:sz w:val="24"/>
          <w:highlight w:val="none"/>
          <w:lang w:eastAsia="zh-CN"/>
        </w:rPr>
        <w:t>QTXQ-GK-2021-002</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1、我方同意在投标人</w:t>
      </w:r>
      <w:r>
        <w:rPr>
          <w:rFonts w:hint="eastAsia" w:ascii="仿宋" w:hAnsi="仿宋" w:eastAsia="仿宋" w:cs="仿宋_GB2312"/>
          <w:color w:val="auto"/>
          <w:kern w:val="44"/>
          <w:sz w:val="24"/>
          <w:highlight w:val="none"/>
        </w:rPr>
        <w:t>投标人须知</w:t>
      </w:r>
      <w:r>
        <w:rPr>
          <w:rFonts w:hint="eastAsia" w:ascii="仿宋" w:hAnsi="仿宋" w:eastAsia="仿宋" w:cs="仿宋_GB2312"/>
          <w:color w:val="auto"/>
          <w:sz w:val="24"/>
          <w:highlight w:val="none"/>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(1)具有独立承担民事责任的能力；</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(2)遵守国家法律、行政法规，具有良好的信誉和商业道德；</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(3)具有履行合同的能力和良好的履行合同记录；</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(4)良好的资金、财务状况；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(5)产品及生产所需装备符合中国政府规定的相应技术标准和环保标准；</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(6)没有违反政府采购法规、政策的记录；</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(7)没有发生重大经济纠纷和走私犯罪记录。</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3、我方拟在中标后将</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工作分包，分包承担主体是</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，我方承诺分包承担主体具备相应资质条件</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，且不再次分包。（不再将工作进行分包或本项目不允许分包的，下划线处填写“/”。）</w:t>
      </w:r>
    </w:p>
    <w:p>
      <w:pPr>
        <w:pStyle w:val="8"/>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4、提供</w:t>
      </w:r>
      <w:r>
        <w:rPr>
          <w:rFonts w:hint="eastAsia" w:ascii="仿宋" w:hAnsi="仿宋" w:eastAsia="仿宋" w:cs="仿宋_GB2312"/>
          <w:color w:val="auto"/>
          <w:kern w:val="44"/>
          <w:sz w:val="24"/>
          <w:highlight w:val="none"/>
        </w:rPr>
        <w:t>投标人须知</w:t>
      </w:r>
      <w:r>
        <w:rPr>
          <w:rFonts w:hint="eastAsia" w:ascii="仿宋" w:hAnsi="仿宋" w:eastAsia="仿宋" w:cs="仿宋_GB2312"/>
          <w:color w:val="auto"/>
          <w:sz w:val="24"/>
          <w:highlight w:val="none"/>
        </w:rPr>
        <w:t>规定的全部投标文件，包括</w:t>
      </w:r>
      <w:r>
        <w:rPr>
          <w:rFonts w:hint="eastAsia" w:ascii="仿宋" w:hAnsi="仿宋" w:eastAsia="仿宋" w:cs="仿宋_GB2312"/>
          <w:b/>
          <w:color w:val="auto"/>
          <w:sz w:val="24"/>
          <w:szCs w:val="24"/>
          <w:highlight w:val="none"/>
        </w:rPr>
        <w:t>资格文件；报价文件；商务技术文件</w:t>
      </w:r>
      <w:r>
        <w:rPr>
          <w:rFonts w:hint="eastAsia" w:ascii="仿宋" w:hAnsi="仿宋" w:eastAsia="仿宋" w:cs="仿宋_GB2312"/>
          <w:color w:val="auto"/>
          <w:kern w:val="44"/>
          <w:sz w:val="24"/>
          <w:highlight w:val="none"/>
        </w:rPr>
        <w:t>（见投标须知前附表所述）。</w:t>
      </w:r>
      <w:r>
        <w:rPr>
          <w:rFonts w:hint="eastAsia" w:ascii="仿宋" w:hAnsi="仿宋" w:eastAsia="仿宋" w:cs="仿宋_GB2312"/>
          <w:color w:val="auto"/>
          <w:sz w:val="24"/>
          <w:highlight w:val="none"/>
        </w:rPr>
        <w:t>具体内容为：</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(1)投标报价明细表；</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(2)投标</w:t>
      </w:r>
      <w:r>
        <w:rPr>
          <w:rFonts w:hint="eastAsia" w:ascii="仿宋" w:hAnsi="仿宋" w:eastAsia="仿宋" w:cs="仿宋_GB2312"/>
          <w:color w:val="auto"/>
          <w:kern w:val="0"/>
          <w:sz w:val="24"/>
          <w:highlight w:val="none"/>
          <w:lang w:val="zh-CN"/>
        </w:rPr>
        <w:t>技术文件和</w:t>
      </w:r>
      <w:r>
        <w:rPr>
          <w:rFonts w:hint="eastAsia" w:ascii="仿宋" w:hAnsi="仿宋" w:eastAsia="仿宋" w:cs="仿宋_GB2312"/>
          <w:color w:val="auto"/>
          <w:sz w:val="24"/>
          <w:highlight w:val="none"/>
          <w:lang w:val="zh-CN"/>
        </w:rPr>
        <w:t>商务文件</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r>
        <w:rPr>
          <w:rFonts w:hint="eastAsia" w:ascii="仿宋" w:hAnsi="仿宋" w:eastAsia="仿宋" w:cs="仿宋_GB2312"/>
          <w:color w:val="auto"/>
          <w:kern w:val="44"/>
          <w:sz w:val="24"/>
          <w:highlight w:val="none"/>
        </w:rPr>
        <w:t>投标人须知</w:t>
      </w:r>
      <w:r>
        <w:rPr>
          <w:rFonts w:hint="eastAsia" w:ascii="仿宋" w:hAnsi="仿宋" w:eastAsia="仿宋" w:cs="仿宋_GB2312"/>
          <w:color w:val="auto"/>
          <w:sz w:val="24"/>
          <w:highlight w:val="none"/>
        </w:rPr>
        <w:t>要求投标人提交的全部文件；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(4)按招标文件要求提供和交付的货物和服务的投标报价详见投标报价明细表；</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(5)保证忠实地执行双方所签订的合同，并承担合同规定的责任和义务；</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(6)保证遵守招标文件中的其他有关规定。</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5、我方承诺投标有效期从提交投标文件的截止之日起</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天，不少于招标文件中载明的投标有效期（从提交投标文件的截止之日起90天）。</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6、我方完全理解贵方不一定要接受最低价的投标。</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a)提供虚假材料谋取中标、成交的；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b)采取不正当手段诋毁、排挤其他供应商的；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c)与采购人、其它供应商或者采购机构恶意串通的；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d)向采购人、采购机构行贿或者提供其他不正当利益的；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e)在招标采购过程中与采购人进行协商谈判的；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f)拒绝有关部门监督检查或提供虚假情况的。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供应商有前款第a)至e)项情形之一的，中标、成交无效。</w:t>
      </w:r>
    </w:p>
    <w:p>
      <w:pPr>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投标人名称（公章）：                          </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_GB2312"/>
          <w:color w:val="auto"/>
          <w:kern w:val="0"/>
          <w:sz w:val="24"/>
          <w:highlight w:val="none"/>
          <w:u w:val="single"/>
          <w:lang w:val="zh-CN"/>
        </w:rPr>
      </w:pPr>
    </w:p>
    <w:p>
      <w:pPr>
        <w:snapToGrid w:val="0"/>
        <w:spacing w:line="360" w:lineRule="auto"/>
        <w:ind w:left="420" w:left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联系电话： </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left="420" w:left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联系地址：</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left="420" w:left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邮政编码：</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传真号码：</w:t>
      </w:r>
      <w:r>
        <w:rPr>
          <w:rFonts w:hint="eastAsia" w:ascii="仿宋" w:hAnsi="仿宋" w:eastAsia="仿宋" w:cs="仿宋_GB2312"/>
          <w:color w:val="auto"/>
          <w:kern w:val="0"/>
          <w:sz w:val="24"/>
          <w:highlight w:val="none"/>
          <w:u w:val="single"/>
          <w:lang w:val="zh-CN"/>
        </w:rPr>
        <w:t xml:space="preserve">                     </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b/>
          <w:color w:val="auto"/>
          <w:kern w:val="0"/>
          <w:sz w:val="24"/>
          <w:highlight w:val="none"/>
          <w:lang w:val="zh-CN"/>
        </w:rPr>
        <w:t>注：未按照本投标响应函要求填报的将被视为非实质性响应投标，从而可能导致该投标被拒绝。</w:t>
      </w:r>
    </w:p>
    <w:p>
      <w:pPr>
        <w:pStyle w:val="29"/>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8"/>
        <w:snapToGrid w:val="0"/>
        <w:spacing w:before="120" w:after="12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二、投标报价明细表</w:t>
      </w:r>
    </w:p>
    <w:p>
      <w:pPr>
        <w:spacing w:line="360" w:lineRule="auto"/>
        <w:jc w:val="center"/>
        <w:rPr>
          <w:rFonts w:ascii="仿宋" w:hAnsi="仿宋" w:eastAsia="仿宋"/>
          <w:b/>
          <w:color w:val="auto"/>
          <w:sz w:val="24"/>
          <w:highlight w:val="none"/>
          <w:u w:val="single"/>
        </w:rPr>
      </w:pPr>
      <w:r>
        <w:rPr>
          <w:rFonts w:hint="eastAsia" w:ascii="仿宋" w:hAnsi="仿宋" w:eastAsia="仿宋" w:cs="仿宋_GB2312"/>
          <w:b/>
          <w:color w:val="auto"/>
          <w:kern w:val="0"/>
          <w:sz w:val="24"/>
          <w:highlight w:val="none"/>
          <w:lang w:val="zh-CN"/>
        </w:rPr>
        <w:t>(单位均为人民币元)</w:t>
      </w:r>
    </w:p>
    <w:tbl>
      <w:tblPr>
        <w:tblStyle w:val="15"/>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货物</w:t>
            </w:r>
          </w:p>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规格</w:t>
            </w:r>
          </w:p>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单价</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总价</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auto"/>
                <w:sz w:val="24"/>
                <w:highlight w:val="none"/>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r>
              <w:rPr>
                <w:rFonts w:hint="eastAsia" w:ascii="仿宋" w:hAnsi="仿宋" w:eastAsia="仿宋"/>
                <w:b/>
                <w:color w:val="auto"/>
                <w:sz w:val="24"/>
                <w:highlight w:val="none"/>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auto"/>
                <w:sz w:val="24"/>
                <w:highlight w:val="none"/>
              </w:rPr>
            </w:pPr>
            <w:r>
              <w:rPr>
                <w:rFonts w:hint="eastAsia" w:ascii="仿宋" w:hAnsi="仿宋" w:eastAsia="仿宋"/>
                <w:b/>
                <w:color w:val="auto"/>
                <w:sz w:val="24"/>
                <w:highlight w:val="none"/>
              </w:rPr>
              <w:t>投标总价合计金额大写：                                小写： ￥</w:t>
            </w:r>
            <w:r>
              <w:rPr>
                <w:rFonts w:hint="eastAsia" w:ascii="仿宋" w:hAnsi="仿宋" w:eastAsia="仿宋"/>
                <w:b/>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 w:val="24"/>
                <w:highlight w:val="none"/>
              </w:rPr>
            </w:pPr>
            <w:r>
              <w:rPr>
                <w:rFonts w:hint="eastAsia" w:ascii="仿宋" w:hAnsi="仿宋" w:eastAsia="仿宋"/>
                <w:color w:val="auto"/>
                <w:sz w:val="24"/>
                <w:highlight w:val="none"/>
              </w:rPr>
              <w:t>备注</w:t>
            </w:r>
          </w:p>
        </w:tc>
        <w:tc>
          <w:tcPr>
            <w:tcW w:w="85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auto"/>
                <w:sz w:val="24"/>
                <w:highlight w:val="none"/>
              </w:rPr>
            </w:pPr>
            <w:r>
              <w:rPr>
                <w:rFonts w:hint="eastAsia" w:ascii="仿宋" w:hAnsi="仿宋" w:eastAsia="仿宋"/>
                <w:color w:val="auto"/>
                <w:sz w:val="24"/>
                <w:highlight w:val="none"/>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auto"/>
                <w:sz w:val="24"/>
                <w:highlight w:val="none"/>
              </w:rPr>
            </w:pPr>
            <w:r>
              <w:rPr>
                <w:rFonts w:hint="eastAsia" w:ascii="仿宋" w:hAnsi="仿宋" w:eastAsia="仿宋"/>
                <w:color w:val="auto"/>
                <w:sz w:val="24"/>
                <w:highlight w:val="none"/>
              </w:rPr>
              <w:t>2.报价要求：项目费用包括项目实施所需的工程费、工时费、服务费、运输费、安装调试费、税费及其他一切费用。</w:t>
            </w:r>
          </w:p>
          <w:p>
            <w:pPr>
              <w:snapToGrid w:val="0"/>
              <w:rPr>
                <w:rFonts w:ascii="仿宋" w:hAnsi="仿宋" w:eastAsia="仿宋"/>
                <w:color w:val="auto"/>
                <w:sz w:val="24"/>
                <w:highlight w:val="none"/>
              </w:rPr>
            </w:pPr>
            <w:r>
              <w:rPr>
                <w:rFonts w:hint="eastAsia" w:ascii="仿宋" w:hAnsi="仿宋" w:eastAsia="仿宋"/>
                <w:color w:val="auto"/>
                <w:sz w:val="24"/>
                <w:highlight w:val="none"/>
              </w:rPr>
              <w:t>3.报价中不允许出现报价优惠等字样（明细出现“0”元，视同赠送）,投标总价合计金额应与明细报价汇总相等。</w:t>
            </w:r>
          </w:p>
        </w:tc>
      </w:tr>
    </w:tbl>
    <w:p>
      <w:pPr>
        <w:snapToGrid w:val="0"/>
        <w:spacing w:line="400" w:lineRule="exact"/>
        <w:jc w:val="left"/>
        <w:rPr>
          <w:rFonts w:ascii="仿宋" w:hAnsi="仿宋" w:eastAsia="仿宋"/>
          <w:color w:val="auto"/>
          <w:sz w:val="24"/>
          <w:highlight w:val="none"/>
        </w:rPr>
      </w:pPr>
    </w:p>
    <w:p>
      <w:pPr>
        <w:snapToGrid w:val="0"/>
        <w:spacing w:line="360" w:lineRule="auto"/>
        <w:rPr>
          <w:rFonts w:ascii="仿宋" w:hAnsi="仿宋" w:eastAsia="仿宋"/>
          <w:color w:val="auto"/>
          <w:sz w:val="24"/>
          <w:highlight w:val="none"/>
        </w:rPr>
      </w:pPr>
      <w:r>
        <w:rPr>
          <w:rFonts w:hint="eastAsia" w:ascii="仿宋" w:hAnsi="仿宋" w:eastAsia="仿宋" w:cs="仿宋_GB2312"/>
          <w:color w:val="auto"/>
          <w:kern w:val="0"/>
          <w:sz w:val="24"/>
          <w:highlight w:val="none"/>
          <w:lang w:val="zh-CN"/>
        </w:rPr>
        <w:t>投标人名称(公章)：</w:t>
      </w:r>
      <w:r>
        <w:rPr>
          <w:rFonts w:hint="eastAsia" w:ascii="仿宋" w:hAnsi="仿宋" w:eastAsia="仿宋"/>
          <w:color w:val="auto"/>
          <w:sz w:val="28"/>
          <w:szCs w:val="28"/>
          <w:highlight w:val="none"/>
        </w:rPr>
        <w:t xml:space="preserve">                           </w:t>
      </w:r>
      <w:r>
        <w:rPr>
          <w:rFonts w:hint="eastAsia" w:ascii="仿宋" w:hAnsi="仿宋" w:eastAsia="仿宋"/>
          <w:color w:val="auto"/>
          <w:sz w:val="24"/>
          <w:highlight w:val="none"/>
        </w:rPr>
        <w:t xml:space="preserve">  日期： </w:t>
      </w:r>
    </w:p>
    <w:p>
      <w:pPr>
        <w:rPr>
          <w:color w:val="auto"/>
          <w:highlight w:val="none"/>
        </w:rPr>
      </w:pPr>
      <w:r>
        <w:rPr>
          <w:rFonts w:hint="eastAsia" w:ascii="仿宋" w:hAnsi="仿宋" w:eastAsia="仿宋"/>
          <w:color w:val="auto"/>
          <w:sz w:val="24"/>
          <w:highlight w:val="none"/>
        </w:rPr>
        <w:br w:type="page"/>
      </w:r>
    </w:p>
    <w:p>
      <w:pPr>
        <w:pStyle w:val="29"/>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243" w:bottom="1440" w:left="1423" w:header="930" w:footer="992" w:gutter="0"/>
          <w:cols w:space="720" w:num="1"/>
          <w:titlePg/>
          <w:docGrid w:linePitch="312" w:charSpace="0"/>
        </w:sectPr>
      </w:pPr>
    </w:p>
    <w:p>
      <w:pPr>
        <w:pStyle w:val="29"/>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三、小微企业声明函（如果有）</w:t>
      </w:r>
    </w:p>
    <w:p>
      <w:pPr>
        <w:spacing w:line="360" w:lineRule="auto"/>
        <w:rPr>
          <w:rFonts w:ascii="仿宋" w:hAnsi="仿宋" w:eastAsia="仿宋"/>
          <w:color w:val="auto"/>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本公司郑重声明，根据《政府采购促进中小企业发展暂行办法》（财库[2011]181号）的规定，本公司为</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（请填写：小型、微型）企业。即，本公司同时满足以下条件：</w:t>
      </w:r>
    </w:p>
    <w:p>
      <w:pPr>
        <w:pStyle w:val="30"/>
        <w:widowControl/>
        <w:numPr>
          <w:ilvl w:val="0"/>
          <w:numId w:val="9"/>
        </w:numPr>
        <w:ind w:left="1320" w:firstLineChars="0"/>
        <w:rPr>
          <w:rFonts w:ascii="仿宋" w:hAnsi="仿宋" w:eastAsia="仿宋" w:cs="仿宋_GB2312"/>
          <w:color w:val="auto"/>
          <w:szCs w:val="24"/>
          <w:highlight w:val="none"/>
        </w:rPr>
      </w:pPr>
      <w:r>
        <w:rPr>
          <w:rFonts w:hint="eastAsia" w:ascii="仿宋" w:hAnsi="仿宋" w:eastAsia="仿宋" w:cs="仿宋_GB2312"/>
          <w:color w:val="auto"/>
          <w:szCs w:val="24"/>
          <w:highlight w:val="none"/>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color w:val="auto"/>
          <w:szCs w:val="24"/>
          <w:highlight w:val="none"/>
          <w:u w:val="single"/>
        </w:rPr>
        <w:t xml:space="preserve">   </w:t>
      </w:r>
      <w:r>
        <w:rPr>
          <w:rFonts w:hint="eastAsia" w:ascii="仿宋" w:hAnsi="仿宋" w:eastAsia="仿宋" w:cs="仿宋_GB2312"/>
          <w:color w:val="auto"/>
          <w:szCs w:val="24"/>
          <w:highlight w:val="none"/>
        </w:rPr>
        <w:t>（请填写：小型、微型）企业。</w:t>
      </w:r>
    </w:p>
    <w:p>
      <w:pPr>
        <w:pStyle w:val="30"/>
        <w:widowControl/>
        <w:numPr>
          <w:ilvl w:val="0"/>
          <w:numId w:val="9"/>
        </w:numPr>
        <w:ind w:left="1320" w:firstLineChars="0"/>
        <w:rPr>
          <w:rFonts w:ascii="仿宋" w:hAnsi="仿宋" w:eastAsia="仿宋" w:cs="仿宋_GB2312"/>
          <w:color w:val="auto"/>
          <w:szCs w:val="24"/>
          <w:highlight w:val="none"/>
        </w:rPr>
      </w:pPr>
      <w:r>
        <w:rPr>
          <w:rFonts w:hint="eastAsia" w:ascii="仿宋" w:hAnsi="仿宋" w:eastAsia="仿宋" w:cs="仿宋_GB2312"/>
          <w:color w:val="auto"/>
          <w:szCs w:val="24"/>
          <w:highlight w:val="none"/>
        </w:rPr>
        <w:t>本公司参加</w:t>
      </w:r>
      <w:r>
        <w:rPr>
          <w:rFonts w:hint="eastAsia" w:ascii="仿宋" w:hAnsi="仿宋" w:eastAsia="仿宋" w:cs="仿宋_GB2312"/>
          <w:color w:val="auto"/>
          <w:szCs w:val="24"/>
          <w:highlight w:val="none"/>
          <w:u w:val="single"/>
        </w:rPr>
        <w:t xml:space="preserve">         </w:t>
      </w:r>
      <w:r>
        <w:rPr>
          <w:rFonts w:hint="eastAsia" w:ascii="仿宋" w:hAnsi="仿宋" w:eastAsia="仿宋" w:cs="仿宋_GB2312"/>
          <w:color w:val="auto"/>
          <w:szCs w:val="24"/>
          <w:highlight w:val="none"/>
        </w:rPr>
        <w:t>单位的</w:t>
      </w:r>
      <w:r>
        <w:rPr>
          <w:rFonts w:hint="eastAsia" w:ascii="仿宋" w:hAnsi="仿宋" w:eastAsia="仿宋" w:cs="仿宋_GB2312"/>
          <w:color w:val="auto"/>
          <w:szCs w:val="24"/>
          <w:highlight w:val="none"/>
          <w:u w:val="single"/>
        </w:rPr>
        <w:t xml:space="preserve">       </w:t>
      </w:r>
      <w:r>
        <w:rPr>
          <w:rFonts w:hint="eastAsia" w:ascii="仿宋" w:hAnsi="仿宋" w:eastAsia="仿宋" w:cs="仿宋_GB2312"/>
          <w:color w:val="auto"/>
          <w:szCs w:val="24"/>
          <w:highlight w:val="none"/>
        </w:rPr>
        <w:t xml:space="preserve">项目采购活动提供本企业制造的货物，由本企业承担工程、提供服务，或者提供其他 </w:t>
      </w:r>
      <w:r>
        <w:rPr>
          <w:rFonts w:hint="eastAsia" w:ascii="仿宋" w:hAnsi="仿宋" w:eastAsia="仿宋" w:cs="仿宋_GB2312"/>
          <w:color w:val="auto"/>
          <w:szCs w:val="24"/>
          <w:highlight w:val="none"/>
          <w:u w:val="single"/>
        </w:rPr>
        <w:t xml:space="preserve">        </w:t>
      </w:r>
      <w:r>
        <w:rPr>
          <w:rFonts w:hint="eastAsia" w:ascii="仿宋" w:hAnsi="仿宋" w:eastAsia="仿宋" w:cs="仿宋_GB2312"/>
          <w:color w:val="auto"/>
          <w:szCs w:val="24"/>
          <w:highlight w:val="none"/>
        </w:rPr>
        <w:t>（请填写：小型、微型）企业制造的货物。本条所称货物不包括使用大型企业注册商标的货物。</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本公司对上述声明的真实性负责。如有虚假，将依法承担相应责任。</w:t>
      </w:r>
    </w:p>
    <w:p>
      <w:pPr>
        <w:spacing w:line="360" w:lineRule="auto"/>
        <w:jc w:val="right"/>
        <w:rPr>
          <w:rFonts w:ascii="仿宋" w:hAnsi="仿宋" w:eastAsia="仿宋" w:cs="仿宋_GB2312"/>
          <w:color w:val="auto"/>
          <w:sz w:val="24"/>
          <w:highlight w:val="none"/>
        </w:rPr>
      </w:pPr>
    </w:p>
    <w:p>
      <w:pPr>
        <w:spacing w:line="360" w:lineRule="auto"/>
        <w:jc w:val="center"/>
        <w:outlineLvl w:val="0"/>
        <w:rPr>
          <w:rFonts w:ascii="仿宋" w:hAnsi="仿宋" w:eastAsia="仿宋" w:cs="仿宋_GB2312"/>
          <w:color w:val="auto"/>
          <w:sz w:val="36"/>
          <w:szCs w:val="36"/>
          <w:highlight w:val="none"/>
          <w:lang w:val="zh-CN"/>
        </w:rPr>
      </w:pPr>
      <w:r>
        <w:rPr>
          <w:rFonts w:hint="eastAsia" w:ascii="仿宋" w:hAnsi="仿宋" w:eastAsia="仿宋" w:cs="仿宋_GB2312"/>
          <w:color w:val="auto"/>
          <w:sz w:val="24"/>
          <w:highlight w:val="none"/>
        </w:rPr>
        <w:t>企业名称（盖章）：               日期：</w:t>
      </w:r>
    </w:p>
    <w:p>
      <w:pPr>
        <w:spacing w:line="360" w:lineRule="auto"/>
        <w:ind w:right="420"/>
        <w:rPr>
          <w:rFonts w:ascii="仿宋" w:hAnsi="仿宋" w:eastAsia="仿宋" w:cs="仿宋_GB2312"/>
          <w:color w:val="auto"/>
          <w:sz w:val="24"/>
          <w:highlight w:val="none"/>
        </w:rPr>
      </w:pPr>
      <w:r>
        <w:rPr>
          <w:rFonts w:hint="eastAsia" w:ascii="仿宋" w:hAnsi="仿宋" w:eastAsia="仿宋" w:cs="仿宋_GB2312"/>
          <w:color w:val="auto"/>
          <w:sz w:val="24"/>
          <w:highlight w:val="none"/>
        </w:rPr>
        <w:t>注：</w:t>
      </w:r>
      <w:r>
        <w:rPr>
          <w:rFonts w:hint="eastAsia" w:ascii="仿宋" w:hAnsi="仿宋" w:eastAsia="仿宋"/>
          <w:b/>
          <w:color w:val="auto"/>
          <w:sz w:val="24"/>
          <w:highlight w:val="none"/>
        </w:rPr>
        <w:t>▲投标人提供的小微企业声明函与实际情况不符的，视为投标人提供虚假材料投标的，投标无效。</w:t>
      </w:r>
      <w:r>
        <w:rPr>
          <w:rFonts w:hint="eastAsia" w:ascii="仿宋" w:hAnsi="仿宋" w:eastAsia="仿宋"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ascii="仿宋" w:hAnsi="仿宋" w:eastAsia="仿宋" w:cs="仿宋_GB2312"/>
          <w:color w:val="auto"/>
          <w:sz w:val="36"/>
          <w:szCs w:val="36"/>
          <w:highlight w:val="none"/>
        </w:rPr>
        <w:sectPr>
          <w:type w:val="continuous"/>
          <w:pgSz w:w="11906" w:h="16838"/>
          <w:pgMar w:top="1440" w:right="1800" w:bottom="1440" w:left="1800" w:header="851" w:footer="992" w:gutter="0"/>
          <w:cols w:space="720" w:num="1"/>
          <w:titlePg/>
          <w:docGrid w:linePitch="312" w:charSpace="0"/>
        </w:sect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pStyle w:val="31"/>
        <w:spacing w:line="360" w:lineRule="auto"/>
        <w:ind w:left="0" w:firstLine="0" w:firstLineChars="0"/>
        <w:rPr>
          <w:rFonts w:eastAsia="宋体"/>
          <w:color w:val="auto"/>
          <w:highlight w:val="none"/>
        </w:rPr>
      </w:pPr>
      <w:r>
        <w:rPr>
          <w:rFonts w:hint="eastAsia" w:ascii="仿宋" w:eastAsia="仿宋" w:cs="仿宋_GB2312"/>
          <w:color w:val="auto"/>
          <w:highlight w:val="none"/>
        </w:rPr>
        <w:t>（1）评分索引表 ………………………………………………………（页码）</w:t>
      </w:r>
    </w:p>
    <w:p>
      <w:pPr>
        <w:pStyle w:val="31"/>
        <w:spacing w:line="360" w:lineRule="auto"/>
        <w:ind w:left="720" w:hanging="720" w:hangingChars="300"/>
        <w:rPr>
          <w:rFonts w:ascii="仿宋" w:eastAsia="仿宋" w:cs="仿宋_GB2312"/>
          <w:color w:val="auto"/>
          <w:highlight w:val="none"/>
        </w:rPr>
      </w:pPr>
      <w:r>
        <w:rPr>
          <w:rFonts w:hint="eastAsia" w:ascii="仿宋" w:eastAsia="仿宋" w:cs="仿宋_GB2312"/>
          <w:color w:val="auto"/>
          <w:highlight w:val="none"/>
        </w:rPr>
        <w:t>（2）营业执照(或事业法人登记证或其他工商等登记证明材料)扫描件</w:t>
      </w:r>
    </w:p>
    <w:p>
      <w:pPr>
        <w:pStyle w:val="31"/>
        <w:spacing w:line="360" w:lineRule="auto"/>
        <w:ind w:left="720" w:hanging="720" w:hangingChars="300"/>
        <w:rPr>
          <w:rFonts w:ascii="仿宋" w:eastAsia="仿宋" w:cs="仿宋_GB2312"/>
          <w:color w:val="auto"/>
          <w:highlight w:val="none"/>
        </w:rPr>
      </w:pPr>
      <w:r>
        <w:rPr>
          <w:rFonts w:hint="eastAsia" w:ascii="仿宋" w:eastAsia="仿宋" w:cs="仿宋_GB2312"/>
          <w:color w:val="auto"/>
          <w:highlight w:val="none"/>
        </w:rPr>
        <w:t>（投标人为然人的，提供自然人的身份证明）………………………（页码）</w:t>
      </w:r>
    </w:p>
    <w:p>
      <w:pPr>
        <w:pStyle w:val="31"/>
        <w:spacing w:line="360" w:lineRule="auto"/>
        <w:ind w:left="0" w:firstLine="0" w:firstLineChars="0"/>
        <w:rPr>
          <w:rFonts w:ascii="仿宋" w:eastAsia="仿宋" w:cs="仿宋_GB2312"/>
          <w:color w:val="auto"/>
          <w:highlight w:val="none"/>
        </w:rPr>
      </w:pPr>
      <w:r>
        <w:rPr>
          <w:rFonts w:hint="eastAsia" w:ascii="仿宋" w:eastAsia="仿宋" w:cs="仿宋_GB2312"/>
          <w:color w:val="auto"/>
          <w:highlight w:val="none"/>
        </w:rPr>
        <w:t>（3）法定代表人授权书 ………………………………………………（页码）</w:t>
      </w:r>
    </w:p>
    <w:p>
      <w:pPr>
        <w:pStyle w:val="31"/>
        <w:spacing w:line="360" w:lineRule="auto"/>
        <w:ind w:left="0" w:firstLine="0" w:firstLineChars="0"/>
        <w:rPr>
          <w:rFonts w:ascii="仿宋" w:eastAsia="仿宋" w:cs="仿宋_GB2312"/>
          <w:color w:val="auto"/>
          <w:highlight w:val="none"/>
        </w:rPr>
      </w:pPr>
      <w:r>
        <w:rPr>
          <w:rFonts w:hint="eastAsia" w:ascii="仿宋" w:eastAsia="仿宋" w:cs="仿宋_GB2312"/>
          <w:color w:val="auto"/>
          <w:highlight w:val="none"/>
        </w:rPr>
        <w:t xml:space="preserve">（4）联合体协议 </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1"/>
        <w:spacing w:line="360" w:lineRule="auto"/>
        <w:ind w:left="0" w:firstLine="0" w:firstLineChars="0"/>
        <w:rPr>
          <w:rFonts w:ascii="仿宋" w:eastAsia="仿宋" w:cs="仿宋_GB2312"/>
          <w:color w:val="auto"/>
          <w:highlight w:val="none"/>
        </w:rPr>
      </w:pPr>
      <w:r>
        <w:rPr>
          <w:rFonts w:hint="eastAsia" w:ascii="仿宋" w:eastAsia="仿宋" w:cs="仿宋_GB2312"/>
          <w:color w:val="auto"/>
          <w:highlight w:val="none"/>
        </w:rPr>
        <w:t>（5）资信文件扫描件（如果要求提供） ……………………………（页码）</w:t>
      </w:r>
    </w:p>
    <w:p>
      <w:pPr>
        <w:pStyle w:val="31"/>
        <w:spacing w:line="360" w:lineRule="auto"/>
        <w:ind w:left="0" w:firstLine="0" w:firstLineChars="0"/>
        <w:rPr>
          <w:rFonts w:ascii="仿宋" w:eastAsia="仿宋" w:cs="仿宋_GB2312"/>
          <w:color w:val="auto"/>
          <w:highlight w:val="none"/>
        </w:rPr>
      </w:pPr>
      <w:r>
        <w:rPr>
          <w:rFonts w:hint="eastAsia" w:ascii="仿宋" w:eastAsia="仿宋" w:cs="仿宋_GB2312"/>
          <w:color w:val="auto"/>
          <w:highlight w:val="none"/>
        </w:rPr>
        <w:t>（6）</w:t>
      </w:r>
      <w:r>
        <w:rPr>
          <w:rFonts w:hint="eastAsia" w:ascii="仿宋" w:eastAsia="仿宋" w:cs="仿宋_GB2312"/>
          <w:color w:val="auto"/>
          <w:highlight w:val="none"/>
          <w:lang w:val="zh-CN"/>
        </w:rPr>
        <w:t>主要业绩证明</w:t>
      </w:r>
      <w:r>
        <w:rPr>
          <w:rFonts w:hint="eastAsia" w:ascii="仿宋" w:eastAsia="仿宋" w:cs="仿宋_GB2312"/>
          <w:color w:val="auto"/>
          <w:highlight w:val="none"/>
        </w:rPr>
        <w:t xml:space="preserve"> </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1"/>
        <w:spacing w:line="360" w:lineRule="auto"/>
        <w:ind w:left="0" w:firstLine="0" w:firstLineChars="0"/>
        <w:rPr>
          <w:rFonts w:ascii="仿宋" w:eastAsia="仿宋" w:cs="仿宋"/>
          <w:color w:val="auto"/>
          <w:highlight w:val="none"/>
        </w:rPr>
      </w:pPr>
      <w:bookmarkStart w:id="425" w:name="OLE_LINK6"/>
      <w:bookmarkStart w:id="426" w:name="OLE_LINK7"/>
      <w:bookmarkStart w:id="427" w:name="OLE_LINK5"/>
      <w:r>
        <w:rPr>
          <w:rFonts w:hint="eastAsia" w:ascii="仿宋" w:eastAsia="仿宋" w:cs="仿宋"/>
          <w:color w:val="auto"/>
          <w:highlight w:val="none"/>
        </w:rPr>
        <w:t>（7）其他商务文件或说明 ……………………………………………（页码）</w:t>
      </w:r>
      <w:bookmarkEnd w:id="425"/>
      <w:bookmarkEnd w:id="426"/>
    </w:p>
    <w:bookmarkEnd w:id="427"/>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（8）技术方案……………………………………………………</w:t>
      </w:r>
      <w:r>
        <w:rPr>
          <w:rFonts w:hint="eastAsia" w:ascii="仿宋" w:eastAsia="仿宋" w:cs="仿宋_GB2312"/>
          <w:color w:val="auto"/>
          <w:highlight w:val="none"/>
          <w:lang w:val="zh-CN"/>
        </w:rPr>
        <w:t>………</w:t>
      </w:r>
      <w:r>
        <w:rPr>
          <w:rFonts w:hint="eastAsia" w:ascii="仿宋" w:hAnsi="仿宋" w:eastAsia="仿宋" w:cs="仿宋_GB2312"/>
          <w:color w:val="auto"/>
          <w:kern w:val="0"/>
          <w:sz w:val="24"/>
          <w:highlight w:val="none"/>
        </w:rPr>
        <w:t>（页码）</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（9）技术偏离说明表 …………………………………………………（页码）</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（10）组织实施方案……………………………………………………（页码）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（11）售后服务方案……………………………………………………（页码）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（12）项目小组人员名单………………………………………………（页码）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（13）</w:t>
      </w:r>
      <w:r>
        <w:rPr>
          <w:rFonts w:hint="eastAsia" w:ascii="仿宋" w:hAnsi="仿宋" w:eastAsia="仿宋" w:cs="仿宋_GB2312"/>
          <w:color w:val="auto"/>
          <w:kern w:val="0"/>
          <w:sz w:val="24"/>
          <w:highlight w:val="none"/>
          <w:lang w:val="zh-CN"/>
        </w:rPr>
        <w:t>优惠条件及特殊承诺……………………………………………</w:t>
      </w:r>
      <w:r>
        <w:rPr>
          <w:rFonts w:hint="eastAsia" w:ascii="仿宋" w:hAnsi="仿宋" w:eastAsia="仿宋" w:cs="仿宋_GB2312"/>
          <w:color w:val="auto"/>
          <w:kern w:val="0"/>
          <w:sz w:val="24"/>
          <w:highlight w:val="none"/>
        </w:rPr>
        <w:t>（页码）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（14）</w:t>
      </w:r>
      <w:r>
        <w:rPr>
          <w:rFonts w:hint="eastAsia" w:ascii="仿宋" w:hAnsi="仿宋" w:eastAsia="仿宋" w:cs="仿宋_GB2312"/>
          <w:color w:val="auto"/>
          <w:kern w:val="0"/>
          <w:sz w:val="24"/>
          <w:highlight w:val="none"/>
          <w:lang w:val="zh-CN"/>
        </w:rPr>
        <w:t>备品备件及供选择的配套零部件清单…………………………</w:t>
      </w:r>
      <w:r>
        <w:rPr>
          <w:rFonts w:hint="eastAsia" w:ascii="仿宋" w:hAnsi="仿宋" w:eastAsia="仿宋" w:cs="仿宋_GB2312"/>
          <w:color w:val="auto"/>
          <w:kern w:val="0"/>
          <w:sz w:val="24"/>
          <w:highlight w:val="none"/>
        </w:rPr>
        <w:t>（页码）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（15）</w:t>
      </w:r>
      <w:r>
        <w:rPr>
          <w:rFonts w:hint="eastAsia" w:ascii="仿宋" w:hAnsi="仿宋" w:eastAsia="仿宋" w:cs="仿宋_GB2312"/>
          <w:color w:val="auto"/>
          <w:kern w:val="0"/>
          <w:sz w:val="24"/>
          <w:highlight w:val="none"/>
          <w:lang w:val="zh-CN"/>
        </w:rPr>
        <w:t>合理化建议………………………………………………………</w:t>
      </w:r>
      <w:r>
        <w:rPr>
          <w:rFonts w:hint="eastAsia" w:ascii="仿宋" w:hAnsi="仿宋" w:eastAsia="仿宋" w:cs="仿宋_GB2312"/>
          <w:color w:val="auto"/>
          <w:kern w:val="0"/>
          <w:sz w:val="24"/>
          <w:highlight w:val="none"/>
        </w:rPr>
        <w:t>（页码）</w:t>
      </w:r>
    </w:p>
    <w:p>
      <w:pPr>
        <w:spacing w:line="360" w:lineRule="auto"/>
        <w:rPr>
          <w:rFonts w:ascii="仿宋" w:hAnsi="仿宋" w:eastAsia="仿宋" w:cs="仿宋_GB2312"/>
          <w:b/>
          <w:bCs/>
          <w:color w:val="auto"/>
          <w:sz w:val="24"/>
          <w:highlight w:val="none"/>
        </w:rPr>
      </w:pPr>
      <w:r>
        <w:rPr>
          <w:rFonts w:hint="eastAsia" w:ascii="仿宋" w:hAnsi="仿宋" w:eastAsia="仿宋" w:cs="仿宋_GB2312"/>
          <w:color w:val="auto"/>
          <w:kern w:val="0"/>
          <w:sz w:val="24"/>
          <w:highlight w:val="none"/>
        </w:rPr>
        <w:t>（16）</w:t>
      </w:r>
      <w:r>
        <w:rPr>
          <w:rFonts w:hint="eastAsia" w:ascii="仿宋" w:hAnsi="仿宋" w:eastAsia="仿宋" w:cs="仿宋_GB2312"/>
          <w:color w:val="auto"/>
          <w:kern w:val="0"/>
          <w:sz w:val="24"/>
          <w:highlight w:val="none"/>
          <w:lang w:val="zh-CN"/>
        </w:rPr>
        <w:t>认为需要的其他技术文件或说明………………………………</w:t>
      </w:r>
      <w:r>
        <w:rPr>
          <w:rFonts w:hint="eastAsia" w:ascii="仿宋" w:hAnsi="仿宋" w:eastAsia="仿宋" w:cs="仿宋_GB2312"/>
          <w:color w:val="auto"/>
          <w:kern w:val="0"/>
          <w:sz w:val="24"/>
          <w:highlight w:val="none"/>
        </w:rPr>
        <w:t>（页码）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（17）</w:t>
      </w:r>
      <w:r>
        <w:rPr>
          <w:rFonts w:hint="eastAsia" w:ascii="仿宋" w:hAnsi="仿宋" w:eastAsia="仿宋" w:cs="仿宋_GB2312"/>
          <w:color w:val="auto"/>
          <w:kern w:val="0"/>
          <w:sz w:val="24"/>
          <w:highlight w:val="none"/>
          <w:lang w:val="zh-CN"/>
        </w:rPr>
        <w:t>关于对招标文件中商务、合同有关条款的拒绝声明…………</w:t>
      </w:r>
      <w:r>
        <w:rPr>
          <w:rFonts w:hint="eastAsia" w:ascii="仿宋" w:hAnsi="仿宋" w:eastAsia="仿宋" w:cs="仿宋_GB2312"/>
          <w:color w:val="auto"/>
          <w:kern w:val="0"/>
          <w:sz w:val="24"/>
          <w:highlight w:val="none"/>
        </w:rPr>
        <w:t>（页码）</w:t>
      </w:r>
    </w:p>
    <w:p>
      <w:pPr>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（18）</w:t>
      </w:r>
      <w:r>
        <w:rPr>
          <w:rFonts w:hint="eastAsia" w:ascii="仿宋" w:hAnsi="仿宋" w:eastAsia="仿宋" w:cs="仿宋_GB2312"/>
          <w:color w:val="auto"/>
          <w:kern w:val="0"/>
          <w:sz w:val="24"/>
          <w:highlight w:val="none"/>
          <w:lang w:val="zh-CN"/>
        </w:rPr>
        <w:t>关于招标文件中有关无效标条款的声明………………………</w:t>
      </w:r>
      <w:r>
        <w:rPr>
          <w:rFonts w:hint="eastAsia" w:ascii="仿宋" w:hAnsi="仿宋" w:eastAsia="仿宋" w:cs="仿宋_GB2312"/>
          <w:color w:val="auto"/>
          <w:kern w:val="0"/>
          <w:sz w:val="24"/>
          <w:highlight w:val="none"/>
        </w:rPr>
        <w:t>（页码）</w:t>
      </w:r>
    </w:p>
    <w:p>
      <w:pPr>
        <w:spacing w:line="360" w:lineRule="auto"/>
        <w:ind w:firstLine="480" w:firstLineChars="200"/>
        <w:rPr>
          <w:rFonts w:ascii="仿宋" w:hAnsi="仿宋" w:eastAsia="仿宋" w:cs="仿宋_GB2312"/>
          <w:color w:val="auto"/>
          <w:kern w:val="0"/>
          <w:sz w:val="24"/>
          <w:highlight w:val="none"/>
        </w:rPr>
      </w:pPr>
    </w:p>
    <w:p>
      <w:pPr>
        <w:spacing w:line="360" w:lineRule="auto"/>
        <w:rPr>
          <w:rFonts w:ascii="仿宋" w:hAnsi="仿宋" w:eastAsia="仿宋" w:cs="仿宋_GB2312"/>
          <w:b/>
          <w:bCs/>
          <w:color w:val="auto"/>
          <w:sz w:val="24"/>
          <w:highlight w:val="none"/>
        </w:rPr>
      </w:pPr>
      <w:r>
        <w:rPr>
          <w:rFonts w:hint="eastAsia" w:ascii="仿宋" w:hAnsi="仿宋" w:eastAsia="仿宋" w:cs="仿宋_GB2312"/>
          <w:b/>
          <w:bCs/>
          <w:color w:val="auto"/>
          <w:sz w:val="24"/>
          <w:highlight w:val="none"/>
        </w:rPr>
        <w:t>注：以上目录是基本格式要求，各投标人可根据自身情况进一步细化。</w:t>
      </w: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sz w:val="30"/>
          <w:szCs w:val="30"/>
          <w:highlight w:val="none"/>
        </w:rPr>
      </w:pPr>
      <w:r>
        <w:rPr>
          <w:rFonts w:hint="eastAsia" w:ascii="仿宋" w:hAnsi="仿宋" w:eastAsia="仿宋" w:cs="仿宋_GB2312"/>
          <w:b/>
          <w:color w:val="auto"/>
          <w:kern w:val="0"/>
          <w:sz w:val="30"/>
          <w:szCs w:val="30"/>
          <w:highlight w:val="none"/>
          <w:lang w:val="zh-CN"/>
        </w:rPr>
        <w:t>一、</w:t>
      </w:r>
      <w:r>
        <w:rPr>
          <w:rFonts w:hint="eastAsia" w:ascii="仿宋" w:hAnsi="仿宋" w:eastAsia="仿宋" w:cs="仿宋_GB2312"/>
          <w:b/>
          <w:color w:val="auto"/>
          <w:sz w:val="30"/>
          <w:szCs w:val="30"/>
          <w:highlight w:val="none"/>
        </w:rPr>
        <w:t>营业执照(或事业法人登记证或其他工商等登记证明材料)扫描件（投标人为自然人的，提供自然人的身份证明）（扫描件）</w:t>
      </w:r>
    </w:p>
    <w:p>
      <w:pPr>
        <w:pStyle w:val="13"/>
        <w:rPr>
          <w:color w:val="auto"/>
          <w:sz w:val="30"/>
          <w:szCs w:val="30"/>
          <w:highlight w:val="none"/>
        </w:rPr>
      </w:pPr>
    </w:p>
    <w:p>
      <w:pPr>
        <w:snapToGrid w:val="0"/>
        <w:spacing w:line="360" w:lineRule="auto"/>
        <w:jc w:val="center"/>
        <w:rPr>
          <w:rFonts w:ascii="仿宋" w:hAnsi="仿宋" w:eastAsia="仿宋" w:cs="仿宋_GB2312"/>
          <w:b/>
          <w:color w:val="auto"/>
          <w:kern w:val="0"/>
          <w:sz w:val="30"/>
          <w:szCs w:val="30"/>
          <w:highlight w:val="none"/>
          <w:lang w:val="zh-CN"/>
        </w:rPr>
      </w:pPr>
      <w:r>
        <w:rPr>
          <w:rFonts w:hint="eastAsia" w:ascii="仿宋" w:hAnsi="仿宋" w:eastAsia="仿宋" w:cs="仿宋_GB2312"/>
          <w:b/>
          <w:color w:val="auto"/>
          <w:kern w:val="0"/>
          <w:sz w:val="30"/>
          <w:szCs w:val="30"/>
          <w:highlight w:val="none"/>
          <w:lang w:val="zh-CN"/>
        </w:rPr>
        <w:t>二、法定代表人授权书</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兹委派我公司</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先生/女士(其在本公司的职务是：</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，身份证号码：</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)，代表我公司全权处理</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w:t>
      </w:r>
      <w:r>
        <w:rPr>
          <w:rFonts w:hint="eastAsia" w:ascii="仿宋" w:hAnsi="仿宋" w:eastAsia="仿宋" w:cs="仿宋_GB2312"/>
          <w:color w:val="auto"/>
          <w:kern w:val="0"/>
          <w:sz w:val="24"/>
          <w:highlight w:val="none"/>
          <w:lang w:val="zh-CN"/>
        </w:rPr>
        <w:t>【编号：QTXQ-GK-2021-002】政府采购投标的一切事项，若中标则全权代表本公司签订相关合同，并负责处理合同履行等事宜。</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本授权书有效期：自   年 月  日起至  年  月  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特此告知。</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投标人名称(公章)：</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法定代表人(签字或盖章)：</w:t>
      </w:r>
    </w:p>
    <w:p>
      <w:pPr>
        <w:snapToGrid w:val="0"/>
        <w:spacing w:line="360" w:lineRule="auto"/>
        <w:ind w:right="240"/>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签发日期：  年  月   日</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附：法定代表人及其授权代表的身份证（扫描件）</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snapToGrid w:val="0"/>
        <w:spacing w:line="360" w:lineRule="auto"/>
        <w:jc w:val="center"/>
        <w:rPr>
          <w:rFonts w:ascii="仿宋" w:hAnsi="仿宋" w:eastAsia="仿宋" w:cs="仿宋_GB2312"/>
          <w:b/>
          <w:color w:val="auto"/>
          <w:kern w:val="0"/>
          <w:sz w:val="30"/>
          <w:szCs w:val="30"/>
          <w:highlight w:val="none"/>
          <w:lang w:val="zh-CN"/>
        </w:rPr>
      </w:pPr>
    </w:p>
    <w:p>
      <w:pPr>
        <w:snapToGrid w:val="0"/>
        <w:spacing w:line="360" w:lineRule="auto"/>
        <w:jc w:val="center"/>
        <w:rPr>
          <w:rFonts w:ascii="仿宋" w:hAnsi="仿宋" w:eastAsia="仿宋" w:cs="仿宋_GB2312"/>
          <w:b/>
          <w:color w:val="auto"/>
          <w:kern w:val="0"/>
          <w:sz w:val="30"/>
          <w:szCs w:val="30"/>
          <w:highlight w:val="none"/>
          <w:lang w:val="zh-CN"/>
        </w:rPr>
      </w:pPr>
      <w:r>
        <w:rPr>
          <w:rFonts w:hint="eastAsia" w:ascii="仿宋" w:hAnsi="仿宋" w:eastAsia="仿宋" w:cs="仿宋_GB2312"/>
          <w:b/>
          <w:color w:val="auto"/>
          <w:kern w:val="0"/>
          <w:sz w:val="30"/>
          <w:szCs w:val="30"/>
          <w:highlight w:val="none"/>
          <w:lang w:val="zh-CN"/>
        </w:rPr>
        <w:t>联合体投标授权书（适用联合体投标）</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兹委派</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公司</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先生/女士(其在该公司的职务是：</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公司</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先生/女士(其在该公司的职务是：</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)；……，代表本联合体全权处理</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w:t>
      </w:r>
      <w:r>
        <w:rPr>
          <w:rFonts w:hint="eastAsia" w:ascii="仿宋" w:hAnsi="仿宋" w:eastAsia="仿宋" w:cs="仿宋_GB2312"/>
          <w:color w:val="auto"/>
          <w:kern w:val="0"/>
          <w:sz w:val="24"/>
          <w:highlight w:val="none"/>
          <w:lang w:val="zh-CN"/>
        </w:rPr>
        <w:t>【编号：QTXQ-GK-2021-002】政府采购投标的一切事项，若中标则全权代表本联合体签订相关合同，并负责处理合同履行等事宜。</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本授权书有效期：自   年 月  日起至  年  月  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特此告知。</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单位：            （公章）         单位：          （公章）</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法定代表人：（签字或盖章）         法定代表人：（签字或盖章）</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    年   月   日             日期：    年   月   日</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附：法定代表人及其授权代表的身份证（扫描件）</w:t>
      </w:r>
    </w:p>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pStyle w:val="2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207" w:type="dxa"/>
          </w:tcPr>
          <w:p>
            <w:pPr>
              <w:pStyle w:val="27"/>
              <w:spacing w:line="360" w:lineRule="auto"/>
              <w:rPr>
                <w:rFonts w:ascii="仿宋" w:hAnsi="仿宋" w:eastAsia="仿宋" w:cs="MT Extra"/>
                <w:bCs/>
                <w:color w:val="auto"/>
                <w:sz w:val="24"/>
                <w:highlight w:val="none"/>
              </w:rPr>
            </w:pPr>
            <w:r>
              <w:rPr>
                <w:rFonts w:hint="eastAsia" w:ascii="仿宋" w:hAnsi="仿宋" w:eastAsia="仿宋" w:cs="MT Extra"/>
                <w:bCs/>
                <w:color w:val="auto"/>
                <w:sz w:val="24"/>
                <w:highlight w:val="none"/>
              </w:rPr>
              <w:t>正面</w:t>
            </w:r>
            <w:r>
              <w:rPr>
                <w:rFonts w:ascii="仿宋" w:hAnsi="仿宋" w:eastAsia="仿宋" w:cs="MT Extra"/>
                <w:bCs/>
                <w:color w:val="auto"/>
                <w:sz w:val="24"/>
                <w:highlight w:val="none"/>
              </w:rPr>
              <w:t>：</w:t>
            </w:r>
            <w:r>
              <w:rPr>
                <w:rFonts w:hint="eastAsia" w:ascii="仿宋" w:hAnsi="仿宋" w:eastAsia="仿宋" w:cs="MT Extra"/>
                <w:bCs/>
                <w:color w:val="auto"/>
                <w:sz w:val="24"/>
                <w:highlight w:val="none"/>
              </w:rPr>
              <w:t xml:space="preserve">                                 反面</w:t>
            </w:r>
            <w:r>
              <w:rPr>
                <w:rFonts w:ascii="仿宋" w:hAnsi="仿宋" w:eastAsia="仿宋" w:cs="MT Extra"/>
                <w:bCs/>
                <w:color w:val="auto"/>
                <w:sz w:val="24"/>
                <w:highlight w:val="none"/>
              </w:rPr>
              <w:t>：</w:t>
            </w: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p>
            <w:pPr>
              <w:pStyle w:val="27"/>
              <w:spacing w:line="360" w:lineRule="auto"/>
              <w:rPr>
                <w:rFonts w:ascii="仿宋" w:hAnsi="仿宋" w:eastAsia="仿宋" w:cs="MT Extra"/>
                <w:bCs/>
                <w:color w:val="auto"/>
                <w:sz w:val="24"/>
                <w:highlight w:val="none"/>
              </w:rPr>
            </w:pPr>
          </w:p>
        </w:tc>
      </w:tr>
    </w:tbl>
    <w:p>
      <w:pPr>
        <w:snapToGrid w:val="0"/>
        <w:spacing w:before="50" w:after="50" w:line="360" w:lineRule="auto"/>
        <w:jc w:val="center"/>
        <w:rPr>
          <w:rFonts w:ascii="仿宋" w:hAnsi="仿宋" w:eastAsia="仿宋" w:cs="仿宋_GB2312"/>
          <w:b/>
          <w:color w:val="auto"/>
          <w:sz w:val="30"/>
          <w:szCs w:val="30"/>
          <w:highlight w:val="none"/>
        </w:rPr>
      </w:pPr>
    </w:p>
    <w:p>
      <w:pPr>
        <w:rPr>
          <w:rFonts w:hint="eastAsia" w:ascii="仿宋" w:hAnsi="仿宋" w:eastAsia="仿宋" w:cs="仿宋_GB2312"/>
          <w:b/>
          <w:color w:val="auto"/>
          <w:sz w:val="30"/>
          <w:szCs w:val="30"/>
          <w:highlight w:val="none"/>
        </w:rPr>
      </w:pPr>
      <w:r>
        <w:rPr>
          <w:rFonts w:hint="eastAsia" w:ascii="仿宋" w:hAnsi="仿宋" w:eastAsia="仿宋" w:cs="仿宋_GB2312"/>
          <w:b/>
          <w:color w:val="auto"/>
          <w:sz w:val="30"/>
          <w:szCs w:val="30"/>
          <w:highlight w:val="none"/>
        </w:rPr>
        <w:br w:type="page"/>
      </w:r>
    </w:p>
    <w:p>
      <w:pPr>
        <w:snapToGrid w:val="0"/>
        <w:spacing w:before="50" w:after="50" w:line="360" w:lineRule="auto"/>
        <w:jc w:val="center"/>
        <w:rPr>
          <w:rFonts w:ascii="仿宋" w:hAnsi="仿宋" w:eastAsia="仿宋" w:cs="仿宋_GB2312"/>
          <w:b/>
          <w:color w:val="auto"/>
          <w:sz w:val="30"/>
          <w:szCs w:val="30"/>
          <w:highlight w:val="none"/>
        </w:rPr>
      </w:pPr>
      <w:r>
        <w:rPr>
          <w:rFonts w:hint="eastAsia" w:ascii="仿宋" w:hAnsi="仿宋" w:eastAsia="仿宋" w:cs="仿宋_GB2312"/>
          <w:b/>
          <w:color w:val="auto"/>
          <w:sz w:val="30"/>
          <w:szCs w:val="30"/>
          <w:highlight w:val="none"/>
        </w:rPr>
        <w:t>四、联合体协议</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甲方：</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乙方：</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各方经协商一致，决定组成一个联合体，以一个投标人的身份就杭州市公共资源交易中心钱塘新区分中心组织实施的</w:t>
      </w:r>
      <w:r>
        <w:rPr>
          <w:rFonts w:hint="eastAsia" w:ascii="仿宋" w:hAnsi="仿宋" w:eastAsia="仿宋" w:cs="仿宋_GB2312"/>
          <w:color w:val="auto"/>
          <w:sz w:val="24"/>
          <w:highlight w:val="none"/>
          <w:lang w:eastAsia="zh-CN"/>
        </w:rPr>
        <w:t>全区泵站提升改造工程设备采购</w:t>
      </w:r>
      <w:r>
        <w:rPr>
          <w:rFonts w:hint="eastAsia" w:ascii="仿宋" w:hAnsi="仿宋" w:eastAsia="仿宋" w:cs="仿宋_GB2312"/>
          <w:color w:val="auto"/>
          <w:sz w:val="24"/>
          <w:highlight w:val="none"/>
        </w:rPr>
        <w:t>项目</w:t>
      </w:r>
      <w:r>
        <w:rPr>
          <w:rFonts w:hint="eastAsia" w:ascii="仿宋" w:hAnsi="仿宋" w:eastAsia="仿宋" w:cs="仿宋_GB2312"/>
          <w:color w:val="auto"/>
          <w:kern w:val="0"/>
          <w:sz w:val="24"/>
          <w:highlight w:val="none"/>
          <w:lang w:val="zh-CN"/>
        </w:rPr>
        <w:t>【QTXQ-GK-2021-002】共同投标。</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Arial"/>
          <w:color w:val="auto"/>
          <w:sz w:val="24"/>
          <w:highlight w:val="none"/>
        </w:rPr>
        <w:t>指定</w:t>
      </w:r>
      <w:r>
        <w:rPr>
          <w:rFonts w:hint="eastAsia" w:ascii="仿宋" w:hAnsi="仿宋" w:eastAsia="仿宋"/>
          <w:color w:val="auto"/>
          <w:highlight w:val="none"/>
          <w:u w:val="single"/>
        </w:rPr>
        <w:t xml:space="preserve">   </w:t>
      </w:r>
      <w:r>
        <w:rPr>
          <w:rFonts w:hint="eastAsia" w:ascii="仿宋" w:hAnsi="仿宋" w:eastAsia="仿宋" w:cs="Arial"/>
          <w:color w:val="auto"/>
          <w:sz w:val="24"/>
          <w:highlight w:val="none"/>
        </w:rPr>
        <w:t>方牵头人，代表所有联合体成员负责投标和合同实施阶段的主办、协调工作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所有联合体成员各方法定代表人签署授权书，授权书载明的</w:t>
      </w:r>
      <w:r>
        <w:rPr>
          <w:rFonts w:hint="eastAsia" w:ascii="仿宋" w:hAnsi="仿宋" w:eastAsia="仿宋"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三、本次联合投标中，分工如下：甲方承担的工作和义务为：</w:t>
      </w:r>
      <w:r>
        <w:rPr>
          <w:rFonts w:hint="eastAsia"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；乙方承担的工作和义务为：</w:t>
      </w:r>
      <w:r>
        <w:rPr>
          <w:rFonts w:hint="eastAsia"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甲方单位：            （公章）          乙方单位：          （公章）</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    年   月   日                 日期：    年   月   日</w:t>
      </w:r>
    </w:p>
    <w:p>
      <w:pPr>
        <w:snapToGrid w:val="0"/>
        <w:spacing w:line="360" w:lineRule="auto"/>
        <w:ind w:right="480"/>
        <w:jc w:val="center"/>
        <w:rPr>
          <w:rFonts w:ascii="仿宋" w:hAnsi="仿宋" w:eastAsia="仿宋" w:cs="仿宋_GB2312"/>
          <w:b/>
          <w:color w:val="auto"/>
          <w:kern w:val="0"/>
          <w:sz w:val="32"/>
          <w:szCs w:val="32"/>
          <w:highlight w:val="none"/>
          <w:lang w:val="zh-CN"/>
        </w:rPr>
        <w:sectPr>
          <w:pgSz w:w="11906" w:h="16838"/>
          <w:pgMar w:top="1440" w:right="1800" w:bottom="1440" w:left="1800" w:header="851" w:footer="992" w:gutter="0"/>
          <w:cols w:space="720" w:num="1"/>
          <w:titlePg/>
          <w:docGrid w:linePitch="312" w:charSpace="0"/>
        </w:sectPr>
      </w:pPr>
    </w:p>
    <w:p>
      <w:pPr>
        <w:spacing w:line="36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0"/>
          <w:szCs w:val="30"/>
          <w:highlight w:val="none"/>
        </w:rPr>
        <w:t>五、资信文件扫描件（如果要求提供）</w:t>
      </w: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color w:val="auto"/>
          <w:sz w:val="24"/>
          <w:highlight w:val="none"/>
        </w:rPr>
        <w:t>（由投标人根据采购需求及招标文件要求编制）</w:t>
      </w:r>
    </w:p>
    <w:p>
      <w:pPr>
        <w:spacing w:line="360" w:lineRule="auto"/>
        <w:jc w:val="center"/>
        <w:rPr>
          <w:rFonts w:ascii="仿宋" w:hAnsi="仿宋" w:eastAsia="仿宋" w:cs="仿宋_GB2312"/>
          <w:b/>
          <w:bCs/>
          <w:color w:val="auto"/>
          <w:sz w:val="32"/>
          <w:szCs w:val="32"/>
          <w:highlight w:val="none"/>
        </w:rPr>
      </w:pP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0"/>
          <w:szCs w:val="30"/>
          <w:highlight w:val="none"/>
        </w:rPr>
        <w:t>六、</w:t>
      </w:r>
      <w:r>
        <w:rPr>
          <w:rFonts w:hint="eastAsia" w:ascii="仿宋" w:hAnsi="仿宋" w:eastAsia="仿宋" w:cs="仿宋_GB2312"/>
          <w:b/>
          <w:color w:val="auto"/>
          <w:kern w:val="0"/>
          <w:sz w:val="30"/>
          <w:szCs w:val="30"/>
          <w:highlight w:val="none"/>
          <w:lang w:val="zh-CN"/>
        </w:rPr>
        <w:t>主要业绩证明</w:t>
      </w:r>
    </w:p>
    <w:p>
      <w:pPr>
        <w:autoSpaceDE w:val="0"/>
        <w:autoSpaceDN w:val="0"/>
        <w:spacing w:line="360" w:lineRule="auto"/>
        <w:ind w:firstLine="12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附表 :相关项目建设业绩一览表</w:t>
      </w:r>
    </w:p>
    <w:tbl>
      <w:tblPr>
        <w:tblStyle w:val="15"/>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项目</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项目</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投资</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bl>
    <w:p>
      <w:pPr>
        <w:autoSpaceDE w:val="0"/>
        <w:autoSpaceDN w:val="0"/>
        <w:spacing w:line="360" w:lineRule="auto"/>
        <w:rPr>
          <w:rFonts w:ascii="仿宋" w:hAnsi="仿宋" w:eastAsia="仿宋" w:cs="仿宋_GB2312"/>
          <w:color w:val="auto"/>
          <w:sz w:val="24"/>
          <w:highlight w:val="none"/>
        </w:rPr>
      </w:pPr>
      <w:r>
        <w:rPr>
          <w:rFonts w:hint="eastAsia" w:ascii="仿宋" w:hAnsi="仿宋" w:eastAsia="仿宋" w:cs="仿宋_GB2312"/>
          <w:b/>
          <w:color w:val="auto"/>
          <w:sz w:val="24"/>
          <w:highlight w:val="none"/>
        </w:rPr>
        <w:t>注：投标人可按上述的格式自行编制，须随表提交相应的合同扫描件并注明所在投标人商务文件页码。</w:t>
      </w:r>
    </w:p>
    <w:p>
      <w:pPr>
        <w:autoSpaceDE w:val="0"/>
        <w:autoSpaceDN w:val="0"/>
        <w:spacing w:line="360" w:lineRule="auto"/>
        <w:ind w:firstLine="4560" w:firstLineChars="19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投标人名称（公章）：                       </w:t>
      </w:r>
    </w:p>
    <w:p>
      <w:pPr>
        <w:autoSpaceDE w:val="0"/>
        <w:autoSpaceDN w:val="0"/>
        <w:spacing w:line="360" w:lineRule="auto"/>
        <w:rPr>
          <w:rFonts w:ascii="仿宋" w:hAnsi="仿宋" w:eastAsia="仿宋" w:cs="仿宋_GB2312"/>
          <w:b/>
          <w:bCs/>
          <w:color w:val="auto"/>
          <w:sz w:val="32"/>
          <w:szCs w:val="32"/>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ascii="仿宋" w:hAnsi="仿宋" w:eastAsia="仿宋" w:cs="仿宋_GB2312"/>
          <w:b/>
          <w:bCs/>
          <w:color w:val="auto"/>
          <w:sz w:val="30"/>
          <w:szCs w:val="30"/>
          <w:highlight w:val="none"/>
        </w:rPr>
      </w:pPr>
      <w:r>
        <w:rPr>
          <w:rFonts w:hint="eastAsia" w:ascii="仿宋" w:hAnsi="仿宋" w:eastAsia="仿宋" w:cs="仿宋_GB2312"/>
          <w:b/>
          <w:bCs/>
          <w:color w:val="auto"/>
          <w:sz w:val="30"/>
          <w:szCs w:val="30"/>
          <w:highlight w:val="none"/>
        </w:rPr>
        <w:t>七、</w:t>
      </w:r>
      <w:bookmarkStart w:id="428" w:name="OLE_LINK16"/>
      <w:bookmarkStart w:id="429" w:name="OLE_LINK17"/>
      <w:r>
        <w:rPr>
          <w:rFonts w:hint="eastAsia" w:ascii="仿宋" w:hAnsi="仿宋" w:eastAsia="仿宋" w:cs="仿宋_GB2312"/>
          <w:b/>
          <w:bCs/>
          <w:color w:val="auto"/>
          <w:sz w:val="30"/>
          <w:szCs w:val="30"/>
          <w:highlight w:val="none"/>
        </w:rPr>
        <w:t>其他商务文件或说明</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bookmarkStart w:id="430" w:name="OLE_LINK10"/>
      <w:bookmarkStart w:id="431" w:name="OLE_LINK11"/>
      <w:r>
        <w:rPr>
          <w:rFonts w:hint="eastAsia" w:ascii="仿宋" w:hAnsi="仿宋" w:eastAsia="仿宋" w:cs="仿宋_GB2312"/>
          <w:color w:val="auto"/>
          <w:sz w:val="24"/>
          <w:highlight w:val="none"/>
        </w:rPr>
        <w:t>其他商务文件或说明由投标人根据采购需求自行编制</w:t>
      </w:r>
      <w:bookmarkEnd w:id="430"/>
      <w:bookmarkEnd w:id="431"/>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包括（但不限于）以下内容：交货期、地点、付款方式等的响应情况</w:t>
      </w:r>
      <w:r>
        <w:rPr>
          <w:rFonts w:hint="eastAsia" w:ascii="仿宋" w:hAnsi="仿宋" w:eastAsia="仿宋" w:cs="仿宋_GB2312"/>
          <w:color w:val="auto"/>
          <w:sz w:val="24"/>
          <w:highlight w:val="none"/>
        </w:rPr>
        <w:t>）</w:t>
      </w:r>
    </w:p>
    <w:bookmarkEnd w:id="428"/>
    <w:bookmarkEnd w:id="429"/>
    <w:p>
      <w:pPr>
        <w:spacing w:line="360" w:lineRule="auto"/>
        <w:jc w:val="center"/>
        <w:rPr>
          <w:rFonts w:ascii="仿宋" w:hAnsi="仿宋" w:eastAsia="仿宋" w:cs="仿宋_GB2312"/>
          <w:color w:val="auto"/>
          <w:sz w:val="24"/>
          <w:highlight w:val="none"/>
        </w:rPr>
      </w:pPr>
    </w:p>
    <w:p>
      <w:pPr>
        <w:autoSpaceDE w:val="0"/>
        <w:autoSpaceDN w:val="0"/>
        <w:spacing w:line="360" w:lineRule="auto"/>
        <w:ind w:firstLine="4800" w:firstLineChars="20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投标人名称（公章）：      </w:t>
      </w:r>
    </w:p>
    <w:p>
      <w:pPr>
        <w:autoSpaceDE w:val="0"/>
        <w:autoSpaceDN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日期：  年  月   日</w:t>
      </w: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八、技术方案</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snapToGrid w:val="0"/>
        <w:spacing w:line="36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投标产品规格配置清单</w:t>
      </w:r>
    </w:p>
    <w:tbl>
      <w:tblPr>
        <w:tblStyle w:val="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531"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设备名称</w:t>
            </w:r>
          </w:p>
        </w:tc>
        <w:tc>
          <w:tcPr>
            <w:tcW w:w="2160"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投标品牌及型号</w:t>
            </w:r>
          </w:p>
        </w:tc>
        <w:tc>
          <w:tcPr>
            <w:tcW w:w="2340"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规格配置详细说明</w:t>
            </w:r>
          </w:p>
        </w:tc>
        <w:tc>
          <w:tcPr>
            <w:tcW w:w="1080"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数量</w:t>
            </w:r>
          </w:p>
        </w:tc>
        <w:tc>
          <w:tcPr>
            <w:tcW w:w="1332"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1531" w:type="dxa"/>
            <w:vAlign w:val="center"/>
          </w:tcPr>
          <w:p>
            <w:pPr>
              <w:snapToGrid w:val="0"/>
              <w:spacing w:line="360" w:lineRule="auto"/>
              <w:jc w:val="center"/>
              <w:rPr>
                <w:rFonts w:ascii="仿宋" w:hAnsi="仿宋" w:eastAsia="仿宋" w:cs="仿宋_GB2312"/>
                <w:color w:val="auto"/>
                <w:sz w:val="24"/>
                <w:highlight w:val="none"/>
              </w:rPr>
            </w:pPr>
          </w:p>
        </w:tc>
        <w:tc>
          <w:tcPr>
            <w:tcW w:w="2160" w:type="dxa"/>
            <w:vAlign w:val="center"/>
          </w:tcPr>
          <w:p>
            <w:pPr>
              <w:snapToGrid w:val="0"/>
              <w:spacing w:line="360" w:lineRule="auto"/>
              <w:jc w:val="center"/>
              <w:rPr>
                <w:rFonts w:ascii="仿宋" w:hAnsi="仿宋" w:eastAsia="仿宋" w:cs="仿宋_GB2312"/>
                <w:color w:val="auto"/>
                <w:sz w:val="24"/>
                <w:highlight w:val="none"/>
              </w:rPr>
            </w:pPr>
          </w:p>
        </w:tc>
        <w:tc>
          <w:tcPr>
            <w:tcW w:w="2340" w:type="dxa"/>
            <w:vAlign w:val="center"/>
          </w:tcPr>
          <w:p>
            <w:pPr>
              <w:spacing w:line="360" w:lineRule="auto"/>
              <w:jc w:val="center"/>
              <w:rPr>
                <w:rFonts w:ascii="仿宋" w:hAnsi="仿宋" w:eastAsia="仿宋" w:cs="仿宋_GB2312"/>
                <w:color w:val="auto"/>
                <w:sz w:val="24"/>
                <w:highlight w:val="none"/>
              </w:rPr>
            </w:pPr>
          </w:p>
        </w:tc>
        <w:tc>
          <w:tcPr>
            <w:tcW w:w="1080" w:type="dxa"/>
            <w:vAlign w:val="center"/>
          </w:tcPr>
          <w:p>
            <w:pPr>
              <w:spacing w:line="360" w:lineRule="auto"/>
              <w:jc w:val="center"/>
              <w:rPr>
                <w:rFonts w:ascii="仿宋" w:hAnsi="仿宋" w:eastAsia="仿宋" w:cs="仿宋_GB2312"/>
                <w:color w:val="auto"/>
                <w:sz w:val="24"/>
                <w:highlight w:val="none"/>
              </w:rPr>
            </w:pPr>
          </w:p>
        </w:tc>
        <w:tc>
          <w:tcPr>
            <w:tcW w:w="1332"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531" w:type="dxa"/>
            <w:vAlign w:val="center"/>
          </w:tcPr>
          <w:p>
            <w:pPr>
              <w:snapToGrid w:val="0"/>
              <w:spacing w:line="360" w:lineRule="auto"/>
              <w:jc w:val="center"/>
              <w:rPr>
                <w:rFonts w:ascii="仿宋" w:hAnsi="仿宋" w:eastAsia="仿宋" w:cs="仿宋_GB2312"/>
                <w:color w:val="auto"/>
                <w:sz w:val="24"/>
                <w:highlight w:val="none"/>
              </w:rPr>
            </w:pPr>
          </w:p>
        </w:tc>
        <w:tc>
          <w:tcPr>
            <w:tcW w:w="2160" w:type="dxa"/>
            <w:vAlign w:val="center"/>
          </w:tcPr>
          <w:p>
            <w:pPr>
              <w:snapToGrid w:val="0"/>
              <w:spacing w:line="360" w:lineRule="auto"/>
              <w:jc w:val="center"/>
              <w:rPr>
                <w:rFonts w:ascii="仿宋" w:hAnsi="仿宋" w:eastAsia="仿宋" w:cs="仿宋_GB2312"/>
                <w:color w:val="auto"/>
                <w:sz w:val="24"/>
                <w:highlight w:val="none"/>
              </w:rPr>
            </w:pPr>
          </w:p>
        </w:tc>
        <w:tc>
          <w:tcPr>
            <w:tcW w:w="2340" w:type="dxa"/>
            <w:vAlign w:val="center"/>
          </w:tcPr>
          <w:p>
            <w:pPr>
              <w:spacing w:line="360" w:lineRule="auto"/>
              <w:jc w:val="center"/>
              <w:rPr>
                <w:rFonts w:ascii="仿宋" w:hAnsi="仿宋" w:eastAsia="仿宋" w:cs="仿宋_GB2312"/>
                <w:color w:val="auto"/>
                <w:sz w:val="24"/>
                <w:highlight w:val="none"/>
              </w:rPr>
            </w:pPr>
          </w:p>
        </w:tc>
        <w:tc>
          <w:tcPr>
            <w:tcW w:w="1080" w:type="dxa"/>
            <w:vAlign w:val="center"/>
          </w:tcPr>
          <w:p>
            <w:pPr>
              <w:spacing w:line="360" w:lineRule="auto"/>
              <w:jc w:val="center"/>
              <w:rPr>
                <w:rFonts w:ascii="仿宋" w:hAnsi="仿宋" w:eastAsia="仿宋" w:cs="仿宋_GB2312"/>
                <w:color w:val="auto"/>
                <w:sz w:val="24"/>
                <w:highlight w:val="none"/>
              </w:rPr>
            </w:pPr>
          </w:p>
        </w:tc>
        <w:tc>
          <w:tcPr>
            <w:tcW w:w="1332"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531" w:type="dxa"/>
            <w:vAlign w:val="center"/>
          </w:tcPr>
          <w:p>
            <w:pPr>
              <w:snapToGrid w:val="0"/>
              <w:spacing w:line="360" w:lineRule="auto"/>
              <w:jc w:val="center"/>
              <w:rPr>
                <w:rFonts w:ascii="仿宋" w:hAnsi="仿宋" w:eastAsia="仿宋" w:cs="仿宋_GB2312"/>
                <w:color w:val="auto"/>
                <w:sz w:val="24"/>
                <w:highlight w:val="none"/>
              </w:rPr>
            </w:pPr>
          </w:p>
        </w:tc>
        <w:tc>
          <w:tcPr>
            <w:tcW w:w="2160" w:type="dxa"/>
            <w:vAlign w:val="center"/>
          </w:tcPr>
          <w:p>
            <w:pPr>
              <w:snapToGrid w:val="0"/>
              <w:spacing w:line="360" w:lineRule="auto"/>
              <w:jc w:val="center"/>
              <w:rPr>
                <w:rFonts w:ascii="仿宋" w:hAnsi="仿宋" w:eastAsia="仿宋" w:cs="仿宋_GB2312"/>
                <w:color w:val="auto"/>
                <w:sz w:val="24"/>
                <w:highlight w:val="none"/>
              </w:rPr>
            </w:pPr>
          </w:p>
        </w:tc>
        <w:tc>
          <w:tcPr>
            <w:tcW w:w="2340" w:type="dxa"/>
            <w:vAlign w:val="center"/>
          </w:tcPr>
          <w:p>
            <w:pPr>
              <w:spacing w:line="360" w:lineRule="auto"/>
              <w:jc w:val="center"/>
              <w:rPr>
                <w:rFonts w:ascii="仿宋" w:hAnsi="仿宋" w:eastAsia="仿宋" w:cs="仿宋_GB2312"/>
                <w:color w:val="auto"/>
                <w:sz w:val="24"/>
                <w:highlight w:val="none"/>
              </w:rPr>
            </w:pPr>
          </w:p>
        </w:tc>
        <w:tc>
          <w:tcPr>
            <w:tcW w:w="1080" w:type="dxa"/>
            <w:vAlign w:val="center"/>
          </w:tcPr>
          <w:p>
            <w:pPr>
              <w:spacing w:line="360" w:lineRule="auto"/>
              <w:jc w:val="center"/>
              <w:rPr>
                <w:rFonts w:ascii="仿宋" w:hAnsi="仿宋" w:eastAsia="仿宋" w:cs="仿宋_GB2312"/>
                <w:color w:val="auto"/>
                <w:sz w:val="24"/>
                <w:highlight w:val="none"/>
              </w:rPr>
            </w:pPr>
          </w:p>
        </w:tc>
        <w:tc>
          <w:tcPr>
            <w:tcW w:w="1332" w:type="dxa"/>
            <w:vAlign w:val="center"/>
          </w:tcPr>
          <w:p>
            <w:pPr>
              <w:spacing w:line="360" w:lineRule="auto"/>
              <w:jc w:val="center"/>
              <w:rPr>
                <w:rFonts w:ascii="仿宋" w:hAnsi="仿宋" w:eastAsia="仿宋" w:cs="仿宋_GB2312"/>
                <w:color w:val="auto"/>
                <w:sz w:val="24"/>
                <w:highlight w:val="none"/>
              </w:rPr>
            </w:pPr>
          </w:p>
        </w:tc>
      </w:tr>
    </w:tbl>
    <w:p>
      <w:pPr>
        <w:autoSpaceDE w:val="0"/>
        <w:autoSpaceDN w:val="0"/>
        <w:spacing w:line="360" w:lineRule="auto"/>
        <w:rPr>
          <w:rFonts w:ascii="仿宋" w:hAnsi="仿宋" w:eastAsia="仿宋" w:cs="仿宋_GB2312"/>
          <w:b/>
          <w:color w:val="auto"/>
          <w:kern w:val="0"/>
          <w:sz w:val="28"/>
          <w:szCs w:val="28"/>
          <w:highlight w:val="none"/>
        </w:rPr>
      </w:pPr>
      <w:r>
        <w:rPr>
          <w:rFonts w:hint="eastAsia" w:ascii="仿宋" w:hAnsi="仿宋" w:eastAsia="仿宋" w:cs="仿宋_GB2312"/>
          <w:b/>
          <w:color w:val="auto"/>
          <w:sz w:val="24"/>
          <w:highlight w:val="none"/>
        </w:rPr>
        <w:t>注：如果本项目涉及硬件设备采购，须在技术文件中提供此配置清单</w:t>
      </w:r>
      <w:r>
        <w:rPr>
          <w:rFonts w:hint="eastAsia" w:ascii="仿宋" w:hAnsi="仿宋" w:eastAsia="仿宋" w:cs="仿宋_GB2312"/>
          <w:b/>
          <w:color w:val="auto"/>
          <w:sz w:val="28"/>
          <w:szCs w:val="28"/>
          <w:highlight w:val="none"/>
        </w:rPr>
        <w:t>。</w:t>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_GB2312"/>
          <w:b/>
          <w:bCs/>
          <w:color w:val="auto"/>
          <w:kern w:val="0"/>
          <w:sz w:val="24"/>
          <w:highlight w:val="none"/>
          <w:lang w:val="zh-CN"/>
        </w:rPr>
      </w:pPr>
      <w:r>
        <w:rPr>
          <w:rFonts w:hint="eastAsia" w:ascii="仿宋" w:hAnsi="仿宋" w:eastAsia="仿宋" w:cs="仿宋_GB2312"/>
          <w:b/>
          <w:bCs/>
          <w:color w:val="auto"/>
          <w:kern w:val="0"/>
          <w:sz w:val="24"/>
          <w:highlight w:val="none"/>
          <w:lang w:val="zh-CN"/>
        </w:rPr>
        <w:tab/>
      </w:r>
      <w:r>
        <w:rPr>
          <w:rFonts w:hint="eastAsia" w:ascii="仿宋" w:hAnsi="仿宋" w:eastAsia="仿宋" w:cs="仿宋_GB2312"/>
          <w:b/>
          <w:bCs/>
          <w:color w:val="auto"/>
          <w:kern w:val="0"/>
          <w:sz w:val="24"/>
          <w:highlight w:val="none"/>
          <w:lang w:val="zh-CN"/>
        </w:rPr>
        <w:tab/>
      </w:r>
      <w:r>
        <w:rPr>
          <w:rFonts w:hint="eastAsia" w:ascii="仿宋" w:hAnsi="仿宋" w:eastAsia="仿宋" w:cs="仿宋_GB2312"/>
          <w:b/>
          <w:bCs/>
          <w:color w:val="auto"/>
          <w:kern w:val="0"/>
          <w:sz w:val="24"/>
          <w:highlight w:val="none"/>
          <w:lang w:val="zh-CN"/>
        </w:rPr>
        <w:t xml:space="preserve">                        </w:t>
      </w:r>
    </w:p>
    <w:p>
      <w:pPr>
        <w:autoSpaceDE w:val="0"/>
        <w:autoSpaceDN w:val="0"/>
        <w:spacing w:line="360" w:lineRule="auto"/>
        <w:ind w:firstLine="4560" w:firstLineChars="1900"/>
        <w:rPr>
          <w:rFonts w:ascii="仿宋" w:hAnsi="仿宋" w:eastAsia="仿宋"/>
          <w:color w:val="auto"/>
          <w:kern w:val="0"/>
          <w:sz w:val="24"/>
          <w:highlight w:val="none"/>
        </w:rPr>
      </w:pPr>
    </w:p>
    <w:p>
      <w:pPr>
        <w:autoSpaceDE w:val="0"/>
        <w:autoSpaceDN w:val="0"/>
        <w:spacing w:line="360" w:lineRule="auto"/>
        <w:ind w:firstLine="4560" w:firstLineChars="1900"/>
        <w:rPr>
          <w:rFonts w:ascii="仿宋" w:hAnsi="仿宋" w:eastAsia="仿宋"/>
          <w:color w:val="auto"/>
          <w:kern w:val="0"/>
          <w:sz w:val="24"/>
          <w:highlight w:val="none"/>
        </w:rPr>
      </w:pPr>
      <w:r>
        <w:rPr>
          <w:rFonts w:hint="eastAsia" w:ascii="仿宋" w:hAnsi="仿宋" w:eastAsia="仿宋"/>
          <w:color w:val="auto"/>
          <w:kern w:val="0"/>
          <w:sz w:val="24"/>
          <w:highlight w:val="none"/>
        </w:rPr>
        <w:t xml:space="preserve">供应商名称（公章）：                       </w:t>
      </w:r>
    </w:p>
    <w:p>
      <w:pPr>
        <w:autoSpaceDE w:val="0"/>
        <w:autoSpaceDN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 xml:space="preserve">                                      日期：   年  月   日</w:t>
      </w:r>
    </w:p>
    <w:p>
      <w:pPr>
        <w:spacing w:line="360" w:lineRule="auto"/>
        <w:jc w:val="center"/>
        <w:rPr>
          <w:rFonts w:ascii="仿宋" w:hAnsi="仿宋" w:eastAsia="仿宋" w:cs="仿宋_GB2312"/>
          <w:b/>
          <w:bCs/>
          <w:color w:val="auto"/>
          <w:sz w:val="32"/>
          <w:szCs w:val="32"/>
          <w:highlight w:val="none"/>
        </w:rPr>
      </w:pPr>
    </w:p>
    <w:p>
      <w:pPr>
        <w:spacing w:line="360" w:lineRule="auto"/>
        <w:jc w:val="center"/>
        <w:rPr>
          <w:rFonts w:ascii="仿宋" w:hAnsi="仿宋" w:eastAsia="仿宋" w:cs="仿宋_GB2312"/>
          <w:b/>
          <w:bCs/>
          <w:color w:val="auto"/>
          <w:sz w:val="32"/>
          <w:szCs w:val="32"/>
          <w:highlight w:val="none"/>
        </w:rPr>
      </w:pP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九、技术偏离说明表</w:t>
      </w:r>
    </w:p>
    <w:p>
      <w:pPr>
        <w:spacing w:line="360" w:lineRule="auto"/>
        <w:jc w:val="center"/>
        <w:rPr>
          <w:rFonts w:ascii="仿宋" w:hAnsi="仿宋" w:eastAsia="仿宋" w:cs="仿宋_GB2312"/>
          <w:b/>
          <w:bCs/>
          <w:color w:val="auto"/>
          <w:sz w:val="18"/>
          <w:szCs w:val="18"/>
          <w:highlight w:val="none"/>
        </w:rPr>
      </w:pPr>
    </w:p>
    <w:tbl>
      <w:tblPr>
        <w:tblStyle w:val="15"/>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auto"/>
                <w:sz w:val="24"/>
                <w:highlight w:val="none"/>
              </w:rPr>
            </w:pPr>
          </w:p>
        </w:tc>
      </w:tr>
    </w:tbl>
    <w:p>
      <w:pPr>
        <w:autoSpaceDE w:val="0"/>
        <w:autoSpaceDN w:val="0"/>
        <w:spacing w:line="360" w:lineRule="auto"/>
        <w:ind w:firstLine="5040" w:firstLineChars="2100"/>
        <w:rPr>
          <w:rFonts w:ascii="仿宋" w:hAnsi="仿宋" w:eastAsia="仿宋" w:cs="仿宋_GB2312"/>
          <w:color w:val="auto"/>
          <w:kern w:val="0"/>
          <w:sz w:val="24"/>
          <w:highlight w:val="none"/>
          <w:lang w:val="zh-CN"/>
        </w:rPr>
      </w:pPr>
    </w:p>
    <w:p>
      <w:pPr>
        <w:autoSpaceDE w:val="0"/>
        <w:autoSpaceDN w:val="0"/>
        <w:spacing w:line="360" w:lineRule="auto"/>
        <w:ind w:firstLine="5040" w:firstLineChars="21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投标人名称（公章）：      </w:t>
      </w:r>
    </w:p>
    <w:p>
      <w:pPr>
        <w:autoSpaceDE w:val="0"/>
        <w:autoSpaceDN w:val="0"/>
        <w:spacing w:line="360" w:lineRule="auto"/>
        <w:rPr>
          <w:rFonts w:ascii="仿宋" w:hAnsi="仿宋" w:eastAsia="仿宋" w:cs="仿宋_GB2312"/>
          <w:b/>
          <w:bCs/>
          <w:color w:val="auto"/>
          <w:kern w:val="0"/>
          <w:sz w:val="32"/>
          <w:szCs w:val="32"/>
          <w:highlight w:val="none"/>
          <w:lang w:val="zh-CN"/>
        </w:rPr>
      </w:pPr>
      <w:r>
        <w:rPr>
          <w:rFonts w:hint="eastAsia" w:ascii="仿宋" w:hAnsi="仿宋" w:eastAsia="仿宋" w:cs="仿宋_GB2312"/>
          <w:color w:val="auto"/>
          <w:kern w:val="0"/>
          <w:sz w:val="24"/>
          <w:highlight w:val="none"/>
          <w:lang w:val="zh-CN"/>
        </w:rPr>
        <w:t xml:space="preserve">                                          日期：  年  月   日</w:t>
      </w:r>
    </w:p>
    <w:p>
      <w:pPr>
        <w:tabs>
          <w:tab w:val="left" w:pos="2790"/>
          <w:tab w:val="left" w:pos="4230"/>
        </w:tabs>
        <w:autoSpaceDE w:val="0"/>
        <w:autoSpaceDN w:val="0"/>
        <w:spacing w:line="360" w:lineRule="auto"/>
        <w:ind w:right="1400"/>
        <w:jc w:val="center"/>
        <w:outlineLvl w:val="1"/>
        <w:rPr>
          <w:rFonts w:ascii="仿宋" w:hAnsi="仿宋" w:eastAsia="仿宋"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_GB2312"/>
          <w:b/>
          <w:bCs/>
          <w:color w:val="auto"/>
          <w:kern w:val="0"/>
          <w:sz w:val="32"/>
          <w:szCs w:val="32"/>
          <w:highlight w:val="none"/>
          <w:lang w:val="zh-CN"/>
        </w:rPr>
      </w:pPr>
      <w:r>
        <w:rPr>
          <w:rFonts w:hint="eastAsia" w:ascii="仿宋" w:hAnsi="仿宋" w:eastAsia="仿宋" w:cs="仿宋_GB2312"/>
          <w:b/>
          <w:bCs/>
          <w:color w:val="auto"/>
          <w:kern w:val="0"/>
          <w:sz w:val="32"/>
          <w:szCs w:val="32"/>
          <w:highlight w:val="none"/>
          <w:lang w:val="zh-CN"/>
        </w:rPr>
        <w:t>十、组织实施方案</w:t>
      </w:r>
    </w:p>
    <w:p>
      <w:pPr>
        <w:autoSpaceDE w:val="0"/>
        <w:autoSpaceDN w:val="0"/>
        <w:spacing w:line="360" w:lineRule="auto"/>
        <w:jc w:val="center"/>
        <w:rPr>
          <w:rFonts w:ascii="仿宋" w:hAnsi="仿宋" w:eastAsia="仿宋" w:cs="仿宋_GB2312"/>
          <w:b/>
          <w:bCs/>
          <w:color w:val="auto"/>
          <w:kern w:val="0"/>
          <w:sz w:val="24"/>
          <w:highlight w:val="none"/>
          <w:lang w:val="zh-CN"/>
        </w:rPr>
      </w:pPr>
      <w:r>
        <w:rPr>
          <w:rFonts w:hint="eastAsia" w:ascii="仿宋" w:hAnsi="仿宋" w:eastAsia="仿宋" w:cs="仿宋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 w:hAnsi="仿宋" w:eastAsia="仿宋" w:cs="仿宋_GB2312"/>
          <w:b/>
          <w:bCs/>
          <w:color w:val="auto"/>
          <w:kern w:val="0"/>
          <w:sz w:val="24"/>
          <w:highlight w:val="none"/>
          <w:lang w:val="zh-CN"/>
        </w:rPr>
      </w:pPr>
      <w:r>
        <w:rPr>
          <w:rFonts w:hint="eastAsia" w:ascii="仿宋" w:hAnsi="仿宋" w:eastAsia="仿宋" w:cs="仿宋_GB2312"/>
          <w:b/>
          <w:bCs/>
          <w:color w:val="auto"/>
          <w:kern w:val="0"/>
          <w:sz w:val="24"/>
          <w:highlight w:val="none"/>
          <w:lang w:val="zh-CN"/>
        </w:rPr>
        <w:t>附表:项目实施进度计划表</w:t>
      </w:r>
      <w:r>
        <w:rPr>
          <w:rFonts w:hint="eastAsia" w:ascii="仿宋" w:hAnsi="仿宋" w:eastAsia="仿宋" w:cs="仿宋_GB2312"/>
          <w:b/>
          <w:color w:val="auto"/>
          <w:sz w:val="24"/>
          <w:highlight w:val="none"/>
        </w:rPr>
        <w:t xml:space="preserve">(以生效日算起) </w:t>
      </w:r>
    </w:p>
    <w:tbl>
      <w:tblPr>
        <w:tblStyle w:val="15"/>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188" w:type="dxa"/>
            <w:vAlign w:val="center"/>
          </w:tcPr>
          <w:p>
            <w:pPr>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mc:AlternateContent>
                <mc:Choice Requires="wpg">
                  <w:drawing>
                    <wp:anchor distT="0" distB="0" distL="114300" distR="114300" simplePos="0" relativeHeight="251658240"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18" name="组合 3"/>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4" name="直接连接符 14"/>
                              <wps:cNvCnPr/>
                              <wps:spPr>
                                <a:xfrm>
                                  <a:off x="0" y="0"/>
                                  <a:ext cx="1178" cy="1860"/>
                                </a:xfrm>
                                <a:prstGeom prst="line">
                                  <a:avLst/>
                                </a:prstGeom>
                                <a:ln w="6350" cap="flat" cmpd="sng">
                                  <a:solidFill>
                                    <a:srgbClr val="000000"/>
                                  </a:solidFill>
                                  <a:prstDash val="solid"/>
                                  <a:headEnd type="none" w="med" len="med"/>
                                  <a:tailEnd type="none" w="med" len="med"/>
                                </a:ln>
                                <a:effectLst/>
                              </wps:spPr>
                              <wps:bodyPr upright="1"/>
                            </wps:wsp>
                            <wps:wsp>
                              <wps:cNvPr id="15" name="文本框 15"/>
                              <wps:cNvSpPr txBox="1"/>
                              <wps:spPr>
                                <a:xfrm>
                                  <a:off x="455" y="122"/>
                                  <a:ext cx="253" cy="263"/>
                                </a:xfrm>
                                <a:prstGeom prst="rect">
                                  <a:avLst/>
                                </a:prstGeom>
                                <a:noFill/>
                                <a:ln>
                                  <a:noFill/>
                                </a:ln>
                                <a:effectLst/>
                              </wps:spPr>
                              <wps:txbx>
                                <w:txbxContent>
                                  <w:p>
                                    <w:pPr>
                                      <w:snapToGrid w:val="0"/>
                                    </w:pPr>
                                    <w:r>
                                      <w:t>工</w:t>
                                    </w:r>
                                  </w:p>
                                </w:txbxContent>
                              </wps:txbx>
                              <wps:bodyPr lIns="0" tIns="0" rIns="0" bIns="0" upright="1"/>
                            </wps:wsp>
                            <wps:wsp>
                              <wps:cNvPr id="16" name="文本框 16"/>
                              <wps:cNvSpPr txBox="1"/>
                              <wps:spPr>
                                <a:xfrm>
                                  <a:off x="643" y="419"/>
                                  <a:ext cx="253" cy="263"/>
                                </a:xfrm>
                                <a:prstGeom prst="rect">
                                  <a:avLst/>
                                </a:prstGeom>
                                <a:noFill/>
                                <a:ln>
                                  <a:noFill/>
                                </a:ln>
                                <a:effectLst/>
                              </wps:spPr>
                              <wps:txbx>
                                <w:txbxContent>
                                  <w:p>
                                    <w:pPr>
                                      <w:snapToGrid w:val="0"/>
                                    </w:pPr>
                                    <w:r>
                                      <w:t>作</w:t>
                                    </w:r>
                                  </w:p>
                                </w:txbxContent>
                              </wps:txbx>
                              <wps:bodyPr lIns="0" tIns="0" rIns="0" bIns="0" upright="1"/>
                            </wps:wsp>
                            <wps:wsp>
                              <wps:cNvPr id="17" name="文本框 17"/>
                              <wps:cNvSpPr txBox="1"/>
                              <wps:spPr>
                                <a:xfrm>
                                  <a:off x="831" y="717"/>
                                  <a:ext cx="253" cy="262"/>
                                </a:xfrm>
                                <a:prstGeom prst="rect">
                                  <a:avLst/>
                                </a:prstGeom>
                                <a:noFill/>
                                <a:ln>
                                  <a:noFill/>
                                </a:ln>
                                <a:effectLst/>
                              </wps:spPr>
                              <wps:txbx>
                                <w:txbxContent>
                                  <w:p>
                                    <w:pPr>
                                      <w:snapToGrid w:val="0"/>
                                    </w:pPr>
                                    <w:r>
                                      <w:t>日</w:t>
                                    </w:r>
                                  </w:p>
                                </w:txbxContent>
                              </wps:txbx>
                              <wps:bodyPr lIns="0" tIns="0" rIns="0" bIns="0" upright="1"/>
                            </wps:wsp>
                          </wpg:wgp>
                        </a:graphicData>
                      </a:graphic>
                    </wp:anchor>
                  </w:drawing>
                </mc:Choice>
                <mc:Fallback>
                  <w:pict>
                    <v:group id="组合 3" o:spid="_x0000_s1026" o:spt="203" style="position:absolute;left:0pt;margin-left:-5.15pt;margin-top:0pt;height:93pt;width:58.9pt;z-index:251658240;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PXL&#10;XJ7YAAAACAEAAA8AAAAAAAAAAQAgAAAAIgAAAGRycy9kb3ducmV2LnhtbFBLAQIUABQAAAAIAIdO&#10;4kB6gVvuBwMAABAKAAAOAAAAAAAAAAEAIAAAACcBAABkcnMvZTJvRG9jLnhtbFBLBQYAAAAABgAG&#10;AFkBAACgBgAAAAA=&#10;">
                      <o:lock v:ext="edit" aspectratio="f"/>
                      <v:line id="_x0000_s1026" o:spid="_x0000_s1026" o:spt="20" style="position:absolute;left:0;top:0;height:1860;width:1178;"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455;top:122;height:263;width:253;"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t>工</w:t>
                              </w:r>
                            </w:p>
                          </w:txbxContent>
                        </v:textbox>
                      </v:shape>
                      <v:shape id="_x0000_s1026" o:spid="_x0000_s1026" o:spt="202" type="#_x0000_t202" style="position:absolute;left:643;top:419;height:263;width:253;"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t>作</w:t>
                              </w:r>
                            </w:p>
                          </w:txbxContent>
                        </v:textbox>
                      </v:shape>
                      <v:shape id="_x0000_s1026" o:spid="_x0000_s1026" o:spt="202" type="#_x0000_t202" style="position:absolute;left:831;top:717;height:262;width:253;"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t>日</w:t>
                              </w:r>
                            </w:p>
                          </w:txbxContent>
                        </v:textbox>
                      </v:shape>
                    </v:group>
                  </w:pict>
                </mc:Fallback>
              </mc:AlternateContent>
            </w:r>
          </w:p>
          <w:p>
            <w:pPr>
              <w:spacing w:line="360" w:lineRule="auto"/>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内容</w:t>
            </w:r>
          </w:p>
        </w:tc>
        <w:tc>
          <w:tcPr>
            <w:tcW w:w="552"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552"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552"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552"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552"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552"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8</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9</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10</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11</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12</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13</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14</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15</w:t>
            </w:r>
          </w:p>
        </w:tc>
        <w:tc>
          <w:tcPr>
            <w:tcW w:w="553" w:type="dxa"/>
            <w:vAlign w:val="center"/>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2"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c>
          <w:tcPr>
            <w:tcW w:w="553" w:type="dxa"/>
          </w:tcPr>
          <w:p>
            <w:pPr>
              <w:spacing w:line="360" w:lineRule="auto"/>
              <w:rPr>
                <w:rFonts w:ascii="仿宋" w:hAnsi="仿宋" w:eastAsia="仿宋" w:cs="仿宋_GB2312"/>
                <w:color w:val="auto"/>
                <w:sz w:val="24"/>
                <w:highlight w:val="none"/>
              </w:rPr>
            </w:pPr>
          </w:p>
        </w:tc>
      </w:tr>
    </w:tbl>
    <w:p>
      <w:pPr>
        <w:autoSpaceDE w:val="0"/>
        <w:autoSpaceDN w:val="0"/>
        <w:spacing w:line="360" w:lineRule="auto"/>
        <w:rPr>
          <w:rFonts w:ascii="仿宋" w:hAnsi="仿宋" w:eastAsia="仿宋" w:cs="仿宋_GB2312"/>
          <w:color w:val="auto"/>
          <w:kern w:val="0"/>
          <w:sz w:val="24"/>
          <w:highlight w:val="none"/>
        </w:rPr>
      </w:pPr>
      <w:r>
        <w:rPr>
          <w:rFonts w:hint="eastAsia" w:ascii="仿宋" w:hAnsi="仿宋" w:eastAsia="仿宋" w:cs="仿宋_GB2312"/>
          <w:b/>
          <w:color w:val="auto"/>
          <w:sz w:val="24"/>
          <w:highlight w:val="none"/>
        </w:rPr>
        <w:t>注：投标人可按上述时间表的格式自行编制切合实际的具体时间表。</w:t>
      </w:r>
    </w:p>
    <w:p>
      <w:pPr>
        <w:autoSpaceDE w:val="0"/>
        <w:autoSpaceDN w:val="0"/>
        <w:spacing w:line="360" w:lineRule="auto"/>
        <w:ind w:firstLine="4440" w:firstLineChars="18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投标人名称（公章）：</w:t>
      </w:r>
    </w:p>
    <w:p>
      <w:pPr>
        <w:autoSpaceDE w:val="0"/>
        <w:autoSpaceDN w:val="0"/>
        <w:spacing w:line="360" w:lineRule="auto"/>
        <w:rPr>
          <w:rFonts w:ascii="仿宋" w:hAnsi="仿宋" w:eastAsia="仿宋" w:cs="仿宋_GB2312"/>
          <w:b/>
          <w:bCs/>
          <w:color w:val="auto"/>
          <w:sz w:val="32"/>
          <w:szCs w:val="32"/>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十一、售后服务方案</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autoSpaceDE w:val="0"/>
        <w:autoSpaceDN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附表A:售后服务机构情况表</w:t>
      </w:r>
      <w:r>
        <w:rPr>
          <w:rFonts w:hint="eastAsia" w:ascii="仿宋" w:hAnsi="仿宋" w:eastAsia="仿宋" w:cs="仿宋_GB2312"/>
          <w:color w:val="auto"/>
          <w:sz w:val="24"/>
          <w:highlight w:val="none"/>
        </w:rPr>
        <w:t>（按此格式自制）</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2340" w:type="dxa"/>
          </w:tcPr>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机构名称</w:t>
            </w:r>
          </w:p>
        </w:tc>
        <w:tc>
          <w:tcPr>
            <w:tcW w:w="1095" w:type="dxa"/>
          </w:tcPr>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机构性质</w:t>
            </w:r>
          </w:p>
        </w:tc>
        <w:tc>
          <w:tcPr>
            <w:tcW w:w="1245" w:type="dxa"/>
          </w:tcPr>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注册地址</w:t>
            </w:r>
          </w:p>
        </w:tc>
        <w:tc>
          <w:tcPr>
            <w:tcW w:w="1980" w:type="dxa"/>
          </w:tcPr>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服务技术人员数量</w:t>
            </w:r>
          </w:p>
        </w:tc>
        <w:tc>
          <w:tcPr>
            <w:tcW w:w="1260" w:type="dxa"/>
          </w:tcPr>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_GB2312"/>
                <w:color w:val="auto"/>
                <w:sz w:val="24"/>
                <w:highlight w:val="none"/>
              </w:rPr>
            </w:pPr>
          </w:p>
        </w:tc>
        <w:tc>
          <w:tcPr>
            <w:tcW w:w="2340" w:type="dxa"/>
          </w:tcPr>
          <w:p>
            <w:pPr>
              <w:autoSpaceDE w:val="0"/>
              <w:autoSpaceDN w:val="0"/>
              <w:spacing w:line="360" w:lineRule="auto"/>
              <w:jc w:val="center"/>
              <w:rPr>
                <w:rFonts w:ascii="仿宋" w:hAnsi="仿宋" w:eastAsia="仿宋" w:cs="仿宋_GB2312"/>
                <w:color w:val="auto"/>
                <w:sz w:val="24"/>
                <w:highlight w:val="none"/>
              </w:rPr>
            </w:pPr>
          </w:p>
        </w:tc>
        <w:tc>
          <w:tcPr>
            <w:tcW w:w="1095" w:type="dxa"/>
          </w:tcPr>
          <w:p>
            <w:pPr>
              <w:autoSpaceDE w:val="0"/>
              <w:autoSpaceDN w:val="0"/>
              <w:spacing w:line="360" w:lineRule="auto"/>
              <w:jc w:val="center"/>
              <w:rPr>
                <w:rFonts w:ascii="仿宋" w:hAnsi="仿宋" w:eastAsia="仿宋" w:cs="仿宋_GB2312"/>
                <w:color w:val="auto"/>
                <w:sz w:val="24"/>
                <w:highlight w:val="none"/>
              </w:rPr>
            </w:pPr>
          </w:p>
        </w:tc>
        <w:tc>
          <w:tcPr>
            <w:tcW w:w="1245" w:type="dxa"/>
          </w:tcPr>
          <w:p>
            <w:pPr>
              <w:autoSpaceDE w:val="0"/>
              <w:autoSpaceDN w:val="0"/>
              <w:spacing w:line="360" w:lineRule="auto"/>
              <w:jc w:val="center"/>
              <w:rPr>
                <w:rFonts w:ascii="仿宋" w:hAnsi="仿宋" w:eastAsia="仿宋" w:cs="仿宋_GB2312"/>
                <w:color w:val="auto"/>
                <w:sz w:val="24"/>
                <w:highlight w:val="none"/>
              </w:rPr>
            </w:pPr>
          </w:p>
        </w:tc>
        <w:tc>
          <w:tcPr>
            <w:tcW w:w="1980" w:type="dxa"/>
          </w:tcPr>
          <w:p>
            <w:pPr>
              <w:autoSpaceDE w:val="0"/>
              <w:autoSpaceDN w:val="0"/>
              <w:spacing w:line="360" w:lineRule="auto"/>
              <w:jc w:val="center"/>
              <w:rPr>
                <w:rFonts w:ascii="仿宋" w:hAnsi="仿宋" w:eastAsia="仿宋" w:cs="仿宋_GB2312"/>
                <w:color w:val="auto"/>
                <w:sz w:val="24"/>
                <w:highlight w:val="none"/>
              </w:rPr>
            </w:pPr>
          </w:p>
        </w:tc>
        <w:tc>
          <w:tcPr>
            <w:tcW w:w="1260" w:type="dxa"/>
          </w:tcPr>
          <w:p>
            <w:pPr>
              <w:autoSpaceDE w:val="0"/>
              <w:autoSpaceDN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_GB2312"/>
                <w:color w:val="auto"/>
                <w:sz w:val="24"/>
                <w:highlight w:val="none"/>
              </w:rPr>
            </w:pPr>
          </w:p>
        </w:tc>
        <w:tc>
          <w:tcPr>
            <w:tcW w:w="2340" w:type="dxa"/>
          </w:tcPr>
          <w:p>
            <w:pPr>
              <w:autoSpaceDE w:val="0"/>
              <w:autoSpaceDN w:val="0"/>
              <w:spacing w:line="360" w:lineRule="auto"/>
              <w:jc w:val="center"/>
              <w:rPr>
                <w:rFonts w:ascii="仿宋" w:hAnsi="仿宋" w:eastAsia="仿宋" w:cs="仿宋_GB2312"/>
                <w:color w:val="auto"/>
                <w:sz w:val="24"/>
                <w:highlight w:val="none"/>
              </w:rPr>
            </w:pPr>
          </w:p>
        </w:tc>
        <w:tc>
          <w:tcPr>
            <w:tcW w:w="1095" w:type="dxa"/>
          </w:tcPr>
          <w:p>
            <w:pPr>
              <w:autoSpaceDE w:val="0"/>
              <w:autoSpaceDN w:val="0"/>
              <w:spacing w:line="360" w:lineRule="auto"/>
              <w:jc w:val="center"/>
              <w:rPr>
                <w:rFonts w:ascii="仿宋" w:hAnsi="仿宋" w:eastAsia="仿宋" w:cs="仿宋_GB2312"/>
                <w:color w:val="auto"/>
                <w:sz w:val="24"/>
                <w:highlight w:val="none"/>
              </w:rPr>
            </w:pPr>
          </w:p>
        </w:tc>
        <w:tc>
          <w:tcPr>
            <w:tcW w:w="1245" w:type="dxa"/>
          </w:tcPr>
          <w:p>
            <w:pPr>
              <w:autoSpaceDE w:val="0"/>
              <w:autoSpaceDN w:val="0"/>
              <w:spacing w:line="360" w:lineRule="auto"/>
              <w:jc w:val="center"/>
              <w:rPr>
                <w:rFonts w:ascii="仿宋" w:hAnsi="仿宋" w:eastAsia="仿宋" w:cs="仿宋_GB2312"/>
                <w:color w:val="auto"/>
                <w:sz w:val="24"/>
                <w:highlight w:val="none"/>
              </w:rPr>
            </w:pPr>
          </w:p>
        </w:tc>
        <w:tc>
          <w:tcPr>
            <w:tcW w:w="1980" w:type="dxa"/>
          </w:tcPr>
          <w:p>
            <w:pPr>
              <w:autoSpaceDE w:val="0"/>
              <w:autoSpaceDN w:val="0"/>
              <w:spacing w:line="360" w:lineRule="auto"/>
              <w:jc w:val="center"/>
              <w:rPr>
                <w:rFonts w:ascii="仿宋" w:hAnsi="仿宋" w:eastAsia="仿宋" w:cs="仿宋_GB2312"/>
                <w:color w:val="auto"/>
                <w:sz w:val="24"/>
                <w:highlight w:val="none"/>
              </w:rPr>
            </w:pPr>
          </w:p>
        </w:tc>
        <w:tc>
          <w:tcPr>
            <w:tcW w:w="1260" w:type="dxa"/>
          </w:tcPr>
          <w:p>
            <w:pPr>
              <w:autoSpaceDE w:val="0"/>
              <w:autoSpaceDN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_GB2312"/>
                <w:color w:val="auto"/>
                <w:sz w:val="24"/>
                <w:highlight w:val="none"/>
              </w:rPr>
            </w:pPr>
          </w:p>
        </w:tc>
        <w:tc>
          <w:tcPr>
            <w:tcW w:w="2340" w:type="dxa"/>
          </w:tcPr>
          <w:p>
            <w:pPr>
              <w:autoSpaceDE w:val="0"/>
              <w:autoSpaceDN w:val="0"/>
              <w:spacing w:line="360" w:lineRule="auto"/>
              <w:jc w:val="center"/>
              <w:rPr>
                <w:rFonts w:ascii="仿宋" w:hAnsi="仿宋" w:eastAsia="仿宋" w:cs="仿宋_GB2312"/>
                <w:color w:val="auto"/>
                <w:sz w:val="24"/>
                <w:highlight w:val="none"/>
              </w:rPr>
            </w:pPr>
          </w:p>
        </w:tc>
        <w:tc>
          <w:tcPr>
            <w:tcW w:w="1095" w:type="dxa"/>
          </w:tcPr>
          <w:p>
            <w:pPr>
              <w:autoSpaceDE w:val="0"/>
              <w:autoSpaceDN w:val="0"/>
              <w:spacing w:line="360" w:lineRule="auto"/>
              <w:jc w:val="center"/>
              <w:rPr>
                <w:rFonts w:ascii="仿宋" w:hAnsi="仿宋" w:eastAsia="仿宋" w:cs="仿宋_GB2312"/>
                <w:color w:val="auto"/>
                <w:sz w:val="24"/>
                <w:highlight w:val="none"/>
              </w:rPr>
            </w:pPr>
          </w:p>
        </w:tc>
        <w:tc>
          <w:tcPr>
            <w:tcW w:w="1245" w:type="dxa"/>
          </w:tcPr>
          <w:p>
            <w:pPr>
              <w:autoSpaceDE w:val="0"/>
              <w:autoSpaceDN w:val="0"/>
              <w:spacing w:line="360" w:lineRule="auto"/>
              <w:jc w:val="center"/>
              <w:rPr>
                <w:rFonts w:ascii="仿宋" w:hAnsi="仿宋" w:eastAsia="仿宋" w:cs="仿宋_GB2312"/>
                <w:color w:val="auto"/>
                <w:sz w:val="24"/>
                <w:highlight w:val="none"/>
              </w:rPr>
            </w:pPr>
          </w:p>
        </w:tc>
        <w:tc>
          <w:tcPr>
            <w:tcW w:w="1980" w:type="dxa"/>
          </w:tcPr>
          <w:p>
            <w:pPr>
              <w:autoSpaceDE w:val="0"/>
              <w:autoSpaceDN w:val="0"/>
              <w:spacing w:line="360" w:lineRule="auto"/>
              <w:jc w:val="center"/>
              <w:rPr>
                <w:rFonts w:ascii="仿宋" w:hAnsi="仿宋" w:eastAsia="仿宋" w:cs="仿宋_GB2312"/>
                <w:color w:val="auto"/>
                <w:sz w:val="24"/>
                <w:highlight w:val="none"/>
              </w:rPr>
            </w:pPr>
          </w:p>
        </w:tc>
        <w:tc>
          <w:tcPr>
            <w:tcW w:w="1260" w:type="dxa"/>
          </w:tcPr>
          <w:p>
            <w:pPr>
              <w:autoSpaceDE w:val="0"/>
              <w:autoSpaceDN w:val="0"/>
              <w:spacing w:line="360" w:lineRule="auto"/>
              <w:jc w:val="center"/>
              <w:rPr>
                <w:rFonts w:ascii="仿宋" w:hAnsi="仿宋" w:eastAsia="仿宋" w:cs="仿宋_GB2312"/>
                <w:color w:val="auto"/>
                <w:sz w:val="24"/>
                <w:highlight w:val="none"/>
              </w:rPr>
            </w:pPr>
          </w:p>
        </w:tc>
      </w:tr>
    </w:tbl>
    <w:p>
      <w:pPr>
        <w:autoSpaceDE w:val="0"/>
        <w:autoSpaceDN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注：关于项目涉及的所有售后服务机构均在本表注明，包括投标人本单位和符合条件的第三方服务机构；</w:t>
      </w:r>
    </w:p>
    <w:p>
      <w:pPr>
        <w:autoSpaceDE w:val="0"/>
        <w:autoSpaceDN w:val="0"/>
        <w:spacing w:line="360" w:lineRule="auto"/>
        <w:rPr>
          <w:rFonts w:ascii="仿宋" w:hAnsi="仿宋" w:eastAsia="仿宋" w:cs="仿宋_GB2312"/>
          <w:color w:val="auto"/>
          <w:kern w:val="0"/>
          <w:sz w:val="24"/>
          <w:highlight w:val="none"/>
        </w:rPr>
      </w:pPr>
    </w:p>
    <w:p>
      <w:pPr>
        <w:autoSpaceDE w:val="0"/>
        <w:autoSpaceDN w:val="0"/>
        <w:spacing w:line="360" w:lineRule="auto"/>
        <w:rPr>
          <w:rFonts w:ascii="仿宋" w:hAnsi="仿宋" w:eastAsia="仿宋" w:cs="仿宋_GB2312"/>
          <w:color w:val="auto"/>
          <w:kern w:val="0"/>
          <w:sz w:val="24"/>
          <w:highlight w:val="none"/>
        </w:rPr>
      </w:pPr>
      <w:r>
        <w:rPr>
          <w:rFonts w:hint="eastAsia" w:ascii="仿宋" w:hAnsi="仿宋" w:eastAsia="仿宋" w:cs="仿宋_GB2312"/>
          <w:b/>
          <w:color w:val="auto"/>
          <w:kern w:val="0"/>
          <w:sz w:val="24"/>
          <w:highlight w:val="none"/>
        </w:rPr>
        <w:t>附表B：售后服务人员情况表</w:t>
      </w:r>
      <w:r>
        <w:rPr>
          <w:rFonts w:hint="eastAsia" w:ascii="仿宋" w:hAnsi="仿宋" w:eastAsia="仿宋" w:cs="仿宋_GB2312"/>
          <w:color w:val="auto"/>
          <w:sz w:val="24"/>
          <w:highlight w:val="none"/>
        </w:rPr>
        <w:t>（按此格式自制）</w:t>
      </w:r>
    </w:p>
    <w:tbl>
      <w:tblPr>
        <w:tblStyle w:val="15"/>
        <w:tblW w:w="10002" w:type="dxa"/>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序号</w:t>
            </w:r>
          </w:p>
          <w:p>
            <w:pPr>
              <w:autoSpaceDE w:val="0"/>
              <w:autoSpaceDN w:val="0"/>
              <w:spacing w:line="360" w:lineRule="auto"/>
              <w:jc w:val="center"/>
              <w:rPr>
                <w:rFonts w:ascii="仿宋" w:hAnsi="仿宋" w:eastAsia="仿宋"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bl>
    <w:p>
      <w:pPr>
        <w:autoSpaceDE w:val="0"/>
        <w:autoSpaceDN w:val="0"/>
        <w:spacing w:line="360" w:lineRule="auto"/>
        <w:rPr>
          <w:rFonts w:ascii="仿宋" w:hAnsi="仿宋" w:eastAsia="仿宋" w:cs="仿宋_GB2312"/>
          <w:color w:val="auto"/>
          <w:kern w:val="0"/>
          <w:sz w:val="24"/>
          <w:highlight w:val="none"/>
        </w:rPr>
      </w:pPr>
    </w:p>
    <w:p>
      <w:pPr>
        <w:autoSpaceDE w:val="0"/>
        <w:autoSpaceDN w:val="0"/>
        <w:spacing w:line="360" w:lineRule="auto"/>
        <w:ind w:firstLine="4440" w:firstLineChars="18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投标人名称（公章）：</w:t>
      </w:r>
    </w:p>
    <w:p>
      <w:pPr>
        <w:autoSpaceDE w:val="0"/>
        <w:autoSpaceDN w:val="0"/>
        <w:spacing w:line="360" w:lineRule="auto"/>
        <w:rPr>
          <w:rFonts w:ascii="仿宋" w:hAnsi="仿宋" w:eastAsia="仿宋" w:cs="仿宋_GB2312"/>
          <w:b/>
          <w:bCs/>
          <w:color w:val="auto"/>
          <w:sz w:val="32"/>
          <w:szCs w:val="32"/>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十二、项目小组人员名单</w:t>
      </w:r>
    </w:p>
    <w:p>
      <w:pPr>
        <w:spacing w:line="360" w:lineRule="auto"/>
        <w:jc w:val="center"/>
        <w:rPr>
          <w:rFonts w:ascii="仿宋" w:hAnsi="仿宋" w:eastAsia="仿宋" w:cs="仿宋_GB2312"/>
          <w:b/>
          <w:bCs/>
          <w:color w:val="auto"/>
          <w:sz w:val="24"/>
          <w:highlight w:val="none"/>
        </w:rPr>
      </w:pPr>
      <w:r>
        <w:rPr>
          <w:rFonts w:hint="eastAsia" w:ascii="仿宋" w:hAnsi="仿宋" w:eastAsia="仿宋" w:cs="仿宋_GB2312"/>
          <w:color w:val="auto"/>
          <w:sz w:val="24"/>
          <w:highlight w:val="none"/>
        </w:rPr>
        <w:t>（由投标人根据采购需求及招标文件要求编制）</w:t>
      </w:r>
    </w:p>
    <w:p>
      <w:pPr>
        <w:keepNext/>
        <w:autoSpaceDE w:val="0"/>
        <w:autoSpaceDN w:val="0"/>
        <w:spacing w:line="360" w:lineRule="auto"/>
        <w:ind w:firstLine="477"/>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附表A:本项目的项目经理</w:t>
      </w:r>
      <w:r>
        <w:rPr>
          <w:rFonts w:hint="eastAsia" w:ascii="仿宋" w:hAnsi="仿宋" w:eastAsia="仿宋" w:cs="仿宋_GB2312"/>
          <w:b/>
          <w:color w:val="auto"/>
          <w:sz w:val="24"/>
          <w:highlight w:val="none"/>
          <w:lang w:eastAsia="zh-CN"/>
        </w:rPr>
        <w:t>（</w:t>
      </w:r>
      <w:r>
        <w:rPr>
          <w:rFonts w:hint="eastAsia" w:ascii="仿宋" w:hAnsi="仿宋" w:eastAsia="仿宋" w:cs="仿宋_GB2312"/>
          <w:b/>
          <w:color w:val="auto"/>
          <w:sz w:val="24"/>
          <w:highlight w:val="none"/>
          <w:lang w:val="en-US" w:eastAsia="zh-CN"/>
        </w:rPr>
        <w:t>项目技术负责人）</w:t>
      </w:r>
      <w:r>
        <w:rPr>
          <w:rFonts w:hint="eastAsia" w:ascii="仿宋" w:hAnsi="仿宋" w:eastAsia="仿宋" w:cs="仿宋_GB2312"/>
          <w:b/>
          <w:color w:val="auto"/>
          <w:sz w:val="24"/>
          <w:highlight w:val="none"/>
        </w:rPr>
        <w:t>情况表</w:t>
      </w:r>
    </w:p>
    <w:tbl>
      <w:tblPr>
        <w:tblStyle w:val="15"/>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投标截止时间前三年业绩及承担的主要工作情况，曾担任项目经理</w:t>
            </w:r>
            <w:r>
              <w:rPr>
                <w:rFonts w:hint="eastAsia" w:ascii="仿宋" w:hAnsi="仿宋" w:eastAsia="仿宋" w:cs="仿宋_GB2312"/>
                <w:b w:val="0"/>
                <w:bCs/>
                <w:color w:val="auto"/>
                <w:sz w:val="24"/>
                <w:highlight w:val="none"/>
                <w:lang w:eastAsia="zh-CN"/>
              </w:rPr>
              <w:t>（</w:t>
            </w:r>
            <w:r>
              <w:rPr>
                <w:rFonts w:hint="eastAsia" w:ascii="仿宋" w:hAnsi="仿宋" w:eastAsia="仿宋" w:cs="仿宋_GB2312"/>
                <w:b w:val="0"/>
                <w:bCs/>
                <w:color w:val="auto"/>
                <w:sz w:val="24"/>
                <w:highlight w:val="none"/>
                <w:lang w:val="en-US" w:eastAsia="zh-CN"/>
              </w:rPr>
              <w:t>项目技术负责人）</w:t>
            </w:r>
            <w:r>
              <w:rPr>
                <w:rFonts w:hint="eastAsia" w:ascii="仿宋" w:hAnsi="仿宋" w:eastAsia="仿宋" w:cs="仿宋_GB2312"/>
                <w:color w:val="auto"/>
                <w:sz w:val="24"/>
                <w:highlight w:val="none"/>
              </w:rPr>
              <w:t>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98"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p>
        </w:tc>
      </w:tr>
    </w:tbl>
    <w:p>
      <w:pPr>
        <w:autoSpaceDE w:val="0"/>
        <w:autoSpaceDN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注：须随表提交相应的证书复印件并注明所在投标技术文件页码。</w:t>
      </w:r>
    </w:p>
    <w:p>
      <w:pPr>
        <w:autoSpaceDE w:val="0"/>
        <w:autoSpaceDN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附表B:本项目的项目小组人员情况表</w:t>
      </w:r>
      <w:r>
        <w:rPr>
          <w:rFonts w:hint="eastAsia" w:ascii="仿宋" w:hAnsi="仿宋" w:eastAsia="仿宋" w:cs="仿宋_GB2312"/>
          <w:color w:val="auto"/>
          <w:sz w:val="24"/>
          <w:highlight w:val="none"/>
        </w:rPr>
        <w:t>（按此格式自制）</w:t>
      </w:r>
    </w:p>
    <w:tbl>
      <w:tblPr>
        <w:tblStyle w:val="15"/>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学历</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专业</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职称</w:t>
            </w:r>
          </w:p>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auto"/>
                <w:sz w:val="24"/>
                <w:highlight w:val="none"/>
              </w:rPr>
            </w:pPr>
          </w:p>
        </w:tc>
      </w:tr>
    </w:tbl>
    <w:p>
      <w:pPr>
        <w:spacing w:line="360" w:lineRule="auto"/>
        <w:rPr>
          <w:rFonts w:ascii="仿宋" w:hAnsi="仿宋" w:eastAsia="仿宋" w:cs="仿宋_GB2312"/>
          <w:b/>
          <w:bCs/>
          <w:color w:val="auto"/>
          <w:sz w:val="24"/>
          <w:highlight w:val="none"/>
        </w:rPr>
      </w:pPr>
      <w:r>
        <w:rPr>
          <w:rFonts w:hint="eastAsia" w:ascii="仿宋" w:hAnsi="仿宋" w:eastAsia="仿宋" w:cs="仿宋_GB2312"/>
          <w:b/>
          <w:color w:val="auto"/>
          <w:sz w:val="24"/>
          <w:highlight w:val="none"/>
        </w:rPr>
        <w:t>注：投标人可按上述的格式自行编制，须随表提交相应的证书复印件并注明所在投标技术文件页码。</w:t>
      </w:r>
    </w:p>
    <w:p>
      <w:pPr>
        <w:spacing w:line="360" w:lineRule="auto"/>
        <w:rPr>
          <w:rFonts w:ascii="仿宋" w:hAnsi="仿宋" w:eastAsia="仿宋" w:cs="仿宋_GB2312"/>
          <w:b/>
          <w:bCs/>
          <w:color w:val="auto"/>
          <w:sz w:val="24"/>
          <w:highlight w:val="none"/>
        </w:rPr>
      </w:pPr>
      <w:r>
        <w:rPr>
          <w:rFonts w:hint="eastAsia" w:ascii="仿宋" w:hAnsi="仿宋" w:eastAsia="仿宋" w:cs="仿宋_GB2312"/>
          <w:b/>
          <w:color w:val="auto"/>
          <w:sz w:val="24"/>
          <w:highlight w:val="none"/>
        </w:rPr>
        <w:t>附表C:本项目的项目经理</w:t>
      </w:r>
      <w:r>
        <w:rPr>
          <w:rFonts w:hint="eastAsia" w:ascii="仿宋" w:hAnsi="仿宋" w:eastAsia="仿宋" w:cs="仿宋_GB2312"/>
          <w:b/>
          <w:color w:val="auto"/>
          <w:sz w:val="24"/>
          <w:highlight w:val="none"/>
          <w:lang w:eastAsia="zh-CN"/>
        </w:rPr>
        <w:t>（</w:t>
      </w:r>
      <w:r>
        <w:rPr>
          <w:rFonts w:hint="eastAsia" w:ascii="仿宋" w:hAnsi="仿宋" w:eastAsia="仿宋" w:cs="仿宋_GB2312"/>
          <w:b/>
          <w:color w:val="auto"/>
          <w:sz w:val="24"/>
          <w:highlight w:val="none"/>
          <w:lang w:val="en-US" w:eastAsia="zh-CN"/>
        </w:rPr>
        <w:t>项目技术负责人）</w:t>
      </w:r>
      <w:r>
        <w:rPr>
          <w:rFonts w:hint="eastAsia" w:ascii="仿宋" w:hAnsi="仿宋" w:eastAsia="仿宋" w:cs="仿宋_GB2312"/>
          <w:b/>
          <w:color w:val="auto"/>
          <w:sz w:val="24"/>
          <w:highlight w:val="none"/>
        </w:rPr>
        <w:t>和小组人员近3个月交纳社保记录情况表</w:t>
      </w:r>
      <w:r>
        <w:rPr>
          <w:rFonts w:hint="eastAsia" w:ascii="仿宋" w:hAnsi="仿宋" w:eastAsia="仿宋" w:cs="仿宋_GB2312"/>
          <w:color w:val="auto"/>
          <w:sz w:val="24"/>
          <w:highlight w:val="none"/>
        </w:rPr>
        <w:t>（以社保局缴纳凭证作附件）</w:t>
      </w:r>
    </w:p>
    <w:p>
      <w:pPr>
        <w:autoSpaceDE w:val="0"/>
        <w:autoSpaceDN w:val="0"/>
        <w:spacing w:line="360" w:lineRule="auto"/>
        <w:ind w:firstLine="4440" w:firstLineChars="18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投标人名称（公章）：</w:t>
      </w:r>
    </w:p>
    <w:p>
      <w:pPr>
        <w:autoSpaceDE w:val="0"/>
        <w:autoSpaceDN w:val="0"/>
        <w:spacing w:line="360" w:lineRule="auto"/>
        <w:rPr>
          <w:rFonts w:ascii="仿宋" w:hAnsi="仿宋" w:eastAsia="仿宋" w:cs="仿宋_GB2312"/>
          <w:b/>
          <w:bCs/>
          <w:color w:val="auto"/>
          <w:sz w:val="32"/>
          <w:szCs w:val="32"/>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bCs/>
          <w:color w:val="auto"/>
          <w:sz w:val="32"/>
          <w:szCs w:val="32"/>
          <w:highlight w:val="none"/>
        </w:rPr>
        <w:t>十三、</w:t>
      </w:r>
      <w:r>
        <w:rPr>
          <w:rFonts w:hint="eastAsia" w:ascii="仿宋" w:hAnsi="仿宋" w:eastAsia="仿宋" w:cs="仿宋_GB2312"/>
          <w:b/>
          <w:color w:val="auto"/>
          <w:kern w:val="0"/>
          <w:sz w:val="32"/>
          <w:szCs w:val="32"/>
          <w:highlight w:val="none"/>
          <w:lang w:val="zh-CN"/>
        </w:rPr>
        <w:t>优惠条件及特殊承诺</w:t>
      </w:r>
    </w:p>
    <w:p>
      <w:pPr>
        <w:spacing w:line="360" w:lineRule="auto"/>
        <w:jc w:val="center"/>
        <w:rPr>
          <w:rFonts w:ascii="仿宋" w:hAnsi="仿宋" w:eastAsia="仿宋" w:cs="仿宋_GB2312"/>
          <w:color w:val="auto"/>
          <w:sz w:val="18"/>
          <w:szCs w:val="18"/>
          <w:highlight w:val="none"/>
        </w:rPr>
      </w:pPr>
      <w:r>
        <w:rPr>
          <w:rFonts w:hint="eastAsia" w:ascii="仿宋" w:hAnsi="仿宋" w:eastAsia="仿宋" w:cs="仿宋_GB2312"/>
          <w:color w:val="auto"/>
          <w:sz w:val="24"/>
          <w:highlight w:val="none"/>
        </w:rPr>
        <w:t>（由投标人根据采购需求自行编制）</w:t>
      </w:r>
    </w:p>
    <w:p>
      <w:pPr>
        <w:autoSpaceDE w:val="0"/>
        <w:autoSpaceDN w:val="0"/>
        <w:spacing w:line="360" w:lineRule="auto"/>
        <w:ind w:firstLine="4440" w:firstLineChars="18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投标人名称（公章）：</w:t>
      </w:r>
    </w:p>
    <w:p>
      <w:pPr>
        <w:autoSpaceDE w:val="0"/>
        <w:autoSpaceDN w:val="0"/>
        <w:spacing w:line="360" w:lineRule="auto"/>
        <w:rPr>
          <w:rFonts w:ascii="仿宋" w:hAnsi="仿宋" w:eastAsia="仿宋" w:cs="仿宋_GB2312"/>
          <w:b/>
          <w:bCs/>
          <w:color w:val="auto"/>
          <w:sz w:val="18"/>
          <w:szCs w:val="18"/>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bCs/>
          <w:color w:val="auto"/>
          <w:sz w:val="32"/>
          <w:szCs w:val="32"/>
          <w:highlight w:val="none"/>
        </w:rPr>
        <w:t>十四、</w:t>
      </w:r>
      <w:r>
        <w:rPr>
          <w:rFonts w:hint="eastAsia" w:ascii="仿宋" w:hAnsi="仿宋" w:eastAsia="仿宋" w:cs="仿宋_GB2312"/>
          <w:b/>
          <w:color w:val="auto"/>
          <w:kern w:val="0"/>
          <w:sz w:val="32"/>
          <w:szCs w:val="32"/>
          <w:highlight w:val="none"/>
          <w:lang w:val="zh-CN"/>
        </w:rPr>
        <w:t>备品备件及供选择的配套零部件清单</w:t>
      </w:r>
    </w:p>
    <w:p>
      <w:pPr>
        <w:autoSpaceDE w:val="0"/>
        <w:autoSpaceDN w:val="0"/>
        <w:spacing w:line="360" w:lineRule="auto"/>
        <w:jc w:val="center"/>
        <w:rPr>
          <w:color w:val="auto"/>
          <w:highlight w:val="none"/>
        </w:rPr>
      </w:pPr>
      <w:r>
        <w:rPr>
          <w:rFonts w:hint="eastAsia" w:ascii="仿宋" w:hAnsi="仿宋" w:eastAsia="仿宋" w:cs="仿宋_GB2312"/>
          <w:color w:val="auto"/>
          <w:sz w:val="24"/>
          <w:highlight w:val="none"/>
        </w:rPr>
        <w:t>（由投标人根据采购需求自行编制）</w:t>
      </w:r>
    </w:p>
    <w:p>
      <w:pPr>
        <w:autoSpaceDE w:val="0"/>
        <w:autoSpaceDN w:val="0"/>
        <w:spacing w:line="360" w:lineRule="auto"/>
        <w:ind w:firstLine="4440" w:firstLineChars="18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投标人名称（公章）：</w:t>
      </w:r>
    </w:p>
    <w:p>
      <w:pPr>
        <w:autoSpaceDE w:val="0"/>
        <w:autoSpaceDN w:val="0"/>
        <w:spacing w:line="360" w:lineRule="auto"/>
        <w:rPr>
          <w:rFonts w:ascii="仿宋" w:hAnsi="仿宋" w:eastAsia="仿宋" w:cs="仿宋_GB2312"/>
          <w:b/>
          <w:bCs/>
          <w:color w:val="auto"/>
          <w:sz w:val="32"/>
          <w:szCs w:val="32"/>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bCs/>
          <w:color w:val="auto"/>
          <w:sz w:val="32"/>
          <w:szCs w:val="32"/>
          <w:highlight w:val="none"/>
        </w:rPr>
        <w:t>十五、</w:t>
      </w:r>
      <w:r>
        <w:rPr>
          <w:rFonts w:hint="eastAsia" w:ascii="仿宋" w:hAnsi="仿宋" w:eastAsia="仿宋" w:cs="仿宋_GB2312"/>
          <w:b/>
          <w:color w:val="auto"/>
          <w:kern w:val="0"/>
          <w:sz w:val="32"/>
          <w:szCs w:val="32"/>
          <w:highlight w:val="none"/>
          <w:lang w:val="zh-CN"/>
        </w:rPr>
        <w:t>合理化建议</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（由投标人根据采购需求自行编制）</w:t>
      </w:r>
    </w:p>
    <w:p>
      <w:pPr>
        <w:autoSpaceDE w:val="0"/>
        <w:autoSpaceDN w:val="0"/>
        <w:spacing w:line="360" w:lineRule="auto"/>
        <w:rPr>
          <w:rFonts w:ascii="仿宋" w:hAnsi="仿宋" w:eastAsia="仿宋" w:cs="仿宋_GB2312"/>
          <w:b/>
          <w:color w:val="auto"/>
          <w:sz w:val="24"/>
          <w:highlight w:val="none"/>
        </w:rPr>
      </w:pPr>
    </w:p>
    <w:p>
      <w:pPr>
        <w:autoSpaceDE w:val="0"/>
        <w:autoSpaceDN w:val="0"/>
        <w:spacing w:line="360" w:lineRule="auto"/>
        <w:ind w:firstLine="4800" w:firstLineChars="2000"/>
        <w:rPr>
          <w:rFonts w:ascii="仿宋" w:hAnsi="仿宋" w:eastAsia="仿宋" w:cs="仿宋_GB2312"/>
          <w:color w:val="auto"/>
          <w:sz w:val="24"/>
          <w:highlight w:val="none"/>
        </w:rPr>
      </w:pPr>
      <w:r>
        <w:rPr>
          <w:rFonts w:hint="eastAsia" w:ascii="仿宋" w:hAnsi="仿宋" w:eastAsia="仿宋" w:cs="仿宋_GB2312"/>
          <w:color w:val="auto"/>
          <w:kern w:val="0"/>
          <w:sz w:val="24"/>
          <w:highlight w:val="none"/>
        </w:rPr>
        <w:t xml:space="preserve">投标人名称（公章）：                       </w:t>
      </w:r>
    </w:p>
    <w:p>
      <w:pPr>
        <w:autoSpaceDE w:val="0"/>
        <w:autoSpaceDN w:val="0"/>
        <w:spacing w:line="360" w:lineRule="auto"/>
        <w:rPr>
          <w:rFonts w:ascii="仿宋" w:hAnsi="仿宋" w:eastAsia="仿宋" w:cs="仿宋_GB2312"/>
          <w:color w:val="auto"/>
          <w:sz w:val="24"/>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bCs/>
          <w:color w:val="auto"/>
          <w:sz w:val="32"/>
          <w:szCs w:val="32"/>
          <w:highlight w:val="none"/>
        </w:rPr>
      </w:pPr>
    </w:p>
    <w:p>
      <w:pPr>
        <w:spacing w:line="360"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十六、认为需要的其他技术文件或说明</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（由投标人根据采购需求自行编制）</w:t>
      </w:r>
    </w:p>
    <w:p>
      <w:pPr>
        <w:autoSpaceDE w:val="0"/>
        <w:autoSpaceDN w:val="0"/>
        <w:spacing w:line="360" w:lineRule="auto"/>
        <w:ind w:firstLine="4800" w:firstLineChars="2000"/>
        <w:rPr>
          <w:rFonts w:ascii="仿宋" w:hAnsi="仿宋" w:eastAsia="仿宋" w:cs="仿宋_GB2312"/>
          <w:color w:val="auto"/>
          <w:sz w:val="24"/>
          <w:highlight w:val="none"/>
        </w:rPr>
      </w:pPr>
      <w:r>
        <w:rPr>
          <w:rFonts w:hint="eastAsia" w:ascii="仿宋" w:hAnsi="仿宋" w:eastAsia="仿宋" w:cs="仿宋_GB2312"/>
          <w:color w:val="auto"/>
          <w:kern w:val="0"/>
          <w:sz w:val="24"/>
          <w:highlight w:val="none"/>
        </w:rPr>
        <w:t xml:space="preserve">投标人名称（公章）：                       </w:t>
      </w:r>
    </w:p>
    <w:p>
      <w:pPr>
        <w:autoSpaceDE w:val="0"/>
        <w:autoSpaceDN w:val="0"/>
        <w:spacing w:line="360" w:lineRule="auto"/>
        <w:rPr>
          <w:rFonts w:ascii="仿宋" w:hAnsi="仿宋" w:eastAsia="仿宋" w:cs="仿宋_GB2312"/>
          <w:b/>
          <w:bCs/>
          <w:color w:val="auto"/>
          <w:sz w:val="30"/>
          <w:szCs w:val="30"/>
          <w:highlight w:val="none"/>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bCs/>
          <w:color w:val="auto"/>
          <w:sz w:val="30"/>
          <w:szCs w:val="30"/>
          <w:highlight w:val="none"/>
        </w:rPr>
      </w:pPr>
    </w:p>
    <w:p>
      <w:pPr>
        <w:spacing w:line="360" w:lineRule="auto"/>
        <w:jc w:val="center"/>
        <w:rPr>
          <w:rFonts w:ascii="仿宋" w:hAnsi="仿宋" w:eastAsia="仿宋" w:cs="仿宋_GB2312"/>
          <w:b/>
          <w:color w:val="auto"/>
          <w:kern w:val="0"/>
          <w:sz w:val="30"/>
          <w:szCs w:val="30"/>
          <w:highlight w:val="none"/>
          <w:lang w:val="zh-CN"/>
        </w:rPr>
      </w:pPr>
      <w:r>
        <w:rPr>
          <w:rFonts w:hint="eastAsia" w:ascii="仿宋" w:hAnsi="仿宋" w:eastAsia="仿宋" w:cs="仿宋_GB2312"/>
          <w:b/>
          <w:bCs/>
          <w:color w:val="auto"/>
          <w:sz w:val="30"/>
          <w:szCs w:val="30"/>
          <w:highlight w:val="none"/>
        </w:rPr>
        <w:t>十七、关于</w:t>
      </w:r>
      <w:r>
        <w:rPr>
          <w:rFonts w:hint="eastAsia" w:ascii="仿宋" w:hAnsi="仿宋" w:eastAsia="仿宋" w:cs="仿宋_GB2312"/>
          <w:b/>
          <w:color w:val="auto"/>
          <w:kern w:val="0"/>
          <w:sz w:val="30"/>
          <w:szCs w:val="30"/>
          <w:highlight w:val="none"/>
          <w:lang w:val="zh-CN"/>
        </w:rPr>
        <w:t>对招标文件中有关商务、合同条款的拒绝声明</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（由投标人根据采购需求自行编制）</w:t>
      </w:r>
    </w:p>
    <w:p>
      <w:pPr>
        <w:autoSpaceDE w:val="0"/>
        <w:autoSpaceDN w:val="0"/>
        <w:spacing w:line="360" w:lineRule="auto"/>
        <w:ind w:firstLine="5040" w:firstLineChars="21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投标人名称（公章）：      </w:t>
      </w:r>
    </w:p>
    <w:p>
      <w:pPr>
        <w:autoSpaceDE w:val="0"/>
        <w:autoSpaceDN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日期：  年  月   日</w:t>
      </w:r>
    </w:p>
    <w:p>
      <w:pPr>
        <w:spacing w:line="360" w:lineRule="auto"/>
        <w:jc w:val="center"/>
        <w:rPr>
          <w:rFonts w:ascii="仿宋" w:hAnsi="仿宋" w:eastAsia="仿宋" w:cs="仿宋_GB2312"/>
          <w:b/>
          <w:bCs/>
          <w:color w:val="auto"/>
          <w:sz w:val="24"/>
          <w:highlight w:val="none"/>
        </w:rPr>
      </w:pPr>
    </w:p>
    <w:p>
      <w:pPr>
        <w:spacing w:line="360" w:lineRule="auto"/>
        <w:jc w:val="center"/>
        <w:rPr>
          <w:rFonts w:ascii="仿宋" w:hAnsi="仿宋" w:eastAsia="仿宋" w:cs="仿宋_GB2312"/>
          <w:b/>
          <w:color w:val="auto"/>
          <w:kern w:val="0"/>
          <w:sz w:val="30"/>
          <w:szCs w:val="30"/>
          <w:highlight w:val="none"/>
          <w:lang w:val="zh-CN"/>
        </w:rPr>
      </w:pPr>
      <w:r>
        <w:rPr>
          <w:rFonts w:hint="eastAsia" w:ascii="仿宋" w:hAnsi="仿宋" w:eastAsia="仿宋" w:cs="仿宋_GB2312"/>
          <w:b/>
          <w:color w:val="auto"/>
          <w:kern w:val="0"/>
          <w:sz w:val="30"/>
          <w:szCs w:val="30"/>
          <w:highlight w:val="none"/>
          <w:lang w:val="zh-CN"/>
        </w:rPr>
        <w:t>十八、关于招标文件中有关无效标条款（符合性要求）的声明</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（由投标人根据采购需求自行编制）</w:t>
      </w:r>
    </w:p>
    <w:p>
      <w:pPr>
        <w:spacing w:line="360" w:lineRule="auto"/>
        <w:rPr>
          <w:rFonts w:ascii="仿宋" w:hAnsi="仿宋" w:eastAsia="仿宋" w:cs="仿宋_GB2312"/>
          <w:color w:val="auto"/>
          <w:sz w:val="24"/>
          <w:highlight w:val="none"/>
        </w:rPr>
      </w:pPr>
    </w:p>
    <w:p>
      <w:pPr>
        <w:autoSpaceDE w:val="0"/>
        <w:autoSpaceDN w:val="0"/>
        <w:spacing w:line="360" w:lineRule="auto"/>
        <w:ind w:firstLine="5040" w:firstLineChars="21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投标人名称（公章）：      </w:t>
      </w:r>
    </w:p>
    <w:p>
      <w:pPr>
        <w:autoSpaceDE w:val="0"/>
        <w:autoSpaceDN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日期：  年  月   日</w:t>
      </w: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spacing w:line="360" w:lineRule="auto"/>
        <w:rPr>
          <w:rFonts w:ascii="仿宋" w:hAnsi="仿宋" w:eastAsia="仿宋" w:cs="仿宋_GB2312"/>
          <w:b/>
          <w:bCs/>
          <w:color w:val="auto"/>
          <w:sz w:val="32"/>
          <w:szCs w:val="32"/>
          <w:highlight w:val="none"/>
        </w:rPr>
      </w:pPr>
    </w:p>
    <w:p>
      <w:pPr>
        <w:spacing w:line="36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 xml:space="preserve"> </w:t>
      </w:r>
      <w:r>
        <w:rPr>
          <w:rFonts w:hint="eastAsia" w:ascii="仿宋" w:hAnsi="仿宋" w:eastAsia="仿宋" w:cs="仿宋_GB2312"/>
          <w:b/>
          <w:color w:val="auto"/>
          <w:sz w:val="30"/>
          <w:szCs w:val="30"/>
          <w:highlight w:val="none"/>
        </w:rPr>
        <w:t>关于钱塘新区政府采购支持中小企业信用融资相关事项通知</w:t>
      </w:r>
    </w:p>
    <w:p>
      <w:pPr>
        <w:spacing w:line="360" w:lineRule="auto"/>
        <w:jc w:val="center"/>
        <w:rPr>
          <w:rFonts w:ascii="仿宋" w:hAnsi="仿宋" w:eastAsia="仿宋" w:cs="仿宋_GB2312"/>
          <w:b/>
          <w:color w:val="auto"/>
          <w:sz w:val="10"/>
          <w:szCs w:val="10"/>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一、适用对象</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在浙江“政采云”平台注册入库，并取得钱塘新区政府采购合同的中小企业供应商。</w:t>
      </w:r>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二、相关信息获取方式</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请登陆杭州钱塘新区管理委员会官网（</w:t>
      </w:r>
      <w:r>
        <w:rPr>
          <w:rFonts w:ascii="仿宋" w:hAnsi="仿宋" w:eastAsia="仿宋" w:cs="仿宋_GB2312"/>
          <w:color w:val="auto"/>
          <w:sz w:val="24"/>
          <w:highlight w:val="none"/>
        </w:rPr>
        <w:t>http://qt.hangzhou.gov.cn</w:t>
      </w:r>
      <w:r>
        <w:rPr>
          <w:rFonts w:hint="eastAsia" w:ascii="仿宋" w:hAnsi="仿宋" w:eastAsia="仿宋" w:cs="仿宋_GB2312"/>
          <w:color w:val="auto"/>
          <w:sz w:val="24"/>
          <w:highlight w:val="none"/>
        </w:rPr>
        <w:t>） “公告公示”专栏，查看信用融资政策文件及各相关银行服务方案。</w:t>
      </w:r>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三、申请方式和步骤</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1、供应商若有融资意向，需先与钱塘新区财政金融局合作的银行对接，办理相关融资前期手续；</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2、中标后，供应商应与采购单位或者采购代理机构及时联系，告知融资需求；</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3、相关合作银行联系并审核供应商及相关中标信息，办理相关融资事宜；</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4、采购单位或者采购代理机构在政府采购信息系统录入中标合同信息时，须标注合同为信用融资合同，并选择相应的信用融资合作银行，录入账号信息；</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5、采购人应及时将信用融资合同提交财政金融局备案。</w:t>
      </w:r>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四、注意事项</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请各采购单位和采购代理机构积极支持和配合政府采购信用融资工作，在合同备案环节务必请仔细核对收款银行、账号信息等内容，一旦录入将无法修改。</w:t>
      </w:r>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五、合作银行及联系方式</w:t>
      </w:r>
    </w:p>
    <w:tbl>
      <w:tblPr>
        <w:tblStyle w:val="15"/>
        <w:tblW w:w="8740" w:type="dxa"/>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建行开发区支行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杭州银行下沙开发区支行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费莎</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13388617781</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6</w:t>
            </w:r>
          </w:p>
        </w:tc>
        <w:tc>
          <w:tcPr>
            <w:tcW w:w="302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中国银行钱塘支行</w:t>
            </w:r>
          </w:p>
        </w:tc>
        <w:tc>
          <w:tcPr>
            <w:tcW w:w="142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高飞</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工行开发区支行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吴建恩</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13646861493</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18906520030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农业银行杭州下沙支行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施伟东</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86912948,15988106601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建行杭州大江东支行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翁佳佳</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13777878302</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农业银行临江支行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张学民</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82198699，13867197838</w:t>
            </w:r>
          </w:p>
        </w:tc>
      </w:tr>
    </w:tbl>
    <w:p>
      <w:pPr>
        <w:spacing w:line="360" w:lineRule="auto"/>
        <w:ind w:left="5040" w:hanging="5040" w:hangingChars="2100"/>
        <w:rPr>
          <w:rFonts w:ascii="仿宋" w:hAnsi="仿宋" w:eastAsia="仿宋" w:cs="仿宋_GB2312"/>
          <w:color w:val="auto"/>
          <w:kern w:val="0"/>
          <w:sz w:val="24"/>
          <w:highlight w:val="none"/>
          <w:lang w:val="zh-CN"/>
        </w:rPr>
      </w:pPr>
    </w:p>
    <w:p>
      <w:pPr>
        <w:spacing w:line="360" w:lineRule="auto"/>
        <w:ind w:left="5060" w:hanging="5060" w:hangingChars="2100"/>
        <w:rPr>
          <w:rFonts w:ascii="仿宋" w:hAnsi="仿宋" w:eastAsia="仿宋" w:cs="仿宋_GB2312"/>
          <w:b/>
          <w:bCs/>
          <w:color w:val="auto"/>
          <w:kern w:val="0"/>
          <w:sz w:val="24"/>
          <w:highlight w:val="none"/>
        </w:rPr>
      </w:pPr>
    </w:p>
    <w:p>
      <w:pPr>
        <w:spacing w:line="360" w:lineRule="auto"/>
        <w:rPr>
          <w:rFonts w:ascii="仿宋" w:hAnsi="仿宋" w:eastAsia="仿宋" w:cs="仿宋_GB2312"/>
          <w:b/>
          <w:color w:val="auto"/>
          <w:sz w:val="24"/>
          <w:highlight w:val="none"/>
        </w:rPr>
      </w:pPr>
    </w:p>
    <w:p>
      <w:pPr>
        <w:pStyle w:val="2"/>
        <w:keepNext w:val="0"/>
        <w:keepLines w:val="0"/>
        <w:pageBreakBefore/>
        <w:widowControl/>
        <w:numPr>
          <w:ilvl w:val="0"/>
          <w:numId w:val="0"/>
        </w:numPr>
        <w:spacing w:before="100" w:beforeAutospacing="1" w:after="100" w:afterAutospacing="1" w:line="360" w:lineRule="auto"/>
        <w:ind w:left="1290" w:firstLine="3092" w:firstLineChars="700"/>
        <w:rPr>
          <w:rFonts w:ascii="仿宋" w:hAnsi="仿宋" w:eastAsia="仿宋"/>
          <w:color w:val="auto"/>
          <w:highlight w:val="none"/>
        </w:rPr>
      </w:pPr>
      <w:bookmarkStart w:id="432" w:name="_Toc465665161"/>
      <w:r>
        <w:rPr>
          <w:rFonts w:hint="eastAsia" w:ascii="仿宋" w:hAnsi="仿宋" w:eastAsia="仿宋"/>
          <w:color w:val="auto"/>
          <w:highlight w:val="none"/>
        </w:rPr>
        <w:t>附件</w:t>
      </w:r>
      <w:bookmarkEnd w:id="432"/>
    </w:p>
    <w:p>
      <w:pPr>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附件1：</w:t>
      </w:r>
    </w:p>
    <w:p>
      <w:pPr>
        <w:spacing w:line="360" w:lineRule="auto"/>
        <w:jc w:val="center"/>
        <w:rPr>
          <w:rFonts w:ascii="仿宋" w:hAnsi="仿宋" w:eastAsia="仿宋"/>
          <w:b/>
          <w:color w:val="auto"/>
          <w:spacing w:val="6"/>
          <w:sz w:val="32"/>
          <w:szCs w:val="32"/>
          <w:highlight w:val="none"/>
        </w:rPr>
      </w:pPr>
      <w:bookmarkStart w:id="433" w:name="OLE_LINK13"/>
      <w:bookmarkStart w:id="434" w:name="OLE_LINK14"/>
      <w:r>
        <w:rPr>
          <w:rFonts w:hint="eastAsia" w:ascii="仿宋" w:hAnsi="仿宋" w:eastAsia="仿宋"/>
          <w:b/>
          <w:color w:val="auto"/>
          <w:spacing w:val="6"/>
          <w:sz w:val="32"/>
          <w:szCs w:val="32"/>
          <w:highlight w:val="none"/>
        </w:rPr>
        <w:t>残疾人福利性单位声明函</w:t>
      </w:r>
    </w:p>
    <w:bookmarkEnd w:id="433"/>
    <w:bookmarkEnd w:id="434"/>
    <w:p>
      <w:pPr>
        <w:spacing w:line="360" w:lineRule="auto"/>
        <w:rPr>
          <w:rFonts w:ascii="仿宋" w:hAnsi="仿宋" w:eastAsia="仿宋"/>
          <w:b/>
          <w:color w:val="auto"/>
          <w:spacing w:val="6"/>
          <w:sz w:val="30"/>
          <w:szCs w:val="30"/>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单位名称（盖章）：</w:t>
      </w: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日  期：</w:t>
      </w:r>
    </w:p>
    <w:p>
      <w:pPr>
        <w:spacing w:line="360" w:lineRule="auto"/>
        <w:ind w:firstLine="480" w:firstLineChars="200"/>
        <w:rPr>
          <w:rFonts w:ascii="仿宋" w:hAnsi="仿宋" w:eastAsia="仿宋" w:cs="仿宋_GB2312"/>
          <w:color w:val="auto"/>
          <w:sz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附件2：质疑函范本及制作说明</w:t>
      </w: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签字(签章)：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2.质疑供应商若委托代理人进行质疑的，质疑函应按要求列明“授权代表”的有关内容，并在附件中提交由质疑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附件3：投诉书范本及制作说明</w:t>
      </w:r>
    </w:p>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tabs>
          <w:tab w:val="left" w:pos="6510"/>
        </w:tabs>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法定代表人/主要负责人：</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 xml:space="preserve">  </w:t>
      </w:r>
    </w:p>
    <w:p>
      <w:pPr>
        <w:tabs>
          <w:tab w:val="left" w:pos="6510"/>
        </w:tabs>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被投诉人1：</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包号：</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hint="eastAsia" w:ascii="仿宋" w:hAnsi="仿宋" w:eastAsia="仿宋"/>
          <w:color w:val="auto"/>
          <w:sz w:val="24"/>
          <w:highlight w:val="none"/>
          <w:u w:val="dotted"/>
        </w:rPr>
        <w:t xml:space="preserve">是/否 </w:t>
      </w:r>
      <w:r>
        <w:rPr>
          <w:rFonts w:hint="eastAsia" w:ascii="仿宋" w:hAnsi="仿宋" w:eastAsia="仿宋"/>
          <w:color w:val="auto"/>
          <w:sz w:val="24"/>
          <w:highlight w:val="none"/>
        </w:rPr>
        <w:t>公告期限：</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hint="eastAsia" w:ascii="仿宋" w:hAnsi="仿宋" w:eastAsia="仿宋"/>
          <w:color w:val="auto"/>
          <w:sz w:val="24"/>
          <w:highlight w:val="none"/>
          <w:u w:val="dotted"/>
        </w:rPr>
        <w:t xml:space="preserve">是/否 </w:t>
      </w:r>
      <w:r>
        <w:rPr>
          <w:rFonts w:hint="eastAsia" w:ascii="仿宋" w:hAnsi="仿宋" w:eastAsia="仿宋"/>
          <w:color w:val="auto"/>
          <w:sz w:val="24"/>
          <w:highlight w:val="none"/>
        </w:rPr>
        <w:t>公告期限：</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日,向</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提出质疑，质疑事项为：</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 xml:space="preserve">  </w:t>
      </w:r>
    </w:p>
    <w:p>
      <w:pPr>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采购人/代理机构</w:t>
      </w:r>
      <w:r>
        <w:rPr>
          <w:rFonts w:hint="eastAsia" w:ascii="仿宋" w:hAnsi="仿宋" w:eastAsia="仿宋"/>
          <w:color w:val="auto"/>
          <w:sz w:val="24"/>
          <w:highlight w:val="none"/>
        </w:rPr>
        <w:t>于</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日,就质疑事项作出了答复/没有在法定期限内作出答复。</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 1：</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签字(签章)：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日期：    </w:t>
      </w: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auto"/>
          <w:sz w:val="24"/>
          <w:highlight w:val="none"/>
        </w:rPr>
      </w:pPr>
    </w:p>
    <w:p>
      <w:pPr>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附件4：政府采购节能产品认证证书或证明文件</w:t>
      </w:r>
    </w:p>
    <w:p>
      <w:pPr>
        <w:spacing w:line="360" w:lineRule="auto"/>
        <w:rPr>
          <w:rFonts w:ascii="仿宋" w:hAnsi="仿宋" w:eastAsia="仿宋"/>
          <w:b/>
          <w:bCs/>
          <w:color w:val="auto"/>
          <w:sz w:val="24"/>
          <w:highlight w:val="none"/>
        </w:rPr>
      </w:pPr>
      <w:r>
        <w:rPr>
          <w:rFonts w:hint="eastAsia" w:ascii="仿宋" w:hAnsi="仿宋" w:eastAsia="仿宋"/>
          <w:b/>
          <w:color w:val="auto"/>
          <w:spacing w:val="6"/>
          <w:sz w:val="32"/>
          <w:szCs w:val="32"/>
          <w:highlight w:val="none"/>
        </w:rPr>
        <w:t>（扫描件加盖公章）</w:t>
      </w:r>
    </w:p>
    <w:p>
      <w:pPr>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 xml:space="preserve"> </w:t>
      </w: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附表5：政府采购环境标志产品认证证书或证明文件</w:t>
      </w: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（扫描件加盖公章）</w:t>
      </w:r>
    </w:p>
    <w:p>
      <w:pPr>
        <w:autoSpaceDE w:val="0"/>
        <w:autoSpaceDN w:val="0"/>
        <w:spacing w:line="360" w:lineRule="auto"/>
        <w:ind w:firstLine="4560" w:firstLineChars="1900"/>
        <w:rPr>
          <w:rFonts w:ascii="仿宋" w:hAnsi="仿宋" w:eastAsia="仿宋"/>
          <w:color w:val="auto"/>
          <w:kern w:val="0"/>
          <w:sz w:val="24"/>
          <w:highlight w:val="none"/>
        </w:rPr>
      </w:pPr>
    </w:p>
    <w:p>
      <w:pPr>
        <w:autoSpaceDE w:val="0"/>
        <w:autoSpaceDN w:val="0"/>
        <w:spacing w:line="360" w:lineRule="auto"/>
        <w:ind w:firstLine="4560" w:firstLineChars="1900"/>
        <w:rPr>
          <w:rFonts w:ascii="仿宋" w:hAnsi="仿宋" w:eastAsia="仿宋"/>
          <w:color w:val="auto"/>
          <w:kern w:val="0"/>
          <w:sz w:val="24"/>
          <w:highlight w:val="none"/>
        </w:rPr>
      </w:pPr>
    </w:p>
    <w:p>
      <w:pPr>
        <w:autoSpaceDE w:val="0"/>
        <w:autoSpaceDN w:val="0"/>
        <w:spacing w:line="360" w:lineRule="auto"/>
        <w:ind w:firstLine="4560" w:firstLineChars="1900"/>
        <w:rPr>
          <w:rFonts w:ascii="仿宋" w:hAnsi="仿宋" w:eastAsia="仿宋"/>
          <w:color w:val="auto"/>
          <w:kern w:val="0"/>
          <w:sz w:val="24"/>
          <w:highlight w:val="none"/>
        </w:rPr>
      </w:pPr>
      <w:r>
        <w:rPr>
          <w:rFonts w:hint="eastAsia" w:ascii="仿宋" w:hAnsi="仿宋" w:eastAsia="仿宋"/>
          <w:color w:val="auto"/>
          <w:kern w:val="0"/>
          <w:sz w:val="24"/>
          <w:highlight w:val="none"/>
        </w:rPr>
        <w:t xml:space="preserve">供应商名称（公章）：                                         </w:t>
      </w:r>
    </w:p>
    <w:p>
      <w:pPr>
        <w:spacing w:line="360" w:lineRule="auto"/>
        <w:rPr>
          <w:color w:val="auto"/>
          <w:highlight w:val="none"/>
        </w:rPr>
      </w:pPr>
      <w:r>
        <w:rPr>
          <w:rFonts w:hint="eastAsia" w:ascii="仿宋" w:hAnsi="仿宋" w:eastAsia="仿宋"/>
          <w:color w:val="auto"/>
          <w:kern w:val="0"/>
          <w:sz w:val="24"/>
          <w:highlight w:val="none"/>
        </w:rPr>
        <w:t xml:space="preserve">                                      日期：   年  月   日</w:t>
      </w:r>
    </w:p>
    <w:p>
      <w:pPr>
        <w:pStyle w:val="12"/>
        <w:snapToGrid w:val="0"/>
        <w:spacing w:line="360" w:lineRule="auto"/>
        <w:ind w:firstLine="480" w:firstLineChars="200"/>
        <w:rPr>
          <w:rFonts w:ascii="仿宋" w:hAnsi="仿宋" w:eastAsia="仿宋" w:cs="仿宋"/>
          <w:b w:val="0"/>
          <w:color w:val="auto"/>
          <w:szCs w:val="24"/>
          <w:highlight w:val="none"/>
        </w:rPr>
      </w:pPr>
    </w:p>
    <w:sectPr>
      <w:headerReference r:id="rId14" w:type="default"/>
      <w:footerReference r:id="rId15"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27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27</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38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38</w:t>
                    </w:r>
                    <w:r>
                      <w:fldChar w:fldCharType="end"/>
                    </w:r>
                    <w:r>
                      <w:rPr>
                        <w:rFonts w:hint="eastAsia"/>
                      </w:rPr>
                      <w:t xml:space="preserve"> 页</w:t>
                    </w:r>
                  </w:p>
                </w:txbxContent>
              </v:textbox>
            </v:shape>
          </w:pict>
        </mc:Fallback>
      </mc:AlternateContent>
    </w:r>
  </w:p>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40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40</w:t>
                    </w:r>
                    <w:r>
                      <w:fldChar w:fldCharType="end"/>
                    </w:r>
                    <w:r>
                      <w:rPr>
                        <w:rFonts w:hint="eastAsia"/>
                      </w:rP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8"/>
      </w:rPr>
    </w:pPr>
    <w:r>
      <w:fldChar w:fldCharType="begin"/>
    </w:r>
    <w:r>
      <w:rPr>
        <w:rStyle w:val="18"/>
      </w:rPr>
      <w:instrText xml:space="preserve">PAGE  </w:instrText>
    </w:r>
    <w:r>
      <w:fldChar w:fldCharType="end"/>
    </w:r>
  </w:p>
  <w:p>
    <w:pPr>
      <w:pStyle w:val="9"/>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76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76</w:t>
                    </w:r>
                    <w:r>
                      <w:fldChar w:fldCharType="end"/>
                    </w:r>
                    <w:r>
                      <w:rPr>
                        <w:rFonts w:hint="eastAsia"/>
                      </w:rP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right"/>
      <w:rPr>
        <w:rFonts w:ascii="仿宋" w:hAnsi="仿宋" w:eastAsia="仿宋" w:cs="仿宋"/>
        <w:i/>
        <w:iCs/>
      </w:rPr>
    </w:pPr>
  </w:p>
  <w:p>
    <w:pPr>
      <w:pStyle w:val="10"/>
      <w:pBdr>
        <w:bottom w:val="single" w:color="auto" w:sz="4" w:space="1"/>
      </w:pBdr>
      <w:jc w:val="right"/>
      <w:rPr>
        <w:rFonts w:ascii="仿宋" w:hAnsi="仿宋" w:eastAsia="仿宋" w:cs="仿宋"/>
        <w:i/>
        <w:iCs/>
      </w:rPr>
    </w:pPr>
    <w:r>
      <w:rPr>
        <w:rFonts w:hint="eastAsia" w:ascii="仿宋" w:hAnsi="仿宋" w:eastAsia="仿宋" w:cs="仿宋"/>
        <w:i/>
        <w:iCs/>
      </w:rPr>
      <w:t>钱塘新区政府采购招标文件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279"/>
        <w:tab w:val="clear" w:pos="8306"/>
      </w:tabs>
      <w:jc w:val="right"/>
    </w:pPr>
    <w:r>
      <w:rPr>
        <w:rFonts w:hint="eastAsia"/>
        <w:lang w:val="zh-CN"/>
      </w:rPr>
      <w:t xml:space="preserve"> </w:t>
    </w:r>
    <w:r>
      <w:tab/>
    </w:r>
    <w:r>
      <w:rPr>
        <w:rFonts w:hint="eastAsia"/>
        <w:lang w:val="zh-CN"/>
      </w:rPr>
      <w:t xml:space="preserve"> </w:t>
    </w:r>
    <w:r>
      <w:tab/>
    </w:r>
  </w:p>
  <w:p>
    <w:pPr>
      <w:pStyle w:val="10"/>
      <w:pBdr>
        <w:bottom w:val="single" w:color="auto" w:sz="4" w:space="1"/>
      </w:pBdr>
      <w:tabs>
        <w:tab w:val="right" w:pos="8279"/>
        <w:tab w:val="clear" w:pos="8306"/>
      </w:tabs>
      <w:jc w:val="right"/>
    </w:pPr>
    <w:r>
      <w:rPr>
        <w:rFonts w:hint="eastAsia" w:eastAsia="仿宋_GB2312"/>
        <w:i/>
      </w:rPr>
      <w:t>钱塘新区政府采购招标文件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right"/>
      <w:rPr>
        <w:rFonts w:ascii="仿宋_GB2312" w:eastAsia="仿宋_GB2312"/>
        <w:b/>
        <w:i/>
        <w:u w:val="single"/>
      </w:rPr>
    </w:pPr>
    <w:r>
      <w:t></w:t>
    </w:r>
    <w:r>
      <w:rPr>
        <w:rFonts w:hint="eastAsia" w:eastAsia="仿宋_GB2312"/>
        <w:i/>
      </w:rPr>
      <w:t>钱塘新区政府采购招标文件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right"/>
      <w:rPr>
        <w:rFonts w:eastAsia="仿宋_GB2312"/>
        <w:i/>
      </w:rPr>
    </w:pPr>
    <w:r>
      <w:t></w:t>
    </w:r>
    <w:r>
      <w:rPr>
        <w:rFonts w:hint="eastAsia" w:eastAsia="仿宋_GB2312"/>
        <w:i/>
      </w:rPr>
      <w:t>钱塘新区政府采购公开招标文件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p>
    <w:pPr>
      <w:pStyle w:val="10"/>
      <w:pBdr>
        <w:bottom w:val="single" w:color="auto" w:sz="4" w:space="1"/>
      </w:pBdr>
      <w:jc w:val="right"/>
      <w:rPr>
        <w:rFonts w:ascii="仿宋_GB2312" w:eastAsia="仿宋_GB2312"/>
        <w:b/>
        <w:i/>
        <w:u w:val="single"/>
      </w:rPr>
    </w:pPr>
    <w:r>
      <w:rPr>
        <w:rFonts w:hint="eastAsia" w:eastAsia="仿宋_GB2312"/>
        <w:i/>
      </w:rPr>
      <w:t>钱塘新区政府采购招标文件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44F8D"/>
    <w:multiLevelType w:val="singleLevel"/>
    <w:tmpl w:val="A7544F8D"/>
    <w:lvl w:ilvl="0" w:tentative="0">
      <w:start w:val="3"/>
      <w:numFmt w:val="chineseCounting"/>
      <w:suff w:val="space"/>
      <w:lvlText w:val="第%1部分"/>
      <w:lvlJc w:val="left"/>
      <w:rPr>
        <w:rFonts w:hint="eastAsia"/>
      </w:rPr>
    </w:lvl>
  </w:abstractNum>
  <w:abstractNum w:abstractNumId="1">
    <w:nsid w:val="B41E3430"/>
    <w:multiLevelType w:val="singleLevel"/>
    <w:tmpl w:val="B41E3430"/>
    <w:lvl w:ilvl="0" w:tentative="0">
      <w:start w:val="1"/>
      <w:numFmt w:val="chineseCounting"/>
      <w:lvlText w:val="第%1条"/>
      <w:lvlJc w:val="left"/>
      <w:rPr>
        <w:rFonts w:hint="eastAsia"/>
      </w:rPr>
    </w:lvl>
  </w:abstractNum>
  <w:abstractNum w:abstractNumId="2">
    <w:nsid w:val="FCB56624"/>
    <w:multiLevelType w:val="singleLevel"/>
    <w:tmpl w:val="FCB56624"/>
    <w:lvl w:ilvl="0" w:tentative="0">
      <w:start w:val="2"/>
      <w:numFmt w:val="chineseCounting"/>
      <w:suff w:val="nothing"/>
      <w:lvlText w:val="（%1）"/>
      <w:lvlJc w:val="left"/>
      <w:rPr>
        <w:rFonts w:hint="eastAsia"/>
      </w:rPr>
    </w:lvl>
  </w:abstractNum>
  <w:abstractNum w:abstractNumId="3">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322D85CA"/>
    <w:multiLevelType w:val="multilevel"/>
    <w:tmpl w:val="322D85CA"/>
    <w:lvl w:ilvl="0" w:tentative="0">
      <w:start w:val="1"/>
      <w:numFmt w:val="decimal"/>
      <w:lvlText w:val="（%1）"/>
      <w:lvlJc w:val="left"/>
      <w:pPr>
        <w:ind w:left="1174" w:hanging="526"/>
        <w:jc w:val="left"/>
      </w:pPr>
      <w:rPr>
        <w:rFonts w:hint="default" w:ascii="宋体" w:hAnsi="宋体" w:eastAsia="宋体" w:cs="宋体"/>
        <w:spacing w:val="-1"/>
        <w:w w:val="99"/>
        <w:sz w:val="21"/>
        <w:szCs w:val="21"/>
      </w:rPr>
    </w:lvl>
    <w:lvl w:ilvl="1" w:tentative="0">
      <w:start w:val="0"/>
      <w:numFmt w:val="bullet"/>
      <w:lvlText w:val="•"/>
      <w:lvlJc w:val="left"/>
      <w:pPr>
        <w:ind w:left="2048" w:hanging="526"/>
      </w:pPr>
      <w:rPr>
        <w:rFonts w:hint="default"/>
      </w:rPr>
    </w:lvl>
    <w:lvl w:ilvl="2" w:tentative="0">
      <w:start w:val="0"/>
      <w:numFmt w:val="bullet"/>
      <w:lvlText w:val="•"/>
      <w:lvlJc w:val="left"/>
      <w:pPr>
        <w:ind w:left="2917" w:hanging="526"/>
      </w:pPr>
      <w:rPr>
        <w:rFonts w:hint="default"/>
      </w:rPr>
    </w:lvl>
    <w:lvl w:ilvl="3" w:tentative="0">
      <w:start w:val="0"/>
      <w:numFmt w:val="bullet"/>
      <w:lvlText w:val="•"/>
      <w:lvlJc w:val="left"/>
      <w:pPr>
        <w:ind w:left="3785" w:hanging="526"/>
      </w:pPr>
      <w:rPr>
        <w:rFonts w:hint="default"/>
      </w:rPr>
    </w:lvl>
    <w:lvl w:ilvl="4" w:tentative="0">
      <w:start w:val="0"/>
      <w:numFmt w:val="bullet"/>
      <w:lvlText w:val="•"/>
      <w:lvlJc w:val="left"/>
      <w:pPr>
        <w:ind w:left="4654" w:hanging="526"/>
      </w:pPr>
      <w:rPr>
        <w:rFonts w:hint="default"/>
      </w:rPr>
    </w:lvl>
    <w:lvl w:ilvl="5" w:tentative="0">
      <w:start w:val="0"/>
      <w:numFmt w:val="bullet"/>
      <w:lvlText w:val="•"/>
      <w:lvlJc w:val="left"/>
      <w:pPr>
        <w:ind w:left="5523" w:hanging="526"/>
      </w:pPr>
      <w:rPr>
        <w:rFonts w:hint="default"/>
      </w:rPr>
    </w:lvl>
    <w:lvl w:ilvl="6" w:tentative="0">
      <w:start w:val="0"/>
      <w:numFmt w:val="bullet"/>
      <w:lvlText w:val="•"/>
      <w:lvlJc w:val="left"/>
      <w:pPr>
        <w:ind w:left="6391" w:hanging="526"/>
      </w:pPr>
      <w:rPr>
        <w:rFonts w:hint="default"/>
      </w:rPr>
    </w:lvl>
    <w:lvl w:ilvl="7" w:tentative="0">
      <w:start w:val="0"/>
      <w:numFmt w:val="bullet"/>
      <w:lvlText w:val="•"/>
      <w:lvlJc w:val="left"/>
      <w:pPr>
        <w:ind w:left="7260" w:hanging="526"/>
      </w:pPr>
      <w:rPr>
        <w:rFonts w:hint="default"/>
      </w:rPr>
    </w:lvl>
    <w:lvl w:ilvl="8" w:tentative="0">
      <w:start w:val="0"/>
      <w:numFmt w:val="bullet"/>
      <w:lvlText w:val="•"/>
      <w:lvlJc w:val="left"/>
      <w:pPr>
        <w:ind w:left="8128" w:hanging="526"/>
      </w:pPr>
      <w:rPr>
        <w:rFonts w:hint="default"/>
      </w:rPr>
    </w:lvl>
  </w:abstractNum>
  <w:abstractNum w:abstractNumId="6">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C3D7A74"/>
    <w:multiLevelType w:val="multilevel"/>
    <w:tmpl w:val="4C3D7A74"/>
    <w:lvl w:ilvl="0" w:tentative="0">
      <w:start w:val="1"/>
      <w:numFmt w:val="decimal"/>
      <w:lvlText w:val="（%1）"/>
      <w:lvlJc w:val="left"/>
      <w:pPr>
        <w:ind w:left="1173" w:hanging="525"/>
        <w:jc w:val="left"/>
      </w:pPr>
      <w:rPr>
        <w:rFonts w:hint="default" w:ascii="宋体" w:hAnsi="宋体" w:eastAsia="宋体" w:cs="宋体"/>
        <w:spacing w:val="-1"/>
        <w:w w:val="99"/>
        <w:sz w:val="21"/>
        <w:szCs w:val="21"/>
      </w:rPr>
    </w:lvl>
    <w:lvl w:ilvl="1" w:tentative="0">
      <w:start w:val="0"/>
      <w:numFmt w:val="bullet"/>
      <w:lvlText w:val="•"/>
      <w:lvlJc w:val="left"/>
      <w:pPr>
        <w:ind w:left="2048" w:hanging="525"/>
      </w:pPr>
      <w:rPr>
        <w:rFonts w:hint="default"/>
      </w:rPr>
    </w:lvl>
    <w:lvl w:ilvl="2" w:tentative="0">
      <w:start w:val="0"/>
      <w:numFmt w:val="bullet"/>
      <w:lvlText w:val="•"/>
      <w:lvlJc w:val="left"/>
      <w:pPr>
        <w:ind w:left="2917" w:hanging="525"/>
      </w:pPr>
      <w:rPr>
        <w:rFonts w:hint="default"/>
      </w:rPr>
    </w:lvl>
    <w:lvl w:ilvl="3" w:tentative="0">
      <w:start w:val="0"/>
      <w:numFmt w:val="bullet"/>
      <w:lvlText w:val="•"/>
      <w:lvlJc w:val="left"/>
      <w:pPr>
        <w:ind w:left="3785" w:hanging="525"/>
      </w:pPr>
      <w:rPr>
        <w:rFonts w:hint="default"/>
      </w:rPr>
    </w:lvl>
    <w:lvl w:ilvl="4" w:tentative="0">
      <w:start w:val="0"/>
      <w:numFmt w:val="bullet"/>
      <w:lvlText w:val="•"/>
      <w:lvlJc w:val="left"/>
      <w:pPr>
        <w:ind w:left="4654" w:hanging="525"/>
      </w:pPr>
      <w:rPr>
        <w:rFonts w:hint="default"/>
      </w:rPr>
    </w:lvl>
    <w:lvl w:ilvl="5" w:tentative="0">
      <w:start w:val="0"/>
      <w:numFmt w:val="bullet"/>
      <w:lvlText w:val="•"/>
      <w:lvlJc w:val="left"/>
      <w:pPr>
        <w:ind w:left="5523" w:hanging="525"/>
      </w:pPr>
      <w:rPr>
        <w:rFonts w:hint="default"/>
      </w:rPr>
    </w:lvl>
    <w:lvl w:ilvl="6" w:tentative="0">
      <w:start w:val="0"/>
      <w:numFmt w:val="bullet"/>
      <w:lvlText w:val="•"/>
      <w:lvlJc w:val="left"/>
      <w:pPr>
        <w:ind w:left="6391" w:hanging="525"/>
      </w:pPr>
      <w:rPr>
        <w:rFonts w:hint="default"/>
      </w:rPr>
    </w:lvl>
    <w:lvl w:ilvl="7" w:tentative="0">
      <w:start w:val="0"/>
      <w:numFmt w:val="bullet"/>
      <w:lvlText w:val="•"/>
      <w:lvlJc w:val="left"/>
      <w:pPr>
        <w:ind w:left="7260" w:hanging="525"/>
      </w:pPr>
      <w:rPr>
        <w:rFonts w:hint="default"/>
      </w:rPr>
    </w:lvl>
    <w:lvl w:ilvl="8" w:tentative="0">
      <w:start w:val="0"/>
      <w:numFmt w:val="bullet"/>
      <w:lvlText w:val="•"/>
      <w:lvlJc w:val="left"/>
      <w:pPr>
        <w:ind w:left="8128" w:hanging="525"/>
      </w:pPr>
      <w:rPr>
        <w:rFonts w:hint="default"/>
      </w:rPr>
    </w:lvl>
  </w:abstractNum>
  <w:abstractNum w:abstractNumId="8">
    <w:nsid w:val="65CD0074"/>
    <w:multiLevelType w:val="multilevel"/>
    <w:tmpl w:val="65CD0074"/>
    <w:lvl w:ilvl="0" w:tentative="0">
      <w:start w:val="1"/>
      <w:numFmt w:val="decimal"/>
      <w:lvlText w:val="（%1）"/>
      <w:lvlJc w:val="left"/>
      <w:pPr>
        <w:ind w:left="1173" w:hanging="525"/>
        <w:jc w:val="left"/>
      </w:pPr>
      <w:rPr>
        <w:rFonts w:hint="default" w:ascii="宋体" w:hAnsi="宋体" w:eastAsia="宋体" w:cs="宋体"/>
        <w:spacing w:val="-1"/>
        <w:w w:val="99"/>
        <w:sz w:val="21"/>
        <w:szCs w:val="21"/>
      </w:rPr>
    </w:lvl>
    <w:lvl w:ilvl="1" w:tentative="0">
      <w:start w:val="0"/>
      <w:numFmt w:val="bullet"/>
      <w:lvlText w:val="•"/>
      <w:lvlJc w:val="left"/>
      <w:pPr>
        <w:ind w:left="2048" w:hanging="525"/>
      </w:pPr>
      <w:rPr>
        <w:rFonts w:hint="default"/>
      </w:rPr>
    </w:lvl>
    <w:lvl w:ilvl="2" w:tentative="0">
      <w:start w:val="0"/>
      <w:numFmt w:val="bullet"/>
      <w:lvlText w:val="•"/>
      <w:lvlJc w:val="left"/>
      <w:pPr>
        <w:ind w:left="2917" w:hanging="525"/>
      </w:pPr>
      <w:rPr>
        <w:rFonts w:hint="default"/>
      </w:rPr>
    </w:lvl>
    <w:lvl w:ilvl="3" w:tentative="0">
      <w:start w:val="0"/>
      <w:numFmt w:val="bullet"/>
      <w:lvlText w:val="•"/>
      <w:lvlJc w:val="left"/>
      <w:pPr>
        <w:ind w:left="3785" w:hanging="525"/>
      </w:pPr>
      <w:rPr>
        <w:rFonts w:hint="default"/>
      </w:rPr>
    </w:lvl>
    <w:lvl w:ilvl="4" w:tentative="0">
      <w:start w:val="0"/>
      <w:numFmt w:val="bullet"/>
      <w:lvlText w:val="•"/>
      <w:lvlJc w:val="left"/>
      <w:pPr>
        <w:ind w:left="4654" w:hanging="525"/>
      </w:pPr>
      <w:rPr>
        <w:rFonts w:hint="default"/>
      </w:rPr>
    </w:lvl>
    <w:lvl w:ilvl="5" w:tentative="0">
      <w:start w:val="0"/>
      <w:numFmt w:val="bullet"/>
      <w:lvlText w:val="•"/>
      <w:lvlJc w:val="left"/>
      <w:pPr>
        <w:ind w:left="5523" w:hanging="525"/>
      </w:pPr>
      <w:rPr>
        <w:rFonts w:hint="default"/>
      </w:rPr>
    </w:lvl>
    <w:lvl w:ilvl="6" w:tentative="0">
      <w:start w:val="0"/>
      <w:numFmt w:val="bullet"/>
      <w:lvlText w:val="•"/>
      <w:lvlJc w:val="left"/>
      <w:pPr>
        <w:ind w:left="6391" w:hanging="525"/>
      </w:pPr>
      <w:rPr>
        <w:rFonts w:hint="default"/>
      </w:rPr>
    </w:lvl>
    <w:lvl w:ilvl="7" w:tentative="0">
      <w:start w:val="0"/>
      <w:numFmt w:val="bullet"/>
      <w:lvlText w:val="•"/>
      <w:lvlJc w:val="left"/>
      <w:pPr>
        <w:ind w:left="7260" w:hanging="525"/>
      </w:pPr>
      <w:rPr>
        <w:rFonts w:hint="default"/>
      </w:rPr>
    </w:lvl>
    <w:lvl w:ilvl="8" w:tentative="0">
      <w:start w:val="0"/>
      <w:numFmt w:val="bullet"/>
      <w:lvlText w:val="•"/>
      <w:lvlJc w:val="left"/>
      <w:pPr>
        <w:ind w:left="8128" w:hanging="525"/>
      </w:pPr>
      <w:rPr>
        <w:rFonts w:hint="default"/>
      </w:r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585"/>
    <w:rsid w:val="000820AF"/>
    <w:rsid w:val="000850A6"/>
    <w:rsid w:val="00103C31"/>
    <w:rsid w:val="0018557F"/>
    <w:rsid w:val="001A2802"/>
    <w:rsid w:val="001C7091"/>
    <w:rsid w:val="001C7AC6"/>
    <w:rsid w:val="001E3660"/>
    <w:rsid w:val="00204016"/>
    <w:rsid w:val="00216675"/>
    <w:rsid w:val="00262D2E"/>
    <w:rsid w:val="00281597"/>
    <w:rsid w:val="00285521"/>
    <w:rsid w:val="002B731F"/>
    <w:rsid w:val="002C157E"/>
    <w:rsid w:val="002D6881"/>
    <w:rsid w:val="00357FE7"/>
    <w:rsid w:val="003813E8"/>
    <w:rsid w:val="003B3BBF"/>
    <w:rsid w:val="0044000A"/>
    <w:rsid w:val="004436EB"/>
    <w:rsid w:val="00453A8E"/>
    <w:rsid w:val="004602E6"/>
    <w:rsid w:val="004C614D"/>
    <w:rsid w:val="00516F65"/>
    <w:rsid w:val="00521DFD"/>
    <w:rsid w:val="00554A84"/>
    <w:rsid w:val="00567DDC"/>
    <w:rsid w:val="005E04EE"/>
    <w:rsid w:val="00621824"/>
    <w:rsid w:val="006936F2"/>
    <w:rsid w:val="006A3212"/>
    <w:rsid w:val="006A3DF4"/>
    <w:rsid w:val="006D5256"/>
    <w:rsid w:val="00721EF0"/>
    <w:rsid w:val="00722C0C"/>
    <w:rsid w:val="007460F3"/>
    <w:rsid w:val="0079040A"/>
    <w:rsid w:val="007B0ABD"/>
    <w:rsid w:val="007D37CA"/>
    <w:rsid w:val="007E6718"/>
    <w:rsid w:val="007F02A2"/>
    <w:rsid w:val="00832D2D"/>
    <w:rsid w:val="00871F6B"/>
    <w:rsid w:val="008A7C2A"/>
    <w:rsid w:val="008B09CC"/>
    <w:rsid w:val="008E5A02"/>
    <w:rsid w:val="009147E4"/>
    <w:rsid w:val="00936F05"/>
    <w:rsid w:val="009B5EF5"/>
    <w:rsid w:val="009D0909"/>
    <w:rsid w:val="009F068D"/>
    <w:rsid w:val="009F2930"/>
    <w:rsid w:val="00A01929"/>
    <w:rsid w:val="00A252AA"/>
    <w:rsid w:val="00A322BD"/>
    <w:rsid w:val="00A55BDF"/>
    <w:rsid w:val="00A836FC"/>
    <w:rsid w:val="00AB21F3"/>
    <w:rsid w:val="00AB3CE6"/>
    <w:rsid w:val="00AD426E"/>
    <w:rsid w:val="00AE4516"/>
    <w:rsid w:val="00B15120"/>
    <w:rsid w:val="00B775C4"/>
    <w:rsid w:val="00B815FF"/>
    <w:rsid w:val="00BE6726"/>
    <w:rsid w:val="00C2301B"/>
    <w:rsid w:val="00C32414"/>
    <w:rsid w:val="00C45C33"/>
    <w:rsid w:val="00C74482"/>
    <w:rsid w:val="00C80262"/>
    <w:rsid w:val="00CB6F33"/>
    <w:rsid w:val="00D424C4"/>
    <w:rsid w:val="00D52298"/>
    <w:rsid w:val="00D62F3B"/>
    <w:rsid w:val="00D65F59"/>
    <w:rsid w:val="00DA1E3B"/>
    <w:rsid w:val="00DC22BB"/>
    <w:rsid w:val="00DD08A6"/>
    <w:rsid w:val="00DD4F65"/>
    <w:rsid w:val="00DD5381"/>
    <w:rsid w:val="00DE5FC2"/>
    <w:rsid w:val="00DF1576"/>
    <w:rsid w:val="00E3289E"/>
    <w:rsid w:val="00E6356D"/>
    <w:rsid w:val="00E63726"/>
    <w:rsid w:val="00EA3E05"/>
    <w:rsid w:val="00EB7652"/>
    <w:rsid w:val="00EE771A"/>
    <w:rsid w:val="00EF2B67"/>
    <w:rsid w:val="00F03676"/>
    <w:rsid w:val="00FA3163"/>
    <w:rsid w:val="00FD3C05"/>
    <w:rsid w:val="00FE63B5"/>
    <w:rsid w:val="028F1163"/>
    <w:rsid w:val="030C45C1"/>
    <w:rsid w:val="03406806"/>
    <w:rsid w:val="03B73286"/>
    <w:rsid w:val="03D44C3B"/>
    <w:rsid w:val="04217B33"/>
    <w:rsid w:val="042641C3"/>
    <w:rsid w:val="04E94F58"/>
    <w:rsid w:val="054C07BF"/>
    <w:rsid w:val="07E15665"/>
    <w:rsid w:val="093D1045"/>
    <w:rsid w:val="09C95EEB"/>
    <w:rsid w:val="0CF82DEB"/>
    <w:rsid w:val="0F736A49"/>
    <w:rsid w:val="13674AC3"/>
    <w:rsid w:val="139820AA"/>
    <w:rsid w:val="13AD6266"/>
    <w:rsid w:val="13D974E5"/>
    <w:rsid w:val="14C74AAC"/>
    <w:rsid w:val="152C6F3D"/>
    <w:rsid w:val="159055FD"/>
    <w:rsid w:val="16F5788F"/>
    <w:rsid w:val="17771FD0"/>
    <w:rsid w:val="17B347EF"/>
    <w:rsid w:val="18D77E24"/>
    <w:rsid w:val="19E4727F"/>
    <w:rsid w:val="1A0B7DD4"/>
    <w:rsid w:val="1B2B468B"/>
    <w:rsid w:val="1C965DCF"/>
    <w:rsid w:val="1DB83ACD"/>
    <w:rsid w:val="1E215F10"/>
    <w:rsid w:val="1EBD33C1"/>
    <w:rsid w:val="1FE91658"/>
    <w:rsid w:val="203E0345"/>
    <w:rsid w:val="20C05AE3"/>
    <w:rsid w:val="211D286D"/>
    <w:rsid w:val="21A22D2D"/>
    <w:rsid w:val="21CF057B"/>
    <w:rsid w:val="21F17746"/>
    <w:rsid w:val="238A41F5"/>
    <w:rsid w:val="247320C2"/>
    <w:rsid w:val="24744432"/>
    <w:rsid w:val="24917481"/>
    <w:rsid w:val="25133E67"/>
    <w:rsid w:val="25934FAC"/>
    <w:rsid w:val="27B81C62"/>
    <w:rsid w:val="27C069FA"/>
    <w:rsid w:val="290A7C05"/>
    <w:rsid w:val="29F71BC6"/>
    <w:rsid w:val="2B900B5C"/>
    <w:rsid w:val="2CD646E3"/>
    <w:rsid w:val="2D1573FE"/>
    <w:rsid w:val="2D8F0037"/>
    <w:rsid w:val="2F50601F"/>
    <w:rsid w:val="2F627AD8"/>
    <w:rsid w:val="308876DF"/>
    <w:rsid w:val="32146A76"/>
    <w:rsid w:val="34F37D20"/>
    <w:rsid w:val="37547D45"/>
    <w:rsid w:val="37732C2C"/>
    <w:rsid w:val="386F1B9A"/>
    <w:rsid w:val="39055980"/>
    <w:rsid w:val="393E4000"/>
    <w:rsid w:val="3A4D1DE1"/>
    <w:rsid w:val="3B3063A2"/>
    <w:rsid w:val="3C1C24AF"/>
    <w:rsid w:val="3D9F69AB"/>
    <w:rsid w:val="3F86101B"/>
    <w:rsid w:val="3FE112E1"/>
    <w:rsid w:val="412E0E80"/>
    <w:rsid w:val="432836D5"/>
    <w:rsid w:val="457B36D2"/>
    <w:rsid w:val="45BC1C23"/>
    <w:rsid w:val="477E493B"/>
    <w:rsid w:val="49D61562"/>
    <w:rsid w:val="49EC5B2C"/>
    <w:rsid w:val="4A0B0402"/>
    <w:rsid w:val="4A3D7041"/>
    <w:rsid w:val="4BF6210B"/>
    <w:rsid w:val="4C227A9B"/>
    <w:rsid w:val="4C63251D"/>
    <w:rsid w:val="4EE24F8E"/>
    <w:rsid w:val="4F152E12"/>
    <w:rsid w:val="501055FD"/>
    <w:rsid w:val="503D0642"/>
    <w:rsid w:val="50B91554"/>
    <w:rsid w:val="51013CBA"/>
    <w:rsid w:val="512C0D4C"/>
    <w:rsid w:val="51A62CB4"/>
    <w:rsid w:val="52BD3FF3"/>
    <w:rsid w:val="55760388"/>
    <w:rsid w:val="55B23D90"/>
    <w:rsid w:val="594531BF"/>
    <w:rsid w:val="5A3D7417"/>
    <w:rsid w:val="5B1C1BFB"/>
    <w:rsid w:val="5B6F5AA8"/>
    <w:rsid w:val="5C987E6C"/>
    <w:rsid w:val="5CB321FD"/>
    <w:rsid w:val="5DF1064B"/>
    <w:rsid w:val="613E519B"/>
    <w:rsid w:val="619968F8"/>
    <w:rsid w:val="61CB211A"/>
    <w:rsid w:val="622226FE"/>
    <w:rsid w:val="63271FFC"/>
    <w:rsid w:val="633A381A"/>
    <w:rsid w:val="644F684D"/>
    <w:rsid w:val="67282DFB"/>
    <w:rsid w:val="677527B6"/>
    <w:rsid w:val="67794983"/>
    <w:rsid w:val="67A07457"/>
    <w:rsid w:val="68D9118E"/>
    <w:rsid w:val="699D2DE6"/>
    <w:rsid w:val="69C53FBC"/>
    <w:rsid w:val="69E778A9"/>
    <w:rsid w:val="6A3428BD"/>
    <w:rsid w:val="6C316674"/>
    <w:rsid w:val="6CC15D3F"/>
    <w:rsid w:val="6CFE0694"/>
    <w:rsid w:val="6DDB5E75"/>
    <w:rsid w:val="6E9E4CD2"/>
    <w:rsid w:val="6FAA08DD"/>
    <w:rsid w:val="728A2A05"/>
    <w:rsid w:val="73F35BC7"/>
    <w:rsid w:val="75932EBC"/>
    <w:rsid w:val="76537AA4"/>
    <w:rsid w:val="767C6C5C"/>
    <w:rsid w:val="768A3AD2"/>
    <w:rsid w:val="777F2584"/>
    <w:rsid w:val="77FC7352"/>
    <w:rsid w:val="78525851"/>
    <w:rsid w:val="78644947"/>
    <w:rsid w:val="78B62B82"/>
    <w:rsid w:val="79737186"/>
    <w:rsid w:val="797B2409"/>
    <w:rsid w:val="7AE82C5A"/>
    <w:rsid w:val="7B2026D9"/>
    <w:rsid w:val="7C0E06C1"/>
    <w:rsid w:val="7D3E257A"/>
    <w:rsid w:val="7DAF1C99"/>
    <w:rsid w:val="7FCF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annotation text"/>
    <w:basedOn w:val="1"/>
    <w:qFormat/>
    <w:uiPriority w:val="0"/>
    <w:pPr>
      <w:jc w:val="left"/>
    </w:pPr>
  </w:style>
  <w:style w:type="paragraph" w:styleId="6">
    <w:name w:val="Body Text"/>
    <w:basedOn w:val="1"/>
    <w:link w:val="36"/>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Indent"/>
    <w:basedOn w:val="1"/>
    <w:qFormat/>
    <w:uiPriority w:val="0"/>
    <w:pPr>
      <w:spacing w:line="480" w:lineRule="exact"/>
      <w:ind w:firstLine="480" w:firstLineChars="200"/>
    </w:pPr>
    <w:rPr>
      <w:rFonts w:ascii="宋体" w:hAnsi="宋体"/>
      <w:sz w:val="24"/>
    </w:rPr>
  </w:style>
  <w:style w:type="paragraph" w:styleId="8">
    <w:name w:val="Plain Text"/>
    <w:basedOn w:val="1"/>
    <w:link w:val="37"/>
    <w:qFormat/>
    <w:uiPriority w:val="0"/>
    <w:rPr>
      <w:rFonts w:ascii="宋体" w:hAnsi="Courier New"/>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widowControl/>
      <w:spacing w:beforeAutospacing="1" w:afterAutospacing="1"/>
      <w:ind w:firstLine="420"/>
      <w:jc w:val="left"/>
    </w:pPr>
    <w:rPr>
      <w:rFonts w:ascii="宋体" w:hAnsi="宋体"/>
      <w:kern w:val="0"/>
      <w:sz w:val="20"/>
      <w:szCs w:val="20"/>
    </w:rPr>
  </w:style>
  <w:style w:type="paragraph" w:styleId="12">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13">
    <w:name w:val="Body Text First Indent"/>
    <w:basedOn w:val="6"/>
    <w:qFormat/>
    <w:uiPriority w:val="0"/>
    <w:pPr>
      <w:ind w:firstLine="420"/>
    </w:pPr>
    <w:rPr>
      <w:rFonts w:hAnsi="Times New Roman" w:cs="Times New Roman"/>
      <w:snapToGrid/>
      <w:szCs w:val="20"/>
    </w:rPr>
  </w:style>
  <w:style w:type="paragraph" w:styleId="14">
    <w:name w:val="Body Text First Indent 2"/>
    <w:basedOn w:val="1"/>
    <w:unhideWhenUsed/>
    <w:qFormat/>
    <w:uiPriority w:val="0"/>
    <w:pPr>
      <w:ind w:firstLine="420" w:firstLineChars="200"/>
    </w:pPr>
  </w:style>
  <w:style w:type="table" w:styleId="16">
    <w:name w:val="Table Grid"/>
    <w:basedOn w:val="1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paragraph" w:styleId="21">
    <w:name w:val="List Paragraph"/>
    <w:basedOn w:val="1"/>
    <w:qFormat/>
    <w:uiPriority w:val="34"/>
    <w:pPr>
      <w:ind w:firstLine="420" w:firstLineChars="200"/>
    </w:pPr>
  </w:style>
  <w:style w:type="paragraph" w:customStyle="1" w:styleId="22">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2"/>
    <w:basedOn w:val="1"/>
    <w:qFormat/>
    <w:uiPriority w:val="0"/>
    <w:pPr>
      <w:spacing w:line="360" w:lineRule="auto"/>
      <w:ind w:firstLine="510" w:firstLineChars="200"/>
    </w:pPr>
    <w:rPr>
      <w:sz w:val="24"/>
      <w:szCs w:val="20"/>
    </w:rPr>
  </w:style>
  <w:style w:type="paragraph" w:customStyle="1" w:styleId="2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
    <w:name w:val="正文缩进1"/>
    <w:basedOn w:val="1"/>
    <w:next w:val="7"/>
    <w:qFormat/>
    <w:uiPriority w:val="0"/>
    <w:pPr>
      <w:autoSpaceDE w:val="0"/>
      <w:autoSpaceDN w:val="0"/>
      <w:adjustRightInd w:val="0"/>
      <w:snapToGrid w:val="0"/>
      <w:spacing w:line="360" w:lineRule="auto"/>
      <w:ind w:left="420" w:leftChars="200" w:firstLine="480" w:firstLineChars="200"/>
    </w:pPr>
    <w:rPr>
      <w:sz w:val="24"/>
      <w:szCs w:val="21"/>
    </w:rPr>
  </w:style>
  <w:style w:type="paragraph" w:customStyle="1" w:styleId="26">
    <w:name w:val="索引 11"/>
    <w:basedOn w:val="1"/>
    <w:next w:val="1"/>
    <w:qFormat/>
    <w:uiPriority w:val="0"/>
    <w:pPr>
      <w:spacing w:line="360" w:lineRule="auto"/>
    </w:pPr>
    <w:rPr>
      <w:rFonts w:ascii="仿宋_GB2312" w:eastAsia="仿宋_GB2312"/>
      <w:sz w:val="24"/>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列出段落1"/>
    <w:basedOn w:val="1"/>
    <w:qFormat/>
    <w:uiPriority w:val="34"/>
    <w:pPr>
      <w:spacing w:line="360" w:lineRule="auto"/>
      <w:ind w:firstLine="420" w:firstLineChars="200"/>
    </w:pPr>
    <w:rPr>
      <w:rFonts w:ascii="Calibri" w:hAnsi="Calibri"/>
      <w:sz w:val="24"/>
      <w:szCs w:val="22"/>
    </w:rPr>
  </w:style>
  <w:style w:type="paragraph" w:customStyle="1" w:styleId="3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32">
    <w:name w:val="纯文本1"/>
    <w:basedOn w:val="1"/>
    <w:qFormat/>
    <w:uiPriority w:val="0"/>
    <w:rPr>
      <w:rFonts w:ascii="宋体" w:hAnsi="Courier New"/>
      <w:kern w:val="0"/>
      <w:sz w:val="20"/>
      <w:szCs w:val="20"/>
    </w:rPr>
  </w:style>
  <w:style w:type="paragraph" w:customStyle="1" w:styleId="33">
    <w:name w:val="正文 New New New New"/>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34">
    <w:name w:val="_Style 3"/>
    <w:qFormat/>
    <w:uiPriority w:val="99"/>
    <w:rPr>
      <w:rFonts w:ascii="Calibri" w:hAnsi="Calibri" w:eastAsia="宋体" w:cs="Calibri"/>
      <w:sz w:val="22"/>
      <w:szCs w:val="22"/>
      <w:lang w:val="en-US" w:eastAsia="zh-CN" w:bidi="ar-SA"/>
    </w:rPr>
  </w:style>
  <w:style w:type="paragraph" w:customStyle="1" w:styleId="35">
    <w:name w:val="List Paragraph1"/>
    <w:basedOn w:val="1"/>
    <w:qFormat/>
    <w:uiPriority w:val="99"/>
    <w:pPr>
      <w:ind w:firstLine="420" w:firstLineChars="200"/>
    </w:pPr>
  </w:style>
  <w:style w:type="character" w:customStyle="1" w:styleId="36">
    <w:name w:val="正文文本 Char"/>
    <w:basedOn w:val="17"/>
    <w:link w:val="6"/>
    <w:qFormat/>
    <w:uiPriority w:val="99"/>
    <w:rPr>
      <w:rFonts w:ascii="宋体" w:hAnsi="Arial" w:cs="Arial" w:eastAsiaTheme="minorEastAsia"/>
      <w:snapToGrid w:val="0"/>
      <w:kern w:val="2"/>
      <w:sz w:val="24"/>
      <w:szCs w:val="21"/>
      <w:lang w:val="zh-CN"/>
    </w:rPr>
  </w:style>
  <w:style w:type="character" w:customStyle="1" w:styleId="37">
    <w:name w:val="纯文本 Char"/>
    <w:link w:val="8"/>
    <w:qFormat/>
    <w:uiPriority w:val="0"/>
    <w:rPr>
      <w:rFonts w:ascii="宋体" w:hAnsi="Courier New" w:eastAsiaTheme="minorEastAsia" w:cstheme="minorBidi"/>
      <w:kern w:val="2"/>
      <w:sz w:val="21"/>
      <w:szCs w:val="22"/>
    </w:rPr>
  </w:style>
  <w:style w:type="character" w:customStyle="1" w:styleId="38">
    <w:name w:val="无"/>
    <w:qFormat/>
    <w:uiPriority w:val="99"/>
  </w:style>
  <w:style w:type="paragraph" w:customStyle="1" w:styleId="39">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2"/>
      <w:szCs w:val="22"/>
      <w:lang w:val="en-US" w:eastAsia="zh-CN" w:bidi="ar"/>
    </w:rPr>
  </w:style>
  <w:style w:type="character" w:customStyle="1" w:styleId="40">
    <w:name w:val="Hyperlink.1"/>
    <w:qFormat/>
    <w:uiPriority w:val="99"/>
    <w:rPr>
      <w:rFonts w:cs="Times New Roman"/>
      <w:lang w:val="en-US"/>
    </w:rPr>
  </w:style>
  <w:style w:type="paragraph" w:customStyle="1" w:styleId="41">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B9ECA-1F86-4B62-B843-84746B0941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7293</Words>
  <Characters>41572</Characters>
  <Lines>346</Lines>
  <Paragraphs>97</Paragraphs>
  <TotalTime>14</TotalTime>
  <ScaleCrop>false</ScaleCrop>
  <LinksUpToDate>false</LinksUpToDate>
  <CharactersWithSpaces>48768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2020-04-21T07:55:00Z</dcterms:created>
  <dc:creator>Administrator</dc:creator>
  <cp:lastModifiedBy>CMJ</cp:lastModifiedBy>
  <cp:lastPrinted>2021-01-06T09:17:00Z</cp:lastPrinted>
  <dcterms:modified xsi:type="dcterms:W3CDTF">2021-01-15T01:41:54Z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