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B47D4">
      <w:pPr>
        <w:spacing w:line="360" w:lineRule="auto"/>
        <w:jc w:val="center"/>
        <w:rPr>
          <w:rFonts w:hint="eastAsia" w:ascii="宋体" w:hAnsi="宋体" w:eastAsia="宋体" w:cs="宋体"/>
          <w:b/>
          <w:color w:val="auto"/>
          <w:sz w:val="24"/>
          <w:highlight w:val="none"/>
        </w:rPr>
      </w:pPr>
    </w:p>
    <w:p w14:paraId="7ACEBE5C">
      <w:pPr>
        <w:spacing w:line="360" w:lineRule="auto"/>
        <w:jc w:val="center"/>
        <w:rPr>
          <w:rFonts w:hint="eastAsia" w:ascii="宋体" w:hAnsi="宋体" w:eastAsia="宋体" w:cs="宋体"/>
          <w:b/>
          <w:color w:val="auto"/>
          <w:sz w:val="24"/>
          <w:highlight w:val="none"/>
        </w:rPr>
      </w:pPr>
    </w:p>
    <w:p w14:paraId="316480CF">
      <w:pPr>
        <w:adjustRightInd/>
        <w:spacing w:line="360" w:lineRule="auto"/>
        <w:jc w:val="center"/>
        <w:rPr>
          <w:rFonts w:hint="eastAsia" w:ascii="宋体" w:hAnsi="宋体" w:eastAsia="宋体" w:cs="宋体"/>
          <w:b/>
          <w:color w:val="auto"/>
          <w:sz w:val="44"/>
          <w:szCs w:val="44"/>
          <w:highlight w:val="none"/>
        </w:rPr>
      </w:pPr>
    </w:p>
    <w:p w14:paraId="58597297">
      <w:pPr>
        <w:pStyle w:val="62"/>
        <w:rPr>
          <w:rFonts w:hint="eastAsia" w:ascii="宋体" w:hAnsi="宋体" w:eastAsia="宋体" w:cs="宋体"/>
          <w:b/>
          <w:color w:val="auto"/>
          <w:sz w:val="44"/>
          <w:szCs w:val="44"/>
          <w:highlight w:val="none"/>
        </w:rPr>
      </w:pPr>
    </w:p>
    <w:p w14:paraId="4C7A46A1">
      <w:pPr>
        <w:pStyle w:val="62"/>
        <w:rPr>
          <w:rFonts w:hint="eastAsia" w:ascii="宋体" w:hAnsi="宋体" w:eastAsia="宋体" w:cs="宋体"/>
          <w:b/>
          <w:color w:val="auto"/>
          <w:sz w:val="44"/>
          <w:szCs w:val="44"/>
          <w:highlight w:val="none"/>
        </w:rPr>
      </w:pPr>
    </w:p>
    <w:p w14:paraId="7AAD89A0">
      <w:pPr>
        <w:adjustRightInd/>
        <w:spacing w:line="360" w:lineRule="auto"/>
        <w:jc w:val="center"/>
        <w:rPr>
          <w:rFonts w:hint="eastAsia" w:ascii="宋体" w:hAnsi="宋体" w:eastAsia="宋体" w:cs="宋体"/>
          <w:b/>
          <w:color w:val="auto"/>
          <w:sz w:val="44"/>
          <w:szCs w:val="44"/>
          <w:highlight w:val="none"/>
          <w:lang w:eastAsia="zh-CN"/>
        </w:rPr>
      </w:pPr>
      <w:r>
        <w:rPr>
          <w:rFonts w:hint="eastAsia" w:ascii="宋体" w:hAnsi="宋体" w:cs="宋体"/>
          <w:b/>
          <w:color w:val="auto"/>
          <w:sz w:val="44"/>
          <w:szCs w:val="44"/>
          <w:highlight w:val="none"/>
          <w:lang w:eastAsia="zh-CN"/>
        </w:rPr>
        <w:t>杭州临平经济技术开发区空气自动监测站2025年度委托运维项目</w:t>
      </w:r>
    </w:p>
    <w:p w14:paraId="01A9C8E8">
      <w:pPr>
        <w:pStyle w:val="44"/>
        <w:rPr>
          <w:rFonts w:hint="eastAsia" w:ascii="宋体" w:hAnsi="宋体" w:eastAsia="宋体" w:cs="宋体"/>
          <w:color w:val="auto"/>
          <w:highlight w:val="none"/>
          <w:lang w:eastAsia="zh-CN"/>
        </w:rPr>
      </w:pPr>
    </w:p>
    <w:p w14:paraId="73562414">
      <w:pPr>
        <w:rPr>
          <w:rFonts w:hint="eastAsia" w:ascii="宋体" w:hAnsi="宋体" w:eastAsia="宋体" w:cs="宋体"/>
          <w:color w:val="auto"/>
          <w:highlight w:val="none"/>
          <w:lang w:eastAsia="zh-CN"/>
        </w:rPr>
      </w:pPr>
    </w:p>
    <w:p w14:paraId="0AC89E6F">
      <w:pPr>
        <w:pStyle w:val="61"/>
        <w:rPr>
          <w:rFonts w:hint="eastAsia" w:ascii="宋体" w:hAnsi="宋体" w:eastAsia="宋体" w:cs="宋体"/>
          <w:color w:val="auto"/>
          <w:highlight w:val="none"/>
          <w:lang w:eastAsia="zh-CN"/>
        </w:rPr>
      </w:pPr>
    </w:p>
    <w:p w14:paraId="52BFF41A">
      <w:pPr>
        <w:pStyle w:val="61"/>
        <w:rPr>
          <w:rFonts w:hint="eastAsia" w:ascii="宋体" w:hAnsi="宋体" w:eastAsia="宋体" w:cs="宋体"/>
          <w:color w:val="auto"/>
          <w:highlight w:val="none"/>
          <w:lang w:eastAsia="zh-CN"/>
        </w:rPr>
      </w:pPr>
    </w:p>
    <w:p w14:paraId="1D7045A7">
      <w:pPr>
        <w:adjustRightInd/>
        <w:spacing w:line="360" w:lineRule="auto"/>
        <w:jc w:val="center"/>
        <w:rPr>
          <w:rFonts w:hint="eastAsia" w:ascii="宋体" w:hAnsi="宋体" w:eastAsia="宋体" w:cs="宋体"/>
          <w:color w:val="auto"/>
          <w:sz w:val="48"/>
          <w:szCs w:val="48"/>
          <w:highlight w:val="none"/>
        </w:rPr>
      </w:pPr>
      <w:r>
        <w:rPr>
          <w:rFonts w:hint="eastAsia" w:ascii="宋体" w:hAnsi="宋体" w:eastAsia="宋体" w:cs="宋体"/>
          <w:color w:val="auto"/>
          <w:sz w:val="48"/>
          <w:szCs w:val="48"/>
          <w:highlight w:val="none"/>
        </w:rPr>
        <w:t>招标文件</w:t>
      </w:r>
    </w:p>
    <w:p w14:paraId="220D2144">
      <w:pPr>
        <w:adjustRightInd/>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（电子招投标）</w:t>
      </w:r>
    </w:p>
    <w:p w14:paraId="55E99C0F">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eastAsia="宋体" w:cs="宋体"/>
          <w:b/>
          <w:bCs/>
          <w:color w:val="auto"/>
          <w:sz w:val="30"/>
          <w:szCs w:val="30"/>
          <w:highlight w:val="none"/>
        </w:rPr>
        <w:t>编号:</w:t>
      </w:r>
      <w:r>
        <w:rPr>
          <w:rFonts w:hint="eastAsia" w:ascii="宋体" w:hAnsi="宋体" w:cs="宋体"/>
          <w:b/>
          <w:bCs/>
          <w:color w:val="auto"/>
          <w:sz w:val="32"/>
          <w:szCs w:val="32"/>
          <w:highlight w:val="none"/>
          <w:lang w:eastAsia="zh-CN"/>
        </w:rPr>
        <w:t>HBZFCG-2025-025</w:t>
      </w:r>
    </w:p>
    <w:p w14:paraId="015CFD2A">
      <w:pPr>
        <w:spacing w:line="360" w:lineRule="auto"/>
        <w:jc w:val="both"/>
        <w:rPr>
          <w:rFonts w:hint="eastAsia" w:ascii="宋体" w:hAnsi="宋体" w:eastAsia="宋体" w:cs="宋体"/>
          <w:b/>
          <w:color w:val="auto"/>
          <w:sz w:val="72"/>
          <w:szCs w:val="72"/>
          <w:highlight w:val="none"/>
        </w:rPr>
      </w:pPr>
    </w:p>
    <w:p w14:paraId="6FC04A23">
      <w:pPr>
        <w:pStyle w:val="62"/>
        <w:rPr>
          <w:rFonts w:hint="eastAsia" w:ascii="宋体" w:hAnsi="宋体" w:eastAsia="宋体" w:cs="宋体"/>
          <w:b/>
          <w:color w:val="auto"/>
          <w:sz w:val="44"/>
          <w:szCs w:val="44"/>
          <w:highlight w:val="none"/>
        </w:rPr>
      </w:pPr>
    </w:p>
    <w:p w14:paraId="63411F38">
      <w:pPr>
        <w:rPr>
          <w:rFonts w:hint="eastAsia" w:ascii="宋体" w:hAnsi="宋体" w:eastAsia="宋体" w:cs="宋体"/>
          <w:color w:val="auto"/>
          <w:highlight w:val="none"/>
        </w:rPr>
      </w:pPr>
    </w:p>
    <w:p w14:paraId="3DC48ECA">
      <w:pPr>
        <w:spacing w:line="360" w:lineRule="auto"/>
        <w:rPr>
          <w:rFonts w:hint="eastAsia" w:ascii="宋体" w:hAnsi="宋体" w:eastAsia="宋体" w:cs="宋体"/>
          <w:color w:val="auto"/>
          <w:sz w:val="32"/>
          <w:szCs w:val="32"/>
          <w:highlight w:val="none"/>
        </w:rPr>
      </w:pPr>
    </w:p>
    <w:p w14:paraId="77F28C11">
      <w:pPr>
        <w:snapToGrid w:val="0"/>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（采购人）：杭州临平经济技术开发区管委会</w:t>
      </w:r>
    </w:p>
    <w:p w14:paraId="2EC6846B">
      <w:pPr>
        <w:spacing w:line="360" w:lineRule="auto"/>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（采购代理机构）：海标工程管理有限公司</w:t>
      </w:r>
    </w:p>
    <w:p w14:paraId="3DE60228">
      <w:pPr>
        <w:snapToGrid w:val="0"/>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32"/>
          <w:szCs w:val="32"/>
          <w:highlight w:val="none"/>
        </w:rPr>
        <w:t>二〇二</w:t>
      </w:r>
      <w:r>
        <w:rPr>
          <w:rFonts w:hint="eastAsia" w:ascii="宋体" w:hAnsi="宋体" w:cs="宋体"/>
          <w:b/>
          <w:bCs w:val="0"/>
          <w:color w:val="auto"/>
          <w:sz w:val="32"/>
          <w:szCs w:val="32"/>
          <w:highlight w:val="none"/>
          <w:lang w:val="en-US" w:eastAsia="zh-CN"/>
        </w:rPr>
        <w:t>五</w:t>
      </w:r>
      <w:r>
        <w:rPr>
          <w:rFonts w:hint="eastAsia" w:ascii="宋体" w:hAnsi="宋体" w:eastAsia="宋体" w:cs="宋体"/>
          <w:b/>
          <w:bCs w:val="0"/>
          <w:color w:val="auto"/>
          <w:sz w:val="32"/>
          <w:szCs w:val="32"/>
          <w:highlight w:val="none"/>
        </w:rPr>
        <w:t>年</w:t>
      </w:r>
      <w:r>
        <w:rPr>
          <w:rFonts w:hint="eastAsia" w:ascii="宋体" w:hAnsi="宋体" w:cs="宋体"/>
          <w:b/>
          <w:bCs w:val="0"/>
          <w:color w:val="auto"/>
          <w:sz w:val="32"/>
          <w:szCs w:val="32"/>
          <w:highlight w:val="none"/>
          <w:lang w:val="en-US" w:eastAsia="zh-CN"/>
        </w:rPr>
        <w:t>四</w:t>
      </w:r>
      <w:r>
        <w:rPr>
          <w:rFonts w:hint="eastAsia" w:ascii="宋体" w:hAnsi="宋体" w:eastAsia="宋体" w:cs="宋体"/>
          <w:b/>
          <w:bCs w:val="0"/>
          <w:color w:val="auto"/>
          <w:sz w:val="32"/>
          <w:szCs w:val="32"/>
          <w:highlight w:val="none"/>
        </w:rPr>
        <w:t>月</w:t>
      </w:r>
    </w:p>
    <w:p w14:paraId="54B6FF1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78B06970">
      <w:pPr>
        <w:spacing w:line="360" w:lineRule="auto"/>
        <w:jc w:val="center"/>
        <w:rPr>
          <w:rFonts w:hint="eastAsia" w:ascii="宋体" w:hAnsi="宋体" w:eastAsia="宋体" w:cs="宋体"/>
          <w:color w:val="auto"/>
          <w:sz w:val="24"/>
          <w:highlight w:val="none"/>
        </w:rPr>
      </w:pPr>
    </w:p>
    <w:p w14:paraId="09FE4700">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19A8AB3E">
      <w:pPr>
        <w:spacing w:line="360" w:lineRule="auto"/>
        <w:rPr>
          <w:rFonts w:hint="eastAsia" w:ascii="宋体" w:hAnsi="宋体" w:eastAsia="宋体" w:cs="宋体"/>
          <w:color w:val="auto"/>
          <w:sz w:val="32"/>
          <w:szCs w:val="32"/>
          <w:highlight w:val="none"/>
        </w:rPr>
      </w:pPr>
    </w:p>
    <w:p w14:paraId="5EF97395">
      <w:pPr>
        <w:spacing w:line="360" w:lineRule="auto"/>
        <w:rPr>
          <w:rFonts w:hint="eastAsia" w:ascii="宋体" w:hAnsi="宋体" w:eastAsia="宋体" w:cs="宋体"/>
          <w:color w:val="auto"/>
          <w:sz w:val="32"/>
          <w:szCs w:val="32"/>
          <w:highlight w:val="none"/>
        </w:rPr>
      </w:pPr>
    </w:p>
    <w:p w14:paraId="0E7177A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079B1FC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3BA7460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5405C413">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1CF67D4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541352E7">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6863BA7B">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bookmarkStart w:id="414" w:name="_GoBack"/>
      <w:bookmarkEnd w:id="414"/>
    </w:p>
    <w:p w14:paraId="414614B9">
      <w:pPr>
        <w:spacing w:line="360" w:lineRule="auto"/>
        <w:ind w:firstLine="549" w:firstLineChars="229"/>
        <w:rPr>
          <w:rFonts w:hint="eastAsia" w:ascii="宋体" w:hAnsi="宋体" w:eastAsia="宋体" w:cs="宋体"/>
          <w:color w:val="auto"/>
          <w:sz w:val="24"/>
          <w:highlight w:val="none"/>
        </w:rPr>
      </w:pPr>
    </w:p>
    <w:p w14:paraId="3CFCE507">
      <w:pPr>
        <w:spacing w:line="360" w:lineRule="auto"/>
        <w:ind w:firstLine="549" w:firstLineChars="229"/>
        <w:rPr>
          <w:rFonts w:hint="eastAsia" w:ascii="宋体" w:hAnsi="宋体" w:eastAsia="宋体" w:cs="宋体"/>
          <w:color w:val="auto"/>
          <w:sz w:val="24"/>
          <w:highlight w:val="none"/>
        </w:rPr>
      </w:pPr>
    </w:p>
    <w:p w14:paraId="3A9CC624">
      <w:pPr>
        <w:spacing w:line="360" w:lineRule="auto"/>
        <w:ind w:firstLine="549" w:firstLineChars="229"/>
        <w:rPr>
          <w:rFonts w:hint="eastAsia" w:ascii="宋体" w:hAnsi="宋体" w:eastAsia="宋体" w:cs="宋体"/>
          <w:color w:val="auto"/>
          <w:sz w:val="24"/>
          <w:highlight w:val="none"/>
        </w:rPr>
      </w:pPr>
    </w:p>
    <w:p w14:paraId="7F7CB8E1">
      <w:pPr>
        <w:spacing w:line="360" w:lineRule="auto"/>
        <w:ind w:firstLine="549" w:firstLineChars="229"/>
        <w:rPr>
          <w:rFonts w:hint="eastAsia" w:ascii="宋体" w:hAnsi="宋体" w:eastAsia="宋体" w:cs="宋体"/>
          <w:color w:val="auto"/>
          <w:sz w:val="24"/>
          <w:highlight w:val="none"/>
        </w:rPr>
      </w:pPr>
    </w:p>
    <w:p w14:paraId="723B012E">
      <w:pPr>
        <w:spacing w:line="360" w:lineRule="auto"/>
        <w:ind w:firstLine="549" w:firstLineChars="229"/>
        <w:rPr>
          <w:rFonts w:hint="eastAsia" w:ascii="宋体" w:hAnsi="宋体" w:eastAsia="宋体" w:cs="宋体"/>
          <w:color w:val="auto"/>
          <w:sz w:val="24"/>
          <w:highlight w:val="none"/>
        </w:rPr>
      </w:pPr>
    </w:p>
    <w:p w14:paraId="5BA930EC">
      <w:pPr>
        <w:spacing w:line="360" w:lineRule="auto"/>
        <w:ind w:firstLine="549" w:firstLineChars="229"/>
        <w:rPr>
          <w:rFonts w:hint="eastAsia" w:ascii="宋体" w:hAnsi="宋体" w:eastAsia="宋体" w:cs="宋体"/>
          <w:color w:val="auto"/>
          <w:sz w:val="24"/>
          <w:highlight w:val="none"/>
        </w:rPr>
      </w:pPr>
    </w:p>
    <w:p w14:paraId="39EBB14E">
      <w:pPr>
        <w:spacing w:line="360" w:lineRule="auto"/>
        <w:ind w:firstLine="549" w:firstLineChars="229"/>
        <w:rPr>
          <w:rFonts w:hint="eastAsia" w:ascii="宋体" w:hAnsi="宋体" w:eastAsia="宋体" w:cs="宋体"/>
          <w:color w:val="auto"/>
          <w:sz w:val="24"/>
          <w:highlight w:val="none"/>
        </w:rPr>
      </w:pPr>
    </w:p>
    <w:p w14:paraId="23B35F8E">
      <w:pPr>
        <w:spacing w:line="360" w:lineRule="auto"/>
        <w:ind w:firstLine="549" w:firstLineChars="229"/>
        <w:rPr>
          <w:rFonts w:hint="eastAsia" w:ascii="宋体" w:hAnsi="宋体" w:eastAsia="宋体" w:cs="宋体"/>
          <w:color w:val="auto"/>
          <w:sz w:val="24"/>
          <w:highlight w:val="none"/>
        </w:rPr>
      </w:pPr>
    </w:p>
    <w:p w14:paraId="5EE2F41B">
      <w:pPr>
        <w:spacing w:line="360" w:lineRule="auto"/>
        <w:ind w:firstLine="549" w:firstLineChars="229"/>
        <w:rPr>
          <w:rFonts w:hint="eastAsia" w:ascii="宋体" w:hAnsi="宋体" w:eastAsia="宋体" w:cs="宋体"/>
          <w:color w:val="auto"/>
          <w:sz w:val="24"/>
          <w:highlight w:val="none"/>
        </w:rPr>
      </w:pPr>
    </w:p>
    <w:p w14:paraId="6176360D">
      <w:pPr>
        <w:spacing w:line="360" w:lineRule="auto"/>
        <w:ind w:firstLine="549" w:firstLineChars="229"/>
        <w:rPr>
          <w:rFonts w:hint="eastAsia" w:ascii="宋体" w:hAnsi="宋体" w:eastAsia="宋体" w:cs="宋体"/>
          <w:color w:val="auto"/>
          <w:sz w:val="24"/>
          <w:highlight w:val="none"/>
        </w:rPr>
      </w:pPr>
    </w:p>
    <w:p w14:paraId="3E9A273B">
      <w:pPr>
        <w:spacing w:line="360" w:lineRule="auto"/>
        <w:ind w:firstLine="549" w:firstLineChars="229"/>
        <w:rPr>
          <w:rFonts w:hint="eastAsia" w:ascii="宋体" w:hAnsi="宋体" w:eastAsia="宋体" w:cs="宋体"/>
          <w:color w:val="auto"/>
          <w:sz w:val="24"/>
          <w:highlight w:val="none"/>
        </w:rPr>
      </w:pPr>
    </w:p>
    <w:p w14:paraId="4487A236">
      <w:pPr>
        <w:spacing w:line="360" w:lineRule="auto"/>
        <w:ind w:firstLine="549" w:firstLineChars="229"/>
        <w:rPr>
          <w:rFonts w:hint="eastAsia" w:ascii="宋体" w:hAnsi="宋体" w:eastAsia="宋体" w:cs="宋体"/>
          <w:color w:val="auto"/>
          <w:sz w:val="24"/>
          <w:highlight w:val="none"/>
        </w:rPr>
      </w:pPr>
    </w:p>
    <w:p w14:paraId="3D9E853C">
      <w:pPr>
        <w:spacing w:line="360" w:lineRule="auto"/>
        <w:rPr>
          <w:rFonts w:hint="eastAsia" w:ascii="宋体" w:hAnsi="宋体" w:eastAsia="宋体" w:cs="宋体"/>
          <w:color w:val="auto"/>
          <w:sz w:val="24"/>
          <w:highlight w:val="none"/>
        </w:rPr>
      </w:pPr>
    </w:p>
    <w:bookmarkEnd w:id="2"/>
    <w:p w14:paraId="6619D929">
      <w:pPr>
        <w:adjustRightInd/>
        <w:spacing w:line="360" w:lineRule="auto"/>
        <w:jc w:val="center"/>
        <w:outlineLvl w:val="0"/>
        <w:rPr>
          <w:rFonts w:hint="eastAsia" w:ascii="宋体" w:hAnsi="宋体" w:eastAsia="宋体" w:cs="宋体"/>
          <w:b/>
          <w:color w:val="auto"/>
          <w:sz w:val="36"/>
          <w:szCs w:val="20"/>
          <w:highlight w:val="none"/>
        </w:rPr>
        <w:sectPr>
          <w:headerReference r:id="rId4" w:type="first"/>
          <w:headerReference r:id="rId3" w:type="default"/>
          <w:footerReference r:id="rId5" w:type="even"/>
          <w:pgSz w:w="11906" w:h="16838"/>
          <w:pgMar w:top="1247" w:right="1361" w:bottom="1247" w:left="1361" w:header="851" w:footer="992" w:gutter="0"/>
          <w:cols w:space="720" w:num="1"/>
          <w:titlePg/>
          <w:rtlGutter w:val="0"/>
          <w:docGrid w:linePitch="312" w:charSpace="0"/>
        </w:sectPr>
      </w:pPr>
      <w:bookmarkStart w:id="3" w:name="_Hlt74729822"/>
      <w:bookmarkEnd w:id="3"/>
      <w:bookmarkStart w:id="4" w:name="_Hlt74707423"/>
      <w:bookmarkEnd w:id="4"/>
      <w:bookmarkStart w:id="5" w:name="_Hlt74649545"/>
      <w:bookmarkEnd w:id="5"/>
      <w:bookmarkStart w:id="6" w:name="_Hlt74728647"/>
      <w:bookmarkEnd w:id="6"/>
      <w:bookmarkStart w:id="7" w:name="_Toc91899870"/>
      <w:bookmarkStart w:id="8" w:name="第二部分"/>
      <w:bookmarkStart w:id="9" w:name="_Toc91899871"/>
    </w:p>
    <w:p w14:paraId="1617EB0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第一部分 招标公告</w:t>
      </w:r>
    </w:p>
    <w:p w14:paraId="219D52D4">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项目概况</w:t>
      </w:r>
    </w:p>
    <w:p w14:paraId="659FF31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color w:val="auto"/>
          <w:sz w:val="24"/>
          <w:highlight w:val="none"/>
          <w:u w:val="single"/>
        </w:rPr>
      </w:pPr>
      <w:r>
        <w:rPr>
          <w:rFonts w:hint="eastAsia" w:ascii="宋体" w:hAnsi="宋体" w:cs="宋体"/>
          <w:color w:val="auto"/>
          <w:sz w:val="24"/>
          <w:highlight w:val="none"/>
          <w:u w:val="single"/>
          <w:lang w:eastAsia="zh-CN"/>
        </w:rPr>
        <w:t>杭州临平经济技术开发区空气自动监测站2025年度委托运维项目</w:t>
      </w:r>
      <w:r>
        <w:rPr>
          <w:rFonts w:hint="eastAsia" w:ascii="宋体" w:hAnsi="宋体" w:eastAsia="宋体" w:cs="宋体"/>
          <w:color w:val="auto"/>
          <w:sz w:val="24"/>
          <w:highlight w:val="none"/>
        </w:rPr>
        <w:t>招标项目的潜在投标人应在政采云平台（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"https://www.zcygov.cn/）获取（下载）招标文件，并于2021年" </w:instrText>
      </w:r>
      <w:r>
        <w:rPr>
          <w:rFonts w:hint="eastAsia" w:ascii="宋体" w:hAnsi="宋体" w:eastAsia="宋体" w:cs="宋体"/>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w:t>
      </w:r>
      <w:r>
        <w:rPr>
          <w:rFonts w:hint="eastAsia" w:ascii="宋体" w:hAnsi="宋体" w:eastAsia="宋体" w:cs="宋体"/>
          <w:color w:val="auto"/>
          <w:sz w:val="24"/>
          <w:highlight w:val="none"/>
          <w:u w:val="none"/>
        </w:rPr>
        <w:t>202</w:t>
      </w:r>
      <w:r>
        <w:rPr>
          <w:rFonts w:hint="eastAsia" w:ascii="宋体" w:hAnsi="宋体" w:cs="宋体"/>
          <w:color w:val="auto"/>
          <w:sz w:val="24"/>
          <w:highlight w:val="none"/>
          <w:u w:val="none"/>
          <w:lang w:val="en-US" w:eastAsia="zh-CN"/>
        </w:rPr>
        <w:t>5</w:t>
      </w:r>
      <w:r>
        <w:rPr>
          <w:rFonts w:hint="eastAsia" w:ascii="宋体" w:hAnsi="宋体" w:eastAsia="宋体" w:cs="宋体"/>
          <w:color w:val="auto"/>
          <w:sz w:val="24"/>
          <w:highlight w:val="none"/>
          <w:u w:val="none"/>
        </w:rPr>
        <w:t>年</w:t>
      </w:r>
      <w:r>
        <w:rPr>
          <w:rFonts w:hint="eastAsia" w:ascii="宋体" w:hAnsi="宋体" w:cs="宋体"/>
          <w:color w:val="auto"/>
          <w:sz w:val="24"/>
          <w:highlight w:val="none"/>
          <w:u w:val="none"/>
          <w:lang w:val="en-US" w:eastAsia="zh-CN"/>
        </w:rPr>
        <w:t>6</w:t>
      </w:r>
      <w:r>
        <w:rPr>
          <w:rFonts w:hint="eastAsia" w:ascii="宋体" w:hAnsi="宋体" w:eastAsia="宋体" w:cs="宋体"/>
          <w:color w:val="auto"/>
          <w:sz w:val="24"/>
          <w:highlight w:val="none"/>
          <w:u w:val="none"/>
        </w:rPr>
        <w:t>月</w:t>
      </w:r>
      <w:r>
        <w:rPr>
          <w:rFonts w:hint="eastAsia" w:ascii="宋体" w:hAnsi="宋体" w:cs="宋体"/>
          <w:color w:val="auto"/>
          <w:sz w:val="24"/>
          <w:highlight w:val="none"/>
          <w:u w:val="none"/>
          <w:lang w:val="en-US" w:eastAsia="zh-CN"/>
        </w:rPr>
        <w:t>17</w:t>
      </w:r>
      <w:r>
        <w:rPr>
          <w:rFonts w:hint="eastAsia" w:ascii="宋体" w:hAnsi="宋体" w:eastAsia="宋体" w:cs="宋体"/>
          <w:color w:val="auto"/>
          <w:sz w:val="24"/>
          <w:highlight w:val="none"/>
          <w:u w:val="none"/>
        </w:rPr>
        <w:t>日</w:t>
      </w:r>
      <w:r>
        <w:rPr>
          <w:rFonts w:hint="eastAsia" w:ascii="宋体" w:hAnsi="宋体" w:cs="宋体"/>
          <w:color w:val="auto"/>
          <w:sz w:val="24"/>
          <w:highlight w:val="none"/>
          <w:u w:val="none"/>
          <w:lang w:val="en-US" w:eastAsia="zh-CN"/>
        </w:rPr>
        <w:t>14</w:t>
      </w:r>
      <w:r>
        <w:rPr>
          <w:rFonts w:hint="eastAsia" w:ascii="宋体" w:hAnsi="宋体" w:eastAsia="宋体" w:cs="宋体"/>
          <w:color w:val="auto"/>
          <w:sz w:val="24"/>
          <w:highlight w:val="none"/>
          <w:u w:val="none"/>
        </w:rPr>
        <w:t>点</w:t>
      </w:r>
      <w:r>
        <w:rPr>
          <w:rFonts w:hint="eastAsia" w:ascii="宋体" w:hAnsi="宋体" w:eastAsia="宋体" w:cs="宋体"/>
          <w:color w:val="auto"/>
          <w:sz w:val="24"/>
          <w:highlight w:val="none"/>
          <w:u w:val="none"/>
          <w:lang w:val="en-US" w:eastAsia="zh-CN"/>
        </w:rPr>
        <w:t>00</w:t>
      </w:r>
      <w:r>
        <w:rPr>
          <w:rFonts w:hint="eastAsia" w:ascii="宋体" w:hAnsi="宋体" w:eastAsia="宋体" w:cs="宋体"/>
          <w:color w:val="auto"/>
          <w:sz w:val="24"/>
          <w:highlight w:val="none"/>
          <w:u w:val="none"/>
        </w:rPr>
        <w:t>分</w:t>
      </w:r>
      <w:r>
        <w:rPr>
          <w:rFonts w:hint="eastAsia" w:ascii="宋体" w:hAnsi="宋体" w:eastAsia="宋体" w:cs="宋体"/>
          <w:bCs/>
          <w:color w:val="auto"/>
          <w:sz w:val="24"/>
          <w:highlight w:val="none"/>
          <w:u w:val="none"/>
        </w:rPr>
        <w:t>00秒</w:t>
      </w:r>
      <w:r>
        <w:rPr>
          <w:rFonts w:hint="eastAsia" w:ascii="宋体" w:hAnsi="宋体" w:eastAsia="宋体" w:cs="宋体"/>
          <w:bCs/>
          <w:color w:val="auto"/>
          <w:sz w:val="24"/>
          <w:highlight w:val="none"/>
          <w:u w:val="single"/>
        </w:rPr>
        <w:fldChar w:fldCharType="end"/>
      </w:r>
      <w:r>
        <w:rPr>
          <w:rFonts w:hint="eastAsia" w:ascii="宋体" w:hAnsi="宋体" w:eastAsia="宋体" w:cs="宋体"/>
          <w:bCs/>
          <w:color w:val="auto"/>
          <w:sz w:val="24"/>
          <w:highlight w:val="none"/>
        </w:rPr>
        <w:t>（北京时间）前</w:t>
      </w:r>
      <w:r>
        <w:rPr>
          <w:rFonts w:hint="eastAsia" w:ascii="宋体" w:hAnsi="宋体" w:eastAsia="宋体" w:cs="宋体"/>
          <w:color w:val="auto"/>
          <w:sz w:val="24"/>
          <w:highlight w:val="none"/>
        </w:rPr>
        <w:t>递交（上传）投标文件。</w:t>
      </w:r>
    </w:p>
    <w:p w14:paraId="0984195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一、项目基本情况                                            </w:t>
      </w:r>
    </w:p>
    <w:p w14:paraId="2466ABA0">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项目编号：</w:t>
      </w:r>
      <w:r>
        <w:rPr>
          <w:rFonts w:hint="eastAsia" w:ascii="宋体" w:hAnsi="宋体" w:cs="宋体"/>
          <w:color w:val="auto"/>
          <w:sz w:val="24"/>
          <w:highlight w:val="none"/>
          <w:lang w:eastAsia="zh-CN"/>
        </w:rPr>
        <w:t>HBZFCG-2025-025</w:t>
      </w:r>
    </w:p>
    <w:p w14:paraId="702D717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项目名称：</w:t>
      </w:r>
      <w:r>
        <w:rPr>
          <w:rFonts w:hint="eastAsia" w:ascii="宋体" w:hAnsi="宋体" w:cs="宋体"/>
          <w:color w:val="auto"/>
          <w:sz w:val="24"/>
          <w:highlight w:val="none"/>
          <w:lang w:eastAsia="zh-CN"/>
        </w:rPr>
        <w:t>杭州临平经济技术开发区空气自动监测站2025年度委托运维项目</w:t>
      </w:r>
    </w:p>
    <w:p w14:paraId="589522AC">
      <w:pPr>
        <w:spacing w:line="360" w:lineRule="auto"/>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rPr>
        <w:t xml:space="preserve">   </w:t>
      </w:r>
      <w:r>
        <w:rPr>
          <w:rFonts w:hint="eastAsia" w:ascii="宋体" w:hAnsi="宋体" w:eastAsia="宋体" w:cs="宋体"/>
          <w:b/>
          <w:color w:val="auto"/>
          <w:sz w:val="24"/>
          <w:highlight w:val="none"/>
        </w:rPr>
        <w:t xml:space="preserve"> 预算金额（元）：</w:t>
      </w:r>
      <w:r>
        <w:rPr>
          <w:rFonts w:hint="eastAsia" w:ascii="宋体" w:hAnsi="宋体" w:cs="宋体"/>
          <w:b/>
          <w:color w:val="auto"/>
          <w:sz w:val="24"/>
          <w:highlight w:val="none"/>
          <w:lang w:val="en-US" w:eastAsia="zh-CN"/>
        </w:rPr>
        <w:t>800000</w:t>
      </w:r>
    </w:p>
    <w:p w14:paraId="4DE527D6">
      <w:pPr>
        <w:spacing w:line="360" w:lineRule="auto"/>
        <w:ind w:firstLine="480"/>
        <w:rPr>
          <w:rFonts w:hint="default" w:ascii="宋体" w:hAnsi="宋体" w:eastAsia="宋体" w:cs="宋体"/>
          <w:color w:val="auto"/>
          <w:sz w:val="24"/>
          <w:highlight w:val="none"/>
          <w:lang w:val="en-US"/>
        </w:rPr>
      </w:pPr>
      <w:r>
        <w:rPr>
          <w:rFonts w:hint="eastAsia" w:ascii="宋体" w:hAnsi="宋体" w:eastAsia="宋体" w:cs="宋体"/>
          <w:b/>
          <w:color w:val="auto"/>
          <w:sz w:val="24"/>
          <w:highlight w:val="none"/>
        </w:rPr>
        <w:t>最高限价（元）：</w:t>
      </w:r>
      <w:r>
        <w:rPr>
          <w:rFonts w:hint="eastAsia" w:ascii="宋体" w:hAnsi="宋体" w:cs="宋体"/>
          <w:b/>
          <w:color w:val="auto"/>
          <w:sz w:val="24"/>
          <w:highlight w:val="none"/>
          <w:lang w:val="en-US" w:eastAsia="zh-CN"/>
        </w:rPr>
        <w:t>800000</w:t>
      </w:r>
    </w:p>
    <w:p w14:paraId="2B82719D">
      <w:pPr>
        <w:pStyle w:val="17"/>
        <w:spacing w:line="360" w:lineRule="auto"/>
        <w:ind w:firstLine="480"/>
        <w:rPr>
          <w:rFonts w:hint="eastAsia" w:ascii="宋体" w:hAnsi="宋体" w:eastAsia="宋体" w:cs="宋体"/>
          <w:bCs/>
          <w:color w:val="auto"/>
          <w:kern w:val="2"/>
          <w:sz w:val="24"/>
          <w:szCs w:val="24"/>
          <w:highlight w:val="none"/>
        </w:rPr>
      </w:pPr>
      <w:r>
        <w:rPr>
          <w:rFonts w:hint="eastAsia" w:ascii="宋体" w:hAnsi="宋体" w:eastAsia="宋体" w:cs="宋体"/>
          <w:b/>
          <w:color w:val="auto"/>
          <w:sz w:val="24"/>
          <w:highlight w:val="none"/>
        </w:rPr>
        <w:t>采购需求：</w:t>
      </w:r>
      <w:r>
        <w:rPr>
          <w:rFonts w:hint="eastAsia" w:hAnsi="宋体" w:cs="宋体"/>
          <w:color w:val="auto"/>
          <w:sz w:val="24"/>
          <w:highlight w:val="none"/>
          <w:lang w:eastAsia="zh-CN"/>
        </w:rPr>
        <w:t>杭州临平经济技术开发区空气自动监测站2025年度委托运维项目</w:t>
      </w:r>
      <w:r>
        <w:rPr>
          <w:rFonts w:hint="eastAsia" w:ascii="宋体" w:hAnsi="宋体" w:eastAsia="宋体" w:cs="宋体"/>
          <w:color w:val="auto"/>
          <w:sz w:val="24"/>
          <w:highlight w:val="none"/>
          <w:lang w:eastAsia="zh-CN"/>
        </w:rPr>
        <w:t>，</w:t>
      </w:r>
      <w:r>
        <w:rPr>
          <w:rFonts w:hint="eastAsia" w:ascii="宋体" w:hAnsi="宋体" w:eastAsia="宋体" w:cs="宋体"/>
          <w:bCs/>
          <w:color w:val="auto"/>
          <w:kern w:val="2"/>
          <w:sz w:val="24"/>
          <w:szCs w:val="24"/>
          <w:highlight w:val="none"/>
        </w:rPr>
        <w:t>主要内容：包括3个环境空气自动站的运维服务。具体有环境管理、站房巡检维修、系统运行管理，质控、仪器维修、数据审核和数据分析等，运维时间12个月。具体以招标文件第三部分采购需求为准，供应商可点击本公告下方“浏览采购文件”查看采购需求。</w:t>
      </w:r>
    </w:p>
    <w:p w14:paraId="4D48BEC7">
      <w:pPr>
        <w:pStyle w:val="90"/>
        <w:ind w:firstLine="482"/>
        <w:outlineLvl w:val="2"/>
        <w:rPr>
          <w:rFonts w:hint="eastAsia" w:ascii="宋体" w:hAnsi="宋体" w:eastAsia="宋体" w:cs="宋体"/>
          <w:color w:val="auto"/>
          <w:highlight w:val="none"/>
        </w:rPr>
      </w:pPr>
      <w:r>
        <w:rPr>
          <w:rFonts w:hint="eastAsia" w:ascii="宋体" w:hAnsi="宋体" w:eastAsia="宋体" w:cs="宋体"/>
          <w:b/>
          <w:color w:val="auto"/>
          <w:highlight w:val="none"/>
        </w:rPr>
        <w:t>合同履约期限：合同签订之日起一年。</w:t>
      </w:r>
    </w:p>
    <w:p w14:paraId="7C7385DA">
      <w:pPr>
        <w:pStyle w:val="17"/>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本项目接受联合体投标：</w:t>
      </w:r>
      <w:r>
        <w:rPr>
          <w:rFonts w:hint="eastAsia" w:ascii="Wingdings" w:hAnsi="Wingdings" w:eastAsia="宋体" w:cs="宋体"/>
          <w:snapToGrid w:val="0"/>
          <w:color w:val="auto"/>
          <w:kern w:val="0"/>
          <w:sz w:val="24"/>
          <w:szCs w:val="20"/>
          <w:highlight w:val="none"/>
          <w:lang w:val="en-US" w:eastAsia="zh-CN" w:bidi="ar-SA"/>
        </w:rPr>
        <w:t>þ</w:t>
      </w:r>
      <w:r>
        <w:rPr>
          <w:rFonts w:hint="eastAsia" w:ascii="宋体" w:hAnsi="宋体" w:eastAsia="宋体" w:cs="宋体"/>
          <w:b/>
          <w:color w:val="auto"/>
          <w:sz w:val="24"/>
          <w:highlight w:val="none"/>
        </w:rPr>
        <w:t>是</w:t>
      </w:r>
      <w:r>
        <w:rPr>
          <w:rFonts w:hint="eastAsia" w:hAnsi="宋体" w:cs="宋体"/>
          <w:b/>
          <w:color w:val="auto"/>
          <w:sz w:val="24"/>
          <w:highlight w:val="none"/>
          <w:lang w:eastAsia="zh-CN"/>
        </w:rPr>
        <w:t>；</w:t>
      </w:r>
      <w:r>
        <w:rPr>
          <w:rFonts w:hint="eastAsia" w:ascii="MS Gothic" w:hAnsi="MS Gothic" w:eastAsia="宋体" w:cs="宋体"/>
          <w:snapToGrid w:val="0"/>
          <w:color w:val="auto"/>
          <w:kern w:val="0"/>
          <w:sz w:val="24"/>
          <w:szCs w:val="20"/>
          <w:highlight w:val="none"/>
          <w:lang w:val="en-US" w:eastAsia="zh-CN" w:bidi="ar-SA"/>
        </w:rPr>
        <w:t>☐</w:t>
      </w:r>
      <w:r>
        <w:rPr>
          <w:rFonts w:hint="eastAsia" w:ascii="宋体" w:hAnsi="宋体" w:eastAsia="宋体" w:cs="宋体"/>
          <w:b/>
          <w:color w:val="auto"/>
          <w:sz w:val="24"/>
          <w:highlight w:val="none"/>
        </w:rPr>
        <w:t>否</w:t>
      </w:r>
      <w:r>
        <w:rPr>
          <w:rFonts w:hint="eastAsia" w:ascii="宋体" w:hAnsi="宋体" w:eastAsia="宋体" w:cs="宋体"/>
          <w:color w:val="auto"/>
          <w:kern w:val="0"/>
          <w:sz w:val="24"/>
          <w:highlight w:val="none"/>
        </w:rPr>
        <w:t>。</w:t>
      </w:r>
    </w:p>
    <w:p w14:paraId="204888D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二、申请人的资格要求：</w:t>
      </w:r>
    </w:p>
    <w:p w14:paraId="1A21FFD6">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5B49ED3">
      <w:pPr>
        <w:spacing w:line="360" w:lineRule="auto"/>
        <w:ind w:firstLine="48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2.</w:t>
      </w:r>
      <w:r>
        <w:rPr>
          <w:rFonts w:hint="eastAsia" w:ascii="宋体" w:hAnsi="宋体" w:eastAsia="宋体" w:cs="宋体"/>
          <w:color w:val="auto"/>
          <w:highlight w:val="none"/>
        </w:rPr>
        <w:t xml:space="preserve"> </w:t>
      </w:r>
      <w:r>
        <w:rPr>
          <w:rFonts w:hint="eastAsia" w:ascii="宋体" w:hAnsi="宋体" w:eastAsia="宋体" w:cs="宋体"/>
          <w:snapToGrid w:val="0"/>
          <w:color w:val="auto"/>
          <w:kern w:val="28"/>
          <w:sz w:val="24"/>
          <w:szCs w:val="20"/>
          <w:highlight w:val="none"/>
        </w:rPr>
        <w:t>以联合体形式投标的，提供联合协议(本项目不接受联合体投标或者投标人不以联合体形式投标的，则不需要提供) ；</w:t>
      </w:r>
    </w:p>
    <w:p w14:paraId="34BB01E7">
      <w:pPr>
        <w:spacing w:line="360" w:lineRule="auto"/>
        <w:ind w:firstLine="480" w:firstLineChars="200"/>
        <w:rPr>
          <w:rFonts w:hint="eastAsia" w:ascii="宋体" w:hAnsi="宋体" w:eastAsia="宋体" w:cs="宋体"/>
          <w:snapToGrid w:val="0"/>
          <w:color w:val="auto"/>
          <w:kern w:val="28"/>
          <w:sz w:val="24"/>
          <w:szCs w:val="20"/>
          <w:highlight w:val="none"/>
        </w:rPr>
      </w:pPr>
      <w:r>
        <w:rPr>
          <w:rFonts w:hint="eastAsia" w:ascii="宋体" w:hAnsi="宋体" w:eastAsia="宋体" w:cs="宋体"/>
          <w:snapToGrid w:val="0"/>
          <w:color w:val="auto"/>
          <w:kern w:val="28"/>
          <w:sz w:val="24"/>
          <w:szCs w:val="20"/>
          <w:highlight w:val="none"/>
        </w:rPr>
        <w:t>3.落实政府采购政策需满足的资格要求：</w:t>
      </w:r>
    </w:p>
    <w:p w14:paraId="4DDB19A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无</w:t>
      </w:r>
      <w:r>
        <w:rPr>
          <w:rFonts w:hint="eastAsia" w:ascii="宋体" w:hAnsi="宋体" w:eastAsia="宋体" w:cs="宋体"/>
          <w:snapToGrid w:val="0"/>
          <w:color w:val="auto"/>
          <w:kern w:val="28"/>
          <w:sz w:val="24"/>
          <w:szCs w:val="20"/>
          <w:highlight w:val="none"/>
        </w:rPr>
        <w:t>（注：不得限制大中型企业与小微企业组成联合体参与投标）；</w:t>
      </w:r>
    </w:p>
    <w:p w14:paraId="4314F220">
      <w:pPr>
        <w:spacing w:line="360" w:lineRule="auto"/>
        <w:ind w:firstLine="480" w:firstLineChars="200"/>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专</w:t>
      </w:r>
      <w:r>
        <w:rPr>
          <w:rFonts w:hint="eastAsia" w:ascii="宋体" w:hAnsi="宋体" w:eastAsia="宋体" w:cs="宋体"/>
          <w:color w:val="auto"/>
          <w:sz w:val="24"/>
          <w:highlight w:val="none"/>
        </w:rPr>
        <w:t>门面向中小企业</w:t>
      </w:r>
    </w:p>
    <w:p w14:paraId="646225DB">
      <w:pPr>
        <w:spacing w:line="360" w:lineRule="auto"/>
        <w:ind w:firstLine="897" w:firstLineChars="374"/>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服务全部由符合政策要求的中小企业承接，提供中小企业声明函；</w:t>
      </w:r>
    </w:p>
    <w:p w14:paraId="1A79A7E7">
      <w:pPr>
        <w:spacing w:line="360" w:lineRule="auto"/>
        <w:ind w:firstLine="897" w:firstLineChars="374"/>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服务全部由符合政策要求的小微企业承接，提供中小企业声明函；</w:t>
      </w:r>
    </w:p>
    <w:p w14:paraId="58942029">
      <w:pPr>
        <w:rPr>
          <w:rFonts w:hint="eastAsia" w:ascii="宋体" w:hAnsi="宋体" w:eastAsia="宋体" w:cs="宋体"/>
          <w:color w:val="auto"/>
          <w:highlight w:val="none"/>
        </w:rPr>
      </w:pPr>
    </w:p>
    <w:p w14:paraId="7B8ACE5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sz w:val="24"/>
          <w:highlight w:val="none"/>
        </w:rPr>
        <w:t>要求以联合体形式参加，提供联合协议和中小企业声明函，联合协议中中小企业合同金额应当达到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%，其中小微企业合同金额应当达到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rPr>
        <w:t>%;</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highlight w:val="none"/>
        </w:rPr>
        <w:t>；</w:t>
      </w:r>
    </w:p>
    <w:p w14:paraId="36F6346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，其中小微企业合同金额应当达到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w:t>
      </w:r>
      <w:r>
        <w:rPr>
          <w:rFonts w:hint="eastAsia" w:ascii="宋体" w:hAnsi="宋体" w:eastAsia="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highlight w:val="none"/>
        </w:rPr>
        <w:t>；</w:t>
      </w:r>
    </w:p>
    <w:p w14:paraId="212E9A7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4.本项目的特定资格要求：无；</w:t>
      </w:r>
    </w:p>
    <w:p w14:paraId="2BCCC1F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0FDDBAF">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B970BA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eastAsia="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3010366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1C83693B">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3C07BA3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6E37AF59">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59FB91B8">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w:t>
      </w:r>
      <w:r>
        <w:rPr>
          <w:rFonts w:hint="eastAsia" w:ascii="宋体" w:hAnsi="宋体" w:eastAsia="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r>
        <w:rPr>
          <w:rFonts w:hint="eastAsia" w:ascii="宋体" w:hAnsi="宋体" w:eastAsia="宋体" w:cs="宋体"/>
          <w:color w:val="auto"/>
          <w:sz w:val="24"/>
          <w:highlight w:val="none"/>
        </w:rPr>
        <w:t>（北京时间）</w:t>
      </w:r>
    </w:p>
    <w:p w14:paraId="09D6E1E8">
      <w:pPr>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 xml:space="preserve">政采云平台（https://www.zcygov.cn/） </w:t>
      </w:r>
    </w:p>
    <w:p w14:paraId="226E8E88">
      <w:pPr>
        <w:spacing w:line="360" w:lineRule="auto"/>
        <w:ind w:firstLine="482" w:firstLineChars="200"/>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年</w:t>
      </w:r>
      <w:r>
        <w:rPr>
          <w:rFonts w:hint="eastAsia" w:ascii="宋体" w:hAnsi="宋体" w:cs="宋体"/>
          <w:color w:val="auto"/>
          <w:sz w:val="24"/>
          <w:highlight w:val="none"/>
          <w:u w:val="single"/>
          <w:lang w:val="en-US" w:eastAsia="zh-CN"/>
        </w:rPr>
        <w:t>6</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17</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eastAsia="宋体" w:cs="宋体"/>
          <w:color w:val="auto"/>
          <w:sz w:val="24"/>
          <w:highlight w:val="none"/>
          <w:u w:val="single"/>
        </w:rPr>
        <w:t>点</w:t>
      </w:r>
      <w:r>
        <w:rPr>
          <w:rFonts w:hint="eastAsia" w:ascii="宋体" w:hAnsi="宋体" w:eastAsia="宋体" w:cs="宋体"/>
          <w:color w:val="auto"/>
          <w:sz w:val="24"/>
          <w:highlight w:val="none"/>
          <w:u w:val="single"/>
          <w:lang w:val="en-US" w:eastAsia="zh-CN"/>
        </w:rPr>
        <w:t>00</w:t>
      </w:r>
      <w:r>
        <w:rPr>
          <w:rFonts w:hint="eastAsia" w:ascii="宋体" w:hAnsi="宋体" w:eastAsia="宋体" w:cs="宋体"/>
          <w:color w:val="auto"/>
          <w:sz w:val="24"/>
          <w:highlight w:val="none"/>
          <w:u w:val="single"/>
        </w:rPr>
        <w:t xml:space="preserve"> 分</w:t>
      </w:r>
      <w:r>
        <w:rPr>
          <w:rFonts w:hint="eastAsia" w:ascii="宋体" w:hAnsi="宋体" w:eastAsia="宋体" w:cs="宋体"/>
          <w:color w:val="auto"/>
          <w:sz w:val="24"/>
          <w:highlight w:val="none"/>
          <w:u w:val="single"/>
          <w:lang w:val="en-US" w:eastAsia="zh-CN"/>
        </w:rPr>
        <w:t>00秒</w:t>
      </w:r>
      <w:r>
        <w:rPr>
          <w:rFonts w:hint="eastAsia" w:ascii="宋体" w:hAnsi="宋体" w:eastAsia="宋体" w:cs="宋体"/>
          <w:bCs/>
          <w:color w:val="auto"/>
          <w:sz w:val="24"/>
          <w:highlight w:val="none"/>
          <w:u w:val="single"/>
        </w:rPr>
        <w:t xml:space="preserve"> </w:t>
      </w:r>
    </w:p>
    <w:p w14:paraId="36D9616C">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eastAsia="宋体" w:cs="宋体"/>
          <w:color w:val="auto"/>
          <w:sz w:val="24"/>
          <w:highlight w:val="none"/>
        </w:rPr>
        <w:t>政采云平台（https://www.zcygov.cn/）</w:t>
      </w:r>
    </w:p>
    <w:p w14:paraId="5221D503">
      <w:pPr>
        <w:spacing w:line="360" w:lineRule="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13CCC2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6DDCEB9C">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六、其他补充事宜</w:t>
      </w:r>
    </w:p>
    <w:p w14:paraId="7B84331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3A8A1D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3A57E9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0169D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A787500">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七、对本次采购提出询问、质疑、投诉，请按以下方式联系</w:t>
      </w:r>
    </w:p>
    <w:p w14:paraId="153B69B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1.采购人信息</w:t>
      </w:r>
    </w:p>
    <w:p w14:paraId="4915E72D">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名    称：杭州临平经济技术开发区管委会</w:t>
      </w:r>
    </w:p>
    <w:p w14:paraId="0AB49F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地    址：杭州市临平区超峰东路2号</w:t>
      </w:r>
    </w:p>
    <w:p w14:paraId="0E1020C5">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项目联系人（询问）：</w:t>
      </w:r>
      <w:r>
        <w:rPr>
          <w:rFonts w:hint="eastAsia" w:ascii="宋体" w:hAnsi="宋体" w:cs="宋体"/>
          <w:color w:val="auto"/>
          <w:sz w:val="24"/>
          <w:highlight w:val="none"/>
          <w:lang w:val="en-US" w:eastAsia="zh-CN"/>
        </w:rPr>
        <w:t>丁工</w:t>
      </w:r>
    </w:p>
    <w:p w14:paraId="6636E83E">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 xml:space="preserve">    项目联系方式（询问）：</w:t>
      </w:r>
      <w:r>
        <w:rPr>
          <w:rFonts w:hint="eastAsia" w:ascii="宋体" w:hAnsi="宋体" w:cs="宋体"/>
          <w:color w:val="auto"/>
          <w:sz w:val="24"/>
          <w:highlight w:val="none"/>
          <w:lang w:val="en-US" w:eastAsia="zh-CN"/>
        </w:rPr>
        <w:t>0571-89020881</w:t>
      </w:r>
    </w:p>
    <w:p w14:paraId="0EF1FB01">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质疑联系人：彭</w:t>
      </w:r>
      <w:r>
        <w:rPr>
          <w:rFonts w:hint="eastAsia" w:ascii="宋体" w:hAnsi="宋体" w:cs="宋体"/>
          <w:color w:val="auto"/>
          <w:sz w:val="24"/>
          <w:highlight w:val="none"/>
          <w:lang w:val="en-US" w:eastAsia="zh-CN"/>
        </w:rPr>
        <w:t xml:space="preserve">工         </w:t>
      </w:r>
      <w:r>
        <w:rPr>
          <w:rFonts w:hint="eastAsia" w:ascii="宋体" w:hAnsi="宋体" w:eastAsia="宋体" w:cs="宋体"/>
          <w:color w:val="auto"/>
          <w:sz w:val="24"/>
          <w:highlight w:val="none"/>
          <w:lang w:val="en-US" w:eastAsia="zh-CN"/>
        </w:rPr>
        <w:t xml:space="preserve"> </w:t>
      </w:r>
    </w:p>
    <w:p w14:paraId="4E52A521">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质疑联系方式：</w:t>
      </w:r>
      <w:r>
        <w:rPr>
          <w:rFonts w:hint="eastAsia" w:ascii="宋体" w:hAnsi="宋体" w:cs="宋体"/>
          <w:color w:val="auto"/>
          <w:sz w:val="24"/>
          <w:highlight w:val="none"/>
          <w:lang w:val="en-US" w:eastAsia="zh-CN"/>
        </w:rPr>
        <w:t>0571-</w:t>
      </w:r>
      <w:r>
        <w:rPr>
          <w:rFonts w:hint="eastAsia" w:ascii="宋体" w:hAnsi="宋体" w:eastAsia="宋体" w:cs="宋体"/>
          <w:color w:val="auto"/>
          <w:sz w:val="24"/>
          <w:highlight w:val="none"/>
        </w:rPr>
        <w:t>89281363</w:t>
      </w:r>
      <w:r>
        <w:rPr>
          <w:rFonts w:hint="eastAsia" w:ascii="宋体" w:hAnsi="宋体" w:cs="宋体"/>
          <w:color w:val="auto"/>
          <w:sz w:val="24"/>
          <w:highlight w:val="none"/>
          <w:lang w:val="en-US" w:eastAsia="zh-CN"/>
        </w:rPr>
        <w:t xml:space="preserve">      </w:t>
      </w:r>
    </w:p>
    <w:p w14:paraId="6F41998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2.采购代理机构信息            </w:t>
      </w:r>
    </w:p>
    <w:p w14:paraId="451CC32D">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名    称：</w:t>
      </w:r>
      <w:r>
        <w:rPr>
          <w:rFonts w:hint="eastAsia" w:ascii="宋体" w:hAnsi="宋体" w:eastAsia="宋体" w:cs="宋体"/>
          <w:color w:val="auto"/>
          <w:sz w:val="24"/>
          <w:highlight w:val="none"/>
          <w:lang w:eastAsia="zh-CN"/>
        </w:rPr>
        <w:t>海标工程管理有限公司</w:t>
      </w:r>
    </w:p>
    <w:p w14:paraId="546E004A">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地    址：杭州市</w:t>
      </w:r>
      <w:r>
        <w:rPr>
          <w:rFonts w:hint="eastAsia" w:ascii="宋体" w:hAnsi="宋体" w:cs="宋体"/>
          <w:color w:val="auto"/>
          <w:sz w:val="24"/>
          <w:highlight w:val="none"/>
          <w:lang w:val="en-US" w:eastAsia="zh-CN"/>
        </w:rPr>
        <w:t>星桥街道临平区工力大厦三楼</w:t>
      </w:r>
    </w:p>
    <w:p w14:paraId="6FCE5E7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项目联系人（询问）：</w:t>
      </w:r>
      <w:r>
        <w:rPr>
          <w:rFonts w:hint="eastAsia" w:ascii="宋体" w:hAnsi="宋体" w:eastAsia="宋体" w:cs="宋体"/>
          <w:color w:val="auto"/>
          <w:sz w:val="24"/>
          <w:highlight w:val="none"/>
          <w:lang w:val="en-US" w:eastAsia="zh-CN"/>
        </w:rPr>
        <w:t>项文娜</w:t>
      </w:r>
    </w:p>
    <w:p w14:paraId="535D593F">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项目联系方式（询问）：</w:t>
      </w:r>
      <w:r>
        <w:rPr>
          <w:rFonts w:hint="eastAsia" w:ascii="宋体" w:hAnsi="宋体" w:cs="宋体"/>
          <w:color w:val="auto"/>
          <w:sz w:val="24"/>
          <w:highlight w:val="none"/>
          <w:lang w:val="en-US" w:eastAsia="zh-CN"/>
        </w:rPr>
        <w:t>0571-86137060</w:t>
      </w:r>
      <w:r>
        <w:rPr>
          <w:rFonts w:hint="eastAsia" w:ascii="宋体" w:hAnsi="宋体" w:eastAsia="宋体" w:cs="宋体"/>
          <w:color w:val="auto"/>
          <w:sz w:val="24"/>
          <w:highlight w:val="none"/>
        </w:rPr>
        <w:t xml:space="preserve"> </w:t>
      </w:r>
    </w:p>
    <w:p w14:paraId="4FEFED19">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质疑联系人：</w:t>
      </w:r>
      <w:r>
        <w:rPr>
          <w:rFonts w:hint="eastAsia" w:ascii="宋体" w:hAnsi="宋体" w:eastAsia="宋体" w:cs="宋体"/>
          <w:color w:val="auto"/>
          <w:sz w:val="24"/>
          <w:highlight w:val="none"/>
          <w:lang w:val="en-US" w:eastAsia="zh-CN"/>
        </w:rPr>
        <w:t>王达</w:t>
      </w:r>
    </w:p>
    <w:p w14:paraId="5C72A3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质疑联系方式：0571-86137060</w:t>
      </w:r>
    </w:p>
    <w:p w14:paraId="6A9AFB7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3.同级政府采购监督管理部门            </w:t>
      </w:r>
    </w:p>
    <w:p w14:paraId="3D5850FD">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highlight w:val="none"/>
        </w:rPr>
        <w:t>杭州市财政局政府采购监管处 /浙江省政府采购行政裁决服务中心（杭州）</w:t>
      </w:r>
      <w:r>
        <w:rPr>
          <w:rFonts w:hint="eastAsia" w:ascii="宋体" w:hAnsi="宋体" w:eastAsia="宋体" w:cs="宋体"/>
          <w:color w:val="auto"/>
          <w:sz w:val="24"/>
          <w:szCs w:val="24"/>
          <w:highlight w:val="none"/>
          <w:lang w:eastAsia="zh-CN"/>
        </w:rPr>
        <w:t xml:space="preserve"> </w:t>
      </w:r>
    </w:p>
    <w:p w14:paraId="4F65725F">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址：杭州市上城区清泰街549号城建综合大楼11楼（快递仅限ems或顺丰）</w:t>
      </w:r>
    </w:p>
    <w:p w14:paraId="211527CD">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 /</w:t>
      </w:r>
    </w:p>
    <w:p w14:paraId="141D3896">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 ：朱女士、王女士    </w:t>
      </w:r>
    </w:p>
    <w:p w14:paraId="01DB31C1">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监督投诉电话：0571-87227671,0571-87800218 </w:t>
      </w:r>
    </w:p>
    <w:p w14:paraId="5209D3B8">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市本级项目政策咨询：沈先生、陈先生，电话：0571-89580457、0571-89580460</w:t>
      </w:r>
    </w:p>
    <w:p w14:paraId="202CFD6C">
      <w:pPr>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若对项目采购电子交易系统操作有疑问，可登录政采云（https://www.zcygov.cn/），点击右侧咨询小采，获取采小蜜智能服务管家帮助，或拨打政采云服务热线95763获取热线服务帮助。</w:t>
      </w:r>
    </w:p>
    <w:p w14:paraId="14B3BEA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lang w:eastAsia="zh-CN"/>
        </w:rPr>
        <w:t>CA问题联系电话（人工）：汇信CA 400-888-4636；天谷CA 400-087-8198。</w:t>
      </w:r>
    </w:p>
    <w:p w14:paraId="61741557">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 xml:space="preserve">                              </w:t>
      </w:r>
    </w:p>
    <w:p w14:paraId="16FC4247">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bookmarkEnd w:id="7"/>
      <w:bookmarkEnd w:id="8"/>
      <w:bookmarkEnd w:id="9"/>
      <w:bookmarkStart w:id="10" w:name="_Toc164416483"/>
      <w:bookmarkStart w:id="11" w:name="第三部分"/>
      <w:r>
        <w:rPr>
          <w:rFonts w:hint="eastAsia" w:ascii="宋体" w:hAnsi="宋体" w:eastAsia="宋体" w:cs="宋体"/>
          <w:b/>
          <w:color w:val="auto"/>
          <w:sz w:val="36"/>
          <w:szCs w:val="20"/>
          <w:highlight w:val="none"/>
        </w:rPr>
        <w:t>第二部分 投标人须知</w:t>
      </w:r>
    </w:p>
    <w:p w14:paraId="048BE799">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49AE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54BF09AC">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69755B7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3B641A86">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4A8537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0A00EA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846780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6399C6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w:t>
            </w:r>
          </w:p>
        </w:tc>
      </w:tr>
      <w:tr w14:paraId="1ECA1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96739C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D8F811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7DB17440">
            <w:pPr>
              <w:snapToGrid w:val="0"/>
              <w:spacing w:line="360" w:lineRule="auto"/>
              <w:rPr>
                <w:rFonts w:hint="eastAsia" w:ascii="宋体" w:hAnsi="宋体" w:eastAsia="宋体" w:cs="宋体"/>
                <w:color w:val="auto"/>
                <w:highlight w:val="none"/>
                <w:lang w:val="en-US"/>
              </w:rPr>
            </w:pPr>
            <w:r>
              <w:rPr>
                <w:rFonts w:hint="eastAsia" w:ascii="宋体" w:hAnsi="宋体" w:eastAsia="宋体" w:cs="宋体"/>
                <w:color w:val="auto"/>
                <w:kern w:val="0"/>
                <w:sz w:val="24"/>
                <w:highlight w:val="none"/>
              </w:rPr>
              <w:t>（1）标的：</w:t>
            </w:r>
            <w:r>
              <w:rPr>
                <w:rFonts w:hint="eastAsia" w:ascii="宋体" w:hAnsi="宋体" w:cs="宋体"/>
                <w:color w:val="auto"/>
                <w:kern w:val="0"/>
                <w:sz w:val="24"/>
                <w:highlight w:val="none"/>
                <w:u w:val="single"/>
                <w:lang w:eastAsia="zh-CN"/>
              </w:rPr>
              <w:t>杭州临平经济技术开发区空气自动监测站2025年度委托运维项目</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rPr>
              <w:t>其他未列明行业</w:t>
            </w:r>
            <w:r>
              <w:rPr>
                <w:rFonts w:hint="eastAsia" w:ascii="宋体" w:hAnsi="宋体" w:eastAsia="宋体" w:cs="宋体"/>
                <w:color w:val="auto"/>
                <w:kern w:val="0"/>
                <w:sz w:val="24"/>
                <w:highlight w:val="none"/>
              </w:rPr>
              <w:t>；</w:t>
            </w:r>
            <w:r>
              <w:rPr>
                <w:rFonts w:hint="eastAsia" w:ascii="宋体" w:hAnsi="宋体" w:eastAsia="宋体" w:cs="宋体"/>
                <w:b w:val="0"/>
                <w:bCs w:val="0"/>
                <w:color w:val="auto"/>
                <w:sz w:val="24"/>
                <w:szCs w:val="24"/>
                <w:highlight w:val="none"/>
                <w:u w:val="single"/>
                <w:lang w:val="en-US"/>
              </w:rPr>
              <w:t>标准详见附件8《中小企业划型标准规定》</w:t>
            </w:r>
          </w:p>
        </w:tc>
      </w:tr>
      <w:tr w14:paraId="3709A2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9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1DCDB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45F3A6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2E9A344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1E36571B">
            <w:pPr>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58C96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0C57F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34F7864B">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0B8CF8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工作分包。</w:t>
            </w:r>
          </w:p>
          <w:p w14:paraId="3BF1A654">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A8"/>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p w14:paraId="75428FAD">
            <w:pPr>
              <w:widowControl/>
              <w:spacing w:line="240" w:lineRule="auto"/>
              <w:jc w:val="left"/>
              <w:rPr>
                <w:rFonts w:hint="default" w:ascii="宋体" w:hAnsi="宋体" w:eastAsia="宋体" w:cs="宋体"/>
                <w:color w:val="auto"/>
                <w:kern w:val="0"/>
                <w:sz w:val="23"/>
                <w:szCs w:val="23"/>
                <w:highlight w:val="none"/>
                <w:lang w:val="en-US" w:eastAsia="zh-CN"/>
              </w:rPr>
            </w:pPr>
            <w:r>
              <w:rPr>
                <w:rFonts w:hint="eastAsia" w:ascii="宋体" w:hAnsi="宋体" w:cs="宋体"/>
                <w:color w:val="auto"/>
                <w:kern w:val="0"/>
                <w:sz w:val="23"/>
                <w:szCs w:val="23"/>
                <w:highlight w:val="none"/>
                <w:lang w:val="en-US" w:eastAsia="zh-CN"/>
              </w:rPr>
              <w:t>注：1、若投标人拟对A项列明的工作进行分包的，应在投标时提交分包意向协议；2、</w:t>
            </w:r>
            <w:r>
              <w:rPr>
                <w:rFonts w:hint="eastAsia" w:ascii="宋体" w:hAnsi="宋体" w:eastAsia="宋体" w:cs="宋体"/>
                <w:color w:val="auto"/>
                <w:kern w:val="0"/>
                <w:sz w:val="23"/>
                <w:szCs w:val="23"/>
                <w:highlight w:val="none"/>
                <w:lang w:val="en-US" w:eastAsia="zh-CN"/>
              </w:rPr>
              <w:t>中标供应商就采购项目和分包项目向采购人负责，分包供应商就分包项目承担责任</w:t>
            </w:r>
            <w:r>
              <w:rPr>
                <w:rFonts w:hint="eastAsia" w:ascii="宋体" w:hAnsi="宋体" w:cs="宋体"/>
                <w:color w:val="auto"/>
                <w:kern w:val="0"/>
                <w:sz w:val="23"/>
                <w:szCs w:val="23"/>
                <w:highlight w:val="none"/>
                <w:lang w:val="en-US" w:eastAsia="zh-CN"/>
              </w:rPr>
              <w:t>；</w:t>
            </w:r>
          </w:p>
          <w:p w14:paraId="18FFF5A2">
            <w:pPr>
              <w:widowControl/>
              <w:spacing w:line="240" w:lineRule="auto"/>
              <w:jc w:val="left"/>
              <w:rPr>
                <w:rFonts w:hint="eastAsia" w:ascii="宋体" w:hAnsi="宋体" w:eastAsia="宋体" w:cs="宋体"/>
                <w:color w:val="auto"/>
                <w:kern w:val="0"/>
                <w:sz w:val="23"/>
                <w:szCs w:val="23"/>
                <w:highlight w:val="none"/>
                <w:lang w:val="en-US" w:eastAsia="zh-CN"/>
              </w:rPr>
            </w:pPr>
          </w:p>
          <w:p w14:paraId="77D9B8E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注：不得限制大中型企业向小微企业合理分包。</w:t>
            </w:r>
          </w:p>
        </w:tc>
      </w:tr>
      <w:tr w14:paraId="76961A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AF9A07">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B286EA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77631D8">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06221A1E">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tc>
      </w:tr>
      <w:tr w14:paraId="6926A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49"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9DA6F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01D7C44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0A74CA8">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463C484F">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☐B要求提供，</w:t>
            </w:r>
          </w:p>
          <w:p w14:paraId="7BE379A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0DB5A366">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D3CF8FB">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4987B28E">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（4）是否需要随样品提交检测报告：☐否；☐是，检测机构的要求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6274533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24B2E02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3D0DA68F">
            <w:pPr>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（7）制作、运输、安装和保管样品所发生的一切费用由投标人自理。</w:t>
            </w:r>
          </w:p>
        </w:tc>
      </w:tr>
      <w:tr w14:paraId="3536AA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DBC1D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7EDD43C">
            <w:pPr>
              <w:snapToGrid w:val="0"/>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szCs w:val="24"/>
                <w:highlight w:val="none"/>
                <w:lang w:val="en-US" w:eastAsia="zh-CN"/>
              </w:rPr>
              <w:t>功能</w:t>
            </w:r>
            <w:r>
              <w:rPr>
                <w:rFonts w:hint="eastAsia" w:ascii="宋体" w:hAnsi="宋体" w:eastAsia="宋体" w:cs="宋体"/>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B362366">
            <w:pPr>
              <w:spacing w:line="360" w:lineRule="auto"/>
              <w:rPr>
                <w:rFonts w:hint="eastAsia" w:ascii="宋体" w:hAnsi="宋体" w:eastAsia="宋体" w:cs="宋体"/>
                <w:color w:val="auto"/>
                <w:sz w:val="24"/>
                <w:highlight w:val="none"/>
              </w:rPr>
            </w:pP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52B91ECD">
            <w:pPr>
              <w:spacing w:line="360" w:lineRule="auto"/>
              <w:rPr>
                <w:rFonts w:hint="eastAsia" w:ascii="宋体" w:hAnsi="宋体" w:eastAsia="宋体" w:cs="宋体"/>
                <w:color w:val="auto"/>
                <w:kern w:val="0"/>
                <w:sz w:val="24"/>
                <w:highlight w:val="none"/>
              </w:rPr>
            </w:pPr>
            <w:r>
              <w:rPr>
                <w:rFonts w:hint="eastAsia" w:ascii="MS Gothic" w:hAnsi="MS Gothic"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B组织。</w:t>
            </w:r>
          </w:p>
          <w:p w14:paraId="3547C87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1F1FE3C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7D83B5E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3135CA6B">
            <w:pPr>
              <w:snapToGrid w:val="0"/>
              <w:spacing w:line="360" w:lineRule="auto"/>
              <w:jc w:val="both"/>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方式二：现场讲解演示。</w:t>
            </w:r>
            <w:r>
              <w:rPr>
                <w:rFonts w:hint="eastAsia" w:ascii="宋体" w:hAnsi="宋体" w:eastAsia="宋体" w:cs="宋体"/>
                <w:b w:val="0"/>
                <w:bCs w:val="0"/>
                <w:color w:val="auto"/>
                <w:kern w:val="0"/>
                <w:sz w:val="24"/>
                <w:highlight w:val="none"/>
              </w:rPr>
              <w:t>现场讲解地点为</w:t>
            </w:r>
            <w:r>
              <w:rPr>
                <w:rFonts w:hint="eastAsia" w:ascii="宋体" w:hAnsi="宋体" w:eastAsia="宋体" w:cs="宋体"/>
                <w:b w:val="0"/>
                <w:bCs w:val="0"/>
                <w:color w:val="auto"/>
                <w:kern w:val="0"/>
                <w:sz w:val="24"/>
                <w:highlight w:val="none"/>
                <w:lang w:eastAsia="zh-CN"/>
              </w:rPr>
              <w:t>：</w:t>
            </w:r>
            <w:r>
              <w:rPr>
                <w:rFonts w:hint="eastAsia" w:ascii="宋体" w:hAnsi="宋体" w:cs="宋体"/>
                <w:b w:val="0"/>
                <w:bCs w:val="0"/>
                <w:color w:val="auto"/>
                <w:sz w:val="24"/>
                <w:highlight w:val="none"/>
                <w:u w:val="single"/>
                <w:lang w:val="en-US" w:eastAsia="zh-CN"/>
              </w:rPr>
              <w:t xml:space="preserve">               </w:t>
            </w:r>
            <w:r>
              <w:rPr>
                <w:rFonts w:hint="eastAsia" w:ascii="宋体" w:hAnsi="宋体" w:eastAsia="宋体" w:cs="宋体"/>
                <w:b w:val="0"/>
                <w:bCs w:val="0"/>
                <w:color w:val="auto"/>
                <w:kern w:val="0"/>
                <w:sz w:val="24"/>
                <w:highlight w:val="none"/>
              </w:rPr>
              <w:t>，</w:t>
            </w:r>
            <w:r>
              <w:rPr>
                <w:rFonts w:hint="eastAsia" w:ascii="宋体" w:hAnsi="宋体" w:eastAsia="宋体" w:cs="宋体"/>
                <w:b w:val="0"/>
                <w:bCs w:val="0"/>
                <w:color w:val="auto"/>
                <w:kern w:val="0"/>
                <w:sz w:val="24"/>
                <w:highlight w:val="none"/>
                <w:lang w:val="en-US" w:eastAsia="zh-CN"/>
              </w:rPr>
              <w:t>请在投标截止时间前到达，</w:t>
            </w:r>
            <w:r>
              <w:rPr>
                <w:rFonts w:hint="eastAsia" w:ascii="宋体" w:hAnsi="宋体" w:eastAsia="宋体" w:cs="宋体"/>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2F519E4B">
            <w:pPr>
              <w:snapToGrid w:val="0"/>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3B1D81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62BAB7B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50CAED1">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6D6ED13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391CC1A1">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1554F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9" w:hRule="atLeast"/>
          <w:tblHeader/>
        </w:trPr>
        <w:tc>
          <w:tcPr>
            <w:tcW w:w="629" w:type="dxa"/>
            <w:vMerge w:val="continue"/>
            <w:tcBorders>
              <w:left w:val="single" w:color="auto" w:sz="4" w:space="0"/>
              <w:bottom w:val="single" w:color="auto" w:sz="4" w:space="0"/>
              <w:right w:val="single" w:color="auto" w:sz="4" w:space="0"/>
            </w:tcBorders>
            <w:vAlign w:val="center"/>
          </w:tcPr>
          <w:p w14:paraId="3AC6DF83">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07105FE1">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8B2DC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25B620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739C5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58A06C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39C6F3E">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4925438">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☐强制采购。产品：    </w:t>
            </w:r>
          </w:p>
          <w:p w14:paraId="771D4C54">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□优先采购节能产品。产品：   </w:t>
            </w:r>
          </w:p>
          <w:p w14:paraId="289E2844">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□优先采购环保产品。产品：    </w:t>
            </w:r>
          </w:p>
          <w:p w14:paraId="5EB7170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p>
        </w:tc>
      </w:tr>
      <w:tr w14:paraId="6C1EF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8AF156B">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C229085">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0C59F0BF">
            <w:pPr>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13B13CFB">
            <w:pPr>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2D4615A3">
            <w:pPr>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6974DF5">
            <w:pPr>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51163B4C">
            <w:pPr>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54F95E24">
            <w:pPr>
              <w:spacing w:line="360" w:lineRule="auto"/>
              <w:ind w:firstLine="241" w:firstLineChars="100"/>
              <w:rPr>
                <w:rFonts w:hint="eastAsia" w:ascii="宋体" w:hAnsi="宋体" w:eastAsia="宋体" w:cs="宋体"/>
                <w:color w:val="auto"/>
                <w:sz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482F8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338" w:hRule="atLeast"/>
          <w:tblHeader/>
        </w:trPr>
        <w:tc>
          <w:tcPr>
            <w:tcW w:w="629" w:type="dxa"/>
            <w:tcBorders>
              <w:top w:val="single" w:color="auto" w:sz="4" w:space="0"/>
              <w:left w:val="single" w:color="000000" w:sz="8" w:space="0"/>
              <w:right w:val="single" w:color="000000" w:sz="2" w:space="0"/>
            </w:tcBorders>
            <w:vAlign w:val="center"/>
          </w:tcPr>
          <w:p w14:paraId="5947065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6C9C6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128E7F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F4B1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1CA0D62">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4843539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BAB8621">
            <w:pPr>
              <w:pStyle w:val="33"/>
              <w:spacing w:line="360" w:lineRule="auto"/>
              <w:rPr>
                <w:rFonts w:hint="eastAsia" w:ascii="宋体" w:hAnsi="宋体" w:eastAsia="宋体" w:cs="宋体"/>
                <w:color w:val="auto"/>
                <w:kern w:val="28"/>
                <w:sz w:val="24"/>
                <w:highlight w:val="none"/>
              </w:rPr>
            </w:pPr>
            <w:r>
              <w:rPr>
                <w:rFonts w:hint="eastAsia" w:ascii="宋体" w:hAnsi="宋体" w:eastAsia="宋体" w:cs="宋体"/>
                <w:bCs/>
                <w:color w:val="auto"/>
                <w:sz w:val="24"/>
                <w:szCs w:val="24"/>
                <w:highlight w:val="none"/>
              </w:rPr>
              <w:t>备份投标文件送达地点：</w:t>
            </w:r>
            <w:r>
              <w:rPr>
                <w:rFonts w:hint="eastAsia" w:ascii="宋体" w:hAnsi="宋体" w:eastAsia="宋体" w:cs="宋体"/>
                <w:color w:val="auto"/>
                <w:sz w:val="24"/>
                <w:highlight w:val="none"/>
                <w:u w:val="single"/>
              </w:rPr>
              <w:t>杭州市临平区星桥街道远展路59号工力大厦3楼</w:t>
            </w:r>
            <w:r>
              <w:rPr>
                <w:rFonts w:hint="eastAsia" w:ascii="宋体" w:hAnsi="宋体" w:eastAsia="宋体" w:cs="宋体"/>
                <w:bCs/>
                <w:color w:val="auto"/>
                <w:sz w:val="24"/>
                <w:szCs w:val="24"/>
                <w:highlight w:val="none"/>
              </w:rPr>
              <w:t>；备份投标文件签收人员联系电话：</w:t>
            </w:r>
            <w:r>
              <w:rPr>
                <w:rFonts w:hint="eastAsia" w:ascii="宋体" w:hAnsi="宋体" w:eastAsia="宋体" w:cs="宋体"/>
                <w:bCs/>
                <w:color w:val="auto"/>
                <w:sz w:val="24"/>
                <w:szCs w:val="24"/>
                <w:highlight w:val="none"/>
                <w:u w:val="single"/>
                <w:lang w:val="en-US" w:eastAsia="zh-CN"/>
              </w:rPr>
              <w:t>项文娜</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18858143919</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采购人、采购</w:t>
            </w:r>
            <w:r>
              <w:rPr>
                <w:rFonts w:hint="eastAsia" w:hAnsi="宋体" w:cs="宋体"/>
                <w:b/>
                <w:color w:val="auto"/>
                <w:sz w:val="24"/>
                <w:szCs w:val="24"/>
                <w:highlight w:val="none"/>
                <w:lang w:val="en-US" w:eastAsia="zh-CN"/>
              </w:rPr>
              <w:t>代理</w:t>
            </w:r>
            <w:r>
              <w:rPr>
                <w:rFonts w:hint="eastAsia" w:ascii="宋体" w:hAnsi="宋体" w:eastAsia="宋体" w:cs="宋体"/>
                <w:b/>
                <w:color w:val="auto"/>
                <w:sz w:val="24"/>
                <w:szCs w:val="24"/>
                <w:highlight w:val="none"/>
              </w:rPr>
              <w:t>机构不强制或变相强制投标人提交备份投标文件。</w:t>
            </w:r>
          </w:p>
        </w:tc>
      </w:tr>
      <w:tr w14:paraId="3853A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auto" w:sz="4" w:space="0"/>
            </w:tcBorders>
            <w:vAlign w:val="center"/>
          </w:tcPr>
          <w:p w14:paraId="4CC5286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843" w:type="dxa"/>
            <w:vMerge w:val="restart"/>
            <w:tcBorders>
              <w:top w:val="single" w:color="auto" w:sz="4" w:space="0"/>
              <w:left w:val="single" w:color="auto" w:sz="4" w:space="0"/>
              <w:right w:val="single" w:color="auto" w:sz="4" w:space="0"/>
            </w:tcBorders>
            <w:vAlign w:val="center"/>
          </w:tcPr>
          <w:p w14:paraId="638B6DCE">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095" w:type="dxa"/>
            <w:tcBorders>
              <w:top w:val="single" w:color="000000" w:sz="8" w:space="0"/>
              <w:left w:val="single" w:color="auto" w:sz="4" w:space="0"/>
              <w:bottom w:val="single" w:color="000000" w:sz="8" w:space="0"/>
              <w:right w:val="single" w:color="000000" w:sz="8" w:space="0"/>
            </w:tcBorders>
            <w:vAlign w:val="center"/>
          </w:tcPr>
          <w:p w14:paraId="7B7DF2C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7B9F0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auto" w:sz="4" w:space="0"/>
            </w:tcBorders>
            <w:vAlign w:val="top"/>
          </w:tcPr>
          <w:p w14:paraId="52FA2A58">
            <w:pPr>
              <w:snapToGrid w:val="0"/>
              <w:spacing w:line="360" w:lineRule="auto"/>
              <w:jc w:val="center"/>
              <w:rPr>
                <w:rFonts w:hint="eastAsia" w:ascii="宋体" w:hAnsi="宋体" w:eastAsia="宋体" w:cs="宋体"/>
                <w:color w:val="auto"/>
                <w:sz w:val="24"/>
                <w:highlight w:val="none"/>
              </w:rPr>
            </w:pPr>
          </w:p>
        </w:tc>
        <w:tc>
          <w:tcPr>
            <w:tcW w:w="1843" w:type="dxa"/>
            <w:vMerge w:val="continue"/>
            <w:tcBorders>
              <w:left w:val="single" w:color="auto" w:sz="4" w:space="0"/>
              <w:bottom w:val="single" w:color="auto" w:sz="4" w:space="0"/>
              <w:right w:val="single" w:color="auto" w:sz="4" w:space="0"/>
            </w:tcBorders>
            <w:vAlign w:val="center"/>
          </w:tcPr>
          <w:p w14:paraId="5BD9EC3C">
            <w:pPr>
              <w:snapToGrid w:val="0"/>
              <w:spacing w:line="360" w:lineRule="auto"/>
              <w:jc w:val="center"/>
              <w:rPr>
                <w:rFonts w:hint="eastAsia" w:ascii="宋体" w:hAnsi="宋体" w:eastAsia="宋体" w:cs="宋体"/>
                <w:b/>
                <w:color w:val="auto"/>
                <w:sz w:val="24"/>
                <w:highlight w:val="none"/>
              </w:rPr>
            </w:pPr>
          </w:p>
        </w:tc>
        <w:tc>
          <w:tcPr>
            <w:tcW w:w="6095" w:type="dxa"/>
            <w:tcBorders>
              <w:top w:val="single" w:color="000000" w:sz="8" w:space="0"/>
              <w:left w:val="single" w:color="auto" w:sz="4" w:space="0"/>
              <w:bottom w:val="single" w:color="000000" w:sz="8" w:space="0"/>
              <w:right w:val="single" w:color="000000" w:sz="8" w:space="0"/>
            </w:tcBorders>
            <w:vAlign w:val="center"/>
          </w:tcPr>
          <w:p w14:paraId="2B894044">
            <w:pPr>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500D7008">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200EBA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59F595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4CD84387">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color w:val="auto"/>
                <w:sz w:val="24"/>
                <w:highlight w:val="none"/>
              </w:rPr>
              <w:t>代理服务费</w:t>
            </w:r>
          </w:p>
        </w:tc>
        <w:tc>
          <w:tcPr>
            <w:tcW w:w="6095" w:type="dxa"/>
            <w:tcBorders>
              <w:top w:val="single" w:color="000000" w:sz="8" w:space="0"/>
              <w:left w:val="single" w:color="auto" w:sz="4" w:space="0"/>
              <w:bottom w:val="single" w:color="000000" w:sz="8" w:space="0"/>
              <w:right w:val="single" w:color="000000" w:sz="8" w:space="0"/>
            </w:tcBorders>
            <w:vAlign w:val="center"/>
          </w:tcPr>
          <w:p w14:paraId="2BB1CB9E">
            <w:pPr>
              <w:spacing w:line="360" w:lineRule="auto"/>
              <w:rPr>
                <w:rFonts w:hint="eastAsia" w:ascii="宋体" w:hAnsi="宋体" w:eastAsia="宋体" w:cs="宋体"/>
                <w:color w:val="auto"/>
                <w:kern w:val="0"/>
                <w:sz w:val="24"/>
                <w:highlight w:val="none"/>
              </w:rPr>
            </w:pPr>
            <w:r>
              <w:rPr>
                <w:rFonts w:hint="eastAsia" w:ascii="宋体" w:hAnsi="宋体" w:cs="宋体"/>
                <w:snapToGrid w:val="0"/>
                <w:color w:val="auto"/>
                <w:kern w:val="28"/>
                <w:sz w:val="24"/>
                <w:highlight w:val="none"/>
              </w:rPr>
              <w:t>本项目的招标代理费用由中标单位支付，代理费用付款按招标代理服务收费管理暂行办法-计价格[2002]1980号文件服务类收费标准计算，中标人在领取中标通知书前需向招标代理机构支付招标代理服务费，费用包含在总报价中，不单独列项报价。</w:t>
            </w:r>
            <w:r>
              <w:rPr>
                <w:rFonts w:hint="eastAsia" w:ascii="宋体" w:hAnsi="宋体" w:eastAsia="宋体" w:cs="宋体"/>
                <w:color w:val="auto"/>
                <w:kern w:val="0"/>
                <w:sz w:val="24"/>
                <w:highlight w:val="none"/>
              </w:rPr>
              <w:t>中标服务费的交纳方式：以转帐或支票的形式支付，</w:t>
            </w:r>
          </w:p>
          <w:p w14:paraId="3CA50832">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开户行名称：浙江杭州余杭农村商业银行股份有限公司乔司支行；</w:t>
            </w:r>
          </w:p>
          <w:p w14:paraId="1ED50049">
            <w:pPr>
              <w:spacing w:line="360" w:lineRule="auto"/>
              <w:rPr>
                <w:rFonts w:hint="eastAsia" w:ascii="宋体" w:hAnsi="宋体" w:eastAsia="宋体" w:cs="Arial"/>
                <w:color w:val="auto"/>
                <w:kern w:val="0"/>
                <w:sz w:val="24"/>
                <w:highlight w:val="none"/>
              </w:rPr>
            </w:pPr>
            <w:r>
              <w:rPr>
                <w:rFonts w:hint="eastAsia" w:ascii="宋体" w:hAnsi="宋体" w:eastAsia="宋体" w:cs="Arial"/>
                <w:color w:val="auto"/>
                <w:kern w:val="0"/>
                <w:sz w:val="24"/>
                <w:highlight w:val="none"/>
              </w:rPr>
              <w:t>帐号：201000184831550，</w:t>
            </w:r>
          </w:p>
          <w:p w14:paraId="26268A91">
            <w:pPr>
              <w:spacing w:line="360" w:lineRule="auto"/>
              <w:rPr>
                <w:rFonts w:hint="eastAsia" w:ascii="宋体" w:hAnsi="宋体" w:eastAsia="宋体" w:cs="宋体"/>
                <w:color w:val="auto"/>
                <w:kern w:val="0"/>
                <w:sz w:val="24"/>
                <w:highlight w:val="none"/>
              </w:rPr>
            </w:pPr>
            <w:r>
              <w:rPr>
                <w:rFonts w:hint="eastAsia" w:ascii="宋体" w:hAnsi="宋体" w:eastAsia="宋体" w:cs="Arial"/>
                <w:color w:val="auto"/>
                <w:kern w:val="0"/>
                <w:sz w:val="24"/>
                <w:highlight w:val="none"/>
              </w:rPr>
              <w:t>收款单位：海标工程管理有限公司。</w:t>
            </w:r>
            <w:r>
              <w:rPr>
                <w:rFonts w:hint="eastAsia" w:ascii="宋体" w:hAnsi="宋体" w:eastAsia="宋体" w:cs="宋体"/>
                <w:snapToGrid w:val="0"/>
                <w:color w:val="auto"/>
                <w:kern w:val="28"/>
                <w:sz w:val="24"/>
                <w:highlight w:val="none"/>
              </w:rPr>
              <w:t>中标单位需在领取中标通知书时缴纳中标服务费，缴纳时注明招标编号。</w:t>
            </w:r>
          </w:p>
        </w:tc>
      </w:tr>
      <w:tr w14:paraId="779B4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F5578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w:t>
            </w:r>
          </w:p>
        </w:tc>
        <w:tc>
          <w:tcPr>
            <w:tcW w:w="1843" w:type="dxa"/>
            <w:tcBorders>
              <w:top w:val="single" w:color="auto" w:sz="4" w:space="0"/>
              <w:left w:val="single" w:color="auto" w:sz="4" w:space="0"/>
              <w:bottom w:val="single" w:color="auto" w:sz="4" w:space="0"/>
              <w:right w:val="single" w:color="auto" w:sz="4" w:space="0"/>
            </w:tcBorders>
            <w:vAlign w:val="center"/>
          </w:tcPr>
          <w:p w14:paraId="2D069963">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bCs/>
                <w:snapToGrid w:val="0"/>
                <w:color w:val="auto"/>
                <w:kern w:val="28"/>
                <w:sz w:val="24"/>
                <w:highlight w:val="none"/>
              </w:rPr>
              <w:t>书面投标文件</w:t>
            </w:r>
          </w:p>
        </w:tc>
        <w:tc>
          <w:tcPr>
            <w:tcW w:w="6095" w:type="dxa"/>
            <w:tcBorders>
              <w:top w:val="single" w:color="000000" w:sz="8" w:space="0"/>
              <w:left w:val="single" w:color="auto" w:sz="4" w:space="0"/>
              <w:bottom w:val="single" w:color="000000" w:sz="8" w:space="0"/>
              <w:right w:val="single" w:color="000000" w:sz="8" w:space="0"/>
            </w:tcBorders>
            <w:vAlign w:val="center"/>
          </w:tcPr>
          <w:p w14:paraId="73E441A3">
            <w:pPr>
              <w:spacing w:line="360" w:lineRule="auto"/>
              <w:rPr>
                <w:rFonts w:hint="eastAsia" w:ascii="宋体" w:hAnsi="宋体" w:eastAsia="宋体" w:cs="宋体"/>
                <w:color w:val="auto"/>
                <w:kern w:val="0"/>
                <w:sz w:val="24"/>
                <w:highlight w:val="none"/>
              </w:rPr>
            </w:pPr>
            <w:r>
              <w:rPr>
                <w:rFonts w:hint="eastAsia" w:ascii="宋体" w:hAnsi="宋体" w:eastAsia="宋体" w:cs="宋体"/>
                <w:snapToGrid w:val="0"/>
                <w:color w:val="auto"/>
                <w:kern w:val="28"/>
                <w:sz w:val="24"/>
                <w:highlight w:val="none"/>
              </w:rPr>
              <w:t>中标单位需在领取中标通知书时，提供本项目纸质投标文件（资格文件”、“报价文件”和“商务技术文件”）三份（正本一份，副本二份）并提供电子投标文件与纸质投标文件内容一致承诺书三份。</w:t>
            </w:r>
          </w:p>
        </w:tc>
      </w:tr>
      <w:tr w14:paraId="0E3FE1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74B5447">
            <w:pPr>
              <w:snapToGrid w:val="0"/>
              <w:spacing w:line="360" w:lineRule="auto"/>
              <w:jc w:val="center"/>
              <w:rPr>
                <w:rFonts w:hint="default" w:ascii="宋体" w:hAnsi="宋体" w:eastAsia="宋体" w:cs="宋体"/>
                <w:color w:val="auto"/>
                <w:sz w:val="24"/>
                <w:highlight w:val="none"/>
                <w:lang w:val="en-US" w:eastAsia="zh-CN"/>
              </w:rPr>
            </w:pPr>
            <w:bookmarkStart w:id="12" w:name="_Toc91899903"/>
            <w:r>
              <w:rPr>
                <w:rFonts w:hint="eastAsia" w:ascii="宋体" w:hAnsi="宋体" w:cs="宋体"/>
                <w:color w:val="auto"/>
                <w:sz w:val="24"/>
                <w:highlight w:val="none"/>
                <w:lang w:val="en-US" w:eastAsia="zh-CN"/>
              </w:rPr>
              <w:t>16</w:t>
            </w:r>
          </w:p>
        </w:tc>
        <w:tc>
          <w:tcPr>
            <w:tcW w:w="1843" w:type="dxa"/>
            <w:tcBorders>
              <w:top w:val="single" w:color="auto" w:sz="4" w:space="0"/>
              <w:left w:val="single" w:color="auto" w:sz="4" w:space="0"/>
              <w:bottom w:val="single" w:color="auto" w:sz="4" w:space="0"/>
              <w:right w:val="single" w:color="auto" w:sz="4" w:space="0"/>
            </w:tcBorders>
            <w:vAlign w:val="center"/>
          </w:tcPr>
          <w:p w14:paraId="3CAB367F">
            <w:pPr>
              <w:snapToGrid w:val="0"/>
              <w:spacing w:line="360" w:lineRule="auto"/>
              <w:jc w:val="center"/>
              <w:rPr>
                <w:rFonts w:hint="eastAsia" w:ascii="宋体" w:hAnsi="宋体" w:eastAsia="宋体" w:cs="宋体"/>
                <w:b/>
                <w:bCs/>
                <w:snapToGrid w:val="0"/>
                <w:color w:val="auto"/>
                <w:kern w:val="28"/>
                <w:sz w:val="24"/>
                <w:highlight w:val="none"/>
              </w:rPr>
            </w:pPr>
            <w:r>
              <w:rPr>
                <w:rFonts w:hint="eastAsia" w:ascii="宋体" w:hAnsi="宋体" w:eastAsia="宋体" w:cs="宋体"/>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auto" w:sz="4" w:space="0"/>
              <w:bottom w:val="single" w:color="000000" w:sz="8" w:space="0"/>
              <w:right w:val="single" w:color="000000" w:sz="8" w:space="0"/>
            </w:tcBorders>
            <w:vAlign w:val="center"/>
          </w:tcPr>
          <w:p w14:paraId="0373F26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1个；排名第一的中标候选人放弃中标、因不可抗力不能履行合同、不按照招标文件要求提交履约保证金担保，或者被查实存在影响中标结果的违法行为等情形，不符合中标条件的，采购人将重新招标。 </w:t>
            </w:r>
          </w:p>
        </w:tc>
      </w:tr>
    </w:tbl>
    <w:p w14:paraId="14E3DACF">
      <w:pP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br w:type="page"/>
      </w:r>
    </w:p>
    <w:p w14:paraId="021FEB3F">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4197D5A2">
      <w:pPr>
        <w:snapToGrid w:val="0"/>
        <w:spacing w:line="360" w:lineRule="auto"/>
        <w:ind w:firstLine="361" w:firstLineChars="150"/>
        <w:jc w:val="left"/>
        <w:outlineLvl w:val="1"/>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 适用范围</w:t>
      </w:r>
    </w:p>
    <w:p w14:paraId="200CB3D4">
      <w:pPr>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本招标文件适用于该项目的招标、投标、开标、资格审查及信用信息查询、评标、定标、合同、验收等行为（法律、法规另有规定的，从其规定）。</w:t>
      </w:r>
    </w:p>
    <w:p w14:paraId="6A2D4A42">
      <w:pPr>
        <w:adjustRightInd/>
        <w:spacing w:line="360" w:lineRule="auto"/>
        <w:outlineLvl w:val="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2.定义</w:t>
      </w:r>
    </w:p>
    <w:p w14:paraId="766A1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 “采购人”系指招标公告中载明的本项目的采购人。</w:t>
      </w:r>
    </w:p>
    <w:p w14:paraId="4287C6A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 “采购代理机构”系指招标公告中载明的本项目的采购代理机构。</w:t>
      </w:r>
    </w:p>
    <w:p w14:paraId="7A867E1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 “投标人”系指是指响应招标、参加投标竞争的法人、其他组织或者自然人。</w:t>
      </w:r>
    </w:p>
    <w:p w14:paraId="68BE96C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2.4 “负责人”系指法人企业的法定负责人，或其他组织为法律、行政法规规定代表单位行使职权的主要负责人，或自然人本人。</w:t>
      </w:r>
    </w:p>
    <w:p w14:paraId="260A198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16EA8CF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2.6“电子交易平台”系指本项目政府采购活动所依托的政府采购云平台（https://www.zcygov.cn/）。</w:t>
      </w:r>
    </w:p>
    <w:p w14:paraId="3E82B0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2.7 “▲” 系指实质性要求条款，“</w:t>
      </w:r>
      <w:r>
        <w:rPr>
          <w:rFonts w:hint="eastAsia" w:ascii="Wingdings" w:hAnsi="Wingdings" w:eastAsia="宋体" w:cs="宋体"/>
          <w:color w:val="auto"/>
          <w:kern w:val="0"/>
          <w:sz w:val="24"/>
          <w:szCs w:val="24"/>
          <w:highlight w:val="none"/>
          <w:lang w:val="en-US" w:eastAsia="zh-CN" w:bidi="ar-SA"/>
        </w:rPr>
        <w:t>þ</w:t>
      </w:r>
      <w:r>
        <w:rPr>
          <w:rFonts w:hint="eastAsia" w:ascii="宋体" w:hAnsi="宋体" w:eastAsia="宋体" w:cs="宋体"/>
          <w:color w:val="auto"/>
          <w:sz w:val="24"/>
          <w:highlight w:val="none"/>
        </w:rPr>
        <w:t>” 系指适用本项目的要求，“</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 系指不适用本项目的要求。</w:t>
      </w:r>
    </w:p>
    <w:p w14:paraId="5E26EC44">
      <w:pPr>
        <w:spacing w:line="360" w:lineRule="auto"/>
        <w:ind w:firstLine="241" w:firstLineChars="1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color w:val="auto"/>
          <w:highlight w:val="none"/>
        </w:rPr>
        <w:t xml:space="preserve"> </w:t>
      </w:r>
      <w:r>
        <w:rPr>
          <w:rFonts w:hint="eastAsia" w:ascii="宋体" w:hAnsi="宋体" w:eastAsia="宋体" w:cs="宋体"/>
          <w:b/>
          <w:color w:val="auto"/>
          <w:sz w:val="24"/>
          <w:highlight w:val="none"/>
        </w:rPr>
        <w:t>采购项目需要落实的政府采购政策</w:t>
      </w:r>
    </w:p>
    <w:p w14:paraId="5BA9388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eastAsia="宋体" w:cs="宋体"/>
          <w:color w:val="auto"/>
          <w:kern w:val="0"/>
          <w:sz w:val="24"/>
          <w:highlight w:val="none"/>
        </w:rPr>
        <w:t>优先采购向我国企业转让技术、与我国企业签订消化吸收再创新方案的供应商的进口产品</w:t>
      </w:r>
      <w:r>
        <w:rPr>
          <w:rFonts w:hint="eastAsia" w:ascii="宋体" w:hAnsi="宋体" w:eastAsia="宋体" w:cs="宋体"/>
          <w:color w:val="auto"/>
          <w:sz w:val="24"/>
          <w:highlight w:val="none"/>
        </w:rPr>
        <w:t>。</w:t>
      </w:r>
    </w:p>
    <w:p w14:paraId="6A6DF7A8">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3.2 支持绿色发展</w:t>
      </w:r>
    </w:p>
    <w:p w14:paraId="62A4A9D4">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EF3DA1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3.2.2 修缮、装修类项目采购建材的，采购人应将绿色建筑和绿色建材性能、指标等作为实质性条件纳入招标文件和合同。</w:t>
      </w:r>
    </w:p>
    <w:p w14:paraId="44FE671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164326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2D15381B">
      <w:pPr>
        <w:spacing w:line="360" w:lineRule="auto"/>
        <w:ind w:firstLine="240"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w:t>3.3支持中小企业发展</w:t>
      </w:r>
    </w:p>
    <w:p w14:paraId="79D00DA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0ED4AB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符合中小企业划分标准的个体工商户，在政府采购活动中视同中小企业。</w:t>
      </w:r>
    </w:p>
    <w:p w14:paraId="2E99507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3.3.2</w:t>
      </w:r>
      <w:r>
        <w:rPr>
          <w:rFonts w:hint="eastAsia" w:ascii="宋体" w:hAnsi="宋体" w:eastAsia="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039E9F1">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以联合体形式参加政府采购活动，联合体各方均为中小企业的，联合体视同中小企业。其中，联合体各方均为小微企业的，联合体视同小微企业。</w:t>
      </w:r>
    </w:p>
    <w:p w14:paraId="2407480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EABEA3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629EEF0">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EB1088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69F480FF">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3.3.7中小企业享受扶持政策获得政府采购合同的，小微企业不得将合同分包给大中型企业，中型企业不得将合同分包给大型企业。</w:t>
      </w:r>
    </w:p>
    <w:p w14:paraId="198718E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w:t>
      </w:r>
      <w:r>
        <w:rPr>
          <w:rFonts w:hint="eastAsia" w:ascii="宋体" w:hAnsi="宋体" w:eastAsia="宋体" w:cs="宋体"/>
          <w:bCs/>
          <w:color w:val="auto"/>
          <w:sz w:val="24"/>
          <w:highlight w:val="none"/>
        </w:rPr>
        <w:t>支持创新发展</w:t>
      </w:r>
    </w:p>
    <w:p w14:paraId="0A0FF96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3.4.1 采购人优先采购被认定为首台套产品和“制造精品”的自主创新产品。</w:t>
      </w:r>
    </w:p>
    <w:p w14:paraId="4122F2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645030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3.5平等对待内外资企业和符合条件的破产重整企业</w:t>
      </w:r>
    </w:p>
    <w:p w14:paraId="2E29DE8B">
      <w:pPr>
        <w:spacing w:line="360" w:lineRule="auto"/>
        <w:ind w:firstLine="240" w:firstLineChars="100"/>
        <w:outlineLvl w:val="1"/>
        <w:rPr>
          <w:rFonts w:hint="eastAsia" w:ascii="宋体" w:hAnsi="宋体" w:eastAsia="宋体" w:cs="宋体"/>
          <w:b/>
          <w:color w:val="auto"/>
          <w:sz w:val="24"/>
          <w:highlight w:val="none"/>
        </w:rPr>
      </w:pPr>
      <w:r>
        <w:rPr>
          <w:rFonts w:hint="eastAsia" w:ascii="宋体" w:hAnsi="宋体" w:eastAsia="宋体" w:cs="宋体"/>
          <w:color w:val="auto"/>
          <w:sz w:val="24"/>
          <w:highlight w:val="none"/>
        </w:rPr>
        <w:t>平等对待内外资企业和符合条件的破产重整企业，切实保障企业公平竞争，平等维护企业的合法利益。</w:t>
      </w:r>
      <w:r>
        <w:rPr>
          <w:rFonts w:hint="eastAsia" w:ascii="宋体" w:hAnsi="宋体" w:eastAsia="宋体" w:cs="宋体"/>
          <w:color w:val="auto"/>
          <w:sz w:val="24"/>
          <w:highlight w:val="none"/>
        </w:rPr>
        <w:cr/>
      </w:r>
      <w:r>
        <w:rPr>
          <w:rFonts w:hint="eastAsia" w:ascii="宋体" w:hAnsi="宋体" w:eastAsia="宋体" w:cs="宋体"/>
          <w:b/>
          <w:color w:val="auto"/>
          <w:sz w:val="24"/>
          <w:highlight w:val="none"/>
        </w:rPr>
        <w:t>4. 询问、质疑、投诉</w:t>
      </w:r>
      <w:r>
        <w:rPr>
          <w:rFonts w:hint="eastAsia" w:ascii="宋体" w:hAnsi="宋体" w:eastAsia="宋体" w:cs="宋体"/>
          <w:b/>
          <w:color w:val="auto"/>
          <w:sz w:val="24"/>
          <w:szCs w:val="24"/>
          <w:highlight w:val="none"/>
        </w:rPr>
        <w:t>、补偿救济</w:t>
      </w:r>
    </w:p>
    <w:p w14:paraId="4D075565">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ADFDDBE">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4.2供应商询问</w:t>
      </w:r>
    </w:p>
    <w:p w14:paraId="0B36D4CF">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630F767">
      <w:pPr>
        <w:autoSpaceDE w:val="0"/>
        <w:autoSpaceDN w:val="0"/>
        <w:spacing w:line="360" w:lineRule="auto"/>
        <w:ind w:firstLine="240" w:firstLineChars="1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4.3供应商质疑</w:t>
      </w:r>
    </w:p>
    <w:p w14:paraId="3927B0C1">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.1提出质疑的供应商应当是参与所质疑项目采购活动的供应商。潜在供应商已依法获取其可质疑的招标文件的，可以对该文件提出质疑。</w:t>
      </w:r>
    </w:p>
    <w:p w14:paraId="5AD41E95">
      <w:pPr>
        <w:pStyle w:val="33"/>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4.3</w:t>
      </w:r>
      <w:r>
        <w:rPr>
          <w:rFonts w:hint="eastAsia" w:ascii="宋体" w:hAnsi="宋体" w:eastAsia="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5A4F1680">
      <w:pPr>
        <w:pStyle w:val="17"/>
        <w:spacing w:line="360" w:lineRule="auto"/>
        <w:ind w:firstLine="480" w:firstLineChars="2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4.3.2.1对招标文件提出质疑的，质疑期限为供应商获得招标文件之日或者招标文件公告期限届满之日起计算。</w:t>
      </w:r>
    </w:p>
    <w:p w14:paraId="7879630F">
      <w:pPr>
        <w:pStyle w:val="33"/>
        <w:spacing w:line="360" w:lineRule="auto"/>
        <w:ind w:left="479" w:leftChars="228"/>
        <w:rPr>
          <w:rFonts w:hint="eastAsia" w:ascii="宋体" w:hAnsi="宋体" w:eastAsia="宋体" w:cs="宋体"/>
          <w:color w:val="auto"/>
          <w:sz w:val="24"/>
          <w:highlight w:val="none"/>
        </w:rPr>
      </w:pPr>
      <w:r>
        <w:rPr>
          <w:rFonts w:hint="eastAsia" w:ascii="宋体" w:hAnsi="宋体" w:eastAsia="宋体" w:cs="宋体"/>
          <w:color w:val="auto"/>
          <w:sz w:val="24"/>
          <w:highlight w:val="none"/>
        </w:rPr>
        <w:t>4.3.2.2对采购过程提出质疑的，质疑期限为各采购程序环节结束之日起计算。4.3.2.3对采购结果提出质疑的，质疑期限自采购结果公告期限届满之日起计算。</w:t>
      </w:r>
    </w:p>
    <w:p w14:paraId="7DD77BD9">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w:t>
      </w:r>
      <w:r>
        <w:rPr>
          <w:rFonts w:hint="eastAsia" w:ascii="宋体" w:hAnsi="宋体" w:eastAsia="宋体" w:cs="宋体"/>
          <w:color w:val="auto"/>
          <w:sz w:val="24"/>
          <w:highlight w:val="none"/>
        </w:rPr>
        <w:t>供应商提出质疑应当提交质疑函和必要的证明材料。质疑函应当包括下列内容：</w:t>
      </w:r>
    </w:p>
    <w:p w14:paraId="7FCEFC16">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4.3.3.1供应商的姓名或者名称、地址、邮编、联系人及联系电话；</w:t>
      </w:r>
    </w:p>
    <w:p w14:paraId="7B583023">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4.3.3.2质疑项目的名称、编号；</w:t>
      </w:r>
    </w:p>
    <w:p w14:paraId="59838ACD">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4.3.3.3具体、明确的质疑事项和与质疑事项相关的请求；</w:t>
      </w:r>
    </w:p>
    <w:p w14:paraId="16220622">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4.3.3.4事实依据；</w:t>
      </w:r>
    </w:p>
    <w:p w14:paraId="01B2824A">
      <w:pPr>
        <w:pStyle w:val="33"/>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4.3.3.5必要的法律依据；</w:t>
      </w:r>
    </w:p>
    <w:p w14:paraId="231AED87">
      <w:pPr>
        <w:pStyle w:val="33"/>
        <w:spacing w:line="360" w:lineRule="auto"/>
        <w:ind w:firstLine="960" w:firstLineChars="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4.3.3.6提出质疑的日期。</w:t>
      </w:r>
    </w:p>
    <w:p w14:paraId="5B3256CB">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697CA085">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质疑函范本及制作说明详见附件2。</w:t>
      </w:r>
    </w:p>
    <w:p w14:paraId="3796A725">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4.3.4对同一采购程序环节的质疑，供应商须在法定质疑期内一次性提出。</w:t>
      </w:r>
    </w:p>
    <w:p w14:paraId="4D527DC5">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299D72CF">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lang w:val="zh-CN"/>
        </w:rPr>
        <w:t>4.3</w:t>
      </w:r>
      <w:r>
        <w:rPr>
          <w:rFonts w:hint="eastAsia" w:ascii="宋体" w:hAnsi="宋体" w:eastAsia="宋体" w:cs="宋体"/>
          <w:color w:val="auto"/>
          <w:highlight w:val="none"/>
        </w:rPr>
        <w:t>.6询问或者质疑事项可能影响采购结果的，采购人应当暂停签订合同，已经签订合同的，应当中止履行合同。</w:t>
      </w:r>
    </w:p>
    <w:p w14:paraId="303038EB">
      <w:pPr>
        <w:pStyle w:val="574"/>
        <w:shd w:val="clear" w:color="auto" w:fill="FFFFFF"/>
        <w:snapToGrid w:val="0"/>
        <w:spacing w:after="240" w:afterAutospacing="0" w:line="360" w:lineRule="auto"/>
        <w:ind w:firstLine="480" w:firstLineChars="200"/>
        <w:contextualSpacing/>
        <w:rPr>
          <w:rFonts w:hint="eastAsia" w:ascii="宋体" w:hAnsi="宋体" w:eastAsia="宋体" w:cs="宋体"/>
          <w:color w:val="auto"/>
          <w:highlight w:val="none"/>
          <w:lang w:val="zh-CN"/>
        </w:rPr>
      </w:pPr>
      <w:r>
        <w:rPr>
          <w:rFonts w:hint="eastAsia" w:ascii="宋体" w:hAnsi="宋体" w:eastAsia="宋体" w:cs="宋体"/>
          <w:color w:val="auto"/>
          <w:highlight w:val="none"/>
          <w:lang w:val="zh-CN"/>
        </w:rPr>
        <w:t>4.4供应商投诉</w:t>
      </w:r>
    </w:p>
    <w:p w14:paraId="04890537">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3E713F77">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w:t>
      </w:r>
      <w:r>
        <w:rPr>
          <w:rFonts w:hint="eastAsia" w:ascii="宋体" w:hAnsi="宋体" w:eastAsia="宋体" w:cs="宋体"/>
          <w:color w:val="auto"/>
          <w:highlight w:val="none"/>
          <w:lang w:val="zh-CN"/>
        </w:rPr>
        <w:t>2</w:t>
      </w:r>
      <w:r>
        <w:rPr>
          <w:rFonts w:hint="eastAsia" w:ascii="宋体" w:hAnsi="宋体" w:eastAsia="宋体" w:cs="宋体"/>
          <w:color w:val="auto"/>
          <w:highlight w:val="none"/>
        </w:rPr>
        <w:t>供应商投诉的事项不得超出已质疑事项的范围，基于质疑答复内容提出的投诉事项除外。</w:t>
      </w:r>
    </w:p>
    <w:p w14:paraId="74D94A6A">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4.4.3供应商投诉应当有明确的请求和必要的证明材料。</w:t>
      </w:r>
    </w:p>
    <w:p w14:paraId="43EDC512">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4.4.4以联合体形式参加政府采购活动的，其投诉应当由组成联合体的所有供应商共同提出。</w:t>
      </w:r>
    </w:p>
    <w:p w14:paraId="1EFAC0F2">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5AC44BBC">
      <w:pPr>
        <w:adjustRightInd w:val="0"/>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4.5 补偿救济</w:t>
      </w:r>
    </w:p>
    <w:p w14:paraId="093E2401">
      <w:pPr>
        <w:pStyle w:val="574"/>
        <w:shd w:val="clear" w:color="auto" w:fill="FFFFFF"/>
        <w:snapToGrid w:val="0"/>
        <w:spacing w:after="240" w:afterAutospacing="0" w:line="360" w:lineRule="auto"/>
        <w:ind w:firstLine="40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采购人（行政机关）因政策变化、规划调整而不履行政府采购合同的，供应商可依据《杭州市涉企补偿救济实施办法（试行）》向采购人（行政机关）提起补偿申请。</w:t>
      </w:r>
    </w:p>
    <w:p w14:paraId="72AB824E">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p>
    <w:p w14:paraId="707041BC">
      <w:pPr>
        <w:pStyle w:val="574"/>
        <w:shd w:val="clear" w:color="auto" w:fill="FFFFFF"/>
        <w:snapToGrid w:val="0"/>
        <w:spacing w:after="240" w:afterAutospacing="0" w:line="360" w:lineRule="auto"/>
        <w:ind w:firstLine="400"/>
        <w:contextualSpacing/>
        <w:rPr>
          <w:rFonts w:hint="eastAsia" w:ascii="宋体" w:hAnsi="宋体" w:eastAsia="宋体" w:cs="宋体"/>
          <w:color w:val="auto"/>
          <w:highlight w:val="none"/>
        </w:rPr>
      </w:pPr>
      <w:r>
        <w:rPr>
          <w:rFonts w:hint="eastAsia" w:ascii="宋体" w:hAnsi="宋体" w:eastAsia="宋体" w:cs="宋体"/>
          <w:color w:val="auto"/>
          <w:highlight w:val="none"/>
        </w:rPr>
        <w:t>投诉书范本及制作说明详见附件3。</w:t>
      </w:r>
    </w:p>
    <w:p w14:paraId="4EF89200">
      <w:pPr>
        <w:pStyle w:val="90"/>
        <w:snapToGrid w:val="0"/>
        <w:spacing w:before="0"/>
        <w:ind w:firstLine="360"/>
        <w:rPr>
          <w:rFonts w:hint="eastAsia" w:ascii="宋体" w:hAnsi="宋体" w:eastAsia="宋体" w:cs="宋体"/>
          <w:color w:val="auto"/>
          <w:sz w:val="18"/>
          <w:szCs w:val="18"/>
          <w:highlight w:val="none"/>
        </w:rPr>
      </w:pPr>
    </w:p>
    <w:p w14:paraId="35402728">
      <w:pPr>
        <w:adjustRightInd/>
        <w:spacing w:line="360" w:lineRule="auto"/>
        <w:jc w:val="center"/>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 xml:space="preserve">      二、招标文件的构成、澄清、修改</w:t>
      </w:r>
    </w:p>
    <w:p w14:paraId="3334A29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5．招标文件的构成</w:t>
      </w:r>
    </w:p>
    <w:p w14:paraId="08D8B261">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 招标文件包括下列文件及附件：</w:t>
      </w:r>
    </w:p>
    <w:p w14:paraId="0E685A1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5.1.1招标公告；</w:t>
      </w:r>
    </w:p>
    <w:p w14:paraId="3C520F8E">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5.1.2投标人须知；</w:t>
      </w:r>
    </w:p>
    <w:p w14:paraId="6CDAA9DD">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5.1.3采购需求；</w:t>
      </w:r>
    </w:p>
    <w:p w14:paraId="08B59C38">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5.1.4评标办法；</w:t>
      </w:r>
    </w:p>
    <w:p w14:paraId="70C982D4">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5.1.5拟签订的合同文本；</w:t>
      </w:r>
    </w:p>
    <w:p w14:paraId="3B68DBC1">
      <w:pPr>
        <w:pStyle w:val="33"/>
        <w:tabs>
          <w:tab w:val="left" w:pos="840"/>
        </w:tabs>
        <w:spacing w:line="360" w:lineRule="auto"/>
        <w:ind w:firstLine="960" w:firstLineChars="4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5.1.6</w:t>
      </w:r>
      <w:r>
        <w:rPr>
          <w:rFonts w:hint="eastAsia" w:ascii="宋体" w:hAnsi="宋体" w:eastAsia="宋体" w:cs="宋体"/>
          <w:color w:val="auto"/>
          <w:sz w:val="24"/>
          <w:szCs w:val="24"/>
          <w:highlight w:val="none"/>
        </w:rPr>
        <w:t>应提交的有关格式范例。</w:t>
      </w:r>
    </w:p>
    <w:p w14:paraId="2A86C24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5.2与本项目有关的</w:t>
      </w:r>
      <w:r>
        <w:rPr>
          <w:rFonts w:hint="eastAsia" w:ascii="宋体" w:hAnsi="宋体" w:eastAsia="宋体" w:cs="宋体"/>
          <w:bCs/>
          <w:color w:val="auto"/>
          <w:sz w:val="24"/>
          <w:highlight w:val="none"/>
        </w:rPr>
        <w:t>澄清或者修改的内容为招标文件的组成部分</w:t>
      </w:r>
      <w:r>
        <w:rPr>
          <w:rFonts w:hint="eastAsia" w:ascii="宋体" w:hAnsi="宋体" w:eastAsia="宋体" w:cs="宋体"/>
          <w:color w:val="auto"/>
          <w:sz w:val="24"/>
          <w:highlight w:val="none"/>
        </w:rPr>
        <w:t>。</w:t>
      </w:r>
    </w:p>
    <w:p w14:paraId="7940B69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 招标文件的澄清、修改</w:t>
      </w:r>
    </w:p>
    <w:p w14:paraId="7D154B93">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6.1已获取招标文件的潜在投标人，若有问题需要澄清，应于投标截止时间前，以书面形式向采购代理机构提出。</w:t>
      </w:r>
    </w:p>
    <w:p w14:paraId="58E1C2E9">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EB8152">
      <w:pPr>
        <w:pStyle w:val="2"/>
        <w:rPr>
          <w:rFonts w:hint="eastAsia" w:ascii="宋体" w:hAnsi="宋体" w:eastAsia="宋体" w:cs="宋体"/>
          <w:color w:val="auto"/>
          <w:sz w:val="18"/>
          <w:szCs w:val="18"/>
          <w:highlight w:val="none"/>
          <w:lang w:val="en-US"/>
        </w:rPr>
      </w:pPr>
      <w:r>
        <w:rPr>
          <w:rFonts w:hint="eastAsia" w:ascii="宋体" w:hAnsi="宋体" w:eastAsia="宋体" w:cs="宋体"/>
          <w:color w:val="auto"/>
          <w:szCs w:val="24"/>
          <w:highlight w:val="none"/>
          <w:lang w:val="en-US"/>
        </w:rPr>
        <w:t xml:space="preserve">    </w:t>
      </w:r>
    </w:p>
    <w:p w14:paraId="642DDB01">
      <w:pPr>
        <w:adjustRightInd/>
        <w:spacing w:line="360" w:lineRule="auto"/>
        <w:jc w:val="center"/>
        <w:outlineLvl w:val="0"/>
        <w:rPr>
          <w:rFonts w:hint="eastAsia" w:ascii="宋体" w:hAnsi="宋体" w:eastAsia="宋体" w:cs="宋体"/>
          <w:b/>
          <w:color w:val="auto"/>
          <w:sz w:val="30"/>
          <w:szCs w:val="20"/>
          <w:highlight w:val="none"/>
        </w:rPr>
      </w:pPr>
      <w:r>
        <w:rPr>
          <w:rFonts w:hint="eastAsia" w:ascii="宋体" w:hAnsi="宋体" w:eastAsia="宋体" w:cs="宋体"/>
          <w:b/>
          <w:color w:val="auto"/>
          <w:sz w:val="30"/>
          <w:szCs w:val="20"/>
          <w:highlight w:val="none"/>
        </w:rPr>
        <w:t>三、投标</w:t>
      </w:r>
    </w:p>
    <w:p w14:paraId="3DD79F09">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7. 招标文件的获取</w:t>
      </w:r>
    </w:p>
    <w:p w14:paraId="7FEE087D">
      <w:pPr>
        <w:spacing w:line="360" w:lineRule="auto"/>
        <w:ind w:firstLine="480" w:firstLineChars="200"/>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详见招标公告中获取招标文件的时间期限、地点、方式及招标文件售价。</w:t>
      </w:r>
    </w:p>
    <w:p w14:paraId="58DE7A5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8.开标前答疑会或现场考察</w:t>
      </w:r>
    </w:p>
    <w:p w14:paraId="424769D9">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741BDEF6">
      <w:pPr>
        <w:pStyle w:val="33"/>
        <w:spacing w:line="360" w:lineRule="auto"/>
        <w:rPr>
          <w:rFonts w:hint="eastAsia" w:ascii="宋体" w:hAnsi="宋体" w:eastAsia="宋体" w:cs="宋体"/>
          <w:b/>
          <w:color w:val="auto"/>
          <w:szCs w:val="24"/>
          <w:highlight w:val="none"/>
        </w:rPr>
      </w:pPr>
      <w:r>
        <w:rPr>
          <w:rFonts w:hint="eastAsia" w:ascii="宋体" w:hAnsi="宋体" w:eastAsia="宋体" w:cs="宋体"/>
          <w:b/>
          <w:color w:val="auto"/>
          <w:kern w:val="28"/>
          <w:sz w:val="24"/>
          <w:szCs w:val="24"/>
          <w:highlight w:val="none"/>
        </w:rPr>
        <w:t>9.投标保证金</w:t>
      </w:r>
    </w:p>
    <w:p w14:paraId="5A81FDDC">
      <w:pPr>
        <w:pStyle w:val="17"/>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本项目不需缴纳投标保证金。</w:t>
      </w:r>
    </w:p>
    <w:p w14:paraId="773B138B">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 投标文件的语言</w:t>
      </w:r>
    </w:p>
    <w:p w14:paraId="44C0A38D">
      <w:pPr>
        <w:autoSpaceDE w:val="0"/>
        <w:autoSpaceDN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投标文件及投标人与采购有关的来往通知、函件和文件均应使用中文。</w:t>
      </w:r>
    </w:p>
    <w:p w14:paraId="6C9F3DD8">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 投标文件的组成</w:t>
      </w:r>
    </w:p>
    <w:p w14:paraId="05D1787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11.1</w:t>
      </w:r>
      <w:r>
        <w:rPr>
          <w:rFonts w:hint="eastAsia" w:ascii="宋体" w:hAnsi="宋体" w:eastAsia="宋体" w:cs="宋体"/>
          <w:b/>
          <w:color w:val="auto"/>
          <w:sz w:val="24"/>
          <w:highlight w:val="none"/>
        </w:rPr>
        <w:t>资格文件</w:t>
      </w:r>
      <w:r>
        <w:rPr>
          <w:rFonts w:hint="eastAsia" w:ascii="宋体" w:hAnsi="宋体" w:eastAsia="宋体" w:cs="宋体"/>
          <w:color w:val="auto"/>
          <w:sz w:val="24"/>
          <w:highlight w:val="none"/>
        </w:rPr>
        <w:t>：</w:t>
      </w:r>
    </w:p>
    <w:p w14:paraId="0BCEC1EE">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11.1.1符合参加政府采购活动应当具备的一般条件的承诺函；</w:t>
      </w:r>
    </w:p>
    <w:p w14:paraId="6E05332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11.1.2</w:t>
      </w:r>
      <w:r>
        <w:rPr>
          <w:rFonts w:hint="eastAsia" w:ascii="宋体" w:hAnsi="宋体" w:eastAsia="宋体" w:cs="宋体"/>
          <w:snapToGrid w:val="0"/>
          <w:color w:val="auto"/>
          <w:kern w:val="28"/>
          <w:sz w:val="24"/>
          <w:szCs w:val="20"/>
          <w:highlight w:val="none"/>
        </w:rPr>
        <w:t>联合协议（如果有)；</w:t>
      </w:r>
    </w:p>
    <w:p w14:paraId="1D6B6590">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11.1.3落实政府采购政策需满足的资格要求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E4E00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11.1.4本项目的特定资格要求</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5086B9CB">
      <w:pPr>
        <w:snapToGrid w:val="0"/>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72FB681C">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11.2.1投标函；</w:t>
      </w:r>
      <w:r>
        <w:rPr>
          <w:rFonts w:hint="eastAsia" w:ascii="宋体" w:hAnsi="宋体" w:eastAsia="宋体" w:cs="宋体"/>
          <w:color w:val="auto"/>
          <w:sz w:val="24"/>
          <w:highlight w:val="none"/>
          <w:lang w:val="zh-CN"/>
        </w:rPr>
        <w:t xml:space="preserve"> </w:t>
      </w:r>
    </w:p>
    <w:p w14:paraId="4B4C0FBB">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11.2.2授权委托书或法定代表人（单位负责人、自然人本人）身份证明；</w:t>
      </w:r>
    </w:p>
    <w:p w14:paraId="2AE012B6">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11.2.3分包意向协议</w:t>
      </w:r>
      <w:r>
        <w:rPr>
          <w:rFonts w:hint="eastAsia" w:ascii="宋体" w:hAnsi="宋体" w:eastAsia="宋体" w:cs="宋体"/>
          <w:snapToGrid w:val="0"/>
          <w:color w:val="auto"/>
          <w:kern w:val="28"/>
          <w:sz w:val="24"/>
          <w:szCs w:val="20"/>
          <w:highlight w:val="none"/>
        </w:rPr>
        <w:t>（如果有)</w:t>
      </w:r>
      <w:r>
        <w:rPr>
          <w:rFonts w:hint="eastAsia" w:ascii="宋体" w:hAnsi="宋体" w:eastAsia="宋体" w:cs="宋体"/>
          <w:color w:val="auto"/>
          <w:sz w:val="24"/>
          <w:highlight w:val="none"/>
        </w:rPr>
        <w:t>；</w:t>
      </w:r>
    </w:p>
    <w:p w14:paraId="40E5C2A2">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11.2.4符合性审查资料；</w:t>
      </w:r>
    </w:p>
    <w:p w14:paraId="00BBE11E">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11.2.5评标标准相应的商务技术资料；</w:t>
      </w:r>
    </w:p>
    <w:p w14:paraId="7BD5603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11.2.6投标标的清单；</w:t>
      </w:r>
    </w:p>
    <w:p w14:paraId="71166335">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11.2.7商务技术偏离表；</w:t>
      </w:r>
    </w:p>
    <w:p w14:paraId="6D46C427">
      <w:pPr>
        <w:snapToGrid w:val="0"/>
        <w:spacing w:line="360" w:lineRule="auto"/>
        <w:ind w:firstLine="960" w:firstLineChars="4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11.</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61F5DEAE">
      <w:pPr>
        <w:snapToGrid w:val="0"/>
        <w:spacing w:line="360" w:lineRule="auto"/>
        <w:ind w:firstLine="480" w:firstLineChars="200"/>
        <w:rPr>
          <w:rFonts w:hint="eastAsia" w:ascii="宋体" w:hAnsi="宋体" w:eastAsia="宋体" w:cs="宋体"/>
          <w:color w:val="auto"/>
          <w:sz w:val="24"/>
          <w:highlight w:val="none"/>
          <w:u w:val="single"/>
          <w:lang w:val="zh-CN"/>
        </w:rPr>
      </w:pPr>
      <w:r>
        <w:rPr>
          <w:rFonts w:hint="eastAsia" w:ascii="宋体" w:hAnsi="宋体" w:eastAsia="宋体" w:cs="宋体"/>
          <w:color w:val="auto"/>
          <w:kern w:val="0"/>
          <w:sz w:val="24"/>
          <w:highlight w:val="none"/>
          <w:lang w:val="zh-CN"/>
        </w:rPr>
        <w:t>11.</w:t>
      </w:r>
      <w:r>
        <w:rPr>
          <w:rFonts w:hint="eastAsia" w:ascii="宋体" w:hAnsi="宋体" w:eastAsia="宋体" w:cs="宋体"/>
          <w:color w:val="auto"/>
          <w:kern w:val="0"/>
          <w:sz w:val="24"/>
          <w:highlight w:val="none"/>
        </w:rPr>
        <w:t>3</w:t>
      </w:r>
      <w:r>
        <w:rPr>
          <w:rFonts w:hint="eastAsia" w:ascii="宋体" w:hAnsi="宋体" w:eastAsia="宋体" w:cs="宋体"/>
          <w:b/>
          <w:color w:val="auto"/>
          <w:sz w:val="24"/>
          <w:highlight w:val="none"/>
        </w:rPr>
        <w:t>报价文件：</w:t>
      </w:r>
      <w:r>
        <w:rPr>
          <w:rFonts w:hint="eastAsia" w:ascii="宋体" w:hAnsi="宋体" w:eastAsia="宋体" w:cs="宋体"/>
          <w:color w:val="auto"/>
          <w:sz w:val="24"/>
          <w:highlight w:val="none"/>
        </w:rPr>
        <w:t xml:space="preserve"> </w:t>
      </w:r>
    </w:p>
    <w:p w14:paraId="6D1F030C">
      <w:pPr>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11.3.1开标一览表（报价表）；</w:t>
      </w:r>
    </w:p>
    <w:p w14:paraId="2E8E5C76">
      <w:pPr>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报价情况说明；</w:t>
      </w:r>
    </w:p>
    <w:p w14:paraId="4B070732">
      <w:pPr>
        <w:snapToGrid w:val="0"/>
        <w:spacing w:line="360" w:lineRule="auto"/>
        <w:ind w:firstLine="960" w:firstLineChars="4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中小企业声明函。</w:t>
      </w:r>
      <w:r>
        <w:rPr>
          <w:rFonts w:hint="eastAsia" w:ascii="宋体" w:hAnsi="宋体" w:eastAsia="宋体" w:cs="宋体"/>
          <w:snapToGrid w:val="0"/>
          <w:color w:val="auto"/>
          <w:kern w:val="28"/>
          <w:sz w:val="24"/>
          <w:szCs w:val="24"/>
          <w:highlight w:val="none"/>
        </w:rPr>
        <w:t>（如果有)</w:t>
      </w:r>
    </w:p>
    <w:p w14:paraId="5728D194">
      <w:pPr>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投标文件含有采购人不能接受的附加条件的，投标无效；</w:t>
      </w:r>
    </w:p>
    <w:p w14:paraId="6D650A96">
      <w:pPr>
        <w:spacing w:line="360" w:lineRule="auto"/>
        <w:ind w:firstLine="723" w:firstLineChars="3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投标人提供虚假材料投标的，投标无效。</w:t>
      </w:r>
    </w:p>
    <w:p w14:paraId="2125E3A2">
      <w:pPr>
        <w:spacing w:line="360" w:lineRule="auto"/>
        <w:ind w:firstLine="723" w:firstLineChars="300"/>
        <w:rPr>
          <w:rFonts w:hint="eastAsia" w:ascii="宋体" w:hAnsi="宋体" w:eastAsia="宋体" w:cs="宋体"/>
          <w:b/>
          <w:color w:val="auto"/>
          <w:sz w:val="24"/>
          <w:szCs w:val="21"/>
          <w:highlight w:val="none"/>
        </w:rPr>
      </w:pPr>
      <w:r>
        <w:rPr>
          <w:rFonts w:hint="eastAsia" w:ascii="宋体" w:hAnsi="宋体" w:eastAsia="宋体" w:cs="宋体"/>
          <w:b/>
          <w:color w:val="auto"/>
          <w:kern w:val="2"/>
          <w:sz w:val="24"/>
          <w:szCs w:val="24"/>
          <w:highlight w:val="none"/>
          <w:lang w:val="en-US" w:eastAsia="zh-CN" w:bidi="ar-SA"/>
        </w:rPr>
        <w:t>投标人应对投标文件中材料的真实性、合法性负责。</w:t>
      </w:r>
    </w:p>
    <w:p w14:paraId="084ADD03">
      <w:pPr>
        <w:pStyle w:val="90"/>
        <w:snapToGrid w:val="0"/>
        <w:spacing w:before="0"/>
        <w:ind w:firstLine="0" w:firstLineChars="0"/>
        <w:outlineLvl w:val="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12</w:t>
      </w:r>
      <w:r>
        <w:rPr>
          <w:rFonts w:hint="eastAsia" w:ascii="宋体" w:hAnsi="宋体" w:eastAsia="宋体" w:cs="宋体"/>
          <w:b/>
          <w:color w:val="auto"/>
          <w:kern w:val="0"/>
          <w:szCs w:val="24"/>
          <w:highlight w:val="none"/>
          <w:lang w:val="zh-CN"/>
        </w:rPr>
        <w:t xml:space="preserve">. </w:t>
      </w:r>
      <w:r>
        <w:rPr>
          <w:rFonts w:hint="eastAsia" w:ascii="宋体" w:hAnsi="宋体" w:eastAsia="宋体" w:cs="宋体"/>
          <w:b/>
          <w:color w:val="auto"/>
          <w:szCs w:val="24"/>
          <w:highlight w:val="none"/>
        </w:rPr>
        <w:t>投标文件的编制</w:t>
      </w:r>
    </w:p>
    <w:p w14:paraId="4E5C9ACC">
      <w:pPr>
        <w:spacing w:line="360" w:lineRule="auto"/>
        <w:ind w:firstLine="480" w:firstLineChars="200"/>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C5FEA47">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29C6EE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11D7F98E">
      <w:pPr>
        <w:snapToGrid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13.投标文件的签署、盖章</w:t>
      </w:r>
    </w:p>
    <w:p w14:paraId="0D5F1796">
      <w:pPr>
        <w:pStyle w:val="90"/>
        <w:snapToGrid w:val="0"/>
        <w:spacing w:before="0"/>
        <w:ind w:firstLine="480"/>
        <w:rPr>
          <w:rFonts w:hint="eastAsia" w:ascii="宋体" w:hAnsi="宋体" w:eastAsia="宋体" w:cs="宋体"/>
          <w:b/>
          <w:color w:val="auto"/>
          <w:highlight w:val="none"/>
        </w:rPr>
      </w:pPr>
      <w:r>
        <w:rPr>
          <w:rFonts w:hint="eastAsia" w:ascii="宋体" w:hAnsi="宋体" w:eastAsia="宋体" w:cs="宋体"/>
          <w:color w:val="auto"/>
          <w:szCs w:val="24"/>
          <w:highlight w:val="none"/>
        </w:rPr>
        <w:t>13.1投标文件按照招标文件第六部分格式要</w:t>
      </w:r>
      <w:r>
        <w:rPr>
          <w:rFonts w:hint="eastAsia" w:ascii="宋体" w:hAnsi="宋体" w:eastAsia="宋体" w:cs="宋体"/>
          <w:color w:val="auto"/>
          <w:highlight w:val="none"/>
        </w:rPr>
        <w:t>求进行签署、盖章。</w:t>
      </w:r>
      <w:r>
        <w:rPr>
          <w:rFonts w:hint="eastAsia" w:ascii="宋体" w:hAnsi="宋体" w:eastAsia="宋体" w:cs="宋体"/>
          <w:b/>
          <w:color w:val="auto"/>
          <w:highlight w:val="none"/>
        </w:rPr>
        <w:t>▲投标人的投标文件未按照招标文件要求签署、盖章的，其投标无效</w:t>
      </w:r>
      <w:r>
        <w:rPr>
          <w:rFonts w:hint="eastAsia" w:ascii="宋体" w:hAnsi="宋体" w:eastAsia="宋体" w:cs="宋体"/>
          <w:color w:val="auto"/>
          <w:szCs w:val="24"/>
          <w:highlight w:val="none"/>
        </w:rPr>
        <w:t>。</w:t>
      </w:r>
    </w:p>
    <w:p w14:paraId="34F8921E">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65836537">
      <w:pPr>
        <w:pStyle w:val="90"/>
        <w:snapToGrid w:val="0"/>
        <w:spacing w:before="0"/>
        <w:ind w:firstLine="480"/>
        <w:rPr>
          <w:rFonts w:hint="eastAsia" w:ascii="宋体" w:hAnsi="宋体" w:eastAsia="宋体" w:cs="宋体"/>
          <w:color w:val="auto"/>
          <w:szCs w:val="24"/>
          <w:highlight w:val="none"/>
        </w:rPr>
      </w:pPr>
      <w:r>
        <w:rPr>
          <w:rFonts w:hint="eastAsia" w:ascii="宋体" w:hAnsi="宋体" w:eastAsia="宋体" w:cs="宋体"/>
          <w:color w:val="auto"/>
          <w:highlight w:val="none"/>
        </w:rPr>
        <w:t>13.3招标文件对投标文件签署、盖章的要求适用于电子签名。</w:t>
      </w:r>
    </w:p>
    <w:p w14:paraId="49393AC2">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14. 投标文件的提交、补充、修改、撤回</w:t>
      </w:r>
    </w:p>
    <w:p w14:paraId="54491779">
      <w:pPr>
        <w:pStyle w:val="9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6D0C0F5">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D2E3FA2">
      <w:pPr>
        <w:pStyle w:val="90"/>
        <w:spacing w:before="0"/>
        <w:ind w:firstLine="480"/>
        <w:rPr>
          <w:rFonts w:hint="eastAsia" w:ascii="宋体" w:hAnsi="宋体" w:eastAsia="宋体" w:cs="宋体"/>
          <w:color w:val="auto"/>
          <w:szCs w:val="24"/>
          <w:highlight w:val="none"/>
        </w:rPr>
      </w:pPr>
      <w:r>
        <w:rPr>
          <w:rFonts w:hint="eastAsia" w:ascii="宋体" w:hAnsi="宋体" w:eastAsia="宋体" w:cs="宋体"/>
          <w:color w:val="auto"/>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76C2DCC3">
      <w:pPr>
        <w:pStyle w:val="33"/>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15.备份投标文件</w:t>
      </w:r>
    </w:p>
    <w:p w14:paraId="33BF5ED6">
      <w:pPr>
        <w:pStyle w:val="33"/>
        <w:spacing w:line="360" w:lineRule="auto"/>
        <w:ind w:firstLine="360" w:firstLineChars="15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 xml:space="preserve"> 15.1投标人在电子交易平台传输递交投标文件后，还可以在投标截止时间前半小时内以快递方式</w:t>
      </w:r>
      <w:r>
        <w:rPr>
          <w:rFonts w:hint="eastAsia" w:ascii="宋体" w:hAnsi="宋体" w:eastAsia="宋体" w:cs="宋体"/>
          <w:color w:val="auto"/>
          <w:sz w:val="24"/>
          <w:szCs w:val="24"/>
          <w:highlight w:val="none"/>
          <w:lang w:val="en-US" w:eastAsia="zh-CN"/>
        </w:rPr>
        <w:t>或直接</w:t>
      </w:r>
      <w:r>
        <w:rPr>
          <w:rFonts w:hint="eastAsia" w:ascii="宋体" w:hAnsi="宋体" w:eastAsia="宋体" w:cs="宋体"/>
          <w:color w:val="auto"/>
          <w:sz w:val="24"/>
          <w:szCs w:val="24"/>
          <w:highlight w:val="none"/>
        </w:rPr>
        <w:t>递交备份投标文件1份至</w:t>
      </w:r>
      <w:r>
        <w:rPr>
          <w:rFonts w:hint="eastAsia" w:ascii="宋体" w:hAnsi="宋体" w:eastAsia="宋体" w:cs="宋体"/>
          <w:color w:val="auto"/>
          <w:sz w:val="24"/>
          <w:szCs w:val="24"/>
          <w:highlight w:val="none"/>
          <w:lang w:val="en-US" w:eastAsia="zh-CN"/>
        </w:rPr>
        <w:t>X</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但采购人、采购代理机构不强制或变相强制投标人提交备份投标文件。</w:t>
      </w:r>
    </w:p>
    <w:p w14:paraId="0E7F28EE">
      <w:pPr>
        <w:pStyle w:val="33"/>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15.2备份投标文件须在“政采云投标客户端”制作生成，并储存在</w:t>
      </w:r>
      <w:r>
        <w:rPr>
          <w:rFonts w:hint="eastAsia" w:ascii="宋体" w:hAnsi="宋体" w:eastAsia="宋体" w:cs="宋体"/>
          <w:color w:val="auto"/>
          <w:sz w:val="24"/>
          <w:highlight w:val="none"/>
        </w:rPr>
        <w:t>DVD光盘等存储介质</w:t>
      </w:r>
      <w:r>
        <w:rPr>
          <w:rFonts w:hint="eastAsia" w:ascii="宋体" w:hAnsi="宋体" w:eastAsia="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4"/>
          <w:highlight w:val="none"/>
        </w:rPr>
        <w:t>不符合上述制作、</w:t>
      </w:r>
      <w:r>
        <w:rPr>
          <w:rFonts w:hint="eastAsia" w:ascii="宋体" w:hAnsi="宋体" w:eastAsia="宋体" w:cs="宋体"/>
          <w:b/>
          <w:color w:val="auto"/>
          <w:sz w:val="24"/>
          <w:szCs w:val="24"/>
          <w:highlight w:val="none"/>
        </w:rPr>
        <w:t>存储、密封规定的备份投标文件将被视为无效或者被拒绝接收。</w:t>
      </w:r>
    </w:p>
    <w:p w14:paraId="57757D0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021862D5">
      <w:pPr>
        <w:pStyle w:val="33"/>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3C7C8882">
      <w:pPr>
        <w:pStyle w:val="33"/>
        <w:spacing w:line="360" w:lineRule="auto"/>
        <w:ind w:firstLine="479" w:firstLineChars="19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15.5投标人仅提交备份投标文件，未在电子交易平台传输递交投标文件的，投标无效。</w:t>
      </w:r>
    </w:p>
    <w:p w14:paraId="12C85E39">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16.投标文件的无效处理</w:t>
      </w:r>
    </w:p>
    <w:p w14:paraId="0C2D3C43">
      <w:pPr>
        <w:pStyle w:val="25"/>
        <w:spacing w:line="360" w:lineRule="auto"/>
        <w:ind w:firstLine="360"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有招标文件第四部分4.2规定的情形之一的，投标无效：</w:t>
      </w:r>
    </w:p>
    <w:p w14:paraId="6D3A4DCA">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17.投标有效期</w:t>
      </w:r>
    </w:p>
    <w:p w14:paraId="7A10E72C">
      <w:pPr>
        <w:spacing w:line="360" w:lineRule="auto"/>
        <w:ind w:firstLine="480" w:firstLineChars="200"/>
        <w:rPr>
          <w:rFonts w:hint="eastAsia" w:ascii="宋体" w:hAnsi="宋体" w:eastAsia="宋体" w:cs="宋体"/>
          <w:b/>
          <w:color w:val="auto"/>
          <w:sz w:val="24"/>
          <w:szCs w:val="21"/>
          <w:highlight w:val="none"/>
        </w:rPr>
      </w:pPr>
      <w:r>
        <w:rPr>
          <w:rFonts w:hint="eastAsia" w:ascii="宋体" w:hAnsi="宋体" w:eastAsia="宋体" w:cs="宋体"/>
          <w:color w:val="auto"/>
          <w:sz w:val="24"/>
          <w:szCs w:val="20"/>
          <w:highlight w:val="none"/>
        </w:rPr>
        <w:t>17.1投标有效期为从提交投标文件的截止之日起90天。▲</w:t>
      </w:r>
      <w:r>
        <w:rPr>
          <w:rFonts w:hint="eastAsia" w:ascii="宋体" w:hAnsi="宋体" w:eastAsia="宋体" w:cs="宋体"/>
          <w:b/>
          <w:color w:val="auto"/>
          <w:sz w:val="24"/>
          <w:szCs w:val="20"/>
          <w:highlight w:val="none"/>
        </w:rPr>
        <w:t>投标人的投标文件中承</w:t>
      </w:r>
      <w:r>
        <w:rPr>
          <w:rFonts w:hint="eastAsia" w:ascii="宋体" w:hAnsi="宋体" w:eastAsia="宋体" w:cs="宋体"/>
          <w:b/>
          <w:color w:val="auto"/>
          <w:sz w:val="24"/>
          <w:szCs w:val="21"/>
          <w:highlight w:val="none"/>
        </w:rPr>
        <w:t>诺的投标有效期少于招标文件中载明的投标有效期的，投标无效。</w:t>
      </w:r>
    </w:p>
    <w:p w14:paraId="0C8520DE">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17.2投标文件合格投递后，自投标截止日期起，在投标有效期内有效。</w:t>
      </w:r>
    </w:p>
    <w:p w14:paraId="2452E354">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5B86E0EC">
      <w:pPr>
        <w:pStyle w:val="90"/>
        <w:spacing w:before="0"/>
        <w:ind w:firstLine="643"/>
        <w:rPr>
          <w:rFonts w:hint="eastAsia" w:ascii="宋体" w:hAnsi="宋体" w:eastAsia="宋体" w:cs="宋体"/>
          <w:b/>
          <w:color w:val="auto"/>
          <w:sz w:val="32"/>
          <w:highlight w:val="none"/>
        </w:rPr>
      </w:pPr>
    </w:p>
    <w:p w14:paraId="06D6C62A">
      <w:pPr>
        <w:pStyle w:val="90"/>
        <w:spacing w:before="0"/>
        <w:ind w:firstLine="1928" w:firstLineChars="600"/>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四、开标、资格审查与信用信息查询</w:t>
      </w:r>
    </w:p>
    <w:p w14:paraId="45D8D282">
      <w:pPr>
        <w:pStyle w:val="245"/>
        <w:spacing w:before="0" w:line="360" w:lineRule="auto"/>
        <w:ind w:left="0" w:firstLine="241" w:firstLineChars="100"/>
        <w:contextualSpacing/>
        <w:rPr>
          <w:rFonts w:hint="eastAsia" w:ascii="宋体" w:hAnsi="宋体" w:eastAsia="宋体" w:cs="宋体"/>
          <w:color w:val="auto"/>
          <w:sz w:val="24"/>
          <w:highlight w:val="none"/>
        </w:rPr>
      </w:pPr>
      <w:r>
        <w:rPr>
          <w:rFonts w:hint="eastAsia" w:ascii="宋体" w:hAnsi="宋体" w:eastAsia="宋体" w:cs="宋体"/>
          <w:b/>
          <w:color w:val="auto"/>
          <w:sz w:val="24"/>
          <w:szCs w:val="24"/>
          <w:highlight w:val="none"/>
        </w:rPr>
        <w:t>18.开标</w:t>
      </w:r>
      <w:r>
        <w:rPr>
          <w:rFonts w:hint="eastAsia" w:ascii="宋体" w:hAnsi="宋体" w:eastAsia="宋体" w:cs="宋体"/>
          <w:color w:val="auto"/>
          <w:sz w:val="24"/>
          <w:highlight w:val="none"/>
        </w:rPr>
        <w:t xml:space="preserve"> </w:t>
      </w:r>
    </w:p>
    <w:p w14:paraId="6267EB45">
      <w:pPr>
        <w:pStyle w:val="245"/>
        <w:spacing w:before="0" w:line="360" w:lineRule="auto"/>
        <w:ind w:left="0"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18.1采购代理机构按照招标文件规定的时间通过电子交易平台组织开标，所有投标人均应当准时在线参加。投标人不足3家的，不得开标。</w:t>
      </w:r>
    </w:p>
    <w:p w14:paraId="1D32E27B">
      <w:pPr>
        <w:pStyle w:val="245"/>
        <w:spacing w:before="0" w:line="360" w:lineRule="auto"/>
        <w:ind w:left="0" w:firstLine="240" w:firstLineChars="1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598B941">
      <w:pPr>
        <w:pStyle w:val="245"/>
        <w:spacing w:before="0" w:line="360" w:lineRule="auto"/>
        <w:ind w:left="0" w:firstLine="240" w:firstLineChars="100"/>
        <w:contextualSpacing/>
        <w:rPr>
          <w:rFonts w:hint="eastAsia" w:ascii="宋体" w:hAnsi="宋体" w:eastAsia="宋体" w:cs="宋体"/>
          <w:b/>
          <w:color w:val="auto"/>
          <w:sz w:val="24"/>
          <w:highlight w:val="none"/>
        </w:rPr>
      </w:pPr>
      <w:r>
        <w:rPr>
          <w:rFonts w:hint="eastAsia" w:ascii="宋体" w:hAnsi="宋体" w:eastAsia="宋体" w:cs="宋体"/>
          <w:color w:val="auto"/>
          <w:sz w:val="24"/>
          <w:highlight w:val="none"/>
        </w:rPr>
        <w:t>　18.3</w:t>
      </w:r>
      <w:r>
        <w:rPr>
          <w:rFonts w:hint="eastAsia" w:ascii="宋体" w:hAnsi="宋体" w:eastAsia="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9712D2B">
      <w:pPr>
        <w:widowControl/>
        <w:spacing w:before="100" w:beforeAutospacing="1" w:after="240" w:line="360" w:lineRule="auto"/>
        <w:jc w:val="left"/>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　19、资格审查</w:t>
      </w:r>
    </w:p>
    <w:p w14:paraId="3228596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19.1</w:t>
      </w:r>
      <w:r>
        <w:rPr>
          <w:rFonts w:hint="eastAsia" w:ascii="宋体" w:hAnsi="宋体" w:eastAsia="宋体" w:cs="宋体"/>
          <w:color w:val="auto"/>
          <w:sz w:val="24"/>
          <w:highlight w:val="none"/>
        </w:rPr>
        <w:t>采购人或采购代理机构依据法律法规和招标文件的规定，对投标人的资格进行审查。</w:t>
      </w:r>
    </w:p>
    <w:p w14:paraId="6657C0E3">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19.2投标人未按照招标文件要求提供与</w:t>
      </w:r>
      <w:r>
        <w:rPr>
          <w:rFonts w:hint="eastAsia" w:ascii="宋体" w:hAnsi="宋体" w:eastAsia="宋体" w:cs="宋体"/>
          <w:color w:val="auto"/>
          <w:highlight w:val="none"/>
        </w:rPr>
        <w:t>资格条件相应的</w:t>
      </w:r>
      <w:r>
        <w:rPr>
          <w:rFonts w:hint="eastAsia" w:ascii="宋体" w:hAnsi="宋体" w:eastAsia="宋体" w:cs="宋体"/>
          <w:color w:val="auto"/>
          <w:kern w:val="0"/>
          <w:szCs w:val="24"/>
          <w:highlight w:val="none"/>
        </w:rPr>
        <w:t>有效资格证明材料的，视为</w:t>
      </w:r>
      <w:r>
        <w:rPr>
          <w:rFonts w:hint="eastAsia" w:ascii="宋体" w:hAnsi="宋体" w:eastAsia="宋体" w:cs="宋体"/>
          <w:color w:val="auto"/>
          <w:highlight w:val="none"/>
        </w:rPr>
        <w:t>投标人不具备招标文件中规定的资格要求，其投标无效。</w:t>
      </w:r>
    </w:p>
    <w:p w14:paraId="5BEC442C">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3对未通过资格审查的投标人，采购人或采购代理机构告知其未通过的原因。</w:t>
      </w:r>
    </w:p>
    <w:p w14:paraId="2B6B7288">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19.</w:t>
      </w:r>
      <w:r>
        <w:rPr>
          <w:rFonts w:hint="eastAsia" w:ascii="宋体" w:hAnsi="宋体" w:eastAsia="宋体" w:cs="宋体"/>
          <w:color w:val="auto"/>
          <w:highlight w:val="none"/>
        </w:rPr>
        <w:t>4合格投标人不足3家的，不再评标。</w:t>
      </w:r>
    </w:p>
    <w:p w14:paraId="2896E6A9">
      <w:pPr>
        <w:pStyle w:val="9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20、信用信息查询</w:t>
      </w:r>
    </w:p>
    <w:p w14:paraId="31EF2B7F">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20.1信用信息查询渠道及截止时间：采购代理机构将在资格审查时通过“信用中国”网站(www.creditchina.gov.cn)、中国政府采购网(www.ccgp.gov.cn)渠道查询投标人接受资格时的信用记录。</w:t>
      </w:r>
    </w:p>
    <w:p w14:paraId="38F10A56">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20.2信用信息查询记录和证据留存的具体方式：现场查询的投标人的信用记录、查询结果经确认后将与采购文件一起存档。</w:t>
      </w:r>
    </w:p>
    <w:p w14:paraId="080E4B8F">
      <w:pPr>
        <w:pStyle w:val="90"/>
        <w:spacing w:before="0"/>
        <w:ind w:firstLine="495" w:firstLineChars="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66D394AB">
      <w:pPr>
        <w:pStyle w:val="90"/>
        <w:spacing w:before="0"/>
        <w:ind w:firstLine="480"/>
        <w:rPr>
          <w:rFonts w:hint="eastAsia" w:ascii="宋体" w:hAnsi="宋体" w:eastAsia="宋体" w:cs="宋体"/>
          <w:color w:val="auto"/>
          <w:highlight w:val="none"/>
        </w:rPr>
      </w:pPr>
      <w:r>
        <w:rPr>
          <w:rFonts w:hint="eastAsia" w:ascii="宋体" w:hAnsi="宋体" w:eastAsia="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highlight w:val="none"/>
        </w:rPr>
        <w:t>。</w:t>
      </w:r>
    </w:p>
    <w:p w14:paraId="64583299">
      <w:pPr>
        <w:pStyle w:val="90"/>
        <w:spacing w:before="0"/>
        <w:ind w:firstLine="0" w:firstLineChars="0"/>
        <w:rPr>
          <w:rFonts w:hint="eastAsia" w:ascii="宋体" w:hAnsi="宋体" w:eastAsia="宋体" w:cs="宋体"/>
          <w:color w:val="auto"/>
          <w:kern w:val="0"/>
          <w:szCs w:val="24"/>
          <w:highlight w:val="none"/>
        </w:rPr>
      </w:pPr>
    </w:p>
    <w:p w14:paraId="5530EE30">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五、评标</w:t>
      </w:r>
    </w:p>
    <w:p w14:paraId="3453F27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4"/>
          <w:highlight w:val="none"/>
        </w:rPr>
        <w:t>详见招标文件第四部分评标办法。</w:t>
      </w:r>
    </w:p>
    <w:p w14:paraId="7207AC2F">
      <w:pPr>
        <w:spacing w:line="360" w:lineRule="auto"/>
        <w:rPr>
          <w:rFonts w:hint="eastAsia" w:ascii="宋体" w:hAnsi="宋体" w:eastAsia="宋体" w:cs="宋体"/>
          <w:b/>
          <w:color w:val="auto"/>
          <w:sz w:val="24"/>
          <w:highlight w:val="none"/>
        </w:rPr>
      </w:pPr>
    </w:p>
    <w:p w14:paraId="41318B51">
      <w:pPr>
        <w:snapToGrid w:val="0"/>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六、定 标</w:t>
      </w:r>
    </w:p>
    <w:p w14:paraId="2E516725">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22. 确定中标供应商</w:t>
      </w:r>
    </w:p>
    <w:p w14:paraId="329669B8">
      <w:pPr>
        <w:pStyle w:val="90"/>
        <w:snapToGrid w:val="0"/>
        <w:spacing w:before="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0093334C">
      <w:pPr>
        <w:pStyle w:val="90"/>
        <w:snapToGrid w:val="0"/>
        <w:spacing w:before="0"/>
        <w:ind w:firstLine="0" w:firstLineChars="0"/>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23. 中标通知与中标结果公告</w:t>
      </w:r>
    </w:p>
    <w:p w14:paraId="4FE96D5E">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782CC0B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w:t>
      </w:r>
      <w:bookmarkStart w:id="13" w:name="_Hlk101184471"/>
      <w:r>
        <w:rPr>
          <w:rFonts w:hint="eastAsia" w:ascii="宋体" w:hAnsi="宋体" w:eastAsia="宋体" w:cs="宋体"/>
          <w:color w:val="auto"/>
          <w:sz w:val="24"/>
          <w:highlight w:val="none"/>
        </w:rPr>
        <w:t>资格审查情况、评审专家抽取规则、符合性审查情况、</w:t>
      </w:r>
      <w:bookmarkEnd w:id="13"/>
      <w:r>
        <w:rPr>
          <w:rFonts w:hint="eastAsia" w:ascii="宋体" w:hAnsi="宋体" w:eastAsia="宋体" w:cs="宋体"/>
          <w:color w:val="auto"/>
          <w:sz w:val="24"/>
          <w:highlight w:val="none"/>
        </w:rPr>
        <w:t>未中标情况说明、中标公告期限以及评审专家名单、评分汇总及明细。</w:t>
      </w:r>
    </w:p>
    <w:p w14:paraId="418C38B6">
      <w:pPr>
        <w:widowControl/>
        <w:shd w:val="clear" w:color="auto" w:fill="FFFFFF"/>
        <w:spacing w:line="360" w:lineRule="auto"/>
        <w:ind w:firstLine="48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23.3公告期限为1个工作日。</w:t>
      </w:r>
    </w:p>
    <w:p w14:paraId="294FC948">
      <w:pPr>
        <w:snapToGrid w:val="0"/>
        <w:spacing w:line="360" w:lineRule="auto"/>
        <w:ind w:left="120" w:leftChars="57" w:firstLine="360" w:firstLineChars="150"/>
        <w:jc w:val="left"/>
        <w:rPr>
          <w:rFonts w:hint="eastAsia" w:ascii="宋体" w:hAnsi="宋体" w:eastAsia="宋体" w:cs="宋体"/>
          <w:b/>
          <w:color w:val="auto"/>
          <w:sz w:val="32"/>
          <w:highlight w:val="none"/>
        </w:rPr>
      </w:pPr>
      <w:r>
        <w:rPr>
          <w:rFonts w:hint="eastAsia" w:ascii="宋体" w:hAnsi="宋体" w:eastAsia="宋体" w:cs="宋体"/>
          <w:b w:val="0"/>
          <w:bCs/>
          <w:color w:val="auto"/>
          <w:sz w:val="24"/>
          <w:szCs w:val="24"/>
          <w:highlight w:val="none"/>
        </w:rPr>
        <w:t>23.4 由于中标、成交供应商原因导致重新采购的，应当承担支付代理费和专家评审费等费用在内的赔偿责任。</w:t>
      </w:r>
    </w:p>
    <w:p w14:paraId="5DBC0256">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七、合同授予</w:t>
      </w:r>
    </w:p>
    <w:p w14:paraId="08420D3F">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 xml:space="preserve">24. </w:t>
      </w:r>
      <w:r>
        <w:rPr>
          <w:rFonts w:hint="eastAsia" w:ascii="宋体" w:hAnsi="宋体" w:eastAsia="宋体" w:cs="宋体"/>
          <w:color w:val="auto"/>
          <w:highlight w:val="none"/>
        </w:rPr>
        <w:t>合同主要条款详见第五部分拟签订的合同文本。</w:t>
      </w:r>
    </w:p>
    <w:p w14:paraId="7CB01251">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25. 合同的签订</w:t>
      </w:r>
    </w:p>
    <w:p w14:paraId="6C31E31F">
      <w:pPr>
        <w:widowControl/>
        <w:shd w:val="clear" w:color="auto" w:fill="FFFFFF"/>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25.1</w:t>
      </w:r>
      <w:r>
        <w:rPr>
          <w:rFonts w:hint="eastAsia" w:ascii="宋体" w:hAnsi="宋体" w:eastAsia="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5078D2F">
      <w:pPr>
        <w:pStyle w:val="90"/>
        <w:snapToGrid w:val="0"/>
        <w:spacing w:before="0"/>
        <w:ind w:firstLine="480"/>
        <w:rPr>
          <w:rFonts w:hint="eastAsia" w:ascii="宋体" w:hAnsi="宋体" w:eastAsia="宋体" w:cs="宋体"/>
          <w:color w:val="auto"/>
          <w:kern w:val="0"/>
          <w:highlight w:val="none"/>
        </w:rPr>
      </w:pPr>
      <w:r>
        <w:rPr>
          <w:rFonts w:hint="eastAsia" w:ascii="宋体" w:hAnsi="宋体" w:eastAsia="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0D372FAE">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25.3如签订合同并生效后，供应商无故拒绝或延期，除按照合同条款处理外，列入不良行为记录一次，并给予通报。</w:t>
      </w:r>
    </w:p>
    <w:p w14:paraId="462C243E">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59A736C8">
      <w:pPr>
        <w:pStyle w:val="90"/>
        <w:snapToGrid w:val="0"/>
        <w:spacing w:before="0" w:after="120"/>
        <w:ind w:firstLine="480"/>
        <w:rPr>
          <w:rFonts w:hint="eastAsia" w:ascii="宋体" w:hAnsi="宋体" w:eastAsia="宋体" w:cs="宋体"/>
          <w:color w:val="auto"/>
          <w:highlight w:val="none"/>
        </w:rPr>
      </w:pPr>
      <w:r>
        <w:rPr>
          <w:rFonts w:hint="eastAsia" w:ascii="宋体" w:hAnsi="宋体" w:eastAsia="宋体" w:cs="宋体"/>
          <w:color w:val="auto"/>
          <w:highlight w:val="none"/>
        </w:rPr>
        <w:t>25.5采购合同由采购人与中标供应商根据招标文件、投标文件等内容通过政府采购电子交易平台在线签订，自动备案。</w:t>
      </w:r>
    </w:p>
    <w:p w14:paraId="03BB9A22">
      <w:pPr>
        <w:pStyle w:val="25"/>
        <w:spacing w:line="360" w:lineRule="auto"/>
        <w:ind w:left="479" w:hanging="479" w:hangingChars="199"/>
        <w:rPr>
          <w:rFonts w:hint="eastAsia" w:ascii="宋体" w:hAnsi="宋体" w:eastAsia="宋体" w:cs="宋体"/>
          <w:b/>
          <w:color w:val="auto"/>
          <w:highlight w:val="none"/>
        </w:rPr>
      </w:pPr>
      <w:r>
        <w:rPr>
          <w:rFonts w:hint="eastAsia" w:ascii="宋体" w:hAnsi="宋体" w:eastAsia="宋体" w:cs="宋体"/>
          <w:b/>
          <w:color w:val="auto"/>
          <w:highlight w:val="none"/>
        </w:rPr>
        <w:t>26. 履约保证金</w:t>
      </w:r>
    </w:p>
    <w:p w14:paraId="2D34A0E4">
      <w:pPr>
        <w:tabs>
          <w:tab w:val="left" w:pos="0"/>
        </w:tabs>
        <w:spacing w:line="360" w:lineRule="auto"/>
        <w:ind w:firstLine="482"/>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4"/>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63C2FDB">
      <w:pPr>
        <w:pStyle w:val="4"/>
        <w:ind w:left="0" w:firstLine="480" w:firstLineChars="200"/>
        <w:rPr>
          <w:rFonts w:hint="eastAsia"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03CE7CE7">
      <w:pPr>
        <w:pStyle w:val="4"/>
        <w:rPr>
          <w:rFonts w:hint="eastAsia" w:ascii="宋体" w:hAnsi="宋体" w:eastAsia="宋体" w:cs="宋体"/>
          <w:color w:val="auto"/>
          <w:highlight w:val="none"/>
        </w:rPr>
      </w:pPr>
      <w:r>
        <w:rPr>
          <w:rFonts w:hint="eastAsia" w:ascii="宋体" w:hAnsi="宋体" w:eastAsia="宋体" w:cs="宋体"/>
          <w:color w:val="auto"/>
          <w:sz w:val="24"/>
          <w:highlight w:val="none"/>
          <w:lang w:val="en-US"/>
        </w:rPr>
        <w:t>27.预付款</w:t>
      </w:r>
    </w:p>
    <w:p w14:paraId="1CDCD707">
      <w:pPr>
        <w:adjustRightInd/>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w:t>
      </w:r>
      <w:r>
        <w:rPr>
          <w:rFonts w:hint="eastAsia" w:ascii="宋体" w:hAnsi="宋体" w:eastAsia="宋体" w:cs="宋体"/>
          <w:color w:val="auto"/>
          <w:sz w:val="24"/>
          <w:szCs w:val="24"/>
          <w:highlight w:val="none"/>
        </w:rPr>
        <w:t>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color w:val="auto"/>
          <w:sz w:val="24"/>
          <w:highlight w:val="none"/>
        </w:rPr>
        <w:t>。</w:t>
      </w:r>
    </w:p>
    <w:p w14:paraId="2870822F">
      <w:pPr>
        <w:rPr>
          <w:rFonts w:hint="eastAsia" w:ascii="宋体" w:hAnsi="宋体" w:eastAsia="宋体" w:cs="宋体"/>
          <w:color w:val="auto"/>
          <w:highlight w:val="none"/>
        </w:rPr>
      </w:pPr>
    </w:p>
    <w:p w14:paraId="4CF8A187">
      <w:pPr>
        <w:snapToGrid w:val="0"/>
        <w:spacing w:line="360" w:lineRule="auto"/>
        <w:ind w:firstLine="3357" w:firstLineChars="1045"/>
        <w:rPr>
          <w:rFonts w:hint="eastAsia" w:ascii="宋体" w:hAnsi="宋体" w:eastAsia="宋体" w:cs="宋体"/>
          <w:b/>
          <w:color w:val="auto"/>
          <w:sz w:val="32"/>
          <w:highlight w:val="none"/>
        </w:rPr>
      </w:pPr>
    </w:p>
    <w:p w14:paraId="7379A0F5">
      <w:pPr>
        <w:snapToGrid w:val="0"/>
        <w:spacing w:line="360" w:lineRule="auto"/>
        <w:ind w:firstLine="3357" w:firstLineChars="1045"/>
        <w:rPr>
          <w:rFonts w:hint="eastAsia" w:ascii="宋体" w:hAnsi="宋体" w:eastAsia="宋体" w:cs="宋体"/>
          <w:b/>
          <w:color w:val="auto"/>
          <w:sz w:val="24"/>
          <w:highlight w:val="none"/>
        </w:rPr>
      </w:pPr>
      <w:r>
        <w:rPr>
          <w:rFonts w:hint="eastAsia" w:ascii="宋体" w:hAnsi="宋体" w:eastAsia="宋体" w:cs="宋体"/>
          <w:b/>
          <w:color w:val="auto"/>
          <w:sz w:val="32"/>
          <w:highlight w:val="none"/>
        </w:rPr>
        <w:t>八、电子交易活动的中止</w:t>
      </w:r>
    </w:p>
    <w:p w14:paraId="2D6A3B07">
      <w:pPr>
        <w:pStyle w:val="9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b/>
          <w:bCs/>
          <w:color w:val="auto"/>
          <w:highlight w:val="none"/>
        </w:rPr>
        <w:t>2</w:t>
      </w:r>
      <w:r>
        <w:rPr>
          <w:rFonts w:hint="eastAsia" w:ascii="宋体" w:hAnsi="宋体" w:eastAsia="宋体" w:cs="宋体"/>
          <w:b/>
          <w:bCs/>
          <w:color w:val="auto"/>
          <w:szCs w:val="24"/>
          <w:highlight w:val="none"/>
        </w:rPr>
        <w:t>8</w:t>
      </w:r>
      <w:r>
        <w:rPr>
          <w:rFonts w:hint="eastAsia" w:ascii="宋体" w:hAnsi="宋体" w:eastAsia="宋体" w:cs="宋体"/>
          <w:b/>
          <w:color w:val="auto"/>
          <w:szCs w:val="24"/>
          <w:highlight w:val="none"/>
        </w:rPr>
        <w:t>. 电子交易活动的中止。</w:t>
      </w:r>
      <w:r>
        <w:rPr>
          <w:rFonts w:hint="eastAsia" w:ascii="宋体" w:hAnsi="宋体" w:eastAsia="宋体" w:cs="宋体"/>
          <w:color w:val="auto"/>
          <w:highlight w:val="none"/>
        </w:rPr>
        <w:t>采购过程中出现以下情形，导致电子交易平台无法正常运行，或者无法保证电子交易的公平、公正和安全时，采购代理机构可中止电子交易活动：</w:t>
      </w:r>
    </w:p>
    <w:p w14:paraId="29156DC2">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28.1电子交易平台发生故障而无法登录访问的； </w:t>
      </w:r>
    </w:p>
    <w:p w14:paraId="640A334D">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28.2电子交易平台应用或数据库出现错误，不能进行正常操作的；</w:t>
      </w:r>
    </w:p>
    <w:p w14:paraId="57432E30">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28.3电子交易平台发现严重安全漏洞，有潜在泄密危险的；</w:t>
      </w:r>
    </w:p>
    <w:p w14:paraId="73D2B959">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 xml:space="preserve">28.4病毒发作导致不能进行正常操作的； </w:t>
      </w:r>
    </w:p>
    <w:p w14:paraId="32CF55BD">
      <w:pPr>
        <w:pStyle w:val="90"/>
        <w:snapToGrid w:val="0"/>
        <w:spacing w:before="0"/>
        <w:ind w:firstLine="480"/>
        <w:rPr>
          <w:rFonts w:hint="eastAsia" w:ascii="宋体" w:hAnsi="宋体" w:eastAsia="宋体" w:cs="宋体"/>
          <w:color w:val="auto"/>
          <w:highlight w:val="none"/>
        </w:rPr>
      </w:pPr>
      <w:r>
        <w:rPr>
          <w:rFonts w:hint="eastAsia" w:ascii="宋体" w:hAnsi="宋体" w:eastAsia="宋体" w:cs="宋体"/>
          <w:color w:val="auto"/>
          <w:highlight w:val="none"/>
        </w:rPr>
        <w:t>28.5其他无法保证电子交易的公平、公正和安全的情况。</w:t>
      </w:r>
    </w:p>
    <w:p w14:paraId="0CAA15A2">
      <w:pPr>
        <w:pStyle w:val="90"/>
        <w:snapToGrid w:val="0"/>
        <w:spacing w:before="0"/>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FCAEC99">
      <w:pPr>
        <w:tabs>
          <w:tab w:val="left" w:pos="0"/>
        </w:tabs>
        <w:spacing w:line="360" w:lineRule="auto"/>
        <w:ind w:firstLine="480"/>
        <w:rPr>
          <w:rFonts w:hint="eastAsia" w:ascii="宋体" w:hAnsi="宋体" w:eastAsia="宋体" w:cs="宋体"/>
          <w:color w:val="auto"/>
          <w:sz w:val="24"/>
          <w:highlight w:val="none"/>
        </w:rPr>
      </w:pPr>
    </w:p>
    <w:p w14:paraId="05BFA371">
      <w:pPr>
        <w:snapToGrid w:val="0"/>
        <w:spacing w:line="360" w:lineRule="auto"/>
        <w:ind w:left="120" w:leftChars="57" w:firstLine="482" w:firstLineChars="150"/>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九、验收</w:t>
      </w:r>
    </w:p>
    <w:p w14:paraId="7BD4A306">
      <w:pPr>
        <w:pStyle w:val="25"/>
        <w:spacing w:line="360" w:lineRule="auto"/>
        <w:ind w:firstLine="0" w:firstLineChars="0"/>
        <w:rPr>
          <w:rFonts w:hint="eastAsia" w:ascii="宋体" w:hAnsi="宋体" w:eastAsia="宋体" w:cs="宋体"/>
          <w:b/>
          <w:color w:val="auto"/>
          <w:highlight w:val="none"/>
        </w:rPr>
      </w:pPr>
      <w:r>
        <w:rPr>
          <w:rFonts w:hint="eastAsia" w:ascii="宋体" w:hAnsi="宋体" w:eastAsia="宋体" w:cs="宋体"/>
          <w:b/>
          <w:color w:val="auto"/>
          <w:highlight w:val="none"/>
        </w:rPr>
        <w:t>30.验收</w:t>
      </w:r>
    </w:p>
    <w:p w14:paraId="427B7830">
      <w:pPr>
        <w:tabs>
          <w:tab w:val="left" w:pos="0"/>
        </w:tabs>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C1BC776">
      <w:pPr>
        <w:tabs>
          <w:tab w:val="left" w:pos="0"/>
        </w:tabs>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30.2采购人可以邀请参加本项目的其他投标人或者第三方机构参与验收。参与验收的投标人或者第三方机构的意见作为验收书的参考资料一并存档。</w:t>
      </w:r>
    </w:p>
    <w:p w14:paraId="0D214D84">
      <w:pPr>
        <w:tabs>
          <w:tab w:val="left" w:pos="0"/>
        </w:tabs>
        <w:spacing w:line="360" w:lineRule="auto"/>
        <w:ind w:firstLine="48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22A642">
      <w:pPr>
        <w:tabs>
          <w:tab w:val="left" w:pos="0"/>
        </w:tabs>
        <w:spacing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17100BB">
      <w:pPr>
        <w:tabs>
          <w:tab w:val="left" w:pos="0"/>
        </w:tabs>
        <w:spacing w:line="360" w:lineRule="auto"/>
        <w:ind w:firstLine="480"/>
        <w:textAlignment w:val="auto"/>
        <w:rPr>
          <w:rFonts w:hint="eastAsia" w:ascii="宋体" w:hAnsi="宋体" w:eastAsia="宋体" w:cs="宋体"/>
          <w:color w:val="auto"/>
          <w:kern w:val="0"/>
          <w:sz w:val="24"/>
          <w:szCs w:val="24"/>
          <w:highlight w:val="none"/>
        </w:rPr>
      </w:pPr>
    </w:p>
    <w:p w14:paraId="34394312">
      <w:pPr>
        <w:tabs>
          <w:tab w:val="left" w:pos="0"/>
        </w:tabs>
        <w:spacing w:line="360" w:lineRule="auto"/>
        <w:ind w:firstLine="480"/>
        <w:rPr>
          <w:rFonts w:hint="eastAsia" w:ascii="宋体" w:hAnsi="宋体" w:eastAsia="宋体" w:cs="宋体"/>
          <w:color w:val="auto"/>
          <w:sz w:val="18"/>
          <w:szCs w:val="18"/>
          <w:highlight w:val="none"/>
        </w:rPr>
      </w:pPr>
      <w:r>
        <w:rPr>
          <w:rFonts w:hint="eastAsia" w:ascii="宋体" w:hAnsi="宋体" w:eastAsia="宋体" w:cs="宋体"/>
          <w:color w:val="auto"/>
          <w:kern w:val="0"/>
          <w:sz w:val="24"/>
          <w:szCs w:val="24"/>
          <w:highlight w:val="none"/>
          <w:lang w:val="en-US" w:eastAsia="zh-CN" w:bidi="ar-SA"/>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r>
        <w:rPr>
          <w:rFonts w:hint="eastAsia" w:ascii="宋体" w:hAnsi="宋体" w:eastAsia="宋体" w:cs="宋体"/>
          <w:color w:val="auto"/>
          <w:kern w:val="0"/>
          <w:sz w:val="24"/>
          <w:highlight w:val="none"/>
        </w:rPr>
        <w:t>。</w:t>
      </w:r>
    </w:p>
    <w:p w14:paraId="1C322574">
      <w:pPr>
        <w:tabs>
          <w:tab w:val="left" w:pos="0"/>
        </w:tabs>
        <w:spacing w:line="360" w:lineRule="auto"/>
        <w:ind w:firstLine="480"/>
        <w:rPr>
          <w:rFonts w:hint="eastAsia" w:ascii="宋体" w:hAnsi="宋体" w:eastAsia="宋体" w:cs="宋体"/>
          <w:color w:val="auto"/>
          <w:sz w:val="18"/>
          <w:szCs w:val="18"/>
          <w:highlight w:val="none"/>
        </w:rPr>
      </w:pPr>
    </w:p>
    <w:bookmarkEnd w:id="12"/>
    <w:p w14:paraId="2A39A853">
      <w:pPr>
        <w:tabs>
          <w:tab w:val="left" w:pos="0"/>
        </w:tabs>
        <w:spacing w:line="360" w:lineRule="auto"/>
        <w:ind w:firstLine="480"/>
        <w:rPr>
          <w:rFonts w:hint="eastAsia" w:ascii="宋体" w:hAnsi="宋体" w:eastAsia="宋体" w:cs="宋体"/>
          <w:color w:val="auto"/>
          <w:kern w:val="0"/>
          <w:sz w:val="24"/>
          <w:highlight w:val="none"/>
        </w:rPr>
        <w:sectPr>
          <w:footerReference r:id="rId7" w:type="first"/>
          <w:footerReference r:id="rId6" w:type="default"/>
          <w:pgSz w:w="11906" w:h="16838"/>
          <w:pgMar w:top="1247" w:right="1361" w:bottom="1247" w:left="1361" w:header="851" w:footer="992" w:gutter="0"/>
          <w:pgNumType w:fmt="decimal" w:start="1"/>
          <w:cols w:space="720" w:num="1"/>
          <w:titlePg/>
          <w:rtlGutter w:val="0"/>
          <w:docGrid w:linePitch="312" w:charSpace="0"/>
        </w:sectPr>
      </w:pPr>
      <w:bookmarkStart w:id="14" w:name="_Hlt75236101"/>
      <w:bookmarkEnd w:id="14"/>
      <w:bookmarkStart w:id="15" w:name="_Hlt75236011"/>
      <w:bookmarkEnd w:id="15"/>
      <w:bookmarkStart w:id="16" w:name="_Hlt68072998"/>
      <w:bookmarkEnd w:id="16"/>
      <w:bookmarkStart w:id="17" w:name="_Hlt74707468"/>
      <w:bookmarkEnd w:id="17"/>
      <w:bookmarkStart w:id="18" w:name="_Hlt68057669"/>
      <w:bookmarkEnd w:id="18"/>
      <w:bookmarkStart w:id="19" w:name="_Hlt68072990"/>
      <w:bookmarkEnd w:id="19"/>
      <w:bookmarkStart w:id="20" w:name="_Hlt74714665"/>
      <w:bookmarkEnd w:id="20"/>
      <w:bookmarkStart w:id="21" w:name="_Hlt74730295"/>
      <w:bookmarkEnd w:id="21"/>
      <w:bookmarkStart w:id="22" w:name="_Hlt68073093"/>
      <w:bookmarkEnd w:id="22"/>
      <w:bookmarkStart w:id="23" w:name="_Hlt68403820"/>
      <w:bookmarkEnd w:id="23"/>
      <w:bookmarkStart w:id="24" w:name="_Hlt75236290"/>
      <w:bookmarkEnd w:id="24"/>
      <w:bookmarkStart w:id="25" w:name="_Hlt74729768"/>
      <w:bookmarkEnd w:id="25"/>
    </w:p>
    <w:bookmarkEnd w:id="10"/>
    <w:bookmarkEnd w:id="11"/>
    <w:p w14:paraId="3CD0119A">
      <w:pPr>
        <w:numPr>
          <w:ilvl w:val="0"/>
          <w:numId w:val="1"/>
        </w:numPr>
        <w:spacing w:line="360" w:lineRule="auto"/>
        <w:jc w:val="center"/>
        <w:outlineLvl w:val="0"/>
        <w:rPr>
          <w:rFonts w:hint="eastAsia" w:ascii="宋体" w:hAnsi="宋体" w:eastAsia="宋体" w:cs="宋体"/>
          <w:b/>
          <w:color w:val="auto"/>
          <w:sz w:val="36"/>
          <w:szCs w:val="36"/>
          <w:highlight w:val="none"/>
        </w:rPr>
      </w:pPr>
      <w:bookmarkStart w:id="26" w:name="第四部分"/>
      <w:r>
        <w:rPr>
          <w:rFonts w:hint="eastAsia" w:ascii="宋体" w:hAnsi="宋体" w:eastAsia="宋体" w:cs="宋体"/>
          <w:b/>
          <w:color w:val="auto"/>
          <w:sz w:val="36"/>
          <w:szCs w:val="36"/>
          <w:highlight w:val="none"/>
        </w:rPr>
        <w:t xml:space="preserve">  采购需求</w:t>
      </w:r>
    </w:p>
    <w:p w14:paraId="3649E945">
      <w:pPr>
        <w:spacing w:line="440" w:lineRule="exact"/>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一、项目概况</w:t>
      </w:r>
    </w:p>
    <w:p w14:paraId="3FEF08F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本次采购项目为</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，投标人应根据招标文件所提出的设备技术规格和服务要求，综合考虑，希望以你们的竞争实力、优良的服务和优惠的价格前来参与投标。</w:t>
      </w:r>
    </w:p>
    <w:p w14:paraId="7A6D9058">
      <w:pPr>
        <w:spacing w:line="440" w:lineRule="exact"/>
        <w:ind w:firstLine="480" w:firstLineChars="200"/>
        <w:jc w:val="left"/>
        <w:rPr>
          <w:rFonts w:hint="eastAsia" w:ascii="宋体" w:hAnsi="宋体" w:eastAsia="宋体" w:cs="宋体"/>
          <w:color w:val="auto"/>
          <w:sz w:val="24"/>
          <w:szCs w:val="24"/>
          <w:highlight w:val="none"/>
        </w:rPr>
      </w:pPr>
    </w:p>
    <w:p w14:paraId="3182EAFA">
      <w:pPr>
        <w:spacing w:line="440" w:lineRule="exact"/>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二、采购内容：</w:t>
      </w:r>
    </w:p>
    <w:p w14:paraId="40CBDCD4">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1.标的物：</w:t>
      </w:r>
    </w:p>
    <w:tbl>
      <w:tblPr>
        <w:tblStyle w:val="63"/>
        <w:tblW w:w="9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127"/>
        <w:gridCol w:w="1073"/>
        <w:gridCol w:w="1971"/>
        <w:gridCol w:w="3628"/>
      </w:tblGrid>
      <w:tr w14:paraId="33A47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2441980E">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127" w:type="dxa"/>
            <w:vAlign w:val="top"/>
          </w:tcPr>
          <w:p w14:paraId="1DA3CB81">
            <w:pPr>
              <w:spacing w:line="440" w:lineRule="exact"/>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项目名称</w:t>
            </w:r>
          </w:p>
        </w:tc>
        <w:tc>
          <w:tcPr>
            <w:tcW w:w="1073" w:type="dxa"/>
            <w:vAlign w:val="top"/>
          </w:tcPr>
          <w:p w14:paraId="2915B33D">
            <w:pPr>
              <w:spacing w:line="440" w:lineRule="exact"/>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数量</w:t>
            </w:r>
          </w:p>
        </w:tc>
        <w:tc>
          <w:tcPr>
            <w:tcW w:w="1971" w:type="dxa"/>
            <w:vAlign w:val="top"/>
          </w:tcPr>
          <w:p w14:paraId="3AC637C4">
            <w:pPr>
              <w:spacing w:line="440" w:lineRule="exact"/>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运维期限</w:t>
            </w:r>
          </w:p>
        </w:tc>
        <w:tc>
          <w:tcPr>
            <w:tcW w:w="3628" w:type="dxa"/>
            <w:vAlign w:val="top"/>
          </w:tcPr>
          <w:p w14:paraId="21E0749E">
            <w:pPr>
              <w:spacing w:line="440" w:lineRule="exact"/>
              <w:contextualSpacing/>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运维地点</w:t>
            </w:r>
          </w:p>
        </w:tc>
      </w:tr>
      <w:tr w14:paraId="5D26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vAlign w:val="center"/>
          </w:tcPr>
          <w:p w14:paraId="4C22D3FF">
            <w:pPr>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127" w:type="dxa"/>
            <w:vAlign w:val="center"/>
          </w:tcPr>
          <w:p w14:paraId="71624AAC">
            <w:pPr>
              <w:spacing w:line="440" w:lineRule="exact"/>
              <w:contextualSpacing/>
              <w:jc w:val="center"/>
              <w:rPr>
                <w:rFonts w:hint="eastAsia" w:ascii="宋体" w:hAnsi="宋体" w:eastAsia="宋体" w:cs="宋体"/>
                <w:caps/>
                <w:color w:val="auto"/>
                <w:sz w:val="24"/>
                <w:szCs w:val="24"/>
                <w:highlight w:val="none"/>
                <w:lang w:eastAsia="zh-CN"/>
              </w:rPr>
            </w:pPr>
            <w:r>
              <w:rPr>
                <w:rFonts w:hint="eastAsia" w:ascii="宋体" w:hAnsi="宋体" w:cs="宋体"/>
                <w:color w:val="auto"/>
                <w:kern w:val="0"/>
                <w:sz w:val="24"/>
                <w:szCs w:val="24"/>
                <w:highlight w:val="none"/>
                <w:lang w:eastAsia="zh-CN"/>
              </w:rPr>
              <w:t>杭州临平经济技术开发区空气自动监测站2025年度委托运维项目</w:t>
            </w:r>
          </w:p>
        </w:tc>
        <w:tc>
          <w:tcPr>
            <w:tcW w:w="1073" w:type="dxa"/>
            <w:vAlign w:val="center"/>
          </w:tcPr>
          <w:p w14:paraId="110111EA">
            <w:pPr>
              <w:spacing w:line="440" w:lineRule="exact"/>
              <w:contextualSpacing/>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3个站</w:t>
            </w:r>
          </w:p>
        </w:tc>
        <w:tc>
          <w:tcPr>
            <w:tcW w:w="1971" w:type="dxa"/>
            <w:vAlign w:val="center"/>
          </w:tcPr>
          <w:p w14:paraId="0CC6989A">
            <w:pPr>
              <w:spacing w:line="440" w:lineRule="exact"/>
              <w:contextualSpacing/>
              <w:jc w:val="cente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合同签订之日起一年</w:t>
            </w:r>
          </w:p>
        </w:tc>
        <w:tc>
          <w:tcPr>
            <w:tcW w:w="3628" w:type="dxa"/>
            <w:vAlign w:val="center"/>
          </w:tcPr>
          <w:p w14:paraId="46C9A96F">
            <w:pPr>
              <w:widowControl/>
              <w:autoSpaceDE w:val="0"/>
              <w:autoSpaceDN w:val="0"/>
              <w:adjustRightInd w:val="0"/>
              <w:snapToGrid w:val="0"/>
              <w:spacing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snapToGrid w:val="0"/>
                <w:color w:val="auto"/>
                <w:spacing w:val="-1"/>
                <w:kern w:val="0"/>
                <w:sz w:val="24"/>
                <w:szCs w:val="24"/>
                <w:highlight w:val="none"/>
              </w:rPr>
              <w:t>理想智慧港站点、理工大站点和</w:t>
            </w:r>
            <w:r>
              <w:rPr>
                <w:rFonts w:hint="eastAsia" w:ascii="宋体" w:hAnsi="宋体" w:cs="宋体"/>
                <w:snapToGrid w:val="0"/>
                <w:color w:val="auto"/>
                <w:spacing w:val="-1"/>
                <w:kern w:val="0"/>
                <w:sz w:val="24"/>
                <w:szCs w:val="24"/>
                <w:highlight w:val="none"/>
                <w:lang w:eastAsia="zh-CN"/>
              </w:rPr>
              <w:t>创新创业园非甲烷总烃设备</w:t>
            </w:r>
            <w:r>
              <w:rPr>
                <w:rFonts w:hint="eastAsia" w:ascii="宋体" w:hAnsi="宋体" w:eastAsia="宋体" w:cs="宋体"/>
                <w:snapToGrid w:val="0"/>
                <w:color w:val="auto"/>
                <w:spacing w:val="-1"/>
                <w:kern w:val="0"/>
                <w:sz w:val="24"/>
                <w:szCs w:val="24"/>
                <w:highlight w:val="none"/>
              </w:rPr>
              <w:t>站点</w:t>
            </w:r>
          </w:p>
        </w:tc>
      </w:tr>
    </w:tbl>
    <w:p w14:paraId="3302462D">
      <w:pPr>
        <w:spacing w:line="440" w:lineRule="exact"/>
        <w:jc w:val="left"/>
        <w:rPr>
          <w:rFonts w:hint="eastAsia" w:ascii="宋体" w:hAnsi="宋体" w:eastAsia="宋体" w:cs="宋体"/>
          <w:color w:val="auto"/>
          <w:sz w:val="24"/>
          <w:szCs w:val="24"/>
          <w:highlight w:val="none"/>
        </w:rPr>
      </w:pPr>
    </w:p>
    <w:p w14:paraId="644CA631">
      <w:pPr>
        <w:spacing w:line="440" w:lineRule="exact"/>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三、技术服务要求</w:t>
      </w:r>
    </w:p>
    <w:p w14:paraId="59A92ED2">
      <w:pPr>
        <w:widowControl/>
        <w:autoSpaceDE w:val="0"/>
        <w:autoSpaceDN w:val="0"/>
        <w:adjustRightInd w:val="0"/>
        <w:snapToGrid w:val="0"/>
        <w:spacing w:line="360" w:lineRule="auto"/>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所需要运维的站点明细：</w:t>
      </w:r>
    </w:p>
    <w:p w14:paraId="3F89D40E">
      <w:pPr>
        <w:widowControl/>
        <w:autoSpaceDE w:val="0"/>
        <w:autoSpaceDN w:val="0"/>
        <w:adjustRightInd w:val="0"/>
        <w:snapToGrid w:val="0"/>
        <w:spacing w:line="360" w:lineRule="auto"/>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理想智慧港站点</w:t>
      </w:r>
    </w:p>
    <w:tbl>
      <w:tblPr>
        <w:tblStyle w:val="63"/>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4"/>
        <w:gridCol w:w="3720"/>
        <w:gridCol w:w="913"/>
        <w:gridCol w:w="851"/>
      </w:tblGrid>
      <w:tr w14:paraId="7043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34" w:type="dxa"/>
            <w:vAlign w:val="top"/>
          </w:tcPr>
          <w:p w14:paraId="024ED22A">
            <w:pPr>
              <w:spacing w:before="173" w:line="221" w:lineRule="auto"/>
              <w:ind w:left="0"/>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监测项</w:t>
            </w:r>
            <w:r>
              <w:rPr>
                <w:rFonts w:ascii="宋体" w:hAnsi="宋体" w:eastAsia="宋体" w:cs="宋体"/>
                <w:color w:val="auto"/>
                <w:spacing w:val="-1"/>
                <w:sz w:val="24"/>
                <w:szCs w:val="24"/>
                <w:highlight w:val="none"/>
              </w:rPr>
              <w:t>目</w:t>
            </w:r>
          </w:p>
        </w:tc>
        <w:tc>
          <w:tcPr>
            <w:tcW w:w="3720" w:type="dxa"/>
            <w:vAlign w:val="top"/>
          </w:tcPr>
          <w:p w14:paraId="4C4AB0DC">
            <w:pPr>
              <w:spacing w:before="173" w:line="220" w:lineRule="auto"/>
              <w:ind w:left="0"/>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仪器名</w:t>
            </w:r>
            <w:r>
              <w:rPr>
                <w:rFonts w:ascii="宋体" w:hAnsi="宋体" w:eastAsia="宋体" w:cs="宋体"/>
                <w:color w:val="auto"/>
                <w:spacing w:val="-1"/>
                <w:sz w:val="24"/>
                <w:szCs w:val="24"/>
                <w:highlight w:val="none"/>
              </w:rPr>
              <w:t>称</w:t>
            </w:r>
          </w:p>
        </w:tc>
        <w:tc>
          <w:tcPr>
            <w:tcW w:w="913" w:type="dxa"/>
            <w:vAlign w:val="top"/>
          </w:tcPr>
          <w:p w14:paraId="1B0F6065">
            <w:pPr>
              <w:spacing w:before="173" w:line="221"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单</w:t>
            </w:r>
            <w:r>
              <w:rPr>
                <w:rFonts w:ascii="宋体" w:hAnsi="宋体" w:eastAsia="宋体" w:cs="宋体"/>
                <w:color w:val="auto"/>
                <w:spacing w:val="-4"/>
                <w:sz w:val="24"/>
                <w:szCs w:val="24"/>
                <w:highlight w:val="none"/>
              </w:rPr>
              <w:t>位</w:t>
            </w:r>
          </w:p>
        </w:tc>
        <w:tc>
          <w:tcPr>
            <w:tcW w:w="851" w:type="dxa"/>
            <w:vAlign w:val="top"/>
          </w:tcPr>
          <w:p w14:paraId="6B74D0D4">
            <w:pPr>
              <w:spacing w:before="173" w:line="220"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数</w:t>
            </w:r>
            <w:r>
              <w:rPr>
                <w:rFonts w:ascii="宋体" w:hAnsi="宋体" w:eastAsia="宋体" w:cs="宋体"/>
                <w:color w:val="auto"/>
                <w:spacing w:val="-4"/>
                <w:sz w:val="24"/>
                <w:szCs w:val="24"/>
                <w:highlight w:val="none"/>
              </w:rPr>
              <w:t>量</w:t>
            </w:r>
          </w:p>
        </w:tc>
      </w:tr>
      <w:tr w14:paraId="2D31D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restart"/>
            <w:tcBorders>
              <w:bottom w:val="nil"/>
            </w:tcBorders>
            <w:vAlign w:val="top"/>
          </w:tcPr>
          <w:p w14:paraId="5C0C0343">
            <w:pPr>
              <w:spacing w:before="65" w:line="301" w:lineRule="auto"/>
              <w:ind w:right="179"/>
              <w:jc w:val="center"/>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常</w:t>
            </w:r>
            <w:r>
              <w:rPr>
                <w:rFonts w:ascii="宋体" w:hAnsi="宋体" w:eastAsia="宋体" w:cs="宋体"/>
                <w:color w:val="auto"/>
                <w:spacing w:val="8"/>
                <w:sz w:val="24"/>
                <w:szCs w:val="24"/>
                <w:highlight w:val="none"/>
              </w:rPr>
              <w:t>规空气质量监测系</w:t>
            </w:r>
            <w:r>
              <w:rPr>
                <w:rFonts w:ascii="宋体" w:hAnsi="宋体" w:eastAsia="宋体" w:cs="宋体"/>
                <w:color w:val="auto"/>
                <w:sz w:val="24"/>
                <w:szCs w:val="24"/>
                <w:highlight w:val="none"/>
              </w:rPr>
              <w:t>统</w:t>
            </w:r>
          </w:p>
        </w:tc>
        <w:tc>
          <w:tcPr>
            <w:tcW w:w="3720" w:type="dxa"/>
            <w:vAlign w:val="top"/>
          </w:tcPr>
          <w:p w14:paraId="6BAA7AF7">
            <w:pPr>
              <w:spacing w:before="67"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SO</w:t>
            </w:r>
            <w:r>
              <w:rPr>
                <w:rFonts w:ascii="宋体" w:hAnsi="宋体" w:eastAsia="宋体" w:cs="Arial"/>
                <w:color w:val="auto"/>
                <w:spacing w:val="7"/>
                <w:position w:val="-1"/>
                <w:sz w:val="24"/>
                <w:szCs w:val="24"/>
                <w:highlight w:val="none"/>
              </w:rPr>
              <w:t xml:space="preserve">2 </w:t>
            </w:r>
            <w:r>
              <w:rPr>
                <w:rFonts w:ascii="宋体" w:hAnsi="宋体" w:eastAsia="宋体" w:cs="宋体"/>
                <w:color w:val="auto"/>
                <w:spacing w:val="7"/>
                <w:sz w:val="24"/>
                <w:szCs w:val="24"/>
                <w:highlight w:val="none"/>
              </w:rPr>
              <w:t>分析仪</w:t>
            </w:r>
          </w:p>
        </w:tc>
        <w:tc>
          <w:tcPr>
            <w:tcW w:w="913" w:type="dxa"/>
            <w:vAlign w:val="top"/>
          </w:tcPr>
          <w:p w14:paraId="3184B724">
            <w:pPr>
              <w:spacing w:before="68"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1FCBBCB6">
            <w:pPr>
              <w:spacing w:before="97"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FA51D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continue"/>
            <w:tcBorders>
              <w:top w:val="nil"/>
              <w:bottom w:val="nil"/>
            </w:tcBorders>
            <w:vAlign w:val="top"/>
          </w:tcPr>
          <w:p w14:paraId="29EB61A5">
            <w:pPr>
              <w:ind w:left="1920"/>
              <w:jc w:val="center"/>
              <w:rPr>
                <w:rFonts w:hint="eastAsia" w:ascii="宋体" w:hAnsi="宋体" w:eastAsia="宋体" w:cs="Arial"/>
                <w:color w:val="auto"/>
                <w:sz w:val="24"/>
                <w:szCs w:val="24"/>
                <w:highlight w:val="none"/>
              </w:rPr>
            </w:pPr>
          </w:p>
        </w:tc>
        <w:tc>
          <w:tcPr>
            <w:tcW w:w="3720" w:type="dxa"/>
            <w:vAlign w:val="top"/>
          </w:tcPr>
          <w:p w14:paraId="3E255896">
            <w:pPr>
              <w:spacing w:before="31" w:line="285" w:lineRule="exact"/>
              <w:rPr>
                <w:rFonts w:hint="eastAsia" w:ascii="宋体" w:hAnsi="宋体" w:eastAsia="宋体" w:cs="宋体"/>
                <w:color w:val="auto"/>
                <w:sz w:val="24"/>
                <w:szCs w:val="24"/>
                <w:highlight w:val="none"/>
              </w:rPr>
            </w:pPr>
            <w:r>
              <w:rPr>
                <w:rFonts w:ascii="宋体" w:hAnsi="宋体" w:eastAsia="宋体" w:cs="Arial"/>
                <w:color w:val="auto"/>
                <w:position w:val="1"/>
                <w:sz w:val="24"/>
                <w:szCs w:val="24"/>
                <w:highlight w:val="none"/>
              </w:rPr>
              <w:t>NO</w:t>
            </w:r>
            <w:r>
              <w:rPr>
                <w:rFonts w:ascii="宋体" w:hAnsi="宋体" w:eastAsia="宋体" w:cs="Arial"/>
                <w:color w:val="auto"/>
                <w:spacing w:val="10"/>
                <w:position w:val="1"/>
                <w:sz w:val="24"/>
                <w:szCs w:val="24"/>
                <w:highlight w:val="none"/>
              </w:rPr>
              <w:t>2/</w:t>
            </w:r>
            <w:r>
              <w:rPr>
                <w:rFonts w:ascii="宋体" w:hAnsi="宋体" w:eastAsia="宋体" w:cs="Arial"/>
                <w:color w:val="auto"/>
                <w:position w:val="1"/>
                <w:sz w:val="24"/>
                <w:szCs w:val="24"/>
                <w:highlight w:val="none"/>
              </w:rPr>
              <w:t>NO</w:t>
            </w:r>
            <w:r>
              <w:rPr>
                <w:rFonts w:ascii="宋体" w:hAnsi="宋体" w:eastAsia="宋体" w:cs="Arial"/>
                <w:color w:val="auto"/>
                <w:spacing w:val="10"/>
                <w:position w:val="1"/>
                <w:sz w:val="24"/>
                <w:szCs w:val="24"/>
                <w:highlight w:val="none"/>
              </w:rPr>
              <w:t>/</w:t>
            </w:r>
            <w:r>
              <w:rPr>
                <w:rFonts w:ascii="宋体" w:hAnsi="宋体" w:eastAsia="宋体" w:cs="Arial"/>
                <w:color w:val="auto"/>
                <w:position w:val="1"/>
                <w:sz w:val="24"/>
                <w:szCs w:val="24"/>
                <w:highlight w:val="none"/>
              </w:rPr>
              <w:t>NOx</w:t>
            </w:r>
            <w:r>
              <w:rPr>
                <w:rFonts w:ascii="宋体" w:hAnsi="宋体" w:eastAsia="宋体" w:cs="Arial"/>
                <w:color w:val="auto"/>
                <w:spacing w:val="10"/>
                <w:position w:val="1"/>
                <w:sz w:val="24"/>
                <w:szCs w:val="24"/>
                <w:highlight w:val="none"/>
              </w:rPr>
              <w:t xml:space="preserve"> </w:t>
            </w:r>
            <w:r>
              <w:rPr>
                <w:rFonts w:ascii="宋体" w:hAnsi="宋体" w:eastAsia="宋体" w:cs="宋体"/>
                <w:color w:val="auto"/>
                <w:spacing w:val="10"/>
                <w:position w:val="1"/>
                <w:sz w:val="24"/>
                <w:szCs w:val="24"/>
                <w:highlight w:val="none"/>
              </w:rPr>
              <w:t>分析</w:t>
            </w:r>
            <w:r>
              <w:rPr>
                <w:rFonts w:ascii="宋体" w:hAnsi="宋体" w:eastAsia="宋体" w:cs="宋体"/>
                <w:color w:val="auto"/>
                <w:spacing w:val="9"/>
                <w:position w:val="1"/>
                <w:sz w:val="24"/>
                <w:szCs w:val="24"/>
                <w:highlight w:val="none"/>
              </w:rPr>
              <w:t>仪</w:t>
            </w:r>
          </w:p>
        </w:tc>
        <w:tc>
          <w:tcPr>
            <w:tcW w:w="913" w:type="dxa"/>
            <w:vAlign w:val="top"/>
          </w:tcPr>
          <w:p w14:paraId="7F694713">
            <w:pPr>
              <w:spacing w:before="69"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25706FEA">
            <w:pPr>
              <w:spacing w:before="98"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E4826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continue"/>
            <w:tcBorders>
              <w:top w:val="nil"/>
              <w:bottom w:val="nil"/>
            </w:tcBorders>
            <w:vAlign w:val="top"/>
          </w:tcPr>
          <w:p w14:paraId="29AB42D4">
            <w:pPr>
              <w:ind w:left="1920"/>
              <w:jc w:val="center"/>
              <w:rPr>
                <w:rFonts w:hint="eastAsia" w:ascii="宋体" w:hAnsi="宋体" w:eastAsia="宋体" w:cs="Arial"/>
                <w:color w:val="auto"/>
                <w:sz w:val="24"/>
                <w:szCs w:val="24"/>
                <w:highlight w:val="none"/>
              </w:rPr>
            </w:pPr>
          </w:p>
        </w:tc>
        <w:tc>
          <w:tcPr>
            <w:tcW w:w="3720" w:type="dxa"/>
            <w:vAlign w:val="top"/>
          </w:tcPr>
          <w:p w14:paraId="26708497">
            <w:pPr>
              <w:spacing w:before="53"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CO</w:t>
            </w:r>
            <w:r>
              <w:rPr>
                <w:rFonts w:ascii="宋体" w:hAnsi="宋体" w:eastAsia="宋体" w:cs="Arial"/>
                <w:color w:val="auto"/>
                <w:spacing w:val="9"/>
                <w:sz w:val="24"/>
                <w:szCs w:val="24"/>
                <w:highlight w:val="none"/>
              </w:rPr>
              <w:t xml:space="preserve"> </w:t>
            </w:r>
            <w:r>
              <w:rPr>
                <w:rFonts w:ascii="宋体" w:hAnsi="宋体" w:eastAsia="宋体" w:cs="宋体"/>
                <w:color w:val="auto"/>
                <w:spacing w:val="7"/>
                <w:sz w:val="24"/>
                <w:szCs w:val="24"/>
                <w:highlight w:val="none"/>
              </w:rPr>
              <w:t>分析仪</w:t>
            </w:r>
          </w:p>
        </w:tc>
        <w:tc>
          <w:tcPr>
            <w:tcW w:w="913" w:type="dxa"/>
            <w:vAlign w:val="top"/>
          </w:tcPr>
          <w:p w14:paraId="4A839CEB">
            <w:pPr>
              <w:spacing w:before="53"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53A9D919">
            <w:pPr>
              <w:spacing w:before="8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D9CC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continue"/>
            <w:tcBorders>
              <w:top w:val="nil"/>
              <w:bottom w:val="nil"/>
            </w:tcBorders>
            <w:vAlign w:val="top"/>
          </w:tcPr>
          <w:p w14:paraId="2A745966">
            <w:pPr>
              <w:ind w:left="1920"/>
              <w:jc w:val="center"/>
              <w:rPr>
                <w:rFonts w:hint="eastAsia" w:ascii="宋体" w:hAnsi="宋体" w:eastAsia="宋体" w:cs="Arial"/>
                <w:color w:val="auto"/>
                <w:sz w:val="24"/>
                <w:szCs w:val="24"/>
                <w:highlight w:val="none"/>
              </w:rPr>
            </w:pPr>
          </w:p>
        </w:tc>
        <w:tc>
          <w:tcPr>
            <w:tcW w:w="3720" w:type="dxa"/>
            <w:vAlign w:val="top"/>
          </w:tcPr>
          <w:p w14:paraId="3A6F565D">
            <w:pPr>
              <w:spacing w:before="69"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O</w:t>
            </w:r>
            <w:r>
              <w:rPr>
                <w:rFonts w:ascii="宋体" w:hAnsi="宋体" w:eastAsia="宋体" w:cs="Arial"/>
                <w:color w:val="auto"/>
                <w:spacing w:val="8"/>
                <w:sz w:val="24"/>
                <w:szCs w:val="24"/>
                <w:highlight w:val="none"/>
              </w:rPr>
              <w:t>3</w:t>
            </w:r>
            <w:r>
              <w:rPr>
                <w:rFonts w:ascii="宋体" w:hAnsi="宋体" w:eastAsia="宋体" w:cs="Arial"/>
                <w:color w:val="auto"/>
                <w:spacing w:val="5"/>
                <w:sz w:val="24"/>
                <w:szCs w:val="24"/>
                <w:highlight w:val="none"/>
              </w:rPr>
              <w:t xml:space="preserve"> </w:t>
            </w:r>
            <w:r>
              <w:rPr>
                <w:rFonts w:ascii="宋体" w:hAnsi="宋体" w:eastAsia="宋体" w:cs="宋体"/>
                <w:color w:val="auto"/>
                <w:spacing w:val="5"/>
                <w:sz w:val="24"/>
                <w:szCs w:val="24"/>
                <w:highlight w:val="none"/>
              </w:rPr>
              <w:t>分析仪</w:t>
            </w:r>
          </w:p>
        </w:tc>
        <w:tc>
          <w:tcPr>
            <w:tcW w:w="913" w:type="dxa"/>
            <w:vAlign w:val="top"/>
          </w:tcPr>
          <w:p w14:paraId="0D893713">
            <w:pPr>
              <w:spacing w:before="69"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357E561D">
            <w:pPr>
              <w:spacing w:before="99"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5A9F9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934" w:type="dxa"/>
            <w:vMerge w:val="continue"/>
            <w:tcBorders>
              <w:top w:val="nil"/>
              <w:bottom w:val="nil"/>
            </w:tcBorders>
            <w:vAlign w:val="top"/>
          </w:tcPr>
          <w:p w14:paraId="01AFD615">
            <w:pPr>
              <w:ind w:left="1920"/>
              <w:jc w:val="center"/>
              <w:rPr>
                <w:rFonts w:hint="eastAsia" w:ascii="宋体" w:hAnsi="宋体" w:eastAsia="宋体" w:cs="Arial"/>
                <w:color w:val="auto"/>
                <w:sz w:val="24"/>
                <w:szCs w:val="24"/>
                <w:highlight w:val="none"/>
              </w:rPr>
            </w:pPr>
          </w:p>
        </w:tc>
        <w:tc>
          <w:tcPr>
            <w:tcW w:w="3720" w:type="dxa"/>
            <w:vAlign w:val="top"/>
          </w:tcPr>
          <w:p w14:paraId="53B934F4">
            <w:pPr>
              <w:spacing w:before="71"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PM</w:t>
            </w:r>
            <w:r>
              <w:rPr>
                <w:rFonts w:ascii="宋体" w:hAnsi="宋体" w:eastAsia="宋体" w:cs="Arial"/>
                <w:color w:val="auto"/>
                <w:spacing w:val="7"/>
                <w:sz w:val="24"/>
                <w:szCs w:val="24"/>
                <w:highlight w:val="none"/>
              </w:rPr>
              <w:t>1</w:t>
            </w:r>
            <w:r>
              <w:rPr>
                <w:rFonts w:ascii="宋体" w:hAnsi="宋体" w:eastAsia="宋体" w:cs="Arial"/>
                <w:color w:val="auto"/>
                <w:spacing w:val="6"/>
                <w:sz w:val="24"/>
                <w:szCs w:val="24"/>
                <w:highlight w:val="none"/>
              </w:rPr>
              <w:t xml:space="preserve">0 </w:t>
            </w:r>
            <w:r>
              <w:rPr>
                <w:rFonts w:ascii="宋体" w:hAnsi="宋体" w:eastAsia="宋体" w:cs="宋体"/>
                <w:color w:val="auto"/>
                <w:spacing w:val="6"/>
                <w:sz w:val="24"/>
                <w:szCs w:val="24"/>
                <w:highlight w:val="none"/>
              </w:rPr>
              <w:t>分析仪</w:t>
            </w:r>
          </w:p>
        </w:tc>
        <w:tc>
          <w:tcPr>
            <w:tcW w:w="913" w:type="dxa"/>
            <w:vAlign w:val="top"/>
          </w:tcPr>
          <w:p w14:paraId="2A02A24B">
            <w:pPr>
              <w:spacing w:before="71"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2DF0381C">
            <w:pPr>
              <w:spacing w:before="100"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714350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934" w:type="dxa"/>
            <w:vMerge w:val="continue"/>
            <w:tcBorders>
              <w:top w:val="nil"/>
              <w:bottom w:val="nil"/>
            </w:tcBorders>
            <w:vAlign w:val="top"/>
          </w:tcPr>
          <w:p w14:paraId="34434C74">
            <w:pPr>
              <w:ind w:left="1920"/>
              <w:jc w:val="center"/>
              <w:rPr>
                <w:rFonts w:hint="eastAsia" w:ascii="宋体" w:hAnsi="宋体" w:eastAsia="宋体" w:cs="Arial"/>
                <w:color w:val="auto"/>
                <w:sz w:val="24"/>
                <w:szCs w:val="24"/>
                <w:highlight w:val="none"/>
              </w:rPr>
            </w:pPr>
          </w:p>
        </w:tc>
        <w:tc>
          <w:tcPr>
            <w:tcW w:w="3720" w:type="dxa"/>
            <w:vAlign w:val="top"/>
          </w:tcPr>
          <w:p w14:paraId="77C5EAB8">
            <w:pPr>
              <w:spacing w:before="71"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PM</w:t>
            </w:r>
            <w:r>
              <w:rPr>
                <w:rFonts w:ascii="宋体" w:hAnsi="宋体" w:eastAsia="宋体" w:cs="Arial"/>
                <w:color w:val="auto"/>
                <w:spacing w:val="9"/>
                <w:sz w:val="24"/>
                <w:szCs w:val="24"/>
                <w:highlight w:val="none"/>
              </w:rPr>
              <w:t>2</w:t>
            </w:r>
            <w:r>
              <w:rPr>
                <w:rFonts w:ascii="宋体" w:hAnsi="宋体" w:eastAsia="宋体" w:cs="Arial"/>
                <w:color w:val="auto"/>
                <w:spacing w:val="5"/>
                <w:sz w:val="24"/>
                <w:szCs w:val="24"/>
                <w:highlight w:val="none"/>
              </w:rPr>
              <w:t xml:space="preserve">.5 </w:t>
            </w:r>
            <w:r>
              <w:rPr>
                <w:rFonts w:ascii="宋体" w:hAnsi="宋体" w:eastAsia="宋体" w:cs="宋体"/>
                <w:color w:val="auto"/>
                <w:spacing w:val="5"/>
                <w:sz w:val="24"/>
                <w:szCs w:val="24"/>
                <w:highlight w:val="none"/>
              </w:rPr>
              <w:t>分析仪</w:t>
            </w:r>
          </w:p>
        </w:tc>
        <w:tc>
          <w:tcPr>
            <w:tcW w:w="913" w:type="dxa"/>
            <w:vAlign w:val="top"/>
          </w:tcPr>
          <w:p w14:paraId="70CB6201">
            <w:pPr>
              <w:spacing w:before="71"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37F1E2D0">
            <w:pPr>
              <w:spacing w:before="100"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53DAA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2934" w:type="dxa"/>
            <w:vMerge w:val="continue"/>
            <w:tcBorders>
              <w:top w:val="nil"/>
            </w:tcBorders>
            <w:vAlign w:val="top"/>
          </w:tcPr>
          <w:p w14:paraId="6EBDB207">
            <w:pPr>
              <w:ind w:left="1920"/>
              <w:jc w:val="center"/>
              <w:rPr>
                <w:rFonts w:hint="eastAsia" w:ascii="宋体" w:hAnsi="宋体" w:eastAsia="宋体" w:cs="Arial"/>
                <w:color w:val="auto"/>
                <w:sz w:val="24"/>
                <w:szCs w:val="24"/>
                <w:highlight w:val="none"/>
              </w:rPr>
            </w:pPr>
          </w:p>
        </w:tc>
        <w:tc>
          <w:tcPr>
            <w:tcW w:w="3720" w:type="dxa"/>
            <w:vAlign w:val="top"/>
          </w:tcPr>
          <w:p w14:paraId="76D67571">
            <w:pPr>
              <w:spacing w:before="71" w:line="228" w:lineRule="auto"/>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气</w:t>
            </w:r>
            <w:r>
              <w:rPr>
                <w:rFonts w:ascii="宋体" w:hAnsi="宋体" w:eastAsia="宋体" w:cs="宋体"/>
                <w:color w:val="auto"/>
                <w:spacing w:val="7"/>
                <w:sz w:val="24"/>
                <w:szCs w:val="24"/>
                <w:highlight w:val="none"/>
              </w:rPr>
              <w:t>象参数</w:t>
            </w:r>
          </w:p>
        </w:tc>
        <w:tc>
          <w:tcPr>
            <w:tcW w:w="913" w:type="dxa"/>
            <w:vAlign w:val="top"/>
          </w:tcPr>
          <w:p w14:paraId="1F0C8E03">
            <w:pPr>
              <w:spacing w:before="71"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53E26D36">
            <w:pPr>
              <w:spacing w:before="103"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8E27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restart"/>
            <w:tcBorders>
              <w:bottom w:val="nil"/>
            </w:tcBorders>
            <w:vAlign w:val="top"/>
          </w:tcPr>
          <w:p w14:paraId="1BBA5964">
            <w:pPr>
              <w:spacing w:before="215" w:line="229"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质</w:t>
            </w:r>
            <w:r>
              <w:rPr>
                <w:rFonts w:ascii="宋体" w:hAnsi="宋体" w:eastAsia="宋体" w:cs="宋体"/>
                <w:color w:val="auto"/>
                <w:spacing w:val="7"/>
                <w:sz w:val="24"/>
                <w:szCs w:val="24"/>
                <w:highlight w:val="none"/>
              </w:rPr>
              <w:t>控系统</w:t>
            </w:r>
          </w:p>
        </w:tc>
        <w:tc>
          <w:tcPr>
            <w:tcW w:w="3720" w:type="dxa"/>
            <w:vAlign w:val="top"/>
          </w:tcPr>
          <w:p w14:paraId="3FB40C21">
            <w:pPr>
              <w:spacing w:before="55" w:line="228" w:lineRule="auto"/>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动态校准仪及标准物质</w:t>
            </w:r>
          </w:p>
        </w:tc>
        <w:tc>
          <w:tcPr>
            <w:tcW w:w="913" w:type="dxa"/>
            <w:vAlign w:val="top"/>
          </w:tcPr>
          <w:p w14:paraId="3EA1B8D7">
            <w:pPr>
              <w:spacing w:before="54"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518E3521">
            <w:pPr>
              <w:spacing w:before="87"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D4FC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continue"/>
            <w:tcBorders>
              <w:top w:val="nil"/>
            </w:tcBorders>
            <w:vAlign w:val="top"/>
          </w:tcPr>
          <w:p w14:paraId="515B06D4">
            <w:pPr>
              <w:ind w:left="1920"/>
              <w:jc w:val="center"/>
              <w:rPr>
                <w:rFonts w:hint="eastAsia" w:ascii="宋体" w:hAnsi="宋体" w:eastAsia="宋体" w:cs="Arial"/>
                <w:color w:val="auto"/>
                <w:sz w:val="24"/>
                <w:szCs w:val="24"/>
                <w:highlight w:val="none"/>
              </w:rPr>
            </w:pPr>
          </w:p>
        </w:tc>
        <w:tc>
          <w:tcPr>
            <w:tcW w:w="3720" w:type="dxa"/>
            <w:vAlign w:val="top"/>
          </w:tcPr>
          <w:p w14:paraId="66748BEA">
            <w:pPr>
              <w:spacing w:before="54" w:line="228" w:lineRule="auto"/>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零</w:t>
            </w:r>
            <w:r>
              <w:rPr>
                <w:rFonts w:ascii="宋体" w:hAnsi="宋体" w:eastAsia="宋体" w:cs="宋体"/>
                <w:color w:val="auto"/>
                <w:spacing w:val="7"/>
                <w:sz w:val="24"/>
                <w:szCs w:val="24"/>
                <w:highlight w:val="none"/>
              </w:rPr>
              <w:t>气系统</w:t>
            </w:r>
          </w:p>
        </w:tc>
        <w:tc>
          <w:tcPr>
            <w:tcW w:w="913" w:type="dxa"/>
            <w:vAlign w:val="top"/>
          </w:tcPr>
          <w:p w14:paraId="35C3EBA1">
            <w:pPr>
              <w:spacing w:before="54"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1AE633F1">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578BEA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34" w:type="dxa"/>
            <w:vMerge w:val="restart"/>
            <w:tcBorders>
              <w:bottom w:val="nil"/>
            </w:tcBorders>
            <w:vAlign w:val="top"/>
          </w:tcPr>
          <w:p w14:paraId="6F57E966">
            <w:pPr>
              <w:spacing w:before="65" w:line="285" w:lineRule="exact"/>
              <w:jc w:val="center"/>
              <w:rPr>
                <w:rFonts w:hint="eastAsia" w:ascii="宋体" w:hAnsi="宋体" w:eastAsia="宋体" w:cs="宋体"/>
                <w:color w:val="auto"/>
                <w:sz w:val="24"/>
                <w:szCs w:val="24"/>
                <w:highlight w:val="none"/>
              </w:rPr>
            </w:pPr>
            <w:r>
              <w:rPr>
                <w:rFonts w:ascii="宋体" w:hAnsi="宋体" w:eastAsia="宋体" w:cs="Arial"/>
                <w:color w:val="auto"/>
                <w:position w:val="1"/>
                <w:sz w:val="24"/>
                <w:szCs w:val="24"/>
                <w:highlight w:val="none"/>
              </w:rPr>
              <w:t>VOCs</w:t>
            </w:r>
            <w:r>
              <w:rPr>
                <w:rFonts w:ascii="宋体" w:hAnsi="宋体" w:eastAsia="宋体" w:cs="Arial"/>
                <w:color w:val="auto"/>
                <w:spacing w:val="14"/>
                <w:position w:val="1"/>
                <w:sz w:val="24"/>
                <w:szCs w:val="24"/>
                <w:highlight w:val="none"/>
              </w:rPr>
              <w:t xml:space="preserve"> </w:t>
            </w:r>
            <w:r>
              <w:rPr>
                <w:rFonts w:ascii="宋体" w:hAnsi="宋体" w:eastAsia="宋体" w:cs="宋体"/>
                <w:color w:val="auto"/>
                <w:spacing w:val="13"/>
                <w:position w:val="1"/>
                <w:sz w:val="24"/>
                <w:szCs w:val="24"/>
                <w:highlight w:val="none"/>
              </w:rPr>
              <w:t>监测</w:t>
            </w:r>
          </w:p>
        </w:tc>
        <w:tc>
          <w:tcPr>
            <w:tcW w:w="3720" w:type="dxa"/>
            <w:vAlign w:val="top"/>
          </w:tcPr>
          <w:p w14:paraId="33EF12AA">
            <w:pPr>
              <w:spacing w:before="17" w:line="275" w:lineRule="auto"/>
              <w:ind w:right="179"/>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直</w:t>
            </w:r>
            <w:r>
              <w:rPr>
                <w:rFonts w:ascii="宋体" w:hAnsi="宋体" w:eastAsia="宋体" w:cs="宋体"/>
                <w:color w:val="auto"/>
                <w:spacing w:val="8"/>
                <w:sz w:val="24"/>
                <w:szCs w:val="24"/>
                <w:highlight w:val="none"/>
              </w:rPr>
              <w:t>测法甲烷</w:t>
            </w:r>
            <w:r>
              <w:rPr>
                <w:rFonts w:ascii="宋体" w:hAnsi="宋体" w:eastAsia="宋体" w:cs="Arial"/>
                <w:color w:val="auto"/>
                <w:spacing w:val="8"/>
                <w:sz w:val="24"/>
                <w:szCs w:val="24"/>
                <w:highlight w:val="none"/>
              </w:rPr>
              <w:t>/</w:t>
            </w:r>
            <w:r>
              <w:rPr>
                <w:rFonts w:ascii="宋体" w:hAnsi="宋体" w:eastAsia="宋体" w:cs="宋体"/>
                <w:color w:val="auto"/>
                <w:spacing w:val="8"/>
                <w:sz w:val="24"/>
                <w:szCs w:val="24"/>
                <w:highlight w:val="none"/>
              </w:rPr>
              <w:t>非甲烷总烃</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分</w:t>
            </w:r>
            <w:r>
              <w:rPr>
                <w:rFonts w:ascii="宋体" w:hAnsi="宋体" w:eastAsia="宋体" w:cs="宋体"/>
                <w:color w:val="auto"/>
                <w:spacing w:val="17"/>
                <w:sz w:val="24"/>
                <w:szCs w:val="24"/>
                <w:highlight w:val="none"/>
              </w:rPr>
              <w:t>析仪(配氢气发生器)</w:t>
            </w:r>
          </w:p>
        </w:tc>
        <w:tc>
          <w:tcPr>
            <w:tcW w:w="913" w:type="dxa"/>
            <w:vAlign w:val="top"/>
          </w:tcPr>
          <w:p w14:paraId="149653C0">
            <w:pPr>
              <w:spacing w:before="210"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6BDD0072">
            <w:pPr>
              <w:spacing w:before="24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5932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34" w:type="dxa"/>
            <w:vMerge w:val="continue"/>
            <w:tcBorders>
              <w:top w:val="nil"/>
            </w:tcBorders>
            <w:vAlign w:val="top"/>
          </w:tcPr>
          <w:p w14:paraId="1E2A2B06">
            <w:pPr>
              <w:ind w:left="1920"/>
              <w:jc w:val="center"/>
              <w:rPr>
                <w:rFonts w:hint="eastAsia" w:ascii="宋体" w:hAnsi="宋体" w:eastAsia="宋体" w:cs="Arial"/>
                <w:color w:val="auto"/>
                <w:sz w:val="24"/>
                <w:szCs w:val="24"/>
                <w:highlight w:val="none"/>
              </w:rPr>
            </w:pPr>
          </w:p>
        </w:tc>
        <w:tc>
          <w:tcPr>
            <w:tcW w:w="3720" w:type="dxa"/>
            <w:vAlign w:val="top"/>
          </w:tcPr>
          <w:p w14:paraId="57FFF0AD">
            <w:pPr>
              <w:spacing w:before="20" w:line="276" w:lineRule="auto"/>
              <w:ind w:right="118"/>
              <w:rPr>
                <w:rFonts w:hint="eastAsia" w:ascii="宋体" w:hAnsi="宋体" w:eastAsia="宋体" w:cs="宋体"/>
                <w:color w:val="auto"/>
                <w:sz w:val="24"/>
                <w:szCs w:val="24"/>
                <w:highlight w:val="none"/>
              </w:rPr>
            </w:pPr>
            <w:r>
              <w:rPr>
                <w:rFonts w:ascii="宋体" w:hAnsi="宋体" w:eastAsia="宋体" w:cs="Arial"/>
                <w:color w:val="auto"/>
                <w:spacing w:val="-2"/>
                <w:sz w:val="24"/>
                <w:szCs w:val="24"/>
                <w:highlight w:val="none"/>
              </w:rPr>
              <w:t xml:space="preserve">116 </w:t>
            </w:r>
            <w:r>
              <w:rPr>
                <w:rFonts w:ascii="宋体" w:hAnsi="宋体" w:eastAsia="宋体" w:cs="宋体"/>
                <w:color w:val="auto"/>
                <w:spacing w:val="-2"/>
                <w:sz w:val="24"/>
                <w:szCs w:val="24"/>
                <w:highlight w:val="none"/>
              </w:rPr>
              <w:t xml:space="preserve">种 </w:t>
            </w:r>
            <w:r>
              <w:rPr>
                <w:rFonts w:ascii="宋体" w:hAnsi="宋体" w:eastAsia="宋体" w:cs="Arial"/>
                <w:color w:val="auto"/>
                <w:spacing w:val="-1"/>
                <w:sz w:val="24"/>
                <w:szCs w:val="24"/>
                <w:highlight w:val="none"/>
              </w:rPr>
              <w:t>VOCs</w:t>
            </w:r>
            <w:r>
              <w:rPr>
                <w:rFonts w:ascii="宋体" w:hAnsi="宋体" w:eastAsia="宋体" w:cs="Arial"/>
                <w:color w:val="auto"/>
                <w:spacing w:val="-2"/>
                <w:sz w:val="24"/>
                <w:szCs w:val="24"/>
                <w:highlight w:val="none"/>
              </w:rPr>
              <w:t xml:space="preserve"> </w:t>
            </w:r>
            <w:r>
              <w:rPr>
                <w:rFonts w:ascii="宋体" w:hAnsi="宋体" w:eastAsia="宋体" w:cs="宋体"/>
                <w:color w:val="auto"/>
                <w:spacing w:val="-1"/>
                <w:sz w:val="24"/>
                <w:szCs w:val="24"/>
                <w:highlight w:val="none"/>
              </w:rPr>
              <w:t xml:space="preserve">在线 </w:t>
            </w:r>
            <w:r>
              <w:rPr>
                <w:rFonts w:ascii="宋体" w:hAnsi="宋体" w:eastAsia="宋体" w:cs="Arial"/>
                <w:color w:val="auto"/>
                <w:spacing w:val="-1"/>
                <w:sz w:val="24"/>
                <w:szCs w:val="24"/>
                <w:highlight w:val="none"/>
              </w:rPr>
              <w:t xml:space="preserve">GC-MS </w:t>
            </w:r>
            <w:r>
              <w:rPr>
                <w:rFonts w:ascii="宋体" w:hAnsi="宋体" w:eastAsia="宋体" w:cs="宋体"/>
                <w:color w:val="auto"/>
                <w:spacing w:val="-1"/>
                <w:sz w:val="24"/>
                <w:szCs w:val="24"/>
                <w:highlight w:val="none"/>
              </w:rPr>
              <w:t>监</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测系</w:t>
            </w:r>
            <w:r>
              <w:rPr>
                <w:rFonts w:ascii="宋体" w:hAnsi="宋体" w:eastAsia="宋体" w:cs="宋体"/>
                <w:color w:val="auto"/>
                <w:spacing w:val="6"/>
                <w:sz w:val="24"/>
                <w:szCs w:val="24"/>
                <w:highlight w:val="none"/>
              </w:rPr>
              <w:t>统</w:t>
            </w:r>
          </w:p>
        </w:tc>
        <w:tc>
          <w:tcPr>
            <w:tcW w:w="913" w:type="dxa"/>
            <w:vAlign w:val="top"/>
          </w:tcPr>
          <w:p w14:paraId="58CFD09B">
            <w:pPr>
              <w:spacing w:before="56"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78D2EEA6">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F8F9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Align w:val="top"/>
          </w:tcPr>
          <w:p w14:paraId="24117048">
            <w:pPr>
              <w:spacing w:before="57"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数据采集系统</w:t>
            </w:r>
          </w:p>
        </w:tc>
        <w:tc>
          <w:tcPr>
            <w:tcW w:w="3720" w:type="dxa"/>
            <w:vAlign w:val="top"/>
          </w:tcPr>
          <w:p w14:paraId="6FF37AD9">
            <w:pPr>
              <w:spacing w:before="57" w:line="227" w:lineRule="auto"/>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数据采集和处理系</w:t>
            </w:r>
            <w:r>
              <w:rPr>
                <w:rFonts w:ascii="宋体" w:hAnsi="宋体" w:eastAsia="宋体" w:cs="宋体"/>
                <w:color w:val="auto"/>
                <w:spacing w:val="8"/>
                <w:sz w:val="24"/>
                <w:szCs w:val="24"/>
                <w:highlight w:val="none"/>
              </w:rPr>
              <w:t>统</w:t>
            </w:r>
          </w:p>
        </w:tc>
        <w:tc>
          <w:tcPr>
            <w:tcW w:w="913" w:type="dxa"/>
            <w:vAlign w:val="top"/>
          </w:tcPr>
          <w:p w14:paraId="1BA299C5">
            <w:pPr>
              <w:spacing w:before="56"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2032F53E">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530E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2934" w:type="dxa"/>
            <w:vAlign w:val="top"/>
          </w:tcPr>
          <w:p w14:paraId="04036DC7">
            <w:pPr>
              <w:spacing w:before="162"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附</w:t>
            </w:r>
            <w:r>
              <w:rPr>
                <w:rFonts w:ascii="宋体" w:hAnsi="宋体" w:eastAsia="宋体" w:cs="宋体"/>
                <w:color w:val="auto"/>
                <w:spacing w:val="6"/>
                <w:sz w:val="24"/>
                <w:szCs w:val="24"/>
                <w:highlight w:val="none"/>
              </w:rPr>
              <w:t>件材料及耗材</w:t>
            </w:r>
          </w:p>
        </w:tc>
        <w:tc>
          <w:tcPr>
            <w:tcW w:w="3720" w:type="dxa"/>
            <w:vAlign w:val="top"/>
          </w:tcPr>
          <w:p w14:paraId="301C9115">
            <w:pPr>
              <w:spacing w:before="162" w:line="227" w:lineRule="auto"/>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采</w:t>
            </w:r>
            <w:r>
              <w:rPr>
                <w:rFonts w:ascii="宋体" w:hAnsi="宋体" w:eastAsia="宋体" w:cs="宋体"/>
                <w:color w:val="auto"/>
                <w:spacing w:val="9"/>
                <w:sz w:val="24"/>
                <w:szCs w:val="24"/>
                <w:highlight w:val="none"/>
              </w:rPr>
              <w:t>样系统及控制电磁阀等</w:t>
            </w:r>
          </w:p>
        </w:tc>
        <w:tc>
          <w:tcPr>
            <w:tcW w:w="913" w:type="dxa"/>
            <w:vAlign w:val="top"/>
          </w:tcPr>
          <w:p w14:paraId="04CBD0DD">
            <w:pPr>
              <w:spacing w:before="161"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7AFBF9F3">
            <w:pPr>
              <w:spacing w:before="194"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EE3F5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934" w:type="dxa"/>
            <w:vAlign w:val="top"/>
          </w:tcPr>
          <w:p w14:paraId="59E6A277">
            <w:pPr>
              <w:spacing w:before="162" w:line="229"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站</w:t>
            </w:r>
            <w:r>
              <w:rPr>
                <w:rFonts w:ascii="宋体" w:hAnsi="宋体" w:eastAsia="宋体" w:cs="宋体"/>
                <w:color w:val="auto"/>
                <w:spacing w:val="7"/>
                <w:sz w:val="24"/>
                <w:szCs w:val="24"/>
                <w:highlight w:val="none"/>
              </w:rPr>
              <w:t>房建设</w:t>
            </w:r>
          </w:p>
        </w:tc>
        <w:tc>
          <w:tcPr>
            <w:tcW w:w="3720" w:type="dxa"/>
            <w:vAlign w:val="top"/>
          </w:tcPr>
          <w:p w14:paraId="32F4EA00">
            <w:pPr>
              <w:spacing w:before="162" w:line="229" w:lineRule="auto"/>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24 ㎡的一体化站房</w:t>
            </w:r>
          </w:p>
        </w:tc>
        <w:tc>
          <w:tcPr>
            <w:tcW w:w="913" w:type="dxa"/>
            <w:vAlign w:val="top"/>
          </w:tcPr>
          <w:p w14:paraId="71EA3109">
            <w:pPr>
              <w:spacing w:before="162"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54F06191">
            <w:pPr>
              <w:spacing w:before="19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bl>
    <w:p w14:paraId="246617A9">
      <w:pPr>
        <w:widowControl/>
        <w:autoSpaceDE w:val="0"/>
        <w:autoSpaceDN w:val="0"/>
        <w:adjustRightInd w:val="0"/>
        <w:snapToGrid w:val="0"/>
        <w:spacing w:line="360" w:lineRule="auto"/>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理工大站点</w:t>
      </w:r>
    </w:p>
    <w:tbl>
      <w:tblPr>
        <w:tblStyle w:val="63"/>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4"/>
        <w:gridCol w:w="3720"/>
        <w:gridCol w:w="913"/>
        <w:gridCol w:w="851"/>
      </w:tblGrid>
      <w:tr w14:paraId="37B10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34" w:type="dxa"/>
            <w:vAlign w:val="top"/>
          </w:tcPr>
          <w:p w14:paraId="5FE4D4FC">
            <w:pPr>
              <w:spacing w:before="173" w:line="221" w:lineRule="auto"/>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监测项</w:t>
            </w:r>
            <w:r>
              <w:rPr>
                <w:rFonts w:ascii="宋体" w:hAnsi="宋体" w:eastAsia="宋体" w:cs="宋体"/>
                <w:color w:val="auto"/>
                <w:spacing w:val="-1"/>
                <w:sz w:val="24"/>
                <w:szCs w:val="24"/>
                <w:highlight w:val="none"/>
              </w:rPr>
              <w:t>目</w:t>
            </w:r>
          </w:p>
        </w:tc>
        <w:tc>
          <w:tcPr>
            <w:tcW w:w="3720" w:type="dxa"/>
            <w:vAlign w:val="top"/>
          </w:tcPr>
          <w:p w14:paraId="2A7648DD">
            <w:pPr>
              <w:spacing w:before="173" w:line="220" w:lineRule="auto"/>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仪器名</w:t>
            </w:r>
            <w:r>
              <w:rPr>
                <w:rFonts w:ascii="宋体" w:hAnsi="宋体" w:eastAsia="宋体" w:cs="宋体"/>
                <w:color w:val="auto"/>
                <w:spacing w:val="-1"/>
                <w:sz w:val="24"/>
                <w:szCs w:val="24"/>
                <w:highlight w:val="none"/>
              </w:rPr>
              <w:t>称</w:t>
            </w:r>
          </w:p>
        </w:tc>
        <w:tc>
          <w:tcPr>
            <w:tcW w:w="913" w:type="dxa"/>
            <w:vAlign w:val="top"/>
          </w:tcPr>
          <w:p w14:paraId="15BBA446">
            <w:pPr>
              <w:spacing w:before="173" w:line="221"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单</w:t>
            </w:r>
            <w:r>
              <w:rPr>
                <w:rFonts w:ascii="宋体" w:hAnsi="宋体" w:eastAsia="宋体" w:cs="宋体"/>
                <w:color w:val="auto"/>
                <w:spacing w:val="-4"/>
                <w:sz w:val="24"/>
                <w:szCs w:val="24"/>
                <w:highlight w:val="none"/>
              </w:rPr>
              <w:t>位</w:t>
            </w:r>
          </w:p>
        </w:tc>
        <w:tc>
          <w:tcPr>
            <w:tcW w:w="851" w:type="dxa"/>
            <w:vAlign w:val="top"/>
          </w:tcPr>
          <w:p w14:paraId="3CDAB345">
            <w:pPr>
              <w:spacing w:before="173" w:line="220"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数</w:t>
            </w:r>
            <w:r>
              <w:rPr>
                <w:rFonts w:ascii="宋体" w:hAnsi="宋体" w:eastAsia="宋体" w:cs="宋体"/>
                <w:color w:val="auto"/>
                <w:spacing w:val="-4"/>
                <w:sz w:val="24"/>
                <w:szCs w:val="24"/>
                <w:highlight w:val="none"/>
              </w:rPr>
              <w:t>量</w:t>
            </w:r>
          </w:p>
        </w:tc>
      </w:tr>
      <w:tr w14:paraId="78AB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restart"/>
            <w:tcBorders>
              <w:bottom w:val="nil"/>
            </w:tcBorders>
            <w:vAlign w:val="top"/>
          </w:tcPr>
          <w:p w14:paraId="6B80D654">
            <w:pPr>
              <w:spacing w:before="65" w:line="301" w:lineRule="auto"/>
              <w:ind w:right="179"/>
              <w:jc w:val="center"/>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常</w:t>
            </w:r>
            <w:r>
              <w:rPr>
                <w:rFonts w:ascii="宋体" w:hAnsi="宋体" w:eastAsia="宋体" w:cs="宋体"/>
                <w:color w:val="auto"/>
                <w:spacing w:val="8"/>
                <w:sz w:val="24"/>
                <w:szCs w:val="24"/>
                <w:highlight w:val="none"/>
              </w:rPr>
              <w:t>规空气质量监测系</w:t>
            </w:r>
            <w:r>
              <w:rPr>
                <w:rFonts w:ascii="宋体" w:hAnsi="宋体" w:eastAsia="宋体" w:cs="宋体"/>
                <w:color w:val="auto"/>
                <w:sz w:val="24"/>
                <w:szCs w:val="24"/>
                <w:highlight w:val="none"/>
              </w:rPr>
              <w:t>统</w:t>
            </w:r>
          </w:p>
        </w:tc>
        <w:tc>
          <w:tcPr>
            <w:tcW w:w="3720" w:type="dxa"/>
            <w:vAlign w:val="top"/>
          </w:tcPr>
          <w:p w14:paraId="5DA06AAC">
            <w:pPr>
              <w:spacing w:before="67"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SO</w:t>
            </w:r>
            <w:r>
              <w:rPr>
                <w:rFonts w:ascii="宋体" w:hAnsi="宋体" w:eastAsia="宋体" w:cs="Arial"/>
                <w:color w:val="auto"/>
                <w:spacing w:val="7"/>
                <w:position w:val="-1"/>
                <w:sz w:val="24"/>
                <w:szCs w:val="24"/>
                <w:highlight w:val="none"/>
              </w:rPr>
              <w:t xml:space="preserve">2 </w:t>
            </w:r>
            <w:r>
              <w:rPr>
                <w:rFonts w:ascii="宋体" w:hAnsi="宋体" w:eastAsia="宋体" w:cs="宋体"/>
                <w:color w:val="auto"/>
                <w:spacing w:val="7"/>
                <w:sz w:val="24"/>
                <w:szCs w:val="24"/>
                <w:highlight w:val="none"/>
              </w:rPr>
              <w:t>分析仪</w:t>
            </w:r>
          </w:p>
        </w:tc>
        <w:tc>
          <w:tcPr>
            <w:tcW w:w="913" w:type="dxa"/>
            <w:vAlign w:val="top"/>
          </w:tcPr>
          <w:p w14:paraId="5EC52047">
            <w:pPr>
              <w:spacing w:before="68"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7288E002">
            <w:pPr>
              <w:spacing w:before="97"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211E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continue"/>
            <w:tcBorders>
              <w:top w:val="nil"/>
              <w:bottom w:val="nil"/>
            </w:tcBorders>
            <w:vAlign w:val="top"/>
          </w:tcPr>
          <w:p w14:paraId="30948488">
            <w:pPr>
              <w:ind w:left="1920"/>
              <w:jc w:val="center"/>
              <w:rPr>
                <w:rFonts w:hint="eastAsia" w:ascii="宋体" w:hAnsi="宋体" w:eastAsia="宋体" w:cs="Arial"/>
                <w:color w:val="auto"/>
                <w:sz w:val="24"/>
                <w:szCs w:val="24"/>
                <w:highlight w:val="none"/>
              </w:rPr>
            </w:pPr>
          </w:p>
        </w:tc>
        <w:tc>
          <w:tcPr>
            <w:tcW w:w="3720" w:type="dxa"/>
            <w:vAlign w:val="top"/>
          </w:tcPr>
          <w:p w14:paraId="74FC8AA1">
            <w:pPr>
              <w:spacing w:before="31" w:line="285" w:lineRule="exact"/>
              <w:rPr>
                <w:rFonts w:hint="eastAsia" w:ascii="宋体" w:hAnsi="宋体" w:eastAsia="宋体" w:cs="宋体"/>
                <w:color w:val="auto"/>
                <w:sz w:val="24"/>
                <w:szCs w:val="24"/>
                <w:highlight w:val="none"/>
              </w:rPr>
            </w:pPr>
            <w:r>
              <w:rPr>
                <w:rFonts w:ascii="宋体" w:hAnsi="宋体" w:eastAsia="宋体" w:cs="Arial"/>
                <w:color w:val="auto"/>
                <w:position w:val="1"/>
                <w:sz w:val="24"/>
                <w:szCs w:val="24"/>
                <w:highlight w:val="none"/>
              </w:rPr>
              <w:t>NO</w:t>
            </w:r>
            <w:r>
              <w:rPr>
                <w:rFonts w:ascii="宋体" w:hAnsi="宋体" w:eastAsia="宋体" w:cs="Arial"/>
                <w:color w:val="auto"/>
                <w:spacing w:val="10"/>
                <w:position w:val="1"/>
                <w:sz w:val="24"/>
                <w:szCs w:val="24"/>
                <w:highlight w:val="none"/>
              </w:rPr>
              <w:t>2/</w:t>
            </w:r>
            <w:r>
              <w:rPr>
                <w:rFonts w:ascii="宋体" w:hAnsi="宋体" w:eastAsia="宋体" w:cs="Arial"/>
                <w:color w:val="auto"/>
                <w:position w:val="1"/>
                <w:sz w:val="24"/>
                <w:szCs w:val="24"/>
                <w:highlight w:val="none"/>
              </w:rPr>
              <w:t>NO</w:t>
            </w:r>
            <w:r>
              <w:rPr>
                <w:rFonts w:ascii="宋体" w:hAnsi="宋体" w:eastAsia="宋体" w:cs="Arial"/>
                <w:color w:val="auto"/>
                <w:spacing w:val="10"/>
                <w:position w:val="1"/>
                <w:sz w:val="24"/>
                <w:szCs w:val="24"/>
                <w:highlight w:val="none"/>
              </w:rPr>
              <w:t>/</w:t>
            </w:r>
            <w:r>
              <w:rPr>
                <w:rFonts w:ascii="宋体" w:hAnsi="宋体" w:eastAsia="宋体" w:cs="Arial"/>
                <w:color w:val="auto"/>
                <w:position w:val="1"/>
                <w:sz w:val="24"/>
                <w:szCs w:val="24"/>
                <w:highlight w:val="none"/>
              </w:rPr>
              <w:t>NOx</w:t>
            </w:r>
            <w:r>
              <w:rPr>
                <w:rFonts w:ascii="宋体" w:hAnsi="宋体" w:eastAsia="宋体" w:cs="Arial"/>
                <w:color w:val="auto"/>
                <w:spacing w:val="10"/>
                <w:position w:val="1"/>
                <w:sz w:val="24"/>
                <w:szCs w:val="24"/>
                <w:highlight w:val="none"/>
              </w:rPr>
              <w:t xml:space="preserve"> </w:t>
            </w:r>
            <w:r>
              <w:rPr>
                <w:rFonts w:ascii="宋体" w:hAnsi="宋体" w:eastAsia="宋体" w:cs="宋体"/>
                <w:color w:val="auto"/>
                <w:spacing w:val="10"/>
                <w:position w:val="1"/>
                <w:sz w:val="24"/>
                <w:szCs w:val="24"/>
                <w:highlight w:val="none"/>
              </w:rPr>
              <w:t>分析</w:t>
            </w:r>
            <w:r>
              <w:rPr>
                <w:rFonts w:ascii="宋体" w:hAnsi="宋体" w:eastAsia="宋体" w:cs="宋体"/>
                <w:color w:val="auto"/>
                <w:spacing w:val="9"/>
                <w:position w:val="1"/>
                <w:sz w:val="24"/>
                <w:szCs w:val="24"/>
                <w:highlight w:val="none"/>
              </w:rPr>
              <w:t>仪</w:t>
            </w:r>
          </w:p>
        </w:tc>
        <w:tc>
          <w:tcPr>
            <w:tcW w:w="913" w:type="dxa"/>
            <w:vAlign w:val="top"/>
          </w:tcPr>
          <w:p w14:paraId="366AEF1B">
            <w:pPr>
              <w:spacing w:before="69"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5F6A114F">
            <w:pPr>
              <w:spacing w:before="98"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71A0BE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continue"/>
            <w:tcBorders>
              <w:top w:val="nil"/>
              <w:bottom w:val="nil"/>
            </w:tcBorders>
            <w:vAlign w:val="top"/>
          </w:tcPr>
          <w:p w14:paraId="5C2036FF">
            <w:pPr>
              <w:ind w:left="1920"/>
              <w:jc w:val="center"/>
              <w:rPr>
                <w:rFonts w:hint="eastAsia" w:ascii="宋体" w:hAnsi="宋体" w:eastAsia="宋体" w:cs="Arial"/>
                <w:color w:val="auto"/>
                <w:sz w:val="24"/>
                <w:szCs w:val="24"/>
                <w:highlight w:val="none"/>
              </w:rPr>
            </w:pPr>
          </w:p>
        </w:tc>
        <w:tc>
          <w:tcPr>
            <w:tcW w:w="3720" w:type="dxa"/>
            <w:vAlign w:val="top"/>
          </w:tcPr>
          <w:p w14:paraId="3D7F518C">
            <w:pPr>
              <w:spacing w:before="53"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CO</w:t>
            </w:r>
            <w:r>
              <w:rPr>
                <w:rFonts w:ascii="宋体" w:hAnsi="宋体" w:eastAsia="宋体" w:cs="Arial"/>
                <w:color w:val="auto"/>
                <w:spacing w:val="9"/>
                <w:sz w:val="24"/>
                <w:szCs w:val="24"/>
                <w:highlight w:val="none"/>
              </w:rPr>
              <w:t xml:space="preserve"> </w:t>
            </w:r>
            <w:r>
              <w:rPr>
                <w:rFonts w:ascii="宋体" w:hAnsi="宋体" w:eastAsia="宋体" w:cs="宋体"/>
                <w:color w:val="auto"/>
                <w:spacing w:val="7"/>
                <w:sz w:val="24"/>
                <w:szCs w:val="24"/>
                <w:highlight w:val="none"/>
              </w:rPr>
              <w:t>分析仪</w:t>
            </w:r>
          </w:p>
        </w:tc>
        <w:tc>
          <w:tcPr>
            <w:tcW w:w="913" w:type="dxa"/>
            <w:vAlign w:val="top"/>
          </w:tcPr>
          <w:p w14:paraId="152E18D9">
            <w:pPr>
              <w:spacing w:before="53"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6A14F5D4">
            <w:pPr>
              <w:spacing w:before="8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63CA2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jc w:val="center"/>
        </w:trPr>
        <w:tc>
          <w:tcPr>
            <w:tcW w:w="2934" w:type="dxa"/>
            <w:vMerge w:val="continue"/>
            <w:tcBorders>
              <w:top w:val="nil"/>
              <w:bottom w:val="nil"/>
            </w:tcBorders>
            <w:vAlign w:val="top"/>
          </w:tcPr>
          <w:p w14:paraId="7C8591E5">
            <w:pPr>
              <w:ind w:left="1920"/>
              <w:jc w:val="center"/>
              <w:rPr>
                <w:rFonts w:hint="eastAsia" w:ascii="宋体" w:hAnsi="宋体" w:eastAsia="宋体" w:cs="Arial"/>
                <w:color w:val="auto"/>
                <w:sz w:val="24"/>
                <w:szCs w:val="24"/>
                <w:highlight w:val="none"/>
              </w:rPr>
            </w:pPr>
          </w:p>
        </w:tc>
        <w:tc>
          <w:tcPr>
            <w:tcW w:w="3720" w:type="dxa"/>
            <w:vAlign w:val="top"/>
          </w:tcPr>
          <w:p w14:paraId="0F1E3D75">
            <w:pPr>
              <w:spacing w:before="69"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O</w:t>
            </w:r>
            <w:r>
              <w:rPr>
                <w:rFonts w:ascii="宋体" w:hAnsi="宋体" w:eastAsia="宋体" w:cs="Arial"/>
                <w:color w:val="auto"/>
                <w:spacing w:val="8"/>
                <w:sz w:val="24"/>
                <w:szCs w:val="24"/>
                <w:highlight w:val="none"/>
              </w:rPr>
              <w:t>3</w:t>
            </w:r>
            <w:r>
              <w:rPr>
                <w:rFonts w:ascii="宋体" w:hAnsi="宋体" w:eastAsia="宋体" w:cs="Arial"/>
                <w:color w:val="auto"/>
                <w:spacing w:val="5"/>
                <w:sz w:val="24"/>
                <w:szCs w:val="24"/>
                <w:highlight w:val="none"/>
              </w:rPr>
              <w:t xml:space="preserve"> </w:t>
            </w:r>
            <w:r>
              <w:rPr>
                <w:rFonts w:ascii="宋体" w:hAnsi="宋体" w:eastAsia="宋体" w:cs="宋体"/>
                <w:color w:val="auto"/>
                <w:spacing w:val="5"/>
                <w:sz w:val="24"/>
                <w:szCs w:val="24"/>
                <w:highlight w:val="none"/>
              </w:rPr>
              <w:t>分析仪</w:t>
            </w:r>
          </w:p>
        </w:tc>
        <w:tc>
          <w:tcPr>
            <w:tcW w:w="913" w:type="dxa"/>
            <w:vAlign w:val="top"/>
          </w:tcPr>
          <w:p w14:paraId="7CEB71EA">
            <w:pPr>
              <w:spacing w:before="69"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7CAD0FF9">
            <w:pPr>
              <w:spacing w:before="99"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380244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934" w:type="dxa"/>
            <w:vMerge w:val="continue"/>
            <w:tcBorders>
              <w:top w:val="nil"/>
              <w:bottom w:val="nil"/>
            </w:tcBorders>
            <w:vAlign w:val="top"/>
          </w:tcPr>
          <w:p w14:paraId="21D5466F">
            <w:pPr>
              <w:ind w:left="1920"/>
              <w:jc w:val="center"/>
              <w:rPr>
                <w:rFonts w:hint="eastAsia" w:ascii="宋体" w:hAnsi="宋体" w:eastAsia="宋体" w:cs="Arial"/>
                <w:color w:val="auto"/>
                <w:sz w:val="24"/>
                <w:szCs w:val="24"/>
                <w:highlight w:val="none"/>
              </w:rPr>
            </w:pPr>
          </w:p>
        </w:tc>
        <w:tc>
          <w:tcPr>
            <w:tcW w:w="3720" w:type="dxa"/>
            <w:vAlign w:val="top"/>
          </w:tcPr>
          <w:p w14:paraId="512858D4">
            <w:pPr>
              <w:spacing w:before="71"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PM</w:t>
            </w:r>
            <w:r>
              <w:rPr>
                <w:rFonts w:ascii="宋体" w:hAnsi="宋体" w:eastAsia="宋体" w:cs="Arial"/>
                <w:color w:val="auto"/>
                <w:spacing w:val="7"/>
                <w:sz w:val="24"/>
                <w:szCs w:val="24"/>
                <w:highlight w:val="none"/>
              </w:rPr>
              <w:t>1</w:t>
            </w:r>
            <w:r>
              <w:rPr>
                <w:rFonts w:ascii="宋体" w:hAnsi="宋体" w:eastAsia="宋体" w:cs="Arial"/>
                <w:color w:val="auto"/>
                <w:spacing w:val="6"/>
                <w:sz w:val="24"/>
                <w:szCs w:val="24"/>
                <w:highlight w:val="none"/>
              </w:rPr>
              <w:t xml:space="preserve">0 </w:t>
            </w:r>
            <w:r>
              <w:rPr>
                <w:rFonts w:ascii="宋体" w:hAnsi="宋体" w:eastAsia="宋体" w:cs="宋体"/>
                <w:color w:val="auto"/>
                <w:spacing w:val="6"/>
                <w:sz w:val="24"/>
                <w:szCs w:val="24"/>
                <w:highlight w:val="none"/>
              </w:rPr>
              <w:t>分析仪</w:t>
            </w:r>
          </w:p>
        </w:tc>
        <w:tc>
          <w:tcPr>
            <w:tcW w:w="913" w:type="dxa"/>
            <w:vAlign w:val="top"/>
          </w:tcPr>
          <w:p w14:paraId="23629F8B">
            <w:pPr>
              <w:spacing w:before="71"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4C6671CE">
            <w:pPr>
              <w:spacing w:before="100"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57623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jc w:val="center"/>
        </w:trPr>
        <w:tc>
          <w:tcPr>
            <w:tcW w:w="2934" w:type="dxa"/>
            <w:vMerge w:val="continue"/>
            <w:tcBorders>
              <w:top w:val="nil"/>
              <w:bottom w:val="nil"/>
            </w:tcBorders>
            <w:vAlign w:val="top"/>
          </w:tcPr>
          <w:p w14:paraId="5A0889C0">
            <w:pPr>
              <w:ind w:left="1920"/>
              <w:jc w:val="center"/>
              <w:rPr>
                <w:rFonts w:hint="eastAsia" w:ascii="宋体" w:hAnsi="宋体" w:eastAsia="宋体" w:cs="Arial"/>
                <w:color w:val="auto"/>
                <w:sz w:val="24"/>
                <w:szCs w:val="24"/>
                <w:highlight w:val="none"/>
              </w:rPr>
            </w:pPr>
          </w:p>
        </w:tc>
        <w:tc>
          <w:tcPr>
            <w:tcW w:w="3720" w:type="dxa"/>
            <w:vAlign w:val="top"/>
          </w:tcPr>
          <w:p w14:paraId="7834C719">
            <w:pPr>
              <w:spacing w:before="71" w:line="228" w:lineRule="auto"/>
              <w:rPr>
                <w:rFonts w:hint="eastAsia" w:ascii="宋体" w:hAnsi="宋体" w:eastAsia="宋体" w:cs="宋体"/>
                <w:color w:val="auto"/>
                <w:sz w:val="24"/>
                <w:szCs w:val="24"/>
                <w:highlight w:val="none"/>
              </w:rPr>
            </w:pPr>
            <w:r>
              <w:rPr>
                <w:rFonts w:ascii="宋体" w:hAnsi="宋体" w:eastAsia="宋体" w:cs="Arial"/>
                <w:color w:val="auto"/>
                <w:sz w:val="24"/>
                <w:szCs w:val="24"/>
                <w:highlight w:val="none"/>
              </w:rPr>
              <w:t>PM</w:t>
            </w:r>
            <w:r>
              <w:rPr>
                <w:rFonts w:ascii="宋体" w:hAnsi="宋体" w:eastAsia="宋体" w:cs="Arial"/>
                <w:color w:val="auto"/>
                <w:spacing w:val="9"/>
                <w:sz w:val="24"/>
                <w:szCs w:val="24"/>
                <w:highlight w:val="none"/>
              </w:rPr>
              <w:t>2</w:t>
            </w:r>
            <w:r>
              <w:rPr>
                <w:rFonts w:ascii="宋体" w:hAnsi="宋体" w:eastAsia="宋体" w:cs="Arial"/>
                <w:color w:val="auto"/>
                <w:spacing w:val="5"/>
                <w:sz w:val="24"/>
                <w:szCs w:val="24"/>
                <w:highlight w:val="none"/>
              </w:rPr>
              <w:t xml:space="preserve">.5 </w:t>
            </w:r>
            <w:r>
              <w:rPr>
                <w:rFonts w:ascii="宋体" w:hAnsi="宋体" w:eastAsia="宋体" w:cs="宋体"/>
                <w:color w:val="auto"/>
                <w:spacing w:val="5"/>
                <w:sz w:val="24"/>
                <w:szCs w:val="24"/>
                <w:highlight w:val="none"/>
              </w:rPr>
              <w:t>分析仪</w:t>
            </w:r>
          </w:p>
        </w:tc>
        <w:tc>
          <w:tcPr>
            <w:tcW w:w="913" w:type="dxa"/>
            <w:vAlign w:val="top"/>
          </w:tcPr>
          <w:p w14:paraId="7F70F12A">
            <w:pPr>
              <w:spacing w:before="71"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041C5F8D">
            <w:pPr>
              <w:spacing w:before="100"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7C248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jc w:val="center"/>
        </w:trPr>
        <w:tc>
          <w:tcPr>
            <w:tcW w:w="2934" w:type="dxa"/>
            <w:vMerge w:val="continue"/>
            <w:tcBorders>
              <w:top w:val="nil"/>
            </w:tcBorders>
            <w:vAlign w:val="top"/>
          </w:tcPr>
          <w:p w14:paraId="6C613CD2">
            <w:pPr>
              <w:ind w:left="1920"/>
              <w:jc w:val="center"/>
              <w:rPr>
                <w:rFonts w:hint="eastAsia" w:ascii="宋体" w:hAnsi="宋体" w:eastAsia="宋体" w:cs="Arial"/>
                <w:color w:val="auto"/>
                <w:sz w:val="24"/>
                <w:szCs w:val="24"/>
                <w:highlight w:val="none"/>
              </w:rPr>
            </w:pPr>
          </w:p>
        </w:tc>
        <w:tc>
          <w:tcPr>
            <w:tcW w:w="3720" w:type="dxa"/>
            <w:vAlign w:val="top"/>
          </w:tcPr>
          <w:p w14:paraId="7B3CF2D4">
            <w:pPr>
              <w:spacing w:before="71" w:line="228" w:lineRule="auto"/>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气</w:t>
            </w:r>
            <w:r>
              <w:rPr>
                <w:rFonts w:ascii="宋体" w:hAnsi="宋体" w:eastAsia="宋体" w:cs="宋体"/>
                <w:color w:val="auto"/>
                <w:spacing w:val="7"/>
                <w:sz w:val="24"/>
                <w:szCs w:val="24"/>
                <w:highlight w:val="none"/>
              </w:rPr>
              <w:t>象参数</w:t>
            </w:r>
          </w:p>
        </w:tc>
        <w:tc>
          <w:tcPr>
            <w:tcW w:w="913" w:type="dxa"/>
            <w:vAlign w:val="top"/>
          </w:tcPr>
          <w:p w14:paraId="74880CDB">
            <w:pPr>
              <w:spacing w:before="71"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2CB3E0AF">
            <w:pPr>
              <w:spacing w:before="103"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6B40DD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restart"/>
            <w:tcBorders>
              <w:bottom w:val="nil"/>
            </w:tcBorders>
            <w:vAlign w:val="top"/>
          </w:tcPr>
          <w:p w14:paraId="406FCE27">
            <w:pPr>
              <w:spacing w:before="215" w:line="229"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质</w:t>
            </w:r>
            <w:r>
              <w:rPr>
                <w:rFonts w:ascii="宋体" w:hAnsi="宋体" w:eastAsia="宋体" w:cs="宋体"/>
                <w:color w:val="auto"/>
                <w:spacing w:val="7"/>
                <w:sz w:val="24"/>
                <w:szCs w:val="24"/>
                <w:highlight w:val="none"/>
              </w:rPr>
              <w:t>控系统</w:t>
            </w:r>
          </w:p>
        </w:tc>
        <w:tc>
          <w:tcPr>
            <w:tcW w:w="3720" w:type="dxa"/>
            <w:vAlign w:val="top"/>
          </w:tcPr>
          <w:p w14:paraId="67AF8C0A">
            <w:pPr>
              <w:spacing w:before="55" w:line="228" w:lineRule="auto"/>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动态校准仪及标准物质</w:t>
            </w:r>
          </w:p>
        </w:tc>
        <w:tc>
          <w:tcPr>
            <w:tcW w:w="913" w:type="dxa"/>
            <w:vAlign w:val="top"/>
          </w:tcPr>
          <w:p w14:paraId="6548833B">
            <w:pPr>
              <w:spacing w:before="54"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79425CE4">
            <w:pPr>
              <w:spacing w:before="87"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B8B8A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Merge w:val="continue"/>
            <w:tcBorders>
              <w:top w:val="nil"/>
            </w:tcBorders>
            <w:vAlign w:val="top"/>
          </w:tcPr>
          <w:p w14:paraId="60516D36">
            <w:pPr>
              <w:ind w:left="1920"/>
              <w:jc w:val="center"/>
              <w:rPr>
                <w:rFonts w:hint="eastAsia" w:ascii="宋体" w:hAnsi="宋体" w:eastAsia="宋体" w:cs="Arial"/>
                <w:color w:val="auto"/>
                <w:sz w:val="24"/>
                <w:szCs w:val="24"/>
                <w:highlight w:val="none"/>
              </w:rPr>
            </w:pPr>
          </w:p>
        </w:tc>
        <w:tc>
          <w:tcPr>
            <w:tcW w:w="3720" w:type="dxa"/>
            <w:vAlign w:val="top"/>
          </w:tcPr>
          <w:p w14:paraId="6E9306CB">
            <w:pPr>
              <w:spacing w:before="54" w:line="228" w:lineRule="auto"/>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零</w:t>
            </w:r>
            <w:r>
              <w:rPr>
                <w:rFonts w:ascii="宋体" w:hAnsi="宋体" w:eastAsia="宋体" w:cs="宋体"/>
                <w:color w:val="auto"/>
                <w:spacing w:val="7"/>
                <w:sz w:val="24"/>
                <w:szCs w:val="24"/>
                <w:highlight w:val="none"/>
              </w:rPr>
              <w:t>气系统</w:t>
            </w:r>
          </w:p>
        </w:tc>
        <w:tc>
          <w:tcPr>
            <w:tcW w:w="913" w:type="dxa"/>
            <w:vAlign w:val="top"/>
          </w:tcPr>
          <w:p w14:paraId="1113E4B9">
            <w:pPr>
              <w:spacing w:before="54" w:line="230"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台</w:t>
            </w:r>
          </w:p>
        </w:tc>
        <w:tc>
          <w:tcPr>
            <w:tcW w:w="851" w:type="dxa"/>
            <w:vAlign w:val="top"/>
          </w:tcPr>
          <w:p w14:paraId="476C4AD9">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66AEEC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934" w:type="dxa"/>
            <w:vMerge w:val="restart"/>
            <w:tcBorders>
              <w:bottom w:val="nil"/>
            </w:tcBorders>
            <w:vAlign w:val="top"/>
          </w:tcPr>
          <w:p w14:paraId="27AC8A31">
            <w:pPr>
              <w:spacing w:before="65" w:line="285" w:lineRule="exact"/>
              <w:jc w:val="center"/>
              <w:rPr>
                <w:rFonts w:hint="eastAsia" w:ascii="宋体" w:hAnsi="宋体" w:eastAsia="宋体" w:cs="宋体"/>
                <w:color w:val="auto"/>
                <w:sz w:val="24"/>
                <w:szCs w:val="24"/>
                <w:highlight w:val="none"/>
              </w:rPr>
            </w:pPr>
            <w:r>
              <w:rPr>
                <w:rFonts w:ascii="宋体" w:hAnsi="宋体" w:eastAsia="宋体" w:cs="Arial"/>
                <w:color w:val="auto"/>
                <w:position w:val="1"/>
                <w:sz w:val="24"/>
                <w:szCs w:val="24"/>
                <w:highlight w:val="none"/>
              </w:rPr>
              <w:t>VOCs</w:t>
            </w:r>
            <w:r>
              <w:rPr>
                <w:rFonts w:ascii="宋体" w:hAnsi="宋体" w:eastAsia="宋体" w:cs="Arial"/>
                <w:color w:val="auto"/>
                <w:spacing w:val="14"/>
                <w:position w:val="1"/>
                <w:sz w:val="24"/>
                <w:szCs w:val="24"/>
                <w:highlight w:val="none"/>
              </w:rPr>
              <w:t xml:space="preserve"> </w:t>
            </w:r>
            <w:r>
              <w:rPr>
                <w:rFonts w:ascii="宋体" w:hAnsi="宋体" w:eastAsia="宋体" w:cs="宋体"/>
                <w:color w:val="auto"/>
                <w:spacing w:val="13"/>
                <w:position w:val="1"/>
                <w:sz w:val="24"/>
                <w:szCs w:val="24"/>
                <w:highlight w:val="none"/>
              </w:rPr>
              <w:t>监测</w:t>
            </w:r>
          </w:p>
        </w:tc>
        <w:tc>
          <w:tcPr>
            <w:tcW w:w="3720" w:type="dxa"/>
            <w:vAlign w:val="top"/>
          </w:tcPr>
          <w:p w14:paraId="628B5BD9">
            <w:pPr>
              <w:spacing w:before="17" w:line="275" w:lineRule="auto"/>
              <w:ind w:right="179"/>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直</w:t>
            </w:r>
            <w:r>
              <w:rPr>
                <w:rFonts w:ascii="宋体" w:hAnsi="宋体" w:eastAsia="宋体" w:cs="宋体"/>
                <w:color w:val="auto"/>
                <w:spacing w:val="8"/>
                <w:sz w:val="24"/>
                <w:szCs w:val="24"/>
                <w:highlight w:val="none"/>
              </w:rPr>
              <w:t>测法甲烷</w:t>
            </w:r>
            <w:r>
              <w:rPr>
                <w:rFonts w:ascii="宋体" w:hAnsi="宋体" w:eastAsia="宋体" w:cs="Arial"/>
                <w:color w:val="auto"/>
                <w:spacing w:val="8"/>
                <w:sz w:val="24"/>
                <w:szCs w:val="24"/>
                <w:highlight w:val="none"/>
              </w:rPr>
              <w:t>/</w:t>
            </w:r>
            <w:r>
              <w:rPr>
                <w:rFonts w:ascii="宋体" w:hAnsi="宋体" w:eastAsia="宋体" w:cs="宋体"/>
                <w:color w:val="auto"/>
                <w:spacing w:val="8"/>
                <w:sz w:val="24"/>
                <w:szCs w:val="24"/>
                <w:highlight w:val="none"/>
              </w:rPr>
              <w:t>非甲烷总烃</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分</w:t>
            </w:r>
            <w:r>
              <w:rPr>
                <w:rFonts w:ascii="宋体" w:hAnsi="宋体" w:eastAsia="宋体" w:cs="宋体"/>
                <w:color w:val="auto"/>
                <w:spacing w:val="17"/>
                <w:sz w:val="24"/>
                <w:szCs w:val="24"/>
                <w:highlight w:val="none"/>
              </w:rPr>
              <w:t>析仪(配氢气发生器)</w:t>
            </w:r>
          </w:p>
        </w:tc>
        <w:tc>
          <w:tcPr>
            <w:tcW w:w="913" w:type="dxa"/>
            <w:vAlign w:val="top"/>
          </w:tcPr>
          <w:p w14:paraId="08C0E52E">
            <w:pPr>
              <w:spacing w:before="210"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247AA2F8">
            <w:pPr>
              <w:spacing w:before="24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11E49E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2934" w:type="dxa"/>
            <w:vMerge w:val="continue"/>
            <w:tcBorders>
              <w:top w:val="nil"/>
            </w:tcBorders>
            <w:vAlign w:val="top"/>
          </w:tcPr>
          <w:p w14:paraId="23275C9E">
            <w:pPr>
              <w:ind w:left="1920"/>
              <w:jc w:val="center"/>
              <w:rPr>
                <w:rFonts w:hint="eastAsia" w:ascii="宋体" w:hAnsi="宋体" w:eastAsia="宋体" w:cs="Arial"/>
                <w:color w:val="auto"/>
                <w:sz w:val="24"/>
                <w:szCs w:val="24"/>
                <w:highlight w:val="none"/>
              </w:rPr>
            </w:pPr>
          </w:p>
        </w:tc>
        <w:tc>
          <w:tcPr>
            <w:tcW w:w="3720" w:type="dxa"/>
            <w:vAlign w:val="top"/>
          </w:tcPr>
          <w:p w14:paraId="233E4396">
            <w:pPr>
              <w:spacing w:before="20" w:line="276" w:lineRule="auto"/>
              <w:ind w:right="118"/>
              <w:rPr>
                <w:rFonts w:hint="eastAsia" w:ascii="宋体" w:hAnsi="宋体" w:eastAsia="宋体" w:cs="宋体"/>
                <w:color w:val="auto"/>
                <w:sz w:val="24"/>
                <w:szCs w:val="24"/>
                <w:highlight w:val="none"/>
              </w:rPr>
            </w:pPr>
            <w:r>
              <w:rPr>
                <w:rFonts w:ascii="宋体" w:hAnsi="宋体" w:eastAsia="宋体" w:cs="Arial"/>
                <w:color w:val="auto"/>
                <w:spacing w:val="-2"/>
                <w:sz w:val="24"/>
                <w:szCs w:val="24"/>
                <w:highlight w:val="none"/>
              </w:rPr>
              <w:t xml:space="preserve">116 </w:t>
            </w:r>
            <w:r>
              <w:rPr>
                <w:rFonts w:ascii="宋体" w:hAnsi="宋体" w:eastAsia="宋体" w:cs="宋体"/>
                <w:color w:val="auto"/>
                <w:spacing w:val="-2"/>
                <w:sz w:val="24"/>
                <w:szCs w:val="24"/>
                <w:highlight w:val="none"/>
              </w:rPr>
              <w:t xml:space="preserve">种 </w:t>
            </w:r>
            <w:r>
              <w:rPr>
                <w:rFonts w:ascii="宋体" w:hAnsi="宋体" w:eastAsia="宋体" w:cs="Arial"/>
                <w:color w:val="auto"/>
                <w:spacing w:val="-1"/>
                <w:sz w:val="24"/>
                <w:szCs w:val="24"/>
                <w:highlight w:val="none"/>
              </w:rPr>
              <w:t>VOCs</w:t>
            </w:r>
            <w:r>
              <w:rPr>
                <w:rFonts w:ascii="宋体" w:hAnsi="宋体" w:eastAsia="宋体" w:cs="Arial"/>
                <w:color w:val="auto"/>
                <w:spacing w:val="-2"/>
                <w:sz w:val="24"/>
                <w:szCs w:val="24"/>
                <w:highlight w:val="none"/>
              </w:rPr>
              <w:t xml:space="preserve"> </w:t>
            </w:r>
            <w:r>
              <w:rPr>
                <w:rFonts w:ascii="宋体" w:hAnsi="宋体" w:eastAsia="宋体" w:cs="宋体"/>
                <w:color w:val="auto"/>
                <w:spacing w:val="-1"/>
                <w:sz w:val="24"/>
                <w:szCs w:val="24"/>
                <w:highlight w:val="none"/>
              </w:rPr>
              <w:t xml:space="preserve">在线 </w:t>
            </w:r>
            <w:r>
              <w:rPr>
                <w:rFonts w:ascii="宋体" w:hAnsi="宋体" w:eastAsia="宋体" w:cs="Arial"/>
                <w:color w:val="auto"/>
                <w:spacing w:val="-1"/>
                <w:sz w:val="24"/>
                <w:szCs w:val="24"/>
                <w:highlight w:val="none"/>
              </w:rPr>
              <w:t xml:space="preserve">GC-MS </w:t>
            </w:r>
            <w:r>
              <w:rPr>
                <w:rFonts w:ascii="宋体" w:hAnsi="宋体" w:eastAsia="宋体" w:cs="宋体"/>
                <w:color w:val="auto"/>
                <w:spacing w:val="-1"/>
                <w:sz w:val="24"/>
                <w:szCs w:val="24"/>
                <w:highlight w:val="none"/>
              </w:rPr>
              <w:t>监</w:t>
            </w:r>
            <w:r>
              <w:rPr>
                <w:rFonts w:ascii="宋体" w:hAnsi="宋体" w:eastAsia="宋体" w:cs="宋体"/>
                <w:color w:val="auto"/>
                <w:sz w:val="24"/>
                <w:szCs w:val="24"/>
                <w:highlight w:val="none"/>
              </w:rPr>
              <w:t xml:space="preserve"> </w:t>
            </w:r>
            <w:r>
              <w:rPr>
                <w:rFonts w:ascii="宋体" w:hAnsi="宋体" w:eastAsia="宋体" w:cs="宋体"/>
                <w:color w:val="auto"/>
                <w:spacing w:val="7"/>
                <w:sz w:val="24"/>
                <w:szCs w:val="24"/>
                <w:highlight w:val="none"/>
              </w:rPr>
              <w:t>测系</w:t>
            </w:r>
            <w:r>
              <w:rPr>
                <w:rFonts w:ascii="宋体" w:hAnsi="宋体" w:eastAsia="宋体" w:cs="宋体"/>
                <w:color w:val="auto"/>
                <w:spacing w:val="6"/>
                <w:sz w:val="24"/>
                <w:szCs w:val="24"/>
                <w:highlight w:val="none"/>
              </w:rPr>
              <w:t>统</w:t>
            </w:r>
          </w:p>
        </w:tc>
        <w:tc>
          <w:tcPr>
            <w:tcW w:w="913" w:type="dxa"/>
            <w:vAlign w:val="top"/>
          </w:tcPr>
          <w:p w14:paraId="1A3F0EF5">
            <w:pPr>
              <w:spacing w:before="56"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232491AB">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34EF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vAlign w:val="top"/>
          </w:tcPr>
          <w:p w14:paraId="710F8CA2">
            <w:pPr>
              <w:spacing w:before="57"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数据采集系统</w:t>
            </w:r>
          </w:p>
        </w:tc>
        <w:tc>
          <w:tcPr>
            <w:tcW w:w="3720" w:type="dxa"/>
            <w:vAlign w:val="top"/>
          </w:tcPr>
          <w:p w14:paraId="4B56A24F">
            <w:pPr>
              <w:spacing w:before="57" w:line="227" w:lineRule="auto"/>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数据采集和处理系</w:t>
            </w:r>
            <w:r>
              <w:rPr>
                <w:rFonts w:ascii="宋体" w:hAnsi="宋体" w:eastAsia="宋体" w:cs="宋体"/>
                <w:color w:val="auto"/>
                <w:spacing w:val="8"/>
                <w:sz w:val="24"/>
                <w:szCs w:val="24"/>
                <w:highlight w:val="none"/>
              </w:rPr>
              <w:t>统</w:t>
            </w:r>
          </w:p>
        </w:tc>
        <w:tc>
          <w:tcPr>
            <w:tcW w:w="913" w:type="dxa"/>
            <w:vAlign w:val="top"/>
          </w:tcPr>
          <w:p w14:paraId="7778CFFB">
            <w:pPr>
              <w:spacing w:before="56"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03D95F5D">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2CFF07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2934" w:type="dxa"/>
            <w:vAlign w:val="top"/>
          </w:tcPr>
          <w:p w14:paraId="50CCE9B0">
            <w:pPr>
              <w:spacing w:before="162"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附</w:t>
            </w:r>
            <w:r>
              <w:rPr>
                <w:rFonts w:ascii="宋体" w:hAnsi="宋体" w:eastAsia="宋体" w:cs="宋体"/>
                <w:color w:val="auto"/>
                <w:spacing w:val="6"/>
                <w:sz w:val="24"/>
                <w:szCs w:val="24"/>
                <w:highlight w:val="none"/>
              </w:rPr>
              <w:t>件材料及耗材</w:t>
            </w:r>
          </w:p>
        </w:tc>
        <w:tc>
          <w:tcPr>
            <w:tcW w:w="3720" w:type="dxa"/>
            <w:vAlign w:val="top"/>
          </w:tcPr>
          <w:p w14:paraId="02179D95">
            <w:pPr>
              <w:spacing w:before="162" w:line="227" w:lineRule="auto"/>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采</w:t>
            </w:r>
            <w:r>
              <w:rPr>
                <w:rFonts w:ascii="宋体" w:hAnsi="宋体" w:eastAsia="宋体" w:cs="宋体"/>
                <w:color w:val="auto"/>
                <w:spacing w:val="9"/>
                <w:sz w:val="24"/>
                <w:szCs w:val="24"/>
                <w:highlight w:val="none"/>
              </w:rPr>
              <w:t>样系统及控制电磁阀等</w:t>
            </w:r>
          </w:p>
        </w:tc>
        <w:tc>
          <w:tcPr>
            <w:tcW w:w="913" w:type="dxa"/>
            <w:vAlign w:val="top"/>
          </w:tcPr>
          <w:p w14:paraId="6B78B90A">
            <w:pPr>
              <w:spacing w:before="161"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34E8E92D">
            <w:pPr>
              <w:spacing w:before="194"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0D937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934" w:type="dxa"/>
            <w:vAlign w:val="top"/>
          </w:tcPr>
          <w:p w14:paraId="7B7CFDA0">
            <w:pPr>
              <w:spacing w:before="162" w:line="229"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站</w:t>
            </w:r>
            <w:r>
              <w:rPr>
                <w:rFonts w:ascii="宋体" w:hAnsi="宋体" w:eastAsia="宋体" w:cs="宋体"/>
                <w:color w:val="auto"/>
                <w:spacing w:val="7"/>
                <w:sz w:val="24"/>
                <w:szCs w:val="24"/>
                <w:highlight w:val="none"/>
              </w:rPr>
              <w:t>房建设</w:t>
            </w:r>
          </w:p>
        </w:tc>
        <w:tc>
          <w:tcPr>
            <w:tcW w:w="3720" w:type="dxa"/>
            <w:vAlign w:val="top"/>
          </w:tcPr>
          <w:p w14:paraId="67AD5462">
            <w:pPr>
              <w:spacing w:before="162" w:line="229" w:lineRule="auto"/>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24 ㎡的一体化站房</w:t>
            </w:r>
          </w:p>
        </w:tc>
        <w:tc>
          <w:tcPr>
            <w:tcW w:w="913" w:type="dxa"/>
            <w:vAlign w:val="top"/>
          </w:tcPr>
          <w:p w14:paraId="1529AE7C">
            <w:pPr>
              <w:spacing w:before="162"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0EC77D30">
            <w:pPr>
              <w:spacing w:before="19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bl>
    <w:p w14:paraId="101EF417">
      <w:pPr>
        <w:widowControl/>
        <w:autoSpaceDE w:val="0"/>
        <w:autoSpaceDN w:val="0"/>
        <w:adjustRightInd w:val="0"/>
        <w:snapToGrid w:val="0"/>
        <w:spacing w:line="360" w:lineRule="auto"/>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cs="宋体"/>
          <w:snapToGrid w:val="0"/>
          <w:color w:val="auto"/>
          <w:spacing w:val="-1"/>
          <w:kern w:val="0"/>
          <w:sz w:val="24"/>
          <w:szCs w:val="24"/>
          <w:highlight w:val="none"/>
          <w:lang w:eastAsia="zh-CN"/>
        </w:rPr>
        <w:t>创新创业园非甲烷总烃设备</w:t>
      </w:r>
      <w:r>
        <w:rPr>
          <w:rFonts w:hint="eastAsia" w:ascii="宋体" w:hAnsi="宋体" w:eastAsia="宋体" w:cs="宋体"/>
          <w:snapToGrid w:val="0"/>
          <w:color w:val="auto"/>
          <w:spacing w:val="-1"/>
          <w:kern w:val="0"/>
          <w:sz w:val="24"/>
          <w:szCs w:val="24"/>
          <w:highlight w:val="none"/>
        </w:rPr>
        <w:t>站点</w:t>
      </w:r>
    </w:p>
    <w:tbl>
      <w:tblPr>
        <w:tblStyle w:val="63"/>
        <w:tblW w:w="84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34"/>
        <w:gridCol w:w="3720"/>
        <w:gridCol w:w="913"/>
        <w:gridCol w:w="851"/>
      </w:tblGrid>
      <w:tr w14:paraId="1B37D3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jc w:val="center"/>
        </w:trPr>
        <w:tc>
          <w:tcPr>
            <w:tcW w:w="2934" w:type="dxa"/>
            <w:tcBorders>
              <w:top w:val="single" w:color="auto" w:sz="4" w:space="0"/>
              <w:left w:val="single" w:color="auto" w:sz="4" w:space="0"/>
              <w:bottom w:val="single" w:color="auto" w:sz="4" w:space="0"/>
              <w:right w:val="single" w:color="auto" w:sz="4" w:space="0"/>
            </w:tcBorders>
            <w:vAlign w:val="top"/>
          </w:tcPr>
          <w:p w14:paraId="53773949">
            <w:pPr>
              <w:spacing w:before="173" w:line="221" w:lineRule="auto"/>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监测项</w:t>
            </w:r>
            <w:r>
              <w:rPr>
                <w:rFonts w:ascii="宋体" w:hAnsi="宋体" w:eastAsia="宋体" w:cs="宋体"/>
                <w:color w:val="auto"/>
                <w:spacing w:val="-1"/>
                <w:sz w:val="24"/>
                <w:szCs w:val="24"/>
                <w:highlight w:val="none"/>
              </w:rPr>
              <w:t>目</w:t>
            </w:r>
          </w:p>
        </w:tc>
        <w:tc>
          <w:tcPr>
            <w:tcW w:w="3720" w:type="dxa"/>
            <w:tcBorders>
              <w:left w:val="single" w:color="auto" w:sz="4" w:space="0"/>
            </w:tcBorders>
            <w:vAlign w:val="top"/>
          </w:tcPr>
          <w:p w14:paraId="32256117">
            <w:pPr>
              <w:spacing w:before="173" w:line="220" w:lineRule="auto"/>
              <w:jc w:val="center"/>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仪器名</w:t>
            </w:r>
            <w:r>
              <w:rPr>
                <w:rFonts w:ascii="宋体" w:hAnsi="宋体" w:eastAsia="宋体" w:cs="宋体"/>
                <w:color w:val="auto"/>
                <w:spacing w:val="-1"/>
                <w:sz w:val="24"/>
                <w:szCs w:val="24"/>
                <w:highlight w:val="none"/>
              </w:rPr>
              <w:t>称</w:t>
            </w:r>
          </w:p>
        </w:tc>
        <w:tc>
          <w:tcPr>
            <w:tcW w:w="913" w:type="dxa"/>
            <w:vAlign w:val="top"/>
          </w:tcPr>
          <w:p w14:paraId="7FAEC31D">
            <w:pPr>
              <w:spacing w:before="173" w:line="221"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单</w:t>
            </w:r>
            <w:r>
              <w:rPr>
                <w:rFonts w:ascii="宋体" w:hAnsi="宋体" w:eastAsia="宋体" w:cs="宋体"/>
                <w:color w:val="auto"/>
                <w:spacing w:val="-4"/>
                <w:sz w:val="24"/>
                <w:szCs w:val="24"/>
                <w:highlight w:val="none"/>
              </w:rPr>
              <w:t>位</w:t>
            </w:r>
          </w:p>
        </w:tc>
        <w:tc>
          <w:tcPr>
            <w:tcW w:w="851" w:type="dxa"/>
            <w:vAlign w:val="top"/>
          </w:tcPr>
          <w:p w14:paraId="53D61714">
            <w:pPr>
              <w:spacing w:before="173" w:line="220" w:lineRule="auto"/>
              <w:ind w:left="1920"/>
              <w:rPr>
                <w:rFonts w:hint="eastAsia" w:ascii="宋体" w:hAnsi="宋体" w:eastAsia="宋体" w:cs="宋体"/>
                <w:color w:val="auto"/>
                <w:sz w:val="24"/>
                <w:szCs w:val="24"/>
                <w:highlight w:val="none"/>
              </w:rPr>
            </w:pPr>
            <w:r>
              <w:rPr>
                <w:rFonts w:ascii="宋体" w:hAnsi="宋体" w:eastAsia="宋体" w:cs="宋体"/>
                <w:color w:val="auto"/>
                <w:spacing w:val="-5"/>
                <w:sz w:val="24"/>
                <w:szCs w:val="24"/>
                <w:highlight w:val="none"/>
              </w:rPr>
              <w:t>数</w:t>
            </w:r>
            <w:r>
              <w:rPr>
                <w:rFonts w:ascii="宋体" w:hAnsi="宋体" w:eastAsia="宋体" w:cs="宋体"/>
                <w:color w:val="auto"/>
                <w:spacing w:val="-4"/>
                <w:sz w:val="24"/>
                <w:szCs w:val="24"/>
                <w:highlight w:val="none"/>
              </w:rPr>
              <w:t>量</w:t>
            </w:r>
          </w:p>
        </w:tc>
      </w:tr>
      <w:tr w14:paraId="19B260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2934" w:type="dxa"/>
            <w:tcBorders>
              <w:top w:val="single" w:color="auto" w:sz="4" w:space="0"/>
              <w:left w:val="single" w:color="auto" w:sz="4" w:space="0"/>
              <w:bottom w:val="single" w:color="auto" w:sz="4" w:space="0"/>
              <w:right w:val="single" w:color="auto" w:sz="4" w:space="0"/>
            </w:tcBorders>
            <w:vAlign w:val="top"/>
          </w:tcPr>
          <w:p w14:paraId="73AFBCF3">
            <w:pPr>
              <w:spacing w:before="65" w:line="285" w:lineRule="exact"/>
              <w:jc w:val="center"/>
              <w:rPr>
                <w:rFonts w:hint="eastAsia" w:ascii="宋体" w:hAnsi="宋体" w:eastAsia="宋体" w:cs="宋体"/>
                <w:color w:val="auto"/>
                <w:sz w:val="24"/>
                <w:szCs w:val="24"/>
                <w:highlight w:val="none"/>
              </w:rPr>
            </w:pPr>
            <w:r>
              <w:rPr>
                <w:rFonts w:ascii="宋体" w:hAnsi="宋体" w:eastAsia="宋体" w:cs="Arial"/>
                <w:color w:val="auto"/>
                <w:position w:val="1"/>
                <w:sz w:val="24"/>
                <w:szCs w:val="24"/>
                <w:highlight w:val="none"/>
              </w:rPr>
              <w:t>VOCs</w:t>
            </w:r>
            <w:r>
              <w:rPr>
                <w:rFonts w:ascii="宋体" w:hAnsi="宋体" w:eastAsia="宋体" w:cs="Arial"/>
                <w:color w:val="auto"/>
                <w:spacing w:val="14"/>
                <w:position w:val="1"/>
                <w:sz w:val="24"/>
                <w:szCs w:val="24"/>
                <w:highlight w:val="none"/>
              </w:rPr>
              <w:t xml:space="preserve"> </w:t>
            </w:r>
            <w:r>
              <w:rPr>
                <w:rFonts w:ascii="宋体" w:hAnsi="宋体" w:eastAsia="宋体" w:cs="宋体"/>
                <w:color w:val="auto"/>
                <w:spacing w:val="13"/>
                <w:position w:val="1"/>
                <w:sz w:val="24"/>
                <w:szCs w:val="24"/>
                <w:highlight w:val="none"/>
              </w:rPr>
              <w:t>监测</w:t>
            </w:r>
          </w:p>
        </w:tc>
        <w:tc>
          <w:tcPr>
            <w:tcW w:w="3720" w:type="dxa"/>
            <w:tcBorders>
              <w:left w:val="single" w:color="auto" w:sz="4" w:space="0"/>
            </w:tcBorders>
            <w:vAlign w:val="top"/>
          </w:tcPr>
          <w:p w14:paraId="197EE655">
            <w:pPr>
              <w:spacing w:before="17" w:line="275" w:lineRule="auto"/>
              <w:ind w:right="179"/>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直</w:t>
            </w:r>
            <w:r>
              <w:rPr>
                <w:rFonts w:ascii="宋体" w:hAnsi="宋体" w:eastAsia="宋体" w:cs="宋体"/>
                <w:color w:val="auto"/>
                <w:spacing w:val="8"/>
                <w:sz w:val="24"/>
                <w:szCs w:val="24"/>
                <w:highlight w:val="none"/>
              </w:rPr>
              <w:t>测法甲烷</w:t>
            </w:r>
            <w:r>
              <w:rPr>
                <w:rFonts w:ascii="宋体" w:hAnsi="宋体" w:eastAsia="宋体" w:cs="Arial"/>
                <w:color w:val="auto"/>
                <w:spacing w:val="8"/>
                <w:sz w:val="24"/>
                <w:szCs w:val="24"/>
                <w:highlight w:val="none"/>
              </w:rPr>
              <w:t>/</w:t>
            </w:r>
            <w:r>
              <w:rPr>
                <w:rFonts w:ascii="宋体" w:hAnsi="宋体" w:eastAsia="宋体" w:cs="宋体"/>
                <w:color w:val="auto"/>
                <w:spacing w:val="8"/>
                <w:sz w:val="24"/>
                <w:szCs w:val="24"/>
                <w:highlight w:val="none"/>
              </w:rPr>
              <w:t>非甲烷总烃</w:t>
            </w:r>
            <w:r>
              <w:rPr>
                <w:rFonts w:ascii="宋体" w:hAnsi="宋体" w:eastAsia="宋体" w:cs="宋体"/>
                <w:color w:val="auto"/>
                <w:sz w:val="24"/>
                <w:szCs w:val="24"/>
                <w:highlight w:val="none"/>
              </w:rPr>
              <w:t xml:space="preserve"> </w:t>
            </w:r>
            <w:r>
              <w:rPr>
                <w:rFonts w:ascii="宋体" w:hAnsi="宋体" w:eastAsia="宋体" w:cs="宋体"/>
                <w:color w:val="auto"/>
                <w:spacing w:val="18"/>
                <w:sz w:val="24"/>
                <w:szCs w:val="24"/>
                <w:highlight w:val="none"/>
              </w:rPr>
              <w:t>分</w:t>
            </w:r>
            <w:r>
              <w:rPr>
                <w:rFonts w:ascii="宋体" w:hAnsi="宋体" w:eastAsia="宋体" w:cs="宋体"/>
                <w:color w:val="auto"/>
                <w:spacing w:val="17"/>
                <w:sz w:val="24"/>
                <w:szCs w:val="24"/>
                <w:highlight w:val="none"/>
              </w:rPr>
              <w:t>析仪(配氢气发生器)</w:t>
            </w:r>
          </w:p>
        </w:tc>
        <w:tc>
          <w:tcPr>
            <w:tcW w:w="913" w:type="dxa"/>
            <w:vAlign w:val="top"/>
          </w:tcPr>
          <w:p w14:paraId="2063E076">
            <w:pPr>
              <w:spacing w:before="56" w:line="229" w:lineRule="auto"/>
              <w:ind w:left="19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套</w:t>
            </w:r>
          </w:p>
        </w:tc>
        <w:tc>
          <w:tcPr>
            <w:tcW w:w="851" w:type="dxa"/>
            <w:vAlign w:val="top"/>
          </w:tcPr>
          <w:p w14:paraId="426453A2">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6CDC0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jc w:val="center"/>
        </w:trPr>
        <w:tc>
          <w:tcPr>
            <w:tcW w:w="2934" w:type="dxa"/>
            <w:tcBorders>
              <w:top w:val="single" w:color="auto" w:sz="4" w:space="0"/>
              <w:left w:val="single" w:color="auto" w:sz="4" w:space="0"/>
              <w:bottom w:val="single" w:color="auto" w:sz="4" w:space="0"/>
              <w:right w:val="single" w:color="auto" w:sz="4" w:space="0"/>
            </w:tcBorders>
            <w:vAlign w:val="top"/>
          </w:tcPr>
          <w:p w14:paraId="073C41DC">
            <w:pPr>
              <w:spacing w:before="57"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数据采集系统</w:t>
            </w:r>
          </w:p>
        </w:tc>
        <w:tc>
          <w:tcPr>
            <w:tcW w:w="3720" w:type="dxa"/>
            <w:tcBorders>
              <w:left w:val="single" w:color="auto" w:sz="4" w:space="0"/>
            </w:tcBorders>
            <w:vAlign w:val="top"/>
          </w:tcPr>
          <w:p w14:paraId="712482DC">
            <w:pPr>
              <w:spacing w:before="57" w:line="227" w:lineRule="auto"/>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数据采集和处理系</w:t>
            </w:r>
            <w:r>
              <w:rPr>
                <w:rFonts w:ascii="宋体" w:hAnsi="宋体" w:eastAsia="宋体" w:cs="宋体"/>
                <w:color w:val="auto"/>
                <w:spacing w:val="8"/>
                <w:sz w:val="24"/>
                <w:szCs w:val="24"/>
                <w:highlight w:val="none"/>
              </w:rPr>
              <w:t>统</w:t>
            </w:r>
          </w:p>
        </w:tc>
        <w:tc>
          <w:tcPr>
            <w:tcW w:w="913" w:type="dxa"/>
            <w:vAlign w:val="top"/>
          </w:tcPr>
          <w:p w14:paraId="32FC2504">
            <w:pPr>
              <w:spacing w:before="56"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0BFE7396">
            <w:pPr>
              <w:spacing w:before="86"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322B62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jc w:val="center"/>
        </w:trPr>
        <w:tc>
          <w:tcPr>
            <w:tcW w:w="2934" w:type="dxa"/>
            <w:tcBorders>
              <w:top w:val="single" w:color="auto" w:sz="4" w:space="0"/>
              <w:left w:val="single" w:color="auto" w:sz="4" w:space="0"/>
              <w:bottom w:val="single" w:color="auto" w:sz="4" w:space="0"/>
              <w:right w:val="single" w:color="auto" w:sz="4" w:space="0"/>
            </w:tcBorders>
            <w:vAlign w:val="top"/>
          </w:tcPr>
          <w:p w14:paraId="055F7504">
            <w:pPr>
              <w:spacing w:before="162" w:line="227" w:lineRule="auto"/>
              <w:jc w:val="center"/>
              <w:rPr>
                <w:rFonts w:hint="eastAsia" w:ascii="宋体" w:hAnsi="宋体" w:eastAsia="宋体" w:cs="宋体"/>
                <w:color w:val="auto"/>
                <w:sz w:val="24"/>
                <w:szCs w:val="24"/>
                <w:highlight w:val="none"/>
              </w:rPr>
            </w:pPr>
            <w:r>
              <w:rPr>
                <w:rFonts w:ascii="宋体" w:hAnsi="宋体" w:eastAsia="宋体" w:cs="宋体"/>
                <w:color w:val="auto"/>
                <w:spacing w:val="9"/>
                <w:sz w:val="24"/>
                <w:szCs w:val="24"/>
                <w:highlight w:val="none"/>
              </w:rPr>
              <w:t>附</w:t>
            </w:r>
            <w:r>
              <w:rPr>
                <w:rFonts w:ascii="宋体" w:hAnsi="宋体" w:eastAsia="宋体" w:cs="宋体"/>
                <w:color w:val="auto"/>
                <w:spacing w:val="6"/>
                <w:sz w:val="24"/>
                <w:szCs w:val="24"/>
                <w:highlight w:val="none"/>
              </w:rPr>
              <w:t>件材料及耗材</w:t>
            </w:r>
          </w:p>
        </w:tc>
        <w:tc>
          <w:tcPr>
            <w:tcW w:w="3720" w:type="dxa"/>
            <w:tcBorders>
              <w:left w:val="single" w:color="auto" w:sz="4" w:space="0"/>
            </w:tcBorders>
            <w:vAlign w:val="top"/>
          </w:tcPr>
          <w:p w14:paraId="2A1A717E">
            <w:pPr>
              <w:spacing w:before="162" w:line="227" w:lineRule="auto"/>
              <w:rPr>
                <w:rFonts w:hint="eastAsia" w:ascii="宋体" w:hAnsi="宋体" w:eastAsia="宋体" w:cs="宋体"/>
                <w:color w:val="auto"/>
                <w:sz w:val="24"/>
                <w:szCs w:val="24"/>
                <w:highlight w:val="none"/>
              </w:rPr>
            </w:pPr>
            <w:r>
              <w:rPr>
                <w:rFonts w:ascii="宋体" w:hAnsi="宋体" w:eastAsia="宋体" w:cs="宋体"/>
                <w:color w:val="auto"/>
                <w:spacing w:val="13"/>
                <w:sz w:val="24"/>
                <w:szCs w:val="24"/>
                <w:highlight w:val="none"/>
              </w:rPr>
              <w:t>采</w:t>
            </w:r>
            <w:r>
              <w:rPr>
                <w:rFonts w:ascii="宋体" w:hAnsi="宋体" w:eastAsia="宋体" w:cs="宋体"/>
                <w:color w:val="auto"/>
                <w:spacing w:val="9"/>
                <w:sz w:val="24"/>
                <w:szCs w:val="24"/>
                <w:highlight w:val="none"/>
              </w:rPr>
              <w:t>样系统及控制电磁阀等</w:t>
            </w:r>
          </w:p>
        </w:tc>
        <w:tc>
          <w:tcPr>
            <w:tcW w:w="913" w:type="dxa"/>
            <w:vAlign w:val="top"/>
          </w:tcPr>
          <w:p w14:paraId="66D6C4FC">
            <w:pPr>
              <w:spacing w:before="161"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4320F520">
            <w:pPr>
              <w:spacing w:before="194"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r w14:paraId="4E485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jc w:val="center"/>
        </w:trPr>
        <w:tc>
          <w:tcPr>
            <w:tcW w:w="2934" w:type="dxa"/>
            <w:tcBorders>
              <w:top w:val="single" w:color="auto" w:sz="4" w:space="0"/>
              <w:left w:val="single" w:color="auto" w:sz="4" w:space="0"/>
              <w:bottom w:val="single" w:color="auto" w:sz="4" w:space="0"/>
              <w:right w:val="single" w:color="auto" w:sz="4" w:space="0"/>
            </w:tcBorders>
            <w:vAlign w:val="top"/>
          </w:tcPr>
          <w:p w14:paraId="56931D78">
            <w:pPr>
              <w:spacing w:before="162" w:line="229" w:lineRule="auto"/>
              <w:jc w:val="center"/>
              <w:rPr>
                <w:rFonts w:hint="eastAsia" w:ascii="宋体" w:hAnsi="宋体" w:eastAsia="宋体" w:cs="宋体"/>
                <w:color w:val="auto"/>
                <w:sz w:val="24"/>
                <w:szCs w:val="24"/>
                <w:highlight w:val="none"/>
              </w:rPr>
            </w:pPr>
            <w:r>
              <w:rPr>
                <w:rFonts w:ascii="宋体" w:hAnsi="宋体" w:eastAsia="宋体" w:cs="宋体"/>
                <w:color w:val="auto"/>
                <w:spacing w:val="8"/>
                <w:sz w:val="24"/>
                <w:szCs w:val="24"/>
                <w:highlight w:val="none"/>
              </w:rPr>
              <w:t>站</w:t>
            </w:r>
            <w:r>
              <w:rPr>
                <w:rFonts w:ascii="宋体" w:hAnsi="宋体" w:eastAsia="宋体" w:cs="宋体"/>
                <w:color w:val="auto"/>
                <w:spacing w:val="7"/>
                <w:sz w:val="24"/>
                <w:szCs w:val="24"/>
                <w:highlight w:val="none"/>
              </w:rPr>
              <w:t>房建设</w:t>
            </w:r>
          </w:p>
        </w:tc>
        <w:tc>
          <w:tcPr>
            <w:tcW w:w="3720" w:type="dxa"/>
            <w:tcBorders>
              <w:left w:val="single" w:color="auto" w:sz="4" w:space="0"/>
            </w:tcBorders>
            <w:vAlign w:val="top"/>
          </w:tcPr>
          <w:p w14:paraId="6920269C">
            <w:pPr>
              <w:spacing w:before="162" w:line="229" w:lineRule="auto"/>
              <w:rPr>
                <w:rFonts w:hint="eastAsia" w:ascii="宋体" w:hAnsi="宋体" w:eastAsia="宋体" w:cs="宋体"/>
                <w:color w:val="auto"/>
                <w:sz w:val="24"/>
                <w:szCs w:val="24"/>
                <w:highlight w:val="none"/>
              </w:rPr>
            </w:pPr>
            <w:r>
              <w:rPr>
                <w:rFonts w:ascii="宋体" w:hAnsi="宋体" w:eastAsia="宋体" w:cs="宋体"/>
                <w:color w:val="auto"/>
                <w:spacing w:val="2"/>
                <w:sz w:val="24"/>
                <w:szCs w:val="24"/>
                <w:highlight w:val="none"/>
              </w:rPr>
              <w:t>24 ㎡的一体化站房</w:t>
            </w:r>
          </w:p>
        </w:tc>
        <w:tc>
          <w:tcPr>
            <w:tcW w:w="913" w:type="dxa"/>
            <w:vAlign w:val="top"/>
          </w:tcPr>
          <w:p w14:paraId="214A3751">
            <w:pPr>
              <w:spacing w:before="162" w:line="229" w:lineRule="auto"/>
              <w:ind w:left="1920"/>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套</w:t>
            </w:r>
          </w:p>
        </w:tc>
        <w:tc>
          <w:tcPr>
            <w:tcW w:w="851" w:type="dxa"/>
            <w:vAlign w:val="top"/>
          </w:tcPr>
          <w:p w14:paraId="66DB16DB">
            <w:pPr>
              <w:spacing w:before="192" w:line="201" w:lineRule="auto"/>
              <w:ind w:left="1920"/>
              <w:rPr>
                <w:rFonts w:hint="eastAsia" w:ascii="宋体" w:hAnsi="宋体" w:eastAsia="宋体" w:cs="Arial"/>
                <w:color w:val="auto"/>
                <w:sz w:val="24"/>
                <w:szCs w:val="24"/>
                <w:highlight w:val="none"/>
              </w:rPr>
            </w:pPr>
            <w:r>
              <w:rPr>
                <w:rFonts w:hint="eastAsia" w:ascii="宋体" w:hAnsi="宋体" w:eastAsia="宋体" w:cs="Arial"/>
                <w:color w:val="auto"/>
                <w:sz w:val="24"/>
                <w:szCs w:val="24"/>
                <w:highlight w:val="none"/>
              </w:rPr>
              <w:t>1</w:t>
            </w:r>
          </w:p>
        </w:tc>
      </w:tr>
    </w:tbl>
    <w:p w14:paraId="109A2192">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spacing w:val="-1"/>
          <w:kern w:val="0"/>
          <w:sz w:val="24"/>
          <w:szCs w:val="24"/>
          <w:highlight w:val="none"/>
        </w:rPr>
      </w:pPr>
      <w:r>
        <w:rPr>
          <w:rFonts w:hint="eastAsia" w:ascii="宋体" w:hAnsi="宋体" w:eastAsia="宋体" w:cs="宋体"/>
          <w:snapToGrid w:val="0"/>
          <w:color w:val="auto"/>
          <w:spacing w:val="-1"/>
          <w:kern w:val="0"/>
          <w:sz w:val="24"/>
          <w:szCs w:val="24"/>
          <w:highlight w:val="none"/>
        </w:rPr>
        <w:t>1.1总体要求</w:t>
      </w:r>
    </w:p>
    <w:p w14:paraId="0D0FB770">
      <w:pPr>
        <w:widowControl/>
        <w:autoSpaceDE w:val="0"/>
        <w:autoSpaceDN w:val="0"/>
        <w:adjustRightInd w:val="0"/>
        <w:snapToGrid w:val="0"/>
        <w:spacing w:line="360" w:lineRule="auto"/>
        <w:ind w:firstLine="504" w:firstLineChars="200"/>
        <w:textAlignment w:val="baseline"/>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1.1.1在环境空气自动监测系统运维及管理期间，中标人应严格按照各级环保部门和业主制订的操作规范和规章制度，对所管理的系统及仪器设备进行规范操作和精心维护及必要维修</w:t>
      </w:r>
      <w:r>
        <w:rPr>
          <w:rFonts w:hint="eastAsia" w:ascii="宋体" w:hAnsi="宋体" w:cs="宋体"/>
          <w:snapToGrid w:val="0"/>
          <w:color w:val="auto"/>
          <w:spacing w:val="6"/>
          <w:kern w:val="0"/>
          <w:sz w:val="24"/>
          <w:szCs w:val="24"/>
          <w:highlight w:val="none"/>
          <w:lang w:eastAsia="zh-CN"/>
        </w:rPr>
        <w:t>（属于质保期范围内的应配合业主督促原设备供应商履行免费质保义务）</w:t>
      </w:r>
      <w:r>
        <w:rPr>
          <w:rFonts w:hint="eastAsia" w:ascii="宋体" w:hAnsi="宋体" w:eastAsia="宋体" w:cs="宋体"/>
          <w:snapToGrid w:val="0"/>
          <w:color w:val="auto"/>
          <w:spacing w:val="6"/>
          <w:kern w:val="0"/>
          <w:sz w:val="24"/>
          <w:szCs w:val="24"/>
          <w:highlight w:val="none"/>
        </w:rPr>
        <w:t>，保证系统及仪器设备的正常运行，达到业主提出的系统及仪器设备考核指标要求。中标人应积极协助业主单位完成</w:t>
      </w:r>
      <w:r>
        <w:rPr>
          <w:rFonts w:hint="eastAsia" w:ascii="宋体" w:hAnsi="宋体" w:cs="宋体"/>
          <w:snapToGrid w:val="0"/>
          <w:color w:val="auto"/>
          <w:spacing w:val="6"/>
          <w:kern w:val="0"/>
          <w:sz w:val="24"/>
          <w:szCs w:val="24"/>
          <w:highlight w:val="none"/>
          <w:lang w:eastAsia="zh-CN"/>
        </w:rPr>
        <w:t>上级</w:t>
      </w:r>
      <w:r>
        <w:rPr>
          <w:rFonts w:hint="eastAsia" w:ascii="宋体" w:hAnsi="宋体" w:eastAsia="宋体" w:cs="宋体"/>
          <w:snapToGrid w:val="0"/>
          <w:color w:val="auto"/>
          <w:spacing w:val="6"/>
          <w:kern w:val="0"/>
          <w:sz w:val="24"/>
          <w:szCs w:val="24"/>
          <w:highlight w:val="none"/>
        </w:rPr>
        <w:t>对自动监测站运行检查及考核工作。</w:t>
      </w:r>
    </w:p>
    <w:p w14:paraId="44FBC922">
      <w:pPr>
        <w:widowControl/>
        <w:autoSpaceDE w:val="0"/>
        <w:autoSpaceDN w:val="0"/>
        <w:adjustRightInd w:val="0"/>
        <w:snapToGrid w:val="0"/>
        <w:spacing w:line="360" w:lineRule="auto"/>
        <w:ind w:firstLine="504" w:firstLineChars="200"/>
        <w:textAlignment w:val="baseline"/>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1.1.2在环境空气自动监测系统运维及管理期间，不能将合同规定的运行维护任务主体任务外包。</w:t>
      </w:r>
    </w:p>
    <w:p w14:paraId="649B6BE0">
      <w:pPr>
        <w:widowControl/>
        <w:autoSpaceDE w:val="0"/>
        <w:autoSpaceDN w:val="0"/>
        <w:adjustRightInd w:val="0"/>
        <w:snapToGrid w:val="0"/>
        <w:spacing w:line="360" w:lineRule="auto"/>
        <w:ind w:firstLine="504" w:firstLineChars="200"/>
        <w:textAlignment w:val="baseline"/>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1.1.3中标人应承担监测数据的保密责任；中标人应按照业主的要求，报告和传输监测数据，不得以任何方式和渠道向外界传递任何监测数据。</w:t>
      </w:r>
    </w:p>
    <w:p w14:paraId="4F27F013">
      <w:pPr>
        <w:widowControl/>
        <w:autoSpaceDE w:val="0"/>
        <w:autoSpaceDN w:val="0"/>
        <w:adjustRightInd w:val="0"/>
        <w:snapToGrid w:val="0"/>
        <w:spacing w:line="360" w:lineRule="auto"/>
        <w:ind w:firstLine="504" w:firstLineChars="200"/>
        <w:textAlignment w:val="baseline"/>
        <w:rPr>
          <w:rFonts w:hint="eastAsia" w:ascii="宋体" w:hAnsi="宋体" w:eastAsia="宋体" w:cs="宋体"/>
          <w:snapToGrid w:val="0"/>
          <w:color w:val="auto"/>
          <w:spacing w:val="6"/>
          <w:kern w:val="0"/>
          <w:sz w:val="24"/>
          <w:szCs w:val="24"/>
          <w:highlight w:val="none"/>
        </w:rPr>
      </w:pPr>
      <w:r>
        <w:rPr>
          <w:rFonts w:hint="eastAsia" w:ascii="宋体" w:hAnsi="宋体" w:eastAsia="宋体" w:cs="宋体"/>
          <w:snapToGrid w:val="0"/>
          <w:color w:val="auto"/>
          <w:spacing w:val="6"/>
          <w:kern w:val="0"/>
          <w:sz w:val="24"/>
          <w:szCs w:val="24"/>
          <w:highlight w:val="none"/>
        </w:rPr>
        <w:t>1.1.4委托运营维护及管理的全部资产（包括全部产权和建筑物、设备、软件、配套设施、自动站和配套监控系统产生的各类数据信息及相关文档资料）属业主方所有。未经业主方同意，中标人不得以任何方式对各类财产进行出售、抵押或转移；在委托运营及管理期间，中标人有责任保证上述全部资产的完整、安全并处于良好状态。</w:t>
      </w:r>
    </w:p>
    <w:p w14:paraId="1A825522">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1"/>
          <w:kern w:val="0"/>
          <w:sz w:val="24"/>
          <w:szCs w:val="24"/>
          <w:highlight w:val="none"/>
        </w:rPr>
        <w:t>1</w:t>
      </w:r>
      <w:r>
        <w:rPr>
          <w:rFonts w:ascii="宋体" w:hAnsi="宋体" w:eastAsia="宋体" w:cs="宋体"/>
          <w:snapToGrid w:val="0"/>
          <w:color w:val="auto"/>
          <w:spacing w:val="-1"/>
          <w:kern w:val="0"/>
          <w:sz w:val="24"/>
          <w:szCs w:val="24"/>
          <w:highlight w:val="none"/>
        </w:rPr>
        <w:t>.</w:t>
      </w:r>
      <w:r>
        <w:rPr>
          <w:rFonts w:hint="eastAsia" w:ascii="宋体" w:hAnsi="宋体" w:eastAsia="宋体" w:cs="宋体"/>
          <w:snapToGrid w:val="0"/>
          <w:color w:val="auto"/>
          <w:spacing w:val="-1"/>
          <w:kern w:val="0"/>
          <w:sz w:val="24"/>
          <w:szCs w:val="24"/>
          <w:highlight w:val="none"/>
        </w:rPr>
        <w:t>2</w:t>
      </w:r>
      <w:r>
        <w:rPr>
          <w:rFonts w:ascii="宋体" w:hAnsi="宋体" w:eastAsia="宋体" w:cs="宋体"/>
          <w:snapToGrid w:val="0"/>
          <w:color w:val="auto"/>
          <w:spacing w:val="-1"/>
          <w:kern w:val="0"/>
          <w:sz w:val="24"/>
          <w:szCs w:val="24"/>
          <w:highlight w:val="none"/>
        </w:rPr>
        <w:t>、人员、车辆、设备配备</w:t>
      </w:r>
      <w:r>
        <w:rPr>
          <w:rFonts w:hint="eastAsia" w:ascii="宋体" w:hAnsi="宋体" w:eastAsia="宋体" w:cs="宋体"/>
          <w:snapToGrid w:val="0"/>
          <w:color w:val="auto"/>
          <w:spacing w:val="-1"/>
          <w:kern w:val="0"/>
          <w:sz w:val="24"/>
          <w:szCs w:val="24"/>
          <w:highlight w:val="none"/>
        </w:rPr>
        <w:t>、技术</w:t>
      </w:r>
      <w:r>
        <w:rPr>
          <w:rFonts w:ascii="宋体" w:hAnsi="宋体" w:eastAsia="宋体" w:cs="宋体"/>
          <w:snapToGrid w:val="0"/>
          <w:color w:val="auto"/>
          <w:spacing w:val="-1"/>
          <w:kern w:val="0"/>
          <w:sz w:val="24"/>
          <w:szCs w:val="24"/>
          <w:highlight w:val="none"/>
        </w:rPr>
        <w:t>要求</w:t>
      </w:r>
    </w:p>
    <w:p w14:paraId="737591E7">
      <w:pPr>
        <w:widowControl/>
        <w:autoSpaceDE w:val="0"/>
        <w:autoSpaceDN w:val="0"/>
        <w:adjustRightInd w:val="0"/>
        <w:snapToGrid w:val="0"/>
        <w:spacing w:line="360" w:lineRule="auto"/>
        <w:ind w:firstLine="504"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6"/>
          <w:kern w:val="0"/>
          <w:sz w:val="24"/>
          <w:szCs w:val="24"/>
          <w:highlight w:val="none"/>
        </w:rPr>
        <w:t>1、运维单位应保证配备的专业技术人员数量与其负责日常维护的站点数量比值不低于</w:t>
      </w:r>
      <w:r>
        <w:rPr>
          <w:rFonts w:ascii="宋体" w:hAnsi="宋体" w:eastAsia="宋体" w:cs="宋体"/>
          <w:snapToGrid w:val="0"/>
          <w:color w:val="auto"/>
          <w:spacing w:val="7"/>
          <w:kern w:val="0"/>
          <w:sz w:val="24"/>
          <w:szCs w:val="24"/>
          <w:highlight w:val="none"/>
        </w:rPr>
        <w:t xml:space="preserve"> </w:t>
      </w:r>
      <w:r>
        <w:rPr>
          <w:rFonts w:ascii="宋体" w:hAnsi="宋体" w:eastAsia="宋体" w:cs="宋体"/>
          <w:snapToGrid w:val="0"/>
          <w:color w:val="auto"/>
          <w:spacing w:val="-7"/>
          <w:kern w:val="0"/>
          <w:sz w:val="24"/>
          <w:szCs w:val="24"/>
          <w:highlight w:val="none"/>
        </w:rPr>
        <w:t>1/</w:t>
      </w:r>
      <w:r>
        <w:rPr>
          <w:rFonts w:hint="eastAsia" w:ascii="宋体" w:hAnsi="宋体" w:eastAsia="宋体" w:cs="宋体"/>
          <w:snapToGrid w:val="0"/>
          <w:color w:val="auto"/>
          <w:spacing w:val="-7"/>
          <w:kern w:val="0"/>
          <w:sz w:val="24"/>
          <w:szCs w:val="24"/>
          <w:highlight w:val="none"/>
        </w:rPr>
        <w:t>3</w:t>
      </w:r>
      <w:r>
        <w:rPr>
          <w:rFonts w:ascii="宋体" w:hAnsi="宋体" w:eastAsia="宋体" w:cs="宋体"/>
          <w:snapToGrid w:val="0"/>
          <w:color w:val="auto"/>
          <w:spacing w:val="-7"/>
          <w:kern w:val="0"/>
          <w:sz w:val="24"/>
          <w:szCs w:val="24"/>
          <w:highlight w:val="none"/>
        </w:rPr>
        <w:t>。</w:t>
      </w:r>
      <w:r>
        <w:rPr>
          <w:rFonts w:hint="eastAsia" w:ascii="宋体" w:hAnsi="宋体" w:eastAsia="宋体" w:cs="宋体"/>
          <w:snapToGrid w:val="0"/>
          <w:color w:val="auto"/>
          <w:spacing w:val="-7"/>
          <w:kern w:val="0"/>
          <w:sz w:val="24"/>
          <w:szCs w:val="24"/>
          <w:highlight w:val="none"/>
        </w:rPr>
        <w:t>运行维护专业技术人员必须掌握本项目所含主要分析仪器的日常维护、质量控制和常见故障诊断方法。</w:t>
      </w:r>
    </w:p>
    <w:p w14:paraId="49789118">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2、运维单位应保证配备的专用巡检车辆数量与负责日常维护的数量比值不低于</w:t>
      </w:r>
      <w:r>
        <w:rPr>
          <w:rFonts w:ascii="宋体" w:hAnsi="宋体" w:eastAsia="宋体" w:cs="宋体"/>
          <w:snapToGrid w:val="0"/>
          <w:color w:val="auto"/>
          <w:spacing w:val="-33"/>
          <w:kern w:val="0"/>
          <w:sz w:val="24"/>
          <w:szCs w:val="24"/>
          <w:highlight w:val="none"/>
        </w:rPr>
        <w:t xml:space="preserve"> </w:t>
      </w:r>
      <w:r>
        <w:rPr>
          <w:rFonts w:ascii="宋体" w:hAnsi="宋体" w:eastAsia="宋体" w:cs="宋体"/>
          <w:snapToGrid w:val="0"/>
          <w:color w:val="auto"/>
          <w:spacing w:val="-1"/>
          <w:kern w:val="0"/>
          <w:sz w:val="24"/>
          <w:szCs w:val="24"/>
          <w:highlight w:val="none"/>
        </w:rPr>
        <w:t>1/</w:t>
      </w:r>
      <w:r>
        <w:rPr>
          <w:rFonts w:hint="eastAsia" w:ascii="宋体" w:hAnsi="宋体" w:eastAsia="宋体" w:cs="宋体"/>
          <w:snapToGrid w:val="0"/>
          <w:color w:val="auto"/>
          <w:spacing w:val="-2"/>
          <w:kern w:val="0"/>
          <w:sz w:val="24"/>
          <w:szCs w:val="24"/>
          <w:highlight w:val="none"/>
        </w:rPr>
        <w:t>3</w:t>
      </w:r>
      <w:r>
        <w:rPr>
          <w:rFonts w:ascii="宋体" w:hAnsi="宋体" w:eastAsia="宋体" w:cs="宋体"/>
          <w:snapToGrid w:val="0"/>
          <w:color w:val="auto"/>
          <w:spacing w:val="-2"/>
          <w:kern w:val="0"/>
          <w:sz w:val="24"/>
          <w:szCs w:val="24"/>
          <w:highlight w:val="none"/>
        </w:rPr>
        <w:t>。</w:t>
      </w:r>
    </w:p>
    <w:p w14:paraId="580B1784">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3、运维单位须为空气站配备必要的质量控制设备</w:t>
      </w:r>
      <w:r>
        <w:rPr>
          <w:rFonts w:hint="eastAsia" w:ascii="宋体" w:hAnsi="宋体" w:cs="宋体"/>
          <w:snapToGrid w:val="0"/>
          <w:color w:val="auto"/>
          <w:kern w:val="0"/>
          <w:sz w:val="24"/>
          <w:szCs w:val="24"/>
          <w:highlight w:val="none"/>
          <w:lang w:eastAsia="zh-CN"/>
        </w:rPr>
        <w:t>、</w:t>
      </w:r>
      <w:r>
        <w:rPr>
          <w:rFonts w:hint="eastAsia" w:ascii="宋体" w:hAnsi="宋体" w:cs="宋体"/>
          <w:snapToGrid w:val="0"/>
          <w:color w:val="auto"/>
          <w:kern w:val="0"/>
          <w:sz w:val="24"/>
          <w:szCs w:val="24"/>
          <w:highlight w:val="none"/>
          <w:lang w:val="en-US" w:eastAsia="zh-CN"/>
        </w:rPr>
        <w:t>耗材</w:t>
      </w:r>
      <w:r>
        <w:rPr>
          <w:rFonts w:ascii="宋体" w:hAnsi="宋体" w:eastAsia="宋体" w:cs="宋体"/>
          <w:snapToGrid w:val="0"/>
          <w:color w:val="auto"/>
          <w:spacing w:val="-1"/>
          <w:kern w:val="0"/>
          <w:sz w:val="24"/>
          <w:szCs w:val="24"/>
          <w:highlight w:val="none"/>
        </w:rPr>
        <w:t>，包括配套的流量计、温湿度计等。</w:t>
      </w:r>
    </w:p>
    <w:p w14:paraId="506A49E3">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4、运维单位须承诺中标后配齐所涉及监测设备的耗材和备件</w:t>
      </w:r>
      <w:r>
        <w:rPr>
          <w:rFonts w:ascii="宋体" w:hAnsi="宋体" w:eastAsia="宋体" w:cs="宋体"/>
          <w:snapToGrid w:val="0"/>
          <w:color w:val="auto"/>
          <w:spacing w:val="-1"/>
          <w:kern w:val="0"/>
          <w:sz w:val="24"/>
          <w:szCs w:val="24"/>
          <w:highlight w:val="none"/>
        </w:rPr>
        <w:t>。耗材按照不少于半年的消耗量配置，备件按照至少半年使用量配置。</w:t>
      </w:r>
    </w:p>
    <w:p w14:paraId="0649B5AC">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5、运维单位应以技术支持机构为单位配备专用仪器维修工具（包括便携式电脑、万用表等）、通讯调试工具（包括各种硬件接口线、改线工具、接口调试软件及常 用零部件等）。</w:t>
      </w:r>
    </w:p>
    <w:p w14:paraId="446ECEA8">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1</w:t>
      </w:r>
      <w:r>
        <w:rPr>
          <w:rFonts w:ascii="宋体" w:hAnsi="宋体" w:eastAsia="宋体" w:cs="宋体"/>
          <w:snapToGrid w:val="0"/>
          <w:color w:val="auto"/>
          <w:spacing w:val="-2"/>
          <w:kern w:val="0"/>
          <w:sz w:val="24"/>
          <w:szCs w:val="24"/>
          <w:highlight w:val="none"/>
        </w:rPr>
        <w:t>.</w:t>
      </w:r>
      <w:r>
        <w:rPr>
          <w:rFonts w:hint="eastAsia" w:ascii="宋体" w:hAnsi="宋体" w:eastAsia="宋体" w:cs="宋体"/>
          <w:snapToGrid w:val="0"/>
          <w:color w:val="auto"/>
          <w:spacing w:val="-2"/>
          <w:kern w:val="0"/>
          <w:sz w:val="24"/>
          <w:szCs w:val="24"/>
          <w:highlight w:val="none"/>
        </w:rPr>
        <w:t>3</w:t>
      </w:r>
      <w:r>
        <w:rPr>
          <w:rFonts w:ascii="宋体" w:hAnsi="宋体" w:eastAsia="宋体" w:cs="宋体"/>
          <w:snapToGrid w:val="0"/>
          <w:color w:val="auto"/>
          <w:spacing w:val="-2"/>
          <w:kern w:val="0"/>
          <w:sz w:val="24"/>
          <w:szCs w:val="24"/>
          <w:highlight w:val="none"/>
        </w:rPr>
        <w:t>、运行维护工作目标</w:t>
      </w:r>
    </w:p>
    <w:p w14:paraId="5E1A6ABC">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运维单位必须建立完善的的运维工作规范与质量管理体系，确保提供及时、准确、有效的</w:t>
      </w:r>
      <w:r>
        <w:rPr>
          <w:rFonts w:ascii="宋体" w:hAnsi="宋体" w:eastAsia="宋体" w:cs="宋体"/>
          <w:snapToGrid w:val="0"/>
          <w:color w:val="auto"/>
          <w:spacing w:val="-1"/>
          <w:kern w:val="0"/>
          <w:sz w:val="24"/>
          <w:szCs w:val="24"/>
          <w:highlight w:val="none"/>
        </w:rPr>
        <w:t>监测数据，空气站的运行质量应达到以下指标：</w:t>
      </w:r>
    </w:p>
    <w:p w14:paraId="3704D4F6">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spacing w:val="-3"/>
          <w:kern w:val="0"/>
          <w:sz w:val="24"/>
          <w:szCs w:val="24"/>
          <w:highlight w:val="none"/>
        </w:rPr>
      </w:pPr>
      <w:r>
        <w:rPr>
          <w:rFonts w:ascii="宋体" w:hAnsi="宋体" w:eastAsia="宋体" w:cs="宋体"/>
          <w:snapToGrid w:val="0"/>
          <w:color w:val="auto"/>
          <w:spacing w:val="-3"/>
          <w:kern w:val="0"/>
          <w:sz w:val="24"/>
          <w:szCs w:val="24"/>
          <w:highlight w:val="none"/>
        </w:rPr>
        <w:t>1.所获取的各项指标的有效监测数据必须满足《环境空气质量标准》（GB3095-2012）中规定的污染物浓度数据有效性最低要求；</w:t>
      </w:r>
    </w:p>
    <w:p w14:paraId="04013BD7">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spacing w:val="-3"/>
          <w:kern w:val="0"/>
          <w:sz w:val="24"/>
          <w:szCs w:val="24"/>
          <w:highlight w:val="none"/>
        </w:rPr>
      </w:pPr>
      <w:r>
        <w:rPr>
          <w:rFonts w:ascii="宋体" w:hAnsi="宋体" w:eastAsia="宋体" w:cs="宋体"/>
          <w:snapToGrid w:val="0"/>
          <w:color w:val="auto"/>
          <w:spacing w:val="-3"/>
          <w:kern w:val="0"/>
          <w:sz w:val="24"/>
          <w:szCs w:val="24"/>
          <w:highlight w:val="none"/>
        </w:rPr>
        <w:t>2.数据获取率≥9</w:t>
      </w:r>
      <w:r>
        <w:rPr>
          <w:rFonts w:hint="eastAsia" w:ascii="宋体" w:hAnsi="宋体" w:eastAsia="宋体" w:cs="宋体"/>
          <w:snapToGrid w:val="0"/>
          <w:color w:val="auto"/>
          <w:spacing w:val="-3"/>
          <w:kern w:val="0"/>
          <w:sz w:val="24"/>
          <w:szCs w:val="24"/>
          <w:highlight w:val="none"/>
        </w:rPr>
        <w:t>0</w:t>
      </w:r>
      <w:r>
        <w:rPr>
          <w:rFonts w:ascii="宋体" w:hAnsi="宋体" w:eastAsia="宋体" w:cs="宋体"/>
          <w:snapToGrid w:val="0"/>
          <w:color w:val="auto"/>
          <w:spacing w:val="-3"/>
          <w:kern w:val="0"/>
          <w:sz w:val="24"/>
          <w:szCs w:val="24"/>
          <w:highlight w:val="none"/>
        </w:rPr>
        <w:t>%（以小时值计）；</w:t>
      </w:r>
    </w:p>
    <w:p w14:paraId="7BABBF57">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spacing w:val="-3"/>
          <w:kern w:val="0"/>
          <w:sz w:val="24"/>
          <w:szCs w:val="24"/>
          <w:highlight w:val="none"/>
        </w:rPr>
      </w:pPr>
      <w:r>
        <w:rPr>
          <w:rFonts w:ascii="宋体" w:hAnsi="宋体" w:eastAsia="宋体" w:cs="宋体"/>
          <w:snapToGrid w:val="0"/>
          <w:color w:val="auto"/>
          <w:spacing w:val="-3"/>
          <w:kern w:val="0"/>
          <w:sz w:val="24"/>
          <w:szCs w:val="24"/>
          <w:highlight w:val="none"/>
        </w:rPr>
        <w:t>3.运维任务完成率 100%。</w:t>
      </w:r>
    </w:p>
    <w:p w14:paraId="2BAC4D83">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1</w:t>
      </w:r>
      <w:r>
        <w:rPr>
          <w:rFonts w:ascii="宋体" w:hAnsi="宋体" w:eastAsia="宋体" w:cs="宋体"/>
          <w:snapToGrid w:val="0"/>
          <w:color w:val="auto"/>
          <w:spacing w:val="-2"/>
          <w:kern w:val="0"/>
          <w:sz w:val="24"/>
          <w:szCs w:val="24"/>
          <w:highlight w:val="none"/>
        </w:rPr>
        <w:t>.</w:t>
      </w:r>
      <w:r>
        <w:rPr>
          <w:rFonts w:hint="eastAsia" w:ascii="宋体" w:hAnsi="宋体" w:eastAsia="宋体" w:cs="宋体"/>
          <w:snapToGrid w:val="0"/>
          <w:color w:val="auto"/>
          <w:spacing w:val="-2"/>
          <w:kern w:val="0"/>
          <w:sz w:val="24"/>
          <w:szCs w:val="24"/>
          <w:highlight w:val="none"/>
        </w:rPr>
        <w:t>4</w:t>
      </w:r>
      <w:r>
        <w:rPr>
          <w:rFonts w:ascii="宋体" w:hAnsi="宋体" w:eastAsia="宋体" w:cs="宋体"/>
          <w:snapToGrid w:val="0"/>
          <w:color w:val="auto"/>
          <w:spacing w:val="-2"/>
          <w:kern w:val="0"/>
          <w:sz w:val="24"/>
          <w:szCs w:val="24"/>
          <w:highlight w:val="none"/>
        </w:rPr>
        <w:t>、运维工作要求</w:t>
      </w:r>
    </w:p>
    <w:p w14:paraId="2E9C25EA">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spacing w:val="-1"/>
          <w:kern w:val="0"/>
          <w:sz w:val="24"/>
          <w:szCs w:val="24"/>
          <w:highlight w:val="none"/>
        </w:rPr>
      </w:pPr>
      <w:r>
        <w:rPr>
          <w:rFonts w:ascii="宋体" w:hAnsi="宋体" w:eastAsia="宋体" w:cs="宋体"/>
          <w:snapToGrid w:val="0"/>
          <w:color w:val="auto"/>
          <w:spacing w:val="-3"/>
          <w:kern w:val="0"/>
          <w:sz w:val="24"/>
          <w:szCs w:val="24"/>
          <w:highlight w:val="none"/>
        </w:rPr>
        <w:t>运维单位应遵守</w:t>
      </w:r>
      <w:r>
        <w:rPr>
          <w:rFonts w:hint="eastAsia" w:ascii="宋体" w:hAnsi="宋体" w:eastAsia="宋体" w:cs="宋体"/>
          <w:snapToGrid w:val="0"/>
          <w:color w:val="auto"/>
          <w:spacing w:val="-3"/>
          <w:kern w:val="0"/>
          <w:sz w:val="24"/>
          <w:szCs w:val="24"/>
          <w:highlight w:val="none"/>
        </w:rPr>
        <w:t>国家、省、市</w:t>
      </w:r>
      <w:r>
        <w:rPr>
          <w:rFonts w:ascii="宋体" w:hAnsi="宋体" w:eastAsia="宋体" w:cs="宋体"/>
          <w:snapToGrid w:val="0"/>
          <w:color w:val="auto"/>
          <w:spacing w:val="-3"/>
          <w:kern w:val="0"/>
          <w:sz w:val="24"/>
          <w:szCs w:val="24"/>
          <w:highlight w:val="none"/>
        </w:rPr>
        <w:t>关于空气站运行管理的各项规定，如运维期间</w:t>
      </w:r>
      <w:r>
        <w:rPr>
          <w:rFonts w:hint="eastAsia" w:ascii="宋体" w:hAnsi="宋体" w:eastAsia="宋体" w:cs="宋体"/>
          <w:snapToGrid w:val="0"/>
          <w:color w:val="auto"/>
          <w:spacing w:val="-3"/>
          <w:kern w:val="0"/>
          <w:sz w:val="24"/>
          <w:szCs w:val="24"/>
          <w:highlight w:val="none"/>
        </w:rPr>
        <w:t>国家、省、市</w:t>
      </w:r>
      <w:r>
        <w:rPr>
          <w:rFonts w:ascii="宋体" w:hAnsi="宋体" w:eastAsia="宋体" w:cs="宋体"/>
          <w:snapToGrid w:val="0"/>
          <w:color w:val="auto"/>
          <w:spacing w:val="-3"/>
          <w:kern w:val="0"/>
          <w:sz w:val="24"/>
          <w:szCs w:val="24"/>
          <w:highlight w:val="none"/>
        </w:rPr>
        <w:t>出台</w:t>
      </w:r>
      <w:r>
        <w:rPr>
          <w:rFonts w:ascii="宋体" w:hAnsi="宋体" w:eastAsia="宋体" w:cs="宋体"/>
          <w:snapToGrid w:val="0"/>
          <w:color w:val="auto"/>
          <w:spacing w:val="-1"/>
          <w:kern w:val="0"/>
          <w:sz w:val="24"/>
          <w:szCs w:val="24"/>
          <w:highlight w:val="none"/>
        </w:rPr>
        <w:t>新的空气站运行管理规定，则运维工作要求随之执行最新规定。</w:t>
      </w:r>
    </w:p>
    <w:p w14:paraId="14AC010C">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1.4.1空气质量在线监测系统</w:t>
      </w:r>
    </w:p>
    <w:p w14:paraId="7D88104E">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1、运维工作一般要求如下：</w:t>
      </w:r>
    </w:p>
    <w:p w14:paraId="68E1C344">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（1）保持站房内部环境清洁，布置整齐，各仪器设备干净清洁，设备标识清楚；</w:t>
      </w:r>
    </w:p>
    <w:p w14:paraId="71191812">
      <w:pPr>
        <w:widowControl/>
        <w:autoSpaceDE w:val="0"/>
        <w:autoSpaceDN w:val="0"/>
        <w:adjustRightInd w:val="0"/>
        <w:snapToGrid w:val="0"/>
        <w:spacing w:line="360" w:lineRule="auto"/>
        <w:ind w:firstLine="484"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（2）检查供电及网络通讯的情况，保证系统的正常运行;</w:t>
      </w:r>
    </w:p>
    <w:p w14:paraId="25D4E8C0">
      <w:pPr>
        <w:widowControl/>
        <w:autoSpaceDE w:val="0"/>
        <w:autoSpaceDN w:val="0"/>
        <w:adjustRightInd w:val="0"/>
        <w:snapToGrid w:val="0"/>
        <w:spacing w:line="360" w:lineRule="auto"/>
        <w:ind w:firstLine="43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1"/>
          <w:kern w:val="0"/>
          <w:sz w:val="24"/>
          <w:szCs w:val="24"/>
          <w:highlight w:val="none"/>
        </w:rPr>
        <w:t>（3）保证空调正常工作，仪器运行温度保持在</w:t>
      </w:r>
      <w:r>
        <w:rPr>
          <w:rFonts w:ascii="宋体" w:hAnsi="宋体" w:eastAsia="宋体" w:cs="宋体"/>
          <w:snapToGrid w:val="0"/>
          <w:color w:val="auto"/>
          <w:spacing w:val="-48"/>
          <w:kern w:val="0"/>
          <w:sz w:val="24"/>
          <w:szCs w:val="24"/>
          <w:highlight w:val="none"/>
        </w:rPr>
        <w:t xml:space="preserve"> </w:t>
      </w:r>
      <w:r>
        <w:rPr>
          <w:rFonts w:ascii="宋体" w:hAnsi="宋体" w:eastAsia="宋体" w:cs="宋体"/>
          <w:snapToGrid w:val="0"/>
          <w:color w:val="auto"/>
          <w:spacing w:val="-11"/>
          <w:kern w:val="0"/>
          <w:sz w:val="24"/>
          <w:szCs w:val="24"/>
          <w:highlight w:val="none"/>
        </w:rPr>
        <w:t>25℃左右，站房内温度日波动范围小于</w:t>
      </w:r>
      <w:r>
        <w:rPr>
          <w:rFonts w:ascii="宋体" w:hAnsi="宋体" w:eastAsia="宋体" w:cs="宋体"/>
          <w:snapToGrid w:val="0"/>
          <w:color w:val="auto"/>
          <w:spacing w:val="-46"/>
          <w:kern w:val="0"/>
          <w:sz w:val="24"/>
          <w:szCs w:val="24"/>
          <w:highlight w:val="none"/>
        </w:rPr>
        <w:t xml:space="preserve"> </w:t>
      </w:r>
      <w:r>
        <w:rPr>
          <w:rFonts w:ascii="宋体" w:hAnsi="宋体" w:eastAsia="宋体" w:cs="宋体"/>
          <w:snapToGrid w:val="0"/>
          <w:color w:val="auto"/>
          <w:spacing w:val="-12"/>
          <w:kern w:val="0"/>
          <w:sz w:val="24"/>
          <w:szCs w:val="24"/>
          <w:highlight w:val="none"/>
        </w:rPr>
        <w:t>3℃</w:t>
      </w:r>
      <w:r>
        <w:rPr>
          <w:rFonts w:ascii="宋体" w:hAnsi="宋体" w:eastAsia="宋体" w:cs="宋体"/>
          <w:snapToGrid w:val="0"/>
          <w:color w:val="auto"/>
          <w:spacing w:val="-90"/>
          <w:kern w:val="0"/>
          <w:sz w:val="24"/>
          <w:szCs w:val="24"/>
          <w:highlight w:val="none"/>
        </w:rPr>
        <w:t xml:space="preserve"> </w:t>
      </w:r>
      <w:r>
        <w:rPr>
          <w:rFonts w:ascii="宋体" w:hAnsi="宋体" w:eastAsia="宋体" w:cs="宋体"/>
          <w:snapToGrid w:val="0"/>
          <w:color w:val="auto"/>
          <w:spacing w:val="-12"/>
          <w:kern w:val="0"/>
          <w:sz w:val="24"/>
          <w:szCs w:val="24"/>
          <w:highlight w:val="none"/>
        </w:rPr>
        <w:t>,</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1"/>
          <w:kern w:val="0"/>
          <w:sz w:val="24"/>
          <w:szCs w:val="24"/>
          <w:highlight w:val="none"/>
        </w:rPr>
        <w:t>相对湿度保持在80%</w:t>
      </w:r>
      <w:r>
        <w:rPr>
          <w:rFonts w:ascii="宋体" w:hAnsi="宋体" w:eastAsia="宋体" w:cs="宋体"/>
          <w:snapToGrid w:val="0"/>
          <w:color w:val="auto"/>
          <w:kern w:val="0"/>
          <w:sz w:val="24"/>
          <w:szCs w:val="24"/>
          <w:highlight w:val="none"/>
        </w:rPr>
        <w:t>RH</w:t>
      </w:r>
      <w:r>
        <w:rPr>
          <w:rFonts w:ascii="宋体" w:hAnsi="宋体" w:eastAsia="宋体" w:cs="宋体"/>
          <w:snapToGrid w:val="0"/>
          <w:color w:val="auto"/>
          <w:spacing w:val="-24"/>
          <w:kern w:val="0"/>
          <w:sz w:val="24"/>
          <w:szCs w:val="24"/>
          <w:highlight w:val="none"/>
        </w:rPr>
        <w:t xml:space="preserve"> </w:t>
      </w:r>
      <w:r>
        <w:rPr>
          <w:rFonts w:ascii="宋体" w:hAnsi="宋体" w:eastAsia="宋体" w:cs="宋体"/>
          <w:snapToGrid w:val="0"/>
          <w:color w:val="auto"/>
          <w:spacing w:val="1"/>
          <w:kern w:val="0"/>
          <w:sz w:val="24"/>
          <w:szCs w:val="24"/>
          <w:highlight w:val="none"/>
        </w:rPr>
        <w:t>以下；</w:t>
      </w:r>
    </w:p>
    <w:p w14:paraId="3C74A33D">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（4）指派专人维护，设备固定牢固，门窗关闭良好，人走关门，非工作人员未经许可不</w:t>
      </w:r>
      <w:r>
        <w:rPr>
          <w:rFonts w:ascii="宋体" w:hAnsi="宋体" w:eastAsia="宋体" w:cs="宋体"/>
          <w:snapToGrid w:val="0"/>
          <w:color w:val="auto"/>
          <w:spacing w:val="-3"/>
          <w:kern w:val="0"/>
          <w:sz w:val="24"/>
          <w:szCs w:val="24"/>
          <w:highlight w:val="none"/>
        </w:rPr>
        <w:t>得入内；</w:t>
      </w:r>
    </w:p>
    <w:p w14:paraId="6021FE54">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（5）定期检查消防和安全设施；</w:t>
      </w:r>
    </w:p>
    <w:p w14:paraId="6100AA16">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（6）每次维护后做好系统运行维护记录；</w:t>
      </w:r>
    </w:p>
    <w:p w14:paraId="5088654F">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（7）进行维护时，应规范操作，注意安全，防止意外发生。</w:t>
      </w:r>
    </w:p>
    <w:p w14:paraId="467D08DB">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2、每日工作内容如下：</w:t>
      </w:r>
    </w:p>
    <w:p w14:paraId="1C844FD1">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每天上午和下午两次远程查看空气站数据并形成记录，分析监测数据，对站点运行情况进</w:t>
      </w:r>
      <w:r>
        <w:rPr>
          <w:rFonts w:ascii="宋体" w:hAnsi="宋体" w:eastAsia="宋体" w:cs="宋体"/>
          <w:snapToGrid w:val="0"/>
          <w:color w:val="auto"/>
          <w:spacing w:val="-1"/>
          <w:kern w:val="0"/>
          <w:sz w:val="24"/>
          <w:szCs w:val="24"/>
          <w:highlight w:val="none"/>
        </w:rPr>
        <w:t>行远程诊断和运行管理，内容包括：</w:t>
      </w:r>
    </w:p>
    <w:p w14:paraId="5BD39799">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（1）判断系统数据采集与传输情况；</w:t>
      </w:r>
    </w:p>
    <w:p w14:paraId="43469BB7">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（2）发现运行数据有持续异常值时，应立即通知</w:t>
      </w:r>
      <w:r>
        <w:rPr>
          <w:rFonts w:hint="eastAsia" w:ascii="宋体" w:hAnsi="宋体" w:eastAsia="宋体" w:cs="宋体"/>
          <w:snapToGrid w:val="0"/>
          <w:color w:val="auto"/>
          <w:spacing w:val="-3"/>
          <w:kern w:val="0"/>
          <w:sz w:val="24"/>
          <w:szCs w:val="24"/>
          <w:highlight w:val="none"/>
        </w:rPr>
        <w:t>采购人</w:t>
      </w:r>
      <w:r>
        <w:rPr>
          <w:rFonts w:ascii="宋体" w:hAnsi="宋体" w:eastAsia="宋体" w:cs="宋体"/>
          <w:snapToGrid w:val="0"/>
          <w:color w:val="auto"/>
          <w:spacing w:val="-3"/>
          <w:kern w:val="0"/>
          <w:sz w:val="24"/>
          <w:szCs w:val="24"/>
          <w:highlight w:val="none"/>
        </w:rPr>
        <w:t>，在每日</w:t>
      </w:r>
      <w:r>
        <w:rPr>
          <w:rFonts w:ascii="宋体" w:hAnsi="宋体" w:eastAsia="宋体" w:cs="宋体"/>
          <w:snapToGrid w:val="0"/>
          <w:color w:val="auto"/>
          <w:spacing w:val="-37"/>
          <w:kern w:val="0"/>
          <w:sz w:val="24"/>
          <w:szCs w:val="24"/>
          <w:highlight w:val="none"/>
        </w:rPr>
        <w:t xml:space="preserve"> </w:t>
      </w:r>
      <w:r>
        <w:rPr>
          <w:rFonts w:ascii="宋体" w:hAnsi="宋体" w:eastAsia="宋体" w:cs="宋体"/>
          <w:snapToGrid w:val="0"/>
          <w:color w:val="auto"/>
          <w:spacing w:val="-3"/>
          <w:kern w:val="0"/>
          <w:sz w:val="24"/>
          <w:szCs w:val="24"/>
          <w:highlight w:val="none"/>
        </w:rPr>
        <w:t>6</w:t>
      </w:r>
      <w:r>
        <w:rPr>
          <w:rFonts w:ascii="宋体" w:hAnsi="宋体" w:eastAsia="宋体" w:cs="宋体"/>
          <w:snapToGrid w:val="0"/>
          <w:color w:val="auto"/>
          <w:spacing w:val="-40"/>
          <w:kern w:val="0"/>
          <w:sz w:val="24"/>
          <w:szCs w:val="24"/>
          <w:highlight w:val="none"/>
        </w:rPr>
        <w:t xml:space="preserve"> </w:t>
      </w:r>
      <w:r>
        <w:rPr>
          <w:rFonts w:ascii="宋体" w:hAnsi="宋体" w:eastAsia="宋体" w:cs="宋体"/>
          <w:snapToGrid w:val="0"/>
          <w:color w:val="auto"/>
          <w:spacing w:val="-3"/>
          <w:kern w:val="0"/>
          <w:sz w:val="24"/>
          <w:szCs w:val="24"/>
          <w:highlight w:val="none"/>
        </w:rPr>
        <w:t>时～23</w:t>
      </w:r>
      <w:r>
        <w:rPr>
          <w:rFonts w:ascii="宋体" w:hAnsi="宋体" w:eastAsia="宋体" w:cs="宋体"/>
          <w:snapToGrid w:val="0"/>
          <w:color w:val="auto"/>
          <w:spacing w:val="-39"/>
          <w:kern w:val="0"/>
          <w:sz w:val="24"/>
          <w:szCs w:val="24"/>
          <w:highlight w:val="none"/>
        </w:rPr>
        <w:t xml:space="preserve"> </w:t>
      </w:r>
      <w:r>
        <w:rPr>
          <w:rFonts w:ascii="宋体" w:hAnsi="宋体" w:eastAsia="宋体" w:cs="宋体"/>
          <w:snapToGrid w:val="0"/>
          <w:color w:val="auto"/>
          <w:spacing w:val="-3"/>
          <w:kern w:val="0"/>
          <w:sz w:val="24"/>
          <w:szCs w:val="24"/>
          <w:highlight w:val="none"/>
        </w:rPr>
        <w:t>时出现</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1"/>
          <w:kern w:val="0"/>
          <w:sz w:val="24"/>
          <w:szCs w:val="24"/>
          <w:highlight w:val="none"/>
        </w:rPr>
        <w:t>的故障，应在</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spacing w:val="-1"/>
          <w:kern w:val="0"/>
          <w:sz w:val="24"/>
          <w:szCs w:val="24"/>
          <w:highlight w:val="none"/>
        </w:rPr>
        <w:t>4</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1"/>
          <w:kern w:val="0"/>
          <w:sz w:val="24"/>
          <w:szCs w:val="24"/>
          <w:highlight w:val="none"/>
        </w:rPr>
        <w:t>小时内解决，其它时间出现</w:t>
      </w:r>
      <w:r>
        <w:rPr>
          <w:rFonts w:ascii="宋体" w:hAnsi="宋体" w:eastAsia="宋体" w:cs="宋体"/>
          <w:snapToGrid w:val="0"/>
          <w:color w:val="auto"/>
          <w:spacing w:val="-2"/>
          <w:kern w:val="0"/>
          <w:sz w:val="24"/>
          <w:szCs w:val="24"/>
          <w:highlight w:val="none"/>
        </w:rPr>
        <w:t>的故障，应在第二天</w:t>
      </w:r>
      <w:r>
        <w:rPr>
          <w:rFonts w:ascii="宋体" w:hAnsi="宋体" w:eastAsia="宋体" w:cs="宋体"/>
          <w:snapToGrid w:val="0"/>
          <w:color w:val="auto"/>
          <w:spacing w:val="-35"/>
          <w:kern w:val="0"/>
          <w:sz w:val="24"/>
          <w:szCs w:val="24"/>
          <w:highlight w:val="none"/>
        </w:rPr>
        <w:t xml:space="preserve"> </w:t>
      </w:r>
      <w:r>
        <w:rPr>
          <w:rFonts w:ascii="宋体" w:hAnsi="宋体" w:eastAsia="宋体" w:cs="宋体"/>
          <w:snapToGrid w:val="0"/>
          <w:color w:val="auto"/>
          <w:spacing w:val="-2"/>
          <w:kern w:val="0"/>
          <w:sz w:val="24"/>
          <w:szCs w:val="24"/>
          <w:highlight w:val="none"/>
        </w:rPr>
        <w:t>12</w:t>
      </w:r>
      <w:r>
        <w:rPr>
          <w:rFonts w:ascii="宋体" w:hAnsi="宋体" w:eastAsia="宋体" w:cs="宋体"/>
          <w:snapToGrid w:val="0"/>
          <w:color w:val="auto"/>
          <w:spacing w:val="-37"/>
          <w:kern w:val="0"/>
          <w:sz w:val="24"/>
          <w:szCs w:val="24"/>
          <w:highlight w:val="none"/>
        </w:rPr>
        <w:t xml:space="preserve"> </w:t>
      </w:r>
      <w:r>
        <w:rPr>
          <w:rFonts w:ascii="宋体" w:hAnsi="宋体" w:eastAsia="宋体" w:cs="宋体"/>
          <w:snapToGrid w:val="0"/>
          <w:color w:val="auto"/>
          <w:spacing w:val="-2"/>
          <w:kern w:val="0"/>
          <w:sz w:val="24"/>
          <w:szCs w:val="24"/>
          <w:highlight w:val="none"/>
        </w:rPr>
        <w:t>时前解决（通信线路、电</w:t>
      </w:r>
      <w:r>
        <w:rPr>
          <w:rFonts w:ascii="宋体" w:hAnsi="宋体" w:eastAsia="宋体" w:cs="宋体"/>
          <w:snapToGrid w:val="0"/>
          <w:color w:val="auto"/>
          <w:spacing w:val="-1"/>
          <w:kern w:val="0"/>
          <w:sz w:val="24"/>
          <w:szCs w:val="24"/>
          <w:highlight w:val="none"/>
        </w:rPr>
        <w:t>力线路故障除外，但应及时与相关部门联系积极解决</w:t>
      </w:r>
      <w:r>
        <w:rPr>
          <w:rFonts w:ascii="宋体" w:hAnsi="宋体" w:eastAsia="宋体" w:cs="宋体"/>
          <w:snapToGrid w:val="0"/>
          <w:color w:val="auto"/>
          <w:spacing w:val="4"/>
          <w:kern w:val="0"/>
          <w:sz w:val="24"/>
          <w:szCs w:val="24"/>
          <w:highlight w:val="none"/>
        </w:rPr>
        <w:t>）；</w:t>
      </w:r>
    </w:p>
    <w:p w14:paraId="77309B9A">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（3）根据仪器分析数据判断仪器运行情况；</w:t>
      </w:r>
    </w:p>
    <w:p w14:paraId="4C6CEE11">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（4）根据故障报警信号判断现场状况；</w:t>
      </w:r>
    </w:p>
    <w:p w14:paraId="779EB8DD">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（5）每日检查数据是否及时上传至监控平台并正常发布，发现数据掉线及时恢复；</w:t>
      </w:r>
    </w:p>
    <w:p w14:paraId="205C8AFC">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（6）对维护或校准期间产生的异常数据或无效数据，应当日通知</w:t>
      </w:r>
      <w:r>
        <w:rPr>
          <w:rFonts w:hint="eastAsia" w:ascii="宋体" w:hAnsi="宋体" w:eastAsia="宋体" w:cs="宋体"/>
          <w:snapToGrid w:val="0"/>
          <w:color w:val="auto"/>
          <w:kern w:val="0"/>
          <w:sz w:val="24"/>
          <w:szCs w:val="24"/>
          <w:highlight w:val="none"/>
        </w:rPr>
        <w:t>采购人</w:t>
      </w:r>
      <w:r>
        <w:rPr>
          <w:rFonts w:ascii="宋体" w:hAnsi="宋体" w:eastAsia="宋体" w:cs="宋体"/>
          <w:snapToGrid w:val="0"/>
          <w:color w:val="auto"/>
          <w:kern w:val="0"/>
          <w:sz w:val="24"/>
          <w:szCs w:val="24"/>
          <w:highlight w:val="none"/>
        </w:rPr>
        <w:t>，保证监</w:t>
      </w:r>
      <w:r>
        <w:rPr>
          <w:rFonts w:ascii="宋体" w:hAnsi="宋体" w:eastAsia="宋体" w:cs="宋体"/>
          <w:snapToGrid w:val="0"/>
          <w:color w:val="auto"/>
          <w:spacing w:val="2"/>
          <w:kern w:val="0"/>
          <w:sz w:val="24"/>
          <w:szCs w:val="24"/>
          <w:highlight w:val="none"/>
        </w:rPr>
        <w:t xml:space="preserve"> </w:t>
      </w:r>
      <w:r>
        <w:rPr>
          <w:rFonts w:ascii="宋体" w:hAnsi="宋体" w:eastAsia="宋体" w:cs="宋体"/>
          <w:snapToGrid w:val="0"/>
          <w:color w:val="auto"/>
          <w:spacing w:val="-1"/>
          <w:kern w:val="0"/>
          <w:sz w:val="24"/>
          <w:szCs w:val="24"/>
          <w:highlight w:val="none"/>
        </w:rPr>
        <w:t>测数据的及时审核和上报；</w:t>
      </w:r>
    </w:p>
    <w:p w14:paraId="6482094C">
      <w:pPr>
        <w:widowControl/>
        <w:autoSpaceDE w:val="0"/>
        <w:autoSpaceDN w:val="0"/>
        <w:adjustRightInd w:val="0"/>
        <w:snapToGrid w:val="0"/>
        <w:spacing w:line="360" w:lineRule="auto"/>
        <w:ind w:firstLine="464"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4"/>
          <w:kern w:val="0"/>
          <w:sz w:val="24"/>
          <w:szCs w:val="24"/>
          <w:highlight w:val="none"/>
        </w:rPr>
        <w:t>（7）每日</w:t>
      </w:r>
      <w:r>
        <w:rPr>
          <w:rFonts w:ascii="宋体" w:hAnsi="宋体" w:eastAsia="宋体" w:cs="宋体"/>
          <w:snapToGrid w:val="0"/>
          <w:color w:val="auto"/>
          <w:spacing w:val="-33"/>
          <w:kern w:val="0"/>
          <w:sz w:val="24"/>
          <w:szCs w:val="24"/>
          <w:highlight w:val="none"/>
        </w:rPr>
        <w:t xml:space="preserve"> </w:t>
      </w:r>
      <w:r>
        <w:rPr>
          <w:rFonts w:ascii="宋体" w:hAnsi="宋体" w:eastAsia="宋体" w:cs="宋体"/>
          <w:snapToGrid w:val="0"/>
          <w:color w:val="auto"/>
          <w:spacing w:val="-4"/>
          <w:kern w:val="0"/>
          <w:sz w:val="24"/>
          <w:szCs w:val="24"/>
          <w:highlight w:val="none"/>
        </w:rPr>
        <w:t>12</w:t>
      </w:r>
      <w:r>
        <w:rPr>
          <w:rFonts w:ascii="宋体" w:hAnsi="宋体" w:eastAsia="宋体" w:cs="宋体"/>
          <w:snapToGrid w:val="0"/>
          <w:color w:val="auto"/>
          <w:spacing w:val="-39"/>
          <w:kern w:val="0"/>
          <w:sz w:val="24"/>
          <w:szCs w:val="24"/>
          <w:highlight w:val="none"/>
        </w:rPr>
        <w:t xml:space="preserve"> </w:t>
      </w:r>
      <w:r>
        <w:rPr>
          <w:rFonts w:ascii="宋体" w:hAnsi="宋体" w:eastAsia="宋体" w:cs="宋体"/>
          <w:snapToGrid w:val="0"/>
          <w:color w:val="auto"/>
          <w:spacing w:val="-4"/>
          <w:kern w:val="0"/>
          <w:sz w:val="24"/>
          <w:szCs w:val="24"/>
          <w:highlight w:val="none"/>
        </w:rPr>
        <w:t>时前完成前一日的视频审核工作，发现异常情况及时核实并解决，</w:t>
      </w:r>
      <w:r>
        <w:rPr>
          <w:rFonts w:ascii="宋体" w:hAnsi="宋体" w:eastAsia="宋体" w:cs="宋体"/>
          <w:snapToGrid w:val="0"/>
          <w:color w:val="auto"/>
          <w:spacing w:val="-5"/>
          <w:kern w:val="0"/>
          <w:sz w:val="24"/>
          <w:szCs w:val="24"/>
          <w:highlight w:val="none"/>
        </w:rPr>
        <w:t>并将审核</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结果报送</w:t>
      </w:r>
      <w:r>
        <w:rPr>
          <w:rFonts w:hint="eastAsia" w:ascii="宋体" w:hAnsi="宋体" w:eastAsia="宋体" w:cs="宋体"/>
          <w:snapToGrid w:val="0"/>
          <w:color w:val="auto"/>
          <w:spacing w:val="-2"/>
          <w:kern w:val="0"/>
          <w:sz w:val="24"/>
          <w:szCs w:val="24"/>
          <w:highlight w:val="none"/>
        </w:rPr>
        <w:t>采购人</w:t>
      </w:r>
      <w:r>
        <w:rPr>
          <w:rFonts w:ascii="宋体" w:hAnsi="宋体" w:eastAsia="宋体" w:cs="宋体"/>
          <w:snapToGrid w:val="0"/>
          <w:color w:val="auto"/>
          <w:spacing w:val="-2"/>
          <w:kern w:val="0"/>
          <w:sz w:val="24"/>
          <w:szCs w:val="24"/>
          <w:highlight w:val="none"/>
        </w:rPr>
        <w:t>。</w:t>
      </w:r>
    </w:p>
    <w:p w14:paraId="6982A936">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3、每周工作内容如下：</w:t>
      </w:r>
    </w:p>
    <w:p w14:paraId="74489D38">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每个空气站每周至少巡检</w:t>
      </w:r>
      <w:r>
        <w:rPr>
          <w:rFonts w:ascii="宋体" w:hAnsi="宋体" w:eastAsia="宋体" w:cs="宋体"/>
          <w:snapToGrid w:val="0"/>
          <w:color w:val="auto"/>
          <w:spacing w:val="-17"/>
          <w:kern w:val="0"/>
          <w:sz w:val="24"/>
          <w:szCs w:val="24"/>
          <w:highlight w:val="none"/>
        </w:rPr>
        <w:t xml:space="preserve"> </w:t>
      </w:r>
      <w:r>
        <w:rPr>
          <w:rFonts w:ascii="宋体" w:hAnsi="宋体" w:eastAsia="宋体" w:cs="宋体"/>
          <w:snapToGrid w:val="0"/>
          <w:color w:val="auto"/>
          <w:spacing w:val="-2"/>
          <w:kern w:val="0"/>
          <w:sz w:val="24"/>
          <w:szCs w:val="24"/>
          <w:highlight w:val="none"/>
        </w:rPr>
        <w:t>1</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2"/>
          <w:kern w:val="0"/>
          <w:sz w:val="24"/>
          <w:szCs w:val="24"/>
          <w:highlight w:val="none"/>
        </w:rPr>
        <w:t>次，并做好巡检记录，巡检时需要完成的工作包括：</w:t>
      </w:r>
    </w:p>
    <w:p w14:paraId="270B40A1">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（1）查看空气站设备是否齐备，有无丢失和损坏；检查接地线路是否可靠，排风排气装</w:t>
      </w:r>
      <w:r>
        <w:rPr>
          <w:rFonts w:ascii="宋体" w:hAnsi="宋体" w:eastAsia="宋体" w:cs="宋体"/>
          <w:snapToGrid w:val="0"/>
          <w:color w:val="auto"/>
          <w:spacing w:val="2"/>
          <w:kern w:val="0"/>
          <w:sz w:val="24"/>
          <w:szCs w:val="24"/>
          <w:highlight w:val="none"/>
        </w:rPr>
        <w:t xml:space="preserve"> </w:t>
      </w:r>
      <w:r>
        <w:rPr>
          <w:rFonts w:ascii="宋体" w:hAnsi="宋体" w:eastAsia="宋体" w:cs="宋体"/>
          <w:snapToGrid w:val="0"/>
          <w:color w:val="auto"/>
          <w:kern w:val="0"/>
          <w:sz w:val="24"/>
          <w:szCs w:val="24"/>
          <w:highlight w:val="none"/>
        </w:rPr>
        <w:t>置工作是否正常，标准气钢瓶阀门是否漏气，</w:t>
      </w:r>
      <w:r>
        <w:rPr>
          <w:rFonts w:ascii="宋体" w:hAnsi="宋体" w:eastAsia="宋体" w:cs="宋体"/>
          <w:snapToGrid w:val="0"/>
          <w:color w:val="auto"/>
          <w:spacing w:val="-1"/>
          <w:kern w:val="0"/>
          <w:sz w:val="24"/>
          <w:szCs w:val="24"/>
          <w:highlight w:val="none"/>
        </w:rPr>
        <w:t>标准气的消耗情况；</w:t>
      </w:r>
    </w:p>
    <w:p w14:paraId="4FC9BD2B">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（2）检查采样和排气管路是否有漏气或堵塞现象，各分析仪器采样流量是否正常；</w:t>
      </w:r>
    </w:p>
    <w:p w14:paraId="2CCAC423">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（3）检查各分析仪器的运行状况和工作参数，判断是否正常，如有异常情况及时处理，</w:t>
      </w:r>
      <w:r>
        <w:rPr>
          <w:rFonts w:ascii="宋体" w:hAnsi="宋体" w:eastAsia="宋体" w:cs="宋体"/>
          <w:snapToGrid w:val="0"/>
          <w:color w:val="auto"/>
          <w:spacing w:val="-2"/>
          <w:kern w:val="0"/>
          <w:sz w:val="24"/>
          <w:szCs w:val="24"/>
          <w:highlight w:val="none"/>
        </w:rPr>
        <w:t>保证仪器运行正常；</w:t>
      </w:r>
    </w:p>
    <w:p w14:paraId="76DE9B63">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（4）对二氧化硫、一氧化碳、臭氧、氮氧化物分析仪进行零点、跨度检查，如果漂移超</w:t>
      </w:r>
      <w:r>
        <w:rPr>
          <w:rFonts w:ascii="宋体" w:hAnsi="宋体" w:eastAsia="宋体" w:cs="宋体"/>
          <w:snapToGrid w:val="0"/>
          <w:color w:val="auto"/>
          <w:spacing w:val="2"/>
          <w:kern w:val="0"/>
          <w:sz w:val="24"/>
          <w:szCs w:val="24"/>
          <w:highlight w:val="none"/>
        </w:rPr>
        <w:t xml:space="preserve"> </w:t>
      </w:r>
      <w:r>
        <w:rPr>
          <w:rFonts w:ascii="宋体" w:hAnsi="宋体" w:eastAsia="宋体" w:cs="宋体"/>
          <w:snapToGrid w:val="0"/>
          <w:color w:val="auto"/>
          <w:spacing w:val="-1"/>
          <w:kern w:val="0"/>
          <w:sz w:val="24"/>
          <w:szCs w:val="24"/>
          <w:highlight w:val="none"/>
        </w:rPr>
        <w:t>过国家相关规范要求，需要进行校准；</w:t>
      </w:r>
    </w:p>
    <w:p w14:paraId="262A9FCE">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（5）检查外部环境是否正常，有没有对测定结果或运行环境存在明显影响的污染源；</w:t>
      </w:r>
    </w:p>
    <w:p w14:paraId="1C1FBD60">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（6）检查电路系统和通讯系统，保证系统供电正常，电压稳定；</w:t>
      </w:r>
    </w:p>
    <w:p w14:paraId="1C31CB3E">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（7）检查空气站的通讯系统，保证空气站与远程监控中心的连接正常，数据传输正常；</w:t>
      </w:r>
    </w:p>
    <w:p w14:paraId="004BEA9C">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（8）检查监测仪器的采样入口与采样支路管线结合部之间安装的过滤膜的污染情况，每</w:t>
      </w:r>
      <w:r>
        <w:rPr>
          <w:rFonts w:ascii="宋体" w:hAnsi="宋体" w:eastAsia="宋体" w:cs="宋体"/>
          <w:snapToGrid w:val="0"/>
          <w:color w:val="auto"/>
          <w:spacing w:val="2"/>
          <w:kern w:val="0"/>
          <w:sz w:val="24"/>
          <w:szCs w:val="24"/>
          <w:highlight w:val="none"/>
        </w:rPr>
        <w:t xml:space="preserve"> </w:t>
      </w:r>
      <w:r>
        <w:rPr>
          <w:rFonts w:ascii="宋体" w:hAnsi="宋体" w:eastAsia="宋体" w:cs="宋体"/>
          <w:snapToGrid w:val="0"/>
          <w:color w:val="auto"/>
          <w:spacing w:val="-1"/>
          <w:kern w:val="0"/>
          <w:sz w:val="24"/>
          <w:szCs w:val="24"/>
          <w:highlight w:val="none"/>
        </w:rPr>
        <w:t>周更换滤膜，每周检查监测仪器散热风扇污染情况，及时清洗；</w:t>
      </w:r>
    </w:p>
    <w:p w14:paraId="0DD7E99D">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（9）检查站房内温度是否保持在</w:t>
      </w:r>
      <w:r>
        <w:rPr>
          <w:rFonts w:ascii="宋体" w:hAnsi="宋体" w:eastAsia="宋体" w:cs="宋体"/>
          <w:snapToGrid w:val="0"/>
          <w:color w:val="auto"/>
          <w:spacing w:val="-32"/>
          <w:kern w:val="0"/>
          <w:sz w:val="24"/>
          <w:szCs w:val="24"/>
          <w:highlight w:val="none"/>
        </w:rPr>
        <w:t xml:space="preserve"> </w:t>
      </w:r>
      <w:r>
        <w:rPr>
          <w:rFonts w:ascii="宋体" w:hAnsi="宋体" w:eastAsia="宋体" w:cs="宋体"/>
          <w:snapToGrid w:val="0"/>
          <w:color w:val="auto"/>
          <w:spacing w:val="-3"/>
          <w:kern w:val="0"/>
          <w:sz w:val="24"/>
          <w:szCs w:val="24"/>
          <w:highlight w:val="none"/>
        </w:rPr>
        <w:t>20～30℃</w:t>
      </w:r>
      <w:r>
        <w:rPr>
          <w:rFonts w:ascii="宋体" w:hAnsi="宋体" w:eastAsia="宋体" w:cs="宋体"/>
          <w:snapToGrid w:val="0"/>
          <w:color w:val="auto"/>
          <w:spacing w:val="-91"/>
          <w:kern w:val="0"/>
          <w:sz w:val="24"/>
          <w:szCs w:val="24"/>
          <w:highlight w:val="none"/>
        </w:rPr>
        <w:t xml:space="preserve"> </w:t>
      </w:r>
      <w:r>
        <w:rPr>
          <w:rFonts w:ascii="宋体" w:hAnsi="宋体" w:eastAsia="宋体" w:cs="宋体"/>
          <w:snapToGrid w:val="0"/>
          <w:color w:val="auto"/>
          <w:spacing w:val="-3"/>
          <w:kern w:val="0"/>
          <w:sz w:val="24"/>
          <w:szCs w:val="24"/>
          <w:highlight w:val="none"/>
        </w:rPr>
        <w:t>,相对湿度保持在</w:t>
      </w:r>
      <w:r>
        <w:rPr>
          <w:rFonts w:ascii="宋体" w:hAnsi="宋体" w:eastAsia="宋体" w:cs="宋体"/>
          <w:snapToGrid w:val="0"/>
          <w:color w:val="auto"/>
          <w:spacing w:val="-50"/>
          <w:kern w:val="0"/>
          <w:sz w:val="24"/>
          <w:szCs w:val="24"/>
          <w:highlight w:val="none"/>
        </w:rPr>
        <w:t xml:space="preserve"> </w:t>
      </w:r>
      <w:r>
        <w:rPr>
          <w:rFonts w:ascii="宋体" w:hAnsi="宋体" w:eastAsia="宋体" w:cs="宋体"/>
          <w:snapToGrid w:val="0"/>
          <w:color w:val="auto"/>
          <w:spacing w:val="-3"/>
          <w:kern w:val="0"/>
          <w:sz w:val="24"/>
          <w:szCs w:val="24"/>
          <w:highlight w:val="none"/>
        </w:rPr>
        <w:t>80%以下，在冬、夏季节应</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特别注意空气站房室内外温差，若温差较大</w:t>
      </w:r>
      <w:r>
        <w:rPr>
          <w:rFonts w:ascii="宋体" w:hAnsi="宋体" w:eastAsia="宋体" w:cs="宋体"/>
          <w:snapToGrid w:val="0"/>
          <w:color w:val="auto"/>
          <w:spacing w:val="-3"/>
          <w:kern w:val="0"/>
          <w:sz w:val="24"/>
          <w:szCs w:val="24"/>
          <w:highlight w:val="none"/>
        </w:rPr>
        <w:t>，应及时改变站房温度或对采样总管采取适当的控</w:t>
      </w:r>
      <w:r>
        <w:rPr>
          <w:rFonts w:ascii="宋体" w:hAnsi="宋体" w:eastAsia="宋体" w:cs="宋体"/>
          <w:snapToGrid w:val="0"/>
          <w:color w:val="auto"/>
          <w:spacing w:val="-1"/>
          <w:kern w:val="0"/>
          <w:sz w:val="24"/>
          <w:szCs w:val="24"/>
          <w:highlight w:val="none"/>
        </w:rPr>
        <w:t>制措施，防止冷凝现象；</w:t>
      </w:r>
    </w:p>
    <w:p w14:paraId="38EE35CA">
      <w:pPr>
        <w:widowControl/>
        <w:autoSpaceDE w:val="0"/>
        <w:autoSpaceDN w:val="0"/>
        <w:adjustRightInd w:val="0"/>
        <w:snapToGrid w:val="0"/>
        <w:spacing w:line="360" w:lineRule="auto"/>
        <w:ind w:firstLine="45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7"/>
          <w:kern w:val="0"/>
          <w:sz w:val="24"/>
          <w:szCs w:val="24"/>
          <w:highlight w:val="none"/>
        </w:rPr>
        <w:t>（10）应及时清除空气站房周围的杂草和积水，当周围树木生长超过规范规</w:t>
      </w:r>
      <w:r>
        <w:rPr>
          <w:rFonts w:ascii="宋体" w:hAnsi="宋体" w:eastAsia="宋体" w:cs="宋体"/>
          <w:snapToGrid w:val="0"/>
          <w:color w:val="auto"/>
          <w:spacing w:val="-8"/>
          <w:kern w:val="0"/>
          <w:sz w:val="24"/>
          <w:szCs w:val="24"/>
          <w:highlight w:val="none"/>
        </w:rPr>
        <w:t>定的控制限时，</w:t>
      </w:r>
      <w:r>
        <w:rPr>
          <w:rFonts w:ascii="宋体" w:hAnsi="宋体" w:eastAsia="宋体" w:cs="宋体"/>
          <w:snapToGrid w:val="0"/>
          <w:color w:val="auto"/>
          <w:spacing w:val="-1"/>
          <w:kern w:val="0"/>
          <w:sz w:val="24"/>
          <w:szCs w:val="24"/>
          <w:highlight w:val="none"/>
        </w:rPr>
        <w:t>应及时剪除对采样有影响的树枝；</w:t>
      </w:r>
    </w:p>
    <w:p w14:paraId="7F2983BF">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（11）应经常检查避雷设施是否可靠，空气站房屋是否有漏雨现象，气象杆和天线是否被</w:t>
      </w:r>
      <w:r>
        <w:rPr>
          <w:rFonts w:ascii="宋体" w:hAnsi="宋体" w:eastAsia="宋体" w:cs="宋体"/>
          <w:snapToGrid w:val="0"/>
          <w:color w:val="auto"/>
          <w:spacing w:val="4"/>
          <w:kern w:val="0"/>
          <w:sz w:val="24"/>
          <w:szCs w:val="24"/>
          <w:highlight w:val="none"/>
        </w:rPr>
        <w:t xml:space="preserve"> </w:t>
      </w:r>
      <w:r>
        <w:rPr>
          <w:rFonts w:ascii="宋体" w:hAnsi="宋体" w:eastAsia="宋体" w:cs="宋体"/>
          <w:snapToGrid w:val="0"/>
          <w:color w:val="auto"/>
          <w:spacing w:val="-2"/>
          <w:kern w:val="0"/>
          <w:sz w:val="24"/>
          <w:szCs w:val="24"/>
          <w:highlight w:val="none"/>
        </w:rPr>
        <w:t>刮坏，站房外围的其它设施是否有损坏或被</w:t>
      </w:r>
      <w:r>
        <w:rPr>
          <w:rFonts w:ascii="宋体" w:hAnsi="宋体" w:eastAsia="宋体" w:cs="宋体"/>
          <w:snapToGrid w:val="0"/>
          <w:color w:val="auto"/>
          <w:spacing w:val="-3"/>
          <w:kern w:val="0"/>
          <w:sz w:val="24"/>
          <w:szCs w:val="24"/>
          <w:highlight w:val="none"/>
        </w:rPr>
        <w:t>水淹，如遇到以上问题应及时处理，保证系统能安</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全运行；结合气象预报，在大风、强降水天</w:t>
      </w:r>
      <w:r>
        <w:rPr>
          <w:rFonts w:ascii="宋体" w:hAnsi="宋体" w:eastAsia="宋体" w:cs="宋体"/>
          <w:snapToGrid w:val="0"/>
          <w:color w:val="auto"/>
          <w:spacing w:val="-3"/>
          <w:kern w:val="0"/>
          <w:sz w:val="24"/>
          <w:szCs w:val="24"/>
          <w:highlight w:val="none"/>
        </w:rPr>
        <w:t>气来临前，进行站房安全预防性检查，保证站房安</w:t>
      </w:r>
      <w:r>
        <w:rPr>
          <w:rFonts w:ascii="宋体" w:hAnsi="宋体" w:eastAsia="宋体" w:cs="宋体"/>
          <w:snapToGrid w:val="0"/>
          <w:color w:val="auto"/>
          <w:spacing w:val="-5"/>
          <w:kern w:val="0"/>
          <w:sz w:val="24"/>
          <w:szCs w:val="24"/>
          <w:highlight w:val="none"/>
        </w:rPr>
        <w:t>全；</w:t>
      </w:r>
    </w:p>
    <w:p w14:paraId="71F85E2B">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（12）检查站房的安全设施，做好防火防盗工作；</w:t>
      </w:r>
    </w:p>
    <w:p w14:paraId="4C94CE3D">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（13）每周对气象仪器的运行情况进行检查；</w:t>
      </w:r>
    </w:p>
    <w:p w14:paraId="613F01BD">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（14）每周对颗粒物的采样纸带进行检查，如纸带即将用尽及时进行更换；</w:t>
      </w:r>
    </w:p>
    <w:p w14:paraId="6F291AF2">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（15）每周对站房内外环境卫生进行检查，及时保洁；</w:t>
      </w:r>
    </w:p>
    <w:p w14:paraId="7327FBBA">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4、每月工作内容如下：</w:t>
      </w:r>
    </w:p>
    <w:p w14:paraId="28E7E73D">
      <w:pPr>
        <w:widowControl/>
        <w:autoSpaceDE w:val="0"/>
        <w:autoSpaceDN w:val="0"/>
        <w:adjustRightInd w:val="0"/>
        <w:snapToGrid w:val="0"/>
        <w:spacing w:line="360" w:lineRule="auto"/>
        <w:ind w:firstLine="48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（1）清洗</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kern w:val="0"/>
          <w:sz w:val="24"/>
          <w:szCs w:val="24"/>
          <w:highlight w:val="none"/>
        </w:rPr>
        <w:t>PM</w:t>
      </w:r>
      <w:r>
        <w:rPr>
          <w:rFonts w:ascii="宋体" w:hAnsi="宋体" w:eastAsia="宋体" w:cs="宋体"/>
          <w:snapToGrid w:val="0"/>
          <w:color w:val="auto"/>
          <w:spacing w:val="2"/>
          <w:kern w:val="0"/>
          <w:sz w:val="24"/>
          <w:szCs w:val="24"/>
          <w:highlight w:val="none"/>
        </w:rPr>
        <w:t>10</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spacing w:val="2"/>
          <w:kern w:val="0"/>
          <w:sz w:val="24"/>
          <w:szCs w:val="24"/>
          <w:highlight w:val="none"/>
        </w:rPr>
        <w:t>及</w:t>
      </w:r>
      <w:r>
        <w:rPr>
          <w:rFonts w:ascii="宋体" w:hAnsi="宋体" w:eastAsia="宋体" w:cs="宋体"/>
          <w:snapToGrid w:val="0"/>
          <w:color w:val="auto"/>
          <w:spacing w:val="-50"/>
          <w:kern w:val="0"/>
          <w:sz w:val="24"/>
          <w:szCs w:val="24"/>
          <w:highlight w:val="none"/>
        </w:rPr>
        <w:t xml:space="preserve"> </w:t>
      </w:r>
      <w:r>
        <w:rPr>
          <w:rFonts w:ascii="宋体" w:hAnsi="宋体" w:eastAsia="宋体" w:cs="宋体"/>
          <w:snapToGrid w:val="0"/>
          <w:color w:val="auto"/>
          <w:kern w:val="0"/>
          <w:sz w:val="24"/>
          <w:szCs w:val="24"/>
          <w:highlight w:val="none"/>
        </w:rPr>
        <w:t>PM</w:t>
      </w:r>
      <w:r>
        <w:rPr>
          <w:rFonts w:ascii="宋体" w:hAnsi="宋体" w:eastAsia="宋体" w:cs="宋体"/>
          <w:snapToGrid w:val="0"/>
          <w:color w:val="auto"/>
          <w:spacing w:val="2"/>
          <w:kern w:val="0"/>
          <w:sz w:val="24"/>
          <w:szCs w:val="24"/>
          <w:highlight w:val="none"/>
        </w:rPr>
        <w:t>2.5</w:t>
      </w:r>
      <w:r>
        <w:rPr>
          <w:rFonts w:ascii="宋体" w:hAnsi="宋体" w:eastAsia="宋体" w:cs="宋体"/>
          <w:snapToGrid w:val="0"/>
          <w:color w:val="auto"/>
          <w:spacing w:val="-46"/>
          <w:kern w:val="0"/>
          <w:sz w:val="24"/>
          <w:szCs w:val="24"/>
          <w:highlight w:val="none"/>
        </w:rPr>
        <w:t xml:space="preserve"> </w:t>
      </w:r>
      <w:r>
        <w:rPr>
          <w:rFonts w:ascii="宋体" w:hAnsi="宋体" w:eastAsia="宋体" w:cs="宋体"/>
          <w:snapToGrid w:val="0"/>
          <w:color w:val="auto"/>
          <w:spacing w:val="2"/>
          <w:kern w:val="0"/>
          <w:sz w:val="24"/>
          <w:szCs w:val="24"/>
          <w:highlight w:val="none"/>
        </w:rPr>
        <w:t>切割器，检查仪器喷嘴、压环等部件；检查</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1"/>
          <w:kern w:val="0"/>
          <w:sz w:val="24"/>
          <w:szCs w:val="24"/>
          <w:highlight w:val="none"/>
        </w:rPr>
        <w:t>PM2.5</w:t>
      </w:r>
      <w:r>
        <w:rPr>
          <w:rFonts w:ascii="宋体" w:hAnsi="宋体" w:eastAsia="宋体" w:cs="宋体"/>
          <w:snapToGrid w:val="0"/>
          <w:color w:val="auto"/>
          <w:spacing w:val="-46"/>
          <w:kern w:val="0"/>
          <w:sz w:val="24"/>
          <w:szCs w:val="24"/>
          <w:highlight w:val="none"/>
        </w:rPr>
        <w:t xml:space="preserve"> </w:t>
      </w:r>
      <w:r>
        <w:rPr>
          <w:rFonts w:ascii="宋体" w:hAnsi="宋体" w:eastAsia="宋体" w:cs="宋体"/>
          <w:snapToGrid w:val="0"/>
          <w:color w:val="auto"/>
          <w:spacing w:val="-1"/>
          <w:kern w:val="0"/>
          <w:sz w:val="24"/>
          <w:szCs w:val="24"/>
          <w:highlight w:val="none"/>
        </w:rPr>
        <w:t>设备的动态加热装置是否正常工作；</w:t>
      </w:r>
    </w:p>
    <w:p w14:paraId="1109B2A7">
      <w:pPr>
        <w:widowControl/>
        <w:autoSpaceDE w:val="0"/>
        <w:autoSpaceDN w:val="0"/>
        <w:adjustRightInd w:val="0"/>
        <w:snapToGrid w:val="0"/>
        <w:spacing w:line="360" w:lineRule="auto"/>
        <w:ind w:firstLine="45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7"/>
          <w:kern w:val="0"/>
          <w:sz w:val="24"/>
          <w:szCs w:val="24"/>
          <w:highlight w:val="none"/>
        </w:rPr>
        <w:t>（2）检查</w:t>
      </w:r>
      <w:r>
        <w:rPr>
          <w:rFonts w:ascii="宋体" w:hAnsi="宋体" w:eastAsia="宋体" w:cs="宋体"/>
          <w:snapToGrid w:val="0"/>
          <w:color w:val="auto"/>
          <w:spacing w:val="-55"/>
          <w:kern w:val="0"/>
          <w:sz w:val="24"/>
          <w:szCs w:val="24"/>
          <w:highlight w:val="none"/>
        </w:rPr>
        <w:t xml:space="preserve"> </w:t>
      </w:r>
      <w:r>
        <w:rPr>
          <w:rFonts w:ascii="宋体" w:hAnsi="宋体" w:eastAsia="宋体" w:cs="宋体"/>
          <w:snapToGrid w:val="0"/>
          <w:color w:val="auto"/>
          <w:spacing w:val="-7"/>
          <w:kern w:val="0"/>
          <w:sz w:val="24"/>
          <w:szCs w:val="24"/>
          <w:highlight w:val="none"/>
        </w:rPr>
        <w:t>PM10</w:t>
      </w:r>
      <w:r>
        <w:rPr>
          <w:rFonts w:ascii="宋体" w:hAnsi="宋体" w:eastAsia="宋体" w:cs="宋体"/>
          <w:snapToGrid w:val="0"/>
          <w:color w:val="auto"/>
          <w:spacing w:val="-51"/>
          <w:kern w:val="0"/>
          <w:sz w:val="24"/>
          <w:szCs w:val="24"/>
          <w:highlight w:val="none"/>
        </w:rPr>
        <w:t xml:space="preserve"> </w:t>
      </w:r>
      <w:r>
        <w:rPr>
          <w:rFonts w:ascii="宋体" w:hAnsi="宋体" w:eastAsia="宋体" w:cs="宋体"/>
          <w:snapToGrid w:val="0"/>
          <w:color w:val="auto"/>
          <w:spacing w:val="-7"/>
          <w:kern w:val="0"/>
          <w:sz w:val="24"/>
          <w:szCs w:val="24"/>
          <w:highlight w:val="none"/>
        </w:rPr>
        <w:t>及</w:t>
      </w:r>
      <w:r>
        <w:rPr>
          <w:rFonts w:ascii="宋体" w:hAnsi="宋体" w:eastAsia="宋体" w:cs="宋体"/>
          <w:snapToGrid w:val="0"/>
          <w:color w:val="auto"/>
          <w:spacing w:val="-55"/>
          <w:kern w:val="0"/>
          <w:sz w:val="24"/>
          <w:szCs w:val="24"/>
          <w:highlight w:val="none"/>
        </w:rPr>
        <w:t xml:space="preserve"> </w:t>
      </w:r>
      <w:r>
        <w:rPr>
          <w:rFonts w:ascii="宋体" w:hAnsi="宋体" w:eastAsia="宋体" w:cs="宋体"/>
          <w:snapToGrid w:val="0"/>
          <w:color w:val="auto"/>
          <w:spacing w:val="-7"/>
          <w:kern w:val="0"/>
          <w:sz w:val="24"/>
          <w:szCs w:val="24"/>
          <w:highlight w:val="none"/>
        </w:rPr>
        <w:t>PM2.5</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spacing w:val="-7"/>
          <w:kern w:val="0"/>
          <w:sz w:val="24"/>
          <w:szCs w:val="24"/>
          <w:highlight w:val="none"/>
        </w:rPr>
        <w:t>监测仪、气态分析仪、动态校</w:t>
      </w:r>
      <w:r>
        <w:rPr>
          <w:rFonts w:ascii="宋体" w:hAnsi="宋体" w:eastAsia="宋体" w:cs="宋体"/>
          <w:snapToGrid w:val="0"/>
          <w:color w:val="auto"/>
          <w:spacing w:val="-8"/>
          <w:kern w:val="0"/>
          <w:sz w:val="24"/>
          <w:szCs w:val="24"/>
          <w:highlight w:val="none"/>
        </w:rPr>
        <w:t>准仪流量，超过国家相关规范要求，</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及时进行校准；</w:t>
      </w:r>
    </w:p>
    <w:p w14:paraId="102DEC6F">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（3）对仪器显示数据和数据采集仪之间的一致性进行检查；</w:t>
      </w:r>
    </w:p>
    <w:p w14:paraId="7B19EF42">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5、每季度工作内容如下：</w:t>
      </w:r>
    </w:p>
    <w:p w14:paraId="2028B54F">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（1）采样总管及采样风机每季度至少清洗一次；</w:t>
      </w:r>
    </w:p>
    <w:p w14:paraId="424CC853">
      <w:pPr>
        <w:widowControl/>
        <w:autoSpaceDE w:val="0"/>
        <w:autoSpaceDN w:val="0"/>
        <w:adjustRightInd w:val="0"/>
        <w:snapToGrid w:val="0"/>
        <w:spacing w:line="360" w:lineRule="auto"/>
        <w:ind w:firstLine="46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5"/>
          <w:kern w:val="0"/>
          <w:sz w:val="24"/>
          <w:szCs w:val="24"/>
          <w:highlight w:val="none"/>
        </w:rPr>
        <w:t>（2）对</w:t>
      </w:r>
      <w:r>
        <w:rPr>
          <w:rFonts w:ascii="宋体" w:hAnsi="宋体" w:eastAsia="宋体" w:cs="宋体"/>
          <w:snapToGrid w:val="0"/>
          <w:color w:val="auto"/>
          <w:spacing w:val="-55"/>
          <w:kern w:val="0"/>
          <w:sz w:val="24"/>
          <w:szCs w:val="24"/>
          <w:highlight w:val="none"/>
        </w:rPr>
        <w:t xml:space="preserve"> </w:t>
      </w:r>
      <w:r>
        <w:rPr>
          <w:rFonts w:ascii="宋体" w:hAnsi="宋体" w:eastAsia="宋体" w:cs="宋体"/>
          <w:snapToGrid w:val="0"/>
          <w:color w:val="auto"/>
          <w:spacing w:val="-5"/>
          <w:kern w:val="0"/>
          <w:sz w:val="24"/>
          <w:szCs w:val="24"/>
          <w:highlight w:val="none"/>
        </w:rPr>
        <w:t>PM10</w:t>
      </w:r>
      <w:r>
        <w:rPr>
          <w:rFonts w:ascii="宋体" w:hAnsi="宋体" w:eastAsia="宋体" w:cs="宋体"/>
          <w:snapToGrid w:val="0"/>
          <w:color w:val="auto"/>
          <w:spacing w:val="-50"/>
          <w:kern w:val="0"/>
          <w:sz w:val="24"/>
          <w:szCs w:val="24"/>
          <w:highlight w:val="none"/>
        </w:rPr>
        <w:t xml:space="preserve"> </w:t>
      </w:r>
      <w:r>
        <w:rPr>
          <w:rFonts w:ascii="宋体" w:hAnsi="宋体" w:eastAsia="宋体" w:cs="宋体"/>
          <w:snapToGrid w:val="0"/>
          <w:color w:val="auto"/>
          <w:spacing w:val="-5"/>
          <w:kern w:val="0"/>
          <w:sz w:val="24"/>
          <w:szCs w:val="24"/>
          <w:highlight w:val="none"/>
        </w:rPr>
        <w:t>和</w:t>
      </w:r>
      <w:r>
        <w:rPr>
          <w:rFonts w:ascii="宋体" w:hAnsi="宋体" w:eastAsia="宋体" w:cs="宋体"/>
          <w:snapToGrid w:val="0"/>
          <w:color w:val="auto"/>
          <w:spacing w:val="-55"/>
          <w:kern w:val="0"/>
          <w:sz w:val="24"/>
          <w:szCs w:val="24"/>
          <w:highlight w:val="none"/>
        </w:rPr>
        <w:t xml:space="preserve"> </w:t>
      </w:r>
      <w:r>
        <w:rPr>
          <w:rFonts w:ascii="宋体" w:hAnsi="宋体" w:eastAsia="宋体" w:cs="宋体"/>
          <w:snapToGrid w:val="0"/>
          <w:color w:val="auto"/>
          <w:spacing w:val="-5"/>
          <w:kern w:val="0"/>
          <w:sz w:val="24"/>
          <w:szCs w:val="24"/>
          <w:highlight w:val="none"/>
        </w:rPr>
        <w:t>PM2.5</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spacing w:val="-5"/>
          <w:kern w:val="0"/>
          <w:sz w:val="24"/>
          <w:szCs w:val="24"/>
          <w:highlight w:val="none"/>
        </w:rPr>
        <w:t>监测仪器进行标准膜校准或</w:t>
      </w:r>
      <w:r>
        <w:rPr>
          <w:rFonts w:ascii="宋体" w:hAnsi="宋体" w:eastAsia="宋体" w:cs="宋体"/>
          <w:snapToGrid w:val="0"/>
          <w:color w:val="auto"/>
          <w:spacing w:val="-55"/>
          <w:kern w:val="0"/>
          <w:sz w:val="24"/>
          <w:szCs w:val="24"/>
          <w:highlight w:val="none"/>
        </w:rPr>
        <w:t xml:space="preserve"> </w:t>
      </w:r>
      <w:r>
        <w:rPr>
          <w:rFonts w:ascii="宋体" w:hAnsi="宋体" w:eastAsia="宋体" w:cs="宋体"/>
          <w:snapToGrid w:val="0"/>
          <w:color w:val="auto"/>
          <w:spacing w:val="-5"/>
          <w:kern w:val="0"/>
          <w:sz w:val="24"/>
          <w:szCs w:val="24"/>
          <w:highlight w:val="none"/>
        </w:rPr>
        <w:t>K0</w:t>
      </w:r>
      <w:r>
        <w:rPr>
          <w:rFonts w:ascii="宋体" w:hAnsi="宋体" w:eastAsia="宋体" w:cs="宋体"/>
          <w:snapToGrid w:val="0"/>
          <w:color w:val="auto"/>
          <w:spacing w:val="-50"/>
          <w:kern w:val="0"/>
          <w:sz w:val="24"/>
          <w:szCs w:val="24"/>
          <w:highlight w:val="none"/>
        </w:rPr>
        <w:t xml:space="preserve"> </w:t>
      </w:r>
      <w:r>
        <w:rPr>
          <w:rFonts w:ascii="宋体" w:hAnsi="宋体" w:eastAsia="宋体" w:cs="宋体"/>
          <w:snapToGrid w:val="0"/>
          <w:color w:val="auto"/>
          <w:spacing w:val="-5"/>
          <w:kern w:val="0"/>
          <w:sz w:val="24"/>
          <w:szCs w:val="24"/>
          <w:highlight w:val="none"/>
        </w:rPr>
        <w:t>值检查，超过国家相关规范要求时，</w:t>
      </w:r>
      <w:r>
        <w:rPr>
          <w:rFonts w:ascii="宋体" w:hAnsi="宋体" w:eastAsia="宋体" w:cs="宋体"/>
          <w:snapToGrid w:val="0"/>
          <w:color w:val="auto"/>
          <w:spacing w:val="-2"/>
          <w:kern w:val="0"/>
          <w:sz w:val="24"/>
          <w:szCs w:val="24"/>
          <w:highlight w:val="none"/>
        </w:rPr>
        <w:t>及时进行校准；</w:t>
      </w:r>
    </w:p>
    <w:p w14:paraId="65EBEF88">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6、每半年工作内容如下：</w:t>
      </w:r>
    </w:p>
    <w:p w14:paraId="53A13F71">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（1）检查</w:t>
      </w:r>
      <w:r>
        <w:rPr>
          <w:rFonts w:ascii="宋体" w:hAnsi="宋体" w:eastAsia="宋体" w:cs="宋体"/>
          <w:snapToGrid w:val="0"/>
          <w:color w:val="auto"/>
          <w:spacing w:val="-53"/>
          <w:kern w:val="0"/>
          <w:sz w:val="24"/>
          <w:szCs w:val="24"/>
          <w:highlight w:val="none"/>
        </w:rPr>
        <w:t xml:space="preserve"> </w:t>
      </w:r>
      <w:r>
        <w:rPr>
          <w:rFonts w:ascii="宋体" w:hAnsi="宋体" w:eastAsia="宋体" w:cs="宋体"/>
          <w:snapToGrid w:val="0"/>
          <w:color w:val="auto"/>
          <w:spacing w:val="-1"/>
          <w:kern w:val="0"/>
          <w:sz w:val="24"/>
          <w:szCs w:val="24"/>
          <w:highlight w:val="none"/>
        </w:rPr>
        <w:t>PM10、PM2.5</w:t>
      </w:r>
      <w:r>
        <w:rPr>
          <w:rFonts w:ascii="宋体" w:hAnsi="宋体" w:eastAsia="宋体" w:cs="宋体"/>
          <w:snapToGrid w:val="0"/>
          <w:color w:val="auto"/>
          <w:spacing w:val="-47"/>
          <w:kern w:val="0"/>
          <w:sz w:val="24"/>
          <w:szCs w:val="24"/>
          <w:highlight w:val="none"/>
        </w:rPr>
        <w:t xml:space="preserve"> </w:t>
      </w:r>
      <w:r>
        <w:rPr>
          <w:rFonts w:ascii="宋体" w:hAnsi="宋体" w:eastAsia="宋体" w:cs="宋体"/>
          <w:snapToGrid w:val="0"/>
          <w:color w:val="auto"/>
          <w:spacing w:val="-1"/>
          <w:kern w:val="0"/>
          <w:sz w:val="24"/>
          <w:szCs w:val="24"/>
          <w:highlight w:val="none"/>
        </w:rPr>
        <w:t>分析仪相对湿度、温度传感器和动态加热装置是否正常工作；</w:t>
      </w:r>
    </w:p>
    <w:p w14:paraId="3E825C3F">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（2）对气态污染物监测仪进行多点校准，绘制校准曲线，检验相关系数、斜率和截距；</w:t>
      </w:r>
    </w:p>
    <w:p w14:paraId="6C0C79CE">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（3）对动态校准仪流量进行单点检查，超过规定</w:t>
      </w:r>
      <w:r>
        <w:rPr>
          <w:rFonts w:ascii="宋体" w:hAnsi="宋体" w:eastAsia="宋体" w:cs="宋体"/>
          <w:snapToGrid w:val="0"/>
          <w:color w:val="auto"/>
          <w:spacing w:val="-2"/>
          <w:kern w:val="0"/>
          <w:sz w:val="24"/>
          <w:szCs w:val="24"/>
          <w:highlight w:val="none"/>
        </w:rPr>
        <w:t>范围的进行</w:t>
      </w:r>
      <w:r>
        <w:rPr>
          <w:rFonts w:ascii="宋体" w:hAnsi="宋体" w:eastAsia="宋体" w:cs="宋体"/>
          <w:snapToGrid w:val="0"/>
          <w:color w:val="auto"/>
          <w:spacing w:val="-48"/>
          <w:kern w:val="0"/>
          <w:sz w:val="24"/>
          <w:szCs w:val="24"/>
          <w:highlight w:val="none"/>
        </w:rPr>
        <w:t xml:space="preserve"> </w:t>
      </w:r>
      <w:r>
        <w:rPr>
          <w:rFonts w:ascii="宋体" w:hAnsi="宋体" w:eastAsia="宋体" w:cs="宋体"/>
          <w:snapToGrid w:val="0"/>
          <w:color w:val="auto"/>
          <w:spacing w:val="-2"/>
          <w:kern w:val="0"/>
          <w:sz w:val="24"/>
          <w:szCs w:val="24"/>
          <w:highlight w:val="none"/>
        </w:rPr>
        <w:t>20</w:t>
      </w:r>
      <w:r>
        <w:rPr>
          <w:rFonts w:ascii="宋体" w:hAnsi="宋体" w:eastAsia="宋体" w:cs="宋体"/>
          <w:snapToGrid w:val="0"/>
          <w:color w:val="auto"/>
          <w:spacing w:val="-38"/>
          <w:kern w:val="0"/>
          <w:sz w:val="24"/>
          <w:szCs w:val="24"/>
          <w:highlight w:val="none"/>
        </w:rPr>
        <w:t xml:space="preserve"> </w:t>
      </w:r>
      <w:r>
        <w:rPr>
          <w:rFonts w:ascii="宋体" w:hAnsi="宋体" w:eastAsia="宋体" w:cs="宋体"/>
          <w:snapToGrid w:val="0"/>
          <w:color w:val="auto"/>
          <w:spacing w:val="-2"/>
          <w:kern w:val="0"/>
          <w:sz w:val="24"/>
          <w:szCs w:val="24"/>
          <w:highlight w:val="none"/>
        </w:rPr>
        <w:t>点检查，必要时校准；</w:t>
      </w:r>
    </w:p>
    <w:p w14:paraId="2DCE81F0">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（4）采用臭氧传递标准对空气站臭氧工作标准进行标准传递；</w:t>
      </w:r>
    </w:p>
    <w:p w14:paraId="190B08F6">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（5）更换零气源净化剂和氧化剂，对零气性能进行核查；</w:t>
      </w:r>
    </w:p>
    <w:p w14:paraId="16775FB4">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7、每年工作内容如下：</w:t>
      </w:r>
    </w:p>
    <w:p w14:paraId="145D0B72">
      <w:pPr>
        <w:widowControl/>
        <w:autoSpaceDE w:val="0"/>
        <w:autoSpaceDN w:val="0"/>
        <w:adjustRightInd w:val="0"/>
        <w:snapToGrid w:val="0"/>
        <w:spacing w:line="360" w:lineRule="auto"/>
        <w:ind w:firstLine="48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kern w:val="0"/>
          <w:sz w:val="24"/>
          <w:szCs w:val="24"/>
          <w:highlight w:val="none"/>
        </w:rPr>
        <w:t>对所有的仪器进行预防性维护，按说明书的要求更换备</w:t>
      </w:r>
      <w:r>
        <w:rPr>
          <w:rFonts w:ascii="宋体" w:hAnsi="宋体" w:eastAsia="宋体" w:cs="宋体"/>
          <w:snapToGrid w:val="0"/>
          <w:color w:val="auto"/>
          <w:spacing w:val="-1"/>
          <w:kern w:val="0"/>
          <w:sz w:val="24"/>
          <w:szCs w:val="24"/>
          <w:highlight w:val="none"/>
        </w:rPr>
        <w:t>件，更换所有泵组件。</w:t>
      </w:r>
    </w:p>
    <w:p w14:paraId="1D66D5A4">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8、运维单位应建立空气站维护档案</w:t>
      </w:r>
    </w:p>
    <w:p w14:paraId="795CE684">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将空气站的运行过程和运行事件进行详细记录，并进行归档管理。日常运维中使用的相关</w:t>
      </w:r>
      <w:r>
        <w:rPr>
          <w:rFonts w:ascii="宋体" w:hAnsi="宋体" w:eastAsia="宋体" w:cs="宋体"/>
          <w:snapToGrid w:val="0"/>
          <w:color w:val="auto"/>
          <w:spacing w:val="-2"/>
          <w:kern w:val="0"/>
          <w:sz w:val="24"/>
          <w:szCs w:val="24"/>
          <w:highlight w:val="none"/>
        </w:rPr>
        <w:t>记录表格，参照中国环境监测总站制定的统</w:t>
      </w:r>
      <w:r>
        <w:rPr>
          <w:rFonts w:ascii="宋体" w:hAnsi="宋体" w:eastAsia="宋体" w:cs="宋体"/>
          <w:snapToGrid w:val="0"/>
          <w:color w:val="auto"/>
          <w:spacing w:val="-3"/>
          <w:kern w:val="0"/>
          <w:sz w:val="24"/>
          <w:szCs w:val="24"/>
          <w:highlight w:val="none"/>
        </w:rPr>
        <w:t>一样式表格。日常运维中使用运行管理相关记录至</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少应包括：</w:t>
      </w:r>
    </w:p>
    <w:p w14:paraId="1088246F">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（1）空气站运行维护记录表；</w:t>
      </w:r>
    </w:p>
    <w:p w14:paraId="72EAB5DF">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（2）颗粒监测仪校准检查记录；</w:t>
      </w:r>
    </w:p>
    <w:p w14:paraId="574D3719">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（3）气态污染物监测仪校准检查记录；</w:t>
      </w:r>
    </w:p>
    <w:p w14:paraId="516F0200">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（4）空气自动监测系统仪器设备维修记录表；</w:t>
      </w:r>
    </w:p>
    <w:p w14:paraId="20B0E0C9">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（5）空气自动监测系统备品备件管理记录表；</w:t>
      </w:r>
    </w:p>
    <w:p w14:paraId="6AEE345E">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（6）空气站主要消耗材料使用登记表；</w:t>
      </w:r>
    </w:p>
    <w:p w14:paraId="357D94D1">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（7）多点线性校准表格；</w:t>
      </w:r>
    </w:p>
    <w:p w14:paraId="3ECBB6D4">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（8）空气站室内外环境记录；</w:t>
      </w:r>
    </w:p>
    <w:p w14:paraId="731D77E1">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（9）标准物质使用记录；</w:t>
      </w:r>
    </w:p>
    <w:p w14:paraId="77B90134">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spacing w:val="-3"/>
          <w:kern w:val="0"/>
          <w:sz w:val="24"/>
          <w:szCs w:val="24"/>
          <w:highlight w:val="none"/>
        </w:rPr>
      </w:pPr>
      <w:r>
        <w:rPr>
          <w:rFonts w:ascii="宋体" w:hAnsi="宋体" w:eastAsia="宋体" w:cs="宋体"/>
          <w:snapToGrid w:val="0"/>
          <w:color w:val="auto"/>
          <w:spacing w:val="-3"/>
          <w:kern w:val="0"/>
          <w:sz w:val="24"/>
          <w:szCs w:val="24"/>
          <w:highlight w:val="none"/>
        </w:rPr>
        <w:t>（10）空气自动监测系统仪器资料保管清单。</w:t>
      </w:r>
    </w:p>
    <w:p w14:paraId="34B89111">
      <w:pPr>
        <w:widowControl/>
        <w:autoSpaceDE w:val="0"/>
        <w:autoSpaceDN w:val="0"/>
        <w:adjustRightInd w:val="0"/>
        <w:snapToGrid w:val="0"/>
        <w:spacing w:line="360" w:lineRule="auto"/>
        <w:ind w:firstLine="460"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5"/>
          <w:kern w:val="0"/>
          <w:sz w:val="24"/>
          <w:szCs w:val="24"/>
          <w:highlight w:val="none"/>
        </w:rPr>
        <w:t>9、</w:t>
      </w:r>
      <w:r>
        <w:rPr>
          <w:rFonts w:ascii="宋体" w:hAnsi="宋体" w:eastAsia="宋体" w:cs="宋体"/>
          <w:snapToGrid w:val="0"/>
          <w:color w:val="auto"/>
          <w:spacing w:val="-57"/>
          <w:kern w:val="0"/>
          <w:sz w:val="24"/>
          <w:szCs w:val="24"/>
          <w:highlight w:val="none"/>
        </w:rPr>
        <w:t xml:space="preserve"> </w:t>
      </w:r>
      <w:r>
        <w:rPr>
          <w:rFonts w:ascii="宋体" w:hAnsi="宋体" w:eastAsia="宋体" w:cs="宋体"/>
          <w:snapToGrid w:val="0"/>
          <w:color w:val="auto"/>
          <w:spacing w:val="-5"/>
          <w:kern w:val="0"/>
          <w:sz w:val="24"/>
          <w:szCs w:val="24"/>
          <w:highlight w:val="none"/>
        </w:rPr>
        <w:t>日常运维其他相关要求如下：</w:t>
      </w:r>
    </w:p>
    <w:p w14:paraId="10861D24">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（1）每周更换的气态污染物监测仪器所用滤膜，必须为聚四氟乙烯材质。</w:t>
      </w:r>
    </w:p>
    <w:p w14:paraId="07EE814A">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（2）应及时制定每月工作计划，并严格按计划执行，若有变更应及时通知采购方。</w:t>
      </w:r>
    </w:p>
    <w:p w14:paraId="08F27B30">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（3）运维单位保证满足环保部门对空气站故障的响应时间</w:t>
      </w:r>
      <w:r>
        <w:rPr>
          <w:rFonts w:ascii="宋体" w:hAnsi="宋体" w:eastAsia="宋体" w:cs="宋体"/>
          <w:snapToGrid w:val="0"/>
          <w:color w:val="auto"/>
          <w:spacing w:val="-2"/>
          <w:kern w:val="0"/>
          <w:sz w:val="24"/>
          <w:szCs w:val="24"/>
          <w:highlight w:val="none"/>
        </w:rPr>
        <w:t>要求，当空气站每日</w:t>
      </w:r>
      <w:r>
        <w:rPr>
          <w:rFonts w:ascii="宋体" w:hAnsi="宋体" w:eastAsia="宋体" w:cs="宋体"/>
          <w:snapToGrid w:val="0"/>
          <w:color w:val="auto"/>
          <w:spacing w:val="-49"/>
          <w:kern w:val="0"/>
          <w:sz w:val="24"/>
          <w:szCs w:val="24"/>
          <w:highlight w:val="none"/>
        </w:rPr>
        <w:t xml:space="preserve"> </w:t>
      </w:r>
      <w:r>
        <w:rPr>
          <w:rFonts w:ascii="宋体" w:hAnsi="宋体" w:eastAsia="宋体" w:cs="宋体"/>
          <w:snapToGrid w:val="0"/>
          <w:color w:val="auto"/>
          <w:spacing w:val="-2"/>
          <w:kern w:val="0"/>
          <w:sz w:val="24"/>
          <w:szCs w:val="24"/>
          <w:highlight w:val="none"/>
        </w:rPr>
        <w:t>6</w:t>
      </w:r>
      <w:r>
        <w:rPr>
          <w:rFonts w:ascii="宋体" w:hAnsi="宋体" w:eastAsia="宋体" w:cs="宋体"/>
          <w:snapToGrid w:val="0"/>
          <w:color w:val="auto"/>
          <w:spacing w:val="-39"/>
          <w:kern w:val="0"/>
          <w:sz w:val="24"/>
          <w:szCs w:val="24"/>
          <w:highlight w:val="none"/>
        </w:rPr>
        <w:t xml:space="preserve"> </w:t>
      </w:r>
      <w:r>
        <w:rPr>
          <w:rFonts w:ascii="宋体" w:hAnsi="宋体" w:eastAsia="宋体" w:cs="宋体"/>
          <w:snapToGrid w:val="0"/>
          <w:color w:val="auto"/>
          <w:spacing w:val="-2"/>
          <w:kern w:val="0"/>
          <w:sz w:val="24"/>
          <w:szCs w:val="24"/>
          <w:highlight w:val="none"/>
        </w:rPr>
        <w:t>时～23</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2"/>
          <w:kern w:val="0"/>
          <w:sz w:val="24"/>
          <w:szCs w:val="24"/>
          <w:highlight w:val="none"/>
        </w:rPr>
        <w:t>时出现故障，应在</w:t>
      </w:r>
      <w:r>
        <w:rPr>
          <w:rFonts w:ascii="宋体" w:hAnsi="宋体" w:eastAsia="宋体" w:cs="宋体"/>
          <w:snapToGrid w:val="0"/>
          <w:color w:val="auto"/>
          <w:spacing w:val="-33"/>
          <w:kern w:val="0"/>
          <w:sz w:val="24"/>
          <w:szCs w:val="24"/>
          <w:highlight w:val="none"/>
        </w:rPr>
        <w:t xml:space="preserve"> </w:t>
      </w:r>
      <w:r>
        <w:rPr>
          <w:rFonts w:ascii="宋体" w:hAnsi="宋体" w:eastAsia="宋体" w:cs="宋体"/>
          <w:snapToGrid w:val="0"/>
          <w:color w:val="auto"/>
          <w:spacing w:val="-2"/>
          <w:kern w:val="0"/>
          <w:sz w:val="24"/>
          <w:szCs w:val="24"/>
          <w:highlight w:val="none"/>
        </w:rPr>
        <w:t>1</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2"/>
          <w:kern w:val="0"/>
          <w:sz w:val="24"/>
          <w:szCs w:val="24"/>
          <w:highlight w:val="none"/>
        </w:rPr>
        <w:t>小时之内响应，4</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2"/>
          <w:kern w:val="0"/>
          <w:sz w:val="24"/>
          <w:szCs w:val="24"/>
          <w:highlight w:val="none"/>
        </w:rPr>
        <w:t>小时内</w:t>
      </w:r>
      <w:r>
        <w:rPr>
          <w:rFonts w:ascii="宋体" w:hAnsi="宋体" w:eastAsia="宋体" w:cs="宋体"/>
          <w:snapToGrid w:val="0"/>
          <w:color w:val="auto"/>
          <w:spacing w:val="-3"/>
          <w:kern w:val="0"/>
          <w:sz w:val="24"/>
          <w:szCs w:val="24"/>
          <w:highlight w:val="none"/>
        </w:rPr>
        <w:t>到达现场解决，其它时间出现的故障，应在第二</w:t>
      </w:r>
      <w:r>
        <w:rPr>
          <w:rFonts w:ascii="宋体" w:hAnsi="宋体" w:eastAsia="宋体" w:cs="宋体"/>
          <w:snapToGrid w:val="0"/>
          <w:color w:val="auto"/>
          <w:spacing w:val="-1"/>
          <w:kern w:val="0"/>
          <w:sz w:val="24"/>
          <w:szCs w:val="24"/>
          <w:highlight w:val="none"/>
        </w:rPr>
        <w:t>天</w:t>
      </w:r>
      <w:r>
        <w:rPr>
          <w:rFonts w:ascii="宋体" w:hAnsi="宋体" w:eastAsia="宋体" w:cs="宋体"/>
          <w:snapToGrid w:val="0"/>
          <w:color w:val="auto"/>
          <w:spacing w:val="-27"/>
          <w:kern w:val="0"/>
          <w:sz w:val="24"/>
          <w:szCs w:val="24"/>
          <w:highlight w:val="none"/>
        </w:rPr>
        <w:t xml:space="preserve"> </w:t>
      </w:r>
      <w:r>
        <w:rPr>
          <w:rFonts w:ascii="宋体" w:hAnsi="宋体" w:eastAsia="宋体" w:cs="宋体"/>
          <w:snapToGrid w:val="0"/>
          <w:color w:val="auto"/>
          <w:spacing w:val="-1"/>
          <w:kern w:val="0"/>
          <w:sz w:val="24"/>
          <w:szCs w:val="24"/>
          <w:highlight w:val="none"/>
        </w:rPr>
        <w:t>12</w:t>
      </w:r>
      <w:r>
        <w:rPr>
          <w:rFonts w:ascii="宋体" w:hAnsi="宋体" w:eastAsia="宋体" w:cs="宋体"/>
          <w:snapToGrid w:val="0"/>
          <w:color w:val="auto"/>
          <w:spacing w:val="-39"/>
          <w:kern w:val="0"/>
          <w:sz w:val="24"/>
          <w:szCs w:val="24"/>
          <w:highlight w:val="none"/>
        </w:rPr>
        <w:t xml:space="preserve"> </w:t>
      </w:r>
      <w:r>
        <w:rPr>
          <w:rFonts w:ascii="宋体" w:hAnsi="宋体" w:eastAsia="宋体" w:cs="宋体"/>
          <w:snapToGrid w:val="0"/>
          <w:color w:val="auto"/>
          <w:spacing w:val="-1"/>
          <w:kern w:val="0"/>
          <w:sz w:val="24"/>
          <w:szCs w:val="24"/>
          <w:highlight w:val="none"/>
        </w:rPr>
        <w:t>时前解决（通信线路、电力线路故障除外，但应及时与相关部门联系积极解决）。若仪器故障无法排除，运维单位必须在</w:t>
      </w:r>
      <w:r>
        <w:rPr>
          <w:rFonts w:ascii="宋体" w:hAnsi="宋体" w:eastAsia="宋体" w:cs="宋体"/>
          <w:snapToGrid w:val="0"/>
          <w:color w:val="auto"/>
          <w:spacing w:val="-46"/>
          <w:kern w:val="0"/>
          <w:sz w:val="24"/>
          <w:szCs w:val="24"/>
          <w:highlight w:val="none"/>
        </w:rPr>
        <w:t xml:space="preserve"> </w:t>
      </w:r>
      <w:r>
        <w:rPr>
          <w:rFonts w:ascii="宋体" w:hAnsi="宋体" w:eastAsia="宋体" w:cs="宋体"/>
          <w:snapToGrid w:val="0"/>
          <w:color w:val="auto"/>
          <w:spacing w:val="-1"/>
          <w:kern w:val="0"/>
          <w:sz w:val="24"/>
          <w:szCs w:val="24"/>
          <w:highlight w:val="none"/>
        </w:rPr>
        <w:t>48</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1"/>
          <w:kern w:val="0"/>
          <w:sz w:val="24"/>
          <w:szCs w:val="24"/>
          <w:highlight w:val="none"/>
        </w:rPr>
        <w:t>小时内提供并更换相应的备机，保证自动站正常运行。</w:t>
      </w:r>
    </w:p>
    <w:p w14:paraId="1BC0C186">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（4）当仪器损坏报废不能修复时，应在</w:t>
      </w:r>
      <w:r>
        <w:rPr>
          <w:rFonts w:ascii="宋体" w:hAnsi="宋体" w:eastAsia="宋体" w:cs="宋体"/>
          <w:snapToGrid w:val="0"/>
          <w:color w:val="auto"/>
          <w:spacing w:val="-52"/>
          <w:kern w:val="0"/>
          <w:sz w:val="24"/>
          <w:szCs w:val="24"/>
          <w:highlight w:val="none"/>
        </w:rPr>
        <w:t xml:space="preserve"> </w:t>
      </w:r>
      <w:r>
        <w:rPr>
          <w:rFonts w:ascii="宋体" w:hAnsi="宋体" w:eastAsia="宋体" w:cs="宋体"/>
          <w:snapToGrid w:val="0"/>
          <w:color w:val="auto"/>
          <w:spacing w:val="-3"/>
          <w:kern w:val="0"/>
          <w:sz w:val="24"/>
          <w:szCs w:val="24"/>
          <w:highlight w:val="none"/>
        </w:rPr>
        <w:t>48</w:t>
      </w:r>
      <w:r>
        <w:rPr>
          <w:rFonts w:ascii="宋体" w:hAnsi="宋体" w:eastAsia="宋体" w:cs="宋体"/>
          <w:snapToGrid w:val="0"/>
          <w:color w:val="auto"/>
          <w:spacing w:val="-44"/>
          <w:kern w:val="0"/>
          <w:sz w:val="24"/>
          <w:szCs w:val="24"/>
          <w:highlight w:val="none"/>
        </w:rPr>
        <w:t xml:space="preserve"> </w:t>
      </w:r>
      <w:r>
        <w:rPr>
          <w:rFonts w:ascii="宋体" w:hAnsi="宋体" w:eastAsia="宋体" w:cs="宋体"/>
          <w:snapToGrid w:val="0"/>
          <w:color w:val="auto"/>
          <w:spacing w:val="-4"/>
          <w:kern w:val="0"/>
          <w:sz w:val="24"/>
          <w:szCs w:val="24"/>
          <w:highlight w:val="none"/>
        </w:rPr>
        <w:t>小时之内使用备机开展监测，并同时报告采购</w:t>
      </w:r>
      <w:r>
        <w:rPr>
          <w:rFonts w:ascii="宋体" w:hAnsi="宋体" w:eastAsia="宋体" w:cs="宋体"/>
          <w:snapToGrid w:val="0"/>
          <w:color w:val="auto"/>
          <w:spacing w:val="-1"/>
          <w:kern w:val="0"/>
          <w:sz w:val="24"/>
          <w:szCs w:val="24"/>
          <w:highlight w:val="none"/>
        </w:rPr>
        <w:t>方，采购方组织确认仪器损坏情况及原因，酌情处理。</w:t>
      </w:r>
    </w:p>
    <w:p w14:paraId="5D64BB6A">
      <w:pPr>
        <w:widowControl/>
        <w:autoSpaceDE w:val="0"/>
        <w:autoSpaceDN w:val="0"/>
        <w:adjustRightInd w:val="0"/>
        <w:snapToGrid w:val="0"/>
        <w:spacing w:line="360" w:lineRule="auto"/>
        <w:ind w:firstLine="464"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4"/>
          <w:kern w:val="0"/>
          <w:sz w:val="24"/>
          <w:szCs w:val="24"/>
          <w:highlight w:val="none"/>
        </w:rPr>
        <w:t>（5）因不可抗力所造成的仪器损坏导致的仪器报废，运维</w:t>
      </w:r>
      <w:r>
        <w:rPr>
          <w:rFonts w:ascii="宋体" w:hAnsi="宋体" w:eastAsia="宋体" w:cs="宋体"/>
          <w:snapToGrid w:val="0"/>
          <w:color w:val="auto"/>
          <w:spacing w:val="-5"/>
          <w:kern w:val="0"/>
          <w:sz w:val="24"/>
          <w:szCs w:val="24"/>
          <w:highlight w:val="none"/>
        </w:rPr>
        <w:t>单位要先行提供备机开展监测，</w:t>
      </w:r>
      <w:r>
        <w:rPr>
          <w:rFonts w:ascii="宋体" w:hAnsi="宋体" w:eastAsia="宋体" w:cs="宋体"/>
          <w:snapToGrid w:val="0"/>
          <w:color w:val="auto"/>
          <w:kern w:val="0"/>
          <w:sz w:val="24"/>
          <w:szCs w:val="24"/>
          <w:highlight w:val="none"/>
        </w:rPr>
        <w:t xml:space="preserve"> </w:t>
      </w:r>
      <w:r>
        <w:rPr>
          <w:rFonts w:ascii="宋体" w:hAnsi="宋体" w:eastAsia="宋体" w:cs="宋体"/>
          <w:snapToGrid w:val="0"/>
          <w:color w:val="auto"/>
          <w:spacing w:val="-1"/>
          <w:kern w:val="0"/>
          <w:sz w:val="24"/>
          <w:szCs w:val="24"/>
          <w:highlight w:val="none"/>
        </w:rPr>
        <w:t>并及时报告采购方，采购方视情况酌情处理。</w:t>
      </w:r>
    </w:p>
    <w:p w14:paraId="63437F91">
      <w:pPr>
        <w:widowControl/>
        <w:autoSpaceDE w:val="0"/>
        <w:autoSpaceDN w:val="0"/>
        <w:adjustRightInd w:val="0"/>
        <w:snapToGrid w:val="0"/>
        <w:spacing w:line="360" w:lineRule="auto"/>
        <w:ind w:firstLine="476"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1"/>
          <w:kern w:val="0"/>
          <w:sz w:val="24"/>
          <w:szCs w:val="24"/>
          <w:highlight w:val="none"/>
        </w:rPr>
        <w:t>（6）严禁擅自改变采样管路连接方式和更改仪器参数设置。</w:t>
      </w:r>
    </w:p>
    <w:p w14:paraId="1F212520">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spacing w:val="-2"/>
          <w:kern w:val="0"/>
          <w:sz w:val="24"/>
          <w:szCs w:val="24"/>
          <w:highlight w:val="none"/>
        </w:rPr>
      </w:pPr>
      <w:r>
        <w:rPr>
          <w:rFonts w:ascii="宋体" w:hAnsi="宋体" w:eastAsia="宋体" w:cs="宋体"/>
          <w:snapToGrid w:val="0"/>
          <w:color w:val="auto"/>
          <w:spacing w:val="-2"/>
          <w:kern w:val="0"/>
          <w:sz w:val="24"/>
          <w:szCs w:val="24"/>
          <w:highlight w:val="none"/>
        </w:rPr>
        <w:t>（7）备品备件的更换应详细记录并保留每次更换</w:t>
      </w:r>
      <w:r>
        <w:rPr>
          <w:rFonts w:ascii="宋体" w:hAnsi="宋体" w:eastAsia="宋体" w:cs="宋体"/>
          <w:snapToGrid w:val="0"/>
          <w:color w:val="auto"/>
          <w:spacing w:val="-3"/>
          <w:kern w:val="0"/>
          <w:sz w:val="24"/>
          <w:szCs w:val="24"/>
          <w:highlight w:val="none"/>
        </w:rPr>
        <w:t>下来的部件。</w:t>
      </w:r>
    </w:p>
    <w:p w14:paraId="1DECBAA5">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spacing w:val="-2"/>
          <w:kern w:val="0"/>
          <w:sz w:val="24"/>
          <w:szCs w:val="24"/>
          <w:highlight w:val="none"/>
        </w:rPr>
      </w:pPr>
    </w:p>
    <w:p w14:paraId="793C51E2">
      <w:pPr>
        <w:widowControl/>
        <w:autoSpaceDE w:val="0"/>
        <w:autoSpaceDN w:val="0"/>
        <w:adjustRightInd w:val="0"/>
        <w:snapToGrid w:val="0"/>
        <w:spacing w:line="360" w:lineRule="auto"/>
        <w:textAlignment w:val="baseline"/>
        <w:rPr>
          <w:rFonts w:hint="eastAsia" w:ascii="宋体" w:hAnsi="宋体" w:eastAsia="宋体" w:cs="宋体"/>
          <w:snapToGrid w:val="0"/>
          <w:color w:val="auto"/>
          <w:spacing w:val="-2"/>
          <w:kern w:val="0"/>
          <w:sz w:val="24"/>
          <w:szCs w:val="24"/>
          <w:highlight w:val="none"/>
        </w:rPr>
      </w:pPr>
      <w:r>
        <w:rPr>
          <w:rFonts w:hint="eastAsia" w:ascii="宋体" w:hAnsi="宋体" w:eastAsia="宋体" w:cs="宋体"/>
          <w:snapToGrid w:val="0"/>
          <w:color w:val="auto"/>
          <w:spacing w:val="-2"/>
          <w:kern w:val="0"/>
          <w:sz w:val="24"/>
          <w:szCs w:val="24"/>
          <w:highlight w:val="none"/>
        </w:rPr>
        <w:t>1.4.2 116项VOCs在线监测系统</w:t>
      </w:r>
    </w:p>
    <w:p w14:paraId="653C37EF">
      <w:pPr>
        <w:pStyle w:val="5"/>
        <w:tabs>
          <w:tab w:val="left" w:pos="-945"/>
          <w:tab w:val="left" w:pos="0"/>
          <w:tab w:val="clear" w:pos="900"/>
        </w:tabs>
        <w:rPr>
          <w:rFonts w:hint="eastAsia" w:ascii="宋体" w:hAnsi="宋体" w:cs="宋体"/>
          <w:color w:val="auto"/>
          <w:sz w:val="24"/>
          <w:szCs w:val="24"/>
          <w:highlight w:val="none"/>
        </w:rPr>
      </w:pPr>
      <w:bookmarkStart w:id="27" w:name="_Toc37696014"/>
      <w:bookmarkStart w:id="28" w:name="_Toc29986018"/>
      <w:r>
        <w:rPr>
          <w:rFonts w:hint="eastAsia" w:ascii="宋体" w:hAnsi="宋体" w:cs="宋体"/>
          <w:color w:val="auto"/>
          <w:sz w:val="24"/>
          <w:szCs w:val="24"/>
          <w:highlight w:val="none"/>
        </w:rPr>
        <w:t>系统运营维护的目标</w:t>
      </w:r>
      <w:bookmarkEnd w:id="27"/>
      <w:bookmarkEnd w:id="28"/>
    </w:p>
    <w:p w14:paraId="19DD084B">
      <w:pPr>
        <w:pStyle w:val="101"/>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运行维护主要依据：《环境空气质量监测规范》、《环境空气质量自动监测技术规范》（HJ/T193-2005）以及 JJG1055-2009《在线气相色谱仪检定规程》。根据规范、规定要求进行子站仪器的单点和多点校标、流量校准、采样管道清洗、仪器保养与维护等工作。</w:t>
      </w:r>
    </w:p>
    <w:p w14:paraId="31EB0F5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（1）按照监测站的要求或国家总站对在线VOCs监测设备运维要求。</w:t>
      </w:r>
    </w:p>
    <w:p w14:paraId="0CAAB30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（2）运维规范，按照厂家操作规程以及本公司对运维设备编写的操作指导书进行操作。</w:t>
      </w:r>
    </w:p>
    <w:p w14:paraId="32FF929A">
      <w:pPr>
        <w:pStyle w:val="5"/>
        <w:tabs>
          <w:tab w:val="left" w:pos="-945"/>
          <w:tab w:val="left" w:pos="0"/>
          <w:tab w:val="clear" w:pos="900"/>
        </w:tabs>
        <w:rPr>
          <w:rFonts w:hint="eastAsia" w:ascii="宋体" w:hAnsi="宋体" w:cs="宋体"/>
          <w:color w:val="auto"/>
          <w:sz w:val="24"/>
          <w:szCs w:val="24"/>
          <w:highlight w:val="none"/>
        </w:rPr>
      </w:pPr>
      <w:bookmarkStart w:id="29" w:name="_Toc29986019"/>
      <w:bookmarkStart w:id="30" w:name="_Toc37696015"/>
      <w:r>
        <w:rPr>
          <w:rFonts w:hint="eastAsia" w:ascii="宋体" w:hAnsi="宋体" w:cs="宋体"/>
          <w:color w:val="auto"/>
          <w:sz w:val="24"/>
          <w:szCs w:val="24"/>
          <w:highlight w:val="none"/>
        </w:rPr>
        <w:t>运营维护</w:t>
      </w:r>
      <w:bookmarkEnd w:id="29"/>
      <w:r>
        <w:rPr>
          <w:rFonts w:hint="eastAsia" w:ascii="宋体" w:hAnsi="宋体" w:cs="宋体"/>
          <w:color w:val="auto"/>
          <w:sz w:val="24"/>
          <w:szCs w:val="24"/>
          <w:highlight w:val="none"/>
        </w:rPr>
        <w:t>服务范围</w:t>
      </w:r>
      <w:bookmarkEnd w:id="30"/>
    </w:p>
    <w:p w14:paraId="6C1B0EFE">
      <w:pPr>
        <w:pStyle w:val="101"/>
        <w:spacing w:line="360" w:lineRule="auto"/>
        <w:ind w:firstLine="241" w:firstLineChars="10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运维设备：</w:t>
      </w:r>
      <w:r>
        <w:rPr>
          <w:rFonts w:hint="eastAsia" w:ascii="宋体" w:hAnsi="宋体" w:eastAsia="宋体"/>
          <w:color w:val="auto"/>
          <w:sz w:val="24"/>
          <w:szCs w:val="24"/>
          <w:highlight w:val="none"/>
        </w:rPr>
        <w:t>在线VOCs系统：包含采样总管、气源系统、预浓缩系统、GCMS，以及数据上传等；</w:t>
      </w:r>
    </w:p>
    <w:p w14:paraId="023C898B">
      <w:pPr>
        <w:pStyle w:val="101"/>
        <w:spacing w:line="360" w:lineRule="auto"/>
        <w:ind w:firstLine="241" w:firstLineChars="100"/>
        <w:rPr>
          <w:rFonts w:hint="eastAsia" w:ascii="宋体" w:hAnsi="宋体" w:eastAsia="宋体"/>
          <w:color w:val="auto"/>
          <w:sz w:val="24"/>
          <w:szCs w:val="24"/>
          <w:highlight w:val="none"/>
        </w:rPr>
      </w:pPr>
      <w:r>
        <w:rPr>
          <w:rFonts w:hint="eastAsia" w:ascii="宋体" w:hAnsi="宋体" w:eastAsia="宋体"/>
          <w:b/>
          <w:color w:val="auto"/>
          <w:sz w:val="24"/>
          <w:szCs w:val="24"/>
          <w:highlight w:val="none"/>
        </w:rPr>
        <w:t>服务范围：</w:t>
      </w:r>
      <w:r>
        <w:rPr>
          <w:rFonts w:hint="eastAsia" w:ascii="宋体" w:hAnsi="宋体" w:eastAsia="宋体"/>
          <w:color w:val="auto"/>
          <w:sz w:val="24"/>
          <w:szCs w:val="24"/>
          <w:highlight w:val="none"/>
        </w:rPr>
        <w:t>运维包含合同期间的VOCs设备的日常运维维护，确保在线VOCs设备正常运维，保证数据有效率，出具运维报告等</w:t>
      </w:r>
    </w:p>
    <w:p w14:paraId="47AA729D">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承担环境空气质量自动监测系统的日常运行和维护及详细的预防性检修工作，包括人工、消耗件、备品备件。并包括季度和年度定期维护。</w:t>
      </w:r>
    </w:p>
    <w:p w14:paraId="0AEA8E17">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承担因仪器正常使用、非外界不可抗力而发生突发性故障进行针对性维护工作，包括人工、耗材和备品备件。</w:t>
      </w:r>
    </w:p>
    <w:p w14:paraId="5D18CC1E">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针对环境空气质量自动监测系统数量，我司将按需要在项目所在地设立常驻的维 护站点，建立所维护范围设备的备品备件库，派遣 1-2名合格工作人员全日制从事本项目环境空气质量自动监测系统的日常运行和维护，并保证法定节假日期间系统的正常运行。</w:t>
      </w:r>
    </w:p>
    <w:p w14:paraId="747DF4EB">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建立定期会商报告制度，原则上每个星期一下午汇报系统上周运行情况，并提交上周的维护台帐记录。建立自动站全托管运行维护制度，建立文件化的日常运行体系。</w:t>
      </w:r>
    </w:p>
    <w:p w14:paraId="42B8BB16">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检查钢瓶气压力，将读数添在钢瓶气消耗记录表中。与上次压力比较，看压力是否有异常变化。如果压力下降异常，表明有漏气之处，从而要设法处理之。</w:t>
      </w:r>
    </w:p>
    <w:p w14:paraId="4196B5C0">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检查采样总管及采样气路是否有破裂，是否有清洁，是否过于潮湿，并及时采取措施。</w:t>
      </w:r>
    </w:p>
    <w:p w14:paraId="3F2DBF53">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检查色谱参数，包含气相色谱分析仪的炉箱温度（柱温）、预浓缩温度和采样温度压力等运行参数。 </w:t>
      </w:r>
    </w:p>
    <w:p w14:paraId="48A93F9C">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每周对各仪器进行依次零/跨检查，并填写好记录。</w:t>
      </w:r>
    </w:p>
    <w:p w14:paraId="4E00E534">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检查气相色谱系统，观察是否出现保留时间漂移，若存在该现象进行峰窗调整。</w:t>
      </w:r>
    </w:p>
    <w:p w14:paraId="68B74097">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检查色谱基线是否平稳。</w:t>
      </w:r>
    </w:p>
    <w:p w14:paraId="3B2E2DB5">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定量曲线校正、单点校正、多点校正。</w:t>
      </w:r>
    </w:p>
    <w:p w14:paraId="58328A3B">
      <w:pPr>
        <w:pStyle w:val="101"/>
        <w:numPr>
          <w:ilvl w:val="0"/>
          <w:numId w:val="2"/>
        </w:numPr>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校正方式：</w:t>
      </w:r>
    </w:p>
    <w:p w14:paraId="39630CFB">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a在线方式：定量环和切换阀；</w:t>
      </w:r>
    </w:p>
    <w:p w14:paraId="0C8DE4FE">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b离线方式：吸附管（标气预先在吸附管上制备好）、苏码罐或气体钢瓶。</w:t>
      </w:r>
    </w:p>
    <w:p w14:paraId="581FE47E">
      <w:pPr>
        <w:pStyle w:val="101"/>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13）每周一次对监测系统进行现场维护，现场维护内容包括： </w:t>
      </w:r>
    </w:p>
    <w:p w14:paraId="13C2015B">
      <w:pPr>
        <w:pStyle w:val="101"/>
        <w:spacing w:line="360" w:lineRule="auto"/>
        <w:ind w:left="210" w:leftChars="100"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*检查各台自动分析仪及辅助设备的运行状态和主要技术参数，判断运行是否正常。 </w:t>
      </w:r>
    </w:p>
    <w:p w14:paraId="614DF931">
      <w:pPr>
        <w:pStyle w:val="101"/>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*调看 VOC监测数据的小时报表，观察是否有异常高值出现，是否有典型污染物监测值为零的情况。若存在，需前往现场进行历史图谱数据调看，图谱分析是否正常。</w:t>
      </w:r>
    </w:p>
    <w:p w14:paraId="23DD5CBD">
      <w:pPr>
        <w:pStyle w:val="101"/>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*检查子站的接地线路是否可靠，排风排气装置工作是否正常，标准气钢瓶阀门是否漏气，标准气的消耗情况。</w:t>
      </w:r>
    </w:p>
    <w:p w14:paraId="5C038CD4">
      <w:pPr>
        <w:pStyle w:val="101"/>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*检查站房内电路系统、通讯系统是否正常。</w:t>
      </w:r>
    </w:p>
    <w:p w14:paraId="2A5F4AF3">
      <w:pPr>
        <w:pStyle w:val="101"/>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*检查避雷设施是否可靠，站房是否有漏雨现象，气象杆和天线是否损坏，站房外围的其它设施是否有损坏，如遇以上问题及时处理，保证系统能安全运行。</w:t>
      </w:r>
    </w:p>
    <w:p w14:paraId="3BF71111">
      <w:pPr>
        <w:pStyle w:val="101"/>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*检查监测仪器的采样入口与采样支路管线结合部之间安装的过滤膜的污染情况，若发现滤膜明显受到污染，则及时更换。</w:t>
      </w:r>
    </w:p>
    <w:p w14:paraId="611E19B2">
      <w:pPr>
        <w:pStyle w:val="101"/>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hint="eastAsia" w:ascii="宋体" w:hAnsi="宋体" w:eastAsia="宋体"/>
          <w:color w:val="auto"/>
          <w:sz w:val="24"/>
          <w:szCs w:val="24"/>
          <w:highlight w:val="none"/>
        </w:rPr>
        <w:t>*每周对色谱的峰窗进行检查，如发现漂移，及时调整。检查各个子站每日小时数据，并确认它们是正常的。</w:t>
      </w:r>
    </w:p>
    <w:p w14:paraId="43B0EBB5">
      <w:pPr>
        <w:pStyle w:val="101"/>
        <w:spacing w:line="360" w:lineRule="auto"/>
        <w:ind w:firstLine="240" w:firstLine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14）以下必须注意：所用标准气浓度正确；任何影响测量数据的子站仪器操作及时记录；注意：维护人员不负责解释环境测量数据。 </w:t>
      </w:r>
    </w:p>
    <w:p w14:paraId="2094B2C5">
      <w:pPr>
        <w:pStyle w:val="101"/>
        <w:spacing w:line="360" w:lineRule="auto"/>
        <w:ind w:left="210" w:leftChars="1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15）巡检：注意异常数据及噪音；注意观察子站周围可能影响监测结果的活动，并将之 记录在记录表中。检查空调运转情况并记录站房内温度。温度保持在 20－30℃内， 最好在 25*C以上以防止结露。建议 11月－4月设在 25℃，5－10月设在 27℃。不要使空调直吹采样管及气路；目视检查仪器面板显示，观察数据是否合理及有无报警信号；检查发生器工作是否正常，输出压力是否满足在线气相色谱需求。</w:t>
      </w:r>
    </w:p>
    <w:p w14:paraId="4ED29604">
      <w:pPr>
        <w:pStyle w:val="5"/>
        <w:tabs>
          <w:tab w:val="left" w:pos="-945"/>
          <w:tab w:val="left" w:pos="0"/>
          <w:tab w:val="clear" w:pos="900"/>
        </w:tabs>
        <w:rPr>
          <w:rFonts w:hint="eastAsia" w:ascii="宋体" w:hAnsi="宋体" w:cs="宋体"/>
          <w:color w:val="auto"/>
          <w:sz w:val="24"/>
          <w:szCs w:val="24"/>
          <w:highlight w:val="none"/>
        </w:rPr>
      </w:pPr>
      <w:bookmarkStart w:id="31" w:name="_Toc5396"/>
      <w:bookmarkStart w:id="32" w:name="_Toc529533584"/>
      <w:bookmarkStart w:id="33" w:name="_Toc29986020"/>
      <w:bookmarkStart w:id="34" w:name="_Toc30152"/>
      <w:bookmarkStart w:id="35" w:name="_Toc37696016"/>
      <w:r>
        <w:rPr>
          <w:rFonts w:hint="eastAsia" w:ascii="宋体" w:hAnsi="宋体" w:cs="宋体"/>
          <w:color w:val="auto"/>
          <w:sz w:val="24"/>
          <w:szCs w:val="24"/>
          <w:highlight w:val="none"/>
        </w:rPr>
        <w:t>运营</w:t>
      </w:r>
      <w:bookmarkEnd w:id="31"/>
      <w:bookmarkEnd w:id="32"/>
      <w:bookmarkEnd w:id="33"/>
      <w:bookmarkEnd w:id="34"/>
      <w:r>
        <w:rPr>
          <w:rFonts w:hint="eastAsia" w:ascii="宋体" w:hAnsi="宋体" w:cs="宋体"/>
          <w:color w:val="auto"/>
          <w:sz w:val="24"/>
          <w:szCs w:val="24"/>
          <w:highlight w:val="none"/>
        </w:rPr>
        <w:t>服务标准</w:t>
      </w:r>
      <w:bookmarkEnd w:id="35"/>
    </w:p>
    <w:p w14:paraId="6F8790B6">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提供专业运营维护服务和负责VOC在线监测系统日常维护、仪器校准、数据处理等工作；</w:t>
      </w:r>
    </w:p>
    <w:p w14:paraId="7214E2C7">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负责仪器设备的耗材、配件供应及更换，确保所运营监测设施的正常运转，数据及时、准确、可靠上报；</w:t>
      </w:r>
    </w:p>
    <w:p w14:paraId="13EC63B8">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确保VOC在线监测系统能有效、正常、稳定的运转，提供设备通讯协议。</w:t>
      </w:r>
    </w:p>
    <w:p w14:paraId="33E8B4A7">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建立完善的管理制度及技术人员培训制度，组织人员建立独立的职能部门，负责日常运营及质量管理。</w:t>
      </w:r>
    </w:p>
    <w:p w14:paraId="12E4164B">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运营服务项目提供常驻技术人员 ，保障该项目日常运营维护使用。</w:t>
      </w:r>
    </w:p>
    <w:p w14:paraId="1AE37A44">
      <w:pPr>
        <w:numPr>
          <w:ilvl w:val="0"/>
          <w:numId w:val="3"/>
        </w:num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运营目标：</w:t>
      </w:r>
    </w:p>
    <w:p w14:paraId="486CF03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VOC在线监测系统：VOC在线监测系统运转率达到80%%及以上(设备运转率=实际运转小时数÷应当运转的总小时数)；</w:t>
      </w:r>
    </w:p>
    <w:p w14:paraId="0F96FB72">
      <w:pPr>
        <w:spacing w:line="360" w:lineRule="auto"/>
        <w:ind w:left="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系统监控数据：监控数据传输有效率达到80%以上。</w:t>
      </w:r>
    </w:p>
    <w:p w14:paraId="36E4456F">
      <w:pPr>
        <w:spacing w:line="360" w:lineRule="auto"/>
        <w:ind w:firstLine="424" w:firstLineChars="1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通信及数据传输设备：数据传输率达到80%及以上(数据传输率=实际传输数据量÷应当传输的总数据量)。</w:t>
      </w:r>
    </w:p>
    <w:p w14:paraId="1910B17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7）运维成果要求运维报告提交</w:t>
      </w:r>
    </w:p>
    <w:p w14:paraId="1C14BC86">
      <w:pPr>
        <w:numPr>
          <w:ilvl w:val="0"/>
          <w:numId w:val="4"/>
        </w:numPr>
        <w:tabs>
          <w:tab w:val="left" w:pos="840"/>
          <w:tab w:val="clear" w:pos="432"/>
        </w:tabs>
        <w:spacing w:line="360" w:lineRule="auto"/>
        <w:ind w:left="84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每周周四17：00之前提交上一周至当天中午12：00监测数据报表（excel格式），报表内容包含外标校准、经质控审核的浓度数据，数据模板由用户提供。</w:t>
      </w:r>
    </w:p>
    <w:p w14:paraId="3AEB00A1">
      <w:pPr>
        <w:numPr>
          <w:ilvl w:val="0"/>
          <w:numId w:val="4"/>
        </w:numPr>
        <w:tabs>
          <w:tab w:val="left" w:pos="840"/>
          <w:tab w:val="clear" w:pos="432"/>
        </w:tabs>
        <w:spacing w:line="360" w:lineRule="auto"/>
        <w:ind w:left="84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每月10号前提交上月月度质控数据报表（excel格式）。</w:t>
      </w:r>
    </w:p>
    <w:p w14:paraId="096E8E63">
      <w:pPr>
        <w:numPr>
          <w:ilvl w:val="0"/>
          <w:numId w:val="4"/>
        </w:numPr>
        <w:tabs>
          <w:tab w:val="left" w:pos="840"/>
          <w:tab w:val="clear" w:pos="432"/>
        </w:tabs>
        <w:spacing w:line="360" w:lineRule="auto"/>
        <w:ind w:left="84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每月10号前提交上月运维记录及运维总结（word格式）</w:t>
      </w:r>
    </w:p>
    <w:p w14:paraId="5B7C7350">
      <w:pPr>
        <w:numPr>
          <w:ilvl w:val="0"/>
          <w:numId w:val="4"/>
        </w:numPr>
        <w:tabs>
          <w:tab w:val="left" w:pos="840"/>
          <w:tab w:val="clear" w:pos="432"/>
        </w:tabs>
        <w:spacing w:line="360" w:lineRule="auto"/>
        <w:ind w:left="840" w:hanging="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每季度提交上一季度外标法质控结果和</w:t>
      </w:r>
      <w:bookmarkStart w:id="36" w:name="OLE_LINK6"/>
      <w:bookmarkStart w:id="37" w:name="OLE_LINK5"/>
      <w:r>
        <w:rPr>
          <w:rFonts w:hint="eastAsia" w:ascii="宋体" w:hAnsi="宋体" w:eastAsia="宋体" w:cs="宋体"/>
          <w:color w:val="auto"/>
          <w:sz w:val="24"/>
          <w:szCs w:val="24"/>
          <w:highlight w:val="none"/>
        </w:rPr>
        <w:t>质控评价报</w:t>
      </w:r>
      <w:bookmarkEnd w:id="36"/>
      <w:bookmarkEnd w:id="37"/>
      <w:r>
        <w:rPr>
          <w:rFonts w:hint="eastAsia" w:ascii="宋体" w:hAnsi="宋体" w:eastAsia="宋体" w:cs="宋体"/>
          <w:color w:val="auto"/>
          <w:sz w:val="24"/>
          <w:szCs w:val="24"/>
          <w:highlight w:val="none"/>
        </w:rPr>
        <w:t>表（excel格式）</w:t>
      </w:r>
    </w:p>
    <w:p w14:paraId="5559D210">
      <w:pPr>
        <w:pStyle w:val="101"/>
        <w:numPr>
          <w:ilvl w:val="0"/>
          <w:numId w:val="3"/>
        </w:numPr>
        <w:spacing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半年维护结束</w:t>
      </w:r>
      <w:r>
        <w:rPr>
          <w:rFonts w:hint="eastAsia" w:ascii="宋体" w:hAnsi="宋体" w:eastAsia="宋体"/>
          <w:b/>
          <w:color w:val="auto"/>
          <w:sz w:val="24"/>
          <w:szCs w:val="24"/>
          <w:highlight w:val="none"/>
        </w:rPr>
        <w:t>/</w:t>
      </w:r>
      <w:r>
        <w:rPr>
          <w:rFonts w:hint="eastAsia" w:ascii="宋体" w:hAnsi="宋体" w:eastAsia="宋体"/>
          <w:color w:val="auto"/>
          <w:sz w:val="24"/>
          <w:szCs w:val="24"/>
          <w:highlight w:val="none"/>
        </w:rPr>
        <w:t>年维护结束后15个工作日内提交半年/年度维护质控报</w:t>
      </w:r>
    </w:p>
    <w:p w14:paraId="743CC295">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spacing w:val="-2"/>
          <w:kern w:val="0"/>
          <w:sz w:val="24"/>
          <w:szCs w:val="24"/>
          <w:highlight w:val="none"/>
        </w:rPr>
      </w:pPr>
    </w:p>
    <w:p w14:paraId="699AEFF3">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spacing w:val="-2"/>
          <w:kern w:val="0"/>
          <w:sz w:val="24"/>
          <w:szCs w:val="24"/>
          <w:highlight w:val="none"/>
        </w:rPr>
      </w:pPr>
      <w:r>
        <w:rPr>
          <w:rFonts w:ascii="宋体" w:hAnsi="宋体" w:eastAsia="宋体" w:cs="宋体"/>
          <w:snapToGrid w:val="0"/>
          <w:color w:val="auto"/>
          <w:spacing w:val="-2"/>
          <w:kern w:val="0"/>
          <w:sz w:val="24"/>
          <w:szCs w:val="24"/>
          <w:highlight w:val="none"/>
        </w:rPr>
        <w:t>1.4.</w:t>
      </w:r>
      <w:r>
        <w:rPr>
          <w:rFonts w:hint="eastAsia" w:ascii="宋体" w:hAnsi="宋体" w:eastAsia="宋体" w:cs="宋体"/>
          <w:snapToGrid w:val="0"/>
          <w:color w:val="auto"/>
          <w:spacing w:val="-2"/>
          <w:kern w:val="0"/>
          <w:sz w:val="24"/>
          <w:szCs w:val="24"/>
          <w:highlight w:val="none"/>
        </w:rPr>
        <w:t>3</w:t>
      </w:r>
      <w:r>
        <w:rPr>
          <w:rFonts w:ascii="宋体" w:hAnsi="宋体" w:eastAsia="宋体" w:cs="宋体"/>
          <w:snapToGrid w:val="0"/>
          <w:color w:val="auto"/>
          <w:spacing w:val="-2"/>
          <w:kern w:val="0"/>
          <w:sz w:val="24"/>
          <w:szCs w:val="24"/>
          <w:highlight w:val="none"/>
        </w:rPr>
        <w:t xml:space="preserve"> </w:t>
      </w:r>
      <w:r>
        <w:rPr>
          <w:rFonts w:hint="eastAsia" w:ascii="宋体" w:hAnsi="宋体" w:eastAsia="宋体" w:cs="宋体"/>
          <w:snapToGrid w:val="0"/>
          <w:color w:val="auto"/>
          <w:spacing w:val="-2"/>
          <w:kern w:val="0"/>
          <w:sz w:val="24"/>
          <w:szCs w:val="24"/>
          <w:highlight w:val="none"/>
        </w:rPr>
        <w:t>非甲烷总烃在线</w:t>
      </w:r>
      <w:r>
        <w:rPr>
          <w:rFonts w:ascii="宋体" w:hAnsi="宋体" w:eastAsia="宋体" w:cs="宋体"/>
          <w:snapToGrid w:val="0"/>
          <w:color w:val="auto"/>
          <w:spacing w:val="-2"/>
          <w:kern w:val="0"/>
          <w:sz w:val="24"/>
          <w:szCs w:val="24"/>
          <w:highlight w:val="none"/>
        </w:rPr>
        <w:t>监测系统</w:t>
      </w:r>
    </w:p>
    <w:p w14:paraId="56FCB939">
      <w:pPr>
        <w:pStyle w:val="5"/>
        <w:tabs>
          <w:tab w:val="left" w:pos="-945"/>
          <w:tab w:val="left" w:pos="0"/>
          <w:tab w:val="clear" w:pos="900"/>
        </w:tabs>
        <w:rPr>
          <w:rFonts w:hint="eastAsia" w:ascii="宋体" w:hAnsi="宋体"/>
          <w:color w:val="auto"/>
          <w:sz w:val="24"/>
          <w:szCs w:val="24"/>
          <w:highlight w:val="none"/>
        </w:rPr>
      </w:pPr>
      <w:r>
        <w:rPr>
          <w:rFonts w:hint="eastAsia" w:ascii="宋体" w:hAnsi="宋体"/>
          <w:color w:val="auto"/>
          <w:sz w:val="24"/>
          <w:szCs w:val="24"/>
          <w:highlight w:val="none"/>
        </w:rPr>
        <w:t>运维服务内容</w:t>
      </w:r>
    </w:p>
    <w:p w14:paraId="445DDFB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提供专门的售后服务团队，服务团队要确保设备正常、有效和稳定运行，保障监测数据及时、准确上传。</w:t>
      </w:r>
    </w:p>
    <w:p w14:paraId="1099E11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服务范围包括：负责所有监测仪器、质控设备、数据采集与传输设备、辅助设备等基础设施的日常维护、质量控制、故障维修、年度检修、检定、数据分析等工作。</w:t>
      </w:r>
    </w:p>
    <w:p w14:paraId="52C385F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负责整个项目的所有相关费用包括监测设备及附属设施的维护维修费、备件耗材标气费、人工费、平台维护费、电力系统保障费、电费、通讯费等。</w:t>
      </w:r>
    </w:p>
    <w:p w14:paraId="26533DA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完善的巡检制度，对设备运行环境检查，确保无干扰因素；及时更换耗材及备件，定期进行仪器状态巡检核查并完成预防性技术检修；严格执行相关质控措施，对异常情况制定应急应对措施；确保各项监测仪器正常稳定运行并与指定的平台联网。</w:t>
      </w:r>
    </w:p>
    <w:p w14:paraId="3C78A3DE">
      <w:pPr>
        <w:pStyle w:val="5"/>
        <w:tabs>
          <w:tab w:val="left" w:pos="-945"/>
          <w:tab w:val="left" w:pos="0"/>
          <w:tab w:val="clear" w:pos="900"/>
        </w:tabs>
        <w:rPr>
          <w:rFonts w:hint="eastAsia" w:ascii="宋体" w:hAnsi="宋体"/>
          <w:color w:val="auto"/>
          <w:sz w:val="24"/>
          <w:szCs w:val="24"/>
          <w:highlight w:val="none"/>
        </w:rPr>
      </w:pPr>
      <w:r>
        <w:rPr>
          <w:rFonts w:hint="eastAsia" w:ascii="宋体" w:hAnsi="宋体"/>
          <w:color w:val="auto"/>
          <w:sz w:val="24"/>
          <w:szCs w:val="24"/>
          <w:highlight w:val="none"/>
        </w:rPr>
        <w:t>运维管理</w:t>
      </w:r>
      <w:r>
        <w:rPr>
          <w:rFonts w:ascii="宋体" w:hAnsi="宋体"/>
          <w:color w:val="auto"/>
          <w:sz w:val="24"/>
          <w:szCs w:val="24"/>
          <w:highlight w:val="none"/>
        </w:rPr>
        <w:t>制度</w:t>
      </w:r>
    </w:p>
    <w:p w14:paraId="29C7D91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内部实行持证上岗机制，即通过客观公正的技能等级评价，确定人员上岗资格，同时为职级晋升、薪酬调整等人力资源管理工作提供客观依据。技能考核每季度进行一次，技术服务人员技能考核通过后，才能获得享受相应技能等级待遇资格（每年调整一次技能工资），以此提升人员学习技能积极性、主动性。</w:t>
      </w:r>
    </w:p>
    <w:p w14:paraId="096B3B00">
      <w:pPr>
        <w:ind w:firstLine="48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另外，参与站点运维人员，必须在一年内取得省级及以上环保部门颁发的空气自动监测领域上岗证。</w:t>
      </w:r>
      <w:r>
        <w:rPr>
          <w:rFonts w:ascii="宋体" w:hAnsi="宋体" w:eastAsia="宋体"/>
          <w:color w:val="auto"/>
          <w:sz w:val="24"/>
          <w:szCs w:val="24"/>
          <w:highlight w:val="none"/>
        </w:rPr>
        <w:t>为确保本项目实施和运营各项工作目标的实现，我司制定了完整严格的管理流程和制度，这些流程和制度目录</w:t>
      </w:r>
      <w:r>
        <w:rPr>
          <w:rFonts w:hint="eastAsia" w:ascii="宋体" w:hAnsi="宋体" w:eastAsia="宋体"/>
          <w:color w:val="auto"/>
          <w:sz w:val="24"/>
          <w:szCs w:val="24"/>
          <w:highlight w:val="none"/>
        </w:rPr>
        <w:t>如下</w:t>
      </w:r>
      <w:r>
        <w:rPr>
          <w:rFonts w:ascii="宋体" w:hAnsi="宋体" w:eastAsia="宋体"/>
          <w:color w:val="auto"/>
          <w:sz w:val="24"/>
          <w:szCs w:val="24"/>
          <w:highlight w:val="none"/>
        </w:rPr>
        <w:t>：</w:t>
      </w:r>
    </w:p>
    <w:tbl>
      <w:tblPr>
        <w:tblStyle w:val="63"/>
        <w:tblW w:w="8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7"/>
        <w:gridCol w:w="4078"/>
      </w:tblGrid>
      <w:tr w14:paraId="0F3C3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5" w:type="dxa"/>
            <w:gridSpan w:val="2"/>
            <w:vAlign w:val="center"/>
          </w:tcPr>
          <w:p w14:paraId="02A10CA7">
            <w:pPr>
              <w:jc w:val="center"/>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运</w:t>
            </w:r>
            <w:r>
              <w:rPr>
                <w:rFonts w:ascii="宋体" w:hAnsi="宋体" w:eastAsia="宋体"/>
                <w:b/>
                <w:color w:val="auto"/>
                <w:sz w:val="24"/>
                <w:szCs w:val="24"/>
                <w:highlight w:val="none"/>
              </w:rPr>
              <w:t>维管理制度</w:t>
            </w:r>
          </w:p>
        </w:tc>
      </w:tr>
      <w:tr w14:paraId="2F12B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25BBA987">
            <w:pPr>
              <w:jc w:val="center"/>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1、现场运营管理制度</w:t>
            </w:r>
          </w:p>
        </w:tc>
        <w:tc>
          <w:tcPr>
            <w:tcW w:w="4078" w:type="dxa"/>
            <w:vAlign w:val="center"/>
          </w:tcPr>
          <w:p w14:paraId="03CA7BA2">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8、</w:t>
            </w:r>
            <w:r>
              <w:rPr>
                <w:rFonts w:hint="eastAsia" w:ascii="宋体" w:hAnsi="宋体" w:eastAsia="宋体" w:cs="宋体"/>
                <w:bCs/>
                <w:color w:val="auto"/>
                <w:sz w:val="24"/>
                <w:szCs w:val="24"/>
                <w:highlight w:val="none"/>
              </w:rPr>
              <w:t>例会制度</w:t>
            </w:r>
          </w:p>
        </w:tc>
      </w:tr>
      <w:tr w14:paraId="5B0E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088C1FCD">
            <w:pPr>
              <w:jc w:val="center"/>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2、岗位责任制度</w:t>
            </w:r>
          </w:p>
        </w:tc>
        <w:tc>
          <w:tcPr>
            <w:tcW w:w="4078" w:type="dxa"/>
            <w:vAlign w:val="center"/>
          </w:tcPr>
          <w:p w14:paraId="4DBB469E">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9、</w:t>
            </w:r>
            <w:r>
              <w:rPr>
                <w:rFonts w:hint="eastAsia" w:ascii="宋体" w:hAnsi="宋体" w:eastAsia="宋体" w:cs="宋体"/>
                <w:bCs/>
                <w:color w:val="auto"/>
                <w:sz w:val="24"/>
                <w:szCs w:val="24"/>
                <w:highlight w:val="none"/>
              </w:rPr>
              <w:t>库房管理办法</w:t>
            </w:r>
          </w:p>
        </w:tc>
      </w:tr>
      <w:tr w14:paraId="3FB5A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52E08B69">
            <w:pPr>
              <w:jc w:val="center"/>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3、安全保密制度</w:t>
            </w:r>
          </w:p>
        </w:tc>
        <w:tc>
          <w:tcPr>
            <w:tcW w:w="4078" w:type="dxa"/>
            <w:vAlign w:val="center"/>
          </w:tcPr>
          <w:p w14:paraId="46A3A640">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10、</w:t>
            </w:r>
            <w:r>
              <w:rPr>
                <w:rFonts w:hint="eastAsia" w:ascii="宋体" w:hAnsi="宋体" w:eastAsia="宋体" w:cs="宋体"/>
                <w:bCs/>
                <w:color w:val="auto"/>
                <w:sz w:val="24"/>
                <w:szCs w:val="24"/>
                <w:highlight w:val="none"/>
              </w:rPr>
              <w:t>运</w:t>
            </w:r>
            <w:r>
              <w:rPr>
                <w:rFonts w:ascii="宋体" w:hAnsi="宋体" w:eastAsia="宋体" w:cs="宋体"/>
                <w:bCs/>
                <w:color w:val="auto"/>
                <w:sz w:val="24"/>
                <w:szCs w:val="24"/>
                <w:highlight w:val="none"/>
              </w:rPr>
              <w:t>营机构</w:t>
            </w:r>
            <w:r>
              <w:rPr>
                <w:rFonts w:hint="eastAsia" w:ascii="宋体" w:hAnsi="宋体" w:eastAsia="宋体" w:cs="宋体"/>
                <w:bCs/>
                <w:color w:val="auto"/>
                <w:sz w:val="24"/>
                <w:szCs w:val="24"/>
                <w:highlight w:val="none"/>
              </w:rPr>
              <w:t>管理办法</w:t>
            </w:r>
          </w:p>
        </w:tc>
      </w:tr>
      <w:tr w14:paraId="095F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78E618A6">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w:t>
            </w:r>
            <w:r>
              <w:rPr>
                <w:rFonts w:hint="eastAsia" w:ascii="宋体" w:hAnsi="宋体" w:eastAsia="宋体" w:cs="宋体"/>
                <w:bCs/>
                <w:color w:val="auto"/>
                <w:sz w:val="24"/>
                <w:szCs w:val="24"/>
                <w:highlight w:val="none"/>
              </w:rPr>
              <w:t>报告管理制度</w:t>
            </w:r>
          </w:p>
        </w:tc>
        <w:tc>
          <w:tcPr>
            <w:tcW w:w="4078" w:type="dxa"/>
            <w:vAlign w:val="center"/>
          </w:tcPr>
          <w:p w14:paraId="1897CDAA">
            <w:pPr>
              <w:jc w:val="center"/>
              <w:rPr>
                <w:rFonts w:hint="eastAsia" w:ascii="宋体" w:hAnsi="宋体" w:eastAsia="宋体"/>
                <w:color w:val="auto"/>
                <w:sz w:val="24"/>
                <w:szCs w:val="24"/>
                <w:highlight w:val="none"/>
              </w:rPr>
            </w:pPr>
            <w:r>
              <w:rPr>
                <w:rFonts w:hint="eastAsia" w:ascii="宋体" w:hAnsi="宋体" w:eastAsia="宋体" w:cs="宋体"/>
                <w:bCs/>
                <w:color w:val="auto"/>
                <w:sz w:val="24"/>
                <w:szCs w:val="24"/>
                <w:highlight w:val="none"/>
              </w:rPr>
              <w:t>11、考勤管理制度</w:t>
            </w:r>
          </w:p>
        </w:tc>
      </w:tr>
      <w:tr w14:paraId="09FC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680EB58A">
            <w:pPr>
              <w:jc w:val="center"/>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hint="eastAsia" w:ascii="宋体" w:hAnsi="宋体" w:eastAsia="宋体"/>
                <w:color w:val="auto"/>
                <w:sz w:val="24"/>
                <w:szCs w:val="24"/>
                <w:highlight w:val="none"/>
              </w:rPr>
              <w:t>、</w:t>
            </w:r>
            <w:r>
              <w:rPr>
                <w:rFonts w:hint="eastAsia" w:ascii="宋体" w:hAnsi="宋体" w:eastAsia="宋体" w:cs="宋体"/>
                <w:bCs/>
                <w:color w:val="auto"/>
                <w:sz w:val="24"/>
                <w:szCs w:val="24"/>
                <w:highlight w:val="none"/>
              </w:rPr>
              <w:t>实验室管理制度</w:t>
            </w:r>
          </w:p>
        </w:tc>
        <w:tc>
          <w:tcPr>
            <w:tcW w:w="4078" w:type="dxa"/>
            <w:vAlign w:val="center"/>
          </w:tcPr>
          <w:p w14:paraId="05CF9D2B">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w:t>
            </w:r>
            <w:r>
              <w:rPr>
                <w:rFonts w:hint="eastAsia" w:ascii="宋体" w:hAnsi="宋体" w:eastAsia="宋体" w:cs="宋体"/>
                <w:bCs/>
                <w:color w:val="auto"/>
                <w:sz w:val="24"/>
                <w:szCs w:val="24"/>
                <w:highlight w:val="none"/>
              </w:rPr>
              <w:t>绩效考核制度</w:t>
            </w:r>
          </w:p>
        </w:tc>
      </w:tr>
      <w:tr w14:paraId="5EA3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2830F754">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w:t>
            </w:r>
            <w:r>
              <w:rPr>
                <w:rFonts w:hint="eastAsia" w:ascii="宋体" w:hAnsi="宋体" w:eastAsia="宋体" w:cs="宋体"/>
                <w:bCs/>
                <w:color w:val="auto"/>
                <w:sz w:val="24"/>
                <w:szCs w:val="24"/>
                <w:highlight w:val="none"/>
              </w:rPr>
              <w:t>技术档案管理制度</w:t>
            </w:r>
          </w:p>
        </w:tc>
        <w:tc>
          <w:tcPr>
            <w:tcW w:w="4078" w:type="dxa"/>
            <w:vAlign w:val="center"/>
          </w:tcPr>
          <w:p w14:paraId="0AD78092">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13、备品备件管理规范</w:t>
            </w:r>
          </w:p>
        </w:tc>
      </w:tr>
      <w:tr w14:paraId="0743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417" w:type="dxa"/>
            <w:vAlign w:val="center"/>
          </w:tcPr>
          <w:p w14:paraId="2604B484">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7、</w:t>
            </w:r>
            <w:r>
              <w:rPr>
                <w:rFonts w:hint="eastAsia" w:ascii="宋体" w:hAnsi="宋体" w:eastAsia="宋体" w:cs="宋体"/>
                <w:bCs/>
                <w:color w:val="auto"/>
                <w:sz w:val="24"/>
                <w:szCs w:val="24"/>
                <w:highlight w:val="none"/>
              </w:rPr>
              <w:t>运维管理督查制度</w:t>
            </w:r>
          </w:p>
        </w:tc>
        <w:tc>
          <w:tcPr>
            <w:tcW w:w="4078" w:type="dxa"/>
            <w:vAlign w:val="center"/>
          </w:tcPr>
          <w:p w14:paraId="368E63DF">
            <w:pPr>
              <w:jc w:val="center"/>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14、</w:t>
            </w:r>
            <w:r>
              <w:rPr>
                <w:rFonts w:hint="eastAsia" w:ascii="宋体" w:hAnsi="宋体" w:eastAsia="宋体" w:cs="宋体"/>
                <w:bCs/>
                <w:color w:val="auto"/>
                <w:sz w:val="24"/>
                <w:szCs w:val="24"/>
                <w:highlight w:val="none"/>
              </w:rPr>
              <w:t>车辆管理规定</w:t>
            </w:r>
          </w:p>
        </w:tc>
      </w:tr>
    </w:tbl>
    <w:p w14:paraId="477B2989">
      <w:pPr>
        <w:pStyle w:val="105"/>
        <w:numPr>
          <w:ilvl w:val="0"/>
          <w:numId w:val="5"/>
        </w:numPr>
        <w:tabs>
          <w:tab w:val="left" w:pos="420"/>
        </w:tabs>
        <w:ind w:left="0" w:firstLine="0" w:firstLineChars="0"/>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现场运行管理制度</w:t>
      </w:r>
    </w:p>
    <w:p w14:paraId="1E39F17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不能盲目操作设备，应先检查上一次的运行维护记录，检查设备工作参数，若设备参数发生变化，应做好记录，并恢复设备参数；</w:t>
      </w:r>
    </w:p>
    <w:p w14:paraId="6709665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不得随意停止设备运行，若的确需要停运设备进行检查，应提前更换备机；</w:t>
      </w:r>
    </w:p>
    <w:p w14:paraId="68A16DD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检查站房内辅助设备的工作情况，发现问题及时联系，尽快恢复，并记录；</w:t>
      </w:r>
    </w:p>
    <w:p w14:paraId="3FB331B9">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按照规定事件每周对所运营设备进行巡检，巡检人员按照设备的使用说明和日常维护规范操作、维护设备；</w:t>
      </w:r>
    </w:p>
    <w:p w14:paraId="6B02AB6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检查、维护、清洗设备的采样装置，预防设备因采样装置堵塞造成设备故障，并记录；</w:t>
      </w:r>
    </w:p>
    <w:p w14:paraId="1140E9F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检查、维护设备，对监测设备的整个工作流程进行检查，发现问题及时修复，并记录；</w:t>
      </w:r>
    </w:p>
    <w:p w14:paraId="6D69DE5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发现设备报警信息，应马上记录和处理；</w:t>
      </w:r>
    </w:p>
    <w:p w14:paraId="70F0F25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设备故障在24小时内不能处理、修复的，应及时上报上级主管领导，申请备机，并做好记录；</w:t>
      </w:r>
    </w:p>
    <w:p w14:paraId="0B6F603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检查设备历史数据，发现异常值应及时查明分析原因，并做好记录记录；</w:t>
      </w:r>
    </w:p>
    <w:p w14:paraId="6A1F5FA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检查设备耗材使用情况，发现异常或不足应及时更换或补充，并记录；</w:t>
      </w:r>
    </w:p>
    <w:p w14:paraId="32002DC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根据校准周期及国家相关标准规定，对设备进行校准、校验、测试等工作，并记录；</w:t>
      </w:r>
    </w:p>
    <w:p w14:paraId="3D555DE3">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认真填写“巡检维护记录单”，并仔细核对，确认无误后签字；</w:t>
      </w:r>
    </w:p>
    <w:p w14:paraId="43C39B6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将现场设备出现的异常情况，如异常值、校准值以及其他维护数据以快报和周报形式及时上报上级主管领导；</w:t>
      </w:r>
    </w:p>
    <w:p w14:paraId="65E6EE4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第十四条 设备维护完毕后，应作以下工作：</w:t>
      </w:r>
    </w:p>
    <w:p w14:paraId="5ED07E56">
      <w:pPr>
        <w:numPr>
          <w:ilvl w:val="0"/>
          <w:numId w:val="6"/>
        </w:numPr>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打扫卫生、检查设备和电路</w:t>
      </w:r>
    </w:p>
    <w:p w14:paraId="0EC4493D">
      <w:pPr>
        <w:numPr>
          <w:ilvl w:val="0"/>
          <w:numId w:val="6"/>
        </w:numPr>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认真核对维护记录单和其他各种规定的记录</w:t>
      </w:r>
    </w:p>
    <w:p w14:paraId="73A0842F">
      <w:pPr>
        <w:numPr>
          <w:ilvl w:val="0"/>
          <w:numId w:val="6"/>
        </w:numPr>
        <w:spacing w:line="360" w:lineRule="auto"/>
        <w:ind w:left="420" w:leftChars="20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请仪器负责人对此次维修结果进行确认</w:t>
      </w:r>
    </w:p>
    <w:p w14:paraId="6347FFE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第十五条 严格遵守公司安全保密制度，不得将设备运行记录和数据带出现场；</w:t>
      </w:r>
    </w:p>
    <w:p w14:paraId="1FB6011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第十六条 不得瞒报、谎报设备故障和异常数据；</w:t>
      </w:r>
    </w:p>
    <w:p w14:paraId="2C2A67C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第十七条 设备运行维护人员发生变更时，应将全部技术资料、原始记录交接清楚。</w:t>
      </w:r>
    </w:p>
    <w:p w14:paraId="246F8D4F">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运维人员的岗位职责</w:t>
      </w:r>
    </w:p>
    <w:p w14:paraId="1E05D86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负责运营仪器的安装、调试、维护、维修、校验等工作，</w:t>
      </w:r>
    </w:p>
    <w:p w14:paraId="47F80A9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负责运营设备的周巡检工作，按照设备巡检流程维护设备，及时发现问题及时排除隐患，并向公司报告；负责运营设备的校验工作，保证设备的准确性；</w:t>
      </w:r>
    </w:p>
    <w:p w14:paraId="177FFA3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按照运营经理的指示对故障设备进行紧急抢修、恢复设备正常运行，并向公司提交快报；</w:t>
      </w:r>
    </w:p>
    <w:p w14:paraId="5349559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提高自身素质修养，树立良好的公司形象；</w:t>
      </w:r>
    </w:p>
    <w:p w14:paraId="07034FA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服从中心主任的调派，高质量、高效率完成本职工作，并进行客户信息的整理工作；</w:t>
      </w:r>
    </w:p>
    <w:p w14:paraId="06D703C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每日做好工作记录，并有每日总结；</w:t>
      </w:r>
    </w:p>
    <w:p w14:paraId="4792F4E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每周对自己的工作进行总结，形成周报，提交中心主任汇总。</w:t>
      </w:r>
    </w:p>
    <w:p w14:paraId="4942134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有强的敬业精神、科学的工作态度和相互配合的优良作风。</w:t>
      </w:r>
    </w:p>
    <w:p w14:paraId="2F4B7F1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自动监测的组织者应对整个系统具有全面的了解和较强的组织能力。</w:t>
      </w:r>
    </w:p>
    <w:p w14:paraId="25DACEB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各岗位人员对本专业应具有足够的技术知识和一定的实际工作能力。</w:t>
      </w:r>
    </w:p>
    <w:p w14:paraId="7EF93A6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能正确和熟练掌握仪器设备的操作和使用，能迅速判断故障和及时排除故障。</w:t>
      </w:r>
    </w:p>
    <w:p w14:paraId="7D6D401F">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必须接受技术培训和考核，获得相应的上岗证书；每个季度接受公司技能考核，不合格人员需重新考核上岗；每个季度接受公司安排进行轮岗；</w:t>
      </w:r>
    </w:p>
    <w:p w14:paraId="6A41C4C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第十三条  操作人员按国家相关规定，经培训考核合格，持证上岗。</w:t>
      </w:r>
    </w:p>
    <w:p w14:paraId="6270BCA3">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安全保密制度</w:t>
      </w:r>
    </w:p>
    <w:p w14:paraId="3B165E04">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第一条</w:t>
      </w:r>
      <w:r>
        <w:rPr>
          <w:rFonts w:ascii="宋体" w:hAnsi="宋体" w:eastAsia="宋体"/>
          <w:color w:val="auto"/>
          <w:sz w:val="24"/>
          <w:szCs w:val="24"/>
          <w:highlight w:val="none"/>
        </w:rPr>
        <w:t xml:space="preserve"> 为保证运营工作的顺利开展，放置信息外露，特制定本制度。</w:t>
      </w:r>
    </w:p>
    <w:p w14:paraId="04785DE9">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第二条</w:t>
      </w:r>
      <w:r>
        <w:rPr>
          <w:rFonts w:ascii="宋体" w:hAnsi="宋体" w:eastAsia="宋体"/>
          <w:color w:val="auto"/>
          <w:sz w:val="24"/>
          <w:szCs w:val="24"/>
          <w:highlight w:val="none"/>
        </w:rPr>
        <w:t xml:space="preserve"> 未经批准，运营人员严禁私自将运营有关记录、数据、资料抄录、复制和擅自带出监测站房，并严禁对外泄密，若运发现营人员泄密，将对其采取开除处理；</w:t>
      </w:r>
    </w:p>
    <w:p w14:paraId="1F119D5C">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第三条</w:t>
      </w:r>
      <w:r>
        <w:rPr>
          <w:rFonts w:ascii="宋体" w:hAnsi="宋体" w:eastAsia="宋体"/>
          <w:color w:val="auto"/>
          <w:sz w:val="24"/>
          <w:szCs w:val="24"/>
          <w:highlight w:val="none"/>
        </w:rPr>
        <w:t xml:space="preserve"> 在环保检查中，未经批准，运营人员严禁将环保检查的行踪、目的等信息对外泄密，若运发现营人员泄密，将对其采取开除处理。</w:t>
      </w:r>
    </w:p>
    <w:p w14:paraId="57B0F11A">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报告管理制度</w:t>
      </w:r>
    </w:p>
    <w:p w14:paraId="44D47707">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为完善运营服务日常管理，保障公司内部的信息对称，完善员工的激励和约束机制，促进各项工作顺利开展，制定本制度。</w:t>
      </w:r>
    </w:p>
    <w:p w14:paraId="7E5CB48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工作日报是指员工每天总结当日工作内容，向运营经理报告当天工作情况、完成结果、工作计划和工作建议的书面材料。</w:t>
      </w:r>
    </w:p>
    <w:p w14:paraId="5A48DBB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工作周报是指员工每周一以前总结上周工作内容，向运营经理报上周工作情况、完成结果、工作计划和工作建议的书面材料。</w:t>
      </w:r>
    </w:p>
    <w:p w14:paraId="0B27130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工作月报是指员工每月最后一个工作日之前总结当月工作内容，向运营经理报告当月工作情况、完成结果、工作计划和工作建议的书面材料，运营经理汇总后报主管环保部门审查。</w:t>
      </w:r>
    </w:p>
    <w:p w14:paraId="5CC7E34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工作年报是运营经理汇总一年工作内容，向主管环保部门报告当年内运营工作及考核情况的书面材料。</w:t>
      </w:r>
    </w:p>
    <w:p w14:paraId="648B081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工作报告应当语句通顺、层次分明、简明扼要、重点突出。工作内容要分项写，有过程，更要有工作结果。受挫没完成，必须说明原因，以及后续安排或替代方案。遇有紧急事项，应当随时报告。</w:t>
      </w:r>
    </w:p>
    <w:p w14:paraId="36E7477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员工进行工作报告时，如涉及的有关事项有附件或成果、证据材料的应当一并附后。</w:t>
      </w:r>
    </w:p>
    <w:p w14:paraId="14C1805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工作报告内容应当实事求是，凡严重失实或凭空捏造的工作报告，一经查实视为缺报。</w:t>
      </w:r>
    </w:p>
    <w:p w14:paraId="14CC2B7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员工本人须独立完成工作报告，不得相互抄袭，不得以他人名义为他人代报，也不得要求他人以自己名义为自己代报，更不得将自己工作报告事物安排给其他人代理。</w:t>
      </w:r>
    </w:p>
    <w:p w14:paraId="4D32D7A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第九条 档案管理人员负责汇总及考核接收的工作报告等所有材料，并上报运营经理审核。每天接收的工作报告等有关材料，应当及时做好整理、登记、归档工作，一人一档。</w:t>
      </w:r>
    </w:p>
    <w:p w14:paraId="4595FB2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第十条 每月根据有关报告汇总情况对报告人员进行考核。</w:t>
      </w:r>
    </w:p>
    <w:p w14:paraId="63016FA0">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第十一条 运营经理对员工工作报告情况可随时进行监督和检查，并将工作报告完成情况作为岗位绩效考评的重要内容之一进行考评。</w:t>
      </w:r>
    </w:p>
    <w:p w14:paraId="42350B2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第十二条 运营经理应当充分利用工作报告的形式，及时发现工作中存在的问题，制定详细工作计划。</w:t>
      </w:r>
    </w:p>
    <w:p w14:paraId="044BE1DD">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技术档案管理制度</w:t>
      </w:r>
    </w:p>
    <w:p w14:paraId="28C3212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加强对技术档案的管理，确保技术档案的齐全、完整、准确和安全，发挥技术档案在在线监测中，对水环境的记录历史、显现现在和预测未来的作用，促进在线参数监测工作的进步，有效地保护好档案，最大限度地延长档案寿命，实现档案管理科学、制度、规范化，特制度档案库房管理制度。根据《技术档案工作条例》制定本制度。</w:t>
      </w:r>
    </w:p>
    <w:p w14:paraId="2F195AB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第一条 技术档案指各监测站活动中，形成的归档保存的各种图纸、图表、文字材料、计算材料等技术文件材料，同时还包括：各种与技术相关的文件、行文、信函、标准、规范、制度。</w:t>
      </w:r>
    </w:p>
    <w:p w14:paraId="0D8DA954">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第二条 技术档案工作是技术管理、科研管理的重要组成部分，各站必须将技术文件材料的形成，积累整理，归档纳入各站责任范围，现场记录必须在现场及时填写，有专业维护人员的签字。工作程序和有关人员的岗位责任制，并进行严格考核。</w:t>
      </w:r>
    </w:p>
    <w:p w14:paraId="4893853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第三条 归档要及时、准确。严禁有重要档案丢失破损现象发生。可从技术档案中查阅和了解仪器设备的使用、维修和性能检验等全部历史资料，以对运行的各台仪器设备做出正确评价。技术档案应对入库的档案进行收集、分类、整理、编号、编目、立卷、登记、建帐，做到帐物相符。与仪器相关的记录可放置在现场，所有记 录均应妥善保存。并用计算机管理档案，做到科学管理。</w:t>
      </w:r>
    </w:p>
    <w:p w14:paraId="7F6BC5AA">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第四条 各站形成的技术文件材料，必须按一个技术项目进行配套，加以系统管理，组成案卷，填写保管期限，注明密级，经技术负责人审查后，集中统一管理，任何人不得据为已有。</w:t>
      </w:r>
    </w:p>
    <w:p w14:paraId="21221C8D">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第五条 已归档技术图纸、说明书的修改，补充应先请示领导，履行审批手续，并做好标识。</w:t>
      </w:r>
    </w:p>
    <w:p w14:paraId="2A12CEB3">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第六条 建立技术档案的收进、移出总登记薄和分类登记薄，及时登记。编制检索工具，做好档案的借阅、查阅登记和利用工作。每年年未，要对技术档案的数量、利用情况进行统计。</w:t>
      </w:r>
    </w:p>
    <w:p w14:paraId="1C2077C6">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第七条 认真做好技术档案的八防工作（即防火、防盗、防潮、防晒、防鼠、防尘、防污染、防蛀），定期检查，发现问题，及时处理。保持库房和办公室的整洁卫生。</w:t>
      </w:r>
    </w:p>
    <w:p w14:paraId="702B1C9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第八条 技术档案管理实行专人管理、专人负责制度。库房管理人员工作变动时，必须办理交接手续。</w:t>
      </w:r>
    </w:p>
    <w:p w14:paraId="63C84EC7">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备品备件管理制度</w:t>
      </w:r>
    </w:p>
    <w:p w14:paraId="5D20E3F1">
      <w:pPr>
        <w:numPr>
          <w:ilvl w:val="0"/>
          <w:numId w:val="7"/>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范围</w:t>
      </w:r>
    </w:p>
    <w:p w14:paraId="046D98C0">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为了有效规范售后人员对备品备件的管理和使用，指导售后人员对备品备件的申领、整理、摆放、 寄回、更换、台账登记等，提高备件管理和使用效率, 减少积压和浪费、提高备品备件的利用率、降低 采购成本和节约储备资金特制订本标准。</w:t>
      </w:r>
    </w:p>
    <w:p w14:paraId="1FFDB49F">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本标准适用于本项目的备品备件的管理。</w:t>
      </w:r>
    </w:p>
    <w:p w14:paraId="5CF36D95">
      <w:pPr>
        <w:numPr>
          <w:ilvl w:val="0"/>
          <w:numId w:val="7"/>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职责</w:t>
      </w:r>
    </w:p>
    <w:p w14:paraId="0C3DD9D2">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仓库账务组</w:t>
      </w:r>
    </w:p>
    <w:p w14:paraId="3C4011CF">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根据领料工单上的物料需求进行采购下单。</w:t>
      </w:r>
    </w:p>
    <w:p w14:paraId="5E5B5528">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检验员</w:t>
      </w:r>
    </w:p>
    <w:p w14:paraId="50A438ED">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负责所有备品备件出入库的检验。 </w:t>
      </w:r>
    </w:p>
    <w:p w14:paraId="5A419448">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备品备件库人员</w:t>
      </w:r>
    </w:p>
    <w:p w14:paraId="5B195B61">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备品备件库人员根据采购单对采购的备件进行检验并验收入库；对不符合使用要求的备件，有权不办理入库。 </w:t>
      </w:r>
    </w:p>
    <w:p w14:paraId="7508F5E5">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售后技术人员</w:t>
      </w:r>
    </w:p>
    <w:p w14:paraId="6254EB20">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售后技术人员根据项目需求报障、发起工程领料服务流程。</w:t>
      </w:r>
    </w:p>
    <w:p w14:paraId="48B8B01D">
      <w:pPr>
        <w:numPr>
          <w:ilvl w:val="0"/>
          <w:numId w:val="7"/>
        </w:num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管理方法与内容</w:t>
      </w:r>
    </w:p>
    <w:p w14:paraId="274DDBBD">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备品备件申请</w:t>
      </w:r>
    </w:p>
    <w:p w14:paraId="2B5EBB9D">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售后技术人员根据客户需求上报采购计划，每月 10 号前提交需求至仓管账务组。 仓库账务人员根据提交的需求，结合已有的备品备件数量，进行汇总，汇总后统一报部门总监审批， 审批通过后下单至采购部门，由采购统一采购后发放至售后备品备件库。</w:t>
      </w:r>
    </w:p>
    <w:p w14:paraId="222A16A2">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备品备件领取</w:t>
      </w:r>
    </w:p>
    <w:p w14:paraId="4584291B">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售后人员统一发起工程领料服务流程，相对应的负责人审核通过后，由仓库物流组人员统一安排打包。当天的领料工单审核时间截止 17:30，超过此时间的工单物料将于第二天统一打包。</w:t>
      </w:r>
    </w:p>
    <w:p w14:paraId="30D4B659">
      <w:pPr>
        <w:numPr>
          <w:ilvl w:val="0"/>
          <w:numId w:val="8"/>
        </w:numPr>
        <w:spacing w:line="360" w:lineRule="auto"/>
        <w:ind w:left="0"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备品备件销账</w:t>
      </w:r>
    </w:p>
    <w:p w14:paraId="592D28B3">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售后人员领取的备品备件后，现场有问题物料寄回公司返修，修好的检验入库、销账。寄回无法 维修需报废备品备件则由返修人员发起报废销账，并邮件通知仓库账务组。 部分易耗品备件无法归还时，在仓库组定期（两周一次）拉出个人备件的系统清单核对，个人需在清单上标识清楚，经公司领导同意后由账务组统一消帐。</w:t>
      </w:r>
    </w:p>
    <w:p w14:paraId="53471825">
      <w:pPr>
        <w:numPr>
          <w:ilvl w:val="0"/>
          <w:numId w:val="7"/>
        </w:numPr>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备品备件仓库管理规范</w:t>
      </w:r>
    </w:p>
    <w:p w14:paraId="734D0E28">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备品备件的存储要遵循以下三个原则：</w:t>
      </w:r>
    </w:p>
    <w:p w14:paraId="48CB51F2">
      <w:pPr>
        <w:numPr>
          <w:ilvl w:val="0"/>
          <w:numId w:val="9"/>
        </w:numPr>
        <w:spacing w:line="360" w:lineRule="auto"/>
        <w:ind w:firstLine="480" w:firstLineChars="200"/>
        <w:jc w:val="left"/>
        <w:rPr>
          <w:rFonts w:hint="eastAsia" w:ascii="宋体" w:hAnsi="宋体" w:eastAsia="宋体" w:cs="宋体"/>
          <w:color w:val="auto"/>
          <w:sz w:val="24"/>
          <w:szCs w:val="24"/>
          <w:highlight w:val="none"/>
        </w:rPr>
      </w:pPr>
      <w:r>
        <w:rPr>
          <w:rFonts w:ascii="宋体" w:hAnsi="宋体" w:eastAsia="宋体" w:cs="宋体"/>
          <w:color w:val="auto"/>
          <w:sz w:val="24"/>
          <w:szCs w:val="24"/>
          <w:highlight w:val="none"/>
        </w:rPr>
        <w:t xml:space="preserve">防火、防水、防压、防潮； </w:t>
      </w:r>
    </w:p>
    <w:p w14:paraId="2A4BE294">
      <w:pPr>
        <w:numPr>
          <w:ilvl w:val="0"/>
          <w:numId w:val="9"/>
        </w:numPr>
        <w:spacing w:line="360" w:lineRule="auto"/>
        <w:ind w:firstLine="480" w:firstLineChars="200"/>
        <w:jc w:val="left"/>
        <w:rPr>
          <w:rFonts w:hint="eastAsia" w:ascii="宋体" w:hAnsi="宋体" w:eastAsia="宋体"/>
          <w:color w:val="auto"/>
          <w:sz w:val="24"/>
          <w:szCs w:val="24"/>
          <w:highlight w:val="none"/>
        </w:rPr>
      </w:pPr>
      <w:r>
        <w:rPr>
          <w:rFonts w:ascii="宋体" w:hAnsi="宋体" w:eastAsia="宋体" w:cs="宋体"/>
          <w:color w:val="auto"/>
          <w:sz w:val="24"/>
          <w:szCs w:val="24"/>
          <w:highlight w:val="none"/>
        </w:rPr>
        <w:t xml:space="preserve">定点、定位、定容、定量； </w:t>
      </w:r>
    </w:p>
    <w:p w14:paraId="2299EFC5">
      <w:pPr>
        <w:numPr>
          <w:ilvl w:val="0"/>
          <w:numId w:val="9"/>
        </w:numPr>
        <w:spacing w:line="360" w:lineRule="auto"/>
        <w:ind w:firstLine="480" w:firstLineChars="200"/>
        <w:jc w:val="left"/>
        <w:rPr>
          <w:rFonts w:hint="eastAsia" w:ascii="宋体" w:hAnsi="宋体" w:eastAsia="宋体"/>
          <w:color w:val="auto"/>
          <w:sz w:val="24"/>
          <w:szCs w:val="24"/>
          <w:highlight w:val="none"/>
        </w:rPr>
      </w:pPr>
      <w:r>
        <w:rPr>
          <w:rFonts w:ascii="宋体" w:hAnsi="宋体" w:eastAsia="宋体" w:cs="宋体"/>
          <w:color w:val="auto"/>
          <w:sz w:val="24"/>
          <w:szCs w:val="24"/>
          <w:highlight w:val="none"/>
        </w:rPr>
        <w:t xml:space="preserve">先进先出。 </w:t>
      </w:r>
    </w:p>
    <w:p w14:paraId="47113E4E">
      <w:pPr>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物料出入库材料卡需登记清楚，做到有据可循，保持帐卡物一致。</w:t>
      </w:r>
    </w:p>
    <w:p w14:paraId="1C4E82F3">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运维管理督查制度</w:t>
      </w:r>
    </w:p>
    <w:p w14:paraId="097B879E">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保证运维质量，我公司制定了严格的质量考核制度，量化运维考核内容，各项考核指标落实到责任人，确保按质按量的顺利完成运维工作。中心协管员和质量控制组将配合相关部门对现场工作进行定期的督察考核。</w:t>
      </w:r>
    </w:p>
    <w:p w14:paraId="5D4E4E5C">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督查内容包括：①定期对各处点位的环境空气自动监控设施运行情况进行现场检查；②定期对自动监控设施质量控制和质量保证工作进行检查；③配合监控平台对自动监控系统数据出现超标超量等异常情况，进行现场检查、取证。</w:t>
      </w:r>
    </w:p>
    <w:p w14:paraId="3540E562">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数据</w:t>
      </w:r>
      <w:r>
        <w:rPr>
          <w:rFonts w:ascii="宋体" w:hAnsi="宋体"/>
          <w:color w:val="auto"/>
          <w:sz w:val="24"/>
          <w:szCs w:val="24"/>
          <w:highlight w:val="none"/>
        </w:rPr>
        <w:t>质量控制制度</w:t>
      </w:r>
    </w:p>
    <w:p w14:paraId="693264A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提高现场应急保障机制顺利实施，我公司建立了专门数据监控部门-数据管理中心。数据管理中心7*24小时进行数据监控，发现问题，立即下发服务任务，服务人员按照下达的工作任务单执行维修工作，做好相应记录，发现问题及时处理和反馈。</w:t>
      </w:r>
    </w:p>
    <w:p w14:paraId="1F1ADD69">
      <w:pPr>
        <w:numPr>
          <w:ilvl w:val="0"/>
          <w:numId w:val="1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数据监控</w:t>
      </w:r>
    </w:p>
    <w:p w14:paraId="6F562691">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我公司对现场仪器数据监控分为最基础的软件分析——人工监控——数据审核——处理流程——处理结果几个阶段组成。</w:t>
      </w:r>
    </w:p>
    <w:p w14:paraId="7C321BDD">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数据最初的软件分析：现场运营的监控数据接入监控平台、软件自动分析——经软件对现场数据分析后分为三种形式——正常数据——异常数据——维护数据。</w:t>
      </w:r>
    </w:p>
    <w:p w14:paraId="7FE60235">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在日常人工监控中，对正常数据进行相应的审核——对异常数据要判断数据异常的类型并做好相应的记录（例如数据是倒挂数据、负值数据、离群数据、不变数据、缺失数据）-——对于维护数据要判断是校准数据还是质控数据。</w:t>
      </w:r>
    </w:p>
    <w:p w14:paraId="27EE3FCB">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对于数据正常经过自动审核——数据有效审核通过；对于逻辑关系异常的数据——则要进入应急事件处理——提供数据有效的证明复核数据——如不能提供相应的证明则判断数据无效向用户和公司报告。</w:t>
      </w:r>
    </w:p>
    <w:p w14:paraId="5603E8A2">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对于异常数据数据管理中心在进行数据审核时要对原因进行分析——原因主要表现为联网问题（判断是否停电断网）——状态数据（判断仪器是否正常）——气象数据（判断气象条 件影响）——周边站点数据（判断是否污染造成）——对于异常的数据——则要进入应急事件处理——提供数据有效的证明复核数据——如不能提供相应的证明则判断数据无效向用户和公司报告。</w:t>
      </w:r>
    </w:p>
    <w:p w14:paraId="15BE4205">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对于质控数据合格的——数据管理中心就结合质控软件审核维护和质控报告——质控合格现场检查质控质量（通过手机APK上传相应的照片）。对于数据超差则要进入应急事件处理——提供数据有效的证明复核数据——如不能提供相应的证明则判断数据无效向用户和公司报告。</w:t>
      </w:r>
    </w:p>
    <w:p w14:paraId="6204526E">
      <w:pPr>
        <w:numPr>
          <w:ilvl w:val="0"/>
          <w:numId w:val="1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建立设备应急处置机制</w:t>
      </w:r>
    </w:p>
    <w:p w14:paraId="0EDFC501">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针对各型号设备制定相应的处置办法，备齐相应配件及诊断工具。在故障发生后1小时内实施远程故障响应，无法远程修复的在故障发生后2小时内根据预判故障类型携带备件、备机赶到现场处理，预判在故障发生后24小时内仍无法排除的，应提前安排人员安装调试备机。更换分析仪主要装置或整机，应重新调试校准后方可投入运行，并向环保部门提交备案登记表。</w:t>
      </w:r>
    </w:p>
    <w:p w14:paraId="6FFB8F5B">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数采仪、传输线路进行维护，故障时我公司将及时维修或进行整机（配件）更换。当数据采集传输因通讯中断造成漏发时，保证可以以自动及人工请求等方式补发特定时段数据。在规定时限完成数据处理、报备事项凭证上传，配合环保部门进行数据审核。</w:t>
      </w:r>
    </w:p>
    <w:p w14:paraId="428B0DCE">
      <w:pPr>
        <w:numPr>
          <w:ilvl w:val="0"/>
          <w:numId w:val="1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维护工作进行电子表格化管理，并对人员工作进行任务计划管控</w:t>
      </w:r>
    </w:p>
    <w:p w14:paraId="01B796C8">
      <w:pPr>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维修人员每天登陆管理软件提交工作报表，数据监控中心人员结合工作报表电话回访用户，检查服务人员工作完成情况和工作质量。运营人员每天上报的维修记录自动存入软件系统中，在每月自动生成运营月报，经过管理人员审核后自动发送给相关领导和用户。</w:t>
      </w:r>
    </w:p>
    <w:p w14:paraId="3925E151">
      <w:pPr>
        <w:pStyle w:val="5"/>
        <w:tabs>
          <w:tab w:val="left" w:pos="-945"/>
          <w:tab w:val="left" w:pos="0"/>
          <w:tab w:val="clear" w:pos="900"/>
        </w:tabs>
        <w:rPr>
          <w:rFonts w:hint="eastAsia" w:ascii="宋体" w:hAnsi="宋体"/>
          <w:color w:val="auto"/>
          <w:sz w:val="24"/>
          <w:szCs w:val="24"/>
          <w:highlight w:val="none"/>
        </w:rPr>
      </w:pPr>
      <w:r>
        <w:rPr>
          <w:rFonts w:hint="eastAsia" w:ascii="宋体" w:hAnsi="宋体"/>
          <w:color w:val="auto"/>
          <w:sz w:val="24"/>
          <w:szCs w:val="24"/>
          <w:highlight w:val="none"/>
        </w:rPr>
        <w:t>巡检</w:t>
      </w:r>
      <w:r>
        <w:rPr>
          <w:rFonts w:ascii="宋体" w:hAnsi="宋体"/>
          <w:color w:val="auto"/>
          <w:sz w:val="24"/>
          <w:szCs w:val="24"/>
          <w:highlight w:val="none"/>
        </w:rPr>
        <w:t>方案</w:t>
      </w:r>
    </w:p>
    <w:p w14:paraId="3D292D7C">
      <w:pPr>
        <w:pStyle w:val="6"/>
        <w:tabs>
          <w:tab w:val="left" w:pos="0"/>
        </w:tabs>
        <w:rPr>
          <w:rFonts w:hint="eastAsia" w:ascii="宋体" w:hAnsi="宋体"/>
          <w:color w:val="auto"/>
          <w:sz w:val="24"/>
          <w:szCs w:val="24"/>
          <w:highlight w:val="none"/>
        </w:rPr>
      </w:pPr>
      <w:bookmarkStart w:id="38" w:name="_Toc7826"/>
      <w:bookmarkStart w:id="39" w:name="_Toc19683"/>
      <w:r>
        <w:rPr>
          <w:rFonts w:ascii="宋体" w:hAnsi="宋体"/>
          <w:color w:val="auto"/>
          <w:sz w:val="24"/>
          <w:szCs w:val="24"/>
          <w:highlight w:val="none"/>
        </w:rPr>
        <w:t>巡检规范</w:t>
      </w:r>
      <w:bookmarkEnd w:id="38"/>
    </w:p>
    <w:p w14:paraId="71FFD352">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定期清洁站房周围环境，始终保持站房内部环境清洁，布置整齐，各种仪器设备干净清洁，设备标识清楚；</w:t>
      </w:r>
    </w:p>
    <w:p w14:paraId="4D33D743">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定期检查供电、电话通讯的情况，保证系统能够正常稳定运行；</w:t>
      </w:r>
    </w:p>
    <w:p w14:paraId="52EB7C68">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定期检查空调的设置及工作状态，保持站房内温度在25</w:t>
      </w:r>
      <w:r>
        <w:rPr>
          <w:rFonts w:hint="eastAsia" w:ascii="宋体" w:hAnsi="宋体" w:cs="宋体"/>
          <w:color w:val="auto"/>
          <w:sz w:val="24"/>
          <w:szCs w:val="24"/>
          <w:highlight w:val="none"/>
        </w:rPr>
        <w:t>℃</w:t>
      </w:r>
      <w:r>
        <w:rPr>
          <w:rFonts w:ascii="宋体" w:hAnsi="宋体"/>
          <w:color w:val="auto"/>
          <w:sz w:val="24"/>
          <w:szCs w:val="24"/>
          <w:highlight w:val="none"/>
        </w:rPr>
        <w:t>左右，站房内温度日波动范围小于3</w:t>
      </w:r>
      <w:r>
        <w:rPr>
          <w:rFonts w:hint="eastAsia" w:ascii="宋体" w:hAnsi="宋体" w:cs="宋体"/>
          <w:color w:val="auto"/>
          <w:sz w:val="24"/>
          <w:szCs w:val="24"/>
          <w:highlight w:val="none"/>
        </w:rPr>
        <w:t>℃</w:t>
      </w:r>
      <w:r>
        <w:rPr>
          <w:rFonts w:ascii="宋体" w:hAnsi="宋体"/>
          <w:color w:val="auto"/>
          <w:sz w:val="24"/>
          <w:szCs w:val="24"/>
          <w:highlight w:val="none"/>
        </w:rPr>
        <w:t xml:space="preserve">，相对湿度保持在80%RH以下，保证仪器的正常运行； </w:t>
      </w:r>
    </w:p>
    <w:p w14:paraId="1AFD8F4E">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运维工程师定期检查设备是否固定牢固，在门窗关闭良好，人走关门，非工作人员未经许可不得入内；</w:t>
      </w:r>
    </w:p>
    <w:p w14:paraId="5D8B4547">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定期检查消防和安全设施；</w:t>
      </w:r>
    </w:p>
    <w:p w14:paraId="4612EFB4">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每次维护后做好系统运行维护记录；</w:t>
      </w:r>
    </w:p>
    <w:p w14:paraId="0F3A251E">
      <w:pPr>
        <w:pStyle w:val="219"/>
        <w:numPr>
          <w:ilvl w:val="0"/>
          <w:numId w:val="11"/>
        </w:numPr>
        <w:ind w:left="0" w:firstLine="484" w:firstLineChars="202"/>
        <w:jc w:val="left"/>
        <w:rPr>
          <w:rFonts w:hint="eastAsia" w:ascii="宋体" w:hAnsi="宋体"/>
          <w:color w:val="auto"/>
          <w:sz w:val="24"/>
          <w:szCs w:val="24"/>
          <w:highlight w:val="none"/>
        </w:rPr>
      </w:pPr>
      <w:r>
        <w:rPr>
          <w:rFonts w:ascii="宋体" w:hAnsi="宋体"/>
          <w:color w:val="auto"/>
          <w:sz w:val="24"/>
          <w:szCs w:val="24"/>
          <w:highlight w:val="none"/>
        </w:rPr>
        <w:t>进行维护时，应规范操作，注意安全，防止意外发生。</w:t>
      </w:r>
    </w:p>
    <w:p w14:paraId="4924214A">
      <w:pPr>
        <w:pStyle w:val="6"/>
        <w:tabs>
          <w:tab w:val="left" w:pos="0"/>
        </w:tabs>
        <w:rPr>
          <w:rFonts w:hint="eastAsia" w:ascii="宋体" w:hAnsi="宋体"/>
          <w:color w:val="auto"/>
          <w:sz w:val="24"/>
          <w:szCs w:val="24"/>
          <w:highlight w:val="none"/>
        </w:rPr>
      </w:pPr>
      <w:r>
        <w:rPr>
          <w:rFonts w:ascii="宋体" w:hAnsi="宋体"/>
          <w:color w:val="auto"/>
          <w:sz w:val="24"/>
          <w:szCs w:val="24"/>
          <w:highlight w:val="none"/>
        </w:rPr>
        <w:t>巡检流程及内容</w:t>
      </w:r>
      <w:bookmarkEnd w:id="39"/>
    </w:p>
    <w:tbl>
      <w:tblPr>
        <w:tblStyle w:val="63"/>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942"/>
        <w:gridCol w:w="3208"/>
        <w:gridCol w:w="3396"/>
        <w:gridCol w:w="1024"/>
      </w:tblGrid>
      <w:tr w14:paraId="4AD83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91" w:type="dxa"/>
            <w:vAlign w:val="center"/>
          </w:tcPr>
          <w:p w14:paraId="4A9327A3">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步骤</w:t>
            </w:r>
          </w:p>
        </w:tc>
        <w:tc>
          <w:tcPr>
            <w:tcW w:w="942" w:type="dxa"/>
            <w:vAlign w:val="center"/>
          </w:tcPr>
          <w:p w14:paraId="1A081FBA">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项目</w:t>
            </w:r>
          </w:p>
        </w:tc>
        <w:tc>
          <w:tcPr>
            <w:tcW w:w="3208" w:type="dxa"/>
            <w:vAlign w:val="center"/>
          </w:tcPr>
          <w:p w14:paraId="69205063">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检查项目</w:t>
            </w:r>
          </w:p>
        </w:tc>
        <w:tc>
          <w:tcPr>
            <w:tcW w:w="3396" w:type="dxa"/>
            <w:vAlign w:val="center"/>
          </w:tcPr>
          <w:p w14:paraId="66A9863E">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出现问题的处理措施</w:t>
            </w:r>
          </w:p>
        </w:tc>
        <w:tc>
          <w:tcPr>
            <w:tcW w:w="1024" w:type="dxa"/>
            <w:vAlign w:val="center"/>
          </w:tcPr>
          <w:p w14:paraId="4A78E8D4">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备注</w:t>
            </w:r>
          </w:p>
        </w:tc>
      </w:tr>
      <w:tr w14:paraId="2CE91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491" w:type="dxa"/>
            <w:vAlign w:val="center"/>
          </w:tcPr>
          <w:p w14:paraId="603E6D52">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第一步</w:t>
            </w:r>
          </w:p>
        </w:tc>
        <w:tc>
          <w:tcPr>
            <w:tcW w:w="942" w:type="dxa"/>
            <w:vAlign w:val="center"/>
          </w:tcPr>
          <w:p w14:paraId="50A37973">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准备工作</w:t>
            </w:r>
          </w:p>
        </w:tc>
        <w:tc>
          <w:tcPr>
            <w:tcW w:w="3208" w:type="dxa"/>
            <w:vAlign w:val="center"/>
          </w:tcPr>
          <w:p w14:paraId="33CD9DE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准备站房钥匙、工具、配件、耗材、备机</w:t>
            </w:r>
          </w:p>
        </w:tc>
        <w:tc>
          <w:tcPr>
            <w:tcW w:w="3396" w:type="dxa"/>
            <w:vAlign w:val="center"/>
          </w:tcPr>
          <w:p w14:paraId="1E31E978">
            <w:pPr>
              <w:autoSpaceDN w:val="0"/>
              <w:textAlignment w:val="center"/>
              <w:rPr>
                <w:rFonts w:hint="eastAsia" w:ascii="宋体" w:hAnsi="宋体" w:eastAsia="宋体"/>
                <w:color w:val="auto"/>
                <w:sz w:val="24"/>
                <w:szCs w:val="24"/>
                <w:highlight w:val="none"/>
              </w:rPr>
            </w:pPr>
          </w:p>
        </w:tc>
        <w:tc>
          <w:tcPr>
            <w:tcW w:w="1024" w:type="dxa"/>
            <w:vAlign w:val="center"/>
          </w:tcPr>
          <w:p w14:paraId="1F59D43D">
            <w:pPr>
              <w:autoSpaceDN w:val="0"/>
              <w:textAlignment w:val="center"/>
              <w:rPr>
                <w:rFonts w:hint="eastAsia" w:ascii="宋体" w:hAnsi="宋体" w:eastAsia="宋体"/>
                <w:color w:val="auto"/>
                <w:sz w:val="24"/>
                <w:szCs w:val="24"/>
                <w:highlight w:val="none"/>
              </w:rPr>
            </w:pPr>
          </w:p>
        </w:tc>
      </w:tr>
      <w:tr w14:paraId="5A689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1" w:type="dxa"/>
            <w:vMerge w:val="restart"/>
            <w:vAlign w:val="center"/>
          </w:tcPr>
          <w:p w14:paraId="3DB30C5A">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第二步</w:t>
            </w:r>
          </w:p>
        </w:tc>
        <w:tc>
          <w:tcPr>
            <w:tcW w:w="942" w:type="dxa"/>
            <w:vMerge w:val="restart"/>
            <w:vAlign w:val="center"/>
          </w:tcPr>
          <w:p w14:paraId="13DABFFB">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站房外部设施检查</w:t>
            </w:r>
          </w:p>
        </w:tc>
        <w:tc>
          <w:tcPr>
            <w:tcW w:w="3208" w:type="dxa"/>
            <w:vAlign w:val="center"/>
          </w:tcPr>
          <w:p w14:paraId="366FE06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点位周围环境变化情况</w:t>
            </w:r>
          </w:p>
        </w:tc>
        <w:tc>
          <w:tcPr>
            <w:tcW w:w="3396" w:type="dxa"/>
            <w:vAlign w:val="center"/>
          </w:tcPr>
          <w:p w14:paraId="3FA9974E">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如发现点位周围有新增污染源等情况需立即通知当地环保局</w:t>
            </w:r>
          </w:p>
        </w:tc>
        <w:tc>
          <w:tcPr>
            <w:tcW w:w="1024" w:type="dxa"/>
            <w:vMerge w:val="restart"/>
            <w:vAlign w:val="center"/>
          </w:tcPr>
          <w:p w14:paraId="32A15DB9">
            <w:pPr>
              <w:autoSpaceDN w:val="0"/>
              <w:textAlignment w:val="center"/>
              <w:rPr>
                <w:rFonts w:hint="eastAsia" w:ascii="宋体" w:hAnsi="宋体" w:eastAsia="宋体"/>
                <w:color w:val="auto"/>
                <w:sz w:val="24"/>
                <w:szCs w:val="24"/>
                <w:highlight w:val="none"/>
              </w:rPr>
            </w:pPr>
          </w:p>
        </w:tc>
      </w:tr>
      <w:tr w14:paraId="7901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1" w:type="dxa"/>
            <w:vMerge w:val="continue"/>
            <w:vAlign w:val="center"/>
          </w:tcPr>
          <w:p w14:paraId="7081C3FF">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3647A345">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168B254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点位周围安全隐患、周围道路、供电线路、通讯线路、给排水设施完好或损坏状况</w:t>
            </w:r>
          </w:p>
        </w:tc>
        <w:tc>
          <w:tcPr>
            <w:tcW w:w="3396" w:type="dxa"/>
            <w:vAlign w:val="center"/>
          </w:tcPr>
          <w:p w14:paraId="60D832AA">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如发现问题影响站房安全或仪器运行则立即通知当地环保局协调解决</w:t>
            </w:r>
          </w:p>
        </w:tc>
        <w:tc>
          <w:tcPr>
            <w:tcW w:w="1024" w:type="dxa"/>
            <w:vMerge w:val="continue"/>
            <w:vAlign w:val="center"/>
          </w:tcPr>
          <w:p w14:paraId="4DC585A1">
            <w:pPr>
              <w:autoSpaceDN w:val="0"/>
              <w:textAlignment w:val="center"/>
              <w:rPr>
                <w:rFonts w:hint="eastAsia" w:ascii="宋体" w:hAnsi="宋体" w:eastAsia="宋体"/>
                <w:color w:val="auto"/>
                <w:sz w:val="24"/>
                <w:szCs w:val="24"/>
                <w:highlight w:val="none"/>
              </w:rPr>
            </w:pPr>
          </w:p>
        </w:tc>
      </w:tr>
      <w:tr w14:paraId="37AF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491" w:type="dxa"/>
            <w:vMerge w:val="continue"/>
            <w:vAlign w:val="center"/>
          </w:tcPr>
          <w:p w14:paraId="6860F641">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19233969">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7C92A073">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站房外围的防护栏、隔离带有无损坏情况</w:t>
            </w:r>
          </w:p>
        </w:tc>
        <w:tc>
          <w:tcPr>
            <w:tcW w:w="3396" w:type="dxa"/>
            <w:vAlign w:val="center"/>
          </w:tcPr>
          <w:p w14:paraId="0E1D5466">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发现有损坏或不牢固等情况需尽快</w:t>
            </w:r>
          </w:p>
        </w:tc>
        <w:tc>
          <w:tcPr>
            <w:tcW w:w="1024" w:type="dxa"/>
            <w:vMerge w:val="continue"/>
            <w:vAlign w:val="center"/>
          </w:tcPr>
          <w:p w14:paraId="771FA8D7">
            <w:pPr>
              <w:autoSpaceDN w:val="0"/>
              <w:textAlignment w:val="center"/>
              <w:rPr>
                <w:rFonts w:hint="eastAsia" w:ascii="宋体" w:hAnsi="宋体" w:eastAsia="宋体"/>
                <w:color w:val="auto"/>
                <w:sz w:val="24"/>
                <w:szCs w:val="24"/>
                <w:highlight w:val="none"/>
              </w:rPr>
            </w:pPr>
          </w:p>
        </w:tc>
      </w:tr>
      <w:tr w14:paraId="0F47D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continue"/>
            <w:vAlign w:val="center"/>
          </w:tcPr>
          <w:p w14:paraId="42AD011C">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69B6289E">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239C45EE">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周围树木是否需要修剪</w:t>
            </w:r>
          </w:p>
        </w:tc>
        <w:tc>
          <w:tcPr>
            <w:tcW w:w="3396" w:type="dxa"/>
            <w:vAlign w:val="center"/>
          </w:tcPr>
          <w:p w14:paraId="7CCE4DBD">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通知当地环保局协调城建等部门修建。</w:t>
            </w:r>
          </w:p>
        </w:tc>
        <w:tc>
          <w:tcPr>
            <w:tcW w:w="1024" w:type="dxa"/>
            <w:vMerge w:val="continue"/>
            <w:vAlign w:val="center"/>
          </w:tcPr>
          <w:p w14:paraId="3DBABBAE">
            <w:pPr>
              <w:autoSpaceDN w:val="0"/>
              <w:textAlignment w:val="center"/>
              <w:rPr>
                <w:rFonts w:hint="eastAsia" w:ascii="宋体" w:hAnsi="宋体" w:eastAsia="宋体"/>
                <w:color w:val="auto"/>
                <w:sz w:val="24"/>
                <w:szCs w:val="24"/>
                <w:highlight w:val="none"/>
              </w:rPr>
            </w:pPr>
          </w:p>
        </w:tc>
      </w:tr>
      <w:tr w14:paraId="03A9A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1" w:type="dxa"/>
            <w:vMerge w:val="continue"/>
            <w:vAlign w:val="center"/>
          </w:tcPr>
          <w:p w14:paraId="7D37110A">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4C65CF8A">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34AECE92">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站房防雷接地是否完好</w:t>
            </w:r>
          </w:p>
        </w:tc>
        <w:tc>
          <w:tcPr>
            <w:tcW w:w="3396" w:type="dxa"/>
            <w:vAlign w:val="center"/>
          </w:tcPr>
          <w:p w14:paraId="4FE69D2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现场发现底线断路等问题需立即通知区域经理并进行维修</w:t>
            </w:r>
          </w:p>
        </w:tc>
        <w:tc>
          <w:tcPr>
            <w:tcW w:w="1024" w:type="dxa"/>
            <w:vMerge w:val="continue"/>
            <w:vAlign w:val="center"/>
          </w:tcPr>
          <w:p w14:paraId="2AFC53E1">
            <w:pPr>
              <w:autoSpaceDN w:val="0"/>
              <w:textAlignment w:val="center"/>
              <w:rPr>
                <w:rFonts w:hint="eastAsia" w:ascii="宋体" w:hAnsi="宋体" w:eastAsia="宋体"/>
                <w:color w:val="auto"/>
                <w:sz w:val="24"/>
                <w:szCs w:val="24"/>
                <w:highlight w:val="none"/>
              </w:rPr>
            </w:pPr>
          </w:p>
        </w:tc>
      </w:tr>
      <w:tr w14:paraId="60E72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91" w:type="dxa"/>
            <w:vMerge w:val="continue"/>
            <w:vAlign w:val="center"/>
          </w:tcPr>
          <w:p w14:paraId="16E2B47C">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27E2A31C">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61202632">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站房屋顶是否完好，有无漏雨</w:t>
            </w:r>
          </w:p>
        </w:tc>
        <w:tc>
          <w:tcPr>
            <w:tcW w:w="3396" w:type="dxa"/>
            <w:vAlign w:val="center"/>
          </w:tcPr>
          <w:p w14:paraId="2928D4C5">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如站房屋顶有损坏或漏水迹象需立即汇报并采取解决措施</w:t>
            </w:r>
          </w:p>
        </w:tc>
        <w:tc>
          <w:tcPr>
            <w:tcW w:w="1024" w:type="dxa"/>
            <w:vMerge w:val="continue"/>
            <w:vAlign w:val="center"/>
          </w:tcPr>
          <w:p w14:paraId="6CD24E79">
            <w:pPr>
              <w:autoSpaceDN w:val="0"/>
              <w:textAlignment w:val="center"/>
              <w:rPr>
                <w:rFonts w:hint="eastAsia" w:ascii="宋体" w:hAnsi="宋体" w:eastAsia="宋体"/>
                <w:color w:val="auto"/>
                <w:sz w:val="24"/>
                <w:szCs w:val="24"/>
                <w:highlight w:val="none"/>
              </w:rPr>
            </w:pPr>
          </w:p>
        </w:tc>
      </w:tr>
      <w:tr w14:paraId="4C66F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491" w:type="dxa"/>
            <w:vMerge w:val="restart"/>
            <w:vAlign w:val="center"/>
          </w:tcPr>
          <w:p w14:paraId="1976175C">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第三步</w:t>
            </w:r>
          </w:p>
        </w:tc>
        <w:tc>
          <w:tcPr>
            <w:tcW w:w="942" w:type="dxa"/>
            <w:vMerge w:val="restart"/>
            <w:vAlign w:val="center"/>
          </w:tcPr>
          <w:p w14:paraId="6F653EA8">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站房内部设施检查</w:t>
            </w:r>
          </w:p>
        </w:tc>
        <w:tc>
          <w:tcPr>
            <w:tcW w:w="3208" w:type="dxa"/>
            <w:vAlign w:val="center"/>
          </w:tcPr>
          <w:p w14:paraId="1487370D">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消防器材是否在使用有效期内</w:t>
            </w:r>
          </w:p>
        </w:tc>
        <w:tc>
          <w:tcPr>
            <w:tcW w:w="3396" w:type="dxa"/>
            <w:vAlign w:val="center"/>
          </w:tcPr>
          <w:p w14:paraId="11B657C9">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提前汇报当地环保局并采取解决措施</w:t>
            </w:r>
          </w:p>
        </w:tc>
        <w:tc>
          <w:tcPr>
            <w:tcW w:w="1024" w:type="dxa"/>
            <w:vMerge w:val="restart"/>
            <w:vAlign w:val="center"/>
          </w:tcPr>
          <w:p w14:paraId="628E097A">
            <w:pPr>
              <w:autoSpaceDN w:val="0"/>
              <w:textAlignment w:val="center"/>
              <w:rPr>
                <w:rFonts w:hint="eastAsia" w:ascii="宋体" w:hAnsi="宋体" w:eastAsia="宋体"/>
                <w:color w:val="auto"/>
                <w:sz w:val="24"/>
                <w:szCs w:val="24"/>
                <w:highlight w:val="none"/>
              </w:rPr>
            </w:pPr>
          </w:p>
        </w:tc>
      </w:tr>
      <w:tr w14:paraId="5CBB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14EC293C">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3D6D8E82">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31DDAC2D">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站房内部的供电是否正常、通讯是否畅通</w:t>
            </w:r>
          </w:p>
        </w:tc>
        <w:tc>
          <w:tcPr>
            <w:tcW w:w="3396" w:type="dxa"/>
            <w:vAlign w:val="center"/>
          </w:tcPr>
          <w:p w14:paraId="481A5070">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根据情况进行维修</w:t>
            </w:r>
          </w:p>
        </w:tc>
        <w:tc>
          <w:tcPr>
            <w:tcW w:w="1024" w:type="dxa"/>
            <w:vMerge w:val="continue"/>
            <w:vAlign w:val="center"/>
          </w:tcPr>
          <w:p w14:paraId="5FB21EE9">
            <w:pPr>
              <w:autoSpaceDN w:val="0"/>
              <w:textAlignment w:val="center"/>
              <w:rPr>
                <w:rFonts w:hint="eastAsia" w:ascii="宋体" w:hAnsi="宋体" w:eastAsia="宋体"/>
                <w:color w:val="auto"/>
                <w:sz w:val="24"/>
                <w:szCs w:val="24"/>
                <w:highlight w:val="none"/>
              </w:rPr>
            </w:pPr>
          </w:p>
        </w:tc>
      </w:tr>
      <w:tr w14:paraId="50A5F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79DDC2BD">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4A36AA55">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7B1E9727">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站房内部给排水、供暖设施工作状况</w:t>
            </w:r>
          </w:p>
        </w:tc>
        <w:tc>
          <w:tcPr>
            <w:tcW w:w="3396" w:type="dxa"/>
            <w:vAlign w:val="center"/>
          </w:tcPr>
          <w:p w14:paraId="1D981C1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如不正常需进行维修</w:t>
            </w:r>
          </w:p>
        </w:tc>
        <w:tc>
          <w:tcPr>
            <w:tcW w:w="1024" w:type="dxa"/>
            <w:vMerge w:val="continue"/>
            <w:vAlign w:val="center"/>
          </w:tcPr>
          <w:p w14:paraId="52092C8E">
            <w:pPr>
              <w:autoSpaceDN w:val="0"/>
              <w:textAlignment w:val="center"/>
              <w:rPr>
                <w:rFonts w:hint="eastAsia" w:ascii="宋体" w:hAnsi="宋体" w:eastAsia="宋体"/>
                <w:color w:val="auto"/>
                <w:sz w:val="24"/>
                <w:szCs w:val="24"/>
                <w:highlight w:val="none"/>
              </w:rPr>
            </w:pPr>
          </w:p>
        </w:tc>
      </w:tr>
      <w:tr w14:paraId="7DC5E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571A4BB6">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5EAB2E6A">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23F848C6">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站房内有无气泵产生的异常声音</w:t>
            </w:r>
          </w:p>
        </w:tc>
        <w:tc>
          <w:tcPr>
            <w:tcW w:w="3396" w:type="dxa"/>
            <w:vAlign w:val="center"/>
          </w:tcPr>
          <w:p w14:paraId="0644E039">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如有异常则需检查产生噪音的气泵，并根据情况进行维修或更换。</w:t>
            </w:r>
          </w:p>
        </w:tc>
        <w:tc>
          <w:tcPr>
            <w:tcW w:w="1024" w:type="dxa"/>
            <w:vMerge w:val="continue"/>
            <w:vAlign w:val="center"/>
          </w:tcPr>
          <w:p w14:paraId="5C1CC08B">
            <w:pPr>
              <w:autoSpaceDN w:val="0"/>
              <w:textAlignment w:val="center"/>
              <w:rPr>
                <w:rFonts w:hint="eastAsia" w:ascii="宋体" w:hAnsi="宋体" w:eastAsia="宋体"/>
                <w:color w:val="auto"/>
                <w:sz w:val="24"/>
                <w:szCs w:val="24"/>
                <w:highlight w:val="none"/>
              </w:rPr>
            </w:pPr>
          </w:p>
        </w:tc>
      </w:tr>
      <w:tr w14:paraId="4677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6F328335">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353F3E68">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4E1F75FA">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站房内有无异常气味</w:t>
            </w:r>
          </w:p>
        </w:tc>
        <w:tc>
          <w:tcPr>
            <w:tcW w:w="3396" w:type="dxa"/>
            <w:vAlign w:val="center"/>
          </w:tcPr>
          <w:p w14:paraId="5E916F6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判断异味来源，并根据气源情况进行解决。</w:t>
            </w:r>
          </w:p>
        </w:tc>
        <w:tc>
          <w:tcPr>
            <w:tcW w:w="1024" w:type="dxa"/>
            <w:vMerge w:val="continue"/>
            <w:vAlign w:val="center"/>
          </w:tcPr>
          <w:p w14:paraId="7E53B631">
            <w:pPr>
              <w:autoSpaceDN w:val="0"/>
              <w:textAlignment w:val="center"/>
              <w:rPr>
                <w:rFonts w:hint="eastAsia" w:ascii="宋体" w:hAnsi="宋体" w:eastAsia="宋体"/>
                <w:color w:val="auto"/>
                <w:sz w:val="24"/>
                <w:szCs w:val="24"/>
                <w:highlight w:val="none"/>
              </w:rPr>
            </w:pPr>
          </w:p>
        </w:tc>
      </w:tr>
      <w:tr w14:paraId="3B3F2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68F3165A">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42AEAA48">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67768510">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自动监测室内温度、湿度是否符合要求</w:t>
            </w:r>
          </w:p>
        </w:tc>
        <w:tc>
          <w:tcPr>
            <w:tcW w:w="3396" w:type="dxa"/>
            <w:vAlign w:val="center"/>
          </w:tcPr>
          <w:p w14:paraId="2E71996D">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调整空调温度，如空调故障需请空调厂家上门维修。无不能修复需向公司申请更换。</w:t>
            </w:r>
          </w:p>
        </w:tc>
        <w:tc>
          <w:tcPr>
            <w:tcW w:w="1024" w:type="dxa"/>
            <w:vMerge w:val="continue"/>
            <w:vAlign w:val="center"/>
          </w:tcPr>
          <w:p w14:paraId="3E7BBF93">
            <w:pPr>
              <w:autoSpaceDN w:val="0"/>
              <w:textAlignment w:val="center"/>
              <w:rPr>
                <w:rFonts w:hint="eastAsia" w:ascii="宋体" w:hAnsi="宋体" w:eastAsia="宋体"/>
                <w:color w:val="auto"/>
                <w:sz w:val="24"/>
                <w:szCs w:val="24"/>
                <w:highlight w:val="none"/>
              </w:rPr>
            </w:pPr>
          </w:p>
        </w:tc>
      </w:tr>
      <w:tr w14:paraId="48BC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491" w:type="dxa"/>
            <w:vMerge w:val="continue"/>
            <w:vAlign w:val="center"/>
          </w:tcPr>
          <w:p w14:paraId="4F2BBBFA">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48A12070">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53A65FA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检查采样总管和支管有无冷凝水或污物</w:t>
            </w:r>
          </w:p>
        </w:tc>
        <w:tc>
          <w:tcPr>
            <w:tcW w:w="3396" w:type="dxa"/>
            <w:vAlign w:val="center"/>
          </w:tcPr>
          <w:p w14:paraId="7AD2D97C">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调整根据室外温度情况调整空调温度</w:t>
            </w:r>
          </w:p>
        </w:tc>
        <w:tc>
          <w:tcPr>
            <w:tcW w:w="1024" w:type="dxa"/>
            <w:vMerge w:val="continue"/>
            <w:vAlign w:val="center"/>
          </w:tcPr>
          <w:p w14:paraId="745DD9C3">
            <w:pPr>
              <w:autoSpaceDN w:val="0"/>
              <w:textAlignment w:val="center"/>
              <w:rPr>
                <w:rFonts w:hint="eastAsia" w:ascii="宋体" w:hAnsi="宋体" w:eastAsia="宋体"/>
                <w:color w:val="auto"/>
                <w:sz w:val="24"/>
                <w:szCs w:val="24"/>
                <w:highlight w:val="none"/>
              </w:rPr>
            </w:pPr>
          </w:p>
        </w:tc>
      </w:tr>
      <w:tr w14:paraId="16D6F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491" w:type="dxa"/>
            <w:vMerge w:val="continue"/>
            <w:vAlign w:val="center"/>
          </w:tcPr>
          <w:p w14:paraId="4F3EC5F5">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7480EF55">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5F1D7F6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排风扇是否正常运行</w:t>
            </w:r>
          </w:p>
        </w:tc>
        <w:tc>
          <w:tcPr>
            <w:tcW w:w="3396" w:type="dxa"/>
            <w:vMerge w:val="restart"/>
            <w:vAlign w:val="center"/>
          </w:tcPr>
          <w:p w14:paraId="606E06BB">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进行维修或更换</w:t>
            </w:r>
          </w:p>
        </w:tc>
        <w:tc>
          <w:tcPr>
            <w:tcW w:w="1024" w:type="dxa"/>
            <w:vMerge w:val="continue"/>
            <w:vAlign w:val="center"/>
          </w:tcPr>
          <w:p w14:paraId="0FF31B89">
            <w:pPr>
              <w:autoSpaceDN w:val="0"/>
              <w:textAlignment w:val="center"/>
              <w:rPr>
                <w:rFonts w:hint="eastAsia" w:ascii="宋体" w:hAnsi="宋体" w:eastAsia="宋体"/>
                <w:color w:val="auto"/>
                <w:sz w:val="24"/>
                <w:szCs w:val="24"/>
                <w:highlight w:val="none"/>
              </w:rPr>
            </w:pPr>
          </w:p>
        </w:tc>
      </w:tr>
      <w:tr w14:paraId="034A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91" w:type="dxa"/>
            <w:vMerge w:val="continue"/>
            <w:vAlign w:val="center"/>
          </w:tcPr>
          <w:p w14:paraId="0316590D">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7061E587">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5E900CC3">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稳压电源参数是否正常</w:t>
            </w:r>
          </w:p>
        </w:tc>
        <w:tc>
          <w:tcPr>
            <w:tcW w:w="3396" w:type="dxa"/>
            <w:vMerge w:val="continue"/>
            <w:vAlign w:val="center"/>
          </w:tcPr>
          <w:p w14:paraId="5F31E612">
            <w:pPr>
              <w:autoSpaceDN w:val="0"/>
              <w:textAlignment w:val="center"/>
              <w:rPr>
                <w:rFonts w:hint="eastAsia" w:ascii="宋体" w:hAnsi="宋体" w:eastAsia="宋体"/>
                <w:color w:val="auto"/>
                <w:sz w:val="24"/>
                <w:szCs w:val="24"/>
                <w:highlight w:val="none"/>
              </w:rPr>
            </w:pPr>
          </w:p>
        </w:tc>
        <w:tc>
          <w:tcPr>
            <w:tcW w:w="1024" w:type="dxa"/>
            <w:vMerge w:val="continue"/>
            <w:vAlign w:val="center"/>
          </w:tcPr>
          <w:p w14:paraId="0D3C3468">
            <w:pPr>
              <w:autoSpaceDN w:val="0"/>
              <w:textAlignment w:val="center"/>
              <w:rPr>
                <w:rFonts w:hint="eastAsia" w:ascii="宋体" w:hAnsi="宋体" w:eastAsia="宋体"/>
                <w:color w:val="auto"/>
                <w:sz w:val="24"/>
                <w:szCs w:val="24"/>
                <w:highlight w:val="none"/>
              </w:rPr>
            </w:pPr>
          </w:p>
        </w:tc>
      </w:tr>
      <w:tr w14:paraId="28C62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trPr>
        <w:tc>
          <w:tcPr>
            <w:tcW w:w="491" w:type="dxa"/>
            <w:vMerge w:val="continue"/>
            <w:vAlign w:val="center"/>
          </w:tcPr>
          <w:p w14:paraId="180754C0">
            <w:pPr>
              <w:autoSpaceDN w:val="0"/>
              <w:jc w:val="center"/>
              <w:textAlignment w:val="center"/>
              <w:rPr>
                <w:rFonts w:hint="eastAsia" w:ascii="宋体" w:hAnsi="宋体" w:eastAsia="宋体"/>
                <w:color w:val="auto"/>
                <w:sz w:val="24"/>
                <w:szCs w:val="24"/>
                <w:highlight w:val="none"/>
              </w:rPr>
            </w:pPr>
          </w:p>
        </w:tc>
        <w:tc>
          <w:tcPr>
            <w:tcW w:w="942" w:type="dxa"/>
            <w:vMerge w:val="continue"/>
            <w:vAlign w:val="center"/>
          </w:tcPr>
          <w:p w14:paraId="4C50BEC7">
            <w:pPr>
              <w:autoSpaceDN w:val="0"/>
              <w:jc w:val="center"/>
              <w:textAlignment w:val="center"/>
              <w:rPr>
                <w:rFonts w:hint="eastAsia" w:ascii="宋体" w:hAnsi="宋体" w:eastAsia="宋体"/>
                <w:color w:val="auto"/>
                <w:sz w:val="24"/>
                <w:szCs w:val="24"/>
                <w:highlight w:val="none"/>
              </w:rPr>
            </w:pPr>
          </w:p>
        </w:tc>
        <w:tc>
          <w:tcPr>
            <w:tcW w:w="3208" w:type="dxa"/>
            <w:vAlign w:val="center"/>
          </w:tcPr>
          <w:p w14:paraId="21C31914">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各电源插头、线板工作是否正常</w:t>
            </w:r>
          </w:p>
        </w:tc>
        <w:tc>
          <w:tcPr>
            <w:tcW w:w="3396" w:type="dxa"/>
            <w:vMerge w:val="continue"/>
            <w:vAlign w:val="center"/>
          </w:tcPr>
          <w:p w14:paraId="2EFF1CF4">
            <w:pPr>
              <w:autoSpaceDN w:val="0"/>
              <w:textAlignment w:val="center"/>
              <w:rPr>
                <w:rFonts w:hint="eastAsia" w:ascii="宋体" w:hAnsi="宋体" w:eastAsia="宋体"/>
                <w:color w:val="auto"/>
                <w:sz w:val="24"/>
                <w:szCs w:val="24"/>
                <w:highlight w:val="none"/>
              </w:rPr>
            </w:pPr>
          </w:p>
        </w:tc>
        <w:tc>
          <w:tcPr>
            <w:tcW w:w="1024" w:type="dxa"/>
            <w:vMerge w:val="continue"/>
            <w:vAlign w:val="center"/>
          </w:tcPr>
          <w:p w14:paraId="324B1736">
            <w:pPr>
              <w:autoSpaceDN w:val="0"/>
              <w:textAlignment w:val="center"/>
              <w:rPr>
                <w:rFonts w:hint="eastAsia" w:ascii="宋体" w:hAnsi="宋体" w:eastAsia="宋体"/>
                <w:color w:val="auto"/>
                <w:sz w:val="24"/>
                <w:szCs w:val="24"/>
                <w:highlight w:val="none"/>
              </w:rPr>
            </w:pPr>
          </w:p>
        </w:tc>
      </w:tr>
      <w:tr w14:paraId="0E0B2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91" w:type="dxa"/>
            <w:vMerge w:val="restart"/>
            <w:vAlign w:val="center"/>
          </w:tcPr>
          <w:p w14:paraId="06BCEA0C">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第四步</w:t>
            </w:r>
          </w:p>
        </w:tc>
        <w:tc>
          <w:tcPr>
            <w:tcW w:w="942" w:type="dxa"/>
            <w:vMerge w:val="restart"/>
            <w:vAlign w:val="center"/>
          </w:tcPr>
          <w:p w14:paraId="05EFA057">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在线设备运行状态检查</w:t>
            </w:r>
          </w:p>
        </w:tc>
        <w:tc>
          <w:tcPr>
            <w:tcW w:w="3208" w:type="dxa"/>
            <w:vAlign w:val="center"/>
          </w:tcPr>
          <w:p w14:paraId="24E583A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检查设备有无报警</w:t>
            </w:r>
          </w:p>
        </w:tc>
        <w:tc>
          <w:tcPr>
            <w:tcW w:w="3396" w:type="dxa"/>
            <w:vAlign w:val="center"/>
          </w:tcPr>
          <w:p w14:paraId="00D6EE4E">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根据报警信息对仪器进行检修</w:t>
            </w:r>
          </w:p>
        </w:tc>
        <w:tc>
          <w:tcPr>
            <w:tcW w:w="1024" w:type="dxa"/>
            <w:vAlign w:val="center"/>
          </w:tcPr>
          <w:p w14:paraId="03DAE7F8">
            <w:pPr>
              <w:autoSpaceDN w:val="0"/>
              <w:textAlignment w:val="center"/>
              <w:rPr>
                <w:rFonts w:hint="eastAsia" w:ascii="宋体" w:hAnsi="宋体" w:eastAsia="宋体"/>
                <w:color w:val="auto"/>
                <w:sz w:val="24"/>
                <w:szCs w:val="24"/>
                <w:highlight w:val="none"/>
              </w:rPr>
            </w:pPr>
          </w:p>
        </w:tc>
      </w:tr>
      <w:tr w14:paraId="40D60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continue"/>
            <w:vAlign w:val="center"/>
          </w:tcPr>
          <w:p w14:paraId="70002071">
            <w:pPr>
              <w:rPr>
                <w:rFonts w:hint="eastAsia" w:ascii="宋体" w:hAnsi="宋体" w:eastAsia="宋体"/>
                <w:color w:val="auto"/>
                <w:sz w:val="24"/>
                <w:szCs w:val="24"/>
                <w:highlight w:val="none"/>
              </w:rPr>
            </w:pPr>
          </w:p>
        </w:tc>
        <w:tc>
          <w:tcPr>
            <w:tcW w:w="942" w:type="dxa"/>
            <w:vMerge w:val="continue"/>
            <w:vAlign w:val="center"/>
          </w:tcPr>
          <w:p w14:paraId="4B796A6F">
            <w:pPr>
              <w:rPr>
                <w:rFonts w:hint="eastAsia" w:ascii="宋体" w:hAnsi="宋体" w:eastAsia="宋体"/>
                <w:color w:val="auto"/>
                <w:sz w:val="24"/>
                <w:szCs w:val="24"/>
                <w:highlight w:val="none"/>
              </w:rPr>
            </w:pPr>
          </w:p>
        </w:tc>
        <w:tc>
          <w:tcPr>
            <w:tcW w:w="3208" w:type="dxa"/>
            <w:vAlign w:val="center"/>
          </w:tcPr>
          <w:p w14:paraId="45E90B5E">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检查仪器主要参数（流量、压力、温度、电压等）并填写巡检记录</w:t>
            </w:r>
          </w:p>
        </w:tc>
        <w:tc>
          <w:tcPr>
            <w:tcW w:w="3396" w:type="dxa"/>
            <w:vAlign w:val="center"/>
          </w:tcPr>
          <w:p w14:paraId="340B58D5">
            <w:pPr>
              <w:rPr>
                <w:rFonts w:hint="eastAsia" w:ascii="宋体" w:hAnsi="宋体" w:eastAsia="宋体"/>
                <w:color w:val="auto"/>
                <w:sz w:val="24"/>
                <w:szCs w:val="24"/>
                <w:highlight w:val="none"/>
              </w:rPr>
            </w:pPr>
            <w:r>
              <w:rPr>
                <w:rFonts w:ascii="宋体" w:hAnsi="宋体" w:eastAsia="宋体"/>
                <w:color w:val="auto"/>
                <w:sz w:val="24"/>
                <w:szCs w:val="24"/>
                <w:highlight w:val="none"/>
              </w:rPr>
              <w:t>同上次巡检记录进行对比，如仪器参数有故障趋势则需对仪器进行关注或对参数进行调整</w:t>
            </w:r>
          </w:p>
        </w:tc>
        <w:tc>
          <w:tcPr>
            <w:tcW w:w="1024" w:type="dxa"/>
            <w:vAlign w:val="center"/>
          </w:tcPr>
          <w:p w14:paraId="0A755FD7">
            <w:pPr>
              <w:autoSpaceDN w:val="0"/>
              <w:textAlignment w:val="center"/>
              <w:rPr>
                <w:rFonts w:hint="eastAsia" w:ascii="宋体" w:hAnsi="宋体" w:eastAsia="宋体"/>
                <w:color w:val="auto"/>
                <w:sz w:val="24"/>
                <w:szCs w:val="24"/>
                <w:highlight w:val="none"/>
              </w:rPr>
            </w:pPr>
          </w:p>
        </w:tc>
      </w:tr>
      <w:tr w14:paraId="4787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33CD3AED">
            <w:pPr>
              <w:rPr>
                <w:rFonts w:hint="eastAsia" w:ascii="宋体" w:hAnsi="宋体" w:eastAsia="宋体"/>
                <w:color w:val="auto"/>
                <w:sz w:val="24"/>
                <w:szCs w:val="24"/>
                <w:highlight w:val="none"/>
              </w:rPr>
            </w:pPr>
          </w:p>
        </w:tc>
        <w:tc>
          <w:tcPr>
            <w:tcW w:w="942" w:type="dxa"/>
            <w:vMerge w:val="continue"/>
            <w:vAlign w:val="center"/>
          </w:tcPr>
          <w:p w14:paraId="0E60D0BE">
            <w:pPr>
              <w:rPr>
                <w:rFonts w:hint="eastAsia" w:ascii="宋体" w:hAnsi="宋体" w:eastAsia="宋体"/>
                <w:color w:val="auto"/>
                <w:sz w:val="24"/>
                <w:szCs w:val="24"/>
                <w:highlight w:val="none"/>
              </w:rPr>
            </w:pPr>
          </w:p>
        </w:tc>
        <w:tc>
          <w:tcPr>
            <w:tcW w:w="3208" w:type="dxa"/>
            <w:vAlign w:val="center"/>
          </w:tcPr>
          <w:p w14:paraId="0DE6E640">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检查变色硅胶等耗材的使用情况，更换滤膜</w:t>
            </w:r>
          </w:p>
        </w:tc>
        <w:tc>
          <w:tcPr>
            <w:tcW w:w="3396" w:type="dxa"/>
            <w:vAlign w:val="center"/>
          </w:tcPr>
          <w:p w14:paraId="58CD6547">
            <w:pPr>
              <w:rPr>
                <w:rFonts w:hint="eastAsia" w:ascii="宋体" w:hAnsi="宋体" w:eastAsia="宋体"/>
                <w:color w:val="auto"/>
                <w:sz w:val="24"/>
                <w:szCs w:val="24"/>
                <w:highlight w:val="none"/>
              </w:rPr>
            </w:pPr>
            <w:r>
              <w:rPr>
                <w:rFonts w:ascii="宋体" w:hAnsi="宋体" w:eastAsia="宋体"/>
                <w:color w:val="auto"/>
                <w:sz w:val="24"/>
                <w:szCs w:val="24"/>
                <w:highlight w:val="none"/>
              </w:rPr>
              <w:t>1、变色硅胶失效超过2/3需进行更换3、仪器滤膜至少每周更换一次。</w:t>
            </w:r>
          </w:p>
        </w:tc>
        <w:tc>
          <w:tcPr>
            <w:tcW w:w="1024" w:type="dxa"/>
            <w:vAlign w:val="center"/>
          </w:tcPr>
          <w:p w14:paraId="3B1EF231">
            <w:pPr>
              <w:autoSpaceDN w:val="0"/>
              <w:textAlignment w:val="center"/>
              <w:rPr>
                <w:rFonts w:hint="eastAsia" w:ascii="宋体" w:hAnsi="宋体" w:eastAsia="宋体"/>
                <w:color w:val="auto"/>
                <w:sz w:val="24"/>
                <w:szCs w:val="24"/>
                <w:highlight w:val="none"/>
              </w:rPr>
            </w:pPr>
          </w:p>
        </w:tc>
      </w:tr>
      <w:tr w14:paraId="5568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042D8130">
            <w:pPr>
              <w:rPr>
                <w:rFonts w:hint="eastAsia" w:ascii="宋体" w:hAnsi="宋体" w:eastAsia="宋体"/>
                <w:color w:val="auto"/>
                <w:sz w:val="24"/>
                <w:szCs w:val="24"/>
                <w:highlight w:val="none"/>
              </w:rPr>
            </w:pPr>
          </w:p>
        </w:tc>
        <w:tc>
          <w:tcPr>
            <w:tcW w:w="942" w:type="dxa"/>
            <w:vMerge w:val="continue"/>
            <w:vAlign w:val="center"/>
          </w:tcPr>
          <w:p w14:paraId="1D70F832">
            <w:pPr>
              <w:rPr>
                <w:rFonts w:hint="eastAsia" w:ascii="宋体" w:hAnsi="宋体" w:eastAsia="宋体"/>
                <w:color w:val="auto"/>
                <w:sz w:val="24"/>
                <w:szCs w:val="24"/>
                <w:highlight w:val="none"/>
              </w:rPr>
            </w:pPr>
          </w:p>
        </w:tc>
        <w:tc>
          <w:tcPr>
            <w:tcW w:w="3208" w:type="dxa"/>
            <w:vAlign w:val="center"/>
          </w:tcPr>
          <w:p w14:paraId="055196EB">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检查采样泵</w:t>
            </w:r>
          </w:p>
        </w:tc>
        <w:tc>
          <w:tcPr>
            <w:tcW w:w="3396" w:type="dxa"/>
            <w:vAlign w:val="center"/>
          </w:tcPr>
          <w:p w14:paraId="450BFCA3">
            <w:pPr>
              <w:rPr>
                <w:rFonts w:hint="eastAsia" w:ascii="宋体" w:hAnsi="宋体" w:eastAsia="宋体"/>
                <w:color w:val="auto"/>
                <w:sz w:val="24"/>
                <w:szCs w:val="24"/>
                <w:highlight w:val="none"/>
              </w:rPr>
            </w:pPr>
            <w:r>
              <w:rPr>
                <w:rFonts w:ascii="宋体" w:hAnsi="宋体" w:eastAsia="宋体"/>
                <w:color w:val="auto"/>
                <w:sz w:val="24"/>
                <w:szCs w:val="24"/>
                <w:highlight w:val="none"/>
              </w:rPr>
              <w:t>根据故障情况确定1、更换泵膜2、更换轴承3、更换泵</w:t>
            </w:r>
          </w:p>
        </w:tc>
        <w:tc>
          <w:tcPr>
            <w:tcW w:w="1024" w:type="dxa"/>
            <w:vAlign w:val="center"/>
          </w:tcPr>
          <w:p w14:paraId="48840419">
            <w:pPr>
              <w:autoSpaceDN w:val="0"/>
              <w:textAlignment w:val="center"/>
              <w:rPr>
                <w:rFonts w:hint="eastAsia" w:ascii="宋体" w:hAnsi="宋体" w:eastAsia="宋体"/>
                <w:color w:val="auto"/>
                <w:sz w:val="24"/>
                <w:szCs w:val="24"/>
                <w:highlight w:val="none"/>
              </w:rPr>
            </w:pPr>
          </w:p>
        </w:tc>
      </w:tr>
      <w:tr w14:paraId="51530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75F0BFBB">
            <w:pPr>
              <w:rPr>
                <w:rFonts w:hint="eastAsia" w:ascii="宋体" w:hAnsi="宋体" w:eastAsia="宋体"/>
                <w:color w:val="auto"/>
                <w:sz w:val="24"/>
                <w:szCs w:val="24"/>
                <w:highlight w:val="none"/>
              </w:rPr>
            </w:pPr>
          </w:p>
        </w:tc>
        <w:tc>
          <w:tcPr>
            <w:tcW w:w="942" w:type="dxa"/>
            <w:vMerge w:val="continue"/>
            <w:vAlign w:val="center"/>
          </w:tcPr>
          <w:p w14:paraId="1244F9DA">
            <w:pPr>
              <w:rPr>
                <w:rFonts w:hint="eastAsia" w:ascii="宋体" w:hAnsi="宋体" w:eastAsia="宋体"/>
                <w:color w:val="auto"/>
                <w:sz w:val="24"/>
                <w:szCs w:val="24"/>
                <w:highlight w:val="none"/>
              </w:rPr>
            </w:pPr>
          </w:p>
        </w:tc>
        <w:tc>
          <w:tcPr>
            <w:tcW w:w="3208" w:type="dxa"/>
            <w:vAlign w:val="center"/>
          </w:tcPr>
          <w:p w14:paraId="22C4C637">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检查设备联网参数设置是否正常，是否能正常联网</w:t>
            </w:r>
          </w:p>
        </w:tc>
        <w:tc>
          <w:tcPr>
            <w:tcW w:w="3396" w:type="dxa"/>
            <w:vAlign w:val="center"/>
          </w:tcPr>
          <w:p w14:paraId="7D3876F7">
            <w:pPr>
              <w:rPr>
                <w:rFonts w:hint="eastAsia" w:ascii="宋体" w:hAnsi="宋体" w:eastAsia="宋体"/>
                <w:color w:val="auto"/>
                <w:sz w:val="24"/>
                <w:szCs w:val="24"/>
                <w:highlight w:val="none"/>
              </w:rPr>
            </w:pPr>
            <w:r>
              <w:rPr>
                <w:rFonts w:ascii="宋体" w:hAnsi="宋体" w:eastAsia="宋体"/>
                <w:color w:val="auto"/>
                <w:sz w:val="24"/>
                <w:szCs w:val="24"/>
                <w:highlight w:val="none"/>
              </w:rPr>
              <w:t>重新启动采集仪和无线猫。若启动后仍不能正常通讯可采取替换法确定故障。</w:t>
            </w:r>
          </w:p>
        </w:tc>
        <w:tc>
          <w:tcPr>
            <w:tcW w:w="1024" w:type="dxa"/>
            <w:vAlign w:val="center"/>
          </w:tcPr>
          <w:p w14:paraId="0D0DB19C">
            <w:pPr>
              <w:autoSpaceDN w:val="0"/>
              <w:textAlignment w:val="center"/>
              <w:rPr>
                <w:rFonts w:hint="eastAsia" w:ascii="宋体" w:hAnsi="宋体" w:eastAsia="宋体"/>
                <w:color w:val="auto"/>
                <w:sz w:val="24"/>
                <w:szCs w:val="24"/>
                <w:highlight w:val="none"/>
              </w:rPr>
            </w:pPr>
          </w:p>
        </w:tc>
      </w:tr>
      <w:tr w14:paraId="08A6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Align w:val="center"/>
          </w:tcPr>
          <w:p w14:paraId="14ADDAD5">
            <w:pPr>
              <w:autoSpaceDN w:val="0"/>
              <w:jc w:val="center"/>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第七步</w:t>
            </w:r>
          </w:p>
        </w:tc>
        <w:tc>
          <w:tcPr>
            <w:tcW w:w="942" w:type="dxa"/>
            <w:vAlign w:val="center"/>
          </w:tcPr>
          <w:p w14:paraId="1F66D359">
            <w:pPr>
              <w:rPr>
                <w:rFonts w:hint="eastAsia" w:ascii="宋体" w:hAnsi="宋体" w:eastAsia="宋体"/>
                <w:color w:val="auto"/>
                <w:sz w:val="24"/>
                <w:szCs w:val="24"/>
                <w:highlight w:val="none"/>
              </w:rPr>
            </w:pPr>
            <w:r>
              <w:rPr>
                <w:rFonts w:ascii="宋体" w:hAnsi="宋体" w:eastAsia="宋体"/>
                <w:color w:val="auto"/>
                <w:sz w:val="24"/>
                <w:szCs w:val="24"/>
                <w:highlight w:val="none"/>
              </w:rPr>
              <w:t>设备校准</w:t>
            </w:r>
          </w:p>
        </w:tc>
        <w:tc>
          <w:tcPr>
            <w:tcW w:w="3208" w:type="dxa"/>
            <w:vAlign w:val="center"/>
          </w:tcPr>
          <w:p w14:paraId="4733DD63">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每周对</w:t>
            </w:r>
            <w:r>
              <w:rPr>
                <w:rFonts w:hint="eastAsia" w:ascii="宋体" w:hAnsi="宋体" w:eastAsia="宋体"/>
                <w:color w:val="auto"/>
                <w:sz w:val="24"/>
                <w:szCs w:val="24"/>
                <w:highlight w:val="none"/>
              </w:rPr>
              <w:t>监测设备</w:t>
            </w:r>
            <w:r>
              <w:rPr>
                <w:rFonts w:ascii="宋体" w:hAnsi="宋体" w:eastAsia="宋体"/>
                <w:color w:val="auto"/>
                <w:sz w:val="24"/>
                <w:szCs w:val="24"/>
                <w:highlight w:val="none"/>
              </w:rPr>
              <w:t>进行单点质控，校准完毕后填写校准记录表</w:t>
            </w:r>
          </w:p>
        </w:tc>
        <w:tc>
          <w:tcPr>
            <w:tcW w:w="3396" w:type="dxa"/>
            <w:vAlign w:val="center"/>
          </w:tcPr>
          <w:p w14:paraId="5B7F5508">
            <w:pPr>
              <w:rPr>
                <w:rFonts w:hint="eastAsia" w:ascii="宋体" w:hAnsi="宋体" w:eastAsia="宋体"/>
                <w:color w:val="auto"/>
                <w:sz w:val="24"/>
                <w:szCs w:val="24"/>
                <w:highlight w:val="none"/>
              </w:rPr>
            </w:pPr>
            <w:r>
              <w:rPr>
                <w:rFonts w:ascii="宋体" w:hAnsi="宋体" w:eastAsia="宋体"/>
                <w:color w:val="auto"/>
                <w:sz w:val="24"/>
                <w:szCs w:val="24"/>
                <w:highlight w:val="none"/>
              </w:rPr>
              <w:t>若仪器校准数据超出正常范围需对仪器进行调整。</w:t>
            </w:r>
          </w:p>
        </w:tc>
        <w:tc>
          <w:tcPr>
            <w:tcW w:w="1024" w:type="dxa"/>
            <w:vAlign w:val="center"/>
          </w:tcPr>
          <w:p w14:paraId="6171A05F">
            <w:pPr>
              <w:autoSpaceDN w:val="0"/>
              <w:textAlignment w:val="center"/>
              <w:rPr>
                <w:rFonts w:hint="eastAsia" w:ascii="宋体" w:hAnsi="宋体" w:eastAsia="宋体"/>
                <w:color w:val="auto"/>
                <w:sz w:val="24"/>
                <w:szCs w:val="24"/>
                <w:highlight w:val="none"/>
              </w:rPr>
            </w:pPr>
          </w:p>
        </w:tc>
      </w:tr>
      <w:tr w14:paraId="11684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restart"/>
            <w:vAlign w:val="center"/>
          </w:tcPr>
          <w:p w14:paraId="1685EBA9">
            <w:pPr>
              <w:rPr>
                <w:rFonts w:hint="eastAsia" w:ascii="宋体" w:hAnsi="宋体" w:eastAsia="宋体"/>
                <w:color w:val="auto"/>
                <w:sz w:val="24"/>
                <w:szCs w:val="24"/>
                <w:highlight w:val="none"/>
              </w:rPr>
            </w:pPr>
            <w:r>
              <w:rPr>
                <w:rFonts w:ascii="宋体" w:hAnsi="宋体" w:eastAsia="宋体"/>
                <w:color w:val="auto"/>
                <w:sz w:val="24"/>
                <w:szCs w:val="24"/>
                <w:highlight w:val="none"/>
              </w:rPr>
              <w:t>第八步</w:t>
            </w:r>
          </w:p>
        </w:tc>
        <w:tc>
          <w:tcPr>
            <w:tcW w:w="942" w:type="dxa"/>
            <w:vMerge w:val="restart"/>
            <w:vAlign w:val="center"/>
          </w:tcPr>
          <w:p w14:paraId="24158F20">
            <w:pPr>
              <w:rPr>
                <w:rFonts w:hint="eastAsia" w:ascii="宋体" w:hAnsi="宋体" w:eastAsia="宋体"/>
                <w:color w:val="auto"/>
                <w:sz w:val="24"/>
                <w:szCs w:val="24"/>
                <w:highlight w:val="none"/>
              </w:rPr>
            </w:pPr>
            <w:r>
              <w:rPr>
                <w:rFonts w:ascii="宋体" w:hAnsi="宋体" w:eastAsia="宋体"/>
                <w:color w:val="auto"/>
                <w:sz w:val="24"/>
                <w:szCs w:val="24"/>
                <w:highlight w:val="none"/>
              </w:rPr>
              <w:t>打扫卫生</w:t>
            </w:r>
          </w:p>
        </w:tc>
        <w:tc>
          <w:tcPr>
            <w:tcW w:w="3208" w:type="dxa"/>
            <w:vAlign w:val="center"/>
          </w:tcPr>
          <w:p w14:paraId="77A79712">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现场维护记录进行整理，保证维护记录整洁有序</w:t>
            </w:r>
          </w:p>
        </w:tc>
        <w:tc>
          <w:tcPr>
            <w:tcW w:w="3396" w:type="dxa"/>
            <w:vAlign w:val="center"/>
          </w:tcPr>
          <w:p w14:paraId="155AD8BA">
            <w:pPr>
              <w:rPr>
                <w:rFonts w:hint="eastAsia" w:ascii="宋体" w:hAnsi="宋体" w:eastAsia="宋体"/>
                <w:color w:val="auto"/>
                <w:sz w:val="24"/>
                <w:szCs w:val="24"/>
                <w:highlight w:val="none"/>
              </w:rPr>
            </w:pPr>
          </w:p>
        </w:tc>
        <w:tc>
          <w:tcPr>
            <w:tcW w:w="1024" w:type="dxa"/>
            <w:vAlign w:val="center"/>
          </w:tcPr>
          <w:p w14:paraId="58CAD18A">
            <w:pPr>
              <w:autoSpaceDN w:val="0"/>
              <w:textAlignment w:val="center"/>
              <w:rPr>
                <w:rFonts w:hint="eastAsia" w:ascii="宋体" w:hAnsi="宋体" w:eastAsia="宋体"/>
                <w:color w:val="auto"/>
                <w:sz w:val="24"/>
                <w:szCs w:val="24"/>
                <w:highlight w:val="none"/>
              </w:rPr>
            </w:pPr>
          </w:p>
        </w:tc>
      </w:tr>
      <w:tr w14:paraId="167CD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continue"/>
            <w:vAlign w:val="center"/>
          </w:tcPr>
          <w:p w14:paraId="32005FC2">
            <w:pPr>
              <w:rPr>
                <w:rFonts w:hint="eastAsia" w:ascii="宋体" w:hAnsi="宋体" w:eastAsia="宋体"/>
                <w:color w:val="auto"/>
                <w:sz w:val="24"/>
                <w:szCs w:val="24"/>
                <w:highlight w:val="none"/>
              </w:rPr>
            </w:pPr>
          </w:p>
        </w:tc>
        <w:tc>
          <w:tcPr>
            <w:tcW w:w="942" w:type="dxa"/>
            <w:vMerge w:val="continue"/>
            <w:vAlign w:val="center"/>
          </w:tcPr>
          <w:p w14:paraId="54020CE0">
            <w:pPr>
              <w:rPr>
                <w:rFonts w:hint="eastAsia" w:ascii="宋体" w:hAnsi="宋体" w:eastAsia="宋体"/>
                <w:color w:val="auto"/>
                <w:sz w:val="24"/>
                <w:szCs w:val="24"/>
                <w:highlight w:val="none"/>
              </w:rPr>
            </w:pPr>
          </w:p>
        </w:tc>
        <w:tc>
          <w:tcPr>
            <w:tcW w:w="3208" w:type="dxa"/>
            <w:vAlign w:val="center"/>
          </w:tcPr>
          <w:p w14:paraId="14AD27FD">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打扫站房桌面和设备卫生</w:t>
            </w:r>
          </w:p>
        </w:tc>
        <w:tc>
          <w:tcPr>
            <w:tcW w:w="3396" w:type="dxa"/>
            <w:vAlign w:val="center"/>
          </w:tcPr>
          <w:p w14:paraId="622E4EA9">
            <w:pPr>
              <w:autoSpaceDN w:val="0"/>
              <w:jc w:val="center"/>
              <w:textAlignment w:val="center"/>
              <w:rPr>
                <w:rFonts w:hint="eastAsia" w:ascii="宋体" w:hAnsi="宋体" w:eastAsia="宋体"/>
                <w:color w:val="auto"/>
                <w:sz w:val="24"/>
                <w:szCs w:val="24"/>
                <w:highlight w:val="none"/>
              </w:rPr>
            </w:pPr>
          </w:p>
        </w:tc>
        <w:tc>
          <w:tcPr>
            <w:tcW w:w="1024" w:type="dxa"/>
            <w:vAlign w:val="center"/>
          </w:tcPr>
          <w:p w14:paraId="6CB540FB">
            <w:pPr>
              <w:autoSpaceDN w:val="0"/>
              <w:textAlignment w:val="center"/>
              <w:rPr>
                <w:rFonts w:hint="eastAsia" w:ascii="宋体" w:hAnsi="宋体" w:eastAsia="宋体"/>
                <w:color w:val="auto"/>
                <w:sz w:val="24"/>
                <w:szCs w:val="24"/>
                <w:highlight w:val="none"/>
              </w:rPr>
            </w:pPr>
          </w:p>
        </w:tc>
      </w:tr>
      <w:tr w14:paraId="2113A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491" w:type="dxa"/>
            <w:vMerge w:val="continue"/>
            <w:vAlign w:val="center"/>
          </w:tcPr>
          <w:p w14:paraId="55DED878">
            <w:pPr>
              <w:rPr>
                <w:rFonts w:hint="eastAsia" w:ascii="宋体" w:hAnsi="宋体" w:eastAsia="宋体"/>
                <w:color w:val="auto"/>
                <w:sz w:val="24"/>
                <w:szCs w:val="24"/>
                <w:highlight w:val="none"/>
              </w:rPr>
            </w:pPr>
          </w:p>
        </w:tc>
        <w:tc>
          <w:tcPr>
            <w:tcW w:w="942" w:type="dxa"/>
            <w:vMerge w:val="continue"/>
            <w:vAlign w:val="center"/>
          </w:tcPr>
          <w:p w14:paraId="7A400D6C">
            <w:pPr>
              <w:rPr>
                <w:rFonts w:hint="eastAsia" w:ascii="宋体" w:hAnsi="宋体" w:eastAsia="宋体"/>
                <w:color w:val="auto"/>
                <w:sz w:val="24"/>
                <w:szCs w:val="24"/>
                <w:highlight w:val="none"/>
              </w:rPr>
            </w:pPr>
          </w:p>
        </w:tc>
        <w:tc>
          <w:tcPr>
            <w:tcW w:w="3208" w:type="dxa"/>
            <w:vAlign w:val="center"/>
          </w:tcPr>
          <w:p w14:paraId="3CD5294C">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打扫站房内档案卫生</w:t>
            </w:r>
          </w:p>
        </w:tc>
        <w:tc>
          <w:tcPr>
            <w:tcW w:w="3396" w:type="dxa"/>
            <w:vAlign w:val="center"/>
          </w:tcPr>
          <w:p w14:paraId="4C9D4206">
            <w:pPr>
              <w:autoSpaceDN w:val="0"/>
              <w:rPr>
                <w:rFonts w:hint="eastAsia" w:ascii="宋体" w:hAnsi="宋体" w:eastAsia="宋体"/>
                <w:color w:val="auto"/>
                <w:sz w:val="24"/>
                <w:szCs w:val="24"/>
                <w:highlight w:val="none"/>
              </w:rPr>
            </w:pPr>
          </w:p>
          <w:p w14:paraId="3594BEF9">
            <w:pPr>
              <w:autoSpaceDN w:val="0"/>
              <w:rPr>
                <w:rFonts w:hint="eastAsia" w:ascii="宋体" w:hAnsi="宋体" w:eastAsia="宋体"/>
                <w:color w:val="auto"/>
                <w:sz w:val="24"/>
                <w:szCs w:val="24"/>
                <w:highlight w:val="none"/>
              </w:rPr>
            </w:pPr>
          </w:p>
        </w:tc>
        <w:tc>
          <w:tcPr>
            <w:tcW w:w="1024" w:type="dxa"/>
            <w:vAlign w:val="center"/>
          </w:tcPr>
          <w:p w14:paraId="78D3B879">
            <w:pPr>
              <w:autoSpaceDN w:val="0"/>
              <w:textAlignment w:val="center"/>
              <w:rPr>
                <w:rFonts w:hint="eastAsia" w:ascii="宋体" w:hAnsi="宋体" w:eastAsia="宋体"/>
                <w:color w:val="auto"/>
                <w:sz w:val="24"/>
                <w:szCs w:val="24"/>
                <w:highlight w:val="none"/>
              </w:rPr>
            </w:pPr>
          </w:p>
        </w:tc>
      </w:tr>
      <w:tr w14:paraId="16E4E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continue"/>
            <w:vAlign w:val="center"/>
          </w:tcPr>
          <w:p w14:paraId="7B96D5BC">
            <w:pPr>
              <w:rPr>
                <w:rFonts w:hint="eastAsia" w:ascii="宋体" w:hAnsi="宋体" w:eastAsia="宋体"/>
                <w:color w:val="auto"/>
                <w:sz w:val="24"/>
                <w:szCs w:val="24"/>
                <w:highlight w:val="none"/>
              </w:rPr>
            </w:pPr>
          </w:p>
        </w:tc>
        <w:tc>
          <w:tcPr>
            <w:tcW w:w="942" w:type="dxa"/>
            <w:vMerge w:val="continue"/>
            <w:vAlign w:val="center"/>
          </w:tcPr>
          <w:p w14:paraId="61E6CE09">
            <w:pPr>
              <w:rPr>
                <w:rFonts w:hint="eastAsia" w:ascii="宋体" w:hAnsi="宋体" w:eastAsia="宋体"/>
                <w:color w:val="auto"/>
                <w:sz w:val="24"/>
                <w:szCs w:val="24"/>
                <w:highlight w:val="none"/>
              </w:rPr>
            </w:pPr>
          </w:p>
        </w:tc>
        <w:tc>
          <w:tcPr>
            <w:tcW w:w="3208" w:type="dxa"/>
            <w:vAlign w:val="center"/>
          </w:tcPr>
          <w:p w14:paraId="4E887AE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打扫站房地面卫生</w:t>
            </w:r>
          </w:p>
        </w:tc>
        <w:tc>
          <w:tcPr>
            <w:tcW w:w="3396" w:type="dxa"/>
            <w:vAlign w:val="center"/>
          </w:tcPr>
          <w:p w14:paraId="6223B143">
            <w:pPr>
              <w:autoSpaceDN w:val="0"/>
              <w:rPr>
                <w:rFonts w:hint="eastAsia" w:ascii="宋体" w:hAnsi="宋体" w:eastAsia="宋体"/>
                <w:color w:val="auto"/>
                <w:sz w:val="24"/>
                <w:szCs w:val="24"/>
                <w:highlight w:val="none"/>
              </w:rPr>
            </w:pPr>
          </w:p>
        </w:tc>
        <w:tc>
          <w:tcPr>
            <w:tcW w:w="1024" w:type="dxa"/>
            <w:vAlign w:val="center"/>
          </w:tcPr>
          <w:p w14:paraId="55FDC4D8">
            <w:pPr>
              <w:autoSpaceDN w:val="0"/>
              <w:textAlignment w:val="center"/>
              <w:rPr>
                <w:rFonts w:hint="eastAsia" w:ascii="宋体" w:hAnsi="宋体" w:eastAsia="宋体"/>
                <w:color w:val="auto"/>
                <w:sz w:val="24"/>
                <w:szCs w:val="24"/>
                <w:highlight w:val="none"/>
              </w:rPr>
            </w:pPr>
          </w:p>
        </w:tc>
      </w:tr>
      <w:tr w14:paraId="242B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Align w:val="center"/>
          </w:tcPr>
          <w:p w14:paraId="59D5B296">
            <w:pPr>
              <w:rPr>
                <w:rFonts w:hint="eastAsia" w:ascii="宋体" w:hAnsi="宋体" w:eastAsia="宋体"/>
                <w:color w:val="auto"/>
                <w:sz w:val="24"/>
                <w:szCs w:val="24"/>
                <w:highlight w:val="none"/>
              </w:rPr>
            </w:pPr>
            <w:r>
              <w:rPr>
                <w:rFonts w:ascii="宋体" w:hAnsi="宋体" w:eastAsia="宋体"/>
                <w:color w:val="auto"/>
                <w:sz w:val="24"/>
                <w:szCs w:val="24"/>
                <w:highlight w:val="none"/>
              </w:rPr>
              <w:t>第九步</w:t>
            </w:r>
          </w:p>
        </w:tc>
        <w:tc>
          <w:tcPr>
            <w:tcW w:w="942" w:type="dxa"/>
            <w:vAlign w:val="center"/>
          </w:tcPr>
          <w:p w14:paraId="6A31A7BF">
            <w:pPr>
              <w:rPr>
                <w:rFonts w:hint="eastAsia" w:ascii="宋体" w:hAnsi="宋体" w:eastAsia="宋体"/>
                <w:color w:val="auto"/>
                <w:sz w:val="24"/>
                <w:szCs w:val="24"/>
                <w:highlight w:val="none"/>
              </w:rPr>
            </w:pPr>
            <w:r>
              <w:rPr>
                <w:rFonts w:ascii="宋体" w:hAnsi="宋体" w:eastAsia="宋体"/>
                <w:color w:val="auto"/>
                <w:sz w:val="24"/>
                <w:szCs w:val="24"/>
                <w:highlight w:val="none"/>
              </w:rPr>
              <w:t>离开站点</w:t>
            </w:r>
          </w:p>
        </w:tc>
        <w:tc>
          <w:tcPr>
            <w:tcW w:w="3208" w:type="dxa"/>
            <w:vAlign w:val="center"/>
          </w:tcPr>
          <w:p w14:paraId="49B0E673">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向区域经理汇报，站点情况并确认下一步工作</w:t>
            </w:r>
          </w:p>
        </w:tc>
        <w:tc>
          <w:tcPr>
            <w:tcW w:w="3396" w:type="dxa"/>
            <w:vAlign w:val="center"/>
          </w:tcPr>
          <w:p w14:paraId="58881B15">
            <w:pPr>
              <w:autoSpaceDN w:val="0"/>
              <w:rPr>
                <w:rFonts w:hint="eastAsia" w:ascii="宋体" w:hAnsi="宋体" w:eastAsia="宋体"/>
                <w:color w:val="auto"/>
                <w:sz w:val="24"/>
                <w:szCs w:val="24"/>
                <w:highlight w:val="none"/>
              </w:rPr>
            </w:pPr>
          </w:p>
        </w:tc>
        <w:tc>
          <w:tcPr>
            <w:tcW w:w="1024" w:type="dxa"/>
            <w:vAlign w:val="center"/>
          </w:tcPr>
          <w:p w14:paraId="07A7339C">
            <w:pPr>
              <w:autoSpaceDN w:val="0"/>
              <w:textAlignment w:val="center"/>
              <w:rPr>
                <w:rFonts w:hint="eastAsia" w:ascii="宋体" w:hAnsi="宋体" w:eastAsia="宋体"/>
                <w:color w:val="auto"/>
                <w:sz w:val="24"/>
                <w:szCs w:val="24"/>
                <w:highlight w:val="none"/>
              </w:rPr>
            </w:pPr>
          </w:p>
        </w:tc>
      </w:tr>
      <w:tr w14:paraId="54C1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Align w:val="center"/>
          </w:tcPr>
          <w:p w14:paraId="6F2D8B83">
            <w:pPr>
              <w:rPr>
                <w:rFonts w:hint="eastAsia" w:ascii="宋体" w:hAnsi="宋体" w:eastAsia="宋体"/>
                <w:color w:val="auto"/>
                <w:sz w:val="24"/>
                <w:szCs w:val="24"/>
                <w:highlight w:val="none"/>
              </w:rPr>
            </w:pPr>
            <w:r>
              <w:rPr>
                <w:rFonts w:ascii="宋体" w:hAnsi="宋体" w:eastAsia="宋体"/>
                <w:color w:val="auto"/>
                <w:sz w:val="24"/>
                <w:szCs w:val="24"/>
                <w:highlight w:val="none"/>
              </w:rPr>
              <w:t>第十步</w:t>
            </w:r>
          </w:p>
        </w:tc>
        <w:tc>
          <w:tcPr>
            <w:tcW w:w="942" w:type="dxa"/>
            <w:vAlign w:val="center"/>
          </w:tcPr>
          <w:p w14:paraId="4E55B12E">
            <w:pPr>
              <w:rPr>
                <w:rFonts w:hint="eastAsia" w:ascii="宋体" w:hAnsi="宋体" w:eastAsia="宋体"/>
                <w:color w:val="auto"/>
                <w:sz w:val="24"/>
                <w:szCs w:val="24"/>
                <w:highlight w:val="none"/>
              </w:rPr>
            </w:pPr>
            <w:r>
              <w:rPr>
                <w:rFonts w:ascii="宋体" w:hAnsi="宋体" w:eastAsia="宋体"/>
                <w:color w:val="auto"/>
                <w:sz w:val="24"/>
                <w:szCs w:val="24"/>
                <w:highlight w:val="none"/>
              </w:rPr>
              <w:t>回到办事处</w:t>
            </w:r>
          </w:p>
        </w:tc>
        <w:tc>
          <w:tcPr>
            <w:tcW w:w="3208" w:type="dxa"/>
            <w:vAlign w:val="center"/>
          </w:tcPr>
          <w:p w14:paraId="4B2EA252">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上交运营维护记录，请区域经理审查</w:t>
            </w:r>
          </w:p>
        </w:tc>
        <w:tc>
          <w:tcPr>
            <w:tcW w:w="3396" w:type="dxa"/>
            <w:vAlign w:val="center"/>
          </w:tcPr>
          <w:p w14:paraId="1DBC8F20">
            <w:pPr>
              <w:autoSpaceDN w:val="0"/>
              <w:textAlignment w:val="center"/>
              <w:rPr>
                <w:rFonts w:hint="eastAsia" w:ascii="宋体" w:hAnsi="宋体" w:eastAsia="宋体"/>
                <w:color w:val="auto"/>
                <w:sz w:val="24"/>
                <w:szCs w:val="24"/>
                <w:highlight w:val="none"/>
              </w:rPr>
            </w:pPr>
          </w:p>
          <w:p w14:paraId="17C7944A">
            <w:pPr>
              <w:autoSpaceDN w:val="0"/>
              <w:textAlignment w:val="center"/>
              <w:rPr>
                <w:rFonts w:hint="eastAsia" w:ascii="宋体" w:hAnsi="宋体" w:eastAsia="宋体"/>
                <w:color w:val="auto"/>
                <w:sz w:val="24"/>
                <w:szCs w:val="24"/>
                <w:highlight w:val="none"/>
              </w:rPr>
            </w:pPr>
          </w:p>
        </w:tc>
        <w:tc>
          <w:tcPr>
            <w:tcW w:w="1024" w:type="dxa"/>
            <w:vAlign w:val="center"/>
          </w:tcPr>
          <w:p w14:paraId="73D60F5E">
            <w:pPr>
              <w:autoSpaceDN w:val="0"/>
              <w:textAlignment w:val="center"/>
              <w:rPr>
                <w:rFonts w:hint="eastAsia" w:ascii="宋体" w:hAnsi="宋体" w:eastAsia="宋体"/>
                <w:color w:val="auto"/>
                <w:sz w:val="24"/>
                <w:szCs w:val="24"/>
                <w:highlight w:val="none"/>
              </w:rPr>
            </w:pPr>
          </w:p>
        </w:tc>
      </w:tr>
      <w:tr w14:paraId="19A69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91" w:type="dxa"/>
            <w:vMerge w:val="restart"/>
            <w:vAlign w:val="center"/>
          </w:tcPr>
          <w:p w14:paraId="2D781E17">
            <w:pPr>
              <w:rPr>
                <w:rFonts w:hint="eastAsia" w:ascii="宋体" w:hAnsi="宋体" w:eastAsia="宋体"/>
                <w:color w:val="auto"/>
                <w:sz w:val="24"/>
                <w:szCs w:val="24"/>
                <w:highlight w:val="none"/>
              </w:rPr>
            </w:pPr>
            <w:r>
              <w:rPr>
                <w:rFonts w:ascii="宋体" w:hAnsi="宋体" w:eastAsia="宋体"/>
                <w:color w:val="auto"/>
                <w:sz w:val="24"/>
                <w:szCs w:val="24"/>
                <w:highlight w:val="none"/>
              </w:rPr>
              <w:t>其他情况</w:t>
            </w:r>
          </w:p>
        </w:tc>
        <w:tc>
          <w:tcPr>
            <w:tcW w:w="942" w:type="dxa"/>
            <w:vMerge w:val="restart"/>
            <w:vAlign w:val="center"/>
          </w:tcPr>
          <w:p w14:paraId="648C9B6E">
            <w:pPr>
              <w:rPr>
                <w:rFonts w:hint="eastAsia" w:ascii="宋体" w:hAnsi="宋体" w:eastAsia="宋体"/>
                <w:color w:val="auto"/>
                <w:sz w:val="24"/>
                <w:szCs w:val="24"/>
                <w:highlight w:val="none"/>
              </w:rPr>
            </w:pPr>
            <w:r>
              <w:rPr>
                <w:rFonts w:ascii="宋体" w:hAnsi="宋体" w:eastAsia="宋体"/>
                <w:color w:val="auto"/>
                <w:sz w:val="24"/>
                <w:szCs w:val="24"/>
                <w:highlight w:val="none"/>
              </w:rPr>
              <w:t>设备故障</w:t>
            </w:r>
          </w:p>
        </w:tc>
        <w:tc>
          <w:tcPr>
            <w:tcW w:w="3208" w:type="dxa"/>
            <w:vAlign w:val="center"/>
          </w:tcPr>
          <w:p w14:paraId="29D1B19C">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在远程不能解决问题的情况下，快速安排人员在</w:t>
            </w:r>
            <w:r>
              <w:rPr>
                <w:rFonts w:hint="eastAsia" w:ascii="宋体" w:hAnsi="宋体" w:eastAsia="宋体"/>
                <w:color w:val="auto"/>
                <w:sz w:val="24"/>
                <w:szCs w:val="24"/>
                <w:highlight w:val="none"/>
              </w:rPr>
              <w:t>2</w:t>
            </w:r>
            <w:r>
              <w:rPr>
                <w:rFonts w:ascii="宋体" w:hAnsi="宋体" w:eastAsia="宋体"/>
                <w:color w:val="auto"/>
                <w:sz w:val="24"/>
                <w:szCs w:val="24"/>
                <w:highlight w:val="none"/>
              </w:rPr>
              <w:t>小时内</w:t>
            </w:r>
            <w:r>
              <w:rPr>
                <w:rFonts w:hint="eastAsia" w:ascii="宋体" w:hAnsi="宋体" w:eastAsia="宋体"/>
                <w:color w:val="auto"/>
                <w:sz w:val="24"/>
                <w:szCs w:val="24"/>
                <w:highlight w:val="none"/>
              </w:rPr>
              <w:t>抵达</w:t>
            </w:r>
            <w:r>
              <w:rPr>
                <w:rFonts w:ascii="宋体" w:hAnsi="宋体" w:eastAsia="宋体"/>
                <w:color w:val="auto"/>
                <w:sz w:val="24"/>
                <w:szCs w:val="24"/>
                <w:highlight w:val="none"/>
              </w:rPr>
              <w:t>现场4小时内解决故障</w:t>
            </w:r>
          </w:p>
        </w:tc>
        <w:tc>
          <w:tcPr>
            <w:tcW w:w="3396" w:type="dxa"/>
            <w:vMerge w:val="restart"/>
            <w:vAlign w:val="center"/>
          </w:tcPr>
          <w:p w14:paraId="0397FE13">
            <w:pPr>
              <w:autoSpaceDN w:val="0"/>
              <w:rPr>
                <w:rFonts w:hint="eastAsia" w:ascii="宋体" w:hAnsi="宋体" w:eastAsia="宋体"/>
                <w:color w:val="auto"/>
                <w:sz w:val="24"/>
                <w:szCs w:val="24"/>
                <w:highlight w:val="none"/>
              </w:rPr>
            </w:pPr>
            <w:r>
              <w:rPr>
                <w:rFonts w:ascii="宋体" w:hAnsi="宋体" w:eastAsia="宋体"/>
                <w:color w:val="auto"/>
                <w:sz w:val="24"/>
                <w:szCs w:val="24"/>
                <w:highlight w:val="none"/>
              </w:rPr>
              <w:t>填写运营维修记录台账，更换后的额故障设备在一周内完成维修，经过建筑内检查后作为备用设备入库。</w:t>
            </w:r>
          </w:p>
          <w:p w14:paraId="0BB21AF3">
            <w:pPr>
              <w:autoSpaceDN w:val="0"/>
              <w:rPr>
                <w:rFonts w:hint="eastAsia" w:ascii="宋体" w:hAnsi="宋体" w:eastAsia="宋体"/>
                <w:color w:val="auto"/>
                <w:sz w:val="24"/>
                <w:szCs w:val="24"/>
                <w:highlight w:val="none"/>
              </w:rPr>
            </w:pPr>
          </w:p>
        </w:tc>
        <w:tc>
          <w:tcPr>
            <w:tcW w:w="1024" w:type="dxa"/>
            <w:vAlign w:val="center"/>
          </w:tcPr>
          <w:p w14:paraId="6347D5B8">
            <w:pPr>
              <w:autoSpaceDN w:val="0"/>
              <w:textAlignment w:val="center"/>
              <w:rPr>
                <w:rFonts w:hint="eastAsia" w:ascii="宋体" w:hAnsi="宋体" w:eastAsia="宋体"/>
                <w:color w:val="auto"/>
                <w:sz w:val="24"/>
                <w:szCs w:val="24"/>
                <w:highlight w:val="none"/>
              </w:rPr>
            </w:pPr>
          </w:p>
        </w:tc>
      </w:tr>
      <w:tr w14:paraId="1BD0A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0CBEC4A9">
            <w:pPr>
              <w:rPr>
                <w:rFonts w:hint="eastAsia" w:ascii="宋体" w:hAnsi="宋体" w:eastAsia="宋体"/>
                <w:color w:val="auto"/>
                <w:sz w:val="24"/>
                <w:szCs w:val="24"/>
                <w:highlight w:val="none"/>
              </w:rPr>
            </w:pPr>
          </w:p>
        </w:tc>
        <w:tc>
          <w:tcPr>
            <w:tcW w:w="942" w:type="dxa"/>
            <w:vMerge w:val="continue"/>
            <w:vAlign w:val="center"/>
          </w:tcPr>
          <w:p w14:paraId="0945E48D">
            <w:pPr>
              <w:rPr>
                <w:rFonts w:hint="eastAsia" w:ascii="宋体" w:hAnsi="宋体" w:eastAsia="宋体"/>
                <w:color w:val="auto"/>
                <w:sz w:val="24"/>
                <w:szCs w:val="24"/>
                <w:highlight w:val="none"/>
              </w:rPr>
            </w:pPr>
          </w:p>
        </w:tc>
        <w:tc>
          <w:tcPr>
            <w:tcW w:w="3208" w:type="dxa"/>
            <w:vAlign w:val="center"/>
          </w:tcPr>
          <w:p w14:paraId="4855CCC8">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24小时内不能修复的需上备机</w:t>
            </w:r>
          </w:p>
        </w:tc>
        <w:tc>
          <w:tcPr>
            <w:tcW w:w="3396" w:type="dxa"/>
            <w:vMerge w:val="continue"/>
            <w:vAlign w:val="center"/>
          </w:tcPr>
          <w:p w14:paraId="4D2A50CF">
            <w:pPr>
              <w:autoSpaceDN w:val="0"/>
              <w:rPr>
                <w:rFonts w:hint="eastAsia" w:ascii="宋体" w:hAnsi="宋体" w:eastAsia="宋体"/>
                <w:color w:val="auto"/>
                <w:sz w:val="24"/>
                <w:szCs w:val="24"/>
                <w:highlight w:val="none"/>
              </w:rPr>
            </w:pPr>
          </w:p>
        </w:tc>
        <w:tc>
          <w:tcPr>
            <w:tcW w:w="1024" w:type="dxa"/>
            <w:vAlign w:val="center"/>
          </w:tcPr>
          <w:p w14:paraId="1A2CDEBD">
            <w:pPr>
              <w:autoSpaceDN w:val="0"/>
              <w:textAlignment w:val="center"/>
              <w:rPr>
                <w:rFonts w:hint="eastAsia" w:ascii="宋体" w:hAnsi="宋体" w:eastAsia="宋体"/>
                <w:color w:val="auto"/>
                <w:sz w:val="24"/>
                <w:szCs w:val="24"/>
                <w:highlight w:val="none"/>
              </w:rPr>
            </w:pPr>
          </w:p>
        </w:tc>
      </w:tr>
      <w:tr w14:paraId="4D45D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3C6E02C1">
            <w:pPr>
              <w:rPr>
                <w:rFonts w:hint="eastAsia" w:ascii="宋体" w:hAnsi="宋体" w:eastAsia="宋体"/>
                <w:color w:val="auto"/>
                <w:sz w:val="24"/>
                <w:szCs w:val="24"/>
                <w:highlight w:val="none"/>
              </w:rPr>
            </w:pPr>
          </w:p>
        </w:tc>
        <w:tc>
          <w:tcPr>
            <w:tcW w:w="942" w:type="dxa"/>
            <w:vMerge w:val="continue"/>
            <w:vAlign w:val="center"/>
          </w:tcPr>
          <w:p w14:paraId="01D3A0F9">
            <w:pPr>
              <w:rPr>
                <w:rFonts w:hint="eastAsia" w:ascii="宋体" w:hAnsi="宋体" w:eastAsia="宋体"/>
                <w:color w:val="auto"/>
                <w:sz w:val="24"/>
                <w:szCs w:val="24"/>
                <w:highlight w:val="none"/>
              </w:rPr>
            </w:pPr>
          </w:p>
        </w:tc>
        <w:tc>
          <w:tcPr>
            <w:tcW w:w="3208" w:type="dxa"/>
            <w:vAlign w:val="center"/>
          </w:tcPr>
          <w:p w14:paraId="1BA73B1E">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原设备安装后需要按照要求对设备校准、校验</w:t>
            </w:r>
          </w:p>
        </w:tc>
        <w:tc>
          <w:tcPr>
            <w:tcW w:w="3396" w:type="dxa"/>
            <w:vMerge w:val="continue"/>
            <w:vAlign w:val="center"/>
          </w:tcPr>
          <w:p w14:paraId="77077B7E">
            <w:pPr>
              <w:autoSpaceDN w:val="0"/>
              <w:rPr>
                <w:rFonts w:hint="eastAsia" w:ascii="宋体" w:hAnsi="宋体" w:eastAsia="宋体"/>
                <w:color w:val="auto"/>
                <w:sz w:val="24"/>
                <w:szCs w:val="24"/>
                <w:highlight w:val="none"/>
              </w:rPr>
            </w:pPr>
          </w:p>
        </w:tc>
        <w:tc>
          <w:tcPr>
            <w:tcW w:w="1024" w:type="dxa"/>
            <w:vAlign w:val="center"/>
          </w:tcPr>
          <w:p w14:paraId="18E4FE77">
            <w:pPr>
              <w:autoSpaceDN w:val="0"/>
              <w:textAlignment w:val="center"/>
              <w:rPr>
                <w:rFonts w:hint="eastAsia" w:ascii="宋体" w:hAnsi="宋体" w:eastAsia="宋体"/>
                <w:color w:val="auto"/>
                <w:sz w:val="24"/>
                <w:szCs w:val="24"/>
                <w:highlight w:val="none"/>
              </w:rPr>
            </w:pPr>
          </w:p>
        </w:tc>
      </w:tr>
      <w:tr w14:paraId="24D0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91" w:type="dxa"/>
            <w:vMerge w:val="continue"/>
            <w:vAlign w:val="center"/>
          </w:tcPr>
          <w:p w14:paraId="2676F81C">
            <w:pPr>
              <w:rPr>
                <w:rFonts w:hint="eastAsia" w:ascii="宋体" w:hAnsi="宋体" w:eastAsia="宋体"/>
                <w:color w:val="auto"/>
                <w:sz w:val="24"/>
                <w:szCs w:val="24"/>
                <w:highlight w:val="none"/>
              </w:rPr>
            </w:pPr>
          </w:p>
        </w:tc>
        <w:tc>
          <w:tcPr>
            <w:tcW w:w="942" w:type="dxa"/>
            <w:vMerge w:val="continue"/>
            <w:vAlign w:val="center"/>
          </w:tcPr>
          <w:p w14:paraId="65E29B82">
            <w:pPr>
              <w:rPr>
                <w:rFonts w:hint="eastAsia" w:ascii="宋体" w:hAnsi="宋体" w:eastAsia="宋体"/>
                <w:color w:val="auto"/>
                <w:sz w:val="24"/>
                <w:szCs w:val="24"/>
                <w:highlight w:val="none"/>
              </w:rPr>
            </w:pPr>
          </w:p>
        </w:tc>
        <w:tc>
          <w:tcPr>
            <w:tcW w:w="3208" w:type="dxa"/>
            <w:vAlign w:val="center"/>
          </w:tcPr>
          <w:p w14:paraId="79252E20">
            <w:pPr>
              <w:autoSpaceDN w:val="0"/>
              <w:textAlignment w:val="center"/>
              <w:rPr>
                <w:rFonts w:hint="eastAsia" w:ascii="宋体" w:hAnsi="宋体" w:eastAsia="宋体"/>
                <w:color w:val="auto"/>
                <w:sz w:val="24"/>
                <w:szCs w:val="24"/>
                <w:highlight w:val="none"/>
              </w:rPr>
            </w:pPr>
            <w:r>
              <w:rPr>
                <w:rFonts w:ascii="宋体" w:hAnsi="宋体" w:eastAsia="宋体"/>
                <w:color w:val="auto"/>
                <w:sz w:val="24"/>
                <w:szCs w:val="24"/>
                <w:highlight w:val="none"/>
              </w:rPr>
              <w:t>备机使用期限不能超过一个月</w:t>
            </w:r>
          </w:p>
        </w:tc>
        <w:tc>
          <w:tcPr>
            <w:tcW w:w="3396" w:type="dxa"/>
            <w:vMerge w:val="continue"/>
            <w:vAlign w:val="center"/>
          </w:tcPr>
          <w:p w14:paraId="2A9FD21B">
            <w:pPr>
              <w:rPr>
                <w:rFonts w:hint="eastAsia" w:ascii="宋体" w:hAnsi="宋体" w:eastAsia="宋体"/>
                <w:color w:val="auto"/>
                <w:sz w:val="24"/>
                <w:szCs w:val="24"/>
                <w:highlight w:val="none"/>
              </w:rPr>
            </w:pPr>
          </w:p>
        </w:tc>
        <w:tc>
          <w:tcPr>
            <w:tcW w:w="1024" w:type="dxa"/>
            <w:vAlign w:val="center"/>
          </w:tcPr>
          <w:p w14:paraId="18DA6B74">
            <w:pPr>
              <w:autoSpaceDN w:val="0"/>
              <w:textAlignment w:val="center"/>
              <w:rPr>
                <w:rFonts w:hint="eastAsia" w:ascii="宋体" w:hAnsi="宋体" w:eastAsia="宋体"/>
                <w:color w:val="auto"/>
                <w:sz w:val="24"/>
                <w:szCs w:val="24"/>
                <w:highlight w:val="none"/>
              </w:rPr>
            </w:pPr>
          </w:p>
        </w:tc>
      </w:tr>
    </w:tbl>
    <w:p w14:paraId="5EC3F08D">
      <w:pPr>
        <w:pStyle w:val="5"/>
        <w:tabs>
          <w:tab w:val="left" w:pos="-945"/>
          <w:tab w:val="left" w:pos="0"/>
          <w:tab w:val="clear" w:pos="900"/>
        </w:tabs>
        <w:rPr>
          <w:rFonts w:hint="eastAsia" w:ascii="宋体" w:hAnsi="宋体"/>
          <w:color w:val="auto"/>
          <w:sz w:val="24"/>
          <w:szCs w:val="24"/>
          <w:highlight w:val="none"/>
        </w:rPr>
      </w:pPr>
      <w:r>
        <w:rPr>
          <w:rFonts w:hint="eastAsia" w:ascii="宋体" w:hAnsi="宋体"/>
          <w:color w:val="auto"/>
          <w:sz w:val="24"/>
          <w:szCs w:val="24"/>
          <w:highlight w:val="none"/>
        </w:rPr>
        <w:t>设备运行</w:t>
      </w:r>
      <w:r>
        <w:rPr>
          <w:rFonts w:ascii="宋体" w:hAnsi="宋体"/>
          <w:color w:val="auto"/>
          <w:sz w:val="24"/>
          <w:szCs w:val="24"/>
          <w:highlight w:val="none"/>
        </w:rPr>
        <w:t>维护作业指导书</w:t>
      </w:r>
    </w:p>
    <w:p w14:paraId="09B7072B">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运维工作一般要求</w:t>
      </w:r>
    </w:p>
    <w:p w14:paraId="4B6D44FC">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(1)</w:t>
      </w:r>
      <w:r>
        <w:rPr>
          <w:rFonts w:ascii="宋体" w:hAnsi="宋体" w:eastAsia="宋体"/>
          <w:color w:val="auto"/>
          <w:sz w:val="24"/>
          <w:szCs w:val="24"/>
          <w:highlight w:val="none"/>
        </w:rPr>
        <w:tab/>
      </w:r>
      <w:r>
        <w:rPr>
          <w:rFonts w:ascii="宋体" w:hAnsi="宋体" w:eastAsia="宋体"/>
          <w:color w:val="auto"/>
          <w:sz w:val="24"/>
          <w:szCs w:val="24"/>
          <w:highlight w:val="none"/>
        </w:rPr>
        <w:t>保持站房内部环境清洁，布置整齐，各仪器设备干净清洁，设备标识清楚；</w:t>
      </w:r>
    </w:p>
    <w:p w14:paraId="11EC5D28">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(2)</w:t>
      </w:r>
      <w:r>
        <w:rPr>
          <w:rFonts w:ascii="宋体" w:hAnsi="宋体" w:eastAsia="宋体"/>
          <w:color w:val="auto"/>
          <w:sz w:val="24"/>
          <w:szCs w:val="24"/>
          <w:highlight w:val="none"/>
        </w:rPr>
        <w:tab/>
      </w:r>
      <w:r>
        <w:rPr>
          <w:rFonts w:ascii="宋体" w:hAnsi="宋体" w:eastAsia="宋体"/>
          <w:color w:val="auto"/>
          <w:sz w:val="24"/>
          <w:szCs w:val="24"/>
          <w:highlight w:val="none"/>
        </w:rPr>
        <w:t>检查供电、电话及网络通讯的情况，保证系统的正常运行;</w:t>
      </w:r>
    </w:p>
    <w:p w14:paraId="7F0A4217">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(3)</w:t>
      </w:r>
      <w:r>
        <w:rPr>
          <w:rFonts w:ascii="宋体" w:hAnsi="宋体" w:eastAsia="宋体"/>
          <w:color w:val="auto"/>
          <w:sz w:val="24"/>
          <w:szCs w:val="24"/>
          <w:highlight w:val="none"/>
        </w:rPr>
        <w:tab/>
      </w:r>
      <w:r>
        <w:rPr>
          <w:rFonts w:ascii="宋体" w:hAnsi="宋体" w:eastAsia="宋体"/>
          <w:color w:val="auto"/>
          <w:sz w:val="24"/>
          <w:szCs w:val="24"/>
          <w:highlight w:val="none"/>
        </w:rPr>
        <w:t xml:space="preserve">保证空调正常工作，仪器运行温度保持在25℃左右，站房内温度日波动范围小于3℃，相对湿度保持在80%RH以下； </w:t>
      </w:r>
    </w:p>
    <w:p w14:paraId="2452C326">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ascii="宋体" w:hAnsi="宋体" w:eastAsia="宋体"/>
          <w:color w:val="auto"/>
          <w:sz w:val="24"/>
          <w:szCs w:val="24"/>
          <w:highlight w:val="none"/>
        </w:rPr>
        <w:tab/>
      </w:r>
      <w:r>
        <w:rPr>
          <w:rFonts w:ascii="宋体" w:hAnsi="宋体" w:eastAsia="宋体"/>
          <w:color w:val="auto"/>
          <w:sz w:val="24"/>
          <w:szCs w:val="24"/>
          <w:highlight w:val="none"/>
        </w:rPr>
        <w:t>指派专人维护，设备固定牢固，门窗关闭良好，人走关门，非工作人员未经许可不得入内；</w:t>
      </w:r>
    </w:p>
    <w:p w14:paraId="7969FE4C">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(5)</w:t>
      </w:r>
      <w:r>
        <w:rPr>
          <w:rFonts w:ascii="宋体" w:hAnsi="宋体" w:eastAsia="宋体"/>
          <w:color w:val="auto"/>
          <w:sz w:val="24"/>
          <w:szCs w:val="24"/>
          <w:highlight w:val="none"/>
        </w:rPr>
        <w:tab/>
      </w:r>
      <w:r>
        <w:rPr>
          <w:rFonts w:ascii="宋体" w:hAnsi="宋体" w:eastAsia="宋体"/>
          <w:color w:val="auto"/>
          <w:sz w:val="24"/>
          <w:szCs w:val="24"/>
          <w:highlight w:val="none"/>
        </w:rPr>
        <w:t>定期检查消防和安全设施；</w:t>
      </w:r>
    </w:p>
    <w:p w14:paraId="397168E9">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(6)</w:t>
      </w:r>
      <w:r>
        <w:rPr>
          <w:rFonts w:ascii="宋体" w:hAnsi="宋体" w:eastAsia="宋体"/>
          <w:color w:val="auto"/>
          <w:sz w:val="24"/>
          <w:szCs w:val="24"/>
          <w:highlight w:val="none"/>
        </w:rPr>
        <w:tab/>
      </w:r>
      <w:r>
        <w:rPr>
          <w:rFonts w:ascii="宋体" w:hAnsi="宋体" w:eastAsia="宋体"/>
          <w:color w:val="auto"/>
          <w:sz w:val="24"/>
          <w:szCs w:val="24"/>
          <w:highlight w:val="none"/>
        </w:rPr>
        <w:t>每次维护后做好系统运行维护记录；</w:t>
      </w:r>
    </w:p>
    <w:p w14:paraId="1DABB80F">
      <w:pPr>
        <w:ind w:firstLine="480"/>
        <w:rPr>
          <w:rFonts w:hint="eastAsia" w:ascii="宋体" w:hAnsi="宋体" w:eastAsia="宋体"/>
          <w:color w:val="auto"/>
          <w:sz w:val="24"/>
          <w:szCs w:val="24"/>
          <w:highlight w:val="none"/>
        </w:rPr>
      </w:pPr>
      <w:r>
        <w:rPr>
          <w:rFonts w:ascii="宋体" w:hAnsi="宋体" w:eastAsia="宋体"/>
          <w:color w:val="auto"/>
          <w:sz w:val="24"/>
          <w:szCs w:val="24"/>
          <w:highlight w:val="none"/>
        </w:rPr>
        <w:t>(7)</w:t>
      </w:r>
      <w:r>
        <w:rPr>
          <w:rFonts w:ascii="宋体" w:hAnsi="宋体" w:eastAsia="宋体"/>
          <w:color w:val="auto"/>
          <w:sz w:val="24"/>
          <w:szCs w:val="24"/>
          <w:highlight w:val="none"/>
        </w:rPr>
        <w:tab/>
      </w:r>
      <w:r>
        <w:rPr>
          <w:rFonts w:ascii="宋体" w:hAnsi="宋体" w:eastAsia="宋体"/>
          <w:color w:val="auto"/>
          <w:sz w:val="24"/>
          <w:szCs w:val="24"/>
          <w:highlight w:val="none"/>
        </w:rPr>
        <w:t>进行维护时，应规范操作，注意安全，防止意外发生。</w:t>
      </w:r>
    </w:p>
    <w:p w14:paraId="4D2F3624">
      <w:pPr>
        <w:pStyle w:val="6"/>
        <w:tabs>
          <w:tab w:val="left" w:pos="0"/>
        </w:tabs>
        <w:rPr>
          <w:rFonts w:hint="eastAsia" w:ascii="宋体" w:hAnsi="宋体"/>
          <w:color w:val="auto"/>
          <w:sz w:val="24"/>
          <w:szCs w:val="24"/>
          <w:highlight w:val="none"/>
        </w:rPr>
      </w:pPr>
      <w:r>
        <w:rPr>
          <w:rFonts w:hint="eastAsia" w:ascii="宋体" w:hAnsi="宋体"/>
          <w:color w:val="auto"/>
          <w:sz w:val="24"/>
          <w:szCs w:val="24"/>
          <w:highlight w:val="none"/>
        </w:rPr>
        <w:t>环境空气非甲烷总烃运行作业指导书</w:t>
      </w:r>
    </w:p>
    <w:p w14:paraId="60F87062">
      <w:pPr>
        <w:pStyle w:val="33"/>
        <w:numPr>
          <w:ilvl w:val="0"/>
          <w:numId w:val="12"/>
        </w:numPr>
        <w:spacing w:line="360" w:lineRule="auto"/>
        <w:ind w:left="0" w:firstLine="484" w:firstLineChars="202"/>
        <w:rPr>
          <w:rFonts w:hint="eastAsia" w:hAnsi="宋体"/>
          <w:color w:val="auto"/>
          <w:sz w:val="24"/>
          <w:szCs w:val="24"/>
          <w:highlight w:val="none"/>
        </w:rPr>
      </w:pPr>
      <w:r>
        <w:rPr>
          <w:rFonts w:hint="eastAsia" w:hAnsi="宋体"/>
          <w:color w:val="auto"/>
          <w:sz w:val="24"/>
          <w:szCs w:val="24"/>
          <w:highlight w:val="none"/>
        </w:rPr>
        <w:t>每日维护内容</w:t>
      </w:r>
    </w:p>
    <w:p w14:paraId="30205007">
      <w:pPr>
        <w:pStyle w:val="33"/>
        <w:numPr>
          <w:ilvl w:val="0"/>
          <w:numId w:val="13"/>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系统状态检查：检查系统是否有报警等异常提示，以及分析模块的FID温度、柱箱温度、柱前压、保留时间等重要参数是否正常。系统状态检查可通过远程或者现场检查的方式完成。</w:t>
      </w:r>
    </w:p>
    <w:p w14:paraId="1B0F088D">
      <w:pPr>
        <w:pStyle w:val="33"/>
        <w:numPr>
          <w:ilvl w:val="0"/>
          <w:numId w:val="13"/>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基线检查:按照厂家说明书或作业指导书要求检查图谱基线是否存在异常漂移和波动。如存在异常漂移和波动，应及时标识或剔除异常数据或对受影响的物质进行重积分。</w:t>
      </w:r>
    </w:p>
    <w:p w14:paraId="64BD750C">
      <w:pPr>
        <w:pStyle w:val="33"/>
        <w:numPr>
          <w:ilvl w:val="0"/>
          <w:numId w:val="13"/>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保留时间漂移:检查仪器保留时间漂移情况，以确保非甲烷总烃测量的准确性。</w:t>
      </w:r>
    </w:p>
    <w:p w14:paraId="29D3C8D4">
      <w:pPr>
        <w:pStyle w:val="33"/>
        <w:numPr>
          <w:ilvl w:val="0"/>
          <w:numId w:val="13"/>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重点关注漂移是否影响监测物质的自动积分，如有影响，应进行调整。</w:t>
      </w:r>
    </w:p>
    <w:p w14:paraId="1F215B71">
      <w:pPr>
        <w:pStyle w:val="33"/>
        <w:numPr>
          <w:ilvl w:val="0"/>
          <w:numId w:val="13"/>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数据审核:数据审核应对异常数据进行无效标识或剔除，在72小时内完成。</w:t>
      </w:r>
    </w:p>
    <w:p w14:paraId="52469390">
      <w:pPr>
        <w:pStyle w:val="33"/>
        <w:numPr>
          <w:ilvl w:val="0"/>
          <w:numId w:val="12"/>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每周巡检内容</w:t>
      </w:r>
    </w:p>
    <w:p w14:paraId="040404BB">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监测站房及辅助设备周巡检:监测站房及周边环境应满足HJ193相关要求。监测站房及辅助设备日常巡检应满足HJ818相关要求。运维人员应对子站站房及辅助设备定期巡检，每周至少巡检1次，巡检工作主要包括：</w:t>
      </w:r>
    </w:p>
    <w:p w14:paraId="00B4C4C3">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1)检查站房内温度是否保持在（25±5）℃，相对湿度保持在 85%以下。</w:t>
      </w:r>
    </w:p>
    <w:p w14:paraId="15A41EFB">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2)在冬、夏季节应注意站房内外温差，应及时调整站房温度；检查采样管路保温措施，防止因温差造成采样装置出现冷凝水的现象。</w:t>
      </w:r>
    </w:p>
    <w:p w14:paraId="2F0332AF">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3)检查采样总管进气、排气是否正常。</w:t>
      </w:r>
    </w:p>
    <w:p w14:paraId="0E020564">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4)检查采样支管是否存在冷凝水，如果存在冷凝水应及时进行清洁干燥处理。</w:t>
      </w:r>
    </w:p>
    <w:p w14:paraId="79739ACE">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5)检查站房排风排气装置工作是否正常。</w:t>
      </w:r>
    </w:p>
    <w:p w14:paraId="1C98F73B">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6)检查标气、辅助气钢瓶阀门是否漏气；检查标气和辅助气有效期、压力，气瓶压力低于2MPa（或系统相关要求值）前应更换。</w:t>
      </w:r>
    </w:p>
    <w:p w14:paraId="79B19B4D">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7)如采用气体发生器，应检查气体发生器的工作状态，及时补充纯水、更换干燥硅胶、活性碳或无水氯化钙。</w:t>
      </w:r>
    </w:p>
    <w:p w14:paraId="46622C15">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8)检查数据采集、传输与网络通讯是否正常。</w:t>
      </w:r>
    </w:p>
    <w:p w14:paraId="2D30AD3C">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9)检查各种运维工具、系统耗材、备件是否完好齐全。</w:t>
      </w:r>
    </w:p>
    <w:p w14:paraId="147860DF">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10)检查空调、电源等辅助设备的运行状况是否正常，检查站房空调机的过滤网是否清洁，必要时进行清洗。</w:t>
      </w:r>
    </w:p>
    <w:p w14:paraId="65D9579D">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11)检查各种消防、安全设施是否完好齐全。</w:t>
      </w:r>
    </w:p>
    <w:p w14:paraId="137D4F8F">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12)对站房周围的杂草和积水应及时清除；对采样有影响的树枝应及时进行剪除。</w:t>
      </w:r>
    </w:p>
    <w:p w14:paraId="5C878253">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13)检查避雷设施是否正常，子站房屋是否有漏雨现象。</w:t>
      </w:r>
    </w:p>
    <w:p w14:paraId="32AE914B">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14)记录巡检情况。</w:t>
      </w:r>
    </w:p>
    <w:p w14:paraId="10895319">
      <w:pPr>
        <w:pStyle w:val="33"/>
        <w:numPr>
          <w:ilvl w:val="0"/>
          <w:numId w:val="12"/>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自动监测系统周巡检</w:t>
      </w:r>
    </w:p>
    <w:p w14:paraId="02261E3C">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1)气相色谱、检测器参数设置检查。检查氢火焰离子化检测器氢气与空气输入压力与流量、载气流量与压力等是否与说明书、作业指导书一致。</w:t>
      </w:r>
    </w:p>
    <w:p w14:paraId="3AB12419">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2)气相色谱、检测器运行情况检查。检查载气净化装置（如除烃等），如有异常应及时更换。根据系统验收或非甲烷总烃测试时使用的参数，检查色谱炉温控制程序、载气流量或压力控制程序、氢火焰离子化检测器等是否正常，如有异常应及时停机检查，排查问题。</w:t>
      </w:r>
    </w:p>
    <w:p w14:paraId="49DAEC31">
      <w:pPr>
        <w:pStyle w:val="33"/>
        <w:numPr>
          <w:ilvl w:val="0"/>
          <w:numId w:val="12"/>
        </w:numPr>
        <w:spacing w:line="360" w:lineRule="auto"/>
        <w:ind w:left="0" w:firstLine="648" w:firstLineChars="270"/>
        <w:rPr>
          <w:rFonts w:hint="eastAsia" w:hAnsi="宋体"/>
          <w:color w:val="auto"/>
          <w:sz w:val="24"/>
          <w:szCs w:val="24"/>
          <w:highlight w:val="none"/>
        </w:rPr>
      </w:pPr>
      <w:r>
        <w:rPr>
          <w:rFonts w:hint="eastAsia" w:hAnsi="宋体"/>
          <w:color w:val="auto"/>
          <w:sz w:val="24"/>
          <w:szCs w:val="24"/>
          <w:highlight w:val="none"/>
        </w:rPr>
        <w:t>其他维护内容</w:t>
      </w:r>
    </w:p>
    <w:p w14:paraId="0074CE4A">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按照系统说明书或作业指导书要求定期更换阀膜、色谱柱等重要耗材。做好周期性维护，及时清洁气动阀阀芯、散热风扇、氢火焰离子化检测器等重要部件。</w:t>
      </w:r>
    </w:p>
    <w:p w14:paraId="0206E7DD">
      <w:pPr>
        <w:pStyle w:val="33"/>
        <w:spacing w:line="360" w:lineRule="auto"/>
        <w:ind w:firstLine="648" w:firstLineChars="270"/>
        <w:rPr>
          <w:rFonts w:hint="eastAsia" w:hAnsi="宋体"/>
          <w:color w:val="auto"/>
          <w:sz w:val="24"/>
          <w:szCs w:val="24"/>
          <w:highlight w:val="none"/>
        </w:rPr>
      </w:pPr>
      <w:r>
        <w:rPr>
          <w:rFonts w:hint="eastAsia" w:hAnsi="宋体"/>
          <w:color w:val="auto"/>
          <w:sz w:val="24"/>
          <w:szCs w:val="24"/>
          <w:highlight w:val="none"/>
        </w:rPr>
        <w:t>如运行维护涉及对气路上的关键硬件部分进行拆卸、打开，维护操作完成后，应按照系统说明书、作业指导书等要求对系统进行验漏。</w:t>
      </w:r>
    </w:p>
    <w:p w14:paraId="72C5A627">
      <w:pPr>
        <w:widowControl/>
        <w:autoSpaceDE w:val="0"/>
        <w:autoSpaceDN w:val="0"/>
        <w:adjustRightInd w:val="0"/>
        <w:snapToGrid w:val="0"/>
        <w:spacing w:line="360" w:lineRule="auto"/>
        <w:textAlignment w:val="baseline"/>
        <w:rPr>
          <w:rFonts w:ascii="宋体" w:hAnsi="宋体" w:eastAsia="宋体" w:cs="宋体"/>
          <w:snapToGrid w:val="0"/>
          <w:color w:val="auto"/>
          <w:spacing w:val="-2"/>
          <w:kern w:val="0"/>
          <w:sz w:val="24"/>
          <w:szCs w:val="24"/>
          <w:highlight w:val="none"/>
        </w:rPr>
      </w:pPr>
    </w:p>
    <w:p w14:paraId="643951C2">
      <w:pPr>
        <w:widowControl/>
        <w:autoSpaceDE w:val="0"/>
        <w:autoSpaceDN w:val="0"/>
        <w:adjustRightInd w:val="0"/>
        <w:snapToGrid w:val="0"/>
        <w:spacing w:line="360" w:lineRule="auto"/>
        <w:textAlignment w:val="baseline"/>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spacing w:val="-2"/>
          <w:kern w:val="0"/>
          <w:sz w:val="24"/>
          <w:szCs w:val="24"/>
          <w:highlight w:val="none"/>
        </w:rPr>
        <w:t>1</w:t>
      </w:r>
      <w:r>
        <w:rPr>
          <w:rFonts w:ascii="宋体" w:hAnsi="宋体" w:eastAsia="宋体" w:cs="宋体"/>
          <w:snapToGrid w:val="0"/>
          <w:color w:val="auto"/>
          <w:spacing w:val="-2"/>
          <w:kern w:val="0"/>
          <w:sz w:val="24"/>
          <w:szCs w:val="24"/>
          <w:highlight w:val="none"/>
        </w:rPr>
        <w:t>.</w:t>
      </w:r>
      <w:r>
        <w:rPr>
          <w:rFonts w:hint="eastAsia" w:ascii="宋体" w:hAnsi="宋体" w:eastAsia="宋体" w:cs="宋体"/>
          <w:snapToGrid w:val="0"/>
          <w:color w:val="auto"/>
          <w:spacing w:val="-2"/>
          <w:kern w:val="0"/>
          <w:sz w:val="24"/>
          <w:szCs w:val="24"/>
          <w:highlight w:val="none"/>
        </w:rPr>
        <w:t>5</w:t>
      </w:r>
      <w:r>
        <w:rPr>
          <w:rFonts w:ascii="宋体" w:hAnsi="宋体" w:eastAsia="宋体" w:cs="宋体"/>
          <w:snapToGrid w:val="0"/>
          <w:color w:val="auto"/>
          <w:spacing w:val="-2"/>
          <w:kern w:val="0"/>
          <w:sz w:val="24"/>
          <w:szCs w:val="24"/>
          <w:highlight w:val="none"/>
        </w:rPr>
        <w:t>、系统设备维修要求</w:t>
      </w:r>
    </w:p>
    <w:p w14:paraId="1CC41133">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（1）运维工作界定</w:t>
      </w:r>
    </w:p>
    <w:p w14:paraId="59131A0F">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运维单位负责系统所有设备和仪器的维护、维修保养和部件更换（包括空调设备等附属设</w:t>
      </w:r>
      <w:r>
        <w:rPr>
          <w:rFonts w:ascii="宋体" w:hAnsi="宋体" w:eastAsia="宋体" w:cs="宋体"/>
          <w:snapToGrid w:val="0"/>
          <w:color w:val="auto"/>
          <w:spacing w:val="13"/>
          <w:kern w:val="0"/>
          <w:sz w:val="24"/>
          <w:szCs w:val="24"/>
          <w:highlight w:val="none"/>
        </w:rPr>
        <w:t xml:space="preserve"> </w:t>
      </w:r>
      <w:r>
        <w:rPr>
          <w:rFonts w:ascii="宋体" w:hAnsi="宋体" w:eastAsia="宋体" w:cs="宋体"/>
          <w:snapToGrid w:val="0"/>
          <w:color w:val="auto"/>
          <w:spacing w:val="-1"/>
          <w:kern w:val="0"/>
          <w:sz w:val="24"/>
          <w:szCs w:val="24"/>
          <w:highlight w:val="none"/>
        </w:rPr>
        <w:t>施</w:t>
      </w:r>
      <w:r>
        <w:rPr>
          <w:rFonts w:ascii="宋体" w:hAnsi="宋体" w:eastAsia="宋体" w:cs="宋体"/>
          <w:snapToGrid w:val="0"/>
          <w:color w:val="auto"/>
          <w:spacing w:val="-24"/>
          <w:kern w:val="0"/>
          <w:sz w:val="24"/>
          <w:szCs w:val="24"/>
          <w:highlight w:val="none"/>
        </w:rPr>
        <w:t>），</w:t>
      </w:r>
      <w:r>
        <w:rPr>
          <w:rFonts w:ascii="宋体" w:hAnsi="宋体" w:eastAsia="宋体" w:cs="宋体"/>
          <w:snapToGrid w:val="0"/>
          <w:color w:val="auto"/>
          <w:spacing w:val="-1"/>
          <w:kern w:val="0"/>
          <w:sz w:val="24"/>
          <w:szCs w:val="24"/>
          <w:highlight w:val="none"/>
        </w:rPr>
        <w:t>并将维修费用计算在运维报价中。</w:t>
      </w:r>
    </w:p>
    <w:p w14:paraId="78EA781B">
      <w:pPr>
        <w:widowControl/>
        <w:autoSpaceDE w:val="0"/>
        <w:autoSpaceDN w:val="0"/>
        <w:adjustRightInd w:val="0"/>
        <w:snapToGrid w:val="0"/>
        <w:spacing w:line="360" w:lineRule="auto"/>
        <w:ind w:firstLine="472"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2"/>
          <w:kern w:val="0"/>
          <w:sz w:val="24"/>
          <w:szCs w:val="24"/>
          <w:highlight w:val="none"/>
        </w:rPr>
        <w:t>（2）设备维修质量控制要求</w:t>
      </w:r>
    </w:p>
    <w:p w14:paraId="77C6DBD4">
      <w:pPr>
        <w:widowControl/>
        <w:autoSpaceDE w:val="0"/>
        <w:autoSpaceDN w:val="0"/>
        <w:adjustRightInd w:val="0"/>
        <w:snapToGrid w:val="0"/>
        <w:spacing w:line="360" w:lineRule="auto"/>
        <w:ind w:firstLine="468" w:firstLineChars="200"/>
        <w:textAlignment w:val="baseline"/>
        <w:rPr>
          <w:rFonts w:hint="eastAsia" w:ascii="宋体" w:hAnsi="宋体" w:eastAsia="宋体" w:cs="宋体"/>
          <w:snapToGrid w:val="0"/>
          <w:color w:val="auto"/>
          <w:kern w:val="0"/>
          <w:sz w:val="24"/>
          <w:szCs w:val="24"/>
          <w:highlight w:val="none"/>
        </w:rPr>
      </w:pPr>
      <w:r>
        <w:rPr>
          <w:rFonts w:ascii="宋体" w:hAnsi="宋体" w:eastAsia="宋体" w:cs="宋体"/>
          <w:snapToGrid w:val="0"/>
          <w:color w:val="auto"/>
          <w:spacing w:val="-3"/>
          <w:kern w:val="0"/>
          <w:sz w:val="24"/>
          <w:szCs w:val="24"/>
          <w:highlight w:val="none"/>
        </w:rPr>
        <w:t>监测仪器修复后，当其检测性能受到影响时，需要进行检验，采用标气测定、颗粒物手工</w:t>
      </w:r>
      <w:r>
        <w:rPr>
          <w:rFonts w:ascii="宋体" w:hAnsi="宋体" w:eastAsia="宋体" w:cs="宋体"/>
          <w:snapToGrid w:val="0"/>
          <w:color w:val="auto"/>
          <w:spacing w:val="-5"/>
          <w:kern w:val="0"/>
          <w:sz w:val="24"/>
          <w:szCs w:val="24"/>
          <w:highlight w:val="none"/>
        </w:rPr>
        <w:t>比对等方法进行。</w:t>
      </w:r>
    </w:p>
    <w:p w14:paraId="7BE29B86">
      <w:pPr>
        <w:spacing w:line="440" w:lineRule="exact"/>
        <w:jc w:val="left"/>
        <w:rPr>
          <w:rFonts w:hint="eastAsia" w:ascii="宋体" w:hAnsi="宋体" w:eastAsia="宋体" w:cs="宋体"/>
          <w:b/>
          <w:color w:val="auto"/>
          <w:sz w:val="24"/>
          <w:szCs w:val="24"/>
          <w:highlight w:val="none"/>
        </w:rPr>
      </w:pPr>
      <w:r>
        <w:rPr>
          <w:rFonts w:ascii="宋体" w:hAnsi="宋体" w:eastAsia="宋体" w:cs="宋体"/>
          <w:snapToGrid w:val="0"/>
          <w:color w:val="auto"/>
          <w:spacing w:val="-6"/>
          <w:kern w:val="0"/>
          <w:sz w:val="24"/>
          <w:szCs w:val="24"/>
          <w:highlight w:val="none"/>
        </w:rPr>
        <w:t>仪器大修后（更换设备测试关键部件</w:t>
      </w:r>
      <w:r>
        <w:rPr>
          <w:rFonts w:ascii="宋体" w:hAnsi="宋体" w:eastAsia="宋体" w:cs="宋体"/>
          <w:snapToGrid w:val="0"/>
          <w:color w:val="auto"/>
          <w:spacing w:val="-19"/>
          <w:kern w:val="0"/>
          <w:sz w:val="24"/>
          <w:szCs w:val="24"/>
          <w:highlight w:val="none"/>
        </w:rPr>
        <w:t>），</w:t>
      </w:r>
      <w:r>
        <w:rPr>
          <w:rFonts w:ascii="宋体" w:hAnsi="宋体" w:eastAsia="宋体" w:cs="宋体"/>
          <w:snapToGrid w:val="0"/>
          <w:color w:val="auto"/>
          <w:spacing w:val="-6"/>
          <w:kern w:val="0"/>
          <w:sz w:val="24"/>
          <w:szCs w:val="24"/>
          <w:highlight w:val="none"/>
        </w:rPr>
        <w:t>应按顺序进行漂移实验（零点漂移、量程漂移）、</w:t>
      </w:r>
      <w:r>
        <w:rPr>
          <w:rFonts w:ascii="宋体" w:hAnsi="宋体" w:eastAsia="宋体" w:cs="宋体"/>
          <w:snapToGrid w:val="0"/>
          <w:color w:val="auto"/>
          <w:spacing w:val="1"/>
          <w:kern w:val="0"/>
          <w:sz w:val="24"/>
          <w:szCs w:val="24"/>
          <w:highlight w:val="none"/>
        </w:rPr>
        <w:t xml:space="preserve"> </w:t>
      </w:r>
      <w:r>
        <w:rPr>
          <w:rFonts w:ascii="宋体" w:hAnsi="宋体" w:eastAsia="宋体" w:cs="宋体"/>
          <w:snapToGrid w:val="0"/>
          <w:color w:val="auto"/>
          <w:spacing w:val="-1"/>
          <w:kern w:val="0"/>
          <w:sz w:val="24"/>
          <w:szCs w:val="24"/>
          <w:highlight w:val="none"/>
        </w:rPr>
        <w:t>重复性及准确度实验、多点线性实验，并提交相应报告。</w:t>
      </w:r>
    </w:p>
    <w:p w14:paraId="4FD922DB">
      <w:pPr>
        <w:spacing w:line="440" w:lineRule="exact"/>
        <w:jc w:val="left"/>
        <w:outlineLvl w:val="2"/>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四、商务要求</w:t>
      </w:r>
    </w:p>
    <w:p w14:paraId="53B577D6">
      <w:pPr>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1.交付（实施）的时间（期限）：</w:t>
      </w:r>
      <w:r>
        <w:rPr>
          <w:rFonts w:hint="eastAsia" w:ascii="宋体" w:hAnsi="宋体" w:cs="宋体"/>
          <w:color w:val="auto"/>
          <w:sz w:val="24"/>
          <w:szCs w:val="24"/>
          <w:highlight w:val="none"/>
          <w:lang w:val="en-US" w:eastAsia="zh-CN"/>
        </w:rPr>
        <w:t>合同签订之日起一年。</w:t>
      </w:r>
    </w:p>
    <w:p w14:paraId="7D53F7AF">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2.交付（实施）的地点（范围）：</w:t>
      </w:r>
      <w:r>
        <w:rPr>
          <w:rFonts w:hint="eastAsia" w:ascii="宋体" w:hAnsi="宋体" w:eastAsia="宋体" w:cs="宋体"/>
          <w:snapToGrid w:val="0"/>
          <w:color w:val="auto"/>
          <w:spacing w:val="-1"/>
          <w:kern w:val="0"/>
          <w:sz w:val="24"/>
          <w:szCs w:val="24"/>
          <w:highlight w:val="none"/>
        </w:rPr>
        <w:t>理想智慧港站点、理工大站点和</w:t>
      </w:r>
      <w:r>
        <w:rPr>
          <w:rFonts w:hint="eastAsia" w:ascii="宋体" w:hAnsi="宋体" w:cs="宋体"/>
          <w:snapToGrid w:val="0"/>
          <w:color w:val="auto"/>
          <w:spacing w:val="-1"/>
          <w:kern w:val="0"/>
          <w:sz w:val="24"/>
          <w:szCs w:val="24"/>
          <w:highlight w:val="none"/>
          <w:lang w:eastAsia="zh-CN"/>
        </w:rPr>
        <w:t>创新创业园非甲烷总烃设备</w:t>
      </w:r>
      <w:r>
        <w:rPr>
          <w:rFonts w:hint="eastAsia" w:ascii="宋体" w:hAnsi="宋体" w:eastAsia="宋体" w:cs="宋体"/>
          <w:snapToGrid w:val="0"/>
          <w:color w:val="auto"/>
          <w:spacing w:val="-1"/>
          <w:kern w:val="0"/>
          <w:sz w:val="24"/>
          <w:szCs w:val="24"/>
          <w:highlight w:val="none"/>
        </w:rPr>
        <w:t>站点。</w:t>
      </w:r>
    </w:p>
    <w:p w14:paraId="7D192A57">
      <w:pPr>
        <w:spacing w:line="440" w:lineRule="exact"/>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3.付款条件（进度和方式）：</w:t>
      </w:r>
      <w:r>
        <w:rPr>
          <w:rFonts w:hint="eastAsia" w:ascii="宋体" w:hAnsi="宋体" w:cs="宋体"/>
          <w:color w:val="auto"/>
          <w:sz w:val="24"/>
          <w:szCs w:val="24"/>
          <w:highlight w:val="none"/>
          <w:lang w:val="en-US" w:eastAsia="zh-CN"/>
        </w:rPr>
        <w:t>合同签订之日起十五个工作日内支付合同金额的40%，</w:t>
      </w:r>
      <w:r>
        <w:rPr>
          <w:rStyle w:val="973"/>
          <w:rFonts w:hint="eastAsia" w:ascii="宋体" w:hAnsi="宋体"/>
          <w:color w:val="auto"/>
          <w:sz w:val="24"/>
          <w:szCs w:val="24"/>
          <w:highlight w:val="none"/>
        </w:rPr>
        <w:t>经采购人</w:t>
      </w:r>
      <w:r>
        <w:rPr>
          <w:rStyle w:val="973"/>
          <w:rFonts w:hint="eastAsia" w:ascii="宋体" w:hAnsi="宋体"/>
          <w:color w:val="auto"/>
          <w:sz w:val="24"/>
          <w:szCs w:val="24"/>
          <w:highlight w:val="none"/>
          <w:lang w:val="en-US" w:eastAsia="zh-CN"/>
        </w:rPr>
        <w:t>验收合格后五</w:t>
      </w:r>
      <w:r>
        <w:rPr>
          <w:rStyle w:val="973"/>
          <w:rFonts w:hint="eastAsia" w:ascii="宋体" w:hAnsi="宋体"/>
          <w:color w:val="auto"/>
          <w:sz w:val="24"/>
          <w:szCs w:val="24"/>
          <w:highlight w:val="none"/>
        </w:rPr>
        <w:t>个工作日内支付</w:t>
      </w:r>
      <w:r>
        <w:rPr>
          <w:rFonts w:hint="eastAsia" w:ascii="宋体" w:hAnsi="宋体" w:cs="宋体"/>
          <w:color w:val="auto"/>
          <w:sz w:val="24"/>
          <w:szCs w:val="24"/>
          <w:highlight w:val="none"/>
          <w:lang w:val="en-US" w:eastAsia="zh-CN"/>
        </w:rPr>
        <w:t>合同金额的</w:t>
      </w:r>
      <w:r>
        <w:rPr>
          <w:rStyle w:val="973"/>
          <w:rFonts w:hint="eastAsia" w:ascii="宋体" w:hAnsi="宋体"/>
          <w:color w:val="auto"/>
          <w:sz w:val="24"/>
          <w:szCs w:val="24"/>
          <w:highlight w:val="none"/>
          <w:lang w:val="en-US" w:eastAsia="zh-CN"/>
        </w:rPr>
        <w:t>60%。</w:t>
      </w:r>
    </w:p>
    <w:p w14:paraId="540440EE">
      <w:pPr>
        <w:spacing w:line="44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4.成果文件要求：采购人享有本成果的所有权。</w:t>
      </w:r>
    </w:p>
    <w:p w14:paraId="1AAF49D9">
      <w:pPr>
        <w:spacing w:line="440" w:lineRule="exact"/>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五、其他要求</w:t>
      </w:r>
    </w:p>
    <w:p w14:paraId="4C9AC3E0">
      <w:pPr>
        <w:spacing w:line="44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1.验收方案：</w:t>
      </w:r>
    </w:p>
    <w:p w14:paraId="5E9BB44E">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1.1验收主体：采购人</w:t>
      </w:r>
    </w:p>
    <w:p w14:paraId="0CC0F1D8">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1.2验收时间：合同完成后</w:t>
      </w:r>
    </w:p>
    <w:p w14:paraId="1DE76E89">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1.3验收方式：一般程序</w:t>
      </w:r>
    </w:p>
    <w:p w14:paraId="39F5CAB4">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1.4验收程序：分期验收</w:t>
      </w:r>
    </w:p>
    <w:p w14:paraId="2B06C209">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1.5验收内容：</w:t>
      </w:r>
    </w:p>
    <w:p w14:paraId="2ADDB349">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1）技术履约验收内容：采购方每季度组织开展一次运维管理和质控考核，考核采取百分制的方式，对运行维护情况进行综合评分。考核得分大于80分（含）为合格，低于80分为不合格。考核合格后按照合同规定支付该季度的运行费。</w:t>
      </w:r>
    </w:p>
    <w:p w14:paraId="254DDD88">
      <w:pPr>
        <w:spacing w:line="440" w:lineRule="exact"/>
        <w:ind w:firstLine="480" w:firstLineChars="200"/>
        <w:jc w:val="left"/>
        <w:rPr>
          <w:rFonts w:hint="eastAsia" w:ascii="宋体" w:hAnsi="宋体" w:eastAsia="宋体" w:cs="宋体"/>
          <w:iCs/>
          <w:color w:val="auto"/>
          <w:sz w:val="24"/>
          <w:szCs w:val="24"/>
          <w:highlight w:val="none"/>
        </w:rPr>
      </w:pPr>
      <w:r>
        <w:rPr>
          <w:rFonts w:hint="eastAsia" w:ascii="宋体" w:hAnsi="宋体" w:eastAsia="宋体" w:cs="宋体"/>
          <w:iCs/>
          <w:color w:val="auto"/>
          <w:sz w:val="24"/>
          <w:szCs w:val="24"/>
          <w:highlight w:val="none"/>
        </w:rPr>
        <w:t>（2）商务履约验收内容：是否有其他不按合同规定的情形。</w:t>
      </w:r>
    </w:p>
    <w:p w14:paraId="73AD25C5">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iCs/>
          <w:color w:val="auto"/>
          <w:sz w:val="24"/>
          <w:szCs w:val="24"/>
          <w:highlight w:val="none"/>
        </w:rPr>
        <w:t>1.6验收标准：国家和地方相关技术规范；招投标文件、合同。</w:t>
      </w:r>
    </w:p>
    <w:p w14:paraId="48EFA815">
      <w:pPr>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2.知识产权归属、处理方式：</w:t>
      </w:r>
    </w:p>
    <w:p w14:paraId="4EE0ED6D">
      <w:pPr>
        <w:spacing w:line="440" w:lineRule="exact"/>
        <w:ind w:firstLine="480" w:firstLineChars="20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本项目执行过程中所产生的数据资料和技术报告均为甲方所有，乙方未经同意不得擅自使用，由此产生的一切后果由乙方承担。乙方需和甲方签订相应的保密协议。委托业务监测过程中产生的监测结果归</w:t>
      </w:r>
      <w:r>
        <w:rPr>
          <w:rFonts w:hint="eastAsia" w:ascii="宋体" w:hAnsi="宋体" w:cs="宋体"/>
          <w:bCs/>
          <w:color w:val="auto"/>
          <w:sz w:val="24"/>
          <w:szCs w:val="24"/>
          <w:highlight w:val="none"/>
          <w:lang w:eastAsia="zh-CN"/>
        </w:rPr>
        <w:t>采购方</w:t>
      </w:r>
      <w:r>
        <w:rPr>
          <w:rFonts w:hint="eastAsia" w:ascii="宋体" w:hAnsi="宋体" w:eastAsia="宋体" w:cs="宋体"/>
          <w:bCs/>
          <w:color w:val="auto"/>
          <w:sz w:val="24"/>
          <w:szCs w:val="24"/>
          <w:highlight w:val="none"/>
        </w:rPr>
        <w:t>所有。中标单位对在监测过程中接触到的</w:t>
      </w:r>
      <w:r>
        <w:rPr>
          <w:rFonts w:hint="eastAsia" w:ascii="宋体" w:hAnsi="宋体" w:cs="宋体"/>
          <w:bCs/>
          <w:color w:val="auto"/>
          <w:sz w:val="24"/>
          <w:szCs w:val="24"/>
          <w:highlight w:val="none"/>
          <w:lang w:eastAsia="zh-CN"/>
        </w:rPr>
        <w:t>采购方</w:t>
      </w:r>
      <w:r>
        <w:rPr>
          <w:rFonts w:hint="eastAsia" w:ascii="宋体" w:hAnsi="宋体" w:eastAsia="宋体" w:cs="宋体"/>
          <w:bCs/>
          <w:color w:val="auto"/>
          <w:sz w:val="24"/>
          <w:szCs w:val="24"/>
          <w:highlight w:val="none"/>
        </w:rPr>
        <w:t>及被监测单位的任何资料、文件、数据以及对服务形成的任何交付物（监测数据和监测结果等）负有保密责任，未经</w:t>
      </w:r>
      <w:r>
        <w:rPr>
          <w:rFonts w:hint="eastAsia" w:ascii="宋体" w:hAnsi="宋体" w:cs="宋体"/>
          <w:bCs/>
          <w:color w:val="auto"/>
          <w:sz w:val="24"/>
          <w:szCs w:val="24"/>
          <w:highlight w:val="none"/>
          <w:lang w:eastAsia="zh-CN"/>
        </w:rPr>
        <w:t>采购方</w:t>
      </w:r>
      <w:r>
        <w:rPr>
          <w:rFonts w:hint="eastAsia" w:ascii="宋体" w:hAnsi="宋体" w:eastAsia="宋体" w:cs="宋体"/>
          <w:bCs/>
          <w:color w:val="auto"/>
          <w:sz w:val="24"/>
          <w:szCs w:val="24"/>
          <w:highlight w:val="none"/>
        </w:rPr>
        <w:t>书面同意，中标单位不得以任何形式进行利用，不得以任何方式向任何第三方提供或透露。中标单位如违反上述保密规定，应承担相应违约责任。本保密义务应在本合同期满、解除或终止后仍然有效。</w:t>
      </w:r>
    </w:p>
    <w:p w14:paraId="6FCD26A3">
      <w:pPr>
        <w:spacing w:line="440" w:lineRule="exact"/>
        <w:ind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3.合同条款：详见招标文件第五部分。</w:t>
      </w:r>
    </w:p>
    <w:p w14:paraId="0812CB6F">
      <w:pPr>
        <w:spacing w:line="440" w:lineRule="exact"/>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六、为落实政府采购政策需满足的要求</w:t>
      </w:r>
    </w:p>
    <w:p w14:paraId="5A74A338">
      <w:pPr>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节约能源、保护环境：本项目如需采购节能产品、环境标志产品品目清单内的产品的，采购需求要求供应商所投的相应产品须提供经国家确定的认证机构出具的、处于有效期之内的节能产品、环境标志产品认证证书。属于强制采购品目清单中的产品如未获得证书，其响应将被拒绝。</w:t>
      </w:r>
    </w:p>
    <w:p w14:paraId="7185B31D">
      <w:pPr>
        <w:spacing w:line="44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促进中小企业发展、支持监狱企业发展、促进残疾人就业：专门面向中小企业采购项目（预留份额），供应商应满足“落实政府采购政策需满足的资格要求”；非专门面向中小企业采购项目，供应商为小微企业（或残疾人福利性单位、监狱企业）或联合体（分包）且提供相关法律法规和招标文件规定的相关材料，价格按比例扣除后评审。</w:t>
      </w:r>
    </w:p>
    <w:p w14:paraId="3B9253B7">
      <w:pPr>
        <w:spacing w:line="240" w:lineRule="auto"/>
        <w:rPr>
          <w:rFonts w:hint="eastAsia" w:ascii="宋体" w:hAnsi="宋体" w:eastAsia="宋体" w:cs="宋体"/>
          <w:b/>
          <w:bCs/>
          <w:color w:val="auto"/>
          <w:sz w:val="24"/>
          <w:szCs w:val="24"/>
          <w:highlight w:val="none"/>
        </w:rPr>
      </w:pPr>
    </w:p>
    <w:p w14:paraId="43284550">
      <w:pPr>
        <w:snapToGrid/>
        <w:spacing w:line="240" w:lineRule="auto"/>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931CBC7">
      <w:pPr>
        <w:snapToGrid w:val="0"/>
        <w:spacing w:line="36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第四部分   </w:t>
      </w:r>
      <w:bookmarkStart w:id="40" w:name="_Toc184310296"/>
      <w:bookmarkEnd w:id="40"/>
      <w:bookmarkStart w:id="41" w:name="_Toc184310310"/>
      <w:bookmarkEnd w:id="41"/>
      <w:bookmarkStart w:id="42" w:name="_Toc184310319"/>
      <w:bookmarkEnd w:id="42"/>
      <w:bookmarkStart w:id="43" w:name="_Toc184310275"/>
      <w:bookmarkEnd w:id="43"/>
      <w:bookmarkStart w:id="44" w:name="_Toc184308086"/>
      <w:bookmarkEnd w:id="44"/>
      <w:bookmarkStart w:id="45" w:name="_Toc184313281"/>
      <w:bookmarkEnd w:id="45"/>
      <w:bookmarkStart w:id="46" w:name="_Toc184308088"/>
      <w:bookmarkEnd w:id="46"/>
      <w:bookmarkStart w:id="47" w:name="_Toc184314430"/>
      <w:bookmarkEnd w:id="47"/>
      <w:bookmarkStart w:id="48" w:name="_Toc184310341"/>
      <w:bookmarkEnd w:id="48"/>
      <w:bookmarkStart w:id="49" w:name="_Toc184310283"/>
      <w:bookmarkEnd w:id="49"/>
      <w:bookmarkStart w:id="50" w:name="_Toc184308091"/>
      <w:bookmarkEnd w:id="50"/>
      <w:bookmarkStart w:id="51" w:name="_Toc184312127"/>
      <w:bookmarkEnd w:id="51"/>
      <w:bookmarkStart w:id="52" w:name="_Toc184310309"/>
      <w:bookmarkEnd w:id="52"/>
      <w:bookmarkStart w:id="53" w:name="_Toc184308090"/>
      <w:bookmarkEnd w:id="53"/>
      <w:bookmarkStart w:id="54" w:name="_Toc184312106"/>
      <w:bookmarkEnd w:id="54"/>
      <w:bookmarkStart w:id="55" w:name="_Toc184314463"/>
      <w:bookmarkEnd w:id="55"/>
      <w:bookmarkStart w:id="56" w:name="_Toc184308078"/>
      <w:bookmarkEnd w:id="56"/>
      <w:bookmarkStart w:id="57" w:name="_Toc184313291"/>
      <w:bookmarkEnd w:id="57"/>
      <w:bookmarkStart w:id="58" w:name="_Toc184314426"/>
      <w:bookmarkEnd w:id="58"/>
      <w:bookmarkStart w:id="59" w:name="_Toc184310330"/>
      <w:bookmarkEnd w:id="59"/>
      <w:bookmarkStart w:id="60" w:name="_Toc184308100"/>
      <w:bookmarkEnd w:id="60"/>
      <w:bookmarkStart w:id="61" w:name="_Toc184312107"/>
      <w:bookmarkEnd w:id="61"/>
      <w:bookmarkStart w:id="62" w:name="_Toc184308085"/>
      <w:bookmarkEnd w:id="62"/>
      <w:bookmarkStart w:id="63" w:name="_Toc184310339"/>
      <w:bookmarkEnd w:id="63"/>
      <w:bookmarkStart w:id="64" w:name="_Toc184313282"/>
      <w:bookmarkEnd w:id="64"/>
      <w:bookmarkStart w:id="65" w:name="_Toc184313299"/>
      <w:bookmarkEnd w:id="65"/>
      <w:bookmarkStart w:id="66" w:name="_Toc184312082"/>
      <w:bookmarkEnd w:id="66"/>
      <w:bookmarkStart w:id="67" w:name="_Toc184313243"/>
      <w:bookmarkEnd w:id="67"/>
      <w:bookmarkStart w:id="68" w:name="_Toc184314478"/>
      <w:bookmarkEnd w:id="68"/>
      <w:bookmarkStart w:id="69" w:name="_Toc184313292"/>
      <w:bookmarkEnd w:id="69"/>
      <w:bookmarkStart w:id="70" w:name="_Toc184312070"/>
      <w:bookmarkEnd w:id="70"/>
      <w:bookmarkStart w:id="71" w:name="_Toc184310334"/>
      <w:bookmarkEnd w:id="71"/>
      <w:bookmarkStart w:id="72" w:name="_Toc184314449"/>
      <w:bookmarkEnd w:id="72"/>
      <w:bookmarkStart w:id="73" w:name="_Toc184314467"/>
      <w:bookmarkEnd w:id="73"/>
      <w:bookmarkStart w:id="74" w:name="_Toc184314422"/>
      <w:bookmarkEnd w:id="74"/>
      <w:bookmarkStart w:id="75" w:name="_Toc184312114"/>
      <w:bookmarkEnd w:id="75"/>
      <w:bookmarkStart w:id="76" w:name="_Toc184314460"/>
      <w:bookmarkEnd w:id="76"/>
      <w:bookmarkStart w:id="77" w:name="_Toc184308071"/>
      <w:bookmarkEnd w:id="77"/>
      <w:bookmarkStart w:id="78" w:name="_Toc184308093"/>
      <w:bookmarkEnd w:id="78"/>
      <w:bookmarkStart w:id="79" w:name="_Toc184312074"/>
      <w:bookmarkEnd w:id="79"/>
      <w:bookmarkStart w:id="80" w:name="_Toc184310299"/>
      <w:bookmarkEnd w:id="80"/>
      <w:bookmarkStart w:id="81" w:name="_Toc184312085"/>
      <w:bookmarkEnd w:id="81"/>
      <w:bookmarkStart w:id="82" w:name="_Toc184312076"/>
      <w:bookmarkEnd w:id="82"/>
      <w:bookmarkStart w:id="83" w:name="_Toc184310281"/>
      <w:bookmarkEnd w:id="83"/>
      <w:bookmarkStart w:id="84" w:name="_Toc184314436"/>
      <w:bookmarkEnd w:id="84"/>
      <w:bookmarkStart w:id="85" w:name="_Toc184313241"/>
      <w:bookmarkEnd w:id="85"/>
      <w:bookmarkStart w:id="86" w:name="_Toc184314465"/>
      <w:bookmarkEnd w:id="86"/>
      <w:bookmarkStart w:id="87" w:name="_Toc184312110"/>
      <w:bookmarkEnd w:id="87"/>
      <w:bookmarkStart w:id="88" w:name="_Toc184310331"/>
      <w:bookmarkEnd w:id="88"/>
      <w:bookmarkStart w:id="89" w:name="_Toc184313307"/>
      <w:bookmarkEnd w:id="89"/>
      <w:bookmarkStart w:id="90" w:name="_Toc184312077"/>
      <w:bookmarkEnd w:id="90"/>
      <w:bookmarkStart w:id="91" w:name="_Toc184308074"/>
      <w:bookmarkEnd w:id="91"/>
      <w:bookmarkStart w:id="92" w:name="_Toc184312116"/>
      <w:bookmarkEnd w:id="92"/>
      <w:bookmarkStart w:id="93" w:name="_Toc184308102"/>
      <w:bookmarkEnd w:id="93"/>
      <w:bookmarkStart w:id="94" w:name="_Toc184312133"/>
      <w:bookmarkEnd w:id="94"/>
      <w:bookmarkStart w:id="95" w:name="_Toc184314458"/>
      <w:bookmarkEnd w:id="95"/>
      <w:bookmarkStart w:id="96" w:name="_Toc184313246"/>
      <w:bookmarkEnd w:id="96"/>
      <w:bookmarkStart w:id="97" w:name="_Toc184313285"/>
      <w:bookmarkEnd w:id="97"/>
      <w:bookmarkStart w:id="98" w:name="_Toc184308098"/>
      <w:bookmarkEnd w:id="98"/>
      <w:bookmarkStart w:id="99" w:name="_Toc184308105"/>
      <w:bookmarkEnd w:id="99"/>
      <w:bookmarkStart w:id="100" w:name="_Toc184314429"/>
      <w:bookmarkEnd w:id="100"/>
      <w:bookmarkStart w:id="101" w:name="_Toc184314442"/>
      <w:bookmarkEnd w:id="101"/>
      <w:bookmarkStart w:id="102" w:name="_Toc184313278"/>
      <w:bookmarkEnd w:id="102"/>
      <w:bookmarkStart w:id="103" w:name="_Toc184308041"/>
      <w:bookmarkEnd w:id="103"/>
      <w:bookmarkStart w:id="104" w:name="_Toc184310326"/>
      <w:bookmarkEnd w:id="104"/>
      <w:bookmarkStart w:id="105" w:name="_Toc184310307"/>
      <w:bookmarkEnd w:id="105"/>
      <w:bookmarkStart w:id="106" w:name="_Toc184308083"/>
      <w:bookmarkEnd w:id="106"/>
      <w:bookmarkStart w:id="107" w:name="_Toc184308097"/>
      <w:bookmarkEnd w:id="107"/>
      <w:bookmarkStart w:id="108" w:name="_Toc184312073"/>
      <w:bookmarkEnd w:id="108"/>
      <w:bookmarkStart w:id="109" w:name="_Toc184314475"/>
      <w:bookmarkEnd w:id="109"/>
      <w:bookmarkStart w:id="110" w:name="_Toc184314444"/>
      <w:bookmarkEnd w:id="110"/>
      <w:bookmarkStart w:id="111" w:name="_Toc184312102"/>
      <w:bookmarkEnd w:id="111"/>
      <w:bookmarkStart w:id="112" w:name="_Toc184308037"/>
      <w:bookmarkEnd w:id="112"/>
      <w:bookmarkStart w:id="113" w:name="_Toc184312115"/>
      <w:bookmarkEnd w:id="113"/>
      <w:bookmarkStart w:id="114" w:name="_Toc184312136"/>
      <w:bookmarkEnd w:id="114"/>
      <w:bookmarkStart w:id="115" w:name="_Toc184314480"/>
      <w:bookmarkEnd w:id="115"/>
      <w:bookmarkStart w:id="116" w:name="_Toc184310317"/>
      <w:bookmarkEnd w:id="116"/>
      <w:bookmarkStart w:id="117" w:name="_Toc184314468"/>
      <w:bookmarkEnd w:id="117"/>
      <w:bookmarkStart w:id="118" w:name="_Toc184312103"/>
      <w:bookmarkEnd w:id="118"/>
      <w:bookmarkStart w:id="119" w:name="_Toc184313294"/>
      <w:bookmarkEnd w:id="119"/>
      <w:bookmarkStart w:id="120" w:name="_Toc184308057"/>
      <w:bookmarkEnd w:id="120"/>
      <w:bookmarkStart w:id="121" w:name="_Toc184314410"/>
      <w:bookmarkEnd w:id="121"/>
      <w:bookmarkStart w:id="122" w:name="_Toc184314477"/>
      <w:bookmarkEnd w:id="122"/>
      <w:bookmarkStart w:id="123" w:name="_Toc184308051"/>
      <w:bookmarkEnd w:id="123"/>
      <w:bookmarkStart w:id="124" w:name="_Toc184312079"/>
      <w:bookmarkEnd w:id="124"/>
      <w:bookmarkStart w:id="125" w:name="_Toc184312092"/>
      <w:bookmarkEnd w:id="125"/>
      <w:bookmarkStart w:id="126" w:name="_Toc184312137"/>
      <w:bookmarkEnd w:id="126"/>
      <w:bookmarkStart w:id="127" w:name="_Toc184310336"/>
      <w:bookmarkEnd w:id="127"/>
      <w:bookmarkStart w:id="128" w:name="_Toc184308101"/>
      <w:bookmarkEnd w:id="128"/>
      <w:bookmarkStart w:id="129" w:name="_Toc184312072"/>
      <w:bookmarkEnd w:id="129"/>
      <w:bookmarkStart w:id="130" w:name="_Toc184312139"/>
      <w:bookmarkEnd w:id="130"/>
      <w:bookmarkStart w:id="131" w:name="_Toc184314417"/>
      <w:bookmarkEnd w:id="131"/>
      <w:bookmarkStart w:id="132" w:name="_Toc184308039"/>
      <w:bookmarkEnd w:id="132"/>
      <w:bookmarkStart w:id="133" w:name="_Toc184313271"/>
      <w:bookmarkEnd w:id="133"/>
      <w:bookmarkStart w:id="134" w:name="_Toc184310320"/>
      <w:bookmarkEnd w:id="134"/>
      <w:bookmarkStart w:id="135" w:name="_Toc184312075"/>
      <w:bookmarkEnd w:id="135"/>
      <w:bookmarkStart w:id="136" w:name="_Toc184314451"/>
      <w:bookmarkEnd w:id="136"/>
      <w:bookmarkStart w:id="137" w:name="_Toc184314446"/>
      <w:bookmarkEnd w:id="137"/>
      <w:bookmarkStart w:id="138" w:name="_Toc184312134"/>
      <w:bookmarkEnd w:id="138"/>
      <w:bookmarkStart w:id="139" w:name="_Toc184310308"/>
      <w:bookmarkEnd w:id="139"/>
      <w:bookmarkStart w:id="140" w:name="_Toc184308081"/>
      <w:bookmarkEnd w:id="140"/>
      <w:bookmarkStart w:id="141" w:name="_Toc184308080"/>
      <w:bookmarkEnd w:id="141"/>
      <w:bookmarkStart w:id="142" w:name="_Toc184312067"/>
      <w:bookmarkEnd w:id="142"/>
      <w:bookmarkStart w:id="143" w:name="_Toc184308049"/>
      <w:bookmarkEnd w:id="143"/>
      <w:bookmarkStart w:id="144" w:name="_Toc184310286"/>
      <w:bookmarkEnd w:id="144"/>
      <w:bookmarkStart w:id="145" w:name="_Toc184308044"/>
      <w:bookmarkEnd w:id="145"/>
      <w:bookmarkStart w:id="146" w:name="_Toc184313303"/>
      <w:bookmarkEnd w:id="146"/>
      <w:bookmarkStart w:id="147" w:name="_Toc184310311"/>
      <w:bookmarkEnd w:id="147"/>
      <w:bookmarkStart w:id="148" w:name="_Toc184314448"/>
      <w:bookmarkEnd w:id="148"/>
      <w:bookmarkStart w:id="149" w:name="_Toc184314472"/>
      <w:bookmarkEnd w:id="149"/>
      <w:bookmarkStart w:id="150" w:name="_Toc184313310"/>
      <w:bookmarkEnd w:id="150"/>
      <w:bookmarkStart w:id="151" w:name="_Toc184314454"/>
      <w:bookmarkEnd w:id="151"/>
      <w:bookmarkStart w:id="152" w:name="_Toc184308096"/>
      <w:bookmarkEnd w:id="152"/>
      <w:bookmarkStart w:id="153" w:name="_Toc184314469"/>
      <w:bookmarkEnd w:id="153"/>
      <w:bookmarkStart w:id="154" w:name="_Toc184308072"/>
      <w:bookmarkEnd w:id="154"/>
      <w:bookmarkStart w:id="155" w:name="_Toc184312098"/>
      <w:bookmarkEnd w:id="155"/>
      <w:bookmarkStart w:id="156" w:name="_Toc184312109"/>
      <w:bookmarkEnd w:id="156"/>
      <w:bookmarkStart w:id="157" w:name="_Toc184308108"/>
      <w:bookmarkEnd w:id="157"/>
      <w:bookmarkStart w:id="158" w:name="_Toc184308095"/>
      <w:bookmarkEnd w:id="158"/>
      <w:bookmarkStart w:id="159" w:name="_Toc184308069"/>
      <w:bookmarkEnd w:id="159"/>
      <w:bookmarkStart w:id="160" w:name="_Toc184308099"/>
      <w:bookmarkEnd w:id="160"/>
      <w:bookmarkStart w:id="161" w:name="_Toc184312118"/>
      <w:bookmarkEnd w:id="161"/>
      <w:bookmarkStart w:id="162" w:name="_Toc184312099"/>
      <w:bookmarkEnd w:id="162"/>
      <w:bookmarkStart w:id="163" w:name="_Toc184310276"/>
      <w:bookmarkEnd w:id="163"/>
      <w:bookmarkStart w:id="164" w:name="_Toc184310280"/>
      <w:bookmarkEnd w:id="164"/>
      <w:bookmarkStart w:id="165" w:name="_Toc184312119"/>
      <w:bookmarkEnd w:id="165"/>
      <w:bookmarkStart w:id="166" w:name="_Toc184310337"/>
      <w:bookmarkEnd w:id="166"/>
      <w:bookmarkStart w:id="167" w:name="_Toc184313306"/>
      <w:bookmarkEnd w:id="167"/>
      <w:bookmarkStart w:id="168" w:name="_Toc184310301"/>
      <w:bookmarkEnd w:id="168"/>
      <w:bookmarkStart w:id="169" w:name="_Toc184314459"/>
      <w:bookmarkEnd w:id="169"/>
      <w:bookmarkStart w:id="170" w:name="_Toc184313259"/>
      <w:bookmarkEnd w:id="170"/>
      <w:bookmarkStart w:id="171" w:name="_Toc184313252"/>
      <w:bookmarkEnd w:id="171"/>
      <w:bookmarkStart w:id="172" w:name="_Toc184310291"/>
      <w:bookmarkEnd w:id="172"/>
      <w:bookmarkStart w:id="173" w:name="_Toc184313283"/>
      <w:bookmarkEnd w:id="173"/>
      <w:bookmarkStart w:id="174" w:name="_Toc184310313"/>
      <w:bookmarkEnd w:id="174"/>
      <w:bookmarkStart w:id="175" w:name="_Toc184312095"/>
      <w:bookmarkEnd w:id="175"/>
      <w:bookmarkStart w:id="176" w:name="_Toc184313244"/>
      <w:bookmarkEnd w:id="176"/>
      <w:bookmarkStart w:id="177" w:name="_Toc184314439"/>
      <w:bookmarkEnd w:id="177"/>
      <w:bookmarkStart w:id="178" w:name="_Toc184313268"/>
      <w:bookmarkEnd w:id="178"/>
      <w:bookmarkStart w:id="179" w:name="_Toc184308063"/>
      <w:bookmarkEnd w:id="179"/>
      <w:bookmarkStart w:id="180" w:name="_Toc184312081"/>
      <w:bookmarkEnd w:id="180"/>
      <w:bookmarkStart w:id="181" w:name="_Toc184313298"/>
      <w:bookmarkEnd w:id="181"/>
      <w:bookmarkStart w:id="182" w:name="_Toc184310304"/>
      <w:bookmarkEnd w:id="182"/>
      <w:bookmarkStart w:id="183" w:name="_Toc184313284"/>
      <w:bookmarkEnd w:id="183"/>
      <w:bookmarkStart w:id="184" w:name="_Toc184308084"/>
      <w:bookmarkEnd w:id="184"/>
      <w:bookmarkStart w:id="185" w:name="_Toc184314431"/>
      <w:bookmarkEnd w:id="185"/>
      <w:bookmarkStart w:id="186" w:name="_Toc184312108"/>
      <w:bookmarkEnd w:id="186"/>
      <w:bookmarkStart w:id="187" w:name="_Toc184308059"/>
      <w:bookmarkEnd w:id="187"/>
      <w:bookmarkStart w:id="188" w:name="_Toc184312113"/>
      <w:bookmarkEnd w:id="188"/>
      <w:bookmarkStart w:id="189" w:name="_Toc184312071"/>
      <w:bookmarkEnd w:id="189"/>
      <w:bookmarkStart w:id="190" w:name="_Toc184310338"/>
      <w:bookmarkEnd w:id="190"/>
      <w:bookmarkStart w:id="191" w:name="_Toc184312083"/>
      <w:bookmarkEnd w:id="191"/>
      <w:bookmarkStart w:id="192" w:name="_Toc184310312"/>
      <w:bookmarkEnd w:id="192"/>
      <w:bookmarkStart w:id="193" w:name="_Toc184310315"/>
      <w:bookmarkEnd w:id="193"/>
      <w:bookmarkStart w:id="194" w:name="_Toc184308036"/>
      <w:bookmarkEnd w:id="194"/>
      <w:bookmarkStart w:id="195" w:name="_Toc184308075"/>
      <w:bookmarkEnd w:id="195"/>
      <w:bookmarkStart w:id="196" w:name="_Toc184313248"/>
      <w:bookmarkEnd w:id="196"/>
      <w:bookmarkStart w:id="197" w:name="_Toc184313290"/>
      <w:bookmarkEnd w:id="197"/>
      <w:bookmarkStart w:id="198" w:name="_Toc184308067"/>
      <w:bookmarkEnd w:id="198"/>
      <w:bookmarkStart w:id="199" w:name="_Toc184313247"/>
      <w:bookmarkEnd w:id="199"/>
      <w:bookmarkStart w:id="200" w:name="_Toc184314413"/>
      <w:bookmarkEnd w:id="200"/>
      <w:bookmarkStart w:id="201" w:name="_Toc184314481"/>
      <w:bookmarkEnd w:id="201"/>
      <w:bookmarkStart w:id="202" w:name="_Toc184310325"/>
      <w:bookmarkEnd w:id="202"/>
      <w:bookmarkStart w:id="203" w:name="_Toc184313264"/>
      <w:bookmarkEnd w:id="203"/>
      <w:bookmarkStart w:id="204" w:name="_Toc184308087"/>
      <w:bookmarkEnd w:id="204"/>
      <w:bookmarkStart w:id="205" w:name="_Toc184314443"/>
      <w:bookmarkEnd w:id="205"/>
      <w:bookmarkStart w:id="206" w:name="_Toc184310332"/>
      <w:bookmarkEnd w:id="206"/>
      <w:bookmarkStart w:id="207" w:name="_Toc184312138"/>
      <w:bookmarkEnd w:id="207"/>
      <w:bookmarkStart w:id="208" w:name="_Toc184310321"/>
      <w:bookmarkEnd w:id="208"/>
      <w:bookmarkStart w:id="209" w:name="_Toc184308047"/>
      <w:bookmarkEnd w:id="209"/>
      <w:bookmarkStart w:id="210" w:name="_Toc184310284"/>
      <w:bookmarkEnd w:id="210"/>
      <w:bookmarkStart w:id="211" w:name="_Toc184313272"/>
      <w:bookmarkEnd w:id="211"/>
      <w:bookmarkStart w:id="212" w:name="_Toc184314450"/>
      <w:bookmarkEnd w:id="212"/>
      <w:bookmarkStart w:id="213" w:name="_Toc184308058"/>
      <w:bookmarkEnd w:id="213"/>
      <w:bookmarkStart w:id="214" w:name="_Toc184314438"/>
      <w:bookmarkEnd w:id="214"/>
      <w:bookmarkStart w:id="215" w:name="_Toc184310285"/>
      <w:bookmarkEnd w:id="215"/>
      <w:bookmarkStart w:id="216" w:name="_Toc184313262"/>
      <w:bookmarkEnd w:id="216"/>
      <w:bookmarkStart w:id="217" w:name="_Toc184308092"/>
      <w:bookmarkEnd w:id="217"/>
      <w:bookmarkStart w:id="218" w:name="_Toc184312096"/>
      <w:bookmarkEnd w:id="218"/>
      <w:bookmarkStart w:id="219" w:name="_Toc184312128"/>
      <w:bookmarkEnd w:id="219"/>
      <w:bookmarkStart w:id="220" w:name="_Toc184308066"/>
      <w:bookmarkEnd w:id="220"/>
      <w:bookmarkStart w:id="221" w:name="_Toc184312125"/>
      <w:bookmarkEnd w:id="221"/>
      <w:bookmarkStart w:id="222" w:name="_Toc184314447"/>
      <w:bookmarkEnd w:id="222"/>
      <w:bookmarkStart w:id="223" w:name="_Toc184314462"/>
      <w:bookmarkEnd w:id="223"/>
      <w:bookmarkStart w:id="224" w:name="_Toc184314414"/>
      <w:bookmarkEnd w:id="224"/>
      <w:bookmarkStart w:id="225" w:name="_Toc184313258"/>
      <w:bookmarkEnd w:id="225"/>
      <w:bookmarkStart w:id="226" w:name="_Toc184308103"/>
      <w:bookmarkEnd w:id="226"/>
      <w:bookmarkStart w:id="227" w:name="_Toc184314482"/>
      <w:bookmarkEnd w:id="227"/>
      <w:bookmarkStart w:id="228" w:name="_Toc184313256"/>
      <w:bookmarkEnd w:id="228"/>
      <w:bookmarkStart w:id="229" w:name="_Toc184313286"/>
      <w:bookmarkEnd w:id="229"/>
      <w:bookmarkStart w:id="230" w:name="_Toc184308056"/>
      <w:bookmarkEnd w:id="230"/>
      <w:bookmarkStart w:id="231" w:name="_Toc184313296"/>
      <w:bookmarkEnd w:id="231"/>
      <w:bookmarkStart w:id="232" w:name="_Toc184312087"/>
      <w:bookmarkEnd w:id="232"/>
      <w:bookmarkStart w:id="233" w:name="_Toc184308042"/>
      <w:bookmarkEnd w:id="233"/>
      <w:bookmarkStart w:id="234" w:name="_Toc184312121"/>
      <w:bookmarkEnd w:id="234"/>
      <w:bookmarkStart w:id="235" w:name="_Toc184308065"/>
      <w:bookmarkEnd w:id="235"/>
      <w:bookmarkStart w:id="236" w:name="_Toc184313308"/>
      <w:bookmarkEnd w:id="236"/>
      <w:bookmarkStart w:id="237" w:name="_Toc184312104"/>
      <w:bookmarkEnd w:id="237"/>
      <w:bookmarkStart w:id="238" w:name="_Toc184313261"/>
      <w:bookmarkEnd w:id="238"/>
      <w:bookmarkStart w:id="239" w:name="_Toc184308043"/>
      <w:bookmarkEnd w:id="239"/>
      <w:bookmarkStart w:id="240" w:name="_Toc184313250"/>
      <w:bookmarkEnd w:id="240"/>
      <w:bookmarkStart w:id="241" w:name="_Toc184314473"/>
      <w:bookmarkEnd w:id="241"/>
      <w:bookmarkStart w:id="242" w:name="_Toc184314412"/>
      <w:bookmarkEnd w:id="242"/>
      <w:bookmarkStart w:id="243" w:name="_Toc184314453"/>
      <w:bookmarkEnd w:id="243"/>
      <w:bookmarkStart w:id="244" w:name="_Toc184314428"/>
      <w:bookmarkEnd w:id="244"/>
      <w:bookmarkStart w:id="245" w:name="_Toc184310298"/>
      <w:bookmarkEnd w:id="245"/>
      <w:bookmarkStart w:id="246" w:name="_Toc184314424"/>
      <w:bookmarkEnd w:id="246"/>
      <w:bookmarkStart w:id="247" w:name="_Toc184313263"/>
      <w:bookmarkEnd w:id="247"/>
      <w:bookmarkStart w:id="248" w:name="_Toc184312101"/>
      <w:bookmarkEnd w:id="248"/>
      <w:bookmarkStart w:id="249" w:name="_Toc184314416"/>
      <w:bookmarkEnd w:id="249"/>
      <w:bookmarkStart w:id="250" w:name="_Toc184314421"/>
      <w:bookmarkEnd w:id="250"/>
      <w:bookmarkStart w:id="251" w:name="_Toc184313242"/>
      <w:bookmarkEnd w:id="251"/>
      <w:bookmarkStart w:id="252" w:name="_Toc184312094"/>
      <w:bookmarkEnd w:id="252"/>
      <w:bookmarkStart w:id="253" w:name="_Toc184313309"/>
      <w:bookmarkEnd w:id="253"/>
      <w:bookmarkStart w:id="254" w:name="_Toc184313273"/>
      <w:bookmarkEnd w:id="254"/>
      <w:bookmarkStart w:id="255" w:name="_Toc184308040"/>
      <w:bookmarkEnd w:id="255"/>
      <w:bookmarkStart w:id="256" w:name="_Toc184314445"/>
      <w:bookmarkEnd w:id="256"/>
      <w:bookmarkStart w:id="257" w:name="_Toc184310333"/>
      <w:bookmarkEnd w:id="257"/>
      <w:bookmarkStart w:id="258" w:name="_Toc184310293"/>
      <w:bookmarkEnd w:id="258"/>
      <w:bookmarkStart w:id="259" w:name="_Toc184314466"/>
      <w:bookmarkEnd w:id="259"/>
      <w:bookmarkStart w:id="260" w:name="_Toc184310329"/>
      <w:bookmarkEnd w:id="260"/>
      <w:bookmarkStart w:id="261" w:name="_Toc184312126"/>
      <w:bookmarkEnd w:id="261"/>
      <w:bookmarkStart w:id="262" w:name="_Toc184308082"/>
      <w:bookmarkEnd w:id="262"/>
      <w:bookmarkStart w:id="263" w:name="_Toc184314435"/>
      <w:bookmarkEnd w:id="263"/>
      <w:bookmarkStart w:id="264" w:name="_Toc184310314"/>
      <w:bookmarkEnd w:id="264"/>
      <w:bookmarkStart w:id="265" w:name="_Toc184308064"/>
      <w:bookmarkEnd w:id="265"/>
      <w:bookmarkStart w:id="266" w:name="_Toc184313249"/>
      <w:bookmarkEnd w:id="266"/>
      <w:bookmarkStart w:id="267" w:name="_Toc184312120"/>
      <w:bookmarkEnd w:id="267"/>
      <w:bookmarkStart w:id="268" w:name="_Toc184310294"/>
      <w:bookmarkEnd w:id="268"/>
      <w:bookmarkStart w:id="269" w:name="_Toc184310342"/>
      <w:bookmarkEnd w:id="269"/>
      <w:bookmarkStart w:id="270" w:name="_Toc184313251"/>
      <w:bookmarkEnd w:id="270"/>
      <w:bookmarkStart w:id="271" w:name="_Toc184313289"/>
      <w:bookmarkEnd w:id="271"/>
      <w:bookmarkStart w:id="272" w:name="_Toc184310318"/>
      <w:bookmarkEnd w:id="272"/>
      <w:bookmarkStart w:id="273" w:name="_Toc184310316"/>
      <w:bookmarkEnd w:id="273"/>
      <w:bookmarkStart w:id="274" w:name="_Toc184308052"/>
      <w:bookmarkEnd w:id="274"/>
      <w:bookmarkStart w:id="275" w:name="_Toc184310272"/>
      <w:bookmarkEnd w:id="275"/>
      <w:bookmarkStart w:id="276" w:name="_Toc184310340"/>
      <w:bookmarkEnd w:id="276"/>
      <w:bookmarkStart w:id="277" w:name="_Toc184314471"/>
      <w:bookmarkEnd w:id="277"/>
      <w:bookmarkStart w:id="278" w:name="_Toc184314418"/>
      <w:bookmarkEnd w:id="278"/>
      <w:bookmarkStart w:id="279" w:name="_Toc184314452"/>
      <w:bookmarkEnd w:id="279"/>
      <w:bookmarkStart w:id="280" w:name="_Toc184313302"/>
      <w:bookmarkEnd w:id="280"/>
      <w:bookmarkStart w:id="281" w:name="_Toc184308077"/>
      <w:bookmarkEnd w:id="281"/>
      <w:bookmarkStart w:id="282" w:name="_Toc184313269"/>
      <w:bookmarkEnd w:id="282"/>
      <w:bookmarkStart w:id="283" w:name="_Toc184313304"/>
      <w:bookmarkEnd w:id="283"/>
      <w:bookmarkStart w:id="284" w:name="_Toc184308038"/>
      <w:bookmarkEnd w:id="284"/>
      <w:bookmarkStart w:id="285" w:name="_Toc184308053"/>
      <w:bookmarkEnd w:id="285"/>
      <w:bookmarkStart w:id="286" w:name="_Toc184310290"/>
      <w:bookmarkEnd w:id="286"/>
      <w:bookmarkStart w:id="287" w:name="_Toc184313240"/>
      <w:bookmarkEnd w:id="287"/>
      <w:bookmarkStart w:id="288" w:name="_Toc184312086"/>
      <w:bookmarkEnd w:id="288"/>
      <w:bookmarkStart w:id="289" w:name="_Toc184310324"/>
      <w:bookmarkEnd w:id="289"/>
      <w:bookmarkStart w:id="290" w:name="_Toc184308050"/>
      <w:bookmarkEnd w:id="290"/>
      <w:bookmarkStart w:id="291" w:name="_Toc184312111"/>
      <w:bookmarkEnd w:id="291"/>
      <w:bookmarkStart w:id="292" w:name="_Toc184308054"/>
      <w:bookmarkEnd w:id="292"/>
      <w:bookmarkStart w:id="293" w:name="_Toc184312131"/>
      <w:bookmarkEnd w:id="293"/>
      <w:bookmarkStart w:id="294" w:name="_Toc184312129"/>
      <w:bookmarkEnd w:id="294"/>
      <w:bookmarkStart w:id="295" w:name="_Toc184308089"/>
      <w:bookmarkEnd w:id="295"/>
      <w:bookmarkStart w:id="296" w:name="_Toc184312100"/>
      <w:bookmarkEnd w:id="296"/>
      <w:bookmarkStart w:id="297" w:name="_Toc184314427"/>
      <w:bookmarkEnd w:id="297"/>
      <w:bookmarkStart w:id="298" w:name="_Toc184308062"/>
      <w:bookmarkEnd w:id="298"/>
      <w:bookmarkStart w:id="299" w:name="_Toc184312080"/>
      <w:bookmarkEnd w:id="299"/>
      <w:bookmarkStart w:id="300" w:name="_Toc184310323"/>
      <w:bookmarkEnd w:id="300"/>
      <w:bookmarkStart w:id="301" w:name="_Toc184314474"/>
      <w:bookmarkEnd w:id="301"/>
      <w:bookmarkStart w:id="302" w:name="_Toc184310274"/>
      <w:bookmarkEnd w:id="302"/>
      <w:bookmarkStart w:id="303" w:name="_Toc184310305"/>
      <w:bookmarkEnd w:id="303"/>
      <w:bookmarkStart w:id="304" w:name="_Toc184310343"/>
      <w:bookmarkEnd w:id="304"/>
      <w:bookmarkStart w:id="305" w:name="_Toc184313257"/>
      <w:bookmarkEnd w:id="305"/>
      <w:bookmarkStart w:id="306" w:name="_Toc184313254"/>
      <w:bookmarkEnd w:id="306"/>
      <w:bookmarkStart w:id="307" w:name="_Toc184312084"/>
      <w:bookmarkEnd w:id="307"/>
      <w:bookmarkStart w:id="308" w:name="_Toc184314432"/>
      <w:bookmarkEnd w:id="308"/>
      <w:bookmarkStart w:id="309" w:name="_Toc184314433"/>
      <w:bookmarkEnd w:id="309"/>
      <w:bookmarkStart w:id="310" w:name="_Toc184312124"/>
      <w:bookmarkEnd w:id="310"/>
      <w:bookmarkStart w:id="311" w:name="_Toc184312123"/>
      <w:bookmarkEnd w:id="311"/>
      <w:bookmarkStart w:id="312" w:name="_Toc184312093"/>
      <w:bookmarkEnd w:id="312"/>
      <w:bookmarkStart w:id="313" w:name="_Toc184314464"/>
      <w:bookmarkEnd w:id="313"/>
      <w:bookmarkStart w:id="314" w:name="_Toc184308073"/>
      <w:bookmarkEnd w:id="314"/>
      <w:bookmarkStart w:id="315" w:name="_Toc184313293"/>
      <w:bookmarkEnd w:id="315"/>
      <w:bookmarkStart w:id="316" w:name="_Toc184313288"/>
      <w:bookmarkEnd w:id="316"/>
      <w:bookmarkStart w:id="317" w:name="_Toc184308061"/>
      <w:bookmarkEnd w:id="317"/>
      <w:bookmarkStart w:id="318" w:name="_Toc184312117"/>
      <w:bookmarkEnd w:id="318"/>
      <w:bookmarkStart w:id="319" w:name="_Toc184314461"/>
      <w:bookmarkEnd w:id="319"/>
      <w:bookmarkStart w:id="320" w:name="_Toc184308060"/>
      <w:bookmarkEnd w:id="320"/>
      <w:bookmarkStart w:id="321" w:name="_Toc184313245"/>
      <w:bookmarkEnd w:id="321"/>
      <w:bookmarkStart w:id="322" w:name="_Toc184308070"/>
      <w:bookmarkEnd w:id="322"/>
      <w:bookmarkStart w:id="323" w:name="_Toc184310295"/>
      <w:bookmarkEnd w:id="323"/>
      <w:bookmarkStart w:id="324" w:name="_Toc184313238"/>
      <w:bookmarkEnd w:id="324"/>
      <w:bookmarkStart w:id="325" w:name="_Toc184313274"/>
      <w:bookmarkEnd w:id="325"/>
      <w:bookmarkStart w:id="326" w:name="_Toc184312078"/>
      <w:bookmarkEnd w:id="326"/>
      <w:bookmarkStart w:id="327" w:name="_Toc184308048"/>
      <w:bookmarkEnd w:id="327"/>
      <w:bookmarkStart w:id="328" w:name="_Toc184308107"/>
      <w:bookmarkEnd w:id="328"/>
      <w:bookmarkStart w:id="329" w:name="_Toc184313280"/>
      <w:bookmarkEnd w:id="329"/>
      <w:bookmarkStart w:id="330" w:name="_Toc184310344"/>
      <w:bookmarkEnd w:id="330"/>
      <w:bookmarkStart w:id="331" w:name="_Toc184312135"/>
      <w:bookmarkEnd w:id="331"/>
      <w:bookmarkStart w:id="332" w:name="_Toc184312088"/>
      <w:bookmarkEnd w:id="332"/>
      <w:bookmarkStart w:id="333" w:name="_Toc184310297"/>
      <w:bookmarkEnd w:id="333"/>
      <w:bookmarkStart w:id="334" w:name="_Toc184314455"/>
      <w:bookmarkEnd w:id="334"/>
      <w:bookmarkStart w:id="335" w:name="_Toc184310306"/>
      <w:bookmarkEnd w:id="335"/>
      <w:bookmarkStart w:id="336" w:name="_Toc184313277"/>
      <w:bookmarkEnd w:id="336"/>
      <w:bookmarkStart w:id="337" w:name="_Toc184312068"/>
      <w:bookmarkEnd w:id="337"/>
      <w:bookmarkStart w:id="338" w:name="_Toc184312090"/>
      <w:bookmarkEnd w:id="338"/>
      <w:bookmarkStart w:id="339" w:name="_Toc184314419"/>
      <w:bookmarkEnd w:id="339"/>
      <w:bookmarkStart w:id="340" w:name="_Toc184310303"/>
      <w:bookmarkEnd w:id="340"/>
      <w:bookmarkStart w:id="341" w:name="_Toc184310289"/>
      <w:bookmarkEnd w:id="341"/>
      <w:bookmarkStart w:id="342" w:name="_Toc184313305"/>
      <w:bookmarkEnd w:id="342"/>
      <w:bookmarkStart w:id="343" w:name="_Toc184314441"/>
      <w:bookmarkEnd w:id="343"/>
      <w:bookmarkStart w:id="344" w:name="_Toc184314425"/>
      <w:bookmarkEnd w:id="344"/>
      <w:bookmarkStart w:id="345" w:name="_Toc184312089"/>
      <w:bookmarkEnd w:id="345"/>
      <w:bookmarkStart w:id="346" w:name="_Toc184308094"/>
      <w:bookmarkEnd w:id="346"/>
      <w:bookmarkStart w:id="347" w:name="_Toc184314457"/>
      <w:bookmarkEnd w:id="347"/>
      <w:bookmarkStart w:id="348" w:name="_Toc184308045"/>
      <w:bookmarkEnd w:id="348"/>
      <w:bookmarkStart w:id="349" w:name="_Toc184313266"/>
      <w:bookmarkEnd w:id="349"/>
      <w:bookmarkStart w:id="350" w:name="_Toc184314434"/>
      <w:bookmarkEnd w:id="350"/>
      <w:bookmarkStart w:id="351" w:name="_Toc184310278"/>
      <w:bookmarkEnd w:id="351"/>
      <w:bookmarkStart w:id="352" w:name="_Toc184314479"/>
      <w:bookmarkEnd w:id="352"/>
      <w:bookmarkStart w:id="353" w:name="_Toc184308079"/>
      <w:bookmarkEnd w:id="353"/>
      <w:bookmarkStart w:id="354" w:name="_Toc184308076"/>
      <w:bookmarkEnd w:id="354"/>
      <w:bookmarkStart w:id="355" w:name="_Toc184312122"/>
      <w:bookmarkEnd w:id="355"/>
      <w:bookmarkStart w:id="356" w:name="_Toc184314437"/>
      <w:bookmarkEnd w:id="356"/>
      <w:bookmarkStart w:id="357" w:name="_Toc184314420"/>
      <w:bookmarkEnd w:id="357"/>
      <w:bookmarkStart w:id="358" w:name="_Toc184313297"/>
      <w:bookmarkEnd w:id="358"/>
      <w:bookmarkStart w:id="359" w:name="_Toc184312069"/>
      <w:bookmarkEnd w:id="359"/>
      <w:bookmarkStart w:id="360" w:name="_Toc184314415"/>
      <w:bookmarkEnd w:id="360"/>
      <w:bookmarkStart w:id="361" w:name="_Toc184310277"/>
      <w:bookmarkEnd w:id="361"/>
      <w:bookmarkStart w:id="362" w:name="_Toc184313275"/>
      <w:bookmarkEnd w:id="362"/>
      <w:bookmarkStart w:id="363" w:name="_Toc184308068"/>
      <w:bookmarkEnd w:id="363"/>
      <w:bookmarkStart w:id="364" w:name="_Toc184310328"/>
      <w:bookmarkEnd w:id="364"/>
      <w:bookmarkStart w:id="365" w:name="_Toc184310292"/>
      <w:bookmarkEnd w:id="365"/>
      <w:bookmarkStart w:id="366" w:name="_Toc184308104"/>
      <w:bookmarkEnd w:id="366"/>
      <w:bookmarkStart w:id="367" w:name="_Toc184313255"/>
      <w:bookmarkEnd w:id="367"/>
      <w:bookmarkStart w:id="368" w:name="_Toc184310287"/>
      <w:bookmarkEnd w:id="368"/>
      <w:bookmarkStart w:id="369" w:name="_Toc184314456"/>
      <w:bookmarkEnd w:id="369"/>
      <w:bookmarkStart w:id="370" w:name="_Toc184313267"/>
      <w:bookmarkEnd w:id="370"/>
      <w:bookmarkStart w:id="371" w:name="_Toc184310302"/>
      <w:bookmarkEnd w:id="371"/>
      <w:bookmarkStart w:id="372" w:name="_Toc184314476"/>
      <w:bookmarkEnd w:id="372"/>
      <w:bookmarkStart w:id="373" w:name="_Toc184312112"/>
      <w:bookmarkEnd w:id="373"/>
      <w:bookmarkStart w:id="374" w:name="_Toc184313265"/>
      <w:bookmarkEnd w:id="374"/>
      <w:bookmarkStart w:id="375" w:name="_Toc184313260"/>
      <w:bookmarkEnd w:id="375"/>
      <w:bookmarkStart w:id="376" w:name="_Toc184313300"/>
      <w:bookmarkEnd w:id="376"/>
      <w:bookmarkStart w:id="377" w:name="_Toc184313253"/>
      <w:bookmarkEnd w:id="377"/>
      <w:bookmarkStart w:id="378" w:name="_Toc184310327"/>
      <w:bookmarkEnd w:id="378"/>
      <w:bookmarkStart w:id="379" w:name="_Toc184310282"/>
      <w:bookmarkEnd w:id="379"/>
      <w:bookmarkStart w:id="380" w:name="_Toc184313301"/>
      <w:bookmarkEnd w:id="380"/>
      <w:bookmarkStart w:id="381" w:name="_Toc184310273"/>
      <w:bookmarkEnd w:id="381"/>
      <w:bookmarkStart w:id="382" w:name="_Toc184310335"/>
      <w:bookmarkEnd w:id="382"/>
      <w:bookmarkStart w:id="383" w:name="_Toc184313279"/>
      <w:bookmarkEnd w:id="383"/>
      <w:bookmarkStart w:id="384" w:name="_Toc184314440"/>
      <w:bookmarkEnd w:id="384"/>
      <w:bookmarkStart w:id="385" w:name="_Toc184310279"/>
      <w:bookmarkEnd w:id="385"/>
      <w:bookmarkStart w:id="386" w:name="_Toc184314470"/>
      <w:bookmarkEnd w:id="386"/>
      <w:bookmarkStart w:id="387" w:name="_Toc184313270"/>
      <w:bookmarkEnd w:id="387"/>
      <w:bookmarkStart w:id="388" w:name="_Toc184313287"/>
      <w:bookmarkEnd w:id="388"/>
      <w:bookmarkStart w:id="389" w:name="_Toc184308106"/>
      <w:bookmarkEnd w:id="389"/>
      <w:bookmarkStart w:id="390" w:name="_Toc184310300"/>
      <w:bookmarkEnd w:id="390"/>
      <w:bookmarkStart w:id="391" w:name="_Toc184312130"/>
      <w:bookmarkEnd w:id="391"/>
      <w:bookmarkStart w:id="392" w:name="_Toc184314423"/>
      <w:bookmarkEnd w:id="392"/>
      <w:bookmarkStart w:id="393" w:name="_Toc184312091"/>
      <w:bookmarkEnd w:id="393"/>
      <w:bookmarkStart w:id="394" w:name="_Toc184308055"/>
      <w:bookmarkEnd w:id="394"/>
      <w:bookmarkStart w:id="395" w:name="_Toc184313239"/>
      <w:bookmarkEnd w:id="395"/>
      <w:bookmarkStart w:id="396" w:name="_Toc184312097"/>
      <w:bookmarkEnd w:id="396"/>
      <w:bookmarkStart w:id="397" w:name="_Toc184310322"/>
      <w:bookmarkEnd w:id="397"/>
      <w:bookmarkStart w:id="398" w:name="_Toc184313295"/>
      <w:bookmarkEnd w:id="398"/>
      <w:bookmarkStart w:id="399" w:name="_Toc184312105"/>
      <w:bookmarkEnd w:id="399"/>
      <w:bookmarkStart w:id="400" w:name="_Toc184314411"/>
      <w:bookmarkEnd w:id="400"/>
      <w:bookmarkStart w:id="401" w:name="_Toc184310288"/>
      <w:bookmarkEnd w:id="401"/>
      <w:bookmarkStart w:id="402" w:name="_Toc184313276"/>
      <w:bookmarkEnd w:id="402"/>
      <w:bookmarkStart w:id="403" w:name="_Toc184308046"/>
      <w:bookmarkEnd w:id="403"/>
      <w:bookmarkStart w:id="404" w:name="_Toc184312132"/>
      <w:bookmarkEnd w:id="404"/>
      <w:r>
        <w:rPr>
          <w:rFonts w:hint="eastAsia" w:ascii="宋体" w:hAnsi="宋体" w:eastAsia="宋体" w:cs="宋体"/>
          <w:b/>
          <w:color w:val="auto"/>
          <w:sz w:val="36"/>
          <w:szCs w:val="36"/>
          <w:highlight w:val="none"/>
        </w:rPr>
        <w:t>评标办法</w:t>
      </w:r>
    </w:p>
    <w:p w14:paraId="1324C88C">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9711" w:type="dxa"/>
        <w:tblInd w:w="-816"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5537"/>
        <w:gridCol w:w="851"/>
        <w:gridCol w:w="1134"/>
        <w:gridCol w:w="1559"/>
      </w:tblGrid>
      <w:tr w14:paraId="3A49AB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0366D6E5">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5537" w:type="dxa"/>
            <w:vAlign w:val="center"/>
          </w:tcPr>
          <w:p w14:paraId="113A36C8">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评标标准</w:t>
            </w:r>
          </w:p>
        </w:tc>
        <w:tc>
          <w:tcPr>
            <w:tcW w:w="851" w:type="dxa"/>
            <w:vAlign w:val="center"/>
          </w:tcPr>
          <w:p w14:paraId="06C9E88A">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权重</w:t>
            </w:r>
          </w:p>
        </w:tc>
        <w:tc>
          <w:tcPr>
            <w:tcW w:w="1134" w:type="dxa"/>
            <w:vAlign w:val="center"/>
          </w:tcPr>
          <w:p w14:paraId="728F186D">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bCs w:val="0"/>
                <w:color w:val="auto"/>
                <w:sz w:val="24"/>
                <w:szCs w:val="24"/>
                <w:highlight w:val="none"/>
              </w:rPr>
              <w:t>主观分/客观分属性</w:t>
            </w:r>
          </w:p>
        </w:tc>
        <w:tc>
          <w:tcPr>
            <w:tcW w:w="1559" w:type="dxa"/>
            <w:vAlign w:val="center"/>
          </w:tcPr>
          <w:p w14:paraId="51B14E16">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投标文件中评标标准相应的商务技术资料目录*</w:t>
            </w:r>
          </w:p>
        </w:tc>
      </w:tr>
      <w:tr w14:paraId="2EF6BB8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66F906A7">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5537" w:type="dxa"/>
            <w:vAlign w:val="center"/>
          </w:tcPr>
          <w:p w14:paraId="7F406EC0">
            <w:pPr>
              <w:pStyle w:val="471"/>
              <w:widowControl w:val="0"/>
              <w:spacing w:line="46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整体运维方案</w:t>
            </w:r>
            <w:r>
              <w:rPr>
                <w:rFonts w:hint="eastAsia" w:ascii="宋体" w:hAnsi="宋体" w:eastAsia="宋体" w:cs="宋体"/>
                <w:b/>
                <w:color w:val="auto"/>
                <w:sz w:val="24"/>
                <w:szCs w:val="24"/>
                <w:highlight w:val="none"/>
                <w:lang w:eastAsia="zh-CN"/>
              </w:rPr>
              <w:t>：</w:t>
            </w:r>
          </w:p>
          <w:p w14:paraId="2E028688">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①对本项目的综合分析、②对重点、难点和疑点问题把握、③关键点诊断及④相关的运维建议。要求思路清晰，技术路线把握准确，建议合理可行。</w:t>
            </w:r>
            <w:r>
              <w:rPr>
                <w:rFonts w:hint="eastAsia" w:ascii="宋体" w:hAnsi="宋体" w:eastAsia="宋体" w:cs="宋体"/>
                <w:color w:val="auto"/>
                <w:kern w:val="0"/>
                <w:sz w:val="24"/>
                <w:szCs w:val="24"/>
                <w:highlight w:val="none"/>
              </w:rPr>
              <w:t>每一项内容符合采购人需求的得</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分，部分符合的得</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分，不符合不得分。本项最高得</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分。</w:t>
            </w:r>
          </w:p>
        </w:tc>
        <w:tc>
          <w:tcPr>
            <w:tcW w:w="851" w:type="dxa"/>
            <w:vAlign w:val="center"/>
          </w:tcPr>
          <w:p w14:paraId="5EE57D50">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8</w:t>
            </w:r>
          </w:p>
        </w:tc>
        <w:tc>
          <w:tcPr>
            <w:tcW w:w="1134" w:type="dxa"/>
            <w:vAlign w:val="center"/>
          </w:tcPr>
          <w:p w14:paraId="6CC73E23">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761287CA">
            <w:pPr>
              <w:pStyle w:val="471"/>
              <w:widowControl w:val="0"/>
              <w:spacing w:line="460" w:lineRule="exact"/>
              <w:jc w:val="center"/>
              <w:rPr>
                <w:rFonts w:hint="eastAsia" w:ascii="宋体" w:hAnsi="宋体" w:eastAsia="宋体" w:cs="宋体"/>
                <w:bCs/>
                <w:color w:val="auto"/>
                <w:sz w:val="24"/>
                <w:szCs w:val="24"/>
                <w:highlight w:val="none"/>
                <w:lang w:val="zh-TW" w:eastAsia="zh-TW"/>
              </w:rPr>
            </w:pPr>
          </w:p>
        </w:tc>
      </w:tr>
      <w:tr w14:paraId="6C23DB9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458816E1">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w:t>
            </w:r>
          </w:p>
        </w:tc>
        <w:tc>
          <w:tcPr>
            <w:tcW w:w="5537" w:type="dxa"/>
            <w:vAlign w:val="center"/>
          </w:tcPr>
          <w:p w14:paraId="74069EBF">
            <w:pPr>
              <w:pStyle w:val="471"/>
              <w:widowControl w:val="0"/>
              <w:spacing w:line="460" w:lineRule="exact"/>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点位环境和站房巡检服务</w:t>
            </w:r>
            <w:r>
              <w:rPr>
                <w:rFonts w:hint="eastAsia" w:ascii="宋体" w:hAnsi="宋体" w:eastAsia="宋体" w:cs="宋体"/>
                <w:b/>
                <w:color w:val="auto"/>
                <w:sz w:val="24"/>
                <w:szCs w:val="24"/>
                <w:highlight w:val="none"/>
                <w:lang w:eastAsia="zh-CN"/>
              </w:rPr>
              <w:t>：</w:t>
            </w:r>
          </w:p>
          <w:p w14:paraId="3D6F8F9B">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对①点位环境和②站房巡检提出针对性、详细、合理的运维措施方案。</w:t>
            </w:r>
            <w:r>
              <w:rPr>
                <w:rFonts w:hint="eastAsia" w:ascii="宋体" w:hAnsi="宋体" w:eastAsia="宋体" w:cs="宋体"/>
                <w:color w:val="auto"/>
                <w:kern w:val="0"/>
                <w:sz w:val="24"/>
                <w:szCs w:val="24"/>
                <w:highlight w:val="none"/>
              </w:rPr>
              <w:t>每一项内容符合采购人需求的得3分，部分符合的得1.5分，不符合不得分。本项最高得6分。</w:t>
            </w:r>
          </w:p>
        </w:tc>
        <w:tc>
          <w:tcPr>
            <w:tcW w:w="851" w:type="dxa"/>
            <w:vAlign w:val="center"/>
          </w:tcPr>
          <w:p w14:paraId="5342EDFD">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134" w:type="dxa"/>
            <w:vAlign w:val="center"/>
          </w:tcPr>
          <w:p w14:paraId="09446E4C">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116DD7C1">
            <w:pPr>
              <w:pStyle w:val="471"/>
              <w:widowControl w:val="0"/>
              <w:spacing w:line="460" w:lineRule="exact"/>
              <w:jc w:val="center"/>
              <w:rPr>
                <w:rFonts w:hint="eastAsia" w:ascii="宋体" w:hAnsi="宋体" w:eastAsia="宋体" w:cs="宋体"/>
                <w:bCs/>
                <w:color w:val="auto"/>
                <w:sz w:val="24"/>
                <w:szCs w:val="24"/>
                <w:highlight w:val="none"/>
              </w:rPr>
            </w:pPr>
          </w:p>
        </w:tc>
      </w:tr>
      <w:tr w14:paraId="55BF0D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08E4EE7F">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5537" w:type="dxa"/>
            <w:vAlign w:val="center"/>
          </w:tcPr>
          <w:p w14:paraId="3AEC74D4">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系统运行管理服务</w:t>
            </w:r>
            <w:r>
              <w:rPr>
                <w:rFonts w:hint="eastAsia" w:ascii="宋体" w:hAnsi="宋体" w:eastAsia="宋体" w:cs="宋体"/>
                <w:b/>
                <w:color w:val="auto"/>
                <w:sz w:val="24"/>
                <w:szCs w:val="24"/>
                <w:highlight w:val="none"/>
                <w:lang w:eastAsia="zh-CN"/>
              </w:rPr>
              <w:t>：</w:t>
            </w:r>
          </w:p>
          <w:p w14:paraId="4C1969D3">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完整的环境空气自动监测系统运维实施方案，①明确维护方法、周期、内容；②技术保障措施（包含设备的日常维护和常见故障诊断方法）；③提出解决问题的措施。每一项内容符合采购人需求的得3分，部分符合的得1.5分，不符合不得分。本项最高得</w:t>
            </w:r>
            <w:r>
              <w:rPr>
                <w:rFonts w:hint="eastAsia" w:ascii="宋体" w:hAnsi="宋体" w:eastAsia="宋体" w:cs="宋体"/>
                <w:color w:val="auto"/>
                <w:kern w:val="0"/>
                <w:sz w:val="24"/>
                <w:szCs w:val="24"/>
                <w:highlight w:val="none"/>
                <w:lang w:val="en-US" w:eastAsia="zh-CN"/>
              </w:rPr>
              <w:t>9</w:t>
            </w:r>
            <w:r>
              <w:rPr>
                <w:rFonts w:hint="eastAsia" w:ascii="宋体" w:hAnsi="宋体" w:eastAsia="宋体" w:cs="宋体"/>
                <w:color w:val="auto"/>
                <w:kern w:val="0"/>
                <w:sz w:val="24"/>
                <w:szCs w:val="24"/>
                <w:highlight w:val="none"/>
              </w:rPr>
              <w:t>分。</w:t>
            </w:r>
          </w:p>
        </w:tc>
        <w:tc>
          <w:tcPr>
            <w:tcW w:w="851" w:type="dxa"/>
            <w:vAlign w:val="center"/>
          </w:tcPr>
          <w:p w14:paraId="2F8D75E9">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9</w:t>
            </w:r>
          </w:p>
        </w:tc>
        <w:tc>
          <w:tcPr>
            <w:tcW w:w="1134" w:type="dxa"/>
            <w:vAlign w:val="center"/>
          </w:tcPr>
          <w:p w14:paraId="7BFE91B2">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488A5DC1">
            <w:pPr>
              <w:pStyle w:val="471"/>
              <w:widowControl w:val="0"/>
              <w:spacing w:line="460" w:lineRule="exact"/>
              <w:jc w:val="center"/>
              <w:rPr>
                <w:rFonts w:hint="eastAsia" w:ascii="宋体" w:hAnsi="宋体" w:eastAsia="宋体" w:cs="宋体"/>
                <w:bCs/>
                <w:color w:val="auto"/>
                <w:sz w:val="24"/>
                <w:szCs w:val="24"/>
                <w:highlight w:val="none"/>
              </w:rPr>
            </w:pPr>
          </w:p>
        </w:tc>
      </w:tr>
      <w:tr w14:paraId="2C03BC6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56CDD668">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5537" w:type="dxa"/>
            <w:vAlign w:val="center"/>
          </w:tcPr>
          <w:p w14:paraId="33E2AD29">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质量控制运维服务</w:t>
            </w:r>
            <w:r>
              <w:rPr>
                <w:rFonts w:hint="eastAsia" w:ascii="宋体" w:hAnsi="宋体" w:eastAsia="宋体" w:cs="宋体"/>
                <w:b/>
                <w:color w:val="auto"/>
                <w:sz w:val="24"/>
                <w:szCs w:val="24"/>
                <w:highlight w:val="none"/>
                <w:lang w:eastAsia="zh-CN"/>
              </w:rPr>
              <w:t>：</w:t>
            </w:r>
          </w:p>
          <w:p w14:paraId="51D12733">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提供①</w:t>
            </w:r>
            <w:r>
              <w:rPr>
                <w:rFonts w:hint="eastAsia" w:ascii="宋体" w:hAnsi="宋体" w:eastAsia="宋体" w:cs="宋体"/>
                <w:bCs/>
                <w:color w:val="auto"/>
                <w:sz w:val="24"/>
                <w:szCs w:val="24"/>
                <w:highlight w:val="none"/>
              </w:rPr>
              <w:t>气体分析仪分析②颗粒物分析仪③校准设备等仪器的日常维护、质量控制和常见故障诊断方法，④以及配套服务工作方案。要求技术路线把握准确，服务方案周祥。</w:t>
            </w:r>
            <w:r>
              <w:rPr>
                <w:rFonts w:hint="eastAsia" w:ascii="宋体" w:hAnsi="宋体" w:eastAsia="宋体" w:cs="宋体"/>
                <w:color w:val="auto"/>
                <w:kern w:val="0"/>
                <w:sz w:val="24"/>
                <w:szCs w:val="24"/>
                <w:highlight w:val="none"/>
              </w:rPr>
              <w:t>每一项内容符合采购人需求的得2分，部分符合的得1分，不符合不得分。本项最高得8分。</w:t>
            </w:r>
          </w:p>
        </w:tc>
        <w:tc>
          <w:tcPr>
            <w:tcW w:w="851" w:type="dxa"/>
            <w:vAlign w:val="center"/>
          </w:tcPr>
          <w:p w14:paraId="4AD75494">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1134" w:type="dxa"/>
            <w:vAlign w:val="center"/>
          </w:tcPr>
          <w:p w14:paraId="1106D6C2">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6698B124">
            <w:pPr>
              <w:pStyle w:val="471"/>
              <w:widowControl w:val="0"/>
              <w:spacing w:line="460" w:lineRule="exact"/>
              <w:jc w:val="center"/>
              <w:rPr>
                <w:rFonts w:hint="eastAsia" w:ascii="宋体" w:hAnsi="宋体" w:eastAsia="宋体" w:cs="宋体"/>
                <w:bCs/>
                <w:color w:val="auto"/>
                <w:sz w:val="24"/>
                <w:szCs w:val="24"/>
                <w:highlight w:val="none"/>
              </w:rPr>
            </w:pPr>
          </w:p>
        </w:tc>
      </w:tr>
      <w:tr w14:paraId="7A6F6F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39ABC93D">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5537" w:type="dxa"/>
            <w:vAlign w:val="center"/>
          </w:tcPr>
          <w:p w14:paraId="4CC3428D">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应急管理服务</w:t>
            </w:r>
            <w:r>
              <w:rPr>
                <w:rFonts w:hint="eastAsia" w:ascii="宋体" w:hAnsi="宋体" w:eastAsia="宋体" w:cs="宋体"/>
                <w:b/>
                <w:color w:val="auto"/>
                <w:sz w:val="24"/>
                <w:szCs w:val="24"/>
                <w:highlight w:val="none"/>
                <w:lang w:eastAsia="zh-CN"/>
              </w:rPr>
              <w:t>：</w:t>
            </w:r>
          </w:p>
          <w:p w14:paraId="4B1D692F">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①应急服务方案②解决问题时效③人员配备情况等。要求方案全面且保障措施到位。</w:t>
            </w:r>
            <w:r>
              <w:rPr>
                <w:rFonts w:hint="eastAsia" w:ascii="宋体" w:hAnsi="宋体" w:eastAsia="宋体" w:cs="宋体"/>
                <w:color w:val="auto"/>
                <w:kern w:val="0"/>
                <w:sz w:val="24"/>
                <w:szCs w:val="24"/>
                <w:highlight w:val="none"/>
              </w:rPr>
              <w:t>每一项内容符合采购人需求的得2分，部分符合的得1分，不符合不得分。本项最高得6分。</w:t>
            </w:r>
          </w:p>
        </w:tc>
        <w:tc>
          <w:tcPr>
            <w:tcW w:w="851" w:type="dxa"/>
            <w:vAlign w:val="center"/>
          </w:tcPr>
          <w:p w14:paraId="742AB7DD">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1134" w:type="dxa"/>
            <w:vAlign w:val="center"/>
          </w:tcPr>
          <w:p w14:paraId="510F6002">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67FE5368">
            <w:pPr>
              <w:pStyle w:val="471"/>
              <w:widowControl w:val="0"/>
              <w:spacing w:line="460" w:lineRule="exact"/>
              <w:jc w:val="center"/>
              <w:rPr>
                <w:rFonts w:hint="eastAsia" w:ascii="宋体" w:hAnsi="宋体" w:eastAsia="宋体" w:cs="宋体"/>
                <w:bCs/>
                <w:color w:val="auto"/>
                <w:sz w:val="24"/>
                <w:szCs w:val="24"/>
                <w:highlight w:val="none"/>
              </w:rPr>
            </w:pPr>
          </w:p>
        </w:tc>
      </w:tr>
      <w:tr w14:paraId="5B870CE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63606D32">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w:t>
            </w:r>
          </w:p>
        </w:tc>
        <w:tc>
          <w:tcPr>
            <w:tcW w:w="5537" w:type="dxa"/>
            <w:vAlign w:val="center"/>
          </w:tcPr>
          <w:p w14:paraId="12D9FDBB">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维修管理</w:t>
            </w:r>
            <w:r>
              <w:rPr>
                <w:rFonts w:hint="eastAsia" w:ascii="宋体" w:hAnsi="宋体" w:eastAsia="宋体" w:cs="宋体"/>
                <w:b/>
                <w:color w:val="auto"/>
                <w:sz w:val="24"/>
                <w:szCs w:val="24"/>
                <w:highlight w:val="none"/>
                <w:lang w:eastAsia="zh-CN"/>
              </w:rPr>
              <w:t>：</w:t>
            </w:r>
          </w:p>
          <w:p w14:paraId="090BB0A7">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提供常见主要分析仪器</w:t>
            </w:r>
            <w:r>
              <w:rPr>
                <w:rFonts w:hint="eastAsia" w:ascii="宋体" w:hAnsi="宋体" w:eastAsia="宋体" w:cs="宋体"/>
                <w:bCs/>
                <w:color w:val="auto"/>
                <w:sz w:val="24"/>
                <w:szCs w:val="24"/>
                <w:highlight w:val="none"/>
              </w:rPr>
              <w:t>常见故障维修方案，包括①常见故障清单、维修时效、②故障分析及汇总上报等。</w:t>
            </w:r>
            <w:r>
              <w:rPr>
                <w:rFonts w:hint="eastAsia" w:ascii="宋体" w:hAnsi="宋体" w:eastAsia="宋体" w:cs="宋体"/>
                <w:color w:val="auto"/>
                <w:kern w:val="0"/>
                <w:sz w:val="24"/>
                <w:szCs w:val="24"/>
                <w:highlight w:val="none"/>
              </w:rPr>
              <w:t>每一项内容符合采购人需求的得1.5分，部分符合的得1分，不符合不得分。本项最高得3分。</w:t>
            </w:r>
          </w:p>
        </w:tc>
        <w:tc>
          <w:tcPr>
            <w:tcW w:w="851" w:type="dxa"/>
            <w:vAlign w:val="center"/>
          </w:tcPr>
          <w:p w14:paraId="34CF5116">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3</w:t>
            </w:r>
          </w:p>
        </w:tc>
        <w:tc>
          <w:tcPr>
            <w:tcW w:w="1134" w:type="dxa"/>
            <w:vAlign w:val="center"/>
          </w:tcPr>
          <w:p w14:paraId="5B9825E5">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202FA574">
            <w:pPr>
              <w:pStyle w:val="471"/>
              <w:widowControl w:val="0"/>
              <w:spacing w:line="460" w:lineRule="exact"/>
              <w:jc w:val="center"/>
              <w:rPr>
                <w:rFonts w:hint="eastAsia" w:ascii="宋体" w:hAnsi="宋体" w:eastAsia="宋体" w:cs="宋体"/>
                <w:bCs/>
                <w:color w:val="auto"/>
                <w:sz w:val="24"/>
                <w:szCs w:val="24"/>
                <w:highlight w:val="none"/>
              </w:rPr>
            </w:pPr>
          </w:p>
        </w:tc>
      </w:tr>
      <w:tr w14:paraId="64C6B8A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4802E260">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7</w:t>
            </w:r>
          </w:p>
        </w:tc>
        <w:tc>
          <w:tcPr>
            <w:tcW w:w="5537" w:type="dxa"/>
            <w:vAlign w:val="center"/>
          </w:tcPr>
          <w:p w14:paraId="6F58CDF3">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数据要求</w:t>
            </w:r>
            <w:r>
              <w:rPr>
                <w:rFonts w:hint="eastAsia" w:ascii="宋体" w:hAnsi="宋体" w:eastAsia="宋体" w:cs="宋体"/>
                <w:b/>
                <w:color w:val="auto"/>
                <w:sz w:val="24"/>
                <w:szCs w:val="24"/>
                <w:highlight w:val="none"/>
                <w:lang w:eastAsia="zh-CN"/>
              </w:rPr>
              <w:t>：</w:t>
            </w:r>
          </w:p>
          <w:p w14:paraId="3F5298EA">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提供①</w:t>
            </w:r>
            <w:r>
              <w:rPr>
                <w:rFonts w:hint="eastAsia" w:ascii="宋体" w:hAnsi="宋体" w:eastAsia="宋体" w:cs="宋体"/>
                <w:bCs/>
                <w:color w:val="auto"/>
                <w:sz w:val="24"/>
                <w:szCs w:val="24"/>
                <w:highlight w:val="none"/>
              </w:rPr>
              <w:t>有效监测天数②</w:t>
            </w:r>
            <w:r>
              <w:rPr>
                <w:rFonts w:hint="eastAsia" w:ascii="宋体" w:hAnsi="宋体" w:eastAsia="宋体" w:cs="宋体"/>
                <w:color w:val="auto"/>
                <w:kern w:val="0"/>
                <w:sz w:val="24"/>
                <w:szCs w:val="24"/>
                <w:highlight w:val="none"/>
              </w:rPr>
              <w:t>有效数据获取率保障措施，要求措施合理，保障到位。每一项内容符合采购人需求的得2分，部分符合的得1分，不符合不得分。本项最高得4分。</w:t>
            </w:r>
          </w:p>
        </w:tc>
        <w:tc>
          <w:tcPr>
            <w:tcW w:w="851" w:type="dxa"/>
            <w:vAlign w:val="center"/>
          </w:tcPr>
          <w:p w14:paraId="176C4169">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1134" w:type="dxa"/>
            <w:vAlign w:val="center"/>
          </w:tcPr>
          <w:p w14:paraId="633A53EC">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5F195360">
            <w:pPr>
              <w:pStyle w:val="471"/>
              <w:widowControl w:val="0"/>
              <w:spacing w:line="460" w:lineRule="exact"/>
              <w:jc w:val="center"/>
              <w:rPr>
                <w:rFonts w:hint="eastAsia" w:ascii="宋体" w:hAnsi="宋体" w:eastAsia="宋体" w:cs="宋体"/>
                <w:bCs/>
                <w:color w:val="auto"/>
                <w:sz w:val="24"/>
                <w:szCs w:val="24"/>
                <w:highlight w:val="none"/>
              </w:rPr>
            </w:pPr>
          </w:p>
        </w:tc>
      </w:tr>
      <w:tr w14:paraId="3F3245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5135C10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8</w:t>
            </w:r>
          </w:p>
        </w:tc>
        <w:tc>
          <w:tcPr>
            <w:tcW w:w="5537" w:type="dxa"/>
            <w:vAlign w:val="center"/>
          </w:tcPr>
          <w:p w14:paraId="173351AA">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配套服务</w:t>
            </w:r>
            <w:r>
              <w:rPr>
                <w:rFonts w:hint="eastAsia" w:ascii="宋体" w:hAnsi="宋体" w:eastAsia="宋体" w:cs="宋体"/>
                <w:b/>
                <w:color w:val="auto"/>
                <w:sz w:val="24"/>
                <w:szCs w:val="24"/>
                <w:highlight w:val="none"/>
                <w:lang w:eastAsia="zh-CN"/>
              </w:rPr>
              <w:t>：</w:t>
            </w:r>
          </w:p>
          <w:p w14:paraId="5CB4E8D9">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提供①信息安全服务；②数据传输及接入调试、开发调整方案。要求内容全面，方案合理。每一项内容符合采购人需求的得2分，部分符合的得1分，不符合不得分。本项最高得4分。</w:t>
            </w:r>
          </w:p>
        </w:tc>
        <w:tc>
          <w:tcPr>
            <w:tcW w:w="851" w:type="dxa"/>
            <w:vAlign w:val="center"/>
          </w:tcPr>
          <w:p w14:paraId="76E650EB">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1134" w:type="dxa"/>
            <w:vAlign w:val="center"/>
          </w:tcPr>
          <w:p w14:paraId="6B032E0A">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18DAFBDD">
            <w:pPr>
              <w:pStyle w:val="471"/>
              <w:widowControl w:val="0"/>
              <w:spacing w:line="460" w:lineRule="exact"/>
              <w:jc w:val="center"/>
              <w:rPr>
                <w:rFonts w:hint="eastAsia" w:ascii="宋体" w:hAnsi="宋体" w:eastAsia="宋体" w:cs="宋体"/>
                <w:bCs/>
                <w:color w:val="auto"/>
                <w:sz w:val="24"/>
                <w:szCs w:val="24"/>
                <w:highlight w:val="none"/>
              </w:rPr>
            </w:pPr>
          </w:p>
        </w:tc>
      </w:tr>
      <w:tr w14:paraId="6727EC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315F7B50">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9</w:t>
            </w:r>
          </w:p>
        </w:tc>
        <w:tc>
          <w:tcPr>
            <w:tcW w:w="5537" w:type="dxa"/>
            <w:vAlign w:val="center"/>
          </w:tcPr>
          <w:p w14:paraId="1F5B2B5A">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总结汇报</w:t>
            </w:r>
            <w:r>
              <w:rPr>
                <w:rFonts w:hint="eastAsia" w:ascii="宋体" w:hAnsi="宋体" w:eastAsia="宋体" w:cs="宋体"/>
                <w:b/>
                <w:color w:val="auto"/>
                <w:sz w:val="24"/>
                <w:szCs w:val="24"/>
                <w:highlight w:val="none"/>
                <w:lang w:eastAsia="zh-CN"/>
              </w:rPr>
              <w:t>：</w:t>
            </w:r>
          </w:p>
          <w:p w14:paraId="139C128A">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提供总结汇报服务方案，要求①周工作计划全面②季度报告、全年运行报告内容完整每一项内容符合采购人需求的得2分，部分符合的得1分，不符合不得分。本项最高得4分。</w:t>
            </w:r>
          </w:p>
        </w:tc>
        <w:tc>
          <w:tcPr>
            <w:tcW w:w="851" w:type="dxa"/>
            <w:vAlign w:val="center"/>
          </w:tcPr>
          <w:p w14:paraId="201758F2">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1134" w:type="dxa"/>
            <w:vAlign w:val="center"/>
          </w:tcPr>
          <w:p w14:paraId="1B479429">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69DE3489">
            <w:pPr>
              <w:pStyle w:val="471"/>
              <w:widowControl w:val="0"/>
              <w:spacing w:line="460" w:lineRule="exact"/>
              <w:jc w:val="center"/>
              <w:rPr>
                <w:rFonts w:hint="eastAsia" w:ascii="宋体" w:hAnsi="宋体" w:eastAsia="宋体" w:cs="宋体"/>
                <w:bCs/>
                <w:color w:val="auto"/>
                <w:sz w:val="24"/>
                <w:szCs w:val="24"/>
                <w:highlight w:val="none"/>
              </w:rPr>
            </w:pPr>
          </w:p>
        </w:tc>
      </w:tr>
      <w:tr w14:paraId="7B4BF1F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08B60E3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10</w:t>
            </w:r>
          </w:p>
        </w:tc>
        <w:tc>
          <w:tcPr>
            <w:tcW w:w="5537" w:type="dxa"/>
            <w:vAlign w:val="center"/>
          </w:tcPr>
          <w:p w14:paraId="6D3525FA">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自动监测运维报告提交时效：能够按时提供月报、季报、半年报、年报等运维报告的得5分，不能按时提供的不得分。</w:t>
            </w:r>
          </w:p>
          <w:p w14:paraId="716CC9B4">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证明材料：提供报告提交时间进度方案且具备保障措施，否则不予认可。</w:t>
            </w:r>
          </w:p>
        </w:tc>
        <w:tc>
          <w:tcPr>
            <w:tcW w:w="851" w:type="dxa"/>
            <w:vAlign w:val="center"/>
          </w:tcPr>
          <w:p w14:paraId="603C625A">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134" w:type="dxa"/>
            <w:vAlign w:val="center"/>
          </w:tcPr>
          <w:p w14:paraId="4E4F2C14">
            <w:pPr>
              <w:pStyle w:val="471"/>
              <w:widowControl w:val="0"/>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1F5F0C1B">
            <w:pPr>
              <w:pStyle w:val="471"/>
              <w:widowControl w:val="0"/>
              <w:spacing w:line="460" w:lineRule="exact"/>
              <w:jc w:val="center"/>
              <w:rPr>
                <w:rFonts w:hint="eastAsia" w:ascii="宋体" w:hAnsi="宋体" w:eastAsia="宋体" w:cs="宋体"/>
                <w:bCs/>
                <w:color w:val="auto"/>
                <w:sz w:val="24"/>
                <w:szCs w:val="24"/>
                <w:highlight w:val="none"/>
              </w:rPr>
            </w:pPr>
          </w:p>
        </w:tc>
      </w:tr>
      <w:tr w14:paraId="3921520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77E48221">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11</w:t>
            </w:r>
          </w:p>
        </w:tc>
        <w:tc>
          <w:tcPr>
            <w:tcW w:w="5537" w:type="dxa"/>
            <w:vAlign w:val="center"/>
          </w:tcPr>
          <w:p w14:paraId="6419D900">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运维服务组织：</w:t>
            </w:r>
          </w:p>
          <w:p w14:paraId="49B2FF5D">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kern w:val="0"/>
                <w:sz w:val="24"/>
                <w:szCs w:val="24"/>
                <w:highlight w:val="none"/>
              </w:rPr>
              <w:t>提供运维服务组织方案，包括不限于①项目管理目标、项目实施的组织结构、②工作进度安排、③项目的管理措施、协调方法和实施流程等。每一项内容符合采购人需求的得2分，部分符合的得1分，不符合不得分。本项最高得6分。</w:t>
            </w:r>
          </w:p>
        </w:tc>
        <w:tc>
          <w:tcPr>
            <w:tcW w:w="851" w:type="dxa"/>
            <w:vAlign w:val="center"/>
          </w:tcPr>
          <w:p w14:paraId="101947F7">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1134" w:type="dxa"/>
            <w:vAlign w:val="center"/>
          </w:tcPr>
          <w:p w14:paraId="18652EF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227F9630">
            <w:pPr>
              <w:pStyle w:val="471"/>
              <w:widowControl w:val="0"/>
              <w:spacing w:line="460" w:lineRule="exact"/>
              <w:jc w:val="center"/>
              <w:rPr>
                <w:rFonts w:hint="eastAsia" w:ascii="宋体" w:hAnsi="宋体" w:eastAsia="宋体" w:cs="宋体"/>
                <w:bCs/>
                <w:color w:val="auto"/>
                <w:sz w:val="24"/>
                <w:szCs w:val="24"/>
                <w:highlight w:val="none"/>
              </w:rPr>
            </w:pPr>
          </w:p>
        </w:tc>
      </w:tr>
      <w:tr w14:paraId="31DCC5C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55247265">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5537" w:type="dxa"/>
            <w:vAlign w:val="center"/>
          </w:tcPr>
          <w:p w14:paraId="29F02123">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运维服务管理：</w:t>
            </w:r>
          </w:p>
          <w:p w14:paraId="7DBA089D">
            <w:pPr>
              <w:pStyle w:val="471"/>
              <w:widowControl w:val="0"/>
              <w:spacing w:line="4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①运维档案管理制度（包括巡检、质控、维修、应急等内容，是否能全面记录整体运维情况）；②内部管理制度（服务内容、范围、进度、人员安排、人员培训考核、文档等进行统一管理）；③服务质量保障措施等</w:t>
            </w:r>
          </w:p>
          <w:p w14:paraId="33AADEF5">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每一项内容符合采购人需求的得2分，部分符合的得1分，不符合不得分。本项最高得6分。</w:t>
            </w:r>
          </w:p>
        </w:tc>
        <w:tc>
          <w:tcPr>
            <w:tcW w:w="851" w:type="dxa"/>
            <w:vAlign w:val="center"/>
          </w:tcPr>
          <w:p w14:paraId="61EB6FE7">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6</w:t>
            </w:r>
          </w:p>
        </w:tc>
        <w:tc>
          <w:tcPr>
            <w:tcW w:w="1134" w:type="dxa"/>
            <w:vAlign w:val="center"/>
          </w:tcPr>
          <w:p w14:paraId="137482D3">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主观分</w:t>
            </w:r>
          </w:p>
        </w:tc>
        <w:tc>
          <w:tcPr>
            <w:tcW w:w="1559" w:type="dxa"/>
            <w:vAlign w:val="center"/>
          </w:tcPr>
          <w:p w14:paraId="3196A402">
            <w:pPr>
              <w:pStyle w:val="471"/>
              <w:widowControl w:val="0"/>
              <w:spacing w:line="460" w:lineRule="exact"/>
              <w:jc w:val="center"/>
              <w:rPr>
                <w:rFonts w:hint="eastAsia" w:ascii="宋体" w:hAnsi="宋体" w:eastAsia="宋体" w:cs="宋体"/>
                <w:bCs/>
                <w:color w:val="auto"/>
                <w:sz w:val="24"/>
                <w:szCs w:val="24"/>
                <w:highlight w:val="none"/>
                <w:lang w:val="zh-TW" w:eastAsia="zh-TW"/>
              </w:rPr>
            </w:pPr>
          </w:p>
        </w:tc>
      </w:tr>
      <w:tr w14:paraId="3236D9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63FA220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13</w:t>
            </w:r>
          </w:p>
        </w:tc>
        <w:tc>
          <w:tcPr>
            <w:tcW w:w="5537" w:type="dxa"/>
            <w:vAlign w:val="center"/>
          </w:tcPr>
          <w:p w14:paraId="05563E3B">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拟派本项目工作人员组成，配备人员达到3人得3分；配备人员不足3人不得分。</w:t>
            </w:r>
          </w:p>
          <w:p w14:paraId="2FC0108A">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bCs w:val="0"/>
                <w:color w:val="auto"/>
                <w:sz w:val="24"/>
                <w:szCs w:val="24"/>
                <w:highlight w:val="none"/>
              </w:rPr>
              <w:t>证明材料：提供工作人员清单及</w:t>
            </w:r>
            <w:r>
              <w:rPr>
                <w:rFonts w:hint="eastAsia" w:ascii="宋体" w:hAnsi="宋体" w:eastAsia="宋体" w:cs="宋体"/>
                <w:b/>
                <w:bCs w:val="0"/>
                <w:color w:val="auto"/>
                <w:sz w:val="24"/>
                <w:szCs w:val="24"/>
                <w:highlight w:val="none"/>
                <w:lang w:val="en-US" w:eastAsia="zh-CN"/>
              </w:rPr>
              <w:t>近三个月中任意一个月的</w:t>
            </w:r>
            <w:r>
              <w:rPr>
                <w:rFonts w:hint="eastAsia" w:ascii="宋体" w:hAnsi="宋体" w:eastAsia="宋体" w:cs="宋体"/>
                <w:b/>
                <w:bCs w:val="0"/>
                <w:color w:val="auto"/>
                <w:sz w:val="24"/>
                <w:szCs w:val="24"/>
                <w:highlight w:val="none"/>
              </w:rPr>
              <w:t>社保缴纳证明等</w:t>
            </w:r>
            <w:r>
              <w:rPr>
                <w:rFonts w:hint="eastAsia" w:ascii="宋体" w:hAnsi="宋体" w:eastAsia="宋体" w:cs="宋体"/>
                <w:b/>
                <w:bCs w:val="0"/>
                <w:color w:val="auto"/>
                <w:sz w:val="24"/>
                <w:szCs w:val="24"/>
                <w:highlight w:val="none"/>
                <w:lang w:val="en-US" w:eastAsia="zh-CN"/>
              </w:rPr>
              <w:t>复印件加盖公章</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否则不予认可。</w:t>
            </w:r>
          </w:p>
        </w:tc>
        <w:tc>
          <w:tcPr>
            <w:tcW w:w="851" w:type="dxa"/>
            <w:vAlign w:val="center"/>
          </w:tcPr>
          <w:p w14:paraId="4F40775F">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134" w:type="dxa"/>
            <w:vAlign w:val="center"/>
          </w:tcPr>
          <w:p w14:paraId="74E5877B">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45B61DD2">
            <w:pPr>
              <w:pStyle w:val="471"/>
              <w:widowControl w:val="0"/>
              <w:spacing w:line="460" w:lineRule="exact"/>
              <w:jc w:val="center"/>
              <w:rPr>
                <w:rFonts w:hint="eastAsia" w:ascii="宋体" w:hAnsi="宋体" w:eastAsia="宋体" w:cs="宋体"/>
                <w:bCs/>
                <w:color w:val="auto"/>
                <w:sz w:val="24"/>
                <w:szCs w:val="24"/>
                <w:highlight w:val="none"/>
              </w:rPr>
            </w:pPr>
          </w:p>
        </w:tc>
      </w:tr>
      <w:tr w14:paraId="270DBE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27B9B84C">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5537" w:type="dxa"/>
            <w:vAlign w:val="center"/>
          </w:tcPr>
          <w:p w14:paraId="0569BB62">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拟派本项目技术负责人的专业技术能力、经验等：具备2年（含）以上相关运维工作经验的得5分；具备1年（含）以上2年（不含）以下相关运维工作经验的得3分；不足1年（不含）的不得分。</w:t>
            </w:r>
          </w:p>
          <w:p w14:paraId="5502E219">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证明材料：</w:t>
            </w:r>
            <w:r>
              <w:rPr>
                <w:rFonts w:hint="eastAsia" w:ascii="宋体" w:hAnsi="宋体" w:eastAsia="宋体" w:cs="宋体"/>
                <w:b/>
                <w:bCs w:val="0"/>
                <w:color w:val="auto"/>
                <w:sz w:val="24"/>
                <w:szCs w:val="24"/>
                <w:highlight w:val="none"/>
              </w:rPr>
              <w:t>提供的参考履历表和用户证明等</w:t>
            </w:r>
            <w:r>
              <w:rPr>
                <w:rFonts w:hint="eastAsia" w:ascii="宋体" w:hAnsi="宋体" w:eastAsia="宋体" w:cs="宋体"/>
                <w:b/>
                <w:bCs w:val="0"/>
                <w:color w:val="auto"/>
                <w:sz w:val="24"/>
                <w:szCs w:val="24"/>
                <w:highlight w:val="none"/>
                <w:lang w:val="en-US" w:eastAsia="zh-CN"/>
              </w:rPr>
              <w:t>复印件加盖公章</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否则不予认可。</w:t>
            </w:r>
          </w:p>
        </w:tc>
        <w:tc>
          <w:tcPr>
            <w:tcW w:w="851" w:type="dxa"/>
            <w:vAlign w:val="center"/>
          </w:tcPr>
          <w:p w14:paraId="09CE192B">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134" w:type="dxa"/>
            <w:vAlign w:val="center"/>
          </w:tcPr>
          <w:p w14:paraId="7BA11A3C">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3A12A5D4">
            <w:pPr>
              <w:pStyle w:val="471"/>
              <w:widowControl w:val="0"/>
              <w:spacing w:line="460" w:lineRule="exact"/>
              <w:jc w:val="center"/>
              <w:rPr>
                <w:rFonts w:hint="eastAsia" w:ascii="宋体" w:hAnsi="宋体" w:eastAsia="宋体" w:cs="宋体"/>
                <w:bCs/>
                <w:color w:val="auto"/>
                <w:sz w:val="24"/>
                <w:szCs w:val="24"/>
                <w:highlight w:val="none"/>
              </w:rPr>
            </w:pPr>
          </w:p>
        </w:tc>
      </w:tr>
      <w:tr w14:paraId="2EE158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4A856190">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15</w:t>
            </w:r>
          </w:p>
        </w:tc>
        <w:tc>
          <w:tcPr>
            <w:tcW w:w="5537" w:type="dxa"/>
            <w:vAlign w:val="center"/>
          </w:tcPr>
          <w:p w14:paraId="6C6F893D">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拟派本项目工作小组人员的专业技术能力、经验等：</w:t>
            </w:r>
          </w:p>
          <w:p w14:paraId="44008CB3">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除项目负责人外的其他人员均具备1年（含）以上相关运维工作经验的，每人具备1年相关运维工作经验的得1分，最高得4分（按工作小组人员经验年限累计）；工作小组成员有一人相关运维工作经验不足1年（含）的，本项不得分。</w:t>
            </w:r>
          </w:p>
          <w:p w14:paraId="21419165">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证明材料：</w:t>
            </w:r>
            <w:r>
              <w:rPr>
                <w:rFonts w:hint="eastAsia" w:ascii="宋体" w:hAnsi="宋体" w:eastAsia="宋体" w:cs="宋体"/>
                <w:b/>
                <w:bCs w:val="0"/>
                <w:color w:val="auto"/>
                <w:sz w:val="24"/>
                <w:szCs w:val="24"/>
                <w:highlight w:val="none"/>
              </w:rPr>
              <w:t>提供的参考履历表和用户证明等</w:t>
            </w:r>
            <w:r>
              <w:rPr>
                <w:rFonts w:hint="eastAsia" w:ascii="宋体" w:hAnsi="宋体" w:eastAsia="宋体" w:cs="宋体"/>
                <w:b/>
                <w:bCs w:val="0"/>
                <w:color w:val="auto"/>
                <w:sz w:val="24"/>
                <w:szCs w:val="24"/>
                <w:highlight w:val="none"/>
                <w:lang w:val="en-US" w:eastAsia="zh-CN"/>
              </w:rPr>
              <w:t>复印件加盖公章</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rPr>
              <w:t>否则不予认可。</w:t>
            </w:r>
          </w:p>
        </w:tc>
        <w:tc>
          <w:tcPr>
            <w:tcW w:w="851" w:type="dxa"/>
            <w:vAlign w:val="center"/>
          </w:tcPr>
          <w:p w14:paraId="739E347B">
            <w:pPr>
              <w:pStyle w:val="471"/>
              <w:widowControl w:val="0"/>
              <w:spacing w:line="460" w:lineRule="exact"/>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4</w:t>
            </w:r>
          </w:p>
        </w:tc>
        <w:tc>
          <w:tcPr>
            <w:tcW w:w="1134" w:type="dxa"/>
            <w:vAlign w:val="center"/>
          </w:tcPr>
          <w:p w14:paraId="61658A43">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395A4203">
            <w:pPr>
              <w:pStyle w:val="471"/>
              <w:widowControl w:val="0"/>
              <w:spacing w:line="460" w:lineRule="exact"/>
              <w:jc w:val="center"/>
              <w:rPr>
                <w:rFonts w:hint="eastAsia" w:ascii="宋体" w:hAnsi="宋体" w:eastAsia="宋体" w:cs="宋体"/>
                <w:bCs/>
                <w:color w:val="auto"/>
                <w:sz w:val="24"/>
                <w:szCs w:val="24"/>
                <w:highlight w:val="none"/>
              </w:rPr>
            </w:pPr>
          </w:p>
        </w:tc>
      </w:tr>
      <w:tr w14:paraId="68B15F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38321EF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16</w:t>
            </w:r>
          </w:p>
        </w:tc>
        <w:tc>
          <w:tcPr>
            <w:tcW w:w="5537" w:type="dxa"/>
            <w:vAlign w:val="center"/>
          </w:tcPr>
          <w:p w14:paraId="10CCD6E6">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运维车辆：</w:t>
            </w:r>
          </w:p>
          <w:p w14:paraId="737339F3">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拟派本项目运维车辆1辆得3分，配备车辆不足1辆不得分。</w:t>
            </w:r>
          </w:p>
          <w:p w14:paraId="01A037AE">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证明材料：1、按国家规定必须办理行驶证车辆：①自有的必须同时提供车辆行驶证复制件、车辆登记证复制件、购买发票复制件；缺一不可，否则不得分；②租赁的必须同时提供租赁合同复制件、车辆行驶证复制件、车辆登记证复制件、购买发票复制件，缺一不可，否则不得分。</w:t>
            </w:r>
          </w:p>
          <w:p w14:paraId="7E1DA746">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2、租赁的租赁合同期限必须覆盖本项目服务期，否则视为不满足。</w:t>
            </w:r>
          </w:p>
        </w:tc>
        <w:tc>
          <w:tcPr>
            <w:tcW w:w="851" w:type="dxa"/>
            <w:vAlign w:val="center"/>
          </w:tcPr>
          <w:p w14:paraId="22BFC52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p>
        </w:tc>
        <w:tc>
          <w:tcPr>
            <w:tcW w:w="1134" w:type="dxa"/>
            <w:vAlign w:val="center"/>
          </w:tcPr>
          <w:p w14:paraId="56D13D03">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035D208D">
            <w:pPr>
              <w:pStyle w:val="471"/>
              <w:widowControl w:val="0"/>
              <w:spacing w:line="460" w:lineRule="exact"/>
              <w:jc w:val="center"/>
              <w:rPr>
                <w:rFonts w:hint="eastAsia" w:ascii="宋体" w:hAnsi="宋体" w:eastAsia="宋体" w:cs="宋体"/>
                <w:bCs/>
                <w:color w:val="auto"/>
                <w:sz w:val="24"/>
                <w:szCs w:val="24"/>
                <w:highlight w:val="none"/>
              </w:rPr>
            </w:pPr>
          </w:p>
        </w:tc>
      </w:tr>
      <w:tr w14:paraId="4AB2C8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264D1686">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w:t>
            </w:r>
          </w:p>
        </w:tc>
        <w:tc>
          <w:tcPr>
            <w:tcW w:w="5537" w:type="dxa"/>
            <w:vAlign w:val="center"/>
          </w:tcPr>
          <w:p w14:paraId="36AAB925">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项目业绩：</w:t>
            </w:r>
          </w:p>
          <w:p w14:paraId="13826867">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2020年1月1日以来类似项目业绩情况，结合已完成的项目案例和用户反映情况，参考合同或用户验收报告等项目实例证明。以签订时间为准，每提供一份合同得0.5分，满分1分。</w:t>
            </w:r>
          </w:p>
          <w:p w14:paraId="5BCE506E">
            <w:pPr>
              <w:pStyle w:val="471"/>
              <w:widowControl w:val="0"/>
              <w:spacing w:line="460" w:lineRule="exact"/>
              <w:jc w:val="left"/>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rPr>
              <w:t>证明材料：</w:t>
            </w:r>
            <w:r>
              <w:rPr>
                <w:rFonts w:hint="eastAsia" w:ascii="宋体" w:hAnsi="宋体" w:eastAsia="宋体" w:cs="宋体"/>
                <w:b/>
                <w:bCs w:val="0"/>
                <w:color w:val="auto"/>
                <w:sz w:val="24"/>
                <w:szCs w:val="24"/>
                <w:highlight w:val="none"/>
              </w:rPr>
              <w:t>提供相关的合同扫描件（包括但不限于合同的项目名称页、用户名称页、与用户签订的合同首末页、采购内容页、签字盖章页），或用户出具的承担过类似项目的合同或用户验收报告等，并加盖供应商公章。</w:t>
            </w:r>
          </w:p>
        </w:tc>
        <w:tc>
          <w:tcPr>
            <w:tcW w:w="851" w:type="dxa"/>
            <w:vAlign w:val="center"/>
          </w:tcPr>
          <w:p w14:paraId="43AE66A7">
            <w:pPr>
              <w:pStyle w:val="471"/>
              <w:widowControl w:val="0"/>
              <w:spacing w:line="460" w:lineRule="exact"/>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w:t>
            </w:r>
          </w:p>
        </w:tc>
        <w:tc>
          <w:tcPr>
            <w:tcW w:w="1134" w:type="dxa"/>
            <w:vAlign w:val="center"/>
          </w:tcPr>
          <w:p w14:paraId="30CB37EA">
            <w:pPr>
              <w:pStyle w:val="471"/>
              <w:widowControl w:val="0"/>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32D57C17">
            <w:pPr>
              <w:pStyle w:val="471"/>
              <w:widowControl w:val="0"/>
              <w:spacing w:line="460" w:lineRule="exact"/>
              <w:jc w:val="center"/>
              <w:rPr>
                <w:rFonts w:hint="eastAsia" w:ascii="宋体" w:hAnsi="宋体" w:eastAsia="宋体" w:cs="宋体"/>
                <w:bCs/>
                <w:color w:val="auto"/>
                <w:sz w:val="24"/>
                <w:szCs w:val="24"/>
                <w:highlight w:val="none"/>
              </w:rPr>
            </w:pPr>
          </w:p>
        </w:tc>
      </w:tr>
      <w:tr w14:paraId="50F01D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7632CB5D">
            <w:pPr>
              <w:pStyle w:val="471"/>
              <w:widowControl w:val="0"/>
              <w:spacing w:line="4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18</w:t>
            </w:r>
          </w:p>
        </w:tc>
        <w:tc>
          <w:tcPr>
            <w:tcW w:w="5537" w:type="dxa"/>
            <w:vAlign w:val="center"/>
          </w:tcPr>
          <w:p w14:paraId="487ABA42">
            <w:pPr>
              <w:pStyle w:val="471"/>
              <w:widowControl w:val="0"/>
              <w:spacing w:line="460" w:lineRule="exact"/>
              <w:jc w:val="left"/>
              <w:rPr>
                <w:rFonts w:hint="eastAsia" w:ascii="宋体" w:hAnsi="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其他承诺和优惠条件</w:t>
            </w:r>
            <w:r>
              <w:rPr>
                <w:rFonts w:hint="eastAsia" w:ascii="宋体" w:hAnsi="宋体" w:eastAsia="宋体" w:cs="宋体"/>
                <w:b/>
                <w:bCs/>
                <w:color w:val="auto"/>
                <w:sz w:val="24"/>
                <w:szCs w:val="24"/>
                <w:highlight w:val="none"/>
                <w:lang w:val="en-US" w:eastAsia="zh-CN"/>
              </w:rPr>
              <w:t>方案</w:t>
            </w:r>
            <w:r>
              <w:rPr>
                <w:rFonts w:hint="eastAsia" w:ascii="宋体" w:hAnsi="宋体" w:cs="宋体"/>
                <w:b/>
                <w:bCs/>
                <w:color w:val="auto"/>
                <w:sz w:val="24"/>
                <w:szCs w:val="24"/>
                <w:highlight w:val="none"/>
                <w:lang w:val="en-US" w:eastAsia="zh-CN"/>
              </w:rPr>
              <w:t>：</w:t>
            </w:r>
          </w:p>
          <w:p w14:paraId="3F527A3B">
            <w:pPr>
              <w:pStyle w:val="471"/>
              <w:widowControl w:val="0"/>
              <w:spacing w:line="4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得5分；</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可行性较</w:t>
            </w:r>
            <w:r>
              <w:rPr>
                <w:rFonts w:hint="eastAsia" w:ascii="宋体" w:hAnsi="宋体" w:eastAsia="宋体" w:cs="宋体"/>
                <w:color w:val="auto"/>
                <w:sz w:val="24"/>
                <w:szCs w:val="24"/>
                <w:highlight w:val="none"/>
              </w:rPr>
              <w:t>强</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val="en-US" w:eastAsia="zh-CN"/>
              </w:rPr>
              <w:t>根据投标人提供的</w:t>
            </w:r>
            <w:r>
              <w:rPr>
                <w:rFonts w:hint="eastAsia" w:ascii="宋体" w:hAnsi="宋体" w:eastAsia="宋体" w:cs="宋体"/>
                <w:color w:val="auto"/>
                <w:sz w:val="24"/>
                <w:szCs w:val="24"/>
                <w:highlight w:val="none"/>
              </w:rPr>
              <w:t>其他承诺和优惠条件</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切合本项目采购需求，针对性、操作性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可行性一般的</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分；方案不合理或未提供方案不得分。</w:t>
            </w:r>
          </w:p>
        </w:tc>
        <w:tc>
          <w:tcPr>
            <w:tcW w:w="851" w:type="dxa"/>
            <w:vAlign w:val="center"/>
          </w:tcPr>
          <w:p w14:paraId="4986D160">
            <w:pPr>
              <w:pStyle w:val="471"/>
              <w:widowControl w:val="0"/>
              <w:spacing w:line="460" w:lineRule="exact"/>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134" w:type="dxa"/>
            <w:vAlign w:val="center"/>
          </w:tcPr>
          <w:p w14:paraId="6479B185">
            <w:pPr>
              <w:pStyle w:val="471"/>
              <w:widowControl w:val="0"/>
              <w:spacing w:line="460" w:lineRule="exact"/>
              <w:jc w:val="center"/>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主观分</w:t>
            </w:r>
          </w:p>
        </w:tc>
        <w:tc>
          <w:tcPr>
            <w:tcW w:w="1559" w:type="dxa"/>
            <w:vAlign w:val="center"/>
          </w:tcPr>
          <w:p w14:paraId="249A719C">
            <w:pPr>
              <w:pStyle w:val="471"/>
              <w:widowControl w:val="0"/>
              <w:spacing w:line="460" w:lineRule="exact"/>
              <w:jc w:val="center"/>
              <w:rPr>
                <w:rFonts w:hint="eastAsia" w:ascii="宋体" w:hAnsi="宋体" w:eastAsia="宋体" w:cs="宋体"/>
                <w:bCs/>
                <w:color w:val="auto"/>
                <w:sz w:val="24"/>
                <w:szCs w:val="24"/>
                <w:highlight w:val="none"/>
              </w:rPr>
            </w:pPr>
          </w:p>
        </w:tc>
      </w:tr>
      <w:tr w14:paraId="2536BE1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630" w:type="dxa"/>
            <w:vAlign w:val="center"/>
          </w:tcPr>
          <w:p w14:paraId="132732B0">
            <w:pPr>
              <w:pStyle w:val="471"/>
              <w:widowControl w:val="0"/>
              <w:spacing w:line="460" w:lineRule="exact"/>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9</w:t>
            </w:r>
          </w:p>
        </w:tc>
        <w:tc>
          <w:tcPr>
            <w:tcW w:w="5537" w:type="dxa"/>
            <w:vAlign w:val="center"/>
          </w:tcPr>
          <w:p w14:paraId="18F7F0F7">
            <w:pPr>
              <w:pStyle w:val="471"/>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04F73E39">
            <w:pPr>
              <w:pStyle w:val="471"/>
              <w:widowControl w:val="0"/>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tc>
        <w:tc>
          <w:tcPr>
            <w:tcW w:w="851" w:type="dxa"/>
            <w:vAlign w:val="center"/>
          </w:tcPr>
          <w:p w14:paraId="7BED08F5">
            <w:pPr>
              <w:pStyle w:val="471"/>
              <w:widowControl w:val="0"/>
              <w:spacing w:line="460" w:lineRule="exact"/>
              <w:jc w:val="center"/>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10</w:t>
            </w:r>
          </w:p>
        </w:tc>
        <w:tc>
          <w:tcPr>
            <w:tcW w:w="1134" w:type="dxa"/>
            <w:vAlign w:val="center"/>
          </w:tcPr>
          <w:p w14:paraId="72501AA1">
            <w:pPr>
              <w:pStyle w:val="471"/>
              <w:widowControl w:val="0"/>
              <w:spacing w:line="460" w:lineRule="exact"/>
              <w:jc w:val="center"/>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客观分</w:t>
            </w:r>
          </w:p>
        </w:tc>
        <w:tc>
          <w:tcPr>
            <w:tcW w:w="1559" w:type="dxa"/>
            <w:vAlign w:val="center"/>
          </w:tcPr>
          <w:p w14:paraId="5F0BF9E8">
            <w:pPr>
              <w:pStyle w:val="471"/>
              <w:widowControl w:val="0"/>
              <w:spacing w:line="4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B777A32">
      <w:pPr>
        <w:snapToGrid w:val="0"/>
        <w:spacing w:line="360" w:lineRule="auto"/>
        <w:rPr>
          <w:rFonts w:hint="eastAsia" w:ascii="宋体" w:hAnsi="宋体" w:eastAsia="宋体" w:cs="宋体"/>
          <w:color w:val="auto"/>
          <w:sz w:val="20"/>
          <w:szCs w:val="20"/>
          <w:highlight w:val="none"/>
          <w:shd w:val="clear" w:color="auto" w:fill="FFFFFF"/>
        </w:rPr>
      </w:pPr>
    </w:p>
    <w:p w14:paraId="454BA02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w:t>
      </w:r>
    </w:p>
    <w:p w14:paraId="036C5224">
      <w:pPr>
        <w:snapToGrid w:val="0"/>
        <w:spacing w:line="360" w:lineRule="auto"/>
        <w:rPr>
          <w:rFonts w:hint="eastAsia" w:ascii="宋体" w:hAnsi="宋体" w:eastAsia="宋体" w:cs="宋体"/>
          <w:b/>
          <w:color w:val="auto"/>
          <w:sz w:val="24"/>
          <w:highlight w:val="none"/>
        </w:rPr>
      </w:pPr>
      <w:r>
        <w:rPr>
          <w:rFonts w:hint="eastAsia" w:ascii="宋体" w:hAnsi="宋体" w:eastAsia="宋体" w:cs="宋体"/>
          <w:color w:val="auto"/>
          <w:sz w:val="24"/>
          <w:highlight w:val="none"/>
        </w:rPr>
        <w:t>内容）提供评标标准相应的商务技术资料。</w:t>
      </w:r>
    </w:p>
    <w:bookmarkEnd w:id="26"/>
    <w:p w14:paraId="6E31954D">
      <w:pPr>
        <w:snapToGrid w:val="0"/>
        <w:spacing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32"/>
          <w:highlight w:val="none"/>
        </w:rPr>
        <w:t>一、评标方法</w:t>
      </w:r>
    </w:p>
    <w:p w14:paraId="3BB26B1A">
      <w:pPr>
        <w:adjustRightInd/>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1.本项目采用综合评分法。</w:t>
      </w:r>
      <w:r>
        <w:rPr>
          <w:rFonts w:hint="eastAsia" w:ascii="宋体" w:hAnsi="宋体" w:eastAsia="宋体" w:cs="宋体"/>
          <w:color w:val="auto"/>
          <w:kern w:val="0"/>
          <w:sz w:val="24"/>
          <w:highlight w:val="none"/>
        </w:rPr>
        <w:t>综合评分法，是指投标文件满足招标文件全部实质性要求，且按照评审因素的量化指标评审得分最高的投标人为中标候选人的评标方法。</w:t>
      </w:r>
    </w:p>
    <w:p w14:paraId="48A65269">
      <w:pPr>
        <w:adjustRightInd/>
        <w:spacing w:line="360" w:lineRule="auto"/>
        <w:rPr>
          <w:rFonts w:hint="eastAsia" w:ascii="宋体" w:hAnsi="宋体" w:eastAsia="宋体" w:cs="宋体"/>
          <w:color w:val="auto"/>
          <w:kern w:val="0"/>
          <w:sz w:val="24"/>
          <w:highlight w:val="none"/>
        </w:rPr>
      </w:pPr>
      <w:r>
        <w:rPr>
          <w:rFonts w:hint="eastAsia" w:ascii="宋体" w:hAnsi="宋体" w:eastAsia="宋体" w:cs="宋体"/>
          <w:b/>
          <w:color w:val="auto"/>
          <w:sz w:val="32"/>
          <w:highlight w:val="none"/>
        </w:rPr>
        <w:t>二、评标标准</w:t>
      </w:r>
    </w:p>
    <w:p w14:paraId="5E8851D4">
      <w:pPr>
        <w:spacing w:line="360" w:lineRule="auto"/>
        <w:ind w:firstLine="472" w:firstLineChars="196"/>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2.评标标准：</w:t>
      </w:r>
      <w:r>
        <w:rPr>
          <w:rFonts w:hint="eastAsia" w:ascii="宋体" w:hAnsi="宋体" w:eastAsia="宋体" w:cs="宋体"/>
          <w:color w:val="auto"/>
          <w:kern w:val="0"/>
          <w:sz w:val="24"/>
          <w:highlight w:val="none"/>
        </w:rPr>
        <w:t>见评标办法前附表。</w:t>
      </w:r>
    </w:p>
    <w:p w14:paraId="33E43851">
      <w:pPr>
        <w:spacing w:line="360" w:lineRule="auto"/>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三、评标程序</w:t>
      </w:r>
    </w:p>
    <w:p w14:paraId="7719CEF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3.1符合性审查。</w:t>
      </w:r>
      <w:r>
        <w:rPr>
          <w:rFonts w:hint="eastAsia" w:ascii="宋体" w:hAnsi="宋体" w:eastAsia="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4D5B636">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3.2比较与评价。</w:t>
      </w:r>
      <w:r>
        <w:rPr>
          <w:rFonts w:hint="eastAsia" w:ascii="宋体" w:hAnsi="宋体" w:eastAsia="宋体" w:cs="宋体"/>
          <w:color w:val="auto"/>
          <w:kern w:val="0"/>
          <w:sz w:val="24"/>
          <w:highlight w:val="none"/>
        </w:rPr>
        <w:t>评标委员会应当按照招标文件中规定的评标方法和标准，对符合性审查合格的投标文件进行商务和技术评估，综合比较与评价。</w:t>
      </w:r>
    </w:p>
    <w:p w14:paraId="2CF69758">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3.3汇总商务技术得分。</w:t>
      </w:r>
      <w:r>
        <w:rPr>
          <w:rFonts w:hint="eastAsia" w:ascii="宋体" w:hAnsi="宋体" w:eastAsia="宋体" w:cs="宋体"/>
          <w:color w:val="auto"/>
          <w:kern w:val="0"/>
          <w:sz w:val="24"/>
          <w:highlight w:val="none"/>
        </w:rPr>
        <w:t>评标委员会各成员应当独立对每个投标人的商务和技术文件进行评价，并汇总商务技术得分情况。</w:t>
      </w:r>
    </w:p>
    <w:p w14:paraId="7777B8E5">
      <w:pPr>
        <w:spacing w:line="360" w:lineRule="auto"/>
        <w:ind w:firstLine="472" w:firstLineChars="196"/>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3.4报价评审。</w:t>
      </w:r>
    </w:p>
    <w:p w14:paraId="77D4903C">
      <w:pPr>
        <w:pStyle w:val="90"/>
        <w:spacing w:before="0"/>
        <w:ind w:firstLine="508" w:firstLineChars="212"/>
        <w:rPr>
          <w:rFonts w:hint="eastAsia" w:ascii="宋体" w:hAnsi="宋体" w:eastAsia="宋体" w:cs="宋体"/>
          <w:color w:val="auto"/>
          <w:kern w:val="0"/>
          <w:highlight w:val="none"/>
        </w:rPr>
      </w:pPr>
      <w:r>
        <w:rPr>
          <w:rFonts w:hint="eastAsia" w:ascii="宋体" w:hAnsi="宋体" w:eastAsia="宋体" w:cs="宋体"/>
          <w:color w:val="auto"/>
          <w:kern w:val="0"/>
          <w:highlight w:val="none"/>
        </w:rPr>
        <w:t>3.4.1投标文件报价出现前后不一致的，按照下列规定修正：</w:t>
      </w:r>
    </w:p>
    <w:p w14:paraId="08BAD3C6">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3.4.1.1投标文件中开标一览表(报价表)内容与投标文件中相应内容不一致的，以开标一览表(报价表)为准;</w:t>
      </w:r>
    </w:p>
    <w:p w14:paraId="096ACA5E">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3.4.1.2大写金额和小写金额不一致的，以大写金额为准;</w:t>
      </w:r>
    </w:p>
    <w:p w14:paraId="25BE151A">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3.4.1.3单价金额小数点或者百分比有明显错位的，以开标一览表的总价为准，并修改单价;</w:t>
      </w:r>
    </w:p>
    <w:p w14:paraId="2F2D853A">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3.4.1.4总价金额与按单价汇总金额不一致的，以单价金额计算结果为准。</w:t>
      </w:r>
    </w:p>
    <w:p w14:paraId="30B2EC58">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7D9CFFB1">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3.4.2投标文件出现不是唯一的、有选择性投标报价的，投标无效。</w:t>
      </w:r>
    </w:p>
    <w:p w14:paraId="05F05057">
      <w:pPr>
        <w:snapToGrid w:val="0"/>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3.4.3投标报价超过招标文件中规定的预算金额或者最高限价的，投标无效。</w:t>
      </w:r>
    </w:p>
    <w:p w14:paraId="55A28298">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773AAC">
      <w:pPr>
        <w:pStyle w:val="90"/>
        <w:spacing w:before="0"/>
        <w:ind w:firstLine="480"/>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hint="eastAsia" w:ascii="宋体" w:hAnsi="宋体" w:eastAsia="宋体" w:cs="宋体"/>
          <w:color w:val="auto"/>
          <w:kern w:val="0"/>
          <w:szCs w:val="24"/>
          <w:highlight w:val="none"/>
          <w:lang w:val="en-US" w:eastAsia="zh-CN"/>
        </w:rPr>
        <w:t>6</w:t>
      </w:r>
      <w:r>
        <w:rPr>
          <w:rFonts w:hint="eastAsia" w:ascii="宋体" w:hAnsi="宋体" w:eastAsia="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3DA68F17">
      <w:pPr>
        <w:spacing w:line="360" w:lineRule="auto"/>
        <w:ind w:firstLine="482" w:firstLineChars="200"/>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3.5排序与推荐。</w:t>
      </w:r>
      <w:r>
        <w:rPr>
          <w:rFonts w:hint="eastAsia" w:ascii="宋体" w:hAnsi="宋体" w:eastAsia="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7AB2B86">
      <w:pPr>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45A4F82">
      <w:pPr>
        <w:spacing w:line="360" w:lineRule="auto"/>
        <w:ind w:firstLine="472" w:firstLineChars="196"/>
        <w:rPr>
          <w:rFonts w:hint="eastAsia" w:ascii="宋体" w:hAnsi="宋体" w:eastAsia="宋体" w:cs="宋体"/>
          <w:color w:val="auto"/>
          <w:kern w:val="0"/>
          <w:sz w:val="24"/>
          <w:highlight w:val="none"/>
        </w:rPr>
      </w:pPr>
      <w:r>
        <w:rPr>
          <w:rFonts w:hint="eastAsia" w:ascii="宋体" w:hAnsi="宋体" w:eastAsia="宋体" w:cs="宋体"/>
          <w:b/>
          <w:color w:val="auto"/>
          <w:kern w:val="0"/>
          <w:sz w:val="24"/>
          <w:highlight w:val="none"/>
        </w:rPr>
        <w:t>3.6编写评标报告。</w:t>
      </w:r>
      <w:r>
        <w:rPr>
          <w:rFonts w:hint="eastAsia" w:ascii="宋体" w:hAnsi="宋体" w:eastAsia="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E7E32A7">
      <w:pPr>
        <w:widowControl/>
        <w:shd w:val="clear" w:color="auto" w:fill="FFFFFF"/>
        <w:adjustRightInd/>
        <w:spacing w:after="225" w:line="315" w:lineRule="atLeast"/>
        <w:jc w:val="left"/>
        <w:rPr>
          <w:rFonts w:hint="eastAsia" w:ascii="宋体" w:hAnsi="宋体" w:eastAsia="宋体" w:cs="宋体"/>
          <w:b/>
          <w:color w:val="auto"/>
          <w:sz w:val="32"/>
          <w:highlight w:val="none"/>
        </w:rPr>
      </w:pPr>
      <w:r>
        <w:rPr>
          <w:rFonts w:hint="eastAsia" w:ascii="宋体" w:hAnsi="宋体" w:eastAsia="宋体" w:cs="宋体"/>
          <w:b/>
          <w:color w:val="auto"/>
          <w:sz w:val="32"/>
          <w:highlight w:val="none"/>
        </w:rPr>
        <w:t>四、评标中的其他事项</w:t>
      </w:r>
    </w:p>
    <w:p w14:paraId="7C938D7B">
      <w:pPr>
        <w:pStyle w:val="90"/>
        <w:spacing w:before="0"/>
        <w:ind w:firstLine="472" w:firstLineChars="196"/>
        <w:rPr>
          <w:rFonts w:hint="eastAsia" w:ascii="宋体" w:hAnsi="宋体" w:eastAsia="宋体" w:cs="宋体"/>
          <w:color w:val="auto"/>
          <w:kern w:val="0"/>
          <w:szCs w:val="24"/>
          <w:highlight w:val="none"/>
        </w:rPr>
      </w:pPr>
      <w:r>
        <w:rPr>
          <w:rFonts w:hint="eastAsia" w:ascii="宋体" w:hAnsi="宋体" w:eastAsia="宋体" w:cs="宋体"/>
          <w:b/>
          <w:color w:val="auto"/>
          <w:kern w:val="0"/>
          <w:szCs w:val="24"/>
          <w:highlight w:val="none"/>
        </w:rPr>
        <w:t>4.1投标人澄清、说明或者补正。</w:t>
      </w:r>
      <w:r>
        <w:rPr>
          <w:rFonts w:hint="eastAsia" w:ascii="宋体" w:hAnsi="宋体" w:eastAsia="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2D6A297">
      <w:pPr>
        <w:pStyle w:val="25"/>
        <w:spacing w:line="360" w:lineRule="auto"/>
        <w:ind w:left="954" w:leftChars="226" w:hanging="479" w:firstLineChars="0"/>
        <w:rPr>
          <w:rFonts w:hint="eastAsia" w:ascii="宋体" w:hAnsi="宋体" w:eastAsia="宋体" w:cs="宋体"/>
          <w:color w:val="auto"/>
          <w:szCs w:val="21"/>
          <w:highlight w:val="none"/>
        </w:rPr>
      </w:pPr>
      <w:r>
        <w:rPr>
          <w:rFonts w:hint="eastAsia" w:ascii="宋体" w:hAnsi="宋体" w:eastAsia="宋体" w:cs="宋体"/>
          <w:b/>
          <w:color w:val="auto"/>
          <w:kern w:val="0"/>
          <w:highlight w:val="none"/>
        </w:rPr>
        <w:t>4.2投标无效。</w:t>
      </w:r>
      <w:r>
        <w:rPr>
          <w:rFonts w:hint="eastAsia" w:ascii="宋体" w:hAnsi="宋体" w:eastAsia="宋体" w:cs="宋体"/>
          <w:color w:val="auto"/>
          <w:szCs w:val="21"/>
          <w:highlight w:val="none"/>
        </w:rPr>
        <w:t>有下列情形之一的，投标无效：</w:t>
      </w:r>
    </w:p>
    <w:p w14:paraId="0852D812">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4.2.1投标人不具备招标文件中规定的资格要求的（投标人未提供有效的资格文件的，视为投标人不具备招标文件中规定的资格要求）；</w:t>
      </w:r>
    </w:p>
    <w:p w14:paraId="20C4473B">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4.2.2投标文件未按照招标文件要求签署、盖章的；</w:t>
      </w:r>
    </w:p>
    <w:p w14:paraId="0899AE6C">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5E67F634">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4.2.4投标文件含有采购人不能接受的附加条件的；</w:t>
      </w:r>
    </w:p>
    <w:p w14:paraId="04036D1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4.2.5投标文件中承诺的投标有效期少于招标文件中载明的投标有效期的；</w:t>
      </w:r>
    </w:p>
    <w:p w14:paraId="3CCA25A0">
      <w:pPr>
        <w:snapToGrid w:val="0"/>
        <w:spacing w:line="360" w:lineRule="auto"/>
        <w:ind w:firstLine="120" w:firstLineChars="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4.2.6投标文件出现不是唯一的、有选择性投标报价的;</w:t>
      </w:r>
    </w:p>
    <w:p w14:paraId="13DF1EE9">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4.2.7投标报价超过招标文件中规定的预算金额或者最高限价的;</w:t>
      </w:r>
    </w:p>
    <w:p w14:paraId="57FAD92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4.2.8</w:t>
      </w:r>
      <w:r>
        <w:rPr>
          <w:rFonts w:hint="eastAsia" w:ascii="宋体" w:hAnsi="宋体" w:eastAsia="宋体" w:cs="宋体"/>
          <w:b/>
          <w:bCs w:val="0"/>
          <w:color w:val="auto"/>
          <w:sz w:val="24"/>
          <w:szCs w:val="24"/>
          <w:highlight w:val="none"/>
        </w:rPr>
        <w:t>《中小企业声明函》填写企业类型错误或者未填写企业类型的，投标无效。</w:t>
      </w:r>
    </w:p>
    <w:p w14:paraId="7F602631">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4.2.9投标人对根据修正原则修正后的报价不确认的；</w:t>
      </w:r>
    </w:p>
    <w:p w14:paraId="48DD17B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4.2.10投标人提供虚假材料投标的；</w:t>
      </w:r>
    </w:p>
    <w:p w14:paraId="0AB02B7C">
      <w:pPr>
        <w:spacing w:line="360" w:lineRule="auto"/>
        <w:ind w:firstLine="240" w:firstLine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4.2.11投标人有恶意串通、妨碍其他投标人的竞争行为、损害采购人或者其他投标人的合法权益情形的；</w:t>
      </w:r>
    </w:p>
    <w:p w14:paraId="622EE9F0">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4.2.12</w:t>
      </w:r>
      <w:r>
        <w:rPr>
          <w:rFonts w:hint="eastAsia" w:ascii="宋体" w:hAnsi="宋体" w:eastAsia="宋体" w:cs="宋体"/>
          <w:b/>
          <w:bCs w:val="0"/>
          <w:color w:val="auto"/>
          <w:sz w:val="24"/>
          <w:szCs w:val="24"/>
          <w:highlight w:val="none"/>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13D4DE93">
      <w:pPr>
        <w:ind w:left="430" w:leftChars="205" w:firstLine="480" w:firstLineChars="20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w:t>
      </w: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投标人仅提交备份投标文件，未在电子交易平台传输递交投标文件的，投标无效；</w:t>
      </w:r>
    </w:p>
    <w:p w14:paraId="7FA5B18F">
      <w:pPr>
        <w:ind w:left="430" w:leftChars="205" w:firstLine="480" w:firstLineChars="200"/>
        <w:rPr>
          <w:rFonts w:hint="eastAsia" w:ascii="宋体" w:hAnsi="宋体" w:eastAsia="宋体" w:cs="宋体"/>
          <w:b w:val="0"/>
          <w:bCs w:val="0"/>
          <w:color w:val="auto"/>
          <w:kern w:val="0"/>
          <w:sz w:val="24"/>
          <w:szCs w:val="24"/>
          <w:highlight w:val="none"/>
          <w:lang w:val="en-US"/>
        </w:rPr>
      </w:pPr>
    </w:p>
    <w:p w14:paraId="38F813A6">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4.2.14法律、法规、规章（适用本市的）及省级以上规范性文件（适用本市的）规定的其他无效情形。</w:t>
      </w:r>
    </w:p>
    <w:p w14:paraId="0C71ECAD">
      <w:pPr>
        <w:pStyle w:val="25"/>
        <w:snapToGrid w:val="0"/>
        <w:spacing w:line="360" w:lineRule="auto"/>
        <w:ind w:firstLine="472" w:firstLineChars="196"/>
        <w:rPr>
          <w:rFonts w:hint="eastAsia" w:ascii="宋体" w:hAnsi="宋体" w:eastAsia="宋体" w:cs="宋体"/>
          <w:color w:val="auto"/>
          <w:highlight w:val="none"/>
        </w:rPr>
      </w:pPr>
      <w:r>
        <w:rPr>
          <w:rFonts w:hint="eastAsia" w:ascii="宋体" w:hAnsi="宋体" w:eastAsia="宋体" w:cs="宋体"/>
          <w:b/>
          <w:color w:val="auto"/>
          <w:highlight w:val="none"/>
        </w:rPr>
        <w:t>5.废标。</w:t>
      </w:r>
      <w:r>
        <w:rPr>
          <w:rFonts w:hint="eastAsia" w:ascii="宋体" w:hAnsi="宋体" w:eastAsia="宋体" w:cs="宋体"/>
          <w:color w:val="auto"/>
          <w:highlight w:val="none"/>
        </w:rPr>
        <w:t>根据《中华人民共和国政府采购法》第三十六条之规定，在采购中，出现下列情形之一的，应予废标：</w:t>
      </w:r>
    </w:p>
    <w:p w14:paraId="0ACE1EB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5.1符合专业条件的供应商或者对招标文件作实质响应的供应商不足3家的；</w:t>
      </w:r>
    </w:p>
    <w:p w14:paraId="1FD2653D">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5.2出现影响采购公正的违法、违规行为的；</w:t>
      </w:r>
    </w:p>
    <w:p w14:paraId="63336D8F">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5.3投标人的报价均超过了采购预算，采购人不能支付的；</w:t>
      </w:r>
    </w:p>
    <w:p w14:paraId="13731BB6">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5.4因重大变故，采购任务取消的。</w:t>
      </w:r>
    </w:p>
    <w:p w14:paraId="0F9C22B5">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废标后，采购代理机构应当将废标理由通知所有投标人。</w:t>
      </w:r>
    </w:p>
    <w:p w14:paraId="05A11972">
      <w:pPr>
        <w:pStyle w:val="25"/>
        <w:snapToGrid w:val="0"/>
        <w:spacing w:line="360" w:lineRule="auto"/>
        <w:ind w:firstLine="590" w:firstLineChars="245"/>
        <w:rPr>
          <w:rFonts w:hint="eastAsia" w:ascii="宋体" w:hAnsi="宋体" w:eastAsia="宋体" w:cs="宋体"/>
          <w:color w:val="auto"/>
          <w:highlight w:val="none"/>
        </w:rPr>
      </w:pPr>
      <w:r>
        <w:rPr>
          <w:rFonts w:hint="eastAsia" w:ascii="宋体" w:hAnsi="宋体" w:eastAsia="宋体" w:cs="宋体"/>
          <w:b/>
          <w:color w:val="auto"/>
          <w:highlight w:val="none"/>
        </w:rPr>
        <w:t>6.修改招标文件，重新组织采购活动。</w:t>
      </w:r>
      <w:r>
        <w:rPr>
          <w:rFonts w:hint="eastAsia" w:ascii="宋体" w:hAnsi="宋体" w:eastAsia="宋体"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89EE2BE">
      <w:pPr>
        <w:pStyle w:val="25"/>
        <w:snapToGrid w:val="0"/>
        <w:spacing w:line="360" w:lineRule="auto"/>
        <w:ind w:firstLine="482"/>
        <w:rPr>
          <w:rFonts w:hint="eastAsia" w:ascii="宋体" w:hAnsi="宋体" w:eastAsia="宋体" w:cs="宋体"/>
          <w:color w:val="auto"/>
          <w:highlight w:val="none"/>
        </w:rPr>
      </w:pPr>
      <w:r>
        <w:rPr>
          <w:rFonts w:hint="eastAsia" w:ascii="宋体" w:hAnsi="宋体" w:eastAsia="宋体" w:cs="宋体"/>
          <w:b/>
          <w:color w:val="auto"/>
          <w:kern w:val="0"/>
          <w:highlight w:val="none"/>
        </w:rPr>
        <w:t>7.重新开展采购。</w:t>
      </w:r>
      <w:r>
        <w:rPr>
          <w:rFonts w:hint="eastAsia" w:ascii="宋体" w:hAnsi="宋体" w:eastAsia="宋体" w:cs="宋体"/>
          <w:color w:val="auto"/>
          <w:highlight w:val="none"/>
        </w:rPr>
        <w:t>有政府采购法第七十一条、第七十二条规定的违法行为之一，影响或者可能影响中标结果的，依照下列规定处理：</w:t>
      </w:r>
    </w:p>
    <w:p w14:paraId="3299B233">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7.1未确定中标供应商的，终止本次政府采购活动，重新开展政府采购活动。</w:t>
      </w:r>
    </w:p>
    <w:p w14:paraId="60EBC4A2">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7.2已确定中标供应商但尚未签订政府采购合同的，中标结果无效，从合格的中标候选人中另行确定中标供应商；没有合格的中标候选人的，重新开展政府采购活动。</w:t>
      </w:r>
    </w:p>
    <w:p w14:paraId="3F38C14A">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7.3政府采购合同已签订但尚未履行的，撤销合同，从合格的中标候选人中另行确定中标供应商；没有合格的中标候选人的，重新开展政府采购活动。</w:t>
      </w:r>
    </w:p>
    <w:p w14:paraId="45FF4C3C">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7.4政府采购合同已经履行，给采购人、供应商造成损失的，由责任人承担赔偿责任。</w:t>
      </w:r>
    </w:p>
    <w:p w14:paraId="5027E328">
      <w:pPr>
        <w:pStyle w:val="25"/>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3935648">
      <w:pPr>
        <w:spacing w:line="360" w:lineRule="auto"/>
        <w:ind w:left="720" w:leftChars="343" w:firstLine="392" w:firstLineChars="300"/>
        <w:outlineLvl w:val="0"/>
        <w:rPr>
          <w:rFonts w:hint="eastAsia" w:ascii="宋体" w:hAnsi="宋体" w:eastAsia="宋体" w:cs="宋体"/>
          <w:b/>
          <w:color w:val="auto"/>
          <w:sz w:val="13"/>
          <w:szCs w:val="13"/>
          <w:highlight w:val="none"/>
        </w:rPr>
      </w:pPr>
      <w:bookmarkStart w:id="405" w:name="第五部分"/>
      <w:bookmarkStart w:id="406" w:name="_Toc86217003"/>
    </w:p>
    <w:p w14:paraId="46BEC16A">
      <w:pPr>
        <w:pStyle w:val="44"/>
        <w:rPr>
          <w:rFonts w:hint="eastAsia" w:ascii="宋体" w:hAnsi="宋体" w:eastAsia="宋体" w:cs="宋体"/>
          <w:color w:val="auto"/>
          <w:highlight w:val="none"/>
        </w:rPr>
      </w:pPr>
    </w:p>
    <w:p w14:paraId="5D4C310B">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4CF73301">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74775D45">
      <w:pPr>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第五部分 拟签订的合同文本</w:t>
      </w:r>
    </w:p>
    <w:p w14:paraId="01C6E8AF">
      <w:pPr>
        <w:spacing w:line="360" w:lineRule="auto"/>
        <w:textAlignment w:val="auto"/>
        <w:rPr>
          <w:rFonts w:hint="eastAsia" w:ascii="宋体" w:hAnsi="宋体" w:eastAsia="宋体" w:cs="宋体"/>
          <w:color w:val="auto"/>
          <w:sz w:val="32"/>
          <w:szCs w:val="32"/>
          <w:highlight w:val="none"/>
          <w:u w:val="single"/>
        </w:rPr>
      </w:pPr>
    </w:p>
    <w:p w14:paraId="4C35486E">
      <w:pPr>
        <w:spacing w:line="360" w:lineRule="auto"/>
        <w:jc w:val="center"/>
        <w:textAlignment w:val="auto"/>
        <w:rPr>
          <w:rFonts w:hint="eastAsia" w:ascii="宋体" w:hAnsi="宋体" w:eastAsia="宋体" w:cs="宋体"/>
          <w:b/>
          <w:color w:val="auto"/>
          <w:sz w:val="32"/>
          <w:szCs w:val="32"/>
          <w:highlight w:val="none"/>
        </w:rPr>
      </w:pPr>
    </w:p>
    <w:p w14:paraId="3EC383C4">
      <w:pPr>
        <w:spacing w:line="360" w:lineRule="auto"/>
        <w:jc w:val="center"/>
        <w:textAlignment w:val="auto"/>
        <w:rPr>
          <w:rFonts w:hint="eastAsia" w:ascii="宋体" w:hAnsi="宋体" w:eastAsia="宋体" w:cs="宋体"/>
          <w:b/>
          <w:color w:val="auto"/>
          <w:sz w:val="32"/>
          <w:szCs w:val="32"/>
          <w:highlight w:val="none"/>
        </w:rPr>
      </w:pPr>
    </w:p>
    <w:p w14:paraId="22485533">
      <w:pPr>
        <w:spacing w:line="360" w:lineRule="auto"/>
        <w:jc w:val="center"/>
        <w:textAlignment w:val="auto"/>
        <w:rPr>
          <w:rFonts w:hint="eastAsia" w:ascii="宋体" w:hAnsi="宋体" w:eastAsia="宋体" w:cs="宋体"/>
          <w:b/>
          <w:color w:val="auto"/>
          <w:sz w:val="32"/>
          <w:szCs w:val="32"/>
          <w:highlight w:val="none"/>
        </w:rPr>
      </w:pPr>
    </w:p>
    <w:p w14:paraId="0F7D1FA9">
      <w:pPr>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政府采购合同参考范本</w:t>
      </w:r>
    </w:p>
    <w:p w14:paraId="467198CA">
      <w:pPr>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（服务类）</w:t>
      </w:r>
    </w:p>
    <w:p w14:paraId="69CE5136">
      <w:pPr>
        <w:pStyle w:val="82"/>
        <w:spacing w:line="360" w:lineRule="auto"/>
        <w:ind w:left="0" w:leftChars="0" w:firstLine="0" w:firstLineChars="0"/>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合同书</w:t>
      </w:r>
    </w:p>
    <w:p w14:paraId="45567874">
      <w:pPr>
        <w:spacing w:before="120" w:line="360" w:lineRule="auto"/>
        <w:textAlignment w:val="auto"/>
        <w:rPr>
          <w:rFonts w:hint="eastAsia" w:ascii="宋体" w:hAnsi="宋体" w:eastAsia="宋体" w:cs="宋体"/>
          <w:color w:val="auto"/>
          <w:sz w:val="24"/>
          <w:szCs w:val="24"/>
          <w:highlight w:val="none"/>
        </w:rPr>
      </w:pPr>
    </w:p>
    <w:p w14:paraId="54A817B8">
      <w:pPr>
        <w:pStyle w:val="4"/>
        <w:spacing w:line="360" w:lineRule="auto"/>
        <w:textAlignment w:val="auto"/>
        <w:rPr>
          <w:rFonts w:hint="eastAsia" w:ascii="宋体" w:hAnsi="宋体" w:eastAsia="宋体" w:cs="宋体"/>
          <w:color w:val="auto"/>
          <w:sz w:val="24"/>
          <w:szCs w:val="24"/>
          <w:highlight w:val="none"/>
        </w:rPr>
      </w:pPr>
    </w:p>
    <w:p w14:paraId="511D7383">
      <w:pPr>
        <w:spacing w:before="120" w:line="360" w:lineRule="auto"/>
        <w:ind w:left="96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14:paraId="5070159C">
      <w:pPr>
        <w:pStyle w:val="287"/>
        <w:spacing w:before="120" w:line="360" w:lineRule="auto"/>
        <w:textAlignment w:val="auto"/>
        <w:rPr>
          <w:rFonts w:hint="eastAsia" w:ascii="宋体" w:hAnsi="宋体" w:eastAsia="宋体" w:cs="宋体"/>
          <w:color w:val="auto"/>
          <w:sz w:val="24"/>
          <w:szCs w:val="24"/>
          <w:highlight w:val="none"/>
        </w:rPr>
      </w:pPr>
    </w:p>
    <w:p w14:paraId="3C702AA7">
      <w:pPr>
        <w:pStyle w:val="287"/>
        <w:spacing w:before="120" w:line="360" w:lineRule="auto"/>
        <w:textAlignment w:val="auto"/>
        <w:rPr>
          <w:rFonts w:hint="eastAsia" w:ascii="宋体" w:hAnsi="宋体" w:eastAsia="宋体" w:cs="宋体"/>
          <w:color w:val="auto"/>
          <w:sz w:val="24"/>
          <w:szCs w:val="24"/>
          <w:highlight w:val="none"/>
        </w:rPr>
      </w:pPr>
    </w:p>
    <w:p w14:paraId="71E75579">
      <w:pPr>
        <w:spacing w:line="360" w:lineRule="auto"/>
        <w:textAlignment w:val="auto"/>
        <w:rPr>
          <w:rFonts w:hint="eastAsia" w:ascii="宋体" w:hAnsi="宋体" w:eastAsia="宋体" w:cs="宋体"/>
          <w:color w:val="auto"/>
          <w:sz w:val="24"/>
          <w:szCs w:val="24"/>
          <w:highlight w:val="none"/>
        </w:rPr>
      </w:pPr>
    </w:p>
    <w:p w14:paraId="2762B8E4">
      <w:pPr>
        <w:spacing w:before="120" w:line="360" w:lineRule="auto"/>
        <w:ind w:left="96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p>
    <w:p w14:paraId="514470AB">
      <w:pPr>
        <w:spacing w:before="120" w:line="360" w:lineRule="auto"/>
        <w:textAlignment w:val="auto"/>
        <w:rPr>
          <w:rFonts w:hint="eastAsia" w:ascii="宋体" w:hAnsi="宋体" w:eastAsia="宋体" w:cs="宋体"/>
          <w:color w:val="auto"/>
          <w:sz w:val="24"/>
          <w:szCs w:val="24"/>
          <w:highlight w:val="none"/>
        </w:rPr>
      </w:pPr>
    </w:p>
    <w:p w14:paraId="20B64F92">
      <w:pPr>
        <w:spacing w:before="120" w:line="360" w:lineRule="auto"/>
        <w:ind w:left="96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p>
    <w:p w14:paraId="2DCBD281">
      <w:pPr>
        <w:spacing w:before="120" w:line="360" w:lineRule="auto"/>
        <w:textAlignment w:val="auto"/>
        <w:rPr>
          <w:rFonts w:hint="eastAsia" w:ascii="宋体" w:hAnsi="宋体" w:eastAsia="宋体" w:cs="宋体"/>
          <w:color w:val="auto"/>
          <w:sz w:val="24"/>
          <w:szCs w:val="24"/>
          <w:highlight w:val="none"/>
        </w:rPr>
      </w:pPr>
    </w:p>
    <w:p w14:paraId="0AD88A63">
      <w:pPr>
        <w:spacing w:before="12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签订地：</w:t>
      </w:r>
      <w:r>
        <w:rPr>
          <w:rFonts w:hint="eastAsia" w:ascii="宋体" w:hAnsi="宋体" w:eastAsia="宋体" w:cs="宋体"/>
          <w:color w:val="auto"/>
          <w:sz w:val="24"/>
          <w:szCs w:val="24"/>
          <w:highlight w:val="none"/>
          <w:u w:val="single"/>
        </w:rPr>
        <w:t xml:space="preserve">                                     </w:t>
      </w:r>
    </w:p>
    <w:p w14:paraId="7B907DA2">
      <w:pPr>
        <w:spacing w:before="120" w:line="360" w:lineRule="auto"/>
        <w:textAlignment w:val="auto"/>
        <w:rPr>
          <w:rFonts w:hint="eastAsia" w:ascii="宋体" w:hAnsi="宋体" w:eastAsia="宋体" w:cs="宋体"/>
          <w:color w:val="auto"/>
          <w:sz w:val="24"/>
          <w:szCs w:val="24"/>
          <w:highlight w:val="none"/>
        </w:rPr>
      </w:pPr>
    </w:p>
    <w:p w14:paraId="57F885BA">
      <w:pPr>
        <w:spacing w:before="120" w:line="360" w:lineRule="auto"/>
        <w:ind w:firstLine="960" w:firstLineChars="4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签订日期：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3EFE49DD">
      <w:pPr>
        <w:widowControl/>
        <w:spacing w:line="360" w:lineRule="auto"/>
        <w:jc w:val="left"/>
        <w:textAlignment w:val="auto"/>
        <w:rPr>
          <w:rFonts w:hint="eastAsia" w:ascii="宋体" w:hAnsi="宋体" w:eastAsia="宋体" w:cs="宋体"/>
          <w:color w:val="auto"/>
          <w:kern w:val="0"/>
          <w:sz w:val="24"/>
          <w:szCs w:val="24"/>
          <w:highlight w:val="none"/>
        </w:rPr>
        <w:sectPr>
          <w:headerReference r:id="rId8" w:type="default"/>
          <w:footerReference r:id="rId9"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sectPr>
      </w:pPr>
    </w:p>
    <w:p w14:paraId="7FD955F3">
      <w:pPr>
        <w:spacing w:line="360" w:lineRule="auto"/>
        <w:textAlignment w:val="auto"/>
        <w:rPr>
          <w:rFonts w:hint="eastAsia" w:ascii="宋体" w:hAnsi="宋体" w:eastAsia="宋体" w:cs="宋体"/>
          <w:b/>
          <w:color w:val="auto"/>
          <w:sz w:val="24"/>
          <w:szCs w:val="24"/>
          <w:highlight w:val="none"/>
        </w:rPr>
      </w:pPr>
    </w:p>
    <w:p w14:paraId="0809E15D">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rPr>
        <w:t>以</w:t>
      </w:r>
      <w:r>
        <w:rPr>
          <w:rFonts w:hint="eastAsia" w:ascii="宋体" w:hAnsi="宋体" w:eastAsia="宋体" w:cs="宋体"/>
          <w:color w:val="auto"/>
          <w:sz w:val="24"/>
          <w:szCs w:val="24"/>
          <w:highlight w:val="none"/>
          <w:u w:val="single"/>
        </w:rPr>
        <w:t xml:space="preserve">   （政府采购方式）  </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项目进行了采购。经</w:t>
      </w:r>
      <w:r>
        <w:rPr>
          <w:rFonts w:hint="eastAsia" w:ascii="宋体" w:hAnsi="宋体" w:eastAsia="宋体" w:cs="宋体"/>
          <w:color w:val="auto"/>
          <w:sz w:val="24"/>
          <w:szCs w:val="24"/>
          <w:highlight w:val="none"/>
          <w:u w:val="single"/>
        </w:rPr>
        <w:t xml:space="preserve">   （相关评定主体名称）   </w:t>
      </w:r>
      <w:r>
        <w:rPr>
          <w:rFonts w:hint="eastAsia" w:ascii="宋体" w:hAnsi="宋体" w:eastAsia="宋体" w:cs="宋体"/>
          <w:color w:val="auto"/>
          <w:sz w:val="24"/>
          <w:szCs w:val="24"/>
          <w:highlight w:val="none"/>
        </w:rPr>
        <w:t>评定，</w:t>
      </w:r>
      <w:r>
        <w:rPr>
          <w:rFonts w:hint="eastAsia" w:ascii="宋体" w:hAnsi="宋体" w:eastAsia="宋体" w:cs="宋体"/>
          <w:color w:val="auto"/>
          <w:sz w:val="24"/>
          <w:szCs w:val="24"/>
          <w:highlight w:val="none"/>
          <w:u w:val="single"/>
        </w:rPr>
        <w:t xml:space="preserve">   （中标或者成交供应商名称） </w:t>
      </w:r>
      <w:r>
        <w:rPr>
          <w:rFonts w:hint="eastAsia" w:ascii="宋体" w:hAnsi="宋体" w:eastAsia="宋体" w:cs="宋体"/>
          <w:color w:val="auto"/>
          <w:sz w:val="24"/>
          <w:szCs w:val="24"/>
          <w:highlight w:val="none"/>
        </w:rPr>
        <w:t>为该项目中标或者成交供应商。现于中标或者成交通知书发出之日起10个工作日内，按照采购文件确定的事项签订本合同。</w:t>
      </w:r>
    </w:p>
    <w:p w14:paraId="6E4A8772">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lang w:val="zh-CN"/>
        </w:rPr>
        <w:t>(以下简称：甲方)和</w:t>
      </w:r>
      <w:r>
        <w:rPr>
          <w:rFonts w:hint="eastAsia" w:ascii="宋体" w:hAnsi="宋体" w:eastAsia="宋体" w:cs="宋体"/>
          <w:color w:val="auto"/>
          <w:sz w:val="24"/>
          <w:szCs w:val="24"/>
          <w:highlight w:val="none"/>
          <w:u w:val="single"/>
        </w:rPr>
        <w:t xml:space="preserve">   （中或者成交标供应商名称）   </w:t>
      </w:r>
      <w:r>
        <w:rPr>
          <w:rFonts w:hint="eastAsia" w:ascii="宋体" w:hAnsi="宋体" w:eastAsia="宋体" w:cs="宋体"/>
          <w:color w:val="auto"/>
          <w:sz w:val="24"/>
          <w:szCs w:val="24"/>
          <w:highlight w:val="none"/>
          <w:lang w:val="zh-CN"/>
        </w:rPr>
        <w:t>(以下简称：乙方)协商一致，约定以下合同</w:t>
      </w:r>
      <w:r>
        <w:rPr>
          <w:rFonts w:hint="eastAsia" w:ascii="宋体" w:hAnsi="宋体" w:eastAsia="宋体" w:cs="宋体"/>
          <w:color w:val="auto"/>
          <w:sz w:val="24"/>
          <w:szCs w:val="24"/>
          <w:highlight w:val="none"/>
        </w:rPr>
        <w:t>条款，以兹共同遵守、全面履行。</w:t>
      </w:r>
    </w:p>
    <w:p w14:paraId="58A4F3E9">
      <w:pPr>
        <w:spacing w:line="360" w:lineRule="auto"/>
        <w:ind w:firstLine="482"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1.1 合同组成部分</w:t>
      </w:r>
    </w:p>
    <w:p w14:paraId="2473FF23">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9EC2E6F">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本合同及其补充合同、变更协议；</w:t>
      </w:r>
    </w:p>
    <w:p w14:paraId="4A30F22E">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中标或者成交通知书；</w:t>
      </w:r>
    </w:p>
    <w:p w14:paraId="2FAEED16">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投标或者响应文件（含澄清或者说明文件）；</w:t>
      </w:r>
    </w:p>
    <w:p w14:paraId="6E30453B">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采购文件（含澄清或者修改文件）；</w:t>
      </w:r>
    </w:p>
    <w:p w14:paraId="7618BA50">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其他相关采购文件。</w:t>
      </w:r>
    </w:p>
    <w:p w14:paraId="6B23A859">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1.2 标的</w:t>
      </w:r>
    </w:p>
    <w:p w14:paraId="693B7E7E">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1.2.1 服务内容：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596074E">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1.2.2 服务标准：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3F23707">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1.2.3 技术保障：</w:t>
      </w:r>
      <w:r>
        <w:rPr>
          <w:rFonts w:hint="eastAsia" w:ascii="宋体" w:hAnsi="宋体" w:eastAsia="宋体" w:cs="宋体"/>
          <w:color w:val="auto"/>
          <w:sz w:val="24"/>
          <w:szCs w:val="24"/>
          <w:highlight w:val="none"/>
          <w:u w:val="single"/>
        </w:rPr>
        <w:t>　　　　　　　　　                      　      ；</w:t>
      </w:r>
    </w:p>
    <w:p w14:paraId="20F27C00">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服务人员组成：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AA1ADC">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1.2.5合同</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（是/否）涉及货物。若涉及货物的的，则：</w:t>
      </w:r>
    </w:p>
    <w:p w14:paraId="669792FD">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1.2.5.1 货物名称、品牌、规格型号、花色：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836BC9A">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1.2.5.2 货物数量：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EB1F82D">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1.2.5.3 货物质量：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3F2C06A">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 价款</w:t>
      </w:r>
    </w:p>
    <w:p w14:paraId="7941BD0F">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本项目采用以下第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条款规定的计价方式计价。</w:t>
      </w:r>
    </w:p>
    <w:p w14:paraId="4901B15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1.3.1总价合同，本合同总价（含税）为：￥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639B7716">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E28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B28E87A">
            <w:pPr>
              <w:pStyle w:val="11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402" w:type="dxa"/>
            <w:vAlign w:val="center"/>
          </w:tcPr>
          <w:p w14:paraId="49DA6CBD">
            <w:pPr>
              <w:pStyle w:val="11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分项名称</w:t>
            </w:r>
          </w:p>
        </w:tc>
        <w:tc>
          <w:tcPr>
            <w:tcW w:w="2552" w:type="dxa"/>
            <w:vAlign w:val="center"/>
          </w:tcPr>
          <w:p w14:paraId="7F1B4A59">
            <w:pPr>
              <w:pStyle w:val="11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分项价格</w:t>
            </w:r>
          </w:p>
        </w:tc>
      </w:tr>
      <w:tr w14:paraId="3D20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6912C95">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vAlign w:val="center"/>
          </w:tcPr>
          <w:p w14:paraId="3053FB34">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vAlign w:val="center"/>
          </w:tcPr>
          <w:p w14:paraId="007462B7">
            <w:pPr>
              <w:pStyle w:val="110"/>
              <w:spacing w:line="360" w:lineRule="auto"/>
              <w:ind w:firstLine="200"/>
              <w:jc w:val="center"/>
              <w:textAlignment w:val="auto"/>
              <w:rPr>
                <w:rFonts w:hint="eastAsia" w:ascii="宋体" w:hAnsi="宋体" w:eastAsia="宋体" w:cs="宋体"/>
                <w:color w:val="auto"/>
                <w:sz w:val="24"/>
                <w:szCs w:val="24"/>
                <w:highlight w:val="none"/>
              </w:rPr>
            </w:pPr>
          </w:p>
        </w:tc>
      </w:tr>
      <w:tr w14:paraId="71CC8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8C0FD10">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vAlign w:val="center"/>
          </w:tcPr>
          <w:p w14:paraId="349DCC2F">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vAlign w:val="center"/>
          </w:tcPr>
          <w:p w14:paraId="35782400">
            <w:pPr>
              <w:pStyle w:val="110"/>
              <w:spacing w:line="360" w:lineRule="auto"/>
              <w:ind w:firstLine="200"/>
              <w:jc w:val="center"/>
              <w:textAlignment w:val="auto"/>
              <w:rPr>
                <w:rFonts w:hint="eastAsia" w:ascii="宋体" w:hAnsi="宋体" w:eastAsia="宋体" w:cs="宋体"/>
                <w:color w:val="auto"/>
                <w:sz w:val="24"/>
                <w:szCs w:val="24"/>
                <w:highlight w:val="none"/>
              </w:rPr>
            </w:pPr>
          </w:p>
        </w:tc>
      </w:tr>
      <w:tr w14:paraId="6A306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4104A52">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vAlign w:val="center"/>
          </w:tcPr>
          <w:p w14:paraId="2AEAD740">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vAlign w:val="center"/>
          </w:tcPr>
          <w:p w14:paraId="0F4A231B">
            <w:pPr>
              <w:pStyle w:val="110"/>
              <w:spacing w:line="360" w:lineRule="auto"/>
              <w:ind w:firstLine="200"/>
              <w:jc w:val="center"/>
              <w:textAlignment w:val="auto"/>
              <w:rPr>
                <w:rFonts w:hint="eastAsia" w:ascii="宋体" w:hAnsi="宋体" w:eastAsia="宋体" w:cs="宋体"/>
                <w:color w:val="auto"/>
                <w:sz w:val="24"/>
                <w:szCs w:val="24"/>
                <w:highlight w:val="none"/>
              </w:rPr>
            </w:pPr>
          </w:p>
        </w:tc>
      </w:tr>
      <w:tr w14:paraId="53F3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45CC320">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3402" w:type="dxa"/>
            <w:vAlign w:val="center"/>
          </w:tcPr>
          <w:p w14:paraId="1DF1303F">
            <w:pPr>
              <w:pStyle w:val="110"/>
              <w:spacing w:line="360" w:lineRule="auto"/>
              <w:ind w:firstLine="200"/>
              <w:jc w:val="center"/>
              <w:textAlignment w:val="auto"/>
              <w:rPr>
                <w:rFonts w:hint="eastAsia" w:ascii="宋体" w:hAnsi="宋体" w:eastAsia="宋体" w:cs="宋体"/>
                <w:color w:val="auto"/>
                <w:sz w:val="24"/>
                <w:szCs w:val="24"/>
                <w:highlight w:val="none"/>
              </w:rPr>
            </w:pPr>
          </w:p>
        </w:tc>
        <w:tc>
          <w:tcPr>
            <w:tcW w:w="2552" w:type="dxa"/>
            <w:vAlign w:val="center"/>
          </w:tcPr>
          <w:p w14:paraId="1834F227">
            <w:pPr>
              <w:pStyle w:val="110"/>
              <w:spacing w:line="360" w:lineRule="auto"/>
              <w:ind w:firstLine="200"/>
              <w:jc w:val="center"/>
              <w:textAlignment w:val="auto"/>
              <w:rPr>
                <w:rFonts w:hint="eastAsia" w:ascii="宋体" w:hAnsi="宋体" w:eastAsia="宋体" w:cs="宋体"/>
                <w:color w:val="auto"/>
                <w:sz w:val="24"/>
                <w:szCs w:val="24"/>
                <w:highlight w:val="none"/>
              </w:rPr>
            </w:pPr>
          </w:p>
        </w:tc>
      </w:tr>
      <w:tr w14:paraId="0616C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3587B5D0">
            <w:pPr>
              <w:pStyle w:val="110"/>
              <w:spacing w:line="360" w:lineRule="auto"/>
              <w:ind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w:t>
            </w:r>
          </w:p>
        </w:tc>
        <w:tc>
          <w:tcPr>
            <w:tcW w:w="2552" w:type="dxa"/>
            <w:vAlign w:val="center"/>
          </w:tcPr>
          <w:p w14:paraId="23C43E6E">
            <w:pPr>
              <w:pStyle w:val="110"/>
              <w:spacing w:line="360" w:lineRule="auto"/>
              <w:ind w:firstLine="200"/>
              <w:jc w:val="center"/>
              <w:textAlignment w:val="auto"/>
              <w:rPr>
                <w:rFonts w:hint="eastAsia" w:ascii="宋体" w:hAnsi="宋体" w:eastAsia="宋体" w:cs="宋体"/>
                <w:color w:val="auto"/>
                <w:sz w:val="24"/>
                <w:szCs w:val="24"/>
                <w:highlight w:val="none"/>
              </w:rPr>
            </w:pPr>
          </w:p>
        </w:tc>
      </w:tr>
    </w:tbl>
    <w:p w14:paraId="682390A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1.3.2单价合同，本合同单价（含税）标准为：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。服务工作量的计量方式为：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。单价合同，在合同履行期间内，根据实际完成的工作量据实结算，但结算总价上限不得超过预算金额或者双方确定的金额￥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元人民币）。</w:t>
      </w:r>
    </w:p>
    <w:p w14:paraId="50FAC3E7">
      <w:pPr>
        <w:pStyle w:val="4"/>
        <w:spacing w:line="360" w:lineRule="auto"/>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 xml:space="preserve">    </w:t>
      </w:r>
      <w:r>
        <w:rPr>
          <w:rFonts w:hint="eastAsia" w:ascii="宋体" w:hAnsi="宋体" w:eastAsia="宋体" w:cs="宋体"/>
          <w:b w:val="0"/>
          <w:bCs w:val="0"/>
          <w:color w:val="auto"/>
          <w:sz w:val="24"/>
          <w:szCs w:val="24"/>
          <w:highlight w:val="none"/>
          <w:lang w:val="en-US"/>
        </w:rPr>
        <w:t>1.3.3其他计价方式：</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rPr>
        <w:t>。</w:t>
      </w:r>
    </w:p>
    <w:p w14:paraId="4C715EC5">
      <w:pPr>
        <w:pStyle w:val="619"/>
        <w:spacing w:before="0" w:beforeAutospacing="0" w:after="0" w:afterAutospacing="0"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1.4履约保证金</w:t>
      </w:r>
    </w:p>
    <w:p w14:paraId="14412C25">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（是/否）需要支付履约保证金。若需要支付履约保证金的，则：</w:t>
      </w:r>
    </w:p>
    <w:p w14:paraId="614B810C">
      <w:pPr>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1.4.1履约保证金的比例为合同金额的</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4BFF0DE0">
      <w:pPr>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1.4.2履约保证金支付方式详见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70B5A8A7">
      <w:pPr>
        <w:pStyle w:val="4"/>
        <w:tabs>
          <w:tab w:val="left" w:pos="0"/>
        </w:tabs>
        <w:spacing w:line="360" w:lineRule="auto"/>
        <w:ind w:left="0" w:firstLine="480" w:firstLineChars="200"/>
        <w:textAlignment w:val="auto"/>
        <w:rPr>
          <w:rFonts w:hint="eastAsia" w:ascii="宋体" w:hAnsi="宋体" w:eastAsia="宋体" w:cs="宋体"/>
          <w:color w:val="auto"/>
          <w:sz w:val="24"/>
          <w:szCs w:val="24"/>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FEEA103">
      <w:pPr>
        <w:spacing w:line="360" w:lineRule="auto"/>
        <w:ind w:firstLine="480" w:firstLineChars="200"/>
        <w:textAlignment w:val="auto"/>
        <w:outlineLvl w:val="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1.4.4甲方在项目验收结束后及时退还履约保证金。甲方在项目通过验收之日起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个工作日内将履约保证金无息退还乙方，逾期退还的，乙方可要求甲方支付违约金，违约金按每迟延退还一日的应退还而未退还金额的</w:t>
      </w:r>
      <w:r>
        <w:rPr>
          <w:rFonts w:hint="eastAsia" w:ascii="宋体" w:hAnsi="宋体" w:eastAsia="宋体" w:cs="宋体"/>
          <w:color w:val="auto"/>
          <w:kern w:val="0"/>
          <w:sz w:val="24"/>
          <w:szCs w:val="24"/>
          <w:highlight w:val="none"/>
          <w:u w:val="single"/>
        </w:rPr>
        <w:t xml:space="preserve">  0.05（可根据情况修改）  </w:t>
      </w:r>
      <w:r>
        <w:rPr>
          <w:rFonts w:hint="eastAsia" w:ascii="宋体" w:hAnsi="宋体" w:eastAsia="宋体" w:cs="宋体"/>
          <w:color w:val="auto"/>
          <w:kern w:val="0"/>
          <w:sz w:val="24"/>
          <w:szCs w:val="24"/>
          <w:highlight w:val="none"/>
        </w:rPr>
        <w:t>%计算，最高限额为本合同履约保证金的</w:t>
      </w:r>
      <w:r>
        <w:rPr>
          <w:rFonts w:hint="eastAsia" w:ascii="宋体" w:hAnsi="宋体" w:eastAsia="宋体" w:cs="宋体"/>
          <w:color w:val="auto"/>
          <w:kern w:val="0"/>
          <w:sz w:val="24"/>
          <w:szCs w:val="24"/>
          <w:highlight w:val="none"/>
          <w:u w:val="single"/>
        </w:rPr>
        <w:t xml:space="preserve">  20  </w:t>
      </w:r>
      <w:r>
        <w:rPr>
          <w:rFonts w:hint="eastAsia" w:ascii="宋体" w:hAnsi="宋体" w:eastAsia="宋体" w:cs="宋体"/>
          <w:color w:val="auto"/>
          <w:kern w:val="0"/>
          <w:sz w:val="24"/>
          <w:szCs w:val="24"/>
          <w:highlight w:val="none"/>
        </w:rPr>
        <w:t xml:space="preserve"> %。</w:t>
      </w:r>
    </w:p>
    <w:p w14:paraId="6B4F28DA">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1.5预付款</w:t>
      </w:r>
    </w:p>
    <w:p w14:paraId="7BEE5676">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（是/否）需要支付预付款。若需要支付预付款的，则：</w:t>
      </w:r>
    </w:p>
    <w:p w14:paraId="1CE91FBB">
      <w:pPr>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1.5.1预付款比例、支付方式、时间详见</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p>
    <w:p w14:paraId="38EEB8F2">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1.5.2预付款的扣回方式详见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EDC08C0">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1.5.3预付款的担保措施详见</w:t>
      </w:r>
      <w:r>
        <w:rPr>
          <w:rFonts w:hint="eastAsia" w:ascii="宋体" w:hAnsi="宋体" w:eastAsia="宋体" w:cs="宋体"/>
          <w:color w:val="auto"/>
          <w:sz w:val="24"/>
          <w:szCs w:val="24"/>
          <w:highlight w:val="none"/>
          <w:u w:val="single"/>
        </w:rPr>
        <w:t xml:space="preserve">    </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F0C4E2">
      <w:pPr>
        <w:pStyle w:val="619"/>
        <w:spacing w:before="0" w:beforeAutospacing="0" w:after="0" w:afterAutospacing="0" w:line="360" w:lineRule="auto"/>
        <w:ind w:firstLine="48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1.6资金支付</w:t>
      </w:r>
    </w:p>
    <w:p w14:paraId="57270046">
      <w:pPr>
        <w:pStyle w:val="619"/>
        <w:spacing w:before="0" w:beforeAutospacing="0" w:after="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110590D">
      <w:pPr>
        <w:spacing w:line="360" w:lineRule="auto"/>
        <w:ind w:firstLine="480" w:firstLineChars="200"/>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1.6.2资金支付的方式、时间和条件详见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0CBFE88C">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1.7 履行期限、地点和方式</w:t>
      </w:r>
    </w:p>
    <w:p w14:paraId="6164E097">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1.7.1 服务交付（实施）的时间（期限）：</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CA26D36">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服务交付（实施）的地点（地域范围）：</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1968BC6D">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服务交付（实施）的方式：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49D7B210">
      <w:pPr>
        <w:spacing w:line="360" w:lineRule="auto"/>
        <w:ind w:firstLine="480" w:firstLineChars="200"/>
        <w:textAlignment w:val="auto"/>
        <w:outlineLvl w:val="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1.7.4若服务涉及货物的，则货物的：</w:t>
      </w:r>
    </w:p>
    <w:p w14:paraId="3291F83E">
      <w:pPr>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1.7.4.1 交付期限：详见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D855894">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 交付地点：</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6756499D">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 交付方式：</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184CA87D">
      <w:pPr>
        <w:spacing w:line="360" w:lineRule="auto"/>
        <w:ind w:firstLine="482" w:firstLineChars="200"/>
        <w:textAlignment w:val="auto"/>
        <w:outlineLvl w:val="0"/>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rPr>
        <w:t>1.8违约责任</w:t>
      </w:r>
    </w:p>
    <w:p w14:paraId="2F02B2E3">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除不可抗力外，如果乙方没有按照本合同约定的期限、地点和方式交付服务成果或者实施服务，那么甲方可要求乙方支付违约金，迟延履行违约金按每迟延履行一日的应提供而未提供服务价格的</w:t>
      </w:r>
      <w:r>
        <w:rPr>
          <w:rFonts w:hint="eastAsia" w:ascii="宋体" w:hAnsi="宋体" w:eastAsia="宋体" w:cs="宋体"/>
          <w:color w:val="auto"/>
          <w:sz w:val="24"/>
          <w:szCs w:val="24"/>
          <w:highlight w:val="none"/>
          <w:u w:val="single"/>
        </w:rPr>
        <w:t xml:space="preserve">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   </w:t>
      </w:r>
      <w:r>
        <w:rPr>
          <w:rFonts w:hint="eastAsia" w:ascii="宋体" w:hAnsi="宋体" w:eastAsia="宋体" w:cs="宋体"/>
          <w:color w:val="auto"/>
          <w:sz w:val="24"/>
          <w:szCs w:val="24"/>
          <w:highlight w:val="none"/>
        </w:rPr>
        <w:t>%；迟延履行的违约金计算数额达到前述最高限额之日起，甲方有权在要求乙方支付违约金的同时，书面通知乙方解除本合同；</w:t>
      </w:r>
    </w:p>
    <w:p w14:paraId="31755405">
      <w:pPr>
        <w:pStyle w:val="4"/>
        <w:spacing w:line="360" w:lineRule="auto"/>
        <w:ind w:left="0" w:firstLine="480" w:firstLineChars="200"/>
        <w:textAlignment w:val="auto"/>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10357EBB">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1.8.3除不可抗力外，如果甲方没有按照本合同约定的付款方式付款，那么乙方可要求甲方支付违约金，违约金按每迟延付款一日的应付而未付款的</w:t>
      </w:r>
      <w:r>
        <w:rPr>
          <w:rFonts w:hint="eastAsia" w:ascii="宋体" w:hAnsi="宋体" w:eastAsia="宋体" w:cs="宋体"/>
          <w:color w:val="auto"/>
          <w:sz w:val="24"/>
          <w:szCs w:val="24"/>
          <w:highlight w:val="none"/>
          <w:u w:val="single"/>
        </w:rPr>
        <w:t xml:space="preserve">   0.05   </w:t>
      </w:r>
      <w:r>
        <w:rPr>
          <w:rFonts w:hint="eastAsia" w:ascii="宋体" w:hAnsi="宋体" w:eastAsia="宋体" w:cs="宋体"/>
          <w:color w:val="auto"/>
          <w:sz w:val="24"/>
          <w:szCs w:val="24"/>
          <w:highlight w:val="none"/>
        </w:rPr>
        <w:t>%计算，最高限额为本合同总价的</w:t>
      </w:r>
      <w:r>
        <w:rPr>
          <w:rFonts w:hint="eastAsia" w:ascii="宋体" w:hAnsi="宋体" w:eastAsia="宋体" w:cs="宋体"/>
          <w:color w:val="auto"/>
          <w:sz w:val="24"/>
          <w:szCs w:val="24"/>
          <w:highlight w:val="none"/>
          <w:u w:val="single"/>
        </w:rPr>
        <w:t xml:space="preserve">   20</w:t>
      </w:r>
      <w:r>
        <w:rPr>
          <w:rFonts w:hint="eastAsia" w:ascii="宋体" w:hAnsi="宋体" w:eastAsia="宋体" w:cs="宋体"/>
          <w:color w:val="auto"/>
          <w:kern w:val="0"/>
          <w:sz w:val="24"/>
          <w:szCs w:val="24"/>
          <w:highlight w:val="none"/>
          <w:u w:val="single"/>
        </w:rPr>
        <w:t>（可根据情况修改）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%；迟延付款的违约金计算数额达到前述最高限额之日起，乙方有权在要求甲方支付违约金的同时，书面通知甲方解除本合同；</w:t>
      </w:r>
    </w:p>
    <w:p w14:paraId="3CCB6C76">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2175D73">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465152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4EF2E1A0">
      <w:pPr>
        <w:spacing w:line="360" w:lineRule="auto"/>
        <w:ind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1.8.7违约责任</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另有约定的，从其约定。</w:t>
      </w:r>
    </w:p>
    <w:p w14:paraId="752F90D1">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1.9合同争议的解决</w:t>
      </w:r>
    </w:p>
    <w:p w14:paraId="5E35B966">
      <w:pPr>
        <w:spacing w:line="360" w:lineRule="auto"/>
        <w:ind w:left="-61" w:leftChars="-29" w:right="-420" w:rightChars="-20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本合同履行过程中发生的任何争议，双方当事人均可通过和解或者调解解决；不愿和解、调解或者和解、调解不成的，可以选择以下第</w:t>
      </w:r>
      <w:r>
        <w:rPr>
          <w:rFonts w:hint="eastAsia" w:ascii="宋体" w:hAnsi="宋体" w:eastAsia="宋体" w:cs="宋体"/>
          <w:b/>
          <w:i/>
          <w:color w:val="auto"/>
          <w:sz w:val="24"/>
          <w:szCs w:val="24"/>
          <w:highlight w:val="none"/>
          <w:u w:val="single"/>
        </w:rPr>
        <w:t xml:space="preserve">      </w:t>
      </w:r>
      <w:r>
        <w:rPr>
          <w:rFonts w:hint="eastAsia" w:ascii="宋体" w:hAnsi="宋体" w:eastAsia="宋体" w:cs="宋体"/>
          <w:color w:val="auto"/>
          <w:sz w:val="24"/>
          <w:szCs w:val="24"/>
          <w:highlight w:val="none"/>
        </w:rPr>
        <w:t>条款规定的方式解决：</w:t>
      </w:r>
    </w:p>
    <w:p w14:paraId="0ADB7FF4">
      <w:pPr>
        <w:spacing w:line="360" w:lineRule="auto"/>
        <w:ind w:left="-420" w:leftChars="-200" w:right="-420" w:rightChars="-20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 将争议提交</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仲裁委员会依申请仲裁时其现行有效的仲裁规则裁决；</w:t>
      </w:r>
    </w:p>
    <w:p w14:paraId="203A5641">
      <w:pPr>
        <w:spacing w:line="360" w:lineRule="auto"/>
        <w:ind w:left="-420" w:leftChars="-200" w:right="-420" w:rightChars="-200" w:firstLine="600" w:firstLineChars="2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 向</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人民法院起诉。</w:t>
      </w:r>
    </w:p>
    <w:p w14:paraId="655E690D">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 合同生效</w:t>
      </w:r>
    </w:p>
    <w:p w14:paraId="12850F18">
      <w:pPr>
        <w:spacing w:line="360" w:lineRule="auto"/>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本合同自双方当事人盖章签字时生效。</w:t>
      </w:r>
    </w:p>
    <w:p w14:paraId="34A00425">
      <w:pPr>
        <w:autoSpaceDE w:val="0"/>
        <w:autoSpaceDN w:val="0"/>
        <w:spacing w:line="360" w:lineRule="auto"/>
        <w:textAlignment w:val="auto"/>
        <w:rPr>
          <w:rFonts w:hint="eastAsia" w:ascii="宋体" w:hAnsi="宋体" w:eastAsia="宋体" w:cs="宋体"/>
          <w:color w:val="auto"/>
          <w:sz w:val="24"/>
          <w:szCs w:val="24"/>
          <w:highlight w:val="none"/>
          <w:lang w:val="zh-CN"/>
        </w:rPr>
      </w:pPr>
    </w:p>
    <w:p w14:paraId="054B1A94">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甲方</w:t>
      </w:r>
      <w:r>
        <w:rPr>
          <w:rFonts w:hint="eastAsia" w:ascii="宋体" w:hAnsi="宋体" w:eastAsia="宋体" w:cs="宋体"/>
          <w:color w:val="auto"/>
          <w:sz w:val="24"/>
          <w:szCs w:val="24"/>
          <w:highlight w:val="none"/>
          <w:lang w:val="zh-CN"/>
        </w:rPr>
        <w:t xml:space="preserve">：                             </w:t>
      </w:r>
      <w:r>
        <w:rPr>
          <w:rFonts w:hint="eastAsia" w:ascii="宋体" w:hAnsi="宋体" w:eastAsia="宋体" w:cs="宋体"/>
          <w:b/>
          <w:color w:val="auto"/>
          <w:sz w:val="24"/>
          <w:szCs w:val="24"/>
          <w:highlight w:val="none"/>
          <w:lang w:val="zh-CN"/>
        </w:rPr>
        <w:t xml:space="preserve">      乙方</w:t>
      </w:r>
      <w:r>
        <w:rPr>
          <w:rFonts w:hint="eastAsia" w:ascii="宋体" w:hAnsi="宋体" w:eastAsia="宋体" w:cs="宋体"/>
          <w:color w:val="auto"/>
          <w:sz w:val="24"/>
          <w:szCs w:val="24"/>
          <w:highlight w:val="none"/>
          <w:lang w:val="zh-CN"/>
        </w:rPr>
        <w:t>：</w:t>
      </w:r>
    </w:p>
    <w:p w14:paraId="185B42DE">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统一社会信用代码：                        统一社会信用代码或身份证号码：</w:t>
      </w:r>
    </w:p>
    <w:p w14:paraId="6C281E84">
      <w:pPr>
        <w:autoSpaceDE w:val="0"/>
        <w:autoSpaceDN w:val="0"/>
        <w:spacing w:line="360" w:lineRule="auto"/>
        <w:textAlignment w:val="auto"/>
        <w:rPr>
          <w:rFonts w:hint="eastAsia" w:ascii="宋体" w:hAnsi="宋体" w:eastAsia="宋体" w:cs="宋体"/>
          <w:color w:val="auto"/>
          <w:sz w:val="24"/>
          <w:szCs w:val="24"/>
          <w:highlight w:val="none"/>
          <w:lang w:val="zh-CN"/>
        </w:rPr>
      </w:pPr>
    </w:p>
    <w:p w14:paraId="0EFD3A48">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住所：                                   住所：</w:t>
      </w:r>
    </w:p>
    <w:p w14:paraId="2DAE3D54">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法定代表人或                             法定代表人或</w:t>
      </w:r>
    </w:p>
    <w:p w14:paraId="06FEAFC0">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授权代表（签字）：                       授权代表（签字）: </w:t>
      </w:r>
    </w:p>
    <w:p w14:paraId="56781463">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联系人：                                 联系人：</w:t>
      </w:r>
    </w:p>
    <w:p w14:paraId="792D6EC8">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约定送达地址：                           约定送达地址：</w:t>
      </w:r>
    </w:p>
    <w:p w14:paraId="36BEE55C">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邮政编码：                               邮政编码：</w:t>
      </w:r>
    </w:p>
    <w:p w14:paraId="2354BF41">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电话:                                    电话: </w:t>
      </w:r>
    </w:p>
    <w:p w14:paraId="5840428F">
      <w:pPr>
        <w:autoSpaceDE w:val="0"/>
        <w:autoSpaceDN w:val="0"/>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传真:                                    传真:</w:t>
      </w:r>
    </w:p>
    <w:p w14:paraId="25398D44">
      <w:pPr>
        <w:autoSpaceDE w:val="0"/>
        <w:autoSpaceDN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电子邮箱：                               电子邮箱：</w:t>
      </w:r>
    </w:p>
    <w:p w14:paraId="7946B414">
      <w:pPr>
        <w:autoSpaceDE w:val="0"/>
        <w:autoSpaceDN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开户银行：                               开户银行： </w:t>
      </w:r>
    </w:p>
    <w:p w14:paraId="1F7BDA63">
      <w:pPr>
        <w:autoSpaceDE w:val="0"/>
        <w:autoSpaceDN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开户名称：                               开户名称： </w:t>
      </w:r>
    </w:p>
    <w:p w14:paraId="5BE4E55B">
      <w:pPr>
        <w:autoSpaceDE w:val="0"/>
        <w:autoSpaceDN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开户账号：</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开户账号：</w:t>
      </w:r>
    </w:p>
    <w:p w14:paraId="455E2F94">
      <w:pPr>
        <w:widowControl/>
        <w:spacing w:line="360" w:lineRule="auto"/>
        <w:jc w:val="left"/>
        <w:textAlignment w:val="auto"/>
        <w:rPr>
          <w:rFonts w:hint="eastAsia" w:ascii="宋体" w:hAnsi="宋体" w:eastAsia="宋体" w:cs="宋体"/>
          <w:b/>
          <w:color w:val="auto"/>
          <w:sz w:val="24"/>
          <w:szCs w:val="24"/>
          <w:highlight w:val="none"/>
        </w:rPr>
      </w:pPr>
    </w:p>
    <w:p w14:paraId="6BDE4A1B">
      <w:pPr>
        <w:widowControl/>
        <w:adjustRightInd/>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15C55EB1">
      <w:pPr>
        <w:pStyle w:val="82"/>
        <w:spacing w:line="360" w:lineRule="auto"/>
        <w:ind w:left="0" w:leftChars="0" w:firstLine="0" w:firstLineChars="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第二部分 合同一般条款</w:t>
      </w:r>
    </w:p>
    <w:p w14:paraId="65979948">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 定义</w:t>
      </w:r>
    </w:p>
    <w:p w14:paraId="7862BC66">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本合同中的下列词语应按以下内容进行解释：</w:t>
      </w:r>
    </w:p>
    <w:p w14:paraId="0A7A8835">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 “合同”系指采购人和中标或成交供应商签订的载明双方当事人所达成的协议，并包括所有的附件、附录和构成合同的其他文件。</w:t>
      </w:r>
    </w:p>
    <w:p w14:paraId="50A850E1">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 “合同价”系指根据合同约定，中标或成交供应商在完全履行合同义务后，采购人应支付给中标或成交供应商的价格。</w:t>
      </w:r>
    </w:p>
    <w:p w14:paraId="0F21B80D">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 “服务”系指中标或成交供应商根据合同约定应向采购人履行的除货物和工程以外的其他政府采购对象，包括采购人自身需要的服务和向社会公众提供的公共服务。</w:t>
      </w:r>
    </w:p>
    <w:p w14:paraId="5EE3669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 “甲方”系指与中标或成交供应商签署合同的采购人；采购人委托采购代理机构代表其与乙方签订合同的，采购人的授权委托书作为合同附件。</w:t>
      </w:r>
    </w:p>
    <w:p w14:paraId="54F58025">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3FBDAF5">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 “现场”系指合同约定提供服务的地点。</w:t>
      </w:r>
    </w:p>
    <w:p w14:paraId="2192C87B">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2.2 技术规范</w:t>
      </w:r>
    </w:p>
    <w:p w14:paraId="37ED74C0">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0B57DB3B">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2.3 知识产权</w:t>
      </w:r>
    </w:p>
    <w:p w14:paraId="088687E2">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0C4325DC">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 合同涉及技术成果的归属和收益的分成办法的，详见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358E5278">
      <w:pPr>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2.4 履约检查和问题反馈</w:t>
      </w:r>
    </w:p>
    <w:p w14:paraId="49BA651C">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435321D1">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合同履行期间，甲方有权将履行过程中出现的问题反馈给乙方，双方当事人应以书面形式约定需要完善和改进的内容。</w:t>
      </w:r>
    </w:p>
    <w:p w14:paraId="3E5DEEC7">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2.5 结算方式和付款条件</w:t>
      </w:r>
    </w:p>
    <w:p w14:paraId="2C997E0C">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w:t>
      </w:r>
    </w:p>
    <w:p w14:paraId="27182AA0">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2.6 技术资料和保密义务</w:t>
      </w:r>
    </w:p>
    <w:p w14:paraId="2D692D29">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 乙方有权依据合同约定和项目需要，向甲方了解有关情况，调阅有关资料等，甲方应予积极配合；</w:t>
      </w:r>
    </w:p>
    <w:p w14:paraId="635B6D7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 乙方有义务妥善保管和保护由甲方提供的前款信息和资料等；</w:t>
      </w:r>
    </w:p>
    <w:p w14:paraId="015DE58B">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7F3D6059">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2.7 质量保证</w:t>
      </w:r>
    </w:p>
    <w:p w14:paraId="320B8C39">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2.7.1 乙方应建立和完善履行合同的内部质量保证体系，并提供相关内部规章制度给甲方，以便甲方进行监督检查；</w:t>
      </w:r>
    </w:p>
    <w:p w14:paraId="30CC6D8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2.7.2 乙方应保证履行合同的人员数量和素质、软件和硬件设备的配置、场地、环境和设施等满足全面履行合同的要求，并应接受甲方的监督检查。</w:t>
      </w:r>
    </w:p>
    <w:p w14:paraId="6BA5ED73">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2.8 延迟履行</w:t>
      </w:r>
    </w:p>
    <w:p w14:paraId="685ACF2F">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1B90E9AC">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 合同变更</w:t>
      </w:r>
    </w:p>
    <w:p w14:paraId="522050D0">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p>
    <w:p w14:paraId="61140A69">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2.10 合同转让和分包</w:t>
      </w:r>
    </w:p>
    <w:p w14:paraId="6D7B62CE">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2210111D">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 不可抗力</w:t>
      </w:r>
    </w:p>
    <w:p w14:paraId="488ADBA2">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2.11.1如果任何一方遭遇法律规定的不可抗力，致使合同履行受阻时，履行合同的期限应予延长，延长的期限应相当于不可抗力所影响的时间；</w:t>
      </w:r>
    </w:p>
    <w:p w14:paraId="067423E0">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2.11.2 因不可抗力致使不能实现合同目的的，当事人可以解除合同；</w:t>
      </w:r>
    </w:p>
    <w:p w14:paraId="5AE2E9CF">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 因不可抗力致使合同有变更必要的，双方当事人应在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约定时间内以书面形式变更合同；</w:t>
      </w:r>
    </w:p>
    <w:p w14:paraId="34748E4B">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2.11.4受不可抗力影响的一方在不可抗力发生后，应在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约定时间内以书面形式通知对方当事人，并在</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约定时间内，将有关部门出具的证明文件送达对方当事人。</w:t>
      </w:r>
    </w:p>
    <w:p w14:paraId="1328CE5D">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2.12 税费</w:t>
      </w:r>
    </w:p>
    <w:p w14:paraId="7BCDFE64">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与合同有关的一切税费，均按照中华人民共和国法律的相关规定缴纳。</w:t>
      </w:r>
    </w:p>
    <w:p w14:paraId="1A9E5CE0">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2.13 乙方破产</w:t>
      </w:r>
    </w:p>
    <w:p w14:paraId="146F6367">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61131C82">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2.14 合同中止、终止</w:t>
      </w:r>
    </w:p>
    <w:p w14:paraId="71EAC46C">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2.14.1 双方当事人不得擅自中止或者终止合同；</w:t>
      </w:r>
    </w:p>
    <w:p w14:paraId="6C80A571">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2.14.2合同继续履行将损害国家利益和社会公共利益的，双方当事人应当中止或者终止合同。有过错的一方应当承担赔偿责任，双方当事人都有过错的，各自承担相应的责任。</w:t>
      </w:r>
    </w:p>
    <w:p w14:paraId="72647017">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2.15 检验和验收</w:t>
      </w:r>
    </w:p>
    <w:p w14:paraId="33638D7C">
      <w:pPr>
        <w:tabs>
          <w:tab w:val="left" w:pos="360"/>
          <w:tab w:val="left" w:pos="540"/>
          <w:tab w:val="left" w:pos="1080"/>
        </w:tabs>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 乙方按照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的约定，定期提交服务报告，甲方按照</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color w:val="auto"/>
          <w:sz w:val="24"/>
          <w:szCs w:val="24"/>
          <w:highlight w:val="none"/>
        </w:rPr>
        <w:t>的约定进行定期验收；</w:t>
      </w:r>
    </w:p>
    <w:p w14:paraId="411AA6E1">
      <w:pPr>
        <w:tabs>
          <w:tab w:val="left" w:pos="360"/>
          <w:tab w:val="left" w:pos="540"/>
          <w:tab w:val="left" w:pos="1080"/>
        </w:tabs>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7ECB0DB">
      <w:pPr>
        <w:tabs>
          <w:tab w:val="left" w:pos="360"/>
          <w:tab w:val="left" w:pos="540"/>
          <w:tab w:val="left" w:pos="1080"/>
        </w:tabs>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 检验和验收标准、程序等具体内容以及前述验收书的效力详见</w:t>
      </w:r>
      <w:r>
        <w:rPr>
          <w:rFonts w:hint="eastAsia" w:ascii="宋体" w:hAnsi="宋体" w:eastAsia="宋体" w:cs="宋体"/>
          <w:b/>
          <w:i/>
          <w:color w:val="auto"/>
          <w:sz w:val="24"/>
          <w:szCs w:val="24"/>
          <w:highlight w:val="none"/>
          <w:u w:val="single"/>
        </w:rPr>
        <w:t>合同专用条款</w:t>
      </w:r>
      <w:r>
        <w:rPr>
          <w:rFonts w:hint="eastAsia" w:ascii="宋体" w:hAnsi="宋体" w:eastAsia="宋体" w:cs="宋体"/>
          <w:i/>
          <w:color w:val="auto"/>
          <w:sz w:val="24"/>
          <w:szCs w:val="24"/>
          <w:highlight w:val="none"/>
        </w:rPr>
        <w:t>。</w:t>
      </w:r>
    </w:p>
    <w:p w14:paraId="1CEF1B5A">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2.16 通知和送达</w:t>
      </w:r>
    </w:p>
    <w:p w14:paraId="5067B1D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2.17.1任何一方因履行合同而以合同第一部分尾部所列明的传真或电子邮件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发出的所有通知、文件、材料，均视为已向对方当事人送达；任何一方变更上述送达方式或者地址的，应于</w:t>
      </w:r>
      <w:r>
        <w:rPr>
          <w:rFonts w:hint="eastAsia" w:ascii="宋体" w:hAnsi="宋体" w:eastAsia="宋体" w:cs="宋体"/>
          <w:color w:val="auto"/>
          <w:sz w:val="24"/>
          <w:szCs w:val="24"/>
          <w:highlight w:val="none"/>
          <w:u w:val="single"/>
        </w:rPr>
        <w:t>3</w:t>
      </w:r>
      <w:r>
        <w:rPr>
          <w:rFonts w:hint="eastAsia" w:ascii="宋体" w:hAnsi="宋体" w:eastAsia="宋体" w:cs="宋体"/>
          <w:color w:val="auto"/>
          <w:sz w:val="24"/>
          <w:szCs w:val="24"/>
          <w:highlight w:val="none"/>
        </w:rPr>
        <w:t>个工作日内书面通知对方当事人，在对方当事人收到有关变更通知之前，变更前的约定送达方式或者地址仍视为有效。</w:t>
      </w:r>
    </w:p>
    <w:p w14:paraId="39D3AD6B">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6EFC0AE4">
      <w:pPr>
        <w:spacing w:line="360" w:lineRule="auto"/>
        <w:ind w:firstLine="482" w:firstLineChars="200"/>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2.17 合同使用的文字和适用的法律</w:t>
      </w:r>
    </w:p>
    <w:p w14:paraId="4592D9A3">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2.17.1 合同使用汉语书就、变更和解释；</w:t>
      </w:r>
    </w:p>
    <w:p w14:paraId="7279A10A">
      <w:pPr>
        <w:spacing w:line="360" w:lineRule="auto"/>
        <w:ind w:firstLine="480" w:firstLineChars="200"/>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color w:val="auto"/>
          <w:sz w:val="24"/>
          <w:szCs w:val="24"/>
          <w:highlight w:val="none"/>
        </w:rPr>
        <w:t>2.17.2 合同适用中华人民共和国法律。</w:t>
      </w:r>
      <w:bookmarkStart w:id="407" w:name="_Toc18540"/>
      <w:bookmarkStart w:id="408" w:name="_Toc4355"/>
      <w:bookmarkStart w:id="409" w:name="_Toc30599"/>
    </w:p>
    <w:p w14:paraId="1DBBD39D">
      <w:pPr>
        <w:spacing w:line="360" w:lineRule="auto"/>
        <w:ind w:firstLine="482" w:firstLineChars="200"/>
        <w:textAlignment w:val="auto"/>
        <w:outlineLvl w:val="0"/>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w:t>
      </w:r>
      <w:r>
        <w:rPr>
          <w:rFonts w:hint="eastAsia" w:ascii="宋体" w:hAnsi="宋体" w:eastAsia="宋体" w:cs="宋体"/>
          <w:b/>
          <w:bCs w:val="0"/>
          <w:color w:val="auto"/>
          <w:sz w:val="24"/>
          <w:szCs w:val="24"/>
          <w:highlight w:val="none"/>
          <w:lang w:val="en-US" w:eastAsia="zh-CN"/>
        </w:rPr>
        <w:t>19</w:t>
      </w:r>
      <w:r>
        <w:rPr>
          <w:rFonts w:hint="eastAsia" w:ascii="宋体" w:hAnsi="宋体" w:eastAsia="宋体" w:cs="宋体"/>
          <w:b/>
          <w:bCs w:val="0"/>
          <w:color w:val="auto"/>
          <w:sz w:val="24"/>
          <w:szCs w:val="24"/>
          <w:highlight w:val="none"/>
        </w:rPr>
        <w:t>合同份数</w:t>
      </w:r>
    </w:p>
    <w:p w14:paraId="39FFEEC9">
      <w:pPr>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val="0"/>
          <w:bCs/>
          <w:color w:val="auto"/>
          <w:sz w:val="24"/>
          <w:szCs w:val="24"/>
          <w:highlight w:val="none"/>
        </w:rPr>
        <w:t>合同份数按</w:t>
      </w:r>
      <w:r>
        <w:rPr>
          <w:rFonts w:hint="eastAsia" w:ascii="宋体" w:hAnsi="宋体" w:eastAsia="宋体" w:cs="宋体"/>
          <w:b/>
          <w:bCs w:val="0"/>
          <w:i/>
          <w:iCs/>
          <w:color w:val="auto"/>
          <w:sz w:val="24"/>
          <w:szCs w:val="24"/>
          <w:highlight w:val="none"/>
          <w:u w:val="single"/>
        </w:rPr>
        <w:t>合同专用条款</w:t>
      </w:r>
      <w:r>
        <w:rPr>
          <w:rFonts w:hint="eastAsia" w:ascii="宋体" w:hAnsi="宋体" w:eastAsia="宋体" w:cs="宋体"/>
          <w:b w:val="0"/>
          <w:bCs/>
          <w:color w:val="auto"/>
          <w:sz w:val="24"/>
          <w:szCs w:val="24"/>
          <w:highlight w:val="none"/>
        </w:rPr>
        <w:t>规定，每份均具有同等法律效力。</w:t>
      </w:r>
      <w:bookmarkEnd w:id="407"/>
      <w:bookmarkEnd w:id="408"/>
      <w:bookmarkEnd w:id="409"/>
      <w:r>
        <w:rPr>
          <w:rFonts w:hint="eastAsia" w:ascii="宋体" w:hAnsi="宋体" w:eastAsia="宋体" w:cs="宋体"/>
          <w:bCs/>
          <w:color w:val="auto"/>
          <w:kern w:val="0"/>
          <w:sz w:val="24"/>
          <w:szCs w:val="24"/>
          <w:highlight w:val="none"/>
        </w:rPr>
        <w:br w:type="page"/>
      </w:r>
      <w:r>
        <w:rPr>
          <w:rFonts w:hint="eastAsia" w:ascii="宋体" w:hAnsi="宋体" w:eastAsia="宋体" w:cs="宋体"/>
          <w:b/>
          <w:color w:val="auto"/>
          <w:sz w:val="24"/>
          <w:szCs w:val="24"/>
          <w:highlight w:val="none"/>
        </w:rPr>
        <w:t xml:space="preserve"> 第三部分  合同专用条款</w:t>
      </w:r>
    </w:p>
    <w:p w14:paraId="61A7B3E5">
      <w:pPr>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19831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3075C5BD">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49" w:type="dxa"/>
            <w:vAlign w:val="center"/>
          </w:tcPr>
          <w:p w14:paraId="42C9C55E">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14:paraId="6F888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F830EF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w:t>
            </w:r>
          </w:p>
        </w:tc>
        <w:tc>
          <w:tcPr>
            <w:tcW w:w="8149" w:type="dxa"/>
            <w:vAlign w:val="center"/>
          </w:tcPr>
          <w:p w14:paraId="017A584E">
            <w:pPr>
              <w:spacing w:line="360" w:lineRule="auto"/>
              <w:textAlignment w:val="auto"/>
              <w:rPr>
                <w:rFonts w:hint="eastAsia" w:ascii="宋体" w:hAnsi="宋体" w:eastAsia="宋体" w:cs="宋体"/>
                <w:color w:val="auto"/>
                <w:sz w:val="24"/>
                <w:szCs w:val="24"/>
                <w:highlight w:val="none"/>
              </w:rPr>
            </w:pPr>
          </w:p>
        </w:tc>
      </w:tr>
      <w:tr w14:paraId="6E5E4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6E51D9">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w:t>
            </w:r>
          </w:p>
        </w:tc>
        <w:tc>
          <w:tcPr>
            <w:tcW w:w="8149" w:type="dxa"/>
            <w:vAlign w:val="center"/>
          </w:tcPr>
          <w:p w14:paraId="5FCF77CE">
            <w:pPr>
              <w:spacing w:line="360" w:lineRule="auto"/>
              <w:textAlignment w:val="auto"/>
              <w:rPr>
                <w:rFonts w:hint="eastAsia" w:ascii="宋体" w:hAnsi="宋体" w:eastAsia="宋体" w:cs="宋体"/>
                <w:color w:val="auto"/>
                <w:sz w:val="24"/>
                <w:szCs w:val="24"/>
                <w:highlight w:val="none"/>
              </w:rPr>
            </w:pPr>
          </w:p>
        </w:tc>
      </w:tr>
      <w:tr w14:paraId="193E0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92C08B">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8149" w:type="dxa"/>
            <w:vAlign w:val="center"/>
          </w:tcPr>
          <w:p w14:paraId="2265E411">
            <w:pPr>
              <w:spacing w:line="360" w:lineRule="auto"/>
              <w:textAlignment w:val="auto"/>
              <w:rPr>
                <w:rFonts w:hint="eastAsia" w:ascii="宋体" w:hAnsi="宋体" w:eastAsia="宋体" w:cs="宋体"/>
                <w:color w:val="auto"/>
                <w:sz w:val="24"/>
                <w:szCs w:val="24"/>
                <w:highlight w:val="none"/>
              </w:rPr>
            </w:pPr>
          </w:p>
        </w:tc>
      </w:tr>
      <w:tr w14:paraId="4B5F0F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F67E67">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8149" w:type="dxa"/>
            <w:vAlign w:val="center"/>
          </w:tcPr>
          <w:p w14:paraId="2D551D52">
            <w:pPr>
              <w:spacing w:line="360" w:lineRule="auto"/>
              <w:textAlignment w:val="auto"/>
              <w:rPr>
                <w:rFonts w:hint="eastAsia" w:ascii="宋体" w:hAnsi="宋体" w:eastAsia="宋体" w:cs="宋体"/>
                <w:color w:val="auto"/>
                <w:sz w:val="24"/>
                <w:szCs w:val="24"/>
                <w:highlight w:val="none"/>
              </w:rPr>
            </w:pPr>
          </w:p>
        </w:tc>
      </w:tr>
      <w:tr w14:paraId="06A516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BD5F8A">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8149" w:type="dxa"/>
            <w:vAlign w:val="center"/>
          </w:tcPr>
          <w:p w14:paraId="7AFCDF11">
            <w:pPr>
              <w:spacing w:line="360" w:lineRule="auto"/>
              <w:textAlignment w:val="auto"/>
              <w:rPr>
                <w:rFonts w:hint="eastAsia" w:ascii="宋体" w:hAnsi="宋体" w:eastAsia="宋体" w:cs="宋体"/>
                <w:color w:val="auto"/>
                <w:sz w:val="24"/>
                <w:szCs w:val="24"/>
                <w:highlight w:val="none"/>
              </w:rPr>
            </w:pPr>
          </w:p>
        </w:tc>
      </w:tr>
      <w:tr w14:paraId="204107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925C83F">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w:t>
            </w:r>
          </w:p>
        </w:tc>
        <w:tc>
          <w:tcPr>
            <w:tcW w:w="8149" w:type="dxa"/>
            <w:vAlign w:val="center"/>
          </w:tcPr>
          <w:p w14:paraId="64C4491F">
            <w:pPr>
              <w:spacing w:line="360" w:lineRule="auto"/>
              <w:textAlignment w:val="auto"/>
              <w:rPr>
                <w:rFonts w:hint="eastAsia" w:ascii="宋体" w:hAnsi="宋体" w:eastAsia="宋体" w:cs="宋体"/>
                <w:color w:val="auto"/>
                <w:sz w:val="24"/>
                <w:szCs w:val="24"/>
                <w:highlight w:val="none"/>
              </w:rPr>
            </w:pPr>
          </w:p>
        </w:tc>
      </w:tr>
      <w:tr w14:paraId="303F2D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F2DE7E">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w:t>
            </w:r>
          </w:p>
        </w:tc>
        <w:tc>
          <w:tcPr>
            <w:tcW w:w="8149" w:type="dxa"/>
            <w:vAlign w:val="center"/>
          </w:tcPr>
          <w:p w14:paraId="164B02BF">
            <w:pPr>
              <w:spacing w:line="360" w:lineRule="auto"/>
              <w:textAlignment w:val="auto"/>
              <w:rPr>
                <w:rFonts w:hint="eastAsia" w:ascii="宋体" w:hAnsi="宋体" w:eastAsia="宋体" w:cs="宋体"/>
                <w:color w:val="auto"/>
                <w:sz w:val="24"/>
                <w:szCs w:val="24"/>
                <w:highlight w:val="none"/>
              </w:rPr>
            </w:pPr>
          </w:p>
        </w:tc>
      </w:tr>
      <w:tr w14:paraId="767A80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EBAC994">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w:t>
            </w:r>
          </w:p>
        </w:tc>
        <w:tc>
          <w:tcPr>
            <w:tcW w:w="8149" w:type="dxa"/>
            <w:vAlign w:val="center"/>
          </w:tcPr>
          <w:p w14:paraId="2AFD215D">
            <w:pPr>
              <w:spacing w:line="360" w:lineRule="auto"/>
              <w:textAlignment w:val="auto"/>
              <w:rPr>
                <w:rFonts w:hint="eastAsia" w:ascii="宋体" w:hAnsi="宋体" w:eastAsia="宋体" w:cs="宋体"/>
                <w:color w:val="auto"/>
                <w:sz w:val="24"/>
                <w:szCs w:val="24"/>
                <w:highlight w:val="none"/>
              </w:rPr>
            </w:pPr>
          </w:p>
        </w:tc>
      </w:tr>
      <w:tr w14:paraId="75DA34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511084F">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w:t>
            </w:r>
          </w:p>
        </w:tc>
        <w:tc>
          <w:tcPr>
            <w:tcW w:w="8149" w:type="dxa"/>
            <w:vAlign w:val="center"/>
          </w:tcPr>
          <w:p w14:paraId="3C20D4EA">
            <w:pPr>
              <w:spacing w:line="360" w:lineRule="auto"/>
              <w:textAlignment w:val="auto"/>
              <w:rPr>
                <w:rFonts w:hint="eastAsia" w:ascii="宋体" w:hAnsi="宋体" w:eastAsia="宋体" w:cs="宋体"/>
                <w:color w:val="auto"/>
                <w:sz w:val="24"/>
                <w:szCs w:val="24"/>
                <w:highlight w:val="none"/>
              </w:rPr>
            </w:pPr>
          </w:p>
        </w:tc>
      </w:tr>
      <w:tr w14:paraId="4D5B1B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FA941D">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1.7.4.1</w:t>
            </w:r>
          </w:p>
        </w:tc>
        <w:tc>
          <w:tcPr>
            <w:tcW w:w="8149" w:type="dxa"/>
            <w:vAlign w:val="center"/>
          </w:tcPr>
          <w:p w14:paraId="1EE03361">
            <w:pPr>
              <w:spacing w:line="360" w:lineRule="auto"/>
              <w:textAlignment w:val="auto"/>
              <w:rPr>
                <w:rFonts w:hint="eastAsia" w:ascii="宋体" w:hAnsi="宋体" w:eastAsia="宋体" w:cs="宋体"/>
                <w:color w:val="auto"/>
                <w:sz w:val="24"/>
                <w:szCs w:val="24"/>
                <w:highlight w:val="none"/>
              </w:rPr>
            </w:pPr>
          </w:p>
        </w:tc>
      </w:tr>
      <w:tr w14:paraId="0BF77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2E5900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1.7.4.2</w:t>
            </w:r>
          </w:p>
        </w:tc>
        <w:tc>
          <w:tcPr>
            <w:tcW w:w="8149" w:type="dxa"/>
            <w:vAlign w:val="center"/>
          </w:tcPr>
          <w:p w14:paraId="4C62C41D">
            <w:pPr>
              <w:spacing w:line="360" w:lineRule="auto"/>
              <w:textAlignment w:val="auto"/>
              <w:rPr>
                <w:rFonts w:hint="eastAsia" w:ascii="宋体" w:hAnsi="宋体" w:eastAsia="宋体" w:cs="宋体"/>
                <w:color w:val="auto"/>
                <w:sz w:val="24"/>
                <w:szCs w:val="24"/>
                <w:highlight w:val="none"/>
              </w:rPr>
            </w:pPr>
          </w:p>
        </w:tc>
      </w:tr>
      <w:tr w14:paraId="2514C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728EDAA">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1.7.4.3</w:t>
            </w:r>
          </w:p>
        </w:tc>
        <w:tc>
          <w:tcPr>
            <w:tcW w:w="8149" w:type="dxa"/>
            <w:vAlign w:val="center"/>
          </w:tcPr>
          <w:p w14:paraId="31C49E92">
            <w:pPr>
              <w:spacing w:line="360" w:lineRule="auto"/>
              <w:textAlignment w:val="auto"/>
              <w:rPr>
                <w:rFonts w:hint="eastAsia" w:ascii="宋体" w:hAnsi="宋体" w:eastAsia="宋体" w:cs="宋体"/>
                <w:color w:val="auto"/>
                <w:sz w:val="24"/>
                <w:szCs w:val="24"/>
                <w:highlight w:val="none"/>
              </w:rPr>
            </w:pPr>
          </w:p>
        </w:tc>
      </w:tr>
      <w:tr w14:paraId="5DEB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D6F8C7C">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w:t>
            </w:r>
          </w:p>
        </w:tc>
        <w:tc>
          <w:tcPr>
            <w:tcW w:w="8149" w:type="dxa"/>
            <w:vAlign w:val="center"/>
          </w:tcPr>
          <w:p w14:paraId="71FB7B32">
            <w:pPr>
              <w:spacing w:line="360" w:lineRule="auto"/>
              <w:textAlignment w:val="auto"/>
              <w:rPr>
                <w:rFonts w:hint="eastAsia" w:ascii="宋体" w:hAnsi="宋体" w:eastAsia="宋体" w:cs="宋体"/>
                <w:color w:val="auto"/>
                <w:sz w:val="24"/>
                <w:szCs w:val="24"/>
                <w:highlight w:val="none"/>
              </w:rPr>
            </w:pPr>
          </w:p>
        </w:tc>
      </w:tr>
      <w:tr w14:paraId="56C1A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C039C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1.9.1</w:t>
            </w:r>
          </w:p>
        </w:tc>
        <w:tc>
          <w:tcPr>
            <w:tcW w:w="8149" w:type="dxa"/>
            <w:vAlign w:val="center"/>
          </w:tcPr>
          <w:p w14:paraId="224418F2">
            <w:pPr>
              <w:spacing w:line="360" w:lineRule="auto"/>
              <w:textAlignment w:val="auto"/>
              <w:rPr>
                <w:rFonts w:hint="eastAsia" w:ascii="宋体" w:hAnsi="宋体" w:eastAsia="宋体" w:cs="宋体"/>
                <w:color w:val="auto"/>
                <w:sz w:val="24"/>
                <w:szCs w:val="24"/>
                <w:highlight w:val="none"/>
              </w:rPr>
            </w:pPr>
          </w:p>
        </w:tc>
      </w:tr>
      <w:tr w14:paraId="11424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8D3EA76">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1.9.2</w:t>
            </w:r>
          </w:p>
        </w:tc>
        <w:tc>
          <w:tcPr>
            <w:tcW w:w="8149" w:type="dxa"/>
            <w:vAlign w:val="center"/>
          </w:tcPr>
          <w:p w14:paraId="210A1C95">
            <w:pPr>
              <w:spacing w:line="360" w:lineRule="auto"/>
              <w:textAlignment w:val="auto"/>
              <w:rPr>
                <w:rFonts w:hint="eastAsia" w:ascii="宋体" w:hAnsi="宋体" w:eastAsia="宋体" w:cs="宋体"/>
                <w:color w:val="auto"/>
                <w:sz w:val="24"/>
                <w:szCs w:val="24"/>
                <w:highlight w:val="none"/>
              </w:rPr>
            </w:pPr>
          </w:p>
        </w:tc>
      </w:tr>
      <w:tr w14:paraId="24DD63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5A1068F">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w:t>
            </w:r>
          </w:p>
        </w:tc>
        <w:tc>
          <w:tcPr>
            <w:tcW w:w="8149" w:type="dxa"/>
            <w:vAlign w:val="center"/>
          </w:tcPr>
          <w:p w14:paraId="07FDE207">
            <w:pPr>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tc>
      </w:tr>
      <w:tr w14:paraId="74F8F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73E7AF2">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8149" w:type="dxa"/>
            <w:vAlign w:val="center"/>
          </w:tcPr>
          <w:p w14:paraId="330DF572">
            <w:pPr>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tc>
      </w:tr>
      <w:tr w14:paraId="652511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C088040">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2.11.3</w:t>
            </w:r>
          </w:p>
        </w:tc>
        <w:tc>
          <w:tcPr>
            <w:tcW w:w="8149" w:type="dxa"/>
            <w:vAlign w:val="center"/>
          </w:tcPr>
          <w:p w14:paraId="6B556115">
            <w:pPr>
              <w:spacing w:line="360" w:lineRule="auto"/>
              <w:textAlignment w:val="auto"/>
              <w:rPr>
                <w:rFonts w:hint="eastAsia" w:ascii="宋体" w:hAnsi="宋体" w:eastAsia="宋体" w:cs="宋体"/>
                <w:color w:val="auto"/>
                <w:sz w:val="24"/>
                <w:szCs w:val="24"/>
                <w:highlight w:val="none"/>
              </w:rPr>
            </w:pPr>
          </w:p>
        </w:tc>
      </w:tr>
      <w:tr w14:paraId="6CEDB7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4D819B7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2.11.4 </w:t>
            </w:r>
          </w:p>
        </w:tc>
        <w:tc>
          <w:tcPr>
            <w:tcW w:w="8149" w:type="dxa"/>
            <w:vAlign w:val="top"/>
          </w:tcPr>
          <w:p w14:paraId="6DB32C33">
            <w:pPr>
              <w:spacing w:line="360" w:lineRule="auto"/>
              <w:textAlignment w:val="auto"/>
              <w:rPr>
                <w:rFonts w:hint="eastAsia" w:ascii="宋体" w:hAnsi="宋体" w:eastAsia="宋体" w:cs="宋体"/>
                <w:color w:val="auto"/>
                <w:sz w:val="24"/>
                <w:szCs w:val="24"/>
                <w:highlight w:val="none"/>
              </w:rPr>
            </w:pPr>
          </w:p>
        </w:tc>
      </w:tr>
      <w:tr w14:paraId="500B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5EAC83D">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2.15.1</w:t>
            </w:r>
          </w:p>
        </w:tc>
        <w:tc>
          <w:tcPr>
            <w:tcW w:w="8149" w:type="dxa"/>
            <w:vAlign w:val="center"/>
          </w:tcPr>
          <w:p w14:paraId="6B349C79">
            <w:pPr>
              <w:spacing w:line="360" w:lineRule="auto"/>
              <w:textAlignment w:val="auto"/>
              <w:rPr>
                <w:rFonts w:hint="eastAsia" w:ascii="宋体" w:hAnsi="宋体" w:eastAsia="宋体" w:cs="宋体"/>
                <w:color w:val="auto"/>
                <w:sz w:val="24"/>
                <w:szCs w:val="24"/>
                <w:highlight w:val="none"/>
              </w:rPr>
            </w:pPr>
          </w:p>
        </w:tc>
      </w:tr>
      <w:tr w14:paraId="3A79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BF14FED">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2.15.3</w:t>
            </w:r>
          </w:p>
        </w:tc>
        <w:tc>
          <w:tcPr>
            <w:tcW w:w="8149" w:type="dxa"/>
            <w:vAlign w:val="center"/>
          </w:tcPr>
          <w:p w14:paraId="4CA6ECFC">
            <w:pPr>
              <w:spacing w:line="360" w:lineRule="auto"/>
              <w:textAlignment w:val="auto"/>
              <w:rPr>
                <w:rFonts w:hint="eastAsia" w:ascii="宋体" w:hAnsi="宋体" w:eastAsia="宋体" w:cs="宋体"/>
                <w:color w:val="auto"/>
                <w:sz w:val="24"/>
                <w:szCs w:val="24"/>
                <w:highlight w:val="none"/>
              </w:rPr>
            </w:pPr>
          </w:p>
        </w:tc>
      </w:tr>
      <w:tr w14:paraId="06ABD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7E4AFD15">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8149" w:type="dxa"/>
            <w:vAlign w:val="top"/>
          </w:tcPr>
          <w:p w14:paraId="26A1EF4B">
            <w:pPr>
              <w:spacing w:line="360" w:lineRule="auto"/>
              <w:textAlignment w:val="auto"/>
              <w:rPr>
                <w:rFonts w:hint="eastAsia" w:ascii="宋体" w:hAnsi="宋体" w:eastAsia="宋体" w:cs="宋体"/>
                <w:color w:val="auto"/>
                <w:sz w:val="24"/>
                <w:szCs w:val="24"/>
                <w:highlight w:val="none"/>
              </w:rPr>
            </w:pPr>
          </w:p>
        </w:tc>
      </w:tr>
    </w:tbl>
    <w:p w14:paraId="520F93A0">
      <w:pPr>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p w14:paraId="6B39DA72">
      <w:pPr>
        <w:spacing w:line="360" w:lineRule="auto"/>
        <w:ind w:left="-420" w:leftChars="-200" w:right="-420" w:rightChars="-200" w:firstLine="480" w:firstLineChars="200"/>
        <w:jc w:val="center"/>
        <w:textAlignment w:val="auto"/>
        <w:outlineLvl w:val="0"/>
        <w:rPr>
          <w:rFonts w:hint="eastAsia" w:ascii="宋体" w:hAnsi="宋体" w:eastAsia="宋体" w:cs="宋体"/>
          <w:color w:val="auto"/>
          <w:sz w:val="24"/>
          <w:szCs w:val="24"/>
          <w:highlight w:val="none"/>
        </w:rPr>
      </w:pPr>
    </w:p>
    <w:p w14:paraId="62282C33">
      <w:pPr>
        <w:spacing w:line="360" w:lineRule="auto"/>
        <w:ind w:left="-420" w:leftChars="-200" w:right="-420" w:rightChars="-200" w:firstLine="480" w:firstLineChars="200"/>
        <w:jc w:val="center"/>
        <w:textAlignment w:val="auto"/>
        <w:outlineLvl w:val="0"/>
        <w:rPr>
          <w:rFonts w:hint="eastAsia" w:ascii="宋体" w:hAnsi="宋体" w:eastAsia="宋体" w:cs="宋体"/>
          <w:color w:val="auto"/>
          <w:sz w:val="24"/>
          <w:szCs w:val="24"/>
          <w:highlight w:val="none"/>
        </w:rPr>
      </w:pPr>
    </w:p>
    <w:p w14:paraId="05702C15">
      <w:pPr>
        <w:widowControl/>
        <w:adjustRightIn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 应提交的有关格式范例</w:t>
      </w:r>
    </w:p>
    <w:p w14:paraId="026CF090">
      <w:pPr>
        <w:spacing w:line="360" w:lineRule="auto"/>
        <w:jc w:val="center"/>
        <w:textAlignment w:val="auto"/>
        <w:outlineLvl w:val="0"/>
        <w:rPr>
          <w:rFonts w:hint="eastAsia" w:ascii="宋体" w:hAnsi="宋体" w:eastAsia="宋体" w:cs="宋体"/>
          <w:b/>
          <w:color w:val="auto"/>
          <w:kern w:val="0"/>
          <w:sz w:val="24"/>
          <w:szCs w:val="24"/>
          <w:highlight w:val="none"/>
        </w:rPr>
      </w:pPr>
    </w:p>
    <w:p w14:paraId="6EA73CE2">
      <w:pPr>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6BD7CE41">
      <w:pPr>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0836BF53">
      <w:pPr>
        <w:spacing w:line="360" w:lineRule="auto"/>
        <w:jc w:val="center"/>
        <w:textAlignment w:val="auto"/>
        <w:outlineLvl w:val="0"/>
        <w:rPr>
          <w:rFonts w:hint="eastAsia" w:ascii="宋体" w:hAnsi="宋体" w:eastAsia="宋体" w:cs="宋体"/>
          <w:b/>
          <w:color w:val="auto"/>
          <w:kern w:val="0"/>
          <w:sz w:val="24"/>
          <w:szCs w:val="24"/>
          <w:highlight w:val="none"/>
        </w:rPr>
      </w:pPr>
    </w:p>
    <w:p w14:paraId="3F4D99FC">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（1）符合参加政府采购活动应当具备的一般条件的承诺函……………（页码）</w:t>
      </w:r>
    </w:p>
    <w:p w14:paraId="4475949F">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（2）联合协议</w:t>
      </w:r>
      <w:r>
        <w:rPr>
          <w:rFonts w:hint="eastAsia" w:ascii="宋体" w:hAnsi="宋体" w:eastAsia="宋体" w:cs="宋体"/>
          <w:color w:val="auto"/>
          <w:sz w:val="24"/>
          <w:szCs w:val="24"/>
          <w:highlight w:val="none"/>
        </w:rPr>
        <w:t>………………………………………………………………（页码）</w:t>
      </w:r>
    </w:p>
    <w:p w14:paraId="48AC6FB4">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（3）落实政府采购政策需满足的资格要求………………………………（页码）</w:t>
      </w:r>
    </w:p>
    <w:p w14:paraId="4593FA4F">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（4）本项目的特定资格要求………………………………………………（页码）</w:t>
      </w:r>
    </w:p>
    <w:p w14:paraId="3FB36E55">
      <w:pPr>
        <w:snapToGrid w:val="0"/>
        <w:spacing w:line="360" w:lineRule="auto"/>
        <w:ind w:firstLine="480" w:firstLineChars="200"/>
        <w:textAlignment w:val="auto"/>
        <w:rPr>
          <w:rFonts w:hint="eastAsia" w:ascii="宋体" w:hAnsi="宋体" w:eastAsia="宋体" w:cs="宋体"/>
          <w:color w:val="auto"/>
          <w:sz w:val="24"/>
          <w:szCs w:val="24"/>
          <w:highlight w:val="none"/>
        </w:rPr>
      </w:pPr>
    </w:p>
    <w:p w14:paraId="3B3E99BF">
      <w:pPr>
        <w:spacing w:line="360" w:lineRule="auto"/>
        <w:ind w:firstLine="480" w:firstLineChars="200"/>
        <w:textAlignment w:val="auto"/>
        <w:rPr>
          <w:rFonts w:hint="eastAsia" w:ascii="宋体" w:hAnsi="宋体" w:eastAsia="宋体" w:cs="宋体"/>
          <w:color w:val="auto"/>
          <w:sz w:val="24"/>
          <w:szCs w:val="24"/>
          <w:highlight w:val="none"/>
        </w:rPr>
      </w:pPr>
    </w:p>
    <w:p w14:paraId="3C71990C">
      <w:pPr>
        <w:snapToGrid w:val="0"/>
        <w:spacing w:line="360" w:lineRule="auto"/>
        <w:ind w:right="480"/>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24"/>
          <w:szCs w:val="24"/>
          <w:highlight w:val="none"/>
        </w:rPr>
        <w:t xml:space="preserve"> </w:t>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3228A48E">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杭州临平经济技术开发区管委会、</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sz w:val="24"/>
          <w:szCs w:val="24"/>
          <w:highlight w:val="none"/>
        </w:rPr>
        <w:t>：</w:t>
      </w:r>
    </w:p>
    <w:p w14:paraId="4CFF0F40">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我方参与</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eastAsia="zh-CN"/>
        </w:rPr>
        <w:t>HBZFCG-2025-025</w:t>
      </w:r>
      <w:r>
        <w:rPr>
          <w:rFonts w:hint="eastAsia" w:ascii="宋体" w:hAnsi="宋体" w:eastAsia="宋体" w:cs="宋体"/>
          <w:color w:val="auto"/>
          <w:sz w:val="24"/>
          <w:szCs w:val="24"/>
          <w:highlight w:val="none"/>
        </w:rPr>
        <w:t>】政府采购活动，郑重承诺：</w:t>
      </w:r>
    </w:p>
    <w:p w14:paraId="03647FD7">
      <w:pPr>
        <w:snapToGrid w:val="0"/>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（一）具备《中华人民共和国政府采购法》第二十二条第一款规定的条件：</w:t>
      </w:r>
    </w:p>
    <w:p w14:paraId="0AF3EA9C">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64723F90">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2、具有良好的商业信誉和健全的财务会计制度； </w:t>
      </w:r>
    </w:p>
    <w:p w14:paraId="7052A1FA">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7C1CE5D1">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1F4B62F9">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5523B5C">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6、具有法律、行政法规规定的其他条件。</w:t>
      </w:r>
    </w:p>
    <w:p w14:paraId="7F75D2E8">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（二）未被信用中国（www.creditchina.gov.cn)、中国政府采购网（www.ccgp.gov.cn）列入失信被执行人、重大税收违法案件当事人名单、政府采购严重违法失信行为记录名单。</w:t>
      </w:r>
    </w:p>
    <w:p w14:paraId="6E466B8E">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（三）不存在以下情况：</w:t>
      </w:r>
    </w:p>
    <w:p w14:paraId="17DFE777">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1、单位负责人为同一人或者存在直接控股、管理关系的不同供应商参加同一合同项下的政府采购活动的；</w:t>
      </w:r>
    </w:p>
    <w:p w14:paraId="73933C76">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2、为采购项目提供整体设计、规范编制或者项目管理、监理、检测等服务后再参加该采购项目的其他采购活动的。</w:t>
      </w:r>
    </w:p>
    <w:p w14:paraId="5FEF3648">
      <w:pPr>
        <w:snapToGrid w:val="0"/>
        <w:spacing w:line="360" w:lineRule="auto"/>
        <w:ind w:firstLine="5520" w:firstLineChars="23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投标人名称(电子签名)：</w:t>
      </w:r>
    </w:p>
    <w:p w14:paraId="16331F12">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 xml:space="preserve">：  年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w:t>
      </w:r>
    </w:p>
    <w:p w14:paraId="24C156A3">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0530433">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E79FC4E">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939F325">
      <w:pPr>
        <w:spacing w:line="360" w:lineRule="auto"/>
        <w:textAlignment w:val="auto"/>
        <w:rPr>
          <w:rFonts w:hint="eastAsia" w:ascii="宋体" w:hAnsi="宋体" w:eastAsia="宋体" w:cs="宋体"/>
          <w:color w:val="auto"/>
          <w:sz w:val="24"/>
          <w:szCs w:val="24"/>
          <w:highlight w:val="none"/>
        </w:rPr>
      </w:pPr>
    </w:p>
    <w:p w14:paraId="6A3817AC">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1E85D71">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9AF29C6">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93141AE">
      <w:pPr>
        <w:widowControl/>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4137A2CE">
      <w:pPr>
        <w:widowControl/>
        <w:spacing w:line="360" w:lineRule="auto"/>
        <w:ind w:firstLine="643" w:firstLineChars="20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2BE5F104">
      <w:pPr>
        <w:widowControl/>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[以联合体形式投标的，提供联合协议（附件5）；本项目不接受联合体投标或者投标人不以联合体形式投标的，则不需要提供）]</w:t>
      </w:r>
    </w:p>
    <w:p w14:paraId="2AB4BC38">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E03DF0C">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183B1CE6">
      <w:pPr>
        <w:snapToGrid w:val="0"/>
        <w:spacing w:line="360" w:lineRule="auto"/>
        <w:ind w:right="48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224F97C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（根据招标公告落实政府采购政策需满足的资格要求选择提供相应的材料；未要求的，无需提供）</w:t>
      </w:r>
    </w:p>
    <w:p w14:paraId="0F6B532A">
      <w:pPr>
        <w:snapToGrid w:val="0"/>
        <w:spacing w:before="50" w:after="50" w:line="360" w:lineRule="auto"/>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A</w:t>
      </w:r>
      <w:r>
        <w:rPr>
          <w:rFonts w:hint="eastAsia" w:ascii="宋体" w:hAnsi="宋体" w:eastAsia="宋体" w:cs="宋体"/>
          <w:color w:val="auto"/>
          <w:sz w:val="24"/>
          <w:szCs w:val="24"/>
          <w:highlight w:val="none"/>
        </w:rPr>
        <w:t xml:space="preserve">.专门面向中小企业，服务全部由符合政策要求的中小企业（或小微企业）承接的，提供相应的中小企业声明函（附件7）。 </w:t>
      </w:r>
    </w:p>
    <w:p w14:paraId="7BC146E5">
      <w:pPr>
        <w:widowControl/>
        <w:spacing w:line="360" w:lineRule="auto"/>
        <w:ind w:firstLine="480"/>
        <w:jc w:val="left"/>
        <w:textAlignment w:val="auto"/>
        <w:rPr>
          <w:rFonts w:hint="eastAsia" w:ascii="宋体" w:hAnsi="宋体" w:eastAsia="宋体" w:cs="宋体"/>
          <w:color w:val="auto"/>
          <w:sz w:val="24"/>
          <w:szCs w:val="24"/>
          <w:highlight w:val="none"/>
        </w:rPr>
      </w:pPr>
    </w:p>
    <w:p w14:paraId="79AC4807">
      <w:pPr>
        <w:widowControl/>
        <w:spacing w:line="360" w:lineRule="auto"/>
        <w:ind w:firstLine="472" w:firstLineChars="196"/>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B.</w:t>
      </w:r>
      <w:r>
        <w:rPr>
          <w:rFonts w:hint="eastAsia" w:ascii="宋体" w:hAnsi="宋体" w:eastAsia="宋体" w:cs="宋体"/>
          <w:color w:val="auto"/>
          <w:sz w:val="24"/>
          <w:szCs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视同符合了资格条件，无需再与其他中小企业组成联合体参加政府采购活动，无需提供联合协议。</w:t>
      </w:r>
    </w:p>
    <w:p w14:paraId="3A34D434">
      <w:pPr>
        <w:snapToGrid w:val="0"/>
        <w:spacing w:before="50" w:after="5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    </w:t>
      </w:r>
    </w:p>
    <w:p w14:paraId="4EAAC007">
      <w:pPr>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C、</w:t>
      </w:r>
      <w:r>
        <w:rPr>
          <w:rFonts w:hint="eastAsia" w:ascii="宋体" w:hAnsi="宋体" w:eastAsia="宋体" w:cs="宋体"/>
          <w:color w:val="auto"/>
          <w:sz w:val="24"/>
          <w:szCs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szCs w:val="24"/>
          <w:highlight w:val="none"/>
        </w:rPr>
        <w:t>并相应达到了前述比例要求，</w:t>
      </w:r>
      <w:r>
        <w:rPr>
          <w:rFonts w:hint="eastAsia" w:ascii="宋体" w:hAnsi="宋体" w:eastAsia="宋体" w:cs="宋体"/>
          <w:color w:val="auto"/>
          <w:sz w:val="24"/>
          <w:szCs w:val="24"/>
          <w:highlight w:val="none"/>
        </w:rPr>
        <w:t>视同符合了资格条件，无需再向中小企业分包，无需提供分包意向协议。</w:t>
      </w:r>
    </w:p>
    <w:p w14:paraId="487F733B">
      <w:pPr>
        <w:widowControl/>
        <w:spacing w:line="360" w:lineRule="auto"/>
        <w:ind w:left="150"/>
        <w:jc w:val="center"/>
        <w:textAlignment w:val="auto"/>
        <w:rPr>
          <w:rFonts w:hint="eastAsia" w:ascii="宋体" w:hAnsi="宋体" w:eastAsia="宋体" w:cs="宋体"/>
          <w:b/>
          <w:color w:val="auto"/>
          <w:kern w:val="0"/>
          <w:sz w:val="24"/>
          <w:szCs w:val="24"/>
          <w:highlight w:val="none"/>
        </w:rPr>
      </w:pPr>
    </w:p>
    <w:p w14:paraId="660A4E96">
      <w:pPr>
        <w:widowControl/>
        <w:spacing w:line="360" w:lineRule="auto"/>
        <w:ind w:left="15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7DF63B5B">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（根据招标公告本项目的特定资格要求提供相应的材料；未要求的，无需提供）</w:t>
      </w:r>
    </w:p>
    <w:p w14:paraId="7AA6C2FA">
      <w:pPr>
        <w:spacing w:line="360" w:lineRule="auto"/>
        <w:textAlignment w:val="auto"/>
        <w:rPr>
          <w:rFonts w:hint="eastAsia" w:ascii="宋体" w:hAnsi="宋体" w:eastAsia="宋体" w:cs="宋体"/>
          <w:color w:val="auto"/>
          <w:sz w:val="24"/>
          <w:szCs w:val="24"/>
          <w:highlight w:val="none"/>
        </w:rPr>
      </w:pPr>
    </w:p>
    <w:p w14:paraId="008438D7">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CAE1A8F">
      <w:pPr>
        <w:widowControl/>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2BF62186">
      <w:pPr>
        <w:spacing w:line="360" w:lineRule="auto"/>
        <w:ind w:right="420"/>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商务技术文件部分</w:t>
      </w:r>
    </w:p>
    <w:p w14:paraId="78F95E76">
      <w:pPr>
        <w:spacing w:line="360" w:lineRule="auto"/>
        <w:jc w:val="center"/>
        <w:textAlignment w:val="auto"/>
        <w:outlineLvl w:val="0"/>
        <w:rPr>
          <w:rFonts w:hint="eastAsia" w:ascii="宋体" w:hAnsi="宋体" w:eastAsia="宋体" w:cs="宋体"/>
          <w:b/>
          <w:color w:val="auto"/>
          <w:kern w:val="0"/>
          <w:sz w:val="24"/>
          <w:szCs w:val="24"/>
          <w:highlight w:val="none"/>
        </w:rPr>
      </w:pPr>
    </w:p>
    <w:p w14:paraId="3BDD8A2A">
      <w:pPr>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目录</w:t>
      </w:r>
    </w:p>
    <w:p w14:paraId="38C8C946">
      <w:pPr>
        <w:numPr>
          <w:ilvl w:val="0"/>
          <w:numId w:val="14"/>
        </w:num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投标函……………………………………………………………………………（页码）</w:t>
      </w:r>
    </w:p>
    <w:p w14:paraId="36FEA313">
      <w:pPr>
        <w:numPr>
          <w:ilvl w:val="0"/>
          <w:numId w:val="14"/>
        </w:num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授权委托书或法定代表人（单位负责人、自然人本人）身份证明…………（页码）</w:t>
      </w:r>
    </w:p>
    <w:p w14:paraId="682EEC01">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（3）分包意向协议……………………………………………………………………（页码）</w:t>
      </w:r>
    </w:p>
    <w:p w14:paraId="37437EA0">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（4）符合性审查资料…………………………………………………………………（页码）</w:t>
      </w:r>
    </w:p>
    <w:p w14:paraId="7F263470">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（5）评标标准相应的商务技术资料…………………………………………………（页码）</w:t>
      </w:r>
    </w:p>
    <w:p w14:paraId="5C0383EF">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（6）投标标的清单……………………………………………………………………（页码）</w:t>
      </w:r>
    </w:p>
    <w:p w14:paraId="5401A683">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（7）商务技术偏离表…………………………………………………………………（页码）</w:t>
      </w:r>
    </w:p>
    <w:p w14:paraId="29D2876C">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r>
        <w:rPr>
          <w:rFonts w:hint="eastAsia" w:ascii="宋体" w:hAnsi="宋体" w:eastAsia="宋体" w:cs="宋体"/>
          <w:color w:val="auto"/>
          <w:sz w:val="24"/>
          <w:szCs w:val="24"/>
          <w:highlight w:val="none"/>
        </w:rPr>
        <w:t>………………………………………………（页码）</w:t>
      </w:r>
    </w:p>
    <w:p w14:paraId="4E779E5D">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247F0F34">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06A758E">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6E568CBE">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5BA0F82D">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710E939F">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73B5B86">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11A01676">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3ADE57F5">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446B1DB4">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44023C49">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579E3800">
      <w:pPr>
        <w:snapToGrid w:val="0"/>
        <w:spacing w:line="360" w:lineRule="auto"/>
        <w:jc w:val="center"/>
        <w:textAlignment w:val="auto"/>
        <w:rPr>
          <w:rFonts w:hint="eastAsia" w:ascii="宋体" w:hAnsi="宋体" w:eastAsia="宋体" w:cs="宋体"/>
          <w:b/>
          <w:color w:val="auto"/>
          <w:kern w:val="0"/>
          <w:sz w:val="24"/>
          <w:szCs w:val="24"/>
          <w:highlight w:val="none"/>
          <w:lang w:val="zh-CN"/>
        </w:rPr>
      </w:pPr>
    </w:p>
    <w:p w14:paraId="18F5F9C5">
      <w:pPr>
        <w:spacing w:line="360" w:lineRule="auto"/>
        <w:textAlignment w:val="auto"/>
        <w:rPr>
          <w:rFonts w:hint="eastAsia" w:ascii="宋体" w:hAnsi="宋体" w:eastAsia="宋体" w:cs="宋体"/>
          <w:b/>
          <w:color w:val="auto"/>
          <w:kern w:val="0"/>
          <w:sz w:val="24"/>
          <w:szCs w:val="24"/>
          <w:highlight w:val="none"/>
          <w:lang w:val="zh-CN"/>
        </w:rPr>
      </w:pPr>
    </w:p>
    <w:p w14:paraId="1D4DC7DF">
      <w:pPr>
        <w:widowControl/>
        <w:adjustRightInd/>
        <w:spacing w:line="360" w:lineRule="auto"/>
        <w:jc w:val="left"/>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br w:type="page"/>
      </w:r>
    </w:p>
    <w:p w14:paraId="586C7F63">
      <w:pPr>
        <w:snapToGrid w:val="0"/>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00DA99C">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杭州临平经济技术开发区管委会</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sz w:val="24"/>
          <w:szCs w:val="24"/>
          <w:highlight w:val="none"/>
        </w:rPr>
        <w:t>：</w:t>
      </w:r>
    </w:p>
    <w:p w14:paraId="3ABE6172">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我方参加你方组织的</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highlight w:val="none"/>
          <w:lang w:eastAsia="zh-CN"/>
        </w:rPr>
        <w:t>HBZFCG-2025-025</w:t>
      </w:r>
      <w:r>
        <w:rPr>
          <w:rFonts w:hint="eastAsia" w:ascii="宋体" w:hAnsi="宋体" w:eastAsia="宋体" w:cs="宋体"/>
          <w:color w:val="auto"/>
          <w:sz w:val="24"/>
          <w:szCs w:val="24"/>
          <w:highlight w:val="none"/>
        </w:rPr>
        <w:t>】招标的有关活动，并对此项目进行投标。为此：</w:t>
      </w:r>
    </w:p>
    <w:p w14:paraId="204AB8F4">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1、我方承诺投标有效期从提交投标文件的截止之日起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天（不少于90天），本投标文件在投标有效期满之前均具有约束力。</w:t>
      </w:r>
    </w:p>
    <w:p w14:paraId="19ED4667">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2、我方的投标文件包括以下内容：</w:t>
      </w:r>
    </w:p>
    <w:p w14:paraId="0BFF8454">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2.1资格文件：</w:t>
      </w:r>
    </w:p>
    <w:p w14:paraId="37BE3E83">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2.1.1承诺函；</w:t>
      </w:r>
    </w:p>
    <w:p w14:paraId="73B65BAD">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r>
        <w:rPr>
          <w:rFonts w:hint="eastAsia" w:ascii="宋体" w:hAnsi="宋体" w:eastAsia="宋体" w:cs="宋体"/>
          <w:snapToGrid w:val="0"/>
          <w:color w:val="auto"/>
          <w:kern w:val="28"/>
          <w:sz w:val="24"/>
          <w:szCs w:val="24"/>
          <w:highlight w:val="none"/>
        </w:rPr>
        <w:t>联合协议</w:t>
      </w:r>
      <w:r>
        <w:rPr>
          <w:rFonts w:hint="eastAsia" w:ascii="宋体" w:hAnsi="宋体" w:eastAsia="宋体" w:cs="宋体"/>
          <w:color w:val="auto"/>
          <w:sz w:val="24"/>
          <w:szCs w:val="24"/>
          <w:highlight w:val="none"/>
        </w:rPr>
        <w:t>（如果有)</w:t>
      </w:r>
      <w:r>
        <w:rPr>
          <w:rFonts w:hint="eastAsia" w:ascii="宋体" w:hAnsi="宋体" w:eastAsia="宋体" w:cs="宋体"/>
          <w:snapToGrid w:val="0"/>
          <w:color w:val="auto"/>
          <w:kern w:val="28"/>
          <w:sz w:val="24"/>
          <w:szCs w:val="24"/>
          <w:highlight w:val="none"/>
        </w:rPr>
        <w:t>；</w:t>
      </w:r>
    </w:p>
    <w:p w14:paraId="638E62E2">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2.1.3落实政府采购政策需满足的资格要求（如果有）；</w:t>
      </w:r>
    </w:p>
    <w:p w14:paraId="221D140D">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2.1.4本项目的特定资格要求（如果有)。</w:t>
      </w:r>
    </w:p>
    <w:p w14:paraId="6297E30F">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rPr>
        <w:t>商务技术</w:t>
      </w:r>
      <w:r>
        <w:rPr>
          <w:rFonts w:hint="eastAsia" w:ascii="宋体" w:hAnsi="宋体" w:eastAsia="宋体" w:cs="宋体"/>
          <w:color w:val="auto"/>
          <w:sz w:val="24"/>
          <w:szCs w:val="24"/>
          <w:highlight w:val="none"/>
          <w:lang w:val="zh-CN"/>
        </w:rPr>
        <w:t>文件：</w:t>
      </w:r>
    </w:p>
    <w:p w14:paraId="27DA6454">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2.2.1投标函；</w:t>
      </w:r>
      <w:r>
        <w:rPr>
          <w:rFonts w:hint="eastAsia" w:ascii="宋体" w:hAnsi="宋体" w:eastAsia="宋体" w:cs="宋体"/>
          <w:color w:val="auto"/>
          <w:sz w:val="24"/>
          <w:szCs w:val="24"/>
          <w:highlight w:val="none"/>
          <w:lang w:val="zh-CN"/>
        </w:rPr>
        <w:t xml:space="preserve"> </w:t>
      </w:r>
    </w:p>
    <w:p w14:paraId="3349D0DA">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2.2.2授权委托书或法定代表人（单位负责人）身份证明；</w:t>
      </w:r>
    </w:p>
    <w:p w14:paraId="1B27D24F">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2.2.3分包意向协议（如果有)；</w:t>
      </w:r>
    </w:p>
    <w:p w14:paraId="1CCB8055">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2.2.4符合性审查资料；</w:t>
      </w:r>
    </w:p>
    <w:p w14:paraId="273CC7AF">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2.2.5评标标准相应的商务技术资料；</w:t>
      </w:r>
    </w:p>
    <w:p w14:paraId="1C7B2600">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2.2.6投标标的清单；</w:t>
      </w:r>
    </w:p>
    <w:p w14:paraId="3650483B">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2.2.7商务技术偏离表；</w:t>
      </w:r>
    </w:p>
    <w:p w14:paraId="1DB8BB24">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政府采购供应商廉洁自律承诺书；</w:t>
      </w:r>
    </w:p>
    <w:p w14:paraId="5D46EE8A">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3报价文件</w:t>
      </w:r>
    </w:p>
    <w:p w14:paraId="585C5D1D">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2.3.1开标一览表（报价表）；</w:t>
      </w:r>
    </w:p>
    <w:p w14:paraId="467D916A">
      <w:pPr>
        <w:snapToGrid w:val="0"/>
        <w:spacing w:line="360" w:lineRule="auto"/>
        <w:ind w:left="420" w:leftChars="2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2.3.2中小企业声明函（如果有）。</w:t>
      </w:r>
    </w:p>
    <w:p w14:paraId="3D588DA8">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3、我方承诺除商务技术偏离表列出的偏离外，我方响应招标文件的全部要求。对投标文件中材料的真实性、合法性负责。</w:t>
      </w:r>
    </w:p>
    <w:p w14:paraId="43185946">
      <w:pPr>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4、如我方中标，我方承诺：</w:t>
      </w:r>
    </w:p>
    <w:p w14:paraId="0104D045">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4.1在收到中标通知书后，在中标通知书规定的期限内与你方签订合同； </w:t>
      </w:r>
    </w:p>
    <w:p w14:paraId="191A64BD">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4.2在签订合同时不向你方提出附加条件； </w:t>
      </w:r>
    </w:p>
    <w:p w14:paraId="3D3AA1C0">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4.3按照招标文件要求提交履约保证金； </w:t>
      </w:r>
    </w:p>
    <w:p w14:paraId="2BCCC77C">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4.4在合同约定的期限内完成合同规定的全部义务。</w:t>
      </w:r>
    </w:p>
    <w:p w14:paraId="2B9525CF">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 </w:t>
      </w:r>
    </w:p>
    <w:p w14:paraId="7B4ADEBE">
      <w:pPr>
        <w:snapToGrid w:val="0"/>
        <w:spacing w:line="360" w:lineRule="auto"/>
        <w:ind w:left="210" w:leftChars="10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、其他补充说明: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EBB4669">
      <w:pPr>
        <w:spacing w:line="360" w:lineRule="auto"/>
        <w:ind w:firstLine="3600" w:firstLineChars="15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投标人名称（电子签名）：                          </w:t>
      </w:r>
    </w:p>
    <w:p w14:paraId="305B5FAC">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26A0971F">
      <w:pPr>
        <w:snapToGrid w:val="0"/>
        <w:spacing w:line="360" w:lineRule="auto"/>
        <w:ind w:left="420" w:leftChars="200" w:firstLine="4200" w:firstLineChars="1750"/>
        <w:textAlignment w:val="auto"/>
        <w:rPr>
          <w:rFonts w:hint="eastAsia" w:ascii="宋体" w:hAnsi="宋体" w:eastAsia="宋体" w:cs="宋体"/>
          <w:color w:val="auto"/>
          <w:kern w:val="0"/>
          <w:sz w:val="24"/>
          <w:szCs w:val="24"/>
          <w:highlight w:val="none"/>
          <w:u w:val="single"/>
        </w:rPr>
      </w:pPr>
    </w:p>
    <w:p w14:paraId="1A880ACD">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15F3CAFE">
      <w:pPr>
        <w:snapToGrid w:val="0"/>
        <w:spacing w:line="360" w:lineRule="auto"/>
        <w:jc w:val="center"/>
        <w:textAlignment w:val="auto"/>
        <w:rPr>
          <w:rFonts w:hint="eastAsia" w:ascii="宋体" w:hAnsi="宋体" w:eastAsia="宋体" w:cs="宋体"/>
          <w:b/>
          <w:color w:val="auto"/>
          <w:kern w:val="0"/>
          <w:sz w:val="24"/>
          <w:szCs w:val="24"/>
          <w:highlight w:val="none"/>
        </w:rPr>
      </w:pPr>
    </w:p>
    <w:p w14:paraId="4E3594A0">
      <w:pPr>
        <w:snapToGrid w:val="0"/>
        <w:spacing w:line="360" w:lineRule="auto"/>
        <w:textAlignment w:val="auto"/>
        <w:rPr>
          <w:rFonts w:hint="eastAsia" w:ascii="宋体" w:hAnsi="宋体" w:eastAsia="宋体" w:cs="宋体"/>
          <w:color w:val="auto"/>
          <w:sz w:val="24"/>
          <w:szCs w:val="24"/>
          <w:highlight w:val="none"/>
        </w:rPr>
      </w:pPr>
    </w:p>
    <w:p w14:paraId="1D8F9182">
      <w:pPr>
        <w:spacing w:line="360" w:lineRule="auto"/>
        <w:jc w:val="center"/>
        <w:textAlignment w:val="auto"/>
        <w:rPr>
          <w:rFonts w:hint="eastAsia" w:ascii="宋体" w:hAnsi="宋体" w:eastAsia="宋体" w:cs="宋体"/>
          <w:b/>
          <w:color w:val="auto"/>
          <w:kern w:val="0"/>
          <w:sz w:val="24"/>
          <w:szCs w:val="24"/>
          <w:highlight w:val="none"/>
        </w:rPr>
      </w:pPr>
    </w:p>
    <w:p w14:paraId="57877A82">
      <w:pPr>
        <w:spacing w:line="360" w:lineRule="auto"/>
        <w:jc w:val="center"/>
        <w:textAlignment w:val="auto"/>
        <w:rPr>
          <w:rFonts w:hint="eastAsia" w:ascii="宋体" w:hAnsi="宋体" w:eastAsia="宋体" w:cs="宋体"/>
          <w:b/>
          <w:color w:val="auto"/>
          <w:kern w:val="0"/>
          <w:sz w:val="24"/>
          <w:szCs w:val="24"/>
          <w:highlight w:val="none"/>
        </w:rPr>
      </w:pPr>
    </w:p>
    <w:p w14:paraId="0C62C14D">
      <w:pPr>
        <w:spacing w:line="360" w:lineRule="auto"/>
        <w:jc w:val="center"/>
        <w:textAlignment w:val="auto"/>
        <w:rPr>
          <w:rFonts w:hint="eastAsia" w:ascii="宋体" w:hAnsi="宋体" w:eastAsia="宋体" w:cs="宋体"/>
          <w:b/>
          <w:color w:val="auto"/>
          <w:kern w:val="0"/>
          <w:sz w:val="24"/>
          <w:szCs w:val="24"/>
          <w:highlight w:val="none"/>
        </w:rPr>
      </w:pPr>
    </w:p>
    <w:p w14:paraId="1D2C4625">
      <w:pPr>
        <w:spacing w:line="360" w:lineRule="auto"/>
        <w:jc w:val="center"/>
        <w:textAlignment w:val="auto"/>
        <w:rPr>
          <w:rFonts w:hint="eastAsia" w:ascii="宋体" w:hAnsi="宋体" w:eastAsia="宋体" w:cs="宋体"/>
          <w:b/>
          <w:color w:val="auto"/>
          <w:kern w:val="0"/>
          <w:sz w:val="24"/>
          <w:szCs w:val="24"/>
          <w:highlight w:val="none"/>
        </w:rPr>
      </w:pPr>
    </w:p>
    <w:p w14:paraId="60F46ABC">
      <w:pPr>
        <w:spacing w:line="360" w:lineRule="auto"/>
        <w:jc w:val="center"/>
        <w:textAlignment w:val="auto"/>
        <w:rPr>
          <w:rFonts w:hint="eastAsia" w:ascii="宋体" w:hAnsi="宋体" w:eastAsia="宋体" w:cs="宋体"/>
          <w:b/>
          <w:color w:val="auto"/>
          <w:kern w:val="0"/>
          <w:sz w:val="24"/>
          <w:szCs w:val="24"/>
          <w:highlight w:val="none"/>
        </w:rPr>
      </w:pPr>
    </w:p>
    <w:p w14:paraId="0646A105">
      <w:pPr>
        <w:spacing w:line="360" w:lineRule="auto"/>
        <w:jc w:val="center"/>
        <w:textAlignment w:val="auto"/>
        <w:rPr>
          <w:rFonts w:hint="eastAsia" w:ascii="宋体" w:hAnsi="宋体" w:eastAsia="宋体" w:cs="宋体"/>
          <w:b/>
          <w:color w:val="auto"/>
          <w:kern w:val="0"/>
          <w:sz w:val="24"/>
          <w:szCs w:val="24"/>
          <w:highlight w:val="none"/>
        </w:rPr>
      </w:pPr>
    </w:p>
    <w:p w14:paraId="37F6AA91">
      <w:pPr>
        <w:spacing w:line="360" w:lineRule="auto"/>
        <w:jc w:val="center"/>
        <w:textAlignment w:val="auto"/>
        <w:rPr>
          <w:rFonts w:hint="eastAsia" w:ascii="宋体" w:hAnsi="宋体" w:eastAsia="宋体" w:cs="宋体"/>
          <w:b/>
          <w:color w:val="auto"/>
          <w:kern w:val="0"/>
          <w:sz w:val="24"/>
          <w:szCs w:val="24"/>
          <w:highlight w:val="none"/>
        </w:rPr>
      </w:pPr>
    </w:p>
    <w:p w14:paraId="4533E617">
      <w:pPr>
        <w:spacing w:line="360" w:lineRule="auto"/>
        <w:jc w:val="center"/>
        <w:textAlignment w:val="auto"/>
        <w:rPr>
          <w:rFonts w:hint="eastAsia" w:ascii="宋体" w:hAnsi="宋体" w:eastAsia="宋体" w:cs="宋体"/>
          <w:b/>
          <w:color w:val="auto"/>
          <w:kern w:val="0"/>
          <w:sz w:val="24"/>
          <w:szCs w:val="24"/>
          <w:highlight w:val="none"/>
        </w:rPr>
      </w:pPr>
    </w:p>
    <w:p w14:paraId="4987D7F4">
      <w:pPr>
        <w:spacing w:line="360" w:lineRule="auto"/>
        <w:jc w:val="center"/>
        <w:textAlignment w:val="auto"/>
        <w:rPr>
          <w:rFonts w:hint="eastAsia" w:ascii="宋体" w:hAnsi="宋体" w:eastAsia="宋体" w:cs="宋体"/>
          <w:b/>
          <w:color w:val="auto"/>
          <w:kern w:val="0"/>
          <w:sz w:val="24"/>
          <w:szCs w:val="24"/>
          <w:highlight w:val="none"/>
        </w:rPr>
      </w:pPr>
    </w:p>
    <w:p w14:paraId="7B412947">
      <w:pPr>
        <w:spacing w:line="360" w:lineRule="auto"/>
        <w:jc w:val="center"/>
        <w:textAlignment w:val="auto"/>
        <w:rPr>
          <w:rFonts w:hint="eastAsia" w:ascii="宋体" w:hAnsi="宋体" w:eastAsia="宋体" w:cs="宋体"/>
          <w:b/>
          <w:color w:val="auto"/>
          <w:kern w:val="0"/>
          <w:sz w:val="24"/>
          <w:szCs w:val="24"/>
          <w:highlight w:val="none"/>
        </w:rPr>
      </w:pPr>
    </w:p>
    <w:p w14:paraId="6F4CBE62">
      <w:pPr>
        <w:spacing w:line="360" w:lineRule="auto"/>
        <w:jc w:val="center"/>
        <w:textAlignment w:val="auto"/>
        <w:rPr>
          <w:rFonts w:hint="eastAsia" w:ascii="宋体" w:hAnsi="宋体" w:eastAsia="宋体" w:cs="宋体"/>
          <w:b/>
          <w:color w:val="auto"/>
          <w:kern w:val="0"/>
          <w:sz w:val="24"/>
          <w:szCs w:val="24"/>
          <w:highlight w:val="none"/>
        </w:rPr>
      </w:pPr>
    </w:p>
    <w:p w14:paraId="54526282">
      <w:pPr>
        <w:spacing w:line="360" w:lineRule="auto"/>
        <w:jc w:val="center"/>
        <w:textAlignment w:val="auto"/>
        <w:rPr>
          <w:rFonts w:hint="eastAsia" w:ascii="宋体" w:hAnsi="宋体" w:eastAsia="宋体" w:cs="宋体"/>
          <w:b/>
          <w:color w:val="auto"/>
          <w:kern w:val="0"/>
          <w:sz w:val="24"/>
          <w:szCs w:val="24"/>
          <w:highlight w:val="none"/>
        </w:rPr>
      </w:pPr>
    </w:p>
    <w:p w14:paraId="128D907B">
      <w:pPr>
        <w:spacing w:line="360" w:lineRule="auto"/>
        <w:jc w:val="center"/>
        <w:textAlignment w:val="auto"/>
        <w:rPr>
          <w:rFonts w:hint="eastAsia" w:ascii="宋体" w:hAnsi="宋体" w:eastAsia="宋体" w:cs="宋体"/>
          <w:b/>
          <w:color w:val="auto"/>
          <w:kern w:val="0"/>
          <w:sz w:val="24"/>
          <w:szCs w:val="24"/>
          <w:highlight w:val="none"/>
        </w:rPr>
      </w:pPr>
    </w:p>
    <w:p w14:paraId="5B75D7DE">
      <w:pPr>
        <w:spacing w:line="360" w:lineRule="auto"/>
        <w:jc w:val="center"/>
        <w:textAlignment w:val="auto"/>
        <w:rPr>
          <w:rFonts w:hint="eastAsia" w:ascii="宋体" w:hAnsi="宋体" w:eastAsia="宋体" w:cs="宋体"/>
          <w:b/>
          <w:color w:val="auto"/>
          <w:kern w:val="0"/>
          <w:sz w:val="24"/>
          <w:szCs w:val="24"/>
          <w:highlight w:val="none"/>
        </w:rPr>
      </w:pPr>
    </w:p>
    <w:p w14:paraId="0C30CC44">
      <w:pPr>
        <w:spacing w:line="360" w:lineRule="auto"/>
        <w:jc w:val="center"/>
        <w:textAlignment w:val="auto"/>
        <w:rPr>
          <w:rFonts w:hint="eastAsia" w:ascii="宋体" w:hAnsi="宋体" w:eastAsia="宋体" w:cs="宋体"/>
          <w:b/>
          <w:color w:val="auto"/>
          <w:kern w:val="0"/>
          <w:sz w:val="24"/>
          <w:szCs w:val="24"/>
          <w:highlight w:val="none"/>
        </w:rPr>
      </w:pPr>
    </w:p>
    <w:p w14:paraId="7072F750">
      <w:pPr>
        <w:spacing w:line="360" w:lineRule="auto"/>
        <w:jc w:val="center"/>
        <w:textAlignment w:val="auto"/>
        <w:rPr>
          <w:rFonts w:hint="eastAsia" w:ascii="宋体" w:hAnsi="宋体" w:eastAsia="宋体" w:cs="宋体"/>
          <w:b/>
          <w:color w:val="auto"/>
          <w:kern w:val="0"/>
          <w:sz w:val="24"/>
          <w:szCs w:val="24"/>
          <w:highlight w:val="none"/>
        </w:rPr>
      </w:pPr>
    </w:p>
    <w:p w14:paraId="41E5932C">
      <w:pPr>
        <w:spacing w:line="360" w:lineRule="auto"/>
        <w:jc w:val="center"/>
        <w:textAlignment w:val="auto"/>
        <w:rPr>
          <w:rFonts w:hint="eastAsia" w:ascii="宋体" w:hAnsi="宋体" w:eastAsia="宋体" w:cs="宋体"/>
          <w:b/>
          <w:color w:val="auto"/>
          <w:kern w:val="0"/>
          <w:sz w:val="24"/>
          <w:szCs w:val="24"/>
          <w:highlight w:val="none"/>
        </w:rPr>
      </w:pPr>
    </w:p>
    <w:p w14:paraId="441BFE5E">
      <w:pPr>
        <w:spacing w:line="360" w:lineRule="auto"/>
        <w:jc w:val="both"/>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5B58812">
      <w:pPr>
        <w:snapToGrid w:val="0"/>
        <w:spacing w:line="360" w:lineRule="auto"/>
        <w:jc w:val="center"/>
        <w:textAlignment w:val="auto"/>
        <w:rPr>
          <w:rFonts w:hint="eastAsia" w:ascii="宋体" w:hAnsi="宋体" w:eastAsia="宋体" w:cs="宋体"/>
          <w:color w:val="auto"/>
          <w:sz w:val="24"/>
          <w:szCs w:val="24"/>
          <w:highlight w:val="none"/>
        </w:rPr>
      </w:pPr>
    </w:p>
    <w:p w14:paraId="117A6949">
      <w:pPr>
        <w:snapToGrid w:val="0"/>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lang w:val="zh-CN"/>
        </w:rPr>
        <w:t>授权委托书（适用于非联合体投标）</w:t>
      </w:r>
    </w:p>
    <w:p w14:paraId="0509D679">
      <w:pPr>
        <w:snapToGrid w:val="0"/>
        <w:spacing w:line="360" w:lineRule="auto"/>
        <w:ind w:firstLine="0" w:firstLineChars="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eastAsia="zh-CN"/>
        </w:rPr>
        <w:t>杭州临平经济技术开发区管委会</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37BF75ED">
      <w:pPr>
        <w:snapToGrid w:val="0"/>
        <w:spacing w:line="360" w:lineRule="auto"/>
        <w:ind w:firstLine="57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w:t>
      </w:r>
      <w:r>
        <w:rPr>
          <w:rFonts w:hint="eastAsia" w:ascii="宋体" w:hAnsi="宋体" w:eastAsia="宋体" w:cs="宋体"/>
          <w:color w:val="auto"/>
          <w:kern w:val="0"/>
          <w:sz w:val="24"/>
          <w:highlight w:val="none"/>
          <w:lang w:val="zh-CN"/>
        </w:rPr>
        <w:t>（身份证号码：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政府采购投标的一切事项，其法律后果由我方承担。</w:t>
      </w:r>
    </w:p>
    <w:p w14:paraId="0772C064">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2238DE62">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498CE7B8">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 xml:space="preserve">                                                 投标人名称(电子签名)：</w:t>
      </w:r>
    </w:p>
    <w:p w14:paraId="6F215810">
      <w:pPr>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签发日期：  年  月   日</w:t>
      </w:r>
    </w:p>
    <w:p w14:paraId="5278B6BA">
      <w:pPr>
        <w:snapToGrid w:val="0"/>
        <w:spacing w:line="360" w:lineRule="auto"/>
        <w:textAlignment w:val="auto"/>
        <w:rPr>
          <w:rFonts w:hint="eastAsia" w:ascii="宋体" w:hAnsi="宋体" w:eastAsia="宋体" w:cs="宋体"/>
          <w:color w:val="auto"/>
          <w:sz w:val="24"/>
          <w:szCs w:val="24"/>
          <w:highlight w:val="none"/>
        </w:rPr>
      </w:pPr>
    </w:p>
    <w:p w14:paraId="0EDA5F8C">
      <w:pPr>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授权委托书（适用于联合体投标）</w:t>
      </w:r>
    </w:p>
    <w:p w14:paraId="6F9A3081">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杭州临平经济技术开发区管委会</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1F91AD4B">
      <w:pPr>
        <w:snapToGrid w:val="0"/>
        <w:spacing w:line="360" w:lineRule="auto"/>
        <w:ind w:firstLine="576"/>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现</w:t>
      </w:r>
      <w:r>
        <w:rPr>
          <w:rFonts w:hint="eastAsia" w:ascii="宋体" w:hAnsi="宋体" w:eastAsia="宋体" w:cs="宋体"/>
          <w:color w:val="auto"/>
          <w:kern w:val="0"/>
          <w:sz w:val="24"/>
          <w:szCs w:val="24"/>
          <w:highlight w:val="none"/>
          <w:lang w:val="zh-CN"/>
        </w:rPr>
        <w:t>委托</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kern w:val="0"/>
          <w:sz w:val="24"/>
          <w:szCs w:val="24"/>
          <w:highlight w:val="none"/>
          <w:lang w:val="zh-CN"/>
        </w:rPr>
        <w:t>（姓名）为我方代理人</w:t>
      </w:r>
      <w:r>
        <w:rPr>
          <w:rFonts w:hint="eastAsia" w:ascii="宋体" w:hAnsi="宋体" w:eastAsia="宋体" w:cs="宋体"/>
          <w:color w:val="auto"/>
          <w:kern w:val="0"/>
          <w:sz w:val="24"/>
          <w:highlight w:val="none"/>
          <w:lang w:val="zh-CN"/>
        </w:rPr>
        <w:t>（身份证号码：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szCs w:val="24"/>
          <w:highlight w:val="none"/>
          <w:lang w:val="zh-CN"/>
        </w:rPr>
        <w:t>，以我方名义处理</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政府采购投标的一切事项，其法律后果由我方承担。</w:t>
      </w:r>
    </w:p>
    <w:p w14:paraId="43AA8027">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委托期限</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自</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日起至</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年</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月</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日止。</w:t>
      </w:r>
    </w:p>
    <w:p w14:paraId="16983074">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val="zh-CN"/>
        </w:rPr>
        <w:t>特此告知。</w:t>
      </w:r>
    </w:p>
    <w:p w14:paraId="5AAD44F0">
      <w:pPr>
        <w:spacing w:line="360" w:lineRule="auto"/>
        <w:jc w:val="center"/>
        <w:textAlignment w:val="auto"/>
        <w:rPr>
          <w:rFonts w:hint="eastAsia" w:ascii="宋体" w:hAnsi="宋体" w:eastAsia="宋体" w:cs="宋体"/>
          <w:b/>
          <w:color w:val="auto"/>
          <w:kern w:val="0"/>
          <w:sz w:val="24"/>
          <w:szCs w:val="24"/>
          <w:highlight w:val="none"/>
        </w:rPr>
      </w:pPr>
    </w:p>
    <w:p w14:paraId="541B5E38">
      <w:pPr>
        <w:spacing w:line="360" w:lineRule="auto"/>
        <w:textAlignment w:val="auto"/>
        <w:rPr>
          <w:rFonts w:hint="eastAsia" w:ascii="宋体" w:hAnsi="宋体" w:eastAsia="宋体" w:cs="宋体"/>
          <w:color w:val="auto"/>
          <w:sz w:val="24"/>
          <w:szCs w:val="24"/>
          <w:highlight w:val="none"/>
        </w:rPr>
      </w:pPr>
    </w:p>
    <w:p w14:paraId="19C6A522">
      <w:pPr>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2ADE983C">
      <w:pPr>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7E0AB6D2">
      <w:pPr>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26533BCF">
      <w:pPr>
        <w:snapToGrid w:val="0"/>
        <w:spacing w:line="360" w:lineRule="auto"/>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2621CF02">
      <w:pPr>
        <w:autoSpaceDE w:val="0"/>
        <w:autoSpaceDN w:val="0"/>
        <w:spacing w:line="360" w:lineRule="auto"/>
        <w:jc w:val="center"/>
        <w:textAlignment w:val="auto"/>
        <w:rPr>
          <w:rFonts w:hint="eastAsia" w:ascii="宋体" w:hAnsi="宋体" w:eastAsia="宋体" w:cs="宋体"/>
          <w:b/>
          <w:color w:val="auto"/>
          <w:kern w:val="0"/>
          <w:sz w:val="24"/>
          <w:szCs w:val="24"/>
          <w:highlight w:val="none"/>
          <w:lang w:val="zh-CN"/>
        </w:rPr>
      </w:pPr>
    </w:p>
    <w:p w14:paraId="14F02F78">
      <w:pPr>
        <w:autoSpaceDE w:val="0"/>
        <w:autoSpaceDN w:val="0"/>
        <w:spacing w:line="360" w:lineRule="auto"/>
        <w:jc w:val="center"/>
        <w:textAlignment w:val="auto"/>
        <w:rPr>
          <w:rFonts w:hint="eastAsia" w:ascii="宋体" w:hAnsi="宋体" w:eastAsia="宋体" w:cs="宋体"/>
          <w:b/>
          <w:color w:val="auto"/>
          <w:kern w:val="0"/>
          <w:sz w:val="24"/>
          <w:szCs w:val="24"/>
          <w:highlight w:val="none"/>
          <w:lang w:val="zh-CN"/>
        </w:rPr>
      </w:pPr>
    </w:p>
    <w:p w14:paraId="1ACF6311">
      <w:pPr>
        <w:autoSpaceDE w:val="0"/>
        <w:autoSpaceDN w:val="0"/>
        <w:spacing w:line="360" w:lineRule="auto"/>
        <w:jc w:val="center"/>
        <w:textAlignment w:val="auto"/>
        <w:rPr>
          <w:rFonts w:hint="eastAsia" w:ascii="宋体" w:hAnsi="宋体" w:eastAsia="宋体" w:cs="宋体"/>
          <w:b/>
          <w:color w:val="auto"/>
          <w:kern w:val="0"/>
          <w:sz w:val="24"/>
          <w:szCs w:val="24"/>
          <w:highlight w:val="none"/>
          <w:lang w:val="zh-CN"/>
        </w:rPr>
      </w:pPr>
    </w:p>
    <w:p w14:paraId="32B132F0">
      <w:pPr>
        <w:autoSpaceDE w:val="0"/>
        <w:autoSpaceDN w:val="0"/>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2"/>
          <w:szCs w:val="32"/>
          <w:highlight w:val="none"/>
        </w:rPr>
        <w:t>的身份证明（适用于法定代表人、单位负责人或者自然人本人代表投标人参加投标）</w:t>
      </w:r>
    </w:p>
    <w:p w14:paraId="3692346E">
      <w:pPr>
        <w:pStyle w:val="92"/>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EB84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2AE79164">
            <w:pPr>
              <w:pStyle w:val="92"/>
              <w:adjustRightIn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正面：                                 反面：</w:t>
            </w:r>
          </w:p>
          <w:p w14:paraId="40EE61A5">
            <w:pPr>
              <w:pStyle w:val="92"/>
              <w:adjustRightInd w:val="0"/>
              <w:spacing w:line="360" w:lineRule="auto"/>
              <w:textAlignment w:val="auto"/>
              <w:rPr>
                <w:rFonts w:hint="eastAsia" w:ascii="宋体" w:hAnsi="宋体" w:eastAsia="宋体" w:cs="宋体"/>
                <w:bCs/>
                <w:color w:val="auto"/>
                <w:sz w:val="24"/>
                <w:szCs w:val="24"/>
                <w:highlight w:val="none"/>
              </w:rPr>
            </w:pPr>
          </w:p>
        </w:tc>
      </w:tr>
    </w:tbl>
    <w:p w14:paraId="65594C26">
      <w:pPr>
        <w:snapToGrid w:val="0"/>
        <w:spacing w:line="360" w:lineRule="auto"/>
        <w:ind w:firstLine="576"/>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4AF5FC39">
      <w:pPr>
        <w:snapToGrid w:val="0"/>
        <w:spacing w:line="360" w:lineRule="auto"/>
        <w:ind w:firstLine="576"/>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投标人名称(电子签名)：                              </w:t>
      </w:r>
    </w:p>
    <w:p w14:paraId="2A82BB6E">
      <w:pPr>
        <w:spacing w:line="360" w:lineRule="auto"/>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32BFE5D8">
      <w:pPr>
        <w:spacing w:line="360" w:lineRule="auto"/>
        <w:jc w:val="center"/>
        <w:textAlignment w:val="auto"/>
        <w:rPr>
          <w:rFonts w:hint="eastAsia" w:ascii="宋体" w:hAnsi="宋体" w:eastAsia="宋体" w:cs="宋体"/>
          <w:b/>
          <w:color w:val="auto"/>
          <w:kern w:val="0"/>
          <w:sz w:val="24"/>
          <w:szCs w:val="24"/>
          <w:highlight w:val="none"/>
        </w:rPr>
      </w:pPr>
    </w:p>
    <w:p w14:paraId="6C36AEEF">
      <w:pPr>
        <w:spacing w:line="360" w:lineRule="auto"/>
        <w:jc w:val="center"/>
        <w:textAlignment w:val="auto"/>
        <w:rPr>
          <w:rFonts w:hint="eastAsia" w:ascii="宋体" w:hAnsi="宋体" w:eastAsia="宋体" w:cs="宋体"/>
          <w:b/>
          <w:color w:val="auto"/>
          <w:kern w:val="0"/>
          <w:sz w:val="24"/>
          <w:szCs w:val="24"/>
          <w:highlight w:val="none"/>
        </w:rPr>
      </w:pPr>
    </w:p>
    <w:p w14:paraId="05C99879">
      <w:pPr>
        <w:spacing w:line="360" w:lineRule="auto"/>
        <w:jc w:val="center"/>
        <w:textAlignment w:val="auto"/>
        <w:rPr>
          <w:rFonts w:hint="eastAsia" w:ascii="宋体" w:hAnsi="宋体" w:eastAsia="宋体" w:cs="宋体"/>
          <w:b/>
          <w:color w:val="auto"/>
          <w:kern w:val="0"/>
          <w:sz w:val="24"/>
          <w:szCs w:val="24"/>
          <w:highlight w:val="none"/>
        </w:rPr>
      </w:pPr>
    </w:p>
    <w:p w14:paraId="0A460979">
      <w:pPr>
        <w:spacing w:line="360" w:lineRule="auto"/>
        <w:jc w:val="center"/>
        <w:textAlignment w:val="auto"/>
        <w:rPr>
          <w:rFonts w:hint="eastAsia" w:ascii="宋体" w:hAnsi="宋体" w:eastAsia="宋体" w:cs="宋体"/>
          <w:b/>
          <w:color w:val="auto"/>
          <w:kern w:val="0"/>
          <w:sz w:val="24"/>
          <w:szCs w:val="24"/>
          <w:highlight w:val="none"/>
        </w:rPr>
      </w:pPr>
    </w:p>
    <w:p w14:paraId="16F1A788">
      <w:pPr>
        <w:spacing w:line="360" w:lineRule="auto"/>
        <w:jc w:val="center"/>
        <w:textAlignment w:val="auto"/>
        <w:rPr>
          <w:rFonts w:hint="eastAsia" w:ascii="宋体" w:hAnsi="宋体" w:eastAsia="宋体" w:cs="宋体"/>
          <w:b/>
          <w:color w:val="auto"/>
          <w:kern w:val="0"/>
          <w:sz w:val="24"/>
          <w:szCs w:val="24"/>
          <w:highlight w:val="none"/>
        </w:rPr>
      </w:pPr>
    </w:p>
    <w:p w14:paraId="0C4F9C48">
      <w:pPr>
        <w:spacing w:line="360" w:lineRule="auto"/>
        <w:jc w:val="center"/>
        <w:textAlignment w:val="auto"/>
        <w:rPr>
          <w:rFonts w:hint="eastAsia" w:ascii="宋体" w:hAnsi="宋体" w:eastAsia="宋体" w:cs="宋体"/>
          <w:b/>
          <w:color w:val="auto"/>
          <w:kern w:val="0"/>
          <w:sz w:val="24"/>
          <w:szCs w:val="24"/>
          <w:highlight w:val="none"/>
        </w:rPr>
      </w:pPr>
    </w:p>
    <w:p w14:paraId="75BAB8BE">
      <w:pPr>
        <w:spacing w:line="360" w:lineRule="auto"/>
        <w:jc w:val="center"/>
        <w:textAlignment w:val="auto"/>
        <w:rPr>
          <w:rFonts w:hint="eastAsia" w:ascii="宋体" w:hAnsi="宋体" w:eastAsia="宋体" w:cs="宋体"/>
          <w:b/>
          <w:color w:val="auto"/>
          <w:kern w:val="0"/>
          <w:sz w:val="24"/>
          <w:szCs w:val="24"/>
          <w:highlight w:val="none"/>
        </w:rPr>
      </w:pPr>
    </w:p>
    <w:p w14:paraId="77B7F0F2">
      <w:pPr>
        <w:spacing w:line="360" w:lineRule="auto"/>
        <w:jc w:val="center"/>
        <w:textAlignment w:val="auto"/>
        <w:rPr>
          <w:rFonts w:hint="eastAsia" w:ascii="宋体" w:hAnsi="宋体" w:eastAsia="宋体" w:cs="宋体"/>
          <w:b/>
          <w:color w:val="auto"/>
          <w:kern w:val="0"/>
          <w:sz w:val="24"/>
          <w:szCs w:val="24"/>
          <w:highlight w:val="none"/>
        </w:rPr>
      </w:pPr>
    </w:p>
    <w:p w14:paraId="6109EC54">
      <w:pPr>
        <w:spacing w:line="360" w:lineRule="auto"/>
        <w:jc w:val="center"/>
        <w:textAlignment w:val="auto"/>
        <w:rPr>
          <w:rFonts w:hint="eastAsia" w:ascii="宋体" w:hAnsi="宋体" w:eastAsia="宋体" w:cs="宋体"/>
          <w:b/>
          <w:color w:val="auto"/>
          <w:kern w:val="0"/>
          <w:sz w:val="24"/>
          <w:szCs w:val="24"/>
          <w:highlight w:val="none"/>
        </w:rPr>
      </w:pPr>
    </w:p>
    <w:p w14:paraId="623BDF1A">
      <w:pPr>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FCEC41D">
      <w:pPr>
        <w:widowControl/>
        <w:spacing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szCs w:val="24"/>
          <w:highlight w:val="none"/>
        </w:rPr>
        <w:t>]</w:t>
      </w:r>
    </w:p>
    <w:p w14:paraId="6A294E47">
      <w:pPr>
        <w:snapToGrid w:val="0"/>
        <w:spacing w:line="360" w:lineRule="auto"/>
        <w:textAlignment w:val="auto"/>
        <w:rPr>
          <w:rFonts w:hint="eastAsia" w:ascii="宋体" w:hAnsi="宋体" w:eastAsia="宋体" w:cs="宋体"/>
          <w:color w:val="auto"/>
          <w:kern w:val="0"/>
          <w:sz w:val="24"/>
          <w:szCs w:val="24"/>
          <w:highlight w:val="none"/>
        </w:rPr>
      </w:pPr>
    </w:p>
    <w:p w14:paraId="038DA519">
      <w:pPr>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5BCEBA56">
      <w:pPr>
        <w:spacing w:line="360" w:lineRule="auto"/>
        <w:jc w:val="center"/>
        <w:textAlignment w:val="auto"/>
        <w:rPr>
          <w:rFonts w:hint="eastAsia" w:ascii="宋体" w:hAnsi="宋体" w:eastAsia="宋体" w:cs="宋体"/>
          <w:b/>
          <w:color w:val="auto"/>
          <w:kern w:val="0"/>
          <w:sz w:val="24"/>
          <w:szCs w:val="24"/>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65C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B96A3D">
            <w:pPr>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4991" w:type="dxa"/>
            <w:vAlign w:val="center"/>
          </w:tcPr>
          <w:p w14:paraId="341BA0B9">
            <w:pPr>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实质性要求</w:t>
            </w:r>
          </w:p>
        </w:tc>
        <w:tc>
          <w:tcPr>
            <w:tcW w:w="2551" w:type="dxa"/>
            <w:vAlign w:val="center"/>
          </w:tcPr>
          <w:p w14:paraId="37E71933">
            <w:pPr>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需要提供的符合性审查资料</w:t>
            </w:r>
          </w:p>
        </w:tc>
        <w:tc>
          <w:tcPr>
            <w:tcW w:w="1418" w:type="dxa"/>
            <w:vAlign w:val="center"/>
          </w:tcPr>
          <w:p w14:paraId="70D5E5C9">
            <w:pPr>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投标文件中的</w:t>
            </w:r>
          </w:p>
          <w:p w14:paraId="2EFEA9B7">
            <w:pPr>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页码位置</w:t>
            </w:r>
          </w:p>
        </w:tc>
      </w:tr>
      <w:tr w14:paraId="0529E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57782AB">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4991" w:type="dxa"/>
            <w:vAlign w:val="center"/>
          </w:tcPr>
          <w:p w14:paraId="387ACE9B">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投标文件按照招标文件要求签署、盖章。</w:t>
            </w:r>
          </w:p>
        </w:tc>
        <w:tc>
          <w:tcPr>
            <w:tcW w:w="2551" w:type="dxa"/>
            <w:vAlign w:val="center"/>
          </w:tcPr>
          <w:p w14:paraId="48F13DDC">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需要使用电子签名或者签字盖章的投标文件的组成部分</w:t>
            </w:r>
          </w:p>
        </w:tc>
        <w:tc>
          <w:tcPr>
            <w:tcW w:w="1418" w:type="dxa"/>
            <w:vAlign w:val="center"/>
          </w:tcPr>
          <w:p w14:paraId="717C3E8B">
            <w:pPr>
              <w:spacing w:line="360" w:lineRule="auto"/>
              <w:jc w:val="center"/>
              <w:textAlignment w:val="auto"/>
              <w:rPr>
                <w:rFonts w:hint="eastAsia" w:ascii="宋体" w:hAnsi="宋体" w:eastAsia="宋体" w:cs="宋体"/>
                <w:color w:val="auto"/>
                <w:sz w:val="24"/>
                <w:szCs w:val="24"/>
                <w:highlight w:val="none"/>
              </w:rPr>
            </w:pPr>
          </w:p>
          <w:p w14:paraId="2ECF425B">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w:t>
            </w:r>
          </w:p>
          <w:p w14:paraId="57624CF7">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5CBBB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8D8C7E">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4991" w:type="dxa"/>
            <w:vAlign w:val="center"/>
          </w:tcPr>
          <w:p w14:paraId="6D77247C">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投标文件中承诺的投标有效期不少于招标文件中载明的投标有效期。</w:t>
            </w:r>
          </w:p>
        </w:tc>
        <w:tc>
          <w:tcPr>
            <w:tcW w:w="2551" w:type="dxa"/>
            <w:vAlign w:val="center"/>
          </w:tcPr>
          <w:p w14:paraId="69D84A72">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投标函</w:t>
            </w:r>
          </w:p>
        </w:tc>
        <w:tc>
          <w:tcPr>
            <w:tcW w:w="1418" w:type="dxa"/>
            <w:vAlign w:val="center"/>
          </w:tcPr>
          <w:p w14:paraId="664022A8">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r w14:paraId="43AFB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443B13">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4991" w:type="dxa"/>
            <w:vAlign w:val="center"/>
          </w:tcPr>
          <w:p w14:paraId="3B7E6586">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投标文件满足招标文件的其它实质性要求。</w:t>
            </w:r>
          </w:p>
        </w:tc>
        <w:tc>
          <w:tcPr>
            <w:tcW w:w="2551" w:type="dxa"/>
            <w:vAlign w:val="center"/>
          </w:tcPr>
          <w:p w14:paraId="3044F43D">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招标文件其它实质性要求相应的材料（“▲” 系指实质性要求条款，招标文件无其它实质性要求的，无需提供）</w:t>
            </w:r>
          </w:p>
        </w:tc>
        <w:tc>
          <w:tcPr>
            <w:tcW w:w="1418" w:type="dxa"/>
            <w:vAlign w:val="center"/>
          </w:tcPr>
          <w:p w14:paraId="79E9086B">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见投标文件第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页</w:t>
            </w:r>
          </w:p>
        </w:tc>
      </w:tr>
    </w:tbl>
    <w:p w14:paraId="6A97B283">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注：1.按本格式和要求提供。</w:t>
      </w:r>
    </w:p>
    <w:p w14:paraId="15CDEED6">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2、招标文件中实质性要求必须明确响应。</w:t>
      </w:r>
    </w:p>
    <w:p w14:paraId="36869D35">
      <w:pPr>
        <w:spacing w:line="360" w:lineRule="auto"/>
        <w:jc w:val="center"/>
        <w:textAlignment w:val="auto"/>
        <w:rPr>
          <w:rFonts w:hint="eastAsia" w:ascii="宋体" w:hAnsi="宋体" w:eastAsia="宋体" w:cs="宋体"/>
          <w:b/>
          <w:color w:val="auto"/>
          <w:kern w:val="0"/>
          <w:sz w:val="24"/>
          <w:szCs w:val="24"/>
          <w:highlight w:val="none"/>
        </w:rPr>
      </w:pPr>
    </w:p>
    <w:p w14:paraId="4D4FAFE6">
      <w:pPr>
        <w:spacing w:line="360" w:lineRule="auto"/>
        <w:jc w:val="center"/>
        <w:textAlignment w:val="auto"/>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 xml:space="preserve">            </w:t>
      </w:r>
    </w:p>
    <w:p w14:paraId="288A1894">
      <w:pPr>
        <w:spacing w:line="360" w:lineRule="auto"/>
        <w:jc w:val="center"/>
        <w:textAlignment w:val="auto"/>
        <w:rPr>
          <w:rFonts w:hint="eastAsia" w:ascii="宋体" w:hAnsi="宋体" w:eastAsia="宋体" w:cs="宋体"/>
          <w:b/>
          <w:color w:val="auto"/>
          <w:kern w:val="0"/>
          <w:sz w:val="24"/>
          <w:szCs w:val="24"/>
          <w:highlight w:val="none"/>
        </w:rPr>
      </w:pPr>
    </w:p>
    <w:p w14:paraId="48B1137D">
      <w:pPr>
        <w:spacing w:line="240" w:lineRule="auto"/>
        <w:jc w:val="left"/>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58C13E9">
      <w:pPr>
        <w:spacing w:line="360" w:lineRule="auto"/>
        <w:jc w:val="center"/>
        <w:textAlignment w:val="auto"/>
        <w:rPr>
          <w:rFonts w:hint="eastAsia" w:ascii="宋体" w:hAnsi="宋体" w:eastAsia="宋体" w:cs="宋体"/>
          <w:color w:val="auto"/>
          <w:sz w:val="32"/>
          <w:szCs w:val="32"/>
          <w:highlight w:val="none"/>
        </w:rPr>
      </w:pPr>
      <w:r>
        <w:rPr>
          <w:rFonts w:hint="eastAsia" w:ascii="宋体" w:hAnsi="宋体" w:eastAsia="宋体" w:cs="宋体"/>
          <w:b/>
          <w:color w:val="auto"/>
          <w:kern w:val="0"/>
          <w:sz w:val="32"/>
          <w:szCs w:val="32"/>
          <w:highlight w:val="none"/>
        </w:rPr>
        <w:t>五、评标标准相应的商务技术资料</w:t>
      </w:r>
    </w:p>
    <w:p w14:paraId="531459B8">
      <w:pPr>
        <w:snapToGrid w:val="0"/>
        <w:spacing w:line="360" w:lineRule="auto"/>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95EE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9127F0E">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vAlign w:val="top"/>
          </w:tcPr>
          <w:p w14:paraId="53E6EE00">
            <w:pPr>
              <w:snapToGrid w:val="0"/>
              <w:spacing w:line="36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投标文件中评标标准相应的商务技术资料目录*</w:t>
            </w:r>
          </w:p>
        </w:tc>
        <w:tc>
          <w:tcPr>
            <w:tcW w:w="3046" w:type="dxa"/>
            <w:vAlign w:val="top"/>
          </w:tcPr>
          <w:p w14:paraId="2B3D1200">
            <w:pPr>
              <w:snapToGrid w:val="0"/>
              <w:spacing w:line="240" w:lineRule="atLeast"/>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投标文件中的页码位置</w:t>
            </w:r>
          </w:p>
        </w:tc>
      </w:tr>
      <w:tr w14:paraId="5FAC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791AF2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w:t>
            </w:r>
          </w:p>
        </w:tc>
        <w:tc>
          <w:tcPr>
            <w:tcW w:w="5465" w:type="dxa"/>
            <w:vAlign w:val="top"/>
          </w:tcPr>
          <w:p w14:paraId="59393A9B">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XXX（预先填写）</w:t>
            </w:r>
          </w:p>
        </w:tc>
        <w:tc>
          <w:tcPr>
            <w:tcW w:w="3046" w:type="dxa"/>
            <w:vAlign w:val="top"/>
          </w:tcPr>
          <w:p w14:paraId="34D9C78C">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7D25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6A8D8D15">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w:t>
            </w:r>
          </w:p>
        </w:tc>
        <w:tc>
          <w:tcPr>
            <w:tcW w:w="5465" w:type="dxa"/>
            <w:vAlign w:val="top"/>
          </w:tcPr>
          <w:p w14:paraId="63E7A258">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XXX</w:t>
            </w:r>
          </w:p>
        </w:tc>
        <w:tc>
          <w:tcPr>
            <w:tcW w:w="3046" w:type="dxa"/>
            <w:vAlign w:val="top"/>
          </w:tcPr>
          <w:p w14:paraId="3446C128">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29305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1536DC03">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color w:val="auto"/>
                <w:kern w:val="0"/>
                <w:sz w:val="24"/>
                <w:highlight w:val="none"/>
              </w:rPr>
              <w:t>……</w:t>
            </w:r>
          </w:p>
        </w:tc>
        <w:tc>
          <w:tcPr>
            <w:tcW w:w="5465" w:type="dxa"/>
            <w:vAlign w:val="top"/>
          </w:tcPr>
          <w:p w14:paraId="6E904625">
            <w:pPr>
              <w:snapToGrid w:val="0"/>
              <w:spacing w:line="360" w:lineRule="auto"/>
              <w:jc w:val="center"/>
              <w:rPr>
                <w:rFonts w:hint="eastAsia" w:ascii="宋体" w:hAnsi="宋体" w:eastAsia="宋体" w:cs="宋体"/>
                <w:b w:val="0"/>
                <w:bCs/>
                <w:color w:val="auto"/>
                <w:sz w:val="24"/>
                <w:highlight w:val="none"/>
              </w:rPr>
            </w:pPr>
          </w:p>
        </w:tc>
        <w:tc>
          <w:tcPr>
            <w:tcW w:w="3046" w:type="dxa"/>
            <w:vAlign w:val="top"/>
          </w:tcPr>
          <w:p w14:paraId="6795DA04">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5DFD2C25">
      <w:pPr>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10133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B2B9D19">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54B15C0">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162117F5">
            <w:pPr>
              <w:spacing w:line="360" w:lineRule="auto"/>
              <w:jc w:val="center"/>
              <w:textAlignment w:val="auto"/>
              <w:rPr>
                <w:rFonts w:hint="eastAsia" w:ascii="宋体" w:hAnsi="宋体" w:eastAsia="宋体" w:cs="宋体"/>
                <w:b/>
                <w:color w:val="auto"/>
                <w:sz w:val="24"/>
                <w:szCs w:val="24"/>
                <w:highlight w:val="none"/>
              </w:rPr>
            </w:pPr>
          </w:p>
          <w:p w14:paraId="5EF174EA">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FF165DA">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5B561ECB">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8D963BC">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252C9C75">
            <w:pPr>
              <w:spacing w:line="360" w:lineRule="auto"/>
              <w:jc w:val="center"/>
              <w:textAlignment w:val="auto"/>
              <w:rPr>
                <w:rFonts w:hint="eastAsia" w:ascii="宋体" w:hAnsi="宋体" w:eastAsia="宋体" w:cs="宋体"/>
                <w:b/>
                <w:color w:val="auto"/>
                <w:sz w:val="24"/>
                <w:szCs w:val="24"/>
                <w:highlight w:val="none"/>
              </w:rPr>
            </w:pPr>
          </w:p>
          <w:p w14:paraId="0E0E884B">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686AC5F9">
            <w:pPr>
              <w:spacing w:line="360" w:lineRule="auto"/>
              <w:jc w:val="center"/>
              <w:textAlignment w:val="auto"/>
              <w:rPr>
                <w:rFonts w:hint="eastAsia" w:ascii="宋体" w:hAnsi="宋体" w:eastAsia="宋体" w:cs="宋体"/>
                <w:b/>
                <w:color w:val="auto"/>
                <w:sz w:val="24"/>
                <w:szCs w:val="24"/>
                <w:highlight w:val="none"/>
              </w:rPr>
            </w:pPr>
          </w:p>
        </w:tc>
      </w:tr>
      <w:tr w14:paraId="61E71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A2F247D">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top"/>
          </w:tcPr>
          <w:p w14:paraId="2F46054F">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2A73E9F8">
            <w:pPr>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3DF7A51">
            <w:pPr>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A17D282">
            <w:pPr>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257DA836">
            <w:pPr>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59321D1E">
            <w:pPr>
              <w:spacing w:line="360" w:lineRule="auto"/>
              <w:jc w:val="center"/>
              <w:textAlignment w:val="auto"/>
              <w:rPr>
                <w:rFonts w:hint="eastAsia" w:ascii="宋体" w:hAnsi="宋体" w:eastAsia="宋体" w:cs="宋体"/>
                <w:color w:val="auto"/>
                <w:sz w:val="24"/>
                <w:szCs w:val="24"/>
                <w:highlight w:val="none"/>
              </w:rPr>
            </w:pPr>
          </w:p>
        </w:tc>
      </w:tr>
      <w:tr w14:paraId="53C7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EF1FC71">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top"/>
          </w:tcPr>
          <w:p w14:paraId="564A2145">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b w:val="0"/>
                <w:bCs/>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42B6A75F">
            <w:pPr>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FFBF2A">
            <w:pPr>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AE2D44B">
            <w:pPr>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7ED06A7">
            <w:pPr>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EDE57B">
            <w:pPr>
              <w:spacing w:line="360" w:lineRule="auto"/>
              <w:jc w:val="center"/>
              <w:textAlignment w:val="auto"/>
              <w:rPr>
                <w:rFonts w:hint="eastAsia" w:ascii="宋体" w:hAnsi="宋体" w:eastAsia="宋体" w:cs="宋体"/>
                <w:color w:val="auto"/>
                <w:sz w:val="24"/>
                <w:szCs w:val="24"/>
                <w:highlight w:val="none"/>
              </w:rPr>
            </w:pPr>
          </w:p>
        </w:tc>
      </w:tr>
      <w:tr w14:paraId="50422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74C11DD">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F31CB59">
            <w:pPr>
              <w:snapToGrid w:val="0"/>
              <w:spacing w:line="360" w:lineRule="auto"/>
              <w:jc w:val="center"/>
              <w:textAlignment w:val="auto"/>
              <w:rPr>
                <w:rFonts w:hint="eastAsia" w:ascii="宋体" w:hAnsi="宋体" w:eastAsia="宋体" w:cs="宋体"/>
                <w:color w:val="auto"/>
                <w:sz w:val="24"/>
                <w:szCs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06E2E1F4">
            <w:pPr>
              <w:snapToGrid w:val="0"/>
              <w:spacing w:line="360" w:lineRule="auto"/>
              <w:jc w:val="center"/>
              <w:textAlignment w:val="auto"/>
              <w:rPr>
                <w:rFonts w:hint="eastAsia" w:ascii="宋体" w:hAnsi="宋体" w:eastAsia="宋体" w:cs="宋体"/>
                <w:color w:val="auto"/>
                <w:sz w:val="24"/>
                <w:szCs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F7CD1D">
            <w:pPr>
              <w:snapToGrid w:val="0"/>
              <w:spacing w:line="360" w:lineRule="auto"/>
              <w:jc w:val="center"/>
              <w:textAlignment w:val="auto"/>
              <w:rPr>
                <w:rFonts w:hint="eastAsia" w:ascii="宋体" w:hAnsi="宋体" w:eastAsia="宋体" w:cs="宋体"/>
                <w:color w:val="auto"/>
                <w:sz w:val="24"/>
                <w:szCs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54B4DC">
            <w:pPr>
              <w:spacing w:line="360" w:lineRule="auto"/>
              <w:jc w:val="center"/>
              <w:textAlignment w:val="auto"/>
              <w:rPr>
                <w:rFonts w:hint="eastAsia" w:ascii="宋体" w:hAnsi="宋体" w:eastAsia="宋体" w:cs="宋体"/>
                <w:color w:val="auto"/>
                <w:sz w:val="24"/>
                <w:szCs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7F449DC3">
            <w:pPr>
              <w:spacing w:line="360" w:lineRule="auto"/>
              <w:jc w:val="center"/>
              <w:textAlignment w:val="auto"/>
              <w:rPr>
                <w:rFonts w:hint="eastAsia" w:ascii="宋体" w:hAnsi="宋体" w:eastAsia="宋体" w:cs="宋体"/>
                <w:color w:val="auto"/>
                <w:sz w:val="24"/>
                <w:szCs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3EAA2B7B">
            <w:pPr>
              <w:spacing w:line="360" w:lineRule="auto"/>
              <w:jc w:val="center"/>
              <w:textAlignment w:val="auto"/>
              <w:rPr>
                <w:rFonts w:hint="eastAsia" w:ascii="宋体" w:hAnsi="宋体" w:eastAsia="宋体" w:cs="宋体"/>
                <w:color w:val="auto"/>
                <w:sz w:val="24"/>
                <w:szCs w:val="24"/>
                <w:highlight w:val="none"/>
              </w:rPr>
            </w:pPr>
          </w:p>
        </w:tc>
      </w:tr>
    </w:tbl>
    <w:p w14:paraId="5A8663AC">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62F89CA2">
      <w:pPr>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0BA8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128DA432">
            <w:pPr>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683" w:type="dxa"/>
            <w:tcBorders>
              <w:top w:val="single" w:color="auto" w:sz="4" w:space="0"/>
              <w:left w:val="single" w:color="auto" w:sz="4" w:space="0"/>
              <w:bottom w:val="single" w:color="auto" w:sz="4" w:space="0"/>
              <w:right w:val="single" w:color="auto" w:sz="4" w:space="0"/>
            </w:tcBorders>
            <w:vAlign w:val="top"/>
          </w:tcPr>
          <w:p w14:paraId="195F3B26">
            <w:pPr>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招标文件章节及具体内容</w:t>
            </w:r>
          </w:p>
        </w:tc>
        <w:tc>
          <w:tcPr>
            <w:tcW w:w="3546" w:type="dxa"/>
            <w:tcBorders>
              <w:top w:val="single" w:color="auto" w:sz="4" w:space="0"/>
              <w:left w:val="single" w:color="auto" w:sz="4" w:space="0"/>
              <w:bottom w:val="single" w:color="auto" w:sz="4" w:space="0"/>
              <w:right w:val="single" w:color="auto" w:sz="4" w:space="0"/>
            </w:tcBorders>
            <w:vAlign w:val="top"/>
          </w:tcPr>
          <w:p w14:paraId="39FD7BC4">
            <w:pPr>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投标文件章节及具体内容</w:t>
            </w:r>
          </w:p>
        </w:tc>
        <w:tc>
          <w:tcPr>
            <w:tcW w:w="1276" w:type="dxa"/>
            <w:tcBorders>
              <w:top w:val="single" w:color="auto" w:sz="4" w:space="0"/>
              <w:left w:val="single" w:color="auto" w:sz="4" w:space="0"/>
              <w:bottom w:val="single" w:color="auto" w:sz="4" w:space="0"/>
              <w:right w:val="single" w:color="auto" w:sz="4" w:space="0"/>
            </w:tcBorders>
            <w:vAlign w:val="top"/>
          </w:tcPr>
          <w:p w14:paraId="296B4110">
            <w:pPr>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偏离说明</w:t>
            </w:r>
          </w:p>
        </w:tc>
      </w:tr>
      <w:tr w14:paraId="0FBA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7B44FF73">
            <w:pPr>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3683" w:type="dxa"/>
            <w:tcBorders>
              <w:top w:val="single" w:color="auto" w:sz="4" w:space="0"/>
              <w:left w:val="single" w:color="auto" w:sz="4" w:space="0"/>
              <w:bottom w:val="single" w:color="auto" w:sz="4" w:space="0"/>
              <w:right w:val="single" w:color="auto" w:sz="4" w:space="0"/>
            </w:tcBorders>
            <w:vAlign w:val="top"/>
          </w:tcPr>
          <w:p w14:paraId="7435DFB8">
            <w:pPr>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15AD762F">
            <w:pPr>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0FD4C4D8">
            <w:pPr>
              <w:spacing w:line="360" w:lineRule="auto"/>
              <w:jc w:val="center"/>
              <w:textAlignment w:val="auto"/>
              <w:rPr>
                <w:rFonts w:hint="eastAsia" w:ascii="宋体" w:hAnsi="宋体" w:eastAsia="宋体" w:cs="宋体"/>
                <w:b/>
                <w:color w:val="auto"/>
                <w:kern w:val="0"/>
                <w:sz w:val="24"/>
                <w:szCs w:val="24"/>
                <w:highlight w:val="none"/>
              </w:rPr>
            </w:pPr>
          </w:p>
        </w:tc>
      </w:tr>
      <w:tr w14:paraId="300CD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421C7CD2">
            <w:pPr>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3683" w:type="dxa"/>
            <w:tcBorders>
              <w:top w:val="single" w:color="auto" w:sz="4" w:space="0"/>
              <w:left w:val="single" w:color="auto" w:sz="4" w:space="0"/>
              <w:bottom w:val="single" w:color="auto" w:sz="4" w:space="0"/>
              <w:right w:val="single" w:color="auto" w:sz="4" w:space="0"/>
            </w:tcBorders>
            <w:vAlign w:val="top"/>
          </w:tcPr>
          <w:p w14:paraId="46D3AEAB">
            <w:pPr>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577ED399">
            <w:pPr>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0EB36C1A">
            <w:pPr>
              <w:spacing w:line="360" w:lineRule="auto"/>
              <w:jc w:val="center"/>
              <w:textAlignment w:val="auto"/>
              <w:rPr>
                <w:rFonts w:hint="eastAsia" w:ascii="宋体" w:hAnsi="宋体" w:eastAsia="宋体" w:cs="宋体"/>
                <w:b/>
                <w:color w:val="auto"/>
                <w:kern w:val="0"/>
                <w:sz w:val="24"/>
                <w:szCs w:val="24"/>
                <w:highlight w:val="none"/>
              </w:rPr>
            </w:pPr>
          </w:p>
        </w:tc>
      </w:tr>
      <w:tr w14:paraId="5B8E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Borders>
              <w:top w:val="single" w:color="auto" w:sz="4" w:space="0"/>
              <w:left w:val="single" w:color="auto" w:sz="4" w:space="0"/>
              <w:bottom w:val="single" w:color="auto" w:sz="4" w:space="0"/>
              <w:right w:val="single" w:color="auto" w:sz="4" w:space="0"/>
            </w:tcBorders>
            <w:vAlign w:val="top"/>
          </w:tcPr>
          <w:p w14:paraId="0B278721">
            <w:pPr>
              <w:spacing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3683" w:type="dxa"/>
            <w:tcBorders>
              <w:top w:val="single" w:color="auto" w:sz="4" w:space="0"/>
              <w:left w:val="single" w:color="auto" w:sz="4" w:space="0"/>
              <w:bottom w:val="single" w:color="auto" w:sz="4" w:space="0"/>
              <w:right w:val="single" w:color="auto" w:sz="4" w:space="0"/>
            </w:tcBorders>
            <w:vAlign w:val="top"/>
          </w:tcPr>
          <w:p w14:paraId="413A67B9">
            <w:pPr>
              <w:spacing w:line="360" w:lineRule="auto"/>
              <w:jc w:val="center"/>
              <w:textAlignment w:val="auto"/>
              <w:rPr>
                <w:rFonts w:hint="eastAsia" w:ascii="宋体" w:hAnsi="宋体" w:eastAsia="宋体" w:cs="宋体"/>
                <w:b/>
                <w:color w:val="auto"/>
                <w:kern w:val="0"/>
                <w:sz w:val="24"/>
                <w:szCs w:val="24"/>
                <w:highlight w:val="none"/>
              </w:rPr>
            </w:pPr>
          </w:p>
        </w:tc>
        <w:tc>
          <w:tcPr>
            <w:tcW w:w="3546" w:type="dxa"/>
            <w:tcBorders>
              <w:top w:val="single" w:color="auto" w:sz="4" w:space="0"/>
              <w:left w:val="single" w:color="auto" w:sz="4" w:space="0"/>
              <w:bottom w:val="single" w:color="auto" w:sz="4" w:space="0"/>
              <w:right w:val="single" w:color="auto" w:sz="4" w:space="0"/>
            </w:tcBorders>
            <w:vAlign w:val="top"/>
          </w:tcPr>
          <w:p w14:paraId="5B9324C4">
            <w:pPr>
              <w:spacing w:line="360" w:lineRule="auto"/>
              <w:jc w:val="center"/>
              <w:textAlignment w:val="auto"/>
              <w:rPr>
                <w:rFonts w:hint="eastAsia" w:ascii="宋体" w:hAnsi="宋体" w:eastAsia="宋体" w:cs="宋体"/>
                <w:b/>
                <w:color w:val="auto"/>
                <w:kern w:val="0"/>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14:paraId="303C2DF5">
            <w:pPr>
              <w:spacing w:line="360" w:lineRule="auto"/>
              <w:jc w:val="center"/>
              <w:textAlignment w:val="auto"/>
              <w:rPr>
                <w:rFonts w:hint="eastAsia" w:ascii="宋体" w:hAnsi="宋体" w:eastAsia="宋体" w:cs="宋体"/>
                <w:b/>
                <w:color w:val="auto"/>
                <w:kern w:val="0"/>
                <w:sz w:val="24"/>
                <w:szCs w:val="24"/>
                <w:highlight w:val="none"/>
              </w:rPr>
            </w:pPr>
          </w:p>
        </w:tc>
      </w:tr>
    </w:tbl>
    <w:p w14:paraId="5FE64500">
      <w:pPr>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投标人保证：除商务技术偏离表列出的偏离外，投标人响应招标文件的全部要求</w:t>
      </w:r>
    </w:p>
    <w:p w14:paraId="05BF3693">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注：1.按本格式和要求提供。</w:t>
      </w:r>
    </w:p>
    <w:p w14:paraId="6209E127">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2.本表格所反映的偏离情况与“符合性审查资料”、“评标标准相应的商务技术资料”不一致的，以“符合性审查资料”、“评标标准相应的商务技术资料”为准。</w:t>
      </w:r>
    </w:p>
    <w:p w14:paraId="38E40349">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3.投标人须保证：除商务技术偏离表列出的偏离外，投标人响应招标文件的全部非实质性要求。</w:t>
      </w:r>
    </w:p>
    <w:p w14:paraId="4FA37718">
      <w:pPr>
        <w:spacing w:line="360" w:lineRule="auto"/>
        <w:ind w:firstLine="1911" w:firstLineChars="595"/>
        <w:textAlignment w:val="auto"/>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333DCEAB">
      <w:pPr>
        <w:snapToGrid w:val="0"/>
        <w:spacing w:line="360" w:lineRule="auto"/>
        <w:textAlignment w:val="auto"/>
        <w:rPr>
          <w:rFonts w:hint="eastAsia" w:ascii="宋体" w:hAnsi="宋体" w:eastAsia="宋体" w:cs="宋体"/>
          <w:color w:val="auto"/>
          <w:sz w:val="24"/>
          <w:szCs w:val="24"/>
          <w:highlight w:val="none"/>
        </w:rPr>
      </w:pPr>
    </w:p>
    <w:p w14:paraId="66BA24DF">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杭州临平经济技术开发区管委会</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09CEA87F">
      <w:pPr>
        <w:autoSpaceDE w:val="0"/>
        <w:autoSpaceDN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我单位响应你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项目招标要求参加投标。在这次投标过程中和中标后，我们将严格遵守国家法律法规要求，并郑重承诺：</w:t>
      </w:r>
    </w:p>
    <w:p w14:paraId="08F283D2">
      <w:pPr>
        <w:autoSpaceDE w:val="0"/>
        <w:autoSpaceDN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一、不向项目有关人员及部门赠送礼金礼物、有价证券、回扣以及中介费、介绍费、咨询费等好处费； </w:t>
      </w:r>
    </w:p>
    <w:p w14:paraId="582658EA">
      <w:pPr>
        <w:autoSpaceDE w:val="0"/>
        <w:autoSpaceDN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二、不为项目有关人员及部门报销应由你方单位或个人支付的费用； </w:t>
      </w:r>
    </w:p>
    <w:p w14:paraId="4C826679">
      <w:pPr>
        <w:autoSpaceDE w:val="0"/>
        <w:autoSpaceDN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三、不向项目有关人员及部门提供有可能影响公正的宴请和健身娱乐等活动； </w:t>
      </w:r>
    </w:p>
    <w:p w14:paraId="32BBF0D4">
      <w:pPr>
        <w:autoSpaceDE w:val="0"/>
        <w:autoSpaceDN w:val="0"/>
        <w:spacing w:line="360" w:lineRule="auto"/>
        <w:ind w:left="2" w:leftChars="1"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四、不为项目有关人员及部门出国（境）、旅游等提供方便；</w:t>
      </w:r>
    </w:p>
    <w:p w14:paraId="0DEE6E60">
      <w:pPr>
        <w:autoSpaceDE w:val="0"/>
        <w:autoSpaceDN w:val="0"/>
        <w:spacing w:line="360" w:lineRule="auto"/>
        <w:ind w:left="481" w:leftChars="229"/>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五、不为项目有关人员个人装修住房、婚丧嫁娶、配偶子女工作安排等提供</w:t>
      </w:r>
    </w:p>
    <w:p w14:paraId="4D49D792">
      <w:pPr>
        <w:autoSpaceDE w:val="0"/>
        <w:autoSpaceDN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好处；</w:t>
      </w:r>
    </w:p>
    <w:p w14:paraId="68C5E1B8">
      <w:pPr>
        <w:autoSpaceDE w:val="0"/>
        <w:autoSpaceDN w:val="0"/>
        <w:spacing w:line="360" w:lineRule="auto"/>
        <w:ind w:left="481" w:leftChars="229"/>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六、严格遵守《</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政府采购法》《</w:t>
      </w:r>
      <w:r>
        <w:rPr>
          <w:rFonts w:hint="eastAsia" w:ascii="宋体" w:hAnsi="宋体" w:eastAsia="宋体" w:cs="宋体"/>
          <w:color w:val="auto"/>
          <w:sz w:val="24"/>
          <w:szCs w:val="24"/>
          <w:highlight w:val="none"/>
          <w:lang w:val="zh-CN"/>
        </w:rPr>
        <w:t>中华人民共和国</w:t>
      </w:r>
      <w:r>
        <w:rPr>
          <w:rFonts w:hint="eastAsia" w:ascii="宋体" w:hAnsi="宋体" w:eastAsia="宋体" w:cs="宋体"/>
          <w:color w:val="auto"/>
          <w:kern w:val="0"/>
          <w:sz w:val="24"/>
          <w:szCs w:val="24"/>
          <w:highlight w:val="none"/>
          <w:lang w:val="zh-CN"/>
        </w:rPr>
        <w:t>招标投标</w:t>
      </w:r>
    </w:p>
    <w:p w14:paraId="521D2D7F">
      <w:pPr>
        <w:autoSpaceDE w:val="0"/>
        <w:autoSpaceDN w:val="0"/>
        <w:spacing w:line="360" w:lineRule="auto"/>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法》</w:t>
      </w:r>
      <w:r>
        <w:rPr>
          <w:rFonts w:hint="eastAsia" w:ascii="宋体" w:hAnsi="宋体" w:eastAsia="宋体" w:cs="宋体"/>
          <w:color w:val="auto"/>
          <w:sz w:val="24"/>
          <w:szCs w:val="24"/>
          <w:highlight w:val="none"/>
          <w:lang w:val="zh-CN"/>
        </w:rPr>
        <w:t>《中华人民共和国民法典》</w:t>
      </w:r>
      <w:r>
        <w:rPr>
          <w:rFonts w:hint="eastAsia" w:ascii="宋体" w:hAnsi="宋体" w:eastAsia="宋体" w:cs="宋体"/>
          <w:color w:val="auto"/>
          <w:kern w:val="0"/>
          <w:sz w:val="24"/>
          <w:szCs w:val="24"/>
          <w:highlight w:val="none"/>
          <w:lang w:val="zh-CN"/>
        </w:rPr>
        <w:t xml:space="preserve">等法律法规，诚实守信，合法经营，坚决抵制各种违法违纪行为。 </w:t>
      </w:r>
    </w:p>
    <w:p w14:paraId="02F29769">
      <w:pPr>
        <w:autoSpaceDE w:val="0"/>
        <w:autoSpaceDN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如违反上述承诺，你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szCs w:val="24"/>
          <w:highlight w:val="none"/>
        </w:rPr>
        <w:t>单位</w:t>
      </w:r>
      <w:r>
        <w:rPr>
          <w:rFonts w:hint="eastAsia" w:ascii="宋体" w:hAnsi="宋体" w:eastAsia="宋体" w:cs="宋体"/>
          <w:color w:val="auto"/>
          <w:kern w:val="0"/>
          <w:sz w:val="24"/>
          <w:szCs w:val="24"/>
          <w:highlight w:val="none"/>
          <w:lang w:val="zh-CN"/>
        </w:rPr>
        <w:t>进行项目建设或其他经营活动，并通报市财政局。由此引起的相应损失均由我单位承担。</w:t>
      </w:r>
    </w:p>
    <w:p w14:paraId="014E68F0">
      <w:pPr>
        <w:autoSpaceDE w:val="0"/>
        <w:autoSpaceDN w:val="0"/>
        <w:spacing w:line="360" w:lineRule="auto"/>
        <w:ind w:left="2"/>
        <w:jc w:val="left"/>
        <w:textAlignment w:val="auto"/>
        <w:rPr>
          <w:rFonts w:hint="eastAsia" w:ascii="宋体" w:hAnsi="宋体" w:eastAsia="宋体" w:cs="宋体"/>
          <w:color w:val="auto"/>
          <w:kern w:val="0"/>
          <w:sz w:val="24"/>
          <w:szCs w:val="24"/>
          <w:highlight w:val="none"/>
          <w:lang w:val="zh-CN"/>
        </w:rPr>
      </w:pPr>
    </w:p>
    <w:p w14:paraId="09CB59EF">
      <w:pPr>
        <w:autoSpaceDE w:val="0"/>
        <w:autoSpaceDN w:val="0"/>
        <w:spacing w:line="360" w:lineRule="auto"/>
        <w:ind w:left="2"/>
        <w:jc w:val="left"/>
        <w:textAlignment w:val="auto"/>
        <w:rPr>
          <w:rFonts w:hint="eastAsia" w:ascii="宋体" w:hAnsi="宋体" w:eastAsia="宋体" w:cs="宋体"/>
          <w:color w:val="auto"/>
          <w:kern w:val="0"/>
          <w:sz w:val="24"/>
          <w:szCs w:val="24"/>
          <w:highlight w:val="none"/>
          <w:lang w:val="zh-CN"/>
        </w:rPr>
      </w:pPr>
    </w:p>
    <w:p w14:paraId="2F6E68A3">
      <w:pPr>
        <w:autoSpaceDE w:val="0"/>
        <w:autoSpaceDN w:val="0"/>
        <w:spacing w:line="360" w:lineRule="auto"/>
        <w:ind w:left="2"/>
        <w:jc w:val="left"/>
        <w:textAlignment w:val="auto"/>
        <w:rPr>
          <w:rFonts w:hint="eastAsia" w:ascii="宋体" w:hAnsi="宋体" w:eastAsia="宋体" w:cs="宋体"/>
          <w:color w:val="auto"/>
          <w:kern w:val="0"/>
          <w:sz w:val="24"/>
          <w:szCs w:val="24"/>
          <w:highlight w:val="none"/>
          <w:lang w:val="zh-CN"/>
        </w:rPr>
      </w:pPr>
    </w:p>
    <w:p w14:paraId="5875DB47">
      <w:pPr>
        <w:autoSpaceDE w:val="0"/>
        <w:autoSpaceDN w:val="0"/>
        <w:spacing w:line="360" w:lineRule="auto"/>
        <w:ind w:left="2" w:leftChars="1" w:right="1120" w:firstLine="4560" w:firstLineChars="19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投标人名称（</w:t>
      </w:r>
      <w:r>
        <w:rPr>
          <w:rFonts w:hint="eastAsia" w:ascii="宋体" w:hAnsi="宋体" w:eastAsia="宋体" w:cs="宋体"/>
          <w:color w:val="auto"/>
          <w:sz w:val="24"/>
          <w:szCs w:val="24"/>
          <w:highlight w:val="none"/>
        </w:rPr>
        <w:t>电子签名</w:t>
      </w:r>
      <w:r>
        <w:rPr>
          <w:rFonts w:hint="eastAsia" w:ascii="宋体" w:hAnsi="宋体" w:eastAsia="宋体" w:cs="宋体"/>
          <w:color w:val="auto"/>
          <w:kern w:val="0"/>
          <w:sz w:val="24"/>
          <w:szCs w:val="24"/>
          <w:highlight w:val="none"/>
          <w:lang w:val="zh-CN"/>
        </w:rPr>
        <w:t xml:space="preserve">）：                                                                                                                                                                                                               </w:t>
      </w:r>
    </w:p>
    <w:p w14:paraId="577A8FF8">
      <w:pPr>
        <w:spacing w:line="360" w:lineRule="auto"/>
        <w:ind w:left="4620" w:leftChars="2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zh-CN"/>
        </w:rPr>
        <w:t xml:space="preserve">   年   月   日</w:t>
      </w:r>
    </w:p>
    <w:p w14:paraId="36400A2C">
      <w:pPr>
        <w:spacing w:line="360" w:lineRule="auto"/>
        <w:jc w:val="center"/>
        <w:textAlignment w:val="auto"/>
        <w:rPr>
          <w:rFonts w:hint="eastAsia" w:ascii="宋体" w:hAnsi="宋体" w:eastAsia="宋体" w:cs="宋体"/>
          <w:b/>
          <w:bCs/>
          <w:color w:val="auto"/>
          <w:sz w:val="24"/>
          <w:szCs w:val="24"/>
          <w:highlight w:val="none"/>
        </w:rPr>
      </w:pPr>
    </w:p>
    <w:p w14:paraId="26D057B6">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0F105441">
      <w:pPr>
        <w:spacing w:line="360" w:lineRule="auto"/>
        <w:jc w:val="center"/>
        <w:textAlignment w:val="auto"/>
        <w:rPr>
          <w:rFonts w:hint="eastAsia" w:ascii="宋体" w:hAnsi="宋体" w:eastAsia="宋体" w:cs="宋体"/>
          <w:b/>
          <w:bCs/>
          <w:color w:val="auto"/>
          <w:sz w:val="24"/>
          <w:szCs w:val="24"/>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2BD211B8">
      <w:pPr>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报价文件部分</w:t>
      </w:r>
    </w:p>
    <w:p w14:paraId="4F6C1820">
      <w:pPr>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0249426D">
      <w:pPr>
        <w:spacing w:line="240" w:lineRule="auto"/>
        <w:jc w:val="left"/>
        <w:textAlignment w:val="auto"/>
        <w:outlineLvl w:val="9"/>
        <w:rPr>
          <w:rFonts w:hint="eastAsia" w:ascii="宋体" w:hAnsi="宋体" w:eastAsia="宋体" w:cs="宋体"/>
          <w:color w:val="auto"/>
          <w:highlight w:val="none"/>
        </w:rPr>
      </w:pPr>
    </w:p>
    <w:p w14:paraId="14DB3BE3">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（1）开标一览表（报价表）………………………………………………………（页码）</w:t>
      </w:r>
    </w:p>
    <w:p w14:paraId="3BA66D09">
      <w:pPr>
        <w:snapToGrid w:val="0"/>
        <w:spacing w:line="360" w:lineRule="auto"/>
        <w:rPr>
          <w:rFonts w:hint="eastAsia" w:ascii="宋体" w:hAnsi="宋体" w:eastAsia="宋体" w:cs="宋体"/>
          <w:color w:val="auto"/>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highlight w:val="none"/>
        </w:rPr>
        <w:t>）中小企业声明函………………………………………………………………（页码）</w:t>
      </w:r>
    </w:p>
    <w:p w14:paraId="687C94DC">
      <w:pPr>
        <w:snapToGrid w:val="0"/>
        <w:spacing w:line="360" w:lineRule="auto"/>
        <w:textAlignment w:val="auto"/>
        <w:rPr>
          <w:rFonts w:hint="eastAsia" w:ascii="宋体" w:hAnsi="宋体" w:eastAsia="宋体" w:cs="宋体"/>
          <w:color w:val="auto"/>
          <w:sz w:val="24"/>
          <w:szCs w:val="24"/>
          <w:highlight w:val="none"/>
        </w:rPr>
      </w:pPr>
    </w:p>
    <w:p w14:paraId="5399B991">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1C2A18F8">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BC6EBC5">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806C33D">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BF0D6CD">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405BD0E">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4CE19B0">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06B4924">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4A0B4C8">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C1CA17B">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ABB6590">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8B748EC">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5A94809">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62BA48B">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B088AD4">
      <w:pPr>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7E17EA6">
      <w:pPr>
        <w:pStyle w:val="381"/>
        <w:tabs>
          <w:tab w:val="clear" w:pos="720"/>
        </w:tabs>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403DEA39">
      <w:pPr>
        <w:pStyle w:val="381"/>
        <w:tabs>
          <w:tab w:val="clear" w:pos="720"/>
        </w:tabs>
        <w:snapToGrid w:val="0"/>
        <w:spacing w:before="120" w:after="120" w:line="360" w:lineRule="auto"/>
        <w:ind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20FE6885">
      <w:pPr>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 xml:space="preserve"> 杭州临平经济技术开发区管委会</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lang w:val="en-US" w:eastAsia="zh-CN"/>
        </w:rPr>
        <w:t>海标工程管理有限公司</w:t>
      </w:r>
      <w:r>
        <w:rPr>
          <w:rFonts w:hint="eastAsia" w:ascii="宋体" w:hAnsi="宋体" w:eastAsia="宋体" w:cs="宋体"/>
          <w:color w:val="auto"/>
          <w:kern w:val="0"/>
          <w:sz w:val="24"/>
          <w:szCs w:val="24"/>
          <w:highlight w:val="none"/>
          <w:lang w:val="zh-CN"/>
        </w:rPr>
        <w:t>：</w:t>
      </w:r>
    </w:p>
    <w:p w14:paraId="3272008B">
      <w:pPr>
        <w:snapToGrid w:val="0"/>
        <w:spacing w:line="360" w:lineRule="auto"/>
        <w:ind w:firstLine="482"/>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】的实施</w:t>
      </w:r>
      <w:r>
        <w:rPr>
          <w:rFonts w:hint="eastAsia" w:ascii="宋体" w:hAnsi="宋体" w:eastAsia="宋体" w:cs="宋体"/>
          <w:color w:val="auto"/>
          <w:kern w:val="0"/>
          <w:sz w:val="24"/>
          <w:szCs w:val="24"/>
          <w:highlight w:val="none"/>
          <w:lang w:val="zh-CN"/>
        </w:rPr>
        <w:t>。</w:t>
      </w:r>
    </w:p>
    <w:p w14:paraId="2E7F9018">
      <w:pPr>
        <w:spacing w:line="360" w:lineRule="auto"/>
        <w:jc w:val="center"/>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3443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2A89501E">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992" w:type="dxa"/>
            <w:vAlign w:val="center"/>
          </w:tcPr>
          <w:p w14:paraId="7D12A56A">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名称</w:t>
            </w:r>
          </w:p>
        </w:tc>
        <w:tc>
          <w:tcPr>
            <w:tcW w:w="2268" w:type="dxa"/>
            <w:vAlign w:val="top"/>
          </w:tcPr>
          <w:p w14:paraId="08B5A9E7">
            <w:pPr>
              <w:spacing w:line="360" w:lineRule="auto"/>
              <w:jc w:val="center"/>
              <w:textAlignment w:val="auto"/>
              <w:rPr>
                <w:rFonts w:hint="eastAsia" w:ascii="宋体" w:hAnsi="宋体" w:eastAsia="宋体" w:cs="宋体"/>
                <w:b/>
                <w:color w:val="auto"/>
                <w:sz w:val="24"/>
                <w:szCs w:val="24"/>
                <w:highlight w:val="none"/>
              </w:rPr>
            </w:pPr>
          </w:p>
          <w:p w14:paraId="796DF431">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服务范围</w:t>
            </w:r>
          </w:p>
        </w:tc>
        <w:tc>
          <w:tcPr>
            <w:tcW w:w="2410" w:type="dxa"/>
            <w:vAlign w:val="center"/>
          </w:tcPr>
          <w:p w14:paraId="17245548">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服务要求</w:t>
            </w:r>
          </w:p>
        </w:tc>
        <w:tc>
          <w:tcPr>
            <w:tcW w:w="2268" w:type="dxa"/>
            <w:vAlign w:val="center"/>
          </w:tcPr>
          <w:p w14:paraId="00302F32">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服务时间</w:t>
            </w:r>
          </w:p>
        </w:tc>
        <w:tc>
          <w:tcPr>
            <w:tcW w:w="2126" w:type="dxa"/>
            <w:vAlign w:val="center"/>
          </w:tcPr>
          <w:p w14:paraId="18FD81FE">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服务标准</w:t>
            </w:r>
          </w:p>
        </w:tc>
        <w:tc>
          <w:tcPr>
            <w:tcW w:w="2127" w:type="dxa"/>
            <w:vAlign w:val="top"/>
          </w:tcPr>
          <w:p w14:paraId="02130DA9">
            <w:pPr>
              <w:spacing w:line="360" w:lineRule="auto"/>
              <w:jc w:val="center"/>
              <w:textAlignment w:val="auto"/>
              <w:rPr>
                <w:rFonts w:hint="eastAsia" w:ascii="宋体" w:hAnsi="宋体" w:eastAsia="宋体" w:cs="宋体"/>
                <w:b/>
                <w:color w:val="auto"/>
                <w:sz w:val="24"/>
                <w:szCs w:val="24"/>
                <w:highlight w:val="none"/>
              </w:rPr>
            </w:pPr>
          </w:p>
          <w:p w14:paraId="721709BA">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服务人数</w:t>
            </w:r>
          </w:p>
        </w:tc>
        <w:tc>
          <w:tcPr>
            <w:tcW w:w="2126" w:type="dxa"/>
            <w:vAlign w:val="center"/>
          </w:tcPr>
          <w:p w14:paraId="7C7D5164">
            <w:pPr>
              <w:spacing w:line="360" w:lineRule="auto"/>
              <w:jc w:val="center"/>
              <w:textAlignment w:val="auto"/>
              <w:rPr>
                <w:rFonts w:hint="eastAsia" w:ascii="宋体" w:hAnsi="宋体" w:eastAsia="宋体" w:cs="宋体"/>
                <w:b/>
                <w:color w:val="auto"/>
                <w:sz w:val="24"/>
                <w:szCs w:val="24"/>
                <w:highlight w:val="none"/>
              </w:rPr>
            </w:pPr>
          </w:p>
          <w:p w14:paraId="502464BF">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备注（如果有）</w:t>
            </w:r>
          </w:p>
          <w:p w14:paraId="1C775B40">
            <w:pPr>
              <w:spacing w:line="360" w:lineRule="auto"/>
              <w:jc w:val="center"/>
              <w:textAlignment w:val="auto"/>
              <w:rPr>
                <w:rFonts w:hint="eastAsia" w:ascii="宋体" w:hAnsi="宋体" w:eastAsia="宋体" w:cs="宋体"/>
                <w:b/>
                <w:color w:val="auto"/>
                <w:sz w:val="24"/>
                <w:szCs w:val="24"/>
                <w:highlight w:val="none"/>
              </w:rPr>
            </w:pPr>
          </w:p>
        </w:tc>
      </w:tr>
      <w:tr w14:paraId="378E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F44139C">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92" w:type="dxa"/>
            <w:vAlign w:val="center"/>
          </w:tcPr>
          <w:p w14:paraId="595362AC">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0355F9D5">
            <w:pPr>
              <w:snapToGrid w:val="0"/>
              <w:spacing w:line="360" w:lineRule="auto"/>
              <w:jc w:val="center"/>
              <w:textAlignment w:val="auto"/>
              <w:rPr>
                <w:rFonts w:hint="eastAsia" w:ascii="宋体" w:hAnsi="宋体" w:eastAsia="宋体" w:cs="宋体"/>
                <w:color w:val="auto"/>
                <w:sz w:val="24"/>
                <w:szCs w:val="24"/>
                <w:highlight w:val="none"/>
              </w:rPr>
            </w:pPr>
          </w:p>
        </w:tc>
        <w:tc>
          <w:tcPr>
            <w:tcW w:w="2410" w:type="dxa"/>
            <w:vAlign w:val="center"/>
          </w:tcPr>
          <w:p w14:paraId="08CFBAB0">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50C79712">
            <w:pPr>
              <w:snapToGrid w:val="0"/>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75A41391">
            <w:pPr>
              <w:spacing w:line="360" w:lineRule="auto"/>
              <w:jc w:val="center"/>
              <w:textAlignment w:val="auto"/>
              <w:rPr>
                <w:rFonts w:hint="eastAsia" w:ascii="宋体" w:hAnsi="宋体" w:eastAsia="宋体" w:cs="宋体"/>
                <w:color w:val="auto"/>
                <w:sz w:val="24"/>
                <w:szCs w:val="24"/>
                <w:highlight w:val="none"/>
              </w:rPr>
            </w:pPr>
          </w:p>
        </w:tc>
        <w:tc>
          <w:tcPr>
            <w:tcW w:w="2127" w:type="dxa"/>
            <w:vAlign w:val="top"/>
          </w:tcPr>
          <w:p w14:paraId="2B4AD81B">
            <w:pPr>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41E5A6ED">
            <w:pPr>
              <w:spacing w:line="360" w:lineRule="auto"/>
              <w:jc w:val="center"/>
              <w:textAlignment w:val="auto"/>
              <w:rPr>
                <w:rFonts w:hint="eastAsia" w:ascii="宋体" w:hAnsi="宋体" w:eastAsia="宋体" w:cs="宋体"/>
                <w:color w:val="auto"/>
                <w:sz w:val="24"/>
                <w:szCs w:val="24"/>
                <w:highlight w:val="none"/>
              </w:rPr>
            </w:pPr>
          </w:p>
        </w:tc>
      </w:tr>
      <w:tr w14:paraId="7CD6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FF43417">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92" w:type="dxa"/>
            <w:vAlign w:val="center"/>
          </w:tcPr>
          <w:p w14:paraId="402B19DF">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2D4B45C0">
            <w:pPr>
              <w:snapToGrid w:val="0"/>
              <w:spacing w:line="360" w:lineRule="auto"/>
              <w:jc w:val="center"/>
              <w:textAlignment w:val="auto"/>
              <w:rPr>
                <w:rFonts w:hint="eastAsia" w:ascii="宋体" w:hAnsi="宋体" w:eastAsia="宋体" w:cs="宋体"/>
                <w:color w:val="auto"/>
                <w:sz w:val="24"/>
                <w:szCs w:val="24"/>
                <w:highlight w:val="none"/>
              </w:rPr>
            </w:pPr>
          </w:p>
        </w:tc>
        <w:tc>
          <w:tcPr>
            <w:tcW w:w="2410" w:type="dxa"/>
            <w:vAlign w:val="center"/>
          </w:tcPr>
          <w:p w14:paraId="0C5643C5">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4F305DF8">
            <w:pPr>
              <w:snapToGrid w:val="0"/>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198CA2BA">
            <w:pPr>
              <w:spacing w:line="360" w:lineRule="auto"/>
              <w:jc w:val="center"/>
              <w:textAlignment w:val="auto"/>
              <w:rPr>
                <w:rFonts w:hint="eastAsia" w:ascii="宋体" w:hAnsi="宋体" w:eastAsia="宋体" w:cs="宋体"/>
                <w:color w:val="auto"/>
                <w:sz w:val="24"/>
                <w:szCs w:val="24"/>
                <w:highlight w:val="none"/>
              </w:rPr>
            </w:pPr>
          </w:p>
        </w:tc>
        <w:tc>
          <w:tcPr>
            <w:tcW w:w="2127" w:type="dxa"/>
            <w:vAlign w:val="top"/>
          </w:tcPr>
          <w:p w14:paraId="06FC2B75">
            <w:pPr>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5E2B410F">
            <w:pPr>
              <w:spacing w:line="360" w:lineRule="auto"/>
              <w:jc w:val="center"/>
              <w:textAlignment w:val="auto"/>
              <w:rPr>
                <w:rFonts w:hint="eastAsia" w:ascii="宋体" w:hAnsi="宋体" w:eastAsia="宋体" w:cs="宋体"/>
                <w:color w:val="auto"/>
                <w:sz w:val="24"/>
                <w:szCs w:val="24"/>
                <w:highlight w:val="none"/>
              </w:rPr>
            </w:pPr>
          </w:p>
        </w:tc>
      </w:tr>
      <w:tr w14:paraId="2B0B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2BDE381E">
            <w:pPr>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992" w:type="dxa"/>
            <w:vAlign w:val="center"/>
          </w:tcPr>
          <w:p w14:paraId="4EBD0D38">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7581F346">
            <w:pPr>
              <w:snapToGrid w:val="0"/>
              <w:spacing w:line="360" w:lineRule="auto"/>
              <w:jc w:val="center"/>
              <w:textAlignment w:val="auto"/>
              <w:rPr>
                <w:rFonts w:hint="eastAsia" w:ascii="宋体" w:hAnsi="宋体" w:eastAsia="宋体" w:cs="宋体"/>
                <w:color w:val="auto"/>
                <w:sz w:val="24"/>
                <w:szCs w:val="24"/>
                <w:highlight w:val="none"/>
              </w:rPr>
            </w:pPr>
          </w:p>
        </w:tc>
        <w:tc>
          <w:tcPr>
            <w:tcW w:w="2410" w:type="dxa"/>
            <w:vAlign w:val="center"/>
          </w:tcPr>
          <w:p w14:paraId="017F292A">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072047DB">
            <w:pPr>
              <w:snapToGrid w:val="0"/>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6E6538EF">
            <w:pPr>
              <w:spacing w:line="360" w:lineRule="auto"/>
              <w:jc w:val="center"/>
              <w:textAlignment w:val="auto"/>
              <w:rPr>
                <w:rFonts w:hint="eastAsia" w:ascii="宋体" w:hAnsi="宋体" w:eastAsia="宋体" w:cs="宋体"/>
                <w:color w:val="auto"/>
                <w:sz w:val="24"/>
                <w:szCs w:val="24"/>
                <w:highlight w:val="none"/>
              </w:rPr>
            </w:pPr>
          </w:p>
        </w:tc>
        <w:tc>
          <w:tcPr>
            <w:tcW w:w="2127" w:type="dxa"/>
            <w:vAlign w:val="top"/>
          </w:tcPr>
          <w:p w14:paraId="567C961A">
            <w:pPr>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75B89D57">
            <w:pPr>
              <w:spacing w:line="360" w:lineRule="auto"/>
              <w:jc w:val="center"/>
              <w:textAlignment w:val="auto"/>
              <w:rPr>
                <w:rFonts w:hint="eastAsia" w:ascii="宋体" w:hAnsi="宋体" w:eastAsia="宋体" w:cs="宋体"/>
                <w:color w:val="auto"/>
                <w:sz w:val="24"/>
                <w:szCs w:val="24"/>
                <w:highlight w:val="none"/>
              </w:rPr>
            </w:pPr>
          </w:p>
        </w:tc>
      </w:tr>
      <w:tr w14:paraId="5F9D4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90D9EC2">
            <w:pPr>
              <w:spacing w:line="360" w:lineRule="auto"/>
              <w:jc w:val="center"/>
              <w:textAlignment w:val="auto"/>
              <w:rPr>
                <w:rFonts w:hint="eastAsia" w:ascii="宋体" w:hAnsi="宋体" w:eastAsia="宋体" w:cs="宋体"/>
                <w:color w:val="auto"/>
                <w:sz w:val="24"/>
                <w:szCs w:val="24"/>
                <w:highlight w:val="none"/>
              </w:rPr>
            </w:pPr>
          </w:p>
        </w:tc>
        <w:tc>
          <w:tcPr>
            <w:tcW w:w="992" w:type="dxa"/>
            <w:vAlign w:val="center"/>
          </w:tcPr>
          <w:p w14:paraId="7EADDC80">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6027A916">
            <w:pPr>
              <w:snapToGrid w:val="0"/>
              <w:spacing w:line="360" w:lineRule="auto"/>
              <w:jc w:val="center"/>
              <w:textAlignment w:val="auto"/>
              <w:rPr>
                <w:rFonts w:hint="eastAsia" w:ascii="宋体" w:hAnsi="宋体" w:eastAsia="宋体" w:cs="宋体"/>
                <w:color w:val="auto"/>
                <w:sz w:val="24"/>
                <w:szCs w:val="24"/>
                <w:highlight w:val="none"/>
              </w:rPr>
            </w:pPr>
          </w:p>
        </w:tc>
        <w:tc>
          <w:tcPr>
            <w:tcW w:w="2410" w:type="dxa"/>
            <w:vAlign w:val="center"/>
          </w:tcPr>
          <w:p w14:paraId="2FDEBD67">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589C643D">
            <w:pPr>
              <w:snapToGrid w:val="0"/>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42A267AC">
            <w:pPr>
              <w:spacing w:line="360" w:lineRule="auto"/>
              <w:jc w:val="center"/>
              <w:textAlignment w:val="auto"/>
              <w:rPr>
                <w:rFonts w:hint="eastAsia" w:ascii="宋体" w:hAnsi="宋体" w:eastAsia="宋体" w:cs="宋体"/>
                <w:color w:val="auto"/>
                <w:sz w:val="24"/>
                <w:szCs w:val="24"/>
                <w:highlight w:val="none"/>
              </w:rPr>
            </w:pPr>
          </w:p>
        </w:tc>
        <w:tc>
          <w:tcPr>
            <w:tcW w:w="2127" w:type="dxa"/>
            <w:vAlign w:val="top"/>
          </w:tcPr>
          <w:p w14:paraId="6D90C604">
            <w:pPr>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7DA649F3">
            <w:pPr>
              <w:spacing w:line="360" w:lineRule="auto"/>
              <w:jc w:val="center"/>
              <w:textAlignment w:val="auto"/>
              <w:rPr>
                <w:rFonts w:hint="eastAsia" w:ascii="宋体" w:hAnsi="宋体" w:eastAsia="宋体" w:cs="宋体"/>
                <w:color w:val="auto"/>
                <w:sz w:val="24"/>
                <w:szCs w:val="24"/>
                <w:highlight w:val="none"/>
              </w:rPr>
            </w:pPr>
          </w:p>
        </w:tc>
      </w:tr>
      <w:tr w14:paraId="01660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65C6D58">
            <w:pPr>
              <w:spacing w:line="360" w:lineRule="auto"/>
              <w:jc w:val="center"/>
              <w:textAlignment w:val="auto"/>
              <w:rPr>
                <w:rFonts w:hint="eastAsia" w:ascii="宋体" w:hAnsi="宋体" w:eastAsia="宋体" w:cs="宋体"/>
                <w:color w:val="auto"/>
                <w:sz w:val="24"/>
                <w:szCs w:val="24"/>
                <w:highlight w:val="none"/>
              </w:rPr>
            </w:pPr>
          </w:p>
        </w:tc>
        <w:tc>
          <w:tcPr>
            <w:tcW w:w="992" w:type="dxa"/>
            <w:vAlign w:val="center"/>
          </w:tcPr>
          <w:p w14:paraId="7D85D0C1">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703E644A">
            <w:pPr>
              <w:snapToGrid w:val="0"/>
              <w:spacing w:line="360" w:lineRule="auto"/>
              <w:jc w:val="center"/>
              <w:textAlignment w:val="auto"/>
              <w:rPr>
                <w:rFonts w:hint="eastAsia" w:ascii="宋体" w:hAnsi="宋体" w:eastAsia="宋体" w:cs="宋体"/>
                <w:color w:val="auto"/>
                <w:sz w:val="24"/>
                <w:szCs w:val="24"/>
                <w:highlight w:val="none"/>
              </w:rPr>
            </w:pPr>
          </w:p>
        </w:tc>
        <w:tc>
          <w:tcPr>
            <w:tcW w:w="2410" w:type="dxa"/>
            <w:vAlign w:val="center"/>
          </w:tcPr>
          <w:p w14:paraId="76C7103E">
            <w:pPr>
              <w:snapToGrid w:val="0"/>
              <w:spacing w:line="360" w:lineRule="auto"/>
              <w:jc w:val="center"/>
              <w:textAlignment w:val="auto"/>
              <w:rPr>
                <w:rFonts w:hint="eastAsia" w:ascii="宋体" w:hAnsi="宋体" w:eastAsia="宋体" w:cs="宋体"/>
                <w:color w:val="auto"/>
                <w:sz w:val="24"/>
                <w:szCs w:val="24"/>
                <w:highlight w:val="none"/>
              </w:rPr>
            </w:pPr>
          </w:p>
        </w:tc>
        <w:tc>
          <w:tcPr>
            <w:tcW w:w="2268" w:type="dxa"/>
            <w:vAlign w:val="center"/>
          </w:tcPr>
          <w:p w14:paraId="74F44F2F">
            <w:pPr>
              <w:snapToGrid w:val="0"/>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2400FB6A">
            <w:pPr>
              <w:spacing w:line="360" w:lineRule="auto"/>
              <w:jc w:val="center"/>
              <w:textAlignment w:val="auto"/>
              <w:rPr>
                <w:rFonts w:hint="eastAsia" w:ascii="宋体" w:hAnsi="宋体" w:eastAsia="宋体" w:cs="宋体"/>
                <w:color w:val="auto"/>
                <w:sz w:val="24"/>
                <w:szCs w:val="24"/>
                <w:highlight w:val="none"/>
              </w:rPr>
            </w:pPr>
          </w:p>
        </w:tc>
        <w:tc>
          <w:tcPr>
            <w:tcW w:w="2127" w:type="dxa"/>
            <w:vAlign w:val="top"/>
          </w:tcPr>
          <w:p w14:paraId="6E37472B">
            <w:pPr>
              <w:spacing w:line="360" w:lineRule="auto"/>
              <w:jc w:val="center"/>
              <w:textAlignment w:val="auto"/>
              <w:rPr>
                <w:rFonts w:hint="eastAsia" w:ascii="宋体" w:hAnsi="宋体" w:eastAsia="宋体" w:cs="宋体"/>
                <w:color w:val="auto"/>
                <w:sz w:val="24"/>
                <w:szCs w:val="24"/>
                <w:highlight w:val="none"/>
              </w:rPr>
            </w:pPr>
          </w:p>
        </w:tc>
        <w:tc>
          <w:tcPr>
            <w:tcW w:w="2126" w:type="dxa"/>
            <w:vAlign w:val="center"/>
          </w:tcPr>
          <w:p w14:paraId="739FAA7C">
            <w:pPr>
              <w:spacing w:line="360" w:lineRule="auto"/>
              <w:jc w:val="center"/>
              <w:textAlignment w:val="auto"/>
              <w:rPr>
                <w:rFonts w:hint="eastAsia" w:ascii="宋体" w:hAnsi="宋体" w:eastAsia="宋体" w:cs="宋体"/>
                <w:color w:val="auto"/>
                <w:sz w:val="24"/>
                <w:szCs w:val="24"/>
                <w:highlight w:val="none"/>
              </w:rPr>
            </w:pPr>
          </w:p>
        </w:tc>
      </w:tr>
      <w:tr w14:paraId="360F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3954EDC3">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投标报价（小写）</w:t>
            </w:r>
          </w:p>
        </w:tc>
        <w:tc>
          <w:tcPr>
            <w:tcW w:w="8647" w:type="dxa"/>
            <w:gridSpan w:val="4"/>
            <w:vAlign w:val="top"/>
          </w:tcPr>
          <w:p w14:paraId="61D194DC">
            <w:pPr>
              <w:spacing w:line="360" w:lineRule="auto"/>
              <w:jc w:val="center"/>
              <w:textAlignment w:val="auto"/>
              <w:rPr>
                <w:rFonts w:hint="eastAsia" w:ascii="宋体" w:hAnsi="宋体" w:eastAsia="宋体" w:cs="宋体"/>
                <w:color w:val="auto"/>
                <w:sz w:val="24"/>
                <w:szCs w:val="24"/>
                <w:highlight w:val="none"/>
              </w:rPr>
            </w:pPr>
          </w:p>
        </w:tc>
      </w:tr>
      <w:tr w14:paraId="04C9C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4C442485">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投标报价（大写）</w:t>
            </w:r>
          </w:p>
        </w:tc>
        <w:tc>
          <w:tcPr>
            <w:tcW w:w="8647" w:type="dxa"/>
            <w:gridSpan w:val="4"/>
            <w:vAlign w:val="top"/>
          </w:tcPr>
          <w:p w14:paraId="50FB490E">
            <w:pPr>
              <w:spacing w:line="360" w:lineRule="auto"/>
              <w:jc w:val="center"/>
              <w:textAlignment w:val="auto"/>
              <w:rPr>
                <w:rFonts w:hint="eastAsia" w:ascii="宋体" w:hAnsi="宋体" w:eastAsia="宋体" w:cs="宋体"/>
                <w:color w:val="auto"/>
                <w:sz w:val="24"/>
                <w:szCs w:val="24"/>
                <w:highlight w:val="none"/>
              </w:rPr>
            </w:pPr>
          </w:p>
        </w:tc>
      </w:tr>
    </w:tbl>
    <w:p w14:paraId="734F0D58">
      <w:pPr>
        <w:snapToGrid w:val="0"/>
        <w:spacing w:line="360" w:lineRule="auto"/>
        <w:ind w:left="480"/>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注：</w:t>
      </w:r>
    </w:p>
    <w:p w14:paraId="41B9FFAA">
      <w:pPr>
        <w:spacing w:line="360" w:lineRule="auto"/>
        <w:ind w:firstLine="480" w:firstLineChars="2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1、投标人需按本表格式填写，否则视为投标文件含有采购人不能接受的附加条件，投标无效。</w:t>
      </w:r>
    </w:p>
    <w:p w14:paraId="728434D7">
      <w:pPr>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2、有关本项目实施所涉及的一切费用均计入报价。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删除）部分产品、服务单价为零的，视作已包含在总价中。</w:t>
      </w:r>
      <w:r>
        <w:rPr>
          <w:rFonts w:hint="eastAsia" w:ascii="宋体" w:hAnsi="宋体" w:eastAsia="宋体" w:cs="宋体"/>
          <w:b/>
          <w:color w:val="auto"/>
          <w:kern w:val="0"/>
          <w:sz w:val="24"/>
          <w:szCs w:val="24"/>
          <w:highlight w:val="none"/>
          <w:lang w:val="zh-CN"/>
        </w:rPr>
        <w:t>采购内容未包含在《开标一览表（报价表）》名称栏中，投标人不能作出合理解释的，</w:t>
      </w:r>
      <w:r>
        <w:rPr>
          <w:rFonts w:hint="eastAsia" w:ascii="宋体" w:hAnsi="宋体" w:eastAsia="宋体" w:cs="宋体"/>
          <w:b/>
          <w:color w:val="auto"/>
          <w:kern w:val="0"/>
          <w:sz w:val="24"/>
          <w:szCs w:val="24"/>
          <w:highlight w:val="none"/>
        </w:rPr>
        <w:t>视为</w:t>
      </w:r>
      <w:r>
        <w:rPr>
          <w:rFonts w:hint="eastAsia" w:ascii="宋体" w:hAnsi="宋体" w:eastAsia="宋体" w:cs="宋体"/>
          <w:b/>
          <w:color w:val="auto"/>
          <w:sz w:val="24"/>
          <w:szCs w:val="24"/>
          <w:highlight w:val="none"/>
        </w:rPr>
        <w:t>投标文件含有采购人不能接受的附加条件的，投标无效。</w:t>
      </w:r>
    </w:p>
    <w:p w14:paraId="70A223F3">
      <w:pPr>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3、特别提示：采购代理机构将对项目名称和项目编号，中标供应商名称、地址和中标金额，主要中标标的名称、服务范围、服务要求、服务时间、服务标准等予以公示。</w:t>
      </w:r>
    </w:p>
    <w:p w14:paraId="17AAB907">
      <w:pPr>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3CA87652">
      <w:pPr>
        <w:pStyle w:val="381"/>
        <w:tabs>
          <w:tab w:val="clear" w:pos="720"/>
        </w:tabs>
        <w:snapToGrid w:val="0"/>
        <w:spacing w:before="120" w:after="120" w:line="360" w:lineRule="auto"/>
        <w:ind w:firstLine="0"/>
        <w:jc w:val="both"/>
        <w:textAlignment w:val="auto"/>
        <w:outlineLvl w:val="9"/>
        <w:rPr>
          <w:rFonts w:hint="eastAsia" w:ascii="宋体" w:hAnsi="宋体" w:eastAsia="宋体" w:cs="宋体"/>
          <w:color w:val="auto"/>
          <w:kern w:val="2"/>
          <w:sz w:val="24"/>
          <w:szCs w:val="24"/>
          <w:highlight w:val="none"/>
        </w:rPr>
      </w:pPr>
    </w:p>
    <w:p w14:paraId="04D477D0">
      <w:pPr>
        <w:pStyle w:val="381"/>
        <w:tabs>
          <w:tab w:val="clear" w:pos="720"/>
        </w:tabs>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pgNumType w:fmt="decimal"/>
          <w:cols w:space="720" w:num="1"/>
          <w:titlePg/>
          <w:docGrid w:linePitch="312" w:charSpace="0"/>
        </w:sectPr>
      </w:pPr>
    </w:p>
    <w:p w14:paraId="17FAD6E0">
      <w:pPr>
        <w:pStyle w:val="381"/>
        <w:tabs>
          <w:tab w:val="clear" w:pos="720"/>
        </w:tabs>
        <w:snapToGrid w:val="0"/>
        <w:spacing w:before="120" w:after="120" w:line="360" w:lineRule="auto"/>
        <w:ind w:firstLine="643"/>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中小企业声明函（如果有）</w:t>
      </w:r>
    </w:p>
    <w:p w14:paraId="30B3B42C">
      <w:pPr>
        <w:widowControl/>
        <w:spacing w:line="360" w:lineRule="auto"/>
        <w:ind w:firstLine="120" w:firstLineChars="5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53AD00EB">
      <w:pPr>
        <w:pStyle w:val="3"/>
        <w:pageBreakBefore/>
        <w:widowControl/>
        <w:spacing w:before="100" w:beforeAutospacing="1" w:after="100" w:afterAutospacing="1" w:line="360" w:lineRule="auto"/>
        <w:ind w:left="0" w:leftChars="0" w:firstLine="0" w:firstLineChars="0"/>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w:t>
      </w:r>
    </w:p>
    <w:p w14:paraId="3B8E88D9">
      <w:pPr>
        <w:spacing w:line="360" w:lineRule="auto"/>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358C8F6B">
      <w:pPr>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残疾人福利性单位声明函</w:t>
      </w:r>
    </w:p>
    <w:p w14:paraId="706B5B12">
      <w:pPr>
        <w:spacing w:line="360" w:lineRule="auto"/>
        <w:textAlignment w:val="auto"/>
        <w:rPr>
          <w:rFonts w:hint="eastAsia" w:ascii="宋体" w:hAnsi="宋体" w:eastAsia="宋体" w:cs="宋体"/>
          <w:b/>
          <w:color w:val="auto"/>
          <w:spacing w:val="6"/>
          <w:sz w:val="24"/>
          <w:szCs w:val="24"/>
          <w:highlight w:val="none"/>
        </w:rPr>
      </w:pPr>
    </w:p>
    <w:p w14:paraId="58B57F77">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szCs w:val="24"/>
          <w:highlight w:val="none"/>
          <w:u w:val="single"/>
        </w:rPr>
        <w:t>(采购人)</w:t>
      </w:r>
      <w:r>
        <w:rPr>
          <w:rFonts w:hint="eastAsia" w:ascii="宋体" w:hAnsi="宋体" w:eastAsia="宋体" w:cs="宋体"/>
          <w:color w:val="auto"/>
          <w:sz w:val="24"/>
          <w:szCs w:val="24"/>
          <w:highlight w:val="none"/>
        </w:rPr>
        <w:t>_单位的_</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__项目采购活动提供本单位制造的货物（由本单位承担工程/提供服务），或者提供其他残疾人福利性单位制造的货物（不包括使用非残疾人福利性单位注册商标的货物）。</w:t>
      </w:r>
    </w:p>
    <w:p w14:paraId="40DBC6BD">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260BD067">
      <w:pPr>
        <w:spacing w:line="360" w:lineRule="auto"/>
        <w:ind w:firstLine="480" w:firstLineChars="200"/>
        <w:textAlignment w:val="auto"/>
        <w:rPr>
          <w:rFonts w:hint="eastAsia" w:ascii="宋体" w:hAnsi="宋体" w:eastAsia="宋体" w:cs="宋体"/>
          <w:color w:val="auto"/>
          <w:sz w:val="24"/>
          <w:szCs w:val="24"/>
          <w:highlight w:val="none"/>
        </w:rPr>
      </w:pPr>
    </w:p>
    <w:p w14:paraId="7B924AE5">
      <w:pPr>
        <w:spacing w:line="360" w:lineRule="auto"/>
        <w:ind w:firstLine="480" w:firstLineChars="200"/>
        <w:textAlignment w:val="auto"/>
        <w:rPr>
          <w:rFonts w:hint="eastAsia" w:ascii="宋体" w:hAnsi="宋体" w:eastAsia="宋体" w:cs="宋体"/>
          <w:color w:val="auto"/>
          <w:sz w:val="24"/>
          <w:szCs w:val="24"/>
          <w:highlight w:val="none"/>
        </w:rPr>
      </w:pPr>
    </w:p>
    <w:p w14:paraId="6F5D782B">
      <w:pPr>
        <w:tabs>
          <w:tab w:val="left" w:pos="4860"/>
        </w:tabs>
        <w:spacing w:line="360" w:lineRule="auto"/>
        <w:ind w:right="156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zh-CN"/>
        </w:rPr>
        <w:t>投标人名称（电子签名）</w:t>
      </w:r>
      <w:r>
        <w:rPr>
          <w:rFonts w:hint="eastAsia" w:ascii="宋体" w:hAnsi="宋体" w:eastAsia="宋体" w:cs="宋体"/>
          <w:color w:val="auto"/>
          <w:sz w:val="24"/>
          <w:szCs w:val="24"/>
          <w:highlight w:val="none"/>
        </w:rPr>
        <w:t>：</w:t>
      </w:r>
    </w:p>
    <w:p w14:paraId="317C20D1">
      <w:pPr>
        <w:tabs>
          <w:tab w:val="left" w:pos="4860"/>
        </w:tabs>
        <w:spacing w:line="360" w:lineRule="auto"/>
        <w:ind w:right="156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  期：</w:t>
      </w:r>
    </w:p>
    <w:p w14:paraId="4801AD99">
      <w:pPr>
        <w:spacing w:line="360" w:lineRule="auto"/>
        <w:ind w:firstLine="480" w:firstLineChars="200"/>
        <w:textAlignment w:val="auto"/>
        <w:rPr>
          <w:rFonts w:hint="eastAsia" w:ascii="宋体" w:hAnsi="宋体" w:eastAsia="宋体" w:cs="宋体"/>
          <w:color w:val="auto"/>
          <w:sz w:val="24"/>
          <w:szCs w:val="24"/>
          <w:highlight w:val="none"/>
        </w:rPr>
      </w:pPr>
    </w:p>
    <w:p w14:paraId="605D6EF8">
      <w:pPr>
        <w:spacing w:line="360" w:lineRule="auto"/>
        <w:ind w:firstLine="480" w:firstLineChars="200"/>
        <w:textAlignment w:val="auto"/>
        <w:rPr>
          <w:rFonts w:hint="eastAsia" w:ascii="宋体" w:hAnsi="宋体" w:eastAsia="宋体" w:cs="宋体"/>
          <w:color w:val="auto"/>
          <w:sz w:val="24"/>
          <w:szCs w:val="24"/>
          <w:highlight w:val="none"/>
        </w:rPr>
      </w:pPr>
    </w:p>
    <w:p w14:paraId="02050FB5">
      <w:pPr>
        <w:spacing w:line="360" w:lineRule="auto"/>
        <w:ind w:firstLine="480" w:firstLineChars="200"/>
        <w:textAlignment w:val="auto"/>
        <w:rPr>
          <w:rFonts w:hint="eastAsia" w:ascii="宋体" w:hAnsi="宋体" w:eastAsia="宋体" w:cs="宋体"/>
          <w:color w:val="auto"/>
          <w:sz w:val="24"/>
          <w:szCs w:val="24"/>
          <w:highlight w:val="none"/>
        </w:rPr>
      </w:pPr>
    </w:p>
    <w:p w14:paraId="56AEF163">
      <w:pPr>
        <w:spacing w:line="360" w:lineRule="auto"/>
        <w:ind w:firstLine="480" w:firstLineChars="200"/>
        <w:textAlignment w:val="auto"/>
        <w:rPr>
          <w:rFonts w:hint="eastAsia" w:ascii="宋体" w:hAnsi="宋体" w:eastAsia="宋体" w:cs="宋体"/>
          <w:color w:val="auto"/>
          <w:sz w:val="24"/>
          <w:szCs w:val="24"/>
          <w:highlight w:val="none"/>
        </w:rPr>
      </w:pPr>
    </w:p>
    <w:p w14:paraId="33B97A16">
      <w:pPr>
        <w:spacing w:line="360" w:lineRule="auto"/>
        <w:ind w:firstLine="480" w:firstLineChars="200"/>
        <w:textAlignment w:val="auto"/>
        <w:rPr>
          <w:rFonts w:hint="eastAsia" w:ascii="宋体" w:hAnsi="宋体" w:eastAsia="宋体" w:cs="宋体"/>
          <w:color w:val="auto"/>
          <w:sz w:val="24"/>
          <w:szCs w:val="24"/>
          <w:highlight w:val="none"/>
        </w:rPr>
      </w:pPr>
    </w:p>
    <w:p w14:paraId="6D3C49AE">
      <w:pPr>
        <w:spacing w:line="360" w:lineRule="auto"/>
        <w:textAlignment w:val="auto"/>
        <w:rPr>
          <w:rFonts w:hint="eastAsia" w:ascii="宋体" w:hAnsi="宋体" w:eastAsia="宋体" w:cs="宋体"/>
          <w:b/>
          <w:color w:val="auto"/>
          <w:sz w:val="24"/>
          <w:szCs w:val="24"/>
          <w:highlight w:val="none"/>
        </w:rPr>
      </w:pPr>
    </w:p>
    <w:p w14:paraId="6B912172">
      <w:pPr>
        <w:spacing w:line="360" w:lineRule="auto"/>
        <w:textAlignment w:val="auto"/>
        <w:rPr>
          <w:rFonts w:hint="eastAsia" w:ascii="宋体" w:hAnsi="宋体" w:eastAsia="宋体" w:cs="宋体"/>
          <w:b/>
          <w:color w:val="auto"/>
          <w:sz w:val="24"/>
          <w:szCs w:val="24"/>
          <w:highlight w:val="none"/>
        </w:rPr>
      </w:pPr>
    </w:p>
    <w:p w14:paraId="41951B24">
      <w:pPr>
        <w:spacing w:line="360" w:lineRule="auto"/>
        <w:textAlignment w:val="auto"/>
        <w:rPr>
          <w:rFonts w:hint="eastAsia" w:ascii="宋体" w:hAnsi="宋体" w:eastAsia="宋体" w:cs="宋体"/>
          <w:b/>
          <w:color w:val="auto"/>
          <w:sz w:val="24"/>
          <w:szCs w:val="24"/>
          <w:highlight w:val="none"/>
        </w:rPr>
      </w:pPr>
    </w:p>
    <w:p w14:paraId="534327E9">
      <w:pPr>
        <w:spacing w:line="360" w:lineRule="auto"/>
        <w:textAlignment w:val="auto"/>
        <w:rPr>
          <w:rFonts w:hint="eastAsia" w:ascii="宋体" w:hAnsi="宋体" w:eastAsia="宋体" w:cs="宋体"/>
          <w:b/>
          <w:color w:val="auto"/>
          <w:sz w:val="24"/>
          <w:szCs w:val="24"/>
          <w:highlight w:val="none"/>
        </w:rPr>
      </w:pPr>
    </w:p>
    <w:p w14:paraId="112457CD">
      <w:pPr>
        <w:spacing w:line="360" w:lineRule="auto"/>
        <w:textAlignment w:val="auto"/>
        <w:rPr>
          <w:rFonts w:hint="eastAsia" w:ascii="宋体" w:hAnsi="宋体" w:eastAsia="宋体" w:cs="宋体"/>
          <w:b/>
          <w:color w:val="auto"/>
          <w:sz w:val="24"/>
          <w:szCs w:val="24"/>
          <w:highlight w:val="none"/>
        </w:rPr>
      </w:pPr>
    </w:p>
    <w:p w14:paraId="4DD05ED6">
      <w:pPr>
        <w:spacing w:line="360" w:lineRule="auto"/>
        <w:textAlignment w:val="auto"/>
        <w:rPr>
          <w:rFonts w:hint="eastAsia" w:ascii="宋体" w:hAnsi="宋体" w:eastAsia="宋体" w:cs="宋体"/>
          <w:b/>
          <w:color w:val="auto"/>
          <w:sz w:val="24"/>
          <w:szCs w:val="24"/>
          <w:highlight w:val="none"/>
        </w:rPr>
      </w:pPr>
    </w:p>
    <w:p w14:paraId="15EFAB4D">
      <w:pPr>
        <w:spacing w:line="360" w:lineRule="auto"/>
        <w:textAlignment w:val="auto"/>
        <w:rPr>
          <w:rFonts w:hint="eastAsia" w:ascii="宋体" w:hAnsi="宋体" w:eastAsia="宋体" w:cs="宋体"/>
          <w:b/>
          <w:color w:val="auto"/>
          <w:sz w:val="24"/>
          <w:szCs w:val="24"/>
          <w:highlight w:val="none"/>
        </w:rPr>
      </w:pPr>
    </w:p>
    <w:p w14:paraId="3FF9146E">
      <w:pPr>
        <w:spacing w:line="360" w:lineRule="auto"/>
        <w:textAlignment w:val="auto"/>
        <w:rPr>
          <w:rFonts w:hint="eastAsia" w:ascii="宋体" w:hAnsi="宋体" w:eastAsia="宋体" w:cs="宋体"/>
          <w:b/>
          <w:color w:val="auto"/>
          <w:sz w:val="24"/>
          <w:szCs w:val="24"/>
          <w:highlight w:val="none"/>
        </w:rPr>
      </w:pPr>
    </w:p>
    <w:p w14:paraId="4784A736">
      <w:pPr>
        <w:spacing w:line="360" w:lineRule="auto"/>
        <w:jc w:val="left"/>
        <w:textAlignment w:val="auto"/>
        <w:rPr>
          <w:rFonts w:hint="eastAsia" w:ascii="宋体" w:hAnsi="宋体" w:eastAsia="宋体" w:cs="宋体"/>
          <w:b/>
          <w:color w:val="auto"/>
          <w:spacing w:val="6"/>
          <w:sz w:val="24"/>
          <w:szCs w:val="24"/>
          <w:highlight w:val="none"/>
        </w:rPr>
      </w:pPr>
    </w:p>
    <w:p w14:paraId="268CBB85">
      <w:pPr>
        <w:spacing w:line="360" w:lineRule="auto"/>
        <w:jc w:val="left"/>
        <w:textAlignment w:val="auto"/>
        <w:rPr>
          <w:rFonts w:hint="eastAsia" w:ascii="宋体" w:hAnsi="宋体" w:eastAsia="宋体" w:cs="宋体"/>
          <w:b/>
          <w:color w:val="auto"/>
          <w:spacing w:val="6"/>
          <w:sz w:val="24"/>
          <w:szCs w:val="24"/>
          <w:highlight w:val="none"/>
        </w:rPr>
      </w:pPr>
    </w:p>
    <w:p w14:paraId="3554C780">
      <w:pPr>
        <w:spacing w:line="36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434D1FA9">
      <w:pPr>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质疑函范本</w:t>
      </w:r>
    </w:p>
    <w:p w14:paraId="38E90CCD">
      <w:pPr>
        <w:snapToGrid w:val="0"/>
        <w:spacing w:before="240" w:beforeLines="100"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72BAB43F">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4EBEA4A1">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0018700">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45A4AE0">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14EE0364">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F10F404">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156BBDE">
      <w:pPr>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88D3D28">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58D286F">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47CA6431">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2FA0BA72">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59F28085">
      <w:pPr>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7E890963">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5C9537A2">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2FF89752">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0741AA13">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0B888AAB">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B486EB8">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B09E070">
      <w:pPr>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1D6E6864">
      <w:pPr>
        <w:snapToGrid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34021F39">
      <w:pPr>
        <w:snapToGrid w:val="0"/>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4BAD1EAA">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31758AD8">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5D5ACC4D">
      <w:pPr>
        <w:spacing w:line="360" w:lineRule="auto"/>
        <w:jc w:val="center"/>
        <w:textAlignment w:val="auto"/>
        <w:rPr>
          <w:rFonts w:hint="eastAsia" w:ascii="宋体" w:hAnsi="宋体" w:eastAsia="宋体" w:cs="宋体"/>
          <w:b/>
          <w:bCs/>
          <w:color w:val="auto"/>
          <w:sz w:val="24"/>
          <w:szCs w:val="24"/>
          <w:highlight w:val="none"/>
        </w:rPr>
      </w:pPr>
    </w:p>
    <w:p w14:paraId="1CAA86D4">
      <w:pPr>
        <w:spacing w:line="360" w:lineRule="auto"/>
        <w:textAlignment w:val="auto"/>
        <w:rPr>
          <w:rFonts w:hint="eastAsia" w:ascii="宋体" w:hAnsi="宋体" w:eastAsia="宋体" w:cs="宋体"/>
          <w:b/>
          <w:color w:val="auto"/>
          <w:sz w:val="24"/>
          <w:szCs w:val="24"/>
          <w:highlight w:val="none"/>
        </w:rPr>
      </w:pPr>
    </w:p>
    <w:p w14:paraId="1875DB04">
      <w:pPr>
        <w:spacing w:line="360" w:lineRule="auto"/>
        <w:textAlignment w:val="auto"/>
        <w:rPr>
          <w:rFonts w:hint="eastAsia" w:ascii="宋体" w:hAnsi="宋体" w:eastAsia="宋体" w:cs="宋体"/>
          <w:b/>
          <w:color w:val="auto"/>
          <w:sz w:val="24"/>
          <w:szCs w:val="24"/>
          <w:highlight w:val="none"/>
        </w:rPr>
      </w:pPr>
    </w:p>
    <w:p w14:paraId="616041A7">
      <w:pPr>
        <w:spacing w:line="360" w:lineRule="auto"/>
        <w:textAlignment w:val="auto"/>
        <w:rPr>
          <w:rFonts w:hint="eastAsia" w:ascii="宋体" w:hAnsi="宋体" w:eastAsia="宋体" w:cs="宋体"/>
          <w:b/>
          <w:color w:val="auto"/>
          <w:sz w:val="24"/>
          <w:szCs w:val="24"/>
          <w:highlight w:val="none"/>
        </w:rPr>
      </w:pPr>
    </w:p>
    <w:p w14:paraId="683AC7E5">
      <w:pPr>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质疑函制作说明：</w:t>
      </w:r>
    </w:p>
    <w:p w14:paraId="17FF685B">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2E2AF18F">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1F66C453">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3B9365B8">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2F890C18">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59A64D27">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72F98626">
      <w:pPr>
        <w:widowControl/>
        <w:spacing w:line="360" w:lineRule="auto"/>
        <w:ind w:firstLine="480" w:firstLineChars="200"/>
        <w:jc w:val="left"/>
        <w:textAlignment w:val="auto"/>
        <w:rPr>
          <w:rFonts w:hint="eastAsia" w:ascii="宋体" w:hAnsi="宋体" w:eastAsia="宋体" w:cs="宋体"/>
          <w:color w:val="auto"/>
          <w:sz w:val="24"/>
          <w:szCs w:val="24"/>
          <w:highlight w:val="none"/>
        </w:rPr>
      </w:pPr>
    </w:p>
    <w:p w14:paraId="757BA0DD">
      <w:pPr>
        <w:spacing w:line="360" w:lineRule="auto"/>
        <w:jc w:val="center"/>
        <w:textAlignment w:val="auto"/>
        <w:rPr>
          <w:rFonts w:hint="eastAsia" w:ascii="宋体" w:hAnsi="宋体" w:eastAsia="宋体" w:cs="宋体"/>
          <w:b/>
          <w:color w:val="auto"/>
          <w:spacing w:val="6"/>
          <w:sz w:val="24"/>
          <w:szCs w:val="24"/>
          <w:highlight w:val="none"/>
        </w:rPr>
      </w:pPr>
    </w:p>
    <w:p w14:paraId="21516D66">
      <w:pPr>
        <w:spacing w:line="360" w:lineRule="auto"/>
        <w:jc w:val="center"/>
        <w:textAlignment w:val="auto"/>
        <w:rPr>
          <w:rFonts w:hint="eastAsia" w:ascii="宋体" w:hAnsi="宋体" w:eastAsia="宋体" w:cs="宋体"/>
          <w:b/>
          <w:color w:val="auto"/>
          <w:spacing w:val="6"/>
          <w:sz w:val="24"/>
          <w:szCs w:val="24"/>
          <w:highlight w:val="none"/>
        </w:rPr>
      </w:pPr>
    </w:p>
    <w:p w14:paraId="7E20E8A0">
      <w:pPr>
        <w:spacing w:line="360" w:lineRule="auto"/>
        <w:jc w:val="center"/>
        <w:textAlignment w:val="auto"/>
        <w:rPr>
          <w:rFonts w:hint="eastAsia" w:ascii="宋体" w:hAnsi="宋体" w:eastAsia="宋体" w:cs="宋体"/>
          <w:b/>
          <w:color w:val="auto"/>
          <w:spacing w:val="6"/>
          <w:sz w:val="24"/>
          <w:szCs w:val="24"/>
          <w:highlight w:val="none"/>
        </w:rPr>
      </w:pPr>
    </w:p>
    <w:p w14:paraId="13B726C6">
      <w:pPr>
        <w:spacing w:line="360" w:lineRule="auto"/>
        <w:jc w:val="center"/>
        <w:textAlignment w:val="auto"/>
        <w:rPr>
          <w:rFonts w:hint="eastAsia" w:ascii="宋体" w:hAnsi="宋体" w:eastAsia="宋体" w:cs="宋体"/>
          <w:b/>
          <w:color w:val="auto"/>
          <w:spacing w:val="6"/>
          <w:sz w:val="24"/>
          <w:szCs w:val="24"/>
          <w:highlight w:val="none"/>
        </w:rPr>
      </w:pPr>
    </w:p>
    <w:p w14:paraId="6A06AD8E">
      <w:pPr>
        <w:spacing w:line="360" w:lineRule="auto"/>
        <w:jc w:val="center"/>
        <w:textAlignment w:val="auto"/>
        <w:rPr>
          <w:rFonts w:hint="eastAsia" w:ascii="宋体" w:hAnsi="宋体" w:eastAsia="宋体" w:cs="宋体"/>
          <w:b/>
          <w:color w:val="auto"/>
          <w:spacing w:val="6"/>
          <w:sz w:val="24"/>
          <w:szCs w:val="24"/>
          <w:highlight w:val="none"/>
        </w:rPr>
      </w:pPr>
    </w:p>
    <w:p w14:paraId="29D4D6EF">
      <w:pPr>
        <w:spacing w:line="360" w:lineRule="auto"/>
        <w:jc w:val="center"/>
        <w:textAlignment w:val="auto"/>
        <w:rPr>
          <w:rFonts w:hint="eastAsia" w:ascii="宋体" w:hAnsi="宋体" w:eastAsia="宋体" w:cs="宋体"/>
          <w:b/>
          <w:color w:val="auto"/>
          <w:spacing w:val="6"/>
          <w:sz w:val="24"/>
          <w:szCs w:val="24"/>
          <w:highlight w:val="none"/>
        </w:rPr>
      </w:pPr>
    </w:p>
    <w:p w14:paraId="1B8272C2">
      <w:pPr>
        <w:spacing w:line="360" w:lineRule="auto"/>
        <w:jc w:val="center"/>
        <w:textAlignment w:val="auto"/>
        <w:rPr>
          <w:rFonts w:hint="eastAsia" w:ascii="宋体" w:hAnsi="宋体" w:eastAsia="宋体" w:cs="宋体"/>
          <w:b/>
          <w:color w:val="auto"/>
          <w:spacing w:val="6"/>
          <w:sz w:val="24"/>
          <w:szCs w:val="24"/>
          <w:highlight w:val="none"/>
        </w:rPr>
      </w:pPr>
    </w:p>
    <w:p w14:paraId="2092C930">
      <w:pPr>
        <w:spacing w:line="360" w:lineRule="auto"/>
        <w:jc w:val="center"/>
        <w:textAlignment w:val="auto"/>
        <w:rPr>
          <w:rFonts w:hint="eastAsia" w:ascii="宋体" w:hAnsi="宋体" w:eastAsia="宋体" w:cs="宋体"/>
          <w:b/>
          <w:color w:val="auto"/>
          <w:spacing w:val="6"/>
          <w:sz w:val="24"/>
          <w:szCs w:val="24"/>
          <w:highlight w:val="none"/>
        </w:rPr>
      </w:pPr>
    </w:p>
    <w:p w14:paraId="5B44CE1C">
      <w:pPr>
        <w:spacing w:line="360" w:lineRule="auto"/>
        <w:jc w:val="center"/>
        <w:textAlignment w:val="auto"/>
        <w:rPr>
          <w:rFonts w:hint="eastAsia" w:ascii="宋体" w:hAnsi="宋体" w:eastAsia="宋体" w:cs="宋体"/>
          <w:b/>
          <w:color w:val="auto"/>
          <w:spacing w:val="6"/>
          <w:sz w:val="24"/>
          <w:szCs w:val="24"/>
          <w:highlight w:val="none"/>
        </w:rPr>
      </w:pPr>
    </w:p>
    <w:p w14:paraId="475C5300">
      <w:pPr>
        <w:spacing w:line="360" w:lineRule="auto"/>
        <w:jc w:val="center"/>
        <w:textAlignment w:val="auto"/>
        <w:rPr>
          <w:rFonts w:hint="eastAsia" w:ascii="宋体" w:hAnsi="宋体" w:eastAsia="宋体" w:cs="宋体"/>
          <w:b/>
          <w:color w:val="auto"/>
          <w:spacing w:val="6"/>
          <w:sz w:val="24"/>
          <w:szCs w:val="24"/>
          <w:highlight w:val="none"/>
        </w:rPr>
      </w:pPr>
    </w:p>
    <w:p w14:paraId="0A5007BE">
      <w:pPr>
        <w:spacing w:line="360" w:lineRule="auto"/>
        <w:jc w:val="center"/>
        <w:textAlignment w:val="auto"/>
        <w:rPr>
          <w:rFonts w:hint="eastAsia" w:ascii="宋体" w:hAnsi="宋体" w:eastAsia="宋体" w:cs="宋体"/>
          <w:b/>
          <w:color w:val="auto"/>
          <w:spacing w:val="6"/>
          <w:sz w:val="24"/>
          <w:szCs w:val="24"/>
          <w:highlight w:val="none"/>
        </w:rPr>
      </w:pPr>
    </w:p>
    <w:p w14:paraId="3FEE0C5D">
      <w:pPr>
        <w:spacing w:line="360" w:lineRule="auto"/>
        <w:jc w:val="center"/>
        <w:textAlignment w:val="auto"/>
        <w:rPr>
          <w:rFonts w:hint="eastAsia" w:ascii="宋体" w:hAnsi="宋体" w:eastAsia="宋体" w:cs="宋体"/>
          <w:b/>
          <w:color w:val="auto"/>
          <w:spacing w:val="6"/>
          <w:sz w:val="24"/>
          <w:szCs w:val="24"/>
          <w:highlight w:val="none"/>
        </w:rPr>
      </w:pPr>
    </w:p>
    <w:p w14:paraId="7A3B99F1">
      <w:pPr>
        <w:spacing w:line="360" w:lineRule="auto"/>
        <w:jc w:val="left"/>
        <w:textAlignment w:val="auto"/>
        <w:rPr>
          <w:rFonts w:hint="eastAsia" w:ascii="宋体" w:hAnsi="宋体" w:eastAsia="宋体" w:cs="宋体"/>
          <w:b/>
          <w:color w:val="auto"/>
          <w:spacing w:val="6"/>
          <w:sz w:val="24"/>
          <w:szCs w:val="24"/>
          <w:highlight w:val="none"/>
        </w:rPr>
      </w:pPr>
    </w:p>
    <w:p w14:paraId="3FFBDD26">
      <w:pPr>
        <w:spacing w:line="360" w:lineRule="auto"/>
        <w:jc w:val="left"/>
        <w:textAlignment w:val="auto"/>
        <w:rPr>
          <w:rFonts w:hint="eastAsia" w:ascii="宋体" w:hAnsi="宋体" w:eastAsia="宋体" w:cs="宋体"/>
          <w:b/>
          <w:color w:val="auto"/>
          <w:spacing w:val="6"/>
          <w:sz w:val="24"/>
          <w:szCs w:val="24"/>
          <w:highlight w:val="none"/>
        </w:rPr>
      </w:pPr>
    </w:p>
    <w:p w14:paraId="0D44FC54">
      <w:pPr>
        <w:spacing w:line="360" w:lineRule="auto"/>
        <w:jc w:val="left"/>
        <w:textAlignment w:val="auto"/>
        <w:rPr>
          <w:rFonts w:hint="eastAsia" w:ascii="宋体" w:hAnsi="宋体" w:eastAsia="宋体" w:cs="宋体"/>
          <w:b/>
          <w:color w:val="auto"/>
          <w:spacing w:val="6"/>
          <w:sz w:val="24"/>
          <w:szCs w:val="24"/>
          <w:highlight w:val="none"/>
        </w:rPr>
      </w:pPr>
    </w:p>
    <w:p w14:paraId="6C10128B">
      <w:pPr>
        <w:spacing w:line="24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583271F3">
      <w:pPr>
        <w:spacing w:line="36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1ABCBBEB">
      <w:pPr>
        <w:spacing w:line="360" w:lineRule="auto"/>
        <w:jc w:val="center"/>
        <w:textAlignment w:val="auto"/>
        <w:rPr>
          <w:rFonts w:hint="eastAsia" w:ascii="宋体" w:hAnsi="宋体" w:eastAsia="宋体" w:cs="宋体"/>
          <w:b/>
          <w:color w:val="auto"/>
          <w:sz w:val="24"/>
          <w:szCs w:val="24"/>
          <w:highlight w:val="none"/>
        </w:rPr>
      </w:pPr>
    </w:p>
    <w:p w14:paraId="1CB93C66">
      <w:pPr>
        <w:spacing w:line="360" w:lineRule="auto"/>
        <w:jc w:val="center"/>
        <w:textAlignment w:val="auto"/>
        <w:rPr>
          <w:rFonts w:hint="eastAsia" w:ascii="宋体" w:hAnsi="宋体" w:eastAsia="宋体" w:cs="宋体"/>
          <w:b/>
          <w:color w:val="auto"/>
          <w:spacing w:val="6"/>
          <w:sz w:val="24"/>
          <w:szCs w:val="24"/>
          <w:highlight w:val="none"/>
        </w:rPr>
      </w:pPr>
      <w:r>
        <w:rPr>
          <w:rFonts w:hint="eastAsia" w:ascii="宋体" w:hAnsi="宋体" w:eastAsia="宋体" w:cs="宋体"/>
          <w:b/>
          <w:color w:val="auto"/>
          <w:spacing w:val="6"/>
          <w:sz w:val="24"/>
          <w:szCs w:val="24"/>
          <w:highlight w:val="none"/>
        </w:rPr>
        <w:t>投诉书范本</w:t>
      </w:r>
    </w:p>
    <w:p w14:paraId="660A4E61">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6EC7DEA3">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4BF94558">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C2693BB">
      <w:pPr>
        <w:tabs>
          <w:tab w:val="left" w:pos="6510"/>
        </w:tabs>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4BF679A8">
      <w:pPr>
        <w:tabs>
          <w:tab w:val="left" w:pos="6510"/>
        </w:tabs>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3D9A557">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0B3BDD1">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dotted"/>
        </w:rPr>
        <w:t xml:space="preserve">                   </w:t>
      </w:r>
    </w:p>
    <w:p w14:paraId="0ACF9511">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38139140">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A6C50EE">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FE2881A">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6EE29138">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F9A152A">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03B32202">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71A664E9">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1A82C36D">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5CD65138">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p>
    <w:p w14:paraId="7840EB24">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36A9B77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u w:val="single"/>
        </w:rPr>
        <w:t xml:space="preserve">  </w:t>
      </w:r>
    </w:p>
    <w:p w14:paraId="5FC53EBE">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30B5DBF4">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5551ACD6">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00DD3B2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0207ED63">
      <w:pPr>
        <w:spacing w:line="360" w:lineRule="auto"/>
        <w:ind w:firstLine="480" w:firstLineChars="200"/>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72FDC8B5">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0D9DC679">
      <w:pPr>
        <w:spacing w:line="360" w:lineRule="auto"/>
        <w:ind w:firstLine="360" w:firstLineChars="1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86F5BF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6B71B07A">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72690A1B">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78C6320F">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5077F22">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3E3A3ED">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4A753536">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94452E0">
      <w:pPr>
        <w:spacing w:line="360" w:lineRule="auto"/>
        <w:textAlignment w:val="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527E6532">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68D3B7E1">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581CCBFE">
      <w:pPr>
        <w:spacing w:line="360" w:lineRule="auto"/>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21BA63C3">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609B0276">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0C97BC3E">
      <w:pPr>
        <w:spacing w:line="360" w:lineRule="auto"/>
        <w:textAlignment w:val="auto"/>
        <w:rPr>
          <w:rFonts w:hint="eastAsia" w:ascii="宋体" w:hAnsi="宋体" w:eastAsia="宋体" w:cs="宋体"/>
          <w:b/>
          <w:color w:val="auto"/>
          <w:sz w:val="24"/>
          <w:szCs w:val="24"/>
          <w:highlight w:val="none"/>
        </w:rPr>
      </w:pPr>
    </w:p>
    <w:p w14:paraId="4CF73BCE">
      <w:pPr>
        <w:spacing w:line="360" w:lineRule="auto"/>
        <w:textAlignment w:val="auto"/>
        <w:rPr>
          <w:rFonts w:hint="eastAsia" w:ascii="宋体" w:hAnsi="宋体" w:eastAsia="宋体" w:cs="宋体"/>
          <w:b/>
          <w:color w:val="auto"/>
          <w:sz w:val="24"/>
          <w:szCs w:val="24"/>
          <w:highlight w:val="none"/>
        </w:rPr>
      </w:pPr>
    </w:p>
    <w:p w14:paraId="037110E7">
      <w:pPr>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727BF272">
      <w:pPr>
        <w:widowControl/>
        <w:spacing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77A3E0D5">
      <w:pPr>
        <w:widowControl/>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05893D23">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2D517EC1">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7FE47F25">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6E423323">
      <w:pPr>
        <w:widowControl/>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32FF5414">
      <w:pPr>
        <w:widowControl/>
        <w:spacing w:line="360" w:lineRule="auto"/>
        <w:ind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CB71C4B">
      <w:pPr>
        <w:spacing w:line="360" w:lineRule="auto"/>
        <w:textAlignment w:val="auto"/>
        <w:rPr>
          <w:rFonts w:hint="eastAsia" w:ascii="宋体" w:hAnsi="宋体" w:eastAsia="宋体" w:cs="宋体"/>
          <w:b/>
          <w:color w:val="auto"/>
          <w:sz w:val="24"/>
          <w:szCs w:val="24"/>
          <w:highlight w:val="none"/>
        </w:rPr>
      </w:pPr>
    </w:p>
    <w:p w14:paraId="45660AE8">
      <w:pP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7C0DBB59">
      <w:pPr>
        <w:autoSpaceDE w:val="0"/>
        <w:autoSpaceDN w:val="0"/>
        <w:spacing w:line="360" w:lineRule="auto"/>
        <w:jc w:val="center"/>
        <w:textAlignment w:val="auto"/>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74BE361B">
      <w:pPr>
        <w:spacing w:line="360" w:lineRule="auto"/>
        <w:textAlignment w:val="auto"/>
        <w:rPr>
          <w:rFonts w:hint="eastAsia" w:ascii="宋体" w:hAnsi="宋体" w:eastAsia="宋体" w:cs="宋体"/>
          <w:color w:val="auto"/>
          <w:sz w:val="24"/>
          <w:szCs w:val="24"/>
          <w:highlight w:val="none"/>
          <w:u w:val="single"/>
        </w:rPr>
      </w:pPr>
    </w:p>
    <w:p w14:paraId="7049FBED">
      <w:pPr>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杭州临平经济技术开发区管委会</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海标工程管理有限公司</w:t>
      </w:r>
      <w:r>
        <w:rPr>
          <w:rFonts w:hint="eastAsia" w:ascii="宋体" w:hAnsi="宋体" w:eastAsia="宋体" w:cs="宋体"/>
          <w:color w:val="auto"/>
          <w:sz w:val="24"/>
          <w:szCs w:val="24"/>
          <w:highlight w:val="none"/>
          <w:u w:val="single"/>
        </w:rPr>
        <w:t>：</w:t>
      </w:r>
    </w:p>
    <w:p w14:paraId="40EF0F8A">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我方</w:t>
      </w:r>
      <w:r>
        <w:rPr>
          <w:rFonts w:hint="eastAsia" w:ascii="宋体" w:hAnsi="宋体" w:eastAsia="宋体" w:cs="宋体"/>
          <w:color w:val="auto"/>
          <w:kern w:val="0"/>
          <w:sz w:val="24"/>
          <w:szCs w:val="24"/>
          <w:highlight w:val="none"/>
          <w:u w:val="single"/>
          <w:lang w:val="zh-CN"/>
        </w:rPr>
        <w:t xml:space="preserve">                         </w:t>
      </w:r>
      <w:r>
        <w:rPr>
          <w:rFonts w:hint="eastAsia" w:ascii="宋体" w:hAnsi="宋体" w:eastAsia="宋体" w:cs="宋体"/>
          <w:color w:val="auto"/>
          <w:sz w:val="24"/>
          <w:szCs w:val="24"/>
          <w:highlight w:val="none"/>
        </w:rPr>
        <w:t>(投标人全称)是中华人民共和国依法登记注册的合法企业，</w:t>
      </w:r>
      <w:r>
        <w:rPr>
          <w:rFonts w:hint="eastAsia" w:ascii="宋体" w:hAnsi="宋体" w:eastAsia="宋体" w:cs="宋体"/>
          <w:bCs/>
          <w:color w:val="auto"/>
          <w:sz w:val="24"/>
          <w:szCs w:val="24"/>
          <w:highlight w:val="none"/>
        </w:rPr>
        <w:t>在参加</w:t>
      </w:r>
      <w:r>
        <w:rPr>
          <w:rFonts w:hint="eastAsia" w:ascii="宋体" w:hAnsi="宋体" w:eastAsia="宋体" w:cs="宋体"/>
          <w:color w:val="auto"/>
          <w:sz w:val="24"/>
          <w:szCs w:val="24"/>
          <w:highlight w:val="none"/>
        </w:rPr>
        <w:t>你方组织的</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投标活动中作如下说明：</w:t>
      </w:r>
      <w:r>
        <w:rPr>
          <w:rFonts w:hint="eastAsia" w:ascii="宋体" w:hAnsi="宋体" w:eastAsia="宋体" w:cs="宋体"/>
          <w:color w:val="auto"/>
          <w:sz w:val="24"/>
          <w:szCs w:val="24"/>
          <w:highlight w:val="none"/>
        </w:rPr>
        <w:t xml:space="preserve">我方所使用的“XX专用章”与法定名称章具有同等的法律效力，对使用“XX专用章”的行为予以完全承认，并愿意承担相应责任。   </w:t>
      </w:r>
    </w:p>
    <w:p w14:paraId="1AD982CC">
      <w:pPr>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特此说明。</w:t>
      </w:r>
    </w:p>
    <w:p w14:paraId="600D0A26">
      <w:pPr>
        <w:spacing w:line="360" w:lineRule="auto"/>
        <w:ind w:firstLine="494"/>
        <w:textAlignment w:val="auto"/>
        <w:rPr>
          <w:rFonts w:hint="eastAsia" w:ascii="宋体" w:hAnsi="宋体" w:eastAsia="宋体" w:cs="宋体"/>
          <w:color w:val="auto"/>
          <w:sz w:val="24"/>
          <w:szCs w:val="24"/>
          <w:highlight w:val="none"/>
        </w:rPr>
      </w:pPr>
    </w:p>
    <w:p w14:paraId="5D0D72B1">
      <w:pPr>
        <w:spacing w:line="360" w:lineRule="auto"/>
        <w:ind w:firstLine="494"/>
        <w:textAlignment w:val="auto"/>
        <w:rPr>
          <w:rFonts w:hint="eastAsia" w:ascii="宋体" w:hAnsi="宋体" w:eastAsia="宋体" w:cs="宋体"/>
          <w:color w:val="auto"/>
          <w:sz w:val="24"/>
          <w:szCs w:val="24"/>
          <w:highlight w:val="none"/>
        </w:rPr>
      </w:pPr>
    </w:p>
    <w:p w14:paraId="60388F67">
      <w:pPr>
        <w:spacing w:line="360" w:lineRule="auto"/>
        <w:ind w:firstLine="494"/>
        <w:textAlignment w:val="auto"/>
        <w:rPr>
          <w:rFonts w:hint="eastAsia" w:ascii="宋体" w:hAnsi="宋体" w:eastAsia="宋体" w:cs="宋体"/>
          <w:color w:val="auto"/>
          <w:sz w:val="24"/>
          <w:szCs w:val="24"/>
          <w:highlight w:val="none"/>
        </w:rPr>
      </w:pPr>
    </w:p>
    <w:p w14:paraId="15D404B7">
      <w:pPr>
        <w:spacing w:line="360" w:lineRule="auto"/>
        <w:ind w:firstLine="494"/>
        <w:textAlignment w:val="auto"/>
        <w:rPr>
          <w:rFonts w:hint="eastAsia" w:ascii="宋体" w:hAnsi="宋体" w:eastAsia="宋体" w:cs="宋体"/>
          <w:color w:val="auto"/>
          <w:sz w:val="24"/>
          <w:szCs w:val="24"/>
          <w:highlight w:val="none"/>
        </w:rPr>
      </w:pPr>
    </w:p>
    <w:p w14:paraId="431B6B59">
      <w:pPr>
        <w:spacing w:line="360" w:lineRule="auto"/>
        <w:ind w:right="480" w:firstLine="4080" w:firstLineChars="17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投标单位（法定名称章）：</w:t>
      </w:r>
    </w:p>
    <w:p w14:paraId="7B315755">
      <w:pPr>
        <w:spacing w:line="360" w:lineRule="auto"/>
        <w:ind w:right="1440" w:firstLine="494"/>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       年     月     日</w:t>
      </w:r>
    </w:p>
    <w:p w14:paraId="3E9B34B7">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w:t>
      </w:r>
    </w:p>
    <w:p w14:paraId="58018939">
      <w:pPr>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3"/>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c/4wdgAAAAKAQAADwAAAAAAAAABACAAAAAiAAAAZHJzL2Rvd25yZXYu&#10;eG1sUEsBAhQAFAAAAAgAh07iQOr0xuz7AQAAH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4"/>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4"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dOwWNgAAAAKAQAADwAAAAAAAAABACAAAAAiAAAAZHJzL2Rvd25yZXYu&#10;eG1sUEsBAhQAFAAAAAgAh07iQLZiE7X7AQAAHwQAAA4AAAAAAAAAAQAgAAAAJwEAAGRycy9lMm9E&#10;b2MueG1sUEsFBgAAAAAGAAYAWQEAAJQFAAAAAA==&#10;">
                <v:fill on="t" focussize="0,0"/>
                <v:stroke color="#000000" joinstyle="miter"/>
                <v:imagedata o:title=""/>
                <o:lock v:ext="edit" aspectratio="f"/>
              </v:rect>
            </w:pict>
          </mc:Fallback>
        </mc:AlternateContent>
      </w:r>
      <w:r>
        <w:rPr>
          <w:rFonts w:hint="eastAsia" w:ascii="宋体" w:hAnsi="宋体" w:eastAsia="宋体" w:cs="宋体"/>
          <w:color w:val="auto"/>
          <w:sz w:val="24"/>
          <w:szCs w:val="24"/>
          <w:highlight w:val="none"/>
        </w:rPr>
        <w:t>投标单位法定名称章（印模）                投标单位“XX专用章”（印模）</w:t>
      </w:r>
    </w:p>
    <w:p w14:paraId="69DA8C96">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C978026">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A54A440">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16E68D3B">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30DBED0">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56E258FF">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1AD53071">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07C82B94">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2CFB12B8">
      <w:pPr>
        <w:spacing w:line="24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6C55C032">
      <w:pPr>
        <w:autoSpaceDE w:val="0"/>
        <w:autoSpaceDN w:val="0"/>
        <w:spacing w:line="360" w:lineRule="auto"/>
        <w:jc w:val="center"/>
        <w:textAlignment w:val="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pacing w:val="6"/>
          <w:sz w:val="32"/>
          <w:szCs w:val="32"/>
          <w:highlight w:val="none"/>
        </w:rPr>
        <w:t>附件5：</w:t>
      </w:r>
      <w:r>
        <w:rPr>
          <w:rFonts w:hint="eastAsia" w:ascii="宋体" w:hAnsi="宋体" w:eastAsia="宋体" w:cs="宋体"/>
          <w:b/>
          <w:color w:val="auto"/>
          <w:kern w:val="0"/>
          <w:sz w:val="32"/>
          <w:szCs w:val="32"/>
          <w:highlight w:val="none"/>
          <w:lang w:val="zh-CN"/>
        </w:rPr>
        <w:t>联合协议</w:t>
      </w:r>
    </w:p>
    <w:p w14:paraId="49644266">
      <w:pPr>
        <w:widowControl/>
        <w:spacing w:line="360" w:lineRule="auto"/>
        <w:ind w:firstLine="482" w:firstLineChars="200"/>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（以联合体形式投标的，提供联合协议；本项目不接受联合体投标或者投标人不以联合体形式投标的，则不需要提供）</w:t>
      </w:r>
    </w:p>
    <w:p w14:paraId="3A271BEA">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（联合体所有成员名称）</w:t>
      </w:r>
      <w:r>
        <w:rPr>
          <w:rFonts w:hint="eastAsia" w:ascii="宋体" w:hAnsi="宋体" w:eastAsia="宋体" w:cs="宋体"/>
          <w:color w:val="auto"/>
          <w:kern w:val="0"/>
          <w:sz w:val="24"/>
          <w:szCs w:val="24"/>
          <w:highlight w:val="none"/>
        </w:rPr>
        <w:t>自愿</w:t>
      </w:r>
      <w:r>
        <w:rPr>
          <w:rFonts w:hint="eastAsia" w:ascii="宋体" w:hAnsi="宋体" w:eastAsia="宋体" w:cs="宋体"/>
          <w:color w:val="auto"/>
          <w:kern w:val="0"/>
          <w:sz w:val="24"/>
          <w:szCs w:val="24"/>
          <w:highlight w:val="none"/>
          <w:lang w:val="zh-CN"/>
        </w:rPr>
        <w:t>组成一个联合体，以一个投标人的身份</w:t>
      </w:r>
      <w:r>
        <w:rPr>
          <w:rFonts w:hint="eastAsia" w:ascii="宋体" w:hAnsi="宋体" w:eastAsia="宋体" w:cs="宋体"/>
          <w:color w:val="auto"/>
          <w:kern w:val="0"/>
          <w:sz w:val="24"/>
          <w:szCs w:val="24"/>
          <w:highlight w:val="none"/>
        </w:rPr>
        <w:t>参加</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投标。 </w:t>
      </w:r>
    </w:p>
    <w:p w14:paraId="501C3CE8">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一、各方一致决定，</w:t>
      </w:r>
      <w:r>
        <w:rPr>
          <w:rFonts w:hint="eastAsia" w:ascii="宋体" w:hAnsi="宋体" w:eastAsia="宋体" w:cs="宋体"/>
          <w:color w:val="auto"/>
          <w:kern w:val="0"/>
          <w:sz w:val="24"/>
          <w:szCs w:val="24"/>
          <w:highlight w:val="none"/>
          <w:u w:val="single"/>
        </w:rPr>
        <w:t>（某联合体成员名称）</w:t>
      </w:r>
      <w:r>
        <w:rPr>
          <w:rFonts w:hint="eastAsia" w:ascii="宋体" w:hAnsi="宋体" w:eastAsia="宋体" w:cs="宋体"/>
          <w:color w:val="auto"/>
          <w:kern w:val="0"/>
          <w:sz w:val="24"/>
          <w:szCs w:val="24"/>
          <w:highlight w:val="none"/>
        </w:rPr>
        <w:t>为联合体</w:t>
      </w:r>
      <w:r>
        <w:rPr>
          <w:rFonts w:hint="eastAsia" w:ascii="宋体" w:hAnsi="宋体" w:eastAsia="宋体" w:cs="宋体"/>
          <w:color w:val="auto"/>
          <w:kern w:val="0"/>
          <w:sz w:val="24"/>
          <w:szCs w:val="24"/>
          <w:highlight w:val="none"/>
          <w:lang w:val="zh-CN"/>
        </w:rPr>
        <w:t>牵头人</w:t>
      </w:r>
      <w:r>
        <w:rPr>
          <w:rFonts w:hint="eastAsia" w:ascii="宋体" w:hAnsi="宋体" w:eastAsia="宋体" w:cs="宋体"/>
          <w:color w:val="auto"/>
          <w:sz w:val="24"/>
          <w:szCs w:val="24"/>
          <w:highlight w:val="none"/>
        </w:rPr>
        <w:t>，代表所有联合体成员负责投标和合同实施阶段的主办、协调工作</w:t>
      </w:r>
      <w:r>
        <w:rPr>
          <w:rFonts w:hint="eastAsia" w:ascii="宋体" w:hAnsi="宋体" w:eastAsia="宋体" w:cs="宋体"/>
          <w:color w:val="auto"/>
          <w:kern w:val="0"/>
          <w:sz w:val="24"/>
          <w:szCs w:val="24"/>
          <w:highlight w:val="none"/>
          <w:lang w:val="zh-CN"/>
        </w:rPr>
        <w:t>。</w:t>
      </w:r>
    </w:p>
    <w:p w14:paraId="252D8F1C">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w:t>
      </w:r>
      <w:r>
        <w:rPr>
          <w:rFonts w:hint="eastAsia" w:ascii="宋体" w:hAnsi="宋体" w:eastAsia="宋体" w:cs="宋体"/>
          <w:color w:val="auto"/>
          <w:sz w:val="24"/>
          <w:szCs w:val="24"/>
          <w:highlight w:val="none"/>
        </w:rPr>
        <w:t>所有联合体成员各方签署授权书，授权书载明的</w:t>
      </w:r>
      <w:r>
        <w:rPr>
          <w:rFonts w:hint="eastAsia" w:ascii="宋体" w:hAnsi="宋体" w:eastAsia="宋体" w:cs="宋体"/>
          <w:color w:val="auto"/>
          <w:kern w:val="0"/>
          <w:sz w:val="24"/>
          <w:szCs w:val="24"/>
          <w:highlight w:val="none"/>
          <w:lang w:val="zh-CN"/>
        </w:rPr>
        <w:t>授权代表根据招标文件规定及投标内容而对采购人、采购代理机构所作的任何合法承诺，包括书面澄清及</w:t>
      </w:r>
      <w:r>
        <w:rPr>
          <w:rFonts w:hint="eastAsia" w:ascii="宋体" w:hAnsi="宋体" w:eastAsia="宋体" w:cs="宋体"/>
          <w:color w:val="auto"/>
          <w:kern w:val="0"/>
          <w:sz w:val="24"/>
          <w:szCs w:val="24"/>
          <w:highlight w:val="none"/>
          <w:lang w:val="en-US" w:eastAsia="zh-CN"/>
        </w:rPr>
        <w:t>响应</w:t>
      </w:r>
      <w:r>
        <w:rPr>
          <w:rFonts w:hint="eastAsia" w:ascii="宋体" w:hAnsi="宋体" w:eastAsia="宋体" w:cs="宋体"/>
          <w:color w:val="auto"/>
          <w:kern w:val="0"/>
          <w:sz w:val="24"/>
          <w:szCs w:val="24"/>
          <w:highlight w:val="none"/>
          <w:lang w:val="zh-CN"/>
        </w:rPr>
        <w:t>等均对联合投标各方产生约束力。</w:t>
      </w:r>
    </w:p>
    <w:p w14:paraId="7E8F6CB2">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三、本次联合投标中，分工如下：</w:t>
      </w:r>
    </w:p>
    <w:p w14:paraId="44D46DB3">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（联合体成员1）</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1A057EB8">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（联合体成员2）</w:t>
      </w:r>
      <w:r>
        <w:rPr>
          <w:rFonts w:hint="eastAsia" w:ascii="宋体" w:hAnsi="宋体" w:eastAsia="宋体" w:cs="宋体"/>
          <w:color w:val="auto"/>
          <w:kern w:val="0"/>
          <w:sz w:val="24"/>
          <w:szCs w:val="24"/>
          <w:highlight w:val="none"/>
          <w:lang w:val="zh-CN"/>
        </w:rPr>
        <w:t>承担的工作和义务为：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lang w:val="zh-CN"/>
        </w:rPr>
        <w:t>；</w:t>
      </w:r>
    </w:p>
    <w:p w14:paraId="1D40A93A">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w:t>
      </w:r>
    </w:p>
    <w:p w14:paraId="747E2A13">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四、联合体成员中小企业合同份额。</w:t>
      </w:r>
    </w:p>
    <w:p w14:paraId="5B5A3E65">
      <w:pPr>
        <w:snapToGrid w:val="0"/>
        <w:spacing w:line="36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u w:val="single"/>
        </w:rPr>
        <w:t>（联合体成员X,……）</w:t>
      </w:r>
      <w:r>
        <w:rPr>
          <w:rFonts w:hint="eastAsia" w:ascii="宋体" w:hAnsi="宋体" w:eastAsia="宋体" w:cs="宋体"/>
          <w:color w:val="auto"/>
          <w:kern w:val="0"/>
          <w:sz w:val="24"/>
          <w:szCs w:val="24"/>
          <w:highlight w:val="none"/>
        </w:rPr>
        <w:t>提供的服务由小微企业承接，其合同份额占到合同总金额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kern w:val="0"/>
          <w:sz w:val="24"/>
          <w:szCs w:val="24"/>
          <w:highlight w:val="none"/>
          <w:lang w:val="zh-CN"/>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szCs w:val="24"/>
          <w:highlight w:val="none"/>
        </w:rPr>
        <w:t>拟享受以上价格扣除政策的，填写有关内容。</w:t>
      </w:r>
      <w:r>
        <w:rPr>
          <w:rFonts w:hint="eastAsia" w:ascii="宋体" w:hAnsi="宋体" w:eastAsia="宋体" w:cs="宋体"/>
          <w:b/>
          <w:color w:val="auto"/>
          <w:kern w:val="0"/>
          <w:sz w:val="24"/>
          <w:szCs w:val="24"/>
          <w:highlight w:val="none"/>
          <w:lang w:val="zh-CN"/>
        </w:rPr>
        <w:t>）</w:t>
      </w:r>
    </w:p>
    <w:p w14:paraId="5193EDD7">
      <w:pPr>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2、中小企业合同金额达到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%，其中小微企业合同金额达到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szCs w:val="24"/>
          <w:highlight w:val="none"/>
          <w:lang w:val="zh-CN"/>
        </w:rPr>
        <w:t>）</w:t>
      </w:r>
    </w:p>
    <w:p w14:paraId="39F9D7A9">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五、如果中标，</w:t>
      </w:r>
      <w:r>
        <w:rPr>
          <w:rFonts w:hint="eastAsia" w:ascii="宋体" w:hAnsi="宋体" w:eastAsia="宋体" w:cs="宋体"/>
          <w:color w:val="auto"/>
          <w:sz w:val="24"/>
          <w:szCs w:val="24"/>
          <w:highlight w:val="none"/>
        </w:rPr>
        <w:t>联合体各成员方共同与采购人签订合同，并就采购合同约定的事项对采购人承担连带责任。</w:t>
      </w:r>
    </w:p>
    <w:p w14:paraId="01369745">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六、有关本次联合投标的其他事宜：</w:t>
      </w:r>
    </w:p>
    <w:p w14:paraId="14F536E5">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1、联合体各方不再单独参加或者与其他供应商另外组成联合体参加同一合同项下的政府采购活动。</w:t>
      </w:r>
    </w:p>
    <w:p w14:paraId="716D2829">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2、联合体中有同类资质的各方按照联合体分工承担相同工作的，按照资质等级较低的供应商确定资质等级。</w:t>
      </w:r>
    </w:p>
    <w:p w14:paraId="11F29344">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3、本协议提交采购人、采购代理机构后，联合体各方不得以任何形式对上述内容进行修改或撤销。</w:t>
      </w:r>
    </w:p>
    <w:p w14:paraId="6DF2B841">
      <w:pPr>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46AE112C">
      <w:pPr>
        <w:snapToGrid w:val="0"/>
        <w:spacing w:line="360" w:lineRule="auto"/>
        <w:ind w:firstLine="5040" w:firstLine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联合体成员名称(电子签名/公章)：</w:t>
      </w:r>
    </w:p>
    <w:p w14:paraId="14BFE6F0">
      <w:pPr>
        <w:snapToGrid w:val="0"/>
        <w:spacing w:line="360" w:lineRule="auto"/>
        <w:ind w:right="960"/>
        <w:jc w:val="center"/>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w:t>
      </w:r>
    </w:p>
    <w:p w14:paraId="3825888F">
      <w:pPr>
        <w:snapToGrid w:val="0"/>
        <w:spacing w:line="360" w:lineRule="auto"/>
        <w:jc w:val="righ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  年  月   日</w:t>
      </w:r>
    </w:p>
    <w:p w14:paraId="36E46A33">
      <w:pPr>
        <w:spacing w:line="360" w:lineRule="auto"/>
        <w:ind w:right="42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注：按本格式和要求提供。</w:t>
      </w:r>
    </w:p>
    <w:p w14:paraId="3BAAF286">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46D4CB7">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7F299CDC">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01D37C5C">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22E38954">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3929176B">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2141D713">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15AC8CAF">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7C82BB25">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3FB3E9F7">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FFC82A2">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EBACE2D">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4F7AF73F">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75B8CB0D">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0F006797">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592433F6">
      <w:pPr>
        <w:snapToGrid/>
        <w:spacing w:line="240" w:lineRule="auto"/>
        <w:jc w:val="left"/>
        <w:textAlignment w:val="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br w:type="page"/>
      </w:r>
    </w:p>
    <w:p w14:paraId="20D6B141">
      <w:pPr>
        <w:snapToGrid w:val="0"/>
        <w:spacing w:line="360" w:lineRule="auto"/>
        <w:jc w:val="center"/>
        <w:textAlignment w:val="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D3C543F">
      <w:pPr>
        <w:widowControl/>
        <w:spacing w:line="360" w:lineRule="auto"/>
        <w:ind w:firstLine="120" w:firstLineChars="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szCs w:val="24"/>
          <w:highlight w:val="none"/>
        </w:rPr>
        <w:t>）</w:t>
      </w:r>
    </w:p>
    <w:p w14:paraId="0159EC44">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若成为</w:t>
      </w:r>
      <w:r>
        <w:rPr>
          <w:rFonts w:hint="eastAsia" w:ascii="宋体" w:hAnsi="宋体" w:cs="宋体"/>
          <w:color w:val="auto"/>
          <w:sz w:val="24"/>
          <w:szCs w:val="24"/>
          <w:highlight w:val="none"/>
          <w:lang w:eastAsia="zh-CN"/>
        </w:rPr>
        <w:t>杭州临平经济技术开发区空气自动监测站2025年度委托运维项目</w:t>
      </w:r>
      <w:r>
        <w:rPr>
          <w:rFonts w:hint="eastAsia" w:ascii="宋体" w:hAnsi="宋体" w:eastAsia="宋体" w:cs="宋体"/>
          <w:color w:val="auto"/>
          <w:sz w:val="24"/>
          <w:szCs w:val="24"/>
          <w:highlight w:val="none"/>
        </w:rPr>
        <w:t>【招标编号：</w:t>
      </w:r>
      <w:r>
        <w:rPr>
          <w:rFonts w:hint="eastAsia" w:ascii="宋体" w:hAnsi="宋体" w:cs="宋体"/>
          <w:color w:val="auto"/>
          <w:sz w:val="24"/>
          <w:szCs w:val="24"/>
          <w:highlight w:val="none"/>
          <w:lang w:val="en-US" w:eastAsia="zh-CN"/>
        </w:rPr>
        <w:t>HBZFCG-2025-025</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的中标供应商，将依法采取分包方式履行合同。</w:t>
      </w: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rPr>
        <w:t>与</w:t>
      </w:r>
      <w:r>
        <w:rPr>
          <w:rFonts w:hint="eastAsia" w:ascii="宋体" w:hAnsi="宋体" w:eastAsia="宋体" w:cs="宋体"/>
          <w:color w:val="auto"/>
          <w:kern w:val="0"/>
          <w:sz w:val="24"/>
          <w:szCs w:val="24"/>
          <w:highlight w:val="none"/>
          <w:u w:val="single"/>
        </w:rPr>
        <w:t>（所有分包供应商名称）</w:t>
      </w:r>
      <w:r>
        <w:rPr>
          <w:rFonts w:hint="eastAsia" w:ascii="宋体" w:hAnsi="宋体" w:eastAsia="宋体" w:cs="宋体"/>
          <w:color w:val="auto"/>
          <w:kern w:val="0"/>
          <w:sz w:val="24"/>
          <w:szCs w:val="24"/>
          <w:highlight w:val="none"/>
        </w:rPr>
        <w:t>达成分包意向协议</w:t>
      </w:r>
      <w:r>
        <w:rPr>
          <w:rFonts w:hint="eastAsia" w:ascii="宋体" w:hAnsi="宋体" w:eastAsia="宋体" w:cs="宋体"/>
          <w:color w:val="auto"/>
          <w:kern w:val="0"/>
          <w:sz w:val="24"/>
          <w:szCs w:val="24"/>
          <w:highlight w:val="none"/>
          <w:lang w:val="zh-CN"/>
        </w:rPr>
        <w:t xml:space="preserve">。 </w:t>
      </w:r>
    </w:p>
    <w:p w14:paraId="359D3458">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一、分包标的及数量</w:t>
      </w:r>
    </w:p>
    <w:p w14:paraId="25570FE6">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u w:val="single"/>
        </w:rPr>
        <w:t>（投标人名称）</w:t>
      </w:r>
      <w:r>
        <w:rPr>
          <w:rFonts w:hint="eastAsia" w:ascii="宋体" w:hAnsi="宋体" w:eastAsia="宋体" w:cs="宋体"/>
          <w:color w:val="auto"/>
          <w:kern w:val="0"/>
          <w:sz w:val="24"/>
          <w:szCs w:val="24"/>
          <w:highlight w:val="none"/>
          <w:lang w:val="zh-CN"/>
        </w:rPr>
        <w:t>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u w:val="single"/>
        </w:rPr>
        <w:t xml:space="preserve"> XX工作内容   </w:t>
      </w:r>
      <w:r>
        <w:rPr>
          <w:rFonts w:hint="eastAsia" w:ascii="宋体" w:hAnsi="宋体" w:eastAsia="宋体" w:cs="宋体"/>
          <w:color w:val="auto"/>
          <w:sz w:val="24"/>
          <w:szCs w:val="24"/>
          <w:highlight w:val="none"/>
        </w:rPr>
        <w:t>分包给</w:t>
      </w:r>
      <w:r>
        <w:rPr>
          <w:rFonts w:hint="eastAsia" w:ascii="宋体" w:hAnsi="宋体" w:eastAsia="宋体" w:cs="宋体"/>
          <w:color w:val="auto"/>
          <w:kern w:val="0"/>
          <w:sz w:val="24"/>
          <w:szCs w:val="24"/>
          <w:highlight w:val="none"/>
          <w:u w:val="single"/>
        </w:rPr>
        <w:t>（分包供应商1名称）</w:t>
      </w:r>
      <w:r>
        <w:rPr>
          <w:rFonts w:hint="eastAsia" w:ascii="宋体" w:hAnsi="宋体" w:eastAsia="宋体" w:cs="宋体"/>
          <w:color w:val="auto"/>
          <w:kern w:val="0"/>
          <w:sz w:val="24"/>
          <w:szCs w:val="24"/>
          <w:highlight w:val="none"/>
          <w:lang w:val="zh-CN"/>
        </w:rPr>
        <w:t>，</w:t>
      </w:r>
      <w:r>
        <w:rPr>
          <w:rFonts w:hint="eastAsia" w:ascii="宋体" w:hAnsi="宋体" w:eastAsia="宋体" w:cs="宋体"/>
          <w:color w:val="auto"/>
          <w:kern w:val="0"/>
          <w:sz w:val="24"/>
          <w:szCs w:val="24"/>
          <w:highlight w:val="none"/>
          <w:u w:val="single"/>
        </w:rPr>
        <w:t>（分包供应商</w:t>
      </w:r>
      <w:r>
        <w:rPr>
          <w:rFonts w:hint="eastAsia" w:ascii="宋体" w:hAnsi="宋体" w:eastAsia="宋体" w:cs="宋体"/>
          <w:color w:val="auto"/>
          <w:kern w:val="0"/>
          <w:sz w:val="24"/>
          <w:szCs w:val="24"/>
          <w:highlight w:val="none"/>
          <w:u w:val="single"/>
          <w:lang w:val="en-US" w:eastAsia="zh-CN"/>
        </w:rPr>
        <w:t>1</w:t>
      </w:r>
      <w:r>
        <w:rPr>
          <w:rFonts w:hint="eastAsia" w:ascii="宋体" w:hAnsi="宋体" w:eastAsia="宋体" w:cs="宋体"/>
          <w:color w:val="auto"/>
          <w:kern w:val="0"/>
          <w:sz w:val="24"/>
          <w:szCs w:val="24"/>
          <w:highlight w:val="none"/>
          <w:u w:val="single"/>
        </w:rPr>
        <w:t>名称），</w:t>
      </w:r>
      <w:r>
        <w:rPr>
          <w:rFonts w:hint="eastAsia" w:ascii="宋体" w:hAnsi="宋体" w:eastAsia="宋体" w:cs="宋体"/>
          <w:color w:val="auto"/>
          <w:kern w:val="0"/>
          <w:sz w:val="24"/>
          <w:szCs w:val="24"/>
          <w:highlight w:val="none"/>
          <w:lang w:val="zh-CN"/>
        </w:rPr>
        <w:t>具备承</w:t>
      </w:r>
      <w:r>
        <w:rPr>
          <w:rFonts w:hint="eastAsia" w:ascii="宋体" w:hAnsi="宋体" w:eastAsia="宋体" w:cs="宋体"/>
          <w:color w:val="auto"/>
          <w:kern w:val="0"/>
          <w:sz w:val="24"/>
          <w:szCs w:val="24"/>
          <w:highlight w:val="none"/>
        </w:rPr>
        <w:t>担</w:t>
      </w:r>
      <w:r>
        <w:rPr>
          <w:rFonts w:hint="eastAsia" w:ascii="宋体" w:hAnsi="宋体" w:eastAsia="宋体" w:cs="宋体"/>
          <w:color w:val="auto"/>
          <w:kern w:val="0"/>
          <w:sz w:val="24"/>
          <w:szCs w:val="24"/>
          <w:highlight w:val="none"/>
          <w:u w:val="single"/>
          <w:lang w:val="zh-CN"/>
        </w:rPr>
        <w:t>XX工作内容</w:t>
      </w:r>
      <w:r>
        <w:rPr>
          <w:rFonts w:hint="eastAsia" w:ascii="宋体" w:hAnsi="宋体" w:eastAsia="宋体" w:cs="宋体"/>
          <w:color w:val="auto"/>
          <w:kern w:val="0"/>
          <w:sz w:val="24"/>
          <w:szCs w:val="24"/>
          <w:highlight w:val="none"/>
          <w:lang w:val="zh-CN"/>
        </w:rPr>
        <w:t>相应资质条件且不得再次分包；</w:t>
      </w:r>
    </w:p>
    <w:p w14:paraId="12B5AFD6">
      <w:pPr>
        <w:pStyle w:val="4"/>
        <w:spacing w:line="360" w:lineRule="auto"/>
        <w:ind w:left="664" w:leftChars="316" w:firstLine="229" w:firstLineChars="95"/>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71B1E0A4">
      <w:pPr>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 xml:space="preserve"> </w:t>
      </w:r>
    </w:p>
    <w:p w14:paraId="444ECF0E">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二、分包供应商中小企业合同份额</w:t>
      </w:r>
    </w:p>
    <w:p w14:paraId="5DE2C1D4">
      <w:pPr>
        <w:snapToGrid w:val="0"/>
        <w:spacing w:line="360" w:lineRule="auto"/>
        <w:ind w:firstLine="576"/>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u w:val="single"/>
        </w:rPr>
        <w:t>（分包供应商X,……）提供的服务全部由小微企业承接，</w:t>
      </w:r>
      <w:r>
        <w:rPr>
          <w:rFonts w:hint="eastAsia" w:ascii="宋体" w:hAnsi="宋体" w:eastAsia="宋体" w:cs="宋体"/>
          <w:color w:val="auto"/>
          <w:kern w:val="0"/>
          <w:sz w:val="24"/>
          <w:szCs w:val="24"/>
          <w:highlight w:val="none"/>
        </w:rPr>
        <w:t>其合同份额占到合同总金额</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%以上</w:t>
      </w:r>
      <w:r>
        <w:rPr>
          <w:rFonts w:hint="eastAsia" w:ascii="宋体" w:hAnsi="宋体" w:eastAsia="宋体" w:cs="宋体"/>
          <w:color w:val="auto"/>
          <w:sz w:val="24"/>
          <w:szCs w:val="24"/>
          <w:highlight w:val="none"/>
        </w:rPr>
        <w:t>。</w:t>
      </w:r>
      <w:r>
        <w:rPr>
          <w:rFonts w:hint="eastAsia" w:ascii="宋体" w:hAnsi="宋体" w:eastAsia="宋体" w:cs="宋体"/>
          <w:b/>
          <w:color w:val="auto"/>
          <w:kern w:val="0"/>
          <w:sz w:val="24"/>
          <w:szCs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szCs w:val="24"/>
          <w:highlight w:val="none"/>
        </w:rPr>
        <w:t>拟享受以上价格扣除政策的，填写有关内容。</w:t>
      </w:r>
      <w:r>
        <w:rPr>
          <w:rFonts w:hint="eastAsia" w:ascii="宋体" w:hAnsi="宋体" w:eastAsia="宋体" w:cs="宋体"/>
          <w:b/>
          <w:color w:val="auto"/>
          <w:kern w:val="0"/>
          <w:sz w:val="24"/>
          <w:szCs w:val="24"/>
          <w:highlight w:val="none"/>
          <w:lang w:val="zh-CN"/>
        </w:rPr>
        <w:t>）</w:t>
      </w:r>
    </w:p>
    <w:p w14:paraId="5950D810">
      <w:pPr>
        <w:spacing w:line="360" w:lineRule="auto"/>
        <w:ind w:firstLine="480" w:firstLineChars="200"/>
        <w:textAlignment w:val="auto"/>
        <w:rPr>
          <w:rFonts w:hint="eastAsia" w:ascii="宋体" w:hAnsi="宋体" w:eastAsia="宋体" w:cs="宋体"/>
          <w:b/>
          <w:bCs/>
          <w:color w:val="auto"/>
          <w:kern w:val="0"/>
          <w:sz w:val="24"/>
          <w:szCs w:val="24"/>
          <w:highlight w:val="none"/>
          <w:lang w:val="zh-CN"/>
        </w:rPr>
      </w:pPr>
      <w:r>
        <w:rPr>
          <w:rFonts w:hint="eastAsia" w:ascii="宋体" w:hAnsi="宋体" w:eastAsia="宋体" w:cs="宋体"/>
          <w:color w:val="auto"/>
          <w:sz w:val="24"/>
          <w:szCs w:val="24"/>
          <w:highlight w:val="none"/>
        </w:rPr>
        <w:t>2、中小企业合同金额达到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w:t>
      </w:r>
      <w:r>
        <w:rPr>
          <w:rFonts w:hint="eastAsia" w:ascii="宋体" w:hAnsi="宋体" w:eastAsia="宋体" w:cs="宋体"/>
          <w:b/>
          <w:bCs/>
          <w:color w:val="auto"/>
          <w:kern w:val="0"/>
          <w:sz w:val="24"/>
          <w:szCs w:val="24"/>
          <w:highlight w:val="none"/>
          <w:lang w:val="zh-CN"/>
        </w:rPr>
        <w:t>（</w:t>
      </w:r>
      <w:r>
        <w:rPr>
          <w:rFonts w:hint="eastAsia" w:ascii="宋体" w:hAnsi="宋体" w:eastAsia="宋体" w:cs="宋体"/>
          <w:b/>
          <w:bCs/>
          <w:color w:val="auto"/>
          <w:sz w:val="24"/>
          <w:szCs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szCs w:val="24"/>
          <w:highlight w:val="none"/>
          <w:lang w:val="zh-CN"/>
        </w:rPr>
        <w:t>分包意向协议</w:t>
      </w:r>
      <w:r>
        <w:rPr>
          <w:rFonts w:hint="eastAsia" w:ascii="宋体" w:hAnsi="宋体" w:eastAsia="宋体" w:cs="宋体"/>
          <w:b/>
          <w:bCs/>
          <w:color w:val="auto"/>
          <w:sz w:val="24"/>
          <w:szCs w:val="24"/>
          <w:highlight w:val="none"/>
        </w:rPr>
        <w:t>中中小企业、小微企业合同金额应当达到的比例要求填写。</w:t>
      </w:r>
      <w:r>
        <w:rPr>
          <w:rFonts w:hint="eastAsia" w:ascii="宋体" w:hAnsi="宋体" w:eastAsia="宋体" w:cs="宋体"/>
          <w:b/>
          <w:bCs/>
          <w:color w:val="auto"/>
          <w:kern w:val="0"/>
          <w:sz w:val="24"/>
          <w:szCs w:val="24"/>
          <w:highlight w:val="none"/>
          <w:lang w:val="zh-CN"/>
        </w:rPr>
        <w:t>）</w:t>
      </w:r>
    </w:p>
    <w:p w14:paraId="2968F492">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三、分包工作履行期限、地点、方式</w:t>
      </w:r>
    </w:p>
    <w:p w14:paraId="10AEB28A">
      <w:pPr>
        <w:snapToGrid w:val="0"/>
        <w:spacing w:line="360" w:lineRule="auto"/>
        <w:ind w:firstLine="576"/>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w:t>
      </w:r>
    </w:p>
    <w:p w14:paraId="45039C79">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四、质量</w:t>
      </w:r>
    </w:p>
    <w:p w14:paraId="7618B954">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6932B350">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五、价款或者报酬</w:t>
      </w:r>
    </w:p>
    <w:p w14:paraId="1E1E6DD8">
      <w:pPr>
        <w:snapToGrid w:val="0"/>
        <w:spacing w:line="360" w:lineRule="auto"/>
        <w:ind w:left="573" w:leftChars="273"/>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3C40BAF6">
      <w:pPr>
        <w:snapToGrid w:val="0"/>
        <w:spacing w:line="360" w:lineRule="auto"/>
        <w:ind w:left="573" w:leftChars="273"/>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六、违约责任</w:t>
      </w:r>
    </w:p>
    <w:p w14:paraId="523540D2">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38909EBD">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七、争议解决的办法</w:t>
      </w:r>
    </w:p>
    <w:p w14:paraId="4C98042D">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u w:val="single"/>
        </w:rPr>
        <w:t xml:space="preserve">                                                                                  </w:t>
      </w:r>
    </w:p>
    <w:p w14:paraId="4AB341E4">
      <w:pPr>
        <w:snapToGrid w:val="0"/>
        <w:spacing w:line="360" w:lineRule="auto"/>
        <w:ind w:firstLine="576"/>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八、其他</w:t>
      </w:r>
    </w:p>
    <w:p w14:paraId="3D76C423">
      <w:pPr>
        <w:snapToGrid w:val="0"/>
        <w:spacing w:line="360" w:lineRule="auto"/>
        <w:ind w:left="5758" w:leftChars="342" w:hanging="5040" w:hanging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sz w:val="24"/>
          <w:szCs w:val="24"/>
          <w:highlight w:val="none"/>
        </w:rPr>
        <w:t>中小企业合同金额达到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kern w:val="0"/>
          <w:sz w:val="24"/>
          <w:szCs w:val="24"/>
          <w:highlight w:val="none"/>
          <w:lang w:val="zh-CN"/>
        </w:rPr>
        <w:t xml:space="preserve">  。                                           投标人名称(电子签名)：</w:t>
      </w:r>
    </w:p>
    <w:p w14:paraId="52312C0B">
      <w:pPr>
        <w:snapToGrid w:val="0"/>
        <w:spacing w:line="360" w:lineRule="auto"/>
        <w:jc w:val="righ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分包供应商名称(电子签名/公章)：</w:t>
      </w:r>
    </w:p>
    <w:p w14:paraId="51FB4239">
      <w:pPr>
        <w:snapToGrid w:val="0"/>
        <w:spacing w:line="360" w:lineRule="auto"/>
        <w:ind w:firstLine="5760" w:firstLineChars="24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zh-CN"/>
        </w:rPr>
        <w:t>……</w:t>
      </w:r>
    </w:p>
    <w:p w14:paraId="03377694">
      <w:pPr>
        <w:snapToGrid w:val="0"/>
        <w:spacing w:line="360" w:lineRule="auto"/>
        <w:ind w:left="5758" w:leftChars="342" w:hanging="5040" w:hangingChars="2100"/>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 xml:space="preserve">                                        日期：  年  月   日</w:t>
      </w:r>
    </w:p>
    <w:p w14:paraId="07B962CE">
      <w:pPr>
        <w:autoSpaceDE w:val="0"/>
        <w:autoSpaceDN w:val="0"/>
        <w:spacing w:line="360" w:lineRule="auto"/>
        <w:jc w:val="left"/>
        <w:textAlignment w:val="auto"/>
        <w:rPr>
          <w:rFonts w:hint="eastAsia" w:ascii="宋体" w:hAnsi="宋体" w:eastAsia="宋体" w:cs="宋体"/>
          <w:b/>
          <w:color w:val="auto"/>
          <w:spacing w:val="6"/>
          <w:sz w:val="24"/>
          <w:szCs w:val="24"/>
          <w:highlight w:val="none"/>
        </w:rPr>
      </w:pPr>
      <w:r>
        <w:rPr>
          <w:rFonts w:hint="eastAsia" w:ascii="宋体" w:hAnsi="宋体" w:eastAsia="宋体" w:cs="宋体"/>
          <w:color w:val="auto"/>
          <w:sz w:val="24"/>
          <w:szCs w:val="24"/>
          <w:highlight w:val="none"/>
        </w:rPr>
        <w:t>注：按本格式和要求提供。</w:t>
      </w:r>
    </w:p>
    <w:p w14:paraId="03CD8331">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612CB80B">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50E74CAD">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37E32554">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281859CE">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5B8BA4D5">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1A573251">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02C014A9">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2AF3098A">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547FDE98">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74CA6655">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32C6225D">
      <w:pPr>
        <w:autoSpaceDE w:val="0"/>
        <w:autoSpaceDN w:val="0"/>
        <w:spacing w:line="360" w:lineRule="auto"/>
        <w:jc w:val="center"/>
        <w:textAlignment w:val="auto"/>
        <w:rPr>
          <w:rFonts w:hint="eastAsia" w:ascii="宋体" w:hAnsi="宋体" w:eastAsia="宋体" w:cs="宋体"/>
          <w:b/>
          <w:color w:val="auto"/>
          <w:spacing w:val="6"/>
          <w:sz w:val="24"/>
          <w:szCs w:val="24"/>
          <w:highlight w:val="none"/>
        </w:rPr>
      </w:pPr>
    </w:p>
    <w:p w14:paraId="1A999FE8">
      <w:pPr>
        <w:spacing w:line="240" w:lineRule="auto"/>
        <w:jc w:val="left"/>
        <w:textAlignment w:val="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69506151">
      <w:pPr>
        <w:spacing w:line="360" w:lineRule="auto"/>
        <w:jc w:val="left"/>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附件7：中小企业声明函</w:t>
      </w:r>
    </w:p>
    <w:p w14:paraId="04EE51BE">
      <w:pPr>
        <w:spacing w:line="360" w:lineRule="auto"/>
        <w:jc w:val="center"/>
        <w:textAlignment w:val="auto"/>
        <w:rPr>
          <w:rFonts w:hint="eastAsia" w:ascii="宋体" w:hAnsi="宋体" w:eastAsia="宋体" w:cs="宋体"/>
          <w:color w:val="auto"/>
          <w:sz w:val="24"/>
          <w:szCs w:val="24"/>
          <w:highlight w:val="none"/>
          <w:u w:val="single"/>
        </w:rPr>
      </w:pPr>
    </w:p>
    <w:p w14:paraId="3550F4F5">
      <w:pPr>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中小企业声明函（服务）</w:t>
      </w:r>
    </w:p>
    <w:p w14:paraId="6C628F9F">
      <w:pPr>
        <w:spacing w:line="360" w:lineRule="auto"/>
        <w:ind w:firstLine="360" w:firstLineChars="15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szCs w:val="24"/>
          <w:highlight w:val="none"/>
          <w:u w:val="single"/>
        </w:rPr>
        <w:t xml:space="preserve">（采购人） </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2CFAEB7">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 xml:space="preserve"> （采购文件中明确的所属行业）</w:t>
      </w:r>
      <w:r>
        <w:rPr>
          <w:rFonts w:hint="eastAsia" w:ascii="宋体" w:hAnsi="宋体" w:eastAsia="宋体" w:cs="宋体"/>
          <w:color w:val="auto"/>
          <w:sz w:val="24"/>
          <w:szCs w:val="24"/>
          <w:highlight w:val="none"/>
        </w:rPr>
        <w:t xml:space="preserve"> ；承建（承接）企业为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w:t>
      </w:r>
    </w:p>
    <w:p w14:paraId="03B1F451">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 xml:space="preserve"> （标的名称），</w:t>
      </w:r>
      <w:r>
        <w:rPr>
          <w:rFonts w:hint="eastAsia" w:ascii="宋体" w:hAnsi="宋体" w:eastAsia="宋体" w:cs="宋体"/>
          <w:color w:val="auto"/>
          <w:sz w:val="24"/>
          <w:szCs w:val="24"/>
          <w:highlight w:val="none"/>
        </w:rPr>
        <w:t xml:space="preserve">属于 </w:t>
      </w:r>
      <w:r>
        <w:rPr>
          <w:rFonts w:hint="eastAsia" w:ascii="宋体" w:hAnsi="宋体" w:eastAsia="宋体" w:cs="宋体"/>
          <w:color w:val="auto"/>
          <w:sz w:val="24"/>
          <w:szCs w:val="24"/>
          <w:highlight w:val="none"/>
          <w:u w:val="single"/>
        </w:rPr>
        <w:t xml:space="preserve">（采购文件中明确的所属行业） </w:t>
      </w:r>
      <w:r>
        <w:rPr>
          <w:rFonts w:hint="eastAsia" w:ascii="宋体" w:hAnsi="宋体" w:eastAsia="宋体" w:cs="宋体"/>
          <w:color w:val="auto"/>
          <w:sz w:val="24"/>
          <w:szCs w:val="24"/>
          <w:highlight w:val="none"/>
        </w:rPr>
        <w:t xml:space="preserve">；承建（承接）企业为 </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 xml:space="preserve"> ，从业人员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single"/>
        </w:rPr>
        <w:t xml:space="preserve"> （中型企业、小型企业、微型企业） </w:t>
      </w:r>
      <w:r>
        <w:rPr>
          <w:rFonts w:hint="eastAsia" w:ascii="宋体" w:hAnsi="宋体" w:eastAsia="宋体" w:cs="宋体"/>
          <w:color w:val="auto"/>
          <w:sz w:val="24"/>
          <w:szCs w:val="24"/>
          <w:highlight w:val="none"/>
        </w:rPr>
        <w:t>；</w:t>
      </w:r>
    </w:p>
    <w:p w14:paraId="45AFE82C">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D360C6D">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6236A903">
      <w:pPr>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9896D2F">
      <w:pPr>
        <w:spacing w:line="360" w:lineRule="auto"/>
        <w:ind w:right="176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投标人名称（电子签名）：</w:t>
      </w:r>
    </w:p>
    <w:p w14:paraId="76EC4FB8">
      <w:pPr>
        <w:spacing w:line="360" w:lineRule="auto"/>
        <w:ind w:right="1120" w:firstLine="4680" w:firstLineChars="19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 期：</w:t>
      </w:r>
    </w:p>
    <w:p w14:paraId="10DBB70F">
      <w:pPr>
        <w:spacing w:line="360" w:lineRule="auto"/>
        <w:ind w:right="0" w:firstLine="354" w:firstLineChars="147"/>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从业人员、营业收入、资产总额填报上一年度数据，无上一年度数据的新成立企业可不填报。</w:t>
      </w:r>
    </w:p>
    <w:p w14:paraId="388B2A96">
      <w:pPr>
        <w:spacing w:line="360" w:lineRule="auto"/>
        <w:ind w:firstLine="360" w:firstLineChars="150"/>
        <w:jc w:val="left"/>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highlight w:val="none"/>
        </w:rPr>
        <w:t xml:space="preserve"> </w:t>
      </w:r>
      <w:r>
        <w:rPr>
          <w:rFonts w:hint="eastAsia" w:ascii="宋体" w:hAnsi="宋体" w:eastAsia="宋体" w:cs="宋体"/>
          <w:b/>
          <w:bCs/>
          <w:color w:val="auto"/>
          <w:sz w:val="24"/>
          <w:szCs w:val="24"/>
          <w:highlight w:val="none"/>
        </w:rPr>
        <w:t xml:space="preserve"> 注：</w:t>
      </w:r>
    </w:p>
    <w:p w14:paraId="5A05AAFB">
      <w:pPr>
        <w:spacing w:line="360" w:lineRule="auto"/>
        <w:textAlignment w:val="auto"/>
        <w:rPr>
          <w:rFonts w:hint="eastAsia" w:ascii="宋体" w:hAnsi="宋体" w:eastAsia="宋体" w:cs="宋体"/>
          <w:color w:val="auto"/>
          <w:highlight w:val="none"/>
          <w:lang w:val="en-US"/>
        </w:rPr>
      </w:pPr>
      <w:r>
        <w:rPr>
          <w:rFonts w:hint="eastAsia" w:ascii="宋体" w:hAnsi="宋体" w:eastAsia="宋体" w:cs="宋体"/>
          <w:b/>
          <w:bCs/>
          <w:color w:val="auto"/>
          <w:sz w:val="24"/>
          <w:szCs w:val="24"/>
          <w:highlight w:val="none"/>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07ACFD85">
      <w:pPr>
        <w:pStyle w:val="61"/>
        <w:ind w:firstLine="0"/>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附件8：</w:t>
      </w:r>
    </w:p>
    <w:p w14:paraId="6274C53E">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6EA1E00B">
      <w:pPr>
        <w:pStyle w:val="62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5DEF6AAA">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21F96B37">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55DAF529">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22A090">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1DDA0577">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A623B53">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EB13A21">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0F8E9DC">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5615973">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444EE2D">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42BD4A2E">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544FF0">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804E973">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354DAF9">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2A427E37">
      <w:pPr>
        <w:pStyle w:val="61"/>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E642720">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5CC3EAB">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73271C0E">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0671778">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2798C51">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416E5ECD">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9EBD7DE">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32BCB2C4">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487480B2">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1FFAA8C2">
      <w:pPr>
        <w:pStyle w:val="62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bookmarkEnd w:id="405"/>
    <w:bookmarkEnd w:id="406"/>
    <w:p w14:paraId="4ECD8D8C">
      <w:pPr>
        <w:spacing w:line="360" w:lineRule="auto"/>
        <w:rPr>
          <w:rFonts w:hint="eastAsia" w:ascii="宋体" w:hAnsi="宋体" w:eastAsia="宋体" w:cs="宋体"/>
          <w:bCs/>
          <w:color w:val="auto"/>
          <w:sz w:val="24"/>
          <w:highlight w:val="none"/>
        </w:rPr>
      </w:pPr>
    </w:p>
    <w:sectPr>
      <w:headerReference r:id="rId19" w:type="first"/>
      <w:footerReference r:id="rId22" w:type="first"/>
      <w:headerReference r:id="rId18" w:type="default"/>
      <w:footerReference r:id="rId20" w:type="default"/>
      <w:footerReference r:id="rId21" w:type="even"/>
      <w:pgSz w:w="11905" w:h="16838"/>
      <w:pgMar w:top="1247" w:right="1361" w:bottom="1247" w:left="1361" w:header="851" w:footer="850"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0"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Century Gothic">
    <w:altName w:val="Segoe Print"/>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06E54">
    <w:pPr>
      <w:pStyle w:val="40"/>
      <w:framePr w:wrap="around" w:vAnchor="text" w:hAnchor="margin" w:xAlign="right" w:y="1"/>
      <w:rPr>
        <w:rStyle w:val="73"/>
      </w:rPr>
    </w:pPr>
    <w:r>
      <w:fldChar w:fldCharType="begin"/>
    </w:r>
    <w:r>
      <w:rPr>
        <w:rStyle w:val="73"/>
      </w:rPr>
      <w:instrText xml:space="preserve">PAGE  </w:instrText>
    </w:r>
    <w:r>
      <w:fldChar w:fldCharType="end"/>
    </w:r>
  </w:p>
  <w:p w14:paraId="79E48328">
    <w:pPr>
      <w:pStyle w:val="4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BDE22">
    <w:pPr>
      <w:pStyle w:val="40"/>
      <w:framePr w:wrap="around" w:vAnchor="text" w:hAnchor="margin" w:xAlign="right" w:y="1"/>
      <w:rPr>
        <w:rStyle w:val="73"/>
      </w:rPr>
    </w:pPr>
    <w:r>
      <w:fldChar w:fldCharType="begin"/>
    </w:r>
    <w:r>
      <w:rPr>
        <w:rStyle w:val="73"/>
      </w:rPr>
      <w:instrText xml:space="preserve">PAGE  </w:instrText>
    </w:r>
    <w:r>
      <w:fldChar w:fldCharType="end"/>
    </w:r>
  </w:p>
  <w:p w14:paraId="69148A0B">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6609E0">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410" w:name="_Toc164085800"/>
    <w:bookmarkStart w:id="411" w:name="_Toc91899912"/>
    <w:bookmarkStart w:id="412" w:name="_Toc36110187"/>
    <w:bookmarkStart w:id="413" w:name="_Toc131845147"/>
    <w:r>
      <w:rPr>
        <w:rFonts w:hint="eastAsia" w:ascii="仿宋_GB2312" w:eastAsia="仿宋_GB2312"/>
        <w:kern w:val="0"/>
        <w:szCs w:val="21"/>
      </w:rPr>
      <w:t xml:space="preserve"> 页</w:t>
    </w:r>
    <w:bookmarkEnd w:id="410"/>
    <w:bookmarkEnd w:id="411"/>
    <w:bookmarkEnd w:id="412"/>
    <w:bookmarkEnd w:id="41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6A888">
    <w:pPr>
      <w:pStyle w:val="40"/>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5F4338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wrap="none" lIns="0" tIns="0" rIns="0" bIns="0" upright="1">
                      <a:spAutoFit/>
                    </wps:bodyPr>
                  </wps:wsp>
                </a:graphicData>
              </a:graphic>
            </wp:anchor>
          </w:drawing>
        </mc:Choice>
        <mc:Fallback>
          <w:pict>
            <v:rect id="文本框 2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AXvMrFAQAAkAMAAA4AAABkcnMvZTJvRG9jLnhtbK1TzY7TMBC+I/EO&#10;lu80aVd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bHWT/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QF7zKxQEAAJADAAAOAAAAAAAAAAEAIAAAAB8BAABkcnMvZTJvRG9jLnht&#10;bFBLBQYAAAAABgAGAFkBAABWBQAAAAA=&#10;">
              <v:fill on="f" focussize="0,0"/>
              <v:stroke on="f"/>
              <v:imagedata o:title=""/>
              <o:lock v:ext="edit" aspectratio="f"/>
              <v:textbox inset="0mm,0mm,0mm,0mm" style="mso-fit-shape-to-text:t;">
                <w:txbxContent>
                  <w:p w14:paraId="25F4338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D614C">
    <w:pPr>
      <w:pStyle w:val="40"/>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11F9C57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wrap="none" lIns="0" tIns="0" rIns="0" bIns="0" upright="1">
                      <a:spAutoFit/>
                    </wps:bodyPr>
                  </wps:wsp>
                </a:graphicData>
              </a:graphic>
            </wp:anchor>
          </w:drawing>
        </mc:Choice>
        <mc:Fallback>
          <w:pict>
            <v:rect id="文本框 24"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YFxlGxQEAAJADAAAOAAAAAAAAAAEAIAAAAB8BAABkcnMvZTJvRG9jLnht&#10;bFBLBQYAAAAABgAGAFkBAABWBQAAAAA=&#10;">
              <v:fill on="f" focussize="0,0"/>
              <v:stroke on="f"/>
              <v:imagedata o:title=""/>
              <o:lock v:ext="edit" aspectratio="f"/>
              <v:textbox inset="0mm,0mm,0mm,0mm" style="mso-fit-shape-to-text:t;">
                <w:txbxContent>
                  <w:p w14:paraId="11F9C57C">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EE701">
    <w:pPr>
      <w:pStyle w:val="40"/>
      <w:jc w:val="left"/>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3036620">
                          <w:pPr>
                            <w:pStyle w:val="40"/>
                            <w:jc w:val="left"/>
                          </w:pPr>
                        </w:p>
                        <w:p w14:paraId="6FCBD674"/>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4PcV7EAQAAkAMAAA4AAAAAAAAAAQAgAAAAHwEAAGRycy9lMm9Eb2MueG1s&#10;UEsFBgAAAAAGAAYAWQEAAFUFAAAAAA==&#10;">
              <v:fill on="f" focussize="0,0"/>
              <v:stroke on="f"/>
              <v:imagedata o:title=""/>
              <o:lock v:ext="edit" aspectratio="f"/>
              <v:textbox inset="0mm,0mm,0mm,0mm" style="mso-fit-shape-to-text:t;">
                <w:txbxContent>
                  <w:p w14:paraId="33036620">
                    <w:pPr>
                      <w:pStyle w:val="40"/>
                      <w:jc w:val="left"/>
                    </w:pPr>
                  </w:p>
                  <w:p w14:paraId="6FCBD674"/>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70CC2">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17E24F9">
                          <w:pPr>
                            <w:pStyle w:val="40"/>
                            <w:jc w:val="center"/>
                          </w:pPr>
                        </w:p>
                        <w:p w14:paraId="53B55C9B"/>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eHFhZxQEAAJADAAAOAAAAAAAAAAEAIAAAAB8BAABkcnMvZTJvRG9jLnht&#10;bFBLBQYAAAAABgAGAFkBAABWBQAAAAA=&#10;">
              <v:fill on="f" focussize="0,0"/>
              <v:stroke on="f"/>
              <v:imagedata o:title=""/>
              <o:lock v:ext="edit" aspectratio="f"/>
              <v:textbox inset="0mm,0mm,0mm,0mm" style="mso-fit-shape-to-text:t;">
                <w:txbxContent>
                  <w:p w14:paraId="217E24F9">
                    <w:pPr>
                      <w:pStyle w:val="40"/>
                      <w:jc w:val="center"/>
                    </w:pPr>
                  </w:p>
                  <w:p w14:paraId="53B55C9B"/>
                </w:txbxContent>
              </v:textbox>
            </v:rect>
          </w:pict>
        </mc:Fallback>
      </mc:AlternateContent>
    </w:r>
  </w:p>
  <w:p w14:paraId="0D65C81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D7BAC">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0F2BFD29">
                          <w:pPr>
                            <w:pStyle w:val="40"/>
                            <w:jc w:val="center"/>
                          </w:pPr>
                        </w:p>
                        <w:p w14:paraId="4CEF6422"/>
                      </w:txbxContent>
                    </wps:txbx>
                    <wps:bodyPr wrap="none" lIns="0" tIns="0" rIns="0" bIns="0" upright="1">
                      <a:spAutoFit/>
                    </wps:bodyPr>
                  </wps:wsp>
                </a:graphicData>
              </a:graphic>
            </wp:anchor>
          </w:drawing>
        </mc:Choice>
        <mc:Fallback>
          <w:pict>
            <v:rect id="文本框 15" o:spid="_x0000_s1026" o:spt="1"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yKbozEAQAAkAMAAA4AAABkcnMvZTJvRG9jLnhtbK1TzY7TMBC+I/EO&#10;lu80TSV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k5jd0JSwO/fP92+fHr8vMr&#10;K98mf/qAFV17DA8wZUhhEju0YNObZLAhe3q+eqqGyCQVy/VqvV6S3ZLO5oRwiqfPA2C8V96yFNQc&#10;aGjZS3H6gHG8Ol9J3Zy/08ZQXVTG/VUgzFQpEuORY4risB8m4nvfnEluT/OuuaP15sy8d2RnWo05&#10;gDnYz8ExgD50RK3MvDDcHiORyNxShxF2akyDyuqmpUqb8Geeb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FyKbozEAQAAkAMAAA4AAAAAAAAAAQAgAAAAHwEAAGRycy9lMm9Eb2MueG1s&#10;UEsFBgAAAAAGAAYAWQEAAFUFAAAAAA==&#10;">
              <v:fill on="f" focussize="0,0"/>
              <v:stroke on="f"/>
              <v:imagedata o:title=""/>
              <o:lock v:ext="edit" aspectratio="f"/>
              <v:textbox inset="0mm,0mm,0mm,0mm" style="mso-fit-shape-to-text:t;">
                <w:txbxContent>
                  <w:p w14:paraId="0F2BFD29">
                    <w:pPr>
                      <w:pStyle w:val="40"/>
                      <w:jc w:val="center"/>
                    </w:pPr>
                  </w:p>
                  <w:p w14:paraId="4CEF6422"/>
                </w:txbxContent>
              </v:textbox>
            </v:rect>
          </w:pict>
        </mc:Fallback>
      </mc:AlternateContent>
    </w:r>
  </w:p>
  <w:p w14:paraId="438CD05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54D25">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41ED948">
                          <w:pPr>
                            <w:pStyle w:val="40"/>
                            <w:jc w:val="center"/>
                          </w:pPr>
                        </w:p>
                        <w:p w14:paraId="1D904884"/>
                      </w:txbxContent>
                    </wps:txbx>
                    <wps:bodyPr wrap="none" lIns="0" tIns="0" rIns="0" bIns="0" upright="1">
                      <a:spAutoFit/>
                    </wps:bodyPr>
                  </wps:wsp>
                </a:graphicData>
              </a:graphic>
            </wp:anchor>
          </w:drawing>
        </mc:Choice>
        <mc:Fallback>
          <w:pict>
            <v:rect id="文本框 16" o:spid="_x0000_s1026" o:spt="1"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AgGS7FxQEAAJADAAAOAAAAAAAAAAEAIAAAAB8BAABkcnMvZTJvRG9jLnht&#10;bFBLBQYAAAAABgAGAFkBAABWBQAAAAA=&#10;">
              <v:fill on="f" focussize="0,0"/>
              <v:stroke on="f"/>
              <v:imagedata o:title=""/>
              <o:lock v:ext="edit" aspectratio="f"/>
              <v:textbox inset="0mm,0mm,0mm,0mm" style="mso-fit-shape-to-text:t;">
                <w:txbxContent>
                  <w:p w14:paraId="441ED948">
                    <w:pPr>
                      <w:pStyle w:val="40"/>
                      <w:jc w:val="center"/>
                    </w:pPr>
                  </w:p>
                  <w:p w14:paraId="1D904884"/>
                </w:txbxContent>
              </v:textbox>
            </v:rect>
          </w:pict>
        </mc:Fallback>
      </mc:AlternateContent>
    </w:r>
  </w:p>
  <w:p w14:paraId="5D9706A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589A">
    <w:pPr>
      <w:pStyle w:val="40"/>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50898EFD">
                          <w:pPr>
                            <w:pStyle w:val="40"/>
                            <w:jc w:val="center"/>
                          </w:pPr>
                        </w:p>
                        <w:p w14:paraId="3E11FB1C"/>
                      </w:txbxContent>
                    </wps:txbx>
                    <wps:bodyPr wrap="none" lIns="0" tIns="0" rIns="0" bIns="0" upright="1">
                      <a:spAutoFit/>
                    </wps:bodyPr>
                  </wps:wsp>
                </a:graphicData>
              </a:graphic>
            </wp:anchor>
          </w:drawing>
        </mc:Choice>
        <mc:Fallback>
          <w:pict>
            <v:rect id="文本框 17"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KnSfR3EAQAAkQMAAA4AAAAAAAAAAQAgAAAAHwEAAGRycy9lMm9Eb2MueG1s&#10;UEsFBgAAAAAGAAYAWQEAAFUFAAAAAA==&#10;">
              <v:fill on="f" focussize="0,0"/>
              <v:stroke on="f"/>
              <v:imagedata o:title=""/>
              <o:lock v:ext="edit" aspectratio="f"/>
              <v:textbox inset="0mm,0mm,0mm,0mm" style="mso-fit-shape-to-text:t;">
                <w:txbxContent>
                  <w:p w14:paraId="50898EFD">
                    <w:pPr>
                      <w:pStyle w:val="40"/>
                      <w:jc w:val="center"/>
                    </w:pPr>
                  </w:p>
                  <w:p w14:paraId="3E11FB1C"/>
                </w:txbxContent>
              </v:textbox>
            </v:rect>
          </w:pict>
        </mc:Fallback>
      </mc:AlternateContent>
    </w:r>
  </w:p>
  <w:p w14:paraId="645222D7">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195D1">
    <w:pPr>
      <w:pStyle w:val="40"/>
      <w:rPr>
        <w:rFonts w:ascii="仿宋_GB2312" w:eastAsia="仿宋_GB2312"/>
        <w:szCs w:val="24"/>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528432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wps:txbx>
                    <wps:bodyPr wrap="none" lIns="0" tIns="0" rIns="0" bIns="0" upright="1">
                      <a:spAutoFit/>
                    </wps:bodyPr>
                  </wps:wsp>
                </a:graphicData>
              </a:graphic>
            </wp:anchor>
          </w:drawing>
        </mc:Choice>
        <mc:Fallback>
          <w:pict>
            <v:rect id="文本框 34"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DlEwn6xQEAAJADAAAOAAAAAAAAAAEAIAAAAB8BAABkcnMvZTJvRG9jLnht&#10;bFBLBQYAAAAABgAGAFkBAABWBQAAAAA=&#10;">
              <v:fill on="f" focussize="0,0"/>
              <v:stroke on="f"/>
              <v:imagedata o:title=""/>
              <o:lock v:ext="edit" aspectratio="f"/>
              <v:textbox inset="0mm,0mm,0mm,0mm" style="mso-fit-shape-to-text:t;">
                <w:txbxContent>
                  <w:p w14:paraId="25284322">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89</w:t>
                    </w:r>
                    <w:r>
                      <w:fldChar w:fldCharType="end"/>
                    </w:r>
                    <w: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7455">
    <w:pPr>
      <w:pStyle w:val="42"/>
      <w:pBdr>
        <w:bottom w:val="single" w:color="auto" w:sz="6" w:space="4"/>
      </w:pBdr>
      <w:jc w:val="both"/>
    </w:pPr>
    <w:r>
      <w:t></w:t>
    </w:r>
  </w:p>
  <w:p w14:paraId="118351B6">
    <w:pPr>
      <w:pStyle w:val="42"/>
      <w:pBdr>
        <w:bottom w:val="single" w:color="auto" w:sz="6" w:space="4"/>
      </w:pBdr>
      <w:jc w:val="both"/>
      <w:rPr>
        <w:rFonts w:ascii="仿宋_GB2312" w:eastAsia="仿宋_GB2312"/>
        <w:b w:val="0"/>
        <w:i/>
        <w:sz w:val="18"/>
        <w:u w:val="single"/>
        <w:lang w:val="en-US"/>
      </w:rPr>
    </w:pPr>
    <w:r>
      <w:t></w:t>
    </w: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lang w:val="en-US" w:eastAsia="zh-CN"/>
      </w:rPr>
      <w:t xml:space="preserve">                                            </w:t>
    </w:r>
    <w:r>
      <w:rPr>
        <w:rFonts w:hint="eastAsia"/>
        <w:lang w:eastAsia="zh-CN"/>
      </w:rPr>
      <w:t>海标工程管理有限公司采购招标文件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22BEC">
    <w:pPr>
      <w:pStyle w:val="42"/>
      <w:pBdr>
        <w:bottom w:val="single" w:color="auto" w:sz="6" w:space="0"/>
      </w:pBdr>
      <w:tabs>
        <w:tab w:val="center" w:pos="4535"/>
        <w:tab w:val="right" w:pos="9070"/>
        <w:tab w:val="clear" w:pos="4153"/>
        <w:tab w:val="clear" w:pos="8306"/>
      </w:tabs>
      <w:jc w:val="right"/>
    </w:pP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rPr>
        <w:lang w:val="zh-CN"/>
      </w:rPr>
      <w:t></w:t>
    </w:r>
    <w:r>
      <w:tab/>
    </w:r>
    <w:r>
      <w:rPr>
        <w:lang w:val="zh-CN"/>
      </w:rPr>
      <w:t></w:t>
    </w:r>
    <w:r>
      <w:tab/>
    </w:r>
    <w:r>
      <w:rPr>
        <w:rFonts w:hint="eastAsia"/>
        <w:lang w:eastAsia="zh-CN"/>
      </w:rPr>
      <w:t>海标工程管理有限公司采购招标文件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C10C">
    <w:pPr>
      <w:pStyle w:val="59"/>
      <w:tabs>
        <w:tab w:val="center" w:pos="4535"/>
        <w:tab w:val="right" w:pos="9070"/>
      </w:tabs>
      <w:ind w:firstLine="180" w:firstLineChars="100"/>
      <w:jc w:val="both"/>
      <w:rPr>
        <w:rFonts w:ascii="仿宋_GB2312" w:eastAsia="仿宋_GB2312"/>
        <w:b w:val="0"/>
        <w:bCs w:val="0"/>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AD666">
    <w:pPr>
      <w:pStyle w:val="42"/>
      <w:rPr>
        <w:rFonts w:ascii="仿宋_GB2312" w:eastAsia="仿宋_GB2312"/>
        <w:b/>
        <w:i/>
        <w:u w:val="single"/>
      </w:rPr>
    </w:pPr>
    <w:r>
      <w:t></w:t>
    </w:r>
    <w:r>
      <w:rPr>
        <w:rFonts w:hint="eastAsia"/>
      </w:rPr>
      <w:t xml:space="preserve">                                                  </w:t>
    </w:r>
    <w:r>
      <w:t>杭州市政府采购公开招标文件</w:t>
    </w:r>
  </w:p>
  <w:p w14:paraId="092C5D0F">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EF681">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9D4A">
    <w:pPr>
      <w:pStyle w:val="42"/>
      <w:jc w:val="right"/>
      <w:rPr>
        <w:rFonts w:ascii="仿宋_GB2312" w:eastAsia="仿宋_GB2312"/>
        <w:b/>
        <w:i/>
        <w:u w:val="single"/>
      </w:rPr>
    </w:pPr>
    <w:r>
      <w:rPr>
        <w:rFonts w:hint="eastAsia"/>
      </w:rPr>
      <w:t xml:space="preserve">                                  </w:t>
    </w:r>
    <w:r>
      <w:t>杭州市政府采购公开招标文件</w:t>
    </w:r>
  </w:p>
  <w:p w14:paraId="0C851E78">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51C3">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A01F1">
    <w:pPr>
      <w:pStyle w:val="42"/>
      <w:pBdr>
        <w:bottom w:val="single" w:color="auto" w:sz="6" w:space="4"/>
      </w:pBdr>
      <w:jc w:val="both"/>
      <w:rPr>
        <w:rFonts w:ascii="仿宋_GB2312" w:eastAsia="仿宋_GB2312"/>
        <w:b/>
        <w:i/>
        <w:iCs/>
        <w:u w:val="single"/>
      </w:rPr>
    </w:pPr>
    <w:r>
      <w:rPr>
        <w:rFonts w:ascii="Times New Roman" w:hAnsi="Times New Roman" w:eastAsia="宋体" w:cs="Times New Roman"/>
        <w:kern w:val="2"/>
        <w:sz w:val="18"/>
        <w:szCs w:val="18"/>
        <w:lang w:val="en-US" w:eastAsia="zh-CN" w:bidi="ar-SA"/>
      </w:rPr>
      <w:drawing>
        <wp:inline distT="0" distB="0" distL="114300" distR="114300">
          <wp:extent cx="661670" cy="501015"/>
          <wp:effectExtent l="0" t="0" r="5080" b="1333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
                    <a:lum/>
                  </a:blip>
                  <a:srcRect l="15965" t="12376" r="24178" b="24432"/>
                  <a:stretch>
                    <a:fillRect/>
                  </a:stretch>
                </pic:blipFill>
                <pic:spPr>
                  <a:xfrm>
                    <a:off x="0" y="0"/>
                    <a:ext cx="661670" cy="501015"/>
                  </a:xfrm>
                  <a:prstGeom prst="rect">
                    <a:avLst/>
                  </a:prstGeom>
                  <a:noFill/>
                  <a:ln>
                    <a:noFill/>
                  </a:ln>
                </pic:spPr>
              </pic:pic>
            </a:graphicData>
          </a:graphic>
        </wp:inline>
      </w:drawing>
    </w:r>
    <w:r>
      <w:t></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eastAsia="zh-CN"/>
      </w:rPr>
      <w:t>海标工程管理有限公司采购招标文件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AC4E0">
    <w:pPr>
      <w:pStyle w:val="42"/>
      <w:pBdr>
        <w:bottom w:val="single" w:color="auto" w:sz="6" w:space="4"/>
      </w:pBdr>
      <w:jc w:val="right"/>
    </w:pPr>
    <w:r>
      <w:t></w:t>
    </w:r>
    <w:r>
      <w:rPr>
        <w:rFonts w:hint="eastAsia"/>
      </w:rPr>
      <w:t xml:space="preserve">                                         </w:t>
    </w:r>
    <w:r>
      <w:t></w:t>
    </w:r>
    <w:r>
      <w:rPr>
        <w:rFonts w:ascii="Times New Roman" w:hAnsi="Times New Roman" w:eastAsia="宋体" w:cs="Times New Roman"/>
        <w:kern w:val="2"/>
        <w:sz w:val="18"/>
        <w:szCs w:val="18"/>
        <w:lang w:val="en-US" w:eastAsia="zh-CN" w:bidi="ar-SA"/>
      </w:rPr>
      <w:drawing>
        <wp:inline distT="0" distB="0" distL="114300" distR="114300">
          <wp:extent cx="243840" cy="227330"/>
          <wp:effectExtent l="0" t="0" r="3810" b="127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
                    <a:lum/>
                  </a:blip>
                  <a:stretch>
                    <a:fillRect/>
                  </a:stretch>
                </pic:blipFill>
                <pic:spPr>
                  <a:xfrm>
                    <a:off x="0" y="0"/>
                    <a:ext cx="243840" cy="227330"/>
                  </a:xfrm>
                  <a:prstGeom prst="rect">
                    <a:avLst/>
                  </a:prstGeom>
                  <a:noFill/>
                  <a:ln>
                    <a:noFill/>
                  </a:ln>
                </pic:spPr>
              </pic:pic>
            </a:graphicData>
          </a:graphic>
        </wp:inline>
      </w:drawing>
    </w:r>
    <w:r>
      <w:t></w:t>
    </w:r>
    <w:r>
      <w:rPr>
        <w:rFonts w:hint="eastAsia"/>
      </w:rPr>
      <w:t xml:space="preserve">                                     </w:t>
    </w:r>
    <w:r>
      <w:rPr>
        <w:rFonts w:hint="eastAsia"/>
        <w:lang w:eastAsia="zh-CN"/>
      </w:rPr>
      <w:t>海标工程管理有限公司采购招标文件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0DB41"/>
    <w:multiLevelType w:val="singleLevel"/>
    <w:tmpl w:val="C350DB41"/>
    <w:lvl w:ilvl="0" w:tentative="0">
      <w:start w:val="3"/>
      <w:numFmt w:val="chineseCounting"/>
      <w:suff w:val="space"/>
      <w:lvlText w:val="第%1部分"/>
      <w:lvlJc w:val="left"/>
      <w:rPr>
        <w:rFonts w:hint="eastAsia"/>
      </w:rPr>
    </w:lvl>
  </w:abstractNum>
  <w:abstractNum w:abstractNumId="1">
    <w:nsid w:val="DEE51904"/>
    <w:multiLevelType w:val="singleLevel"/>
    <w:tmpl w:val="DEE51904"/>
    <w:lvl w:ilvl="0" w:tentative="0">
      <w:start w:val="1"/>
      <w:numFmt w:val="lowerLetter"/>
      <w:suff w:val="space"/>
      <w:lvlText w:val="%1)"/>
      <w:lvlJc w:val="left"/>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14"/>
    <w:multiLevelType w:val="multilevel"/>
    <w:tmpl w:val="00000014"/>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4">
    <w:nsid w:val="00000020"/>
    <w:multiLevelType w:val="singleLevel"/>
    <w:tmpl w:val="00000020"/>
    <w:lvl w:ilvl="0" w:tentative="0">
      <w:start w:val="1"/>
      <w:numFmt w:val="bullet"/>
      <w:lvlText w:val=""/>
      <w:lvlJc w:val="left"/>
      <w:pPr>
        <w:ind w:left="420" w:hanging="420"/>
      </w:pPr>
      <w:rPr>
        <w:rFonts w:hint="default" w:ascii="Wingdings" w:hAnsi="Wingdings"/>
      </w:rPr>
    </w:lvl>
  </w:abstractNum>
  <w:abstractNum w:abstractNumId="5">
    <w:nsid w:val="0100817D"/>
    <w:multiLevelType w:val="singleLevel"/>
    <w:tmpl w:val="0100817D"/>
    <w:lvl w:ilvl="0" w:tentative="0">
      <w:start w:val="1"/>
      <w:numFmt w:val="decimal"/>
      <w:suff w:val="nothing"/>
      <w:lvlText w:val="%1）"/>
      <w:lvlJc w:val="left"/>
    </w:lvl>
  </w:abstractNum>
  <w:abstractNum w:abstractNumId="6">
    <w:nsid w:val="058EA950"/>
    <w:multiLevelType w:val="singleLevel"/>
    <w:tmpl w:val="058EA950"/>
    <w:lvl w:ilvl="0" w:tentative="0">
      <w:start w:val="1"/>
      <w:numFmt w:val="decimal"/>
      <w:suff w:val="nothing"/>
      <w:lvlText w:val="%1）"/>
      <w:lvlJc w:val="left"/>
    </w:lvl>
  </w:abstractNum>
  <w:abstractNum w:abstractNumId="7">
    <w:nsid w:val="11953204"/>
    <w:multiLevelType w:val="multilevel"/>
    <w:tmpl w:val="119532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7152F84"/>
    <w:multiLevelType w:val="singleLevel"/>
    <w:tmpl w:val="27152F84"/>
    <w:lvl w:ilvl="0" w:tentative="0">
      <w:start w:val="1"/>
      <w:numFmt w:val="bullet"/>
      <w:lvlText w:val=""/>
      <w:lvlJc w:val="left"/>
      <w:pPr>
        <w:ind w:left="420" w:hanging="420"/>
      </w:pPr>
      <w:rPr>
        <w:rFonts w:hint="default" w:ascii="Wingdings" w:hAnsi="Wingdings"/>
      </w:rPr>
    </w:lvl>
  </w:abstractNum>
  <w:abstractNum w:abstractNumId="9">
    <w:nsid w:val="3BF90C42"/>
    <w:multiLevelType w:val="multilevel"/>
    <w:tmpl w:val="3BF90C42"/>
    <w:lvl w:ilvl="0" w:tentative="0">
      <w:start w:val="1"/>
      <w:numFmt w:val="decimalEnclosedCircle"/>
      <w:lvlText w:val="%1"/>
      <w:lvlJc w:val="left"/>
      <w:pPr>
        <w:ind w:left="785" w:hanging="360"/>
      </w:pPr>
      <w:rPr>
        <w:rFonts w:hint="default" w:ascii="宋体" w:hAnsi="宋体" w:cs="宋体"/>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0">
    <w:nsid w:val="475D7739"/>
    <w:multiLevelType w:val="multilevel"/>
    <w:tmpl w:val="475D7739"/>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81B7F77"/>
    <w:multiLevelType w:val="singleLevel"/>
    <w:tmpl w:val="481B7F77"/>
    <w:lvl w:ilvl="0" w:tentative="0">
      <w:start w:val="1"/>
      <w:numFmt w:val="decimal"/>
      <w:suff w:val="space"/>
      <w:lvlText w:val="（%1）"/>
      <w:lvlJc w:val="left"/>
    </w:lvl>
  </w:abstractNum>
  <w:abstractNum w:abstractNumId="12">
    <w:nsid w:val="5646DF1F"/>
    <w:multiLevelType w:val="singleLevel"/>
    <w:tmpl w:val="5646DF1F"/>
    <w:lvl w:ilvl="0" w:tentative="0">
      <w:start w:val="1"/>
      <w:numFmt w:val="decimal"/>
      <w:suff w:val="nothing"/>
      <w:lvlText w:val="%1．"/>
      <w:lvlJc w:val="left"/>
      <w:pPr>
        <w:ind w:left="0" w:firstLine="400"/>
      </w:pPr>
    </w:lvl>
  </w:abstractNum>
  <w:abstractNum w:abstractNumId="13">
    <w:nsid w:val="654A1612"/>
    <w:multiLevelType w:val="multilevel"/>
    <w:tmpl w:val="654A1612"/>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6"/>
  </w:num>
  <w:num w:numId="3">
    <w:abstractNumId w:val="5"/>
  </w:num>
  <w:num w:numId="4">
    <w:abstractNumId w:val="3"/>
  </w:num>
  <w:num w:numId="5">
    <w:abstractNumId w:val="13"/>
  </w:num>
  <w:num w:numId="6">
    <w:abstractNumId w:val="4"/>
  </w:num>
  <w:num w:numId="7">
    <w:abstractNumId w:val="11"/>
  </w:num>
  <w:num w:numId="8">
    <w:abstractNumId w:val="8"/>
  </w:num>
  <w:num w:numId="9">
    <w:abstractNumId w:val="1"/>
  </w:num>
  <w:num w:numId="10">
    <w:abstractNumId w:val="12"/>
    <w:lvlOverride w:ilvl="0">
      <w:startOverride w:val="1"/>
    </w:lvlOverride>
  </w:num>
  <w:num w:numId="11">
    <w:abstractNumId w:val="9"/>
  </w:num>
  <w:num w:numId="12">
    <w:abstractNumId w:val="1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mYyZTJmNTcyMzBmMmVhNmYyY2EzYjY4ZTMxNm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A6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68C"/>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99"/>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6810"/>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43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50"/>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857"/>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31D"/>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4AEA"/>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20E1"/>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4F5E"/>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441"/>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A6538"/>
    <w:rsid w:val="011F6449"/>
    <w:rsid w:val="01236AFB"/>
    <w:rsid w:val="01565C22"/>
    <w:rsid w:val="01963C43"/>
    <w:rsid w:val="01987FE8"/>
    <w:rsid w:val="019E1F5B"/>
    <w:rsid w:val="019F7441"/>
    <w:rsid w:val="01B37585"/>
    <w:rsid w:val="01D55165"/>
    <w:rsid w:val="01DF6BF8"/>
    <w:rsid w:val="01E70628"/>
    <w:rsid w:val="01EC2C57"/>
    <w:rsid w:val="01FB2325"/>
    <w:rsid w:val="020C0B3B"/>
    <w:rsid w:val="021A0C65"/>
    <w:rsid w:val="021F4265"/>
    <w:rsid w:val="024737BC"/>
    <w:rsid w:val="0250441F"/>
    <w:rsid w:val="025C7268"/>
    <w:rsid w:val="0261662C"/>
    <w:rsid w:val="026B2E25"/>
    <w:rsid w:val="0273635F"/>
    <w:rsid w:val="02785724"/>
    <w:rsid w:val="02792609"/>
    <w:rsid w:val="02824D4D"/>
    <w:rsid w:val="02B5285C"/>
    <w:rsid w:val="02DC4B10"/>
    <w:rsid w:val="02DD76CE"/>
    <w:rsid w:val="02E4100B"/>
    <w:rsid w:val="02F36323"/>
    <w:rsid w:val="02F5619C"/>
    <w:rsid w:val="031D160A"/>
    <w:rsid w:val="0326446A"/>
    <w:rsid w:val="032D29B2"/>
    <w:rsid w:val="032D5555"/>
    <w:rsid w:val="0331750E"/>
    <w:rsid w:val="033B50CF"/>
    <w:rsid w:val="03653EFA"/>
    <w:rsid w:val="036634D2"/>
    <w:rsid w:val="036A103F"/>
    <w:rsid w:val="036F4D79"/>
    <w:rsid w:val="037153A5"/>
    <w:rsid w:val="037B7F18"/>
    <w:rsid w:val="038D3451"/>
    <w:rsid w:val="03B86720"/>
    <w:rsid w:val="03D35490"/>
    <w:rsid w:val="03D60954"/>
    <w:rsid w:val="03D8291E"/>
    <w:rsid w:val="03DD35E4"/>
    <w:rsid w:val="03EC0177"/>
    <w:rsid w:val="03FD5347"/>
    <w:rsid w:val="03FD5D52"/>
    <w:rsid w:val="04076900"/>
    <w:rsid w:val="04082AD7"/>
    <w:rsid w:val="041044BF"/>
    <w:rsid w:val="04113141"/>
    <w:rsid w:val="041A5A3B"/>
    <w:rsid w:val="041D54C1"/>
    <w:rsid w:val="041F054D"/>
    <w:rsid w:val="042311BA"/>
    <w:rsid w:val="04243DB5"/>
    <w:rsid w:val="042B157A"/>
    <w:rsid w:val="042F4508"/>
    <w:rsid w:val="0431202E"/>
    <w:rsid w:val="0442248D"/>
    <w:rsid w:val="04572AFD"/>
    <w:rsid w:val="045A1585"/>
    <w:rsid w:val="04850807"/>
    <w:rsid w:val="048F763B"/>
    <w:rsid w:val="049F330E"/>
    <w:rsid w:val="04AA775C"/>
    <w:rsid w:val="04AF1889"/>
    <w:rsid w:val="04B70785"/>
    <w:rsid w:val="04D00868"/>
    <w:rsid w:val="04DC643E"/>
    <w:rsid w:val="04E43544"/>
    <w:rsid w:val="04E627DB"/>
    <w:rsid w:val="04E84DE3"/>
    <w:rsid w:val="04F25C61"/>
    <w:rsid w:val="04F66F48"/>
    <w:rsid w:val="05094D59"/>
    <w:rsid w:val="05251E14"/>
    <w:rsid w:val="053022E6"/>
    <w:rsid w:val="0543026B"/>
    <w:rsid w:val="05453E1F"/>
    <w:rsid w:val="055B4129"/>
    <w:rsid w:val="056B1570"/>
    <w:rsid w:val="057523EE"/>
    <w:rsid w:val="057C377D"/>
    <w:rsid w:val="05A16594"/>
    <w:rsid w:val="05A7762D"/>
    <w:rsid w:val="05AB7BBE"/>
    <w:rsid w:val="05BD626F"/>
    <w:rsid w:val="05CC0260"/>
    <w:rsid w:val="05D8564B"/>
    <w:rsid w:val="05DD06BF"/>
    <w:rsid w:val="05EE2510"/>
    <w:rsid w:val="060774EA"/>
    <w:rsid w:val="060E5941"/>
    <w:rsid w:val="06110FAF"/>
    <w:rsid w:val="06451DC1"/>
    <w:rsid w:val="06493CA7"/>
    <w:rsid w:val="06565D7C"/>
    <w:rsid w:val="065A6178"/>
    <w:rsid w:val="065E2E82"/>
    <w:rsid w:val="066761DB"/>
    <w:rsid w:val="066F1CF3"/>
    <w:rsid w:val="06826B71"/>
    <w:rsid w:val="06930BB8"/>
    <w:rsid w:val="0696086E"/>
    <w:rsid w:val="069976E5"/>
    <w:rsid w:val="069F3BC7"/>
    <w:rsid w:val="06A64450"/>
    <w:rsid w:val="06B37672"/>
    <w:rsid w:val="06C158EB"/>
    <w:rsid w:val="06DE01DA"/>
    <w:rsid w:val="06FF6413"/>
    <w:rsid w:val="07195727"/>
    <w:rsid w:val="0721282E"/>
    <w:rsid w:val="07245D42"/>
    <w:rsid w:val="07264C62"/>
    <w:rsid w:val="0744651C"/>
    <w:rsid w:val="074E2EF7"/>
    <w:rsid w:val="07500A1D"/>
    <w:rsid w:val="07596DEE"/>
    <w:rsid w:val="075F5104"/>
    <w:rsid w:val="07610E7C"/>
    <w:rsid w:val="077616B7"/>
    <w:rsid w:val="0779354C"/>
    <w:rsid w:val="077A3CEC"/>
    <w:rsid w:val="07996868"/>
    <w:rsid w:val="07D258D6"/>
    <w:rsid w:val="07DB29DD"/>
    <w:rsid w:val="07E44D78"/>
    <w:rsid w:val="07FB11CA"/>
    <w:rsid w:val="08061376"/>
    <w:rsid w:val="080A5070"/>
    <w:rsid w:val="08404F36"/>
    <w:rsid w:val="08452D77"/>
    <w:rsid w:val="08493DEA"/>
    <w:rsid w:val="08512C9F"/>
    <w:rsid w:val="085207C5"/>
    <w:rsid w:val="086401F8"/>
    <w:rsid w:val="086724C2"/>
    <w:rsid w:val="08751CAA"/>
    <w:rsid w:val="087E4C40"/>
    <w:rsid w:val="08AC1247"/>
    <w:rsid w:val="08AC25CB"/>
    <w:rsid w:val="08D66AD6"/>
    <w:rsid w:val="08DA33A3"/>
    <w:rsid w:val="08DD09D6"/>
    <w:rsid w:val="08E04023"/>
    <w:rsid w:val="08E21B49"/>
    <w:rsid w:val="08E80F13"/>
    <w:rsid w:val="08FA50E4"/>
    <w:rsid w:val="08FD2E27"/>
    <w:rsid w:val="09121943"/>
    <w:rsid w:val="09187C60"/>
    <w:rsid w:val="092A7248"/>
    <w:rsid w:val="09335624"/>
    <w:rsid w:val="09336848"/>
    <w:rsid w:val="093525C0"/>
    <w:rsid w:val="0944690F"/>
    <w:rsid w:val="09535675"/>
    <w:rsid w:val="095F057D"/>
    <w:rsid w:val="09642282"/>
    <w:rsid w:val="09706D78"/>
    <w:rsid w:val="09733572"/>
    <w:rsid w:val="09765F64"/>
    <w:rsid w:val="09772C16"/>
    <w:rsid w:val="097E7AC3"/>
    <w:rsid w:val="098353B5"/>
    <w:rsid w:val="09903C9B"/>
    <w:rsid w:val="0995377E"/>
    <w:rsid w:val="09954E0D"/>
    <w:rsid w:val="09A55785"/>
    <w:rsid w:val="09A60DC8"/>
    <w:rsid w:val="09A92330"/>
    <w:rsid w:val="09B06B87"/>
    <w:rsid w:val="09C13146"/>
    <w:rsid w:val="09E04166"/>
    <w:rsid w:val="0A07673B"/>
    <w:rsid w:val="0A0C1573"/>
    <w:rsid w:val="0A1C0718"/>
    <w:rsid w:val="0A3B7D5A"/>
    <w:rsid w:val="0A3E7710"/>
    <w:rsid w:val="0A464179"/>
    <w:rsid w:val="0A5B7E63"/>
    <w:rsid w:val="0A6A44EC"/>
    <w:rsid w:val="0A6C0360"/>
    <w:rsid w:val="0A786C09"/>
    <w:rsid w:val="0AA07F0D"/>
    <w:rsid w:val="0AA374A5"/>
    <w:rsid w:val="0AAB7649"/>
    <w:rsid w:val="0AAE43D8"/>
    <w:rsid w:val="0AB74832"/>
    <w:rsid w:val="0ABC5606"/>
    <w:rsid w:val="0ACA3A79"/>
    <w:rsid w:val="0ACB31DC"/>
    <w:rsid w:val="0AD16319"/>
    <w:rsid w:val="0AF3003D"/>
    <w:rsid w:val="0B016BFE"/>
    <w:rsid w:val="0B30404E"/>
    <w:rsid w:val="0B4C6C14"/>
    <w:rsid w:val="0B623F32"/>
    <w:rsid w:val="0B631A88"/>
    <w:rsid w:val="0B683D45"/>
    <w:rsid w:val="0B7C0033"/>
    <w:rsid w:val="0B7F3F11"/>
    <w:rsid w:val="0B884417"/>
    <w:rsid w:val="0B94510B"/>
    <w:rsid w:val="0BE36D78"/>
    <w:rsid w:val="0BF6188C"/>
    <w:rsid w:val="0BF73C91"/>
    <w:rsid w:val="0C020C9C"/>
    <w:rsid w:val="0C082ECB"/>
    <w:rsid w:val="0C170175"/>
    <w:rsid w:val="0C286ADE"/>
    <w:rsid w:val="0C335A90"/>
    <w:rsid w:val="0C4D233B"/>
    <w:rsid w:val="0C571A41"/>
    <w:rsid w:val="0C5C1171"/>
    <w:rsid w:val="0C5E1CBC"/>
    <w:rsid w:val="0C615B50"/>
    <w:rsid w:val="0C765D1C"/>
    <w:rsid w:val="0C8445DA"/>
    <w:rsid w:val="0C87121B"/>
    <w:rsid w:val="0CA77331"/>
    <w:rsid w:val="0CAC2B9A"/>
    <w:rsid w:val="0CB67574"/>
    <w:rsid w:val="0CBC7DF3"/>
    <w:rsid w:val="0CC007F7"/>
    <w:rsid w:val="0CD81BE1"/>
    <w:rsid w:val="0CF32576"/>
    <w:rsid w:val="0CFD33F5"/>
    <w:rsid w:val="0CFE707A"/>
    <w:rsid w:val="0D063BDA"/>
    <w:rsid w:val="0D08375F"/>
    <w:rsid w:val="0D184CFB"/>
    <w:rsid w:val="0D1F336B"/>
    <w:rsid w:val="0D26294C"/>
    <w:rsid w:val="0D2A4B0B"/>
    <w:rsid w:val="0D307327"/>
    <w:rsid w:val="0D4A7419"/>
    <w:rsid w:val="0D553231"/>
    <w:rsid w:val="0D5A6FF5"/>
    <w:rsid w:val="0D827401"/>
    <w:rsid w:val="0D84094E"/>
    <w:rsid w:val="0D8A00E9"/>
    <w:rsid w:val="0D8D589E"/>
    <w:rsid w:val="0D9553DC"/>
    <w:rsid w:val="0DA01C73"/>
    <w:rsid w:val="0DB77A48"/>
    <w:rsid w:val="0DC217CB"/>
    <w:rsid w:val="0DD34156"/>
    <w:rsid w:val="0DD63300"/>
    <w:rsid w:val="0DEE0F90"/>
    <w:rsid w:val="0DF06AB6"/>
    <w:rsid w:val="0DF50604"/>
    <w:rsid w:val="0DF702FE"/>
    <w:rsid w:val="0E060E51"/>
    <w:rsid w:val="0E1C3D4F"/>
    <w:rsid w:val="0E2D3866"/>
    <w:rsid w:val="0E343A54"/>
    <w:rsid w:val="0E417970"/>
    <w:rsid w:val="0E527771"/>
    <w:rsid w:val="0E5604B2"/>
    <w:rsid w:val="0E585389"/>
    <w:rsid w:val="0E6D5D79"/>
    <w:rsid w:val="0E7B2823"/>
    <w:rsid w:val="0E984C6B"/>
    <w:rsid w:val="0E9D0089"/>
    <w:rsid w:val="0E9E29B6"/>
    <w:rsid w:val="0EA224A6"/>
    <w:rsid w:val="0EB16245"/>
    <w:rsid w:val="0EB803EE"/>
    <w:rsid w:val="0EC75E0E"/>
    <w:rsid w:val="0EF94D4B"/>
    <w:rsid w:val="0EFC5FC5"/>
    <w:rsid w:val="0F1B7B63"/>
    <w:rsid w:val="0F335DCE"/>
    <w:rsid w:val="0F492922"/>
    <w:rsid w:val="0F4958DC"/>
    <w:rsid w:val="0F4F5A5E"/>
    <w:rsid w:val="0F515DF7"/>
    <w:rsid w:val="0F596BA8"/>
    <w:rsid w:val="0F5C1C1F"/>
    <w:rsid w:val="0F6248D2"/>
    <w:rsid w:val="0F6459AD"/>
    <w:rsid w:val="0F693536"/>
    <w:rsid w:val="0F704352"/>
    <w:rsid w:val="0F71204C"/>
    <w:rsid w:val="0F735BF1"/>
    <w:rsid w:val="0F76748F"/>
    <w:rsid w:val="0F7A0D2D"/>
    <w:rsid w:val="0F7B0511"/>
    <w:rsid w:val="0F7B76D9"/>
    <w:rsid w:val="0F816ACD"/>
    <w:rsid w:val="0F931DEF"/>
    <w:rsid w:val="0F9832DB"/>
    <w:rsid w:val="0F9D4A1B"/>
    <w:rsid w:val="0F9F2542"/>
    <w:rsid w:val="0FB35FED"/>
    <w:rsid w:val="0FBD50BE"/>
    <w:rsid w:val="0FBF3FD2"/>
    <w:rsid w:val="0FBF7FF3"/>
    <w:rsid w:val="0FDD12BC"/>
    <w:rsid w:val="0FF46D31"/>
    <w:rsid w:val="10142F30"/>
    <w:rsid w:val="10150A56"/>
    <w:rsid w:val="102E38C6"/>
    <w:rsid w:val="105552F6"/>
    <w:rsid w:val="105A290D"/>
    <w:rsid w:val="10646583"/>
    <w:rsid w:val="1077526D"/>
    <w:rsid w:val="107D4B15"/>
    <w:rsid w:val="108300B5"/>
    <w:rsid w:val="108A3C80"/>
    <w:rsid w:val="10987B43"/>
    <w:rsid w:val="109D3676"/>
    <w:rsid w:val="10A02A15"/>
    <w:rsid w:val="10B43302"/>
    <w:rsid w:val="10BE1919"/>
    <w:rsid w:val="10C26171"/>
    <w:rsid w:val="10C34956"/>
    <w:rsid w:val="10F33360"/>
    <w:rsid w:val="10FA61E7"/>
    <w:rsid w:val="10FC16EA"/>
    <w:rsid w:val="110F1D40"/>
    <w:rsid w:val="11186A50"/>
    <w:rsid w:val="11266F33"/>
    <w:rsid w:val="11286567"/>
    <w:rsid w:val="113A4C18"/>
    <w:rsid w:val="11586174"/>
    <w:rsid w:val="118963A1"/>
    <w:rsid w:val="118E5E8D"/>
    <w:rsid w:val="11967974"/>
    <w:rsid w:val="119C0A50"/>
    <w:rsid w:val="11C6522A"/>
    <w:rsid w:val="11D737C8"/>
    <w:rsid w:val="11E104CC"/>
    <w:rsid w:val="11E20309"/>
    <w:rsid w:val="11E74269"/>
    <w:rsid w:val="11FA6155"/>
    <w:rsid w:val="12137217"/>
    <w:rsid w:val="12152F8F"/>
    <w:rsid w:val="12255233"/>
    <w:rsid w:val="122D02D9"/>
    <w:rsid w:val="12435D4E"/>
    <w:rsid w:val="12530213"/>
    <w:rsid w:val="12575356"/>
    <w:rsid w:val="125846A7"/>
    <w:rsid w:val="125F245C"/>
    <w:rsid w:val="126D6927"/>
    <w:rsid w:val="127723A9"/>
    <w:rsid w:val="12862074"/>
    <w:rsid w:val="12883966"/>
    <w:rsid w:val="128C5971"/>
    <w:rsid w:val="12945C5A"/>
    <w:rsid w:val="129E00B8"/>
    <w:rsid w:val="129E45B4"/>
    <w:rsid w:val="12A47D0D"/>
    <w:rsid w:val="12A61E39"/>
    <w:rsid w:val="12C80001"/>
    <w:rsid w:val="12CD27E6"/>
    <w:rsid w:val="12D81596"/>
    <w:rsid w:val="12E675F8"/>
    <w:rsid w:val="12EA7F78"/>
    <w:rsid w:val="12F42BA4"/>
    <w:rsid w:val="13072A44"/>
    <w:rsid w:val="13217712"/>
    <w:rsid w:val="13385187"/>
    <w:rsid w:val="13531204"/>
    <w:rsid w:val="135E2714"/>
    <w:rsid w:val="135F4BE2"/>
    <w:rsid w:val="13734411"/>
    <w:rsid w:val="13854144"/>
    <w:rsid w:val="13951B3B"/>
    <w:rsid w:val="139A7BF0"/>
    <w:rsid w:val="139B1A0A"/>
    <w:rsid w:val="139D25C7"/>
    <w:rsid w:val="13AF4D1D"/>
    <w:rsid w:val="13B14F39"/>
    <w:rsid w:val="13BF3CE4"/>
    <w:rsid w:val="13C330A8"/>
    <w:rsid w:val="13D6674E"/>
    <w:rsid w:val="13E7631D"/>
    <w:rsid w:val="13E83E31"/>
    <w:rsid w:val="13F05A62"/>
    <w:rsid w:val="13FA41EA"/>
    <w:rsid w:val="13FA68E0"/>
    <w:rsid w:val="140009C8"/>
    <w:rsid w:val="1404348D"/>
    <w:rsid w:val="140E413A"/>
    <w:rsid w:val="141008D8"/>
    <w:rsid w:val="14125FE6"/>
    <w:rsid w:val="14164D9C"/>
    <w:rsid w:val="143108FD"/>
    <w:rsid w:val="14357918"/>
    <w:rsid w:val="143B7FF8"/>
    <w:rsid w:val="14636234"/>
    <w:rsid w:val="146D271E"/>
    <w:rsid w:val="14883EEC"/>
    <w:rsid w:val="148B7538"/>
    <w:rsid w:val="148C77D0"/>
    <w:rsid w:val="14982588"/>
    <w:rsid w:val="149A5AD9"/>
    <w:rsid w:val="149E726C"/>
    <w:rsid w:val="14A7619D"/>
    <w:rsid w:val="14C00A89"/>
    <w:rsid w:val="14EA425F"/>
    <w:rsid w:val="14EB6229"/>
    <w:rsid w:val="150317C5"/>
    <w:rsid w:val="150536C3"/>
    <w:rsid w:val="150C0679"/>
    <w:rsid w:val="150C1963"/>
    <w:rsid w:val="151447A0"/>
    <w:rsid w:val="152C0B06"/>
    <w:rsid w:val="15311E8E"/>
    <w:rsid w:val="153320AA"/>
    <w:rsid w:val="154A6454"/>
    <w:rsid w:val="154D3E45"/>
    <w:rsid w:val="154D47EE"/>
    <w:rsid w:val="154F61B7"/>
    <w:rsid w:val="15533B0A"/>
    <w:rsid w:val="155838BF"/>
    <w:rsid w:val="155E0D8A"/>
    <w:rsid w:val="15634011"/>
    <w:rsid w:val="1568787A"/>
    <w:rsid w:val="156D6C3E"/>
    <w:rsid w:val="15762120"/>
    <w:rsid w:val="157846D9"/>
    <w:rsid w:val="15C471A6"/>
    <w:rsid w:val="15C54CCC"/>
    <w:rsid w:val="15E038B4"/>
    <w:rsid w:val="15F149E1"/>
    <w:rsid w:val="160C46A9"/>
    <w:rsid w:val="161B48EC"/>
    <w:rsid w:val="16293958"/>
    <w:rsid w:val="162E461F"/>
    <w:rsid w:val="164D3FE5"/>
    <w:rsid w:val="16525D50"/>
    <w:rsid w:val="16534086"/>
    <w:rsid w:val="16777D74"/>
    <w:rsid w:val="169A3A63"/>
    <w:rsid w:val="16A8729C"/>
    <w:rsid w:val="16A9014A"/>
    <w:rsid w:val="16B33777"/>
    <w:rsid w:val="16B94831"/>
    <w:rsid w:val="16BC60CF"/>
    <w:rsid w:val="16BC70A7"/>
    <w:rsid w:val="16BE1E47"/>
    <w:rsid w:val="16C6339E"/>
    <w:rsid w:val="16DC4C73"/>
    <w:rsid w:val="16F07B27"/>
    <w:rsid w:val="16F413C5"/>
    <w:rsid w:val="1700420E"/>
    <w:rsid w:val="171952CF"/>
    <w:rsid w:val="171D5A3B"/>
    <w:rsid w:val="171E4694"/>
    <w:rsid w:val="17214184"/>
    <w:rsid w:val="172F2D79"/>
    <w:rsid w:val="173C4B1A"/>
    <w:rsid w:val="1740460A"/>
    <w:rsid w:val="17557BEF"/>
    <w:rsid w:val="17577BA6"/>
    <w:rsid w:val="176D1177"/>
    <w:rsid w:val="178E7A6B"/>
    <w:rsid w:val="17966920"/>
    <w:rsid w:val="179713BC"/>
    <w:rsid w:val="17B43822"/>
    <w:rsid w:val="17BA0860"/>
    <w:rsid w:val="17CA481C"/>
    <w:rsid w:val="17CA7EC0"/>
    <w:rsid w:val="17D00627"/>
    <w:rsid w:val="17D349C1"/>
    <w:rsid w:val="17DA1443"/>
    <w:rsid w:val="17E551B2"/>
    <w:rsid w:val="182932F0"/>
    <w:rsid w:val="182A472E"/>
    <w:rsid w:val="1830729E"/>
    <w:rsid w:val="18465AA5"/>
    <w:rsid w:val="185A794E"/>
    <w:rsid w:val="18664544"/>
    <w:rsid w:val="1870062C"/>
    <w:rsid w:val="18817102"/>
    <w:rsid w:val="18830A15"/>
    <w:rsid w:val="18846779"/>
    <w:rsid w:val="18852B28"/>
    <w:rsid w:val="188B5321"/>
    <w:rsid w:val="18972950"/>
    <w:rsid w:val="18BC02E8"/>
    <w:rsid w:val="18BD1C8B"/>
    <w:rsid w:val="18CB43A7"/>
    <w:rsid w:val="19006747"/>
    <w:rsid w:val="191B532F"/>
    <w:rsid w:val="191B713B"/>
    <w:rsid w:val="1934019F"/>
    <w:rsid w:val="193F08F1"/>
    <w:rsid w:val="19535965"/>
    <w:rsid w:val="19650358"/>
    <w:rsid w:val="19690B8A"/>
    <w:rsid w:val="197E766C"/>
    <w:rsid w:val="19932372"/>
    <w:rsid w:val="19A05834"/>
    <w:rsid w:val="19A20DD5"/>
    <w:rsid w:val="19AE03F1"/>
    <w:rsid w:val="19C02B62"/>
    <w:rsid w:val="19CE05F3"/>
    <w:rsid w:val="1A071A03"/>
    <w:rsid w:val="1A1F16AE"/>
    <w:rsid w:val="1A3A75F0"/>
    <w:rsid w:val="1A3B5C77"/>
    <w:rsid w:val="1A984BAD"/>
    <w:rsid w:val="1AA11343"/>
    <w:rsid w:val="1AB8220E"/>
    <w:rsid w:val="1ACA37CD"/>
    <w:rsid w:val="1AE17EB2"/>
    <w:rsid w:val="1AE31E7C"/>
    <w:rsid w:val="1AE4166C"/>
    <w:rsid w:val="1AF06CFB"/>
    <w:rsid w:val="1AF11B8D"/>
    <w:rsid w:val="1AF87036"/>
    <w:rsid w:val="1B100797"/>
    <w:rsid w:val="1B11359C"/>
    <w:rsid w:val="1B1A7868"/>
    <w:rsid w:val="1B223E33"/>
    <w:rsid w:val="1B2A271F"/>
    <w:rsid w:val="1B4A3CA9"/>
    <w:rsid w:val="1B520DB0"/>
    <w:rsid w:val="1B530544"/>
    <w:rsid w:val="1B530684"/>
    <w:rsid w:val="1B662AAD"/>
    <w:rsid w:val="1B713184"/>
    <w:rsid w:val="1B7C5E2D"/>
    <w:rsid w:val="1B8847D2"/>
    <w:rsid w:val="1BA209CF"/>
    <w:rsid w:val="1BB4777D"/>
    <w:rsid w:val="1BBD091F"/>
    <w:rsid w:val="1BD75AB8"/>
    <w:rsid w:val="1BDD2D6F"/>
    <w:rsid w:val="1BDE43F2"/>
    <w:rsid w:val="1C033E58"/>
    <w:rsid w:val="1C0459C2"/>
    <w:rsid w:val="1C1B3B4A"/>
    <w:rsid w:val="1C2A3ADB"/>
    <w:rsid w:val="1C315A2D"/>
    <w:rsid w:val="1C406E5A"/>
    <w:rsid w:val="1C4C3A51"/>
    <w:rsid w:val="1C5D5C5E"/>
    <w:rsid w:val="1C8651B5"/>
    <w:rsid w:val="1C88086E"/>
    <w:rsid w:val="1CA50E30"/>
    <w:rsid w:val="1CD75A11"/>
    <w:rsid w:val="1CEB5018"/>
    <w:rsid w:val="1CFC7225"/>
    <w:rsid w:val="1CFD4D4B"/>
    <w:rsid w:val="1D1722B1"/>
    <w:rsid w:val="1D1C1676"/>
    <w:rsid w:val="1D266CE1"/>
    <w:rsid w:val="1D352737"/>
    <w:rsid w:val="1D3963AF"/>
    <w:rsid w:val="1D623594"/>
    <w:rsid w:val="1D6A673C"/>
    <w:rsid w:val="1D880AB9"/>
    <w:rsid w:val="1D882867"/>
    <w:rsid w:val="1D9247AE"/>
    <w:rsid w:val="1D9A259A"/>
    <w:rsid w:val="1DB567EC"/>
    <w:rsid w:val="1DB7314C"/>
    <w:rsid w:val="1DCF0496"/>
    <w:rsid w:val="1DDB423A"/>
    <w:rsid w:val="1DDB7767"/>
    <w:rsid w:val="1DDE4B7D"/>
    <w:rsid w:val="1DF51A98"/>
    <w:rsid w:val="1DF93765"/>
    <w:rsid w:val="1DFD14A7"/>
    <w:rsid w:val="1E214A6A"/>
    <w:rsid w:val="1E262080"/>
    <w:rsid w:val="1E2F362A"/>
    <w:rsid w:val="1E3D060F"/>
    <w:rsid w:val="1E3F7D2E"/>
    <w:rsid w:val="1E4134E4"/>
    <w:rsid w:val="1E430E84"/>
    <w:rsid w:val="1E5062B3"/>
    <w:rsid w:val="1E523514"/>
    <w:rsid w:val="1E524186"/>
    <w:rsid w:val="1E6D384B"/>
    <w:rsid w:val="1E714A66"/>
    <w:rsid w:val="1E7828DC"/>
    <w:rsid w:val="1E802593"/>
    <w:rsid w:val="1EA703CC"/>
    <w:rsid w:val="1EA72CF0"/>
    <w:rsid w:val="1EAB732E"/>
    <w:rsid w:val="1EB3600A"/>
    <w:rsid w:val="1EB7330C"/>
    <w:rsid w:val="1EDC0114"/>
    <w:rsid w:val="1EDC047F"/>
    <w:rsid w:val="1EDD6BE3"/>
    <w:rsid w:val="1EFD54D7"/>
    <w:rsid w:val="1F010B23"/>
    <w:rsid w:val="1F0A0FF3"/>
    <w:rsid w:val="1F1F544D"/>
    <w:rsid w:val="1F264A2D"/>
    <w:rsid w:val="1F4C5B16"/>
    <w:rsid w:val="1F5771FF"/>
    <w:rsid w:val="1F7D1043"/>
    <w:rsid w:val="1F8F0925"/>
    <w:rsid w:val="1F996FAD"/>
    <w:rsid w:val="1F9A2D26"/>
    <w:rsid w:val="1FA31BDA"/>
    <w:rsid w:val="1FBA6F24"/>
    <w:rsid w:val="1FCD4EA9"/>
    <w:rsid w:val="1FE868A9"/>
    <w:rsid w:val="1FEA5A5B"/>
    <w:rsid w:val="1FF24910"/>
    <w:rsid w:val="1FF322BA"/>
    <w:rsid w:val="1FF94356"/>
    <w:rsid w:val="2000527E"/>
    <w:rsid w:val="20034907"/>
    <w:rsid w:val="2007660D"/>
    <w:rsid w:val="20121328"/>
    <w:rsid w:val="20173E4B"/>
    <w:rsid w:val="201B5A3A"/>
    <w:rsid w:val="202A22FB"/>
    <w:rsid w:val="202D37ED"/>
    <w:rsid w:val="2040567B"/>
    <w:rsid w:val="204D7D98"/>
    <w:rsid w:val="204E48BC"/>
    <w:rsid w:val="208732AA"/>
    <w:rsid w:val="208921B3"/>
    <w:rsid w:val="20973DEB"/>
    <w:rsid w:val="209B4FA7"/>
    <w:rsid w:val="20B26522"/>
    <w:rsid w:val="20B44310"/>
    <w:rsid w:val="20C718F8"/>
    <w:rsid w:val="20DE6C42"/>
    <w:rsid w:val="20F50EAD"/>
    <w:rsid w:val="20FD531A"/>
    <w:rsid w:val="211116EB"/>
    <w:rsid w:val="21274A8D"/>
    <w:rsid w:val="2130749E"/>
    <w:rsid w:val="213A47C0"/>
    <w:rsid w:val="213F69B0"/>
    <w:rsid w:val="21466CC1"/>
    <w:rsid w:val="215D1AEF"/>
    <w:rsid w:val="216133FC"/>
    <w:rsid w:val="21752A30"/>
    <w:rsid w:val="2185016A"/>
    <w:rsid w:val="21974C34"/>
    <w:rsid w:val="219914E7"/>
    <w:rsid w:val="219D08AB"/>
    <w:rsid w:val="21B005DE"/>
    <w:rsid w:val="21B12775"/>
    <w:rsid w:val="21C2695F"/>
    <w:rsid w:val="21C66F9D"/>
    <w:rsid w:val="21D56769"/>
    <w:rsid w:val="21DA565B"/>
    <w:rsid w:val="21E52EF3"/>
    <w:rsid w:val="21FB5D7B"/>
    <w:rsid w:val="220B1C3D"/>
    <w:rsid w:val="221D1D20"/>
    <w:rsid w:val="22334A87"/>
    <w:rsid w:val="224F6049"/>
    <w:rsid w:val="22596EC8"/>
    <w:rsid w:val="22607DC2"/>
    <w:rsid w:val="229E7CA9"/>
    <w:rsid w:val="22BA54EF"/>
    <w:rsid w:val="22BE6801"/>
    <w:rsid w:val="22C2681B"/>
    <w:rsid w:val="22E5075C"/>
    <w:rsid w:val="22F24891"/>
    <w:rsid w:val="232C0139"/>
    <w:rsid w:val="233500BF"/>
    <w:rsid w:val="23377FF7"/>
    <w:rsid w:val="23411E36"/>
    <w:rsid w:val="236B425F"/>
    <w:rsid w:val="23836192"/>
    <w:rsid w:val="23901F29"/>
    <w:rsid w:val="23976E90"/>
    <w:rsid w:val="239C0061"/>
    <w:rsid w:val="23A6054D"/>
    <w:rsid w:val="23A75A11"/>
    <w:rsid w:val="23A93537"/>
    <w:rsid w:val="23B87C1E"/>
    <w:rsid w:val="23B908A4"/>
    <w:rsid w:val="23DA158B"/>
    <w:rsid w:val="23E95BEF"/>
    <w:rsid w:val="23FD0064"/>
    <w:rsid w:val="23FE1AD5"/>
    <w:rsid w:val="23FF4CA7"/>
    <w:rsid w:val="24042E63"/>
    <w:rsid w:val="241A494B"/>
    <w:rsid w:val="24303C58"/>
    <w:rsid w:val="24392B0D"/>
    <w:rsid w:val="243E0123"/>
    <w:rsid w:val="2446522A"/>
    <w:rsid w:val="245375B0"/>
    <w:rsid w:val="24642C0A"/>
    <w:rsid w:val="247934AE"/>
    <w:rsid w:val="24855D52"/>
    <w:rsid w:val="24AA7567"/>
    <w:rsid w:val="24B22173"/>
    <w:rsid w:val="24B95AD9"/>
    <w:rsid w:val="24BE24DA"/>
    <w:rsid w:val="24C745BD"/>
    <w:rsid w:val="24CF5825"/>
    <w:rsid w:val="24D663E6"/>
    <w:rsid w:val="24D77F2B"/>
    <w:rsid w:val="24FE28D2"/>
    <w:rsid w:val="252178FB"/>
    <w:rsid w:val="25257535"/>
    <w:rsid w:val="252E1F46"/>
    <w:rsid w:val="254642FC"/>
    <w:rsid w:val="25621CC2"/>
    <w:rsid w:val="257A518B"/>
    <w:rsid w:val="258B00E2"/>
    <w:rsid w:val="25A039D0"/>
    <w:rsid w:val="25A76D56"/>
    <w:rsid w:val="25A917A6"/>
    <w:rsid w:val="25BE27CC"/>
    <w:rsid w:val="25E5691F"/>
    <w:rsid w:val="25EB42DB"/>
    <w:rsid w:val="25F74A5C"/>
    <w:rsid w:val="26262334"/>
    <w:rsid w:val="2628662C"/>
    <w:rsid w:val="262D45DE"/>
    <w:rsid w:val="26551754"/>
    <w:rsid w:val="2659342C"/>
    <w:rsid w:val="268A58A2"/>
    <w:rsid w:val="269E134D"/>
    <w:rsid w:val="26A53EF9"/>
    <w:rsid w:val="26A94201"/>
    <w:rsid w:val="26AC274F"/>
    <w:rsid w:val="26B80661"/>
    <w:rsid w:val="26CC3CAB"/>
    <w:rsid w:val="27007912"/>
    <w:rsid w:val="27044A29"/>
    <w:rsid w:val="27075144"/>
    <w:rsid w:val="271C2272"/>
    <w:rsid w:val="271D34C8"/>
    <w:rsid w:val="27225ADA"/>
    <w:rsid w:val="27337CE7"/>
    <w:rsid w:val="27475541"/>
    <w:rsid w:val="275F7F2B"/>
    <w:rsid w:val="276142BF"/>
    <w:rsid w:val="27783712"/>
    <w:rsid w:val="277F117F"/>
    <w:rsid w:val="277F1EA7"/>
    <w:rsid w:val="278542BB"/>
    <w:rsid w:val="27907362"/>
    <w:rsid w:val="27AB3D22"/>
    <w:rsid w:val="27AC0461"/>
    <w:rsid w:val="27E40FE2"/>
    <w:rsid w:val="280D0AE7"/>
    <w:rsid w:val="280D678A"/>
    <w:rsid w:val="28333E1D"/>
    <w:rsid w:val="283C0E1E"/>
    <w:rsid w:val="28454BD6"/>
    <w:rsid w:val="28455253"/>
    <w:rsid w:val="28551971"/>
    <w:rsid w:val="285B1C53"/>
    <w:rsid w:val="28863AB1"/>
    <w:rsid w:val="289F7086"/>
    <w:rsid w:val="28AC2531"/>
    <w:rsid w:val="28B409B4"/>
    <w:rsid w:val="28C32028"/>
    <w:rsid w:val="28CB3F50"/>
    <w:rsid w:val="28CC490F"/>
    <w:rsid w:val="28DE40AA"/>
    <w:rsid w:val="28E03E9F"/>
    <w:rsid w:val="28EA087A"/>
    <w:rsid w:val="28ED036A"/>
    <w:rsid w:val="28ED3EC6"/>
    <w:rsid w:val="29064F88"/>
    <w:rsid w:val="290C6A42"/>
    <w:rsid w:val="291E0523"/>
    <w:rsid w:val="292024ED"/>
    <w:rsid w:val="29233D8C"/>
    <w:rsid w:val="292D6D18"/>
    <w:rsid w:val="292F2731"/>
    <w:rsid w:val="29312005"/>
    <w:rsid w:val="29345E77"/>
    <w:rsid w:val="293E7D5A"/>
    <w:rsid w:val="294C65AD"/>
    <w:rsid w:val="296028EA"/>
    <w:rsid w:val="297D524A"/>
    <w:rsid w:val="29806583"/>
    <w:rsid w:val="298B3C4C"/>
    <w:rsid w:val="298F1421"/>
    <w:rsid w:val="29B9024C"/>
    <w:rsid w:val="29C55868"/>
    <w:rsid w:val="29CE2278"/>
    <w:rsid w:val="29D86924"/>
    <w:rsid w:val="29F26D24"/>
    <w:rsid w:val="2A15033F"/>
    <w:rsid w:val="2A1662C1"/>
    <w:rsid w:val="2A1C7367"/>
    <w:rsid w:val="2A221D03"/>
    <w:rsid w:val="2A2815FA"/>
    <w:rsid w:val="2A3C7759"/>
    <w:rsid w:val="2A61691A"/>
    <w:rsid w:val="2A6C52BE"/>
    <w:rsid w:val="2A6D1762"/>
    <w:rsid w:val="2A6D6092"/>
    <w:rsid w:val="2A7D76B4"/>
    <w:rsid w:val="2A816486"/>
    <w:rsid w:val="2A945164"/>
    <w:rsid w:val="2A954815"/>
    <w:rsid w:val="2A9C5BA4"/>
    <w:rsid w:val="2AA34584"/>
    <w:rsid w:val="2AB56C65"/>
    <w:rsid w:val="2AC62C21"/>
    <w:rsid w:val="2B073965"/>
    <w:rsid w:val="2B1240B8"/>
    <w:rsid w:val="2B147E30"/>
    <w:rsid w:val="2B1C4F36"/>
    <w:rsid w:val="2B22254D"/>
    <w:rsid w:val="2B41674B"/>
    <w:rsid w:val="2B430715"/>
    <w:rsid w:val="2B437463"/>
    <w:rsid w:val="2B457FE9"/>
    <w:rsid w:val="2B4645B4"/>
    <w:rsid w:val="2B4A1AA4"/>
    <w:rsid w:val="2B546E8B"/>
    <w:rsid w:val="2B634913"/>
    <w:rsid w:val="2B667F60"/>
    <w:rsid w:val="2B7807EE"/>
    <w:rsid w:val="2B8A6344"/>
    <w:rsid w:val="2B9351F9"/>
    <w:rsid w:val="2BBF00EC"/>
    <w:rsid w:val="2BC37CFD"/>
    <w:rsid w:val="2BD5237F"/>
    <w:rsid w:val="2BE536CE"/>
    <w:rsid w:val="2BE758D9"/>
    <w:rsid w:val="2BF22D46"/>
    <w:rsid w:val="2BFD6B16"/>
    <w:rsid w:val="2BFF63EA"/>
    <w:rsid w:val="2C09049E"/>
    <w:rsid w:val="2C0954BB"/>
    <w:rsid w:val="2C0A653C"/>
    <w:rsid w:val="2C1520B2"/>
    <w:rsid w:val="2C191F85"/>
    <w:rsid w:val="2C2C09D1"/>
    <w:rsid w:val="2C2E622C"/>
    <w:rsid w:val="2C38364A"/>
    <w:rsid w:val="2C3B13EC"/>
    <w:rsid w:val="2C646B95"/>
    <w:rsid w:val="2C68159D"/>
    <w:rsid w:val="2C7A3CC3"/>
    <w:rsid w:val="2C932FD6"/>
    <w:rsid w:val="2C970D19"/>
    <w:rsid w:val="2C974FEB"/>
    <w:rsid w:val="2C9A25B7"/>
    <w:rsid w:val="2C9C00DD"/>
    <w:rsid w:val="2CD0422B"/>
    <w:rsid w:val="2CE82D6F"/>
    <w:rsid w:val="2CF577ED"/>
    <w:rsid w:val="2CFA4E04"/>
    <w:rsid w:val="2D1D29D5"/>
    <w:rsid w:val="2D1E0AF2"/>
    <w:rsid w:val="2D236108"/>
    <w:rsid w:val="2D26209C"/>
    <w:rsid w:val="2D2F2CFF"/>
    <w:rsid w:val="2D343236"/>
    <w:rsid w:val="2D355E3C"/>
    <w:rsid w:val="2D4349FC"/>
    <w:rsid w:val="2D4542D1"/>
    <w:rsid w:val="2D46629B"/>
    <w:rsid w:val="2D4744ED"/>
    <w:rsid w:val="2D8A7415"/>
    <w:rsid w:val="2DA77671"/>
    <w:rsid w:val="2DB43204"/>
    <w:rsid w:val="2DB72CF5"/>
    <w:rsid w:val="2DC31699"/>
    <w:rsid w:val="2DCE076A"/>
    <w:rsid w:val="2DD15014"/>
    <w:rsid w:val="2DF72DE4"/>
    <w:rsid w:val="2DFF6B75"/>
    <w:rsid w:val="2E0220AF"/>
    <w:rsid w:val="2E2C5491"/>
    <w:rsid w:val="2E2C723F"/>
    <w:rsid w:val="2E3507E9"/>
    <w:rsid w:val="2E3A5DFF"/>
    <w:rsid w:val="2E4B082A"/>
    <w:rsid w:val="2E5D4E86"/>
    <w:rsid w:val="2E5D790B"/>
    <w:rsid w:val="2E76495E"/>
    <w:rsid w:val="2E8250B1"/>
    <w:rsid w:val="2E8E1CA7"/>
    <w:rsid w:val="2E933762"/>
    <w:rsid w:val="2E9A3C18"/>
    <w:rsid w:val="2EA74B17"/>
    <w:rsid w:val="2EB62AB4"/>
    <w:rsid w:val="2EBB0FEE"/>
    <w:rsid w:val="2EC63002"/>
    <w:rsid w:val="2EDB3A72"/>
    <w:rsid w:val="2EDC6EB7"/>
    <w:rsid w:val="2EF32AA5"/>
    <w:rsid w:val="2F0913C9"/>
    <w:rsid w:val="2F097580"/>
    <w:rsid w:val="2F0A6B38"/>
    <w:rsid w:val="2F1E127D"/>
    <w:rsid w:val="2F4405C6"/>
    <w:rsid w:val="2F61560E"/>
    <w:rsid w:val="2F655284"/>
    <w:rsid w:val="2F6649D2"/>
    <w:rsid w:val="2F725125"/>
    <w:rsid w:val="2F827A5E"/>
    <w:rsid w:val="2F8530AA"/>
    <w:rsid w:val="2F946CCB"/>
    <w:rsid w:val="2F96729A"/>
    <w:rsid w:val="2F9C21A2"/>
    <w:rsid w:val="2FD25781"/>
    <w:rsid w:val="2FD302BA"/>
    <w:rsid w:val="2FFD7934"/>
    <w:rsid w:val="301349D9"/>
    <w:rsid w:val="301E705B"/>
    <w:rsid w:val="302C1778"/>
    <w:rsid w:val="303845C1"/>
    <w:rsid w:val="303F76FD"/>
    <w:rsid w:val="305F7D9F"/>
    <w:rsid w:val="306A5B0E"/>
    <w:rsid w:val="30733ACD"/>
    <w:rsid w:val="308B46F0"/>
    <w:rsid w:val="308C3862"/>
    <w:rsid w:val="309379D8"/>
    <w:rsid w:val="309D2676"/>
    <w:rsid w:val="30A270F7"/>
    <w:rsid w:val="30C85944"/>
    <w:rsid w:val="30CC4D09"/>
    <w:rsid w:val="30CD2F5B"/>
    <w:rsid w:val="30D14AC9"/>
    <w:rsid w:val="30D72E30"/>
    <w:rsid w:val="30DF1478"/>
    <w:rsid w:val="30EC586F"/>
    <w:rsid w:val="311F752F"/>
    <w:rsid w:val="313B4368"/>
    <w:rsid w:val="313F2D10"/>
    <w:rsid w:val="31435B14"/>
    <w:rsid w:val="31464B29"/>
    <w:rsid w:val="314D44A4"/>
    <w:rsid w:val="314D5E4A"/>
    <w:rsid w:val="3150593A"/>
    <w:rsid w:val="31717031"/>
    <w:rsid w:val="318B24CE"/>
    <w:rsid w:val="31973569"/>
    <w:rsid w:val="319C6071"/>
    <w:rsid w:val="31AA329C"/>
    <w:rsid w:val="31AA6DF8"/>
    <w:rsid w:val="31AC537E"/>
    <w:rsid w:val="31CC3212"/>
    <w:rsid w:val="31E3679B"/>
    <w:rsid w:val="31E43039"/>
    <w:rsid w:val="31E732FD"/>
    <w:rsid w:val="31E87920"/>
    <w:rsid w:val="31EC5663"/>
    <w:rsid w:val="31F42769"/>
    <w:rsid w:val="31FC33CC"/>
    <w:rsid w:val="31FE7144"/>
    <w:rsid w:val="320A1C6C"/>
    <w:rsid w:val="322841C1"/>
    <w:rsid w:val="3239017C"/>
    <w:rsid w:val="32427031"/>
    <w:rsid w:val="32517576"/>
    <w:rsid w:val="327A2C6E"/>
    <w:rsid w:val="32814DAC"/>
    <w:rsid w:val="32BE5C2C"/>
    <w:rsid w:val="32E427DE"/>
    <w:rsid w:val="32EE540A"/>
    <w:rsid w:val="32F15B31"/>
    <w:rsid w:val="32FB6478"/>
    <w:rsid w:val="33263B3F"/>
    <w:rsid w:val="332D5F33"/>
    <w:rsid w:val="333D5A4A"/>
    <w:rsid w:val="33446DD8"/>
    <w:rsid w:val="33527747"/>
    <w:rsid w:val="33572FB0"/>
    <w:rsid w:val="335A65FC"/>
    <w:rsid w:val="33621E0C"/>
    <w:rsid w:val="336631F3"/>
    <w:rsid w:val="336963EB"/>
    <w:rsid w:val="33816EEB"/>
    <w:rsid w:val="33892417"/>
    <w:rsid w:val="338B2C59"/>
    <w:rsid w:val="33973082"/>
    <w:rsid w:val="33B944F1"/>
    <w:rsid w:val="33D95773"/>
    <w:rsid w:val="33EB55CD"/>
    <w:rsid w:val="33EC4C02"/>
    <w:rsid w:val="340824FC"/>
    <w:rsid w:val="340D2360"/>
    <w:rsid w:val="340D366E"/>
    <w:rsid w:val="3410665D"/>
    <w:rsid w:val="34192013"/>
    <w:rsid w:val="34211214"/>
    <w:rsid w:val="3422046A"/>
    <w:rsid w:val="342C411C"/>
    <w:rsid w:val="342E63AB"/>
    <w:rsid w:val="34546702"/>
    <w:rsid w:val="3457017F"/>
    <w:rsid w:val="345A5CDB"/>
    <w:rsid w:val="345B262C"/>
    <w:rsid w:val="345D1478"/>
    <w:rsid w:val="345E5120"/>
    <w:rsid w:val="34637732"/>
    <w:rsid w:val="34842413"/>
    <w:rsid w:val="34847DD4"/>
    <w:rsid w:val="34871673"/>
    <w:rsid w:val="34950E68"/>
    <w:rsid w:val="34986E94"/>
    <w:rsid w:val="34A75871"/>
    <w:rsid w:val="34AF62C9"/>
    <w:rsid w:val="34B04126"/>
    <w:rsid w:val="34B166F0"/>
    <w:rsid w:val="34B61F58"/>
    <w:rsid w:val="34B8182C"/>
    <w:rsid w:val="34C1681F"/>
    <w:rsid w:val="34CB4388"/>
    <w:rsid w:val="34E057D2"/>
    <w:rsid w:val="34E16FD5"/>
    <w:rsid w:val="34E645EB"/>
    <w:rsid w:val="34FA6E12"/>
    <w:rsid w:val="34FB796B"/>
    <w:rsid w:val="35066A3B"/>
    <w:rsid w:val="350C3926"/>
    <w:rsid w:val="35170C48"/>
    <w:rsid w:val="35245113"/>
    <w:rsid w:val="356B4AF0"/>
    <w:rsid w:val="35843E04"/>
    <w:rsid w:val="358856A2"/>
    <w:rsid w:val="358931C8"/>
    <w:rsid w:val="358D5588"/>
    <w:rsid w:val="35977890"/>
    <w:rsid w:val="35A10512"/>
    <w:rsid w:val="35BA7547"/>
    <w:rsid w:val="35BA7826"/>
    <w:rsid w:val="35C3492C"/>
    <w:rsid w:val="35D94150"/>
    <w:rsid w:val="35EA1EB9"/>
    <w:rsid w:val="36341386"/>
    <w:rsid w:val="363A3B40"/>
    <w:rsid w:val="365302AE"/>
    <w:rsid w:val="36607A0A"/>
    <w:rsid w:val="366E227C"/>
    <w:rsid w:val="366F2E0D"/>
    <w:rsid w:val="36721EAF"/>
    <w:rsid w:val="367479D5"/>
    <w:rsid w:val="367B6A5C"/>
    <w:rsid w:val="369B7657"/>
    <w:rsid w:val="36A0015F"/>
    <w:rsid w:val="36A339CF"/>
    <w:rsid w:val="36A74ADA"/>
    <w:rsid w:val="36AD60D5"/>
    <w:rsid w:val="36B224F9"/>
    <w:rsid w:val="36B67AF1"/>
    <w:rsid w:val="36BD137C"/>
    <w:rsid w:val="36E625F1"/>
    <w:rsid w:val="36EC0CC9"/>
    <w:rsid w:val="36F90814"/>
    <w:rsid w:val="37065383"/>
    <w:rsid w:val="37070849"/>
    <w:rsid w:val="37103E31"/>
    <w:rsid w:val="371371EE"/>
    <w:rsid w:val="371E0226"/>
    <w:rsid w:val="373F410B"/>
    <w:rsid w:val="37425D25"/>
    <w:rsid w:val="374F6A6A"/>
    <w:rsid w:val="375D490D"/>
    <w:rsid w:val="376637C1"/>
    <w:rsid w:val="376B527C"/>
    <w:rsid w:val="37977E1F"/>
    <w:rsid w:val="37B26A07"/>
    <w:rsid w:val="37B704C1"/>
    <w:rsid w:val="37EE7094"/>
    <w:rsid w:val="381551E7"/>
    <w:rsid w:val="38237904"/>
    <w:rsid w:val="382947EF"/>
    <w:rsid w:val="38296C89"/>
    <w:rsid w:val="383002EB"/>
    <w:rsid w:val="38324446"/>
    <w:rsid w:val="383949F9"/>
    <w:rsid w:val="38586797"/>
    <w:rsid w:val="385B0E4C"/>
    <w:rsid w:val="386121DB"/>
    <w:rsid w:val="387719FE"/>
    <w:rsid w:val="38936601"/>
    <w:rsid w:val="3894435E"/>
    <w:rsid w:val="38BC0149"/>
    <w:rsid w:val="38D87D1C"/>
    <w:rsid w:val="38E37361"/>
    <w:rsid w:val="38F60B75"/>
    <w:rsid w:val="390A63CE"/>
    <w:rsid w:val="390F1C37"/>
    <w:rsid w:val="391239ED"/>
    <w:rsid w:val="391536F1"/>
    <w:rsid w:val="391B4A7F"/>
    <w:rsid w:val="39292CF8"/>
    <w:rsid w:val="39636459"/>
    <w:rsid w:val="396B7F6C"/>
    <w:rsid w:val="39AE31FE"/>
    <w:rsid w:val="39B2192F"/>
    <w:rsid w:val="39B404EE"/>
    <w:rsid w:val="39B417A9"/>
    <w:rsid w:val="39DF5AAD"/>
    <w:rsid w:val="39EB421B"/>
    <w:rsid w:val="39FC5695"/>
    <w:rsid w:val="3A006D8E"/>
    <w:rsid w:val="3A087031"/>
    <w:rsid w:val="3A0B0650"/>
    <w:rsid w:val="3A3651E5"/>
    <w:rsid w:val="3A4A16EF"/>
    <w:rsid w:val="3A5F38CD"/>
    <w:rsid w:val="3A6A7A6C"/>
    <w:rsid w:val="3A744481"/>
    <w:rsid w:val="3A8C7BEF"/>
    <w:rsid w:val="3A906246"/>
    <w:rsid w:val="3AB375C6"/>
    <w:rsid w:val="3AB66E65"/>
    <w:rsid w:val="3ACC4283"/>
    <w:rsid w:val="3AD2116E"/>
    <w:rsid w:val="3AD515D6"/>
    <w:rsid w:val="3ADD1FEC"/>
    <w:rsid w:val="3AE94AD8"/>
    <w:rsid w:val="3AEF1D20"/>
    <w:rsid w:val="3B077069"/>
    <w:rsid w:val="3B2349B7"/>
    <w:rsid w:val="3B253993"/>
    <w:rsid w:val="3B551DDF"/>
    <w:rsid w:val="3B616CFF"/>
    <w:rsid w:val="3B6259F6"/>
    <w:rsid w:val="3B936B4F"/>
    <w:rsid w:val="3B976654"/>
    <w:rsid w:val="3BA0301A"/>
    <w:rsid w:val="3BA743A8"/>
    <w:rsid w:val="3BC01EFC"/>
    <w:rsid w:val="3BC36D25"/>
    <w:rsid w:val="3BCA786A"/>
    <w:rsid w:val="3BD31E2F"/>
    <w:rsid w:val="3BDD601C"/>
    <w:rsid w:val="3BEE647B"/>
    <w:rsid w:val="3BF15831"/>
    <w:rsid w:val="3C105946"/>
    <w:rsid w:val="3C12688E"/>
    <w:rsid w:val="3C1852A6"/>
    <w:rsid w:val="3C3B3B97"/>
    <w:rsid w:val="3C471448"/>
    <w:rsid w:val="3C51154D"/>
    <w:rsid w:val="3C57218D"/>
    <w:rsid w:val="3C5F759A"/>
    <w:rsid w:val="3C601C11"/>
    <w:rsid w:val="3C660CC8"/>
    <w:rsid w:val="3C6C525A"/>
    <w:rsid w:val="3C805325"/>
    <w:rsid w:val="3C8A6140"/>
    <w:rsid w:val="3C8F5568"/>
    <w:rsid w:val="3C912148"/>
    <w:rsid w:val="3C9809F8"/>
    <w:rsid w:val="3C9B60FA"/>
    <w:rsid w:val="3CA64660"/>
    <w:rsid w:val="3CAD3C40"/>
    <w:rsid w:val="3CCE23CB"/>
    <w:rsid w:val="3CD000A1"/>
    <w:rsid w:val="3CD17D17"/>
    <w:rsid w:val="3CD613E9"/>
    <w:rsid w:val="3CD970B1"/>
    <w:rsid w:val="3CE77152"/>
    <w:rsid w:val="3CEC09C3"/>
    <w:rsid w:val="3D073351"/>
    <w:rsid w:val="3D1D577E"/>
    <w:rsid w:val="3D235CB1"/>
    <w:rsid w:val="3D346110"/>
    <w:rsid w:val="3D3C7F39"/>
    <w:rsid w:val="3D404AB5"/>
    <w:rsid w:val="3D440F09"/>
    <w:rsid w:val="3D4504A0"/>
    <w:rsid w:val="3D536C43"/>
    <w:rsid w:val="3D7700C5"/>
    <w:rsid w:val="3D7E1994"/>
    <w:rsid w:val="3D8734BB"/>
    <w:rsid w:val="3D9848F1"/>
    <w:rsid w:val="3D9A11D4"/>
    <w:rsid w:val="3D9B2584"/>
    <w:rsid w:val="3DA16D89"/>
    <w:rsid w:val="3DA364BE"/>
    <w:rsid w:val="3DA72A27"/>
    <w:rsid w:val="3DAC3EF8"/>
    <w:rsid w:val="3DE041CB"/>
    <w:rsid w:val="3DEC4AD7"/>
    <w:rsid w:val="3DF407CF"/>
    <w:rsid w:val="3DF5764D"/>
    <w:rsid w:val="3DFD6502"/>
    <w:rsid w:val="3DFF0992"/>
    <w:rsid w:val="3E045AE2"/>
    <w:rsid w:val="3E0A7640"/>
    <w:rsid w:val="3E0D48F6"/>
    <w:rsid w:val="3E1868B4"/>
    <w:rsid w:val="3E1B5535"/>
    <w:rsid w:val="3E377251"/>
    <w:rsid w:val="3E42664B"/>
    <w:rsid w:val="3E4B3711"/>
    <w:rsid w:val="3E5A7334"/>
    <w:rsid w:val="3E6557E8"/>
    <w:rsid w:val="3E7A5DA4"/>
    <w:rsid w:val="3E7B5D6B"/>
    <w:rsid w:val="3E843E66"/>
    <w:rsid w:val="3E8F51FE"/>
    <w:rsid w:val="3E926F87"/>
    <w:rsid w:val="3E99447C"/>
    <w:rsid w:val="3E9A59DE"/>
    <w:rsid w:val="3EAF4836"/>
    <w:rsid w:val="3EB968CD"/>
    <w:rsid w:val="3EBC63BD"/>
    <w:rsid w:val="3EC33DFA"/>
    <w:rsid w:val="3EC3774B"/>
    <w:rsid w:val="3EC45C0F"/>
    <w:rsid w:val="3EC55271"/>
    <w:rsid w:val="3ED4788A"/>
    <w:rsid w:val="3EEA117C"/>
    <w:rsid w:val="3EFE6FA3"/>
    <w:rsid w:val="3F001E75"/>
    <w:rsid w:val="3F010273"/>
    <w:rsid w:val="3F051B12"/>
    <w:rsid w:val="3F060E16"/>
    <w:rsid w:val="3F15359D"/>
    <w:rsid w:val="3F1D1096"/>
    <w:rsid w:val="3F277CDA"/>
    <w:rsid w:val="3F2D2E17"/>
    <w:rsid w:val="3F2F0234"/>
    <w:rsid w:val="3F453306"/>
    <w:rsid w:val="3F542A99"/>
    <w:rsid w:val="3F5B3E28"/>
    <w:rsid w:val="3F604F9A"/>
    <w:rsid w:val="3F6363FE"/>
    <w:rsid w:val="3F756B8F"/>
    <w:rsid w:val="3F8E1B07"/>
    <w:rsid w:val="3F95482B"/>
    <w:rsid w:val="3FA07A8C"/>
    <w:rsid w:val="3FA806EF"/>
    <w:rsid w:val="3FA85938"/>
    <w:rsid w:val="3FCD14BD"/>
    <w:rsid w:val="40095632"/>
    <w:rsid w:val="40104C12"/>
    <w:rsid w:val="4012098A"/>
    <w:rsid w:val="40155082"/>
    <w:rsid w:val="4019356B"/>
    <w:rsid w:val="401A339B"/>
    <w:rsid w:val="4024246B"/>
    <w:rsid w:val="40356427"/>
    <w:rsid w:val="40381A73"/>
    <w:rsid w:val="404C551E"/>
    <w:rsid w:val="40592157"/>
    <w:rsid w:val="406B3BF6"/>
    <w:rsid w:val="406D5216"/>
    <w:rsid w:val="406E1CAE"/>
    <w:rsid w:val="409273D5"/>
    <w:rsid w:val="40A0133A"/>
    <w:rsid w:val="40C31A53"/>
    <w:rsid w:val="40F51FEB"/>
    <w:rsid w:val="40FF07E3"/>
    <w:rsid w:val="40FF545D"/>
    <w:rsid w:val="410067C8"/>
    <w:rsid w:val="41200E85"/>
    <w:rsid w:val="41252431"/>
    <w:rsid w:val="414F3518"/>
    <w:rsid w:val="41650F8E"/>
    <w:rsid w:val="416B7C26"/>
    <w:rsid w:val="41847666"/>
    <w:rsid w:val="418F0D2A"/>
    <w:rsid w:val="41A35612"/>
    <w:rsid w:val="41CE08E1"/>
    <w:rsid w:val="41CE6B33"/>
    <w:rsid w:val="41D01505"/>
    <w:rsid w:val="41DD50CB"/>
    <w:rsid w:val="41F320F5"/>
    <w:rsid w:val="42072045"/>
    <w:rsid w:val="42295B17"/>
    <w:rsid w:val="42312C1E"/>
    <w:rsid w:val="42474939"/>
    <w:rsid w:val="424C3C57"/>
    <w:rsid w:val="42613FF3"/>
    <w:rsid w:val="42660D96"/>
    <w:rsid w:val="426B45E0"/>
    <w:rsid w:val="426E79CE"/>
    <w:rsid w:val="428667D2"/>
    <w:rsid w:val="42997141"/>
    <w:rsid w:val="42BF022A"/>
    <w:rsid w:val="42C52AB7"/>
    <w:rsid w:val="42CD1CE0"/>
    <w:rsid w:val="42E1381E"/>
    <w:rsid w:val="42ED6459"/>
    <w:rsid w:val="42F500EF"/>
    <w:rsid w:val="42FE58DD"/>
    <w:rsid w:val="43174B3D"/>
    <w:rsid w:val="432033BE"/>
    <w:rsid w:val="432D1637"/>
    <w:rsid w:val="432F476F"/>
    <w:rsid w:val="434B790E"/>
    <w:rsid w:val="435E5C94"/>
    <w:rsid w:val="435F0C7D"/>
    <w:rsid w:val="4360274F"/>
    <w:rsid w:val="436F1C50"/>
    <w:rsid w:val="4382178C"/>
    <w:rsid w:val="43851473"/>
    <w:rsid w:val="4387343D"/>
    <w:rsid w:val="43977AB6"/>
    <w:rsid w:val="439E1D9D"/>
    <w:rsid w:val="43A063D3"/>
    <w:rsid w:val="43A3342B"/>
    <w:rsid w:val="43B65AD0"/>
    <w:rsid w:val="43C77C27"/>
    <w:rsid w:val="43DE09EE"/>
    <w:rsid w:val="43F6411F"/>
    <w:rsid w:val="44002FAD"/>
    <w:rsid w:val="44670B79"/>
    <w:rsid w:val="449101DD"/>
    <w:rsid w:val="44A678F3"/>
    <w:rsid w:val="44A755C9"/>
    <w:rsid w:val="44D53D34"/>
    <w:rsid w:val="44DE1391"/>
    <w:rsid w:val="44E26451"/>
    <w:rsid w:val="45016361"/>
    <w:rsid w:val="45080DD4"/>
    <w:rsid w:val="451B225C"/>
    <w:rsid w:val="452410C9"/>
    <w:rsid w:val="45277812"/>
    <w:rsid w:val="45302890"/>
    <w:rsid w:val="45317DFB"/>
    <w:rsid w:val="45433D6B"/>
    <w:rsid w:val="45476DEF"/>
    <w:rsid w:val="45542C60"/>
    <w:rsid w:val="455A248C"/>
    <w:rsid w:val="45604E7F"/>
    <w:rsid w:val="45682593"/>
    <w:rsid w:val="456D3CE4"/>
    <w:rsid w:val="4579042C"/>
    <w:rsid w:val="457F0571"/>
    <w:rsid w:val="45851176"/>
    <w:rsid w:val="45BC4EF4"/>
    <w:rsid w:val="45BD2247"/>
    <w:rsid w:val="45C142B9"/>
    <w:rsid w:val="45C63B94"/>
    <w:rsid w:val="45F12DF0"/>
    <w:rsid w:val="46026DAB"/>
    <w:rsid w:val="460E7DA5"/>
    <w:rsid w:val="4613720A"/>
    <w:rsid w:val="462431C5"/>
    <w:rsid w:val="4631143E"/>
    <w:rsid w:val="463D7DE3"/>
    <w:rsid w:val="46422483"/>
    <w:rsid w:val="46424C83"/>
    <w:rsid w:val="46566E4C"/>
    <w:rsid w:val="4659254A"/>
    <w:rsid w:val="465B0637"/>
    <w:rsid w:val="465E3F0D"/>
    <w:rsid w:val="466A16E6"/>
    <w:rsid w:val="466F1F67"/>
    <w:rsid w:val="46893F2B"/>
    <w:rsid w:val="468A6DA0"/>
    <w:rsid w:val="468D70CB"/>
    <w:rsid w:val="46916381"/>
    <w:rsid w:val="469D6AD4"/>
    <w:rsid w:val="46A0608E"/>
    <w:rsid w:val="46A47E62"/>
    <w:rsid w:val="46C4686E"/>
    <w:rsid w:val="47024B89"/>
    <w:rsid w:val="470D1EAB"/>
    <w:rsid w:val="47226FD9"/>
    <w:rsid w:val="472A2F8A"/>
    <w:rsid w:val="472B2331"/>
    <w:rsid w:val="47446EFD"/>
    <w:rsid w:val="474D674C"/>
    <w:rsid w:val="475950F1"/>
    <w:rsid w:val="47613FA5"/>
    <w:rsid w:val="47767A51"/>
    <w:rsid w:val="477B778F"/>
    <w:rsid w:val="477F442B"/>
    <w:rsid w:val="478203EC"/>
    <w:rsid w:val="478B2DD0"/>
    <w:rsid w:val="47977F99"/>
    <w:rsid w:val="47A65E5C"/>
    <w:rsid w:val="47B025FA"/>
    <w:rsid w:val="47C3256A"/>
    <w:rsid w:val="47C43A87"/>
    <w:rsid w:val="47CF655A"/>
    <w:rsid w:val="47D3233B"/>
    <w:rsid w:val="47E476E5"/>
    <w:rsid w:val="47F5689C"/>
    <w:rsid w:val="4809698F"/>
    <w:rsid w:val="4811697D"/>
    <w:rsid w:val="48141018"/>
    <w:rsid w:val="482E20D9"/>
    <w:rsid w:val="48533BE1"/>
    <w:rsid w:val="48580F04"/>
    <w:rsid w:val="4867383D"/>
    <w:rsid w:val="486E0728"/>
    <w:rsid w:val="48741AB6"/>
    <w:rsid w:val="487A3E25"/>
    <w:rsid w:val="48856093"/>
    <w:rsid w:val="488B5503"/>
    <w:rsid w:val="48937E21"/>
    <w:rsid w:val="489A0361"/>
    <w:rsid w:val="48AE321A"/>
    <w:rsid w:val="48B14AB8"/>
    <w:rsid w:val="48B94FF3"/>
    <w:rsid w:val="48C04CFB"/>
    <w:rsid w:val="48E37AAB"/>
    <w:rsid w:val="48EE7ABB"/>
    <w:rsid w:val="48F3252A"/>
    <w:rsid w:val="48FD4B4C"/>
    <w:rsid w:val="48FD7BB7"/>
    <w:rsid w:val="490A68E0"/>
    <w:rsid w:val="491055FE"/>
    <w:rsid w:val="491535A2"/>
    <w:rsid w:val="492928A1"/>
    <w:rsid w:val="49310C32"/>
    <w:rsid w:val="493A685C"/>
    <w:rsid w:val="495F5B3E"/>
    <w:rsid w:val="496F77D7"/>
    <w:rsid w:val="497654FD"/>
    <w:rsid w:val="498D2E30"/>
    <w:rsid w:val="49956188"/>
    <w:rsid w:val="49B455E9"/>
    <w:rsid w:val="49B64211"/>
    <w:rsid w:val="49D4280C"/>
    <w:rsid w:val="49DC3DB7"/>
    <w:rsid w:val="49F6167F"/>
    <w:rsid w:val="4A0234FD"/>
    <w:rsid w:val="4A064FA0"/>
    <w:rsid w:val="4A0A26D2"/>
    <w:rsid w:val="4A16615C"/>
    <w:rsid w:val="4A4060F4"/>
    <w:rsid w:val="4A4424D7"/>
    <w:rsid w:val="4A734017"/>
    <w:rsid w:val="4A962948"/>
    <w:rsid w:val="4A985F30"/>
    <w:rsid w:val="4AB82D0F"/>
    <w:rsid w:val="4ACA1E61"/>
    <w:rsid w:val="4ADF520B"/>
    <w:rsid w:val="4AEB7664"/>
    <w:rsid w:val="4AF34F14"/>
    <w:rsid w:val="4AFA44F5"/>
    <w:rsid w:val="4AFD7C19"/>
    <w:rsid w:val="4B0567D1"/>
    <w:rsid w:val="4B236AAE"/>
    <w:rsid w:val="4B3774F7"/>
    <w:rsid w:val="4B386DCB"/>
    <w:rsid w:val="4B553E21"/>
    <w:rsid w:val="4B6127C6"/>
    <w:rsid w:val="4B707271"/>
    <w:rsid w:val="4B846D85"/>
    <w:rsid w:val="4B8B339F"/>
    <w:rsid w:val="4B920BD1"/>
    <w:rsid w:val="4B971D44"/>
    <w:rsid w:val="4B9739F7"/>
    <w:rsid w:val="4B9F32EE"/>
    <w:rsid w:val="4BBC17AA"/>
    <w:rsid w:val="4BDE7972"/>
    <w:rsid w:val="4BEE2503"/>
    <w:rsid w:val="4BF90C50"/>
    <w:rsid w:val="4C123AC0"/>
    <w:rsid w:val="4C245A30"/>
    <w:rsid w:val="4C2F6420"/>
    <w:rsid w:val="4C3C405C"/>
    <w:rsid w:val="4C46376A"/>
    <w:rsid w:val="4C4D2D4A"/>
    <w:rsid w:val="4C6D6F48"/>
    <w:rsid w:val="4C9149E5"/>
    <w:rsid w:val="4C97246D"/>
    <w:rsid w:val="4C9D15DC"/>
    <w:rsid w:val="4CB608EF"/>
    <w:rsid w:val="4CB6685F"/>
    <w:rsid w:val="4CC367FE"/>
    <w:rsid w:val="4CC4617F"/>
    <w:rsid w:val="4CE511D4"/>
    <w:rsid w:val="4CFA7442"/>
    <w:rsid w:val="4D077F3C"/>
    <w:rsid w:val="4D0E4287"/>
    <w:rsid w:val="4D123355"/>
    <w:rsid w:val="4D2515D1"/>
    <w:rsid w:val="4D2A3B31"/>
    <w:rsid w:val="4D312C52"/>
    <w:rsid w:val="4D537EEC"/>
    <w:rsid w:val="4D550108"/>
    <w:rsid w:val="4D6A3FBD"/>
    <w:rsid w:val="4D704F42"/>
    <w:rsid w:val="4D8924BB"/>
    <w:rsid w:val="4D905305"/>
    <w:rsid w:val="4D907392"/>
    <w:rsid w:val="4D942DBB"/>
    <w:rsid w:val="4D964A72"/>
    <w:rsid w:val="4D9C1254"/>
    <w:rsid w:val="4D9E1AAF"/>
    <w:rsid w:val="4DAD1CF2"/>
    <w:rsid w:val="4DC66910"/>
    <w:rsid w:val="4DC94652"/>
    <w:rsid w:val="4DCF61BF"/>
    <w:rsid w:val="4DD059E1"/>
    <w:rsid w:val="4DDF0ECE"/>
    <w:rsid w:val="4DF3347D"/>
    <w:rsid w:val="4E141D71"/>
    <w:rsid w:val="4E1458CD"/>
    <w:rsid w:val="4E191136"/>
    <w:rsid w:val="4E255D2C"/>
    <w:rsid w:val="4E54216E"/>
    <w:rsid w:val="4E5E123E"/>
    <w:rsid w:val="4E793892"/>
    <w:rsid w:val="4E800872"/>
    <w:rsid w:val="4EC015B1"/>
    <w:rsid w:val="4EC569ED"/>
    <w:rsid w:val="4EC866B8"/>
    <w:rsid w:val="4ED50EA1"/>
    <w:rsid w:val="4EE72FE2"/>
    <w:rsid w:val="4EEC050C"/>
    <w:rsid w:val="4F053468"/>
    <w:rsid w:val="4F104EC3"/>
    <w:rsid w:val="4F1B0EDE"/>
    <w:rsid w:val="4F2B762F"/>
    <w:rsid w:val="4F302BDB"/>
    <w:rsid w:val="4F31425D"/>
    <w:rsid w:val="4F47354A"/>
    <w:rsid w:val="4F6C34E7"/>
    <w:rsid w:val="4F781E8C"/>
    <w:rsid w:val="4F911C54"/>
    <w:rsid w:val="4FAC0B4A"/>
    <w:rsid w:val="4FAC7D88"/>
    <w:rsid w:val="4FAD422B"/>
    <w:rsid w:val="4FB82BD0"/>
    <w:rsid w:val="4FBA7845"/>
    <w:rsid w:val="4FC74BC1"/>
    <w:rsid w:val="4FD25A40"/>
    <w:rsid w:val="4FE625E0"/>
    <w:rsid w:val="4FE87012"/>
    <w:rsid w:val="4FEC63D6"/>
    <w:rsid w:val="4FF11882"/>
    <w:rsid w:val="5016612F"/>
    <w:rsid w:val="501D361A"/>
    <w:rsid w:val="502031AB"/>
    <w:rsid w:val="5021480F"/>
    <w:rsid w:val="50292A20"/>
    <w:rsid w:val="502A762A"/>
    <w:rsid w:val="504306EC"/>
    <w:rsid w:val="5055041F"/>
    <w:rsid w:val="505E72D4"/>
    <w:rsid w:val="505F4DFA"/>
    <w:rsid w:val="506D7517"/>
    <w:rsid w:val="50700C27"/>
    <w:rsid w:val="507C4800"/>
    <w:rsid w:val="50812FC2"/>
    <w:rsid w:val="508E32C1"/>
    <w:rsid w:val="509251CF"/>
    <w:rsid w:val="50962ECB"/>
    <w:rsid w:val="509E3B74"/>
    <w:rsid w:val="50A42E38"/>
    <w:rsid w:val="50A4577F"/>
    <w:rsid w:val="50A849F3"/>
    <w:rsid w:val="50AB7F7F"/>
    <w:rsid w:val="50B73D1F"/>
    <w:rsid w:val="50BC224C"/>
    <w:rsid w:val="50BD5BC9"/>
    <w:rsid w:val="50C11EEE"/>
    <w:rsid w:val="50C765FA"/>
    <w:rsid w:val="50E97CFC"/>
    <w:rsid w:val="50FA4028"/>
    <w:rsid w:val="51053BF3"/>
    <w:rsid w:val="51077983"/>
    <w:rsid w:val="510D65B7"/>
    <w:rsid w:val="511157AB"/>
    <w:rsid w:val="51330760"/>
    <w:rsid w:val="5139564B"/>
    <w:rsid w:val="514209A3"/>
    <w:rsid w:val="5142540C"/>
    <w:rsid w:val="514E559A"/>
    <w:rsid w:val="51695F30"/>
    <w:rsid w:val="517200AA"/>
    <w:rsid w:val="51870AAC"/>
    <w:rsid w:val="518832C8"/>
    <w:rsid w:val="519F7BA4"/>
    <w:rsid w:val="51A0432A"/>
    <w:rsid w:val="51A86090"/>
    <w:rsid w:val="51B573C7"/>
    <w:rsid w:val="51B7396D"/>
    <w:rsid w:val="51BA49DE"/>
    <w:rsid w:val="51DF61F2"/>
    <w:rsid w:val="521265C8"/>
    <w:rsid w:val="521D5006"/>
    <w:rsid w:val="522E4CC3"/>
    <w:rsid w:val="52320A18"/>
    <w:rsid w:val="523E73BD"/>
    <w:rsid w:val="5244713B"/>
    <w:rsid w:val="524D7600"/>
    <w:rsid w:val="52615633"/>
    <w:rsid w:val="52770B21"/>
    <w:rsid w:val="52880638"/>
    <w:rsid w:val="52977FD4"/>
    <w:rsid w:val="52A25790"/>
    <w:rsid w:val="52A5743C"/>
    <w:rsid w:val="52A96B6F"/>
    <w:rsid w:val="52B45975"/>
    <w:rsid w:val="52BA27BB"/>
    <w:rsid w:val="52C378C2"/>
    <w:rsid w:val="52CF44B9"/>
    <w:rsid w:val="52D94AA4"/>
    <w:rsid w:val="52E53CDC"/>
    <w:rsid w:val="52EA3A62"/>
    <w:rsid w:val="52F25DE2"/>
    <w:rsid w:val="52F50BB8"/>
    <w:rsid w:val="53097272"/>
    <w:rsid w:val="530D6D8F"/>
    <w:rsid w:val="532A5B93"/>
    <w:rsid w:val="53373E0C"/>
    <w:rsid w:val="53544462"/>
    <w:rsid w:val="53566988"/>
    <w:rsid w:val="536A41E2"/>
    <w:rsid w:val="537D2167"/>
    <w:rsid w:val="5382777D"/>
    <w:rsid w:val="5397158E"/>
    <w:rsid w:val="53F65A75"/>
    <w:rsid w:val="53F83291"/>
    <w:rsid w:val="53F8359B"/>
    <w:rsid w:val="54013861"/>
    <w:rsid w:val="540A3C5A"/>
    <w:rsid w:val="540B7773"/>
    <w:rsid w:val="5410373F"/>
    <w:rsid w:val="54487265"/>
    <w:rsid w:val="544D6070"/>
    <w:rsid w:val="54605E1E"/>
    <w:rsid w:val="548A4B3B"/>
    <w:rsid w:val="54B3506A"/>
    <w:rsid w:val="54CA0D16"/>
    <w:rsid w:val="54DD4057"/>
    <w:rsid w:val="54E35FFA"/>
    <w:rsid w:val="54E7490F"/>
    <w:rsid w:val="54F77CF7"/>
    <w:rsid w:val="550764A4"/>
    <w:rsid w:val="550B2BF6"/>
    <w:rsid w:val="550F6DEF"/>
    <w:rsid w:val="55207C15"/>
    <w:rsid w:val="55214EB5"/>
    <w:rsid w:val="552C79A0"/>
    <w:rsid w:val="553311C4"/>
    <w:rsid w:val="55364EFD"/>
    <w:rsid w:val="555D4828"/>
    <w:rsid w:val="557A4C8B"/>
    <w:rsid w:val="55867C4F"/>
    <w:rsid w:val="558931E1"/>
    <w:rsid w:val="55923347"/>
    <w:rsid w:val="55925180"/>
    <w:rsid w:val="55983B1B"/>
    <w:rsid w:val="55A03EEB"/>
    <w:rsid w:val="55A8376B"/>
    <w:rsid w:val="55A91E7C"/>
    <w:rsid w:val="55BA31FE"/>
    <w:rsid w:val="55C20305"/>
    <w:rsid w:val="55DC29B6"/>
    <w:rsid w:val="55DD4241"/>
    <w:rsid w:val="55E95892"/>
    <w:rsid w:val="56051FA0"/>
    <w:rsid w:val="560910E5"/>
    <w:rsid w:val="56244B1C"/>
    <w:rsid w:val="562468CA"/>
    <w:rsid w:val="562543F0"/>
    <w:rsid w:val="56312D95"/>
    <w:rsid w:val="5632548A"/>
    <w:rsid w:val="563F1955"/>
    <w:rsid w:val="564C7BCE"/>
    <w:rsid w:val="56666EE2"/>
    <w:rsid w:val="566B44F9"/>
    <w:rsid w:val="566B62A7"/>
    <w:rsid w:val="566B6D1E"/>
    <w:rsid w:val="566D6480"/>
    <w:rsid w:val="56755377"/>
    <w:rsid w:val="567E3F4B"/>
    <w:rsid w:val="569F41A2"/>
    <w:rsid w:val="56A30136"/>
    <w:rsid w:val="56AA1ACF"/>
    <w:rsid w:val="56B310C2"/>
    <w:rsid w:val="56BB2AB2"/>
    <w:rsid w:val="56DA16A7"/>
    <w:rsid w:val="57032A2C"/>
    <w:rsid w:val="570F5219"/>
    <w:rsid w:val="572F438D"/>
    <w:rsid w:val="572F5526"/>
    <w:rsid w:val="574A05B2"/>
    <w:rsid w:val="575D12B5"/>
    <w:rsid w:val="57610A87"/>
    <w:rsid w:val="57680A38"/>
    <w:rsid w:val="577218B7"/>
    <w:rsid w:val="577B1140"/>
    <w:rsid w:val="577B7F21"/>
    <w:rsid w:val="577F181B"/>
    <w:rsid w:val="57921984"/>
    <w:rsid w:val="579737F0"/>
    <w:rsid w:val="57A23F4A"/>
    <w:rsid w:val="57AB7B30"/>
    <w:rsid w:val="57AF48B9"/>
    <w:rsid w:val="57AF5251"/>
    <w:rsid w:val="57B26373"/>
    <w:rsid w:val="57B63F04"/>
    <w:rsid w:val="57B878B9"/>
    <w:rsid w:val="57B91DA5"/>
    <w:rsid w:val="57C02622"/>
    <w:rsid w:val="57C9115D"/>
    <w:rsid w:val="57CD20C2"/>
    <w:rsid w:val="57D675AB"/>
    <w:rsid w:val="57D95FDD"/>
    <w:rsid w:val="57E207EA"/>
    <w:rsid w:val="57FF5568"/>
    <w:rsid w:val="580E15DF"/>
    <w:rsid w:val="581077F2"/>
    <w:rsid w:val="583848AE"/>
    <w:rsid w:val="5838665C"/>
    <w:rsid w:val="5862192B"/>
    <w:rsid w:val="586616BE"/>
    <w:rsid w:val="58847AF3"/>
    <w:rsid w:val="58917D2F"/>
    <w:rsid w:val="5894085C"/>
    <w:rsid w:val="58AE2DC2"/>
    <w:rsid w:val="58AE4F0C"/>
    <w:rsid w:val="58B85899"/>
    <w:rsid w:val="58C12AF6"/>
    <w:rsid w:val="58CD4FF7"/>
    <w:rsid w:val="58E3481A"/>
    <w:rsid w:val="58E363A9"/>
    <w:rsid w:val="58E43968"/>
    <w:rsid w:val="58F06F37"/>
    <w:rsid w:val="590A1327"/>
    <w:rsid w:val="590E3344"/>
    <w:rsid w:val="591F781C"/>
    <w:rsid w:val="59417793"/>
    <w:rsid w:val="59550FA6"/>
    <w:rsid w:val="595E1678"/>
    <w:rsid w:val="596D5BD4"/>
    <w:rsid w:val="597E3DD8"/>
    <w:rsid w:val="598C3104"/>
    <w:rsid w:val="59981AA8"/>
    <w:rsid w:val="59C12681"/>
    <w:rsid w:val="59C86CF0"/>
    <w:rsid w:val="59D81EA5"/>
    <w:rsid w:val="59DE4FE1"/>
    <w:rsid w:val="59EA1BD8"/>
    <w:rsid w:val="59F80043"/>
    <w:rsid w:val="59FF38D6"/>
    <w:rsid w:val="5A09252F"/>
    <w:rsid w:val="5A0B2778"/>
    <w:rsid w:val="5A0F163F"/>
    <w:rsid w:val="5A20427A"/>
    <w:rsid w:val="5A2A0227"/>
    <w:rsid w:val="5A2A7C7B"/>
    <w:rsid w:val="5A366BCB"/>
    <w:rsid w:val="5A3E2560"/>
    <w:rsid w:val="5A5D3B6E"/>
    <w:rsid w:val="5A637A76"/>
    <w:rsid w:val="5A6D33BA"/>
    <w:rsid w:val="5A792B1F"/>
    <w:rsid w:val="5A874767"/>
    <w:rsid w:val="5A8E37B2"/>
    <w:rsid w:val="5A987886"/>
    <w:rsid w:val="5AAD6F28"/>
    <w:rsid w:val="5AC73504"/>
    <w:rsid w:val="5ACD39D4"/>
    <w:rsid w:val="5ACE5056"/>
    <w:rsid w:val="5AD63A24"/>
    <w:rsid w:val="5AE526EC"/>
    <w:rsid w:val="5AF440A0"/>
    <w:rsid w:val="5B150ED7"/>
    <w:rsid w:val="5B157129"/>
    <w:rsid w:val="5B1C2265"/>
    <w:rsid w:val="5B1E7D8B"/>
    <w:rsid w:val="5B2E1A1D"/>
    <w:rsid w:val="5B4178D9"/>
    <w:rsid w:val="5B6F6839"/>
    <w:rsid w:val="5B843A1C"/>
    <w:rsid w:val="5B873E3F"/>
    <w:rsid w:val="5B8816A9"/>
    <w:rsid w:val="5BA74225"/>
    <w:rsid w:val="5BB26726"/>
    <w:rsid w:val="5BB42458"/>
    <w:rsid w:val="5BCC5A39"/>
    <w:rsid w:val="5BD448EE"/>
    <w:rsid w:val="5BF84A80"/>
    <w:rsid w:val="5BFA0A7C"/>
    <w:rsid w:val="5BFE7BBD"/>
    <w:rsid w:val="5C0056E3"/>
    <w:rsid w:val="5C02690E"/>
    <w:rsid w:val="5C196DA7"/>
    <w:rsid w:val="5C2A048C"/>
    <w:rsid w:val="5C390BF5"/>
    <w:rsid w:val="5C49708A"/>
    <w:rsid w:val="5C757E7F"/>
    <w:rsid w:val="5C80234E"/>
    <w:rsid w:val="5C8A680C"/>
    <w:rsid w:val="5CAC7619"/>
    <w:rsid w:val="5CC20BEA"/>
    <w:rsid w:val="5CCC5C54"/>
    <w:rsid w:val="5CD66444"/>
    <w:rsid w:val="5CEC0D1F"/>
    <w:rsid w:val="5CFC00B8"/>
    <w:rsid w:val="5D0C4701"/>
    <w:rsid w:val="5D0F0395"/>
    <w:rsid w:val="5D123920"/>
    <w:rsid w:val="5D221076"/>
    <w:rsid w:val="5D397964"/>
    <w:rsid w:val="5D5A391C"/>
    <w:rsid w:val="5D5F10C0"/>
    <w:rsid w:val="5D60364A"/>
    <w:rsid w:val="5D777C27"/>
    <w:rsid w:val="5D891B7B"/>
    <w:rsid w:val="5D9F0F2C"/>
    <w:rsid w:val="5DAD38EE"/>
    <w:rsid w:val="5DD956B5"/>
    <w:rsid w:val="5DE132F2"/>
    <w:rsid w:val="5DE3706A"/>
    <w:rsid w:val="5E006862"/>
    <w:rsid w:val="5E0207B9"/>
    <w:rsid w:val="5E082F75"/>
    <w:rsid w:val="5E1834A1"/>
    <w:rsid w:val="5E261785"/>
    <w:rsid w:val="5E361890"/>
    <w:rsid w:val="5E4915C3"/>
    <w:rsid w:val="5E4A7017"/>
    <w:rsid w:val="5E4F64AE"/>
    <w:rsid w:val="5E552BBA"/>
    <w:rsid w:val="5E611C10"/>
    <w:rsid w:val="5EAF519E"/>
    <w:rsid w:val="5EB10F16"/>
    <w:rsid w:val="5EB153BA"/>
    <w:rsid w:val="5EBD4D4B"/>
    <w:rsid w:val="5EF13A09"/>
    <w:rsid w:val="5EFC6636"/>
    <w:rsid w:val="5EFC7377"/>
    <w:rsid w:val="5F0246D2"/>
    <w:rsid w:val="5F06174D"/>
    <w:rsid w:val="5F3A3602"/>
    <w:rsid w:val="5F465A6C"/>
    <w:rsid w:val="5F5C1F98"/>
    <w:rsid w:val="5F6277C6"/>
    <w:rsid w:val="5F640F7C"/>
    <w:rsid w:val="5F6D0B1D"/>
    <w:rsid w:val="5F7206A6"/>
    <w:rsid w:val="5F8A23B2"/>
    <w:rsid w:val="5F8D0B82"/>
    <w:rsid w:val="5F8F71E0"/>
    <w:rsid w:val="5F9E593F"/>
    <w:rsid w:val="5FA40A7B"/>
    <w:rsid w:val="5FCC5339"/>
    <w:rsid w:val="5FD650D9"/>
    <w:rsid w:val="5FE34A5B"/>
    <w:rsid w:val="5FFE1E36"/>
    <w:rsid w:val="60193217"/>
    <w:rsid w:val="60232584"/>
    <w:rsid w:val="60294C72"/>
    <w:rsid w:val="602A0556"/>
    <w:rsid w:val="602C5A37"/>
    <w:rsid w:val="606049A2"/>
    <w:rsid w:val="60634492"/>
    <w:rsid w:val="606A5821"/>
    <w:rsid w:val="607330CE"/>
    <w:rsid w:val="60825176"/>
    <w:rsid w:val="608368E3"/>
    <w:rsid w:val="609F2AC4"/>
    <w:rsid w:val="60A07495"/>
    <w:rsid w:val="60C03693"/>
    <w:rsid w:val="60E94DDC"/>
    <w:rsid w:val="60FA2EE8"/>
    <w:rsid w:val="61054A27"/>
    <w:rsid w:val="610A52BC"/>
    <w:rsid w:val="611D2366"/>
    <w:rsid w:val="613C71BD"/>
    <w:rsid w:val="613F5D6A"/>
    <w:rsid w:val="61421856"/>
    <w:rsid w:val="6142679E"/>
    <w:rsid w:val="615227C4"/>
    <w:rsid w:val="615D0EE2"/>
    <w:rsid w:val="61654E3F"/>
    <w:rsid w:val="61731BC5"/>
    <w:rsid w:val="617A5F38"/>
    <w:rsid w:val="617F68DE"/>
    <w:rsid w:val="6182292A"/>
    <w:rsid w:val="61860438"/>
    <w:rsid w:val="619F7F92"/>
    <w:rsid w:val="61A46B11"/>
    <w:rsid w:val="61AB3C6E"/>
    <w:rsid w:val="61C176C2"/>
    <w:rsid w:val="61C55EFD"/>
    <w:rsid w:val="61CE5D71"/>
    <w:rsid w:val="61F94C26"/>
    <w:rsid w:val="61FC06FB"/>
    <w:rsid w:val="62000E56"/>
    <w:rsid w:val="62035F2D"/>
    <w:rsid w:val="622F0AD0"/>
    <w:rsid w:val="62410803"/>
    <w:rsid w:val="624520A2"/>
    <w:rsid w:val="62483940"/>
    <w:rsid w:val="62487DE4"/>
    <w:rsid w:val="624F3E49"/>
    <w:rsid w:val="625B4B63"/>
    <w:rsid w:val="62632286"/>
    <w:rsid w:val="6264142C"/>
    <w:rsid w:val="62662018"/>
    <w:rsid w:val="626F0EC9"/>
    <w:rsid w:val="62885958"/>
    <w:rsid w:val="62B62164"/>
    <w:rsid w:val="62B92A90"/>
    <w:rsid w:val="62F40B65"/>
    <w:rsid w:val="62F47E27"/>
    <w:rsid w:val="62F76B7F"/>
    <w:rsid w:val="62FC2CFE"/>
    <w:rsid w:val="63024505"/>
    <w:rsid w:val="634D6CB0"/>
    <w:rsid w:val="635B1DB5"/>
    <w:rsid w:val="63711FED"/>
    <w:rsid w:val="63880DDC"/>
    <w:rsid w:val="638D750D"/>
    <w:rsid w:val="639D7B4D"/>
    <w:rsid w:val="63A86D8C"/>
    <w:rsid w:val="63A94710"/>
    <w:rsid w:val="63AC6CC0"/>
    <w:rsid w:val="63E678B4"/>
    <w:rsid w:val="64055776"/>
    <w:rsid w:val="64085A7D"/>
    <w:rsid w:val="64240056"/>
    <w:rsid w:val="643E143A"/>
    <w:rsid w:val="643E4FFA"/>
    <w:rsid w:val="64504D2E"/>
    <w:rsid w:val="646808EA"/>
    <w:rsid w:val="64721148"/>
    <w:rsid w:val="64833355"/>
    <w:rsid w:val="648B6EEF"/>
    <w:rsid w:val="64A15589"/>
    <w:rsid w:val="64B11C70"/>
    <w:rsid w:val="64C158BF"/>
    <w:rsid w:val="64CE13FE"/>
    <w:rsid w:val="64CE2EAA"/>
    <w:rsid w:val="64CF20F6"/>
    <w:rsid w:val="64E42E5B"/>
    <w:rsid w:val="65240694"/>
    <w:rsid w:val="653C3090"/>
    <w:rsid w:val="65424FBE"/>
    <w:rsid w:val="654523B9"/>
    <w:rsid w:val="657D53A3"/>
    <w:rsid w:val="65854376"/>
    <w:rsid w:val="658767BE"/>
    <w:rsid w:val="65892531"/>
    <w:rsid w:val="659A6BA8"/>
    <w:rsid w:val="65B65064"/>
    <w:rsid w:val="65C854C3"/>
    <w:rsid w:val="65E9543A"/>
    <w:rsid w:val="66134265"/>
    <w:rsid w:val="66187ACD"/>
    <w:rsid w:val="66195831"/>
    <w:rsid w:val="661C75BD"/>
    <w:rsid w:val="662E75B1"/>
    <w:rsid w:val="66342C2E"/>
    <w:rsid w:val="663E784C"/>
    <w:rsid w:val="66430FEE"/>
    <w:rsid w:val="665F56FC"/>
    <w:rsid w:val="66846F11"/>
    <w:rsid w:val="668B6A45"/>
    <w:rsid w:val="669030F5"/>
    <w:rsid w:val="6695111E"/>
    <w:rsid w:val="66A870A3"/>
    <w:rsid w:val="66AB0941"/>
    <w:rsid w:val="66C043ED"/>
    <w:rsid w:val="66C37A39"/>
    <w:rsid w:val="66CD08B8"/>
    <w:rsid w:val="66CD561A"/>
    <w:rsid w:val="66DB2FD4"/>
    <w:rsid w:val="672F3F24"/>
    <w:rsid w:val="673B3204"/>
    <w:rsid w:val="673E055F"/>
    <w:rsid w:val="67535261"/>
    <w:rsid w:val="67551CE3"/>
    <w:rsid w:val="675B4B90"/>
    <w:rsid w:val="67694A84"/>
    <w:rsid w:val="676E5BF7"/>
    <w:rsid w:val="6773145F"/>
    <w:rsid w:val="67787B9A"/>
    <w:rsid w:val="678B49FB"/>
    <w:rsid w:val="679305D0"/>
    <w:rsid w:val="67A22552"/>
    <w:rsid w:val="67B22DCC"/>
    <w:rsid w:val="67BE71AA"/>
    <w:rsid w:val="67D90273"/>
    <w:rsid w:val="67DD0FCE"/>
    <w:rsid w:val="67DE5875"/>
    <w:rsid w:val="67E20393"/>
    <w:rsid w:val="67E55852"/>
    <w:rsid w:val="67EB1AB4"/>
    <w:rsid w:val="67FA1285"/>
    <w:rsid w:val="6804655B"/>
    <w:rsid w:val="680E1188"/>
    <w:rsid w:val="68125F1C"/>
    <w:rsid w:val="682D3D04"/>
    <w:rsid w:val="685272C6"/>
    <w:rsid w:val="68551F4F"/>
    <w:rsid w:val="685D7381"/>
    <w:rsid w:val="6873723D"/>
    <w:rsid w:val="68752FB5"/>
    <w:rsid w:val="687C10C9"/>
    <w:rsid w:val="68840C16"/>
    <w:rsid w:val="68876EFB"/>
    <w:rsid w:val="68880F3A"/>
    <w:rsid w:val="68884654"/>
    <w:rsid w:val="68995944"/>
    <w:rsid w:val="689F444F"/>
    <w:rsid w:val="68AB4C28"/>
    <w:rsid w:val="68B96DBB"/>
    <w:rsid w:val="68BC5088"/>
    <w:rsid w:val="68BC6E36"/>
    <w:rsid w:val="68C82EF0"/>
    <w:rsid w:val="68CA2805"/>
    <w:rsid w:val="68D4417F"/>
    <w:rsid w:val="68E937A3"/>
    <w:rsid w:val="68F77E6E"/>
    <w:rsid w:val="68FE744E"/>
    <w:rsid w:val="690D0CD2"/>
    <w:rsid w:val="691E53FA"/>
    <w:rsid w:val="692D388F"/>
    <w:rsid w:val="693E15D3"/>
    <w:rsid w:val="69442C7A"/>
    <w:rsid w:val="694F3806"/>
    <w:rsid w:val="69627681"/>
    <w:rsid w:val="696F5C56"/>
    <w:rsid w:val="6977531D"/>
    <w:rsid w:val="69AC411E"/>
    <w:rsid w:val="69BD62B7"/>
    <w:rsid w:val="69C75A92"/>
    <w:rsid w:val="69CC12FA"/>
    <w:rsid w:val="69CC2BFF"/>
    <w:rsid w:val="69FD55B8"/>
    <w:rsid w:val="6A0B1C62"/>
    <w:rsid w:val="6A0E36C1"/>
    <w:rsid w:val="6A2406C8"/>
    <w:rsid w:val="6A2627B9"/>
    <w:rsid w:val="6A3F387A"/>
    <w:rsid w:val="6A570BC4"/>
    <w:rsid w:val="6A6257BB"/>
    <w:rsid w:val="6A6D488B"/>
    <w:rsid w:val="6A813E93"/>
    <w:rsid w:val="6A8D6CDC"/>
    <w:rsid w:val="6A9B1AF9"/>
    <w:rsid w:val="6ACB3360"/>
    <w:rsid w:val="6ADE0BD1"/>
    <w:rsid w:val="6AE96859"/>
    <w:rsid w:val="6AF144B1"/>
    <w:rsid w:val="6B064398"/>
    <w:rsid w:val="6B147746"/>
    <w:rsid w:val="6B24787C"/>
    <w:rsid w:val="6B4C44A1"/>
    <w:rsid w:val="6B513865"/>
    <w:rsid w:val="6B572E46"/>
    <w:rsid w:val="6B573233"/>
    <w:rsid w:val="6B5B6274"/>
    <w:rsid w:val="6B734026"/>
    <w:rsid w:val="6B80414A"/>
    <w:rsid w:val="6B833C3B"/>
    <w:rsid w:val="6B935D53"/>
    <w:rsid w:val="6B9E0A74"/>
    <w:rsid w:val="6C022DB1"/>
    <w:rsid w:val="6C0528A2"/>
    <w:rsid w:val="6C196F71"/>
    <w:rsid w:val="6C226FCB"/>
    <w:rsid w:val="6C2B67AC"/>
    <w:rsid w:val="6C31226F"/>
    <w:rsid w:val="6C354F35"/>
    <w:rsid w:val="6C552F0B"/>
    <w:rsid w:val="6C8C67B7"/>
    <w:rsid w:val="6C9C6D62"/>
    <w:rsid w:val="6C9D744C"/>
    <w:rsid w:val="6CCA7D73"/>
    <w:rsid w:val="6CD96208"/>
    <w:rsid w:val="6CE40709"/>
    <w:rsid w:val="6CF7283B"/>
    <w:rsid w:val="6CFE5C6F"/>
    <w:rsid w:val="6D154D66"/>
    <w:rsid w:val="6D167928"/>
    <w:rsid w:val="6D1F1741"/>
    <w:rsid w:val="6D2154B9"/>
    <w:rsid w:val="6D26299B"/>
    <w:rsid w:val="6D4772EC"/>
    <w:rsid w:val="6D7101EF"/>
    <w:rsid w:val="6D765805"/>
    <w:rsid w:val="6D8C5028"/>
    <w:rsid w:val="6D9078AF"/>
    <w:rsid w:val="6DAA1953"/>
    <w:rsid w:val="6DAA3FEF"/>
    <w:rsid w:val="6DC0172B"/>
    <w:rsid w:val="6DCB690C"/>
    <w:rsid w:val="6DD41A5B"/>
    <w:rsid w:val="6DD8026E"/>
    <w:rsid w:val="6DDB1B0C"/>
    <w:rsid w:val="6DE309C1"/>
    <w:rsid w:val="6DE36081"/>
    <w:rsid w:val="6DF43C2E"/>
    <w:rsid w:val="6DF51CA3"/>
    <w:rsid w:val="6DFA01BF"/>
    <w:rsid w:val="6DFD1A82"/>
    <w:rsid w:val="6E0C7F17"/>
    <w:rsid w:val="6E113780"/>
    <w:rsid w:val="6E26547D"/>
    <w:rsid w:val="6E4C47B8"/>
    <w:rsid w:val="6E8335BD"/>
    <w:rsid w:val="6E8C2E06"/>
    <w:rsid w:val="6E8D72AA"/>
    <w:rsid w:val="6E8E12EF"/>
    <w:rsid w:val="6E972936"/>
    <w:rsid w:val="6EA840E4"/>
    <w:rsid w:val="6EBD4E74"/>
    <w:rsid w:val="6EC802E2"/>
    <w:rsid w:val="6EC922AC"/>
    <w:rsid w:val="6ED22F0F"/>
    <w:rsid w:val="6ED446C5"/>
    <w:rsid w:val="6ED947C2"/>
    <w:rsid w:val="6EF235B1"/>
    <w:rsid w:val="6F082A05"/>
    <w:rsid w:val="6F086931"/>
    <w:rsid w:val="6F2A7D94"/>
    <w:rsid w:val="6F5C6C7D"/>
    <w:rsid w:val="6F771D08"/>
    <w:rsid w:val="6F7D694F"/>
    <w:rsid w:val="6F8331F1"/>
    <w:rsid w:val="6F8A1A3C"/>
    <w:rsid w:val="6F965C30"/>
    <w:rsid w:val="6FAE1A09"/>
    <w:rsid w:val="6FB10D76"/>
    <w:rsid w:val="6FCF56A0"/>
    <w:rsid w:val="6FD75BF8"/>
    <w:rsid w:val="6FE32EFA"/>
    <w:rsid w:val="6FF24B04"/>
    <w:rsid w:val="70027824"/>
    <w:rsid w:val="701337DF"/>
    <w:rsid w:val="703E6382"/>
    <w:rsid w:val="70675AB0"/>
    <w:rsid w:val="706C7393"/>
    <w:rsid w:val="707723D0"/>
    <w:rsid w:val="70950698"/>
    <w:rsid w:val="70A42689"/>
    <w:rsid w:val="70AE175A"/>
    <w:rsid w:val="70C525FF"/>
    <w:rsid w:val="70EE30E0"/>
    <w:rsid w:val="70F03B20"/>
    <w:rsid w:val="70F5661B"/>
    <w:rsid w:val="712E63F7"/>
    <w:rsid w:val="71360107"/>
    <w:rsid w:val="713752AB"/>
    <w:rsid w:val="713B688E"/>
    <w:rsid w:val="71463740"/>
    <w:rsid w:val="71494FDF"/>
    <w:rsid w:val="7170679B"/>
    <w:rsid w:val="71816E6E"/>
    <w:rsid w:val="71834994"/>
    <w:rsid w:val="71A87999"/>
    <w:rsid w:val="71AC3EEB"/>
    <w:rsid w:val="71D43752"/>
    <w:rsid w:val="71F1796A"/>
    <w:rsid w:val="71F87130"/>
    <w:rsid w:val="72154626"/>
    <w:rsid w:val="721E646B"/>
    <w:rsid w:val="72262B5D"/>
    <w:rsid w:val="72283FF7"/>
    <w:rsid w:val="722872EA"/>
    <w:rsid w:val="722E7212"/>
    <w:rsid w:val="7238752D"/>
    <w:rsid w:val="723914F7"/>
    <w:rsid w:val="723A0474"/>
    <w:rsid w:val="7240767F"/>
    <w:rsid w:val="72541E8D"/>
    <w:rsid w:val="725923E4"/>
    <w:rsid w:val="7275252F"/>
    <w:rsid w:val="7275610E"/>
    <w:rsid w:val="72864BF7"/>
    <w:rsid w:val="72873E68"/>
    <w:rsid w:val="729023FC"/>
    <w:rsid w:val="729B5D0E"/>
    <w:rsid w:val="72B776CF"/>
    <w:rsid w:val="72D134DE"/>
    <w:rsid w:val="72FB6987"/>
    <w:rsid w:val="731955B0"/>
    <w:rsid w:val="731C29AB"/>
    <w:rsid w:val="732E412B"/>
    <w:rsid w:val="7338355D"/>
    <w:rsid w:val="734C0DB6"/>
    <w:rsid w:val="73571C35"/>
    <w:rsid w:val="735E7467"/>
    <w:rsid w:val="73706102"/>
    <w:rsid w:val="738A16FE"/>
    <w:rsid w:val="7395275D"/>
    <w:rsid w:val="7399224D"/>
    <w:rsid w:val="73994C91"/>
    <w:rsid w:val="73B9469D"/>
    <w:rsid w:val="73C0646E"/>
    <w:rsid w:val="73C66DBA"/>
    <w:rsid w:val="73D414D7"/>
    <w:rsid w:val="73D66A75"/>
    <w:rsid w:val="73FB6A64"/>
    <w:rsid w:val="740E2370"/>
    <w:rsid w:val="74116287"/>
    <w:rsid w:val="741915E0"/>
    <w:rsid w:val="742222F5"/>
    <w:rsid w:val="74383E34"/>
    <w:rsid w:val="74476126"/>
    <w:rsid w:val="744B1F79"/>
    <w:rsid w:val="74566390"/>
    <w:rsid w:val="745D6577"/>
    <w:rsid w:val="745F6DB9"/>
    <w:rsid w:val="74695E49"/>
    <w:rsid w:val="74706664"/>
    <w:rsid w:val="747F3682"/>
    <w:rsid w:val="749C4185"/>
    <w:rsid w:val="74B135C7"/>
    <w:rsid w:val="74B9247B"/>
    <w:rsid w:val="74C33DC2"/>
    <w:rsid w:val="74EF5B6E"/>
    <w:rsid w:val="75067759"/>
    <w:rsid w:val="750B33B4"/>
    <w:rsid w:val="751D0C5C"/>
    <w:rsid w:val="751F49D4"/>
    <w:rsid w:val="752E6DCD"/>
    <w:rsid w:val="753D12FE"/>
    <w:rsid w:val="754B7577"/>
    <w:rsid w:val="7551380D"/>
    <w:rsid w:val="75600BE5"/>
    <w:rsid w:val="7564475C"/>
    <w:rsid w:val="75720FA8"/>
    <w:rsid w:val="75812F99"/>
    <w:rsid w:val="7583797F"/>
    <w:rsid w:val="75915985"/>
    <w:rsid w:val="75956A44"/>
    <w:rsid w:val="75986535"/>
    <w:rsid w:val="75AB44BA"/>
    <w:rsid w:val="75AE7B06"/>
    <w:rsid w:val="75BE41ED"/>
    <w:rsid w:val="75BF7F65"/>
    <w:rsid w:val="75C40B9A"/>
    <w:rsid w:val="75CD61DE"/>
    <w:rsid w:val="75D20F1D"/>
    <w:rsid w:val="75DA2C18"/>
    <w:rsid w:val="75EB0D5A"/>
    <w:rsid w:val="75F54412"/>
    <w:rsid w:val="761371F1"/>
    <w:rsid w:val="761D08E0"/>
    <w:rsid w:val="761E4C8C"/>
    <w:rsid w:val="76487F5B"/>
    <w:rsid w:val="765D347C"/>
    <w:rsid w:val="766C3C49"/>
    <w:rsid w:val="767C1543"/>
    <w:rsid w:val="76826699"/>
    <w:rsid w:val="769D34B7"/>
    <w:rsid w:val="76B4739E"/>
    <w:rsid w:val="76C87133"/>
    <w:rsid w:val="76CD08D5"/>
    <w:rsid w:val="76DB4B92"/>
    <w:rsid w:val="76E71522"/>
    <w:rsid w:val="76EF6C8C"/>
    <w:rsid w:val="77020109"/>
    <w:rsid w:val="77052AA4"/>
    <w:rsid w:val="77136511"/>
    <w:rsid w:val="77340A39"/>
    <w:rsid w:val="77351FD0"/>
    <w:rsid w:val="77396925"/>
    <w:rsid w:val="77472422"/>
    <w:rsid w:val="77626347"/>
    <w:rsid w:val="776E6A77"/>
    <w:rsid w:val="77732DB5"/>
    <w:rsid w:val="777F31F2"/>
    <w:rsid w:val="779A2A38"/>
    <w:rsid w:val="77A64F39"/>
    <w:rsid w:val="77D1700D"/>
    <w:rsid w:val="77D51679"/>
    <w:rsid w:val="77EC04CC"/>
    <w:rsid w:val="77F2017E"/>
    <w:rsid w:val="77F36779"/>
    <w:rsid w:val="781F4CEB"/>
    <w:rsid w:val="78414882"/>
    <w:rsid w:val="78414C61"/>
    <w:rsid w:val="78623556"/>
    <w:rsid w:val="78643027"/>
    <w:rsid w:val="786A065C"/>
    <w:rsid w:val="78775729"/>
    <w:rsid w:val="788C48CC"/>
    <w:rsid w:val="788F1E71"/>
    <w:rsid w:val="78A05E2C"/>
    <w:rsid w:val="78A42DB0"/>
    <w:rsid w:val="78A656AB"/>
    <w:rsid w:val="78AC2A23"/>
    <w:rsid w:val="78AE4505"/>
    <w:rsid w:val="78B2245C"/>
    <w:rsid w:val="78BD69DE"/>
    <w:rsid w:val="78C935D5"/>
    <w:rsid w:val="78E172CC"/>
    <w:rsid w:val="78E35D19"/>
    <w:rsid w:val="78E8332F"/>
    <w:rsid w:val="78EA1D1F"/>
    <w:rsid w:val="78EC1071"/>
    <w:rsid w:val="7904172F"/>
    <w:rsid w:val="790C34C1"/>
    <w:rsid w:val="790F7E27"/>
    <w:rsid w:val="79110AD8"/>
    <w:rsid w:val="792A231A"/>
    <w:rsid w:val="792C5912"/>
    <w:rsid w:val="79316829"/>
    <w:rsid w:val="79440EAD"/>
    <w:rsid w:val="794E5888"/>
    <w:rsid w:val="795409C4"/>
    <w:rsid w:val="797E66A9"/>
    <w:rsid w:val="798968C0"/>
    <w:rsid w:val="79A97383"/>
    <w:rsid w:val="79B91299"/>
    <w:rsid w:val="79D33FDF"/>
    <w:rsid w:val="79E27E8B"/>
    <w:rsid w:val="79E3533A"/>
    <w:rsid w:val="79EE33DA"/>
    <w:rsid w:val="79F850CE"/>
    <w:rsid w:val="79FD2E0A"/>
    <w:rsid w:val="79FD443C"/>
    <w:rsid w:val="7A1D1975"/>
    <w:rsid w:val="7A3E5150"/>
    <w:rsid w:val="7A4670D6"/>
    <w:rsid w:val="7A5275FA"/>
    <w:rsid w:val="7A534B63"/>
    <w:rsid w:val="7A546ECE"/>
    <w:rsid w:val="7A615382"/>
    <w:rsid w:val="7A67303B"/>
    <w:rsid w:val="7A804167"/>
    <w:rsid w:val="7A97325F"/>
    <w:rsid w:val="7AAB1D04"/>
    <w:rsid w:val="7AAF05A8"/>
    <w:rsid w:val="7ABA4368"/>
    <w:rsid w:val="7ABB4491"/>
    <w:rsid w:val="7AD05746"/>
    <w:rsid w:val="7ADE49EA"/>
    <w:rsid w:val="7AF661D7"/>
    <w:rsid w:val="7B000E04"/>
    <w:rsid w:val="7B114A08"/>
    <w:rsid w:val="7B257FFD"/>
    <w:rsid w:val="7B315461"/>
    <w:rsid w:val="7B343476"/>
    <w:rsid w:val="7B430CF1"/>
    <w:rsid w:val="7B547823"/>
    <w:rsid w:val="7B5A2978"/>
    <w:rsid w:val="7B5A7E4C"/>
    <w:rsid w:val="7B667AF9"/>
    <w:rsid w:val="7B690757"/>
    <w:rsid w:val="7B7405A5"/>
    <w:rsid w:val="7B7468F8"/>
    <w:rsid w:val="7B917CAE"/>
    <w:rsid w:val="7B95154C"/>
    <w:rsid w:val="7BA07EF1"/>
    <w:rsid w:val="7BA619AB"/>
    <w:rsid w:val="7BAB5214"/>
    <w:rsid w:val="7BB37C24"/>
    <w:rsid w:val="7BB816DF"/>
    <w:rsid w:val="7BD5403F"/>
    <w:rsid w:val="7BE97FCD"/>
    <w:rsid w:val="7BED7BDD"/>
    <w:rsid w:val="7BEE0103"/>
    <w:rsid w:val="7BEE6EAE"/>
    <w:rsid w:val="7C0A0FE4"/>
    <w:rsid w:val="7C1D1021"/>
    <w:rsid w:val="7C2428D0"/>
    <w:rsid w:val="7C254906"/>
    <w:rsid w:val="7C4753D1"/>
    <w:rsid w:val="7C590818"/>
    <w:rsid w:val="7C7C10F6"/>
    <w:rsid w:val="7C853BEA"/>
    <w:rsid w:val="7C881368"/>
    <w:rsid w:val="7C991510"/>
    <w:rsid w:val="7C9E2682"/>
    <w:rsid w:val="7CA030B4"/>
    <w:rsid w:val="7CE27788"/>
    <w:rsid w:val="7D050953"/>
    <w:rsid w:val="7D0C32F1"/>
    <w:rsid w:val="7D0F408D"/>
    <w:rsid w:val="7D254B52"/>
    <w:rsid w:val="7D3A4883"/>
    <w:rsid w:val="7D456FA2"/>
    <w:rsid w:val="7D491C6C"/>
    <w:rsid w:val="7D496A92"/>
    <w:rsid w:val="7D4A45B8"/>
    <w:rsid w:val="7D5429C0"/>
    <w:rsid w:val="7D553689"/>
    <w:rsid w:val="7D6E6D43"/>
    <w:rsid w:val="7D733B0F"/>
    <w:rsid w:val="7D7635FF"/>
    <w:rsid w:val="7D796C4C"/>
    <w:rsid w:val="7D8253F9"/>
    <w:rsid w:val="7D913925"/>
    <w:rsid w:val="7D9F663D"/>
    <w:rsid w:val="7DA912DF"/>
    <w:rsid w:val="7DB57A34"/>
    <w:rsid w:val="7DE60973"/>
    <w:rsid w:val="7DE92023"/>
    <w:rsid w:val="7DEF0916"/>
    <w:rsid w:val="7DF37EEA"/>
    <w:rsid w:val="7E046E5D"/>
    <w:rsid w:val="7E0724A9"/>
    <w:rsid w:val="7E0B01EB"/>
    <w:rsid w:val="7E1D3A7B"/>
    <w:rsid w:val="7E1E5218"/>
    <w:rsid w:val="7E3E6976"/>
    <w:rsid w:val="7E5751DF"/>
    <w:rsid w:val="7E6D67B0"/>
    <w:rsid w:val="7E723DC7"/>
    <w:rsid w:val="7E7C2E97"/>
    <w:rsid w:val="7E9A4E1F"/>
    <w:rsid w:val="7EA321D2"/>
    <w:rsid w:val="7EA7723A"/>
    <w:rsid w:val="7EB83695"/>
    <w:rsid w:val="7EC851F8"/>
    <w:rsid w:val="7EF56FBB"/>
    <w:rsid w:val="7F0768EB"/>
    <w:rsid w:val="7F143BEC"/>
    <w:rsid w:val="7F1E7AAB"/>
    <w:rsid w:val="7F2C666B"/>
    <w:rsid w:val="7F4B129D"/>
    <w:rsid w:val="7F715AF2"/>
    <w:rsid w:val="7F886E69"/>
    <w:rsid w:val="7F8C2C66"/>
    <w:rsid w:val="7F9D1317"/>
    <w:rsid w:val="7FBE4DEA"/>
    <w:rsid w:val="7FE140DD"/>
    <w:rsid w:val="7FE505C8"/>
    <w:rsid w:val="7FEB5F33"/>
    <w:rsid w:val="7FF16F6D"/>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8"/>
    <w:next w:val="9"/>
    <w:link w:val="815"/>
    <w:qFormat/>
    <w:uiPriority w:val="0"/>
    <w:pPr>
      <w:keepNext/>
      <w:keepLines/>
      <w:tabs>
        <w:tab w:val="left" w:pos="1008"/>
        <w:tab w:val="left" w:pos="1697"/>
      </w:tabs>
      <w:spacing w:before="280" w:after="290" w:line="376" w:lineRule="auto"/>
      <w:ind w:left="1008" w:hanging="1008"/>
      <w:outlineLvl w:val="4"/>
    </w:pPr>
    <w:rPr>
      <w:b/>
      <w:bCs/>
      <w:sz w:val="28"/>
      <w:szCs w:val="28"/>
    </w:rPr>
  </w:style>
  <w:style w:type="paragraph" w:styleId="10">
    <w:name w:val="heading 6"/>
    <w:basedOn w:val="1"/>
    <w:next w:val="1"/>
    <w:link w:val="68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82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872"/>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71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w:basedOn w:val="1"/>
    <w:link w:val="937"/>
    <w:qFormat/>
    <w:uiPriority w:val="0"/>
    <w:pPr>
      <w:autoSpaceDE w:val="0"/>
      <w:autoSpaceDN w:val="0"/>
      <w:spacing w:line="360" w:lineRule="auto"/>
    </w:pPr>
    <w:rPr>
      <w:rFonts w:ascii="宋体" w:hAnsi="Arial" w:cs="Arial"/>
      <w:snapToGrid w:val="0"/>
      <w:sz w:val="24"/>
      <w:szCs w:val="21"/>
      <w:lang w:val="zh-CN"/>
    </w:rPr>
  </w:style>
  <w:style w:type="paragraph" w:styleId="8">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9">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toc 7"/>
    <w:basedOn w:val="1"/>
    <w:next w:val="1"/>
    <w:qFormat/>
    <w:uiPriority w:val="0"/>
    <w:pPr>
      <w:ind w:left="2520" w:leftChars="1200"/>
    </w:p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5"/>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7"/>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2"/>
    <w:qFormat/>
    <w:uiPriority w:val="0"/>
    <w:pPr>
      <w:shd w:val="clear" w:color="auto" w:fill="000080"/>
    </w:pPr>
  </w:style>
  <w:style w:type="paragraph" w:styleId="21">
    <w:name w:val="annotation text"/>
    <w:basedOn w:val="1"/>
    <w:link w:val="860"/>
    <w:qFormat/>
    <w:uiPriority w:val="99"/>
    <w:pPr>
      <w:jc w:val="left"/>
    </w:pPr>
  </w:style>
  <w:style w:type="paragraph" w:styleId="22">
    <w:name w:val="Salutation"/>
    <w:basedOn w:val="1"/>
    <w:next w:val="1"/>
    <w:link w:val="820"/>
    <w:qFormat/>
    <w:uiPriority w:val="0"/>
    <w:rPr>
      <w:rFonts w:ascii="仿宋_GB2312" w:eastAsia="仿宋_GB2312"/>
      <w:sz w:val="28"/>
      <w:szCs w:val="20"/>
    </w:rPr>
  </w:style>
  <w:style w:type="paragraph" w:styleId="23">
    <w:name w:val="Body Text 3"/>
    <w:basedOn w:val="1"/>
    <w:link w:val="848"/>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link w:val="788"/>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4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664"/>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714"/>
    <w:qFormat/>
    <w:uiPriority w:val="0"/>
    <w:pPr>
      <w:ind w:left="100" w:leftChars="2500"/>
    </w:pPr>
    <w:rPr>
      <w:rFonts w:ascii="宋体"/>
      <w:sz w:val="24"/>
      <w:szCs w:val="21"/>
      <w:lang w:val="zh-CN"/>
    </w:rPr>
  </w:style>
  <w:style w:type="paragraph" w:styleId="37">
    <w:name w:val="Body Text Indent 2"/>
    <w:basedOn w:val="1"/>
    <w:link w:val="828"/>
    <w:qFormat/>
    <w:uiPriority w:val="0"/>
    <w:pPr>
      <w:spacing w:line="360" w:lineRule="auto"/>
      <w:ind w:firstLine="601"/>
      <w:textAlignment w:val="baseline"/>
    </w:pPr>
    <w:rPr>
      <w:rFonts w:ascii="宋体"/>
      <w:kern w:val="0"/>
      <w:sz w:val="28"/>
      <w:szCs w:val="20"/>
    </w:rPr>
  </w:style>
  <w:style w:type="paragraph" w:styleId="38">
    <w:name w:val="endnote text"/>
    <w:basedOn w:val="1"/>
    <w:link w:val="945"/>
    <w:qFormat/>
    <w:uiPriority w:val="0"/>
    <w:rPr>
      <w:lang w:val="zh-CN"/>
    </w:rPr>
  </w:style>
  <w:style w:type="paragraph" w:styleId="39">
    <w:name w:val="Balloon Text"/>
    <w:basedOn w:val="1"/>
    <w:link w:val="721"/>
    <w:qFormat/>
    <w:uiPriority w:val="0"/>
    <w:rPr>
      <w:sz w:val="18"/>
      <w:szCs w:val="18"/>
    </w:rPr>
  </w:style>
  <w:style w:type="paragraph" w:styleId="40">
    <w:name w:val="footer"/>
    <w:basedOn w:val="1"/>
    <w:link w:val="896"/>
    <w:qFormat/>
    <w:uiPriority w:val="99"/>
    <w:pPr>
      <w:tabs>
        <w:tab w:val="center" w:pos="4153"/>
        <w:tab w:val="right" w:pos="8306"/>
      </w:tabs>
      <w:snapToGrid w:val="0"/>
      <w:jc w:val="left"/>
    </w:pPr>
    <w:rPr>
      <w:sz w:val="18"/>
      <w:szCs w:val="18"/>
    </w:rPr>
  </w:style>
  <w:style w:type="paragraph" w:styleId="41">
    <w:name w:val="envelope return"/>
    <w:basedOn w:val="1"/>
    <w:unhideWhenUsed/>
    <w:qFormat/>
    <w:uiPriority w:val="99"/>
    <w:pPr>
      <w:snapToGrid w:val="0"/>
    </w:pPr>
    <w:rPr>
      <w:rFonts w:ascii="Arial" w:hAnsi="Arial"/>
    </w:rPr>
  </w:style>
  <w:style w:type="paragraph" w:styleId="42">
    <w:name w:val="header"/>
    <w:basedOn w:val="1"/>
    <w:link w:val="90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1"/>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7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830"/>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9"/>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4"/>
    <w:qFormat/>
    <w:uiPriority w:val="0"/>
    <w:pPr>
      <w:spacing w:after="120" w:line="480" w:lineRule="auto"/>
    </w:pPr>
  </w:style>
  <w:style w:type="paragraph" w:styleId="58">
    <w:name w:val="HTML Preformatted"/>
    <w:basedOn w:val="1"/>
    <w:link w:val="82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Title"/>
    <w:basedOn w:val="1"/>
    <w:link w:val="808"/>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7"/>
    <w:qFormat/>
    <w:uiPriority w:val="0"/>
    <w:rPr>
      <w:b/>
      <w:bCs/>
    </w:rPr>
  </w:style>
  <w:style w:type="paragraph" w:styleId="61">
    <w:name w:val="Body Text First Indent"/>
    <w:basedOn w:val="2"/>
    <w:next w:val="52"/>
    <w:link w:val="839"/>
    <w:qFormat/>
    <w:uiPriority w:val="0"/>
    <w:pPr>
      <w:ind w:firstLine="420"/>
    </w:pPr>
    <w:rPr>
      <w:rFonts w:hAnsi="Calibri" w:cs="Times New Roman"/>
      <w:szCs w:val="20"/>
    </w:rPr>
  </w:style>
  <w:style w:type="paragraph" w:styleId="62">
    <w:name w:val="Body Text First Indent 2"/>
    <w:basedOn w:val="25"/>
    <w:next w:val="1"/>
    <w:link w:val="660"/>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首行缩进"/>
    <w:basedOn w:val="1"/>
    <w:qFormat/>
    <w:uiPriority w:val="0"/>
    <w:pPr>
      <w:spacing w:line="360" w:lineRule="auto"/>
      <w:ind w:firstLine="480" w:firstLineChars="200"/>
    </w:pPr>
    <w:rPr>
      <w:rFonts w:ascii="宋体"/>
      <w:sz w:val="24"/>
      <w:szCs w:val="20"/>
    </w:rPr>
  </w:style>
  <w:style w:type="paragraph" w:customStyle="1" w:styleId="81">
    <w:name w:val="正文文本首行缩进 2"/>
    <w:basedOn w:val="82"/>
    <w:qFormat/>
    <w:uiPriority w:val="99"/>
    <w:pPr>
      <w:tabs>
        <w:tab w:val="right" w:leader="dot" w:pos="8268"/>
      </w:tabs>
      <w:spacing w:line="200" w:lineRule="atLeast"/>
      <w:ind w:firstLine="420"/>
    </w:pPr>
    <w:rPr>
      <w:rFonts w:ascii="宋体" w:hAnsi="Courier New"/>
      <w:spacing w:val="-4"/>
      <w:sz w:val="18"/>
    </w:rPr>
  </w:style>
  <w:style w:type="paragraph" w:customStyle="1" w:styleId="82">
    <w:name w:val="正文缩进1"/>
    <w:basedOn w:val="83"/>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3">
    <w:name w:val="正文1"/>
    <w:basedOn w:val="32"/>
    <w:next w:val="1"/>
    <w:qFormat/>
    <w:uiPriority w:val="0"/>
    <w:pPr>
      <w:ind w:left="0" w:leftChars="0" w:firstLine="480" w:firstLineChars="200"/>
    </w:pPr>
    <w:rPr>
      <w:rFonts w:ascii="仿宋_GB2312" w:hAnsi="Courier New" w:eastAsia="仿宋_GB2312"/>
      <w:kern w:val="28"/>
      <w:sz w:val="24"/>
    </w:rPr>
  </w:style>
  <w:style w:type="paragraph" w:customStyle="1" w:styleId="84">
    <w:name w:val="标题 21"/>
    <w:basedOn w:val="83"/>
    <w:next w:val="83"/>
    <w:qFormat/>
    <w:uiPriority w:val="0"/>
    <w:pPr>
      <w:keepNext/>
      <w:keepLines/>
      <w:tabs>
        <w:tab w:val="left" w:pos="706"/>
        <w:tab w:val="clear" w:pos="8268"/>
      </w:tabs>
      <w:spacing w:line="360" w:lineRule="auto"/>
      <w:ind w:left="106" w:firstLine="454"/>
      <w:outlineLvl w:val="1"/>
    </w:pPr>
    <w:rPr>
      <w:rFonts w:ascii="Arial" w:hAnsi="Arial" w:eastAsia="??"/>
      <w:b/>
      <w:bCs/>
      <w:szCs w:val="32"/>
    </w:rPr>
  </w:style>
  <w:style w:type="paragraph" w:customStyle="1" w:styleId="85">
    <w:name w:val="表格非标题文字"/>
    <w:link w:val="626"/>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6">
    <w:name w:val="*正文"/>
    <w:basedOn w:val="1"/>
    <w:link w:val="627"/>
    <w:qFormat/>
    <w:uiPriority w:val="0"/>
    <w:pPr>
      <w:snapToGrid w:val="0"/>
      <w:spacing w:line="360" w:lineRule="auto"/>
      <w:ind w:firstLine="482"/>
      <w:jc w:val="left"/>
    </w:pPr>
    <w:rPr>
      <w:rFonts w:ascii="宋体" w:hAnsi="宋体"/>
      <w:kern w:val="0"/>
      <w:sz w:val="24"/>
      <w:szCs w:val="20"/>
    </w:rPr>
  </w:style>
  <w:style w:type="paragraph" w:customStyle="1" w:styleId="87">
    <w:name w:val="U_正文"/>
    <w:basedOn w:val="1"/>
    <w:link w:val="635"/>
    <w:qFormat/>
    <w:uiPriority w:val="0"/>
    <w:pPr>
      <w:adjustRightInd/>
      <w:spacing w:beforeLines="20" w:afterLines="20" w:line="300" w:lineRule="auto"/>
      <w:ind w:firstLine="200" w:firstLineChars="200"/>
    </w:pPr>
    <w:rPr>
      <w:kern w:val="0"/>
      <w:sz w:val="24"/>
    </w:rPr>
  </w:style>
  <w:style w:type="paragraph" w:customStyle="1" w:styleId="88">
    <w:name w:val="哈哈正文"/>
    <w:basedOn w:val="1"/>
    <w:link w:val="642"/>
    <w:qFormat/>
    <w:uiPriority w:val="0"/>
    <w:pPr>
      <w:adjustRightInd/>
      <w:spacing w:line="360" w:lineRule="auto"/>
      <w:ind w:firstLine="200" w:firstLineChars="200"/>
    </w:pPr>
    <w:rPr>
      <w:rFonts w:ascii="宋体" w:hAnsi="宋体"/>
      <w:sz w:val="24"/>
      <w:szCs w:val="20"/>
    </w:rPr>
  </w:style>
  <w:style w:type="paragraph" w:customStyle="1" w:styleId="89">
    <w:name w:val="5正文"/>
    <w:basedOn w:val="1"/>
    <w:link w:val="655"/>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0">
    <w:name w:val="正文2"/>
    <w:basedOn w:val="1"/>
    <w:next w:val="44"/>
    <w:link w:val="669"/>
    <w:qFormat/>
    <w:uiPriority w:val="0"/>
    <w:pPr>
      <w:spacing w:before="156" w:line="360" w:lineRule="auto"/>
      <w:ind w:firstLine="510" w:firstLineChars="200"/>
    </w:pPr>
    <w:rPr>
      <w:sz w:val="24"/>
      <w:szCs w:val="20"/>
    </w:rPr>
  </w:style>
  <w:style w:type="paragraph" w:customStyle="1" w:styleId="91">
    <w:name w:val="无间隔1"/>
    <w:link w:val="677"/>
    <w:qFormat/>
    <w:uiPriority w:val="1"/>
    <w:rPr>
      <w:rFonts w:ascii="Times New Roman" w:hAnsi="Times New Roman" w:eastAsia="宋体" w:cs="Times New Roman"/>
      <w:sz w:val="22"/>
      <w:szCs w:val="22"/>
      <w:lang w:val="en-US" w:eastAsia="zh-CN" w:bidi="ar-SA"/>
    </w:rPr>
  </w:style>
  <w:style w:type="paragraph" w:customStyle="1" w:styleId="92">
    <w:name w:val="纯文本_0_0"/>
    <w:basedOn w:val="93"/>
    <w:link w:val="685"/>
    <w:qFormat/>
    <w:uiPriority w:val="0"/>
    <w:rPr>
      <w:rFonts w:ascii="宋体" w:hAnsi="Courier New"/>
      <w:szCs w:val="21"/>
    </w:rPr>
  </w:style>
  <w:style w:type="paragraph" w:customStyle="1" w:styleId="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4">
    <w:name w:val="正文（绿盟科技）"/>
    <w:link w:val="695"/>
    <w:qFormat/>
    <w:uiPriority w:val="0"/>
    <w:pPr>
      <w:spacing w:line="300" w:lineRule="auto"/>
    </w:pPr>
    <w:rPr>
      <w:rFonts w:ascii="Arial" w:hAnsi="Arial" w:eastAsia="宋体" w:cs="Times New Roman"/>
      <w:sz w:val="21"/>
      <w:szCs w:val="21"/>
      <w:lang w:val="en-US" w:eastAsia="zh-CN" w:bidi="ar-SA"/>
    </w:rPr>
  </w:style>
  <w:style w:type="paragraph" w:customStyle="1" w:styleId="95">
    <w:name w:val="表格名称"/>
    <w:basedOn w:val="4"/>
    <w:link w:val="704"/>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6">
    <w:name w:val="my正文"/>
    <w:basedOn w:val="1"/>
    <w:link w:val="724"/>
    <w:qFormat/>
    <w:uiPriority w:val="0"/>
    <w:pPr>
      <w:adjustRightInd/>
      <w:spacing w:line="360" w:lineRule="auto"/>
      <w:ind w:firstLine="480" w:firstLineChars="200"/>
    </w:pPr>
    <w:rPr>
      <w:rFonts w:ascii="Tahoma" w:hAnsi="Tahoma"/>
      <w:kern w:val="0"/>
      <w:sz w:val="24"/>
    </w:rPr>
  </w:style>
  <w:style w:type="paragraph" w:customStyle="1" w:styleId="97">
    <w:name w:val="3级"/>
    <w:basedOn w:val="98"/>
    <w:link w:val="730"/>
    <w:qFormat/>
    <w:uiPriority w:val="0"/>
    <w:pPr>
      <w:ind w:left="0" w:right="466" w:firstLine="288"/>
    </w:pPr>
    <w:rPr>
      <w:rFonts w:hAnsi="宋体"/>
    </w:rPr>
  </w:style>
  <w:style w:type="paragraph" w:customStyle="1" w:styleId="98">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9">
    <w:name w:val="标题4-dyf"/>
    <w:basedOn w:val="6"/>
    <w:link w:val="75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0">
    <w:name w:val="冯"/>
    <w:basedOn w:val="1"/>
    <w:link w:val="754"/>
    <w:qFormat/>
    <w:uiPriority w:val="0"/>
    <w:pPr>
      <w:widowControl/>
      <w:adjustRightInd/>
      <w:spacing w:line="360" w:lineRule="auto"/>
      <w:ind w:firstLine="480" w:firstLineChars="200"/>
    </w:pPr>
    <w:rPr>
      <w:rFonts w:ascii="宋体" w:hAnsi="宋体"/>
      <w:color w:val="000000"/>
      <w:kern w:val="0"/>
      <w:sz w:val="24"/>
    </w:rPr>
  </w:style>
  <w:style w:type="paragraph" w:customStyle="1" w:styleId="101">
    <w:name w:val="Default"/>
    <w:link w:val="76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2">
    <w:name w:val="正文样式"/>
    <w:basedOn w:val="1"/>
    <w:link w:val="772"/>
    <w:qFormat/>
    <w:uiPriority w:val="0"/>
    <w:pPr>
      <w:adjustRightInd/>
      <w:spacing w:line="360" w:lineRule="auto"/>
      <w:ind w:firstLine="480" w:firstLineChars="200"/>
    </w:pPr>
    <w:rPr>
      <w:kern w:val="0"/>
      <w:sz w:val="24"/>
    </w:rPr>
  </w:style>
  <w:style w:type="paragraph" w:customStyle="1" w:styleId="103">
    <w:name w:val="gf正文1"/>
    <w:basedOn w:val="1"/>
    <w:link w:val="778"/>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List Paragraph"/>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3"/>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5"/>
    <w:qFormat/>
    <w:uiPriority w:val="0"/>
    <w:pPr>
      <w:tabs>
        <w:tab w:val="left" w:pos="2356"/>
      </w:tabs>
    </w:pPr>
  </w:style>
  <w:style w:type="paragraph" w:customStyle="1" w:styleId="108">
    <w:name w:val="样式 标题 4h4H4Fab-4T5Ref Heading 1rh1Heading sqlsect 1.2.3...."/>
    <w:basedOn w:val="6"/>
    <w:link w:val="92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38"/>
    <w:qFormat/>
    <w:uiPriority w:val="0"/>
    <w:pPr>
      <w:adjustRightInd/>
    </w:pPr>
    <w:rPr>
      <w:rFonts w:ascii="宋体" w:hAnsi="Courier New"/>
      <w:kern w:val="0"/>
      <w:sz w:val="20"/>
      <w:szCs w:val="20"/>
    </w:rPr>
  </w:style>
  <w:style w:type="paragraph" w:customStyle="1" w:styleId="111">
    <w:name w:val="正文说明"/>
    <w:basedOn w:val="1"/>
    <w:link w:val="850"/>
    <w:qFormat/>
    <w:uiPriority w:val="0"/>
    <w:pPr>
      <w:adjustRightInd/>
      <w:spacing w:line="360" w:lineRule="auto"/>
    </w:pPr>
    <w:rPr>
      <w:kern w:val="0"/>
      <w:sz w:val="24"/>
    </w:rPr>
  </w:style>
  <w:style w:type="paragraph" w:customStyle="1" w:styleId="112">
    <w:name w:val="Table Text"/>
    <w:basedOn w:val="1"/>
    <w:link w:val="856"/>
    <w:qFormat/>
    <w:uiPriority w:val="0"/>
    <w:pPr>
      <w:widowControl/>
      <w:spacing w:before="60" w:after="60"/>
      <w:jc w:val="left"/>
    </w:pPr>
    <w:rPr>
      <w:kern w:val="0"/>
      <w:sz w:val="24"/>
    </w:rPr>
  </w:style>
  <w:style w:type="paragraph" w:customStyle="1" w:styleId="113">
    <w:name w:val="公文正文"/>
    <w:basedOn w:val="1"/>
    <w:link w:val="868"/>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3"/>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1"/>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08"/>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1"/>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17"/>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4"/>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17"/>
    <w:link w:val="936"/>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6"/>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9">
    <w:name w:val="封面公司名"/>
    <w:qFormat/>
    <w:uiPriority w:val="0"/>
    <w:pPr>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1">
    <w:name w:val="No Spacing"/>
    <w:basedOn w:val="1"/>
    <w:link w:val="946"/>
    <w:qFormat/>
    <w:uiPriority w:val="99"/>
    <w:rPr>
      <w:szCs w:val="22"/>
    </w:rPr>
  </w:style>
  <w:style w:type="paragraph" w:customStyle="1" w:styleId="172">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7"/>
    <w:qFormat/>
    <w:uiPriority w:val="0"/>
    <w:pPr>
      <w:tabs>
        <w:tab w:val="left" w:pos="2520"/>
        <w:tab w:val="clear" w:pos="1008"/>
        <w:tab w:val="clear" w:pos="1697"/>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90"/>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9">
    <w:name w:val="_Style 3"/>
    <w:basedOn w:val="1"/>
    <w:qFormat/>
    <w:uiPriority w:val="0"/>
    <w:pPr>
      <w:adjustRightInd/>
      <w:ind w:firstLine="420" w:firstLineChars="200"/>
    </w:pPr>
    <w:rPr>
      <w:rFonts w:eastAsia="仿宋_GB2312"/>
      <w:sz w:val="28"/>
    </w:rPr>
  </w:style>
  <w:style w:type="paragraph" w:customStyle="1" w:styleId="21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2">
    <w:name w:val="左对齐表格文字"/>
    <w:basedOn w:val="1"/>
    <w:qFormat/>
    <w:uiPriority w:val="0"/>
    <w:pPr>
      <w:adjustRightInd/>
      <w:ind w:firstLine="200" w:firstLineChars="200"/>
      <w:jc w:val="right"/>
    </w:pPr>
  </w:style>
  <w:style w:type="paragraph" w:customStyle="1" w:styleId="213">
    <w:name w:val="Char Char11 Char Char Char Char Char Char Char Char Char"/>
    <w:basedOn w:val="1"/>
    <w:qFormat/>
    <w:uiPriority w:val="0"/>
    <w:pPr>
      <w:spacing w:line="360" w:lineRule="auto"/>
    </w:pPr>
    <w:rPr>
      <w:szCs w:val="20"/>
    </w:rPr>
  </w:style>
  <w:style w:type="paragraph" w:customStyle="1" w:styleId="214">
    <w:name w:val="正文1.25"/>
    <w:basedOn w:val="1"/>
    <w:qFormat/>
    <w:uiPriority w:val="0"/>
    <w:pPr>
      <w:adjustRightInd/>
      <w:spacing w:line="300" w:lineRule="auto"/>
      <w:ind w:firstLine="480" w:firstLineChars="200"/>
    </w:pPr>
    <w:rPr>
      <w:sz w:val="24"/>
      <w:szCs w:val="20"/>
    </w:rPr>
  </w:style>
  <w:style w:type="paragraph" w:customStyle="1" w:styleId="21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8">
    <w:name w:val="Char Char1 Char Char Char1"/>
    <w:basedOn w:val="1"/>
    <w:qFormat/>
    <w:uiPriority w:val="6"/>
    <w:rPr>
      <w:rFonts w:ascii="仿宋_GB2312" w:eastAsia="仿宋_GB2312"/>
      <w:b/>
      <w:sz w:val="32"/>
      <w:szCs w:val="20"/>
    </w:rPr>
  </w:style>
  <w:style w:type="paragraph" w:customStyle="1" w:styleId="219">
    <w:name w:val="列出段落2"/>
    <w:basedOn w:val="1"/>
    <w:qFormat/>
    <w:uiPriority w:val="0"/>
    <w:pPr>
      <w:adjustRightInd/>
      <w:ind w:firstLine="420" w:firstLineChars="200"/>
    </w:pPr>
    <w:rPr>
      <w:rFonts w:ascii="宋体" w:hAnsi="宋体"/>
      <w:sz w:val="24"/>
    </w:rPr>
  </w:style>
  <w:style w:type="paragraph" w:customStyle="1" w:styleId="220">
    <w:name w:val="默认段落字体 Para Char Char Char Char Char Char Char"/>
    <w:basedOn w:val="1"/>
    <w:qFormat/>
    <w:uiPriority w:val="0"/>
    <w:rPr>
      <w:rFonts w:eastAsia="仿宋_GB2312"/>
      <w:sz w:val="28"/>
      <w:szCs w:val="20"/>
    </w:rPr>
  </w:style>
  <w:style w:type="paragraph" w:customStyle="1" w:styleId="22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2">
    <w:name w:val="样式 标题 4PIM 4H4h4bulletblbbH41H42H43H44H45H46H47H48...1"/>
    <w:basedOn w:val="6"/>
    <w:qFormat/>
    <w:uiPriority w:val="0"/>
    <w:pPr>
      <w:widowControl/>
      <w:jc w:val="left"/>
    </w:pPr>
    <w:rPr>
      <w:rFonts w:cs="宋体"/>
      <w:sz w:val="24"/>
      <w:szCs w:val="20"/>
    </w:rPr>
  </w:style>
  <w:style w:type="paragraph" w:customStyle="1" w:styleId="223">
    <w:name w:val="彩色列表 - 强调文字颜色 11"/>
    <w:basedOn w:val="1"/>
    <w:qFormat/>
    <w:uiPriority w:val="0"/>
    <w:pPr>
      <w:adjustRightInd/>
      <w:ind w:firstLine="420" w:firstLineChars="200"/>
    </w:pPr>
    <w:rPr>
      <w:rFonts w:ascii="Calibri" w:hAnsi="Calibri"/>
      <w:szCs w:val="22"/>
    </w:rPr>
  </w:style>
  <w:style w:type="paragraph" w:customStyle="1" w:styleId="22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7">
    <w:name w:val="Char Char Char1 Char1"/>
    <w:basedOn w:val="1"/>
    <w:qFormat/>
    <w:uiPriority w:val="6"/>
    <w:rPr>
      <w:szCs w:val="20"/>
    </w:rPr>
  </w:style>
  <w:style w:type="paragraph" w:customStyle="1" w:styleId="22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9">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3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3">
    <w:name w:val="CM14"/>
    <w:basedOn w:val="101"/>
    <w:next w:val="101"/>
    <w:qFormat/>
    <w:uiPriority w:val="0"/>
    <w:pPr>
      <w:spacing w:after="68"/>
    </w:pPr>
    <w:rPr>
      <w:rFonts w:ascii="FHLHE E+ Futura Bk" w:eastAsia="FHLHE E+ Futura Bk" w:cs="Times New Roman"/>
      <w:color w:val="auto"/>
    </w:rPr>
  </w:style>
  <w:style w:type="paragraph" w:customStyle="1" w:styleId="23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7">
    <w:name w:val="正文文字 2"/>
    <w:basedOn w:val="101"/>
    <w:next w:val="101"/>
    <w:qFormat/>
    <w:uiPriority w:val="0"/>
    <w:rPr>
      <w:rFonts w:ascii="宋体" w:eastAsia="宋体" w:cs="Times New Roman"/>
      <w:color w:val="auto"/>
    </w:rPr>
  </w:style>
  <w:style w:type="paragraph" w:customStyle="1" w:styleId="23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9">
    <w:name w:val="Char Char1 Char"/>
    <w:basedOn w:val="1"/>
    <w:qFormat/>
    <w:uiPriority w:val="0"/>
    <w:rPr>
      <w:rFonts w:ascii="仿宋_GB2312" w:eastAsia="仿宋_GB2312"/>
      <w:b/>
      <w:sz w:val="32"/>
      <w:szCs w:val="32"/>
    </w:rPr>
  </w:style>
  <w:style w:type="paragraph" w:customStyle="1" w:styleId="24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2">
    <w:name w:val="Char Char111"/>
    <w:basedOn w:val="1"/>
    <w:qFormat/>
    <w:uiPriority w:val="0"/>
    <w:pPr>
      <w:spacing w:line="360" w:lineRule="auto"/>
    </w:pPr>
    <w:rPr>
      <w:szCs w:val="20"/>
    </w:rPr>
  </w:style>
  <w:style w:type="paragraph" w:customStyle="1" w:styleId="243">
    <w:name w:val="Char"/>
    <w:basedOn w:val="1"/>
    <w:qFormat/>
    <w:uiPriority w:val="0"/>
    <w:rPr>
      <w:rFonts w:ascii="仿宋_GB2312" w:eastAsia="仿宋_GB2312"/>
      <w:b/>
      <w:sz w:val="32"/>
      <w:szCs w:val="32"/>
    </w:rPr>
  </w:style>
  <w:style w:type="paragraph" w:customStyle="1" w:styleId="24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6">
    <w:name w:val="Char Char Char1 Char"/>
    <w:basedOn w:val="1"/>
    <w:qFormat/>
    <w:uiPriority w:val="0"/>
    <w:rPr>
      <w:szCs w:val="20"/>
    </w:rPr>
  </w:style>
  <w:style w:type="paragraph" w:customStyle="1" w:styleId="247">
    <w:name w:val="正文标准"/>
    <w:basedOn w:val="1"/>
    <w:qFormat/>
    <w:uiPriority w:val="0"/>
    <w:pPr>
      <w:adjustRightInd/>
      <w:spacing w:line="360" w:lineRule="auto"/>
      <w:ind w:firstLine="200" w:firstLineChars="200"/>
    </w:pPr>
    <w:rPr>
      <w:rFonts w:ascii="宋体" w:hAnsi="Calibri"/>
      <w:sz w:val="24"/>
    </w:rPr>
  </w:style>
  <w:style w:type="paragraph" w:customStyle="1" w:styleId="24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5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9">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0">
    <w:name w:val="Char Char Char Char Char Char Char Char Char Char"/>
    <w:basedOn w:val="1"/>
    <w:qFormat/>
    <w:uiPriority w:val="0"/>
    <w:rPr>
      <w:rFonts w:ascii="仿宋_GB2312" w:eastAsia="仿宋_GB2312"/>
      <w:b/>
      <w:sz w:val="32"/>
      <w:szCs w:val="32"/>
    </w:rPr>
  </w:style>
  <w:style w:type="paragraph" w:customStyle="1" w:styleId="26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2">
    <w:name w:val="_正文段落"/>
    <w:basedOn w:val="1"/>
    <w:qFormat/>
    <w:uiPriority w:val="0"/>
    <w:pPr>
      <w:adjustRightInd/>
      <w:ind w:firstLine="560"/>
    </w:pPr>
    <w:rPr>
      <w:rFonts w:ascii="仿宋_GB2312" w:hAnsi="仿宋" w:eastAsia="仿宋_GB2312"/>
      <w:kern w:val="0"/>
      <w:sz w:val="28"/>
      <w:szCs w:val="28"/>
    </w:rPr>
  </w:style>
  <w:style w:type="paragraph" w:customStyle="1" w:styleId="26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9">
    <w:name w:val="Char Char Char1 Char2"/>
    <w:basedOn w:val="1"/>
    <w:qFormat/>
    <w:uiPriority w:val="0"/>
    <w:rPr>
      <w:szCs w:val="20"/>
    </w:rPr>
  </w:style>
  <w:style w:type="paragraph" w:customStyle="1" w:styleId="27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1">
    <w:name w:val="默认段落字体 Para Char"/>
    <w:basedOn w:val="1"/>
    <w:qFormat/>
    <w:uiPriority w:val="0"/>
    <w:rPr>
      <w:rFonts w:ascii="Tahoma" w:hAnsi="Tahoma"/>
      <w:sz w:val="24"/>
      <w:szCs w:val="20"/>
    </w:rPr>
  </w:style>
  <w:style w:type="paragraph" w:customStyle="1" w:styleId="272">
    <w:name w:val="标题五"/>
    <w:basedOn w:val="1"/>
    <w:qFormat/>
    <w:uiPriority w:val="0"/>
    <w:pPr>
      <w:adjustRightInd/>
      <w:spacing w:before="156" w:beforeLines="50" w:line="360" w:lineRule="auto"/>
    </w:pPr>
    <w:rPr>
      <w:b/>
      <w:sz w:val="24"/>
    </w:rPr>
  </w:style>
  <w:style w:type="paragraph" w:customStyle="1" w:styleId="273">
    <w:name w:val="Char Char1101"/>
    <w:basedOn w:val="1"/>
    <w:qFormat/>
    <w:uiPriority w:val="0"/>
    <w:pPr>
      <w:spacing w:line="360" w:lineRule="auto"/>
    </w:pPr>
    <w:rPr>
      <w:rFonts w:ascii="Tahoma" w:hAnsi="Tahoma"/>
      <w:sz w:val="24"/>
      <w:szCs w:val="20"/>
    </w:rPr>
  </w:style>
  <w:style w:type="paragraph" w:customStyle="1" w:styleId="274">
    <w:name w:val="Char Char Char Char Char Char Char Char1"/>
    <w:basedOn w:val="1"/>
    <w:qFormat/>
    <w:uiPriority w:val="0"/>
    <w:pPr>
      <w:tabs>
        <w:tab w:val="left" w:pos="360"/>
      </w:tabs>
    </w:pPr>
    <w:rPr>
      <w:sz w:val="24"/>
      <w:szCs w:val="20"/>
    </w:rPr>
  </w:style>
  <w:style w:type="paragraph" w:customStyle="1" w:styleId="275">
    <w:name w:val="Char Char Char 字元 字元"/>
    <w:basedOn w:val="1"/>
    <w:qFormat/>
    <w:uiPriority w:val="0"/>
    <w:pPr>
      <w:adjustRightInd/>
      <w:spacing w:line="360" w:lineRule="auto"/>
      <w:ind w:firstLine="200" w:firstLineChars="200"/>
    </w:pPr>
    <w:rPr>
      <w:szCs w:val="20"/>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7">
    <w:name w:val="Char Char Char Char Char Char Char"/>
    <w:basedOn w:val="1"/>
    <w:qFormat/>
    <w:uiPriority w:val="0"/>
    <w:rPr>
      <w:rFonts w:ascii="仿宋_GB2312" w:eastAsia="仿宋_GB2312"/>
      <w:b/>
      <w:sz w:val="32"/>
      <w:szCs w:val="32"/>
    </w:rPr>
  </w:style>
  <w:style w:type="paragraph" w:customStyle="1" w:styleId="27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0">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1">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282">
    <w:name w:val="批注框文本 Char Char"/>
    <w:basedOn w:val="1"/>
    <w:qFormat/>
    <w:uiPriority w:val="0"/>
    <w:pPr>
      <w:adjustRightInd/>
    </w:pPr>
    <w:rPr>
      <w:sz w:val="18"/>
      <w:szCs w:val="20"/>
    </w:rPr>
  </w:style>
  <w:style w:type="paragraph" w:customStyle="1" w:styleId="28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7">
    <w:name w:val="索引 11"/>
    <w:basedOn w:val="1"/>
    <w:next w:val="1"/>
    <w:qFormat/>
    <w:uiPriority w:val="99"/>
    <w:pPr>
      <w:adjustRightInd/>
      <w:spacing w:line="360" w:lineRule="auto"/>
    </w:pPr>
    <w:rPr>
      <w:rFonts w:ascii="仿宋_GB2312" w:eastAsia="仿宋_GB2312"/>
      <w:sz w:val="24"/>
      <w:szCs w:val="2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9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1">
    <w:name w:val="文档正文"/>
    <w:basedOn w:val="1"/>
    <w:qFormat/>
    <w:uiPriority w:val="0"/>
    <w:pPr>
      <w:spacing w:line="480" w:lineRule="atLeast"/>
      <w:ind w:firstLine="567"/>
      <w:textAlignment w:val="baseline"/>
    </w:pPr>
    <w:rPr>
      <w:kern w:val="0"/>
      <w:sz w:val="24"/>
      <w:szCs w:val="20"/>
    </w:rPr>
  </w:style>
  <w:style w:type="paragraph" w:customStyle="1" w:styleId="292">
    <w:name w:val="正文文字表格居中"/>
    <w:basedOn w:val="1"/>
    <w:next w:val="57"/>
    <w:qFormat/>
    <w:uiPriority w:val="0"/>
    <w:pPr>
      <w:snapToGrid w:val="0"/>
      <w:spacing w:line="360" w:lineRule="auto"/>
    </w:pPr>
    <w:rPr>
      <w:rFonts w:ascii="宋体"/>
      <w:b/>
      <w:sz w:val="24"/>
      <w:szCs w:val="20"/>
    </w:rPr>
  </w:style>
  <w:style w:type="paragraph" w:customStyle="1" w:styleId="29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4">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5">
    <w:name w:val="Plain Text1"/>
    <w:basedOn w:val="1"/>
    <w:qFormat/>
    <w:uiPriority w:val="7"/>
    <w:pPr>
      <w:adjustRightInd/>
    </w:pPr>
    <w:rPr>
      <w:rFonts w:ascii="宋体" w:hAnsi="Courier New"/>
    </w:rPr>
  </w:style>
  <w:style w:type="paragraph" w:customStyle="1" w:styleId="296">
    <w:name w:val="Char3"/>
    <w:basedOn w:val="1"/>
    <w:qFormat/>
    <w:uiPriority w:val="0"/>
    <w:pPr>
      <w:adjustRightInd/>
    </w:pPr>
    <w:rPr>
      <w:rFonts w:ascii="仿宋_GB2312" w:eastAsia="仿宋_GB2312"/>
      <w:b/>
      <w:sz w:val="32"/>
      <w:szCs w:val="32"/>
    </w:rPr>
  </w:style>
  <w:style w:type="paragraph" w:customStyle="1" w:styleId="29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9">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0">
    <w:name w:val="List Paragraph1"/>
    <w:basedOn w:val="1"/>
    <w:qFormat/>
    <w:uiPriority w:val="0"/>
    <w:pPr>
      <w:spacing w:line="360" w:lineRule="auto"/>
      <w:ind w:firstLine="200" w:firstLineChars="200"/>
    </w:pPr>
    <w:rPr>
      <w:rFonts w:eastAsia="楷体_GB2312" w:cs="Lucida Sans"/>
      <w:sz w:val="24"/>
    </w:rPr>
  </w:style>
  <w:style w:type="paragraph" w:customStyle="1" w:styleId="301">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4">
    <w:name w:val="Char3 Char Char Char"/>
    <w:basedOn w:val="1"/>
    <w:qFormat/>
    <w:uiPriority w:val="0"/>
    <w:pPr>
      <w:widowControl/>
      <w:adjustRightInd/>
      <w:spacing w:after="160" w:line="240" w:lineRule="exact"/>
      <w:jc w:val="left"/>
    </w:pPr>
    <w:rPr>
      <w:szCs w:val="20"/>
    </w:rPr>
  </w:style>
  <w:style w:type="paragraph" w:customStyle="1" w:styleId="305">
    <w:name w:val="表格标题2"/>
    <w:basedOn w:val="306"/>
    <w:qFormat/>
    <w:uiPriority w:val="0"/>
    <w:rPr>
      <w:b/>
    </w:rPr>
  </w:style>
  <w:style w:type="paragraph" w:customStyle="1" w:styleId="306">
    <w:name w:val="表格内文"/>
    <w:basedOn w:val="1"/>
    <w:qFormat/>
    <w:uiPriority w:val="0"/>
    <w:pPr>
      <w:adjustRightInd/>
      <w:spacing w:line="360" w:lineRule="auto"/>
    </w:pPr>
    <w:rPr>
      <w:rFonts w:ascii="宋体" w:hAnsi="宋体" w:cs="宋体"/>
      <w:color w:val="000000"/>
      <w:szCs w:val="20"/>
    </w:rPr>
  </w:style>
  <w:style w:type="paragraph" w:customStyle="1" w:styleId="307">
    <w:name w:val="Char Char Char Char Char Char Char Char Char Char2"/>
    <w:basedOn w:val="1"/>
    <w:qFormat/>
    <w:uiPriority w:val="0"/>
    <w:rPr>
      <w:rFonts w:ascii="仿宋_GB2312" w:eastAsia="仿宋_GB2312"/>
      <w:b/>
      <w:sz w:val="32"/>
      <w:szCs w:val="32"/>
    </w:rPr>
  </w:style>
  <w:style w:type="paragraph" w:customStyle="1" w:styleId="30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0">
    <w:name w:val="Char Char11 Char Char Char Char Char Char Char Char Char11"/>
    <w:basedOn w:val="1"/>
    <w:qFormat/>
    <w:uiPriority w:val="0"/>
    <w:pPr>
      <w:spacing w:line="360" w:lineRule="auto"/>
    </w:pPr>
    <w:rPr>
      <w:szCs w:val="20"/>
    </w:rPr>
  </w:style>
  <w:style w:type="paragraph" w:customStyle="1" w:styleId="31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3">
    <w:name w:val="MM Topic 1"/>
    <w:basedOn w:val="3"/>
    <w:qFormat/>
    <w:uiPriority w:val="0"/>
    <w:pPr>
      <w:tabs>
        <w:tab w:val="left" w:pos="840"/>
        <w:tab w:val="clear" w:pos="432"/>
      </w:tabs>
      <w:adjustRightInd/>
      <w:ind w:left="840" w:hanging="420"/>
    </w:pPr>
  </w:style>
  <w:style w:type="paragraph" w:customStyle="1" w:styleId="314">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5">
    <w:name w:val="文本正文 Char"/>
    <w:basedOn w:val="1"/>
    <w:qFormat/>
    <w:uiPriority w:val="0"/>
    <w:pPr>
      <w:spacing w:line="360" w:lineRule="auto"/>
      <w:ind w:firstLine="200" w:firstLineChars="200"/>
    </w:pPr>
    <w:rPr>
      <w:kern w:val="0"/>
      <w:sz w:val="24"/>
      <w:szCs w:val="20"/>
    </w:rPr>
  </w:style>
  <w:style w:type="paragraph" w:customStyle="1" w:styleId="316">
    <w:name w:val="表格"/>
    <w:basedOn w:val="1"/>
    <w:qFormat/>
    <w:uiPriority w:val="0"/>
    <w:pPr>
      <w:snapToGrid w:val="0"/>
      <w:ind w:firstLine="42" w:firstLineChars="21"/>
    </w:pPr>
    <w:rPr>
      <w:rFonts w:ascii="宋体" w:hAnsi="宋体"/>
      <w:kern w:val="0"/>
      <w:sz w:val="20"/>
      <w:szCs w:val="20"/>
    </w:rPr>
  </w:style>
  <w:style w:type="paragraph" w:customStyle="1" w:styleId="317">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0">
    <w:name w:val="表格项目符号 2"/>
    <w:basedOn w:val="29"/>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1">
    <w:name w:val="EB_表格"/>
    <w:basedOn w:val="1"/>
    <w:qFormat/>
    <w:uiPriority w:val="0"/>
    <w:pPr>
      <w:adjustRightInd/>
      <w:spacing w:line="300" w:lineRule="auto"/>
      <w:jc w:val="center"/>
    </w:pPr>
  </w:style>
  <w:style w:type="paragraph" w:customStyle="1" w:styleId="322">
    <w:name w:val="_Style 6"/>
    <w:basedOn w:val="1"/>
    <w:qFormat/>
    <w:uiPriority w:val="34"/>
    <w:pPr>
      <w:adjustRightInd/>
      <w:ind w:firstLine="420" w:firstLineChars="200"/>
    </w:pPr>
    <w:rPr>
      <w:rFonts w:eastAsia="仿宋_GB2312"/>
      <w:sz w:val="28"/>
    </w:rPr>
  </w:style>
  <w:style w:type="paragraph" w:customStyle="1" w:styleId="32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5">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6">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7">
    <w:name w:val="正文表标题"/>
    <w:next w:val="32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8">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0">
    <w:name w:val="trademark"/>
    <w:qFormat/>
    <w:uiPriority w:val="0"/>
    <w:pPr>
      <w:spacing w:after="60"/>
    </w:pPr>
    <w:rPr>
      <w:rFonts w:ascii="Futura Bk" w:hAnsi="Futura Bk" w:eastAsia="宋体" w:cs="Times New Roman"/>
      <w:sz w:val="15"/>
      <w:lang w:val="en-US" w:eastAsia="en-US" w:bidi="ar-SA"/>
    </w:rPr>
  </w:style>
  <w:style w:type="paragraph" w:customStyle="1" w:styleId="33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2">
    <w:name w:val="Char Char1 Char Char Char Char Char Char1"/>
    <w:basedOn w:val="1"/>
    <w:qFormat/>
    <w:uiPriority w:val="0"/>
    <w:rPr>
      <w:rFonts w:ascii="仿宋_GB2312" w:eastAsia="仿宋_GB2312"/>
      <w:b/>
      <w:sz w:val="32"/>
      <w:szCs w:val="20"/>
    </w:rPr>
  </w:style>
  <w:style w:type="paragraph" w:customStyle="1" w:styleId="33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4">
    <w:name w:val="Char1 Char Char Char1"/>
    <w:basedOn w:val="1"/>
    <w:qFormat/>
    <w:uiPriority w:val="0"/>
    <w:pPr>
      <w:adjustRightInd/>
      <w:ind w:firstLine="200" w:firstLineChars="200"/>
    </w:pPr>
    <w:rPr>
      <w:rFonts w:ascii="Tahoma" w:hAnsi="Tahoma"/>
      <w:sz w:val="24"/>
      <w:szCs w:val="20"/>
    </w:rPr>
  </w:style>
  <w:style w:type="paragraph" w:customStyle="1" w:styleId="335">
    <w:name w:val="a1"/>
    <w:basedOn w:val="1"/>
    <w:qFormat/>
    <w:uiPriority w:val="0"/>
    <w:pPr>
      <w:widowControl/>
      <w:spacing w:line="300" w:lineRule="atLeast"/>
      <w:jc w:val="left"/>
    </w:pPr>
    <w:rPr>
      <w:rFonts w:ascii="宋体" w:hAnsi="宋体"/>
      <w:kern w:val="0"/>
      <w:sz w:val="18"/>
      <w:szCs w:val="20"/>
    </w:rPr>
  </w:style>
  <w:style w:type="paragraph" w:customStyle="1" w:styleId="336">
    <w:name w:val="样式7"/>
    <w:basedOn w:val="337"/>
    <w:next w:val="1"/>
    <w:qFormat/>
    <w:uiPriority w:val="0"/>
    <w:pPr>
      <w:spacing w:after="156" w:afterLines="50"/>
      <w:jc w:val="left"/>
      <w:outlineLvl w:val="3"/>
    </w:pPr>
    <w:rPr>
      <w:sz w:val="24"/>
      <w:szCs w:val="24"/>
    </w:rPr>
  </w:style>
  <w:style w:type="paragraph" w:customStyle="1" w:styleId="33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0">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1">
    <w:name w:val="Char2 Char Char2"/>
    <w:basedOn w:val="1"/>
    <w:qFormat/>
    <w:uiPriority w:val="0"/>
    <w:pPr>
      <w:adjustRightInd/>
    </w:pPr>
    <w:rPr>
      <w:rFonts w:ascii="Tahoma" w:hAnsi="Tahoma"/>
      <w:sz w:val="24"/>
      <w:szCs w:val="20"/>
    </w:rPr>
  </w:style>
  <w:style w:type="paragraph" w:customStyle="1" w:styleId="34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3">
    <w:name w:val="三级条标题"/>
    <w:basedOn w:val="344"/>
    <w:next w:val="328"/>
    <w:qFormat/>
    <w:uiPriority w:val="0"/>
    <w:pPr>
      <w:tabs>
        <w:tab w:val="left" w:pos="1260"/>
        <w:tab w:val="left" w:pos="1680"/>
        <w:tab w:val="left" w:pos="2100"/>
        <w:tab w:val="left" w:pos="2520"/>
      </w:tabs>
      <w:ind w:left="2520"/>
      <w:outlineLvl w:val="4"/>
    </w:pPr>
  </w:style>
  <w:style w:type="paragraph" w:customStyle="1" w:styleId="344">
    <w:name w:val="二级条标题"/>
    <w:basedOn w:val="345"/>
    <w:next w:val="328"/>
    <w:qFormat/>
    <w:uiPriority w:val="0"/>
    <w:pPr>
      <w:tabs>
        <w:tab w:val="left" w:pos="1260"/>
        <w:tab w:val="left" w:pos="1680"/>
        <w:tab w:val="left" w:pos="2100"/>
      </w:tabs>
      <w:ind w:left="0"/>
      <w:outlineLvl w:val="3"/>
    </w:pPr>
  </w:style>
  <w:style w:type="paragraph" w:customStyle="1" w:styleId="345">
    <w:name w:val="一级条标题"/>
    <w:basedOn w:val="346"/>
    <w:next w:val="328"/>
    <w:qFormat/>
    <w:uiPriority w:val="0"/>
    <w:pPr>
      <w:tabs>
        <w:tab w:val="left" w:pos="1260"/>
        <w:tab w:val="left" w:pos="1680"/>
      </w:tabs>
      <w:spacing w:before="0" w:beforeLines="0" w:after="0" w:afterLines="0"/>
      <w:ind w:left="1680"/>
      <w:outlineLvl w:val="2"/>
    </w:pPr>
  </w:style>
  <w:style w:type="paragraph" w:customStyle="1" w:styleId="346">
    <w:name w:val="章标题"/>
    <w:next w:val="32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7">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9">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5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1">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3">
    <w:name w:val="正文 项目2"/>
    <w:basedOn w:val="354"/>
    <w:qFormat/>
    <w:uiPriority w:val="0"/>
    <w:pPr>
      <w:tabs>
        <w:tab w:val="left" w:pos="840"/>
      </w:tabs>
      <w:spacing w:after="0"/>
      <w:ind w:left="900"/>
    </w:pPr>
  </w:style>
  <w:style w:type="paragraph" w:customStyle="1" w:styleId="35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5">
    <w:name w:val="Body Text 2*"/>
    <w:basedOn w:val="1"/>
    <w:qFormat/>
    <w:uiPriority w:val="6"/>
    <w:pPr>
      <w:widowControl/>
      <w:adjustRightInd/>
      <w:ind w:left="720" w:hanging="720"/>
    </w:pPr>
    <w:rPr>
      <w:color w:val="000000"/>
      <w:kern w:val="0"/>
      <w:sz w:val="24"/>
      <w:szCs w:val="20"/>
    </w:rPr>
  </w:style>
  <w:style w:type="paragraph" w:customStyle="1" w:styleId="356">
    <w:name w:val="表1"/>
    <w:basedOn w:val="1"/>
    <w:qFormat/>
    <w:uiPriority w:val="0"/>
    <w:pPr>
      <w:tabs>
        <w:tab w:val="left" w:pos="703"/>
      </w:tabs>
      <w:adjustRightInd/>
      <w:spacing w:line="360" w:lineRule="auto"/>
      <w:ind w:left="703"/>
      <w:jc w:val="center"/>
    </w:pPr>
  </w:style>
  <w:style w:type="paragraph" w:customStyle="1" w:styleId="35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0">
    <w:name w:val="2级标题"/>
    <w:basedOn w:val="361"/>
    <w:qFormat/>
    <w:uiPriority w:val="0"/>
    <w:pPr>
      <w:jc w:val="left"/>
      <w:outlineLvl w:val="1"/>
    </w:pPr>
    <w:rPr>
      <w:rFonts w:ascii="Times New Roman" w:hAnsi="Times New Roman" w:eastAsia="仿宋"/>
      <w:sz w:val="30"/>
    </w:rPr>
  </w:style>
  <w:style w:type="paragraph" w:customStyle="1" w:styleId="36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6">
    <w:name w:val="bullet"/>
    <w:basedOn w:val="1"/>
    <w:qFormat/>
    <w:uiPriority w:val="0"/>
    <w:pPr>
      <w:tabs>
        <w:tab w:val="left" w:pos="840"/>
      </w:tabs>
      <w:adjustRightInd/>
      <w:ind w:left="840" w:hanging="420"/>
    </w:pPr>
  </w:style>
  <w:style w:type="paragraph" w:customStyle="1" w:styleId="36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4">
    <w:name w:val="MM Topic 4"/>
    <w:basedOn w:val="6"/>
    <w:qFormat/>
    <w:uiPriority w:val="0"/>
    <w:pPr>
      <w:tabs>
        <w:tab w:val="left" w:pos="2100"/>
        <w:tab w:val="clear" w:pos="864"/>
      </w:tabs>
      <w:adjustRightInd/>
      <w:ind w:left="2100" w:hanging="420"/>
    </w:pPr>
    <w:rPr>
      <w:lang w:val="en-US"/>
    </w:rPr>
  </w:style>
  <w:style w:type="paragraph" w:customStyle="1" w:styleId="37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7">
    <w:name w:val="Char Char11 Char Char Char Char Char Char Char Char Char1"/>
    <w:basedOn w:val="1"/>
    <w:qFormat/>
    <w:uiPriority w:val="6"/>
    <w:pPr>
      <w:spacing w:line="360" w:lineRule="auto"/>
    </w:pPr>
    <w:rPr>
      <w:szCs w:val="20"/>
    </w:rPr>
  </w:style>
  <w:style w:type="paragraph" w:customStyle="1" w:styleId="37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80">
    <w:name w:val="body text bold"/>
    <w:basedOn w:val="2"/>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7">
    <w:name w:val="单元格居中"/>
    <w:basedOn w:val="1"/>
    <w:qFormat/>
    <w:uiPriority w:val="0"/>
    <w:pPr>
      <w:adjustRightInd/>
      <w:spacing w:line="360" w:lineRule="auto"/>
      <w:jc w:val="center"/>
    </w:pPr>
    <w:rPr>
      <w:sz w:val="24"/>
    </w:rPr>
  </w:style>
  <w:style w:type="paragraph" w:customStyle="1" w:styleId="38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9">
    <w:name w:val="Char Char Char Char Char Char Char1"/>
    <w:basedOn w:val="1"/>
    <w:qFormat/>
    <w:uiPriority w:val="6"/>
    <w:rPr>
      <w:rFonts w:ascii="仿宋_GB2312" w:eastAsia="仿宋_GB2312"/>
      <w:b/>
      <w:sz w:val="32"/>
      <w:szCs w:val="32"/>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5"/>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7"/>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8"/>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3"/>
    <w:next w:val="328"/>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8">
    <w:name w:val="单元格左对齐"/>
    <w:basedOn w:val="1"/>
    <w:qFormat/>
    <w:uiPriority w:val="0"/>
    <w:pPr>
      <w:adjustRightInd/>
      <w:spacing w:line="360" w:lineRule="auto"/>
    </w:pPr>
    <w:rPr>
      <w:sz w:val="24"/>
    </w:rPr>
  </w:style>
  <w:style w:type="paragraph" w:customStyle="1" w:styleId="489">
    <w:name w:val="正文主体"/>
    <w:basedOn w:val="312"/>
    <w:qFormat/>
    <w:uiPriority w:val="0"/>
  </w:style>
  <w:style w:type="paragraph" w:customStyle="1" w:styleId="490">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1">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3">
    <w:name w:val="正文（首行缩进2字符）"/>
    <w:basedOn w:val="1"/>
    <w:qFormat/>
    <w:uiPriority w:val="0"/>
    <w:pPr>
      <w:adjustRightInd/>
      <w:spacing w:line="360" w:lineRule="auto"/>
      <w:ind w:firstLine="480" w:firstLineChars="200"/>
    </w:pPr>
    <w:rPr>
      <w:sz w:val="24"/>
      <w:szCs w:val="20"/>
    </w:rPr>
  </w:style>
  <w:style w:type="paragraph" w:customStyle="1" w:styleId="494">
    <w:name w:val="P1"/>
    <w:basedOn w:val="1"/>
    <w:qFormat/>
    <w:uiPriority w:val="0"/>
    <w:pPr>
      <w:adjustRightInd/>
      <w:spacing w:line="288" w:lineRule="auto"/>
      <w:ind w:firstLine="425" w:firstLineChars="200"/>
    </w:pPr>
  </w:style>
  <w:style w:type="paragraph" w:customStyle="1" w:styleId="495">
    <w:name w:val="列表内容"/>
    <w:basedOn w:val="1"/>
    <w:next w:val="1"/>
    <w:qFormat/>
    <w:uiPriority w:val="0"/>
    <w:pPr>
      <w:widowControl/>
      <w:tabs>
        <w:tab w:val="left" w:pos="840"/>
      </w:tabs>
      <w:ind w:left="840" w:hanging="420"/>
      <w:jc w:val="left"/>
    </w:pPr>
    <w:rPr>
      <w:kern w:val="0"/>
      <w:sz w:val="18"/>
    </w:rPr>
  </w:style>
  <w:style w:type="paragraph" w:customStyle="1" w:styleId="496">
    <w:name w:val="Char Char11 Char Char Char1"/>
    <w:basedOn w:val="1"/>
    <w:qFormat/>
    <w:uiPriority w:val="6"/>
    <w:pPr>
      <w:spacing w:line="360" w:lineRule="auto"/>
    </w:pPr>
    <w:rPr>
      <w:szCs w:val="20"/>
    </w:rPr>
  </w:style>
  <w:style w:type="paragraph" w:customStyle="1" w:styleId="49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8">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9">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1">
    <w:name w:val="正文文字缩进2字"/>
    <w:basedOn w:val="2"/>
    <w:qFormat/>
    <w:uiPriority w:val="0"/>
    <w:pPr>
      <w:adjustRightInd/>
      <w:spacing w:before="60" w:after="60"/>
      <w:ind w:firstLine="200" w:firstLineChars="200"/>
    </w:pPr>
    <w:rPr>
      <w:rFonts w:ascii="Times New Roman"/>
      <w:szCs w:val="20"/>
      <w:lang w:val="en-US"/>
    </w:rPr>
  </w:style>
  <w:style w:type="paragraph" w:customStyle="1" w:styleId="502">
    <w:name w:val="默认段落字体 Para Char Char Char Char"/>
    <w:basedOn w:val="1"/>
    <w:qFormat/>
    <w:uiPriority w:val="0"/>
    <w:pPr>
      <w:spacing w:line="360" w:lineRule="auto"/>
    </w:pPr>
    <w:rPr>
      <w:szCs w:val="20"/>
    </w:rPr>
  </w:style>
  <w:style w:type="paragraph" w:customStyle="1" w:styleId="503">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4">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5">
    <w:name w:val="Char2 Char Char Char2"/>
    <w:basedOn w:val="1"/>
    <w:qFormat/>
    <w:uiPriority w:val="0"/>
    <w:rPr>
      <w:rFonts w:ascii="仿宋_GB2312" w:eastAsia="仿宋_GB2312"/>
      <w:b/>
      <w:sz w:val="32"/>
      <w:szCs w:val="32"/>
    </w:rPr>
  </w:style>
  <w:style w:type="paragraph" w:customStyle="1" w:styleId="506">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7">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8">
    <w:name w:val="正文 首行缩进:  2 字符 Char"/>
    <w:basedOn w:val="1"/>
    <w:qFormat/>
    <w:uiPriority w:val="0"/>
    <w:pPr>
      <w:adjustRightInd/>
      <w:spacing w:line="360" w:lineRule="auto"/>
      <w:ind w:firstLine="480"/>
    </w:pPr>
    <w:rPr>
      <w:rFonts w:cs="宋体"/>
      <w:sz w:val="24"/>
      <w:szCs w:val="20"/>
    </w:rPr>
  </w:style>
  <w:style w:type="paragraph" w:customStyle="1" w:styleId="509">
    <w:name w:val="Char Char4 Char Char"/>
    <w:basedOn w:val="1"/>
    <w:qFormat/>
    <w:uiPriority w:val="0"/>
    <w:pPr>
      <w:widowControl/>
      <w:adjustRightInd/>
      <w:spacing w:after="160" w:line="240" w:lineRule="exact"/>
      <w:jc w:val="left"/>
    </w:pPr>
  </w:style>
  <w:style w:type="paragraph" w:customStyle="1" w:styleId="510">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1">
    <w:name w:val="Char Char11 Char Char Char2"/>
    <w:basedOn w:val="1"/>
    <w:qFormat/>
    <w:uiPriority w:val="0"/>
    <w:pPr>
      <w:spacing w:line="360" w:lineRule="auto"/>
    </w:pPr>
    <w:rPr>
      <w:szCs w:val="20"/>
    </w:rPr>
  </w:style>
  <w:style w:type="paragraph" w:customStyle="1" w:styleId="51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3">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4">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5">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6">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7">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8">
    <w:name w:val="Char311"/>
    <w:basedOn w:val="1"/>
    <w:qFormat/>
    <w:uiPriority w:val="0"/>
    <w:pPr>
      <w:adjustRightInd/>
      <w:ind w:firstLine="200" w:firstLineChars="200"/>
    </w:pPr>
    <w:rPr>
      <w:rFonts w:ascii="Tahoma" w:hAnsi="Tahoma"/>
      <w:sz w:val="24"/>
      <w:szCs w:val="20"/>
    </w:rPr>
  </w:style>
  <w:style w:type="paragraph" w:customStyle="1" w:styleId="519">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1">
    <w:name w:val="正文 内标"/>
    <w:basedOn w:val="437"/>
    <w:qFormat/>
    <w:uiPriority w:val="0"/>
    <w:pPr>
      <w:tabs>
        <w:tab w:val="left" w:pos="0"/>
      </w:tabs>
      <w:ind w:left="900" w:firstLine="0" w:firstLineChars="0"/>
    </w:pPr>
  </w:style>
  <w:style w:type="paragraph" w:customStyle="1" w:styleId="522">
    <w:name w:val="Bulleted List"/>
    <w:basedOn w:val="1"/>
    <w:qFormat/>
    <w:uiPriority w:val="0"/>
    <w:pPr>
      <w:tabs>
        <w:tab w:val="left" w:pos="1260"/>
      </w:tabs>
      <w:adjustRightInd/>
      <w:ind w:left="1260" w:hanging="420"/>
    </w:pPr>
  </w:style>
  <w:style w:type="paragraph" w:customStyle="1" w:styleId="523">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524">
    <w:name w:val="样式 左侧:  0.85 厘米"/>
    <w:basedOn w:val="1"/>
    <w:qFormat/>
    <w:uiPriority w:val="2"/>
    <w:pPr>
      <w:adjustRightInd/>
      <w:spacing w:line="360" w:lineRule="auto"/>
    </w:pPr>
    <w:rPr>
      <w:rFonts w:cs="宋体"/>
      <w:sz w:val="24"/>
      <w:szCs w:val="20"/>
    </w:rPr>
  </w:style>
  <w:style w:type="paragraph" w:customStyle="1" w:styleId="525">
    <w:name w:val="Char Char Char Char Char Char Char Char Char Char Char Char1 Char"/>
    <w:basedOn w:val="1"/>
    <w:qFormat/>
    <w:uiPriority w:val="0"/>
    <w:rPr>
      <w:rFonts w:ascii="Tahoma" w:hAnsi="Tahoma" w:cs="仿宋_GB2312"/>
      <w:sz w:val="24"/>
      <w:szCs w:val="20"/>
    </w:rPr>
  </w:style>
  <w:style w:type="paragraph" w:customStyle="1" w:styleId="526">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7">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9">
    <w:name w:val="Char Char1 Char Char Char Char Char Char"/>
    <w:basedOn w:val="1"/>
    <w:qFormat/>
    <w:uiPriority w:val="0"/>
    <w:rPr>
      <w:rFonts w:ascii="仿宋_GB2312" w:eastAsia="仿宋_GB2312"/>
      <w:b/>
      <w:sz w:val="32"/>
      <w:szCs w:val="20"/>
    </w:rPr>
  </w:style>
  <w:style w:type="paragraph" w:customStyle="1" w:styleId="530">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1">
    <w:name w:val="Char Char1 Char Char Char Char Char Char2"/>
    <w:basedOn w:val="1"/>
    <w:qFormat/>
    <w:uiPriority w:val="0"/>
    <w:rPr>
      <w:rFonts w:ascii="仿宋_GB2312" w:eastAsia="仿宋_GB2312"/>
      <w:b/>
      <w:sz w:val="32"/>
      <w:szCs w:val="20"/>
    </w:rPr>
  </w:style>
  <w:style w:type="paragraph" w:customStyle="1" w:styleId="532">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3">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4">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6">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7">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9">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0">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1">
    <w:name w:val="Char31"/>
    <w:basedOn w:val="1"/>
    <w:qFormat/>
    <w:uiPriority w:val="0"/>
    <w:pPr>
      <w:adjustRightInd/>
    </w:pPr>
    <w:rPr>
      <w:rFonts w:ascii="仿宋_GB2312" w:eastAsia="仿宋_GB2312"/>
      <w:b/>
      <w:sz w:val="32"/>
      <w:szCs w:val="32"/>
    </w:rPr>
  </w:style>
  <w:style w:type="paragraph" w:customStyle="1" w:styleId="542">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3">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4">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5">
    <w:name w:val="Char Char1"/>
    <w:basedOn w:val="1"/>
    <w:qFormat/>
    <w:uiPriority w:val="0"/>
    <w:pPr>
      <w:widowControl/>
      <w:spacing w:after="160" w:line="240" w:lineRule="exact"/>
      <w:jc w:val="left"/>
    </w:pPr>
    <w:rPr>
      <w:rFonts w:eastAsia="仿宋_GB2312"/>
      <w:sz w:val="28"/>
    </w:rPr>
  </w:style>
  <w:style w:type="paragraph" w:customStyle="1" w:styleId="546">
    <w:name w:val="Char21"/>
    <w:basedOn w:val="1"/>
    <w:qFormat/>
    <w:uiPriority w:val="0"/>
    <w:pPr>
      <w:adjustRightInd/>
      <w:ind w:firstLine="200" w:firstLineChars="200"/>
    </w:pPr>
    <w:rPr>
      <w:rFonts w:ascii="仿宋_GB2312" w:eastAsia="仿宋_GB2312"/>
      <w:b/>
      <w:sz w:val="32"/>
      <w:szCs w:val="32"/>
    </w:rPr>
  </w:style>
  <w:style w:type="paragraph" w:customStyle="1" w:styleId="547">
    <w:name w:val="列表段落1"/>
    <w:basedOn w:val="1"/>
    <w:qFormat/>
    <w:uiPriority w:val="34"/>
    <w:pPr>
      <w:adjustRightInd/>
      <w:ind w:right="238" w:firstLine="420"/>
    </w:pPr>
    <w:rPr>
      <w:rFonts w:ascii="Calibri" w:hAnsi="Calibri"/>
      <w:sz w:val="24"/>
    </w:rPr>
  </w:style>
  <w:style w:type="paragraph" w:customStyle="1" w:styleId="548">
    <w:name w:val="Char Char110"/>
    <w:basedOn w:val="1"/>
    <w:qFormat/>
    <w:uiPriority w:val="6"/>
    <w:pPr>
      <w:spacing w:line="360" w:lineRule="auto"/>
    </w:pPr>
    <w:rPr>
      <w:rFonts w:ascii="Tahoma" w:hAnsi="Tahoma"/>
      <w:sz w:val="24"/>
      <w:szCs w:val="20"/>
    </w:rPr>
  </w:style>
  <w:style w:type="paragraph" w:customStyle="1" w:styleId="549">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1">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2">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3">
    <w:name w:val="Char Char Char Char Char Char Char Char Char Char Char Char1 Char2"/>
    <w:basedOn w:val="1"/>
    <w:qFormat/>
    <w:uiPriority w:val="0"/>
    <w:rPr>
      <w:rFonts w:ascii="Tahoma" w:hAnsi="Tahoma" w:cs="仿宋_GB2312"/>
      <w:sz w:val="24"/>
      <w:szCs w:val="20"/>
    </w:rPr>
  </w:style>
  <w:style w:type="paragraph" w:customStyle="1" w:styleId="554">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5">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6">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7">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8">
    <w:name w:val="_Style 12"/>
    <w:basedOn w:val="20"/>
    <w:qFormat/>
    <w:uiPriority w:val="0"/>
    <w:pPr>
      <w:snapToGrid w:val="0"/>
      <w:spacing w:line="360" w:lineRule="auto"/>
    </w:pPr>
  </w:style>
  <w:style w:type="paragraph" w:customStyle="1" w:styleId="559">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0">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1">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3">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5">
    <w:name w:val="3级标题"/>
    <w:basedOn w:val="360"/>
    <w:qFormat/>
    <w:uiPriority w:val="0"/>
    <w:pPr>
      <w:outlineLvl w:val="2"/>
    </w:pPr>
  </w:style>
  <w:style w:type="paragraph" w:customStyle="1" w:styleId="566">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7">
    <w:name w:val="Char1 Char Char Char3"/>
    <w:basedOn w:val="1"/>
    <w:qFormat/>
    <w:uiPriority w:val="0"/>
    <w:pPr>
      <w:adjustRightInd/>
      <w:ind w:firstLine="200" w:firstLineChars="200"/>
    </w:pPr>
    <w:rPr>
      <w:rFonts w:ascii="Tahoma" w:hAnsi="Tahoma"/>
      <w:sz w:val="24"/>
      <w:szCs w:val="20"/>
    </w:rPr>
  </w:style>
  <w:style w:type="paragraph" w:customStyle="1" w:styleId="568">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9">
    <w:name w:val="MM Empty"/>
    <w:basedOn w:val="1"/>
    <w:qFormat/>
    <w:uiPriority w:val="0"/>
    <w:pPr>
      <w:adjustRightInd/>
    </w:pPr>
  </w:style>
  <w:style w:type="paragraph" w:customStyle="1" w:styleId="570">
    <w:name w:val="Char24"/>
    <w:basedOn w:val="1"/>
    <w:qFormat/>
    <w:uiPriority w:val="0"/>
    <w:rPr>
      <w:rFonts w:ascii="仿宋_GB2312" w:eastAsia="仿宋_GB2312"/>
      <w:b/>
      <w:sz w:val="32"/>
      <w:szCs w:val="32"/>
    </w:rPr>
  </w:style>
  <w:style w:type="paragraph" w:customStyle="1" w:styleId="571">
    <w:name w:val="正文箭头"/>
    <w:basedOn w:val="226"/>
    <w:qFormat/>
    <w:uiPriority w:val="0"/>
  </w:style>
  <w:style w:type="paragraph" w:customStyle="1" w:styleId="572">
    <w:name w:val="U_编号2"/>
    <w:basedOn w:val="1"/>
    <w:qFormat/>
    <w:uiPriority w:val="0"/>
    <w:pPr>
      <w:tabs>
        <w:tab w:val="left" w:pos="785"/>
      </w:tabs>
      <w:adjustRightInd/>
      <w:spacing w:beforeLines="10" w:afterLines="10" w:line="300" w:lineRule="auto"/>
    </w:pPr>
    <w:rPr>
      <w:sz w:val="24"/>
    </w:rPr>
  </w:style>
  <w:style w:type="paragraph" w:customStyle="1" w:styleId="573">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4">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5">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6">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7">
    <w:name w:val="_Style 1"/>
    <w:basedOn w:val="1"/>
    <w:qFormat/>
    <w:uiPriority w:val="34"/>
    <w:pPr>
      <w:adjustRightInd/>
      <w:ind w:firstLine="420" w:firstLineChars="200"/>
    </w:pPr>
    <w:rPr>
      <w:rFonts w:eastAsia="仿宋_GB2312"/>
      <w:sz w:val="28"/>
    </w:rPr>
  </w:style>
  <w:style w:type="paragraph" w:customStyle="1" w:styleId="578">
    <w:name w:val="表格 内容"/>
    <w:basedOn w:val="416"/>
    <w:qFormat/>
    <w:uiPriority w:val="0"/>
    <w:rPr>
      <w:b w:val="0"/>
      <w:sz w:val="20"/>
    </w:rPr>
  </w:style>
  <w:style w:type="paragraph" w:customStyle="1" w:styleId="579">
    <w:name w:val="正文首行缩进1"/>
    <w:basedOn w:val="2"/>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1">
    <w:name w:val="数字标题5"/>
    <w:basedOn w:val="7"/>
    <w:next w:val="1"/>
    <w:qFormat/>
    <w:uiPriority w:val="0"/>
    <w:pPr>
      <w:tabs>
        <w:tab w:val="left" w:pos="1080"/>
        <w:tab w:val="clear" w:pos="1008"/>
        <w:tab w:val="clear" w:pos="1697"/>
      </w:tabs>
      <w:ind w:left="1080" w:hanging="1080"/>
    </w:pPr>
  </w:style>
  <w:style w:type="paragraph" w:customStyle="1" w:styleId="582">
    <w:name w:val="数字标题1"/>
    <w:basedOn w:val="3"/>
    <w:next w:val="1"/>
    <w:qFormat/>
    <w:uiPriority w:val="0"/>
    <w:pPr>
      <w:tabs>
        <w:tab w:val="left" w:pos="480"/>
        <w:tab w:val="clear" w:pos="432"/>
      </w:tabs>
      <w:ind w:left="480" w:hanging="480"/>
    </w:pPr>
  </w:style>
  <w:style w:type="paragraph" w:customStyle="1" w:styleId="583">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4">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5">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6">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7">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8">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9">
    <w:name w:val="0"/>
    <w:basedOn w:val="1"/>
    <w:qFormat/>
    <w:uiPriority w:val="0"/>
    <w:pPr>
      <w:widowControl/>
    </w:pPr>
    <w:rPr>
      <w:kern w:val="0"/>
      <w:sz w:val="24"/>
      <w:szCs w:val="20"/>
    </w:rPr>
  </w:style>
  <w:style w:type="paragraph" w:customStyle="1" w:styleId="590">
    <w:name w:val="Char Char113"/>
    <w:basedOn w:val="1"/>
    <w:qFormat/>
    <w:uiPriority w:val="0"/>
    <w:pPr>
      <w:widowControl/>
      <w:spacing w:after="160" w:line="240" w:lineRule="exact"/>
      <w:jc w:val="left"/>
    </w:pPr>
    <w:rPr>
      <w:rFonts w:eastAsia="仿宋_GB2312"/>
      <w:sz w:val="28"/>
    </w:rPr>
  </w:style>
  <w:style w:type="paragraph" w:customStyle="1" w:styleId="591">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2">
    <w:name w:val="_Style 8"/>
    <w:basedOn w:val="1"/>
    <w:qFormat/>
    <w:uiPriority w:val="34"/>
    <w:pPr>
      <w:adjustRightInd/>
      <w:ind w:firstLine="420" w:firstLineChars="200"/>
    </w:pPr>
    <w:rPr>
      <w:rFonts w:eastAsia="仿宋_GB2312"/>
      <w:sz w:val="28"/>
    </w:rPr>
  </w:style>
  <w:style w:type="paragraph" w:customStyle="1" w:styleId="59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4">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5">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8">
    <w:name w:val="Char Char112"/>
    <w:basedOn w:val="1"/>
    <w:qFormat/>
    <w:uiPriority w:val="6"/>
    <w:pPr>
      <w:widowControl/>
      <w:spacing w:after="160" w:line="240" w:lineRule="exact"/>
      <w:jc w:val="left"/>
    </w:pPr>
    <w:rPr>
      <w:rFonts w:eastAsia="仿宋_GB2312"/>
      <w:sz w:val="28"/>
    </w:rPr>
  </w:style>
  <w:style w:type="paragraph" w:customStyle="1" w:styleId="599">
    <w:name w:val="正文 图"/>
    <w:basedOn w:val="131"/>
    <w:qFormat/>
    <w:uiPriority w:val="0"/>
    <w:pPr>
      <w:adjustRightInd/>
      <w:spacing w:before="0"/>
      <w:ind w:firstLine="0"/>
      <w:jc w:val="center"/>
    </w:pPr>
    <w:rPr>
      <w:rFonts w:ascii="微软雅黑" w:hAnsi="微软雅黑"/>
    </w:rPr>
  </w:style>
  <w:style w:type="paragraph" w:customStyle="1" w:styleId="600">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1">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2">
    <w:name w:val="Thf"/>
    <w:basedOn w:val="250"/>
    <w:qFormat/>
    <w:uiPriority w:val="0"/>
    <w:pPr>
      <w:ind w:left="0"/>
    </w:pPr>
  </w:style>
  <w:style w:type="paragraph" w:customStyle="1" w:styleId="603">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4">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5">
    <w:name w:val="注释"/>
    <w:basedOn w:val="1"/>
    <w:qFormat/>
    <w:uiPriority w:val="0"/>
    <w:pPr>
      <w:adjustRightInd/>
      <w:spacing w:line="360" w:lineRule="auto"/>
      <w:ind w:firstLine="480"/>
    </w:pPr>
    <w:rPr>
      <w:sz w:val="24"/>
    </w:rPr>
  </w:style>
  <w:style w:type="paragraph" w:customStyle="1" w:styleId="606">
    <w:name w:val="列出段落111"/>
    <w:basedOn w:val="1"/>
    <w:qFormat/>
    <w:uiPriority w:val="34"/>
    <w:pPr>
      <w:ind w:firstLine="420" w:firstLineChars="200"/>
    </w:pPr>
  </w:style>
  <w:style w:type="paragraph" w:customStyle="1" w:styleId="607">
    <w:name w:val="标准文本"/>
    <w:basedOn w:val="1"/>
    <w:link w:val="947"/>
    <w:qFormat/>
    <w:uiPriority w:val="0"/>
    <w:pPr>
      <w:adjustRightInd/>
      <w:spacing w:line="360" w:lineRule="auto"/>
      <w:ind w:firstLine="480" w:firstLineChars="200"/>
    </w:pPr>
    <w:rPr>
      <w:rFonts w:cs="宋体"/>
      <w:sz w:val="24"/>
      <w:szCs w:val="20"/>
    </w:rPr>
  </w:style>
  <w:style w:type="paragraph" w:customStyle="1" w:styleId="608">
    <w:name w:val="_Style 947"/>
    <w:basedOn w:val="1"/>
    <w:next w:val="105"/>
    <w:qFormat/>
    <w:uiPriority w:val="34"/>
    <w:pPr>
      <w:adjustRightInd/>
      <w:ind w:firstLine="420" w:firstLineChars="200"/>
    </w:pPr>
  </w:style>
  <w:style w:type="paragraph" w:customStyle="1" w:styleId="60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0">
    <w:name w:val="纯文本2"/>
    <w:basedOn w:val="1"/>
    <w:qFormat/>
    <w:uiPriority w:val="0"/>
    <w:pPr>
      <w:adjustRightInd/>
      <w:snapToGrid w:val="0"/>
      <w:jc w:val="left"/>
    </w:pPr>
    <w:rPr>
      <w:rFonts w:ascii="Century Gothic" w:hAnsi="楷体_GB2312" w:eastAsia="Century Gothic"/>
      <w:szCs w:val="20"/>
    </w:rPr>
  </w:style>
  <w:style w:type="paragraph" w:customStyle="1" w:styleId="61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4">
    <w:name w:val="Blockquote"/>
    <w:basedOn w:val="1"/>
    <w:qFormat/>
    <w:uiPriority w:val="0"/>
    <w:pPr>
      <w:autoSpaceDE w:val="0"/>
      <w:autoSpaceDN w:val="0"/>
      <w:spacing w:before="100" w:after="100"/>
      <w:ind w:left="360" w:right="360"/>
      <w:jc w:val="left"/>
    </w:pPr>
    <w:rPr>
      <w:kern w:val="0"/>
      <w:sz w:val="24"/>
      <w:szCs w:val="20"/>
    </w:rPr>
  </w:style>
  <w:style w:type="paragraph" w:customStyle="1" w:styleId="615">
    <w:name w:val="p1"/>
    <w:basedOn w:val="1"/>
    <w:qFormat/>
    <w:uiPriority w:val="0"/>
    <w:pPr>
      <w:widowControl/>
      <w:adjustRightInd/>
      <w:jc w:val="left"/>
    </w:pPr>
    <w:rPr>
      <w:rFonts w:ascii=".PingFang SC" w:eastAsia=".PingFang SC"/>
      <w:color w:val="454545"/>
      <w:kern w:val="0"/>
      <w:sz w:val="18"/>
      <w:szCs w:val="18"/>
    </w:rPr>
  </w:style>
  <w:style w:type="paragraph" w:customStyle="1" w:styleId="616">
    <w:name w:val="Table Paragraph"/>
    <w:basedOn w:val="1"/>
    <w:qFormat/>
    <w:uiPriority w:val="0"/>
    <w:pPr>
      <w:adjustRightInd/>
      <w:jc w:val="left"/>
    </w:pPr>
    <w:rPr>
      <w:rFonts w:ascii="Calibri" w:hAnsi="Calibri"/>
      <w:kern w:val="0"/>
      <w:sz w:val="22"/>
      <w:szCs w:val="22"/>
      <w:lang w:eastAsia="en-US"/>
    </w:rPr>
  </w:style>
  <w:style w:type="paragraph" w:customStyle="1" w:styleId="61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0">
    <w:name w:val="[Normal]"/>
    <w:qFormat/>
    <w:uiPriority w:val="0"/>
    <w:rPr>
      <w:rFonts w:ascii="宋体" w:hAnsi="宋体" w:eastAsia="宋体" w:cs="Times New Roman"/>
      <w:sz w:val="24"/>
      <w:szCs w:val="22"/>
      <w:lang w:val="zh-CN" w:eastAsia="zh-CN" w:bidi="ar-SA"/>
    </w:rPr>
  </w:style>
  <w:style w:type="paragraph" w:customStyle="1" w:styleId="621">
    <w:name w:val="BodyText"/>
    <w:basedOn w:val="1"/>
    <w:qFormat/>
    <w:uiPriority w:val="0"/>
    <w:pPr>
      <w:jc w:val="both"/>
      <w:textAlignment w:val="baseline"/>
    </w:pPr>
    <w:rPr>
      <w:rFonts w:ascii="等线" w:hAnsi="等线" w:eastAsia="??"/>
      <w:kern w:val="2"/>
      <w:sz w:val="24"/>
      <w:szCs w:val="28"/>
      <w:lang w:val="en-US" w:eastAsia="zh-CN" w:bidi="ar-SA"/>
    </w:rPr>
  </w:style>
  <w:style w:type="paragraph" w:customStyle="1" w:styleId="622">
    <w:name w:val="正文空2字"/>
    <w:basedOn w:val="62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23">
    <w:name w:val="左对齐正文"/>
    <w:qFormat/>
    <w:uiPriority w:val="99"/>
    <w:rPr>
      <w:rFonts w:ascii="Calibri" w:hAnsi="Calibri" w:eastAsia="仿宋_GB2312" w:cs="Calibri"/>
      <w:kern w:val="2"/>
      <w:sz w:val="32"/>
      <w:szCs w:val="32"/>
      <w:lang w:val="en-US" w:eastAsia="zh-CN" w:bidi="ar-SA"/>
    </w:rPr>
  </w:style>
  <w:style w:type="paragraph" w:customStyle="1" w:styleId="624">
    <w:name w:val="纯文本3"/>
    <w:basedOn w:val="1"/>
    <w:qFormat/>
    <w:uiPriority w:val="99"/>
    <w:pPr>
      <w:adjustRightInd/>
      <w:snapToGrid w:val="0"/>
      <w:jc w:val="left"/>
    </w:pPr>
    <w:rPr>
      <w:rFonts w:ascii="Century Gothic" w:hAnsi="楷体_GB2312" w:eastAsia="Times New Roman"/>
      <w:szCs w:val="20"/>
    </w:rPr>
  </w:style>
  <w:style w:type="paragraph" w:customStyle="1" w:styleId="625">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26">
    <w:name w:val="表格非标题文字 Char"/>
    <w:link w:val="85"/>
    <w:qFormat/>
    <w:uiPriority w:val="0"/>
    <w:rPr>
      <w:rFonts w:ascii="Futura Bk" w:hAnsi="Futura Bk"/>
      <w:kern w:val="2"/>
      <w:sz w:val="18"/>
      <w:szCs w:val="21"/>
      <w:lang w:val="en-US" w:eastAsia="zh-CN" w:bidi="ar-SA"/>
    </w:rPr>
  </w:style>
  <w:style w:type="character" w:customStyle="1" w:styleId="627">
    <w:name w:val="*正文 Char"/>
    <w:link w:val="86"/>
    <w:qFormat/>
    <w:locked/>
    <w:uiPriority w:val="0"/>
    <w:rPr>
      <w:rFonts w:ascii="宋体" w:hAnsi="宋体"/>
      <w:sz w:val="24"/>
    </w:rPr>
  </w:style>
  <w:style w:type="character" w:customStyle="1" w:styleId="628">
    <w:name w:val="Char Char71"/>
    <w:semiHidden/>
    <w:qFormat/>
    <w:uiPriority w:val="0"/>
    <w:rPr>
      <w:rFonts w:eastAsia="宋体"/>
      <w:kern w:val="2"/>
      <w:sz w:val="21"/>
      <w:szCs w:val="24"/>
      <w:lang w:val="en-US" w:eastAsia="zh-CN" w:bidi="ar-SA"/>
    </w:rPr>
  </w:style>
  <w:style w:type="character" w:customStyle="1" w:styleId="629">
    <w:name w:val="Char Char6"/>
    <w:qFormat/>
    <w:uiPriority w:val="0"/>
    <w:rPr>
      <w:rFonts w:eastAsia="宋体"/>
      <w:kern w:val="2"/>
      <w:sz w:val="21"/>
      <w:szCs w:val="24"/>
      <w:lang w:val="en-US" w:eastAsia="zh-CN" w:bidi="ar-SA"/>
    </w:rPr>
  </w:style>
  <w:style w:type="character" w:customStyle="1" w:styleId="630">
    <w:name w:val="正文缩进 Char"/>
    <w:qFormat/>
    <w:uiPriority w:val="0"/>
    <w:rPr>
      <w:rFonts w:eastAsia="宋体"/>
      <w:kern w:val="2"/>
      <w:sz w:val="21"/>
      <w:lang w:val="en-US" w:eastAsia="zh-CN"/>
    </w:rPr>
  </w:style>
  <w:style w:type="character" w:customStyle="1" w:styleId="631">
    <w:name w:val="正文首行缩进 Char1"/>
    <w:qFormat/>
    <w:uiPriority w:val="0"/>
    <w:rPr>
      <w:rFonts w:ascii="宋体" w:hAnsi="Times New Roman" w:eastAsia="宋体" w:cs="Times New Roman"/>
      <w:snapToGrid w:val="0"/>
      <w:kern w:val="2"/>
      <w:sz w:val="24"/>
      <w:szCs w:val="21"/>
      <w:lang w:val="zh-CN"/>
    </w:rPr>
  </w:style>
  <w:style w:type="character" w:customStyle="1" w:styleId="632">
    <w:name w:val="Char Char28"/>
    <w:qFormat/>
    <w:uiPriority w:val="6"/>
    <w:rPr>
      <w:rFonts w:ascii="仿宋_GB2312" w:hAnsi="仿宋_GB2312" w:eastAsia="仿宋_GB2312"/>
      <w:kern w:val="1"/>
      <w:sz w:val="28"/>
    </w:rPr>
  </w:style>
  <w:style w:type="character" w:customStyle="1" w:styleId="633">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4">
    <w:name w:val="Heading 1 Char"/>
    <w:qFormat/>
    <w:uiPriority w:val="6"/>
    <w:rPr>
      <w:rFonts w:ascii="Times New Roman" w:hAnsi="Times New Roman" w:eastAsia="黑体" w:cs="Times New Roman"/>
      <w:b/>
      <w:kern w:val="0"/>
      <w:sz w:val="24"/>
      <w:szCs w:val="24"/>
    </w:rPr>
  </w:style>
  <w:style w:type="character" w:customStyle="1" w:styleId="635">
    <w:name w:val="U_正文 Char"/>
    <w:link w:val="87"/>
    <w:qFormat/>
    <w:uiPriority w:val="0"/>
    <w:rPr>
      <w:sz w:val="24"/>
      <w:szCs w:val="24"/>
    </w:rPr>
  </w:style>
  <w:style w:type="character" w:customStyle="1" w:styleId="636">
    <w:name w:val="HTML 地址 Char1"/>
    <w:qFormat/>
    <w:uiPriority w:val="0"/>
    <w:rPr>
      <w:rFonts w:ascii="Times New Roman" w:hAnsi="Times New Roman" w:eastAsia="宋体" w:cs="Times New Roman"/>
      <w:i/>
      <w:iCs/>
      <w:szCs w:val="24"/>
    </w:rPr>
  </w:style>
  <w:style w:type="character" w:customStyle="1" w:styleId="637">
    <w:name w:val="批注主题 Char1"/>
    <w:link w:val="60"/>
    <w:qFormat/>
    <w:uiPriority w:val="0"/>
    <w:rPr>
      <w:b/>
      <w:bCs/>
      <w:kern w:val="2"/>
      <w:sz w:val="21"/>
      <w:szCs w:val="24"/>
    </w:rPr>
  </w:style>
  <w:style w:type="character" w:customStyle="1" w:styleId="638">
    <w:name w:val="Char Char51"/>
    <w:qFormat/>
    <w:uiPriority w:val="0"/>
    <w:rPr>
      <w:rFonts w:ascii="宋体" w:hAnsi="Courier New" w:eastAsia="宋体"/>
      <w:kern w:val="2"/>
      <w:sz w:val="21"/>
      <w:lang w:val="en-US" w:eastAsia="zh-CN"/>
    </w:rPr>
  </w:style>
  <w:style w:type="character" w:customStyle="1" w:styleId="639">
    <w:name w:val="表正文 Char"/>
    <w:qFormat/>
    <w:uiPriority w:val="0"/>
    <w:rPr>
      <w:rFonts w:ascii="宋体" w:eastAsia="宋体"/>
      <w:snapToGrid w:val="0"/>
      <w:color w:val="000000"/>
      <w:kern w:val="28"/>
      <w:sz w:val="28"/>
      <w:lang w:val="en-US" w:eastAsia="zh-CN" w:bidi="ar-SA"/>
    </w:rPr>
  </w:style>
  <w:style w:type="character" w:customStyle="1" w:styleId="640">
    <w:name w:val="Char Char34"/>
    <w:qFormat/>
    <w:uiPriority w:val="6"/>
    <w:rPr>
      <w:b/>
      <w:kern w:val="1"/>
      <w:sz w:val="28"/>
      <w:szCs w:val="28"/>
    </w:rPr>
  </w:style>
  <w:style w:type="character" w:customStyle="1" w:styleId="64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2">
    <w:name w:val="哈哈正文 Char"/>
    <w:link w:val="88"/>
    <w:qFormat/>
    <w:uiPriority w:val="0"/>
    <w:rPr>
      <w:rFonts w:ascii="宋体" w:hAnsi="宋体" w:eastAsia="宋体"/>
      <w:kern w:val="2"/>
      <w:sz w:val="24"/>
      <w:lang w:bidi="ar-SA"/>
    </w:rPr>
  </w:style>
  <w:style w:type="character" w:customStyle="1" w:styleId="643">
    <w:name w:val="未处理的提及1"/>
    <w:qFormat/>
    <w:uiPriority w:val="0"/>
    <w:rPr>
      <w:color w:val="808080"/>
      <w:shd w:val="clear" w:color="auto" w:fill="E6E6E6"/>
    </w:rPr>
  </w:style>
  <w:style w:type="character" w:customStyle="1" w:styleId="644">
    <w:name w:val="txt"/>
    <w:qFormat/>
    <w:uiPriority w:val="0"/>
    <w:rPr>
      <w:rFonts w:ascii="仿宋_GB2312" w:eastAsia="微软雅黑"/>
      <w:b/>
      <w:kern w:val="2"/>
      <w:sz w:val="32"/>
      <w:szCs w:val="32"/>
      <w:lang w:val="en-US" w:eastAsia="zh-CN" w:bidi="ar-SA"/>
    </w:rPr>
  </w:style>
  <w:style w:type="character" w:customStyle="1" w:styleId="645">
    <w:name w:val="二级标题 Char Char"/>
    <w:qFormat/>
    <w:uiPriority w:val="0"/>
    <w:rPr>
      <w:rFonts w:ascii="宋体" w:hAnsi="宋体" w:eastAsia="宋体"/>
      <w:b/>
      <w:snapToGrid w:val="0"/>
      <w:kern w:val="2"/>
      <w:sz w:val="24"/>
      <w:szCs w:val="24"/>
      <w:lang w:val="en-US" w:eastAsia="zh-CN" w:bidi="ar-SA"/>
    </w:rPr>
  </w:style>
  <w:style w:type="character" w:customStyle="1" w:styleId="646">
    <w:name w:val="Char Char32"/>
    <w:qFormat/>
    <w:uiPriority w:val="6"/>
    <w:rPr>
      <w:b/>
      <w:kern w:val="1"/>
      <w:sz w:val="24"/>
      <w:szCs w:val="24"/>
    </w:rPr>
  </w:style>
  <w:style w:type="character" w:customStyle="1" w:styleId="647">
    <w:name w:val="PI Char1"/>
    <w:qFormat/>
    <w:uiPriority w:val="0"/>
    <w:rPr>
      <w:rFonts w:ascii="宋体" w:hAnsi="宋体"/>
      <w:kern w:val="2"/>
      <w:sz w:val="24"/>
      <w:szCs w:val="24"/>
    </w:rPr>
  </w:style>
  <w:style w:type="character" w:customStyle="1" w:styleId="648">
    <w:name w:val="tw4winTerm"/>
    <w:qFormat/>
    <w:uiPriority w:val="0"/>
    <w:rPr>
      <w:color w:val="0000FF"/>
    </w:rPr>
  </w:style>
  <w:style w:type="character" w:customStyle="1" w:styleId="649">
    <w:name w:val="Footer Char"/>
    <w:qFormat/>
    <w:locked/>
    <w:uiPriority w:val="0"/>
    <w:rPr>
      <w:rFonts w:eastAsia="宋体"/>
      <w:kern w:val="2"/>
      <w:sz w:val="18"/>
      <w:lang w:val="en-US" w:eastAsia="zh-CN" w:bidi="ar-SA"/>
    </w:rPr>
  </w:style>
  <w:style w:type="character" w:customStyle="1" w:styleId="650">
    <w:name w:val="普通文字 Char Char1"/>
    <w:qFormat/>
    <w:uiPriority w:val="0"/>
    <w:rPr>
      <w:rFonts w:ascii="宋体" w:hAnsi="Courier New"/>
      <w:kern w:val="2"/>
      <w:sz w:val="21"/>
    </w:rPr>
  </w:style>
  <w:style w:type="character" w:customStyle="1" w:styleId="651">
    <w:name w:val="Char Char101"/>
    <w:qFormat/>
    <w:uiPriority w:val="6"/>
    <w:rPr>
      <w:rFonts w:ascii="宋体" w:hAnsi="宋体"/>
      <w:kern w:val="2"/>
      <w:sz w:val="21"/>
      <w:szCs w:val="24"/>
      <w:lang w:val="en-US" w:eastAsia="zh-CN"/>
    </w:rPr>
  </w:style>
  <w:style w:type="character" w:customStyle="1" w:styleId="652">
    <w:name w:val="标题 4 Char"/>
    <w:qFormat/>
    <w:uiPriority w:val="0"/>
    <w:rPr>
      <w:rFonts w:ascii="Arial" w:hAnsi="Arial" w:eastAsia="黑体"/>
      <w:b/>
      <w:kern w:val="2"/>
      <w:sz w:val="28"/>
    </w:rPr>
  </w:style>
  <w:style w:type="character" w:customStyle="1" w:styleId="653">
    <w:name w:val="链接"/>
    <w:qFormat/>
    <w:uiPriority w:val="0"/>
    <w:rPr>
      <w:color w:val="0000FF"/>
      <w:sz w:val="21"/>
      <w:szCs w:val="21"/>
      <w:u w:val="single"/>
    </w:rPr>
  </w:style>
  <w:style w:type="character" w:customStyle="1" w:styleId="654">
    <w:name w:val="h4 Char"/>
    <w:qFormat/>
    <w:uiPriority w:val="0"/>
    <w:rPr>
      <w:rFonts w:ascii="Arial" w:hAnsi="Arial" w:eastAsia="黑体"/>
      <w:b/>
      <w:bCs/>
      <w:kern w:val="2"/>
      <w:sz w:val="28"/>
      <w:szCs w:val="28"/>
      <w:lang w:val="zh-CN" w:eastAsia="zh-CN" w:bidi="ar-SA"/>
    </w:rPr>
  </w:style>
  <w:style w:type="character" w:customStyle="1" w:styleId="655">
    <w:name w:val="5正文 Char"/>
    <w:link w:val="89"/>
    <w:qFormat/>
    <w:uiPriority w:val="0"/>
    <w:rPr>
      <w:rFonts w:ascii="仿宋_GB2312" w:hAnsi="微软雅黑" w:eastAsia="仿宋_GB2312"/>
      <w:sz w:val="28"/>
      <w:szCs w:val="21"/>
    </w:rPr>
  </w:style>
  <w:style w:type="character" w:customStyle="1" w:styleId="656">
    <w:name w:val="标题 3 字符"/>
    <w:qFormat/>
    <w:uiPriority w:val="9"/>
    <w:rPr>
      <w:b/>
      <w:bCs/>
      <w:kern w:val="2"/>
      <w:sz w:val="32"/>
      <w:szCs w:val="32"/>
    </w:rPr>
  </w:style>
  <w:style w:type="character" w:customStyle="1" w:styleId="657">
    <w:name w:val="样式6 Char"/>
    <w:qFormat/>
    <w:uiPriority w:val="0"/>
    <w:rPr>
      <w:rFonts w:ascii="仿宋_GB2312" w:hAnsi="宋体" w:eastAsia="仿宋_GB2312"/>
      <w:b/>
      <w:bCs/>
      <w:kern w:val="2"/>
      <w:sz w:val="24"/>
      <w:szCs w:val="24"/>
      <w:lang w:val="en-US" w:eastAsia="zh-CN" w:bidi="ar-SA"/>
    </w:rPr>
  </w:style>
  <w:style w:type="character" w:customStyle="1" w:styleId="658">
    <w:name w:val="Char Char14"/>
    <w:qFormat/>
    <w:uiPriority w:val="6"/>
    <w:rPr>
      <w:rFonts w:ascii="黑体" w:hAnsi="黑体" w:eastAsia="黑体"/>
    </w:rPr>
  </w:style>
  <w:style w:type="character" w:customStyle="1" w:styleId="659">
    <w:name w:val="Heading 2 Hidden Char"/>
    <w:qFormat/>
    <w:uiPriority w:val="0"/>
    <w:rPr>
      <w:rFonts w:ascii="仿宋_GB2312" w:eastAsia="仿宋_GB2312"/>
      <w:b/>
      <w:bCs/>
      <w:kern w:val="2"/>
      <w:sz w:val="24"/>
      <w:szCs w:val="24"/>
      <w:lang w:val="zh-CN" w:eastAsia="zh-CN" w:bidi="ar-SA"/>
    </w:rPr>
  </w:style>
  <w:style w:type="character" w:customStyle="1" w:styleId="660">
    <w:name w:val="正文首行缩进 2 Char"/>
    <w:link w:val="62"/>
    <w:qFormat/>
    <w:uiPriority w:val="0"/>
    <w:rPr>
      <w:rFonts w:ascii="宋体" w:hAnsi="宋体"/>
      <w:kern w:val="2"/>
      <w:sz w:val="21"/>
      <w:szCs w:val="24"/>
    </w:rPr>
  </w:style>
  <w:style w:type="character" w:customStyle="1" w:styleId="661">
    <w:name w:val="font11"/>
    <w:qFormat/>
    <w:uiPriority w:val="0"/>
    <w:rPr>
      <w:rFonts w:hint="default" w:ascii="Times New Roman" w:hAnsi="Times New Roman" w:cs="Times New Roman"/>
      <w:color w:val="000000"/>
      <w:sz w:val="22"/>
      <w:szCs w:val="22"/>
      <w:u w:val="none"/>
    </w:rPr>
  </w:style>
  <w:style w:type="character" w:customStyle="1" w:styleId="662">
    <w:name w:val="表正文 Char1"/>
    <w:qFormat/>
    <w:uiPriority w:val="0"/>
    <w:rPr>
      <w:rFonts w:ascii="宋体" w:eastAsia="宋体"/>
      <w:snapToGrid w:val="0"/>
      <w:color w:val="000000"/>
      <w:kern w:val="28"/>
      <w:sz w:val="28"/>
    </w:rPr>
  </w:style>
  <w:style w:type="character" w:customStyle="1" w:styleId="663">
    <w:name w:val="blue1"/>
    <w:basedOn w:val="70"/>
    <w:qFormat/>
    <w:uiPriority w:val="0"/>
    <w:rPr>
      <w:rFonts w:ascii="Arial" w:hAnsi="Arial" w:eastAsia="黑体" w:cs="Arial"/>
      <w:snapToGrid w:val="0"/>
      <w:kern w:val="0"/>
      <w:szCs w:val="21"/>
    </w:rPr>
  </w:style>
  <w:style w:type="character" w:customStyle="1" w:styleId="664">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665">
    <w:name w:val="标书1 Char"/>
    <w:qFormat/>
    <w:uiPriority w:val="0"/>
    <w:rPr>
      <w:rFonts w:eastAsia="宋体"/>
      <w:b/>
      <w:bCs/>
      <w:kern w:val="44"/>
      <w:sz w:val="44"/>
      <w:szCs w:val="44"/>
      <w:lang w:val="en-US" w:eastAsia="zh-CN" w:bidi="ar-SA"/>
    </w:rPr>
  </w:style>
  <w:style w:type="character" w:customStyle="1" w:styleId="666">
    <w:name w:val="样式5 Char"/>
    <w:qFormat/>
    <w:uiPriority w:val="0"/>
    <w:rPr>
      <w:rFonts w:ascii="仿宋_GB2312" w:hAnsi="仿宋" w:eastAsia="仿宋_GB2312"/>
      <w:kern w:val="2"/>
      <w:sz w:val="24"/>
      <w:szCs w:val="24"/>
    </w:rPr>
  </w:style>
  <w:style w:type="character" w:customStyle="1" w:styleId="667">
    <w:name w:val="样式4 Char"/>
    <w:qFormat/>
    <w:uiPriority w:val="0"/>
    <w:rPr>
      <w:rFonts w:ascii="仿宋_GB2312" w:hAnsi="仿宋" w:eastAsia="仿宋_GB2312"/>
      <w:b/>
      <w:kern w:val="2"/>
      <w:sz w:val="32"/>
      <w:szCs w:val="32"/>
      <w:lang w:bidi="ar-SA"/>
    </w:rPr>
  </w:style>
  <w:style w:type="character" w:customStyle="1" w:styleId="668">
    <w:name w:val="插图说明 Char"/>
    <w:qFormat/>
    <w:uiPriority w:val="0"/>
    <w:rPr>
      <w:rFonts w:eastAsia="黑体"/>
      <w:sz w:val="24"/>
      <w:lang w:val="en-US" w:eastAsia="zh-CN"/>
    </w:rPr>
  </w:style>
  <w:style w:type="character" w:customStyle="1" w:styleId="669">
    <w:name w:val="正文2 Char Char"/>
    <w:link w:val="90"/>
    <w:qFormat/>
    <w:uiPriority w:val="0"/>
    <w:rPr>
      <w:rFonts w:eastAsia="宋体"/>
      <w:kern w:val="2"/>
      <w:sz w:val="24"/>
      <w:lang w:val="en-US" w:eastAsia="zh-CN" w:bidi="ar-SA"/>
    </w:rPr>
  </w:style>
  <w:style w:type="character" w:customStyle="1" w:styleId="670">
    <w:name w:val="Char Char24"/>
    <w:qFormat/>
    <w:uiPriority w:val="6"/>
    <w:rPr>
      <w:kern w:val="1"/>
      <w:sz w:val="21"/>
    </w:rPr>
  </w:style>
  <w:style w:type="character" w:customStyle="1" w:styleId="671">
    <w:name w:val="副标题 Char"/>
    <w:link w:val="48"/>
    <w:qFormat/>
    <w:uiPriority w:val="0"/>
    <w:rPr>
      <w:rFonts w:ascii="Arial" w:hAnsi="Arial" w:eastAsia="隶书"/>
      <w:b/>
      <w:bCs/>
      <w:kern w:val="28"/>
      <w:sz w:val="44"/>
      <w:szCs w:val="32"/>
      <w:lang w:val="en-US" w:eastAsia="zh-CN" w:bidi="ar-SA"/>
    </w:rPr>
  </w:style>
  <w:style w:type="character" w:customStyle="1" w:styleId="672">
    <w:name w:val="普通文字 Char1 Char"/>
    <w:qFormat/>
    <w:uiPriority w:val="0"/>
    <w:rPr>
      <w:rFonts w:ascii="宋体" w:hAnsi="Courier New" w:eastAsia="宋体"/>
      <w:kern w:val="2"/>
      <w:sz w:val="21"/>
      <w:szCs w:val="24"/>
      <w:lang w:val="en-US" w:eastAsia="zh-CN" w:bidi="ar-SA"/>
    </w:rPr>
  </w:style>
  <w:style w:type="character" w:customStyle="1" w:styleId="673">
    <w:name w:val="h3 Char1"/>
    <w:qFormat/>
    <w:uiPriority w:val="0"/>
    <w:rPr>
      <w:rFonts w:eastAsia="宋体"/>
      <w:b/>
      <w:bCs/>
      <w:kern w:val="2"/>
      <w:sz w:val="32"/>
      <w:szCs w:val="32"/>
      <w:lang w:bidi="ar-SA"/>
    </w:rPr>
  </w:style>
  <w:style w:type="character" w:customStyle="1" w:styleId="674">
    <w:name w:val="标题 Char1"/>
    <w:qFormat/>
    <w:uiPriority w:val="0"/>
    <w:rPr>
      <w:rFonts w:ascii="Cambria" w:hAnsi="Cambria" w:eastAsia="宋体" w:cs="Times New Roman"/>
      <w:b/>
      <w:bCs/>
      <w:sz w:val="32"/>
      <w:szCs w:val="32"/>
      <w:lang w:bidi="ar-SA"/>
    </w:rPr>
  </w:style>
  <w:style w:type="character" w:customStyle="1" w:styleId="675">
    <w:name w:val="gf正文1 Char"/>
    <w:qFormat/>
    <w:uiPriority w:val="0"/>
    <w:rPr>
      <w:rFonts w:ascii="宋体" w:hAnsi="宋体" w:eastAsia="宋体" w:cs="宋体"/>
      <w:kern w:val="2"/>
      <w:sz w:val="24"/>
      <w:szCs w:val="24"/>
      <w:lang w:val="en-US" w:eastAsia="zh-CN" w:bidi="ar-SA"/>
    </w:rPr>
  </w:style>
  <w:style w:type="character" w:customStyle="1" w:styleId="676">
    <w:name w:val="正文文本缩进 Char1"/>
    <w:qFormat/>
    <w:uiPriority w:val="0"/>
    <w:rPr>
      <w:rFonts w:ascii="Calibri" w:hAnsi="Calibri"/>
      <w:sz w:val="28"/>
    </w:rPr>
  </w:style>
  <w:style w:type="character" w:customStyle="1" w:styleId="677">
    <w:name w:val="No Spacing Char"/>
    <w:link w:val="91"/>
    <w:qFormat/>
    <w:uiPriority w:val="1"/>
    <w:rPr>
      <w:sz w:val="22"/>
      <w:szCs w:val="22"/>
      <w:lang w:val="en-US" w:eastAsia="zh-CN" w:bidi="ar-SA"/>
    </w:rPr>
  </w:style>
  <w:style w:type="character" w:customStyle="1" w:styleId="678">
    <w:name w:val="样式7 Char"/>
    <w:qFormat/>
    <w:uiPriority w:val="0"/>
    <w:rPr>
      <w:rFonts w:ascii="仿宋_GB2312" w:hAnsi="仿宋" w:eastAsia="仿宋_GB2312"/>
      <w:b/>
      <w:kern w:val="2"/>
      <w:sz w:val="24"/>
      <w:szCs w:val="24"/>
    </w:rPr>
  </w:style>
  <w:style w:type="character" w:customStyle="1" w:styleId="679">
    <w:name w:val="font12gray1"/>
    <w:qFormat/>
    <w:uiPriority w:val="0"/>
    <w:rPr>
      <w:rFonts w:ascii="仿宋_GB2312" w:eastAsia="微软雅黑"/>
      <w:b/>
      <w:spacing w:val="300"/>
      <w:kern w:val="2"/>
      <w:sz w:val="18"/>
      <w:szCs w:val="18"/>
      <w:lang w:val="en-US" w:eastAsia="zh-CN" w:bidi="ar-SA"/>
    </w:rPr>
  </w:style>
  <w:style w:type="character" w:customStyle="1" w:styleId="680">
    <w:name w:val="Char Char7"/>
    <w:semiHidden/>
    <w:qFormat/>
    <w:uiPriority w:val="0"/>
    <w:rPr>
      <w:rFonts w:eastAsia="宋体"/>
      <w:kern w:val="2"/>
      <w:sz w:val="21"/>
      <w:szCs w:val="24"/>
      <w:lang w:val="en-US" w:eastAsia="zh-CN" w:bidi="ar-SA"/>
    </w:rPr>
  </w:style>
  <w:style w:type="character" w:customStyle="1" w:styleId="681">
    <w:name w:val="表名 Char"/>
    <w:qFormat/>
    <w:uiPriority w:val="0"/>
    <w:rPr>
      <w:rFonts w:eastAsia="宋体"/>
      <w:b/>
      <w:bCs/>
      <w:kern w:val="2"/>
      <w:sz w:val="24"/>
      <w:szCs w:val="24"/>
      <w:lang w:val="en-US" w:eastAsia="zh-CN" w:bidi="ar-SA"/>
    </w:rPr>
  </w:style>
  <w:style w:type="character" w:customStyle="1" w:styleId="682">
    <w:name w:val="Document Map Char"/>
    <w:qFormat/>
    <w:locked/>
    <w:uiPriority w:val="0"/>
    <w:rPr>
      <w:rFonts w:eastAsia="宋体"/>
      <w:kern w:val="2"/>
      <w:sz w:val="21"/>
      <w:szCs w:val="24"/>
      <w:lang w:val="en-US" w:eastAsia="zh-CN" w:bidi="ar-SA"/>
    </w:rPr>
  </w:style>
  <w:style w:type="character" w:customStyle="1" w:styleId="683">
    <w:name w:val="font41"/>
    <w:basedOn w:val="70"/>
    <w:qFormat/>
    <w:uiPriority w:val="0"/>
    <w:rPr>
      <w:rFonts w:hint="eastAsia" w:ascii="仿宋_GB2312" w:eastAsia="仿宋_GB2312" w:cs="仿宋_GB2312"/>
      <w:color w:val="000000"/>
      <w:sz w:val="22"/>
      <w:szCs w:val="22"/>
      <w:u w:val="none"/>
    </w:rPr>
  </w:style>
  <w:style w:type="character" w:customStyle="1" w:styleId="684">
    <w:name w:val="标题 6 Char"/>
    <w:link w:val="10"/>
    <w:qFormat/>
    <w:uiPriority w:val="0"/>
    <w:rPr>
      <w:rFonts w:ascii="Arial" w:hAnsi="Arial" w:eastAsia="黑体"/>
      <w:b/>
      <w:bCs/>
      <w:kern w:val="2"/>
      <w:sz w:val="24"/>
      <w:szCs w:val="24"/>
    </w:rPr>
  </w:style>
  <w:style w:type="character" w:customStyle="1" w:styleId="685">
    <w:name w:val="纯文本 Char_0"/>
    <w:link w:val="92"/>
    <w:qFormat/>
    <w:uiPriority w:val="0"/>
    <w:rPr>
      <w:rFonts w:ascii="宋体" w:hAnsi="Courier New"/>
      <w:kern w:val="2"/>
      <w:sz w:val="21"/>
      <w:szCs w:val="21"/>
      <w:lang w:val="en-US" w:eastAsia="zh-CN"/>
    </w:rPr>
  </w:style>
  <w:style w:type="character" w:customStyle="1" w:styleId="686">
    <w:name w:val="Balloon Text Char"/>
    <w:qFormat/>
    <w:locked/>
    <w:uiPriority w:val="0"/>
    <w:rPr>
      <w:rFonts w:eastAsia="宋体"/>
      <w:kern w:val="2"/>
      <w:sz w:val="18"/>
      <w:szCs w:val="18"/>
      <w:lang w:val="en-US" w:eastAsia="zh-CN" w:bidi="ar-SA"/>
    </w:rPr>
  </w:style>
  <w:style w:type="character" w:customStyle="1" w:styleId="687">
    <w:name w:val="正文 项目2 Char"/>
    <w:basedOn w:val="688"/>
    <w:qFormat/>
    <w:uiPriority w:val="0"/>
    <w:rPr>
      <w:rFonts w:ascii="仿宋_GB2312" w:hAnsi="仿宋_GB2312" w:eastAsia="仿宋_GB2312"/>
      <w:kern w:val="2"/>
      <w:sz w:val="24"/>
      <w:lang w:bidi="ar-SA"/>
    </w:rPr>
  </w:style>
  <w:style w:type="character" w:customStyle="1" w:styleId="688">
    <w:name w:val="正文 项目 Char"/>
    <w:qFormat/>
    <w:uiPriority w:val="0"/>
    <w:rPr>
      <w:rFonts w:ascii="仿宋_GB2312" w:hAnsi="仿宋_GB2312" w:eastAsia="仿宋_GB2312"/>
      <w:kern w:val="2"/>
      <w:sz w:val="24"/>
      <w:lang w:bidi="ar-SA"/>
    </w:rPr>
  </w:style>
  <w:style w:type="character" w:customStyle="1" w:styleId="689">
    <w:name w:val="h Char Char1"/>
    <w:qFormat/>
    <w:uiPriority w:val="0"/>
    <w:rPr>
      <w:rFonts w:eastAsia="宋体"/>
      <w:kern w:val="2"/>
      <w:sz w:val="18"/>
      <w:szCs w:val="18"/>
      <w:lang w:val="en-US" w:eastAsia="zh-CN" w:bidi="ar-SA"/>
    </w:rPr>
  </w:style>
  <w:style w:type="character" w:customStyle="1" w:styleId="690">
    <w:name w:val="Char Char27"/>
    <w:qFormat/>
    <w:uiPriority w:val="6"/>
    <w:rPr>
      <w:rFonts w:ascii="宋体" w:hAnsi="宋体" w:eastAsia="宋体"/>
      <w:color w:val="000000"/>
      <w:kern w:val="1"/>
      <w:sz w:val="28"/>
      <w:lang w:val="en-US" w:eastAsia="zh-CN" w:bidi="ar-SA"/>
    </w:rPr>
  </w:style>
  <w:style w:type="character" w:customStyle="1" w:styleId="691">
    <w:name w:val="px14"/>
    <w:qFormat/>
    <w:uiPriority w:val="0"/>
    <w:rPr>
      <w:rFonts w:ascii="仿宋_GB2312" w:eastAsia="微软雅黑" w:cs="Times New Roman"/>
      <w:b/>
      <w:kern w:val="2"/>
      <w:sz w:val="32"/>
      <w:szCs w:val="32"/>
      <w:lang w:val="en-US" w:eastAsia="zh-CN" w:bidi="ar-SA"/>
    </w:rPr>
  </w:style>
  <w:style w:type="character" w:customStyle="1" w:styleId="692">
    <w:name w:val="HTML 预设格式 Char1"/>
    <w:qFormat/>
    <w:uiPriority w:val="0"/>
    <w:rPr>
      <w:rFonts w:ascii="Courier New" w:hAnsi="Courier New" w:eastAsia="宋体" w:cs="Courier New"/>
      <w:sz w:val="20"/>
      <w:szCs w:val="20"/>
    </w:rPr>
  </w:style>
  <w:style w:type="character" w:customStyle="1" w:styleId="693">
    <w:name w:val="普通文字 Char1"/>
    <w:qFormat/>
    <w:uiPriority w:val="0"/>
    <w:rPr>
      <w:rFonts w:ascii="宋体" w:hAnsi="Courier New" w:eastAsia="宋体"/>
      <w:kern w:val="2"/>
      <w:sz w:val="21"/>
      <w:lang w:val="en-US" w:eastAsia="zh-CN"/>
    </w:rPr>
  </w:style>
  <w:style w:type="character" w:customStyle="1" w:styleId="694">
    <w:name w:val="hei16b1"/>
    <w:qFormat/>
    <w:uiPriority w:val="0"/>
    <w:rPr>
      <w:rFonts w:hint="default" w:ascii="Arial" w:hAnsi="Arial" w:cs="Arial"/>
      <w:b/>
      <w:bCs/>
      <w:color w:val="000000"/>
      <w:sz w:val="24"/>
      <w:szCs w:val="24"/>
    </w:rPr>
  </w:style>
  <w:style w:type="character" w:customStyle="1" w:styleId="695">
    <w:name w:val="正文（绿盟科技） Char"/>
    <w:link w:val="94"/>
    <w:qFormat/>
    <w:uiPriority w:val="0"/>
    <w:rPr>
      <w:rFonts w:ascii="Arial" w:hAnsi="Arial"/>
      <w:sz w:val="21"/>
      <w:szCs w:val="21"/>
    </w:rPr>
  </w:style>
  <w:style w:type="character" w:customStyle="1" w:styleId="696">
    <w:name w:val="Char Char19"/>
    <w:qFormat/>
    <w:uiPriority w:val="6"/>
    <w:rPr>
      <w:rFonts w:ascii="宋体" w:hAnsi="宋体"/>
      <w:i/>
      <w:sz w:val="24"/>
      <w:szCs w:val="24"/>
    </w:rPr>
  </w:style>
  <w:style w:type="character" w:customStyle="1" w:styleId="697">
    <w:name w:val="页脚 Char"/>
    <w:qFormat/>
    <w:uiPriority w:val="0"/>
    <w:rPr>
      <w:rFonts w:eastAsia="仿宋_GB2312"/>
      <w:kern w:val="2"/>
      <w:sz w:val="18"/>
      <w:lang w:val="en-US" w:eastAsia="zh-CN"/>
    </w:rPr>
  </w:style>
  <w:style w:type="character" w:customStyle="1" w:styleId="698">
    <w:name w:val="批注主题 Char"/>
    <w:qFormat/>
    <w:uiPriority w:val="0"/>
    <w:rPr>
      <w:rFonts w:eastAsia="宋体"/>
      <w:b/>
      <w:bCs/>
      <w:kern w:val="2"/>
      <w:sz w:val="21"/>
      <w:szCs w:val="24"/>
      <w:lang w:val="en-US" w:eastAsia="zh-CN" w:bidi="ar-SA"/>
    </w:rPr>
  </w:style>
  <w:style w:type="character" w:customStyle="1" w:styleId="699">
    <w:name w:val="Comment Text Char"/>
    <w:qFormat/>
    <w:locked/>
    <w:uiPriority w:val="0"/>
    <w:rPr>
      <w:rFonts w:ascii="宋体" w:hAnsi="宋体" w:eastAsia="宋体"/>
      <w:kern w:val="2"/>
      <w:sz w:val="24"/>
      <w:lang w:val="en-US" w:eastAsia="zh-CN" w:bidi="ar-SA"/>
    </w:rPr>
  </w:style>
  <w:style w:type="character" w:customStyle="1" w:styleId="700">
    <w:name w:val="标题 2 字符"/>
    <w:qFormat/>
    <w:uiPriority w:val="1"/>
    <w:rPr>
      <w:rFonts w:ascii="仿宋_GB2312" w:hAnsi="Times New Roman" w:eastAsia="仿宋_GB2312" w:cs="Times New Roman"/>
      <w:b/>
      <w:kern w:val="2"/>
      <w:sz w:val="24"/>
      <w:lang w:val="zh-CN"/>
    </w:rPr>
  </w:style>
  <w:style w:type="character" w:customStyle="1" w:styleId="701">
    <w:name w:val="Char Char72"/>
    <w:qFormat/>
    <w:uiPriority w:val="0"/>
    <w:rPr>
      <w:rFonts w:eastAsia="宋体"/>
      <w:kern w:val="2"/>
      <w:sz w:val="21"/>
      <w:szCs w:val="24"/>
      <w:lang w:val="en-US" w:eastAsia="zh-CN" w:bidi="ar-SA"/>
    </w:rPr>
  </w:style>
  <w:style w:type="character" w:customStyle="1" w:styleId="702">
    <w:name w:val="正文文本缩进 Char2"/>
    <w:qFormat/>
    <w:uiPriority w:val="0"/>
    <w:rPr>
      <w:rFonts w:ascii="Times New Roman" w:hAnsi="Times New Roman" w:eastAsia="宋体" w:cs="Times New Roman"/>
      <w:snapToGrid w:val="0"/>
      <w:kern w:val="0"/>
      <w:szCs w:val="24"/>
    </w:rPr>
  </w:style>
  <w:style w:type="character" w:customStyle="1" w:styleId="703">
    <w:name w:val="样式2 Char"/>
    <w:qFormat/>
    <w:uiPriority w:val="0"/>
    <w:rPr>
      <w:rFonts w:ascii="仿宋_GB2312" w:hAnsi="仿宋" w:eastAsia="仿宋_GB2312" w:cs="仿宋_GB2312"/>
      <w:b/>
      <w:bCs/>
      <w:sz w:val="32"/>
      <w:szCs w:val="30"/>
      <w:lang w:val="zh-CN"/>
    </w:rPr>
  </w:style>
  <w:style w:type="character" w:customStyle="1" w:styleId="704">
    <w:name w:val="表格名称[858D7CFB-ED40-4347-BF05-701D383B685F]"/>
    <w:link w:val="95"/>
    <w:qFormat/>
    <w:uiPriority w:val="0"/>
    <w:rPr>
      <w:sz w:val="32"/>
    </w:rPr>
  </w:style>
  <w:style w:type="character" w:customStyle="1" w:styleId="705">
    <w:name w:val="Char Char4"/>
    <w:qFormat/>
    <w:uiPriority w:val="0"/>
    <w:rPr>
      <w:rFonts w:eastAsia="宋体"/>
      <w:b/>
      <w:sz w:val="24"/>
      <w:lang w:eastAsia="zh-CN" w:bidi="ar-SA"/>
    </w:rPr>
  </w:style>
  <w:style w:type="character" w:customStyle="1" w:styleId="706">
    <w:name w:val="c7 style3"/>
    <w:qFormat/>
    <w:uiPriority w:val="0"/>
  </w:style>
  <w:style w:type="character" w:customStyle="1" w:styleId="707">
    <w:name w:val="正文文本 3 Char1"/>
    <w:semiHidden/>
    <w:qFormat/>
    <w:uiPriority w:val="99"/>
    <w:rPr>
      <w:rFonts w:ascii="Times New Roman" w:hAnsi="Times New Roman" w:eastAsia="宋体" w:cs="Times New Roman"/>
      <w:sz w:val="16"/>
      <w:szCs w:val="16"/>
    </w:rPr>
  </w:style>
  <w:style w:type="character" w:customStyle="1" w:styleId="708">
    <w:name w:val="tw4winInternal"/>
    <w:qFormat/>
    <w:uiPriority w:val="0"/>
    <w:rPr>
      <w:rFonts w:ascii="Courier New" w:hAnsi="Courier New" w:cs="Courier New"/>
      <w:color w:val="FF0000"/>
      <w:lang w:val="en-US" w:eastAsia="zh-CN"/>
    </w:rPr>
  </w:style>
  <w:style w:type="character" w:customStyle="1" w:styleId="709">
    <w:name w:val="Char Char10"/>
    <w:semiHidden/>
    <w:qFormat/>
    <w:uiPriority w:val="0"/>
    <w:rPr>
      <w:rFonts w:ascii="宋体" w:hAnsi="宋体"/>
      <w:kern w:val="2"/>
      <w:sz w:val="21"/>
      <w:szCs w:val="24"/>
      <w:lang w:val="en-US" w:eastAsia="zh-CN"/>
    </w:rPr>
  </w:style>
  <w:style w:type="character" w:customStyle="1" w:styleId="710">
    <w:name w:val="shadow11"/>
    <w:qFormat/>
    <w:uiPriority w:val="0"/>
    <w:rPr>
      <w:color w:val="000000"/>
      <w:sz w:val="21"/>
    </w:rPr>
  </w:style>
  <w:style w:type="character" w:customStyle="1" w:styleId="711">
    <w:name w:val="正文非缩进 Char3"/>
    <w:qFormat/>
    <w:uiPriority w:val="0"/>
    <w:rPr>
      <w:rFonts w:ascii="宋体" w:eastAsia="宋体"/>
      <w:snapToGrid w:val="0"/>
      <w:color w:val="000000"/>
      <w:kern w:val="28"/>
      <w:sz w:val="28"/>
      <w:lang w:val="en-US" w:eastAsia="zh-CN" w:bidi="ar-SA"/>
    </w:rPr>
  </w:style>
  <w:style w:type="character" w:customStyle="1" w:styleId="712">
    <w:name w:val="Char Char"/>
    <w:qFormat/>
    <w:uiPriority w:val="0"/>
    <w:rPr>
      <w:rFonts w:ascii="宋体" w:hAnsi="Courier New" w:eastAsia="宋体"/>
      <w:kern w:val="2"/>
      <w:sz w:val="21"/>
      <w:lang w:val="en-US" w:eastAsia="zh-CN" w:bidi="ar-SA"/>
    </w:rPr>
  </w:style>
  <w:style w:type="character" w:customStyle="1" w:styleId="713">
    <w:name w:val="签名 Char1"/>
    <w:qFormat/>
    <w:uiPriority w:val="0"/>
    <w:rPr>
      <w:rFonts w:ascii="Times New Roman" w:hAnsi="Times New Roman" w:eastAsia="宋体" w:cs="Times New Roman"/>
      <w:szCs w:val="24"/>
    </w:rPr>
  </w:style>
  <w:style w:type="character" w:customStyle="1" w:styleId="714">
    <w:name w:val="日期 Char"/>
    <w:link w:val="36"/>
    <w:qFormat/>
    <w:uiPriority w:val="0"/>
    <w:rPr>
      <w:rFonts w:ascii="宋体"/>
      <w:kern w:val="2"/>
      <w:sz w:val="24"/>
      <w:szCs w:val="21"/>
      <w:lang w:val="zh-CN"/>
    </w:rPr>
  </w:style>
  <w:style w:type="character" w:customStyle="1" w:styleId="715">
    <w:name w:val="标题 9 Char"/>
    <w:link w:val="13"/>
    <w:qFormat/>
    <w:uiPriority w:val="0"/>
    <w:rPr>
      <w:rFonts w:ascii="Arial" w:hAnsi="Arial" w:eastAsia="黑体"/>
      <w:kern w:val="2"/>
      <w:sz w:val="21"/>
      <w:szCs w:val="21"/>
    </w:rPr>
  </w:style>
  <w:style w:type="character" w:customStyle="1" w:styleId="716">
    <w:name w:val="Char Char18"/>
    <w:qFormat/>
    <w:uiPriority w:val="6"/>
    <w:rPr>
      <w:rFonts w:ascii="宋体" w:hAnsi="宋体"/>
      <w:sz w:val="28"/>
    </w:rPr>
  </w:style>
  <w:style w:type="character" w:customStyle="1" w:styleId="717">
    <w:name w:val="批注文字 Char"/>
    <w:qFormat/>
    <w:uiPriority w:val="99"/>
    <w:rPr>
      <w:kern w:val="2"/>
      <w:sz w:val="21"/>
      <w:szCs w:val="24"/>
    </w:rPr>
  </w:style>
  <w:style w:type="character" w:customStyle="1" w:styleId="718">
    <w:name w:val="Char Char22"/>
    <w:qFormat/>
    <w:uiPriority w:val="6"/>
    <w:rPr>
      <w:rFonts w:ascii="宋体" w:hAnsi="宋体"/>
      <w:kern w:val="1"/>
      <w:sz w:val="24"/>
      <w:szCs w:val="24"/>
    </w:rPr>
  </w:style>
  <w:style w:type="character" w:customStyle="1" w:styleId="719">
    <w:name w:val="pt141"/>
    <w:qFormat/>
    <w:uiPriority w:val="0"/>
    <w:rPr>
      <w:color w:val="330066"/>
      <w:sz w:val="22"/>
      <w:szCs w:val="22"/>
    </w:rPr>
  </w:style>
  <w:style w:type="character" w:customStyle="1" w:styleId="720">
    <w:name w:val="正文文本缩进 2 Char1"/>
    <w:semiHidden/>
    <w:qFormat/>
    <w:uiPriority w:val="99"/>
    <w:rPr>
      <w:rFonts w:ascii="Times New Roman" w:hAnsi="Times New Roman" w:eastAsia="宋体" w:cs="Times New Roman"/>
      <w:szCs w:val="24"/>
    </w:rPr>
  </w:style>
  <w:style w:type="character" w:customStyle="1" w:styleId="721">
    <w:name w:val="批注框文本 Char"/>
    <w:link w:val="39"/>
    <w:qFormat/>
    <w:uiPriority w:val="0"/>
    <w:rPr>
      <w:kern w:val="2"/>
      <w:sz w:val="18"/>
      <w:szCs w:val="18"/>
    </w:rPr>
  </w:style>
  <w:style w:type="character" w:customStyle="1" w:styleId="722">
    <w:name w:val="Char Char611"/>
    <w:qFormat/>
    <w:uiPriority w:val="0"/>
    <w:rPr>
      <w:rFonts w:eastAsia="宋体"/>
      <w:kern w:val="2"/>
      <w:sz w:val="21"/>
      <w:szCs w:val="24"/>
      <w:lang w:val="en-US" w:eastAsia="zh-CN" w:bidi="ar-SA"/>
    </w:rPr>
  </w:style>
  <w:style w:type="character" w:customStyle="1" w:styleId="723">
    <w:name w:val="highlight1"/>
    <w:qFormat/>
    <w:uiPriority w:val="0"/>
    <w:rPr>
      <w:rFonts w:ascii="仿宋_GB2312" w:eastAsia="微软雅黑"/>
      <w:b/>
      <w:kern w:val="2"/>
      <w:sz w:val="23"/>
      <w:szCs w:val="23"/>
      <w:lang w:val="en-US" w:eastAsia="zh-CN" w:bidi="ar-SA"/>
    </w:rPr>
  </w:style>
  <w:style w:type="character" w:customStyle="1" w:styleId="724">
    <w:name w:val="my正文 Char"/>
    <w:link w:val="96"/>
    <w:qFormat/>
    <w:locked/>
    <w:uiPriority w:val="0"/>
    <w:rPr>
      <w:rFonts w:ascii="Tahoma" w:hAnsi="Tahoma"/>
      <w:sz w:val="24"/>
      <w:szCs w:val="24"/>
    </w:rPr>
  </w:style>
  <w:style w:type="character" w:customStyle="1" w:styleId="725">
    <w:name w:val="正文缩进 Char2"/>
    <w:link w:val="17"/>
    <w:qFormat/>
    <w:uiPriority w:val="0"/>
    <w:rPr>
      <w:rFonts w:ascii="宋体" w:eastAsia="宋体"/>
      <w:snapToGrid w:val="0"/>
      <w:color w:val="000000"/>
      <w:kern w:val="28"/>
      <w:sz w:val="28"/>
      <w:lang w:val="en-US" w:eastAsia="zh-CN" w:bidi="ar-SA"/>
    </w:rPr>
  </w:style>
  <w:style w:type="character" w:customStyle="1" w:styleId="726">
    <w:name w:val="Used by Word for text of Help footnotes Char Char1"/>
    <w:qFormat/>
    <w:uiPriority w:val="0"/>
    <w:rPr>
      <w:color w:val="0000FF"/>
      <w:sz w:val="21"/>
    </w:rPr>
  </w:style>
  <w:style w:type="character" w:customStyle="1" w:styleId="727">
    <w:name w:val="页眉 Char"/>
    <w:qFormat/>
    <w:uiPriority w:val="0"/>
    <w:rPr>
      <w:rFonts w:eastAsia="仿宋_GB2312"/>
      <w:kern w:val="2"/>
      <w:sz w:val="18"/>
      <w:lang w:val="en-US" w:eastAsia="zh-CN"/>
    </w:rPr>
  </w:style>
  <w:style w:type="character" w:customStyle="1" w:styleId="728">
    <w:name w:val="FA正文 Char Char"/>
    <w:qFormat/>
    <w:uiPriority w:val="0"/>
    <w:rPr>
      <w:rFonts w:hAnsi="宋体"/>
      <w:kern w:val="2"/>
      <w:sz w:val="24"/>
      <w:lang w:bidi="ar-SA"/>
    </w:rPr>
  </w:style>
  <w:style w:type="character" w:customStyle="1" w:styleId="729">
    <w:name w:val="纯文本 字符"/>
    <w:qFormat/>
    <w:uiPriority w:val="0"/>
    <w:rPr>
      <w:rFonts w:ascii="宋体" w:hAnsi="Courier New" w:eastAsia="宋体" w:cs="Arial"/>
      <w:snapToGrid w:val="0"/>
      <w:kern w:val="2"/>
      <w:sz w:val="21"/>
      <w:szCs w:val="21"/>
      <w:lang w:val="en-US" w:eastAsia="zh-CN" w:bidi="ar-SA"/>
    </w:rPr>
  </w:style>
  <w:style w:type="character" w:customStyle="1" w:styleId="730">
    <w:name w:val="3级 Char"/>
    <w:link w:val="97"/>
    <w:qFormat/>
    <w:uiPriority w:val="0"/>
    <w:rPr>
      <w:rFonts w:ascii="宋体" w:hAnsi="宋体"/>
      <w:b/>
      <w:bCs/>
      <w:sz w:val="28"/>
    </w:rPr>
  </w:style>
  <w:style w:type="character" w:customStyle="1" w:styleId="731">
    <w:name w:val="myp11"/>
    <w:qFormat/>
    <w:uiPriority w:val="0"/>
    <w:rPr>
      <w:rFonts w:ascii="仿宋_GB2312" w:eastAsia="微软雅黑"/>
      <w:b/>
      <w:kern w:val="2"/>
      <w:sz w:val="32"/>
      <w:szCs w:val="32"/>
      <w:lang w:val="en-US" w:eastAsia="zh-CN" w:bidi="ar-SA"/>
    </w:rPr>
  </w:style>
  <w:style w:type="character" w:customStyle="1" w:styleId="732">
    <w:name w:val="文档结构图 Char1"/>
    <w:link w:val="20"/>
    <w:qFormat/>
    <w:uiPriority w:val="0"/>
    <w:rPr>
      <w:kern w:val="2"/>
      <w:sz w:val="21"/>
      <w:szCs w:val="24"/>
      <w:shd w:val="clear" w:color="auto" w:fill="000080"/>
    </w:rPr>
  </w:style>
  <w:style w:type="character" w:customStyle="1" w:styleId="733">
    <w:name w:val="H6 Char"/>
    <w:qFormat/>
    <w:uiPriority w:val="0"/>
    <w:rPr>
      <w:rFonts w:ascii="Arial" w:hAnsi="Arial" w:eastAsia="黑体"/>
      <w:b/>
      <w:bCs/>
      <w:kern w:val="2"/>
      <w:sz w:val="24"/>
      <w:szCs w:val="24"/>
    </w:rPr>
  </w:style>
  <w:style w:type="character" w:customStyle="1" w:styleId="734">
    <w:name w:val="Char Char91"/>
    <w:qFormat/>
    <w:uiPriority w:val="0"/>
    <w:rPr>
      <w:rFonts w:eastAsia="宋体"/>
      <w:kern w:val="2"/>
      <w:sz w:val="18"/>
      <w:szCs w:val="18"/>
      <w:lang w:val="en-US" w:eastAsia="zh-CN" w:bidi="ar-SA"/>
    </w:rPr>
  </w:style>
  <w:style w:type="character" w:customStyle="1" w:styleId="735">
    <w:name w:val="副标题 Char1"/>
    <w:qFormat/>
    <w:uiPriority w:val="0"/>
    <w:rPr>
      <w:rFonts w:ascii="Cambria" w:hAnsi="Cambria" w:eastAsia="宋体" w:cs="Times New Roman"/>
      <w:b/>
      <w:bCs/>
      <w:snapToGrid w:val="0"/>
      <w:kern w:val="28"/>
      <w:sz w:val="32"/>
      <w:szCs w:val="32"/>
    </w:rPr>
  </w:style>
  <w:style w:type="character" w:customStyle="1" w:styleId="736">
    <w:name w:val="font61"/>
    <w:basedOn w:val="70"/>
    <w:qFormat/>
    <w:uiPriority w:val="0"/>
    <w:rPr>
      <w:rFonts w:hint="eastAsia" w:ascii="仿宋" w:hAnsi="仿宋" w:eastAsia="仿宋" w:cs="仿宋"/>
      <w:color w:val="000000"/>
      <w:sz w:val="20"/>
      <w:szCs w:val="20"/>
      <w:u w:val="none"/>
    </w:rPr>
  </w:style>
  <w:style w:type="character" w:customStyle="1" w:styleId="73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8">
    <w:name w:val="Char Char211"/>
    <w:qFormat/>
    <w:uiPriority w:val="0"/>
    <w:rPr>
      <w:rFonts w:eastAsia="宋体"/>
      <w:b/>
      <w:bCs/>
      <w:kern w:val="2"/>
      <w:sz w:val="21"/>
      <w:szCs w:val="24"/>
      <w:lang w:val="en-US" w:eastAsia="zh-CN" w:bidi="ar-SA"/>
    </w:rPr>
  </w:style>
  <w:style w:type="character" w:customStyle="1" w:styleId="739">
    <w:name w:val="标题 2 Char"/>
    <w:qFormat/>
    <w:uiPriority w:val="0"/>
    <w:rPr>
      <w:rFonts w:ascii="Arial" w:hAnsi="Arial" w:eastAsia="黑体"/>
      <w:b/>
      <w:kern w:val="2"/>
      <w:sz w:val="32"/>
      <w:lang w:val="en-US" w:eastAsia="zh-CN"/>
    </w:rPr>
  </w:style>
  <w:style w:type="character" w:customStyle="1" w:styleId="740">
    <w:name w:val="maywed421"/>
    <w:qFormat/>
    <w:uiPriority w:val="0"/>
    <w:rPr>
      <w:color w:val="366FB6"/>
      <w:u w:val="none"/>
    </w:rPr>
  </w:style>
  <w:style w:type="character" w:customStyle="1" w:styleId="741">
    <w:name w:val="正文文本缩进 Char"/>
    <w:qFormat/>
    <w:uiPriority w:val="0"/>
    <w:rPr>
      <w:rFonts w:ascii="宋体" w:hAnsi="宋体"/>
      <w:kern w:val="2"/>
      <w:sz w:val="24"/>
      <w:szCs w:val="24"/>
    </w:rPr>
  </w:style>
  <w:style w:type="character" w:customStyle="1" w:styleId="742">
    <w:name w:val="Char Char102"/>
    <w:semiHidden/>
    <w:qFormat/>
    <w:uiPriority w:val="0"/>
    <w:rPr>
      <w:rFonts w:ascii="宋体" w:hAnsi="宋体"/>
      <w:kern w:val="2"/>
      <w:sz w:val="21"/>
      <w:szCs w:val="24"/>
      <w:lang w:val="en-US" w:eastAsia="zh-CN"/>
    </w:rPr>
  </w:style>
  <w:style w:type="character" w:customStyle="1" w:styleId="743">
    <w:name w:val="页眉 Char1"/>
    <w:qFormat/>
    <w:uiPriority w:val="0"/>
    <w:rPr>
      <w:rFonts w:eastAsia="宋体"/>
      <w:kern w:val="2"/>
      <w:sz w:val="18"/>
      <w:szCs w:val="18"/>
      <w:lang w:val="en-US" w:eastAsia="zh-CN" w:bidi="ar-SA"/>
    </w:rPr>
  </w:style>
  <w:style w:type="character" w:customStyle="1" w:styleId="744">
    <w:name w:val="md"/>
    <w:basedOn w:val="70"/>
    <w:qFormat/>
    <w:uiPriority w:val="0"/>
    <w:rPr>
      <w:rFonts w:ascii="Arial" w:hAnsi="Arial" w:eastAsia="黑体" w:cs="Arial"/>
      <w:snapToGrid w:val="0"/>
      <w:kern w:val="0"/>
      <w:szCs w:val="21"/>
    </w:rPr>
  </w:style>
  <w:style w:type="character" w:customStyle="1" w:styleId="745">
    <w:name w:val="big1"/>
    <w:qFormat/>
    <w:uiPriority w:val="0"/>
    <w:rPr>
      <w:rFonts w:hint="eastAsia" w:ascii="宋体" w:hAnsi="宋体" w:eastAsia="宋体"/>
      <w:color w:val="333333"/>
      <w:sz w:val="22"/>
      <w:szCs w:val="22"/>
    </w:rPr>
  </w:style>
  <w:style w:type="character" w:customStyle="1" w:styleId="746">
    <w:name w:val="Char Char311"/>
    <w:qFormat/>
    <w:uiPriority w:val="0"/>
    <w:rPr>
      <w:rFonts w:eastAsia="宋体"/>
      <w:kern w:val="2"/>
      <w:sz w:val="21"/>
      <w:szCs w:val="24"/>
      <w:lang w:val="en-US" w:eastAsia="zh-CN" w:bidi="ar-SA"/>
    </w:rPr>
  </w:style>
  <w:style w:type="character" w:customStyle="1" w:styleId="747">
    <w:name w:val="Char Char81"/>
    <w:qFormat/>
    <w:uiPriority w:val="6"/>
    <w:rPr>
      <w:rFonts w:eastAsia="宋体"/>
      <w:b/>
      <w:sz w:val="24"/>
      <w:lang w:eastAsia="zh-CN"/>
    </w:rPr>
  </w:style>
  <w:style w:type="character" w:customStyle="1" w:styleId="748">
    <w:name w:val="样式3 Char"/>
    <w:basedOn w:val="703"/>
    <w:qFormat/>
    <w:uiPriority w:val="0"/>
    <w:rPr>
      <w:rFonts w:ascii="仿宋_GB2312" w:hAnsi="仿宋" w:eastAsia="仿宋_GB2312" w:cs="仿宋_GB2312"/>
      <w:sz w:val="32"/>
      <w:szCs w:val="30"/>
      <w:lang w:val="zh-CN"/>
    </w:rPr>
  </w:style>
  <w:style w:type="character" w:customStyle="1" w:styleId="749">
    <w:name w:val="HTML 地址 Char"/>
    <w:link w:val="30"/>
    <w:qFormat/>
    <w:uiPriority w:val="0"/>
    <w:rPr>
      <w:rFonts w:ascii="宋体" w:hAnsi="宋体"/>
      <w:i/>
      <w:iCs/>
      <w:sz w:val="24"/>
      <w:szCs w:val="24"/>
    </w:rPr>
  </w:style>
  <w:style w:type="character" w:customStyle="1" w:styleId="750">
    <w:name w:val="正文首行缩进 2 Char1"/>
    <w:qFormat/>
    <w:uiPriority w:val="0"/>
    <w:rPr>
      <w:rFonts w:ascii="Times New Roman" w:hAnsi="Times New Roman" w:eastAsia="宋体" w:cs="Times New Roman"/>
      <w:kern w:val="2"/>
      <w:sz w:val="24"/>
      <w:szCs w:val="24"/>
    </w:rPr>
  </w:style>
  <w:style w:type="character" w:customStyle="1" w:styleId="751">
    <w:name w:val="副标题 Char2"/>
    <w:qFormat/>
    <w:uiPriority w:val="0"/>
    <w:rPr>
      <w:rFonts w:ascii="Cambria" w:hAnsi="Cambria" w:eastAsia="宋体" w:cs="Times New Roman"/>
      <w:b/>
      <w:bCs/>
      <w:snapToGrid w:val="0"/>
      <w:kern w:val="28"/>
      <w:sz w:val="32"/>
      <w:szCs w:val="32"/>
    </w:rPr>
  </w:style>
  <w:style w:type="character" w:customStyle="1" w:styleId="752">
    <w:name w:val="标题4-dyf Char"/>
    <w:link w:val="99"/>
    <w:qFormat/>
    <w:uiPriority w:val="0"/>
    <w:rPr>
      <w:rFonts w:ascii="Cambria" w:hAnsi="Cambria"/>
      <w:b/>
      <w:bCs/>
      <w:color w:val="000000"/>
      <w:kern w:val="2"/>
      <w:sz w:val="21"/>
      <w:szCs w:val="21"/>
    </w:rPr>
  </w:style>
  <w:style w:type="character" w:customStyle="1" w:styleId="753">
    <w:name w:val="dectext1"/>
    <w:qFormat/>
    <w:uiPriority w:val="0"/>
    <w:rPr>
      <w:rFonts w:ascii="宋体" w:hAnsi="宋体" w:eastAsia="宋体"/>
      <w:color w:val="333333"/>
      <w:sz w:val="21"/>
      <w:szCs w:val="21"/>
      <w:u w:val="none"/>
    </w:rPr>
  </w:style>
  <w:style w:type="character" w:customStyle="1" w:styleId="754">
    <w:name w:val="冯 Char"/>
    <w:link w:val="100"/>
    <w:qFormat/>
    <w:uiPriority w:val="0"/>
    <w:rPr>
      <w:rFonts w:ascii="宋体" w:hAnsi="宋体"/>
      <w:color w:val="000000"/>
      <w:sz w:val="24"/>
      <w:szCs w:val="24"/>
    </w:rPr>
  </w:style>
  <w:style w:type="character" w:customStyle="1" w:styleId="755">
    <w:name w:val="Header Char"/>
    <w:qFormat/>
    <w:locked/>
    <w:uiPriority w:val="0"/>
    <w:rPr>
      <w:rFonts w:eastAsia="宋体"/>
      <w:kern w:val="2"/>
      <w:sz w:val="18"/>
      <w:szCs w:val="18"/>
      <w:lang w:val="en-US" w:eastAsia="zh-CN" w:bidi="ar-SA"/>
    </w:rPr>
  </w:style>
  <w:style w:type="character" w:customStyle="1" w:styleId="756">
    <w:name w:val="Char Char12"/>
    <w:qFormat/>
    <w:uiPriority w:val="0"/>
    <w:rPr>
      <w:rFonts w:ascii="仿宋_GB2312" w:eastAsia="仿宋_GB2312"/>
      <w:b/>
      <w:bCs/>
      <w:kern w:val="2"/>
      <w:sz w:val="24"/>
      <w:szCs w:val="24"/>
      <w:lang w:val="zh-CN" w:eastAsia="zh-CN" w:bidi="ar-SA"/>
    </w:rPr>
  </w:style>
  <w:style w:type="character" w:customStyle="1" w:styleId="757">
    <w:name w:val="题注 Char"/>
    <w:link w:val="18"/>
    <w:qFormat/>
    <w:uiPriority w:val="0"/>
    <w:rPr>
      <w:b/>
      <w:kern w:val="2"/>
      <w:sz w:val="28"/>
    </w:rPr>
  </w:style>
  <w:style w:type="character" w:customStyle="1" w:styleId="758">
    <w:name w:val="普通文字 Char3"/>
    <w:qFormat/>
    <w:uiPriority w:val="0"/>
    <w:rPr>
      <w:rFonts w:ascii="宋体" w:hAnsi="Courier New" w:eastAsia="宋体"/>
      <w:kern w:val="2"/>
      <w:sz w:val="21"/>
      <w:lang w:val="en-US" w:eastAsia="zh-CN" w:bidi="ar-SA"/>
    </w:rPr>
  </w:style>
  <w:style w:type="character" w:customStyle="1" w:styleId="759">
    <w:name w:val="公文正文 Char"/>
    <w:qFormat/>
    <w:uiPriority w:val="0"/>
    <w:rPr>
      <w:rFonts w:ascii="仿宋_GB2312" w:eastAsia="仿宋_GB2312"/>
      <w:kern w:val="2"/>
      <w:sz w:val="24"/>
      <w:szCs w:val="24"/>
      <w:lang w:val="en-US" w:eastAsia="zh-CN" w:bidi="ar-SA"/>
    </w:rPr>
  </w:style>
  <w:style w:type="character" w:customStyle="1" w:styleId="760">
    <w:name w:val="正文首行缩进 Char Char Char Char Char"/>
    <w:qFormat/>
    <w:uiPriority w:val="0"/>
    <w:rPr>
      <w:rFonts w:ascii="宋体"/>
      <w:kern w:val="2"/>
      <w:sz w:val="24"/>
      <w:lang w:val="zh-CN"/>
    </w:rPr>
  </w:style>
  <w:style w:type="character" w:customStyle="1" w:styleId="761">
    <w:name w:val="PI Char"/>
    <w:qFormat/>
    <w:uiPriority w:val="0"/>
    <w:rPr>
      <w:rFonts w:ascii="宋体" w:hAnsi="宋体" w:eastAsia="宋体"/>
      <w:kern w:val="2"/>
      <w:sz w:val="24"/>
      <w:szCs w:val="24"/>
      <w:lang w:val="en-US" w:eastAsia="zh-CN" w:bidi="ar-SA"/>
    </w:rPr>
  </w:style>
  <w:style w:type="character" w:customStyle="1" w:styleId="762">
    <w:name w:val="Default Char"/>
    <w:link w:val="101"/>
    <w:qFormat/>
    <w:uiPriority w:val="0"/>
    <w:rPr>
      <w:rFonts w:ascii="仿宋_GB2312" w:eastAsia="仿宋_GB2312" w:cs="仿宋_GB2312"/>
      <w:color w:val="000000"/>
      <w:sz w:val="24"/>
      <w:szCs w:val="24"/>
      <w:lang w:val="en-US" w:eastAsia="zh-CN" w:bidi="ar-SA"/>
    </w:rPr>
  </w:style>
  <w:style w:type="character" w:customStyle="1" w:styleId="763">
    <w:name w:val="style91"/>
    <w:qFormat/>
    <w:uiPriority w:val="0"/>
    <w:rPr>
      <w:color w:val="333333"/>
    </w:rPr>
  </w:style>
  <w:style w:type="character" w:customStyle="1" w:styleId="764">
    <w:name w:val="列出段落 Char2"/>
    <w:qFormat/>
    <w:uiPriority w:val="34"/>
    <w:rPr>
      <w:rFonts w:ascii="Calibri" w:hAnsi="Calibri"/>
      <w:kern w:val="2"/>
      <w:sz w:val="28"/>
    </w:rPr>
  </w:style>
  <w:style w:type="character" w:customStyle="1" w:styleId="765">
    <w:name w:val="mdeck"/>
    <w:qFormat/>
    <w:uiPriority w:val="0"/>
    <w:rPr>
      <w:rFonts w:ascii="仿宋_GB2312" w:eastAsia="微软雅黑"/>
      <w:b/>
      <w:kern w:val="2"/>
      <w:sz w:val="32"/>
      <w:szCs w:val="32"/>
      <w:lang w:val="en-US" w:eastAsia="zh-CN" w:bidi="ar-SA"/>
    </w:rPr>
  </w:style>
  <w:style w:type="character" w:customStyle="1" w:styleId="766">
    <w:name w:val="unnamed11"/>
    <w:qFormat/>
    <w:uiPriority w:val="0"/>
    <w:rPr>
      <w:sz w:val="20"/>
      <w:szCs w:val="20"/>
    </w:rPr>
  </w:style>
  <w:style w:type="character" w:customStyle="1" w:styleId="767">
    <w:name w:val="正文文本 Char2"/>
    <w:semiHidden/>
    <w:qFormat/>
    <w:uiPriority w:val="99"/>
    <w:rPr>
      <w:rFonts w:ascii="Times New Roman" w:hAnsi="Times New Roman" w:eastAsia="宋体" w:cs="Times New Roman"/>
      <w:snapToGrid w:val="0"/>
      <w:kern w:val="0"/>
      <w:szCs w:val="24"/>
    </w:rPr>
  </w:style>
  <w:style w:type="character" w:customStyle="1" w:styleId="768">
    <w:name w:val="标书正文格式 Char"/>
    <w:qFormat/>
    <w:uiPriority w:val="0"/>
    <w:rPr>
      <w:rFonts w:eastAsia="楷体_GB2312"/>
      <w:kern w:val="2"/>
      <w:sz w:val="24"/>
      <w:szCs w:val="24"/>
      <w:lang w:bidi="ar-SA"/>
    </w:rPr>
  </w:style>
  <w:style w:type="character" w:customStyle="1" w:styleId="769">
    <w:name w:val="Char Char11"/>
    <w:qFormat/>
    <w:locked/>
    <w:uiPriority w:val="0"/>
    <w:rPr>
      <w:rFonts w:ascii="宋体" w:hAnsi="宋体" w:eastAsia="宋体"/>
      <w:b/>
      <w:kern w:val="2"/>
      <w:sz w:val="24"/>
      <w:szCs w:val="24"/>
      <w:lang w:val="en-US" w:eastAsia="zh-CN" w:bidi="ar-SA"/>
    </w:rPr>
  </w:style>
  <w:style w:type="character" w:customStyle="1" w:styleId="770">
    <w:name w:val="ca-131"/>
    <w:qFormat/>
    <w:uiPriority w:val="0"/>
    <w:rPr>
      <w:rFonts w:hint="eastAsia" w:ascii="仿宋_GB2312" w:eastAsia="仿宋_GB2312"/>
      <w:b/>
      <w:bCs/>
      <w:color w:val="000000"/>
      <w:spacing w:val="-20"/>
      <w:sz w:val="24"/>
      <w:szCs w:val="24"/>
    </w:rPr>
  </w:style>
  <w:style w:type="character" w:customStyle="1" w:styleId="771">
    <w:name w:val="tw4winMark"/>
    <w:qFormat/>
    <w:uiPriority w:val="0"/>
    <w:rPr>
      <w:rFonts w:ascii="Courier New" w:hAnsi="Courier New" w:cs="Courier New"/>
      <w:vanish/>
      <w:color w:val="800080"/>
      <w:sz w:val="24"/>
      <w:szCs w:val="24"/>
      <w:vertAlign w:val="subscript"/>
    </w:rPr>
  </w:style>
  <w:style w:type="character" w:customStyle="1" w:styleId="772">
    <w:name w:val="正文样式 Char"/>
    <w:link w:val="102"/>
    <w:qFormat/>
    <w:uiPriority w:val="0"/>
    <w:rPr>
      <w:rFonts w:ascii="Calibri" w:hAnsi="Calibri"/>
      <w:sz w:val="24"/>
      <w:szCs w:val="24"/>
    </w:rPr>
  </w:style>
  <w:style w:type="character" w:customStyle="1" w:styleId="773">
    <w:name w:val="表正文 Char3"/>
    <w:qFormat/>
    <w:uiPriority w:val="0"/>
    <w:rPr>
      <w:rFonts w:eastAsia="宋体"/>
    </w:rPr>
  </w:style>
  <w:style w:type="character" w:customStyle="1" w:styleId="774">
    <w:name w:val="H5 Char"/>
    <w:qFormat/>
    <w:uiPriority w:val="0"/>
    <w:rPr>
      <w:b/>
      <w:bCs/>
      <w:kern w:val="2"/>
      <w:sz w:val="28"/>
      <w:szCs w:val="28"/>
    </w:rPr>
  </w:style>
  <w:style w:type="character" w:customStyle="1" w:styleId="775">
    <w:name w:val="Char Char3"/>
    <w:qFormat/>
    <w:uiPriority w:val="0"/>
    <w:rPr>
      <w:rFonts w:eastAsia="宋体"/>
      <w:kern w:val="2"/>
      <w:sz w:val="21"/>
      <w:szCs w:val="24"/>
      <w:lang w:val="en-US" w:eastAsia="zh-CN" w:bidi="ar-SA"/>
    </w:rPr>
  </w:style>
  <w:style w:type="character" w:customStyle="1" w:styleId="776">
    <w:name w:val="正文 编号 Char"/>
    <w:qFormat/>
    <w:uiPriority w:val="0"/>
    <w:rPr>
      <w:rFonts w:ascii="仿宋_GB2312" w:hAnsi="仿宋_GB2312" w:eastAsia="仿宋_GB2312"/>
      <w:kern w:val="2"/>
      <w:sz w:val="24"/>
      <w:lang w:bidi="ar-SA"/>
    </w:rPr>
  </w:style>
  <w:style w:type="character" w:customStyle="1" w:styleId="777">
    <w:name w:val="question-title2"/>
    <w:qFormat/>
    <w:uiPriority w:val="6"/>
    <w:rPr>
      <w:rFonts w:ascii="Arial" w:hAnsi="Arial" w:eastAsia="黑体" w:cs="Arial"/>
      <w:snapToGrid w:val="0"/>
      <w:kern w:val="0"/>
      <w:szCs w:val="21"/>
    </w:rPr>
  </w:style>
  <w:style w:type="character" w:customStyle="1" w:styleId="778">
    <w:name w:val="gf正文1 Char Char"/>
    <w:link w:val="103"/>
    <w:qFormat/>
    <w:uiPriority w:val="0"/>
    <w:rPr>
      <w:rFonts w:ascii="宋体" w:hAnsi="宋体" w:cs="宋体"/>
      <w:kern w:val="2"/>
      <w:sz w:val="24"/>
      <w:szCs w:val="24"/>
    </w:rPr>
  </w:style>
  <w:style w:type="character" w:customStyle="1" w:styleId="779">
    <w:name w:val="Char Char15"/>
    <w:qFormat/>
    <w:uiPriority w:val="6"/>
    <w:rPr>
      <w:rFonts w:ascii="宋体" w:hAnsi="宋体"/>
      <w:kern w:val="1"/>
      <w:sz w:val="21"/>
    </w:rPr>
  </w:style>
  <w:style w:type="character" w:customStyle="1" w:styleId="780">
    <w:name w:val="正文缩进 Char3"/>
    <w:qFormat/>
    <w:uiPriority w:val="0"/>
    <w:rPr>
      <w:rFonts w:ascii="宋体" w:eastAsia="宋体"/>
      <w:snapToGrid w:val="0"/>
      <w:color w:val="000000"/>
      <w:kern w:val="28"/>
      <w:sz w:val="28"/>
      <w:lang w:val="en-US" w:eastAsia="zh-CN" w:bidi="ar-SA"/>
    </w:rPr>
  </w:style>
  <w:style w:type="character" w:customStyle="1" w:styleId="781">
    <w:name w:val="列出段落 Char1"/>
    <w:link w:val="104"/>
    <w:qFormat/>
    <w:uiPriority w:val="0"/>
    <w:rPr>
      <w:rFonts w:ascii="Calibri" w:hAnsi="Calibri"/>
      <w:sz w:val="24"/>
      <w:lang w:eastAsia="en-US"/>
    </w:rPr>
  </w:style>
  <w:style w:type="character" w:customStyle="1" w:styleId="782">
    <w:name w:val="Char Char8"/>
    <w:qFormat/>
    <w:uiPriority w:val="0"/>
    <w:rPr>
      <w:rFonts w:eastAsia="宋体"/>
      <w:b/>
      <w:sz w:val="24"/>
      <w:lang w:eastAsia="zh-CN"/>
    </w:rPr>
  </w:style>
  <w:style w:type="character" w:customStyle="1" w:styleId="783">
    <w:name w:val="Normal Indent Char Char"/>
    <w:qFormat/>
    <w:uiPriority w:val="0"/>
    <w:rPr>
      <w:rFonts w:eastAsia="宋体"/>
      <w:kern w:val="2"/>
      <w:sz w:val="21"/>
      <w:lang w:val="en-US" w:eastAsia="zh-CN" w:bidi="ar-SA"/>
    </w:rPr>
  </w:style>
  <w:style w:type="character" w:customStyle="1" w:styleId="784">
    <w:name w:val="列表段落 字符"/>
    <w:qFormat/>
    <w:uiPriority w:val="99"/>
  </w:style>
  <w:style w:type="character" w:customStyle="1" w:styleId="785">
    <w:name w:val="Ò³Ã¼ Char Char1"/>
    <w:qFormat/>
    <w:uiPriority w:val="0"/>
    <w:rPr>
      <w:rFonts w:eastAsia="宋体"/>
      <w:kern w:val="2"/>
      <w:sz w:val="18"/>
      <w:szCs w:val="18"/>
      <w:lang w:val="en-US" w:eastAsia="zh-CN" w:bidi="ar-SA"/>
    </w:rPr>
  </w:style>
  <w:style w:type="character" w:customStyle="1" w:styleId="786">
    <w:name w:val="方案正文 Char"/>
    <w:qFormat/>
    <w:uiPriority w:val="0"/>
    <w:rPr>
      <w:rFonts w:ascii="仿宋_GB2312" w:eastAsia="仿宋_GB2312"/>
      <w:b/>
      <w:color w:val="000000"/>
      <w:kern w:val="2"/>
      <w:sz w:val="24"/>
      <w:lang w:val="en-US" w:eastAsia="zh-CN" w:bidi="ar-SA"/>
    </w:rPr>
  </w:style>
  <w:style w:type="character" w:customStyle="1" w:styleId="787">
    <w:name w:val="Char Char30"/>
    <w:qFormat/>
    <w:uiPriority w:val="6"/>
    <w:rPr>
      <w:rFonts w:ascii="Arial" w:hAnsi="Arial" w:eastAsia="黑体"/>
      <w:kern w:val="1"/>
      <w:sz w:val="21"/>
      <w:szCs w:val="21"/>
    </w:rPr>
  </w:style>
  <w:style w:type="character" w:customStyle="1" w:styleId="788">
    <w:name w:val="正文文本缩进 Char3"/>
    <w:link w:val="25"/>
    <w:qFormat/>
    <w:uiPriority w:val="0"/>
    <w:rPr>
      <w:rFonts w:ascii="宋体" w:hAnsi="宋体"/>
      <w:kern w:val="2"/>
      <w:sz w:val="24"/>
      <w:szCs w:val="24"/>
    </w:rPr>
  </w:style>
  <w:style w:type="character" w:customStyle="1" w:styleId="789">
    <w:name w:val="font01"/>
    <w:qFormat/>
    <w:uiPriority w:val="0"/>
    <w:rPr>
      <w:rFonts w:hint="eastAsia" w:ascii="微软雅黑" w:hAnsi="微软雅黑" w:eastAsia="微软雅黑" w:cs="微软雅黑"/>
      <w:color w:val="000000"/>
      <w:sz w:val="20"/>
      <w:szCs w:val="20"/>
      <w:u w:val="none"/>
    </w:rPr>
  </w:style>
  <w:style w:type="character" w:customStyle="1" w:styleId="790">
    <w:name w:val="Char Char20"/>
    <w:qFormat/>
    <w:uiPriority w:val="6"/>
    <w:rPr>
      <w:kern w:val="1"/>
      <w:sz w:val="24"/>
    </w:rPr>
  </w:style>
  <w:style w:type="character" w:customStyle="1" w:styleId="791">
    <w:name w:val="tw4winExternal"/>
    <w:qFormat/>
    <w:uiPriority w:val="0"/>
    <w:rPr>
      <w:rFonts w:ascii="Courier New" w:hAnsi="Courier New" w:cs="Courier New"/>
      <w:color w:val="808080"/>
      <w:lang w:val="en-US" w:eastAsia="zh-CN"/>
    </w:rPr>
  </w:style>
  <w:style w:type="character" w:customStyle="1" w:styleId="792">
    <w:name w:val="标题 4 Char1"/>
    <w:qFormat/>
    <w:uiPriority w:val="9"/>
    <w:rPr>
      <w:rFonts w:ascii="Cambria" w:hAnsi="Cambria" w:eastAsia="宋体" w:cs="Times New Roman"/>
      <w:b/>
      <w:bCs/>
      <w:kern w:val="2"/>
      <w:sz w:val="28"/>
      <w:szCs w:val="28"/>
    </w:rPr>
  </w:style>
  <w:style w:type="character" w:customStyle="1" w:styleId="793">
    <w:name w:val="批注文字 Char2"/>
    <w:qFormat/>
    <w:uiPriority w:val="99"/>
    <w:rPr>
      <w:rFonts w:ascii="Times New Roman" w:hAnsi="Times New Roman" w:eastAsia="宋体" w:cs="Times New Roman"/>
      <w:snapToGrid w:val="0"/>
      <w:kern w:val="0"/>
      <w:szCs w:val="24"/>
    </w:rPr>
  </w:style>
  <w:style w:type="character" w:customStyle="1" w:styleId="794">
    <w:name w:val="正文文本 2 Char"/>
    <w:qFormat/>
    <w:uiPriority w:val="0"/>
    <w:rPr>
      <w:rFonts w:eastAsia="宋体"/>
      <w:kern w:val="2"/>
      <w:sz w:val="21"/>
      <w:szCs w:val="24"/>
      <w:lang w:val="en-US" w:eastAsia="zh-CN" w:bidi="ar-SA"/>
    </w:rPr>
  </w:style>
  <w:style w:type="character" w:customStyle="1" w:styleId="795">
    <w:name w:val="Ò³Ã¼ Char Char"/>
    <w:qFormat/>
    <w:uiPriority w:val="0"/>
    <w:rPr>
      <w:rFonts w:eastAsia="宋体"/>
      <w:kern w:val="2"/>
      <w:sz w:val="18"/>
      <w:lang w:val="en-US" w:eastAsia="zh-CN" w:bidi="ar-SA"/>
    </w:rPr>
  </w:style>
  <w:style w:type="character" w:customStyle="1" w:styleId="796">
    <w:name w:val="message1"/>
    <w:qFormat/>
    <w:uiPriority w:val="0"/>
    <w:rPr>
      <w:rFonts w:hint="default" w:ascii="Tahoma" w:hAnsi="Tahoma" w:cs="Tahoma"/>
      <w:sz w:val="18"/>
      <w:szCs w:val="18"/>
    </w:rPr>
  </w:style>
  <w:style w:type="character" w:customStyle="1" w:styleId="797">
    <w:name w:val="Char Char23"/>
    <w:qFormat/>
    <w:uiPriority w:val="6"/>
    <w:rPr>
      <w:color w:val="0000FF"/>
      <w:sz w:val="21"/>
    </w:rPr>
  </w:style>
  <w:style w:type="character" w:customStyle="1" w:styleId="798">
    <w:name w:val="批注框文本 字符"/>
    <w:qFormat/>
    <w:uiPriority w:val="0"/>
    <w:rPr>
      <w:rFonts w:ascii="Arial" w:hAnsi="Arial" w:eastAsia="黑体" w:cs="Arial"/>
      <w:snapToGrid w:val="0"/>
      <w:kern w:val="0"/>
      <w:sz w:val="18"/>
      <w:szCs w:val="18"/>
    </w:rPr>
  </w:style>
  <w:style w:type="character" w:customStyle="1" w:styleId="799">
    <w:name w:val="纯文本 Char2"/>
    <w:semiHidden/>
    <w:qFormat/>
    <w:uiPriority w:val="99"/>
    <w:rPr>
      <w:rFonts w:ascii="宋体" w:hAnsi="Courier New" w:eastAsia="宋体" w:cs="Courier New"/>
    </w:rPr>
  </w:style>
  <w:style w:type="character" w:customStyle="1" w:styleId="800">
    <w:name w:val="Char Char25"/>
    <w:qFormat/>
    <w:uiPriority w:val="6"/>
    <w:rPr>
      <w:rFonts w:ascii="宋体" w:hAnsi="宋体"/>
      <w:kern w:val="1"/>
      <w:sz w:val="24"/>
      <w:lang w:val="zh-CN"/>
    </w:rPr>
  </w:style>
  <w:style w:type="character" w:customStyle="1" w:styleId="801">
    <w:name w:val="Char Char411"/>
    <w:qFormat/>
    <w:uiPriority w:val="0"/>
    <w:rPr>
      <w:rFonts w:eastAsia="宋体"/>
      <w:b/>
      <w:sz w:val="24"/>
      <w:lang w:eastAsia="zh-CN" w:bidi="ar-SA"/>
    </w:rPr>
  </w:style>
  <w:style w:type="character" w:customStyle="1" w:styleId="802">
    <w:name w:val="Heading 7 Char"/>
    <w:qFormat/>
    <w:locked/>
    <w:uiPriority w:val="0"/>
    <w:rPr>
      <w:rFonts w:ascii="宋体" w:hAnsi="宋体" w:eastAsia="宋体"/>
      <w:b/>
      <w:bCs/>
      <w:kern w:val="2"/>
      <w:sz w:val="24"/>
      <w:szCs w:val="24"/>
      <w:lang w:val="en-US" w:eastAsia="zh-CN" w:bidi="ar-SA"/>
    </w:rPr>
  </w:style>
  <w:style w:type="character" w:customStyle="1" w:styleId="803">
    <w:name w:val="此正文 Char"/>
    <w:link w:val="106"/>
    <w:qFormat/>
    <w:uiPriority w:val="0"/>
    <w:rPr>
      <w:kern w:val="2"/>
      <w:sz w:val="24"/>
      <w:szCs w:val="24"/>
    </w:rPr>
  </w:style>
  <w:style w:type="character" w:customStyle="1" w:styleId="804">
    <w:name w:val="Char Char2"/>
    <w:qFormat/>
    <w:uiPriority w:val="0"/>
    <w:rPr>
      <w:rFonts w:eastAsia="宋体"/>
      <w:b/>
      <w:bCs/>
      <w:kern w:val="2"/>
      <w:sz w:val="21"/>
      <w:szCs w:val="24"/>
      <w:lang w:val="en-US" w:eastAsia="zh-CN" w:bidi="ar-SA"/>
    </w:rPr>
  </w:style>
  <w:style w:type="character" w:customStyle="1" w:styleId="805">
    <w:name w:val="标题 1 Char"/>
    <w:link w:val="3"/>
    <w:qFormat/>
    <w:uiPriority w:val="9"/>
    <w:rPr>
      <w:b/>
      <w:bCs/>
      <w:kern w:val="44"/>
      <w:sz w:val="44"/>
      <w:szCs w:val="44"/>
    </w:rPr>
  </w:style>
  <w:style w:type="character" w:customStyle="1" w:styleId="806">
    <w:name w:val="Footer-Even Char1"/>
    <w:qFormat/>
    <w:uiPriority w:val="0"/>
    <w:rPr>
      <w:rFonts w:eastAsia="宋体"/>
      <w:kern w:val="2"/>
      <w:sz w:val="18"/>
      <w:szCs w:val="18"/>
      <w:lang w:val="en-US" w:eastAsia="zh-CN" w:bidi="ar-SA"/>
    </w:rPr>
  </w:style>
  <w:style w:type="character" w:customStyle="1" w:styleId="807">
    <w:name w:val="Char Char29"/>
    <w:qFormat/>
    <w:uiPriority w:val="6"/>
    <w:rPr>
      <w:rFonts w:ascii="Arial" w:hAnsi="Arial" w:eastAsia="微软雅黑"/>
      <w:b/>
      <w:kern w:val="1"/>
      <w:sz w:val="44"/>
      <w:szCs w:val="32"/>
      <w:lang w:val="en-US" w:eastAsia="zh-CN" w:bidi="ar-SA"/>
    </w:rPr>
  </w:style>
  <w:style w:type="character" w:customStyle="1" w:styleId="808">
    <w:name w:val="标题 Char2"/>
    <w:link w:val="59"/>
    <w:qFormat/>
    <w:uiPriority w:val="10"/>
    <w:rPr>
      <w:b/>
      <w:sz w:val="24"/>
    </w:rPr>
  </w:style>
  <w:style w:type="character" w:customStyle="1" w:styleId="809">
    <w:name w:val="font81"/>
    <w:basedOn w:val="70"/>
    <w:qFormat/>
    <w:uiPriority w:val="0"/>
    <w:rPr>
      <w:rFonts w:ascii="微软雅黑" w:hAnsi="微软雅黑" w:eastAsia="微软雅黑" w:cs="微软雅黑"/>
      <w:color w:val="000000"/>
      <w:sz w:val="20"/>
      <w:szCs w:val="20"/>
      <w:u w:val="none"/>
    </w:rPr>
  </w:style>
  <w:style w:type="character" w:customStyle="1" w:styleId="810">
    <w:name w:val="Char Char312"/>
    <w:qFormat/>
    <w:uiPriority w:val="0"/>
    <w:rPr>
      <w:rFonts w:ascii="Times New Roman" w:hAnsi="Times New Roman" w:eastAsia="宋体" w:cs="Times New Roman"/>
      <w:b/>
      <w:kern w:val="2"/>
      <w:sz w:val="32"/>
      <w:szCs w:val="24"/>
      <w:lang w:val="en-US" w:eastAsia="zh-CN" w:bidi="ar-SA"/>
    </w:rPr>
  </w:style>
  <w:style w:type="character" w:customStyle="1" w:styleId="811">
    <w:name w:val="t21"/>
    <w:qFormat/>
    <w:uiPriority w:val="0"/>
    <w:rPr>
      <w:rFonts w:ascii="仿宋_GB2312" w:eastAsia="微软雅黑"/>
      <w:b/>
      <w:kern w:val="2"/>
      <w:sz w:val="23"/>
      <w:szCs w:val="23"/>
      <w:lang w:val="en-US" w:eastAsia="zh-CN" w:bidi="ar-SA"/>
    </w:rPr>
  </w:style>
  <w:style w:type="character" w:customStyle="1" w:styleId="812">
    <w:name w:val="样式8 Char"/>
    <w:qFormat/>
    <w:uiPriority w:val="0"/>
    <w:rPr>
      <w:rFonts w:ascii="仿宋_GB2312" w:hAnsi="宋体" w:eastAsia="仿宋_GB2312"/>
      <w:b/>
      <w:bCs/>
      <w:kern w:val="2"/>
      <w:sz w:val="24"/>
      <w:szCs w:val="24"/>
    </w:rPr>
  </w:style>
  <w:style w:type="character" w:customStyle="1" w:styleId="813">
    <w:name w:val="表格 Char Char"/>
    <w:qFormat/>
    <w:uiPriority w:val="0"/>
    <w:rPr>
      <w:rFonts w:ascii="宋体" w:hAnsi="宋体" w:eastAsia="宋体"/>
      <w:lang w:bidi="ar-SA"/>
    </w:rPr>
  </w:style>
  <w:style w:type="character" w:customStyle="1" w:styleId="814">
    <w:name w:val="正文文本 字符1"/>
    <w:qFormat/>
    <w:uiPriority w:val="0"/>
    <w:rPr>
      <w:rFonts w:ascii="Calibri" w:hAnsi="Calibri" w:eastAsia="黑体" w:cs="Arial"/>
      <w:snapToGrid w:val="0"/>
      <w:kern w:val="2"/>
      <w:sz w:val="28"/>
      <w:szCs w:val="21"/>
    </w:rPr>
  </w:style>
  <w:style w:type="character" w:customStyle="1" w:styleId="815">
    <w:name w:val="标题 5 Char"/>
    <w:link w:val="7"/>
    <w:qFormat/>
    <w:uiPriority w:val="9"/>
    <w:rPr>
      <w:b/>
      <w:bCs/>
      <w:kern w:val="2"/>
      <w:sz w:val="28"/>
      <w:szCs w:val="28"/>
    </w:rPr>
  </w:style>
  <w:style w:type="character" w:customStyle="1" w:styleId="816">
    <w:name w:val="标题 6 Char1"/>
    <w:qFormat/>
    <w:uiPriority w:val="0"/>
    <w:rPr>
      <w:rFonts w:ascii="Arial" w:hAnsi="Arial" w:eastAsia="黑体" w:cs="Times New Roman"/>
      <w:b/>
      <w:sz w:val="24"/>
      <w:szCs w:val="20"/>
      <w:lang w:bidi="ar-SA"/>
    </w:rPr>
  </w:style>
  <w:style w:type="character" w:customStyle="1" w:styleId="817">
    <w:name w:val="带编号样式 Char"/>
    <w:qFormat/>
    <w:uiPriority w:val="0"/>
    <w:rPr>
      <w:rFonts w:ascii="仿宋_GB2312" w:eastAsia="仿宋_GB2312"/>
      <w:color w:val="000000"/>
      <w:sz w:val="24"/>
      <w:lang w:bidi="ar-SA"/>
    </w:rPr>
  </w:style>
  <w:style w:type="character" w:customStyle="1" w:styleId="818">
    <w:name w:val="unnamed31"/>
    <w:qFormat/>
    <w:uiPriority w:val="0"/>
    <w:rPr>
      <w:rFonts w:ascii="Tahoma" w:hAnsi="Tahoma" w:eastAsia="宋体"/>
      <w:b/>
      <w:kern w:val="2"/>
      <w:sz w:val="24"/>
      <w:szCs w:val="32"/>
      <w:u w:val="none"/>
      <w:lang w:val="en-US" w:eastAsia="zh-CN" w:bidi="ar-SA"/>
    </w:rPr>
  </w:style>
  <w:style w:type="character" w:customStyle="1" w:styleId="819">
    <w:name w:val="正文首行缩进 Char Char Char Char Char Char1"/>
    <w:qFormat/>
    <w:uiPriority w:val="0"/>
    <w:rPr>
      <w:rFonts w:ascii="宋体" w:eastAsia="宋体"/>
      <w:kern w:val="2"/>
      <w:sz w:val="24"/>
      <w:szCs w:val="24"/>
      <w:lang w:val="zh-CN" w:bidi="ar-SA"/>
    </w:rPr>
  </w:style>
  <w:style w:type="character" w:customStyle="1" w:styleId="820">
    <w:name w:val="称呼 Char"/>
    <w:link w:val="22"/>
    <w:qFormat/>
    <w:uiPriority w:val="0"/>
    <w:rPr>
      <w:rFonts w:ascii="仿宋_GB2312" w:eastAsia="仿宋_GB2312"/>
      <w:kern w:val="2"/>
      <w:sz w:val="28"/>
    </w:rPr>
  </w:style>
  <w:style w:type="character" w:customStyle="1" w:styleId="821">
    <w:name w:val="文本正文 Char Char"/>
    <w:qFormat/>
    <w:locked/>
    <w:uiPriority w:val="0"/>
    <w:rPr>
      <w:sz w:val="24"/>
      <w:lang w:bidi="ar-SA"/>
    </w:rPr>
  </w:style>
  <w:style w:type="character" w:customStyle="1" w:styleId="822">
    <w:name w:val="正文缩进 字符"/>
    <w:qFormat/>
    <w:uiPriority w:val="0"/>
    <w:rPr>
      <w:rFonts w:ascii="宋体" w:eastAsia="宋体"/>
      <w:snapToGrid w:val="0"/>
      <w:color w:val="000000"/>
      <w:kern w:val="28"/>
      <w:sz w:val="28"/>
      <w:lang w:val="en-US" w:eastAsia="zh-CN" w:bidi="ar-SA"/>
    </w:rPr>
  </w:style>
  <w:style w:type="character" w:customStyle="1" w:styleId="823">
    <w:name w:val="HTML 预设格式 Char"/>
    <w:link w:val="58"/>
    <w:qFormat/>
    <w:uiPriority w:val="0"/>
    <w:rPr>
      <w:rFonts w:ascii="黑体" w:hAnsi="Courier New" w:eastAsia="黑体"/>
    </w:rPr>
  </w:style>
  <w:style w:type="character" w:customStyle="1" w:styleId="824">
    <w:name w:val="正文文本 2 Char1"/>
    <w:link w:val="57"/>
    <w:qFormat/>
    <w:uiPriority w:val="0"/>
    <w:rPr>
      <w:kern w:val="2"/>
      <w:sz w:val="21"/>
      <w:szCs w:val="24"/>
    </w:rPr>
  </w:style>
  <w:style w:type="character" w:customStyle="1" w:styleId="825">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6">
    <w:name w:val="正文非缩进 Char"/>
    <w:qFormat/>
    <w:uiPriority w:val="0"/>
    <w:rPr>
      <w:rFonts w:ascii="宋体" w:eastAsia="宋体"/>
      <w:snapToGrid w:val="0"/>
      <w:color w:val="000000"/>
      <w:kern w:val="28"/>
      <w:sz w:val="28"/>
      <w:lang w:val="en-US" w:eastAsia="zh-CN" w:bidi="ar-SA"/>
    </w:rPr>
  </w:style>
  <w:style w:type="character" w:customStyle="1" w:styleId="827">
    <w:name w:val="标题 7 Char"/>
    <w:link w:val="11"/>
    <w:qFormat/>
    <w:uiPriority w:val="0"/>
    <w:rPr>
      <w:b/>
      <w:bCs/>
      <w:kern w:val="2"/>
      <w:sz w:val="24"/>
      <w:szCs w:val="24"/>
    </w:rPr>
  </w:style>
  <w:style w:type="character" w:customStyle="1" w:styleId="828">
    <w:name w:val="正文文本缩进 2 Char"/>
    <w:link w:val="37"/>
    <w:qFormat/>
    <w:uiPriority w:val="0"/>
    <w:rPr>
      <w:rFonts w:ascii="宋体"/>
      <w:sz w:val="28"/>
    </w:rPr>
  </w:style>
  <w:style w:type="character" w:customStyle="1" w:styleId="829">
    <w:name w:val="Char Char5"/>
    <w:qFormat/>
    <w:uiPriority w:val="0"/>
    <w:rPr>
      <w:rFonts w:ascii="宋体" w:hAnsi="Courier New" w:eastAsia="宋体"/>
      <w:kern w:val="2"/>
      <w:sz w:val="21"/>
      <w:lang w:val="en-US" w:eastAsia="zh-CN"/>
    </w:rPr>
  </w:style>
  <w:style w:type="character" w:customStyle="1" w:styleId="830">
    <w:name w:val="脚注文本 Char"/>
    <w:link w:val="51"/>
    <w:qFormat/>
    <w:uiPriority w:val="0"/>
    <w:rPr>
      <w:color w:val="0000FF"/>
      <w:sz w:val="21"/>
    </w:rPr>
  </w:style>
  <w:style w:type="character" w:customStyle="1" w:styleId="831">
    <w:name w:val="称呼 Char1"/>
    <w:qFormat/>
    <w:uiPriority w:val="0"/>
    <w:rPr>
      <w:rFonts w:ascii="Times New Roman" w:hAnsi="Times New Roman" w:eastAsia="宋体" w:cs="Times New Roman"/>
      <w:szCs w:val="24"/>
    </w:rPr>
  </w:style>
  <w:style w:type="character" w:customStyle="1" w:styleId="832">
    <w:name w:val="正文1 Char"/>
    <w:qFormat/>
    <w:uiPriority w:val="0"/>
    <w:rPr>
      <w:rFonts w:ascii="宋体" w:eastAsia="宋体"/>
      <w:snapToGrid w:val="0"/>
      <w:color w:val="000000"/>
      <w:kern w:val="28"/>
      <w:sz w:val="28"/>
      <w:lang w:val="en-US" w:eastAsia="zh-CN" w:bidi="ar-SA"/>
    </w:rPr>
  </w:style>
  <w:style w:type="character" w:customStyle="1" w:styleId="833">
    <w:name w:val="正文缩进 Char1"/>
    <w:qFormat/>
    <w:uiPriority w:val="0"/>
    <w:rPr>
      <w:rFonts w:ascii="宋体" w:eastAsia="宋体"/>
      <w:snapToGrid w:val="0"/>
      <w:color w:val="000000"/>
      <w:kern w:val="28"/>
      <w:sz w:val="28"/>
      <w:lang w:val="en-US" w:eastAsia="zh-CN" w:bidi="ar-SA"/>
    </w:rPr>
  </w:style>
  <w:style w:type="character" w:customStyle="1" w:styleId="834">
    <w:name w:val="font21"/>
    <w:qFormat/>
    <w:uiPriority w:val="0"/>
    <w:rPr>
      <w:rFonts w:hint="eastAsia" w:ascii="宋体" w:hAnsi="宋体" w:eastAsia="宋体"/>
      <w:kern w:val="2"/>
      <w:sz w:val="28"/>
      <w:szCs w:val="28"/>
      <w:lang w:val="en-US" w:eastAsia="zh-CN" w:bidi="ar-SA"/>
    </w:rPr>
  </w:style>
  <w:style w:type="character" w:customStyle="1" w:styleId="835">
    <w:name w:val="Char Char26"/>
    <w:qFormat/>
    <w:uiPriority w:val="6"/>
    <w:rPr>
      <w:kern w:val="1"/>
      <w:sz w:val="21"/>
      <w:szCs w:val="24"/>
    </w:rPr>
  </w:style>
  <w:style w:type="character" w:customStyle="1" w:styleId="836">
    <w:name w:val="Item List Char"/>
    <w:link w:val="109"/>
    <w:qFormat/>
    <w:uiPriority w:val="0"/>
    <w:rPr>
      <w:rFonts w:ascii="Arial"/>
      <w:bCs/>
      <w:sz w:val="21"/>
      <w:szCs w:val="21"/>
      <w:lang w:val="en-US" w:eastAsia="zh-CN" w:bidi="ar-SA"/>
    </w:rPr>
  </w:style>
  <w:style w:type="character" w:customStyle="1" w:styleId="837">
    <w:name w:val="批注框文本 Char1"/>
    <w:qFormat/>
    <w:uiPriority w:val="0"/>
    <w:rPr>
      <w:rFonts w:ascii="Times New Roman" w:hAnsi="Times New Roman" w:eastAsia="宋体" w:cs="Times New Roman"/>
      <w:sz w:val="18"/>
      <w:szCs w:val="18"/>
    </w:rPr>
  </w:style>
  <w:style w:type="character" w:customStyle="1" w:styleId="838">
    <w:name w:val="纯文本 Char1"/>
    <w:link w:val="110"/>
    <w:qFormat/>
    <w:uiPriority w:val="0"/>
    <w:rPr>
      <w:rFonts w:ascii="宋体" w:hAnsi="Courier New"/>
    </w:rPr>
  </w:style>
  <w:style w:type="character" w:customStyle="1" w:styleId="839">
    <w:name w:val="正文首行缩进 Char"/>
    <w:link w:val="61"/>
    <w:qFormat/>
    <w:uiPriority w:val="0"/>
    <w:rPr>
      <w:rFonts w:ascii="宋体"/>
      <w:kern w:val="2"/>
      <w:sz w:val="24"/>
      <w:lang w:val="zh-CN"/>
    </w:rPr>
  </w:style>
  <w:style w:type="character" w:customStyle="1" w:styleId="840">
    <w:name w:val="h3 Char"/>
    <w:qFormat/>
    <w:uiPriority w:val="0"/>
    <w:rPr>
      <w:rFonts w:eastAsia="宋体"/>
      <w:b/>
      <w:kern w:val="2"/>
      <w:sz w:val="32"/>
      <w:lang w:val="en-US" w:eastAsia="zh-CN" w:bidi="ar-SA"/>
    </w:rPr>
  </w:style>
  <w:style w:type="character" w:customStyle="1" w:styleId="841">
    <w:name w:val="dandyren_title1"/>
    <w:qFormat/>
    <w:uiPriority w:val="0"/>
    <w:rPr>
      <w:b/>
      <w:bCs/>
      <w:color w:val="FF6633"/>
      <w:sz w:val="18"/>
      <w:szCs w:val="18"/>
    </w:rPr>
  </w:style>
  <w:style w:type="character" w:customStyle="1" w:styleId="842">
    <w:name w:val="Char Char31"/>
    <w:qFormat/>
    <w:uiPriority w:val="6"/>
    <w:rPr>
      <w:rFonts w:ascii="Arial" w:hAnsi="Arial" w:eastAsia="黑体"/>
      <w:kern w:val="1"/>
      <w:sz w:val="24"/>
      <w:szCs w:val="24"/>
    </w:rPr>
  </w:style>
  <w:style w:type="character" w:customStyle="1" w:styleId="843">
    <w:name w:val="h Char1"/>
    <w:qFormat/>
    <w:uiPriority w:val="0"/>
    <w:rPr>
      <w:sz w:val="18"/>
      <w:szCs w:val="18"/>
    </w:rPr>
  </w:style>
  <w:style w:type="character" w:customStyle="1" w:styleId="844">
    <w:name w:val="solutionfonts"/>
    <w:qFormat/>
    <w:uiPriority w:val="0"/>
  </w:style>
  <w:style w:type="character" w:customStyle="1" w:styleId="845">
    <w:name w:val="标题 4 Char2"/>
    <w:link w:val="6"/>
    <w:qFormat/>
    <w:uiPriority w:val="9"/>
    <w:rPr>
      <w:rFonts w:ascii="Arial" w:hAnsi="Arial" w:eastAsia="黑体"/>
      <w:b/>
      <w:bCs/>
      <w:kern w:val="2"/>
      <w:sz w:val="28"/>
      <w:szCs w:val="28"/>
      <w:lang w:val="zh-CN"/>
    </w:rPr>
  </w:style>
  <w:style w:type="character" w:customStyle="1" w:styleId="846">
    <w:name w:val="首行缩进 Char"/>
    <w:qFormat/>
    <w:uiPriority w:val="0"/>
    <w:rPr>
      <w:rFonts w:ascii="宋体" w:eastAsia="宋体"/>
      <w:kern w:val="2"/>
      <w:sz w:val="24"/>
      <w:lang w:val="en-US" w:eastAsia="zh-CN" w:bidi="ar-SA"/>
    </w:rPr>
  </w:style>
  <w:style w:type="character" w:customStyle="1" w:styleId="847">
    <w:name w:val="Char Char52"/>
    <w:qFormat/>
    <w:uiPriority w:val="0"/>
    <w:rPr>
      <w:rFonts w:ascii="宋体" w:hAnsi="Courier New" w:eastAsia="宋体"/>
      <w:kern w:val="2"/>
      <w:sz w:val="21"/>
      <w:lang w:val="en-US" w:eastAsia="zh-CN"/>
    </w:rPr>
  </w:style>
  <w:style w:type="character" w:customStyle="1" w:styleId="848">
    <w:name w:val="正文文本 3 Char"/>
    <w:link w:val="23"/>
    <w:qFormat/>
    <w:uiPriority w:val="0"/>
    <w:rPr>
      <w:kern w:val="2"/>
      <w:sz w:val="21"/>
    </w:rPr>
  </w:style>
  <w:style w:type="character" w:customStyle="1" w:styleId="849">
    <w:name w:val="font31"/>
    <w:qFormat/>
    <w:uiPriority w:val="0"/>
    <w:rPr>
      <w:rFonts w:hint="eastAsia" w:ascii="仿宋" w:hAnsi="仿宋" w:eastAsia="仿宋" w:cs="仿宋"/>
      <w:color w:val="000000"/>
      <w:sz w:val="20"/>
      <w:szCs w:val="20"/>
      <w:u w:val="none"/>
    </w:rPr>
  </w:style>
  <w:style w:type="character" w:customStyle="1" w:styleId="850">
    <w:name w:val="正文说明 Char"/>
    <w:link w:val="111"/>
    <w:qFormat/>
    <w:uiPriority w:val="0"/>
    <w:rPr>
      <w:sz w:val="24"/>
      <w:szCs w:val="24"/>
    </w:rPr>
  </w:style>
  <w:style w:type="character" w:customStyle="1" w:styleId="851">
    <w:name w:val="脚注文本 Char1"/>
    <w:qFormat/>
    <w:uiPriority w:val="0"/>
    <w:rPr>
      <w:rFonts w:ascii="Times New Roman" w:hAnsi="Times New Roman" w:eastAsia="宋体" w:cs="Times New Roman"/>
      <w:sz w:val="18"/>
      <w:szCs w:val="18"/>
    </w:rPr>
  </w:style>
  <w:style w:type="character" w:customStyle="1" w:styleId="852">
    <w:name w:val="Char Char1211"/>
    <w:qFormat/>
    <w:uiPriority w:val="0"/>
    <w:rPr>
      <w:rFonts w:ascii="仿宋_GB2312" w:eastAsia="仿宋_GB2312"/>
      <w:b/>
      <w:bCs/>
      <w:kern w:val="2"/>
      <w:sz w:val="24"/>
      <w:szCs w:val="24"/>
      <w:lang w:val="zh-CN" w:eastAsia="zh-CN" w:bidi="ar-SA"/>
    </w:rPr>
  </w:style>
  <w:style w:type="character" w:customStyle="1" w:styleId="853">
    <w:name w:val="标题 Char"/>
    <w:qFormat/>
    <w:uiPriority w:val="0"/>
    <w:rPr>
      <w:rFonts w:eastAsia="宋体"/>
      <w:b/>
      <w:sz w:val="24"/>
      <w:lang w:eastAsia="zh-CN" w:bidi="ar-SA"/>
    </w:rPr>
  </w:style>
  <w:style w:type="character" w:customStyle="1" w:styleId="854">
    <w:name w:val="Char Char35"/>
    <w:qFormat/>
    <w:uiPriority w:val="6"/>
    <w:rPr>
      <w:rFonts w:ascii="Arial" w:hAnsi="Arial" w:eastAsia="黑体"/>
      <w:b/>
      <w:kern w:val="1"/>
      <w:sz w:val="28"/>
      <w:szCs w:val="28"/>
      <w:lang w:val="zh-CN"/>
    </w:rPr>
  </w:style>
  <w:style w:type="character" w:customStyle="1" w:styleId="855">
    <w:name w:val="纯文本 Char Char Char"/>
    <w:qFormat/>
    <w:uiPriority w:val="0"/>
    <w:rPr>
      <w:rFonts w:ascii="宋体" w:hAnsi="Courier New" w:eastAsia="宋体"/>
      <w:kern w:val="2"/>
      <w:sz w:val="21"/>
      <w:lang w:val="en-US" w:eastAsia="zh-CN" w:bidi="ar-SA"/>
    </w:rPr>
  </w:style>
  <w:style w:type="character" w:customStyle="1" w:styleId="856">
    <w:name w:val="Table Text Char"/>
    <w:link w:val="112"/>
    <w:qFormat/>
    <w:uiPriority w:val="0"/>
    <w:rPr>
      <w:sz w:val="24"/>
      <w:szCs w:val="24"/>
    </w:rPr>
  </w:style>
  <w:style w:type="character" w:customStyle="1" w:styleId="857">
    <w:name w:val="正文1 Char1"/>
    <w:qFormat/>
    <w:uiPriority w:val="0"/>
    <w:rPr>
      <w:rFonts w:ascii="仿宋_GB2312" w:hAnsi="Courier New" w:eastAsia="仿宋_GB2312"/>
      <w:kern w:val="28"/>
      <w:sz w:val="24"/>
      <w:szCs w:val="24"/>
      <w:lang w:val="en-US" w:eastAsia="zh-CN"/>
    </w:rPr>
  </w:style>
  <w:style w:type="character" w:customStyle="1" w:styleId="858">
    <w:name w:val="页脚 Char1"/>
    <w:qFormat/>
    <w:uiPriority w:val="0"/>
    <w:rPr>
      <w:rFonts w:eastAsia="宋体"/>
      <w:kern w:val="2"/>
      <w:sz w:val="18"/>
      <w:szCs w:val="18"/>
      <w:lang w:val="en-US" w:eastAsia="zh-CN" w:bidi="ar-SA"/>
    </w:rPr>
  </w:style>
  <w:style w:type="character" w:customStyle="1" w:styleId="859">
    <w:name w:val="Bold"/>
    <w:qFormat/>
    <w:uiPriority w:val="0"/>
    <w:rPr>
      <w:rFonts w:ascii="Arial" w:hAnsi="Arial" w:eastAsia="黑体" w:cs="Times New Roman"/>
      <w:b/>
      <w:kern w:val="2"/>
      <w:sz w:val="32"/>
      <w:szCs w:val="32"/>
      <w:lang w:val="en-US" w:eastAsia="zh-CN" w:bidi="ar-SA"/>
    </w:rPr>
  </w:style>
  <w:style w:type="character" w:customStyle="1" w:styleId="860">
    <w:name w:val="批注文字 Char1"/>
    <w:link w:val="21"/>
    <w:qFormat/>
    <w:uiPriority w:val="0"/>
    <w:rPr>
      <w:kern w:val="2"/>
      <w:sz w:val="21"/>
      <w:szCs w:val="24"/>
    </w:rPr>
  </w:style>
  <w:style w:type="character" w:customStyle="1" w:styleId="861">
    <w:name w:val="签名 Char"/>
    <w:link w:val="43"/>
    <w:qFormat/>
    <w:uiPriority w:val="0"/>
    <w:rPr>
      <w:rFonts w:eastAsia="仿宋_GB2312"/>
      <w:sz w:val="24"/>
    </w:rPr>
  </w:style>
  <w:style w:type="character" w:customStyle="1" w:styleId="862">
    <w:name w:val="hui3"/>
    <w:qFormat/>
    <w:uiPriority w:val="0"/>
    <w:rPr>
      <w:color w:val="333333"/>
    </w:rPr>
  </w:style>
  <w:style w:type="character" w:customStyle="1" w:styleId="863">
    <w:name w:val="Char Char17"/>
    <w:qFormat/>
    <w:uiPriority w:val="6"/>
    <w:rPr>
      <w:rFonts w:eastAsia="仿宋_GB2312"/>
      <w:sz w:val="24"/>
    </w:rPr>
  </w:style>
  <w:style w:type="character" w:customStyle="1" w:styleId="864">
    <w:name w:val="标题 4 字符"/>
    <w:qFormat/>
    <w:uiPriority w:val="9"/>
    <w:rPr>
      <w:rFonts w:ascii="等线 Light" w:hAnsi="等线 Light" w:eastAsia="等线 Light" w:cs="Times New Roman"/>
      <w:b/>
      <w:bCs/>
      <w:snapToGrid w:val="0"/>
      <w:kern w:val="0"/>
      <w:sz w:val="28"/>
      <w:szCs w:val="28"/>
    </w:rPr>
  </w:style>
  <w:style w:type="character" w:customStyle="1" w:styleId="865">
    <w:name w:val="Char Char37"/>
    <w:qFormat/>
    <w:uiPriority w:val="6"/>
    <w:rPr>
      <w:b/>
      <w:kern w:val="1"/>
      <w:sz w:val="44"/>
      <w:szCs w:val="44"/>
    </w:rPr>
  </w:style>
  <w:style w:type="character" w:customStyle="1" w:styleId="866">
    <w:name w:val="列出段落 Char"/>
    <w:qFormat/>
    <w:uiPriority w:val="0"/>
    <w:rPr>
      <w:rFonts w:eastAsia="楷体_GB2312" w:cs="Lucida Sans"/>
      <w:kern w:val="2"/>
      <w:sz w:val="24"/>
      <w:szCs w:val="24"/>
      <w:lang w:val="en-US" w:eastAsia="zh-CN" w:bidi="ar-SA"/>
    </w:rPr>
  </w:style>
  <w:style w:type="character" w:customStyle="1" w:styleId="867">
    <w:name w:val="正文文本缩进 3 Char1"/>
    <w:semiHidden/>
    <w:qFormat/>
    <w:uiPriority w:val="99"/>
    <w:rPr>
      <w:rFonts w:ascii="Times New Roman" w:hAnsi="Times New Roman" w:eastAsia="宋体" w:cs="Times New Roman"/>
      <w:sz w:val="16"/>
      <w:szCs w:val="16"/>
    </w:rPr>
  </w:style>
  <w:style w:type="character" w:customStyle="1" w:styleId="868">
    <w:name w:val="公文正文 Char Char"/>
    <w:link w:val="113"/>
    <w:qFormat/>
    <w:uiPriority w:val="0"/>
    <w:rPr>
      <w:rFonts w:ascii="仿宋_GB2312" w:eastAsia="仿宋_GB2312"/>
      <w:kern w:val="2"/>
      <w:sz w:val="24"/>
      <w:szCs w:val="24"/>
    </w:rPr>
  </w:style>
  <w:style w:type="character" w:customStyle="1" w:styleId="869">
    <w:name w:val="Table Text Char1"/>
    <w:qFormat/>
    <w:uiPriority w:val="0"/>
    <w:rPr>
      <w:rFonts w:eastAsia="宋体"/>
      <w:sz w:val="24"/>
      <w:szCs w:val="24"/>
      <w:lang w:val="en-US" w:eastAsia="zh-CN" w:bidi="ar-SA"/>
    </w:rPr>
  </w:style>
  <w:style w:type="character" w:customStyle="1" w:styleId="870">
    <w:name w:val="标题 1 Char Char"/>
    <w:qFormat/>
    <w:uiPriority w:val="0"/>
    <w:rPr>
      <w:rFonts w:hint="eastAsia" w:ascii="宋体" w:hAnsi="宋体" w:eastAsia="宋体"/>
      <w:b/>
      <w:spacing w:val="-2"/>
      <w:sz w:val="24"/>
      <w:lang w:val="en-US" w:eastAsia="zh-CN" w:bidi="ar-SA"/>
    </w:rPr>
  </w:style>
  <w:style w:type="character" w:customStyle="1" w:styleId="871">
    <w:name w:val="正文（缩进2汉字） Char"/>
    <w:link w:val="114"/>
    <w:qFormat/>
    <w:uiPriority w:val="0"/>
    <w:rPr>
      <w:rFonts w:ascii="宋体"/>
    </w:rPr>
  </w:style>
  <w:style w:type="character" w:customStyle="1" w:styleId="872">
    <w:name w:val="标题 8 Char"/>
    <w:link w:val="12"/>
    <w:qFormat/>
    <w:uiPriority w:val="0"/>
    <w:rPr>
      <w:rFonts w:ascii="Arial" w:hAnsi="Arial" w:eastAsia="黑体"/>
      <w:kern w:val="2"/>
      <w:sz w:val="24"/>
      <w:szCs w:val="24"/>
    </w:rPr>
  </w:style>
  <w:style w:type="character" w:customStyle="1" w:styleId="873">
    <w:name w:val="标书表格字体格式 Char"/>
    <w:qFormat/>
    <w:uiPriority w:val="0"/>
    <w:rPr>
      <w:kern w:val="2"/>
      <w:sz w:val="21"/>
      <w:szCs w:val="24"/>
      <w:lang w:bidi="ar-SA"/>
    </w:rPr>
  </w:style>
  <w:style w:type="character" w:customStyle="1" w:styleId="874">
    <w:name w:val="tw4winError"/>
    <w:qFormat/>
    <w:uiPriority w:val="0"/>
    <w:rPr>
      <w:rFonts w:ascii="Courier New" w:hAnsi="Courier New" w:cs="Courier New"/>
      <w:color w:val="00FF00"/>
      <w:sz w:val="40"/>
      <w:szCs w:val="40"/>
    </w:rPr>
  </w:style>
  <w:style w:type="character" w:customStyle="1" w:styleId="875">
    <w:name w:val="Body Text(ch) Char Char"/>
    <w:qFormat/>
    <w:uiPriority w:val="0"/>
    <w:rPr>
      <w:rFonts w:ascii="宋体"/>
      <w:kern w:val="2"/>
      <w:sz w:val="24"/>
      <w:szCs w:val="21"/>
      <w:lang w:val="zh-CN"/>
    </w:rPr>
  </w:style>
  <w:style w:type="character" w:customStyle="1" w:styleId="876">
    <w:name w:val="正文首行缩进两字 Char"/>
    <w:qFormat/>
    <w:uiPriority w:val="0"/>
    <w:rPr>
      <w:sz w:val="24"/>
      <w:szCs w:val="24"/>
      <w:lang w:val="en-US" w:eastAsia="zh-CN" w:bidi="ar-SA"/>
    </w:rPr>
  </w:style>
  <w:style w:type="character" w:customStyle="1" w:styleId="877">
    <w:name w:val="正文文本 Char"/>
    <w:qFormat/>
    <w:uiPriority w:val="0"/>
    <w:rPr>
      <w:rFonts w:eastAsia="宋体"/>
      <w:kern w:val="2"/>
      <w:sz w:val="24"/>
      <w:szCs w:val="24"/>
      <w:lang w:val="en-US" w:eastAsia="zh-CN" w:bidi="ar-SA"/>
    </w:rPr>
  </w:style>
  <w:style w:type="character" w:customStyle="1" w:styleId="878">
    <w:name w:val="文档结构图 字符1"/>
    <w:qFormat/>
    <w:uiPriority w:val="0"/>
    <w:rPr>
      <w:rFonts w:ascii="宋体" w:hAnsi="Calibri" w:eastAsia="黑体" w:cs="Arial"/>
      <w:snapToGrid w:val="0"/>
      <w:kern w:val="2"/>
      <w:sz w:val="18"/>
      <w:szCs w:val="18"/>
    </w:rPr>
  </w:style>
  <w:style w:type="character" w:customStyle="1" w:styleId="879">
    <w:name w:val="content"/>
    <w:qFormat/>
    <w:uiPriority w:val="0"/>
  </w:style>
  <w:style w:type="character" w:customStyle="1" w:styleId="880">
    <w:name w:val="tw4winPopup"/>
    <w:qFormat/>
    <w:uiPriority w:val="0"/>
    <w:rPr>
      <w:rFonts w:ascii="Courier New" w:hAnsi="Courier New" w:cs="Courier New"/>
      <w:color w:val="008000"/>
      <w:lang w:val="en-US" w:eastAsia="zh-CN"/>
    </w:rPr>
  </w:style>
  <w:style w:type="character" w:customStyle="1" w:styleId="881">
    <w:name w:val="param-name"/>
    <w:qFormat/>
    <w:uiPriority w:val="99"/>
    <w:rPr>
      <w:rFonts w:ascii="Arial" w:hAnsi="Arial" w:eastAsia="黑体" w:cs="Arial"/>
      <w:snapToGrid w:val="0"/>
      <w:kern w:val="0"/>
      <w:szCs w:val="21"/>
    </w:rPr>
  </w:style>
  <w:style w:type="character" w:customStyle="1" w:styleId="882">
    <w:name w:val="标准正文格式 Char"/>
    <w:qFormat/>
    <w:uiPriority w:val="0"/>
    <w:rPr>
      <w:rFonts w:ascii="宋体" w:eastAsia="仿宋_GB2312" w:cs="宋体"/>
      <w:color w:val="000000"/>
      <w:sz w:val="24"/>
      <w:lang w:val="en-US" w:eastAsia="zh-CN" w:bidi="ar-SA"/>
    </w:rPr>
  </w:style>
  <w:style w:type="character" w:customStyle="1" w:styleId="883">
    <w:name w:val="Char Char212"/>
    <w:qFormat/>
    <w:uiPriority w:val="0"/>
    <w:rPr>
      <w:rFonts w:eastAsia="宋体"/>
      <w:b/>
      <w:bCs/>
      <w:kern w:val="2"/>
      <w:sz w:val="21"/>
      <w:szCs w:val="24"/>
      <w:lang w:val="en-US" w:eastAsia="zh-CN" w:bidi="ar-SA"/>
    </w:rPr>
  </w:style>
  <w:style w:type="character" w:customStyle="1" w:styleId="884">
    <w:name w:val="文档结构图 Char"/>
    <w:qFormat/>
    <w:uiPriority w:val="0"/>
    <w:rPr>
      <w:rFonts w:eastAsia="宋体"/>
      <w:kern w:val="2"/>
      <w:sz w:val="21"/>
      <w:szCs w:val="24"/>
      <w:lang w:val="en-US" w:eastAsia="zh-CN" w:bidi="ar-SA"/>
    </w:rPr>
  </w:style>
  <w:style w:type="character" w:customStyle="1" w:styleId="885">
    <w:name w:val="zbggmain style9"/>
    <w:qFormat/>
    <w:uiPriority w:val="0"/>
  </w:style>
  <w:style w:type="character" w:customStyle="1" w:styleId="886">
    <w:name w:val="Char Char16"/>
    <w:qFormat/>
    <w:uiPriority w:val="6"/>
    <w:rPr>
      <w:kern w:val="1"/>
      <w:sz w:val="18"/>
      <w:szCs w:val="18"/>
    </w:rPr>
  </w:style>
  <w:style w:type="character" w:customStyle="1" w:styleId="887">
    <w:name w:val="font51"/>
    <w:basedOn w:val="70"/>
    <w:qFormat/>
    <w:uiPriority w:val="0"/>
    <w:rPr>
      <w:rFonts w:hint="eastAsia" w:ascii="仿宋" w:hAnsi="仿宋" w:eastAsia="仿宋" w:cs="仿宋"/>
      <w:color w:val="000000"/>
      <w:sz w:val="20"/>
      <w:szCs w:val="20"/>
      <w:u w:val="none"/>
    </w:rPr>
  </w:style>
  <w:style w:type="character" w:customStyle="1" w:styleId="888">
    <w:name w:val="Char Char82"/>
    <w:qFormat/>
    <w:uiPriority w:val="0"/>
    <w:rPr>
      <w:rFonts w:eastAsia="宋体"/>
      <w:b/>
      <w:sz w:val="24"/>
      <w:lang w:eastAsia="zh-CN"/>
    </w:rPr>
  </w:style>
  <w:style w:type="character" w:customStyle="1" w:styleId="889">
    <w:name w:val="正文文本缩进 3 Char"/>
    <w:link w:val="54"/>
    <w:qFormat/>
    <w:uiPriority w:val="0"/>
    <w:rPr>
      <w:kern w:val="2"/>
      <w:sz w:val="24"/>
    </w:rPr>
  </w:style>
  <w:style w:type="character" w:customStyle="1" w:styleId="890">
    <w:name w:val="日期 Char1"/>
    <w:semiHidden/>
    <w:qFormat/>
    <w:uiPriority w:val="99"/>
    <w:rPr>
      <w:rFonts w:ascii="Times New Roman" w:hAnsi="Times New Roman" w:eastAsia="宋体" w:cs="Times New Roman"/>
      <w:szCs w:val="24"/>
    </w:rPr>
  </w:style>
  <w:style w:type="character" w:customStyle="1" w:styleId="891">
    <w:name w:val="页眉 字符"/>
    <w:qFormat/>
    <w:uiPriority w:val="99"/>
    <w:rPr>
      <w:kern w:val="2"/>
      <w:sz w:val="18"/>
      <w:szCs w:val="18"/>
    </w:rPr>
  </w:style>
  <w:style w:type="character" w:customStyle="1" w:styleId="892">
    <w:name w:val="Char Char33"/>
    <w:qFormat/>
    <w:uiPriority w:val="6"/>
    <w:rPr>
      <w:rFonts w:ascii="Arial" w:hAnsi="Arial" w:eastAsia="黑体"/>
      <w:b/>
      <w:kern w:val="1"/>
      <w:sz w:val="24"/>
      <w:szCs w:val="24"/>
    </w:rPr>
  </w:style>
  <w:style w:type="character" w:customStyle="1" w:styleId="893">
    <w:name w:val="b11_01b Char"/>
    <w:link w:val="115"/>
    <w:qFormat/>
    <w:uiPriority w:val="0"/>
    <w:rPr>
      <w:rFonts w:ascii="Verdana" w:hAnsi="Verdana"/>
      <w:b/>
      <w:bCs/>
      <w:color w:val="4A82CA"/>
      <w:sz w:val="17"/>
      <w:szCs w:val="17"/>
    </w:rPr>
  </w:style>
  <w:style w:type="character" w:customStyle="1" w:styleId="894">
    <w:name w:val="Char Char121"/>
    <w:qFormat/>
    <w:uiPriority w:val="6"/>
    <w:rPr>
      <w:rFonts w:ascii="仿宋_GB2312" w:eastAsia="仿宋_GB2312"/>
      <w:b/>
      <w:bCs/>
      <w:kern w:val="2"/>
      <w:sz w:val="24"/>
      <w:szCs w:val="24"/>
      <w:lang w:val="zh-CN" w:eastAsia="zh-CN" w:bidi="ar-SA"/>
    </w:rPr>
  </w:style>
  <w:style w:type="character" w:customStyle="1" w:styleId="895">
    <w:name w:val="Footer-Even Char"/>
    <w:qFormat/>
    <w:uiPriority w:val="0"/>
    <w:rPr>
      <w:rFonts w:eastAsia="宋体"/>
      <w:kern w:val="2"/>
      <w:sz w:val="18"/>
      <w:lang w:val="en-US" w:eastAsia="zh-CN" w:bidi="ar-SA"/>
    </w:rPr>
  </w:style>
  <w:style w:type="character" w:customStyle="1" w:styleId="896">
    <w:name w:val="页脚 Char2"/>
    <w:link w:val="40"/>
    <w:qFormat/>
    <w:locked/>
    <w:uiPriority w:val="99"/>
    <w:rPr>
      <w:kern w:val="2"/>
      <w:sz w:val="18"/>
      <w:szCs w:val="18"/>
    </w:rPr>
  </w:style>
  <w:style w:type="character" w:customStyle="1" w:styleId="897">
    <w:name w:val="Char Char36"/>
    <w:qFormat/>
    <w:uiPriority w:val="6"/>
    <w:rPr>
      <w:rFonts w:ascii="仿宋_GB2312" w:hAnsi="仿宋_GB2312" w:eastAsia="仿宋_GB2312" w:cs="Arial"/>
      <w:b/>
      <w:kern w:val="1"/>
      <w:sz w:val="32"/>
      <w:szCs w:val="32"/>
      <w:lang w:val="zh-CN" w:eastAsia="zh-CN" w:bidi="ar-SA"/>
    </w:rPr>
  </w:style>
  <w:style w:type="character" w:customStyle="1" w:styleId="898">
    <w:name w:val="Char Char61"/>
    <w:qFormat/>
    <w:uiPriority w:val="6"/>
    <w:rPr>
      <w:rFonts w:eastAsia="宋体"/>
      <w:kern w:val="2"/>
      <w:sz w:val="21"/>
      <w:szCs w:val="24"/>
      <w:lang w:val="en-US" w:eastAsia="zh-CN" w:bidi="ar-SA"/>
    </w:rPr>
  </w:style>
  <w:style w:type="character" w:customStyle="1" w:styleId="899">
    <w:name w:val="正文文字缩进 2 Char Char"/>
    <w:qFormat/>
    <w:uiPriority w:val="0"/>
    <w:rPr>
      <w:rFonts w:ascii="宋体"/>
      <w:sz w:val="28"/>
    </w:rPr>
  </w:style>
  <w:style w:type="character" w:customStyle="1" w:styleId="900">
    <w:name w:val="f141"/>
    <w:qFormat/>
    <w:uiPriority w:val="0"/>
    <w:rPr>
      <w:rFonts w:ascii="Tahoma" w:hAnsi="Tahoma" w:eastAsia="宋体"/>
      <w:b/>
      <w:kern w:val="2"/>
      <w:sz w:val="21"/>
      <w:szCs w:val="21"/>
      <w:lang w:val="en-US" w:eastAsia="zh-CN" w:bidi="ar-SA"/>
    </w:rPr>
  </w:style>
  <w:style w:type="character" w:customStyle="1" w:styleId="901">
    <w:name w:val="段落 Char Char"/>
    <w:link w:val="116"/>
    <w:qFormat/>
    <w:uiPriority w:val="0"/>
    <w:rPr>
      <w:rFonts w:ascii="宋体" w:hAnsi="宋体"/>
      <w:sz w:val="24"/>
    </w:rPr>
  </w:style>
  <w:style w:type="character" w:customStyle="1" w:styleId="902">
    <w:name w:val="标题 3 Char2"/>
    <w:qFormat/>
    <w:uiPriority w:val="0"/>
    <w:rPr>
      <w:rFonts w:eastAsia="宋体"/>
      <w:b/>
      <w:bCs/>
      <w:kern w:val="2"/>
      <w:sz w:val="32"/>
      <w:szCs w:val="32"/>
      <w:lang w:val="en-US" w:eastAsia="zh-CN" w:bidi="ar-SA"/>
    </w:rPr>
  </w:style>
  <w:style w:type="character" w:customStyle="1" w:styleId="903">
    <w:name w:val="apple-converted-space"/>
    <w:qFormat/>
    <w:uiPriority w:val="0"/>
  </w:style>
  <w:style w:type="character" w:customStyle="1" w:styleId="904">
    <w:name w:val="页眉 Char2"/>
    <w:link w:val="42"/>
    <w:qFormat/>
    <w:uiPriority w:val="99"/>
    <w:rPr>
      <w:kern w:val="2"/>
      <w:sz w:val="18"/>
      <w:szCs w:val="18"/>
    </w:rPr>
  </w:style>
  <w:style w:type="character" w:customStyle="1" w:styleId="905">
    <w:name w:val="Char Char9"/>
    <w:qFormat/>
    <w:uiPriority w:val="0"/>
    <w:rPr>
      <w:rFonts w:eastAsia="宋体"/>
      <w:kern w:val="2"/>
      <w:sz w:val="18"/>
      <w:szCs w:val="18"/>
      <w:lang w:val="en-US" w:eastAsia="zh-CN" w:bidi="ar-SA"/>
    </w:rPr>
  </w:style>
  <w:style w:type="character" w:customStyle="1" w:styleId="906">
    <w:name w:val="Char Char41"/>
    <w:qFormat/>
    <w:uiPriority w:val="0"/>
    <w:rPr>
      <w:rFonts w:eastAsia="宋体"/>
      <w:b/>
      <w:sz w:val="24"/>
      <w:lang w:eastAsia="zh-CN" w:bidi="ar-SA"/>
    </w:rPr>
  </w:style>
  <w:style w:type="character" w:customStyle="1" w:styleId="907">
    <w:name w:val="large1"/>
    <w:qFormat/>
    <w:uiPriority w:val="0"/>
    <w:rPr>
      <w:rFonts w:hint="eastAsia" w:ascii="宋体" w:hAnsi="宋体" w:eastAsia="宋体"/>
      <w:sz w:val="21"/>
      <w:szCs w:val="21"/>
    </w:rPr>
  </w:style>
  <w:style w:type="character" w:customStyle="1" w:styleId="908">
    <w:name w:val="正文段 Char"/>
    <w:link w:val="117"/>
    <w:qFormat/>
    <w:uiPriority w:val="0"/>
    <w:rPr>
      <w:sz w:val="24"/>
    </w:rPr>
  </w:style>
  <w:style w:type="character" w:customStyle="1" w:styleId="909">
    <w:name w:val="Char Char13"/>
    <w:qFormat/>
    <w:uiPriority w:val="6"/>
    <w:rPr>
      <w:rFonts w:ascii="宋体" w:hAnsi="宋体"/>
      <w:kern w:val="1"/>
      <w:sz w:val="21"/>
      <w:szCs w:val="24"/>
    </w:rPr>
  </w:style>
  <w:style w:type="character" w:customStyle="1" w:styleId="910">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1">
    <w:name w:val="冯广丽 Char"/>
    <w:link w:val="118"/>
    <w:qFormat/>
    <w:uiPriority w:val="0"/>
    <w:rPr>
      <w:rFonts w:ascii="宋体" w:hAnsi="宋体"/>
      <w:kern w:val="2"/>
      <w:sz w:val="24"/>
      <w:szCs w:val="22"/>
    </w:rPr>
  </w:style>
  <w:style w:type="character" w:customStyle="1" w:styleId="912">
    <w:name w:val="批注文字 字符"/>
    <w:qFormat/>
    <w:uiPriority w:val="0"/>
    <w:rPr>
      <w:rFonts w:ascii="Arial" w:hAnsi="Arial" w:eastAsia="黑体" w:cs="Arial"/>
      <w:snapToGrid w:val="0"/>
      <w:kern w:val="0"/>
      <w:szCs w:val="21"/>
    </w:rPr>
  </w:style>
  <w:style w:type="character" w:customStyle="1" w:styleId="913">
    <w:name w:val="Char Char161"/>
    <w:qFormat/>
    <w:uiPriority w:val="0"/>
    <w:rPr>
      <w:rFonts w:eastAsia="宋体"/>
      <w:b/>
      <w:kern w:val="2"/>
      <w:sz w:val="32"/>
      <w:lang w:val="en-US" w:eastAsia="zh-CN"/>
    </w:rPr>
  </w:style>
  <w:style w:type="character" w:customStyle="1" w:styleId="914">
    <w:name w:val="javascript"/>
    <w:qFormat/>
    <w:uiPriority w:val="0"/>
  </w:style>
  <w:style w:type="character" w:customStyle="1" w:styleId="915">
    <w:name w:val="图名 Char"/>
    <w:qFormat/>
    <w:uiPriority w:val="0"/>
    <w:rPr>
      <w:rFonts w:ascii="Arial" w:hAnsi="Arial" w:eastAsia="黑体"/>
      <w:kern w:val="2"/>
      <w:sz w:val="24"/>
      <w:szCs w:val="24"/>
      <w:lang w:val="en-US" w:eastAsia="zh-CN" w:bidi="ar-SA"/>
    </w:rPr>
  </w:style>
  <w:style w:type="character" w:customStyle="1" w:styleId="916">
    <w:name w:val="Used by Word for text of Help footnotes Char Char"/>
    <w:qFormat/>
    <w:uiPriority w:val="0"/>
    <w:rPr>
      <w:rFonts w:ascii="Times New Roman" w:hAnsi="Times New Roman" w:eastAsia="宋体" w:cs="Times New Roman"/>
      <w:sz w:val="20"/>
      <w:szCs w:val="20"/>
    </w:rPr>
  </w:style>
  <w:style w:type="character" w:customStyle="1" w:styleId="917">
    <w:name w:val="编号，小四 Char"/>
    <w:link w:val="119"/>
    <w:qFormat/>
    <w:uiPriority w:val="0"/>
    <w:rPr>
      <w:rFonts w:ascii="Arial" w:hAnsi="Arial"/>
      <w:sz w:val="24"/>
    </w:rPr>
  </w:style>
  <w:style w:type="character" w:customStyle="1" w:styleId="918">
    <w:name w:val="Font Style82"/>
    <w:qFormat/>
    <w:uiPriority w:val="99"/>
    <w:rPr>
      <w:rFonts w:ascii="宋体" w:eastAsia="宋体" w:cs="宋体"/>
      <w:color w:val="000000"/>
      <w:sz w:val="14"/>
      <w:szCs w:val="14"/>
    </w:rPr>
  </w:style>
  <w:style w:type="character" w:customStyle="1" w:styleId="919">
    <w:name w:val="标题 2 Char Char"/>
    <w:qFormat/>
    <w:uiPriority w:val="0"/>
    <w:rPr>
      <w:rFonts w:ascii="楷体_GB2312" w:hAnsi="Arial" w:eastAsia="楷体_GB2312"/>
      <w:b/>
      <w:bCs/>
      <w:kern w:val="2"/>
      <w:sz w:val="24"/>
      <w:szCs w:val="32"/>
      <w:lang w:val="en-US" w:eastAsia="zh-CN" w:bidi="ar-SA"/>
    </w:rPr>
  </w:style>
  <w:style w:type="character" w:customStyle="1" w:styleId="920">
    <w:name w:val="未用 Char"/>
    <w:qFormat/>
    <w:uiPriority w:val="0"/>
    <w:rPr>
      <w:rFonts w:ascii="Arial" w:hAnsi="Arial" w:eastAsia="黑体"/>
      <w:kern w:val="2"/>
      <w:sz w:val="21"/>
      <w:szCs w:val="21"/>
      <w:lang w:val="en-US" w:eastAsia="zh-CN" w:bidi="ar-SA"/>
    </w:rPr>
  </w:style>
  <w:style w:type="character" w:customStyle="1" w:styleId="921">
    <w:name w:val="myp1111"/>
    <w:qFormat/>
    <w:uiPriority w:val="0"/>
    <w:rPr>
      <w:rFonts w:hint="default" w:ascii="ˎ̥" w:hAnsi="ˎ̥"/>
      <w:color w:val="000000"/>
      <w:sz w:val="20"/>
      <w:szCs w:val="20"/>
      <w:u w:val="none"/>
    </w:rPr>
  </w:style>
  <w:style w:type="character" w:customStyle="1" w:styleId="922">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3">
    <w:name w:val="h Char Char"/>
    <w:qFormat/>
    <w:uiPriority w:val="0"/>
    <w:rPr>
      <w:rFonts w:eastAsia="宋体"/>
      <w:kern w:val="2"/>
      <w:sz w:val="18"/>
      <w:lang w:val="en-US" w:eastAsia="zh-CN" w:bidi="ar-SA"/>
    </w:rPr>
  </w:style>
  <w:style w:type="character" w:customStyle="1" w:styleId="924">
    <w:name w:val="仿宋正文 Char"/>
    <w:link w:val="120"/>
    <w:qFormat/>
    <w:uiPriority w:val="0"/>
    <w:rPr>
      <w:rFonts w:ascii="仿宋_GB2312" w:eastAsia="仿宋_GB2312"/>
      <w:kern w:val="2"/>
      <w:sz w:val="24"/>
      <w:lang w:val="en-US" w:eastAsia="zh-CN" w:bidi="ar-SA"/>
    </w:rPr>
  </w:style>
  <w:style w:type="character" w:customStyle="1" w:styleId="925">
    <w:name w:val="正文首行缩进 Char Char Char Char Char Char"/>
    <w:qFormat/>
    <w:uiPriority w:val="0"/>
    <w:rPr>
      <w:rFonts w:ascii="宋体" w:eastAsia="宋体"/>
      <w:kern w:val="2"/>
      <w:sz w:val="24"/>
      <w:lang w:val="zh-CN" w:bidi="ar-SA"/>
    </w:rPr>
  </w:style>
  <w:style w:type="character" w:customStyle="1" w:styleId="926">
    <w:name w:val="样式 宋体"/>
    <w:qFormat/>
    <w:uiPriority w:val="0"/>
    <w:rPr>
      <w:rFonts w:ascii="宋体" w:hAnsi="宋体"/>
      <w:sz w:val="24"/>
    </w:rPr>
  </w:style>
  <w:style w:type="character" w:customStyle="1" w:styleId="927">
    <w:name w:val="tw4winJump"/>
    <w:qFormat/>
    <w:uiPriority w:val="0"/>
    <w:rPr>
      <w:rFonts w:ascii="Courier New" w:hAnsi="Courier New" w:cs="Courier New"/>
      <w:color w:val="008080"/>
      <w:lang w:val="en-US" w:eastAsia="zh-CN"/>
    </w:rPr>
  </w:style>
  <w:style w:type="character" w:customStyle="1" w:styleId="928">
    <w:name w:val="标题 1 字符"/>
    <w:qFormat/>
    <w:uiPriority w:val="9"/>
    <w:rPr>
      <w:rFonts w:ascii="Arial" w:hAnsi="Arial" w:eastAsia="黑体" w:cs="Arial"/>
      <w:b/>
      <w:bCs/>
      <w:snapToGrid w:val="0"/>
      <w:kern w:val="44"/>
      <w:sz w:val="44"/>
      <w:szCs w:val="44"/>
    </w:rPr>
  </w:style>
  <w:style w:type="character" w:customStyle="1" w:styleId="929">
    <w:name w:val="style36"/>
    <w:basedOn w:val="70"/>
    <w:qFormat/>
    <w:uiPriority w:val="0"/>
    <w:rPr>
      <w:rFonts w:ascii="Arial" w:hAnsi="Arial" w:eastAsia="黑体" w:cs="Arial"/>
      <w:snapToGrid w:val="0"/>
      <w:kern w:val="0"/>
      <w:szCs w:val="21"/>
    </w:rPr>
  </w:style>
  <w:style w:type="character" w:customStyle="1" w:styleId="930">
    <w:name w:val="pt9"/>
    <w:qFormat/>
    <w:uiPriority w:val="0"/>
    <w:rPr>
      <w:rFonts w:ascii="仿宋_GB2312" w:eastAsia="微软雅黑"/>
      <w:b/>
      <w:kern w:val="2"/>
      <w:sz w:val="32"/>
      <w:szCs w:val="32"/>
      <w:lang w:val="en-US" w:eastAsia="zh-CN" w:bidi="ar-SA"/>
    </w:rPr>
  </w:style>
  <w:style w:type="character" w:customStyle="1" w:styleId="931">
    <w:name w:val="DO_NOT_TRANSLATE"/>
    <w:qFormat/>
    <w:uiPriority w:val="0"/>
    <w:rPr>
      <w:rFonts w:ascii="Courier New" w:hAnsi="Courier New" w:cs="Courier New"/>
      <w:color w:val="800000"/>
      <w:lang w:val="en-US" w:eastAsia="zh-CN"/>
    </w:rPr>
  </w:style>
  <w:style w:type="character" w:customStyle="1" w:styleId="932">
    <w:name w:val="标书1 Char1"/>
    <w:qFormat/>
    <w:uiPriority w:val="0"/>
    <w:rPr>
      <w:rFonts w:eastAsia="宋体"/>
      <w:b/>
      <w:bCs/>
      <w:kern w:val="44"/>
      <w:sz w:val="44"/>
      <w:szCs w:val="44"/>
      <w:lang w:val="en-US" w:eastAsia="zh-CN" w:bidi="ar-SA"/>
    </w:rPr>
  </w:style>
  <w:style w:type="character" w:customStyle="1" w:styleId="933">
    <w:name w:val="页脚 字符"/>
    <w:qFormat/>
    <w:uiPriority w:val="99"/>
    <w:rPr>
      <w:kern w:val="2"/>
      <w:sz w:val="18"/>
      <w:szCs w:val="18"/>
    </w:rPr>
  </w:style>
  <w:style w:type="character" w:customStyle="1" w:styleId="934">
    <w:name w:val="正文2 Char"/>
    <w:qFormat/>
    <w:uiPriority w:val="0"/>
    <w:rPr>
      <w:rFonts w:eastAsia="宋体"/>
      <w:kern w:val="2"/>
      <w:sz w:val="24"/>
      <w:lang w:val="en-US" w:eastAsia="zh-CN" w:bidi="ar-SA"/>
    </w:rPr>
  </w:style>
  <w:style w:type="character" w:customStyle="1" w:styleId="935">
    <w:name w:val="Char Char21"/>
    <w:qFormat/>
    <w:uiPriority w:val="6"/>
    <w:rPr>
      <w:rFonts w:ascii="宋体" w:hAnsi="宋体"/>
      <w:kern w:val="1"/>
      <w:sz w:val="24"/>
      <w:szCs w:val="21"/>
      <w:lang w:val="zh-CN"/>
    </w:rPr>
  </w:style>
  <w:style w:type="character" w:customStyle="1" w:styleId="936">
    <w:name w:val="样式 正文缩进 + 首行缩进:  2 字符 Char Char"/>
    <w:link w:val="121"/>
    <w:qFormat/>
    <w:uiPriority w:val="0"/>
    <w:rPr>
      <w:rFonts w:cs="宋体"/>
      <w:kern w:val="2"/>
      <w:sz w:val="24"/>
    </w:rPr>
  </w:style>
  <w:style w:type="character" w:customStyle="1" w:styleId="937">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938">
    <w:name w:val="gray6"/>
    <w:basedOn w:val="70"/>
    <w:qFormat/>
    <w:uiPriority w:val="0"/>
    <w:rPr>
      <w:rFonts w:ascii="Arial" w:hAnsi="Arial" w:eastAsia="黑体" w:cs="Arial"/>
      <w:snapToGrid w:val="0"/>
      <w:kern w:val="0"/>
      <w:szCs w:val="21"/>
    </w:rPr>
  </w:style>
  <w:style w:type="character" w:customStyle="1" w:styleId="939">
    <w:name w:val="hui"/>
    <w:basedOn w:val="70"/>
    <w:qFormat/>
    <w:uiPriority w:val="0"/>
    <w:rPr>
      <w:rFonts w:ascii="Arial" w:hAnsi="Arial" w:eastAsia="黑体" w:cs="Arial"/>
      <w:snapToGrid w:val="0"/>
      <w:kern w:val="0"/>
      <w:szCs w:val="21"/>
    </w:rPr>
  </w:style>
  <w:style w:type="character" w:customStyle="1" w:styleId="940">
    <w:name w:val="哈哈正文 Char Char"/>
    <w:qFormat/>
    <w:uiPriority w:val="0"/>
    <w:rPr>
      <w:rFonts w:ascii="宋体" w:hAnsi="宋体" w:eastAsia="宋体" w:cs="宋体"/>
      <w:kern w:val="2"/>
      <w:sz w:val="24"/>
      <w:lang w:val="en-US" w:eastAsia="zh-CN" w:bidi="ar-SA"/>
    </w:rPr>
  </w:style>
  <w:style w:type="character" w:customStyle="1" w:styleId="941">
    <w:name w:val="交叉引用"/>
    <w:qFormat/>
    <w:uiPriority w:val="1"/>
    <w:rPr>
      <w:rFonts w:ascii="Arial" w:hAnsi="Arial" w:eastAsia="黑体"/>
      <w:snapToGrid w:val="0"/>
      <w:color w:val="0000FF"/>
      <w:kern w:val="0"/>
      <w:sz w:val="20"/>
      <w:szCs w:val="21"/>
      <w:u w:val="single"/>
      <w:lang w:val="en-US" w:eastAsia="zh-CN"/>
    </w:rPr>
  </w:style>
  <w:style w:type="character" w:customStyle="1" w:styleId="942">
    <w:name w:val="正文缩进 字符1"/>
    <w:qFormat/>
    <w:uiPriority w:val="0"/>
    <w:rPr>
      <w:rFonts w:ascii="宋体" w:eastAsia="宋体"/>
      <w:snapToGrid w:val="0"/>
      <w:color w:val="000000"/>
      <w:kern w:val="28"/>
      <w:sz w:val="28"/>
      <w:lang w:val="en-US" w:eastAsia="zh-CN" w:bidi="ar-SA"/>
    </w:rPr>
  </w:style>
  <w:style w:type="character" w:customStyle="1" w:styleId="943">
    <w:name w:val="页脚 字符1"/>
    <w:qFormat/>
    <w:locked/>
    <w:uiPriority w:val="99"/>
    <w:rPr>
      <w:kern w:val="2"/>
      <w:sz w:val="18"/>
      <w:szCs w:val="18"/>
    </w:rPr>
  </w:style>
  <w:style w:type="character" w:customStyle="1" w:styleId="944">
    <w:name w:val="页眉 字符1"/>
    <w:qFormat/>
    <w:uiPriority w:val="99"/>
    <w:rPr>
      <w:kern w:val="2"/>
      <w:sz w:val="18"/>
      <w:szCs w:val="18"/>
    </w:rPr>
  </w:style>
  <w:style w:type="character" w:customStyle="1" w:styleId="945">
    <w:name w:val="尾注文本 Char"/>
    <w:link w:val="38"/>
    <w:qFormat/>
    <w:uiPriority w:val="0"/>
    <w:rPr>
      <w:kern w:val="2"/>
      <w:sz w:val="21"/>
      <w:szCs w:val="24"/>
      <w:lang w:val="zh-CN"/>
    </w:rPr>
  </w:style>
  <w:style w:type="character" w:customStyle="1" w:styleId="946">
    <w:name w:val="无间隔 Char"/>
    <w:link w:val="171"/>
    <w:qFormat/>
    <w:uiPriority w:val="99"/>
    <w:rPr>
      <w:kern w:val="2"/>
      <w:sz w:val="21"/>
      <w:szCs w:val="22"/>
    </w:rPr>
  </w:style>
  <w:style w:type="character" w:customStyle="1" w:styleId="947">
    <w:name w:val="标准文本 Char Char"/>
    <w:link w:val="607"/>
    <w:qFormat/>
    <w:uiPriority w:val="0"/>
    <w:rPr>
      <w:rFonts w:cs="宋体"/>
      <w:kern w:val="2"/>
      <w:sz w:val="24"/>
    </w:rPr>
  </w:style>
  <w:style w:type="character" w:customStyle="1" w:styleId="948">
    <w:name w:val="Char Char213"/>
    <w:qFormat/>
    <w:uiPriority w:val="0"/>
    <w:rPr>
      <w:rFonts w:eastAsia="Century Gothic"/>
      <w:b/>
      <w:bCs/>
      <w:kern w:val="44"/>
      <w:sz w:val="32"/>
      <w:szCs w:val="44"/>
      <w:lang w:val="en-US" w:eastAsia="zh-CN" w:bidi="ar-SA"/>
    </w:rPr>
  </w:style>
  <w:style w:type="character" w:customStyle="1" w:styleId="949">
    <w:name w:val="apple-style-span"/>
    <w:qFormat/>
    <w:uiPriority w:val="0"/>
    <w:rPr>
      <w:rFonts w:ascii="Arial" w:hAnsi="Arial" w:eastAsia="黑体" w:cs="Arial"/>
      <w:snapToGrid w:val="0"/>
      <w:kern w:val="0"/>
      <w:szCs w:val="21"/>
    </w:rPr>
  </w:style>
  <w:style w:type="character" w:customStyle="1" w:styleId="950">
    <w:name w:val="15"/>
    <w:qFormat/>
    <w:uiPriority w:val="0"/>
    <w:rPr>
      <w:rFonts w:hint="default" w:ascii="Calibri" w:hAnsi="Calibri"/>
      <w:color w:val="0000FF"/>
      <w:u w:val="single"/>
    </w:rPr>
  </w:style>
  <w:style w:type="character" w:customStyle="1" w:styleId="951">
    <w:name w:val="16"/>
    <w:qFormat/>
    <w:uiPriority w:val="0"/>
    <w:rPr>
      <w:rFonts w:hint="eastAsia" w:ascii="宋体" w:hAnsi="宋体" w:eastAsia="宋体"/>
      <w:color w:val="000000"/>
      <w:sz w:val="20"/>
      <w:szCs w:val="20"/>
    </w:rPr>
  </w:style>
  <w:style w:type="character" w:customStyle="1" w:styleId="952">
    <w:name w:val="edui-unclickable"/>
    <w:qFormat/>
    <w:uiPriority w:val="0"/>
    <w:rPr>
      <w:color w:val="808080"/>
    </w:rPr>
  </w:style>
  <w:style w:type="character" w:customStyle="1" w:styleId="953">
    <w:name w:val="tpc_content1"/>
    <w:qFormat/>
    <w:uiPriority w:val="0"/>
    <w:rPr>
      <w:sz w:val="20"/>
      <w:szCs w:val="20"/>
    </w:rPr>
  </w:style>
  <w:style w:type="character" w:customStyle="1" w:styleId="954">
    <w:name w:val="正文文本缩进 字符"/>
    <w:qFormat/>
    <w:uiPriority w:val="0"/>
    <w:rPr>
      <w:rFonts w:ascii="Century Gothic" w:hAnsi="Century Gothic" w:eastAsia="Century Gothic"/>
      <w:kern w:val="2"/>
      <w:sz w:val="24"/>
      <w:lang w:val="en-US" w:eastAsia="zh-CN" w:bidi="ar-SA"/>
    </w:rPr>
  </w:style>
  <w:style w:type="character" w:customStyle="1" w:styleId="955">
    <w:name w:val="正文文本 2 字符"/>
    <w:qFormat/>
    <w:uiPriority w:val="0"/>
    <w:rPr>
      <w:rFonts w:ascii="Arial" w:hAnsi="Arial" w:eastAsia="宋体"/>
      <w:kern w:val="2"/>
      <w:sz w:val="24"/>
      <w:szCs w:val="24"/>
      <w:lang w:val="en-US" w:eastAsia="zh-CN" w:bidi="ar-SA"/>
    </w:rPr>
  </w:style>
  <w:style w:type="character" w:customStyle="1" w:styleId="956">
    <w:name w:val="edui-clickable2"/>
    <w:qFormat/>
    <w:uiPriority w:val="0"/>
    <w:rPr>
      <w:color w:val="0000FF"/>
      <w:u w:val="single"/>
    </w:rPr>
  </w:style>
  <w:style w:type="character" w:customStyle="1" w:styleId="957">
    <w:name w:val="style1"/>
    <w:qFormat/>
    <w:uiPriority w:val="0"/>
    <w:rPr>
      <w:rFonts w:ascii="Arial" w:hAnsi="Arial" w:eastAsia="黑体" w:cs="Arial"/>
      <w:snapToGrid w:val="0"/>
      <w:kern w:val="0"/>
      <w:szCs w:val="21"/>
    </w:rPr>
  </w:style>
  <w:style w:type="character" w:customStyle="1" w:styleId="958">
    <w:name w:val="zbggtop11 style5"/>
    <w:qFormat/>
    <w:uiPriority w:val="0"/>
    <w:rPr>
      <w:rFonts w:ascii="Arial" w:hAnsi="Arial" w:eastAsia="黑体" w:cs="Arial"/>
      <w:snapToGrid w:val="0"/>
      <w:kern w:val="0"/>
      <w:szCs w:val="21"/>
    </w:rPr>
  </w:style>
  <w:style w:type="character" w:customStyle="1" w:styleId="95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0">
    <w:name w:val="bulletintext1"/>
    <w:qFormat/>
    <w:uiPriority w:val="0"/>
    <w:rPr>
      <w:color w:val="000000"/>
      <w:sz w:val="18"/>
    </w:rPr>
  </w:style>
  <w:style w:type="character" w:customStyle="1" w:styleId="961">
    <w:name w:val="ksfind_class_select1"/>
    <w:basedOn w:val="70"/>
    <w:qFormat/>
    <w:uiPriority w:val="0"/>
    <w:rPr>
      <w:color w:val="000000"/>
      <w:shd w:val="clear" w:color="auto" w:fill="EFD200"/>
    </w:rPr>
  </w:style>
  <w:style w:type="character" w:customStyle="1" w:styleId="962">
    <w:name w:val="font71"/>
    <w:basedOn w:val="70"/>
    <w:qFormat/>
    <w:uiPriority w:val="0"/>
    <w:rPr>
      <w:rFonts w:hint="eastAsia" w:ascii="宋体" w:hAnsi="宋体" w:eastAsia="宋体" w:cs="宋体"/>
      <w:color w:val="000000"/>
      <w:sz w:val="22"/>
      <w:szCs w:val="22"/>
      <w:u w:val="none"/>
    </w:rPr>
  </w:style>
  <w:style w:type="character" w:customStyle="1" w:styleId="963">
    <w:name w:val="font91"/>
    <w:basedOn w:val="70"/>
    <w:qFormat/>
    <w:uiPriority w:val="0"/>
    <w:rPr>
      <w:rFonts w:hint="eastAsia" w:ascii="仿宋" w:hAnsi="仿宋" w:eastAsia="仿宋" w:cs="仿宋"/>
      <w:color w:val="000000"/>
      <w:sz w:val="22"/>
      <w:szCs w:val="22"/>
      <w:u w:val="none"/>
    </w:rPr>
  </w:style>
  <w:style w:type="character" w:customStyle="1" w:styleId="964">
    <w:name w:val="font22"/>
    <w:basedOn w:val="70"/>
    <w:qFormat/>
    <w:uiPriority w:val="0"/>
    <w:rPr>
      <w:rFonts w:hint="eastAsia" w:ascii="等线" w:hAnsi="等线" w:eastAsia="等线" w:cs="等线"/>
      <w:color w:val="000000"/>
      <w:sz w:val="24"/>
      <w:szCs w:val="24"/>
      <w:u w:val="none"/>
    </w:rPr>
  </w:style>
  <w:style w:type="character" w:customStyle="1" w:styleId="965">
    <w:name w:val="font171"/>
    <w:basedOn w:val="70"/>
    <w:qFormat/>
    <w:uiPriority w:val="0"/>
    <w:rPr>
      <w:rFonts w:hint="eastAsia" w:ascii="等线" w:hAnsi="等线" w:eastAsia="等线" w:cs="等线"/>
      <w:color w:val="000000"/>
      <w:sz w:val="24"/>
      <w:szCs w:val="24"/>
      <w:u w:val="single"/>
    </w:rPr>
  </w:style>
  <w:style w:type="character" w:customStyle="1" w:styleId="966">
    <w:name w:val="font181"/>
    <w:basedOn w:val="70"/>
    <w:qFormat/>
    <w:uiPriority w:val="0"/>
    <w:rPr>
      <w:rFonts w:hint="eastAsia" w:ascii="宋体" w:hAnsi="宋体" w:eastAsia="宋体" w:cs="宋体"/>
      <w:color w:val="000000"/>
      <w:sz w:val="24"/>
      <w:szCs w:val="24"/>
      <w:u w:val="single"/>
    </w:rPr>
  </w:style>
  <w:style w:type="character" w:customStyle="1" w:styleId="967">
    <w:name w:val="font151"/>
    <w:basedOn w:val="70"/>
    <w:qFormat/>
    <w:uiPriority w:val="0"/>
    <w:rPr>
      <w:rFonts w:hint="eastAsia" w:ascii="宋体" w:hAnsi="宋体" w:eastAsia="宋体" w:cs="宋体"/>
      <w:color w:val="000000"/>
      <w:sz w:val="24"/>
      <w:szCs w:val="24"/>
      <w:u w:val="single"/>
    </w:rPr>
  </w:style>
  <w:style w:type="character" w:customStyle="1" w:styleId="968">
    <w:name w:val="font191"/>
    <w:basedOn w:val="70"/>
    <w:qFormat/>
    <w:uiPriority w:val="0"/>
    <w:rPr>
      <w:rFonts w:hint="eastAsia" w:ascii="宋体" w:hAnsi="宋体" w:eastAsia="宋体" w:cs="宋体"/>
      <w:color w:val="FF0000"/>
      <w:sz w:val="24"/>
      <w:szCs w:val="24"/>
      <w:u w:val="none"/>
    </w:rPr>
  </w:style>
  <w:style w:type="character" w:customStyle="1" w:styleId="969">
    <w:name w:val="font201"/>
    <w:basedOn w:val="70"/>
    <w:qFormat/>
    <w:uiPriority w:val="0"/>
    <w:rPr>
      <w:rFonts w:hint="eastAsia" w:ascii="宋体" w:hAnsi="宋体" w:eastAsia="宋体" w:cs="宋体"/>
      <w:color w:val="FF0000"/>
      <w:sz w:val="24"/>
      <w:szCs w:val="24"/>
      <w:u w:val="none"/>
    </w:rPr>
  </w:style>
  <w:style w:type="character" w:customStyle="1" w:styleId="970">
    <w:name w:val="font121"/>
    <w:basedOn w:val="70"/>
    <w:qFormat/>
    <w:uiPriority w:val="0"/>
    <w:rPr>
      <w:rFonts w:hint="default" w:ascii="仿宋_GB2312" w:eastAsia="仿宋_GB2312" w:cs="仿宋_GB2312"/>
      <w:color w:val="FF0000"/>
      <w:sz w:val="24"/>
      <w:szCs w:val="24"/>
      <w:u w:val="none"/>
    </w:rPr>
  </w:style>
  <w:style w:type="character" w:customStyle="1" w:styleId="971">
    <w:name w:val="font161"/>
    <w:basedOn w:val="70"/>
    <w:qFormat/>
    <w:uiPriority w:val="0"/>
    <w:rPr>
      <w:rFonts w:hint="eastAsia" w:ascii="宋体" w:hAnsi="宋体" w:eastAsia="宋体" w:cs="宋体"/>
      <w:color w:val="FF0000"/>
      <w:sz w:val="24"/>
      <w:szCs w:val="24"/>
      <w:u w:val="none"/>
    </w:rPr>
  </w:style>
  <w:style w:type="character" w:customStyle="1" w:styleId="972">
    <w:name w:val="font211"/>
    <w:basedOn w:val="70"/>
    <w:qFormat/>
    <w:uiPriority w:val="0"/>
    <w:rPr>
      <w:rFonts w:hint="eastAsia" w:ascii="宋体" w:hAnsi="宋体" w:eastAsia="宋体" w:cs="宋体"/>
      <w:color w:val="FF0000"/>
      <w:sz w:val="24"/>
      <w:szCs w:val="24"/>
      <w:u w:val="single"/>
    </w:rPr>
  </w:style>
  <w:style w:type="character" w:customStyle="1" w:styleId="973">
    <w:name w:val="hang1"/>
    <w:qFormat/>
    <w:uiPriority w:val="0"/>
  </w:style>
  <w:style w:type="table" w:customStyle="1" w:styleId="974">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Table Normal"/>
    <w:qFormat/>
    <w:uiPriority w:val="0"/>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100</Pages>
  <Words>11584</Words>
  <Characters>12510</Characters>
  <Lines>287</Lines>
  <Paragraphs>81</Paragraphs>
  <TotalTime>19</TotalTime>
  <ScaleCrop>false</ScaleCrop>
  <LinksUpToDate>false</LinksUpToDate>
  <CharactersWithSpaces>12951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海标</cp:lastModifiedBy>
  <cp:lastPrinted>2024-02-01T09:04:00Z</cp:lastPrinted>
  <dcterms:modified xsi:type="dcterms:W3CDTF">2025-05-26T07:38:01Z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52744E881C54451DBDB790D4D3376A36_13</vt:lpwstr>
  </property>
  <property fmtid="{D5CDD505-2E9C-101B-9397-08002B2CF9AE}" pid="5" name="KSOTemplateDocerSaveRecord">
    <vt:lpwstr>eyJoZGlkIjoiMWU2ZGZjMzQyN2U2NWMyZTYxYTRjM2NhZDE2YTRlMDYiLCJ1c2VySWQiOiI1MTU5MTEwNTYifQ==</vt:lpwstr>
  </property>
</Properties>
</file>