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良渚街道农副物流中心监督市场防疫工作服务外包项目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JXZFCG-2022-033</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pStyle w:val="5"/>
        <w:ind w:left="0" w:leftChars="0" w:firstLine="0" w:firstLineChars="0"/>
        <w:rPr>
          <w:rFonts w:hint="eastAsia" w:ascii="宋体" w:hAnsi="宋体" w:eastAsia="宋体" w:cs="宋体"/>
          <w:color w:val="auto"/>
          <w:sz w:val="32"/>
          <w:szCs w:val="32"/>
          <w:highlight w:val="none"/>
          <w:lang w:eastAsia="zh-CN"/>
        </w:rPr>
      </w:pPr>
    </w:p>
    <w:p>
      <w:pPr>
        <w:rPr>
          <w:rFonts w:hint="eastAsia" w:ascii="宋体" w:hAnsi="宋体" w:eastAsia="宋体" w:cs="宋体"/>
          <w:color w:val="auto"/>
          <w:sz w:val="32"/>
          <w:szCs w:val="32"/>
          <w:highlight w:val="none"/>
          <w:lang w:eastAsia="zh-CN"/>
        </w:rPr>
      </w:pPr>
    </w:p>
    <w:p>
      <w:pPr>
        <w:pStyle w:val="5"/>
        <w:rPr>
          <w:rFonts w:hint="eastAsia" w:ascii="宋体" w:hAnsi="宋体" w:eastAsia="宋体" w:cs="宋体"/>
          <w:color w:val="auto"/>
          <w:highlight w:val="none"/>
          <w:lang w:eastAsia="zh-CN"/>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：杭州市余杭区人民政府良渚街道办事处</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：金信联合建设咨询有限公司</w:t>
      </w:r>
    </w:p>
    <w:p>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二〇二</w:t>
      </w:r>
      <w:r>
        <w:rPr>
          <w:rFonts w:hint="eastAsia" w:ascii="仿宋" w:hAnsi="仿宋" w:eastAsia="仿宋" w:cs="仿宋"/>
          <w:b w:val="0"/>
          <w:bCs w:val="0"/>
          <w:color w:val="auto"/>
          <w:sz w:val="32"/>
          <w:szCs w:val="32"/>
          <w:highlight w:val="none"/>
          <w:lang w:val="en-US" w:eastAsia="zh-CN"/>
        </w:rPr>
        <w:t>二</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eastAsia="zh-CN"/>
        </w:rPr>
        <w:t>十</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二十四</w:t>
      </w:r>
      <w:r>
        <w:rPr>
          <w:rFonts w:hint="eastAsia" w:ascii="仿宋" w:hAnsi="仿宋" w:eastAsia="仿宋" w:cs="仿宋"/>
          <w:b w:val="0"/>
          <w:bCs w:val="0"/>
          <w:color w:val="auto"/>
          <w:sz w:val="32"/>
          <w:szCs w:val="32"/>
          <w:highlight w:val="none"/>
        </w:rPr>
        <w:t>日</w:t>
      </w:r>
    </w:p>
    <w:p>
      <w:pPr>
        <w:spacing w:line="360" w:lineRule="auto"/>
        <w:jc w:val="center"/>
        <w:rPr>
          <w:rFonts w:hint="eastAsia" w:ascii="仿宋" w:hAnsi="仿宋" w:eastAsia="仿宋" w:cs="仿宋"/>
          <w:b/>
          <w:color w:val="auto"/>
          <w:sz w:val="48"/>
          <w:szCs w:val="48"/>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numPr>
          <w:ilvl w:val="0"/>
          <w:numId w:val="1"/>
        </w:numPr>
        <w:spacing w:line="360" w:lineRule="auto"/>
        <w:ind w:firstLine="723" w:firstLineChars="200"/>
        <w:jc w:val="center"/>
        <w:rPr>
          <w:rFonts w:hint="eastAsia" w:ascii="仿宋" w:hAnsi="仿宋" w:eastAsia="仿宋" w:cs="仿宋"/>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良渚街道农副物流中心监督市场防疫工作服务外包项目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left="0" w:leftChars="0" w:firstLine="422" w:firstLineChars="175"/>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p>
    <w:p>
      <w:pPr>
        <w:spacing w:line="360" w:lineRule="auto"/>
        <w:ind w:left="0" w:leftChars="0" w:firstLine="422" w:firstLineChars="175"/>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良渚街道农副物流中心监督市场防疫工作服务外包项目</w:t>
      </w:r>
    </w:p>
    <w:p>
      <w:pPr>
        <w:spacing w:line="360" w:lineRule="auto"/>
        <w:ind w:left="0" w:leftChars="0" w:firstLine="422" w:firstLineChars="175"/>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w:t>
      </w:r>
      <w:r>
        <w:rPr>
          <w:rFonts w:hint="eastAsia" w:ascii="仿宋" w:hAnsi="仿宋" w:eastAsia="仿宋" w:cs="仿宋"/>
          <w:i w:val="0"/>
          <w:caps w:val="0"/>
          <w:color w:val="auto"/>
          <w:spacing w:val="0"/>
          <w:sz w:val="24"/>
          <w:szCs w:val="24"/>
          <w:highlight w:val="none"/>
          <w:lang w:val="en-US" w:eastAsia="zh-CN"/>
        </w:rPr>
        <w:t>5200000</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i w:val="0"/>
          <w:caps w:val="0"/>
          <w:color w:val="auto"/>
          <w:spacing w:val="0"/>
          <w:sz w:val="24"/>
          <w:szCs w:val="24"/>
          <w:highlight w:val="none"/>
          <w:lang w:val="en-US" w:eastAsia="zh-CN"/>
        </w:rPr>
        <w:t>5200000</w:t>
      </w:r>
    </w:p>
    <w:p>
      <w:pPr>
        <w:pStyle w:val="7"/>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良渚街道农副物流中心监督市场防疫工作服务外包项目</w:t>
      </w:r>
      <w:r>
        <w:rPr>
          <w:rFonts w:hint="eastAsia" w:ascii="仿宋" w:hAnsi="仿宋" w:eastAsia="仿宋" w:cs="仿宋"/>
          <w:bCs/>
          <w:color w:val="auto"/>
          <w:kern w:val="2"/>
          <w:sz w:val="24"/>
          <w:szCs w:val="24"/>
          <w:highlight w:val="none"/>
        </w:rPr>
        <w:t>主要内容：详见招标文件第三部分采购需求。</w:t>
      </w:r>
    </w:p>
    <w:p>
      <w:pPr>
        <w:pStyle w:val="92"/>
        <w:ind w:firstLine="480"/>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合同签订之日起1年</w:t>
      </w:r>
      <w:r>
        <w:rPr>
          <w:rFonts w:hint="eastAsia" w:ascii="仿宋" w:hAnsi="仿宋" w:eastAsia="仿宋" w:cs="仿宋"/>
          <w:b/>
          <w:color w:val="auto"/>
          <w:highlight w:val="none"/>
        </w:rPr>
        <w:t>；</w:t>
      </w:r>
      <w:r>
        <w:rPr>
          <w:rFonts w:hint="eastAsia" w:ascii="仿宋" w:hAnsi="仿宋" w:eastAsia="仿宋" w:cs="仿宋"/>
          <w:bCs/>
          <w:color w:val="auto"/>
          <w:szCs w:val="24"/>
          <w:highlight w:val="none"/>
        </w:rPr>
        <w:t>详见采购文件第三部分采购需求。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FF000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 ，小微企业合同金额应当达到%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color w:val="auto"/>
          <w:sz w:val="24"/>
          <w:highlight w:val="none"/>
          <w:lang w:val="en-US" w:eastAsia="zh-CN"/>
        </w:rPr>
        <w:t>具有省公安厅颁发的保安服务许可证</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 供应商采用联合体投标的：提供联合协议，联合体投标的联合体各方承担连带责任；联合体成员（含联合体牵头人）不得超过3个。</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bookmarkStart w:id="415" w:name="_GoBack"/>
      <w:bookmarkEnd w:id="415"/>
      <w:r>
        <w:rPr>
          <w:rFonts w:hint="eastAsia" w:ascii="仿宋" w:hAnsi="仿宋" w:eastAsia="仿宋" w:cs="仿宋"/>
          <w:color w:val="auto"/>
          <w:sz w:val="24"/>
          <w:highlight w:val="none"/>
          <w:u w:val="single"/>
        </w:rPr>
        <w:t>0分</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五、公告期限</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杭州市余杭区人民政府良渚街道办事处</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 xml:space="preserve">良渚街道莫干山路2666号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徐平</w:t>
      </w:r>
      <w:r>
        <w:rPr>
          <w:rFonts w:hint="eastAsia" w:ascii="仿宋" w:hAnsi="仿宋" w:eastAsia="仿宋" w:cs="仿宋"/>
          <w:color w:val="auto"/>
          <w:sz w:val="24"/>
          <w:highlight w:val="none"/>
          <w:lang w:val="en-US" w:eastAsia="zh-CN"/>
        </w:rPr>
        <w:t xml:space="preserve">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 xml:space="preserve">15990128365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宋继峰</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质疑联系方式：</w:t>
      </w:r>
      <w:r>
        <w:rPr>
          <w:rFonts w:hint="eastAsia" w:ascii="仿宋" w:hAnsi="仿宋" w:eastAsia="仿宋" w:cs="仿宋"/>
          <w:color w:val="auto"/>
          <w:sz w:val="24"/>
          <w:highlight w:val="none"/>
          <w:lang w:val="en-US" w:eastAsia="zh-CN"/>
        </w:rPr>
        <w:t>13486190996</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 xml:space="preserve">  </w:t>
      </w:r>
      <w:r>
        <w:rPr>
          <w:rFonts w:hint="eastAsia" w:ascii="仿宋" w:hAnsi="仿宋" w:eastAsia="仿宋" w:cs="仿宋"/>
          <w:color w:val="auto"/>
          <w:kern w:val="2"/>
          <w:sz w:val="24"/>
          <w:szCs w:val="24"/>
          <w:highlight w:val="none"/>
          <w:lang w:val="en-US" w:eastAsia="zh-CN" w:bidi="ar-SA"/>
        </w:rPr>
        <w:t xml:space="preserve"> 2.采购代理机构信息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名    称：金信联合建设咨询有限公司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地    址：杭</w:t>
      </w:r>
      <w:r>
        <w:rPr>
          <w:rFonts w:hint="eastAsia" w:ascii="仿宋" w:hAnsi="仿宋" w:eastAsia="仿宋" w:cs="仿宋"/>
          <w:color w:val="auto"/>
          <w:kern w:val="28"/>
          <w:sz w:val="24"/>
          <w:szCs w:val="24"/>
          <w:highlight w:val="none"/>
          <w:lang w:eastAsia="zh-CN"/>
        </w:rPr>
        <w:t>州市余杭区仓前街道景兴路万通中心</w:t>
      </w:r>
      <w:r>
        <w:rPr>
          <w:rFonts w:hint="eastAsia" w:ascii="仿宋" w:hAnsi="仿宋" w:eastAsia="仿宋" w:cs="仿宋"/>
          <w:color w:val="auto"/>
          <w:kern w:val="28"/>
          <w:sz w:val="24"/>
          <w:szCs w:val="24"/>
          <w:highlight w:val="none"/>
          <w:lang w:val="en-US" w:eastAsia="zh-CN"/>
        </w:rPr>
        <w:t>1幢23楼</w:t>
      </w:r>
      <w:r>
        <w:rPr>
          <w:rFonts w:hint="eastAsia" w:ascii="仿宋" w:hAnsi="仿宋" w:eastAsia="仿宋" w:cs="仿宋"/>
          <w:color w:val="auto"/>
          <w:kern w:val="2"/>
          <w:sz w:val="24"/>
          <w:szCs w:val="24"/>
          <w:highlight w:val="none"/>
          <w:lang w:val="en-US" w:eastAsia="zh-CN" w:bidi="ar-SA"/>
        </w:rPr>
        <w:t>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传    真：/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项目联系人（询问）：孙伟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项目联系方式（询问）：18667187869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质疑联系人：孙先生</w:t>
      </w:r>
      <w:r>
        <w:rPr>
          <w:rFonts w:hint="eastAsia" w:ascii="仿宋" w:hAnsi="仿宋" w:eastAsia="仿宋" w:cs="仿宋"/>
          <w:color w:val="auto"/>
          <w:kern w:val="2"/>
          <w:sz w:val="24"/>
          <w:szCs w:val="24"/>
          <w:highlight w:val="none"/>
          <w:lang w:val="en-US" w:eastAsia="zh-CN" w:bidi="ar-SA"/>
        </w:rPr>
        <w:tab/>
      </w:r>
      <w:r>
        <w:rPr>
          <w:rFonts w:hint="eastAsia" w:ascii="仿宋" w:hAnsi="仿宋" w:eastAsia="仿宋" w:cs="仿宋"/>
          <w:color w:val="auto"/>
          <w:kern w:val="2"/>
          <w:sz w:val="24"/>
          <w:szCs w:val="24"/>
          <w:highlight w:val="none"/>
          <w:lang w:val="en-US" w:eastAsia="zh-CN" w:bidi="ar-SA"/>
        </w:rPr>
        <w:t xml:space="preserve">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质疑联系方式：13675874613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3.同级政府采购监督管理部门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名    称：杭州市余杭区财政局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地    址：杭州市余杭区文一西路1500号8幢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传    真：/             </w:t>
      </w:r>
    </w:p>
    <w:p>
      <w:pPr>
        <w:pStyle w:val="59"/>
        <w:widowControl/>
        <w:spacing w:before="75" w:beforeAutospacing="0" w:after="75" w:afterAutospacing="0" w:line="360"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联系人 ：杜国强             </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监督投诉电话：0571-88728858     </w:t>
      </w:r>
    </w:p>
    <w:p>
      <w:pPr>
        <w:spacing w:line="360" w:lineRule="auto"/>
        <w:ind w:firstLine="600" w:firstLineChars="2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pStyle w:val="2"/>
        <w:rPr>
          <w:rFonts w:hint="eastAsia" w:ascii="宋体" w:hAnsi="宋体" w:eastAsia="宋体" w:cs="宋体"/>
          <w:b/>
          <w:color w:val="auto"/>
          <w:sz w:val="36"/>
          <w:szCs w:val="20"/>
          <w:highlight w:val="none"/>
        </w:rPr>
      </w:pPr>
    </w:p>
    <w:p>
      <w:pPr>
        <w:pStyle w:val="3"/>
        <w:rPr>
          <w:rFonts w:hint="eastAsia"/>
          <w:color w:val="auto"/>
          <w:highlight w:val="none"/>
        </w:rPr>
      </w:pPr>
    </w:p>
    <w:p>
      <w:pPr>
        <w:adjustRightInd/>
        <w:spacing w:line="360" w:lineRule="auto"/>
        <w:jc w:val="center"/>
        <w:outlineLvl w:val="0"/>
        <w:rPr>
          <w:rFonts w:hint="eastAsia" w:ascii="宋体" w:hAnsi="宋体" w:eastAsia="宋体" w:cs="宋体"/>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42"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pPr>
              <w:spacing w:line="360" w:lineRule="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投标报价出现下列情形的，投标无效：</w:t>
            </w:r>
          </w:p>
          <w:p>
            <w:pPr>
              <w:spacing w:line="360" w:lineRule="auto"/>
              <w:ind w:firstLine="241" w:firstLineChars="1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投标文件出现不是唯一的、有选择性投标报价的；</w:t>
            </w:r>
          </w:p>
          <w:p>
            <w:pPr>
              <w:spacing w:line="360" w:lineRule="auto"/>
              <w:ind w:firstLine="241" w:firstLineChars="1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投标报价超过招标文件中规定的预算金额或者最高限价或单价最高限价的;</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line="360" w:lineRule="auto"/>
              <w:rPr>
                <w:rFonts w:hint="eastAsia" w:ascii="仿宋" w:hAnsi="仿宋" w:eastAsia="仿宋" w:cs="仿宋"/>
                <w:snapToGrid w:val="0"/>
                <w:color w:val="auto"/>
                <w:kern w:val="0"/>
                <w:sz w:val="21"/>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B要求提供，</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snapToGrid w:val="0"/>
                <w:color w:val="auto"/>
                <w:kern w:val="28"/>
                <w:sz w:val="24"/>
                <w:szCs w:val="24"/>
                <w:highlight w:val="none"/>
              </w:rPr>
              <w:t>样品：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（4）是否需要随样品提交检测报告：</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否；☐是，检测机构的要求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（5）提供样品的时间：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B组织。</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（2）方案讲解演示可选择以下其中一种方式：</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方式二：交易中心现场讲解演示。现场讲解地点</w:t>
            </w:r>
            <w:r>
              <w:rPr>
                <w:rFonts w:hint="eastAsia" w:ascii="仿宋" w:hAnsi="仿宋" w:eastAsia="仿宋" w:cs="仿宋"/>
                <w:b/>
                <w:bCs/>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pPr>
              <w:spacing w:line="360" w:lineRule="auto"/>
              <w:rPr>
                <w:rFonts w:hint="eastAsia" w:ascii="仿宋" w:hAnsi="仿宋" w:eastAsia="仿宋" w:cs="仿宋"/>
                <w:color w:val="auto"/>
                <w:sz w:val="21"/>
                <w:szCs w:val="24"/>
                <w:highlight w:val="none"/>
              </w:rPr>
            </w:pP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1"/>
                <w:szCs w:val="24"/>
                <w:highlight w:val="none"/>
                <w:lang w:val="en-US"/>
              </w:rPr>
            </w:pPr>
            <w:r>
              <w:rPr>
                <w:rFonts w:hint="eastAsia" w:ascii="仿宋" w:hAnsi="仿宋" w:eastAsia="仿宋" w:cs="仿宋"/>
                <w:color w:val="auto"/>
                <w:kern w:val="0"/>
                <w:sz w:val="24"/>
                <w:szCs w:val="24"/>
                <w:highlight w:val="none"/>
              </w:rPr>
              <w:t>（1）标的：</w:t>
            </w:r>
            <w:r>
              <w:rPr>
                <w:rFonts w:hint="eastAsia" w:ascii="仿宋" w:hAnsi="仿宋" w:eastAsia="仿宋" w:cs="仿宋"/>
                <w:color w:val="auto"/>
                <w:kern w:val="0"/>
                <w:sz w:val="24"/>
                <w:szCs w:val="24"/>
                <w:highlight w:val="none"/>
                <w:lang w:eastAsia="zh-CN"/>
              </w:rPr>
              <w:t>保安服务外包项目</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lang w:eastAsia="zh-CN"/>
              </w:rPr>
              <w:t>租赁和商务服务</w:t>
            </w:r>
            <w:r>
              <w:rPr>
                <w:rFonts w:hint="eastAsia" w:ascii="仿宋" w:hAnsi="仿宋" w:eastAsia="仿宋" w:cs="仿宋"/>
                <w:color w:val="auto"/>
                <w:kern w:val="0"/>
                <w:sz w:val="24"/>
                <w:szCs w:val="24"/>
                <w:highlight w:val="none"/>
              </w:rPr>
              <w:t>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1"/>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p>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sz w:val="21"/>
                <w:szCs w:val="24"/>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sz w:val="21"/>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color w:val="auto"/>
                <w:kern w:val="28"/>
                <w:sz w:val="24"/>
                <w:szCs w:val="21"/>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lang w:eastAsia="zh-CN"/>
              </w:rPr>
              <w:t>杭州市余杭区仓前街道景兴路万通中心</w:t>
            </w:r>
            <w:r>
              <w:rPr>
                <w:rFonts w:hint="eastAsia" w:ascii="仿宋" w:hAnsi="仿宋" w:eastAsia="仿宋" w:cs="仿宋"/>
                <w:color w:val="auto"/>
                <w:kern w:val="28"/>
                <w:sz w:val="24"/>
                <w:szCs w:val="24"/>
                <w:highlight w:val="none"/>
                <w:lang w:val="en-US" w:eastAsia="zh-CN"/>
              </w:rPr>
              <w:t>1幢23楼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1"/>
                <w:highlight w:val="none"/>
                <w:u w:val="single"/>
                <w:lang w:val="en-US" w:eastAsia="zh-CN"/>
              </w:rPr>
              <w:t>13777566373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p>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供应商以联合体形式投标的：按采购文件要求提供联合协议，联合体投标的联合体各方承担连带责任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联合体成 </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员（含联合体牵头人）不得超过 3 个。</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snapToGrid w:val="0"/>
                <w:color w:val="auto"/>
                <w:kern w:val="28"/>
                <w:sz w:val="24"/>
                <w:szCs w:val="24"/>
                <w:highlight w:val="none"/>
              </w:rPr>
              <w:t>联合体各方不再单独参加或者与其他供应商另外组成联合体参加同一标项的政府采购活动，否则相关投标均无效。</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snapToGrid w:val="0"/>
                <w:color w:val="auto"/>
                <w:kern w:val="28"/>
                <w:sz w:val="24"/>
                <w:szCs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b/>
                <w:snapToGrid w:val="0"/>
                <w:color w:val="auto"/>
                <w:kern w:val="28"/>
                <w:sz w:val="24"/>
                <w:szCs w:val="24"/>
                <w:highlight w:val="none"/>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bookmarkEnd w:id="9"/>
    </w:tbl>
    <w:p>
      <w:pPr>
        <w:adjustRightInd/>
        <w:spacing w:line="360" w:lineRule="auto"/>
        <w:jc w:val="both"/>
        <w:outlineLvl w:val="0"/>
        <w:rPr>
          <w:rFonts w:hint="eastAsia" w:ascii="宋体" w:hAnsi="宋体" w:eastAsia="宋体" w:cs="宋体"/>
          <w:b/>
          <w:color w:val="auto"/>
          <w:sz w:val="32"/>
          <w:szCs w:val="20"/>
          <w:highlight w:val="none"/>
        </w:rPr>
      </w:pPr>
      <w:bookmarkStart w:id="10" w:name="第三部分"/>
      <w:bookmarkStart w:id="11" w:name="_Toc164416483"/>
    </w:p>
    <w:p>
      <w:pPr>
        <w:adjustRightInd/>
        <w:spacing w:line="360" w:lineRule="auto"/>
        <w:jc w:val="center"/>
        <w:outlineLvl w:val="0"/>
        <w:rPr>
          <w:rFonts w:hint="eastAsia" w:ascii="仿宋" w:hAnsi="仿宋" w:eastAsia="仿宋" w:cs="仿宋"/>
          <w:b/>
          <w:color w:val="auto"/>
          <w:sz w:val="32"/>
          <w:szCs w:val="20"/>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92"/>
        <w:snapToGrid w:val="0"/>
        <w:spacing w:before="0"/>
        <w:ind w:firstLine="360"/>
        <w:rPr>
          <w:rFonts w:hint="eastAsia" w:ascii="仿宋" w:hAnsi="仿宋" w:eastAsia="仿宋" w:cs="仿宋"/>
          <w:color w:val="auto"/>
          <w:sz w:val="18"/>
          <w:szCs w:val="18"/>
          <w:highlight w:val="none"/>
        </w:rPr>
      </w:pPr>
    </w:p>
    <w:p>
      <w:pPr>
        <w:pStyle w:val="92"/>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11.3.2报价明细清单；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92"/>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92"/>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92"/>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92"/>
        <w:spacing w:before="0"/>
        <w:ind w:firstLine="643"/>
        <w:rPr>
          <w:rFonts w:hint="eastAsia" w:ascii="仿宋" w:hAnsi="仿宋" w:eastAsia="仿宋" w:cs="仿宋"/>
          <w:b/>
          <w:color w:val="auto"/>
          <w:sz w:val="32"/>
          <w:highlight w:val="none"/>
        </w:rPr>
      </w:pPr>
    </w:p>
    <w:p>
      <w:pPr>
        <w:pStyle w:val="92"/>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4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92"/>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9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9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92"/>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2"/>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92"/>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pPr>
        <w:spacing w:line="360" w:lineRule="auto"/>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9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92"/>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92"/>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%；评价总分在90分以下或者暂无评分的，收取履约保证金不得高于合同金额</w:t>
      </w: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w:t>
      </w:r>
    </w:p>
    <w:p>
      <w:pPr>
        <w:pStyle w:val="5"/>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9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9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92"/>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4707468"/>
      <w:bookmarkEnd w:id="13"/>
      <w:bookmarkStart w:id="14" w:name="_Hlt68073093"/>
      <w:bookmarkEnd w:id="14"/>
      <w:bookmarkStart w:id="15" w:name="_Hlt75236011"/>
      <w:bookmarkEnd w:id="15"/>
      <w:bookmarkStart w:id="16" w:name="_Hlt68403820"/>
      <w:bookmarkEnd w:id="16"/>
      <w:bookmarkStart w:id="17" w:name="_Hlt74730295"/>
      <w:bookmarkEnd w:id="17"/>
      <w:bookmarkStart w:id="18" w:name="_Hlt74714665"/>
      <w:bookmarkEnd w:id="18"/>
      <w:bookmarkStart w:id="19" w:name="_Hlt68072998"/>
      <w:bookmarkEnd w:id="19"/>
      <w:bookmarkStart w:id="20" w:name="_Hlt75236101"/>
      <w:bookmarkEnd w:id="20"/>
      <w:bookmarkStart w:id="21" w:name="_Hlt68072990"/>
      <w:bookmarkEnd w:id="21"/>
      <w:bookmarkStart w:id="22" w:name="_Hlt68057669"/>
      <w:bookmarkEnd w:id="22"/>
      <w:bookmarkStart w:id="23" w:name="_Hlt75236290"/>
      <w:bookmarkEnd w:id="23"/>
      <w:bookmarkStart w:id="24" w:name="_Hlt74729768"/>
      <w:bookmarkEnd w:id="24"/>
    </w:p>
    <w:bookmarkEnd w:id="10"/>
    <w:bookmarkEnd w:id="11"/>
    <w:p>
      <w:pPr>
        <w:numPr>
          <w:ilvl w:val="0"/>
          <w:numId w:val="2"/>
        </w:numPr>
        <w:spacing w:line="360" w:lineRule="auto"/>
        <w:jc w:val="center"/>
        <w:outlineLvl w:val="0"/>
        <w:rPr>
          <w:rFonts w:hint="eastAsia" w:ascii="仿宋" w:hAnsi="仿宋" w:eastAsia="仿宋" w:cs="仿宋"/>
          <w:b/>
          <w:color w:val="auto"/>
          <w:sz w:val="36"/>
          <w:szCs w:val="36"/>
          <w:highlight w:val="none"/>
        </w:rPr>
      </w:pPr>
      <w:bookmarkStart w:id="25" w:name="第四部分"/>
      <w:r>
        <w:rPr>
          <w:rFonts w:hint="eastAsia" w:ascii="仿宋" w:hAnsi="仿宋" w:eastAsia="仿宋" w:cs="仿宋"/>
          <w:b/>
          <w:color w:val="auto"/>
          <w:sz w:val="36"/>
          <w:szCs w:val="36"/>
          <w:highlight w:val="none"/>
        </w:rPr>
        <w:t xml:space="preserve">  采购需求</w:t>
      </w:r>
    </w:p>
    <w:p>
      <w:pPr>
        <w:pStyle w:val="60"/>
        <w:keepNext w:val="0"/>
        <w:keepLines w:val="0"/>
        <w:pageBreakBefore w:val="0"/>
        <w:kinsoku/>
        <w:wordWrap/>
        <w:topLinePunct w:val="0"/>
        <w:bidi w:val="0"/>
        <w:snapToGrid/>
        <w:spacing w:line="500" w:lineRule="exact"/>
        <w:jc w:val="both"/>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一、采购内容</w:t>
      </w:r>
      <w:r>
        <w:rPr>
          <w:rFonts w:hint="eastAsia" w:ascii="仿宋" w:hAnsi="仿宋" w:eastAsia="仿宋" w:cs="仿宋"/>
          <w:bCs/>
          <w:color w:val="auto"/>
          <w:sz w:val="24"/>
          <w:szCs w:val="24"/>
          <w:highlight w:val="none"/>
          <w:lang w:val="en-US"/>
        </w:rPr>
        <w:t>：</w:t>
      </w:r>
    </w:p>
    <w:p>
      <w:pPr>
        <w:keepNext w:val="0"/>
        <w:keepLines w:val="0"/>
        <w:pageBreakBefore w:val="0"/>
        <w:tabs>
          <w:tab w:val="left" w:pos="0"/>
        </w:tabs>
        <w:kinsoku/>
        <w:wordWrap/>
        <w:topLinePunct w:val="0"/>
        <w:bidi w:val="0"/>
        <w:snapToGrid/>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2"/>
          <w:szCs w:val="22"/>
          <w:highlight w:val="none"/>
        </w:rPr>
        <w:t xml:space="preserve"> </w:t>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snapToGrid w:val="0"/>
          <w:color w:val="auto"/>
          <w:kern w:val="0"/>
          <w:sz w:val="24"/>
          <w:szCs w:val="24"/>
          <w:highlight w:val="none"/>
          <w:lang w:val="en-US" w:eastAsia="zh-CN"/>
        </w:rPr>
        <w:t>项目采购内容为良渚街道农副物流中心监督市场防疫工作服务外包项目，协助开展日常杭州农副物流中心</w:t>
      </w:r>
      <w:r>
        <w:rPr>
          <w:rFonts w:hint="eastAsia" w:ascii="仿宋" w:hAnsi="仿宋" w:eastAsia="仿宋" w:cs="仿宋"/>
          <w:snapToGrid w:val="0"/>
          <w:color w:val="auto"/>
          <w:kern w:val="0"/>
          <w:sz w:val="24"/>
          <w:szCs w:val="24"/>
          <w:highlight w:val="none"/>
          <w:lang w:eastAsia="zh-CN"/>
        </w:rPr>
        <w:t>守小门管理</w:t>
      </w:r>
      <w:r>
        <w:rPr>
          <w:rFonts w:hint="eastAsia" w:ascii="仿宋" w:hAnsi="仿宋" w:eastAsia="仿宋" w:cs="仿宋"/>
          <w:snapToGrid w:val="0"/>
          <w:color w:val="auto"/>
          <w:kern w:val="0"/>
          <w:sz w:val="24"/>
          <w:szCs w:val="24"/>
          <w:highlight w:val="none"/>
          <w:lang w:val="en-US" w:eastAsia="zh-CN"/>
        </w:rPr>
        <w:t>以及其他授权的辅助工作以及其他临时性工作、在服务期内为采购人提供合格的日常守小门管理协助与特殊时间段的管理协助服务；投标报价包括所有外包人员的工资、社保、加班费、培训费、住宿、餐费、通讯设备、统一服装费、低值易耗品、临时性杂项服务费、政策性文件规定及合同包含的所有风险、责任、税费、合理利润等各项全部费用。</w:t>
      </w:r>
    </w:p>
    <w:p>
      <w:pPr>
        <w:pStyle w:val="60"/>
        <w:keepNext w:val="0"/>
        <w:keepLines w:val="0"/>
        <w:pageBreakBefore w:val="0"/>
        <w:kinsoku/>
        <w:wordWrap/>
        <w:topLinePunct w:val="0"/>
        <w:bidi w:val="0"/>
        <w:snapToGrid/>
        <w:spacing w:line="500" w:lineRule="exact"/>
        <w:jc w:val="both"/>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二、具体服务内容：</w:t>
      </w:r>
    </w:p>
    <w:p>
      <w:pPr>
        <w:keepNext w:val="0"/>
        <w:keepLines w:val="0"/>
        <w:pageBreakBefore w:val="0"/>
        <w:tabs>
          <w:tab w:val="left" w:pos="0"/>
        </w:tabs>
        <w:kinsoku/>
        <w:wordWrap/>
        <w:topLinePunct w:val="0"/>
        <w:bidi w:val="0"/>
        <w:snapToGrid/>
        <w:spacing w:line="500" w:lineRule="exact"/>
        <w:ind w:firstLine="480"/>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lang w:val="en-US" w:eastAsia="zh-CN"/>
        </w:rPr>
        <w:t>服务人员必须服从采购人指挥、管理和安排，服务人员工作期间必须穿戴统一工作服装及工作所需设备设施，遵守采购人制定的工作纪律，接受采购人督查考核；中标单位必须确定专人负责对服务人员的管理和督查，定期对服务人员的业务培训，确保服务人员工作稳定性。协助甲方相关工作，负责辖区现场守小门秩序维护，合同内未列明的工作内容由甲方协调明确。</w:t>
      </w:r>
    </w:p>
    <w:p>
      <w:pPr>
        <w:keepNext w:val="0"/>
        <w:keepLines w:val="0"/>
        <w:pageBreakBefore w:val="0"/>
        <w:numPr>
          <w:ilvl w:val="0"/>
          <w:numId w:val="0"/>
        </w:numPr>
        <w:kinsoku/>
        <w:wordWrap/>
        <w:topLinePunct w:val="0"/>
        <w:bidi w:val="0"/>
        <w:snapToGrid/>
        <w:spacing w:line="500" w:lineRule="exact"/>
        <w:jc w:val="left"/>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人员</w:t>
      </w:r>
      <w:r>
        <w:rPr>
          <w:rFonts w:hint="eastAsia" w:ascii="仿宋" w:hAnsi="仿宋" w:eastAsia="仿宋" w:cs="仿宋"/>
          <w:b/>
          <w:color w:val="auto"/>
          <w:sz w:val="24"/>
          <w:szCs w:val="24"/>
          <w:highlight w:val="none"/>
          <w:lang w:val="en-US" w:eastAsia="zh-CN"/>
        </w:rPr>
        <w:t>配置</w:t>
      </w:r>
      <w:r>
        <w:rPr>
          <w:rFonts w:hint="eastAsia" w:ascii="仿宋" w:hAnsi="仿宋" w:eastAsia="仿宋" w:cs="仿宋"/>
          <w:b/>
          <w:color w:val="auto"/>
          <w:sz w:val="24"/>
          <w:szCs w:val="24"/>
          <w:highlight w:val="none"/>
        </w:rPr>
        <w:t>要求：</w:t>
      </w:r>
    </w:p>
    <w:tbl>
      <w:tblPr>
        <w:tblStyle w:val="64"/>
        <w:tblW w:w="8223"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61"/>
        <w:gridCol w:w="1235"/>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16" w:type="dxa"/>
            <w:noWrap w:val="0"/>
            <w:vAlign w:val="top"/>
          </w:tcPr>
          <w:p>
            <w:pPr>
              <w:keepNext w:val="0"/>
              <w:keepLines w:val="0"/>
              <w:pageBreakBefore w:val="0"/>
              <w:kinsoku/>
              <w:wordWrap/>
              <w:topLinePunct w:val="0"/>
              <w:bidi w:val="0"/>
              <w:adjustRightInd w:val="0"/>
              <w:snapToGrid/>
              <w:spacing w:line="5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261" w:type="dxa"/>
            <w:noWrap w:val="0"/>
            <w:vAlign w:val="top"/>
          </w:tcPr>
          <w:p>
            <w:pPr>
              <w:keepNext w:val="0"/>
              <w:keepLines w:val="0"/>
              <w:pageBreakBefore w:val="0"/>
              <w:kinsoku/>
              <w:wordWrap/>
              <w:topLinePunct w:val="0"/>
              <w:bidi w:val="0"/>
              <w:adjustRightInd w:val="0"/>
              <w:snapToGrid/>
              <w:spacing w:line="5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岗位</w:t>
            </w:r>
          </w:p>
        </w:tc>
        <w:tc>
          <w:tcPr>
            <w:tcW w:w="1235" w:type="dxa"/>
            <w:noWrap w:val="0"/>
            <w:vAlign w:val="top"/>
          </w:tcPr>
          <w:p>
            <w:pPr>
              <w:keepNext w:val="0"/>
              <w:keepLines w:val="0"/>
              <w:pageBreakBefore w:val="0"/>
              <w:kinsoku/>
              <w:wordWrap/>
              <w:topLinePunct w:val="0"/>
              <w:bidi w:val="0"/>
              <w:adjustRightInd w:val="0"/>
              <w:snapToGrid/>
              <w:spacing w:line="5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人员数量</w:t>
            </w:r>
          </w:p>
        </w:tc>
        <w:tc>
          <w:tcPr>
            <w:tcW w:w="3811" w:type="dxa"/>
            <w:noWrap w:val="0"/>
            <w:vAlign w:val="top"/>
          </w:tcPr>
          <w:p>
            <w:pPr>
              <w:keepNext w:val="0"/>
              <w:keepLines w:val="0"/>
              <w:pageBreakBefore w:val="0"/>
              <w:kinsoku/>
              <w:wordWrap/>
              <w:topLinePunct w:val="0"/>
              <w:bidi w:val="0"/>
              <w:adjustRightInd w:val="0"/>
              <w:snapToGrid/>
              <w:spacing w:line="5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4" w:hRule="atLeast"/>
        </w:trPr>
        <w:tc>
          <w:tcPr>
            <w:tcW w:w="916" w:type="dxa"/>
            <w:noWrap w:val="0"/>
            <w:vAlign w:val="center"/>
          </w:tcPr>
          <w:p>
            <w:pPr>
              <w:keepNext w:val="0"/>
              <w:keepLines w:val="0"/>
              <w:pageBreakBefore w:val="0"/>
              <w:kinsoku/>
              <w:wordWrap/>
              <w:topLinePunct w:val="0"/>
              <w:bidi w:val="0"/>
              <w:adjustRightInd w:val="0"/>
              <w:snapToGrid/>
              <w:spacing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261" w:type="dxa"/>
            <w:noWrap w:val="0"/>
            <w:vAlign w:val="center"/>
          </w:tcPr>
          <w:p>
            <w:pPr>
              <w:keepNext w:val="0"/>
              <w:keepLines w:val="0"/>
              <w:pageBreakBefore w:val="0"/>
              <w:kinsoku/>
              <w:wordWrap/>
              <w:topLinePunct w:val="0"/>
              <w:bidi w:val="0"/>
              <w:adjustRightInd w:val="0"/>
              <w:snapToGrid/>
              <w:spacing w:line="5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良渚街道农副物流中心监督市场防疫工作服务外包项目</w:t>
            </w:r>
          </w:p>
        </w:tc>
        <w:tc>
          <w:tcPr>
            <w:tcW w:w="1235" w:type="dxa"/>
            <w:noWrap w:val="0"/>
            <w:vAlign w:val="center"/>
          </w:tcPr>
          <w:p>
            <w:pPr>
              <w:keepNext w:val="0"/>
              <w:keepLines w:val="0"/>
              <w:pageBreakBefore w:val="0"/>
              <w:kinsoku/>
              <w:wordWrap/>
              <w:topLinePunct w:val="0"/>
              <w:bidi w:val="0"/>
              <w:adjustRightInd w:val="0"/>
              <w:snapToGrid/>
              <w:spacing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人</w:t>
            </w:r>
          </w:p>
        </w:tc>
        <w:tc>
          <w:tcPr>
            <w:tcW w:w="3811" w:type="dxa"/>
            <w:vMerge w:val="restart"/>
            <w:noWrap w:val="0"/>
            <w:vAlign w:val="center"/>
          </w:tcPr>
          <w:p>
            <w:pPr>
              <w:keepNext w:val="0"/>
              <w:keepLines w:val="0"/>
              <w:pageBreakBefore w:val="0"/>
              <w:kinsoku/>
              <w:wordWrap/>
              <w:topLinePunct w:val="0"/>
              <w:bidi w:val="0"/>
              <w:adjustRightInd w:val="0"/>
              <w:snapToGrid/>
              <w:spacing w:line="500" w:lineRule="exact"/>
              <w:jc w:val="center"/>
              <w:rPr>
                <w:rFonts w:hint="eastAsia"/>
                <w:sz w:val="20"/>
                <w:szCs w:val="22"/>
              </w:rPr>
            </w:pPr>
            <w:r>
              <w:rPr>
                <w:rFonts w:hint="eastAsia" w:ascii="仿宋" w:hAnsi="仿宋" w:eastAsia="仿宋" w:cs="仿宋"/>
                <w:color w:val="auto"/>
                <w:sz w:val="24"/>
                <w:szCs w:val="24"/>
                <w:highlight w:val="none"/>
                <w:lang w:eastAsia="zh-CN"/>
              </w:rPr>
              <w:t>项目负责人年龄4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周岁以下，其他人员要求35周岁及以下，高中及以上文化。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177" w:type="dxa"/>
            <w:gridSpan w:val="2"/>
            <w:noWrap w:val="0"/>
            <w:vAlign w:val="center"/>
          </w:tcPr>
          <w:p>
            <w:pPr>
              <w:keepNext w:val="0"/>
              <w:keepLines w:val="0"/>
              <w:pageBreakBefore w:val="0"/>
              <w:kinsoku/>
              <w:wordWrap/>
              <w:topLinePunct w:val="0"/>
              <w:bidi w:val="0"/>
              <w:adjustRightInd w:val="0"/>
              <w:snapToGrid/>
              <w:spacing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1235" w:type="dxa"/>
            <w:noWrap w:val="0"/>
            <w:vAlign w:val="center"/>
          </w:tcPr>
          <w:p>
            <w:pPr>
              <w:keepNext w:val="0"/>
              <w:keepLines w:val="0"/>
              <w:pageBreakBefore w:val="0"/>
              <w:kinsoku/>
              <w:wordWrap/>
              <w:topLinePunct w:val="0"/>
              <w:bidi w:val="0"/>
              <w:adjustRightInd w:val="0"/>
              <w:snapToGrid/>
              <w:spacing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人</w:t>
            </w:r>
          </w:p>
        </w:tc>
        <w:tc>
          <w:tcPr>
            <w:tcW w:w="3811" w:type="dxa"/>
            <w:vMerge w:val="continue"/>
            <w:noWrap w:val="0"/>
            <w:vAlign w:val="center"/>
          </w:tcPr>
          <w:p>
            <w:pPr>
              <w:keepNext w:val="0"/>
              <w:keepLines w:val="0"/>
              <w:pageBreakBefore w:val="0"/>
              <w:kinsoku/>
              <w:wordWrap/>
              <w:topLinePunct w:val="0"/>
              <w:bidi w:val="0"/>
              <w:adjustRightInd w:val="0"/>
              <w:snapToGrid/>
              <w:spacing w:line="500" w:lineRule="exact"/>
              <w:jc w:val="left"/>
              <w:rPr>
                <w:rFonts w:hint="eastAsia" w:ascii="仿宋" w:hAnsi="仿宋" w:eastAsia="仿宋" w:cs="仿宋"/>
                <w:b/>
                <w:bCs/>
                <w:color w:val="auto"/>
                <w:kern w:val="0"/>
                <w:sz w:val="24"/>
                <w:szCs w:val="24"/>
                <w:highlight w:val="none"/>
              </w:rPr>
            </w:pPr>
          </w:p>
        </w:tc>
      </w:tr>
    </w:tbl>
    <w:p>
      <w:pPr>
        <w:keepNext w:val="0"/>
        <w:keepLines w:val="0"/>
        <w:pageBreakBefore w:val="0"/>
        <w:kinsoku/>
        <w:wordWrap/>
        <w:topLinePunct w:val="0"/>
        <w:bidi w:val="0"/>
        <w:adjustRightInd w:val="0"/>
        <w:snapToGrid/>
        <w:spacing w:line="500" w:lineRule="exact"/>
        <w:ind w:firstLine="241" w:firstLineChars="10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注：投标人拟派人员配备必须满足本表</w:t>
      </w:r>
      <w:r>
        <w:rPr>
          <w:rFonts w:hint="eastAsia" w:ascii="仿宋" w:hAnsi="仿宋" w:eastAsia="仿宋" w:cs="仿宋"/>
          <w:b/>
          <w:bCs/>
          <w:color w:val="auto"/>
          <w:kern w:val="0"/>
          <w:sz w:val="24"/>
          <w:szCs w:val="24"/>
          <w:highlight w:val="none"/>
          <w:lang w:val="en-US" w:eastAsia="zh-CN"/>
        </w:rPr>
        <w:t>50</w:t>
      </w:r>
      <w:r>
        <w:rPr>
          <w:rFonts w:hint="eastAsia" w:ascii="仿宋" w:hAnsi="仿宋" w:eastAsia="仿宋" w:cs="仿宋"/>
          <w:b/>
          <w:bCs/>
          <w:color w:val="auto"/>
          <w:kern w:val="0"/>
          <w:sz w:val="24"/>
          <w:szCs w:val="24"/>
          <w:highlight w:val="none"/>
        </w:rPr>
        <w:t>人的最低配置数量要求，否则作无效标处理。</w:t>
      </w:r>
      <w:r>
        <w:rPr>
          <w:rFonts w:hint="eastAsia" w:ascii="仿宋" w:hAnsi="仿宋" w:eastAsia="仿宋" w:cs="仿宋"/>
          <w:color w:val="auto"/>
          <w:kern w:val="0"/>
          <w:sz w:val="24"/>
          <w:szCs w:val="24"/>
          <w:highlight w:val="none"/>
        </w:rPr>
        <w:t>同时要求合同签订后七日内人员必须配备完成，并开展相关工作。</w:t>
      </w:r>
      <w:r>
        <w:rPr>
          <w:rFonts w:hint="eastAsia" w:ascii="仿宋" w:hAnsi="仿宋" w:eastAsia="仿宋" w:cs="仿宋"/>
          <w:color w:val="auto"/>
          <w:sz w:val="24"/>
          <w:szCs w:val="24"/>
          <w:highlight w:val="none"/>
        </w:rPr>
        <w:t>人员全部到位后方可计算服务费用。未达到相关要求的，招标人有权解除合同。</w:t>
      </w:r>
    </w:p>
    <w:p>
      <w:pPr>
        <w:numPr>
          <w:ilvl w:val="0"/>
          <w:numId w:val="3"/>
        </w:num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项目负责人</w:t>
      </w:r>
      <w:r>
        <w:rPr>
          <w:rFonts w:hint="eastAsia" w:ascii="仿宋" w:hAnsi="仿宋" w:eastAsia="仿宋" w:cs="仿宋"/>
          <w:snapToGrid w:val="0"/>
          <w:color w:val="auto"/>
          <w:kern w:val="0"/>
          <w:sz w:val="24"/>
          <w:szCs w:val="24"/>
          <w:highlight w:val="none"/>
          <w:lang w:val="en-US" w:eastAsia="zh-CN"/>
        </w:rPr>
        <w:t>要求：</w:t>
      </w:r>
      <w:r>
        <w:rPr>
          <w:rFonts w:hint="eastAsia" w:ascii="仿宋" w:hAnsi="仿宋" w:eastAsia="仿宋" w:cs="仿宋"/>
          <w:snapToGrid w:val="0"/>
          <w:color w:val="auto"/>
          <w:kern w:val="0"/>
          <w:sz w:val="24"/>
          <w:szCs w:val="24"/>
          <w:highlight w:val="none"/>
        </w:rPr>
        <w:t>工作责任心强，身体健康，须服从采购人及相关部门的日常检查、监督和指导</w:t>
      </w:r>
      <w:r>
        <w:rPr>
          <w:rFonts w:hint="eastAsia" w:ascii="仿宋" w:hAnsi="仿宋" w:eastAsia="仿宋" w:cs="仿宋"/>
          <w:snapToGrid w:val="0"/>
          <w:color w:val="auto"/>
          <w:kern w:val="0"/>
          <w:sz w:val="24"/>
          <w:szCs w:val="24"/>
          <w:highlight w:val="none"/>
          <w:lang w:eastAsia="zh-CN"/>
        </w:rPr>
        <w:t>，年龄</w:t>
      </w:r>
      <w:r>
        <w:rPr>
          <w:rFonts w:hint="eastAsia" w:ascii="仿宋" w:hAnsi="仿宋" w:eastAsia="仿宋" w:cs="仿宋"/>
          <w:snapToGrid w:val="0"/>
          <w:color w:val="auto"/>
          <w:kern w:val="0"/>
          <w:sz w:val="24"/>
          <w:szCs w:val="24"/>
          <w:highlight w:val="none"/>
          <w:lang w:val="en-US" w:eastAsia="zh-CN"/>
        </w:rPr>
        <w:t>45周岁以下；</w:t>
      </w:r>
      <w:r>
        <w:rPr>
          <w:rFonts w:hint="eastAsia" w:ascii="仿宋" w:hAnsi="仿宋" w:eastAsia="仿宋" w:cs="仿宋"/>
          <w:snapToGrid w:val="0"/>
          <w:color w:val="auto"/>
          <w:kern w:val="0"/>
          <w:sz w:val="24"/>
          <w:szCs w:val="24"/>
          <w:highlight w:val="none"/>
          <w:lang w:eastAsia="zh-CN"/>
        </w:rPr>
        <w:t>其他</w:t>
      </w:r>
      <w:r>
        <w:rPr>
          <w:rFonts w:hint="eastAsia" w:ascii="仿宋" w:hAnsi="仿宋" w:eastAsia="仿宋" w:cs="仿宋"/>
          <w:snapToGrid w:val="0"/>
          <w:color w:val="auto"/>
          <w:kern w:val="0"/>
          <w:sz w:val="24"/>
          <w:szCs w:val="24"/>
          <w:highlight w:val="none"/>
        </w:rPr>
        <w:t>人员要求</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rPr>
        <w:t>身高170cm以上，</w:t>
      </w:r>
      <w:r>
        <w:rPr>
          <w:rFonts w:hint="eastAsia" w:ascii="仿宋" w:hAnsi="仿宋" w:eastAsia="仿宋" w:cs="仿宋"/>
          <w:snapToGrid w:val="0"/>
          <w:color w:val="auto"/>
          <w:kern w:val="0"/>
          <w:sz w:val="24"/>
          <w:szCs w:val="24"/>
          <w:highlight w:val="none"/>
          <w:lang w:val="en-US" w:eastAsia="zh-CN"/>
        </w:rPr>
        <w:t>35周岁及以下，高中及以上文化程度</w:t>
      </w:r>
      <w:r>
        <w:rPr>
          <w:rFonts w:hint="eastAsia" w:ascii="仿宋" w:hAnsi="仿宋" w:eastAsia="仿宋" w:cs="仿宋"/>
          <w:snapToGrid w:val="0"/>
          <w:color w:val="auto"/>
          <w:kern w:val="0"/>
          <w:sz w:val="24"/>
          <w:szCs w:val="24"/>
          <w:highlight w:val="none"/>
        </w:rPr>
        <w:t>；政治素养好、品行端正、责任心强、无违法犯罪记录、身体健康，仪表端庄，精力充沛，无不良嗜好，工作认真负责并定期接受培训；</w:t>
      </w:r>
    </w:p>
    <w:p>
      <w:pPr>
        <w:numPr>
          <w:ilvl w:val="0"/>
          <w:numId w:val="0"/>
        </w:num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、人员上岗时佩戴统一标志，按需求穿戴统一制服（投标人自行配备，服装款式须征得招标人同意），装备佩戴规范，仪容仪表规范整齐，当值时坐姿挺直，站岗时不倚不靠、采用跨立站岗。</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、合同执行过程中，未经采购人同意，项目经理和服务人员不得随意更换，如需更换，需提前一个月告知采购人并征得其同意后更换。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lang w:val="en-US" w:eastAsia="zh-CN"/>
        </w:rPr>
        <w:t>4</w:t>
      </w:r>
      <w:r>
        <w:rPr>
          <w:rFonts w:hint="eastAsia" w:ascii="仿宋" w:hAnsi="仿宋" w:eastAsia="仿宋" w:cs="仿宋"/>
          <w:snapToGrid w:val="0"/>
          <w:color w:val="auto"/>
          <w:kern w:val="0"/>
          <w:sz w:val="24"/>
          <w:szCs w:val="24"/>
          <w:highlight w:val="none"/>
        </w:rPr>
        <w:t>、经采购人考察，中标人配置的人员不适应本项目岗位要求的，采购人有权更换不适应岗位的人员，中标人须按采购人要求及时更换。</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仿宋" w:hAnsi="仿宋" w:eastAsia="仿宋" w:cs="仿宋"/>
          <w:b/>
          <w:color w:val="auto"/>
          <w:sz w:val="24"/>
          <w:szCs w:val="24"/>
          <w:highlight w:val="none"/>
        </w:rPr>
      </w:pPr>
      <w:bookmarkStart w:id="26" w:name="_Toc22507"/>
      <w:r>
        <w:rPr>
          <w:rFonts w:hint="eastAsia" w:ascii="仿宋" w:hAnsi="仿宋" w:eastAsia="仿宋" w:cs="仿宋"/>
          <w:b/>
          <w:bCs/>
          <w:color w:val="auto"/>
          <w:sz w:val="24"/>
          <w:szCs w:val="24"/>
          <w:highlight w:val="none"/>
        </w:rPr>
        <w:t>四、</w:t>
      </w:r>
      <w:bookmarkEnd w:id="26"/>
      <w:bookmarkStart w:id="27" w:name="_Toc26638"/>
      <w:r>
        <w:rPr>
          <w:rFonts w:hint="eastAsia" w:ascii="仿宋" w:hAnsi="仿宋" w:eastAsia="仿宋" w:cs="仿宋"/>
          <w:b/>
          <w:color w:val="auto"/>
          <w:sz w:val="24"/>
          <w:szCs w:val="24"/>
          <w:highlight w:val="none"/>
          <w:lang w:eastAsia="zh-CN"/>
        </w:rPr>
        <w:t>服装</w:t>
      </w:r>
      <w:r>
        <w:rPr>
          <w:rFonts w:hint="eastAsia" w:ascii="仿宋" w:hAnsi="仿宋" w:eastAsia="仿宋" w:cs="仿宋"/>
          <w:b/>
          <w:color w:val="auto"/>
          <w:sz w:val="24"/>
          <w:szCs w:val="24"/>
          <w:highlight w:val="none"/>
        </w:rPr>
        <w:t>要求：</w:t>
      </w:r>
      <w:bookmarkEnd w:id="27"/>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中标人完成本项目服务所需的</w:t>
      </w:r>
      <w:r>
        <w:rPr>
          <w:rFonts w:hint="eastAsia" w:ascii="仿宋" w:hAnsi="仿宋" w:eastAsia="仿宋" w:cs="仿宋"/>
          <w:bCs/>
          <w:color w:val="auto"/>
          <w:sz w:val="24"/>
          <w:szCs w:val="24"/>
          <w:highlight w:val="none"/>
          <w:lang w:eastAsia="zh-CN"/>
        </w:rPr>
        <w:t>服装</w:t>
      </w:r>
      <w:r>
        <w:rPr>
          <w:rFonts w:hint="eastAsia" w:ascii="仿宋" w:hAnsi="仿宋" w:eastAsia="仿宋" w:cs="仿宋"/>
          <w:bCs/>
          <w:color w:val="auto"/>
          <w:sz w:val="24"/>
          <w:szCs w:val="24"/>
          <w:highlight w:val="none"/>
        </w:rPr>
        <w:t>由中标人负责，且须符合</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相关规范要求。</w:t>
      </w:r>
    </w:p>
    <w:p>
      <w:pPr>
        <w:spacing w:line="360" w:lineRule="auto"/>
        <w:jc w:val="left"/>
        <w:outlineLvl w:val="0"/>
        <w:rPr>
          <w:rFonts w:hint="eastAsia" w:ascii="仿宋" w:hAnsi="仿宋" w:eastAsia="仿宋" w:cs="仿宋"/>
          <w:b/>
          <w:color w:val="auto"/>
          <w:sz w:val="24"/>
          <w:szCs w:val="24"/>
          <w:highlight w:val="none"/>
        </w:rPr>
      </w:pPr>
      <w:bookmarkStart w:id="28" w:name="_Toc20920"/>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、项目其他要求：</w:t>
      </w:r>
      <w:bookmarkEnd w:id="28"/>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人须为每位符合国家规定社保条件的职工参加社保（包括基本养老、基本医疗、工伤、失业、生育），不符合国家规定社保条件的，须按相关规定处理。中标人用工须符合《劳动法》及省、市地方用工政策。合同期间如发生安全生产责任事故或交通事故等事故，由中标人承担一切责任及损失，与采购人无涉。</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2、中标人用工需符合国家、省、市地方用工政策，如出现用工纠纷的由中标人承担责任，与采购人无涉。</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3、中标人应根据服务区域范围实际情况，建立服务工作机构，拟定的服务方案须经采购人审核同意后落实。</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4、若遇各类创建活动、灾害天气等特殊情况，中标人须无条件做好服务范围内的相关工作，服从采购人指挥，如有必要的须增加人员或加班加点。</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5、中标人在服务过程中需服从采购人的调配。</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6、中标人须按采购人的要求统一规范着装。</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中标人应定期向采购人上报工作计划、实施情况，建立各类工作台账，实行制度化、规范化管理；定期组织开展业务培训，不断提高服务质量和人员素质。中标人应建立健全安全生产管理制度，服从采购人及相关行政管理部门的安全生产管理。</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8、中标人在合同期内不得以任何理由进行转包或分包，否则应承担违约责任。</w:t>
      </w:r>
    </w:p>
    <w:p>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、服务期限：</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合同期为一年。若在合同期内乙方有不配合甲方工作等严重违约行为或连续二个季度考核不合格的，甲方有权提前终止合同，由此造成的一切后果和损失由乙方承担。  </w:t>
      </w:r>
    </w:p>
    <w:p>
      <w:pPr>
        <w:spacing w:line="360" w:lineRule="auto"/>
        <w:jc w:val="left"/>
        <w:outlineLvl w:val="0"/>
        <w:rPr>
          <w:rFonts w:hint="eastAsia" w:ascii="仿宋" w:hAnsi="仿宋" w:eastAsia="仿宋" w:cs="仿宋"/>
          <w:b/>
          <w:color w:val="auto"/>
          <w:sz w:val="24"/>
          <w:szCs w:val="24"/>
          <w:highlight w:val="none"/>
        </w:rPr>
      </w:pPr>
      <w:bookmarkStart w:id="29" w:name="_Toc19816"/>
      <w:r>
        <w:rPr>
          <w:rFonts w:hint="eastAsia" w:ascii="仿宋" w:hAnsi="仿宋" w:eastAsia="仿宋" w:cs="仿宋"/>
          <w:b/>
          <w:color w:val="auto"/>
          <w:sz w:val="24"/>
          <w:szCs w:val="24"/>
          <w:highlight w:val="none"/>
          <w:lang w:eastAsia="zh-CN"/>
        </w:rPr>
        <w:t>七</w:t>
      </w:r>
      <w:r>
        <w:rPr>
          <w:rFonts w:hint="eastAsia" w:ascii="仿宋" w:hAnsi="仿宋" w:eastAsia="仿宋" w:cs="仿宋"/>
          <w:b/>
          <w:color w:val="auto"/>
          <w:sz w:val="24"/>
          <w:szCs w:val="24"/>
          <w:highlight w:val="none"/>
        </w:rPr>
        <w:t>、履约保证金：无</w:t>
      </w:r>
      <w:bookmarkEnd w:id="29"/>
    </w:p>
    <w:p>
      <w:pPr>
        <w:spacing w:line="360" w:lineRule="auto"/>
        <w:jc w:val="left"/>
        <w:outlineLvl w:val="0"/>
        <w:rPr>
          <w:rFonts w:hint="eastAsia" w:ascii="仿宋" w:hAnsi="仿宋" w:eastAsia="仿宋" w:cs="仿宋"/>
          <w:b/>
          <w:color w:val="auto"/>
          <w:sz w:val="24"/>
          <w:szCs w:val="24"/>
          <w:highlight w:val="none"/>
        </w:rPr>
      </w:pPr>
      <w:bookmarkStart w:id="30" w:name="_Toc3922"/>
      <w:r>
        <w:rPr>
          <w:rFonts w:hint="eastAsia" w:ascii="仿宋" w:hAnsi="仿宋" w:eastAsia="仿宋" w:cs="仿宋"/>
          <w:b/>
          <w:color w:val="auto"/>
          <w:sz w:val="24"/>
          <w:szCs w:val="24"/>
          <w:highlight w:val="none"/>
          <w:lang w:eastAsia="zh-CN"/>
        </w:rPr>
        <w:t>八</w:t>
      </w:r>
      <w:r>
        <w:rPr>
          <w:rFonts w:hint="eastAsia" w:ascii="仿宋" w:hAnsi="仿宋" w:eastAsia="仿宋" w:cs="仿宋"/>
          <w:b/>
          <w:color w:val="auto"/>
          <w:sz w:val="24"/>
          <w:szCs w:val="24"/>
          <w:highlight w:val="none"/>
        </w:rPr>
        <w:t>、投标报价：</w:t>
      </w:r>
      <w:bookmarkEnd w:id="30"/>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投标价格为</w:t>
      </w:r>
      <w:r>
        <w:rPr>
          <w:rFonts w:hint="eastAsia" w:ascii="仿宋" w:hAnsi="仿宋" w:eastAsia="仿宋" w:cs="仿宋"/>
          <w:bCs/>
          <w:color w:val="auto"/>
          <w:sz w:val="24"/>
          <w:szCs w:val="24"/>
          <w:highlight w:val="none"/>
          <w:lang w:eastAsia="zh-CN"/>
        </w:rPr>
        <w:t>本项目</w:t>
      </w:r>
      <w:r>
        <w:rPr>
          <w:rFonts w:hint="eastAsia" w:ascii="仿宋" w:hAnsi="仿宋" w:eastAsia="仿宋" w:cs="仿宋"/>
          <w:bCs/>
          <w:color w:val="auto"/>
          <w:sz w:val="24"/>
          <w:szCs w:val="24"/>
          <w:highlight w:val="none"/>
        </w:rPr>
        <w:t>所需的所有费用，包含人工费【包括人员基本工资、各类福利和补贴（如高温补贴、加班补贴等）、社保（五金）、各种保险】，服装费及合理利润，税金等需要完成本项目服务有关的所有费用。</w:t>
      </w:r>
    </w:p>
    <w:p>
      <w:pPr>
        <w:spacing w:line="360" w:lineRule="auto"/>
        <w:jc w:val="left"/>
        <w:outlineLvl w:val="0"/>
        <w:rPr>
          <w:rFonts w:hint="eastAsia" w:ascii="仿宋" w:hAnsi="仿宋" w:eastAsia="仿宋" w:cs="仿宋"/>
          <w:b/>
          <w:color w:val="auto"/>
          <w:sz w:val="24"/>
          <w:szCs w:val="24"/>
          <w:highlight w:val="none"/>
        </w:rPr>
      </w:pPr>
      <w:bookmarkStart w:id="31" w:name="_Toc21521"/>
      <w:r>
        <w:rPr>
          <w:rFonts w:hint="eastAsia" w:ascii="仿宋" w:hAnsi="仿宋" w:eastAsia="仿宋" w:cs="仿宋"/>
          <w:b/>
          <w:color w:val="auto"/>
          <w:sz w:val="24"/>
          <w:szCs w:val="24"/>
          <w:highlight w:val="none"/>
          <w:lang w:eastAsia="zh-CN"/>
        </w:rPr>
        <w:t>九</w:t>
      </w:r>
      <w:r>
        <w:rPr>
          <w:rFonts w:hint="eastAsia" w:ascii="仿宋" w:hAnsi="仿宋" w:eastAsia="仿宋" w:cs="仿宋"/>
          <w:b/>
          <w:color w:val="auto"/>
          <w:sz w:val="24"/>
          <w:szCs w:val="24"/>
          <w:highlight w:val="none"/>
        </w:rPr>
        <w:t>、付款方式：</w:t>
      </w:r>
      <w:bookmarkEnd w:id="31"/>
    </w:p>
    <w:p>
      <w:pPr>
        <w:pStyle w:val="973"/>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服务费按每</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个自然月为一个周期结算一次，根据考核结果支付上一周期费用，乙方于3个工作日内开具符合甲方要求的服务的发票至甲方，甲方在乙方提供发票后的次月15个工作日向乙方支付费用（遇国家法定节假日顺延）。</w:t>
      </w:r>
    </w:p>
    <w:p>
      <w:pPr>
        <w:spacing w:line="360" w:lineRule="auto"/>
        <w:jc w:val="left"/>
        <w:outlineLvl w:val="0"/>
        <w:rPr>
          <w:rFonts w:hint="eastAsia" w:ascii="仿宋" w:hAnsi="仿宋" w:eastAsia="仿宋" w:cs="仿宋"/>
          <w:b/>
          <w:color w:val="auto"/>
          <w:sz w:val="24"/>
          <w:szCs w:val="24"/>
          <w:highlight w:val="none"/>
        </w:rPr>
      </w:pPr>
      <w:bookmarkStart w:id="32" w:name="_Toc10766"/>
      <w:r>
        <w:rPr>
          <w:rFonts w:hint="eastAsia" w:ascii="仿宋" w:hAnsi="仿宋" w:eastAsia="仿宋" w:cs="仿宋"/>
          <w:b/>
          <w:color w:val="auto"/>
          <w:sz w:val="24"/>
          <w:szCs w:val="24"/>
          <w:highlight w:val="none"/>
        </w:rPr>
        <w:t>十、考核</w:t>
      </w:r>
      <w:r>
        <w:rPr>
          <w:rFonts w:hint="eastAsia" w:ascii="仿宋" w:hAnsi="仿宋" w:eastAsia="仿宋" w:cs="仿宋"/>
          <w:b/>
          <w:color w:val="auto"/>
          <w:sz w:val="24"/>
          <w:szCs w:val="24"/>
          <w:highlight w:val="none"/>
          <w:lang w:eastAsia="zh-CN"/>
        </w:rPr>
        <w:t>及处罚措施</w:t>
      </w:r>
      <w:r>
        <w:rPr>
          <w:rFonts w:hint="eastAsia" w:ascii="仿宋" w:hAnsi="仿宋" w:eastAsia="仿宋" w:cs="仿宋"/>
          <w:b/>
          <w:color w:val="auto"/>
          <w:sz w:val="24"/>
          <w:szCs w:val="24"/>
          <w:highlight w:val="none"/>
        </w:rPr>
        <w:t>：</w:t>
      </w:r>
      <w:bookmarkEnd w:id="32"/>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1、考核内容：主要对其</w:t>
      </w:r>
      <w:r>
        <w:rPr>
          <w:rFonts w:hint="eastAsia" w:ascii="仿宋" w:hAnsi="仿宋" w:eastAsia="仿宋" w:cs="仿宋"/>
          <w:bCs/>
          <w:color w:val="auto"/>
          <w:sz w:val="24"/>
          <w:szCs w:val="24"/>
          <w:highlight w:val="none"/>
          <w:lang w:eastAsia="zh-CN"/>
        </w:rPr>
        <w:t>守小门</w:t>
      </w:r>
      <w:r>
        <w:rPr>
          <w:rFonts w:hint="eastAsia" w:ascii="仿宋" w:hAnsi="仿宋" w:eastAsia="仿宋" w:cs="仿宋"/>
          <w:bCs/>
          <w:color w:val="auto"/>
          <w:sz w:val="24"/>
          <w:szCs w:val="24"/>
          <w:highlight w:val="none"/>
        </w:rPr>
        <w:t>管理措施、安全管理、秩序管理等内容进行考核，其中包括日常管理、遵规守纪、岗位纪律、安全检查、突发事件上报及时性等。</w:t>
      </w:r>
    </w:p>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2、考核评定</w:t>
      </w:r>
    </w:p>
    <w:p>
      <w:pPr>
        <w:adjustRightInd w:val="0"/>
        <w:snapToGrid w:val="0"/>
        <w:spacing w:line="360" w:lineRule="auto"/>
        <w:ind w:firstLine="472" w:firstLineChars="196"/>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人员日常管理督查考核细则</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扣分内容</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上班迟到、早退、擅自离岗。</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旷工。</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无故不参加会议、集中学习。</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上班期间着装不规范、不整洁。</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在管理区域、路段聚众聊天、看手机、或进入店家做与工作无关的事。</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违反请销假制度。</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将警用装备借于他人使用</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p>
            <w:pPr>
              <w:spacing w:line="360" w:lineRule="auto"/>
              <w:jc w:val="center"/>
              <w:rPr>
                <w:rFonts w:hint="eastAsia" w:ascii="仿宋" w:hAnsi="仿宋" w:eastAsia="仿宋" w:cs="仿宋"/>
                <w:color w:val="auto"/>
                <w:sz w:val="24"/>
                <w:szCs w:val="24"/>
                <w:highlight w:val="none"/>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不服从正常的工作调动</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队员对自己巡逻、管理区域、路段不熟悉，不了解消火栓地点并不能熟练使用消防器材</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遇险情未及时上报，未采取措施制止灾害扩大</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执勤</w:t>
            </w:r>
            <w:r>
              <w:rPr>
                <w:rFonts w:hint="eastAsia" w:ascii="仿宋" w:hAnsi="仿宋" w:eastAsia="仿宋" w:cs="仿宋"/>
                <w:color w:val="auto"/>
                <w:sz w:val="24"/>
                <w:szCs w:val="24"/>
                <w:highlight w:val="none"/>
              </w:rPr>
              <w:t>过程中，遇有正在实施的不法侵害行为时，未迅速制止和报警</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受到国家法律及治安条例处罚</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对督查人员指出的问题不立即进行整改或还顶撞。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部门</w:t>
            </w:r>
            <w:r>
              <w:rPr>
                <w:rFonts w:hint="eastAsia" w:ascii="仿宋" w:hAnsi="仿宋" w:eastAsia="仿宋" w:cs="仿宋"/>
                <w:color w:val="auto"/>
                <w:sz w:val="24"/>
                <w:szCs w:val="24"/>
                <w:highlight w:val="none"/>
              </w:rPr>
              <w:t>领导及街道领导发现、指出的问题，不立即进行整改或还顶撞。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对不服从督查人员督查管理。</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此督查考核仅限于招标单位对中标单位提供的服务外包人员根据服务外包管理内容履职进行考核，根据考核扣分情况进行每月汇总。 </w:t>
            </w:r>
          </w:p>
        </w:tc>
      </w:tr>
    </w:tbl>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检查人员签字：               部室负责人签字：              </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           管理人员签字：               领导签字：</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备注：每月抽查一次，根据检查情况进行扣分；</w:t>
      </w:r>
    </w:p>
    <w:p>
      <w:pPr>
        <w:numPr>
          <w:ilvl w:val="0"/>
          <w:numId w:val="4"/>
        </w:num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若分值＜80分，扣除该项目</w:t>
      </w:r>
      <w:r>
        <w:rPr>
          <w:rFonts w:hint="eastAsia" w:ascii="仿宋" w:hAnsi="仿宋" w:eastAsia="仿宋" w:cs="仿宋"/>
          <w:color w:val="auto"/>
          <w:sz w:val="24"/>
          <w:szCs w:val="24"/>
          <w:highlight w:val="none"/>
          <w:lang w:eastAsia="zh-CN"/>
        </w:rPr>
        <w:t>当月服务费用的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pPr>
        <w:numPr>
          <w:ilvl w:val="0"/>
          <w:numId w:val="4"/>
        </w:num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若分值＜80分，可无条件解除本合同；</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C、若80分≤考核得分＜85分，按扣分值（300元/分）在本月服务费中扣除；</w:t>
      </w:r>
    </w:p>
    <w:p>
      <w:pPr>
        <w:pStyle w:val="8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D、考核得分≥85分，甲方支付合同约定服务费用的100%；</w:t>
      </w:r>
    </w:p>
    <w:p>
      <w:pPr>
        <w:snapToGrid w:val="0"/>
        <w:spacing w:line="360" w:lineRule="auto"/>
        <w:jc w:val="both"/>
        <w:rPr>
          <w:rFonts w:hint="eastAsia" w:ascii="仿宋" w:hAnsi="仿宋" w:eastAsia="仿宋" w:cs="仿宋"/>
          <w:b/>
          <w:color w:val="auto"/>
          <w:sz w:val="36"/>
          <w:szCs w:val="36"/>
          <w:highlight w:val="none"/>
        </w:rPr>
      </w:pPr>
    </w:p>
    <w:p>
      <w:pPr>
        <w:pStyle w:val="2"/>
        <w:ind w:left="0" w:leftChars="0" w:firstLine="0" w:firstLineChars="0"/>
        <w:rPr>
          <w:rFonts w:hint="eastAsia"/>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3" w:name="_Toc184308094"/>
      <w:bookmarkEnd w:id="33"/>
      <w:bookmarkStart w:id="34" w:name="_Toc184312102"/>
      <w:bookmarkEnd w:id="34"/>
      <w:bookmarkStart w:id="35" w:name="_Toc184313242"/>
      <w:bookmarkEnd w:id="35"/>
      <w:bookmarkStart w:id="36" w:name="_Toc184308077"/>
      <w:bookmarkEnd w:id="36"/>
      <w:bookmarkStart w:id="37" w:name="_Toc184313241"/>
      <w:bookmarkEnd w:id="37"/>
      <w:bookmarkStart w:id="38" w:name="_Toc184314460"/>
      <w:bookmarkEnd w:id="38"/>
      <w:bookmarkStart w:id="39" w:name="_Toc184314463"/>
      <w:bookmarkEnd w:id="39"/>
      <w:bookmarkStart w:id="40" w:name="_Toc184312127"/>
      <w:bookmarkEnd w:id="40"/>
      <w:bookmarkStart w:id="41" w:name="_Toc184312101"/>
      <w:bookmarkEnd w:id="41"/>
      <w:bookmarkStart w:id="42" w:name="_Toc184312105"/>
      <w:bookmarkEnd w:id="42"/>
      <w:bookmarkStart w:id="43" w:name="_Toc184313268"/>
      <w:bookmarkEnd w:id="43"/>
      <w:bookmarkStart w:id="44" w:name="_Toc184308085"/>
      <w:bookmarkEnd w:id="44"/>
      <w:bookmarkStart w:id="45" w:name="_Toc184310283"/>
      <w:bookmarkEnd w:id="45"/>
      <w:bookmarkStart w:id="46" w:name="_Toc184313270"/>
      <w:bookmarkEnd w:id="46"/>
      <w:bookmarkStart w:id="47" w:name="_Toc184312137"/>
      <w:bookmarkEnd w:id="47"/>
      <w:bookmarkStart w:id="48" w:name="_Toc184314469"/>
      <w:bookmarkEnd w:id="48"/>
      <w:bookmarkStart w:id="49" w:name="_Toc184312099"/>
      <w:bookmarkEnd w:id="49"/>
      <w:bookmarkStart w:id="50" w:name="_Toc184312124"/>
      <w:bookmarkEnd w:id="50"/>
      <w:bookmarkStart w:id="51" w:name="_Toc184308087"/>
      <w:bookmarkEnd w:id="51"/>
      <w:bookmarkStart w:id="52" w:name="_Toc184313294"/>
      <w:bookmarkEnd w:id="52"/>
      <w:bookmarkStart w:id="53" w:name="_Toc184314467"/>
      <w:bookmarkEnd w:id="53"/>
      <w:bookmarkStart w:id="54" w:name="_Toc184313289"/>
      <w:bookmarkEnd w:id="54"/>
      <w:bookmarkStart w:id="55" w:name="_Toc184310328"/>
      <w:bookmarkEnd w:id="55"/>
      <w:bookmarkStart w:id="56" w:name="_Toc184313293"/>
      <w:bookmarkEnd w:id="56"/>
      <w:bookmarkStart w:id="57" w:name="_Toc184308090"/>
      <w:bookmarkEnd w:id="57"/>
      <w:bookmarkStart w:id="58" w:name="_Toc184308106"/>
      <w:bookmarkEnd w:id="58"/>
      <w:bookmarkStart w:id="59" w:name="_Toc184314482"/>
      <w:bookmarkEnd w:id="59"/>
      <w:bookmarkStart w:id="60" w:name="_Toc184314420"/>
      <w:bookmarkEnd w:id="60"/>
      <w:bookmarkStart w:id="61" w:name="_Toc184313248"/>
      <w:bookmarkEnd w:id="61"/>
      <w:bookmarkStart w:id="62" w:name="_Toc184312079"/>
      <w:bookmarkEnd w:id="62"/>
      <w:bookmarkStart w:id="63" w:name="_Toc184313252"/>
      <w:bookmarkEnd w:id="63"/>
      <w:bookmarkStart w:id="64" w:name="_Toc184314478"/>
      <w:bookmarkEnd w:id="64"/>
      <w:bookmarkStart w:id="65" w:name="_Toc184308047"/>
      <w:bookmarkEnd w:id="65"/>
      <w:bookmarkStart w:id="66" w:name="_Toc184313281"/>
      <w:bookmarkEnd w:id="66"/>
      <w:bookmarkStart w:id="67" w:name="_Toc184310274"/>
      <w:bookmarkEnd w:id="67"/>
      <w:bookmarkStart w:id="68" w:name="_Toc184314453"/>
      <w:bookmarkEnd w:id="68"/>
      <w:bookmarkStart w:id="69" w:name="_Toc184314437"/>
      <w:bookmarkEnd w:id="69"/>
      <w:bookmarkStart w:id="70" w:name="_Toc184310339"/>
      <w:bookmarkEnd w:id="70"/>
      <w:bookmarkStart w:id="71" w:name="_Toc184308091"/>
      <w:bookmarkEnd w:id="71"/>
      <w:bookmarkStart w:id="72" w:name="_Toc184313298"/>
      <w:bookmarkEnd w:id="72"/>
      <w:bookmarkStart w:id="73" w:name="_Toc184312106"/>
      <w:bookmarkEnd w:id="73"/>
      <w:bookmarkStart w:id="74" w:name="_Toc184308086"/>
      <w:bookmarkEnd w:id="74"/>
      <w:bookmarkStart w:id="75" w:name="_Toc184313296"/>
      <w:bookmarkEnd w:id="75"/>
      <w:bookmarkStart w:id="76" w:name="_Toc184314432"/>
      <w:bookmarkEnd w:id="76"/>
      <w:bookmarkStart w:id="77" w:name="_Toc184308088"/>
      <w:bookmarkEnd w:id="77"/>
      <w:bookmarkStart w:id="78" w:name="_Toc184310280"/>
      <w:bookmarkEnd w:id="78"/>
      <w:bookmarkStart w:id="79" w:name="_Toc184313301"/>
      <w:bookmarkEnd w:id="79"/>
      <w:bookmarkStart w:id="80" w:name="_Toc184312084"/>
      <w:bookmarkEnd w:id="80"/>
      <w:bookmarkStart w:id="81" w:name="_Toc184312078"/>
      <w:bookmarkEnd w:id="81"/>
      <w:bookmarkStart w:id="82" w:name="_Toc184312119"/>
      <w:bookmarkEnd w:id="82"/>
      <w:bookmarkStart w:id="83" w:name="_Toc184313308"/>
      <w:bookmarkEnd w:id="83"/>
      <w:bookmarkStart w:id="84" w:name="_Toc184310298"/>
      <w:bookmarkEnd w:id="84"/>
      <w:bookmarkStart w:id="85" w:name="_Toc184314466"/>
      <w:bookmarkEnd w:id="85"/>
      <w:bookmarkStart w:id="86" w:name="_Toc184314454"/>
      <w:bookmarkEnd w:id="86"/>
      <w:bookmarkStart w:id="87" w:name="_Toc184308052"/>
      <w:bookmarkEnd w:id="87"/>
      <w:bookmarkStart w:id="88" w:name="_Toc184313283"/>
      <w:bookmarkEnd w:id="88"/>
      <w:bookmarkStart w:id="89" w:name="_Toc184310286"/>
      <w:bookmarkEnd w:id="89"/>
      <w:bookmarkStart w:id="90" w:name="_Toc184314415"/>
      <w:bookmarkEnd w:id="90"/>
      <w:bookmarkStart w:id="91" w:name="_Toc184308095"/>
      <w:bookmarkEnd w:id="91"/>
      <w:bookmarkStart w:id="92" w:name="_Toc184314428"/>
      <w:bookmarkEnd w:id="92"/>
      <w:bookmarkStart w:id="93" w:name="_Toc184313274"/>
      <w:bookmarkEnd w:id="93"/>
      <w:bookmarkStart w:id="94" w:name="_Toc184308067"/>
      <w:bookmarkEnd w:id="94"/>
      <w:bookmarkStart w:id="95" w:name="_Toc184310293"/>
      <w:bookmarkEnd w:id="95"/>
      <w:bookmarkStart w:id="96" w:name="_Toc184312132"/>
      <w:bookmarkEnd w:id="96"/>
      <w:bookmarkStart w:id="97" w:name="_Toc184310333"/>
      <w:bookmarkEnd w:id="97"/>
      <w:bookmarkStart w:id="98" w:name="_Toc184313286"/>
      <w:bookmarkEnd w:id="98"/>
      <w:bookmarkStart w:id="99" w:name="_Toc184314436"/>
      <w:bookmarkEnd w:id="99"/>
      <w:bookmarkStart w:id="100" w:name="_Toc184310315"/>
      <w:bookmarkEnd w:id="100"/>
      <w:bookmarkStart w:id="101" w:name="_Toc184312093"/>
      <w:bookmarkEnd w:id="101"/>
      <w:bookmarkStart w:id="102" w:name="_Toc184312072"/>
      <w:bookmarkEnd w:id="102"/>
      <w:bookmarkStart w:id="103" w:name="_Toc184312096"/>
      <w:bookmarkEnd w:id="103"/>
      <w:bookmarkStart w:id="104" w:name="_Toc184312130"/>
      <w:bookmarkEnd w:id="104"/>
      <w:bookmarkStart w:id="105" w:name="_Toc184310313"/>
      <w:bookmarkEnd w:id="105"/>
      <w:bookmarkStart w:id="106" w:name="_Toc184313239"/>
      <w:bookmarkEnd w:id="106"/>
      <w:bookmarkStart w:id="107" w:name="_Toc184308076"/>
      <w:bookmarkEnd w:id="107"/>
      <w:bookmarkStart w:id="108" w:name="_Toc184314470"/>
      <w:bookmarkEnd w:id="108"/>
      <w:bookmarkStart w:id="109" w:name="_Toc184308037"/>
      <w:bookmarkEnd w:id="109"/>
      <w:bookmarkStart w:id="110" w:name="_Toc184314458"/>
      <w:bookmarkEnd w:id="110"/>
      <w:bookmarkStart w:id="111" w:name="_Toc184308082"/>
      <w:bookmarkEnd w:id="111"/>
      <w:bookmarkStart w:id="112" w:name="_Toc184310330"/>
      <w:bookmarkEnd w:id="112"/>
      <w:bookmarkStart w:id="113" w:name="_Toc184310312"/>
      <w:bookmarkEnd w:id="113"/>
      <w:bookmarkStart w:id="114" w:name="_Toc184313255"/>
      <w:bookmarkEnd w:id="114"/>
      <w:bookmarkStart w:id="115" w:name="_Toc184313307"/>
      <w:bookmarkEnd w:id="115"/>
      <w:bookmarkStart w:id="116" w:name="_Toc184314465"/>
      <w:bookmarkEnd w:id="116"/>
      <w:bookmarkStart w:id="117" w:name="_Toc184313250"/>
      <w:bookmarkEnd w:id="117"/>
      <w:bookmarkStart w:id="118" w:name="_Toc184312069"/>
      <w:bookmarkEnd w:id="118"/>
      <w:bookmarkStart w:id="119" w:name="_Toc184308038"/>
      <w:bookmarkEnd w:id="119"/>
      <w:bookmarkStart w:id="120" w:name="_Toc184314442"/>
      <w:bookmarkEnd w:id="120"/>
      <w:bookmarkStart w:id="121" w:name="_Toc184308083"/>
      <w:bookmarkEnd w:id="121"/>
      <w:bookmarkStart w:id="122" w:name="_Toc184308063"/>
      <w:bookmarkEnd w:id="122"/>
      <w:bookmarkStart w:id="123" w:name="_Toc184310299"/>
      <w:bookmarkEnd w:id="123"/>
      <w:bookmarkStart w:id="124" w:name="_Toc184314416"/>
      <w:bookmarkEnd w:id="124"/>
      <w:bookmarkStart w:id="125" w:name="_Toc184310292"/>
      <w:bookmarkEnd w:id="125"/>
      <w:bookmarkStart w:id="126" w:name="_Toc184308101"/>
      <w:bookmarkEnd w:id="126"/>
      <w:bookmarkStart w:id="127" w:name="_Toc184314455"/>
      <w:bookmarkEnd w:id="127"/>
      <w:bookmarkStart w:id="128" w:name="_Toc184310288"/>
      <w:bookmarkEnd w:id="128"/>
      <w:bookmarkStart w:id="129" w:name="_Toc184308064"/>
      <w:bookmarkEnd w:id="129"/>
      <w:bookmarkStart w:id="130" w:name="_Toc184313271"/>
      <w:bookmarkEnd w:id="130"/>
      <w:bookmarkStart w:id="131" w:name="_Toc184313291"/>
      <w:bookmarkEnd w:id="131"/>
      <w:bookmarkStart w:id="132" w:name="_Toc184310341"/>
      <w:bookmarkEnd w:id="132"/>
      <w:bookmarkStart w:id="133" w:name="_Toc184310302"/>
      <w:bookmarkEnd w:id="133"/>
      <w:bookmarkStart w:id="134" w:name="_Toc184310273"/>
      <w:bookmarkEnd w:id="134"/>
      <w:bookmarkStart w:id="135" w:name="_Toc184308071"/>
      <w:bookmarkEnd w:id="135"/>
      <w:bookmarkStart w:id="136" w:name="_Toc184314414"/>
      <w:bookmarkEnd w:id="136"/>
      <w:bookmarkStart w:id="137" w:name="_Toc184312122"/>
      <w:bookmarkEnd w:id="137"/>
      <w:bookmarkStart w:id="138" w:name="_Toc184312128"/>
      <w:bookmarkEnd w:id="138"/>
      <w:bookmarkStart w:id="139" w:name="_Toc184308056"/>
      <w:bookmarkEnd w:id="139"/>
      <w:bookmarkStart w:id="140" w:name="_Toc184314449"/>
      <w:bookmarkEnd w:id="140"/>
      <w:bookmarkStart w:id="141" w:name="_Toc184312081"/>
      <w:bookmarkEnd w:id="141"/>
      <w:bookmarkStart w:id="142" w:name="_Toc184312067"/>
      <w:bookmarkEnd w:id="142"/>
      <w:bookmarkStart w:id="143" w:name="_Toc184312085"/>
      <w:bookmarkEnd w:id="143"/>
      <w:bookmarkStart w:id="144" w:name="_Toc184314439"/>
      <w:bookmarkEnd w:id="144"/>
      <w:bookmarkStart w:id="145" w:name="_Toc184313262"/>
      <w:bookmarkEnd w:id="145"/>
      <w:bookmarkStart w:id="146" w:name="_Toc184313260"/>
      <w:bookmarkEnd w:id="146"/>
      <w:bookmarkStart w:id="147" w:name="_Toc184308057"/>
      <w:bookmarkEnd w:id="147"/>
      <w:bookmarkStart w:id="148" w:name="_Toc184310308"/>
      <w:bookmarkEnd w:id="148"/>
      <w:bookmarkStart w:id="149" w:name="_Toc184308055"/>
      <w:bookmarkEnd w:id="149"/>
      <w:bookmarkStart w:id="150" w:name="_Toc184313282"/>
      <w:bookmarkEnd w:id="150"/>
      <w:bookmarkStart w:id="151" w:name="_Toc184314426"/>
      <w:bookmarkEnd w:id="151"/>
      <w:bookmarkStart w:id="152" w:name="_Toc184310275"/>
      <w:bookmarkEnd w:id="152"/>
      <w:bookmarkStart w:id="153" w:name="_Toc184313275"/>
      <w:bookmarkEnd w:id="153"/>
      <w:bookmarkStart w:id="154" w:name="_Toc184310336"/>
      <w:bookmarkEnd w:id="154"/>
      <w:bookmarkStart w:id="155" w:name="_Toc184314475"/>
      <w:bookmarkEnd w:id="155"/>
      <w:bookmarkStart w:id="156" w:name="_Toc184313266"/>
      <w:bookmarkEnd w:id="156"/>
      <w:bookmarkStart w:id="157" w:name="_Toc184314448"/>
      <w:bookmarkEnd w:id="157"/>
      <w:bookmarkStart w:id="158" w:name="_Toc184310300"/>
      <w:bookmarkEnd w:id="158"/>
      <w:bookmarkStart w:id="159" w:name="_Toc184310289"/>
      <w:bookmarkEnd w:id="159"/>
      <w:bookmarkStart w:id="160" w:name="_Toc184314438"/>
      <w:bookmarkEnd w:id="160"/>
      <w:bookmarkStart w:id="161" w:name="_Toc184310337"/>
      <w:bookmarkEnd w:id="161"/>
      <w:bookmarkStart w:id="162" w:name="_Toc184310322"/>
      <w:bookmarkEnd w:id="162"/>
      <w:bookmarkStart w:id="163" w:name="_Toc184312090"/>
      <w:bookmarkEnd w:id="163"/>
      <w:bookmarkStart w:id="164" w:name="_Toc184308039"/>
      <w:bookmarkEnd w:id="164"/>
      <w:bookmarkStart w:id="165" w:name="_Toc184310344"/>
      <w:bookmarkEnd w:id="165"/>
      <w:bookmarkStart w:id="166" w:name="_Toc184308049"/>
      <w:bookmarkEnd w:id="166"/>
      <w:bookmarkStart w:id="167" w:name="_Toc184312088"/>
      <w:bookmarkEnd w:id="167"/>
      <w:bookmarkStart w:id="168" w:name="_Toc184312086"/>
      <w:bookmarkEnd w:id="168"/>
      <w:bookmarkStart w:id="169" w:name="_Toc184312138"/>
      <w:bookmarkEnd w:id="169"/>
      <w:bookmarkStart w:id="170" w:name="_Toc184308065"/>
      <w:bookmarkEnd w:id="170"/>
      <w:bookmarkStart w:id="171" w:name="_Toc184312087"/>
      <w:bookmarkEnd w:id="171"/>
      <w:bookmarkStart w:id="172" w:name="_Toc184312116"/>
      <w:bookmarkEnd w:id="172"/>
      <w:bookmarkStart w:id="173" w:name="_Toc184308072"/>
      <w:bookmarkEnd w:id="173"/>
      <w:bookmarkStart w:id="174" w:name="_Toc184314472"/>
      <w:bookmarkEnd w:id="174"/>
      <w:bookmarkStart w:id="175" w:name="_Toc184310296"/>
      <w:bookmarkEnd w:id="175"/>
      <w:bookmarkStart w:id="176" w:name="_Toc184308040"/>
      <w:bookmarkEnd w:id="176"/>
      <w:bookmarkStart w:id="177" w:name="_Toc184308070"/>
      <w:bookmarkEnd w:id="177"/>
      <w:bookmarkStart w:id="178" w:name="_Toc184312071"/>
      <w:bookmarkEnd w:id="178"/>
      <w:bookmarkStart w:id="179" w:name="_Toc184312098"/>
      <w:bookmarkEnd w:id="179"/>
      <w:bookmarkStart w:id="180" w:name="_Toc184310303"/>
      <w:bookmarkEnd w:id="180"/>
      <w:bookmarkStart w:id="181" w:name="_Toc184308054"/>
      <w:bookmarkEnd w:id="181"/>
      <w:bookmarkStart w:id="182" w:name="_Toc184308078"/>
      <w:bookmarkEnd w:id="182"/>
      <w:bookmarkStart w:id="183" w:name="_Toc184313267"/>
      <w:bookmarkEnd w:id="183"/>
      <w:bookmarkStart w:id="184" w:name="_Toc184313280"/>
      <w:bookmarkEnd w:id="184"/>
      <w:bookmarkStart w:id="185" w:name="_Toc184312068"/>
      <w:bookmarkEnd w:id="185"/>
      <w:bookmarkStart w:id="186" w:name="_Toc184313306"/>
      <w:bookmarkEnd w:id="186"/>
      <w:bookmarkStart w:id="187" w:name="_Toc184313247"/>
      <w:bookmarkEnd w:id="187"/>
      <w:bookmarkStart w:id="188" w:name="_Toc184313245"/>
      <w:bookmarkEnd w:id="188"/>
      <w:bookmarkStart w:id="189" w:name="_Toc184312113"/>
      <w:bookmarkEnd w:id="189"/>
      <w:bookmarkStart w:id="190" w:name="_Toc184308074"/>
      <w:bookmarkEnd w:id="190"/>
      <w:bookmarkStart w:id="191" w:name="_Toc184312114"/>
      <w:bookmarkEnd w:id="191"/>
      <w:bookmarkStart w:id="192" w:name="_Toc184310325"/>
      <w:bookmarkEnd w:id="192"/>
      <w:bookmarkStart w:id="193" w:name="_Toc184313264"/>
      <w:bookmarkEnd w:id="193"/>
      <w:bookmarkStart w:id="194" w:name="_Toc184308108"/>
      <w:bookmarkEnd w:id="194"/>
      <w:bookmarkStart w:id="195" w:name="_Toc184313279"/>
      <w:bookmarkEnd w:id="195"/>
      <w:bookmarkStart w:id="196" w:name="_Toc184313303"/>
      <w:bookmarkEnd w:id="196"/>
      <w:bookmarkStart w:id="197" w:name="_Toc184314429"/>
      <w:bookmarkEnd w:id="197"/>
      <w:bookmarkStart w:id="198" w:name="_Toc184310281"/>
      <w:bookmarkEnd w:id="198"/>
      <w:bookmarkStart w:id="199" w:name="_Toc184313249"/>
      <w:bookmarkEnd w:id="199"/>
      <w:bookmarkStart w:id="200" w:name="_Toc184310340"/>
      <w:bookmarkEnd w:id="200"/>
      <w:bookmarkStart w:id="201" w:name="_Toc184308048"/>
      <w:bookmarkEnd w:id="201"/>
      <w:bookmarkStart w:id="202" w:name="_Toc184312070"/>
      <w:bookmarkEnd w:id="202"/>
      <w:bookmarkStart w:id="203" w:name="_Toc184312123"/>
      <w:bookmarkEnd w:id="203"/>
      <w:bookmarkStart w:id="204" w:name="_Toc184310314"/>
      <w:bookmarkEnd w:id="204"/>
      <w:bookmarkStart w:id="205" w:name="_Toc184312073"/>
      <w:bookmarkEnd w:id="205"/>
      <w:bookmarkStart w:id="206" w:name="_Toc184312095"/>
      <w:bookmarkEnd w:id="206"/>
      <w:bookmarkStart w:id="207" w:name="_Toc184314447"/>
      <w:bookmarkEnd w:id="207"/>
      <w:bookmarkStart w:id="208" w:name="_Toc184310284"/>
      <w:bookmarkEnd w:id="208"/>
      <w:bookmarkStart w:id="209" w:name="_Toc184314464"/>
      <w:bookmarkEnd w:id="209"/>
      <w:bookmarkStart w:id="210" w:name="_Toc184313238"/>
      <w:bookmarkEnd w:id="210"/>
      <w:bookmarkStart w:id="211" w:name="_Toc184310327"/>
      <w:bookmarkEnd w:id="211"/>
      <w:bookmarkStart w:id="212" w:name="_Toc184312133"/>
      <w:bookmarkEnd w:id="212"/>
      <w:bookmarkStart w:id="213" w:name="_Toc184312075"/>
      <w:bookmarkEnd w:id="213"/>
      <w:bookmarkStart w:id="214" w:name="_Toc184314424"/>
      <w:bookmarkEnd w:id="214"/>
      <w:bookmarkStart w:id="215" w:name="_Toc184312076"/>
      <w:bookmarkEnd w:id="215"/>
      <w:bookmarkStart w:id="216" w:name="_Toc184314462"/>
      <w:bookmarkEnd w:id="216"/>
      <w:bookmarkStart w:id="217" w:name="_Toc184314481"/>
      <w:bookmarkEnd w:id="217"/>
      <w:bookmarkStart w:id="218" w:name="_Toc184314440"/>
      <w:bookmarkEnd w:id="218"/>
      <w:bookmarkStart w:id="219" w:name="_Toc184310287"/>
      <w:bookmarkEnd w:id="219"/>
      <w:bookmarkStart w:id="220" w:name="_Toc184314425"/>
      <w:bookmarkEnd w:id="220"/>
      <w:bookmarkStart w:id="221" w:name="_Toc184313273"/>
      <w:bookmarkEnd w:id="221"/>
      <w:bookmarkStart w:id="222" w:name="_Toc184314413"/>
      <w:bookmarkEnd w:id="222"/>
      <w:bookmarkStart w:id="223" w:name="_Toc184312125"/>
      <w:bookmarkEnd w:id="223"/>
      <w:bookmarkStart w:id="224" w:name="_Toc184313269"/>
      <w:bookmarkEnd w:id="224"/>
      <w:bookmarkStart w:id="225" w:name="_Toc184312110"/>
      <w:bookmarkEnd w:id="225"/>
      <w:bookmarkStart w:id="226" w:name="_Toc184312117"/>
      <w:bookmarkEnd w:id="226"/>
      <w:bookmarkStart w:id="227" w:name="_Toc184313292"/>
      <w:bookmarkEnd w:id="227"/>
      <w:bookmarkStart w:id="228" w:name="_Toc184312112"/>
      <w:bookmarkEnd w:id="228"/>
      <w:bookmarkStart w:id="229" w:name="_Toc184308053"/>
      <w:bookmarkEnd w:id="229"/>
      <w:bookmarkStart w:id="230" w:name="_Toc184314473"/>
      <w:bookmarkEnd w:id="230"/>
      <w:bookmarkStart w:id="231" w:name="_Toc184308044"/>
      <w:bookmarkEnd w:id="231"/>
      <w:bookmarkStart w:id="232" w:name="_Toc184314418"/>
      <w:bookmarkEnd w:id="232"/>
      <w:bookmarkStart w:id="233" w:name="_Toc184312135"/>
      <w:bookmarkEnd w:id="233"/>
      <w:bookmarkStart w:id="234" w:name="_Toc184313254"/>
      <w:bookmarkEnd w:id="234"/>
      <w:bookmarkStart w:id="235" w:name="_Toc184308089"/>
      <w:bookmarkEnd w:id="235"/>
      <w:bookmarkStart w:id="236" w:name="_Toc184310295"/>
      <w:bookmarkEnd w:id="236"/>
      <w:bookmarkStart w:id="237" w:name="_Toc184310317"/>
      <w:bookmarkEnd w:id="237"/>
      <w:bookmarkStart w:id="238" w:name="_Toc184308046"/>
      <w:bookmarkEnd w:id="238"/>
      <w:bookmarkStart w:id="239" w:name="_Toc184308092"/>
      <w:bookmarkEnd w:id="239"/>
      <w:bookmarkStart w:id="240" w:name="_Toc184310294"/>
      <w:bookmarkEnd w:id="240"/>
      <w:bookmarkStart w:id="241" w:name="_Toc184312103"/>
      <w:bookmarkEnd w:id="241"/>
      <w:bookmarkStart w:id="242" w:name="_Toc184308105"/>
      <w:bookmarkEnd w:id="242"/>
      <w:bookmarkStart w:id="243" w:name="_Toc184310279"/>
      <w:bookmarkEnd w:id="243"/>
      <w:bookmarkStart w:id="244" w:name="_Toc184310305"/>
      <w:bookmarkEnd w:id="244"/>
      <w:bookmarkStart w:id="245" w:name="_Toc184310343"/>
      <w:bookmarkEnd w:id="245"/>
      <w:bookmarkStart w:id="246" w:name="_Toc184310306"/>
      <w:bookmarkEnd w:id="246"/>
      <w:bookmarkStart w:id="247" w:name="_Toc184308081"/>
      <w:bookmarkEnd w:id="247"/>
      <w:bookmarkStart w:id="248" w:name="_Toc184310334"/>
      <w:bookmarkEnd w:id="248"/>
      <w:bookmarkStart w:id="249" w:name="_Toc184314427"/>
      <w:bookmarkEnd w:id="249"/>
      <w:bookmarkStart w:id="250" w:name="_Toc184314417"/>
      <w:bookmarkEnd w:id="250"/>
      <w:bookmarkStart w:id="251" w:name="_Toc184313240"/>
      <w:bookmarkEnd w:id="251"/>
      <w:bookmarkStart w:id="252" w:name="_Toc184313288"/>
      <w:bookmarkEnd w:id="252"/>
      <w:bookmarkStart w:id="253" w:name="_Toc184313297"/>
      <w:bookmarkEnd w:id="253"/>
      <w:bookmarkStart w:id="254" w:name="_Toc184310285"/>
      <w:bookmarkEnd w:id="254"/>
      <w:bookmarkStart w:id="255" w:name="_Toc184310272"/>
      <w:bookmarkEnd w:id="255"/>
      <w:bookmarkStart w:id="256" w:name="_Toc184313251"/>
      <w:bookmarkEnd w:id="256"/>
      <w:bookmarkStart w:id="257" w:name="_Toc184314441"/>
      <w:bookmarkEnd w:id="257"/>
      <w:bookmarkStart w:id="258" w:name="_Toc184310316"/>
      <w:bookmarkEnd w:id="258"/>
      <w:bookmarkStart w:id="259" w:name="_Toc184313285"/>
      <w:bookmarkEnd w:id="259"/>
      <w:bookmarkStart w:id="260" w:name="_Toc184308062"/>
      <w:bookmarkEnd w:id="260"/>
      <w:bookmarkStart w:id="261" w:name="_Toc184312100"/>
      <w:bookmarkEnd w:id="261"/>
      <w:bookmarkStart w:id="262" w:name="_Toc184308036"/>
      <w:bookmarkEnd w:id="262"/>
      <w:bookmarkStart w:id="263" w:name="_Toc184308097"/>
      <w:bookmarkEnd w:id="263"/>
      <w:bookmarkStart w:id="264" w:name="_Toc184310301"/>
      <w:bookmarkEnd w:id="264"/>
      <w:bookmarkStart w:id="265" w:name="_Toc184313263"/>
      <w:bookmarkEnd w:id="265"/>
      <w:bookmarkStart w:id="266" w:name="_Toc184312094"/>
      <w:bookmarkEnd w:id="266"/>
      <w:bookmarkStart w:id="267" w:name="_Toc184308050"/>
      <w:bookmarkEnd w:id="267"/>
      <w:bookmarkStart w:id="268" w:name="_Toc184314433"/>
      <w:bookmarkEnd w:id="268"/>
      <w:bookmarkStart w:id="269" w:name="_Toc184313256"/>
      <w:bookmarkEnd w:id="269"/>
      <w:bookmarkStart w:id="270" w:name="_Toc184310335"/>
      <w:bookmarkEnd w:id="270"/>
      <w:bookmarkStart w:id="271" w:name="_Toc184313244"/>
      <w:bookmarkEnd w:id="271"/>
      <w:bookmarkStart w:id="272" w:name="_Toc184308058"/>
      <w:bookmarkEnd w:id="272"/>
      <w:bookmarkStart w:id="273" w:name="_Toc184314474"/>
      <w:bookmarkEnd w:id="273"/>
      <w:bookmarkStart w:id="274" w:name="_Toc184313277"/>
      <w:bookmarkEnd w:id="274"/>
      <w:bookmarkStart w:id="275" w:name="_Toc184308073"/>
      <w:bookmarkEnd w:id="275"/>
      <w:bookmarkStart w:id="276" w:name="_Toc184308042"/>
      <w:bookmarkEnd w:id="276"/>
      <w:bookmarkStart w:id="277" w:name="_Toc184314457"/>
      <w:bookmarkEnd w:id="277"/>
      <w:bookmarkStart w:id="278" w:name="_Toc184313287"/>
      <w:bookmarkEnd w:id="278"/>
      <w:bookmarkStart w:id="279" w:name="_Toc184308061"/>
      <w:bookmarkEnd w:id="279"/>
      <w:bookmarkStart w:id="280" w:name="_Toc184308084"/>
      <w:bookmarkEnd w:id="280"/>
      <w:bookmarkStart w:id="281" w:name="_Toc184314430"/>
      <w:bookmarkEnd w:id="281"/>
      <w:bookmarkStart w:id="282" w:name="_Toc184310290"/>
      <w:bookmarkEnd w:id="282"/>
      <w:bookmarkStart w:id="283" w:name="_Toc184308041"/>
      <w:bookmarkEnd w:id="283"/>
      <w:bookmarkStart w:id="284" w:name="_Toc184308104"/>
      <w:bookmarkEnd w:id="284"/>
      <w:bookmarkStart w:id="285" w:name="_Toc184314443"/>
      <w:bookmarkEnd w:id="285"/>
      <w:bookmarkStart w:id="286" w:name="_Toc184313284"/>
      <w:bookmarkEnd w:id="286"/>
      <w:bookmarkStart w:id="287" w:name="_Toc184313259"/>
      <w:bookmarkEnd w:id="287"/>
      <w:bookmarkStart w:id="288" w:name="_Toc184308079"/>
      <w:bookmarkEnd w:id="288"/>
      <w:bookmarkStart w:id="289" w:name="_Toc184314410"/>
      <w:bookmarkEnd w:id="289"/>
      <w:bookmarkStart w:id="290" w:name="_Toc184308043"/>
      <w:bookmarkEnd w:id="290"/>
      <w:bookmarkStart w:id="291" w:name="_Toc184312109"/>
      <w:bookmarkEnd w:id="291"/>
      <w:bookmarkStart w:id="292" w:name="_Toc184313265"/>
      <w:bookmarkEnd w:id="292"/>
      <w:bookmarkStart w:id="293" w:name="_Toc184312131"/>
      <w:bookmarkEnd w:id="293"/>
      <w:bookmarkStart w:id="294" w:name="_Toc184314431"/>
      <w:bookmarkEnd w:id="294"/>
      <w:bookmarkStart w:id="295" w:name="_Toc184314423"/>
      <w:bookmarkEnd w:id="295"/>
      <w:bookmarkStart w:id="296" w:name="_Toc184312136"/>
      <w:bookmarkEnd w:id="296"/>
      <w:bookmarkStart w:id="297" w:name="_Toc184314459"/>
      <w:bookmarkEnd w:id="297"/>
      <w:bookmarkStart w:id="298" w:name="_Toc184310276"/>
      <w:bookmarkEnd w:id="298"/>
      <w:bookmarkStart w:id="299" w:name="_Toc184308103"/>
      <w:bookmarkEnd w:id="299"/>
      <w:bookmarkStart w:id="300" w:name="_Toc184310282"/>
      <w:bookmarkEnd w:id="300"/>
      <w:bookmarkStart w:id="301" w:name="_Toc184308069"/>
      <w:bookmarkEnd w:id="301"/>
      <w:bookmarkStart w:id="302" w:name="_Toc184312097"/>
      <w:bookmarkEnd w:id="302"/>
      <w:bookmarkStart w:id="303" w:name="_Toc184314450"/>
      <w:bookmarkEnd w:id="303"/>
      <w:bookmarkStart w:id="304" w:name="_Toc184314412"/>
      <w:bookmarkEnd w:id="304"/>
      <w:bookmarkStart w:id="305" w:name="_Toc184314445"/>
      <w:bookmarkEnd w:id="305"/>
      <w:bookmarkStart w:id="306" w:name="_Toc184312115"/>
      <w:bookmarkEnd w:id="306"/>
      <w:bookmarkStart w:id="307" w:name="_Toc184312083"/>
      <w:bookmarkEnd w:id="307"/>
      <w:bookmarkStart w:id="308" w:name="_Toc184310311"/>
      <w:bookmarkEnd w:id="308"/>
      <w:bookmarkStart w:id="309" w:name="_Toc184313246"/>
      <w:bookmarkEnd w:id="309"/>
      <w:bookmarkStart w:id="310" w:name="_Toc184308066"/>
      <w:bookmarkEnd w:id="310"/>
      <w:bookmarkStart w:id="311" w:name="_Toc184308075"/>
      <w:bookmarkEnd w:id="311"/>
      <w:bookmarkStart w:id="312" w:name="_Toc184308096"/>
      <w:bookmarkEnd w:id="312"/>
      <w:bookmarkStart w:id="313" w:name="_Toc184313253"/>
      <w:bookmarkEnd w:id="313"/>
      <w:bookmarkStart w:id="314" w:name="_Toc184312111"/>
      <w:bookmarkEnd w:id="314"/>
      <w:bookmarkStart w:id="315" w:name="_Toc184310297"/>
      <w:bookmarkEnd w:id="315"/>
      <w:bookmarkStart w:id="316" w:name="_Toc184314456"/>
      <w:bookmarkEnd w:id="316"/>
      <w:bookmarkStart w:id="317" w:name="_Toc184314444"/>
      <w:bookmarkEnd w:id="317"/>
      <w:bookmarkStart w:id="318" w:name="_Toc184314434"/>
      <w:bookmarkEnd w:id="318"/>
      <w:bookmarkStart w:id="319" w:name="_Toc184313261"/>
      <w:bookmarkEnd w:id="319"/>
      <w:bookmarkStart w:id="320" w:name="_Toc184313295"/>
      <w:bookmarkEnd w:id="320"/>
      <w:bookmarkStart w:id="321" w:name="_Toc184312074"/>
      <w:bookmarkEnd w:id="321"/>
      <w:bookmarkStart w:id="322" w:name="_Toc184314479"/>
      <w:bookmarkEnd w:id="322"/>
      <w:bookmarkStart w:id="323" w:name="_Toc184314452"/>
      <w:bookmarkEnd w:id="323"/>
      <w:bookmarkStart w:id="324" w:name="_Toc184308051"/>
      <w:bookmarkEnd w:id="324"/>
      <w:bookmarkStart w:id="325" w:name="_Toc184312126"/>
      <w:bookmarkEnd w:id="325"/>
      <w:bookmarkStart w:id="326" w:name="_Toc184313258"/>
      <w:bookmarkEnd w:id="326"/>
      <w:bookmarkStart w:id="327" w:name="_Toc184310342"/>
      <w:bookmarkEnd w:id="327"/>
      <w:bookmarkStart w:id="328" w:name="_Toc184310304"/>
      <w:bookmarkEnd w:id="328"/>
      <w:bookmarkStart w:id="329" w:name="_Toc184314461"/>
      <w:bookmarkEnd w:id="329"/>
      <w:bookmarkStart w:id="330" w:name="_Toc184314468"/>
      <w:bookmarkEnd w:id="330"/>
      <w:bookmarkStart w:id="331" w:name="_Toc184312118"/>
      <w:bookmarkEnd w:id="331"/>
      <w:bookmarkStart w:id="332" w:name="_Toc184310338"/>
      <w:bookmarkEnd w:id="332"/>
      <w:bookmarkStart w:id="333" w:name="_Toc184310331"/>
      <w:bookmarkEnd w:id="333"/>
      <w:bookmarkStart w:id="334" w:name="_Toc184312139"/>
      <w:bookmarkEnd w:id="334"/>
      <w:bookmarkStart w:id="335" w:name="_Toc184310310"/>
      <w:bookmarkEnd w:id="335"/>
      <w:bookmarkStart w:id="336" w:name="_Toc184310291"/>
      <w:bookmarkEnd w:id="336"/>
      <w:bookmarkStart w:id="337" w:name="_Toc184314446"/>
      <w:bookmarkEnd w:id="337"/>
      <w:bookmarkStart w:id="338" w:name="_Toc184314471"/>
      <w:bookmarkEnd w:id="338"/>
      <w:bookmarkStart w:id="339" w:name="_Toc184308059"/>
      <w:bookmarkEnd w:id="339"/>
      <w:bookmarkStart w:id="340" w:name="_Toc184313257"/>
      <w:bookmarkEnd w:id="340"/>
      <w:bookmarkStart w:id="341" w:name="_Toc184314480"/>
      <w:bookmarkEnd w:id="341"/>
      <w:bookmarkStart w:id="342" w:name="_Toc184310320"/>
      <w:bookmarkEnd w:id="342"/>
      <w:bookmarkStart w:id="343" w:name="_Toc184314411"/>
      <w:bookmarkEnd w:id="343"/>
      <w:bookmarkStart w:id="344" w:name="_Toc184310326"/>
      <w:bookmarkEnd w:id="344"/>
      <w:bookmarkStart w:id="345" w:name="_Toc184310319"/>
      <w:bookmarkEnd w:id="345"/>
      <w:bookmarkStart w:id="346" w:name="_Toc184314419"/>
      <w:bookmarkEnd w:id="346"/>
      <w:bookmarkStart w:id="347" w:name="_Toc184308100"/>
      <w:bookmarkEnd w:id="347"/>
      <w:bookmarkStart w:id="348" w:name="_Toc184310329"/>
      <w:bookmarkEnd w:id="348"/>
      <w:bookmarkStart w:id="349" w:name="_Toc184313278"/>
      <w:bookmarkEnd w:id="349"/>
      <w:bookmarkStart w:id="350" w:name="_Toc184308102"/>
      <w:bookmarkEnd w:id="350"/>
      <w:bookmarkStart w:id="351" w:name="_Toc184313300"/>
      <w:bookmarkEnd w:id="351"/>
      <w:bookmarkStart w:id="352" w:name="_Toc184308068"/>
      <w:bookmarkEnd w:id="352"/>
      <w:bookmarkStart w:id="353" w:name="_Toc184313272"/>
      <w:bookmarkEnd w:id="353"/>
      <w:bookmarkStart w:id="354" w:name="_Toc184313310"/>
      <w:bookmarkEnd w:id="354"/>
      <w:bookmarkStart w:id="355" w:name="_Toc184313290"/>
      <w:bookmarkEnd w:id="355"/>
      <w:bookmarkStart w:id="356" w:name="_Toc184310278"/>
      <w:bookmarkEnd w:id="356"/>
      <w:bookmarkStart w:id="357" w:name="_Toc184310318"/>
      <w:bookmarkEnd w:id="357"/>
      <w:bookmarkStart w:id="358" w:name="_Toc184313276"/>
      <w:bookmarkEnd w:id="358"/>
      <w:bookmarkStart w:id="359" w:name="_Toc184313309"/>
      <w:bookmarkEnd w:id="359"/>
      <w:bookmarkStart w:id="360" w:name="_Toc184312089"/>
      <w:bookmarkEnd w:id="360"/>
      <w:bookmarkStart w:id="361" w:name="_Toc184313243"/>
      <w:bookmarkEnd w:id="361"/>
      <w:bookmarkStart w:id="362" w:name="_Toc184308099"/>
      <w:bookmarkEnd w:id="362"/>
      <w:bookmarkStart w:id="363" w:name="_Toc184312107"/>
      <w:bookmarkEnd w:id="363"/>
      <w:bookmarkStart w:id="364" w:name="_Toc184310321"/>
      <w:bookmarkEnd w:id="364"/>
      <w:bookmarkStart w:id="365" w:name="_Toc184310307"/>
      <w:bookmarkEnd w:id="365"/>
      <w:bookmarkStart w:id="366" w:name="_Toc184313299"/>
      <w:bookmarkEnd w:id="366"/>
      <w:bookmarkStart w:id="367" w:name="_Toc184312121"/>
      <w:bookmarkEnd w:id="367"/>
      <w:bookmarkStart w:id="368" w:name="_Toc184310324"/>
      <w:bookmarkEnd w:id="368"/>
      <w:bookmarkStart w:id="369" w:name="_Toc184313304"/>
      <w:bookmarkEnd w:id="369"/>
      <w:bookmarkStart w:id="370" w:name="_Toc184314435"/>
      <w:bookmarkEnd w:id="370"/>
      <w:bookmarkStart w:id="371" w:name="_Toc184314451"/>
      <w:bookmarkEnd w:id="371"/>
      <w:bookmarkStart w:id="372" w:name="_Toc184312104"/>
      <w:bookmarkEnd w:id="372"/>
      <w:bookmarkStart w:id="373" w:name="_Toc184310309"/>
      <w:bookmarkEnd w:id="373"/>
      <w:bookmarkStart w:id="374" w:name="_Toc184314422"/>
      <w:bookmarkEnd w:id="374"/>
      <w:bookmarkStart w:id="375" w:name="_Toc184314421"/>
      <w:bookmarkEnd w:id="375"/>
      <w:bookmarkStart w:id="376" w:name="_Toc184313302"/>
      <w:bookmarkEnd w:id="376"/>
      <w:bookmarkStart w:id="377" w:name="_Toc184312082"/>
      <w:bookmarkEnd w:id="377"/>
      <w:bookmarkStart w:id="378" w:name="_Toc184310332"/>
      <w:bookmarkEnd w:id="378"/>
      <w:bookmarkStart w:id="379" w:name="_Toc184313305"/>
      <w:bookmarkEnd w:id="379"/>
      <w:bookmarkStart w:id="380" w:name="_Toc184312092"/>
      <w:bookmarkEnd w:id="380"/>
      <w:bookmarkStart w:id="381" w:name="_Toc184312091"/>
      <w:bookmarkEnd w:id="381"/>
      <w:bookmarkStart w:id="382" w:name="_Toc184308060"/>
      <w:bookmarkEnd w:id="382"/>
      <w:bookmarkStart w:id="383" w:name="_Toc184312120"/>
      <w:bookmarkEnd w:id="383"/>
      <w:bookmarkStart w:id="384" w:name="_Toc184312129"/>
      <w:bookmarkEnd w:id="384"/>
      <w:bookmarkStart w:id="385" w:name="_Toc184308080"/>
      <w:bookmarkEnd w:id="385"/>
      <w:bookmarkStart w:id="386" w:name="_Toc184310323"/>
      <w:bookmarkEnd w:id="386"/>
      <w:bookmarkStart w:id="387" w:name="_Toc184310277"/>
      <w:bookmarkEnd w:id="387"/>
      <w:bookmarkStart w:id="388" w:name="_Toc184308093"/>
      <w:bookmarkEnd w:id="388"/>
      <w:bookmarkStart w:id="389" w:name="_Toc184312077"/>
      <w:bookmarkEnd w:id="389"/>
      <w:bookmarkStart w:id="390" w:name="_Toc184308098"/>
      <w:bookmarkEnd w:id="390"/>
      <w:bookmarkStart w:id="391" w:name="_Toc184312080"/>
      <w:bookmarkEnd w:id="391"/>
      <w:bookmarkStart w:id="392" w:name="_Toc184312108"/>
      <w:bookmarkEnd w:id="392"/>
      <w:bookmarkStart w:id="393" w:name="_Toc184308045"/>
      <w:bookmarkEnd w:id="393"/>
      <w:bookmarkStart w:id="394" w:name="_Toc184308107"/>
      <w:bookmarkEnd w:id="394"/>
      <w:bookmarkStart w:id="395" w:name="_Toc184314476"/>
      <w:bookmarkEnd w:id="395"/>
      <w:bookmarkStart w:id="396" w:name="_Toc184312134"/>
      <w:bookmarkEnd w:id="396"/>
      <w:bookmarkStart w:id="397" w:name="_Toc184314477"/>
      <w:bookmarkEnd w:id="397"/>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92"/>
        <w:spacing w:before="0"/>
        <w:ind w:firstLine="602" w:firstLineChars="25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1、本次评标采用综合评分法，总分为100分。</w:t>
      </w:r>
      <w:r>
        <w:rPr>
          <w:rFonts w:hint="eastAsia" w:ascii="仿宋" w:hAnsi="仿宋" w:eastAsia="仿宋" w:cs="仿宋"/>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92"/>
        <w:spacing w:before="0"/>
        <w:ind w:firstLine="600" w:firstLineChars="25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各投标人的综合得分为：投标价格得分+技术商务得分之和，总和为100分，其中：投标价格得分</w:t>
      </w:r>
      <w:r>
        <w:rPr>
          <w:rFonts w:hint="eastAsia" w:ascii="仿宋" w:hAnsi="仿宋" w:eastAsia="仿宋" w:cs="仿宋"/>
          <w:bCs/>
          <w:color w:val="auto"/>
          <w:szCs w:val="24"/>
          <w:highlight w:val="none"/>
          <w:lang w:val="en-US" w:eastAsia="zh-CN"/>
        </w:rPr>
        <w:t>30</w:t>
      </w:r>
      <w:r>
        <w:rPr>
          <w:rFonts w:hint="eastAsia" w:ascii="仿宋" w:hAnsi="仿宋" w:eastAsia="仿宋" w:cs="仿宋"/>
          <w:bCs/>
          <w:color w:val="auto"/>
          <w:szCs w:val="24"/>
          <w:highlight w:val="none"/>
        </w:rPr>
        <w:t>分，商务技术得分</w:t>
      </w:r>
      <w:r>
        <w:rPr>
          <w:rFonts w:hint="eastAsia" w:ascii="仿宋" w:hAnsi="仿宋" w:eastAsia="仿宋" w:cs="仿宋"/>
          <w:bCs/>
          <w:color w:val="auto"/>
          <w:szCs w:val="24"/>
          <w:highlight w:val="none"/>
          <w:lang w:val="en-US" w:eastAsia="zh-CN"/>
        </w:rPr>
        <w:t>70</w:t>
      </w:r>
      <w:r>
        <w:rPr>
          <w:rFonts w:hint="eastAsia" w:ascii="仿宋" w:hAnsi="仿宋" w:eastAsia="仿宋" w:cs="仿宋"/>
          <w:bCs/>
          <w:color w:val="auto"/>
          <w:szCs w:val="24"/>
          <w:highlight w:val="none"/>
        </w:rPr>
        <w:t>分。</w:t>
      </w:r>
    </w:p>
    <w:p>
      <w:pPr>
        <w:pStyle w:val="2"/>
        <w:tabs>
          <w:tab w:val="left" w:pos="1890"/>
        </w:tabs>
        <w:adjustRightInd w:val="0"/>
        <w:snapToGrid w:val="0"/>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商务、技术评标细则（</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0分）</w:t>
      </w:r>
    </w:p>
    <w:p>
      <w:pPr>
        <w:pStyle w:val="2"/>
        <w:tabs>
          <w:tab w:val="left" w:pos="1890"/>
        </w:tabs>
        <w:adjustRightInd w:val="0"/>
        <w:snapToGrid w:val="0"/>
        <w:spacing w:line="360" w:lineRule="auto"/>
        <w:ind w:firstLine="0"/>
        <w:rPr>
          <w:rFonts w:hint="eastAsia" w:ascii="仿宋" w:hAnsi="仿宋" w:eastAsia="仿宋" w:cs="仿宋"/>
          <w:bCs/>
          <w:color w:val="auto"/>
          <w:kern w:val="2"/>
          <w:sz w:val="24"/>
          <w:szCs w:val="24"/>
          <w:highlight w:val="none"/>
          <w:lang w:val="en-US" w:eastAsia="zh-CN" w:bidi="ar-SA"/>
        </w:rPr>
      </w:pPr>
      <w:r>
        <w:rPr>
          <w:rFonts w:hint="default" w:ascii="Calibri" w:hAnsi="Calibri" w:eastAsia="仿宋" w:cs="Calibri"/>
          <w:bCs/>
          <w:color w:val="auto"/>
          <w:kern w:val="2"/>
          <w:sz w:val="24"/>
          <w:szCs w:val="24"/>
          <w:highlight w:val="none"/>
          <w:lang w:val="en-US" w:eastAsia="zh-CN" w:bidi="ar-SA"/>
        </w:rPr>
        <w:t>①</w:t>
      </w:r>
      <w:r>
        <w:rPr>
          <w:rFonts w:hint="eastAsia" w:ascii="仿宋" w:hAnsi="仿宋" w:eastAsia="仿宋" w:cs="仿宋"/>
          <w:bCs/>
          <w:color w:val="auto"/>
          <w:kern w:val="2"/>
          <w:sz w:val="24"/>
          <w:szCs w:val="24"/>
          <w:highlight w:val="none"/>
          <w:lang w:val="en-US" w:eastAsia="zh-CN" w:bidi="ar-SA"/>
        </w:rPr>
        <w:t>技术分（48分）：</w:t>
      </w:r>
    </w:p>
    <w:tbl>
      <w:tblPr>
        <w:tblStyle w:val="64"/>
        <w:tblW w:w="9358"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2"/>
        <w:gridCol w:w="7489"/>
        <w:gridCol w:w="10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序号</w:t>
            </w:r>
          </w:p>
        </w:tc>
        <w:tc>
          <w:tcPr>
            <w:tcW w:w="7489"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评分内容</w:t>
            </w:r>
          </w:p>
        </w:tc>
        <w:tc>
          <w:tcPr>
            <w:tcW w:w="1017"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分值（分）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w:t>
            </w:r>
          </w:p>
        </w:tc>
        <w:tc>
          <w:tcPr>
            <w:tcW w:w="7489"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针对本项目的服务理念、定位、目标：根据本项目服务特点提出合理的管理服务理念，提出服务定位、目标，投标人的管理模式能够切合实际且可行的得3分，部分符合的得1.5分，不提供不得分；</w:t>
            </w:r>
          </w:p>
        </w:tc>
        <w:tc>
          <w:tcPr>
            <w:tcW w:w="1017" w:type="dxa"/>
            <w:vAlign w:val="center"/>
          </w:tcPr>
          <w:p>
            <w:pPr>
              <w:spacing w:line="6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489"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针对本项目的组织架构、管理机制：有比较完善的组织架构，清晰简练地列出主要管理流程，包括对运作流程图、激励机制、监督机制、自我约束机制、信息反馈渠道及处理机制（符合的得3分，部分符合的得1.5分，不提供不得分）；</w:t>
            </w:r>
          </w:p>
        </w:tc>
        <w:tc>
          <w:tcPr>
            <w:tcW w:w="1017" w:type="dxa"/>
            <w:vAlign w:val="center"/>
          </w:tcPr>
          <w:p>
            <w:pPr>
              <w:spacing w:line="6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c>
          <w:tcPr>
            <w:tcW w:w="7489"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针对本项目的管理机构设置：根据机构设置情况的合理性进行打分（符合的得2分，部分符合的得1分，不提供不得分）；</w:t>
            </w:r>
          </w:p>
        </w:tc>
        <w:tc>
          <w:tcPr>
            <w:tcW w:w="1017" w:type="dxa"/>
            <w:vAlign w:val="center"/>
          </w:tcPr>
          <w:p>
            <w:pPr>
              <w:spacing w:line="600" w:lineRule="exac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7489"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项目组人员情况：</w:t>
            </w:r>
          </w:p>
          <w:p>
            <w:pPr>
              <w:numPr>
                <w:ilvl w:val="0"/>
                <w:numId w:val="5"/>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负责人：项目负责人年龄在45周岁以下的得2分；本科及以上文化程度的得2分；具有保安员壹级证书的得2分；投标文件中同时提供身份证、毕业证书、保安员壹级证书、近三个月社保证明材料的复印件或扫描打印件，否则不得分；（0-6分）</w:t>
            </w:r>
          </w:p>
          <w:p>
            <w:pPr>
              <w:pStyle w:val="2"/>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拟投入人员配置：拟投入人员要求35周岁及以下、大专（含）以上文化的满足50人以上（含50人）得基本分6分。其中退伍军人有1人至2人的加1分、有3人至4人的加3分、有5人及以上的加5分，最多加5分；投标文件中同时提供身份证、毕业证书、退伍证、近三个月社保证明材料的复印件或扫描打印件，否则不得分；（0-11分）</w:t>
            </w:r>
          </w:p>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3）投标人人员具有国家公安部消防局颁发的建（构）筑物消防员证书，每有1人得1分，最多得5分；投标文件中提供证书、近三个月社保证明材料复印件或扫描打印件；（0-5分）</w:t>
            </w:r>
          </w:p>
        </w:tc>
        <w:tc>
          <w:tcPr>
            <w:tcW w:w="1017" w:type="dxa"/>
            <w:vAlign w:val="center"/>
          </w:tcPr>
          <w:p>
            <w:pPr>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7489"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管理组织实施方案：</w:t>
            </w:r>
          </w:p>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1）员工招聘标准的合理性（1分），员工培训计划的合理性（1分），不提供不得分；</w:t>
            </w:r>
          </w:p>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2）管理的制度的合理性（1分）、规范和标准的合理性（1分），不提供不得分；</w:t>
            </w:r>
          </w:p>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3）门岗、巡逻管理服务等具体实施方案的合理性（1分）、可行性（1分），不提供不得分；</w:t>
            </w:r>
          </w:p>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4）稳定员工队伍的措施的合理性（1分）、可行性（1分），不提供不得分；</w:t>
            </w:r>
          </w:p>
        </w:tc>
        <w:tc>
          <w:tcPr>
            <w:tcW w:w="1017"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w:t>
            </w:r>
          </w:p>
        </w:tc>
        <w:tc>
          <w:tcPr>
            <w:tcW w:w="7489"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应急预案：提供处理突发事件的应急预案的合理性（1分）、可行性（1分），不提供不得分；</w:t>
            </w:r>
          </w:p>
        </w:tc>
        <w:tc>
          <w:tcPr>
            <w:tcW w:w="1017"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7</w:t>
            </w:r>
          </w:p>
        </w:tc>
        <w:tc>
          <w:tcPr>
            <w:tcW w:w="7489"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本地化服务：投标人承诺中标后提供本地化服务网点（1分）；投标文件中提供承诺书，承诺书格式自拟，否则不得分；</w:t>
            </w:r>
          </w:p>
        </w:tc>
        <w:tc>
          <w:tcPr>
            <w:tcW w:w="1017"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8</w:t>
            </w:r>
          </w:p>
        </w:tc>
        <w:tc>
          <w:tcPr>
            <w:tcW w:w="7489"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针对本项目的合理化、优化建议：投标人针对本项目提出合理化、优化建议，合理化建议对项目实施有积极意义（符合的得2分，部分符合的得1分，不提供不得分）；具有可行性并有相应的保证措施（符合的得2分，部分符合的得1分，不提供不得分）；</w:t>
            </w:r>
          </w:p>
        </w:tc>
        <w:tc>
          <w:tcPr>
            <w:tcW w:w="1017"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9</w:t>
            </w:r>
          </w:p>
        </w:tc>
        <w:tc>
          <w:tcPr>
            <w:tcW w:w="7489"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服务承诺：包括服务内容及标准承诺、创建工作承诺等，合理性（1分）、可行性（1分）、可操作性（1分），不提供不得分；</w:t>
            </w:r>
          </w:p>
        </w:tc>
        <w:tc>
          <w:tcPr>
            <w:tcW w:w="1017"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r>
    </w:tbl>
    <w:p>
      <w:pPr>
        <w:pStyle w:val="2"/>
        <w:tabs>
          <w:tab w:val="left" w:pos="1890"/>
        </w:tabs>
        <w:adjustRightInd w:val="0"/>
        <w:snapToGrid w:val="0"/>
        <w:spacing w:line="240" w:lineRule="auto"/>
        <w:ind w:firstLine="0"/>
        <w:rPr>
          <w:rFonts w:hint="eastAsia" w:ascii="仿宋" w:hAnsi="仿宋" w:eastAsia="仿宋" w:cs="仿宋"/>
          <w:bCs/>
          <w:color w:val="auto"/>
          <w:kern w:val="2"/>
          <w:sz w:val="24"/>
          <w:szCs w:val="24"/>
          <w:highlight w:val="none"/>
          <w:lang w:val="en-US" w:eastAsia="zh-CN" w:bidi="ar-SA"/>
        </w:rPr>
      </w:pPr>
    </w:p>
    <w:p>
      <w:pPr>
        <w:pStyle w:val="2"/>
        <w:tabs>
          <w:tab w:val="left" w:pos="1890"/>
        </w:tabs>
        <w:adjustRightInd w:val="0"/>
        <w:snapToGrid w:val="0"/>
        <w:spacing w:line="240" w:lineRule="auto"/>
        <w:ind w:firstLine="0"/>
        <w:rPr>
          <w:rFonts w:hint="eastAsia" w:ascii="仿宋" w:hAnsi="仿宋" w:eastAsia="仿宋" w:cs="仿宋"/>
          <w:bCs/>
          <w:color w:val="auto"/>
          <w:kern w:val="2"/>
          <w:sz w:val="24"/>
          <w:szCs w:val="24"/>
          <w:highlight w:val="none"/>
          <w:lang w:val="en-US" w:eastAsia="zh-CN" w:bidi="ar-SA"/>
        </w:rPr>
      </w:pPr>
      <w:r>
        <w:rPr>
          <w:rFonts w:hint="default" w:ascii="Calibri" w:hAnsi="Calibri" w:eastAsia="仿宋" w:cs="Calibri"/>
          <w:bCs/>
          <w:color w:val="auto"/>
          <w:kern w:val="2"/>
          <w:sz w:val="24"/>
          <w:szCs w:val="24"/>
          <w:highlight w:val="none"/>
          <w:lang w:val="en-US" w:eastAsia="zh-CN" w:bidi="ar-SA"/>
        </w:rPr>
        <w:t>②</w:t>
      </w:r>
      <w:r>
        <w:rPr>
          <w:rFonts w:hint="eastAsia" w:ascii="仿宋" w:hAnsi="仿宋" w:eastAsia="仿宋" w:cs="仿宋"/>
          <w:bCs/>
          <w:color w:val="auto"/>
          <w:kern w:val="2"/>
          <w:sz w:val="24"/>
          <w:szCs w:val="24"/>
          <w:highlight w:val="none"/>
          <w:lang w:val="en-US" w:eastAsia="zh-CN" w:bidi="ar-SA"/>
        </w:rPr>
        <w:t>商务分（22分）：</w:t>
      </w:r>
    </w:p>
    <w:tbl>
      <w:tblPr>
        <w:tblStyle w:val="64"/>
        <w:tblW w:w="9379"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7312"/>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序号</w:t>
            </w:r>
          </w:p>
        </w:tc>
        <w:tc>
          <w:tcPr>
            <w:tcW w:w="731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评分细则内容</w:t>
            </w:r>
          </w:p>
        </w:tc>
        <w:tc>
          <w:tcPr>
            <w:tcW w:w="1215"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w:t>
            </w:r>
          </w:p>
        </w:tc>
        <w:tc>
          <w:tcPr>
            <w:tcW w:w="7312"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企业证书：</w:t>
            </w:r>
          </w:p>
          <w:p>
            <w:pPr>
              <w:numPr>
                <w:ilvl w:val="0"/>
                <w:numId w:val="6"/>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投标人具有职业健康安全管理体系认证证书得2分；具有质量管理体系认证证书得2分，具有环境管理体系认证证书得2分；且以上证书在有效期内，否则不得分；</w:t>
            </w:r>
          </w:p>
          <w:p>
            <w:pPr>
              <w:numPr>
                <w:ilvl w:val="0"/>
                <w:numId w:val="6"/>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投标人具有商品售后服务认证五星级证书的得2分；</w:t>
            </w:r>
          </w:p>
          <w:p>
            <w:pPr>
              <w:numPr>
                <w:ilvl w:val="0"/>
                <w:numId w:val="6"/>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投标人具有保安服务认证五星级证书的得2分；</w:t>
            </w:r>
          </w:p>
          <w:p>
            <w:pPr>
              <w:numPr>
                <w:ilvl w:val="0"/>
                <w:numId w:val="6"/>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投标人具有合法有效的保安服务许可证的得2分；</w:t>
            </w:r>
          </w:p>
          <w:p>
            <w:pPr>
              <w:numPr>
                <w:ilvl w:val="0"/>
                <w:numId w:val="6"/>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投标人具有“诚信服务放心单位”荣誉证书的得2分；</w:t>
            </w:r>
          </w:p>
          <w:p>
            <w:pPr>
              <w:numPr>
                <w:ilvl w:val="0"/>
                <w:numId w:val="6"/>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投标人具有合法有效的“劳务派遣经营许可证”的得2分；</w:t>
            </w:r>
          </w:p>
          <w:p>
            <w:pPr>
              <w:numPr>
                <w:ilvl w:val="0"/>
                <w:numId w:val="6"/>
              </w:num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投标人具有相关保安类省级荣誉证书的得3分,具有相关保安类市级荣誉证书的得2分，具有相关保安类区级荣誉证书的得1分，本项最高得3分；</w:t>
            </w:r>
          </w:p>
          <w:p>
            <w:pPr>
              <w:pStyle w:val="2"/>
              <w:ind w:left="0" w:leftChars="0"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投标文件中提供以上证书的复印件或扫描打印件，否则不得分。</w:t>
            </w:r>
          </w:p>
        </w:tc>
        <w:tc>
          <w:tcPr>
            <w:tcW w:w="1215" w:type="dxa"/>
            <w:vAlign w:val="center"/>
          </w:tcPr>
          <w:p>
            <w:pPr>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52"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w:t>
            </w:r>
          </w:p>
        </w:tc>
        <w:tc>
          <w:tcPr>
            <w:tcW w:w="7312" w:type="dxa"/>
            <w:vAlign w:val="center"/>
          </w:tcPr>
          <w:p>
            <w:pPr>
              <w:spacing w:line="600" w:lineRule="exact"/>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项目实施业绩一览表：投标人自2019年1月1日以来（时间以合同签订时间为准）承担过类似疫情防控安保服务项目的，1个得3分，最高3分；投标文件中提供合同或中标通知书的复印件或扫描打印件，否则不得分。</w:t>
            </w:r>
          </w:p>
        </w:tc>
        <w:tc>
          <w:tcPr>
            <w:tcW w:w="1215" w:type="dxa"/>
            <w:vAlign w:val="center"/>
          </w:tcPr>
          <w:p>
            <w:pPr>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w:t>
            </w:r>
          </w:p>
        </w:tc>
      </w:tr>
    </w:tbl>
    <w:p>
      <w:pPr>
        <w:pStyle w:val="92"/>
        <w:spacing w:before="0"/>
        <w:ind w:firstLine="0" w:firstLineChars="0"/>
        <w:rPr>
          <w:rFonts w:hint="eastAsia" w:ascii="仿宋" w:hAnsi="仿宋" w:eastAsia="仿宋" w:cs="仿宋"/>
          <w:bCs/>
          <w:color w:val="auto"/>
          <w:kern w:val="2"/>
          <w:sz w:val="24"/>
          <w:szCs w:val="24"/>
          <w:highlight w:val="none"/>
          <w:lang w:val="en-US" w:eastAsia="zh-CN" w:bidi="ar-SA"/>
        </w:rPr>
      </w:pPr>
    </w:p>
    <w:p>
      <w:pPr>
        <w:pStyle w:val="92"/>
        <w:spacing w:before="0"/>
        <w:ind w:firstLine="0" w:firstLineChars="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注：以上评审内容制作进投标文件内，并按评审要求提供相关证明材料。</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3、商务分+技术分=评标委员会所有成员评分合计数/评标委员会组成人员数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
          <w:bCs/>
          <w:color w:val="auto"/>
          <w:sz w:val="24"/>
          <w:highlight w:val="none"/>
        </w:rPr>
        <w:t>价格分（</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0分）</w:t>
      </w:r>
      <w:r>
        <w:rPr>
          <w:rFonts w:hint="eastAsia" w:ascii="仿宋" w:hAnsi="仿宋" w:eastAsia="仿宋" w:cs="仿宋"/>
          <w:color w:val="auto"/>
          <w:sz w:val="24"/>
          <w:highlight w:val="none"/>
        </w:rPr>
        <w:t>采用低价优先法计算，即满足招标文件要求且投标价格最低的投标报价为评标基准价，其他投标人的价格分按照下列公式计算：</w:t>
      </w:r>
    </w:p>
    <w:p>
      <w:pPr>
        <w:widowControl/>
        <w:shd w:val="clear" w:color="auto" w:fill="FFFFFF"/>
        <w:adjustRightInd/>
        <w:spacing w:after="225" w:line="315" w:lineRule="atLeast"/>
        <w:ind w:firstLine="720" w:firstLineChars="3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价格分=（评标基准价/投标报价）×30%×100；</w:t>
      </w:r>
    </w:p>
    <w:p>
      <w:pPr>
        <w:widowControl/>
        <w:shd w:val="clear" w:color="auto" w:fill="FFFFFF"/>
        <w:adjustRightInd/>
        <w:spacing w:after="225" w:line="315" w:lineRule="atLeast"/>
        <w:ind w:firstLine="720" w:firstLineChars="300"/>
        <w:jc w:val="left"/>
        <w:rPr>
          <w:rFonts w:hint="eastAsia" w:ascii="仿宋" w:hAnsi="仿宋" w:eastAsia="仿宋" w:cs="仿宋"/>
          <w:b/>
          <w:bCs/>
          <w:color w:val="auto"/>
          <w:sz w:val="24"/>
          <w:highlight w:val="none"/>
        </w:rPr>
      </w:pPr>
      <w:r>
        <w:rPr>
          <w:rFonts w:hint="eastAsia" w:ascii="仿宋" w:hAnsi="仿宋" w:eastAsia="仿宋" w:cs="仿宋"/>
          <w:color w:val="auto"/>
          <w:kern w:val="2"/>
          <w:sz w:val="24"/>
          <w:szCs w:val="24"/>
          <w:highlight w:val="none"/>
          <w:lang w:val="en-US" w:eastAsia="zh-CN" w:bidi="ar-SA"/>
        </w:rPr>
        <w:t>评标过程中，不得去掉报价中的最高报价和最低报价。</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5、投标人评标综合得分=价格分+商务分+技术分</w:t>
      </w:r>
    </w:p>
    <w:p>
      <w:pPr>
        <w:pStyle w:val="623"/>
        <w:snapToGrid w:val="0"/>
        <w:ind w:left="48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注：以上所涉及的证明材料，需提供扫描件制作进投标响应文件内，未提供的不得分。</w:t>
      </w:r>
    </w:p>
    <w:p>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报价是中标的一个重要因素，但最低报价不是中标的唯一依据。</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92"/>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2"/>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92"/>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5"/>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25"/>
    <w:p>
      <w:pPr>
        <w:rPr>
          <w:rFonts w:hint="eastAsia" w:ascii="仿宋" w:hAnsi="仿宋" w:eastAsia="仿宋" w:cs="仿宋"/>
          <w:color w:val="auto"/>
          <w:highlight w:val="none"/>
        </w:rPr>
      </w:pPr>
      <w:bookmarkStart w:id="398" w:name="第五部分"/>
      <w:bookmarkStart w:id="399" w:name="_Toc86217003"/>
    </w:p>
    <w:p>
      <w:pPr>
        <w:pStyle w:val="86"/>
        <w:ind w:left="0" w:leftChars="0" w:firstLine="0" w:firstLineChars="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62"/>
        <w:ind w:left="0" w:leftChars="0" w:firstLine="0" w:firstLineChars="0"/>
        <w:rPr>
          <w:rFonts w:hint="eastAsia" w:ascii="仿宋" w:hAnsi="仿宋" w:eastAsia="仿宋" w:cs="仿宋"/>
          <w:b/>
          <w:color w:val="auto"/>
          <w:sz w:val="36"/>
          <w:szCs w:val="36"/>
          <w:highlight w:val="none"/>
        </w:rPr>
      </w:pPr>
    </w:p>
    <w:p>
      <w:pPr>
        <w:pStyle w:val="52"/>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rPr>
          <w:rFonts w:hint="eastAsia"/>
          <w:color w:val="auto"/>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spacing w:line="480" w:lineRule="auto"/>
        <w:jc w:val="center"/>
        <w:rPr>
          <w:rFonts w:hint="eastAsia" w:ascii="仿宋" w:hAnsi="仿宋" w:eastAsia="仿宋" w:cs="仿宋"/>
          <w:b/>
          <w:color w:val="auto"/>
          <w:sz w:val="28"/>
          <w:szCs w:val="28"/>
          <w:highlight w:val="none"/>
        </w:rPr>
      </w:pPr>
    </w:p>
    <w:p>
      <w:pPr>
        <w:pStyle w:val="86"/>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86"/>
        <w:rPr>
          <w:rFonts w:hint="eastAsia" w:ascii="仿宋" w:hAnsi="仿宋" w:eastAsia="仿宋" w:cs="仿宋"/>
          <w:color w:val="auto"/>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政府采购合同参考范本（以实际签订为准）</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86"/>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86"/>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86"/>
        <w:rPr>
          <w:rFonts w:hint="eastAsia" w:ascii="仿宋" w:hAnsi="仿宋" w:eastAsia="仿宋" w:cs="仿宋"/>
          <w:b/>
          <w:color w:val="auto"/>
          <w:sz w:val="36"/>
          <w:szCs w:val="36"/>
          <w:highlight w:val="none"/>
        </w:rPr>
      </w:pPr>
    </w:p>
    <w:p>
      <w:pPr>
        <w:spacing w:line="480" w:lineRule="auto"/>
        <w:jc w:val="both"/>
        <w:rPr>
          <w:rFonts w:hint="eastAsia" w:ascii="仿宋" w:hAnsi="仿宋" w:eastAsia="仿宋" w:cs="仿宋"/>
          <w:b/>
          <w:color w:val="auto"/>
          <w:szCs w:val="24"/>
          <w:highlight w:val="none"/>
        </w:rPr>
      </w:pPr>
    </w:p>
    <w:p>
      <w:pPr>
        <w:pStyle w:val="8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63"/>
        <w:rPr>
          <w:rFonts w:hint="eastAsia" w:ascii="仿宋" w:hAnsi="仿宋" w:eastAsia="仿宋" w:cs="仿宋"/>
          <w:color w:val="auto"/>
          <w:highlight w:val="none"/>
        </w:rPr>
      </w:pPr>
    </w:p>
    <w:p>
      <w:pPr>
        <w:rPr>
          <w:rFonts w:hint="eastAsia"/>
          <w:color w:val="auto"/>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bookmarkStart w:id="400" w:name="_Toc295465365"/>
      <w:bookmarkEnd w:id="400"/>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p>
    <w:p>
      <w:pPr>
        <w:pStyle w:val="33"/>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（本合同为合同样稿，最终稿由双方协商后确定）</w:t>
      </w:r>
    </w:p>
    <w:p>
      <w:pPr>
        <w:pStyle w:val="33"/>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合同编号：</w:t>
      </w:r>
    </w:p>
    <w:p>
      <w:pPr>
        <w:autoSpaceDE w:val="0"/>
        <w:autoSpaceDN w:val="0"/>
        <w:snapToGrid w:val="0"/>
        <w:spacing w:line="360" w:lineRule="auto"/>
        <w:ind w:firstLine="436" w:firstLineChars="18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snapToGrid w:val="0"/>
        <w:spacing w:line="360" w:lineRule="auto"/>
        <w:ind w:firstLine="480" w:firstLineChars="200"/>
        <w:jc w:val="left"/>
        <w:rPr>
          <w:rFonts w:ascii="宋体" w:hAnsi="宋体"/>
          <w:szCs w:val="21"/>
        </w:rPr>
      </w:pPr>
      <w:r>
        <w:rPr>
          <w:rFonts w:hint="eastAsia" w:ascii="仿宋" w:hAnsi="仿宋" w:eastAsia="仿宋" w:cs="仿宋"/>
          <w:color w:val="auto"/>
          <w:sz w:val="24"/>
          <w:highlight w:val="none"/>
        </w:rPr>
        <w:t>乙方：</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根据《中华人民共和国合同法》、《物业管理条例》等法律、法规的规定，甲、乙双方在平等、自愿的基础上，经协商一致，就以下物业管理事项达成协议。</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第一条 物业基本情况详见合同附件。</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第二条 物业管理范围</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乙方所接受的物业管理范围是本项目招标文件明确委托管理的物业范围，不涉及资产的所有权。</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第三条 管理服务范围</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（一）安保服务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（二）保洁服务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（三）综合服务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以上各项服务内容详见合同附件。</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第四条 物业管理期限</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1、物业管理的期限为三年，自＿＿年＿月＿日起至＿＿年＿月＿日止。</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2、管理合同为一年一签，首期合同自＿＿年＿月＿日起至＿＿年＿月＿日止。</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第五条 物业管理的质量标准</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乙方应在本合同履行期限内，对本项目的物业管理达到甲方在招标文件中提出的、乙方在投标文件中承诺的、以及在服务方案中具体表明的质量标准。</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第六条 物业管理费用及支付方式</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（一）物业管理费用合计：大写人民币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元/年。</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（二）物业管理费用的支付方式：</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第七条 双方的权利义务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（一）甲方的权利义务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有权审定乙方编制的服务方案、人员编制、费用预算。</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有权对乙方服务的质量进行监督，对不符合质量标准的服务有权建议整改，对不称职人员可以要求乙方更换。</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乙方的服务提供必要的工作条件及所必需的相关资料，包括办公用房、设备工具库房（含相关工具、物料）、员工更衣及休息场所等设施和涉及本后勤物业管理外包所需的验收图纸、资料等。为乙方的物业管理服务提供相应的协助和配合。</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按合同约定的费用额度、支付方式和支付程序，按季支付后勤物业管理费用。</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甲方享有对乙方服务人员指定、更换或调整的权利。</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按法律规定或经双方商定由甲方承担的其他责任和义务。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（二）乙方的权利义务</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应根据法律、法规的规定及本合同约定，编制后物业管理方案、人员编制和费用预算，报送甲方审定。</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保证从事本项目的人员具备相应的职业资格和应有的素质要求。对甲方提出认为不适合的在岗人  员，乙方应作出相应调整。乙方在聘用、任命、调整、调换有关主要管理服务人员之前，须征得甲方同意。在实施物业管理管理工作过程中，若乙方对投标时及合同中承诺的服务人员安排情况自行变动而未经甲方同意的，将按照违约处理，情况严重者，甲方有权终止合同。乙方派遣人员应严格遵守相关法律法规，执行保密要求。</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合同期间，乙方派出本项目的项目总负责人和各部门主管不得在其他项目中同时任职。</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对物业管理涉及的专业性、技术性要求较高的工作内容，可另行委托第三方承担，但必须得到甲方的书面同意。委托的工作内容仅限于分项内容，整体物业管理项目不得转让给第三方。</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合同终止时，乙方应向甲方提交物业管理总结报告。在约定时间内向甲方移交房屋、物料、设备、工具、档案和图纸资料；所有移交的内容都应有清单并由双方签收；全部手续完成后签署移交确认书。</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乙方工作人员在工作期间因自身原因发生的安全责任由乙方承担。</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按法律规定或经双方商定应由乙方承担的其他责任和义务。</w:t>
      </w:r>
    </w:p>
    <w:p>
      <w:pPr>
        <w:spacing w:line="4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第八条 违约责任</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（一）乙方未按合同约定的质量标准履行物业管理职责，但未给甲方造成损失的，甲方可要求乙方整改，直至乙方达到物业管理质量标准后，甲方再支付相应的物业管理费用。</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乙方未按合同约定的质量标准履行物业管理职责，且给甲方造成损失的，甲方可要求乙方按实赔偿；情况严重的，甲方可根据损失情况，最多可要求乙方支付合同总额1%的违约金；因乙方物业管理质量问题导致甲方无法实现合同目的时，甲方有权单方面解除合同。</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（三）因乙方原因导致重大火灾、失窃等事件或其他违反法律、法规和规章规定的行为的，甲方有权单方解除合同，并要求乙方赔偿相关损失。</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第九条 争议解决方式双方发生争议的，可协商解决，或向有关部门申请调解；也可（请在选择项中打“√”）</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□提请</w:t>
      </w:r>
      <w:r>
        <w:rPr>
          <w:rFonts w:hint="eastAsia" w:ascii="仿宋" w:hAnsi="仿宋" w:eastAsia="仿宋" w:cs="仿宋"/>
          <w:sz w:val="24"/>
          <w:szCs w:val="24"/>
          <w:lang w:eastAsia="zh-CN"/>
        </w:rPr>
        <w:t>余杭</w:t>
      </w:r>
      <w:r>
        <w:rPr>
          <w:rFonts w:hint="eastAsia" w:ascii="仿宋" w:hAnsi="仿宋" w:eastAsia="仿宋" w:cs="仿宋"/>
          <w:sz w:val="24"/>
          <w:szCs w:val="24"/>
        </w:rPr>
        <w:t>仲裁委员会仲裁。</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□向法院提起诉讼。</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第十条 合同附件</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（一）本项目招投标过程中的有关招、投标文件作为本合同的附件，与本合同具有同等法律效力。</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（二）对本合同的未尽事宜，可经双方协商一致后另行签署补充协议。补充协议作为本合同的组成部分，与本合同具有同等法律效力。补充协议内容与本合同不一致处，从补充协议。</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第十一条 合同生效</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本合同签订后经双方签字、盖章后生效。本合同一式四份，甲乙双方各执两份。</w:t>
      </w:r>
    </w:p>
    <w:p>
      <w:pPr>
        <w:spacing w:line="420" w:lineRule="exact"/>
        <w:ind w:firstLine="480" w:firstLineChars="200"/>
        <w:rPr>
          <w:rFonts w:hint="eastAsia" w:ascii="仿宋" w:hAnsi="仿宋" w:eastAsia="仿宋" w:cs="仿宋"/>
          <w:sz w:val="24"/>
          <w:szCs w:val="24"/>
        </w:rPr>
      </w:pPr>
    </w:p>
    <w:p>
      <w:pPr>
        <w:spacing w:line="420" w:lineRule="exact"/>
        <w:ind w:firstLine="480" w:firstLineChars="200"/>
        <w:rPr>
          <w:rFonts w:hint="eastAsia" w:ascii="仿宋" w:hAnsi="仿宋" w:eastAsia="仿宋" w:cs="仿宋"/>
          <w:sz w:val="24"/>
          <w:szCs w:val="24"/>
        </w:rPr>
      </w:pPr>
    </w:p>
    <w:p>
      <w:pPr>
        <w:spacing w:line="420" w:lineRule="exact"/>
        <w:ind w:firstLine="480" w:firstLineChars="200"/>
        <w:rPr>
          <w:rFonts w:hint="eastAsia" w:ascii="仿宋" w:hAnsi="仿宋" w:eastAsia="仿宋" w:cs="仿宋"/>
          <w:sz w:val="24"/>
          <w:szCs w:val="24"/>
        </w:rPr>
      </w:pPr>
    </w:p>
    <w:p>
      <w:pPr>
        <w:spacing w:line="420" w:lineRule="exact"/>
        <w:ind w:firstLine="480" w:firstLineChars="200"/>
        <w:rPr>
          <w:rFonts w:hint="eastAsia" w:ascii="仿宋" w:hAnsi="仿宋" w:eastAsia="仿宋" w:cs="仿宋"/>
          <w:sz w:val="24"/>
          <w:szCs w:val="24"/>
        </w:rPr>
      </w:pPr>
    </w:p>
    <w:p>
      <w:pPr>
        <w:spacing w:line="420" w:lineRule="exact"/>
        <w:ind w:firstLine="480" w:firstLineChars="200"/>
        <w:rPr>
          <w:rFonts w:hint="eastAsia" w:ascii="仿宋" w:hAnsi="仿宋" w:eastAsia="仿宋" w:cs="仿宋"/>
          <w:sz w:val="24"/>
          <w:szCs w:val="24"/>
        </w:rPr>
      </w:pP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甲方：                                   乙方： </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地址：                                   地址： </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法定代表人：                             法定代表人：</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委托代理人：                             委托代理人：</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签字日期：      年    月   日            签字日期：      年    月   日</w:t>
      </w:r>
    </w:p>
    <w:p>
      <w:pPr>
        <w:spacing w:line="600" w:lineRule="exact"/>
        <w:rPr>
          <w:rFonts w:hint="eastAsia" w:ascii="仿宋" w:hAnsi="仿宋" w:eastAsia="仿宋" w:cs="仿宋"/>
          <w:sz w:val="24"/>
          <w:szCs w:val="24"/>
        </w:rPr>
      </w:pPr>
    </w:p>
    <w:p>
      <w:pPr>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8"/>
      <w:r>
        <w:rPr>
          <w:rFonts w:hint="eastAsia" w:ascii="仿宋" w:hAnsi="仿宋" w:eastAsia="仿宋" w:cs="仿宋"/>
          <w:b/>
          <w:color w:val="auto"/>
          <w:sz w:val="36"/>
          <w:szCs w:val="20"/>
          <w:highlight w:val="none"/>
        </w:rPr>
        <w:t xml:space="preserve"> </w:t>
      </w:r>
      <w:bookmarkEnd w:id="399"/>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（采购人）、（采购代理机构）：</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我方参加你方组织的（项目名称）【招标编号：（采购编号）】招标的有关活动，并对此项目进行投标。为此：</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1、我方承诺投标有效期从提交投标文件的截止之日起</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天（不少于90天）</w:t>
      </w:r>
      <w:r>
        <w:rPr>
          <w:rFonts w:hint="eastAsia" w:ascii="仿宋" w:hAnsi="仿宋" w:eastAsia="仿宋" w:cs="仿宋"/>
          <w:color w:val="auto"/>
          <w:sz w:val="20"/>
          <w:szCs w:val="22"/>
          <w:highlight w:val="none"/>
        </w:rPr>
        <w:t>，</w:t>
      </w:r>
      <w:r>
        <w:rPr>
          <w:rFonts w:hint="eastAsia" w:ascii="仿宋" w:hAnsi="仿宋" w:eastAsia="仿宋" w:cs="仿宋"/>
          <w:color w:val="auto"/>
          <w:sz w:val="22"/>
          <w:szCs w:val="22"/>
          <w:highlight w:val="none"/>
        </w:rPr>
        <w:t>本投标文件在投标有效期满之前均具有约束力。</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2、我方的投标文件包括以下内容：</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2.1资格文件：</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2.1.1承诺函；</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2.1.2落实政府采购政策需满足的资格要求（如果有）；</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2.1.3本项目的特定资格要求（如果有）。</w:t>
      </w:r>
    </w:p>
    <w:p>
      <w:pPr>
        <w:snapToGrid w:val="0"/>
        <w:spacing w:line="360" w:lineRule="auto"/>
        <w:ind w:left="210" w:leftChars="100"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 xml:space="preserve"> </w:t>
      </w:r>
      <w:r>
        <w:rPr>
          <w:rFonts w:hint="eastAsia" w:ascii="仿宋" w:hAnsi="仿宋" w:eastAsia="仿宋" w:cs="仿宋"/>
          <w:color w:val="auto"/>
          <w:sz w:val="22"/>
          <w:szCs w:val="22"/>
          <w:highlight w:val="none"/>
        </w:rPr>
        <w:t>商务技术</w:t>
      </w:r>
      <w:r>
        <w:rPr>
          <w:rFonts w:hint="eastAsia" w:ascii="仿宋" w:hAnsi="仿宋" w:eastAsia="仿宋" w:cs="仿宋"/>
          <w:color w:val="auto"/>
          <w:sz w:val="22"/>
          <w:szCs w:val="22"/>
          <w:highlight w:val="none"/>
          <w:lang w:val="zh-CN"/>
        </w:rPr>
        <w:t>文件：</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2.2.1投标函；</w:t>
      </w:r>
      <w:r>
        <w:rPr>
          <w:rFonts w:hint="eastAsia" w:ascii="仿宋" w:hAnsi="仿宋" w:eastAsia="仿宋" w:cs="仿宋"/>
          <w:color w:val="auto"/>
          <w:sz w:val="22"/>
          <w:szCs w:val="22"/>
          <w:highlight w:val="none"/>
          <w:lang w:val="zh-CN"/>
        </w:rPr>
        <w:t xml:space="preserve"> </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2.2.2授权委托书或法定代表人（单位负责人）身份证明；</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2.2.3联合协议（如果有）；</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2.2.4分包意向协议（如果有）；</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2.2.5符合性审查资料；</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2.2.6评标标准相应的商务技术资料；</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2.2.7商务技术偏离表；</w:t>
      </w:r>
    </w:p>
    <w:p>
      <w:pPr>
        <w:snapToGrid w:val="0"/>
        <w:spacing w:line="360" w:lineRule="auto"/>
        <w:ind w:left="420" w:leftChars="200"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8</w:t>
      </w:r>
      <w:r>
        <w:rPr>
          <w:rFonts w:hint="eastAsia" w:ascii="仿宋" w:hAnsi="仿宋" w:eastAsia="仿宋" w:cs="仿宋"/>
          <w:color w:val="auto"/>
          <w:sz w:val="22"/>
          <w:szCs w:val="22"/>
          <w:highlight w:val="none"/>
          <w:lang w:val="zh-CN"/>
        </w:rPr>
        <w:t>政府采购供应商廉洁自律承诺书；</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zh-CN"/>
        </w:rPr>
        <w:t>.</w:t>
      </w:r>
      <w:r>
        <w:rPr>
          <w:rFonts w:hint="eastAsia" w:ascii="仿宋" w:hAnsi="仿宋" w:eastAsia="仿宋" w:cs="仿宋"/>
          <w:color w:val="auto"/>
          <w:sz w:val="22"/>
          <w:szCs w:val="22"/>
          <w:highlight w:val="none"/>
        </w:rPr>
        <w:t>3报价文件</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2.3.1开标一览表（报价表）；</w:t>
      </w:r>
    </w:p>
    <w:p>
      <w:pPr>
        <w:snapToGrid w:val="0"/>
        <w:spacing w:line="360" w:lineRule="auto"/>
        <w:ind w:left="420" w:leftChars="2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2.3.2中小企业声明函（如果有）。</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3、我方承诺除商务技术偏离表列出的偏离外，我方响应招标文件的全部要求。</w:t>
      </w:r>
    </w:p>
    <w:p>
      <w:pPr>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4、如我方中标，我方承诺：</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4.1在收到中标通知书后，在中标通知书规定的期限内与你方签订合同； </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4.2在签订合同时不向你方提出附加条件； </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4.3按照招标文件要求提交履约保证金； </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4.4在合同约定的期限内完成合同规定的全部义务。 </w:t>
      </w:r>
    </w:p>
    <w:p>
      <w:pPr>
        <w:snapToGrid w:val="0"/>
        <w:spacing w:line="360" w:lineRule="auto"/>
        <w:ind w:left="210" w:leftChars="10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5、其他补充说明:</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w:t>
      </w:r>
    </w:p>
    <w:p>
      <w:pPr>
        <w:spacing w:line="360" w:lineRule="auto"/>
        <w:ind w:firstLine="3300" w:firstLineChars="1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投标人名称（电子签名）：                          </w:t>
      </w: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color w:val="auto"/>
          <w:sz w:val="22"/>
          <w:szCs w:val="22"/>
          <w:highlight w:val="none"/>
        </w:rPr>
        <w:t xml:space="preserve">     日期：  年   月   日</w:t>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94"/>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360" w:lineRule="auto"/>
        <w:ind w:right="480"/>
        <w:rPr>
          <w:rFonts w:hint="eastAsia" w:ascii="仿宋" w:hAnsi="仿宋" w:eastAsia="仿宋" w:cs="仿宋"/>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5"/>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numPr>
          <w:ilvl w:val="0"/>
          <w:numId w:val="7"/>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（2）报价明细清单</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82"/>
        <w:tabs>
          <w:tab w:val="clear" w:pos="720"/>
        </w:tabs>
        <w:snapToGrid w:val="0"/>
        <w:spacing w:before="120" w:after="120"/>
        <w:ind w:firstLine="643"/>
        <w:outlineLvl w:val="9"/>
        <w:rPr>
          <w:rFonts w:hint="eastAsia" w:ascii="仿宋" w:hAnsi="仿宋" w:eastAsia="仿宋" w:cs="仿宋"/>
          <w:i w:val="0"/>
          <w:iCs w:val="0"/>
          <w:color w:val="auto"/>
          <w:kern w:val="2"/>
          <w:sz w:val="32"/>
          <w:szCs w:val="32"/>
        </w:rPr>
      </w:pPr>
      <w:r>
        <w:rPr>
          <w:rFonts w:hint="eastAsia" w:ascii="仿宋" w:hAnsi="仿宋" w:eastAsia="仿宋" w:cs="仿宋"/>
          <w:i w:val="0"/>
          <w:iCs w:val="0"/>
          <w:color w:val="auto"/>
          <w:kern w:val="2"/>
          <w:sz w:val="32"/>
          <w:szCs w:val="32"/>
        </w:rPr>
        <w:t>一、开标一览表（报价表）</w:t>
      </w:r>
    </w:p>
    <w:p>
      <w:pPr>
        <w:snapToGrid w:val="0"/>
        <w:spacing w:line="360" w:lineRule="auto"/>
        <w:rPr>
          <w:rFonts w:hint="eastAsia" w:ascii="仿宋" w:hAnsi="仿宋" w:eastAsia="仿宋" w:cs="仿宋"/>
          <w:i w:val="0"/>
          <w:iCs w:val="0"/>
          <w:color w:val="auto"/>
          <w:kern w:val="0"/>
          <w:sz w:val="24"/>
        </w:rPr>
      </w:pPr>
      <w:r>
        <w:rPr>
          <w:rFonts w:hint="eastAsia" w:ascii="仿宋" w:hAnsi="仿宋" w:eastAsia="仿宋" w:cs="仿宋"/>
          <w:i w:val="0"/>
          <w:iCs w:val="0"/>
          <w:color w:val="auto"/>
          <w:sz w:val="24"/>
        </w:rPr>
        <w:t>（采购人）、（采购代理机构）</w:t>
      </w:r>
      <w:r>
        <w:rPr>
          <w:rFonts w:hint="eastAsia" w:ascii="仿宋" w:hAnsi="仿宋" w:eastAsia="仿宋" w:cs="仿宋"/>
          <w:i w:val="0"/>
          <w:iCs w:val="0"/>
          <w:color w:val="auto"/>
          <w:kern w:val="0"/>
          <w:sz w:val="24"/>
          <w:lang w:val="zh-CN"/>
        </w:rPr>
        <w:t>：</w:t>
      </w:r>
    </w:p>
    <w:p>
      <w:pPr>
        <w:snapToGrid w:val="0"/>
        <w:spacing w:line="360" w:lineRule="auto"/>
        <w:ind w:firstLine="482"/>
        <w:rPr>
          <w:rFonts w:hint="eastAsia" w:ascii="仿宋" w:hAnsi="仿宋" w:eastAsia="仿宋" w:cs="仿宋"/>
          <w:i w:val="0"/>
          <w:iCs w:val="0"/>
          <w:color w:val="auto"/>
          <w:kern w:val="0"/>
          <w:sz w:val="24"/>
          <w:lang w:val="zh-CN"/>
        </w:rPr>
      </w:pPr>
      <w:r>
        <w:rPr>
          <w:rFonts w:hint="eastAsia" w:ascii="仿宋" w:hAnsi="仿宋" w:eastAsia="仿宋" w:cs="仿宋"/>
          <w:i w:val="0"/>
          <w:iCs w:val="0"/>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i w:val="0"/>
          <w:iCs w:val="0"/>
          <w:color w:val="auto"/>
          <w:sz w:val="24"/>
        </w:rPr>
        <w:t>（项目名称）</w:t>
      </w:r>
      <w:r>
        <w:rPr>
          <w:rFonts w:hint="eastAsia" w:ascii="仿宋" w:hAnsi="仿宋" w:eastAsia="仿宋" w:cs="仿宋"/>
          <w:i w:val="0"/>
          <w:iCs w:val="0"/>
          <w:color w:val="auto"/>
          <w:kern w:val="0"/>
          <w:sz w:val="24"/>
          <w:lang w:val="zh-CN"/>
        </w:rPr>
        <w:t>【招标编号：</w:t>
      </w:r>
      <w:r>
        <w:rPr>
          <w:rFonts w:hint="eastAsia" w:ascii="仿宋" w:hAnsi="仿宋" w:eastAsia="仿宋" w:cs="仿宋"/>
          <w:i w:val="0"/>
          <w:iCs w:val="0"/>
          <w:color w:val="auto"/>
          <w:sz w:val="24"/>
        </w:rPr>
        <w:t>（采购编号）】的实施</w:t>
      </w:r>
      <w:r>
        <w:rPr>
          <w:rFonts w:hint="eastAsia" w:ascii="仿宋" w:hAnsi="仿宋" w:eastAsia="仿宋" w:cs="仿宋"/>
          <w:i w:val="0"/>
          <w:iCs w:val="0"/>
          <w:color w:val="auto"/>
          <w:kern w:val="0"/>
          <w:sz w:val="24"/>
          <w:lang w:val="zh-CN"/>
        </w:rPr>
        <w:t>。</w:t>
      </w:r>
    </w:p>
    <w:p>
      <w:pPr>
        <w:spacing w:line="360" w:lineRule="auto"/>
        <w:jc w:val="center"/>
        <w:rPr>
          <w:rFonts w:hint="eastAsia" w:ascii="仿宋" w:hAnsi="仿宋" w:eastAsia="仿宋" w:cs="仿宋"/>
          <w:b/>
          <w:i w:val="0"/>
          <w:iCs w:val="0"/>
          <w:color w:val="auto"/>
          <w:kern w:val="0"/>
          <w:sz w:val="24"/>
          <w:lang w:val="zh-CN"/>
        </w:rPr>
      </w:pPr>
      <w:r>
        <w:rPr>
          <w:rFonts w:hint="eastAsia" w:ascii="仿宋" w:hAnsi="仿宋" w:eastAsia="仿宋" w:cs="仿宋"/>
          <w:b/>
          <w:i w:val="0"/>
          <w:iCs w:val="0"/>
          <w:color w:val="auto"/>
          <w:kern w:val="0"/>
          <w:sz w:val="24"/>
          <w:lang w:val="en-US" w:eastAsia="zh-CN"/>
        </w:rPr>
        <w:t>1、</w:t>
      </w:r>
      <w:r>
        <w:rPr>
          <w:rFonts w:hint="eastAsia" w:ascii="仿宋" w:hAnsi="仿宋" w:eastAsia="仿宋" w:cs="仿宋"/>
          <w:b/>
          <w:i w:val="0"/>
          <w:iCs w:val="0"/>
          <w:color w:val="auto"/>
          <w:kern w:val="0"/>
          <w:sz w:val="24"/>
          <w:lang w:val="zh-CN"/>
        </w:rPr>
        <w:t>开标一览表（报价表）(单位均为人民币元)</w:t>
      </w:r>
    </w:p>
    <w:tbl>
      <w:tblPr>
        <w:tblStyle w:val="64"/>
        <w:tblW w:w="88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51"/>
        <w:gridCol w:w="1049"/>
        <w:gridCol w:w="2132"/>
        <w:gridCol w:w="22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44" w:hRule="atLeast"/>
          <w:tblHeader/>
          <w:jc w:val="center"/>
        </w:trPr>
        <w:tc>
          <w:tcPr>
            <w:tcW w:w="3351" w:type="dxa"/>
            <w:tcBorders>
              <w:right w:val="single" w:color="auto" w:sz="4" w:space="0"/>
            </w:tcBorders>
            <w:vAlign w:val="center"/>
          </w:tcPr>
          <w:p>
            <w:pPr>
              <w:spacing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1049" w:type="dxa"/>
            <w:tcBorders>
              <w:left w:val="single" w:color="auto" w:sz="4" w:space="0"/>
              <w:right w:val="single" w:color="auto" w:sz="4" w:space="0"/>
            </w:tcBorders>
            <w:vAlign w:val="center"/>
          </w:tcPr>
          <w:p>
            <w:pPr>
              <w:spacing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服务期</w:t>
            </w:r>
          </w:p>
        </w:tc>
        <w:tc>
          <w:tcPr>
            <w:tcW w:w="2132" w:type="dxa"/>
            <w:tcBorders>
              <w:left w:val="single" w:color="auto" w:sz="4" w:space="0"/>
              <w:right w:val="single" w:color="auto" w:sz="4" w:space="0"/>
            </w:tcBorders>
            <w:vAlign w:val="center"/>
          </w:tcPr>
          <w:p>
            <w:pPr>
              <w:spacing w:line="600" w:lineRule="exact"/>
              <w:jc w:val="center"/>
              <w:rPr>
                <w:rFonts w:hint="eastAsia" w:ascii="仿宋" w:hAnsi="仿宋" w:eastAsia="仿宋" w:cs="仿宋"/>
                <w:b w:val="0"/>
                <w:bCs w:val="0"/>
                <w:i w:val="0"/>
                <w:iCs w:val="0"/>
                <w:color w:val="auto"/>
                <w:kern w:val="0"/>
                <w:sz w:val="24"/>
                <w:lang w:val="zh-CN"/>
              </w:rPr>
            </w:pPr>
            <w:r>
              <w:rPr>
                <w:rFonts w:hint="eastAsia" w:ascii="仿宋" w:hAnsi="仿宋" w:eastAsia="仿宋" w:cs="仿宋"/>
                <w:b w:val="0"/>
                <w:bCs w:val="0"/>
                <w:i w:val="0"/>
                <w:iCs w:val="0"/>
                <w:color w:val="auto"/>
                <w:kern w:val="0"/>
                <w:sz w:val="24"/>
                <w:lang w:val="zh-CN"/>
              </w:rPr>
              <w:t>规格型号</w:t>
            </w:r>
          </w:p>
          <w:p>
            <w:pPr>
              <w:spacing w:line="60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i w:val="0"/>
                <w:iCs w:val="0"/>
                <w:color w:val="auto"/>
                <w:kern w:val="0"/>
                <w:sz w:val="24"/>
                <w:lang w:val="zh-CN"/>
              </w:rPr>
              <w:t>（或具体服务）</w:t>
            </w:r>
          </w:p>
        </w:tc>
        <w:tc>
          <w:tcPr>
            <w:tcW w:w="2286" w:type="dxa"/>
            <w:tcBorders>
              <w:left w:val="single" w:color="auto" w:sz="4" w:space="0"/>
              <w:right w:val="single" w:color="auto" w:sz="4" w:space="0"/>
            </w:tcBorders>
            <w:vAlign w:val="center"/>
          </w:tcPr>
          <w:p>
            <w:pPr>
              <w:spacing w:line="600" w:lineRule="exact"/>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总价（元）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8" w:hRule="atLeast"/>
          <w:jc w:val="center"/>
        </w:trPr>
        <w:tc>
          <w:tcPr>
            <w:tcW w:w="3351" w:type="dxa"/>
            <w:tcBorders>
              <w:right w:val="single" w:color="auto" w:sz="4" w:space="0"/>
            </w:tcBorders>
            <w:vAlign w:val="center"/>
          </w:tcPr>
          <w:p>
            <w:pPr>
              <w:adjustRightInd/>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i w:val="0"/>
                <w:iCs w:val="0"/>
                <w:color w:val="auto"/>
                <w:kern w:val="0"/>
                <w:sz w:val="24"/>
                <w:lang w:val="zh-CN" w:eastAsia="zh-CN"/>
              </w:rPr>
              <w:t>良渚街道农副物流中心监督市场防疫工作服务外包项目</w:t>
            </w:r>
          </w:p>
        </w:tc>
        <w:tc>
          <w:tcPr>
            <w:tcW w:w="1049" w:type="dxa"/>
            <w:tcBorders>
              <w:left w:val="single" w:color="auto" w:sz="4" w:space="0"/>
              <w:right w:val="single" w:color="auto" w:sz="4" w:space="0"/>
            </w:tcBorders>
            <w:vAlign w:val="center"/>
          </w:tcPr>
          <w:p>
            <w:pPr>
              <w:spacing w:line="6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2132" w:type="dxa"/>
            <w:tcBorders>
              <w:left w:val="single" w:color="auto" w:sz="4" w:space="0"/>
              <w:right w:val="single" w:color="auto" w:sz="4" w:space="0"/>
            </w:tcBorders>
            <w:vAlign w:val="center"/>
          </w:tcPr>
          <w:p>
            <w:pPr>
              <w:spacing w:line="600" w:lineRule="exact"/>
              <w:jc w:val="center"/>
              <w:rPr>
                <w:rFonts w:hint="eastAsia" w:ascii="仿宋" w:hAnsi="仿宋" w:eastAsia="仿宋" w:cs="仿宋"/>
                <w:color w:val="000000"/>
                <w:sz w:val="24"/>
                <w:szCs w:val="24"/>
              </w:rPr>
            </w:pPr>
          </w:p>
        </w:tc>
        <w:tc>
          <w:tcPr>
            <w:tcW w:w="2286" w:type="dxa"/>
            <w:tcBorders>
              <w:left w:val="single" w:color="auto" w:sz="4" w:space="0"/>
              <w:right w:val="single" w:color="auto" w:sz="4" w:space="0"/>
            </w:tcBorders>
            <w:vAlign w:val="center"/>
          </w:tcPr>
          <w:p>
            <w:pPr>
              <w:spacing w:line="6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（小写）</w:t>
            </w:r>
          </w:p>
          <w:p>
            <w:pPr>
              <w:spacing w:line="6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（大写）</w:t>
            </w:r>
          </w:p>
        </w:tc>
      </w:tr>
    </w:tbl>
    <w:p>
      <w:pPr>
        <w:widowControl w:val="0"/>
        <w:wordWrap/>
        <w:snapToGrid w:val="0"/>
        <w:spacing w:line="240" w:lineRule="auto"/>
        <w:textAlignment w:val="auto"/>
        <w:rPr>
          <w:rFonts w:hint="eastAsia" w:ascii="仿宋" w:hAnsi="仿宋" w:eastAsia="仿宋" w:cs="仿宋"/>
          <w:b/>
          <w:i w:val="0"/>
          <w:iCs w:val="0"/>
          <w:color w:val="auto"/>
          <w:kern w:val="0"/>
          <w:sz w:val="24"/>
          <w:lang w:val="zh-CN"/>
        </w:rPr>
      </w:pPr>
    </w:p>
    <w:p>
      <w:pPr>
        <w:widowControl w:val="0"/>
        <w:wordWrap/>
        <w:snapToGrid w:val="0"/>
        <w:spacing w:line="240" w:lineRule="auto"/>
        <w:ind w:left="480"/>
        <w:textAlignment w:val="auto"/>
        <w:rPr>
          <w:rFonts w:hint="eastAsia" w:ascii="仿宋" w:hAnsi="仿宋" w:eastAsia="仿宋" w:cs="仿宋"/>
          <w:b/>
          <w:i w:val="0"/>
          <w:iCs w:val="0"/>
          <w:color w:val="auto"/>
          <w:kern w:val="0"/>
          <w:sz w:val="24"/>
          <w:lang w:val="zh-CN"/>
        </w:rPr>
      </w:pPr>
      <w:r>
        <w:rPr>
          <w:rFonts w:hint="eastAsia" w:ascii="仿宋" w:hAnsi="仿宋" w:eastAsia="仿宋" w:cs="仿宋"/>
          <w:b/>
          <w:i w:val="0"/>
          <w:iCs w:val="0"/>
          <w:color w:val="auto"/>
          <w:kern w:val="0"/>
          <w:sz w:val="24"/>
          <w:lang w:val="zh-CN"/>
        </w:rPr>
        <w:t>注：</w:t>
      </w:r>
    </w:p>
    <w:p>
      <w:pPr>
        <w:widowControl w:val="0"/>
        <w:wordWrap/>
        <w:spacing w:line="240" w:lineRule="auto"/>
        <w:ind w:left="-2" w:firstLine="480" w:firstLineChars="200"/>
        <w:textAlignment w:val="auto"/>
        <w:rPr>
          <w:rFonts w:hint="eastAsia" w:ascii="仿宋" w:hAnsi="仿宋" w:eastAsia="仿宋" w:cs="仿宋"/>
          <w:i w:val="0"/>
          <w:iCs w:val="0"/>
          <w:color w:val="auto"/>
          <w:kern w:val="0"/>
          <w:sz w:val="24"/>
          <w:lang w:val="zh-CN"/>
        </w:rPr>
      </w:pPr>
      <w:r>
        <w:rPr>
          <w:rFonts w:hint="eastAsia" w:ascii="仿宋" w:hAnsi="仿宋" w:eastAsia="仿宋" w:cs="仿宋"/>
          <w:i w:val="0"/>
          <w:iCs w:val="0"/>
          <w:color w:val="auto"/>
          <w:kern w:val="0"/>
          <w:sz w:val="24"/>
          <w:lang w:val="zh-CN"/>
        </w:rPr>
        <w:t>1、投标人需按本表格式填写，不得自行更改。</w:t>
      </w:r>
    </w:p>
    <w:p>
      <w:pPr>
        <w:widowControl w:val="0"/>
        <w:wordWrap/>
        <w:spacing w:line="240" w:lineRule="auto"/>
        <w:ind w:firstLine="480" w:firstLineChars="200"/>
        <w:textAlignment w:val="auto"/>
        <w:rPr>
          <w:rFonts w:hint="eastAsia" w:ascii="仿宋" w:hAnsi="仿宋" w:eastAsia="仿宋" w:cs="仿宋"/>
          <w:i w:val="0"/>
          <w:iCs w:val="0"/>
          <w:color w:val="auto"/>
          <w:kern w:val="0"/>
          <w:sz w:val="24"/>
          <w:lang w:val="zh-CN"/>
        </w:rPr>
      </w:pPr>
      <w:r>
        <w:rPr>
          <w:rFonts w:hint="eastAsia" w:ascii="仿宋" w:hAnsi="仿宋" w:eastAsia="仿宋" w:cs="仿宋"/>
          <w:i w:val="0"/>
          <w:iCs w:val="0"/>
          <w:color w:val="auto"/>
          <w:kern w:val="0"/>
          <w:sz w:val="24"/>
          <w:lang w:val="zh-CN"/>
        </w:rPr>
        <w:t>2、有关本项目实施所涉及的一切费用均计入报价。</w:t>
      </w:r>
      <w:r>
        <w:rPr>
          <w:rFonts w:hint="eastAsia" w:ascii="仿宋" w:hAnsi="仿宋" w:eastAsia="仿宋" w:cs="仿宋"/>
          <w:b/>
          <w:i w:val="0"/>
          <w:iCs w:val="0"/>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i w:val="0"/>
          <w:iCs w:val="0"/>
          <w:color w:val="auto"/>
          <w:kern w:val="0"/>
          <w:sz w:val="24"/>
          <w:lang w:val="zh-CN"/>
        </w:rPr>
        <w:t>，</w:t>
      </w:r>
      <w:r>
        <w:rPr>
          <w:rFonts w:hint="eastAsia" w:ascii="仿宋" w:hAnsi="仿宋" w:eastAsia="仿宋" w:cs="仿宋"/>
          <w:b/>
          <w:i w:val="0"/>
          <w:iCs w:val="0"/>
          <w:color w:val="auto"/>
          <w:kern w:val="0"/>
          <w:sz w:val="24"/>
          <w:lang w:val="zh-CN"/>
        </w:rPr>
        <w:t>不得出现“0元”“免费赠送”等形式的无偿报价，</w:t>
      </w:r>
      <w:r>
        <w:rPr>
          <w:rFonts w:hint="eastAsia" w:ascii="仿宋" w:hAnsi="仿宋" w:eastAsia="仿宋" w:cs="仿宋"/>
          <w:b/>
          <w:i w:val="0"/>
          <w:iCs w:val="0"/>
          <w:color w:val="auto"/>
          <w:kern w:val="0"/>
          <w:sz w:val="24"/>
        </w:rPr>
        <w:t>否则视为</w:t>
      </w:r>
      <w:r>
        <w:rPr>
          <w:rFonts w:hint="eastAsia" w:ascii="仿宋" w:hAnsi="仿宋" w:eastAsia="仿宋" w:cs="仿宋"/>
          <w:b/>
          <w:i w:val="0"/>
          <w:iCs w:val="0"/>
          <w:color w:val="auto"/>
          <w:sz w:val="24"/>
        </w:rPr>
        <w:t>投标文件含有采购人不能接受的附加条件的，投标无效</w:t>
      </w:r>
      <w:r>
        <w:rPr>
          <w:rFonts w:hint="eastAsia" w:ascii="仿宋" w:hAnsi="仿宋" w:eastAsia="仿宋" w:cs="仿宋"/>
          <w:b/>
          <w:i w:val="0"/>
          <w:iCs w:val="0"/>
          <w:color w:val="auto"/>
          <w:kern w:val="0"/>
          <w:sz w:val="24"/>
          <w:lang w:val="zh-CN"/>
        </w:rPr>
        <w:t>。</w:t>
      </w:r>
    </w:p>
    <w:p>
      <w:pPr>
        <w:widowControl w:val="0"/>
        <w:wordWrap/>
        <w:snapToGrid w:val="0"/>
        <w:spacing w:line="240" w:lineRule="auto"/>
        <w:ind w:firstLine="480" w:firstLineChars="200"/>
        <w:jc w:val="left"/>
        <w:textAlignment w:val="auto"/>
        <w:rPr>
          <w:rFonts w:hint="eastAsia" w:ascii="仿宋" w:hAnsi="仿宋" w:eastAsia="仿宋" w:cs="仿宋"/>
          <w:i w:val="0"/>
          <w:iCs w:val="0"/>
          <w:color w:val="auto"/>
          <w:kern w:val="0"/>
          <w:sz w:val="24"/>
          <w:lang w:val="zh-CN"/>
        </w:rPr>
      </w:pPr>
      <w:r>
        <w:rPr>
          <w:rFonts w:hint="eastAsia" w:ascii="仿宋" w:hAnsi="仿宋" w:eastAsia="仿宋" w:cs="仿宋"/>
          <w:i w:val="0"/>
          <w:iCs w:val="0"/>
          <w:color w:val="auto"/>
          <w:kern w:val="0"/>
          <w:sz w:val="24"/>
          <w:lang w:val="zh-CN"/>
        </w:rPr>
        <w:t>3、以上表格要求细分项目及报价，在“规格型号（或具体服务）”一栏中，货物类项目填写规格型号，服务类项目填写具体服务。</w:t>
      </w:r>
    </w:p>
    <w:p>
      <w:pPr>
        <w:widowControl w:val="0"/>
        <w:numPr>
          <w:ilvl w:val="0"/>
          <w:numId w:val="0"/>
        </w:numPr>
        <w:wordWrap/>
        <w:adjustRightInd/>
        <w:snapToGrid/>
        <w:spacing w:line="240" w:lineRule="auto"/>
        <w:ind w:firstLine="480" w:firstLineChars="200"/>
        <w:textAlignment w:val="auto"/>
        <w:rPr>
          <w:rFonts w:hint="eastAsia" w:ascii="仿宋" w:hAnsi="仿宋" w:eastAsia="仿宋" w:cs="仿宋"/>
          <w:b w:val="0"/>
          <w:bCs w:val="0"/>
          <w:sz w:val="24"/>
          <w:szCs w:val="24"/>
          <w:lang w:val="zh-CN"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val="zh-CN" w:eastAsia="zh-CN"/>
        </w:rPr>
        <w:t>根据中华人民共和国招标投标法第三十三条规定“投标人不得以低于成本的报价竞标”</w:t>
      </w:r>
    </w:p>
    <w:p>
      <w:pPr>
        <w:widowControl w:val="0"/>
        <w:numPr>
          <w:ilvl w:val="0"/>
          <w:numId w:val="0"/>
        </w:numPr>
        <w:wordWrap/>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根据中华人民共和国财政部令第87号中的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rPr>
          <w:rFonts w:hint="eastAsia" w:ascii="仿宋" w:hAnsi="仿宋" w:eastAsia="仿宋" w:cs="仿宋"/>
          <w:b w:val="0"/>
          <w:bCs w:val="0"/>
          <w:sz w:val="24"/>
          <w:szCs w:val="24"/>
          <w:lang w:val="en-US" w:eastAsia="zh-CN"/>
        </w:rPr>
      </w:pPr>
    </w:p>
    <w:p>
      <w:pPr>
        <w:spacing w:line="360" w:lineRule="auto"/>
        <w:ind w:firstLine="480" w:firstLineChars="200"/>
        <w:rPr>
          <w:rFonts w:hint="eastAsia" w:ascii="仿宋" w:hAnsi="仿宋" w:eastAsia="仿宋" w:cs="仿宋"/>
          <w:i w:val="0"/>
          <w:iCs w:val="0"/>
          <w:color w:val="auto"/>
          <w:sz w:val="24"/>
        </w:rPr>
      </w:pPr>
    </w:p>
    <w:p>
      <w:pPr>
        <w:tabs>
          <w:tab w:val="left" w:pos="4860"/>
        </w:tabs>
        <w:spacing w:line="360" w:lineRule="auto"/>
        <w:ind w:right="1560" w:firstLine="480" w:firstLineChars="200"/>
        <w:jc w:val="center"/>
        <w:rPr>
          <w:rFonts w:hint="eastAsia" w:ascii="仿宋" w:hAnsi="仿宋" w:eastAsia="仿宋" w:cs="仿宋"/>
          <w:i w:val="0"/>
          <w:iCs w:val="0"/>
          <w:color w:val="auto"/>
          <w:sz w:val="24"/>
        </w:rPr>
      </w:pPr>
      <w:r>
        <w:rPr>
          <w:rFonts w:hint="eastAsia" w:ascii="仿宋" w:hAnsi="仿宋" w:eastAsia="仿宋" w:cs="仿宋"/>
          <w:i w:val="0"/>
          <w:iCs w:val="0"/>
          <w:color w:val="auto"/>
          <w:sz w:val="24"/>
        </w:rPr>
        <w:t xml:space="preserve">               </w:t>
      </w:r>
      <w:r>
        <w:rPr>
          <w:rFonts w:hint="eastAsia" w:ascii="仿宋" w:hAnsi="仿宋" w:eastAsia="仿宋" w:cs="仿宋"/>
          <w:i w:val="0"/>
          <w:iCs w:val="0"/>
          <w:color w:val="auto"/>
          <w:kern w:val="0"/>
          <w:sz w:val="24"/>
          <w:lang w:val="zh-CN"/>
        </w:rPr>
        <w:t>投标人名称（电子签名）</w:t>
      </w:r>
      <w:r>
        <w:rPr>
          <w:rFonts w:hint="eastAsia" w:ascii="仿宋" w:hAnsi="仿宋" w:eastAsia="仿宋" w:cs="仿宋"/>
          <w:i w:val="0"/>
          <w:iCs w:val="0"/>
          <w:color w:val="auto"/>
          <w:sz w:val="24"/>
        </w:rPr>
        <w:t>：</w:t>
      </w:r>
    </w:p>
    <w:p>
      <w:pPr>
        <w:tabs>
          <w:tab w:val="left" w:pos="4860"/>
        </w:tabs>
        <w:spacing w:line="360" w:lineRule="auto"/>
        <w:ind w:right="1560" w:firstLine="480" w:firstLineChars="200"/>
        <w:jc w:val="center"/>
        <w:rPr>
          <w:rFonts w:hint="eastAsia" w:ascii="仿宋" w:hAnsi="仿宋" w:eastAsia="仿宋" w:cs="仿宋"/>
          <w:i w:val="0"/>
          <w:iCs w:val="0"/>
          <w:color w:val="auto"/>
          <w:sz w:val="24"/>
        </w:rPr>
      </w:pPr>
      <w:r>
        <w:rPr>
          <w:rFonts w:hint="eastAsia" w:ascii="仿宋" w:hAnsi="仿宋" w:eastAsia="仿宋" w:cs="仿宋"/>
          <w:i w:val="0"/>
          <w:iCs w:val="0"/>
          <w:color w:val="auto"/>
          <w:sz w:val="24"/>
        </w:rPr>
        <w:t xml:space="preserve">       日  期：</w:t>
      </w:r>
    </w:p>
    <w:p>
      <w:pPr>
        <w:rPr>
          <w:rFonts w:hint="eastAsia" w:ascii="仿宋" w:hAnsi="仿宋" w:eastAsia="仿宋" w:cs="仿宋"/>
          <w:lang w:val="en-US" w:eastAsia="zh-CN"/>
        </w:rPr>
      </w:pPr>
    </w:p>
    <w:p>
      <w:pPr>
        <w:pStyle w:val="6"/>
        <w:spacing w:before="240" w:after="240" w:line="240" w:lineRule="auto"/>
        <w:ind w:firstLine="0" w:firstLineChars="0"/>
        <w:jc w:val="center"/>
        <w:rPr>
          <w:rFonts w:hint="eastAsia" w:ascii="仿宋" w:hAnsi="仿宋" w:eastAsia="仿宋" w:cs="仿宋"/>
          <w:sz w:val="32"/>
          <w:szCs w:val="32"/>
        </w:rPr>
      </w:pPr>
      <w:bookmarkStart w:id="401" w:name="_Toc494555889"/>
      <w:bookmarkStart w:id="402" w:name="_Toc29193"/>
      <w:bookmarkStart w:id="403" w:name="_Toc493956073"/>
      <w:bookmarkStart w:id="404" w:name="_Toc516238850"/>
      <w:r>
        <w:rPr>
          <w:rFonts w:hint="eastAsia" w:ascii="仿宋" w:hAnsi="仿宋" w:eastAsia="仿宋" w:cs="仿宋"/>
          <w:sz w:val="32"/>
          <w:szCs w:val="32"/>
        </w:rPr>
        <w:t>2、投标分项报价表</w:t>
      </w:r>
      <w:bookmarkEnd w:id="401"/>
      <w:bookmarkEnd w:id="402"/>
      <w:bookmarkEnd w:id="403"/>
      <w:bookmarkEnd w:id="404"/>
    </w:p>
    <w:p>
      <w:pPr>
        <w:pStyle w:val="972"/>
        <w:spacing w:line="360" w:lineRule="auto"/>
        <w:rPr>
          <w:rFonts w:hint="eastAsia" w:ascii="仿宋" w:hAnsi="仿宋" w:eastAsia="仿宋" w:cs="仿宋"/>
          <w:b/>
          <w:kern w:val="2"/>
          <w:sz w:val="24"/>
          <w:szCs w:val="24"/>
          <w:lang w:val="en-US" w:eastAsia="zh-CN"/>
        </w:rPr>
      </w:pPr>
      <w:r>
        <w:rPr>
          <w:rFonts w:hint="eastAsia" w:ascii="仿宋" w:hAnsi="仿宋" w:eastAsia="仿宋" w:cs="仿宋"/>
          <w:b/>
          <w:kern w:val="2"/>
          <w:sz w:val="24"/>
          <w:szCs w:val="24"/>
          <w:lang w:val="en-US" w:eastAsia="zh-CN"/>
        </w:rPr>
        <w:t xml:space="preserve">投标分项报价表内容要求： </w:t>
      </w:r>
    </w:p>
    <w:p>
      <w:pPr>
        <w:pStyle w:val="972"/>
        <w:spacing w:line="360" w:lineRule="auto"/>
        <w:ind w:firstLine="480" w:firstLineChars="200"/>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1、投标人需按“开标一览表”的总报价，对产生总报价的</w:t>
      </w:r>
      <w:r>
        <w:rPr>
          <w:rFonts w:hint="eastAsia" w:ascii="仿宋" w:hAnsi="仿宋" w:eastAsia="仿宋" w:cs="仿宋"/>
          <w:b/>
          <w:bCs/>
          <w:kern w:val="2"/>
          <w:sz w:val="24"/>
          <w:szCs w:val="24"/>
          <w:lang w:val="en-US" w:eastAsia="zh-CN"/>
        </w:rPr>
        <w:t>分项报价进行详细列表说明。</w:t>
      </w:r>
    </w:p>
    <w:p>
      <w:pPr>
        <w:widowControl/>
        <w:spacing w:line="360" w:lineRule="auto"/>
        <w:ind w:firstLine="5640" w:firstLineChars="2350"/>
        <w:jc w:val="right"/>
        <w:rPr>
          <w:rFonts w:hint="eastAsia" w:ascii="仿宋" w:hAnsi="仿宋" w:eastAsia="仿宋" w:cs="仿宋"/>
          <w:spacing w:val="20"/>
          <w:sz w:val="24"/>
          <w:szCs w:val="24"/>
        </w:rPr>
      </w:pPr>
      <w:r>
        <w:rPr>
          <w:rFonts w:hint="eastAsia" w:ascii="仿宋" w:hAnsi="仿宋" w:eastAsia="仿宋" w:cs="仿宋"/>
          <w:sz w:val="24"/>
          <w:szCs w:val="24"/>
        </w:rPr>
        <w:t>报价金额单位：人民币元</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884"/>
        <w:gridCol w:w="960"/>
        <w:gridCol w:w="171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884"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项目内容</w:t>
            </w:r>
          </w:p>
        </w:tc>
        <w:tc>
          <w:tcPr>
            <w:tcW w:w="960"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710"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单价（元）</w:t>
            </w:r>
          </w:p>
        </w:tc>
        <w:tc>
          <w:tcPr>
            <w:tcW w:w="1650"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884" w:type="dxa"/>
            <w:noWrap w:val="0"/>
            <w:vAlign w:val="center"/>
          </w:tcPr>
          <w:p>
            <w:pPr>
              <w:jc w:val="center"/>
              <w:rPr>
                <w:rFonts w:hint="eastAsia" w:ascii="仿宋" w:hAnsi="仿宋" w:eastAsia="仿宋" w:cs="仿宋"/>
                <w:sz w:val="24"/>
                <w:szCs w:val="24"/>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3884" w:type="dxa"/>
            <w:noWrap w:val="0"/>
            <w:vAlign w:val="center"/>
          </w:tcPr>
          <w:p>
            <w:pPr>
              <w:jc w:val="center"/>
              <w:rPr>
                <w:rFonts w:hint="eastAsia" w:ascii="仿宋" w:hAnsi="仿宋" w:eastAsia="仿宋" w:cs="仿宋"/>
                <w:sz w:val="24"/>
                <w:szCs w:val="24"/>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3884" w:type="dxa"/>
            <w:noWrap w:val="0"/>
            <w:vAlign w:val="center"/>
          </w:tcPr>
          <w:p>
            <w:pPr>
              <w:jc w:val="center"/>
              <w:rPr>
                <w:rFonts w:hint="eastAsia" w:ascii="仿宋" w:hAnsi="仿宋" w:eastAsia="仿宋" w:cs="仿宋"/>
                <w:sz w:val="24"/>
                <w:szCs w:val="24"/>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3884" w:type="dxa"/>
            <w:noWrap w:val="0"/>
            <w:vAlign w:val="center"/>
          </w:tcPr>
          <w:p>
            <w:pPr>
              <w:jc w:val="center"/>
              <w:rPr>
                <w:rFonts w:hint="eastAsia" w:ascii="仿宋" w:hAnsi="仿宋" w:eastAsia="仿宋" w:cs="仿宋"/>
                <w:sz w:val="24"/>
                <w:szCs w:val="24"/>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884" w:type="dxa"/>
            <w:noWrap w:val="0"/>
            <w:vAlign w:val="center"/>
          </w:tcPr>
          <w:p>
            <w:pPr>
              <w:jc w:val="center"/>
              <w:rPr>
                <w:rFonts w:hint="eastAsia" w:ascii="仿宋" w:hAnsi="仿宋" w:eastAsia="仿宋" w:cs="仿宋"/>
                <w:sz w:val="24"/>
                <w:szCs w:val="24"/>
                <w:lang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56"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884" w:type="dxa"/>
            <w:noWrap w:val="0"/>
            <w:vAlign w:val="center"/>
          </w:tcPr>
          <w:p>
            <w:pPr>
              <w:jc w:val="center"/>
              <w:rPr>
                <w:rFonts w:hint="eastAsia" w:ascii="仿宋" w:hAnsi="仿宋" w:eastAsia="仿宋" w:cs="仿宋"/>
                <w:sz w:val="24"/>
                <w:szCs w:val="24"/>
                <w:lang w:val="en-US" w:eastAsia="zh-CN"/>
              </w:rPr>
            </w:pPr>
          </w:p>
        </w:tc>
        <w:tc>
          <w:tcPr>
            <w:tcW w:w="960" w:type="dxa"/>
            <w:noWrap w:val="0"/>
            <w:vAlign w:val="center"/>
          </w:tcPr>
          <w:p>
            <w:pPr>
              <w:jc w:val="center"/>
              <w:rPr>
                <w:rFonts w:hint="eastAsia" w:ascii="仿宋" w:hAnsi="仿宋" w:eastAsia="仿宋" w:cs="仿宋"/>
                <w:sz w:val="24"/>
                <w:szCs w:val="24"/>
              </w:rPr>
            </w:pPr>
          </w:p>
        </w:tc>
        <w:tc>
          <w:tcPr>
            <w:tcW w:w="1710" w:type="dxa"/>
            <w:noWrap w:val="0"/>
            <w:vAlign w:val="center"/>
          </w:tcPr>
          <w:p>
            <w:pPr>
              <w:jc w:val="center"/>
              <w:rPr>
                <w:rFonts w:hint="eastAsia" w:ascii="仿宋" w:hAnsi="仿宋" w:eastAsia="仿宋" w:cs="仿宋"/>
                <w:sz w:val="24"/>
                <w:szCs w:val="24"/>
              </w:rPr>
            </w:pPr>
          </w:p>
        </w:tc>
        <w:tc>
          <w:tcPr>
            <w:tcW w:w="1650"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60" w:type="dxa"/>
            <w:gridSpan w:val="5"/>
            <w:noWrap w:val="0"/>
            <w:vAlign w:val="center"/>
          </w:tcPr>
          <w:p>
            <w:pPr>
              <w:rPr>
                <w:rFonts w:hint="eastAsia" w:ascii="仿宋" w:hAnsi="仿宋" w:eastAsia="仿宋" w:cs="仿宋"/>
                <w:sz w:val="24"/>
                <w:szCs w:val="24"/>
              </w:rPr>
            </w:pPr>
            <w:r>
              <w:rPr>
                <w:rFonts w:hint="eastAsia" w:ascii="仿宋" w:hAnsi="仿宋" w:eastAsia="仿宋" w:cs="仿宋"/>
                <w:sz w:val="24"/>
                <w:szCs w:val="24"/>
              </w:rPr>
              <w:t>总计：（大写）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bl>
    <w:p>
      <w:pPr>
        <w:pStyle w:val="972"/>
        <w:spacing w:line="360" w:lineRule="auto"/>
        <w:rPr>
          <w:rFonts w:hint="eastAsia" w:ascii="仿宋" w:hAnsi="仿宋" w:eastAsia="仿宋" w:cs="仿宋"/>
          <w:b/>
          <w:bCs/>
          <w:kern w:val="2"/>
          <w:sz w:val="24"/>
          <w:szCs w:val="24"/>
          <w:lang w:val="en-US" w:eastAsia="zh-CN"/>
        </w:rPr>
      </w:pPr>
      <w:r>
        <w:rPr>
          <w:rFonts w:hint="eastAsia" w:ascii="仿宋" w:hAnsi="仿宋" w:eastAsia="仿宋" w:cs="仿宋"/>
          <w:kern w:val="2"/>
          <w:sz w:val="24"/>
          <w:szCs w:val="24"/>
          <w:lang w:val="en-US" w:eastAsia="zh-CN"/>
        </w:rPr>
        <w:t>注：1、投标人对产生报价的</w:t>
      </w:r>
      <w:r>
        <w:rPr>
          <w:rFonts w:hint="eastAsia" w:ascii="仿宋" w:hAnsi="仿宋" w:eastAsia="仿宋" w:cs="仿宋"/>
          <w:b/>
          <w:bCs/>
          <w:kern w:val="2"/>
          <w:sz w:val="24"/>
          <w:szCs w:val="24"/>
          <w:lang w:val="en-US" w:eastAsia="zh-CN"/>
        </w:rPr>
        <w:t>分项详细列表说明。</w:t>
      </w:r>
    </w:p>
    <w:p>
      <w:pPr>
        <w:pStyle w:val="972"/>
        <w:spacing w:line="360" w:lineRule="auto"/>
        <w:ind w:firstLine="480" w:firstLineChars="200"/>
        <w:rPr>
          <w:rFonts w:hint="eastAsia" w:ascii="仿宋" w:hAnsi="仿宋" w:eastAsia="仿宋" w:cs="仿宋"/>
          <w:b/>
          <w:bCs/>
          <w:kern w:val="2"/>
          <w:sz w:val="24"/>
          <w:szCs w:val="24"/>
          <w:lang w:val="en-US" w:eastAsia="zh-CN"/>
        </w:rPr>
      </w:pPr>
      <w:r>
        <w:rPr>
          <w:rFonts w:hint="eastAsia" w:ascii="仿宋" w:hAnsi="仿宋" w:eastAsia="仿宋" w:cs="仿宋"/>
          <w:kern w:val="2"/>
          <w:sz w:val="24"/>
          <w:szCs w:val="24"/>
          <w:lang w:val="en-US" w:eastAsia="zh-CN"/>
        </w:rPr>
        <w:t>2、“投标分项报价表”所涉及的表格和内容较多，</w:t>
      </w:r>
      <w:r>
        <w:rPr>
          <w:rFonts w:hint="eastAsia" w:ascii="仿宋" w:hAnsi="仿宋" w:eastAsia="仿宋" w:cs="仿宋"/>
          <w:b/>
          <w:bCs/>
          <w:kern w:val="2"/>
          <w:sz w:val="24"/>
          <w:szCs w:val="24"/>
          <w:lang w:val="en-US" w:eastAsia="zh-CN"/>
        </w:rPr>
        <w:t>若投标人没有按要求作出实质性响应是投标人的风险。</w:t>
      </w:r>
    </w:p>
    <w:p>
      <w:pPr>
        <w:pStyle w:val="972"/>
        <w:spacing w:line="360" w:lineRule="auto"/>
        <w:ind w:firstLine="480" w:firstLineChars="200"/>
        <w:rPr>
          <w:rFonts w:hint="eastAsia" w:ascii="仿宋" w:hAnsi="仿宋" w:eastAsia="仿宋" w:cs="仿宋"/>
          <w:sz w:val="24"/>
          <w:szCs w:val="24"/>
          <w:lang w:eastAsia="zh-CN"/>
        </w:rPr>
      </w:pPr>
      <w:bookmarkStart w:id="405" w:name="_Toc45506740"/>
      <w:bookmarkStart w:id="406" w:name="_Toc15813259"/>
      <w:bookmarkStart w:id="407" w:name="_Toc47756041"/>
    </w:p>
    <w:p>
      <w:pPr>
        <w:pStyle w:val="972"/>
        <w:spacing w:line="360" w:lineRule="auto"/>
        <w:ind w:firstLine="480" w:firstLineChars="200"/>
        <w:rPr>
          <w:rFonts w:hint="eastAsia" w:ascii="仿宋" w:hAnsi="仿宋" w:eastAsia="仿宋" w:cs="仿宋"/>
          <w:sz w:val="24"/>
          <w:szCs w:val="24"/>
          <w:lang w:eastAsia="zh-CN"/>
        </w:rPr>
      </w:pPr>
    </w:p>
    <w:p>
      <w:pPr>
        <w:pStyle w:val="97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列入而未列入其中的费用，均视为已包含在内，风险由投标人承担。</w:t>
      </w:r>
      <w:r>
        <w:rPr>
          <w:rFonts w:hint="eastAsia" w:ascii="仿宋" w:hAnsi="仿宋" w:eastAsia="仿宋" w:cs="仿宋"/>
          <w:sz w:val="24"/>
          <w:szCs w:val="24"/>
        </w:rPr>
        <w:t xml:space="preserve">                    </w:t>
      </w:r>
    </w:p>
    <w:bookmarkEnd w:id="405"/>
    <w:bookmarkEnd w:id="406"/>
    <w:bookmarkEnd w:id="407"/>
    <w:p>
      <w:pPr>
        <w:pStyle w:val="94"/>
        <w:spacing w:line="360" w:lineRule="auto"/>
        <w:ind w:firstLine="2160" w:firstLineChars="900"/>
        <w:rPr>
          <w:rFonts w:hint="eastAsia" w:ascii="仿宋" w:hAnsi="仿宋" w:eastAsia="仿宋" w:cs="仿宋"/>
          <w:b w:val="0"/>
          <w:bCs w:val="0"/>
          <w:spacing w:val="20"/>
          <w:sz w:val="24"/>
        </w:rPr>
      </w:pPr>
      <w:r>
        <w:rPr>
          <w:rFonts w:hint="eastAsia" w:ascii="仿宋" w:hAnsi="仿宋" w:eastAsia="仿宋" w:cs="仿宋"/>
          <w:sz w:val="24"/>
          <w:szCs w:val="21"/>
        </w:rPr>
        <w:t xml:space="preserve"> </w:t>
      </w:r>
      <w:r>
        <w:rPr>
          <w:rFonts w:hint="eastAsia" w:ascii="仿宋" w:hAnsi="仿宋" w:eastAsia="仿宋" w:cs="仿宋"/>
          <w:b w:val="0"/>
          <w:bCs w:val="0"/>
          <w:spacing w:val="20"/>
          <w:sz w:val="24"/>
        </w:rPr>
        <w:t>负责人（或授权代表）签字：</w:t>
      </w:r>
      <w:r>
        <w:rPr>
          <w:rFonts w:hint="eastAsia" w:ascii="仿宋" w:hAnsi="仿宋" w:eastAsia="仿宋" w:cs="仿宋"/>
          <w:b w:val="0"/>
          <w:bCs w:val="0"/>
          <w:spacing w:val="20"/>
          <w:sz w:val="24"/>
          <w:u w:val="single"/>
        </w:rPr>
        <w:t xml:space="preserve">         </w:t>
      </w:r>
      <w:r>
        <w:rPr>
          <w:rFonts w:hint="eastAsia" w:ascii="仿宋" w:hAnsi="仿宋" w:eastAsia="仿宋" w:cs="仿宋"/>
          <w:b w:val="0"/>
          <w:bCs w:val="0"/>
          <w:spacing w:val="20"/>
          <w:sz w:val="24"/>
          <w:u w:val="single"/>
          <w:lang w:val="en-US" w:eastAsia="zh-CN"/>
        </w:rPr>
        <w:t xml:space="preserve">  </w:t>
      </w:r>
      <w:r>
        <w:rPr>
          <w:rFonts w:hint="eastAsia" w:ascii="仿宋" w:hAnsi="仿宋" w:eastAsia="仿宋" w:cs="仿宋"/>
          <w:b w:val="0"/>
          <w:bCs w:val="0"/>
          <w:spacing w:val="20"/>
          <w:sz w:val="24"/>
          <w:u w:val="single"/>
        </w:rPr>
        <w:t xml:space="preserve">   </w:t>
      </w:r>
    </w:p>
    <w:p>
      <w:pPr>
        <w:pStyle w:val="94"/>
        <w:spacing w:line="360" w:lineRule="auto"/>
        <w:ind w:firstLine="4480" w:firstLineChars="1600"/>
        <w:rPr>
          <w:rFonts w:hint="eastAsia" w:ascii="仿宋" w:hAnsi="仿宋" w:eastAsia="仿宋" w:cs="仿宋"/>
          <w:b w:val="0"/>
          <w:bCs w:val="0"/>
          <w:spacing w:val="20"/>
          <w:sz w:val="24"/>
          <w:u w:val="single"/>
        </w:rPr>
      </w:pPr>
      <w:r>
        <w:rPr>
          <w:rFonts w:hint="eastAsia" w:ascii="仿宋" w:hAnsi="仿宋" w:eastAsia="仿宋" w:cs="仿宋"/>
          <w:b w:val="0"/>
          <w:bCs w:val="0"/>
          <w:spacing w:val="20"/>
          <w:sz w:val="24"/>
          <w:lang w:eastAsia="zh-CN"/>
        </w:rPr>
        <w:t>投标人</w:t>
      </w:r>
      <w:r>
        <w:rPr>
          <w:rFonts w:hint="eastAsia" w:ascii="仿宋" w:hAnsi="仿宋" w:eastAsia="仿宋" w:cs="仿宋"/>
          <w:b w:val="0"/>
          <w:bCs w:val="0"/>
          <w:spacing w:val="20"/>
          <w:sz w:val="24"/>
        </w:rPr>
        <w:t>盖章：</w:t>
      </w:r>
      <w:r>
        <w:rPr>
          <w:rFonts w:hint="eastAsia" w:ascii="仿宋" w:hAnsi="仿宋" w:eastAsia="仿宋" w:cs="仿宋"/>
          <w:b w:val="0"/>
          <w:bCs w:val="0"/>
          <w:spacing w:val="20"/>
          <w:sz w:val="24"/>
          <w:u w:val="single"/>
        </w:rPr>
        <w:t xml:space="preserve">         </w:t>
      </w:r>
      <w:r>
        <w:rPr>
          <w:rFonts w:hint="eastAsia" w:ascii="仿宋" w:hAnsi="仿宋" w:eastAsia="仿宋" w:cs="仿宋"/>
          <w:b w:val="0"/>
          <w:bCs w:val="0"/>
          <w:spacing w:val="20"/>
          <w:sz w:val="24"/>
          <w:u w:val="single"/>
          <w:lang w:val="en-US" w:eastAsia="zh-CN"/>
        </w:rPr>
        <w:t xml:space="preserve"> </w:t>
      </w:r>
      <w:r>
        <w:rPr>
          <w:rFonts w:hint="eastAsia" w:ascii="仿宋" w:hAnsi="仿宋" w:eastAsia="仿宋" w:cs="仿宋"/>
          <w:b w:val="0"/>
          <w:bCs w:val="0"/>
          <w:spacing w:val="20"/>
          <w:sz w:val="24"/>
          <w:u w:val="single"/>
        </w:rPr>
        <w:t xml:space="preserve">   </w:t>
      </w:r>
    </w:p>
    <w:p>
      <w:pPr>
        <w:pStyle w:val="94"/>
        <w:spacing w:line="360" w:lineRule="auto"/>
        <w:ind w:firstLine="4480" w:firstLineChars="1600"/>
        <w:rPr>
          <w:rFonts w:hint="eastAsia" w:ascii="仿宋" w:hAnsi="仿宋" w:eastAsia="仿宋" w:cs="仿宋"/>
          <w:b w:val="0"/>
          <w:bCs w:val="0"/>
          <w:spacing w:val="20"/>
          <w:sz w:val="24"/>
          <w:u w:val="single"/>
        </w:rPr>
      </w:pPr>
      <w:r>
        <w:rPr>
          <w:rFonts w:hint="eastAsia" w:ascii="仿宋" w:hAnsi="仿宋" w:eastAsia="仿宋" w:cs="仿宋"/>
          <w:b w:val="0"/>
          <w:bCs w:val="0"/>
          <w:spacing w:val="20"/>
          <w:sz w:val="24"/>
        </w:rPr>
        <w:t>日     期：</w:t>
      </w:r>
      <w:r>
        <w:rPr>
          <w:rFonts w:hint="eastAsia" w:ascii="仿宋" w:hAnsi="仿宋" w:eastAsia="仿宋" w:cs="仿宋"/>
          <w:b w:val="0"/>
          <w:bCs w:val="0"/>
          <w:spacing w:val="20"/>
          <w:sz w:val="24"/>
          <w:u w:val="single"/>
        </w:rPr>
        <w:t xml:space="preserve">         </w:t>
      </w:r>
      <w:r>
        <w:rPr>
          <w:rFonts w:hint="eastAsia" w:ascii="仿宋" w:hAnsi="仿宋" w:eastAsia="仿宋" w:cs="仿宋"/>
          <w:b w:val="0"/>
          <w:bCs w:val="0"/>
          <w:spacing w:val="20"/>
          <w:sz w:val="24"/>
          <w:u w:val="single"/>
          <w:lang w:val="en-US" w:eastAsia="zh-CN"/>
        </w:rPr>
        <w:t xml:space="preserve"> </w:t>
      </w:r>
      <w:r>
        <w:rPr>
          <w:rFonts w:hint="eastAsia" w:ascii="仿宋" w:hAnsi="仿宋" w:eastAsia="仿宋" w:cs="仿宋"/>
          <w:b w:val="0"/>
          <w:bCs w:val="0"/>
          <w:spacing w:val="20"/>
          <w:sz w:val="24"/>
          <w:u w:val="single"/>
        </w:rPr>
        <w:t xml:space="preserve">   </w:t>
      </w:r>
    </w:p>
    <w:p>
      <w:pPr>
        <w:pStyle w:val="94"/>
        <w:spacing w:line="360" w:lineRule="auto"/>
        <w:ind w:firstLine="4480" w:firstLineChars="1600"/>
        <w:rPr>
          <w:rFonts w:hint="eastAsia" w:ascii="宋体" w:hAnsi="宋体" w:eastAsia="宋体" w:cs="宋体"/>
          <w:b w:val="0"/>
          <w:bCs w:val="0"/>
          <w:spacing w:val="20"/>
          <w:sz w:val="24"/>
          <w:u w:val="singl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82"/>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2"/>
        <w:tabs>
          <w:tab w:val="clear" w:pos="720"/>
        </w:tabs>
        <w:snapToGrid w:val="0"/>
        <w:spacing w:before="120" w:after="120"/>
        <w:ind w:firstLine="3534" w:firstLineChars="1100"/>
        <w:jc w:val="both"/>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5"/>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5"/>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4"/>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8" w:name="_Toc465665161"/>
      <w:r>
        <w:rPr>
          <w:rFonts w:hint="eastAsia" w:ascii="仿宋" w:hAnsi="仿宋" w:eastAsia="仿宋" w:cs="仿宋"/>
          <w:color w:val="auto"/>
          <w:highlight w:val="none"/>
        </w:rPr>
        <w:t>附件</w:t>
      </w:r>
      <w:bookmarkEnd w:id="408"/>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9" w:name="OLE_LINK13"/>
      <w:bookmarkStart w:id="410" w:name="OLE_LINK14"/>
      <w:r>
        <w:rPr>
          <w:rFonts w:hint="eastAsia" w:ascii="仿宋" w:hAnsi="仿宋" w:eastAsia="仿宋" w:cs="仿宋"/>
          <w:b/>
          <w:color w:val="auto"/>
          <w:spacing w:val="6"/>
          <w:sz w:val="32"/>
          <w:szCs w:val="32"/>
          <w:highlight w:val="none"/>
        </w:rPr>
        <w:t>残疾人福利性单位声明函</w:t>
      </w:r>
    </w:p>
    <w:bookmarkEnd w:id="409"/>
    <w:bookmarkEnd w:id="410"/>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HP+MHYAAAACgEAAA8A&#10;AAAAAAAAAQAgAAAAIgAAAGRycy9kb3ducmV2LnhtbFBLAQIUABQAAAAIAIdO4kCLBQnW3gEAAOAD&#10;AAAOAAAAAAAAAAEAIAAAACcBAABkcnMvZTJvRG9jLnhtbFBLBQYAAAAABgAGAFkBAAB3BQ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07BY2AAAAAoBAAAP&#10;AAAAAAAAAAEAIAAAACIAAABkcnMvZG93bnJldi54bWxQSwECFAAUAAAACACHTuJA5O/+Vd8BAADg&#10;AwAADgAAAAAAAAABACAAAAAnAQAAZHJzL2Uyb0RvYy54bWxQSwUGAAAAAAYABgBZAQAAeAU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仿宋" w:hAnsi="仿宋" w:eastAsia="仿宋" w:cs="仿宋"/>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117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separate"/>
    </w:r>
    <w:r>
      <w:rPr>
        <w:rStyle w:val="74"/>
      </w:rPr>
      <w:t>53</w: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1" w:name="_Toc131845147"/>
    <w:bookmarkStart w:id="412" w:name="_Toc164085800"/>
    <w:bookmarkStart w:id="413" w:name="_Toc91899912"/>
    <w:bookmarkStart w:id="414" w:name="_Toc3611018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4E69B"/>
    <w:multiLevelType w:val="singleLevel"/>
    <w:tmpl w:val="A8F4E69B"/>
    <w:lvl w:ilvl="0" w:tentative="0">
      <w:start w:val="1"/>
      <w:numFmt w:val="chineseCounting"/>
      <w:suff w:val="space"/>
      <w:lvlText w:val="第%1部分"/>
      <w:lvlJc w:val="left"/>
      <w:rPr>
        <w:rFonts w:hint="eastAsia"/>
      </w:rPr>
    </w:lvl>
  </w:abstractNum>
  <w:abstractNum w:abstractNumId="1">
    <w:nsid w:val="B5A8A338"/>
    <w:multiLevelType w:val="singleLevel"/>
    <w:tmpl w:val="B5A8A338"/>
    <w:lvl w:ilvl="0" w:tentative="0">
      <w:start w:val="1"/>
      <w:numFmt w:val="decimal"/>
      <w:suff w:val="space"/>
      <w:lvlText w:val="%1、"/>
      <w:lvlJc w:val="left"/>
    </w:lvl>
  </w:abstractNum>
  <w:abstractNum w:abstractNumId="2">
    <w:nsid w:val="C2CA671A"/>
    <w:multiLevelType w:val="singleLevel"/>
    <w:tmpl w:val="C2CA671A"/>
    <w:lvl w:ilvl="0" w:tentative="0">
      <w:start w:val="1"/>
      <w:numFmt w:val="decimal"/>
      <w:suff w:val="nothing"/>
      <w:lvlText w:val="%1）"/>
      <w:lvlJc w:val="left"/>
    </w:lvl>
  </w:abstractNum>
  <w:abstractNum w:abstractNumId="3">
    <w:nsid w:val="F59D58E8"/>
    <w:multiLevelType w:val="singleLevel"/>
    <w:tmpl w:val="F59D58E8"/>
    <w:lvl w:ilvl="0" w:tentative="0">
      <w:start w:val="1"/>
      <w:numFmt w:val="decimal"/>
      <w:suff w:val="nothing"/>
      <w:lvlText w:val="（%1）"/>
      <w:lvlJc w:val="left"/>
    </w:lvl>
  </w:abstractNum>
  <w:abstractNum w:abstractNumId="4">
    <w:nsid w:val="00000009"/>
    <w:multiLevelType w:val="singleLevel"/>
    <w:tmpl w:val="00000009"/>
    <w:lvl w:ilvl="0" w:tentative="0">
      <w:start w:val="1"/>
      <w:numFmt w:val="upperLetter"/>
      <w:suff w:val="nothing"/>
      <w:lvlText w:val="%1、"/>
      <w:lvlJc w:val="left"/>
    </w:lvl>
  </w:abstractNum>
  <w:abstractNum w:abstractNumId="5">
    <w:nsid w:val="55F02271"/>
    <w:multiLevelType w:val="singleLevel"/>
    <w:tmpl w:val="55F02271"/>
    <w:lvl w:ilvl="0" w:tentative="0">
      <w:start w:val="1"/>
      <w:numFmt w:val="decimal"/>
      <w:suff w:val="nothing"/>
      <w:lvlText w:val="%1）"/>
      <w:lvlJc w:val="left"/>
    </w:lvl>
  </w:abstractNum>
  <w:abstractNum w:abstractNumId="6">
    <w:nsid w:val="63F824D2"/>
    <w:multiLevelType w:val="singleLevel"/>
    <w:tmpl w:val="63F824D2"/>
    <w:lvl w:ilvl="0" w:tentative="0">
      <w:start w:val="3"/>
      <w:numFmt w:val="chineseCounting"/>
      <w:suff w:val="space"/>
      <w:lvlText w:val="第%1部分"/>
      <w:lvlJc w:val="left"/>
      <w:rPr>
        <w:rFonts w:hint="eastAsia"/>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mU5NzY2Zjg2NWZkYjdiNjc5NmEwYjllYzcxZ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61E"/>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6361"/>
    <w:rsid w:val="011F6449"/>
    <w:rsid w:val="01236AFB"/>
    <w:rsid w:val="019F7441"/>
    <w:rsid w:val="01B37585"/>
    <w:rsid w:val="01BA1319"/>
    <w:rsid w:val="01D55165"/>
    <w:rsid w:val="01DF6BF8"/>
    <w:rsid w:val="01E15354"/>
    <w:rsid w:val="01EC2C57"/>
    <w:rsid w:val="026B2E25"/>
    <w:rsid w:val="02824D4D"/>
    <w:rsid w:val="02BD75DA"/>
    <w:rsid w:val="02DC4B10"/>
    <w:rsid w:val="02DD76CE"/>
    <w:rsid w:val="02DF39F5"/>
    <w:rsid w:val="02F36323"/>
    <w:rsid w:val="02F5619C"/>
    <w:rsid w:val="02F92D08"/>
    <w:rsid w:val="0326446A"/>
    <w:rsid w:val="032D5555"/>
    <w:rsid w:val="032F0852"/>
    <w:rsid w:val="036634D2"/>
    <w:rsid w:val="03DD35E4"/>
    <w:rsid w:val="04076900"/>
    <w:rsid w:val="041659FB"/>
    <w:rsid w:val="041A5A3B"/>
    <w:rsid w:val="042311BA"/>
    <w:rsid w:val="042B157A"/>
    <w:rsid w:val="048F763B"/>
    <w:rsid w:val="049F330E"/>
    <w:rsid w:val="04AA775C"/>
    <w:rsid w:val="04AF1889"/>
    <w:rsid w:val="04DA0A4E"/>
    <w:rsid w:val="04F66F48"/>
    <w:rsid w:val="05251E14"/>
    <w:rsid w:val="05620EF4"/>
    <w:rsid w:val="05790857"/>
    <w:rsid w:val="05A16594"/>
    <w:rsid w:val="05A7762D"/>
    <w:rsid w:val="05E36894"/>
    <w:rsid w:val="060E5941"/>
    <w:rsid w:val="06110FAF"/>
    <w:rsid w:val="06493CA7"/>
    <w:rsid w:val="065169B7"/>
    <w:rsid w:val="065A6178"/>
    <w:rsid w:val="066F1CF3"/>
    <w:rsid w:val="06930BB8"/>
    <w:rsid w:val="06DB3866"/>
    <w:rsid w:val="07245D42"/>
    <w:rsid w:val="07264C62"/>
    <w:rsid w:val="0779354C"/>
    <w:rsid w:val="07846919"/>
    <w:rsid w:val="078B67AD"/>
    <w:rsid w:val="07DC55DD"/>
    <w:rsid w:val="08061376"/>
    <w:rsid w:val="08400A92"/>
    <w:rsid w:val="08452D77"/>
    <w:rsid w:val="086401F8"/>
    <w:rsid w:val="08751CAA"/>
    <w:rsid w:val="087E4C40"/>
    <w:rsid w:val="08D66AD6"/>
    <w:rsid w:val="08DA33A3"/>
    <w:rsid w:val="08E11701"/>
    <w:rsid w:val="08E80F13"/>
    <w:rsid w:val="09012EFA"/>
    <w:rsid w:val="091348B6"/>
    <w:rsid w:val="09335624"/>
    <w:rsid w:val="093B4612"/>
    <w:rsid w:val="0944690F"/>
    <w:rsid w:val="09535675"/>
    <w:rsid w:val="095F057D"/>
    <w:rsid w:val="09642282"/>
    <w:rsid w:val="09733572"/>
    <w:rsid w:val="09772C16"/>
    <w:rsid w:val="097A0F86"/>
    <w:rsid w:val="097C01EF"/>
    <w:rsid w:val="098353B5"/>
    <w:rsid w:val="09A92330"/>
    <w:rsid w:val="09B06B87"/>
    <w:rsid w:val="09C13146"/>
    <w:rsid w:val="09C556F2"/>
    <w:rsid w:val="09E04166"/>
    <w:rsid w:val="09F935EE"/>
    <w:rsid w:val="0A0F4BBF"/>
    <w:rsid w:val="0A1C0718"/>
    <w:rsid w:val="0A3E7710"/>
    <w:rsid w:val="0A5B7E63"/>
    <w:rsid w:val="0A642BB8"/>
    <w:rsid w:val="0AA374A5"/>
    <w:rsid w:val="0AA80FEA"/>
    <w:rsid w:val="0AAB7649"/>
    <w:rsid w:val="0ABC5606"/>
    <w:rsid w:val="0ACF1EBF"/>
    <w:rsid w:val="0B30404E"/>
    <w:rsid w:val="0B4C6C14"/>
    <w:rsid w:val="0B512FB6"/>
    <w:rsid w:val="0B631A88"/>
    <w:rsid w:val="0B683D45"/>
    <w:rsid w:val="0B7F3F11"/>
    <w:rsid w:val="0B884417"/>
    <w:rsid w:val="0B923CFA"/>
    <w:rsid w:val="0BB13844"/>
    <w:rsid w:val="0BD04822"/>
    <w:rsid w:val="0BF6188C"/>
    <w:rsid w:val="0BF73C91"/>
    <w:rsid w:val="0C170175"/>
    <w:rsid w:val="0C252E47"/>
    <w:rsid w:val="0C571A41"/>
    <w:rsid w:val="0C5B405A"/>
    <w:rsid w:val="0C5C1171"/>
    <w:rsid w:val="0C5E1CBC"/>
    <w:rsid w:val="0C615B50"/>
    <w:rsid w:val="0C632EDF"/>
    <w:rsid w:val="0C8445DA"/>
    <w:rsid w:val="0C87121B"/>
    <w:rsid w:val="0CAA0FAC"/>
    <w:rsid w:val="0CC007F7"/>
    <w:rsid w:val="0CC62AA3"/>
    <w:rsid w:val="0CFE707A"/>
    <w:rsid w:val="0D063BDA"/>
    <w:rsid w:val="0D08375F"/>
    <w:rsid w:val="0D184CFB"/>
    <w:rsid w:val="0D4A7419"/>
    <w:rsid w:val="0D827401"/>
    <w:rsid w:val="0D84094E"/>
    <w:rsid w:val="0D8A00E9"/>
    <w:rsid w:val="0D8D589E"/>
    <w:rsid w:val="0DA01C73"/>
    <w:rsid w:val="0DA25967"/>
    <w:rsid w:val="0DD2300E"/>
    <w:rsid w:val="0DD63300"/>
    <w:rsid w:val="0DF50604"/>
    <w:rsid w:val="0DF702FE"/>
    <w:rsid w:val="0E060E51"/>
    <w:rsid w:val="0E5604B2"/>
    <w:rsid w:val="0E6D5D79"/>
    <w:rsid w:val="0E72396F"/>
    <w:rsid w:val="0E9D0089"/>
    <w:rsid w:val="0EB803EE"/>
    <w:rsid w:val="0EC73417"/>
    <w:rsid w:val="0EE815E2"/>
    <w:rsid w:val="0EF94D4B"/>
    <w:rsid w:val="0F4958DC"/>
    <w:rsid w:val="0F515DF7"/>
    <w:rsid w:val="0F596BA8"/>
    <w:rsid w:val="0F6248D2"/>
    <w:rsid w:val="0F693536"/>
    <w:rsid w:val="0F7B0511"/>
    <w:rsid w:val="0F7B76D9"/>
    <w:rsid w:val="0F816ACD"/>
    <w:rsid w:val="0F9832DB"/>
    <w:rsid w:val="0F9C6EF5"/>
    <w:rsid w:val="0FBF3FD2"/>
    <w:rsid w:val="0FBF7FF3"/>
    <w:rsid w:val="101822F4"/>
    <w:rsid w:val="104C698A"/>
    <w:rsid w:val="10646583"/>
    <w:rsid w:val="107D4B15"/>
    <w:rsid w:val="108A3C80"/>
    <w:rsid w:val="109F0AC7"/>
    <w:rsid w:val="10C0384F"/>
    <w:rsid w:val="10C26171"/>
    <w:rsid w:val="10F33360"/>
    <w:rsid w:val="10FC16EA"/>
    <w:rsid w:val="110F1D40"/>
    <w:rsid w:val="11266F33"/>
    <w:rsid w:val="118963A1"/>
    <w:rsid w:val="11A55E09"/>
    <w:rsid w:val="11C6522A"/>
    <w:rsid w:val="11E104CC"/>
    <w:rsid w:val="11E20309"/>
    <w:rsid w:val="11F362CF"/>
    <w:rsid w:val="12255233"/>
    <w:rsid w:val="12435D4E"/>
    <w:rsid w:val="12530213"/>
    <w:rsid w:val="127723A9"/>
    <w:rsid w:val="12862074"/>
    <w:rsid w:val="12883966"/>
    <w:rsid w:val="129E45B4"/>
    <w:rsid w:val="12D81596"/>
    <w:rsid w:val="13072A44"/>
    <w:rsid w:val="13474ECD"/>
    <w:rsid w:val="134A256B"/>
    <w:rsid w:val="135F4BE2"/>
    <w:rsid w:val="139B1A0A"/>
    <w:rsid w:val="139D25C7"/>
    <w:rsid w:val="13B823B7"/>
    <w:rsid w:val="13BF3CE4"/>
    <w:rsid w:val="141008D8"/>
    <w:rsid w:val="14125FE6"/>
    <w:rsid w:val="141F6008"/>
    <w:rsid w:val="146D271E"/>
    <w:rsid w:val="149154E0"/>
    <w:rsid w:val="14924F7E"/>
    <w:rsid w:val="14982588"/>
    <w:rsid w:val="149A5AD9"/>
    <w:rsid w:val="14A7619D"/>
    <w:rsid w:val="150536C3"/>
    <w:rsid w:val="150C1963"/>
    <w:rsid w:val="151447A0"/>
    <w:rsid w:val="154A6454"/>
    <w:rsid w:val="15604521"/>
    <w:rsid w:val="15762120"/>
    <w:rsid w:val="15D46A7C"/>
    <w:rsid w:val="15DB0539"/>
    <w:rsid w:val="1663076D"/>
    <w:rsid w:val="1675224E"/>
    <w:rsid w:val="167C182F"/>
    <w:rsid w:val="16A8729C"/>
    <w:rsid w:val="16B33777"/>
    <w:rsid w:val="16BC70A7"/>
    <w:rsid w:val="16C6339E"/>
    <w:rsid w:val="172F2D79"/>
    <w:rsid w:val="17557BEF"/>
    <w:rsid w:val="17AC2EC2"/>
    <w:rsid w:val="17BF5F86"/>
    <w:rsid w:val="17CA37BF"/>
    <w:rsid w:val="17D349C1"/>
    <w:rsid w:val="1830729E"/>
    <w:rsid w:val="185D743E"/>
    <w:rsid w:val="1870062C"/>
    <w:rsid w:val="18817102"/>
    <w:rsid w:val="18830A15"/>
    <w:rsid w:val="18852B28"/>
    <w:rsid w:val="188B5321"/>
    <w:rsid w:val="18F74689"/>
    <w:rsid w:val="197E13DE"/>
    <w:rsid w:val="19932372"/>
    <w:rsid w:val="19A20DD5"/>
    <w:rsid w:val="19AE03F1"/>
    <w:rsid w:val="19CC6ADC"/>
    <w:rsid w:val="19DF5B4E"/>
    <w:rsid w:val="19F56E07"/>
    <w:rsid w:val="1A023DF9"/>
    <w:rsid w:val="1A071A03"/>
    <w:rsid w:val="1A1F16AE"/>
    <w:rsid w:val="1A3B5C77"/>
    <w:rsid w:val="1A984BAD"/>
    <w:rsid w:val="1AB8220E"/>
    <w:rsid w:val="1ABF0FF7"/>
    <w:rsid w:val="1AD35795"/>
    <w:rsid w:val="1AD36628"/>
    <w:rsid w:val="1AE4166C"/>
    <w:rsid w:val="1AF06CFB"/>
    <w:rsid w:val="1AF11B8D"/>
    <w:rsid w:val="1B11359C"/>
    <w:rsid w:val="1B2A271F"/>
    <w:rsid w:val="1B530544"/>
    <w:rsid w:val="1B713184"/>
    <w:rsid w:val="1B9779D3"/>
    <w:rsid w:val="1BA209CF"/>
    <w:rsid w:val="1BB4777D"/>
    <w:rsid w:val="1BD51732"/>
    <w:rsid w:val="1BD75AB8"/>
    <w:rsid w:val="1C0420A5"/>
    <w:rsid w:val="1C0459C2"/>
    <w:rsid w:val="1C1B3B4A"/>
    <w:rsid w:val="1C88086E"/>
    <w:rsid w:val="1CFC403F"/>
    <w:rsid w:val="1D266CE1"/>
    <w:rsid w:val="1D3963AF"/>
    <w:rsid w:val="1D4074BD"/>
    <w:rsid w:val="1D6A673C"/>
    <w:rsid w:val="1D7F1058"/>
    <w:rsid w:val="1D816151"/>
    <w:rsid w:val="1D9247AE"/>
    <w:rsid w:val="1DB567EC"/>
    <w:rsid w:val="1DF51A98"/>
    <w:rsid w:val="1DFB572F"/>
    <w:rsid w:val="1E3D060F"/>
    <w:rsid w:val="1E3F7D2E"/>
    <w:rsid w:val="1E4134E4"/>
    <w:rsid w:val="1E5062B3"/>
    <w:rsid w:val="1E517971"/>
    <w:rsid w:val="1E523514"/>
    <w:rsid w:val="1E714A66"/>
    <w:rsid w:val="1E802593"/>
    <w:rsid w:val="1EA703CC"/>
    <w:rsid w:val="1EB7330C"/>
    <w:rsid w:val="1F0A0FF3"/>
    <w:rsid w:val="1F5771FF"/>
    <w:rsid w:val="1F771C14"/>
    <w:rsid w:val="1FE868A9"/>
    <w:rsid w:val="20034907"/>
    <w:rsid w:val="20173E4B"/>
    <w:rsid w:val="204E48BC"/>
    <w:rsid w:val="208921B3"/>
    <w:rsid w:val="20973DEB"/>
    <w:rsid w:val="20B26522"/>
    <w:rsid w:val="20B44310"/>
    <w:rsid w:val="20BB1436"/>
    <w:rsid w:val="210E3338"/>
    <w:rsid w:val="211116EB"/>
    <w:rsid w:val="21142B4B"/>
    <w:rsid w:val="211641D5"/>
    <w:rsid w:val="216133FC"/>
    <w:rsid w:val="21CE589C"/>
    <w:rsid w:val="21D56769"/>
    <w:rsid w:val="21E52EF3"/>
    <w:rsid w:val="21FB5D7B"/>
    <w:rsid w:val="220027EA"/>
    <w:rsid w:val="220B1C3D"/>
    <w:rsid w:val="22146DBF"/>
    <w:rsid w:val="221D1D20"/>
    <w:rsid w:val="22334A87"/>
    <w:rsid w:val="229E0D7F"/>
    <w:rsid w:val="22BE6801"/>
    <w:rsid w:val="233500BF"/>
    <w:rsid w:val="23377FF7"/>
    <w:rsid w:val="23581AD3"/>
    <w:rsid w:val="236B425F"/>
    <w:rsid w:val="236F588D"/>
    <w:rsid w:val="23836192"/>
    <w:rsid w:val="23901F29"/>
    <w:rsid w:val="239C0061"/>
    <w:rsid w:val="23A240EF"/>
    <w:rsid w:val="23B908A4"/>
    <w:rsid w:val="23E95BEF"/>
    <w:rsid w:val="23FD0064"/>
    <w:rsid w:val="242B03F0"/>
    <w:rsid w:val="245375B0"/>
    <w:rsid w:val="24642C0A"/>
    <w:rsid w:val="24A11016"/>
    <w:rsid w:val="24B15F71"/>
    <w:rsid w:val="24B22173"/>
    <w:rsid w:val="24B32A04"/>
    <w:rsid w:val="24B95AD9"/>
    <w:rsid w:val="24BE24DA"/>
    <w:rsid w:val="24CF5825"/>
    <w:rsid w:val="24D663E6"/>
    <w:rsid w:val="24D77F2B"/>
    <w:rsid w:val="24FB0160"/>
    <w:rsid w:val="258B00E2"/>
    <w:rsid w:val="259B3353"/>
    <w:rsid w:val="25A917A6"/>
    <w:rsid w:val="25BE27CC"/>
    <w:rsid w:val="25F74A5C"/>
    <w:rsid w:val="2628662C"/>
    <w:rsid w:val="262D45DE"/>
    <w:rsid w:val="26581D4F"/>
    <w:rsid w:val="26775D16"/>
    <w:rsid w:val="26A53EF9"/>
    <w:rsid w:val="26A94201"/>
    <w:rsid w:val="26AC274F"/>
    <w:rsid w:val="27044A29"/>
    <w:rsid w:val="271D34C8"/>
    <w:rsid w:val="276142BF"/>
    <w:rsid w:val="27783712"/>
    <w:rsid w:val="278B7FF6"/>
    <w:rsid w:val="27907362"/>
    <w:rsid w:val="27C34B56"/>
    <w:rsid w:val="27E92A9C"/>
    <w:rsid w:val="28333E1D"/>
    <w:rsid w:val="28454BD6"/>
    <w:rsid w:val="28455253"/>
    <w:rsid w:val="28551971"/>
    <w:rsid w:val="285B1C53"/>
    <w:rsid w:val="289F7086"/>
    <w:rsid w:val="28C32028"/>
    <w:rsid w:val="28CC490F"/>
    <w:rsid w:val="28DE40AA"/>
    <w:rsid w:val="28ED3C59"/>
    <w:rsid w:val="29345E77"/>
    <w:rsid w:val="29406BFB"/>
    <w:rsid w:val="294C65AD"/>
    <w:rsid w:val="29806583"/>
    <w:rsid w:val="298B3C4C"/>
    <w:rsid w:val="29995DFC"/>
    <w:rsid w:val="29F26D24"/>
    <w:rsid w:val="29F41FB8"/>
    <w:rsid w:val="2A15033F"/>
    <w:rsid w:val="2A1662C1"/>
    <w:rsid w:val="2A1C7367"/>
    <w:rsid w:val="2A2815FA"/>
    <w:rsid w:val="2A2C0A1E"/>
    <w:rsid w:val="2A6D6092"/>
    <w:rsid w:val="2A7C05E4"/>
    <w:rsid w:val="2A7D76B4"/>
    <w:rsid w:val="2A870020"/>
    <w:rsid w:val="2B437463"/>
    <w:rsid w:val="2B7807EE"/>
    <w:rsid w:val="2BBF00EC"/>
    <w:rsid w:val="2BC37CFD"/>
    <w:rsid w:val="2BD5237F"/>
    <w:rsid w:val="2BE536CE"/>
    <w:rsid w:val="2BE758D9"/>
    <w:rsid w:val="2BFF1D8B"/>
    <w:rsid w:val="2C09049E"/>
    <w:rsid w:val="2C0A653C"/>
    <w:rsid w:val="2C191F85"/>
    <w:rsid w:val="2C49746E"/>
    <w:rsid w:val="2CE82D6F"/>
    <w:rsid w:val="2D343236"/>
    <w:rsid w:val="2DD15014"/>
    <w:rsid w:val="2DF72DE4"/>
    <w:rsid w:val="2E0220AF"/>
    <w:rsid w:val="2E4B082A"/>
    <w:rsid w:val="2E4B710B"/>
    <w:rsid w:val="2E5D4E86"/>
    <w:rsid w:val="2E5D790B"/>
    <w:rsid w:val="2E9A3C18"/>
    <w:rsid w:val="2EAD4823"/>
    <w:rsid w:val="2EBB0FEE"/>
    <w:rsid w:val="2EC63002"/>
    <w:rsid w:val="2F0A6B38"/>
    <w:rsid w:val="2F7B4CD7"/>
    <w:rsid w:val="2F946CCB"/>
    <w:rsid w:val="2FBB6BC1"/>
    <w:rsid w:val="2FD25781"/>
    <w:rsid w:val="2FD512BE"/>
    <w:rsid w:val="2FFD7934"/>
    <w:rsid w:val="30733ACD"/>
    <w:rsid w:val="308C3862"/>
    <w:rsid w:val="309379D8"/>
    <w:rsid w:val="309D4424"/>
    <w:rsid w:val="30A270F7"/>
    <w:rsid w:val="30DF1478"/>
    <w:rsid w:val="30EC586F"/>
    <w:rsid w:val="30F5600E"/>
    <w:rsid w:val="319C6071"/>
    <w:rsid w:val="31AC537E"/>
    <w:rsid w:val="31E3679B"/>
    <w:rsid w:val="31E732FD"/>
    <w:rsid w:val="31E92878"/>
    <w:rsid w:val="320075FC"/>
    <w:rsid w:val="32517576"/>
    <w:rsid w:val="32537490"/>
    <w:rsid w:val="32AC57D7"/>
    <w:rsid w:val="32BC19BF"/>
    <w:rsid w:val="32BE5C2C"/>
    <w:rsid w:val="32FB6478"/>
    <w:rsid w:val="33263B3F"/>
    <w:rsid w:val="336963EB"/>
    <w:rsid w:val="33816EEB"/>
    <w:rsid w:val="33AB6E04"/>
    <w:rsid w:val="33DC7D6A"/>
    <w:rsid w:val="33EB55CD"/>
    <w:rsid w:val="33EC4C02"/>
    <w:rsid w:val="340D2360"/>
    <w:rsid w:val="3410665D"/>
    <w:rsid w:val="34211214"/>
    <w:rsid w:val="342E63AB"/>
    <w:rsid w:val="34303663"/>
    <w:rsid w:val="346A286F"/>
    <w:rsid w:val="348C7E4A"/>
    <w:rsid w:val="348F1EE3"/>
    <w:rsid w:val="34950E68"/>
    <w:rsid w:val="34986E94"/>
    <w:rsid w:val="34AF62C9"/>
    <w:rsid w:val="34CB4388"/>
    <w:rsid w:val="34FA6E12"/>
    <w:rsid w:val="35016021"/>
    <w:rsid w:val="351D171E"/>
    <w:rsid w:val="358D5588"/>
    <w:rsid w:val="35AF7ED5"/>
    <w:rsid w:val="363A3B40"/>
    <w:rsid w:val="365302AE"/>
    <w:rsid w:val="36607A0A"/>
    <w:rsid w:val="366E227C"/>
    <w:rsid w:val="366F2E0D"/>
    <w:rsid w:val="367B6A5C"/>
    <w:rsid w:val="368C79E1"/>
    <w:rsid w:val="36A74ADA"/>
    <w:rsid w:val="36AD60D5"/>
    <w:rsid w:val="36B224F9"/>
    <w:rsid w:val="36EC0CC9"/>
    <w:rsid w:val="36F00FB9"/>
    <w:rsid w:val="373F410B"/>
    <w:rsid w:val="376B0AD6"/>
    <w:rsid w:val="379320DC"/>
    <w:rsid w:val="37A127C7"/>
    <w:rsid w:val="37E67A3D"/>
    <w:rsid w:val="37EE7094"/>
    <w:rsid w:val="37F85DAF"/>
    <w:rsid w:val="38296C89"/>
    <w:rsid w:val="383002EB"/>
    <w:rsid w:val="38586797"/>
    <w:rsid w:val="38BC0149"/>
    <w:rsid w:val="38D87D1C"/>
    <w:rsid w:val="393E3B4B"/>
    <w:rsid w:val="394F6A60"/>
    <w:rsid w:val="39636459"/>
    <w:rsid w:val="396B7F6C"/>
    <w:rsid w:val="396C0E37"/>
    <w:rsid w:val="399218BB"/>
    <w:rsid w:val="39B417A9"/>
    <w:rsid w:val="39F94DC1"/>
    <w:rsid w:val="39FC5695"/>
    <w:rsid w:val="3A006D8E"/>
    <w:rsid w:val="3A3651E5"/>
    <w:rsid w:val="3A744481"/>
    <w:rsid w:val="3A8947DC"/>
    <w:rsid w:val="3A8C7BEF"/>
    <w:rsid w:val="3A906246"/>
    <w:rsid w:val="3ADB0022"/>
    <w:rsid w:val="3B2349B7"/>
    <w:rsid w:val="3B616CFF"/>
    <w:rsid w:val="3B6259F6"/>
    <w:rsid w:val="3B976654"/>
    <w:rsid w:val="3BB05F74"/>
    <w:rsid w:val="3BC01EFC"/>
    <w:rsid w:val="3BCA786A"/>
    <w:rsid w:val="3BD31E2F"/>
    <w:rsid w:val="3BE65D9C"/>
    <w:rsid w:val="3BF07D44"/>
    <w:rsid w:val="3BF15831"/>
    <w:rsid w:val="3C105946"/>
    <w:rsid w:val="3C471448"/>
    <w:rsid w:val="3C4D352D"/>
    <w:rsid w:val="3C5F759A"/>
    <w:rsid w:val="3C6877AA"/>
    <w:rsid w:val="3C6C525A"/>
    <w:rsid w:val="3C9C15DA"/>
    <w:rsid w:val="3CCE23CB"/>
    <w:rsid w:val="3CD17D17"/>
    <w:rsid w:val="3D3C7F39"/>
    <w:rsid w:val="3D440F09"/>
    <w:rsid w:val="3D4504A0"/>
    <w:rsid w:val="3D8734BB"/>
    <w:rsid w:val="3D9A11D4"/>
    <w:rsid w:val="3DA16D89"/>
    <w:rsid w:val="3DA364BE"/>
    <w:rsid w:val="3DD0408A"/>
    <w:rsid w:val="3DE041CB"/>
    <w:rsid w:val="3E0D4036"/>
    <w:rsid w:val="3E0D48F6"/>
    <w:rsid w:val="3E173A67"/>
    <w:rsid w:val="3E1868B4"/>
    <w:rsid w:val="3E377251"/>
    <w:rsid w:val="3E42664B"/>
    <w:rsid w:val="3E46434D"/>
    <w:rsid w:val="3E5A7334"/>
    <w:rsid w:val="3E660FF9"/>
    <w:rsid w:val="3E7B5D6B"/>
    <w:rsid w:val="3E843E66"/>
    <w:rsid w:val="3E8F51FE"/>
    <w:rsid w:val="3E926F87"/>
    <w:rsid w:val="3E9A59DE"/>
    <w:rsid w:val="3EAF4836"/>
    <w:rsid w:val="3EC040FF"/>
    <w:rsid w:val="3EC33DFA"/>
    <w:rsid w:val="3F060E16"/>
    <w:rsid w:val="3F1D1096"/>
    <w:rsid w:val="3F2F0234"/>
    <w:rsid w:val="3F6363FE"/>
    <w:rsid w:val="3F7209C1"/>
    <w:rsid w:val="3F756B8F"/>
    <w:rsid w:val="3F7B6278"/>
    <w:rsid w:val="3F95482B"/>
    <w:rsid w:val="3F9D6D5C"/>
    <w:rsid w:val="3FBB0422"/>
    <w:rsid w:val="4019356B"/>
    <w:rsid w:val="40592157"/>
    <w:rsid w:val="405A7C3B"/>
    <w:rsid w:val="406E1CAE"/>
    <w:rsid w:val="40A0133A"/>
    <w:rsid w:val="40A36D5D"/>
    <w:rsid w:val="40C31A53"/>
    <w:rsid w:val="40FF545D"/>
    <w:rsid w:val="410067C8"/>
    <w:rsid w:val="418F0D2A"/>
    <w:rsid w:val="41D01505"/>
    <w:rsid w:val="42474939"/>
    <w:rsid w:val="424C3C57"/>
    <w:rsid w:val="426134B9"/>
    <w:rsid w:val="42613FF3"/>
    <w:rsid w:val="42660D96"/>
    <w:rsid w:val="428611BC"/>
    <w:rsid w:val="428667D2"/>
    <w:rsid w:val="42880503"/>
    <w:rsid w:val="42986C86"/>
    <w:rsid w:val="42BB4B2C"/>
    <w:rsid w:val="42CD1CE0"/>
    <w:rsid w:val="42E1381E"/>
    <w:rsid w:val="42ED6459"/>
    <w:rsid w:val="42FE58DD"/>
    <w:rsid w:val="43170510"/>
    <w:rsid w:val="43174B3D"/>
    <w:rsid w:val="434B790E"/>
    <w:rsid w:val="4360274F"/>
    <w:rsid w:val="438C4CFB"/>
    <w:rsid w:val="43977AB6"/>
    <w:rsid w:val="43A3342B"/>
    <w:rsid w:val="43AB7FD0"/>
    <w:rsid w:val="43BD6E5F"/>
    <w:rsid w:val="43C77C27"/>
    <w:rsid w:val="43C83170"/>
    <w:rsid w:val="43DE09EE"/>
    <w:rsid w:val="44002FAD"/>
    <w:rsid w:val="449101DD"/>
    <w:rsid w:val="44DE1391"/>
    <w:rsid w:val="44E34ECB"/>
    <w:rsid w:val="451B225C"/>
    <w:rsid w:val="452410C9"/>
    <w:rsid w:val="45317DFB"/>
    <w:rsid w:val="456D3CE4"/>
    <w:rsid w:val="4579042C"/>
    <w:rsid w:val="457F0571"/>
    <w:rsid w:val="45851176"/>
    <w:rsid w:val="45917FD7"/>
    <w:rsid w:val="45C63B94"/>
    <w:rsid w:val="45F11042"/>
    <w:rsid w:val="460E7DA5"/>
    <w:rsid w:val="46422483"/>
    <w:rsid w:val="4659254A"/>
    <w:rsid w:val="465B0637"/>
    <w:rsid w:val="465E3F0D"/>
    <w:rsid w:val="46695FAC"/>
    <w:rsid w:val="466A16E6"/>
    <w:rsid w:val="46893F2B"/>
    <w:rsid w:val="46C4686E"/>
    <w:rsid w:val="47121270"/>
    <w:rsid w:val="477B778F"/>
    <w:rsid w:val="478203EC"/>
    <w:rsid w:val="4784524C"/>
    <w:rsid w:val="47B025FA"/>
    <w:rsid w:val="4809698F"/>
    <w:rsid w:val="4811697D"/>
    <w:rsid w:val="487A3E25"/>
    <w:rsid w:val="488B5503"/>
    <w:rsid w:val="48937E21"/>
    <w:rsid w:val="489A0361"/>
    <w:rsid w:val="48B94FF3"/>
    <w:rsid w:val="48E37AAB"/>
    <w:rsid w:val="48E72288"/>
    <w:rsid w:val="48F41F9F"/>
    <w:rsid w:val="48FD4B4C"/>
    <w:rsid w:val="490A68E0"/>
    <w:rsid w:val="491055FE"/>
    <w:rsid w:val="492E6109"/>
    <w:rsid w:val="495F5B3E"/>
    <w:rsid w:val="496F77D7"/>
    <w:rsid w:val="497654FD"/>
    <w:rsid w:val="49B64211"/>
    <w:rsid w:val="49F6167F"/>
    <w:rsid w:val="4A064FA0"/>
    <w:rsid w:val="4A16615C"/>
    <w:rsid w:val="4A2B3938"/>
    <w:rsid w:val="4A4424D7"/>
    <w:rsid w:val="4AB82D0F"/>
    <w:rsid w:val="4AD4683C"/>
    <w:rsid w:val="4AEB7664"/>
    <w:rsid w:val="4AFD7C19"/>
    <w:rsid w:val="4B0567D1"/>
    <w:rsid w:val="4B1B18ED"/>
    <w:rsid w:val="4B1C7EBB"/>
    <w:rsid w:val="4B236AAE"/>
    <w:rsid w:val="4B2B76E3"/>
    <w:rsid w:val="4B2C0426"/>
    <w:rsid w:val="4B576B84"/>
    <w:rsid w:val="4B707271"/>
    <w:rsid w:val="4B9739F7"/>
    <w:rsid w:val="4B9C1A50"/>
    <w:rsid w:val="4BEE2503"/>
    <w:rsid w:val="4C245A30"/>
    <w:rsid w:val="4C4C733F"/>
    <w:rsid w:val="4C863306"/>
    <w:rsid w:val="4C925473"/>
    <w:rsid w:val="4C9A2AE8"/>
    <w:rsid w:val="4CB6685F"/>
    <w:rsid w:val="4CC367FE"/>
    <w:rsid w:val="4D077F3C"/>
    <w:rsid w:val="4D123355"/>
    <w:rsid w:val="4D260D93"/>
    <w:rsid w:val="4D2A3B31"/>
    <w:rsid w:val="4D312C52"/>
    <w:rsid w:val="4D905305"/>
    <w:rsid w:val="4D964A72"/>
    <w:rsid w:val="4D9C1254"/>
    <w:rsid w:val="4E202374"/>
    <w:rsid w:val="4E661EA1"/>
    <w:rsid w:val="4E6D66C7"/>
    <w:rsid w:val="4E793892"/>
    <w:rsid w:val="4E7D2BC1"/>
    <w:rsid w:val="4E800872"/>
    <w:rsid w:val="4EC569ED"/>
    <w:rsid w:val="4ED50EA1"/>
    <w:rsid w:val="4EEC050C"/>
    <w:rsid w:val="4F104EC3"/>
    <w:rsid w:val="4F231B40"/>
    <w:rsid w:val="4F47354A"/>
    <w:rsid w:val="4F911C54"/>
    <w:rsid w:val="4FB90216"/>
    <w:rsid w:val="4FC7250D"/>
    <w:rsid w:val="4FE625E0"/>
    <w:rsid w:val="5021480F"/>
    <w:rsid w:val="503724AD"/>
    <w:rsid w:val="5060304C"/>
    <w:rsid w:val="50750E8F"/>
    <w:rsid w:val="508415B8"/>
    <w:rsid w:val="50962ECB"/>
    <w:rsid w:val="50A12755"/>
    <w:rsid w:val="50A42E38"/>
    <w:rsid w:val="50A4577F"/>
    <w:rsid w:val="50AC3365"/>
    <w:rsid w:val="50B73D1F"/>
    <w:rsid w:val="50BD5BC9"/>
    <w:rsid w:val="50C11EEE"/>
    <w:rsid w:val="50E97CFC"/>
    <w:rsid w:val="50FA4028"/>
    <w:rsid w:val="5104703A"/>
    <w:rsid w:val="510D65B7"/>
    <w:rsid w:val="511157AB"/>
    <w:rsid w:val="513A6339"/>
    <w:rsid w:val="513B45AE"/>
    <w:rsid w:val="5142540C"/>
    <w:rsid w:val="516917B2"/>
    <w:rsid w:val="518832C8"/>
    <w:rsid w:val="51966964"/>
    <w:rsid w:val="51A0432A"/>
    <w:rsid w:val="51A86090"/>
    <w:rsid w:val="51B7396D"/>
    <w:rsid w:val="522E4CC3"/>
    <w:rsid w:val="5244713B"/>
    <w:rsid w:val="524B7D2C"/>
    <w:rsid w:val="52615633"/>
    <w:rsid w:val="52977FD4"/>
    <w:rsid w:val="52A20C63"/>
    <w:rsid w:val="52A25790"/>
    <w:rsid w:val="52A96B6F"/>
    <w:rsid w:val="52B45975"/>
    <w:rsid w:val="52D94AA4"/>
    <w:rsid w:val="52EA3A62"/>
    <w:rsid w:val="52F50BB8"/>
    <w:rsid w:val="53097272"/>
    <w:rsid w:val="53544462"/>
    <w:rsid w:val="5397158E"/>
    <w:rsid w:val="53BA3890"/>
    <w:rsid w:val="54013861"/>
    <w:rsid w:val="54487265"/>
    <w:rsid w:val="544D6070"/>
    <w:rsid w:val="54605E1E"/>
    <w:rsid w:val="54B3506A"/>
    <w:rsid w:val="54CA0D16"/>
    <w:rsid w:val="54DD4057"/>
    <w:rsid w:val="54E7490F"/>
    <w:rsid w:val="550764A4"/>
    <w:rsid w:val="550B2BF6"/>
    <w:rsid w:val="551B5793"/>
    <w:rsid w:val="55202DAA"/>
    <w:rsid w:val="55214EB5"/>
    <w:rsid w:val="55364EFD"/>
    <w:rsid w:val="555D4828"/>
    <w:rsid w:val="556E0802"/>
    <w:rsid w:val="557A4C8B"/>
    <w:rsid w:val="558931E1"/>
    <w:rsid w:val="55923347"/>
    <w:rsid w:val="55925180"/>
    <w:rsid w:val="55983B1B"/>
    <w:rsid w:val="55A8376B"/>
    <w:rsid w:val="55AA3C5E"/>
    <w:rsid w:val="55BE2D74"/>
    <w:rsid w:val="55D96717"/>
    <w:rsid w:val="55DC29B6"/>
    <w:rsid w:val="55DD4241"/>
    <w:rsid w:val="55F81F79"/>
    <w:rsid w:val="5646331D"/>
    <w:rsid w:val="566B6D1E"/>
    <w:rsid w:val="56BB7F28"/>
    <w:rsid w:val="57032A2C"/>
    <w:rsid w:val="570F4B25"/>
    <w:rsid w:val="570F5219"/>
    <w:rsid w:val="5739354E"/>
    <w:rsid w:val="575D12B5"/>
    <w:rsid w:val="57610A87"/>
    <w:rsid w:val="577B1140"/>
    <w:rsid w:val="577B7F21"/>
    <w:rsid w:val="577F181B"/>
    <w:rsid w:val="5785782D"/>
    <w:rsid w:val="57921984"/>
    <w:rsid w:val="579737F0"/>
    <w:rsid w:val="57AB7B30"/>
    <w:rsid w:val="57AF5251"/>
    <w:rsid w:val="57B26373"/>
    <w:rsid w:val="57B63F04"/>
    <w:rsid w:val="57CD20C2"/>
    <w:rsid w:val="57CF372B"/>
    <w:rsid w:val="57D675AB"/>
    <w:rsid w:val="57D95FDD"/>
    <w:rsid w:val="58053F27"/>
    <w:rsid w:val="58917D2F"/>
    <w:rsid w:val="5894085C"/>
    <w:rsid w:val="58AE4F0C"/>
    <w:rsid w:val="58B85899"/>
    <w:rsid w:val="58E363A9"/>
    <w:rsid w:val="59282B75"/>
    <w:rsid w:val="595E1678"/>
    <w:rsid w:val="596D5BD4"/>
    <w:rsid w:val="597E3DD8"/>
    <w:rsid w:val="597F36B6"/>
    <w:rsid w:val="599206EC"/>
    <w:rsid w:val="599F73C0"/>
    <w:rsid w:val="59DF024A"/>
    <w:rsid w:val="59F80043"/>
    <w:rsid w:val="5A09252F"/>
    <w:rsid w:val="5A0B2778"/>
    <w:rsid w:val="5A101373"/>
    <w:rsid w:val="5A2A7C7B"/>
    <w:rsid w:val="5A3E2560"/>
    <w:rsid w:val="5A5D3B6E"/>
    <w:rsid w:val="5A637A76"/>
    <w:rsid w:val="5A6D33BA"/>
    <w:rsid w:val="5A792B1F"/>
    <w:rsid w:val="5A874767"/>
    <w:rsid w:val="5AAD6F28"/>
    <w:rsid w:val="5AD50114"/>
    <w:rsid w:val="5AD63A24"/>
    <w:rsid w:val="5AEB1C29"/>
    <w:rsid w:val="5B2E1A1D"/>
    <w:rsid w:val="5B843A1C"/>
    <w:rsid w:val="5B863B83"/>
    <w:rsid w:val="5B864D39"/>
    <w:rsid w:val="5B873E3F"/>
    <w:rsid w:val="5BC235A5"/>
    <w:rsid w:val="5BEB5C52"/>
    <w:rsid w:val="5BFD1995"/>
    <w:rsid w:val="5C02690E"/>
    <w:rsid w:val="5C196DA7"/>
    <w:rsid w:val="5C2A048C"/>
    <w:rsid w:val="5C80234E"/>
    <w:rsid w:val="5C8A680C"/>
    <w:rsid w:val="5CA75CC0"/>
    <w:rsid w:val="5CC72CB8"/>
    <w:rsid w:val="5D0C4701"/>
    <w:rsid w:val="5D0F0395"/>
    <w:rsid w:val="5D221076"/>
    <w:rsid w:val="5D3722A3"/>
    <w:rsid w:val="5D397964"/>
    <w:rsid w:val="5D5740D7"/>
    <w:rsid w:val="5D5A391C"/>
    <w:rsid w:val="5D5F10C0"/>
    <w:rsid w:val="5D891B7B"/>
    <w:rsid w:val="5DAD38EE"/>
    <w:rsid w:val="5E006862"/>
    <w:rsid w:val="5E0207B9"/>
    <w:rsid w:val="5E1834A1"/>
    <w:rsid w:val="5E261785"/>
    <w:rsid w:val="5E4A7017"/>
    <w:rsid w:val="5E552BBA"/>
    <w:rsid w:val="5E611C10"/>
    <w:rsid w:val="5EA41754"/>
    <w:rsid w:val="5ECB1EC7"/>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103A3"/>
    <w:rsid w:val="61654E3F"/>
    <w:rsid w:val="6182292A"/>
    <w:rsid w:val="61924E3C"/>
    <w:rsid w:val="619F7F92"/>
    <w:rsid w:val="61EA780B"/>
    <w:rsid w:val="61F94C26"/>
    <w:rsid w:val="62000E56"/>
    <w:rsid w:val="620152D8"/>
    <w:rsid w:val="623B1697"/>
    <w:rsid w:val="624F3E49"/>
    <w:rsid w:val="62632286"/>
    <w:rsid w:val="626D1BCA"/>
    <w:rsid w:val="627829E6"/>
    <w:rsid w:val="628250A4"/>
    <w:rsid w:val="62885958"/>
    <w:rsid w:val="62F40B65"/>
    <w:rsid w:val="62FC2CFE"/>
    <w:rsid w:val="63024505"/>
    <w:rsid w:val="630F7A96"/>
    <w:rsid w:val="63501431"/>
    <w:rsid w:val="635B1DB5"/>
    <w:rsid w:val="63711FED"/>
    <w:rsid w:val="63880DDC"/>
    <w:rsid w:val="638D750D"/>
    <w:rsid w:val="63A51893"/>
    <w:rsid w:val="63AC6CC0"/>
    <w:rsid w:val="63FA3864"/>
    <w:rsid w:val="64055776"/>
    <w:rsid w:val="64240056"/>
    <w:rsid w:val="642A68A2"/>
    <w:rsid w:val="643E143A"/>
    <w:rsid w:val="64475114"/>
    <w:rsid w:val="645001C0"/>
    <w:rsid w:val="648B6EEF"/>
    <w:rsid w:val="64C158BF"/>
    <w:rsid w:val="64CE2EAA"/>
    <w:rsid w:val="64F24911"/>
    <w:rsid w:val="653B6707"/>
    <w:rsid w:val="653C3090"/>
    <w:rsid w:val="65854376"/>
    <w:rsid w:val="658767BE"/>
    <w:rsid w:val="65892531"/>
    <w:rsid w:val="65C56262"/>
    <w:rsid w:val="66014531"/>
    <w:rsid w:val="66195831"/>
    <w:rsid w:val="662E75B1"/>
    <w:rsid w:val="66342C2E"/>
    <w:rsid w:val="663E784C"/>
    <w:rsid w:val="668B6A45"/>
    <w:rsid w:val="66C37A39"/>
    <w:rsid w:val="66D734E4"/>
    <w:rsid w:val="66DB4D83"/>
    <w:rsid w:val="672229B1"/>
    <w:rsid w:val="672F3F24"/>
    <w:rsid w:val="673E055F"/>
    <w:rsid w:val="67551CE3"/>
    <w:rsid w:val="67A22552"/>
    <w:rsid w:val="67B22DCC"/>
    <w:rsid w:val="67BE71AA"/>
    <w:rsid w:val="67D90273"/>
    <w:rsid w:val="67DE5875"/>
    <w:rsid w:val="67E55852"/>
    <w:rsid w:val="67EB1AB4"/>
    <w:rsid w:val="67FA1285"/>
    <w:rsid w:val="68345480"/>
    <w:rsid w:val="68376B36"/>
    <w:rsid w:val="68551F4F"/>
    <w:rsid w:val="687C10C9"/>
    <w:rsid w:val="68840C16"/>
    <w:rsid w:val="68876EFB"/>
    <w:rsid w:val="68884654"/>
    <w:rsid w:val="689F444F"/>
    <w:rsid w:val="68B96DBB"/>
    <w:rsid w:val="68BA6F7E"/>
    <w:rsid w:val="68C76B21"/>
    <w:rsid w:val="68CA2805"/>
    <w:rsid w:val="68E937A3"/>
    <w:rsid w:val="693E15D3"/>
    <w:rsid w:val="69627681"/>
    <w:rsid w:val="69710F03"/>
    <w:rsid w:val="6977531D"/>
    <w:rsid w:val="69A31AC2"/>
    <w:rsid w:val="69CC2BFF"/>
    <w:rsid w:val="69FD55B8"/>
    <w:rsid w:val="6A0905B5"/>
    <w:rsid w:val="6A0B1C62"/>
    <w:rsid w:val="6A2406C8"/>
    <w:rsid w:val="6A4A6F79"/>
    <w:rsid w:val="6A7B4289"/>
    <w:rsid w:val="6ADE0BD1"/>
    <w:rsid w:val="6AE96859"/>
    <w:rsid w:val="6B147746"/>
    <w:rsid w:val="6B24787C"/>
    <w:rsid w:val="6B386B35"/>
    <w:rsid w:val="6B573233"/>
    <w:rsid w:val="6B5B6274"/>
    <w:rsid w:val="6B935D53"/>
    <w:rsid w:val="6C053E3A"/>
    <w:rsid w:val="6C196F71"/>
    <w:rsid w:val="6C226FCB"/>
    <w:rsid w:val="6C31226F"/>
    <w:rsid w:val="6C552F0B"/>
    <w:rsid w:val="6C8C67B7"/>
    <w:rsid w:val="6C9D744C"/>
    <w:rsid w:val="6D056FFD"/>
    <w:rsid w:val="6D167928"/>
    <w:rsid w:val="6D26299B"/>
    <w:rsid w:val="6D4772EC"/>
    <w:rsid w:val="6D875564"/>
    <w:rsid w:val="6D8D497D"/>
    <w:rsid w:val="6D9078AF"/>
    <w:rsid w:val="6DAA3FEF"/>
    <w:rsid w:val="6DC0172B"/>
    <w:rsid w:val="6DCB690C"/>
    <w:rsid w:val="6DD41A5B"/>
    <w:rsid w:val="6DD864C0"/>
    <w:rsid w:val="6DF43C2E"/>
    <w:rsid w:val="6DF51CA3"/>
    <w:rsid w:val="6E8335BD"/>
    <w:rsid w:val="6E891568"/>
    <w:rsid w:val="6E8E12EF"/>
    <w:rsid w:val="6E972936"/>
    <w:rsid w:val="6ED446C5"/>
    <w:rsid w:val="6F2A7D94"/>
    <w:rsid w:val="6F354CD2"/>
    <w:rsid w:val="6F392F8E"/>
    <w:rsid w:val="6F8331F1"/>
    <w:rsid w:val="6FAE1A09"/>
    <w:rsid w:val="6FB915D7"/>
    <w:rsid w:val="6FD75BF8"/>
    <w:rsid w:val="707723D0"/>
    <w:rsid w:val="70F5661B"/>
    <w:rsid w:val="71260E18"/>
    <w:rsid w:val="71360107"/>
    <w:rsid w:val="713B688E"/>
    <w:rsid w:val="71D43752"/>
    <w:rsid w:val="71F1796A"/>
    <w:rsid w:val="72154626"/>
    <w:rsid w:val="72262B5D"/>
    <w:rsid w:val="72283FF7"/>
    <w:rsid w:val="722E7212"/>
    <w:rsid w:val="723A0474"/>
    <w:rsid w:val="725923E4"/>
    <w:rsid w:val="72864BF7"/>
    <w:rsid w:val="729023FC"/>
    <w:rsid w:val="72A116D3"/>
    <w:rsid w:val="72C9287B"/>
    <w:rsid w:val="73C0646E"/>
    <w:rsid w:val="742222F5"/>
    <w:rsid w:val="74257F85"/>
    <w:rsid w:val="74476126"/>
    <w:rsid w:val="74706664"/>
    <w:rsid w:val="747F3682"/>
    <w:rsid w:val="749C4185"/>
    <w:rsid w:val="75067759"/>
    <w:rsid w:val="752E6DCD"/>
    <w:rsid w:val="7551380D"/>
    <w:rsid w:val="75600BE5"/>
    <w:rsid w:val="7564475C"/>
    <w:rsid w:val="7564688B"/>
    <w:rsid w:val="7583797F"/>
    <w:rsid w:val="75D20F1D"/>
    <w:rsid w:val="75DA2C18"/>
    <w:rsid w:val="75F54412"/>
    <w:rsid w:val="761D08E0"/>
    <w:rsid w:val="765D347C"/>
    <w:rsid w:val="76826699"/>
    <w:rsid w:val="76C375E1"/>
    <w:rsid w:val="76C87133"/>
    <w:rsid w:val="76CD08D5"/>
    <w:rsid w:val="76DB4B92"/>
    <w:rsid w:val="7701216C"/>
    <w:rsid w:val="77052AA4"/>
    <w:rsid w:val="77136511"/>
    <w:rsid w:val="772063B7"/>
    <w:rsid w:val="77340A39"/>
    <w:rsid w:val="77351FD0"/>
    <w:rsid w:val="77472422"/>
    <w:rsid w:val="774A3380"/>
    <w:rsid w:val="77576FFD"/>
    <w:rsid w:val="777F31F2"/>
    <w:rsid w:val="77A411C1"/>
    <w:rsid w:val="77D1700D"/>
    <w:rsid w:val="77EC04CC"/>
    <w:rsid w:val="780879A1"/>
    <w:rsid w:val="78225227"/>
    <w:rsid w:val="78775729"/>
    <w:rsid w:val="78A42DB0"/>
    <w:rsid w:val="78A656AB"/>
    <w:rsid w:val="78B2245C"/>
    <w:rsid w:val="78E172CC"/>
    <w:rsid w:val="78EA1D1F"/>
    <w:rsid w:val="78EB5563"/>
    <w:rsid w:val="7904172F"/>
    <w:rsid w:val="790F7E27"/>
    <w:rsid w:val="7927724C"/>
    <w:rsid w:val="792A231A"/>
    <w:rsid w:val="79316829"/>
    <w:rsid w:val="797E66A9"/>
    <w:rsid w:val="79960FDD"/>
    <w:rsid w:val="79A97383"/>
    <w:rsid w:val="79E27E8B"/>
    <w:rsid w:val="79F850CE"/>
    <w:rsid w:val="79FD443C"/>
    <w:rsid w:val="7A1D1975"/>
    <w:rsid w:val="7A3E5150"/>
    <w:rsid w:val="7A45663C"/>
    <w:rsid w:val="7A4670D6"/>
    <w:rsid w:val="7A534B63"/>
    <w:rsid w:val="7A615382"/>
    <w:rsid w:val="7A67303B"/>
    <w:rsid w:val="7A76240F"/>
    <w:rsid w:val="7AAB1D04"/>
    <w:rsid w:val="7ABA4368"/>
    <w:rsid w:val="7AD05746"/>
    <w:rsid w:val="7B257FFD"/>
    <w:rsid w:val="7B2F3404"/>
    <w:rsid w:val="7B343476"/>
    <w:rsid w:val="7B4A207F"/>
    <w:rsid w:val="7B5A2978"/>
    <w:rsid w:val="7B5A7E4C"/>
    <w:rsid w:val="7B667AF9"/>
    <w:rsid w:val="7B7468F8"/>
    <w:rsid w:val="7B777538"/>
    <w:rsid w:val="7BAD6ADF"/>
    <w:rsid w:val="7BEE0103"/>
    <w:rsid w:val="7C0A0FE4"/>
    <w:rsid w:val="7C1045B2"/>
    <w:rsid w:val="7C254906"/>
    <w:rsid w:val="7C590818"/>
    <w:rsid w:val="7C7C10F6"/>
    <w:rsid w:val="7C853BEA"/>
    <w:rsid w:val="7C881368"/>
    <w:rsid w:val="7CA624A5"/>
    <w:rsid w:val="7CA71ADF"/>
    <w:rsid w:val="7CAD556F"/>
    <w:rsid w:val="7CCF6CE0"/>
    <w:rsid w:val="7CE0713F"/>
    <w:rsid w:val="7CE27788"/>
    <w:rsid w:val="7D0C32F1"/>
    <w:rsid w:val="7D0F408D"/>
    <w:rsid w:val="7D1D18EE"/>
    <w:rsid w:val="7D214A85"/>
    <w:rsid w:val="7D491C6C"/>
    <w:rsid w:val="7D5429C0"/>
    <w:rsid w:val="7D6E6D43"/>
    <w:rsid w:val="7D7F2866"/>
    <w:rsid w:val="7DA57A41"/>
    <w:rsid w:val="7DB57A34"/>
    <w:rsid w:val="7DCC7EBD"/>
    <w:rsid w:val="7DE60973"/>
    <w:rsid w:val="7DEF0916"/>
    <w:rsid w:val="7E1E5218"/>
    <w:rsid w:val="7E8B6C36"/>
    <w:rsid w:val="7E9A4E1F"/>
    <w:rsid w:val="7EA7723A"/>
    <w:rsid w:val="7EBC7698"/>
    <w:rsid w:val="7EF56FBB"/>
    <w:rsid w:val="7F0768EB"/>
    <w:rsid w:val="7F143BEC"/>
    <w:rsid w:val="7F715AF2"/>
    <w:rsid w:val="7F7A0C8F"/>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8"/>
    <w:qFormat/>
    <w:uiPriority w:val="0"/>
    <w:pPr>
      <w:spacing w:line="480" w:lineRule="exact"/>
      <w:ind w:firstLine="480" w:firstLineChars="200"/>
    </w:pPr>
    <w:rPr>
      <w:rFonts w:ascii="宋体" w:hAnsi="宋体"/>
      <w:sz w:val="24"/>
    </w:rPr>
  </w:style>
  <w:style w:type="paragraph" w:customStyle="1" w:styleId="3">
    <w:name w:val="正文文本首行缩进 2"/>
    <w:basedOn w:val="2"/>
    <w:qFormat/>
    <w:uiPriority w:val="99"/>
    <w:pPr>
      <w:spacing w:line="200" w:lineRule="atLeast"/>
      <w:ind w:firstLine="420"/>
    </w:pPr>
    <w:rPr>
      <w:rFonts w:ascii="宋体" w:hAnsi="Courier New"/>
      <w:spacing w:val="-4"/>
      <w:sz w:val="18"/>
    </w:rPr>
  </w:style>
  <w:style w:type="paragraph" w:styleId="7">
    <w:name w:val="Normal Indent"/>
    <w:basedOn w:val="1"/>
    <w:next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2"/>
    <w:qFormat/>
    <w:uiPriority w:val="0"/>
    <w:pPr>
      <w:shd w:val="clear" w:color="auto" w:fill="000080"/>
    </w:pPr>
  </w:style>
  <w:style w:type="paragraph" w:styleId="21">
    <w:name w:val="annotation text"/>
    <w:basedOn w:val="1"/>
    <w:link w:val="860"/>
    <w:qFormat/>
    <w:uiPriority w:val="99"/>
    <w:pPr>
      <w:jc w:val="left"/>
    </w:pPr>
  </w:style>
  <w:style w:type="paragraph" w:styleId="22">
    <w:name w:val="Salutation"/>
    <w:basedOn w:val="1"/>
    <w:next w:val="1"/>
    <w:link w:val="820"/>
    <w:qFormat/>
    <w:uiPriority w:val="0"/>
    <w:rPr>
      <w:rFonts w:ascii="仿宋_GB2312" w:eastAsia="仿宋_GB2312"/>
      <w:sz w:val="28"/>
      <w:szCs w:val="20"/>
    </w:rPr>
  </w:style>
  <w:style w:type="paragraph" w:styleId="23">
    <w:name w:val="Body Text 3"/>
    <w:basedOn w:val="1"/>
    <w:link w:val="84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37"/>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4"/>
    <w:qFormat/>
    <w:uiPriority w:val="0"/>
    <w:pPr>
      <w:ind w:left="100" w:leftChars="2500"/>
    </w:pPr>
    <w:rPr>
      <w:rFonts w:ascii="宋体"/>
      <w:sz w:val="24"/>
      <w:szCs w:val="21"/>
      <w:lang w:val="zh-CN"/>
    </w:rPr>
  </w:style>
  <w:style w:type="paragraph" w:styleId="37">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8">
    <w:name w:val="endnote text"/>
    <w:basedOn w:val="1"/>
    <w:link w:val="945"/>
    <w:qFormat/>
    <w:uiPriority w:val="0"/>
    <w:rPr>
      <w:lang w:val="zh-CN"/>
    </w:rPr>
  </w:style>
  <w:style w:type="paragraph" w:styleId="39">
    <w:name w:val="Balloon Text"/>
    <w:basedOn w:val="1"/>
    <w:link w:val="721"/>
    <w:qFormat/>
    <w:uiPriority w:val="0"/>
    <w:rPr>
      <w:sz w:val="18"/>
      <w:szCs w:val="18"/>
    </w:rPr>
  </w:style>
  <w:style w:type="paragraph" w:styleId="40">
    <w:name w:val="footer"/>
    <w:basedOn w:val="1"/>
    <w:link w:val="896"/>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30"/>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4"/>
    <w:qFormat/>
    <w:uiPriority w:val="0"/>
    <w:pPr>
      <w:spacing w:after="120" w:line="480" w:lineRule="auto"/>
    </w:pPr>
  </w:style>
  <w:style w:type="paragraph" w:styleId="58">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7"/>
    <w:qFormat/>
    <w:uiPriority w:val="0"/>
    <w:rPr>
      <w:b/>
      <w:bCs/>
    </w:rPr>
  </w:style>
  <w:style w:type="paragraph" w:styleId="62">
    <w:name w:val="Body Text First Indent"/>
    <w:basedOn w:val="25"/>
    <w:next w:val="52"/>
    <w:link w:val="839"/>
    <w:qFormat/>
    <w:uiPriority w:val="0"/>
    <w:pPr>
      <w:ind w:firstLine="420"/>
    </w:pPr>
    <w:rPr>
      <w:rFonts w:hAnsi="Calibri" w:cs="Times New Roman"/>
      <w:szCs w:val="20"/>
    </w:rPr>
  </w:style>
  <w:style w:type="paragraph" w:styleId="63">
    <w:name w:val="Body Text First Indent 2"/>
    <w:basedOn w:val="2"/>
    <w:next w:val="1"/>
    <w:link w:val="66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正文文本首行缩进 21"/>
    <w:basedOn w:val="2"/>
    <w:qFormat/>
    <w:uiPriority w:val="99"/>
    <w:pPr>
      <w:spacing w:line="200" w:lineRule="atLeast"/>
      <w:ind w:firstLine="420"/>
    </w:pPr>
    <w:rPr>
      <w:rFonts w:ascii="宋体" w:hAnsi="Courier New"/>
      <w:spacing w:val="-4"/>
      <w:sz w:val="18"/>
    </w:rPr>
  </w:style>
  <w:style w:type="paragraph" w:customStyle="1" w:styleId="83">
    <w:name w:val="List Paragraph"/>
    <w:basedOn w:val="1"/>
    <w:qFormat/>
    <w:uiPriority w:val="34"/>
    <w:pPr>
      <w:spacing w:line="360" w:lineRule="auto"/>
      <w:ind w:firstLine="200" w:firstLineChars="200"/>
    </w:pPr>
    <w:rPr>
      <w:rFonts w:eastAsia="楷体_GB2312" w:cs="Lucida Sans"/>
      <w:sz w:val="24"/>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_Style 2"/>
    <w:basedOn w:val="1"/>
    <w:next w:val="1"/>
    <w:qFormat/>
    <w:uiPriority w:val="0"/>
    <w:pPr>
      <w:pBdr>
        <w:bottom w:val="single" w:color="auto" w:sz="6" w:space="1"/>
      </w:pBdr>
      <w:jc w:val="center"/>
    </w:pPr>
    <w:rPr>
      <w:rFonts w:ascii="Arial" w:hAnsi="Calibri"/>
      <w:vanish/>
      <w:sz w:val="16"/>
    </w:rPr>
  </w:style>
  <w:style w:type="paragraph" w:customStyle="1" w:styleId="86">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7">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9"/>
    <w:qFormat/>
    <w:uiPriority w:val="0"/>
    <w:pPr>
      <w:spacing w:before="156" w:line="360" w:lineRule="auto"/>
      <w:ind w:firstLine="510" w:firstLineChars="200"/>
    </w:pPr>
    <w:rPr>
      <w:sz w:val="24"/>
      <w:szCs w:val="20"/>
    </w:rPr>
  </w:style>
  <w:style w:type="paragraph" w:customStyle="1" w:styleId="93">
    <w:name w:val="无间隔1"/>
    <w:link w:val="677"/>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5"/>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5"/>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30"/>
    <w:qFormat/>
    <w:uiPriority w:val="0"/>
    <w:pPr>
      <w:ind w:left="0" w:right="466" w:firstLine="288"/>
    </w:pPr>
    <w:rPr>
      <w:rFonts w:hAnsi="宋体"/>
    </w:rPr>
  </w:style>
  <w:style w:type="paragraph" w:customStyle="1" w:styleId="100">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8"/>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2"/>
    <w:qFormat/>
    <w:uiPriority w:val="0"/>
    <w:pPr>
      <w:adjustRightInd/>
      <w:spacing w:line="360" w:lineRule="auto"/>
      <w:ind w:firstLine="480" w:firstLineChars="200"/>
    </w:pPr>
    <w:rPr>
      <w:kern w:val="0"/>
      <w:sz w:val="24"/>
    </w:rPr>
  </w:style>
  <w:style w:type="paragraph" w:customStyle="1" w:styleId="105">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83"/>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此正文"/>
    <w:basedOn w:val="1"/>
    <w:link w:val="803"/>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5"/>
    <w:qFormat/>
    <w:uiPriority w:val="0"/>
    <w:pPr>
      <w:tabs>
        <w:tab w:val="left" w:pos="2356"/>
      </w:tabs>
    </w:pPr>
  </w:style>
  <w:style w:type="paragraph" w:customStyle="1" w:styleId="109">
    <w:name w:val="样式 标题 4h4H4Fab-4T5Ref Heading 1rh1Heading sqlsect 1.2.3...."/>
    <w:basedOn w:val="8"/>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8"/>
    <w:qFormat/>
    <w:uiPriority w:val="0"/>
    <w:pPr>
      <w:adjustRightInd/>
    </w:pPr>
    <w:rPr>
      <w:rFonts w:ascii="宋体" w:hAnsi="Courier New"/>
      <w:kern w:val="0"/>
      <w:sz w:val="20"/>
      <w:szCs w:val="20"/>
    </w:rPr>
  </w:style>
  <w:style w:type="paragraph" w:customStyle="1" w:styleId="112">
    <w:name w:val="正文说明"/>
    <w:basedOn w:val="1"/>
    <w:link w:val="850"/>
    <w:qFormat/>
    <w:uiPriority w:val="0"/>
    <w:pPr>
      <w:adjustRightInd/>
      <w:spacing w:line="360" w:lineRule="auto"/>
    </w:pPr>
    <w:rPr>
      <w:kern w:val="0"/>
      <w:sz w:val="24"/>
    </w:rPr>
  </w:style>
  <w:style w:type="paragraph" w:customStyle="1" w:styleId="113">
    <w:name w:val="Table Text"/>
    <w:basedOn w:val="1"/>
    <w:link w:val="856"/>
    <w:qFormat/>
    <w:uiPriority w:val="0"/>
    <w:pPr>
      <w:widowControl/>
      <w:spacing w:before="60" w:after="60"/>
      <w:jc w:val="left"/>
    </w:pPr>
    <w:rPr>
      <w:kern w:val="0"/>
      <w:sz w:val="24"/>
    </w:rPr>
  </w:style>
  <w:style w:type="paragraph" w:customStyle="1" w:styleId="114">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7"/>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8"/>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qFormat/>
    <w:uiPriority w:val="0"/>
    <w:pPr>
      <w:spacing w:before="120" w:line="360" w:lineRule="auto"/>
      <w:ind w:firstLine="567"/>
    </w:pPr>
    <w:rPr>
      <w:rFonts w:ascii="Arial" w:hAnsi="Arial"/>
      <w:sz w:val="20"/>
      <w:szCs w:val="20"/>
    </w:rPr>
  </w:style>
  <w:style w:type="paragraph" w:customStyle="1" w:styleId="1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qFormat/>
    <w:uiPriority w:val="0"/>
    <w:pPr>
      <w:adjustRightInd/>
      <w:ind w:firstLine="200" w:firstLineChars="200"/>
    </w:pPr>
    <w:rPr>
      <w:rFonts w:ascii="Tahoma" w:hAnsi="Tahoma"/>
      <w:sz w:val="24"/>
      <w:szCs w:val="20"/>
    </w:rPr>
  </w:style>
  <w:style w:type="paragraph" w:customStyle="1" w:styleId="1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qFormat/>
    <w:uiPriority w:val="0"/>
    <w:pPr>
      <w:tabs>
        <w:tab w:val="left" w:pos="360"/>
      </w:tabs>
    </w:pPr>
    <w:rPr>
      <w:sz w:val="24"/>
      <w:szCs w:val="20"/>
    </w:rPr>
  </w:style>
  <w:style w:type="paragraph" w:customStyle="1" w:styleId="145">
    <w:name w:val="Char Char11 Char Char Char"/>
    <w:basedOn w:val="1"/>
    <w:qFormat/>
    <w:uiPriority w:val="0"/>
    <w:pPr>
      <w:spacing w:line="360" w:lineRule="auto"/>
    </w:pPr>
    <w:rPr>
      <w:szCs w:val="20"/>
    </w:rPr>
  </w:style>
  <w:style w:type="paragraph" w:customStyle="1" w:styleId="14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qFormat/>
    <w:uiPriority w:val="0"/>
    <w:pPr>
      <w:tabs>
        <w:tab w:val="left" w:pos="2790"/>
        <w:tab w:val="left" w:pos="4230"/>
      </w:tabs>
      <w:spacing w:before="312" w:beforeLines="100"/>
      <w:jc w:val="left"/>
    </w:pPr>
  </w:style>
  <w:style w:type="paragraph" w:customStyle="1" w:styleId="14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qFormat/>
    <w:uiPriority w:val="0"/>
    <w:pPr>
      <w:tabs>
        <w:tab w:val="left" w:pos="840"/>
      </w:tabs>
      <w:ind w:left="840" w:hanging="420"/>
    </w:pPr>
    <w:rPr>
      <w:rFonts w:ascii="Tahoma" w:hAnsi="Tahoma"/>
      <w:sz w:val="24"/>
    </w:rPr>
  </w:style>
  <w:style w:type="paragraph" w:customStyle="1" w:styleId="1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qFormat/>
    <w:uiPriority w:val="0"/>
    <w:pPr>
      <w:adjustRightInd/>
      <w:spacing w:before="156" w:line="360" w:lineRule="auto"/>
      <w:ind w:firstLine="510" w:firstLineChars="200"/>
    </w:pPr>
    <w:rPr>
      <w:sz w:val="24"/>
      <w:szCs w:val="20"/>
    </w:rPr>
  </w:style>
  <w:style w:type="paragraph" w:customStyle="1" w:styleId="15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qFormat/>
    <w:uiPriority w:val="0"/>
    <w:rPr>
      <w:rFonts w:ascii="仿宋_GB2312" w:eastAsia="仿宋_GB2312"/>
      <w:b/>
      <w:sz w:val="32"/>
      <w:szCs w:val="32"/>
    </w:rPr>
  </w:style>
  <w:style w:type="paragraph" w:customStyle="1" w:styleId="15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qFormat/>
    <w:uiPriority w:val="0"/>
    <w:pPr>
      <w:keepNext/>
      <w:tabs>
        <w:tab w:val="left" w:pos="360"/>
      </w:tabs>
      <w:spacing w:before="0" w:after="0"/>
      <w:outlineLvl w:val="5"/>
    </w:pPr>
  </w:style>
  <w:style w:type="paragraph" w:customStyle="1" w:styleId="163">
    <w:name w:val="5级标题"/>
    <w:basedOn w:val="164"/>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qFormat/>
    <w:uiPriority w:val="0"/>
    <w:pPr>
      <w:adjustRightInd/>
      <w:ind w:left="420" w:leftChars="200"/>
      <w:jc w:val="left"/>
    </w:pPr>
    <w:rPr>
      <w:sz w:val="28"/>
      <w:szCs w:val="20"/>
      <w:lang w:eastAsia="zh-TW"/>
    </w:rPr>
  </w:style>
  <w:style w:type="paragraph" w:customStyle="1" w:styleId="166">
    <w:name w:val="Char2 Char Char"/>
    <w:basedOn w:val="1"/>
    <w:qFormat/>
    <w:uiPriority w:val="0"/>
    <w:pPr>
      <w:adjustRightInd/>
    </w:pPr>
    <w:rPr>
      <w:rFonts w:ascii="Tahoma" w:hAnsi="Tahoma"/>
      <w:sz w:val="24"/>
      <w:szCs w:val="20"/>
    </w:rPr>
  </w:style>
  <w:style w:type="paragraph" w:customStyle="1" w:styleId="167">
    <w:name w:val="_Style 11"/>
    <w:basedOn w:val="1"/>
    <w:qFormat/>
    <w:uiPriority w:val="34"/>
    <w:pPr>
      <w:adjustRightInd/>
      <w:ind w:firstLine="420" w:firstLineChars="200"/>
    </w:pPr>
    <w:rPr>
      <w:rFonts w:eastAsia="仿宋_GB2312"/>
      <w:sz w:val="28"/>
    </w:rPr>
  </w:style>
  <w:style w:type="paragraph" w:customStyle="1" w:styleId="16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6"/>
    <w:qFormat/>
    <w:uiPriority w:val="99"/>
    <w:rPr>
      <w:szCs w:val="22"/>
    </w:rPr>
  </w:style>
  <w:style w:type="paragraph" w:customStyle="1" w:styleId="17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qFormat/>
    <w:uiPriority w:val="6"/>
    <w:rPr>
      <w:rFonts w:ascii="Tahoma" w:hAnsi="Tahoma" w:cs="仿宋_GB2312"/>
      <w:sz w:val="24"/>
      <w:szCs w:val="20"/>
    </w:rPr>
  </w:style>
  <w:style w:type="paragraph" w:customStyle="1" w:styleId="17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qFormat/>
    <w:uiPriority w:val="0"/>
    <w:pPr>
      <w:adjustRightInd/>
    </w:pPr>
  </w:style>
  <w:style w:type="paragraph" w:customStyle="1" w:styleId="180">
    <w:name w:val="Char5"/>
    <w:basedOn w:val="1"/>
    <w:qFormat/>
    <w:uiPriority w:val="0"/>
    <w:rPr>
      <w:rFonts w:ascii="仿宋_GB2312" w:eastAsia="仿宋_GB2312"/>
      <w:b/>
      <w:sz w:val="32"/>
      <w:szCs w:val="32"/>
    </w:rPr>
  </w:style>
  <w:style w:type="paragraph" w:customStyle="1" w:styleId="18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qFormat/>
    <w:uiPriority w:val="0"/>
    <w:rPr>
      <w:rFonts w:ascii="仿宋_GB2312" w:eastAsia="仿宋_GB2312"/>
      <w:b/>
      <w:sz w:val="32"/>
      <w:szCs w:val="32"/>
    </w:rPr>
  </w:style>
  <w:style w:type="paragraph" w:customStyle="1" w:styleId="185">
    <w:name w:val="数字标题3"/>
    <w:basedOn w:val="6"/>
    <w:next w:val="1"/>
    <w:qFormat/>
    <w:uiPriority w:val="0"/>
    <w:pPr>
      <w:spacing w:line="240" w:lineRule="auto"/>
    </w:pPr>
    <w:rPr>
      <w:sz w:val="28"/>
      <w:szCs w:val="28"/>
    </w:rPr>
  </w:style>
  <w:style w:type="paragraph" w:customStyle="1" w:styleId="186">
    <w:name w:val="FA正文"/>
    <w:basedOn w:val="1"/>
    <w:qFormat/>
    <w:uiPriority w:val="0"/>
    <w:pPr>
      <w:spacing w:line="360" w:lineRule="auto"/>
      <w:ind w:firstLine="480" w:firstLineChars="200"/>
    </w:pPr>
    <w:rPr>
      <w:rFonts w:hAnsi="宋体"/>
      <w:sz w:val="24"/>
      <w:szCs w:val="20"/>
    </w:rPr>
  </w:style>
  <w:style w:type="paragraph" w:customStyle="1" w:styleId="187">
    <w:name w:val="MM Topic 5"/>
    <w:basedOn w:val="9"/>
    <w:qFormat/>
    <w:uiPriority w:val="0"/>
    <w:pPr>
      <w:tabs>
        <w:tab w:val="left" w:pos="2520"/>
        <w:tab w:val="clear" w:pos="1008"/>
      </w:tabs>
      <w:adjustRightInd/>
      <w:ind w:left="2520" w:hanging="420"/>
    </w:pPr>
  </w:style>
  <w:style w:type="paragraph" w:customStyle="1" w:styleId="188">
    <w:name w:val="Char Char Char Char Char Char Char Char Char Char1"/>
    <w:basedOn w:val="1"/>
    <w:qFormat/>
    <w:uiPriority w:val="0"/>
    <w:rPr>
      <w:rFonts w:ascii="仿宋_GB2312" w:eastAsia="仿宋_GB2312"/>
      <w:b/>
      <w:sz w:val="32"/>
      <w:szCs w:val="32"/>
    </w:rPr>
  </w:style>
  <w:style w:type="paragraph" w:customStyle="1" w:styleId="1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qFormat/>
    <w:uiPriority w:val="0"/>
    <w:rPr>
      <w:rFonts w:ascii="仿宋_GB2312" w:eastAsia="仿宋_GB2312"/>
      <w:b/>
      <w:sz w:val="32"/>
      <w:szCs w:val="32"/>
    </w:rPr>
  </w:style>
  <w:style w:type="paragraph" w:customStyle="1" w:styleId="192">
    <w:name w:val="Char2 Char Char Char1"/>
    <w:basedOn w:val="1"/>
    <w:qFormat/>
    <w:uiPriority w:val="6"/>
    <w:rPr>
      <w:rFonts w:ascii="仿宋_GB2312" w:eastAsia="仿宋_GB2312"/>
      <w:b/>
      <w:sz w:val="32"/>
      <w:szCs w:val="32"/>
    </w:rPr>
  </w:style>
  <w:style w:type="paragraph" w:customStyle="1" w:styleId="193">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qFormat/>
    <w:uiPriority w:val="0"/>
    <w:pPr>
      <w:snapToGrid w:val="0"/>
      <w:spacing w:line="0" w:lineRule="atLeast"/>
      <w:ind w:firstLine="200" w:firstLineChars="200"/>
      <w:jc w:val="center"/>
    </w:pPr>
    <w:rPr>
      <w:sz w:val="24"/>
      <w:szCs w:val="20"/>
    </w:rPr>
  </w:style>
  <w:style w:type="paragraph" w:customStyle="1" w:styleId="19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6"/>
    <w:qFormat/>
    <w:uiPriority w:val="0"/>
    <w:pPr>
      <w:tabs>
        <w:tab w:val="left" w:pos="1680"/>
        <w:tab w:val="clear" w:pos="900"/>
      </w:tabs>
      <w:adjustRightInd/>
      <w:ind w:left="1680" w:hanging="420"/>
    </w:pPr>
  </w:style>
  <w:style w:type="paragraph" w:customStyle="1" w:styleId="197">
    <w:name w:val="标准小四"/>
    <w:basedOn w:val="1"/>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qFormat/>
    <w:uiPriority w:val="0"/>
    <w:pPr>
      <w:adjustRightInd/>
      <w:snapToGrid w:val="0"/>
      <w:spacing w:line="300" w:lineRule="auto"/>
    </w:pPr>
    <w:rPr>
      <w:rFonts w:eastAsia="仿宋"/>
      <w:szCs w:val="21"/>
    </w:rPr>
  </w:style>
  <w:style w:type="paragraph" w:customStyle="1" w:styleId="20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qFormat/>
    <w:uiPriority w:val="6"/>
    <w:pPr>
      <w:adjustRightInd/>
    </w:pPr>
    <w:rPr>
      <w:rFonts w:ascii="Tahoma" w:hAnsi="Tahoma"/>
      <w:sz w:val="24"/>
      <w:szCs w:val="20"/>
    </w:rPr>
  </w:style>
  <w:style w:type="paragraph" w:customStyle="1" w:styleId="202">
    <w:name w:val="列出段落5"/>
    <w:basedOn w:val="1"/>
    <w:qFormat/>
    <w:uiPriority w:val="0"/>
    <w:pPr>
      <w:spacing w:line="360" w:lineRule="auto"/>
      <w:ind w:firstLine="200" w:firstLineChars="200"/>
    </w:pPr>
    <w:rPr>
      <w:rFonts w:eastAsia="楷体_GB2312" w:cs="Lucida Sans"/>
      <w:sz w:val="24"/>
    </w:rPr>
  </w:style>
  <w:style w:type="paragraph" w:customStyle="1" w:styleId="20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qFormat/>
    <w:uiPriority w:val="0"/>
    <w:pPr>
      <w:adjustRightInd/>
      <w:ind w:firstLine="420" w:firstLineChars="200"/>
    </w:pPr>
    <w:rPr>
      <w:rFonts w:eastAsia="仿宋_GB2312"/>
      <w:sz w:val="28"/>
    </w:rPr>
  </w:style>
  <w:style w:type="paragraph" w:customStyle="1" w:styleId="2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qFormat/>
    <w:uiPriority w:val="0"/>
    <w:pPr>
      <w:adjustRightInd/>
      <w:ind w:firstLine="200" w:firstLineChars="200"/>
      <w:jc w:val="right"/>
    </w:pPr>
  </w:style>
  <w:style w:type="paragraph" w:customStyle="1" w:styleId="214">
    <w:name w:val="Char Char11 Char Char Char Char Char Char Char Char Char"/>
    <w:basedOn w:val="1"/>
    <w:qFormat/>
    <w:uiPriority w:val="0"/>
    <w:pPr>
      <w:spacing w:line="360" w:lineRule="auto"/>
    </w:pPr>
    <w:rPr>
      <w:szCs w:val="20"/>
    </w:rPr>
  </w:style>
  <w:style w:type="paragraph" w:customStyle="1" w:styleId="215">
    <w:name w:val="正文1.25"/>
    <w:basedOn w:val="1"/>
    <w:qFormat/>
    <w:uiPriority w:val="0"/>
    <w:pPr>
      <w:adjustRightInd/>
      <w:spacing w:line="300" w:lineRule="auto"/>
      <w:ind w:firstLine="480" w:firstLineChars="200"/>
    </w:pPr>
    <w:rPr>
      <w:sz w:val="24"/>
      <w:szCs w:val="20"/>
    </w:rPr>
  </w:style>
  <w:style w:type="paragraph" w:customStyle="1" w:styleId="21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qFormat/>
    <w:uiPriority w:val="6"/>
    <w:rPr>
      <w:rFonts w:ascii="仿宋_GB2312" w:eastAsia="仿宋_GB2312"/>
      <w:b/>
      <w:sz w:val="32"/>
      <w:szCs w:val="20"/>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qFormat/>
    <w:uiPriority w:val="0"/>
    <w:rPr>
      <w:rFonts w:eastAsia="仿宋_GB2312"/>
      <w:sz w:val="28"/>
      <w:szCs w:val="20"/>
    </w:rPr>
  </w:style>
  <w:style w:type="paragraph" w:customStyle="1" w:styleId="2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8"/>
    <w:qFormat/>
    <w:uiPriority w:val="0"/>
    <w:pPr>
      <w:widowControl/>
      <w:jc w:val="left"/>
    </w:pPr>
    <w:rPr>
      <w:rFonts w:cs="宋体"/>
      <w:sz w:val="24"/>
      <w:szCs w:val="20"/>
    </w:rPr>
  </w:style>
  <w:style w:type="paragraph" w:customStyle="1" w:styleId="224">
    <w:name w:val="彩色列表 - 强调文字颜色 11"/>
    <w:basedOn w:val="1"/>
    <w:qFormat/>
    <w:uiPriority w:val="0"/>
    <w:pPr>
      <w:adjustRightInd/>
      <w:ind w:firstLine="420" w:firstLineChars="200"/>
    </w:pPr>
    <w:rPr>
      <w:rFonts w:ascii="Calibri" w:hAnsi="Calibri"/>
      <w:szCs w:val="22"/>
    </w:rPr>
  </w:style>
  <w:style w:type="paragraph" w:customStyle="1" w:styleId="22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qFormat/>
    <w:uiPriority w:val="6"/>
    <w:rPr>
      <w:szCs w:val="20"/>
    </w:rPr>
  </w:style>
  <w:style w:type="paragraph" w:customStyle="1" w:styleId="22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3"/>
    <w:next w:val="103"/>
    <w:qFormat/>
    <w:uiPriority w:val="0"/>
    <w:pPr>
      <w:spacing w:after="68"/>
    </w:pPr>
    <w:rPr>
      <w:rFonts w:ascii="FHLHE E+ Futura Bk" w:eastAsia="FHLHE E+ Futura Bk" w:cs="Times New Roman"/>
      <w:color w:val="auto"/>
    </w:rPr>
  </w:style>
  <w:style w:type="paragraph" w:customStyle="1" w:styleId="23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3"/>
    <w:next w:val="103"/>
    <w:qFormat/>
    <w:uiPriority w:val="0"/>
    <w:rPr>
      <w:rFonts w:ascii="宋体" w:eastAsia="宋体" w:cs="Times New Roman"/>
      <w:color w:val="auto"/>
    </w:rPr>
  </w:style>
  <w:style w:type="paragraph" w:customStyle="1" w:styleId="23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qFormat/>
    <w:uiPriority w:val="0"/>
    <w:rPr>
      <w:rFonts w:ascii="仿宋_GB2312" w:eastAsia="仿宋_GB2312"/>
      <w:b/>
      <w:sz w:val="32"/>
      <w:szCs w:val="32"/>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qFormat/>
    <w:uiPriority w:val="0"/>
    <w:pPr>
      <w:spacing w:line="360" w:lineRule="auto"/>
    </w:pPr>
    <w:rPr>
      <w:szCs w:val="20"/>
    </w:rPr>
  </w:style>
  <w:style w:type="paragraph" w:customStyle="1" w:styleId="244">
    <w:name w:val="Char"/>
    <w:basedOn w:val="1"/>
    <w:qFormat/>
    <w:uiPriority w:val="0"/>
    <w:rPr>
      <w:rFonts w:ascii="仿宋_GB2312" w:eastAsia="仿宋_GB2312"/>
      <w:b/>
      <w:sz w:val="32"/>
      <w:szCs w:val="32"/>
    </w:rPr>
  </w:style>
  <w:style w:type="paragraph" w:customStyle="1" w:styleId="24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qFormat/>
    <w:uiPriority w:val="0"/>
    <w:rPr>
      <w:szCs w:val="20"/>
    </w:rPr>
  </w:style>
  <w:style w:type="paragraph" w:customStyle="1" w:styleId="248">
    <w:name w:val="正文标准"/>
    <w:basedOn w:val="1"/>
    <w:qFormat/>
    <w:uiPriority w:val="0"/>
    <w:pPr>
      <w:adjustRightInd/>
      <w:spacing w:line="360" w:lineRule="auto"/>
      <w:ind w:firstLine="200" w:firstLineChars="200"/>
    </w:pPr>
    <w:rPr>
      <w:rFonts w:ascii="宋体" w:hAnsi="Calibri"/>
      <w:sz w:val="24"/>
    </w:rPr>
  </w:style>
  <w:style w:type="paragraph" w:customStyle="1" w:styleId="24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3">
    <w:name w:val="_正文段落"/>
    <w:basedOn w:val="1"/>
    <w:qFormat/>
    <w:uiPriority w:val="0"/>
    <w:pPr>
      <w:adjustRightInd/>
      <w:ind w:firstLine="560"/>
    </w:pPr>
    <w:rPr>
      <w:rFonts w:ascii="仿宋_GB2312" w:hAnsi="仿宋" w:eastAsia="仿宋_GB2312"/>
      <w:kern w:val="0"/>
      <w:sz w:val="28"/>
      <w:szCs w:val="28"/>
    </w:rPr>
  </w:style>
  <w:style w:type="paragraph" w:customStyle="1" w:styleId="26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qFormat/>
    <w:uiPriority w:val="0"/>
    <w:rPr>
      <w:szCs w:val="20"/>
    </w:rPr>
  </w:style>
  <w:style w:type="paragraph" w:customStyle="1" w:styleId="2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qFormat/>
    <w:uiPriority w:val="0"/>
    <w:rPr>
      <w:rFonts w:ascii="Tahoma" w:hAnsi="Tahoma"/>
      <w:sz w:val="24"/>
      <w:szCs w:val="20"/>
    </w:rPr>
  </w:style>
  <w:style w:type="paragraph" w:customStyle="1" w:styleId="273">
    <w:name w:val="标题五"/>
    <w:basedOn w:val="1"/>
    <w:qFormat/>
    <w:uiPriority w:val="0"/>
    <w:pPr>
      <w:adjustRightInd/>
      <w:spacing w:before="156" w:beforeLines="50" w:line="360" w:lineRule="auto"/>
    </w:pPr>
    <w:rPr>
      <w:b/>
      <w:sz w:val="24"/>
    </w:rPr>
  </w:style>
  <w:style w:type="paragraph" w:customStyle="1" w:styleId="274">
    <w:name w:val="Char Char1101"/>
    <w:basedOn w:val="1"/>
    <w:qFormat/>
    <w:uiPriority w:val="0"/>
    <w:pPr>
      <w:spacing w:line="360" w:lineRule="auto"/>
    </w:pPr>
    <w:rPr>
      <w:rFonts w:ascii="Tahoma" w:hAnsi="Tahoma"/>
      <w:sz w:val="24"/>
      <w:szCs w:val="20"/>
    </w:rPr>
  </w:style>
  <w:style w:type="paragraph" w:customStyle="1" w:styleId="275">
    <w:name w:val="Char Char Char Char Char Char Char Char1"/>
    <w:basedOn w:val="1"/>
    <w:qFormat/>
    <w:uiPriority w:val="0"/>
    <w:pPr>
      <w:tabs>
        <w:tab w:val="left" w:pos="360"/>
      </w:tabs>
    </w:pPr>
    <w:rPr>
      <w:sz w:val="24"/>
      <w:szCs w:val="20"/>
    </w:rPr>
  </w:style>
  <w:style w:type="paragraph" w:customStyle="1" w:styleId="276">
    <w:name w:val="Char Char Char 字元 字元"/>
    <w:basedOn w:val="1"/>
    <w:qFormat/>
    <w:uiPriority w:val="0"/>
    <w:pPr>
      <w:adjustRightInd/>
      <w:spacing w:line="360" w:lineRule="auto"/>
      <w:ind w:firstLine="200" w:firstLineChars="200"/>
    </w:pPr>
    <w:rPr>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qFormat/>
    <w:uiPriority w:val="0"/>
    <w:rPr>
      <w:rFonts w:ascii="仿宋_GB2312" w:eastAsia="仿宋_GB2312"/>
      <w:b/>
      <w:sz w:val="32"/>
      <w:szCs w:val="32"/>
    </w:rPr>
  </w:style>
  <w:style w:type="paragraph" w:customStyle="1" w:styleId="2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qFormat/>
    <w:uiPriority w:val="0"/>
    <w:pPr>
      <w:adjustRightInd/>
    </w:pPr>
    <w:rPr>
      <w:sz w:val="18"/>
      <w:szCs w:val="20"/>
    </w:rPr>
  </w:style>
  <w:style w:type="paragraph" w:customStyle="1" w:styleId="28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qFormat/>
    <w:uiPriority w:val="99"/>
    <w:pPr>
      <w:adjustRightInd/>
      <w:spacing w:line="360" w:lineRule="auto"/>
    </w:pPr>
    <w:rPr>
      <w:rFonts w:ascii="仿宋_GB2312" w:eastAsia="仿宋_GB2312"/>
      <w:sz w:val="24"/>
      <w:szCs w:val="20"/>
    </w:rPr>
  </w:style>
  <w:style w:type="paragraph" w:customStyle="1" w:styleId="28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7"/>
    <w:qFormat/>
    <w:uiPriority w:val="0"/>
    <w:pPr>
      <w:snapToGrid w:val="0"/>
      <w:spacing w:line="360" w:lineRule="auto"/>
    </w:pPr>
    <w:rPr>
      <w:rFonts w:ascii="宋体"/>
      <w:b/>
      <w:sz w:val="24"/>
      <w:szCs w:val="20"/>
    </w:rPr>
  </w:style>
  <w:style w:type="paragraph" w:customStyle="1" w:styleId="2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qFormat/>
    <w:uiPriority w:val="7"/>
    <w:pPr>
      <w:adjustRightInd/>
    </w:pPr>
    <w:rPr>
      <w:rFonts w:ascii="宋体" w:hAnsi="Courier New"/>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qFormat/>
    <w:uiPriority w:val="0"/>
    <w:pPr>
      <w:widowControl/>
      <w:adjustRightInd/>
      <w:spacing w:after="160" w:line="240" w:lineRule="exact"/>
      <w:jc w:val="left"/>
    </w:pPr>
    <w:rPr>
      <w:szCs w:val="20"/>
    </w:rPr>
  </w:style>
  <w:style w:type="paragraph" w:customStyle="1" w:styleId="306">
    <w:name w:val="表格标题2"/>
    <w:basedOn w:val="307"/>
    <w:qFormat/>
    <w:uiPriority w:val="0"/>
    <w:rPr>
      <w:b/>
    </w:rPr>
  </w:style>
  <w:style w:type="paragraph" w:customStyle="1" w:styleId="307">
    <w:name w:val="表格内文"/>
    <w:basedOn w:val="1"/>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qFormat/>
    <w:uiPriority w:val="0"/>
    <w:rPr>
      <w:rFonts w:ascii="仿宋_GB2312" w:eastAsia="仿宋_GB2312"/>
      <w:b/>
      <w:sz w:val="32"/>
      <w:szCs w:val="32"/>
    </w:rPr>
  </w:style>
  <w:style w:type="paragraph" w:customStyle="1" w:styleId="30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qFormat/>
    <w:uiPriority w:val="0"/>
    <w:pPr>
      <w:spacing w:line="360" w:lineRule="auto"/>
    </w:pPr>
    <w:rPr>
      <w:szCs w:val="20"/>
    </w:rPr>
  </w:style>
  <w:style w:type="paragraph" w:customStyle="1" w:styleId="31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4">
    <w:name w:val="MM Topic 1"/>
    <w:basedOn w:val="4"/>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qFormat/>
    <w:uiPriority w:val="0"/>
    <w:pPr>
      <w:spacing w:line="360" w:lineRule="auto"/>
      <w:ind w:firstLine="200" w:firstLineChars="200"/>
    </w:pPr>
    <w:rPr>
      <w:kern w:val="0"/>
      <w:sz w:val="24"/>
      <w:szCs w:val="20"/>
    </w:rPr>
  </w:style>
  <w:style w:type="paragraph" w:customStyle="1" w:styleId="317">
    <w:name w:val="表格"/>
    <w:basedOn w:val="1"/>
    <w:qFormat/>
    <w:uiPriority w:val="0"/>
    <w:pPr>
      <w:snapToGrid w:val="0"/>
      <w:ind w:firstLine="42" w:firstLineChars="21"/>
    </w:pPr>
    <w:rPr>
      <w:rFonts w:ascii="宋体" w:hAnsi="宋体"/>
      <w:kern w:val="0"/>
      <w:sz w:val="20"/>
      <w:szCs w:val="20"/>
    </w:rPr>
  </w:style>
  <w:style w:type="paragraph" w:customStyle="1" w:styleId="318">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qFormat/>
    <w:uiPriority w:val="0"/>
    <w:pPr>
      <w:adjustRightInd/>
      <w:spacing w:line="300" w:lineRule="auto"/>
      <w:jc w:val="center"/>
    </w:pPr>
  </w:style>
  <w:style w:type="paragraph" w:customStyle="1" w:styleId="323">
    <w:name w:val="_Style 6"/>
    <w:basedOn w:val="1"/>
    <w:qFormat/>
    <w:uiPriority w:val="34"/>
    <w:pPr>
      <w:adjustRightInd/>
      <w:ind w:firstLine="420" w:firstLineChars="200"/>
    </w:pPr>
    <w:rPr>
      <w:rFonts w:eastAsia="仿宋_GB2312"/>
      <w:sz w:val="28"/>
    </w:rPr>
  </w:style>
  <w:style w:type="paragraph" w:customStyle="1" w:styleId="32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qFormat/>
    <w:uiPriority w:val="0"/>
    <w:rPr>
      <w:rFonts w:ascii="仿宋_GB2312" w:eastAsia="仿宋_GB2312"/>
      <w:b/>
      <w:sz w:val="32"/>
      <w:szCs w:val="20"/>
    </w:rPr>
  </w:style>
  <w:style w:type="paragraph" w:customStyle="1" w:styleId="33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qFormat/>
    <w:uiPriority w:val="0"/>
    <w:pPr>
      <w:adjustRightInd/>
      <w:ind w:firstLine="200" w:firstLineChars="200"/>
    </w:pPr>
    <w:rPr>
      <w:rFonts w:ascii="Tahoma" w:hAnsi="Tahoma"/>
      <w:sz w:val="24"/>
      <w:szCs w:val="20"/>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qFormat/>
    <w:uiPriority w:val="0"/>
    <w:pPr>
      <w:spacing w:after="156" w:afterLines="50"/>
      <w:jc w:val="left"/>
      <w:outlineLvl w:val="3"/>
    </w:pPr>
    <w:rPr>
      <w:sz w:val="24"/>
      <w:szCs w:val="24"/>
    </w:rPr>
  </w:style>
  <w:style w:type="paragraph" w:customStyle="1" w:styleId="33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qFormat/>
    <w:uiPriority w:val="0"/>
    <w:pPr>
      <w:adjustRightInd/>
    </w:pPr>
    <w:rPr>
      <w:rFonts w:ascii="Tahoma" w:hAnsi="Tahoma"/>
      <w:sz w:val="24"/>
      <w:szCs w:val="20"/>
    </w:rPr>
  </w:style>
  <w:style w:type="paragraph" w:customStyle="1" w:styleId="34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qFormat/>
    <w:uiPriority w:val="0"/>
    <w:pPr>
      <w:tabs>
        <w:tab w:val="left" w:pos="1260"/>
        <w:tab w:val="left" w:pos="1680"/>
        <w:tab w:val="left" w:pos="2100"/>
      </w:tabs>
      <w:ind w:left="0"/>
      <w:outlineLvl w:val="3"/>
    </w:pPr>
  </w:style>
  <w:style w:type="paragraph" w:customStyle="1" w:styleId="346">
    <w:name w:val="一级条标题"/>
    <w:basedOn w:val="347"/>
    <w:next w:val="329"/>
    <w:qFormat/>
    <w:uiPriority w:val="0"/>
    <w:pPr>
      <w:tabs>
        <w:tab w:val="left" w:pos="1260"/>
        <w:tab w:val="left" w:pos="1680"/>
      </w:tabs>
      <w:spacing w:before="0" w:beforeLines="0" w:after="0" w:afterLines="0"/>
      <w:ind w:left="1680"/>
      <w:outlineLvl w:val="2"/>
    </w:pPr>
  </w:style>
  <w:style w:type="paragraph" w:customStyle="1" w:styleId="347">
    <w:name w:val="章标题"/>
    <w:next w:val="32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qFormat/>
    <w:uiPriority w:val="0"/>
    <w:pPr>
      <w:tabs>
        <w:tab w:val="left" w:pos="840"/>
      </w:tabs>
      <w:spacing w:after="0"/>
      <w:ind w:left="900"/>
    </w:pPr>
  </w:style>
  <w:style w:type="paragraph" w:customStyle="1" w:styleId="35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qFormat/>
    <w:uiPriority w:val="6"/>
    <w:pPr>
      <w:widowControl/>
      <w:adjustRightInd/>
      <w:ind w:left="720" w:hanging="720"/>
    </w:pPr>
    <w:rPr>
      <w:color w:val="000000"/>
      <w:kern w:val="0"/>
      <w:sz w:val="24"/>
      <w:szCs w:val="20"/>
    </w:rPr>
  </w:style>
  <w:style w:type="paragraph" w:customStyle="1" w:styleId="357">
    <w:name w:val="表1"/>
    <w:basedOn w:val="1"/>
    <w:qFormat/>
    <w:uiPriority w:val="0"/>
    <w:pPr>
      <w:tabs>
        <w:tab w:val="left" w:pos="703"/>
      </w:tabs>
      <w:adjustRightInd/>
      <w:spacing w:line="360" w:lineRule="auto"/>
      <w:ind w:left="703"/>
      <w:jc w:val="center"/>
    </w:pPr>
  </w:style>
  <w:style w:type="paragraph" w:customStyle="1" w:styleId="35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qFormat/>
    <w:uiPriority w:val="0"/>
    <w:pPr>
      <w:jc w:val="left"/>
      <w:outlineLvl w:val="1"/>
    </w:pPr>
    <w:rPr>
      <w:rFonts w:ascii="Times New Roman" w:hAnsi="Times New Roman" w:eastAsia="仿宋"/>
      <w:sz w:val="30"/>
    </w:rPr>
  </w:style>
  <w:style w:type="paragraph" w:customStyle="1" w:styleId="36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qFormat/>
    <w:uiPriority w:val="0"/>
    <w:pPr>
      <w:tabs>
        <w:tab w:val="left" w:pos="840"/>
      </w:tabs>
      <w:adjustRightInd/>
      <w:ind w:left="840" w:hanging="420"/>
    </w:pPr>
  </w:style>
  <w:style w:type="paragraph" w:customStyle="1" w:styleId="36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8"/>
    <w:qFormat/>
    <w:uiPriority w:val="0"/>
    <w:pPr>
      <w:tabs>
        <w:tab w:val="left" w:pos="2100"/>
        <w:tab w:val="clear" w:pos="864"/>
      </w:tabs>
      <w:adjustRightInd/>
      <w:ind w:left="2100" w:hanging="420"/>
    </w:pPr>
    <w:rPr>
      <w:lang w:val="en-US"/>
    </w:rPr>
  </w:style>
  <w:style w:type="paragraph" w:customStyle="1" w:styleId="37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qFormat/>
    <w:uiPriority w:val="6"/>
    <w:pPr>
      <w:spacing w:line="360" w:lineRule="auto"/>
    </w:pPr>
    <w:rPr>
      <w:szCs w:val="20"/>
    </w:rPr>
  </w:style>
  <w:style w:type="paragraph" w:customStyle="1" w:styleId="37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qFormat/>
    <w:uiPriority w:val="0"/>
    <w:pPr>
      <w:adjustRightInd/>
      <w:spacing w:line="360" w:lineRule="auto"/>
      <w:jc w:val="center"/>
    </w:pPr>
    <w:rPr>
      <w:sz w:val="24"/>
    </w:rPr>
  </w:style>
  <w:style w:type="paragraph" w:customStyle="1" w:styleId="38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qFormat/>
    <w:uiPriority w:val="6"/>
    <w:rPr>
      <w:rFonts w:ascii="仿宋_GB2312" w:eastAsia="仿宋_GB2312"/>
      <w:b/>
      <w:sz w:val="32"/>
      <w:szCs w:val="32"/>
    </w:rPr>
  </w:style>
  <w:style w:type="paragraph" w:customStyle="1" w:styleId="39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6"/>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6"/>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5"/>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29"/>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4"/>
    <w:next w:val="329"/>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3"/>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20"/>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1"/>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7"/>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9"/>
    <w:next w:val="1"/>
    <w:qFormat/>
    <w:uiPriority w:val="0"/>
    <w:pPr>
      <w:tabs>
        <w:tab w:val="left" w:pos="1080"/>
        <w:tab w:val="clear" w:pos="1008"/>
      </w:tabs>
      <w:ind w:left="1080" w:hanging="1080"/>
    </w:pPr>
  </w:style>
  <w:style w:type="paragraph" w:customStyle="1" w:styleId="585">
    <w:name w:val="数字标题1"/>
    <w:basedOn w:val="4"/>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2"/>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1"/>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11">
    <w:name w:val="_Style 947"/>
    <w:basedOn w:val="1"/>
    <w:next w:val="83"/>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624">
    <w:name w:val="BodyTextIndent"/>
    <w:basedOn w:val="1"/>
    <w:next w:val="625"/>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625">
    <w:name w:val="UserStyle_460"/>
    <w:basedOn w:val="624"/>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character" w:customStyle="1" w:styleId="626">
    <w:name w:val="表格非标题文字 Char"/>
    <w:link w:val="87"/>
    <w:qFormat/>
    <w:uiPriority w:val="0"/>
    <w:rPr>
      <w:rFonts w:ascii="Futura Bk" w:hAnsi="Futura Bk"/>
      <w:kern w:val="2"/>
      <w:sz w:val="18"/>
      <w:szCs w:val="21"/>
      <w:lang w:val="en-US" w:eastAsia="zh-CN" w:bidi="ar-SA"/>
    </w:rPr>
  </w:style>
  <w:style w:type="character" w:customStyle="1" w:styleId="627">
    <w:name w:val="*正文 Char"/>
    <w:link w:val="88"/>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9"/>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1"/>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90"/>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91"/>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63"/>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1"/>
    <w:qFormat/>
    <w:uiPriority w:val="0"/>
    <w:rPr>
      <w:rFonts w:ascii="Arial" w:hAnsi="Arial" w:eastAsia="黑体" w:cs="Arial"/>
      <w:snapToGrid w:val="0"/>
      <w:kern w:val="0"/>
      <w:szCs w:val="21"/>
    </w:rPr>
  </w:style>
  <w:style w:type="character" w:customStyle="1" w:styleId="66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2"/>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8"/>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3"/>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10"/>
    <w:qFormat/>
    <w:uiPriority w:val="0"/>
    <w:rPr>
      <w:rFonts w:ascii="Arial" w:hAnsi="Arial" w:eastAsia="黑体"/>
      <w:b/>
      <w:bCs/>
      <w:kern w:val="2"/>
      <w:sz w:val="24"/>
      <w:szCs w:val="24"/>
    </w:rPr>
  </w:style>
  <w:style w:type="character" w:customStyle="1" w:styleId="685">
    <w:name w:val="纯文本 Char_0"/>
    <w:link w:val="94"/>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6"/>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7"/>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6"/>
    <w:qFormat/>
    <w:uiPriority w:val="0"/>
    <w:rPr>
      <w:rFonts w:ascii="宋体"/>
      <w:kern w:val="2"/>
      <w:sz w:val="24"/>
      <w:szCs w:val="21"/>
      <w:lang w:val="zh-CN"/>
    </w:rPr>
  </w:style>
  <w:style w:type="character" w:customStyle="1" w:styleId="715">
    <w:name w:val="标题 9 Char"/>
    <w:link w:val="13"/>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39"/>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8"/>
    <w:qFormat/>
    <w:locked/>
    <w:uiPriority w:val="0"/>
    <w:rPr>
      <w:rFonts w:ascii="Tahoma" w:hAnsi="Tahoma"/>
      <w:sz w:val="24"/>
      <w:szCs w:val="24"/>
    </w:rPr>
  </w:style>
  <w:style w:type="character" w:customStyle="1" w:styleId="725">
    <w:name w:val="正文缩进 Char2"/>
    <w:link w:val="7"/>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9"/>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20"/>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1"/>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0"/>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101"/>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102"/>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18"/>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3"/>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4"/>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5"/>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6"/>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7"/>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4"/>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0"/>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9"/>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2"/>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8"/>
    <w:qFormat/>
    <w:uiPriority w:val="0"/>
    <w:rPr>
      <w:rFonts w:ascii="黑体" w:hAnsi="Courier New" w:eastAsia="黑体"/>
    </w:rPr>
  </w:style>
  <w:style w:type="character" w:customStyle="1" w:styleId="824">
    <w:name w:val="正文文本 2 Char1"/>
    <w:link w:val="57"/>
    <w:qFormat/>
    <w:uiPriority w:val="0"/>
    <w:rPr>
      <w:kern w:val="2"/>
      <w:sz w:val="21"/>
      <w:szCs w:val="24"/>
    </w:rPr>
  </w:style>
  <w:style w:type="character" w:customStyle="1" w:styleId="825">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11"/>
    <w:qFormat/>
    <w:uiPriority w:val="0"/>
    <w:rPr>
      <w:b/>
      <w:bCs/>
      <w:kern w:val="2"/>
      <w:sz w:val="24"/>
      <w:szCs w:val="24"/>
    </w:rPr>
  </w:style>
  <w:style w:type="character" w:customStyle="1" w:styleId="828">
    <w:name w:val="正文文本缩进 2 Char"/>
    <w:link w:val="37"/>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1"/>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basedOn w:val="7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10"/>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1"/>
    <w:qFormat/>
    <w:uiPriority w:val="0"/>
    <w:rPr>
      <w:rFonts w:ascii="宋体" w:hAnsi="Courier New"/>
    </w:rPr>
  </w:style>
  <w:style w:type="character" w:customStyle="1" w:styleId="839">
    <w:name w:val="正文首行缩进 Char"/>
    <w:link w:val="62"/>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8"/>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3"/>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2"/>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3"/>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21"/>
    <w:qFormat/>
    <w:uiPriority w:val="0"/>
    <w:rPr>
      <w:kern w:val="2"/>
      <w:sz w:val="21"/>
      <w:szCs w:val="24"/>
    </w:rPr>
  </w:style>
  <w:style w:type="character" w:customStyle="1" w:styleId="861">
    <w:name w:val="签名 Char"/>
    <w:link w:val="43"/>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4"/>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5"/>
    <w:qFormat/>
    <w:uiPriority w:val="0"/>
    <w:rPr>
      <w:rFonts w:ascii="宋体"/>
    </w:rPr>
  </w:style>
  <w:style w:type="character" w:customStyle="1" w:styleId="872">
    <w:name w:val="标题 8 Char"/>
    <w:link w:val="12"/>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4"/>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6"/>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0"/>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7"/>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2"/>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8"/>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9"/>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20"/>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1"/>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1"/>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2"/>
    <w:qFormat/>
    <w:uiPriority w:val="0"/>
    <w:rPr>
      <w:rFonts w:cs="宋体"/>
      <w:kern w:val="2"/>
      <w:sz w:val="24"/>
    </w:rPr>
  </w:style>
  <w:style w:type="character" w:customStyle="1" w:styleId="93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8">
    <w:name w:val="gray6"/>
    <w:basedOn w:val="71"/>
    <w:qFormat/>
    <w:uiPriority w:val="0"/>
    <w:rPr>
      <w:rFonts w:ascii="Arial" w:hAnsi="Arial" w:eastAsia="黑体" w:cs="Arial"/>
      <w:snapToGrid w:val="0"/>
      <w:kern w:val="0"/>
      <w:szCs w:val="21"/>
    </w:rPr>
  </w:style>
  <w:style w:type="character" w:customStyle="1" w:styleId="939">
    <w:name w:val="hui"/>
    <w:basedOn w:val="71"/>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38"/>
    <w:qFormat/>
    <w:uiPriority w:val="0"/>
    <w:rPr>
      <w:kern w:val="2"/>
      <w:sz w:val="21"/>
      <w:szCs w:val="24"/>
      <w:lang w:val="zh-CN"/>
    </w:rPr>
  </w:style>
  <w:style w:type="character" w:customStyle="1" w:styleId="946">
    <w:name w:val="无间隔 Char"/>
    <w:link w:val="172"/>
    <w:qFormat/>
    <w:uiPriority w:val="99"/>
    <w:rPr>
      <w:kern w:val="2"/>
      <w:sz w:val="21"/>
      <w:szCs w:val="22"/>
    </w:rPr>
  </w:style>
  <w:style w:type="character" w:customStyle="1" w:styleId="947">
    <w:name w:val="标准文本 Char Char"/>
    <w:link w:val="610"/>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5">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Table Normal"/>
    <w:qFormat/>
    <w:uiPriority w:val="0"/>
    <w:tblPr>
      <w:tblCellMar>
        <w:top w:w="0" w:type="dxa"/>
        <w:left w:w="0" w:type="dxa"/>
        <w:bottom w:w="0" w:type="dxa"/>
        <w:right w:w="0" w:type="dxa"/>
      </w:tblCellMar>
    </w:tblPr>
  </w:style>
  <w:style w:type="paragraph" w:customStyle="1" w:styleId="972">
    <w:name w:val="Normal_22"/>
    <w:qFormat/>
    <w:uiPriority w:val="0"/>
    <w:pPr>
      <w:widowControl w:val="0"/>
      <w:jc w:val="both"/>
    </w:pPr>
    <w:rPr>
      <w:rFonts w:ascii="Times New Roman" w:hAnsi="Times New Roman" w:eastAsia="Times New Roman" w:cs="Times New Roman"/>
      <w:lang w:bidi="ar-SA"/>
    </w:rPr>
  </w:style>
  <w:style w:type="paragraph" w:customStyle="1" w:styleId="973">
    <w:name w:val="列出段落6"/>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32550</Words>
  <Characters>33955</Characters>
  <Lines>287</Lines>
  <Paragraphs>81</Paragraphs>
  <TotalTime>23</TotalTime>
  <ScaleCrop>false</ScaleCrop>
  <LinksUpToDate>false</LinksUpToDate>
  <CharactersWithSpaces>39320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2022-06-07T07:10:00Z</cp:lastPrinted>
  <dcterms:modified xsi:type="dcterms:W3CDTF">2022-10-24T01:06:57Z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00544B1EB89B441CBFD0B815A86EF1AE</vt:lpwstr>
  </property>
  <property fmtid="{D5CDD505-2E9C-101B-9397-08002B2CF9AE}" pid="5" name="commondata">
    <vt:lpwstr>eyJoZGlkIjoiMmE3NTc1MTljMDA0ZWI0ZjljNTEwZjI5MzUwYjAxOTgifQ==</vt:lpwstr>
  </property>
</Properties>
</file>