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bCs/>
          <w:sz w:val="52"/>
          <w:szCs w:val="52"/>
        </w:rPr>
      </w:pPr>
      <w:bookmarkStart w:id="36" w:name="_GoBack"/>
      <w:bookmarkEnd w:id="36"/>
      <w:r>
        <w:rPr>
          <w:rFonts w:hint="eastAsia" w:ascii="宋体" w:hAnsi="宋体" w:cs="宋体"/>
          <w:b/>
          <w:sz w:val="52"/>
          <w:szCs w:val="52"/>
        </w:rPr>
        <w:t>中泰街道集镇范围保洁服务</w:t>
      </w: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sz w:val="72"/>
          <w:szCs w:val="72"/>
        </w:rPr>
      </w:pPr>
      <w:r>
        <w:rPr>
          <w:rFonts w:hint="eastAsia" w:ascii="宋体" w:hAnsi="宋体" w:cs="宋体"/>
          <w:b/>
          <w:sz w:val="72"/>
          <w:szCs w:val="72"/>
        </w:rPr>
        <w:t>招 标 文 件</w:t>
      </w:r>
    </w:p>
    <w:p>
      <w:pPr>
        <w:adjustRightInd w:val="0"/>
        <w:snapToGrid w:val="0"/>
        <w:spacing w:line="360" w:lineRule="auto"/>
        <w:jc w:val="center"/>
        <w:rPr>
          <w:rFonts w:hint="eastAsia" w:ascii="宋体" w:hAnsi="宋体" w:cs="宋体"/>
          <w:b/>
          <w:sz w:val="28"/>
          <w:szCs w:val="28"/>
        </w:rPr>
      </w:pPr>
    </w:p>
    <w:p>
      <w:pPr>
        <w:tabs>
          <w:tab w:val="left" w:pos="4500"/>
        </w:tabs>
        <w:autoSpaceDE w:val="0"/>
        <w:autoSpaceDN w:val="0"/>
        <w:adjustRightInd w:val="0"/>
        <w:snapToGrid w:val="0"/>
        <w:spacing w:line="360" w:lineRule="auto"/>
        <w:ind w:firstLine="2880" w:firstLineChars="900"/>
        <w:jc w:val="left"/>
        <w:textAlignment w:val="bottom"/>
        <w:rPr>
          <w:rFonts w:hint="eastAsia" w:ascii="宋体" w:hAnsi="宋体" w:eastAsia="宋体" w:cs="宋体"/>
          <w:b/>
          <w:sz w:val="64"/>
          <w:szCs w:val="64"/>
          <w:lang w:eastAsia="zh-CN"/>
        </w:rPr>
      </w:pPr>
      <w:r>
        <w:rPr>
          <w:rFonts w:hint="eastAsia" w:ascii="宋体" w:hAnsi="宋体" w:cs="宋体"/>
          <w:sz w:val="32"/>
          <w:szCs w:val="36"/>
        </w:rPr>
        <w:t>招标编号:</w:t>
      </w:r>
      <w:r>
        <w:rPr>
          <w:rFonts w:hint="eastAsia" w:ascii="宋体" w:hAnsi="宋体" w:cs="宋体"/>
          <w:sz w:val="32"/>
          <w:szCs w:val="36"/>
          <w:lang w:eastAsia="zh-CN"/>
        </w:rPr>
        <w:t>JXZFCG-2019-008</w:t>
      </w:r>
    </w:p>
    <w:p>
      <w:pPr>
        <w:autoSpaceDE w:val="0"/>
        <w:autoSpaceDN w:val="0"/>
        <w:adjustRightInd w:val="0"/>
        <w:snapToGrid w:val="0"/>
        <w:spacing w:line="360" w:lineRule="auto"/>
        <w:jc w:val="center"/>
        <w:textAlignment w:val="bottom"/>
        <w:rPr>
          <w:rFonts w:hint="eastAsia" w:ascii="宋体" w:hAnsi="宋体" w:cs="宋体"/>
          <w:b/>
        </w:rPr>
      </w:pPr>
    </w:p>
    <w:p>
      <w:pPr>
        <w:autoSpaceDE w:val="0"/>
        <w:autoSpaceDN w:val="0"/>
        <w:adjustRightInd w:val="0"/>
        <w:snapToGrid w:val="0"/>
        <w:spacing w:line="360" w:lineRule="auto"/>
        <w:jc w:val="center"/>
        <w:textAlignment w:val="bottom"/>
        <w:rPr>
          <w:rFonts w:hint="eastAsia" w:ascii="宋体" w:hAnsi="宋体" w:cs="宋体"/>
          <w:b/>
        </w:rPr>
      </w:pPr>
    </w:p>
    <w:p>
      <w:pPr>
        <w:autoSpaceDE w:val="0"/>
        <w:autoSpaceDN w:val="0"/>
        <w:adjustRightInd w:val="0"/>
        <w:snapToGrid w:val="0"/>
        <w:spacing w:line="360" w:lineRule="auto"/>
        <w:jc w:val="center"/>
        <w:textAlignment w:val="bottom"/>
        <w:rPr>
          <w:rFonts w:hint="eastAsia" w:ascii="宋体" w:hAnsi="宋体" w:cs="宋体"/>
          <w:b/>
        </w:rPr>
      </w:pPr>
      <w:r>
        <w:rPr>
          <w:rFonts w:hint="eastAsia" w:ascii="宋体" w:hAnsi="宋体" w:cs="宋体"/>
          <w:b/>
        </w:rPr>
        <mc:AlternateContent>
          <mc:Choice Requires="wps">
            <w:drawing>
              <wp:anchor distT="0" distB="0" distL="114300" distR="114300" simplePos="0" relativeHeight="251659264" behindDoc="0" locked="0" layoutInCell="0" allowOverlap="1">
                <wp:simplePos x="0" y="0"/>
                <wp:positionH relativeFrom="column">
                  <wp:posOffset>4191000</wp:posOffset>
                </wp:positionH>
                <wp:positionV relativeFrom="paragraph">
                  <wp:posOffset>73660</wp:posOffset>
                </wp:positionV>
                <wp:extent cx="635" cy="0"/>
                <wp:effectExtent l="0" t="4445" r="0" b="5080"/>
                <wp:wrapSquare wrapText="bothSides"/>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30pt;margin-top:5.8pt;height:0pt;width:0.05pt;mso-wrap-distance-bottom:0pt;mso-wrap-distance-left:9pt;mso-wrap-distance-right:9pt;mso-wrap-distance-top:0pt;z-index:251659264;mso-width-relative:page;mso-height-relative:page;" filled="f" stroked="t" coordsize="21600,21600" o:allowincell="f" o:gfxdata="UEsDBAoAAAAAAIdO4kAAAAAAAAAAAAAAAAAEAAAAZHJzL1BLAwQUAAAACACHTuJAZdv66NQAAAAJ AQAADwAAAGRycy9kb3ducmV2LnhtbE2PzU7DMBCE70h9B2srcamonSJFKMTpgTY3LhQQ1228JBHx Oo3dH3h6FnGA486MZr8p1xc/qBNNsQ9sIVsaUMRNcD23Fl6e65s7UDEhOxwCk4VPirCuZlclFi6c +YlOu9QqKeFYoIUupbHQOjYdeYzLMBKL9x4mj0nOqdVuwrOU+0GvjMm1x57lQ4cjPXTUfOyO3kKs X+lQfy2ahXm7bQOtDpvHLVp7Pc/MPahEl/QXhh98QYdKmPbhyC6qwUKeG9mSxMhyUBIQIQO1/xV0 Ver/C6pvUEsDBBQAAAAIAIdO4kDx25H94gEAANcDAAAOAAAAZHJzL2Uyb0RvYy54bWytU0uOEzEQ 3SNxB8t70knQjKCVziwIwwbBSMMcoOJPtyX/5HLSyVm4Bis2HGeuQdmdycCwyYJeuMvl8qt6r8qr m4OzbK8SmuA7vpjNOVNeBGl83/GHb7dv3nGGGbwEG7zq+FEhv1m/frUaY6uWYQhWqsQIxGM7xo4P Oce2aVAMygHOQlSeDnVIDjJtU9/IBCOhO9ss5/PrZgxJxhSEQiTvZjrkJ8R0CWDQ2gi1CWLnlM8T alIWMlHCwUTk61qt1krkr1qjysx2nJjmulISsrdlbdYraPsEcTDiVAJcUsILTg6Mp6RnqA1kYLtk /oFyRqSAQeeZCK6ZiFRFiMVi/kKb+wGiqlxIaoxn0fH/wYov+7vEjKRJ4MyDo4Y/fv/x+PMXWxZt xogthdzHu3TaIZmF6EEnV/5EgR2qnseznuqQmSDn9dsrzsSTv3m+FBPmTyo4VoyOW+MLTWhh/xkz JaLQp5Ditp6NHX9/tSxwQDOnqddkukh1o+/rXQzWyFtjbbmBqd9+sIntofS9foUO4f4VVpJsAIcp rh5NEzEokB+9ZPkYSRFPD4GXEpySnFlF76ZYBAhtBmMviaTU1lMFRdFJw2JtgzyS/ruYTD+QEota ZTmhftd6T7NZBurPfUV6fo/r31BLAwQKAAAAAACHTuJAAAAAAAAAAAAAAAAABgAAAF9yZWxzL1BL AwQUAAAACACHTuJAihRmPNEAAACUAQAACwAAAF9yZWxzLy5yZWxzpZDBasMwDIbvg72D0X1xmsMY o04vo9Br6R7A2IpjGltGMtn69vMOg2X0tqN+oe8T//7wmRa1IkukbGDX9aAwO/IxBwPvl+PTCyip Nnu7UEYDNxQ4jI8P+zMutrYjmWMR1ShZDMy1lletxc2YrHRUMLfNRJxsbSMHXay72oB66Ptnzb8Z MG6Y6uQN8MkPoC630sx/2Ck6JqGpdo6SpmmK7h5VB7Zlju7INuEbuUazHLAa8CwaB2pZ134EfV+/ +6fe00c+47rVfoeM649Xb7ocvwBQSwMEFAAAAAgAh07iQH7m5SD3AAAA4QEAABMAAABbQ29udGVu dF9UeXBlc10ueG1slZFBTsMwEEX3SNzB8hYlTrtACCXpgrRLQKgcYGRPEotkbHlMaG+Pk7YbRJFY 2jP/vye73BzGQUwY2Dqq5CovpEDSzljqKvm+32UPUnAEMjA4wkoekeWmvr0p90ePLFKauJJ9jP5R KdY9jsC580hp0rowQkzH0CkP+gM6VOuiuFfaUUSKWZw7ZF022MLnEMX2kK5PJgEHluLptDizKgne D1ZDTKZqIvODkp0JeUouO9xbz3dJQ6pfCfPkOuCce0lPE6xB8QohPsOYNJQJrIz7ooBT/nfJbDly 5trWasybwE2KveF0sbrWjmvXOP3f8u2SunSr5YPqb1BLAQIUABQAAAAIAIdO4kB+5uUg9wAAAOEB AAATAAAAAAAAAAEAIAAAAE8EAABbQ29udGVudF9UeXBlc10ueG1sUEsBAhQACgAAAAAAh07iQAAA AAAAAAAAAAAAAAYAAAAAAAAAAAAQAAAAMQMAAF9yZWxzL1BLAQIUABQAAAAIAIdO4kCKFGY80QAA AJQBAAALAAAAAAAAAAEAIAAAAFUDAABfcmVscy8ucmVsc1BLAQIUAAoAAAAAAIdO4kAAAAAAAAAA AAAAAAAEAAAAAAAAAAAAEAAAAAAAAABkcnMvUEsBAhQAFAAAAAgAh07iQGXb+ujUAAAACQEAAA8A AAAAAAAAAQAgAAAAIgAAAGRycy9kb3ducmV2LnhtbFBLAQIUABQAAAAIAIdO4kDx25H94gEAANcD AAAOAAAAAAAAAAEAIAAAACMBAABkcnMvZTJvRG9jLnhtbFBLBQYAAAAABgAGAFkBAAB3BQAAAAA= ">
                <v:fill on="f" focussize="0,0"/>
                <v:stroke color="#000000" joinstyle="round"/>
                <v:imagedata o:title=""/>
                <o:lock v:ext="edit" aspectratio="f"/>
                <w10:wrap type="square"/>
              </v:line>
            </w:pict>
          </mc:Fallback>
        </mc:AlternateContent>
      </w:r>
    </w:p>
    <w:p>
      <w:pPr>
        <w:autoSpaceDE w:val="0"/>
        <w:autoSpaceDN w:val="0"/>
        <w:adjustRightInd w:val="0"/>
        <w:snapToGrid w:val="0"/>
        <w:spacing w:line="360" w:lineRule="auto"/>
        <w:textAlignment w:val="bottom"/>
        <w:rPr>
          <w:rFonts w:hint="eastAsia" w:ascii="宋体" w:hAnsi="宋体" w:cs="宋体"/>
          <w:b/>
        </w:rPr>
      </w:pPr>
    </w:p>
    <w:p>
      <w:pPr>
        <w:autoSpaceDE w:val="0"/>
        <w:autoSpaceDN w:val="0"/>
        <w:adjustRightInd w:val="0"/>
        <w:snapToGrid w:val="0"/>
        <w:spacing w:line="360" w:lineRule="auto"/>
        <w:textAlignment w:val="bottom"/>
        <w:rPr>
          <w:rFonts w:hint="eastAsia" w:ascii="宋体" w:hAnsi="宋体" w:cs="宋体"/>
          <w:b/>
        </w:rPr>
      </w:pPr>
    </w:p>
    <w:p>
      <w:pPr>
        <w:autoSpaceDE w:val="0"/>
        <w:autoSpaceDN w:val="0"/>
        <w:adjustRightInd w:val="0"/>
        <w:snapToGrid w:val="0"/>
        <w:spacing w:line="360" w:lineRule="auto"/>
        <w:ind w:firstLine="738" w:firstLineChars="350"/>
        <w:jc w:val="center"/>
        <w:textAlignment w:val="bottom"/>
        <w:rPr>
          <w:rFonts w:hint="eastAsia" w:ascii="宋体" w:hAnsi="宋体" w:cs="宋体"/>
          <w:b/>
        </w:rPr>
      </w:pPr>
    </w:p>
    <w:p>
      <w:pPr>
        <w:autoSpaceDE w:val="0"/>
        <w:autoSpaceDN w:val="0"/>
        <w:adjustRightInd w:val="0"/>
        <w:snapToGrid w:val="0"/>
        <w:spacing w:line="360" w:lineRule="auto"/>
        <w:ind w:firstLine="738" w:firstLineChars="350"/>
        <w:jc w:val="center"/>
        <w:textAlignment w:val="bottom"/>
        <w:rPr>
          <w:rFonts w:hint="eastAsia" w:ascii="宋体" w:hAnsi="宋体" w:cs="宋体"/>
          <w:b/>
        </w:rPr>
      </w:pPr>
    </w:p>
    <w:p>
      <w:pPr>
        <w:autoSpaceDE w:val="0"/>
        <w:autoSpaceDN w:val="0"/>
        <w:adjustRightInd w:val="0"/>
        <w:snapToGrid w:val="0"/>
        <w:spacing w:line="360" w:lineRule="auto"/>
        <w:ind w:firstLine="738" w:firstLineChars="350"/>
        <w:jc w:val="center"/>
        <w:textAlignment w:val="bottom"/>
        <w:rPr>
          <w:rFonts w:hint="eastAsia" w:ascii="宋体" w:hAnsi="宋体" w:cs="宋体"/>
          <w:b/>
        </w:rPr>
      </w:pPr>
    </w:p>
    <w:p>
      <w:pPr>
        <w:autoSpaceDE w:val="0"/>
        <w:autoSpaceDN w:val="0"/>
        <w:adjustRightInd w:val="0"/>
        <w:snapToGrid w:val="0"/>
        <w:spacing w:line="360" w:lineRule="auto"/>
        <w:textAlignment w:val="bottom"/>
        <w:rPr>
          <w:rFonts w:hint="eastAsia" w:ascii="宋体" w:hAnsi="宋体" w:cs="宋体"/>
          <w:b/>
        </w:rPr>
      </w:pPr>
    </w:p>
    <w:p>
      <w:pPr>
        <w:autoSpaceDE w:val="0"/>
        <w:autoSpaceDN w:val="0"/>
        <w:adjustRightInd w:val="0"/>
        <w:snapToGrid w:val="0"/>
        <w:spacing w:line="360" w:lineRule="auto"/>
        <w:ind w:right="360"/>
        <w:textAlignment w:val="bottom"/>
        <w:rPr>
          <w:rFonts w:hint="eastAsia" w:ascii="宋体" w:hAnsi="宋体" w:cs="宋体"/>
          <w:b/>
          <w:spacing w:val="-20"/>
          <w:sz w:val="36"/>
          <w:szCs w:val="36"/>
        </w:rPr>
      </w:pPr>
      <w:r>
        <w:rPr>
          <w:rFonts w:hint="eastAsia" w:ascii="宋体" w:hAnsi="宋体" w:cs="宋体"/>
          <w:b/>
          <w:sz w:val="36"/>
          <w:szCs w:val="36"/>
        </w:rPr>
        <w:t>采购人：杭州市余杭区人民政府中泰街道办事处</w:t>
      </w:r>
    </w:p>
    <w:p>
      <w:pPr>
        <w:autoSpaceDE w:val="0"/>
        <w:autoSpaceDN w:val="0"/>
        <w:adjustRightInd w:val="0"/>
        <w:snapToGrid w:val="0"/>
        <w:spacing w:line="360" w:lineRule="auto"/>
        <w:ind w:firstLine="1446" w:firstLineChars="400"/>
        <w:textAlignment w:val="bottom"/>
        <w:rPr>
          <w:rFonts w:hint="eastAsia" w:ascii="宋体" w:hAnsi="宋体" w:cs="宋体"/>
          <w:b/>
          <w:sz w:val="36"/>
          <w:szCs w:val="36"/>
        </w:rPr>
      </w:pPr>
    </w:p>
    <w:p>
      <w:pPr>
        <w:autoSpaceDE w:val="0"/>
        <w:autoSpaceDN w:val="0"/>
        <w:adjustRightInd w:val="0"/>
        <w:snapToGrid w:val="0"/>
        <w:spacing w:line="360" w:lineRule="auto"/>
        <w:textAlignment w:val="bottom"/>
        <w:rPr>
          <w:rFonts w:hint="eastAsia" w:ascii="宋体" w:hAnsi="宋体" w:cs="宋体"/>
          <w:b/>
          <w:sz w:val="36"/>
          <w:szCs w:val="36"/>
        </w:rPr>
      </w:pPr>
      <w:r>
        <w:rPr>
          <w:rFonts w:hint="eastAsia" w:ascii="宋体" w:hAnsi="宋体" w:cs="宋体"/>
          <w:b/>
          <w:sz w:val="36"/>
          <w:szCs w:val="36"/>
        </w:rPr>
        <w:t>采购代理单位：杭州金信工程造价咨询事务所有限公司</w:t>
      </w:r>
    </w:p>
    <w:p>
      <w:pPr>
        <w:autoSpaceDE w:val="0"/>
        <w:autoSpaceDN w:val="0"/>
        <w:adjustRightInd w:val="0"/>
        <w:snapToGrid w:val="0"/>
        <w:spacing w:line="360" w:lineRule="auto"/>
        <w:ind w:firstLine="1446" w:firstLineChars="400"/>
        <w:textAlignment w:val="bottom"/>
        <w:rPr>
          <w:rFonts w:hint="eastAsia" w:ascii="宋体" w:hAnsi="宋体" w:cs="宋体"/>
          <w:b/>
          <w:sz w:val="36"/>
          <w:szCs w:val="36"/>
        </w:rPr>
      </w:pPr>
    </w:p>
    <w:p>
      <w:pPr>
        <w:autoSpaceDE w:val="0"/>
        <w:autoSpaceDN w:val="0"/>
        <w:adjustRightInd w:val="0"/>
        <w:snapToGrid w:val="0"/>
        <w:spacing w:line="360" w:lineRule="auto"/>
        <w:textAlignment w:val="bottom"/>
        <w:rPr>
          <w:rFonts w:hint="eastAsia" w:ascii="宋体" w:hAnsi="宋体" w:cs="宋体"/>
          <w:b/>
          <w:sz w:val="36"/>
          <w:szCs w:val="36"/>
        </w:rPr>
      </w:pPr>
      <w:r>
        <w:rPr>
          <w:rFonts w:hint="eastAsia" w:ascii="宋体" w:hAnsi="宋体" w:cs="宋体"/>
          <w:b/>
          <w:sz w:val="36"/>
          <w:szCs w:val="36"/>
        </w:rPr>
        <w:t>备 案 机 关：</w:t>
      </w:r>
    </w:p>
    <w:p>
      <w:pPr>
        <w:autoSpaceDE w:val="0"/>
        <w:autoSpaceDN w:val="0"/>
        <w:adjustRightInd w:val="0"/>
        <w:snapToGrid w:val="0"/>
        <w:spacing w:line="360" w:lineRule="auto"/>
        <w:jc w:val="center"/>
        <w:textAlignment w:val="bottom"/>
        <w:rPr>
          <w:rFonts w:hint="eastAsia" w:ascii="宋体" w:hAnsi="宋体" w:cs="宋体"/>
          <w:b/>
          <w:sz w:val="36"/>
          <w:szCs w:val="36"/>
        </w:rPr>
      </w:pPr>
    </w:p>
    <w:p>
      <w:pPr>
        <w:autoSpaceDE w:val="0"/>
        <w:autoSpaceDN w:val="0"/>
        <w:adjustRightInd w:val="0"/>
        <w:snapToGrid w:val="0"/>
        <w:spacing w:line="360" w:lineRule="auto"/>
        <w:jc w:val="center"/>
        <w:textAlignment w:val="bottom"/>
        <w:rPr>
          <w:rFonts w:hint="eastAsia" w:ascii="宋体" w:hAnsi="宋体" w:cs="宋体"/>
          <w:b/>
          <w:sz w:val="36"/>
          <w:szCs w:val="36"/>
        </w:rPr>
      </w:pPr>
    </w:p>
    <w:p>
      <w:pPr>
        <w:widowControl/>
        <w:spacing w:line="360" w:lineRule="auto"/>
        <w:jc w:val="center"/>
        <w:rPr>
          <w:rFonts w:hint="eastAsia" w:ascii="宋体" w:hAnsi="宋体" w:cs="宋体"/>
          <w:sz w:val="24"/>
        </w:rPr>
        <w:sectPr>
          <w:pgSz w:w="11849" w:h="16781"/>
          <w:pgMar w:top="1417" w:right="1417" w:bottom="1417" w:left="1417" w:header="851" w:footer="992" w:gutter="0"/>
          <w:pgNumType w:start="0"/>
          <w:cols w:space="720" w:num="1"/>
          <w:docGrid w:type="lines" w:linePitch="317" w:charSpace="0"/>
        </w:sectPr>
      </w:pPr>
      <w:r>
        <w:rPr>
          <w:rFonts w:hint="eastAsia" w:ascii="宋体" w:hAnsi="宋体" w:cs="宋体"/>
          <w:sz w:val="36"/>
          <w:szCs w:val="36"/>
        </w:rPr>
        <w:t>2019年</w:t>
      </w:r>
      <w:r>
        <w:rPr>
          <w:rFonts w:hint="eastAsia" w:ascii="宋体" w:hAnsi="宋体" w:cs="宋体"/>
          <w:sz w:val="36"/>
          <w:szCs w:val="36"/>
          <w:lang w:val="en-US" w:eastAsia="zh-CN"/>
        </w:rPr>
        <w:t>7</w:t>
      </w:r>
      <w:r>
        <w:rPr>
          <w:rFonts w:hint="eastAsia" w:ascii="宋体" w:hAnsi="宋体" w:cs="宋体"/>
          <w:sz w:val="36"/>
          <w:szCs w:val="36"/>
        </w:rPr>
        <w:t>月</w:t>
      </w:r>
      <w:r>
        <w:rPr>
          <w:rFonts w:hint="eastAsia" w:ascii="宋体" w:hAnsi="宋体" w:cs="宋体"/>
          <w:sz w:val="36"/>
          <w:szCs w:val="36"/>
          <w:lang w:val="en-US" w:eastAsia="zh-CN"/>
        </w:rPr>
        <w:t>8</w:t>
      </w:r>
      <w:r>
        <w:rPr>
          <w:rFonts w:hint="eastAsia" w:ascii="宋体" w:hAnsi="宋体" w:cs="宋体"/>
          <w:sz w:val="36"/>
          <w:szCs w:val="36"/>
        </w:rPr>
        <w:t>日</w:t>
      </w:r>
    </w:p>
    <w:p>
      <w:pPr>
        <w:spacing w:line="360" w:lineRule="auto"/>
        <w:jc w:val="center"/>
        <w:rPr>
          <w:rFonts w:hint="eastAsia" w:ascii="宋体" w:hAnsi="宋体" w:cs="宋体"/>
          <w:sz w:val="24"/>
        </w:rPr>
      </w:pPr>
    </w:p>
    <w:p>
      <w:pPr>
        <w:spacing w:line="360" w:lineRule="auto"/>
        <w:jc w:val="center"/>
        <w:rPr>
          <w:rFonts w:hint="eastAsia" w:ascii="宋体" w:hAnsi="宋体" w:cs="宋体"/>
          <w:b/>
          <w:sz w:val="48"/>
        </w:rPr>
      </w:pPr>
      <w:r>
        <w:rPr>
          <w:rFonts w:hint="eastAsia" w:ascii="宋体" w:hAnsi="宋体" w:cs="宋体"/>
          <w:b/>
          <w:sz w:val="48"/>
        </w:rPr>
        <w:t>目   录</w:t>
      </w:r>
    </w:p>
    <w:p>
      <w:pPr>
        <w:spacing w:line="360" w:lineRule="auto"/>
        <w:jc w:val="center"/>
        <w:rPr>
          <w:rFonts w:hint="eastAsia" w:ascii="宋体" w:hAnsi="宋体" w:cs="宋体"/>
          <w:b/>
          <w:sz w:val="24"/>
        </w:rPr>
      </w:pPr>
    </w:p>
    <w:p>
      <w:pPr>
        <w:pStyle w:val="14"/>
        <w:tabs>
          <w:tab w:val="right" w:leader="dot" w:pos="8296"/>
        </w:tabs>
        <w:spacing w:line="360" w:lineRule="auto"/>
        <w:ind w:firstLine="206" w:firstLineChars="86"/>
        <w:rPr>
          <w:rStyle w:val="23"/>
          <w:rFonts w:hint="eastAsia" w:ascii="宋体" w:hAnsi="宋体" w:cs="宋体"/>
          <w:b/>
          <w:color w:val="auto"/>
          <w:sz w:val="30"/>
          <w:szCs w:val="30"/>
          <w:lang/>
        </w:rPr>
      </w:pPr>
      <w:r>
        <w:rPr>
          <w:rFonts w:hint="eastAsia" w:ascii="宋体" w:hAnsi="宋体" w:cs="宋体"/>
          <w:lang/>
        </w:rPr>
        <w:fldChar w:fldCharType="begin"/>
      </w:r>
      <w:r>
        <w:rPr>
          <w:rStyle w:val="23"/>
          <w:rFonts w:hint="eastAsia" w:ascii="宋体" w:hAnsi="宋体" w:cs="宋体"/>
          <w:color w:val="auto"/>
          <w:lang/>
        </w:rPr>
        <w:instrText xml:space="preserve">TOC \o "1-1" \h  \u </w:instrText>
      </w:r>
      <w:r>
        <w:rPr>
          <w:rFonts w:hint="eastAsia" w:ascii="宋体" w:hAnsi="宋体" w:cs="宋体"/>
          <w:lang/>
        </w:rPr>
        <w:fldChar w:fldCharType="separate"/>
      </w: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HYPERLINK \l "_Toc382810538"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第一部分  招标公告</w:t>
      </w:r>
      <w:r>
        <w:rPr>
          <w:rStyle w:val="23"/>
          <w:rFonts w:hint="eastAsia" w:ascii="宋体" w:hAnsi="宋体" w:cs="宋体"/>
          <w:b/>
          <w:color w:val="auto"/>
          <w:sz w:val="30"/>
          <w:szCs w:val="30"/>
          <w:lang/>
        </w:rPr>
        <w:tab/>
      </w: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PAGEREF _Toc382810538 \h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2</w:t>
      </w:r>
      <w:r>
        <w:rPr>
          <w:rFonts w:hint="eastAsia" w:ascii="宋体" w:hAnsi="宋体" w:cs="宋体"/>
          <w:b/>
          <w:sz w:val="30"/>
          <w:szCs w:val="30"/>
          <w:lang/>
        </w:rPr>
        <w:fldChar w:fldCharType="end"/>
      </w:r>
      <w:r>
        <w:rPr>
          <w:rFonts w:hint="eastAsia" w:ascii="宋体" w:hAnsi="宋体" w:cs="宋体"/>
          <w:b/>
          <w:sz w:val="30"/>
          <w:szCs w:val="30"/>
          <w:lang/>
        </w:rPr>
        <w:fldChar w:fldCharType="end"/>
      </w:r>
    </w:p>
    <w:p>
      <w:pPr>
        <w:pStyle w:val="14"/>
        <w:tabs>
          <w:tab w:val="right" w:leader="dot" w:pos="8296"/>
        </w:tabs>
        <w:spacing w:line="360" w:lineRule="auto"/>
        <w:ind w:firstLine="259" w:firstLineChars="86"/>
        <w:rPr>
          <w:rStyle w:val="23"/>
          <w:rFonts w:hint="eastAsia" w:ascii="宋体" w:hAnsi="宋体" w:cs="宋体"/>
          <w:b/>
          <w:color w:val="auto"/>
          <w:sz w:val="30"/>
          <w:szCs w:val="30"/>
          <w:lang/>
        </w:rPr>
      </w:pP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HYPERLINK \l "_Toc382810539"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第二部分  投标人须知前附表及投标人须知</w:t>
      </w:r>
      <w:r>
        <w:rPr>
          <w:rStyle w:val="23"/>
          <w:rFonts w:hint="eastAsia" w:ascii="宋体" w:hAnsi="宋体" w:cs="宋体"/>
          <w:b/>
          <w:color w:val="auto"/>
          <w:sz w:val="30"/>
          <w:szCs w:val="30"/>
          <w:lang/>
        </w:rPr>
        <w:tab/>
      </w: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PAGEREF _Toc382810539 \h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5</w:t>
      </w:r>
      <w:r>
        <w:rPr>
          <w:rFonts w:hint="eastAsia" w:ascii="宋体" w:hAnsi="宋体" w:cs="宋体"/>
          <w:b/>
          <w:sz w:val="30"/>
          <w:szCs w:val="30"/>
          <w:lang/>
        </w:rPr>
        <w:fldChar w:fldCharType="end"/>
      </w:r>
      <w:r>
        <w:rPr>
          <w:rFonts w:hint="eastAsia" w:ascii="宋体" w:hAnsi="宋体" w:cs="宋体"/>
          <w:b/>
          <w:sz w:val="30"/>
          <w:szCs w:val="30"/>
          <w:lang/>
        </w:rPr>
        <w:fldChar w:fldCharType="end"/>
      </w:r>
    </w:p>
    <w:p>
      <w:pPr>
        <w:pStyle w:val="14"/>
        <w:tabs>
          <w:tab w:val="right" w:leader="dot" w:pos="8296"/>
        </w:tabs>
        <w:spacing w:line="360" w:lineRule="auto"/>
        <w:ind w:firstLine="259" w:firstLineChars="86"/>
        <w:rPr>
          <w:rStyle w:val="23"/>
          <w:rFonts w:hint="eastAsia" w:ascii="宋体" w:hAnsi="宋体" w:cs="宋体"/>
          <w:b/>
          <w:color w:val="auto"/>
          <w:sz w:val="30"/>
          <w:szCs w:val="30"/>
        </w:rPr>
      </w:pP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HYPERLINK \l "_Toc382810541"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 xml:space="preserve">第三部分  </w:t>
      </w:r>
      <w:r>
        <w:rPr>
          <w:rStyle w:val="23"/>
          <w:rFonts w:hint="eastAsia" w:ascii="宋体" w:hAnsi="宋体" w:cs="宋体"/>
          <w:b/>
          <w:color w:val="auto"/>
          <w:sz w:val="30"/>
          <w:szCs w:val="30"/>
        </w:rPr>
        <w:t>评标办法</w:t>
      </w:r>
      <w:r>
        <w:rPr>
          <w:rStyle w:val="23"/>
          <w:rFonts w:hint="eastAsia" w:ascii="宋体" w:hAnsi="宋体" w:cs="宋体"/>
          <w:b/>
          <w:color w:val="auto"/>
          <w:sz w:val="30"/>
          <w:szCs w:val="30"/>
          <w:lang/>
        </w:rPr>
        <w:tab/>
      </w:r>
      <w:r>
        <w:rPr>
          <w:rFonts w:hint="eastAsia" w:ascii="宋体" w:hAnsi="宋体" w:cs="宋体"/>
          <w:b/>
          <w:sz w:val="30"/>
          <w:szCs w:val="30"/>
        </w:rPr>
        <w:t>1</w:t>
      </w:r>
      <w:r>
        <w:rPr>
          <w:rFonts w:hint="eastAsia" w:ascii="宋体" w:hAnsi="宋体" w:cs="宋体"/>
          <w:b/>
          <w:sz w:val="30"/>
          <w:szCs w:val="30"/>
          <w:lang/>
        </w:rPr>
        <w:fldChar w:fldCharType="end"/>
      </w:r>
      <w:r>
        <w:rPr>
          <w:rFonts w:hint="eastAsia" w:ascii="宋体" w:hAnsi="宋体" w:cs="宋体"/>
          <w:b/>
          <w:sz w:val="30"/>
          <w:szCs w:val="30"/>
        </w:rPr>
        <w:t>7</w:t>
      </w:r>
    </w:p>
    <w:p>
      <w:pPr>
        <w:pStyle w:val="14"/>
        <w:tabs>
          <w:tab w:val="right" w:leader="dot" w:pos="8296"/>
        </w:tabs>
        <w:spacing w:line="360" w:lineRule="auto"/>
        <w:ind w:firstLine="259" w:firstLineChars="86"/>
        <w:rPr>
          <w:rStyle w:val="23"/>
          <w:rFonts w:hint="eastAsia" w:ascii="宋体" w:hAnsi="宋体" w:cs="宋体"/>
          <w:b/>
          <w:color w:val="auto"/>
          <w:sz w:val="30"/>
          <w:szCs w:val="30"/>
        </w:rPr>
      </w:pP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HYPERLINK \l "_Toc382810542"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 xml:space="preserve">第四部分  </w:t>
      </w:r>
      <w:r>
        <w:rPr>
          <w:rStyle w:val="23"/>
          <w:rFonts w:hint="eastAsia" w:ascii="宋体" w:hAnsi="宋体" w:cs="宋体"/>
          <w:b/>
          <w:color w:val="auto"/>
          <w:sz w:val="30"/>
          <w:szCs w:val="30"/>
        </w:rPr>
        <w:t>采购需求</w:t>
      </w:r>
      <w:r>
        <w:rPr>
          <w:rStyle w:val="23"/>
          <w:rFonts w:hint="eastAsia" w:ascii="宋体" w:hAnsi="宋体" w:cs="宋体"/>
          <w:b/>
          <w:color w:val="auto"/>
          <w:sz w:val="30"/>
          <w:szCs w:val="30"/>
          <w:lang/>
        </w:rPr>
        <w:tab/>
      </w:r>
      <w:r>
        <w:rPr>
          <w:rFonts w:hint="eastAsia" w:ascii="宋体" w:hAnsi="宋体" w:cs="宋体"/>
          <w:b/>
          <w:sz w:val="30"/>
          <w:szCs w:val="30"/>
        </w:rPr>
        <w:t>2</w:t>
      </w:r>
      <w:r>
        <w:rPr>
          <w:rFonts w:hint="eastAsia" w:ascii="宋体" w:hAnsi="宋体" w:cs="宋体"/>
          <w:b/>
          <w:sz w:val="30"/>
          <w:szCs w:val="30"/>
          <w:lang/>
        </w:rPr>
        <w:fldChar w:fldCharType="end"/>
      </w:r>
      <w:r>
        <w:rPr>
          <w:rFonts w:hint="eastAsia" w:ascii="宋体" w:hAnsi="宋体" w:cs="宋体"/>
          <w:b/>
          <w:sz w:val="30"/>
          <w:szCs w:val="30"/>
        </w:rPr>
        <w:t>2</w:t>
      </w:r>
    </w:p>
    <w:p>
      <w:pPr>
        <w:pStyle w:val="14"/>
        <w:tabs>
          <w:tab w:val="right" w:leader="dot" w:pos="8296"/>
        </w:tabs>
        <w:spacing w:line="360" w:lineRule="auto"/>
        <w:ind w:firstLine="259" w:firstLineChars="86"/>
        <w:rPr>
          <w:rStyle w:val="23"/>
          <w:rFonts w:hint="eastAsia" w:ascii="宋体" w:hAnsi="宋体" w:cs="宋体"/>
          <w:b/>
          <w:color w:val="auto"/>
          <w:sz w:val="30"/>
          <w:szCs w:val="30"/>
        </w:rPr>
      </w:pP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HYPERLINK \l "_Toc382810543"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第五部分  合同条款</w:t>
      </w:r>
      <w:r>
        <w:rPr>
          <w:rStyle w:val="23"/>
          <w:rFonts w:hint="eastAsia" w:ascii="宋体" w:hAnsi="宋体" w:cs="宋体"/>
          <w:b/>
          <w:color w:val="auto"/>
          <w:sz w:val="30"/>
          <w:szCs w:val="30"/>
          <w:lang/>
        </w:rPr>
        <w:tab/>
      </w:r>
      <w:r>
        <w:rPr>
          <w:rFonts w:hint="eastAsia" w:ascii="宋体" w:hAnsi="宋体" w:cs="宋体"/>
          <w:b/>
          <w:sz w:val="30"/>
          <w:szCs w:val="30"/>
        </w:rPr>
        <w:t>4</w:t>
      </w:r>
      <w:r>
        <w:rPr>
          <w:rFonts w:hint="eastAsia" w:ascii="宋体" w:hAnsi="宋体" w:cs="宋体"/>
          <w:b/>
          <w:sz w:val="30"/>
          <w:szCs w:val="30"/>
          <w:lang/>
        </w:rPr>
        <w:fldChar w:fldCharType="end"/>
      </w:r>
      <w:r>
        <w:rPr>
          <w:rFonts w:hint="eastAsia" w:ascii="宋体" w:hAnsi="宋体" w:cs="宋体"/>
          <w:b/>
          <w:sz w:val="30"/>
          <w:szCs w:val="30"/>
        </w:rPr>
        <w:t>7</w:t>
      </w:r>
    </w:p>
    <w:p>
      <w:pPr>
        <w:pStyle w:val="14"/>
        <w:tabs>
          <w:tab w:val="right" w:leader="dot" w:pos="8296"/>
        </w:tabs>
        <w:spacing w:line="360" w:lineRule="auto"/>
        <w:ind w:firstLine="259" w:firstLineChars="86"/>
        <w:rPr>
          <w:rStyle w:val="23"/>
          <w:rFonts w:hint="eastAsia" w:ascii="宋体" w:hAnsi="宋体" w:cs="宋体"/>
          <w:b/>
          <w:color w:val="auto"/>
          <w:sz w:val="30"/>
          <w:szCs w:val="30"/>
        </w:rPr>
      </w:pPr>
      <w:r>
        <w:rPr>
          <w:rFonts w:hint="eastAsia" w:ascii="宋体" w:hAnsi="宋体" w:cs="宋体"/>
          <w:b/>
          <w:sz w:val="30"/>
          <w:szCs w:val="30"/>
          <w:lang/>
        </w:rPr>
        <w:fldChar w:fldCharType="begin"/>
      </w:r>
      <w:r>
        <w:rPr>
          <w:rStyle w:val="23"/>
          <w:rFonts w:hint="eastAsia" w:ascii="宋体" w:hAnsi="宋体" w:cs="宋体"/>
          <w:b/>
          <w:color w:val="auto"/>
          <w:sz w:val="30"/>
          <w:szCs w:val="30"/>
          <w:lang/>
        </w:rPr>
        <w:instrText xml:space="preserve"> HYPERLINK \l "_Toc382810544" </w:instrText>
      </w:r>
      <w:r>
        <w:rPr>
          <w:rFonts w:hint="eastAsia" w:ascii="宋体" w:hAnsi="宋体" w:cs="宋体"/>
          <w:b/>
          <w:sz w:val="30"/>
          <w:szCs w:val="30"/>
          <w:lang/>
        </w:rPr>
        <w:fldChar w:fldCharType="separate"/>
      </w:r>
      <w:r>
        <w:rPr>
          <w:rStyle w:val="23"/>
          <w:rFonts w:hint="eastAsia" w:ascii="宋体" w:hAnsi="宋体" w:cs="宋体"/>
          <w:b/>
          <w:color w:val="auto"/>
          <w:sz w:val="30"/>
          <w:szCs w:val="30"/>
          <w:lang/>
        </w:rPr>
        <w:t>第六部分  投标文件格式</w:t>
      </w:r>
      <w:r>
        <w:rPr>
          <w:rStyle w:val="23"/>
          <w:rFonts w:hint="eastAsia" w:ascii="宋体" w:hAnsi="宋体" w:cs="宋体"/>
          <w:b/>
          <w:color w:val="auto"/>
          <w:sz w:val="30"/>
          <w:szCs w:val="30"/>
          <w:lang/>
        </w:rPr>
        <w:tab/>
      </w:r>
      <w:r>
        <w:rPr>
          <w:rFonts w:hint="eastAsia" w:ascii="宋体" w:hAnsi="宋体" w:cs="宋体"/>
          <w:b/>
          <w:sz w:val="30"/>
          <w:szCs w:val="30"/>
        </w:rPr>
        <w:t>4</w:t>
      </w:r>
      <w:r>
        <w:rPr>
          <w:rFonts w:hint="eastAsia" w:ascii="宋体" w:hAnsi="宋体" w:cs="宋体"/>
          <w:b/>
          <w:sz w:val="30"/>
          <w:szCs w:val="30"/>
          <w:lang/>
        </w:rPr>
        <w:fldChar w:fldCharType="end"/>
      </w:r>
      <w:r>
        <w:rPr>
          <w:rFonts w:hint="eastAsia" w:ascii="宋体" w:hAnsi="宋体" w:cs="宋体"/>
          <w:b/>
          <w:sz w:val="30"/>
          <w:szCs w:val="30"/>
        </w:rPr>
        <w:t>9</w:t>
      </w:r>
    </w:p>
    <w:p>
      <w:pPr>
        <w:pStyle w:val="14"/>
        <w:tabs>
          <w:tab w:val="right" w:leader="dot" w:pos="8296"/>
        </w:tabs>
        <w:spacing w:line="360" w:lineRule="auto"/>
        <w:ind w:firstLine="206" w:firstLineChars="86"/>
        <w:rPr>
          <w:rFonts w:hint="eastAsia" w:ascii="宋体" w:hAnsi="宋体" w:cs="宋体"/>
          <w:b/>
        </w:rPr>
      </w:pPr>
      <w:r>
        <w:rPr>
          <w:rFonts w:hint="eastAsia" w:ascii="宋体" w:hAnsi="宋体" w:cs="宋体"/>
          <w:lang/>
        </w:rPr>
        <w:fldChar w:fldCharType="end"/>
      </w:r>
    </w:p>
    <w:p>
      <w:pPr>
        <w:spacing w:line="360" w:lineRule="auto"/>
        <w:jc w:val="center"/>
        <w:rPr>
          <w:rFonts w:hint="eastAsia" w:ascii="宋体" w:hAnsi="宋体" w:cs="宋体"/>
          <w:b/>
          <w:sz w:val="24"/>
        </w:rPr>
      </w:pPr>
    </w:p>
    <w:p>
      <w:pPr>
        <w:widowControl/>
        <w:spacing w:line="360" w:lineRule="auto"/>
        <w:jc w:val="left"/>
        <w:rPr>
          <w:rFonts w:hint="eastAsia" w:ascii="宋体" w:hAnsi="宋体" w:cs="宋体"/>
          <w:b/>
          <w:sz w:val="24"/>
        </w:rPr>
        <w:sectPr>
          <w:footerReference r:id="rId3" w:type="default"/>
          <w:pgSz w:w="11849" w:h="16781"/>
          <w:pgMar w:top="1417" w:right="1417" w:bottom="1417" w:left="1417" w:header="851" w:footer="992" w:gutter="0"/>
          <w:pgNumType w:start="1"/>
          <w:cols w:space="720" w:num="1"/>
          <w:docGrid w:type="lines" w:linePitch="317" w:charSpace="0"/>
        </w:sectPr>
      </w:pPr>
    </w:p>
    <w:p>
      <w:pPr>
        <w:tabs>
          <w:tab w:val="left" w:pos="2850"/>
          <w:tab w:val="center" w:pos="4422"/>
        </w:tabs>
        <w:spacing w:line="360" w:lineRule="auto"/>
        <w:jc w:val="center"/>
        <w:outlineLvl w:val="0"/>
        <w:rPr>
          <w:rFonts w:hint="eastAsia" w:ascii="宋体" w:hAnsi="宋体" w:cs="宋体"/>
          <w:b/>
          <w:color w:val="000000"/>
          <w:sz w:val="32"/>
        </w:rPr>
      </w:pPr>
      <w:bookmarkStart w:id="0" w:name="_Toc251227775"/>
      <w:bookmarkStart w:id="1" w:name="_Toc382810538"/>
      <w:r>
        <w:rPr>
          <w:rFonts w:hint="eastAsia" w:ascii="宋体" w:hAnsi="宋体" w:cs="宋体"/>
          <w:b/>
          <w:color w:val="000000"/>
          <w:sz w:val="32"/>
        </w:rPr>
        <w:t>第一部分  招标公告</w:t>
      </w:r>
      <w:bookmarkEnd w:id="0"/>
      <w:bookmarkEnd w:id="1"/>
    </w:p>
    <w:p>
      <w:pPr>
        <w:adjustRightInd w:val="0"/>
        <w:snapToGrid w:val="0"/>
        <w:spacing w:line="500" w:lineRule="exact"/>
        <w:ind w:firstLine="480" w:firstLineChars="200"/>
        <w:rPr>
          <w:rFonts w:hint="eastAsia"/>
          <w:color w:val="000000"/>
          <w:sz w:val="24"/>
        </w:rPr>
      </w:pPr>
      <w:r>
        <w:rPr>
          <w:rFonts w:hint="eastAsia" w:ascii="宋体" w:hAnsi="宋体" w:cs="宋体"/>
          <w:color w:val="000000"/>
          <w:sz w:val="24"/>
        </w:rPr>
        <w:t>根据《中华人民共和国政府采购法》、《政府采购货物和服务招标投标管理办法》等规定，经杭州市余杭区财政局余财采确临【2019】1954号确认书批准，现就</w:t>
      </w:r>
      <w:r>
        <w:rPr>
          <w:rFonts w:hint="eastAsia" w:ascii="宋体" w:hAnsi="宋体" w:cs="宋体"/>
          <w:sz w:val="24"/>
        </w:rPr>
        <w:t>中泰街道集镇范围保洁服务</w:t>
      </w:r>
      <w:r>
        <w:rPr>
          <w:rFonts w:hint="eastAsia" w:ascii="宋体" w:hAnsi="宋体" w:cs="宋体"/>
          <w:color w:val="000000"/>
          <w:sz w:val="24"/>
        </w:rPr>
        <w:t>进行公开招标采购。欢迎符合要求并有能力完成本</w:t>
      </w:r>
      <w:r>
        <w:rPr>
          <w:rFonts w:hint="eastAsia"/>
          <w:color w:val="000000"/>
          <w:sz w:val="24"/>
        </w:rPr>
        <w:t>项目的投标人前来投标。</w:t>
      </w:r>
    </w:p>
    <w:p>
      <w:pPr>
        <w:numPr>
          <w:ilvl w:val="0"/>
          <w:numId w:val="2"/>
        </w:numPr>
        <w:adjustRightInd w:val="0"/>
        <w:snapToGrid w:val="0"/>
        <w:spacing w:line="500" w:lineRule="exact"/>
        <w:ind w:firstLine="480" w:firstLineChars="200"/>
        <w:rPr>
          <w:rFonts w:hint="eastAsia"/>
          <w:color w:val="auto"/>
          <w:sz w:val="24"/>
        </w:rPr>
      </w:pPr>
      <w:r>
        <w:rPr>
          <w:rFonts w:hint="eastAsia"/>
          <w:color w:val="auto"/>
          <w:sz w:val="24"/>
        </w:rPr>
        <w:t>项目名称及编号：中泰街道集镇范围保洁服务</w:t>
      </w:r>
    </w:p>
    <w:p>
      <w:pPr>
        <w:numPr>
          <w:ilvl w:val="0"/>
          <w:numId w:val="2"/>
        </w:numPr>
        <w:adjustRightInd w:val="0"/>
        <w:snapToGrid w:val="0"/>
        <w:spacing w:line="500" w:lineRule="exact"/>
        <w:ind w:firstLine="480" w:firstLineChars="200"/>
        <w:rPr>
          <w:rFonts w:hint="eastAsia"/>
          <w:color w:val="auto"/>
          <w:sz w:val="24"/>
        </w:rPr>
      </w:pPr>
      <w:r>
        <w:rPr>
          <w:rFonts w:hint="eastAsia"/>
          <w:color w:val="auto"/>
          <w:sz w:val="24"/>
        </w:rPr>
        <w:t>采购组织类型：分散采购委托代理</w:t>
      </w:r>
    </w:p>
    <w:p>
      <w:pPr>
        <w:numPr>
          <w:ilvl w:val="0"/>
          <w:numId w:val="2"/>
        </w:numPr>
        <w:adjustRightInd w:val="0"/>
        <w:snapToGrid w:val="0"/>
        <w:spacing w:line="500" w:lineRule="exact"/>
        <w:ind w:firstLine="480" w:firstLineChars="200"/>
        <w:rPr>
          <w:rFonts w:hint="eastAsia"/>
          <w:color w:val="000000"/>
          <w:sz w:val="24"/>
        </w:rPr>
      </w:pPr>
      <w:r>
        <w:rPr>
          <w:rFonts w:hint="eastAsia"/>
          <w:color w:val="000000"/>
          <w:sz w:val="24"/>
        </w:rPr>
        <w:t>采购方式：公开招标</w:t>
      </w:r>
    </w:p>
    <w:p>
      <w:pPr>
        <w:numPr>
          <w:ilvl w:val="0"/>
          <w:numId w:val="2"/>
        </w:numPr>
        <w:adjustRightInd w:val="0"/>
        <w:snapToGrid w:val="0"/>
        <w:spacing w:line="500" w:lineRule="exact"/>
        <w:ind w:firstLine="480" w:firstLineChars="200"/>
        <w:rPr>
          <w:rFonts w:hint="eastAsia"/>
          <w:color w:val="000000"/>
          <w:sz w:val="24"/>
        </w:rPr>
      </w:pPr>
      <w:r>
        <w:rPr>
          <w:rFonts w:hint="eastAsia"/>
          <w:color w:val="000000"/>
          <w:sz w:val="24"/>
        </w:rPr>
        <w:t>采购内容：本项目为中泰街道集镇范围保洁服务，垃圾中转站的日常维护；具体要求详见本招标文件第三部分采购需求。预算金额：1300万元；保洁期：2年。</w:t>
      </w:r>
    </w:p>
    <w:p>
      <w:pPr>
        <w:numPr>
          <w:ilvl w:val="0"/>
          <w:numId w:val="2"/>
        </w:numPr>
        <w:adjustRightInd w:val="0"/>
        <w:snapToGrid w:val="0"/>
        <w:spacing w:line="500" w:lineRule="exact"/>
        <w:ind w:firstLine="480" w:firstLineChars="200"/>
        <w:rPr>
          <w:rFonts w:hint="eastAsia"/>
          <w:color w:val="000000"/>
          <w:sz w:val="24"/>
        </w:rPr>
      </w:pPr>
      <w:r>
        <w:rPr>
          <w:rFonts w:hint="eastAsia"/>
          <w:color w:val="000000"/>
          <w:sz w:val="24"/>
        </w:rPr>
        <w:t>合格投标人的资格要求：</w:t>
      </w:r>
    </w:p>
    <w:p>
      <w:pPr>
        <w:adjustRightInd w:val="0"/>
        <w:snapToGrid w:val="0"/>
        <w:spacing w:line="500" w:lineRule="exact"/>
        <w:ind w:firstLine="480" w:firstLineChars="200"/>
        <w:rPr>
          <w:color w:val="auto"/>
          <w:sz w:val="24"/>
        </w:rPr>
      </w:pPr>
      <w:r>
        <w:rPr>
          <w:color w:val="000000"/>
          <w:sz w:val="24"/>
        </w:rPr>
        <w:t>1、符合《中华人民共和国政府采购法》第二十二条供应商应当具备的条件和浙财采监【2013】24号《关于规范政府采购供应商资格设定及资格审查的通知》第六条规</w:t>
      </w:r>
      <w:r>
        <w:rPr>
          <w:color w:val="auto"/>
          <w:sz w:val="24"/>
        </w:rPr>
        <w:t xml:space="preserve">定；  </w:t>
      </w:r>
    </w:p>
    <w:p>
      <w:pPr>
        <w:ind w:right="-313" w:rightChars="-149" w:firstLine="480" w:firstLineChars="200"/>
        <w:rPr>
          <w:color w:val="auto"/>
          <w:sz w:val="24"/>
          <w:u w:val="single"/>
        </w:rPr>
      </w:pPr>
      <w:r>
        <w:rPr>
          <w:color w:val="auto"/>
          <w:sz w:val="24"/>
        </w:rPr>
        <w:t>2</w:t>
      </w:r>
      <w:r>
        <w:rPr>
          <w:rFonts w:hint="eastAsia"/>
          <w:color w:val="auto"/>
          <w:sz w:val="24"/>
        </w:rPr>
        <w:t>.</w:t>
      </w:r>
      <w:r>
        <w:rPr>
          <w:rFonts w:hint="eastAsia" w:ascii="宋体" w:hAnsi="宋体"/>
          <w:color w:val="auto"/>
          <w:sz w:val="24"/>
        </w:rPr>
        <w:t>在余杭区城乡环卫保洁服务2017-2019年企业预选库名录内（且具</w:t>
      </w:r>
      <w:r>
        <w:rPr>
          <w:rFonts w:ascii="宋体" w:hAnsi="宋体"/>
          <w:color w:val="auto"/>
          <w:sz w:val="24"/>
        </w:rPr>
        <w:t>有国家建设行政主管部门颁发</w:t>
      </w:r>
      <w:r>
        <w:rPr>
          <w:rFonts w:hint="eastAsia" w:ascii="宋体" w:hAnsi="宋体"/>
          <w:color w:val="auto"/>
          <w:sz w:val="24"/>
        </w:rPr>
        <w:t>认可的经营范围含绿化养护的企业）；</w:t>
      </w:r>
    </w:p>
    <w:p>
      <w:pPr>
        <w:adjustRightInd w:val="0"/>
        <w:snapToGrid w:val="0"/>
        <w:spacing w:line="500" w:lineRule="exact"/>
        <w:ind w:firstLine="480" w:firstLineChars="200"/>
        <w:rPr>
          <w:color w:val="auto"/>
          <w:sz w:val="24"/>
        </w:rPr>
      </w:pPr>
      <w:r>
        <w:rPr>
          <w:color w:val="auto"/>
          <w:sz w:val="24"/>
        </w:rPr>
        <w:t xml:space="preserve">3.拒绝联合体投标；  </w:t>
      </w:r>
    </w:p>
    <w:p>
      <w:pPr>
        <w:adjustRightInd w:val="0"/>
        <w:snapToGrid w:val="0"/>
        <w:spacing w:line="500" w:lineRule="exact"/>
        <w:ind w:firstLine="480" w:firstLineChars="200"/>
        <w:rPr>
          <w:rFonts w:hint="eastAsia"/>
          <w:color w:val="000000"/>
          <w:sz w:val="24"/>
        </w:rPr>
      </w:pPr>
      <w:r>
        <w:rPr>
          <w:rFonts w:hint="eastAsia"/>
          <w:color w:val="000000"/>
          <w:sz w:val="24"/>
        </w:rPr>
        <w:t>六、报名</w:t>
      </w:r>
      <w:r>
        <w:rPr>
          <w:rFonts w:hint="eastAsia"/>
          <w:color w:val="auto"/>
          <w:sz w:val="24"/>
        </w:rPr>
        <w:t>与领取招标文件时间及地点：2019年</w:t>
      </w:r>
      <w:r>
        <w:rPr>
          <w:rFonts w:hint="eastAsia"/>
          <w:color w:val="auto"/>
          <w:sz w:val="24"/>
          <w:lang w:val="en-US" w:eastAsia="zh-CN"/>
        </w:rPr>
        <w:t>7</w:t>
      </w:r>
      <w:r>
        <w:rPr>
          <w:rFonts w:hint="eastAsia"/>
          <w:color w:val="auto"/>
          <w:sz w:val="24"/>
        </w:rPr>
        <w:t>月</w:t>
      </w:r>
      <w:r>
        <w:rPr>
          <w:rFonts w:hint="eastAsia"/>
          <w:color w:val="auto"/>
          <w:sz w:val="24"/>
          <w:lang w:val="en-US" w:eastAsia="zh-CN"/>
        </w:rPr>
        <w:t>9</w:t>
      </w:r>
      <w:r>
        <w:rPr>
          <w:rFonts w:hint="eastAsia"/>
          <w:color w:val="auto"/>
          <w:sz w:val="24"/>
        </w:rPr>
        <w:t>日至2019年</w:t>
      </w:r>
      <w:r>
        <w:rPr>
          <w:rFonts w:hint="eastAsia"/>
          <w:color w:val="auto"/>
          <w:sz w:val="24"/>
          <w:lang w:val="en-US" w:eastAsia="zh-CN"/>
        </w:rPr>
        <w:t>7</w:t>
      </w:r>
      <w:r>
        <w:rPr>
          <w:rFonts w:hint="eastAsia"/>
          <w:color w:val="auto"/>
          <w:sz w:val="24"/>
        </w:rPr>
        <w:t>月</w:t>
      </w:r>
      <w:r>
        <w:rPr>
          <w:rFonts w:hint="eastAsia"/>
          <w:color w:val="auto"/>
          <w:sz w:val="24"/>
          <w:lang w:val="en-US" w:eastAsia="zh-CN"/>
        </w:rPr>
        <w:t>16</w:t>
      </w:r>
      <w:r>
        <w:rPr>
          <w:rFonts w:hint="eastAsia"/>
          <w:color w:val="auto"/>
          <w:sz w:val="24"/>
        </w:rPr>
        <w:t>日（双休日及法定节假日除外），上午9：00——11：30，下午14：00——16：30。</w:t>
      </w:r>
    </w:p>
    <w:p>
      <w:pPr>
        <w:adjustRightInd w:val="0"/>
        <w:snapToGrid w:val="0"/>
        <w:spacing w:line="500" w:lineRule="exact"/>
        <w:ind w:firstLine="480" w:firstLineChars="200"/>
        <w:rPr>
          <w:rFonts w:hint="eastAsia"/>
          <w:color w:val="000000"/>
          <w:sz w:val="24"/>
        </w:rPr>
      </w:pPr>
      <w:r>
        <w:rPr>
          <w:rFonts w:hint="eastAsia"/>
          <w:color w:val="000000"/>
          <w:sz w:val="24"/>
        </w:rPr>
        <w:t>报名地址：余杭区余杭街道凤新路299号泰隆银行12楼；</w:t>
      </w:r>
    </w:p>
    <w:p>
      <w:pPr>
        <w:adjustRightInd w:val="0"/>
        <w:snapToGrid w:val="0"/>
        <w:spacing w:line="500" w:lineRule="exact"/>
        <w:ind w:firstLine="480" w:firstLineChars="200"/>
        <w:rPr>
          <w:rFonts w:hint="eastAsia"/>
          <w:color w:val="000000"/>
          <w:sz w:val="24"/>
        </w:rPr>
      </w:pPr>
      <w:r>
        <w:rPr>
          <w:rFonts w:hint="eastAsia"/>
          <w:color w:val="000000"/>
          <w:sz w:val="24"/>
        </w:rPr>
        <w:t>售价：招标文件工本费每套人民币500元整，售后不退。</w:t>
      </w:r>
    </w:p>
    <w:p>
      <w:pPr>
        <w:adjustRightInd w:val="0"/>
        <w:snapToGrid w:val="0"/>
        <w:spacing w:line="500" w:lineRule="exact"/>
        <w:ind w:firstLine="480" w:firstLineChars="200"/>
        <w:rPr>
          <w:color w:val="000000"/>
          <w:sz w:val="24"/>
        </w:rPr>
      </w:pPr>
      <w:r>
        <w:rPr>
          <w:rFonts w:hint="eastAsia"/>
          <w:color w:val="000000"/>
          <w:sz w:val="24"/>
        </w:rPr>
        <w:t>七、公告期限：自公告发布之日起5个工作日。</w:t>
      </w:r>
    </w:p>
    <w:p>
      <w:pPr>
        <w:adjustRightInd w:val="0"/>
        <w:snapToGrid w:val="0"/>
        <w:spacing w:line="500" w:lineRule="exact"/>
        <w:ind w:firstLine="480" w:firstLineChars="200"/>
        <w:rPr>
          <w:rFonts w:hint="eastAsia"/>
          <w:color w:val="000000"/>
          <w:sz w:val="24"/>
        </w:rPr>
      </w:pPr>
      <w:r>
        <w:rPr>
          <w:rFonts w:hint="eastAsia"/>
          <w:color w:val="000000"/>
          <w:sz w:val="24"/>
        </w:rPr>
        <w:t>八、报名时需携带的资料：（以下所有复印件均须加盖公章并携带原件，验原件留复印件）</w:t>
      </w:r>
    </w:p>
    <w:p>
      <w:pPr>
        <w:adjustRightInd w:val="0"/>
        <w:snapToGrid w:val="0"/>
        <w:spacing w:line="500" w:lineRule="exact"/>
        <w:ind w:firstLine="480" w:firstLineChars="200"/>
        <w:rPr>
          <w:rFonts w:hint="eastAsia" w:eastAsia="微软雅黑"/>
          <w:color w:val="000000"/>
          <w:sz w:val="24"/>
        </w:rPr>
      </w:pPr>
      <w:r>
        <w:rPr>
          <w:rFonts w:hint="eastAsia"/>
          <w:color w:val="000000"/>
          <w:sz w:val="24"/>
        </w:rPr>
        <w:t>①营业执照（或事业单位法人登记证书或其他工商等登记证明材料）的原件及复印件（符合浙财采监【2013】24号《关于规范政府采购供应商资格设定及资格审查的通知》第六条规定的，按相关规定提供相应资料）；</w:t>
      </w:r>
    </w:p>
    <w:p>
      <w:pPr>
        <w:adjustRightInd w:val="0"/>
        <w:snapToGrid w:val="0"/>
        <w:spacing w:line="500" w:lineRule="exact"/>
        <w:ind w:firstLine="480" w:firstLineChars="200"/>
        <w:rPr>
          <w:rFonts w:hint="eastAsia"/>
          <w:color w:val="000000"/>
          <w:sz w:val="24"/>
        </w:rPr>
      </w:pPr>
      <w:r>
        <w:rPr>
          <w:rFonts w:hint="eastAsia"/>
          <w:color w:val="000000"/>
          <w:sz w:val="24"/>
        </w:rPr>
        <w:t>②授权委托书或介绍信原件</w:t>
      </w:r>
    </w:p>
    <w:p>
      <w:pPr>
        <w:adjustRightInd w:val="0"/>
        <w:snapToGrid w:val="0"/>
        <w:spacing w:line="500" w:lineRule="exact"/>
        <w:ind w:firstLine="480" w:firstLineChars="200"/>
        <w:rPr>
          <w:rFonts w:hint="eastAsia"/>
          <w:color w:val="000000"/>
          <w:sz w:val="24"/>
        </w:rPr>
      </w:pPr>
      <w:r>
        <w:rPr>
          <w:rFonts w:hint="eastAsia"/>
          <w:color w:val="000000"/>
          <w:sz w:val="24"/>
        </w:rPr>
        <w:t>③受委托人有效二代身份证原件及复印件</w:t>
      </w:r>
    </w:p>
    <w:p>
      <w:pPr>
        <w:adjustRightInd w:val="0"/>
        <w:snapToGrid w:val="0"/>
        <w:spacing w:line="500" w:lineRule="exact"/>
        <w:ind w:firstLine="480" w:firstLineChars="200"/>
        <w:rPr>
          <w:rFonts w:hint="eastAsia"/>
          <w:color w:val="000000"/>
          <w:sz w:val="24"/>
        </w:rPr>
      </w:pPr>
      <w:r>
        <w:rPr>
          <w:rFonts w:hint="eastAsia"/>
          <w:color w:val="000000"/>
          <w:sz w:val="24"/>
        </w:rPr>
        <w:t>④组织机构代码证、社保登记证（或供应商一年内缴纳过的社保缴纳花名册）、税务登记证原件及复印件。</w:t>
      </w:r>
    </w:p>
    <w:p>
      <w:pPr>
        <w:adjustRightInd w:val="0"/>
        <w:snapToGrid w:val="0"/>
        <w:spacing w:line="500" w:lineRule="exact"/>
        <w:ind w:firstLine="480" w:firstLineChars="200"/>
        <w:rPr>
          <w:rFonts w:eastAsia="微软雅黑"/>
          <w:color w:val="000000"/>
          <w:sz w:val="24"/>
        </w:rPr>
      </w:pPr>
      <w:r>
        <w:rPr>
          <w:rFonts w:hint="eastAsia"/>
          <w:color w:val="000000"/>
          <w:sz w:val="24"/>
        </w:rPr>
        <w:t>注：持“五证合一”新版营业执照的投标人不要求提供组织机构代码证、社保登记证、税务登记证；持“三证合一”新版营业执照的投标人不要求提供组织机构代码证、税务登记证；个体工商户不要求提供组织机构代码证，持“两证整合”新版营业执照的个体工商户不要求提供税务登记证。报名需法人代表或其授权委托人本人前来。本项目投标人的资格仍需接受采购人或者采购代理机构审查，并在必要时要求提供原件备查。</w:t>
      </w:r>
    </w:p>
    <w:p>
      <w:pPr>
        <w:adjustRightInd w:val="0"/>
        <w:snapToGrid w:val="0"/>
        <w:spacing w:line="500" w:lineRule="exact"/>
        <w:rPr>
          <w:rFonts w:hint="eastAsia"/>
          <w:color w:val="auto"/>
          <w:sz w:val="24"/>
        </w:rPr>
      </w:pPr>
      <w:r>
        <w:rPr>
          <w:rFonts w:hint="eastAsia"/>
          <w:color w:val="auto"/>
          <w:sz w:val="24"/>
        </w:rPr>
        <w:t>九、投标截止时间与地点（逾期送达或未密封将予以拒收）：</w:t>
      </w:r>
    </w:p>
    <w:p>
      <w:pPr>
        <w:adjustRightInd w:val="0"/>
        <w:snapToGrid w:val="0"/>
        <w:spacing w:line="500" w:lineRule="exact"/>
        <w:ind w:firstLine="480" w:firstLineChars="200"/>
        <w:rPr>
          <w:rFonts w:hint="eastAsia"/>
          <w:color w:val="auto"/>
          <w:sz w:val="24"/>
        </w:rPr>
      </w:pPr>
      <w:r>
        <w:rPr>
          <w:rFonts w:hint="eastAsia"/>
          <w:color w:val="auto"/>
          <w:sz w:val="24"/>
        </w:rPr>
        <w:t>2019年</w:t>
      </w:r>
      <w:r>
        <w:rPr>
          <w:rFonts w:hint="eastAsia"/>
          <w:color w:val="auto"/>
          <w:sz w:val="24"/>
          <w:lang w:val="en-US" w:eastAsia="zh-CN"/>
        </w:rPr>
        <w:t>7</w:t>
      </w:r>
      <w:r>
        <w:rPr>
          <w:rFonts w:hint="eastAsia"/>
          <w:color w:val="auto"/>
          <w:sz w:val="24"/>
        </w:rPr>
        <w:t>月</w:t>
      </w:r>
      <w:r>
        <w:rPr>
          <w:rFonts w:hint="eastAsia"/>
          <w:color w:val="auto"/>
          <w:sz w:val="24"/>
          <w:lang w:val="en-US" w:eastAsia="zh-CN"/>
        </w:rPr>
        <w:t>31</w:t>
      </w:r>
      <w:r>
        <w:rPr>
          <w:rFonts w:hint="eastAsia"/>
          <w:color w:val="auto"/>
          <w:sz w:val="24"/>
        </w:rPr>
        <w:t>日</w:t>
      </w:r>
      <w:r>
        <w:rPr>
          <w:rFonts w:hint="eastAsia"/>
          <w:color w:val="auto"/>
          <w:sz w:val="24"/>
          <w:lang w:val="en-US" w:eastAsia="zh-CN"/>
        </w:rPr>
        <w:t>14</w:t>
      </w:r>
      <w:r>
        <w:rPr>
          <w:rFonts w:hint="eastAsia"/>
          <w:color w:val="auto"/>
          <w:sz w:val="24"/>
        </w:rPr>
        <w:t>时</w:t>
      </w:r>
      <w:r>
        <w:rPr>
          <w:rFonts w:hint="eastAsia"/>
          <w:color w:val="auto"/>
          <w:sz w:val="24"/>
          <w:lang w:val="en-US" w:eastAsia="zh-CN"/>
        </w:rPr>
        <w:t>00</w:t>
      </w:r>
      <w:r>
        <w:rPr>
          <w:rFonts w:hint="eastAsia"/>
          <w:color w:val="auto"/>
          <w:sz w:val="24"/>
        </w:rPr>
        <w:t>分</w:t>
      </w:r>
    </w:p>
    <w:p>
      <w:pPr>
        <w:adjustRightInd w:val="0"/>
        <w:snapToGrid w:val="0"/>
        <w:spacing w:line="500" w:lineRule="exact"/>
        <w:ind w:firstLine="480" w:firstLineChars="200"/>
        <w:rPr>
          <w:rFonts w:hint="eastAsia"/>
          <w:color w:val="auto"/>
          <w:sz w:val="24"/>
        </w:rPr>
      </w:pPr>
      <w:r>
        <w:rPr>
          <w:rFonts w:hint="eastAsia"/>
          <w:color w:val="auto"/>
          <w:sz w:val="24"/>
        </w:rPr>
        <w:t>余杭区临平南大街265号（市民之家三楼），余杭区公共资源交易中心</w:t>
      </w:r>
      <w:r>
        <w:rPr>
          <w:rFonts w:hint="eastAsia"/>
          <w:color w:val="auto"/>
          <w:sz w:val="24"/>
          <w:lang w:val="en-US" w:eastAsia="zh-CN"/>
        </w:rPr>
        <w:t>3</w:t>
      </w:r>
      <w:r>
        <w:rPr>
          <w:rFonts w:hint="eastAsia"/>
          <w:color w:val="auto"/>
          <w:sz w:val="24"/>
        </w:rPr>
        <w:t>号开标室</w:t>
      </w:r>
    </w:p>
    <w:p>
      <w:pPr>
        <w:adjustRightInd w:val="0"/>
        <w:snapToGrid w:val="0"/>
        <w:spacing w:line="500" w:lineRule="exact"/>
        <w:rPr>
          <w:rFonts w:hint="eastAsia"/>
          <w:color w:val="auto"/>
          <w:sz w:val="24"/>
        </w:rPr>
      </w:pPr>
      <w:r>
        <w:rPr>
          <w:rFonts w:hint="eastAsia"/>
          <w:color w:val="auto"/>
          <w:sz w:val="24"/>
        </w:rPr>
        <w:t>十、开标时间与地点（授权代表应携带本人有效身份证件出席开标会议，否则将予以拒收投标文件）：</w:t>
      </w:r>
    </w:p>
    <w:p>
      <w:pPr>
        <w:adjustRightInd w:val="0"/>
        <w:snapToGrid w:val="0"/>
        <w:spacing w:line="500" w:lineRule="exact"/>
        <w:ind w:firstLine="480" w:firstLineChars="200"/>
        <w:rPr>
          <w:rFonts w:hint="eastAsia"/>
          <w:color w:val="auto"/>
          <w:sz w:val="24"/>
        </w:rPr>
      </w:pPr>
      <w:r>
        <w:rPr>
          <w:rFonts w:hint="eastAsia"/>
          <w:color w:val="auto"/>
          <w:sz w:val="24"/>
        </w:rPr>
        <w:t>2019年</w:t>
      </w:r>
      <w:r>
        <w:rPr>
          <w:rFonts w:hint="eastAsia"/>
          <w:color w:val="auto"/>
          <w:sz w:val="24"/>
          <w:lang w:val="en-US" w:eastAsia="zh-CN"/>
        </w:rPr>
        <w:t>7</w:t>
      </w:r>
      <w:r>
        <w:rPr>
          <w:rFonts w:hint="eastAsia"/>
          <w:color w:val="auto"/>
          <w:sz w:val="24"/>
        </w:rPr>
        <w:t>月</w:t>
      </w:r>
      <w:r>
        <w:rPr>
          <w:rFonts w:hint="eastAsia"/>
          <w:color w:val="auto"/>
          <w:sz w:val="24"/>
          <w:lang w:val="en-US" w:eastAsia="zh-CN"/>
        </w:rPr>
        <w:t>31</w:t>
      </w:r>
      <w:r>
        <w:rPr>
          <w:rFonts w:hint="eastAsia"/>
          <w:color w:val="auto"/>
          <w:sz w:val="24"/>
        </w:rPr>
        <w:t>日</w:t>
      </w:r>
      <w:r>
        <w:rPr>
          <w:rFonts w:hint="eastAsia"/>
          <w:color w:val="auto"/>
          <w:sz w:val="24"/>
          <w:lang w:val="en-US" w:eastAsia="zh-CN"/>
        </w:rPr>
        <w:t>14</w:t>
      </w:r>
      <w:r>
        <w:rPr>
          <w:rFonts w:hint="eastAsia"/>
          <w:color w:val="auto"/>
          <w:sz w:val="24"/>
        </w:rPr>
        <w:t>时</w:t>
      </w:r>
      <w:r>
        <w:rPr>
          <w:rFonts w:hint="eastAsia"/>
          <w:color w:val="auto"/>
          <w:sz w:val="24"/>
          <w:lang w:val="en-US" w:eastAsia="zh-CN"/>
        </w:rPr>
        <w:t>00</w:t>
      </w:r>
      <w:r>
        <w:rPr>
          <w:rFonts w:hint="eastAsia"/>
          <w:color w:val="auto"/>
          <w:sz w:val="24"/>
        </w:rPr>
        <w:t>分</w:t>
      </w:r>
    </w:p>
    <w:p>
      <w:pPr>
        <w:adjustRightInd w:val="0"/>
        <w:snapToGrid w:val="0"/>
        <w:spacing w:line="500" w:lineRule="exact"/>
        <w:ind w:firstLine="480" w:firstLineChars="200"/>
        <w:rPr>
          <w:rFonts w:hint="eastAsia"/>
          <w:color w:val="auto"/>
          <w:sz w:val="24"/>
        </w:rPr>
      </w:pPr>
      <w:r>
        <w:rPr>
          <w:rFonts w:hint="eastAsia"/>
          <w:color w:val="auto"/>
          <w:sz w:val="24"/>
        </w:rPr>
        <w:t>余杭区临平南大街265号（市民之家三楼），余杭区公共资源交易中心</w:t>
      </w:r>
      <w:r>
        <w:rPr>
          <w:rFonts w:hint="eastAsia"/>
          <w:color w:val="auto"/>
          <w:sz w:val="24"/>
          <w:lang w:val="en-US" w:eastAsia="zh-CN"/>
        </w:rPr>
        <w:t>3</w:t>
      </w:r>
      <w:r>
        <w:rPr>
          <w:rFonts w:hint="eastAsia"/>
          <w:color w:val="auto"/>
          <w:sz w:val="24"/>
        </w:rPr>
        <w:t>号开标室</w:t>
      </w:r>
    </w:p>
    <w:p>
      <w:pPr>
        <w:adjustRightInd w:val="0"/>
        <w:snapToGrid w:val="0"/>
        <w:spacing w:line="500" w:lineRule="exact"/>
        <w:ind w:firstLine="480" w:firstLineChars="200"/>
        <w:rPr>
          <w:rFonts w:hint="eastAsia" w:eastAsia="宋体"/>
          <w:color w:val="000000"/>
          <w:sz w:val="24"/>
          <w:lang w:val="en-US" w:eastAsia="zh-CN"/>
        </w:rPr>
      </w:pPr>
      <w:r>
        <w:rPr>
          <w:rFonts w:hint="eastAsia"/>
          <w:color w:val="000000"/>
          <w:sz w:val="24"/>
        </w:rPr>
        <w:t>十一、投标保证金(元)：</w:t>
      </w:r>
      <w:r>
        <w:rPr>
          <w:rFonts w:hint="eastAsia"/>
          <w:color w:val="000000"/>
          <w:sz w:val="24"/>
          <w:lang w:val="en-US" w:eastAsia="zh-CN"/>
        </w:rPr>
        <w:t>不采用</w:t>
      </w:r>
    </w:p>
    <w:p>
      <w:pPr>
        <w:adjustRightInd w:val="0"/>
        <w:snapToGrid w:val="0"/>
        <w:spacing w:line="500" w:lineRule="exact"/>
        <w:ind w:firstLine="480" w:firstLineChars="200"/>
        <w:rPr>
          <w:rFonts w:hint="eastAsia"/>
          <w:color w:val="000000"/>
          <w:sz w:val="24"/>
        </w:rPr>
      </w:pPr>
      <w:r>
        <w:rPr>
          <w:rFonts w:hint="eastAsia"/>
          <w:color w:val="000000"/>
          <w:sz w:val="24"/>
        </w:rPr>
        <w:t>十二、质疑和投诉：</w:t>
      </w:r>
    </w:p>
    <w:p>
      <w:pPr>
        <w:adjustRightInd w:val="0"/>
        <w:snapToGrid w:val="0"/>
        <w:spacing w:line="500" w:lineRule="exact"/>
        <w:ind w:firstLine="480" w:firstLineChars="200"/>
        <w:rPr>
          <w:rFonts w:hint="eastAsia"/>
          <w:color w:val="000000"/>
          <w:sz w:val="24"/>
        </w:rPr>
      </w:pPr>
      <w:r>
        <w:rPr>
          <w:rFonts w:hint="eastAsia"/>
          <w:color w:val="000000"/>
          <w:sz w:val="24"/>
        </w:rPr>
        <w:t>1、质疑事项：</w:t>
      </w:r>
    </w:p>
    <w:p>
      <w:pPr>
        <w:adjustRightInd w:val="0"/>
        <w:snapToGrid w:val="0"/>
        <w:spacing w:line="500" w:lineRule="exact"/>
        <w:ind w:firstLine="480" w:firstLineChars="200"/>
        <w:rPr>
          <w:rFonts w:hint="eastAsia"/>
          <w:color w:val="000000"/>
          <w:sz w:val="24"/>
        </w:rPr>
      </w:pPr>
      <w:r>
        <w:rPr>
          <w:rFonts w:hint="eastAsia"/>
          <w:color w:val="000000"/>
          <w:sz w:val="24"/>
        </w:rPr>
        <w:t>1）投标人如认为招标公告信息使自身的合法权益受到损害的，应于自招标公告发布之日起七个工作日内以书面形式向采购代理机构提出质疑。</w:t>
      </w:r>
    </w:p>
    <w:p>
      <w:pPr>
        <w:adjustRightInd w:val="0"/>
        <w:snapToGrid w:val="0"/>
        <w:spacing w:line="500" w:lineRule="exact"/>
        <w:ind w:firstLine="480" w:firstLineChars="200"/>
        <w:rPr>
          <w:rFonts w:hint="eastAsia"/>
          <w:color w:val="000000"/>
          <w:sz w:val="24"/>
        </w:rPr>
      </w:pPr>
      <w:r>
        <w:rPr>
          <w:rFonts w:hint="eastAsia"/>
          <w:color w:val="000000"/>
          <w:sz w:val="24"/>
        </w:rPr>
        <w:t>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500" w:lineRule="exact"/>
        <w:ind w:firstLine="480" w:firstLineChars="200"/>
        <w:rPr>
          <w:rFonts w:hint="eastAsia"/>
          <w:color w:val="000000"/>
          <w:sz w:val="24"/>
        </w:rPr>
      </w:pPr>
      <w:r>
        <w:rPr>
          <w:rFonts w:hint="eastAsia"/>
          <w:color w:val="000000"/>
          <w:sz w:val="24"/>
        </w:rPr>
        <w:t>3）投标人如认为采购过程使自身的合法权益受到损害的，应于自各采购程序环节结束之日起七个工作日内，以书面形式向采购代理机构提出质疑。</w:t>
      </w:r>
    </w:p>
    <w:p>
      <w:pPr>
        <w:adjustRightInd w:val="0"/>
        <w:snapToGrid w:val="0"/>
        <w:spacing w:line="500" w:lineRule="exact"/>
        <w:ind w:firstLine="480" w:firstLineChars="200"/>
        <w:rPr>
          <w:rFonts w:hint="eastAsia"/>
          <w:color w:val="000000"/>
          <w:sz w:val="24"/>
        </w:rPr>
      </w:pPr>
      <w:r>
        <w:rPr>
          <w:rFonts w:hint="eastAsia"/>
          <w:color w:val="000000"/>
          <w:sz w:val="24"/>
        </w:rPr>
        <w:t>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500" w:lineRule="exact"/>
        <w:ind w:firstLine="480" w:firstLineChars="200"/>
        <w:rPr>
          <w:rFonts w:hint="eastAsia"/>
          <w:color w:val="000000"/>
          <w:sz w:val="24"/>
        </w:rPr>
      </w:pPr>
      <w:r>
        <w:rPr>
          <w:rFonts w:hint="eastAsia"/>
          <w:color w:val="000000"/>
          <w:sz w:val="24"/>
        </w:rPr>
        <w:t>2、质疑受理地点：杭州金信工程造价咨询事务所有限公司（余杭区余杭街道凤新路299号泰隆银行12楼招标代理部）。</w:t>
      </w:r>
    </w:p>
    <w:p>
      <w:pPr>
        <w:adjustRightInd w:val="0"/>
        <w:snapToGrid w:val="0"/>
        <w:spacing w:line="500" w:lineRule="exact"/>
        <w:ind w:firstLine="480" w:firstLineChars="200"/>
        <w:rPr>
          <w:color w:val="000000"/>
          <w:sz w:val="24"/>
        </w:rPr>
      </w:pPr>
      <w:r>
        <w:rPr>
          <w:rFonts w:hint="eastAsia"/>
          <w:color w:val="000000"/>
          <w:sz w:val="24"/>
        </w:rPr>
        <w:t>3、投诉事项：投标人对采购代理机构的质疑答复不满意或者采购代理机构未在规定时间内作出答复的，可以在答复期满后十五个工作日内向同级政府采购监督管理部门余杭区财政局采购监管科投诉，联系电话为0571-89180113。</w:t>
      </w:r>
    </w:p>
    <w:p>
      <w:pPr>
        <w:adjustRightInd w:val="0"/>
        <w:snapToGrid w:val="0"/>
        <w:spacing w:line="500" w:lineRule="exact"/>
        <w:ind w:firstLine="480" w:firstLineChars="200"/>
        <w:rPr>
          <w:rFonts w:hint="eastAsia" w:eastAsia="微软雅黑"/>
          <w:color w:val="000000"/>
          <w:sz w:val="24"/>
        </w:rPr>
      </w:pPr>
      <w:r>
        <w:rPr>
          <w:rFonts w:hint="eastAsia"/>
          <w:color w:val="000000"/>
          <w:sz w:val="24"/>
        </w:rPr>
        <w:t>十三、联系方式</w:t>
      </w:r>
    </w:p>
    <w:p>
      <w:pPr>
        <w:adjustRightInd w:val="0"/>
        <w:snapToGrid w:val="0"/>
        <w:spacing w:line="500" w:lineRule="exact"/>
        <w:ind w:firstLine="480" w:firstLineChars="200"/>
        <w:rPr>
          <w:rFonts w:hint="default" w:eastAsia="宋体"/>
          <w:color w:val="000000"/>
          <w:sz w:val="24"/>
          <w:lang w:val="en-US" w:eastAsia="zh-CN"/>
        </w:rPr>
      </w:pPr>
      <w:r>
        <w:rPr>
          <w:rFonts w:hint="eastAsia"/>
          <w:color w:val="000000"/>
          <w:sz w:val="24"/>
        </w:rPr>
        <w:t>1、招标代理公司：杭州金信工程造价咨询事务所有限公司，地址：杭州市余杭区余杭街道凤新路299号泰隆银行12楼；联系人：</w:t>
      </w:r>
      <w:r>
        <w:rPr>
          <w:rFonts w:hint="eastAsia"/>
          <w:color w:val="000000"/>
          <w:sz w:val="24"/>
          <w:lang w:val="en-US" w:eastAsia="zh-CN"/>
        </w:rPr>
        <w:t>孙先生</w:t>
      </w:r>
      <w:r>
        <w:rPr>
          <w:rFonts w:hint="eastAsia"/>
          <w:color w:val="000000"/>
          <w:sz w:val="24"/>
        </w:rPr>
        <w:t>；联系电话：</w:t>
      </w:r>
      <w:r>
        <w:rPr>
          <w:rFonts w:hint="eastAsia"/>
          <w:color w:val="000000"/>
          <w:sz w:val="24"/>
          <w:lang w:val="en-US" w:eastAsia="zh-CN"/>
        </w:rPr>
        <w:t>18667187869</w:t>
      </w:r>
    </w:p>
    <w:p>
      <w:pPr>
        <w:adjustRightInd w:val="0"/>
        <w:snapToGrid w:val="0"/>
        <w:spacing w:line="500" w:lineRule="exact"/>
        <w:ind w:firstLine="480" w:firstLineChars="200"/>
        <w:rPr>
          <w:rFonts w:hint="eastAsia"/>
          <w:color w:val="000000"/>
          <w:sz w:val="24"/>
        </w:rPr>
      </w:pPr>
      <w:r>
        <w:rPr>
          <w:rFonts w:hint="eastAsia"/>
          <w:color w:val="000000"/>
          <w:sz w:val="24"/>
        </w:rPr>
        <w:t>2、采购人名称：杭州市余杭区人民政府中泰街道办事处</w:t>
      </w:r>
    </w:p>
    <w:p>
      <w:pPr>
        <w:adjustRightInd w:val="0"/>
        <w:snapToGrid w:val="0"/>
        <w:spacing w:line="500" w:lineRule="exact"/>
        <w:ind w:firstLine="480" w:firstLineChars="200"/>
        <w:rPr>
          <w:rFonts w:hint="default" w:eastAsia="宋体"/>
          <w:color w:val="000000"/>
          <w:sz w:val="24"/>
          <w:lang w:val="en-US" w:eastAsia="zh-CN"/>
        </w:rPr>
      </w:pPr>
      <w:r>
        <w:rPr>
          <w:rFonts w:hint="eastAsia"/>
          <w:color w:val="000000"/>
          <w:sz w:val="24"/>
        </w:rPr>
        <w:t>联系人：</w:t>
      </w:r>
      <w:r>
        <w:rPr>
          <w:rFonts w:hint="eastAsia"/>
          <w:color w:val="000000"/>
          <w:sz w:val="24"/>
          <w:lang w:val="en-US" w:eastAsia="zh-CN"/>
        </w:rPr>
        <w:t>鸿女士</w:t>
      </w:r>
      <w:r>
        <w:rPr>
          <w:rFonts w:hint="eastAsia"/>
          <w:color w:val="000000"/>
          <w:sz w:val="24"/>
        </w:rPr>
        <w:t>，</w:t>
      </w:r>
      <w:r>
        <w:rPr>
          <w:rFonts w:hint="eastAsia"/>
          <w:color w:val="000000"/>
          <w:sz w:val="24"/>
          <w:highlight w:val="none"/>
        </w:rPr>
        <w:t>联系方式：</w:t>
      </w:r>
      <w:r>
        <w:rPr>
          <w:rFonts w:hint="eastAsia"/>
          <w:color w:val="000000"/>
          <w:sz w:val="24"/>
          <w:highlight w:val="none"/>
          <w:lang w:val="en-US" w:eastAsia="zh-CN"/>
        </w:rPr>
        <w:t>13738131459</w:t>
      </w:r>
    </w:p>
    <w:p>
      <w:pPr>
        <w:numPr>
          <w:ilvl w:val="0"/>
          <w:numId w:val="3"/>
        </w:numPr>
        <w:adjustRightInd w:val="0"/>
        <w:snapToGrid w:val="0"/>
        <w:spacing w:line="500" w:lineRule="exact"/>
        <w:ind w:firstLine="480" w:firstLineChars="200"/>
        <w:rPr>
          <w:rFonts w:hint="eastAsia"/>
          <w:color w:val="000000"/>
          <w:sz w:val="24"/>
        </w:rPr>
      </w:pPr>
      <w:r>
        <w:rPr>
          <w:rFonts w:hint="eastAsia"/>
          <w:color w:val="000000"/>
          <w:sz w:val="24"/>
        </w:rPr>
        <w:t>同级政府采购监督管理部门名称：余杭区政府采购办公室</w:t>
      </w:r>
    </w:p>
    <w:p>
      <w:pPr>
        <w:adjustRightInd w:val="0"/>
        <w:snapToGrid w:val="0"/>
        <w:spacing w:line="500" w:lineRule="exact"/>
        <w:rPr>
          <w:rFonts w:hint="eastAsia"/>
          <w:color w:val="000000"/>
          <w:sz w:val="24"/>
        </w:rPr>
      </w:pPr>
      <w:r>
        <w:rPr>
          <w:rFonts w:hint="eastAsia"/>
          <w:color w:val="000000"/>
          <w:sz w:val="24"/>
        </w:rPr>
        <w:t xml:space="preserve">   地址：杭州市余杭区临平东湖中路236号余杭财税大楼</w:t>
      </w:r>
    </w:p>
    <w:p>
      <w:pPr>
        <w:adjustRightInd w:val="0"/>
        <w:snapToGrid w:val="0"/>
        <w:spacing w:line="500" w:lineRule="exact"/>
        <w:rPr>
          <w:color w:val="000000"/>
          <w:sz w:val="24"/>
        </w:rPr>
      </w:pPr>
      <w:r>
        <w:rPr>
          <w:rFonts w:hint="eastAsia"/>
          <w:color w:val="000000"/>
          <w:sz w:val="24"/>
        </w:rPr>
        <w:t xml:space="preserve">   联系人：杜国强，联系电话：0571-89180113，传真：0571-89180113 </w:t>
      </w:r>
    </w:p>
    <w:p>
      <w:pPr>
        <w:autoSpaceDE w:val="0"/>
        <w:autoSpaceDN w:val="0"/>
        <w:adjustRightInd w:val="0"/>
        <w:snapToGrid w:val="0"/>
        <w:spacing w:line="360" w:lineRule="auto"/>
        <w:ind w:right="360"/>
        <w:textAlignment w:val="bottom"/>
        <w:rPr>
          <w:rFonts w:hint="eastAsia" w:ascii="宋体" w:hAnsi="宋体" w:cs="宋体"/>
          <w:b/>
          <w:color w:val="FF0000"/>
          <w:sz w:val="22"/>
          <w:szCs w:val="22"/>
        </w:rPr>
      </w:pPr>
    </w:p>
    <w:p>
      <w:pPr>
        <w:adjustRightInd w:val="0"/>
        <w:snapToGrid w:val="0"/>
        <w:spacing w:line="500" w:lineRule="exact"/>
        <w:ind w:firstLine="480" w:firstLineChars="200"/>
        <w:jc w:val="right"/>
        <w:rPr>
          <w:rFonts w:hint="eastAsia"/>
          <w:color w:val="000000"/>
          <w:sz w:val="24"/>
        </w:rPr>
      </w:pPr>
      <w:r>
        <w:rPr>
          <w:rFonts w:hint="eastAsia"/>
          <w:color w:val="000000"/>
          <w:sz w:val="24"/>
        </w:rPr>
        <w:t>杭州市余杭区人民政府中泰街道办事处</w:t>
      </w:r>
    </w:p>
    <w:p>
      <w:pPr>
        <w:adjustRightInd w:val="0"/>
        <w:snapToGrid w:val="0"/>
        <w:spacing w:line="500" w:lineRule="exact"/>
        <w:ind w:firstLine="480" w:firstLineChars="200"/>
        <w:jc w:val="right"/>
        <w:rPr>
          <w:rFonts w:hint="eastAsia"/>
          <w:color w:val="000000"/>
          <w:sz w:val="24"/>
        </w:rPr>
      </w:pPr>
      <w:r>
        <w:rPr>
          <w:rFonts w:hint="eastAsia"/>
          <w:color w:val="000000"/>
          <w:sz w:val="24"/>
        </w:rPr>
        <w:t>2019年</w:t>
      </w:r>
      <w:r>
        <w:rPr>
          <w:rFonts w:hint="eastAsia"/>
          <w:color w:val="000000"/>
          <w:sz w:val="24"/>
          <w:lang w:val="en-US" w:eastAsia="zh-CN"/>
        </w:rPr>
        <w:t>7</w:t>
      </w:r>
      <w:r>
        <w:rPr>
          <w:rFonts w:hint="eastAsia"/>
          <w:color w:val="000000"/>
          <w:sz w:val="24"/>
        </w:rPr>
        <w:t>月</w:t>
      </w:r>
      <w:r>
        <w:rPr>
          <w:rFonts w:hint="eastAsia"/>
          <w:color w:val="000000"/>
          <w:sz w:val="24"/>
          <w:lang w:val="en-US" w:eastAsia="zh-CN"/>
        </w:rPr>
        <w:t>8</w:t>
      </w:r>
      <w:r>
        <w:rPr>
          <w:rFonts w:hint="eastAsia"/>
          <w:color w:val="000000"/>
          <w:sz w:val="24"/>
        </w:rPr>
        <w:t xml:space="preserve"> 日</w:t>
      </w:r>
    </w:p>
    <w:p>
      <w:pPr>
        <w:adjustRightInd w:val="0"/>
        <w:snapToGrid w:val="0"/>
        <w:spacing w:line="500" w:lineRule="exact"/>
        <w:ind w:firstLine="480" w:firstLineChars="200"/>
        <w:rPr>
          <w:rFonts w:hint="eastAsia"/>
          <w:color w:val="000000"/>
          <w:sz w:val="24"/>
        </w:rPr>
        <w:sectPr>
          <w:pgSz w:w="11849" w:h="16781"/>
          <w:pgMar w:top="1417" w:right="1417" w:bottom="1417" w:left="1417" w:header="851" w:footer="992" w:gutter="0"/>
          <w:cols w:space="720" w:num="1"/>
          <w:docGrid w:type="lines" w:linePitch="317" w:charSpace="0"/>
        </w:sectPr>
      </w:pPr>
    </w:p>
    <w:p>
      <w:pPr>
        <w:pStyle w:val="10"/>
        <w:spacing w:line="360" w:lineRule="auto"/>
        <w:ind w:firstLine="0"/>
        <w:jc w:val="center"/>
        <w:outlineLvl w:val="0"/>
        <w:rPr>
          <w:rFonts w:hint="eastAsia" w:ascii="宋体" w:hAnsi="宋体" w:eastAsia="宋体" w:cs="宋体"/>
          <w:sz w:val="21"/>
        </w:rPr>
      </w:pPr>
      <w:bookmarkStart w:id="2" w:name="_Toc251227784"/>
      <w:bookmarkStart w:id="3" w:name="_Toc382810539"/>
      <w:r>
        <w:rPr>
          <w:rFonts w:hint="eastAsia" w:ascii="宋体" w:hAnsi="宋体" w:eastAsia="宋体" w:cs="宋体"/>
          <w:b/>
          <w:sz w:val="32"/>
        </w:rPr>
        <w:t>第二部分   投标人须知前附表及投标人须知</w:t>
      </w:r>
      <w:bookmarkEnd w:id="2"/>
      <w:bookmarkEnd w:id="3"/>
    </w:p>
    <w:p>
      <w:pPr>
        <w:pStyle w:val="10"/>
        <w:spacing w:line="360" w:lineRule="auto"/>
        <w:ind w:firstLine="0"/>
        <w:jc w:val="center"/>
        <w:rPr>
          <w:rFonts w:hint="eastAsia" w:ascii="宋体" w:hAnsi="宋体" w:eastAsia="宋体" w:cs="宋体"/>
          <w:b/>
          <w:sz w:val="32"/>
        </w:rPr>
      </w:pPr>
      <w:r>
        <w:rPr>
          <w:rFonts w:hint="eastAsia" w:ascii="宋体" w:hAnsi="宋体" w:eastAsia="宋体" w:cs="宋体"/>
          <w:b/>
          <w:sz w:val="32"/>
        </w:rPr>
        <w:t>一、投标人须知前附表</w:t>
      </w:r>
    </w:p>
    <w:tbl>
      <w:tblPr>
        <w:tblStyle w:val="19"/>
        <w:tblW w:w="0" w:type="auto"/>
        <w:jc w:val="center"/>
        <w:tblLayout w:type="fixed"/>
        <w:tblCellMar>
          <w:top w:w="0" w:type="dxa"/>
          <w:left w:w="108" w:type="dxa"/>
          <w:bottom w:w="0" w:type="dxa"/>
          <w:right w:w="108" w:type="dxa"/>
        </w:tblCellMar>
      </w:tblPr>
      <w:tblGrid>
        <w:gridCol w:w="825"/>
        <w:gridCol w:w="1755"/>
        <w:gridCol w:w="6958"/>
      </w:tblGrid>
      <w:tr>
        <w:tblPrEx>
          <w:tblCellMar>
            <w:top w:w="0" w:type="dxa"/>
            <w:left w:w="108" w:type="dxa"/>
            <w:bottom w:w="0" w:type="dxa"/>
            <w:right w:w="108" w:type="dxa"/>
          </w:tblCellMar>
        </w:tblPrEx>
        <w:trPr>
          <w:wBefore w:w="0" w:type="dxa"/>
          <w:wAfter w:w="0" w:type="dxa"/>
          <w:trHeight w:val="404"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b/>
                <w:bCs/>
                <w:color w:val="000000"/>
                <w:kern w:val="0"/>
                <w:sz w:val="24"/>
              </w:rPr>
            </w:pPr>
            <w:r>
              <w:rPr>
                <w:b/>
                <w:bCs/>
                <w:color w:val="000000"/>
                <w:kern w:val="0"/>
                <w:sz w:val="24"/>
              </w:rPr>
              <w:t>序号</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b/>
                <w:bCs/>
                <w:color w:val="000000"/>
                <w:kern w:val="0"/>
                <w:sz w:val="24"/>
              </w:rPr>
            </w:pPr>
            <w:r>
              <w:rPr>
                <w:b/>
                <w:bCs/>
                <w:color w:val="000000"/>
                <w:kern w:val="0"/>
                <w:sz w:val="24"/>
              </w:rPr>
              <w:t>名   目</w:t>
            </w:r>
          </w:p>
        </w:tc>
        <w:tc>
          <w:tcPr>
            <w:tcW w:w="6958" w:type="dxa"/>
            <w:tcBorders>
              <w:top w:val="single" w:color="auto" w:sz="4" w:space="0"/>
              <w:left w:val="nil"/>
              <w:bottom w:val="single" w:color="auto" w:sz="4" w:space="0"/>
              <w:right w:val="single" w:color="auto" w:sz="12" w:space="0"/>
            </w:tcBorders>
            <w:noWrap w:val="0"/>
            <w:vAlign w:val="center"/>
          </w:tcPr>
          <w:p>
            <w:pPr>
              <w:spacing w:line="400" w:lineRule="atLeast"/>
              <w:jc w:val="center"/>
              <w:rPr>
                <w:b/>
                <w:bCs/>
                <w:color w:val="000000"/>
                <w:kern w:val="0"/>
                <w:sz w:val="24"/>
              </w:rPr>
            </w:pPr>
            <w:r>
              <w:rPr>
                <w:b/>
                <w:bCs/>
                <w:color w:val="000000"/>
                <w:kern w:val="0"/>
                <w:sz w:val="24"/>
              </w:rPr>
              <w:t>内                 容</w:t>
            </w:r>
          </w:p>
        </w:tc>
      </w:tr>
      <w:tr>
        <w:tblPrEx>
          <w:tblCellMar>
            <w:top w:w="0" w:type="dxa"/>
            <w:left w:w="108" w:type="dxa"/>
            <w:bottom w:w="0" w:type="dxa"/>
            <w:right w:w="108" w:type="dxa"/>
          </w:tblCellMar>
        </w:tblPrEx>
        <w:trPr>
          <w:wBefore w:w="0" w:type="dxa"/>
          <w:wAfter w:w="0" w:type="dxa"/>
          <w:trHeight w:val="362"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ind w:firstLine="240" w:firstLineChars="100"/>
              <w:rPr>
                <w:color w:val="000000"/>
                <w:kern w:val="0"/>
                <w:sz w:val="24"/>
              </w:rPr>
            </w:pPr>
            <w:r>
              <w:rPr>
                <w:color w:val="000000"/>
                <w:kern w:val="0"/>
                <w:sz w:val="24"/>
              </w:rPr>
              <w:t>1</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color w:val="000000"/>
                <w:kern w:val="0"/>
                <w:sz w:val="24"/>
              </w:rPr>
            </w:pPr>
            <w:r>
              <w:rPr>
                <w:color w:val="000000"/>
                <w:kern w:val="0"/>
                <w:sz w:val="24"/>
              </w:rPr>
              <w:t>项目名称</w:t>
            </w:r>
          </w:p>
        </w:tc>
        <w:tc>
          <w:tcPr>
            <w:tcW w:w="6958" w:type="dxa"/>
            <w:tcBorders>
              <w:top w:val="single" w:color="auto" w:sz="4" w:space="0"/>
              <w:left w:val="nil"/>
              <w:bottom w:val="single" w:color="auto" w:sz="4" w:space="0"/>
              <w:right w:val="single" w:color="auto" w:sz="12" w:space="0"/>
            </w:tcBorders>
            <w:noWrap w:val="0"/>
            <w:vAlign w:val="center"/>
          </w:tcPr>
          <w:p>
            <w:pPr>
              <w:spacing w:line="400" w:lineRule="atLeast"/>
              <w:rPr>
                <w:rFonts w:hint="eastAsia"/>
                <w:color w:val="000000"/>
                <w:kern w:val="0"/>
                <w:sz w:val="24"/>
              </w:rPr>
            </w:pPr>
            <w:r>
              <w:rPr>
                <w:rFonts w:hint="eastAsia"/>
                <w:kern w:val="0"/>
                <w:sz w:val="24"/>
              </w:rPr>
              <w:t xml:space="preserve"> </w:t>
            </w:r>
            <w:r>
              <w:rPr>
                <w:rFonts w:hint="eastAsia"/>
                <w:sz w:val="24"/>
              </w:rPr>
              <w:t>中泰街道集镇范围保洁服务</w:t>
            </w:r>
          </w:p>
        </w:tc>
      </w:tr>
      <w:tr>
        <w:tblPrEx>
          <w:tblCellMar>
            <w:top w:w="0" w:type="dxa"/>
            <w:left w:w="108" w:type="dxa"/>
            <w:bottom w:w="0" w:type="dxa"/>
            <w:right w:w="108" w:type="dxa"/>
          </w:tblCellMar>
        </w:tblPrEx>
        <w:trPr>
          <w:wBefore w:w="0" w:type="dxa"/>
          <w:wAfter w:w="0" w:type="dxa"/>
          <w:trHeight w:val="404"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color w:val="000000"/>
                <w:kern w:val="0"/>
                <w:sz w:val="24"/>
              </w:rPr>
            </w:pPr>
            <w:r>
              <w:rPr>
                <w:color w:val="000000"/>
                <w:kern w:val="0"/>
                <w:sz w:val="24"/>
              </w:rPr>
              <w:t>2</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color w:val="000000"/>
                <w:kern w:val="0"/>
                <w:sz w:val="24"/>
                <w:highlight w:val="none"/>
              </w:rPr>
            </w:pPr>
            <w:r>
              <w:rPr>
                <w:color w:val="000000"/>
                <w:kern w:val="0"/>
                <w:sz w:val="24"/>
                <w:highlight w:val="none"/>
              </w:rPr>
              <w:t>项目编号</w:t>
            </w:r>
          </w:p>
        </w:tc>
        <w:tc>
          <w:tcPr>
            <w:tcW w:w="6958" w:type="dxa"/>
            <w:tcBorders>
              <w:top w:val="single" w:color="auto" w:sz="4" w:space="0"/>
              <w:left w:val="nil"/>
              <w:bottom w:val="single" w:color="auto" w:sz="4" w:space="0"/>
              <w:right w:val="single" w:color="auto" w:sz="12" w:space="0"/>
            </w:tcBorders>
            <w:noWrap w:val="0"/>
            <w:vAlign w:val="center"/>
          </w:tcPr>
          <w:p>
            <w:pPr>
              <w:spacing w:line="400" w:lineRule="atLeast"/>
              <w:rPr>
                <w:rFonts w:hint="eastAsia" w:eastAsia="宋体"/>
                <w:color w:val="000000"/>
                <w:kern w:val="0"/>
                <w:sz w:val="24"/>
                <w:highlight w:val="none"/>
                <w:lang w:eastAsia="zh-CN"/>
              </w:rPr>
            </w:pPr>
            <w:r>
              <w:rPr>
                <w:rFonts w:hint="eastAsia"/>
                <w:color w:val="000000"/>
                <w:kern w:val="0"/>
                <w:sz w:val="24"/>
                <w:highlight w:val="none"/>
              </w:rPr>
              <w:t xml:space="preserve"> </w:t>
            </w:r>
            <w:r>
              <w:rPr>
                <w:rFonts w:hint="eastAsia"/>
                <w:color w:val="000000"/>
                <w:kern w:val="0"/>
                <w:sz w:val="24"/>
                <w:highlight w:val="none"/>
                <w:lang w:eastAsia="zh-CN"/>
              </w:rPr>
              <w:t>JXZFCG-2019-008</w:t>
            </w:r>
          </w:p>
        </w:tc>
      </w:tr>
      <w:tr>
        <w:tblPrEx>
          <w:tblCellMar>
            <w:top w:w="0" w:type="dxa"/>
            <w:left w:w="108" w:type="dxa"/>
            <w:bottom w:w="0" w:type="dxa"/>
            <w:right w:w="108" w:type="dxa"/>
          </w:tblCellMar>
        </w:tblPrEx>
        <w:trPr>
          <w:wBefore w:w="0" w:type="dxa"/>
          <w:wAfter w:w="0" w:type="dxa"/>
          <w:trHeight w:val="475"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color w:val="000000"/>
                <w:sz w:val="24"/>
              </w:rPr>
            </w:pPr>
            <w:r>
              <w:rPr>
                <w:color w:val="000000"/>
                <w:sz w:val="24"/>
              </w:rPr>
              <w:t>3</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color w:val="000000"/>
                <w:sz w:val="24"/>
              </w:rPr>
            </w:pPr>
            <w:r>
              <w:rPr>
                <w:color w:val="000000"/>
                <w:sz w:val="24"/>
              </w:rPr>
              <w:t>投标有效期</w:t>
            </w:r>
          </w:p>
        </w:tc>
        <w:tc>
          <w:tcPr>
            <w:tcW w:w="6958" w:type="dxa"/>
            <w:tcBorders>
              <w:top w:val="single" w:color="auto" w:sz="4" w:space="0"/>
              <w:left w:val="nil"/>
              <w:bottom w:val="single" w:color="auto" w:sz="4" w:space="0"/>
              <w:right w:val="single" w:color="auto" w:sz="12" w:space="0"/>
            </w:tcBorders>
            <w:noWrap w:val="0"/>
            <w:vAlign w:val="center"/>
          </w:tcPr>
          <w:p>
            <w:pPr>
              <w:spacing w:line="400" w:lineRule="atLeast"/>
              <w:rPr>
                <w:color w:val="000000"/>
                <w:sz w:val="24"/>
              </w:rPr>
            </w:pPr>
            <w:r>
              <w:rPr>
                <w:color w:val="000000"/>
                <w:sz w:val="24"/>
              </w:rPr>
              <w:t>投标书递交后60天内有效</w:t>
            </w:r>
          </w:p>
        </w:tc>
      </w:tr>
      <w:tr>
        <w:tblPrEx>
          <w:tblCellMar>
            <w:top w:w="0" w:type="dxa"/>
            <w:left w:w="108" w:type="dxa"/>
            <w:bottom w:w="0" w:type="dxa"/>
            <w:right w:w="108" w:type="dxa"/>
          </w:tblCellMar>
        </w:tblPrEx>
        <w:trPr>
          <w:wBefore w:w="0" w:type="dxa"/>
          <w:wAfter w:w="0" w:type="dxa"/>
          <w:trHeight w:val="567"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color w:val="000000"/>
                <w:sz w:val="24"/>
              </w:rPr>
            </w:pPr>
            <w:r>
              <w:rPr>
                <w:color w:val="000000"/>
                <w:sz w:val="24"/>
              </w:rPr>
              <w:t>4</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color w:val="000000"/>
                <w:sz w:val="24"/>
              </w:rPr>
            </w:pPr>
            <w:r>
              <w:rPr>
                <w:color w:val="000000"/>
                <w:sz w:val="24"/>
              </w:rPr>
              <w:t>投标文件份数</w:t>
            </w:r>
          </w:p>
        </w:tc>
        <w:tc>
          <w:tcPr>
            <w:tcW w:w="6958" w:type="dxa"/>
            <w:tcBorders>
              <w:top w:val="single" w:color="auto" w:sz="4" w:space="0"/>
              <w:left w:val="nil"/>
              <w:bottom w:val="single" w:color="auto" w:sz="4" w:space="0"/>
              <w:right w:val="single" w:color="auto" w:sz="12" w:space="0"/>
            </w:tcBorders>
            <w:noWrap w:val="0"/>
            <w:vAlign w:val="center"/>
          </w:tcPr>
          <w:p>
            <w:pPr>
              <w:adjustRightInd w:val="0"/>
              <w:snapToGrid w:val="0"/>
              <w:spacing w:line="400" w:lineRule="atLeast"/>
              <w:rPr>
                <w:color w:val="000000"/>
                <w:sz w:val="24"/>
              </w:rPr>
            </w:pPr>
            <w:r>
              <w:rPr>
                <w:color w:val="000000"/>
                <w:sz w:val="24"/>
              </w:rPr>
              <w:t>报价文件：正本一份、副本四份</w:t>
            </w:r>
          </w:p>
          <w:p>
            <w:pPr>
              <w:adjustRightInd w:val="0"/>
              <w:snapToGrid w:val="0"/>
              <w:spacing w:line="400" w:lineRule="atLeast"/>
              <w:rPr>
                <w:color w:val="000000"/>
                <w:sz w:val="24"/>
              </w:rPr>
            </w:pPr>
            <w:r>
              <w:rPr>
                <w:color w:val="000000"/>
                <w:sz w:val="24"/>
              </w:rPr>
              <w:t>商务/技术文件：正本一份、副本四份</w:t>
            </w:r>
          </w:p>
          <w:p>
            <w:pPr>
              <w:adjustRightInd w:val="0"/>
              <w:snapToGrid w:val="0"/>
              <w:spacing w:line="400" w:lineRule="atLeast"/>
              <w:rPr>
                <w:color w:val="000000"/>
                <w:sz w:val="28"/>
                <w:szCs w:val="28"/>
              </w:rPr>
            </w:pPr>
            <w:r>
              <w:rPr>
                <w:b/>
                <w:bCs/>
                <w:color w:val="000000"/>
                <w:sz w:val="24"/>
              </w:rPr>
              <w:t>投标文件份数不符合要求的，视其投标无效。</w:t>
            </w:r>
          </w:p>
        </w:tc>
      </w:tr>
      <w:tr>
        <w:tblPrEx>
          <w:tblCellMar>
            <w:top w:w="0" w:type="dxa"/>
            <w:left w:w="108" w:type="dxa"/>
            <w:bottom w:w="0" w:type="dxa"/>
            <w:right w:w="108" w:type="dxa"/>
          </w:tblCellMar>
        </w:tblPrEx>
        <w:trPr>
          <w:wBefore w:w="0" w:type="dxa"/>
          <w:wAfter w:w="0" w:type="dxa"/>
          <w:trHeight w:val="410"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color w:val="000000"/>
                <w:sz w:val="24"/>
              </w:rPr>
            </w:pPr>
            <w:r>
              <w:rPr>
                <w:color w:val="000000"/>
                <w:sz w:val="24"/>
              </w:rPr>
              <w:t>5</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color w:val="000000"/>
                <w:sz w:val="24"/>
              </w:rPr>
            </w:pPr>
            <w:r>
              <w:rPr>
                <w:color w:val="000000"/>
                <w:sz w:val="24"/>
              </w:rPr>
              <w:t>评标方法</w:t>
            </w:r>
          </w:p>
        </w:tc>
        <w:tc>
          <w:tcPr>
            <w:tcW w:w="6958" w:type="dxa"/>
            <w:tcBorders>
              <w:top w:val="single" w:color="auto" w:sz="4" w:space="0"/>
              <w:left w:val="nil"/>
              <w:bottom w:val="single" w:color="auto" w:sz="4" w:space="0"/>
              <w:right w:val="single" w:color="auto" w:sz="12" w:space="0"/>
            </w:tcBorders>
            <w:noWrap w:val="0"/>
            <w:vAlign w:val="center"/>
          </w:tcPr>
          <w:p>
            <w:pPr>
              <w:spacing w:line="400" w:lineRule="atLeast"/>
              <w:rPr>
                <w:b/>
                <w:bCs/>
                <w:color w:val="000000"/>
                <w:sz w:val="24"/>
              </w:rPr>
            </w:pPr>
            <w:bookmarkStart w:id="4" w:name="ruleMainCatName"/>
            <w:r>
              <w:rPr>
                <w:b/>
                <w:bCs/>
                <w:color w:val="000000"/>
                <w:sz w:val="24"/>
              </w:rPr>
              <w:t>综合评分法</w:t>
            </w:r>
            <w:bookmarkEnd w:id="4"/>
          </w:p>
        </w:tc>
      </w:tr>
      <w:tr>
        <w:tblPrEx>
          <w:tblCellMar>
            <w:top w:w="0" w:type="dxa"/>
            <w:left w:w="108" w:type="dxa"/>
            <w:bottom w:w="0" w:type="dxa"/>
            <w:right w:w="108" w:type="dxa"/>
          </w:tblCellMar>
        </w:tblPrEx>
        <w:trPr>
          <w:wBefore w:w="0" w:type="dxa"/>
          <w:wAfter w:w="0" w:type="dxa"/>
          <w:trHeight w:val="410"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eastAsia"/>
                <w:color w:val="000000"/>
                <w:sz w:val="24"/>
              </w:rPr>
            </w:pPr>
            <w:r>
              <w:rPr>
                <w:rFonts w:hint="eastAsia"/>
                <w:color w:val="000000"/>
                <w:sz w:val="24"/>
              </w:rPr>
              <w:t>6</w:t>
            </w:r>
          </w:p>
        </w:tc>
        <w:tc>
          <w:tcPr>
            <w:tcW w:w="1755" w:type="dxa"/>
            <w:tcBorders>
              <w:top w:val="single" w:color="auto" w:sz="4" w:space="0"/>
              <w:left w:val="nil"/>
              <w:bottom w:val="single" w:color="auto" w:sz="4" w:space="0"/>
              <w:right w:val="single" w:color="auto" w:sz="4" w:space="0"/>
            </w:tcBorders>
            <w:noWrap w:val="0"/>
            <w:vAlign w:val="center"/>
          </w:tcPr>
          <w:p>
            <w:pPr>
              <w:spacing w:line="400" w:lineRule="atLeast"/>
              <w:jc w:val="center"/>
              <w:rPr>
                <w:rFonts w:hint="eastAsia"/>
                <w:color w:val="000000"/>
                <w:sz w:val="24"/>
              </w:rPr>
            </w:pPr>
            <w:r>
              <w:rPr>
                <w:rFonts w:hint="eastAsia"/>
                <w:color w:val="000000"/>
                <w:sz w:val="24"/>
              </w:rPr>
              <w:t>支持中小企业</w:t>
            </w:r>
          </w:p>
        </w:tc>
        <w:tc>
          <w:tcPr>
            <w:tcW w:w="6958" w:type="dxa"/>
            <w:tcBorders>
              <w:top w:val="single" w:color="auto" w:sz="4" w:space="0"/>
              <w:left w:val="nil"/>
              <w:bottom w:val="single" w:color="auto" w:sz="4" w:space="0"/>
              <w:right w:val="single" w:color="auto" w:sz="12" w:space="0"/>
            </w:tcBorders>
            <w:noWrap w:val="0"/>
            <w:vAlign w:val="center"/>
          </w:tcPr>
          <w:p>
            <w:pPr>
              <w:snapToGrid w:val="0"/>
              <w:spacing w:line="460" w:lineRule="exact"/>
              <w:ind w:firstLine="602" w:firstLineChars="250"/>
              <w:rPr>
                <w:rFonts w:ascii="宋体" w:hAnsi="宋体" w:cs="宋体"/>
                <w:sz w:val="24"/>
              </w:rPr>
            </w:pPr>
            <w:r>
              <w:rPr>
                <w:rFonts w:hint="eastAsia"/>
                <w:b/>
                <w:bCs/>
                <w:color w:val="000000"/>
                <w:sz w:val="24"/>
              </w:rPr>
              <w:t xml:space="preserve">   </w:t>
            </w:r>
            <w:r>
              <w:rPr>
                <w:rFonts w:hint="eastAsia" w:ascii="宋体" w:hAnsi="宋体" w:cs="宋体"/>
                <w:sz w:val="24"/>
              </w:rPr>
              <w:t xml:space="preserve">1、根据财库〔2011〕181号的相关规定，在评审时对小型和微型企业的投标报价给予 </w:t>
            </w:r>
            <w:bookmarkStart w:id="5" w:name="小微企业价格扣除比例2"/>
            <w:r>
              <w:rPr>
                <w:rFonts w:hint="eastAsia" w:ascii="宋体" w:hAnsi="宋体" w:cs="宋体"/>
                <w:sz w:val="24"/>
              </w:rPr>
              <w:t>6</w:t>
            </w:r>
            <w:bookmarkEnd w:id="5"/>
            <w:r>
              <w:rPr>
                <w:rFonts w:hint="eastAsia" w:ascii="宋体" w:hAnsi="宋体" w:cs="宋体"/>
                <w:sz w:val="24"/>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或提供有效的《中小企业资格确认意见书》。</w:t>
            </w:r>
          </w:p>
          <w:p>
            <w:pPr>
              <w:snapToGrid w:val="0"/>
              <w:spacing w:line="460" w:lineRule="exact"/>
              <w:ind w:firstLine="600" w:firstLineChars="250"/>
              <w:rPr>
                <w:rFonts w:hint="eastAsia" w:ascii="宋体" w:hAnsi="宋体" w:cs="宋体"/>
                <w:sz w:val="24"/>
              </w:rPr>
            </w:pPr>
            <w:r>
              <w:rPr>
                <w:rFonts w:hint="eastAsia" w:ascii="宋体" w:hAnsi="宋体" w:cs="宋体"/>
                <w:sz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2%(2-3%)的价格扣除，须同时提供联合体协议约定（包含小型、微型企业的协议合同份额）。</w:t>
            </w:r>
          </w:p>
          <w:p>
            <w:pPr>
              <w:snapToGrid w:val="0"/>
              <w:spacing w:line="460" w:lineRule="exact"/>
              <w:ind w:firstLine="600" w:firstLineChars="250"/>
              <w:rPr>
                <w:rFonts w:hint="eastAsia" w:ascii="宋体" w:hAnsi="宋体" w:cs="宋体"/>
                <w:sz w:val="24"/>
              </w:rPr>
            </w:pPr>
            <w:r>
              <w:rPr>
                <w:rFonts w:hint="eastAsia" w:ascii="宋体" w:hAnsi="宋体" w:cs="宋体"/>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hint="eastAsia" w:ascii="宋体" w:hAnsi="宋体" w:cs="宋体"/>
                <w:sz w:val="24"/>
              </w:rPr>
            </w:pPr>
            <w:r>
              <w:rPr>
                <w:rFonts w:hint="eastAsia" w:ascii="宋体" w:hAnsi="宋体" w:cs="宋体"/>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atLeast"/>
              <w:rPr>
                <w:b/>
                <w:bCs/>
                <w:color w:val="000000"/>
                <w:sz w:val="24"/>
              </w:rPr>
            </w:pPr>
            <w:r>
              <w:rPr>
                <w:rFonts w:hint="eastAsia" w:ascii="宋体" w:hAnsi="宋体" w:cs="宋体"/>
                <w:sz w:val="24"/>
              </w:rPr>
              <w:t>(注：未提供以上材料的，均不给予价格扣除）。</w:t>
            </w:r>
          </w:p>
        </w:tc>
      </w:tr>
      <w:tr>
        <w:tblPrEx>
          <w:tblCellMar>
            <w:top w:w="0" w:type="dxa"/>
            <w:left w:w="108" w:type="dxa"/>
            <w:bottom w:w="0" w:type="dxa"/>
            <w:right w:w="108" w:type="dxa"/>
          </w:tblCellMar>
        </w:tblPrEx>
        <w:trPr>
          <w:wBefore w:w="0" w:type="dxa"/>
          <w:wAfter w:w="0" w:type="dxa"/>
          <w:trHeight w:val="656"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eastAsia"/>
                <w:color w:val="000000"/>
                <w:sz w:val="24"/>
              </w:rPr>
            </w:pPr>
            <w:r>
              <w:rPr>
                <w:rFonts w:hint="eastAsia"/>
                <w:color w:val="000000"/>
                <w:sz w:val="24"/>
              </w:rPr>
              <w:t>7</w:t>
            </w:r>
          </w:p>
        </w:tc>
        <w:tc>
          <w:tcPr>
            <w:tcW w:w="8713" w:type="dxa"/>
            <w:gridSpan w:val="2"/>
            <w:tcBorders>
              <w:top w:val="single" w:color="auto" w:sz="4" w:space="0"/>
              <w:left w:val="nil"/>
              <w:bottom w:val="single" w:color="auto" w:sz="4" w:space="0"/>
              <w:right w:val="single" w:color="auto" w:sz="12" w:space="0"/>
            </w:tcBorders>
            <w:noWrap w:val="0"/>
            <w:vAlign w:val="center"/>
          </w:tcPr>
          <w:p>
            <w:pPr>
              <w:numPr>
                <w:ilvl w:val="0"/>
                <w:numId w:val="4"/>
              </w:numPr>
              <w:spacing w:line="400" w:lineRule="atLeast"/>
              <w:rPr>
                <w:color w:val="000000"/>
                <w:sz w:val="24"/>
              </w:rPr>
            </w:pPr>
            <w:r>
              <w:rPr>
                <w:color w:val="000000"/>
                <w:sz w:val="24"/>
              </w:rPr>
              <w:t>、</w:t>
            </w:r>
            <w:bookmarkStart w:id="6" w:name="ysqk"/>
            <w:bookmarkEnd w:id="6"/>
            <w:r>
              <w:rPr>
                <w:color w:val="000000"/>
                <w:sz w:val="24"/>
              </w:rPr>
              <w:t>本项目预算公</w:t>
            </w:r>
            <w:r>
              <w:rPr>
                <w:color w:val="000000"/>
                <w:sz w:val="24"/>
                <w:highlight w:val="none"/>
              </w:rPr>
              <w:t>开，预算价为</w:t>
            </w:r>
            <w:r>
              <w:rPr>
                <w:rFonts w:hint="eastAsia"/>
                <w:color w:val="000000"/>
                <w:sz w:val="24"/>
                <w:highlight w:val="none"/>
              </w:rPr>
              <w:t>1300万</w:t>
            </w:r>
            <w:r>
              <w:rPr>
                <w:rFonts w:hint="eastAsia"/>
                <w:color w:val="000000"/>
                <w:sz w:val="24"/>
              </w:rPr>
              <w:t>元</w:t>
            </w:r>
          </w:p>
          <w:p>
            <w:pPr>
              <w:spacing w:line="400" w:lineRule="atLeast"/>
              <w:rPr>
                <w:szCs w:val="21"/>
              </w:rPr>
            </w:pPr>
            <w:r>
              <w:rPr>
                <w:color w:val="000000"/>
                <w:sz w:val="24"/>
              </w:rPr>
              <w:t>2）、本项目投标报价超过对应标项预算价的（即投标报价&gt;对应标项预算价），其投标视为无效。</w:t>
            </w:r>
            <w:r>
              <w:rPr>
                <w:rFonts w:hint="eastAsia"/>
                <w:color w:val="000000"/>
                <w:sz w:val="24"/>
              </w:rPr>
              <w:t xml:space="preserve"> </w:t>
            </w:r>
          </w:p>
          <w:p>
            <w:pPr>
              <w:spacing w:line="400" w:lineRule="atLeast"/>
              <w:rPr>
                <w:color w:val="000000"/>
                <w:sz w:val="24"/>
              </w:rPr>
            </w:pPr>
            <w:r>
              <w:rPr>
                <w:color w:val="000000"/>
                <w:sz w:val="24"/>
              </w:rPr>
              <w:t>3）、</w:t>
            </w:r>
            <w:r>
              <w:rPr>
                <w:b/>
                <w:bCs/>
                <w:color w:val="000000"/>
                <w:sz w:val="24"/>
              </w:rPr>
              <w:t>报价是中标的一个重要因素，但不是中标的唯一依据。</w:t>
            </w:r>
          </w:p>
        </w:tc>
      </w:tr>
      <w:tr>
        <w:tblPrEx>
          <w:tblCellMar>
            <w:top w:w="0" w:type="dxa"/>
            <w:left w:w="108" w:type="dxa"/>
            <w:bottom w:w="0" w:type="dxa"/>
            <w:right w:w="108" w:type="dxa"/>
          </w:tblCellMar>
        </w:tblPrEx>
        <w:trPr>
          <w:wBefore w:w="0" w:type="dxa"/>
          <w:wAfter w:w="0" w:type="dxa"/>
          <w:trHeight w:val="656"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eastAsia"/>
                <w:color w:val="000000"/>
                <w:sz w:val="24"/>
              </w:rPr>
            </w:pPr>
            <w:r>
              <w:rPr>
                <w:rFonts w:hint="eastAsia"/>
                <w:color w:val="000000"/>
                <w:sz w:val="24"/>
              </w:rPr>
              <w:t>8</w:t>
            </w:r>
          </w:p>
        </w:tc>
        <w:tc>
          <w:tcPr>
            <w:tcW w:w="8713" w:type="dxa"/>
            <w:gridSpan w:val="2"/>
            <w:tcBorders>
              <w:top w:val="single" w:color="auto" w:sz="4" w:space="0"/>
              <w:left w:val="nil"/>
              <w:bottom w:val="single" w:color="auto" w:sz="4" w:space="0"/>
              <w:right w:val="single" w:color="auto" w:sz="12" w:space="0"/>
            </w:tcBorders>
            <w:noWrap w:val="0"/>
            <w:vAlign w:val="center"/>
          </w:tcPr>
          <w:p>
            <w:pPr>
              <w:spacing w:line="400" w:lineRule="atLeast"/>
              <w:rPr>
                <w:color w:val="000000"/>
                <w:sz w:val="24"/>
              </w:rPr>
            </w:pPr>
            <w:r>
              <w:rPr>
                <w:color w:val="000000"/>
                <w:sz w:val="24"/>
              </w:rPr>
              <w:t>1）、本项目将在开评标过程中现场公布商务技术得分、综合得分及排名；</w:t>
            </w:r>
          </w:p>
          <w:p>
            <w:pPr>
              <w:spacing w:line="400" w:lineRule="atLeast"/>
              <w:rPr>
                <w:color w:val="000000"/>
                <w:kern w:val="0"/>
                <w:szCs w:val="21"/>
              </w:rPr>
            </w:pPr>
            <w:r>
              <w:rPr>
                <w:color w:val="000000"/>
                <w:sz w:val="24"/>
              </w:rPr>
              <w:t>2）、如项目评标完成前，投标人授权代表已离开开标现场，则投标人不得以未公开得分情况及排名为由提起质疑、投诉。</w:t>
            </w:r>
          </w:p>
        </w:tc>
      </w:tr>
      <w:tr>
        <w:tblPrEx>
          <w:tblCellMar>
            <w:top w:w="0" w:type="dxa"/>
            <w:left w:w="108" w:type="dxa"/>
            <w:bottom w:w="0" w:type="dxa"/>
            <w:right w:w="108" w:type="dxa"/>
          </w:tblCellMar>
        </w:tblPrEx>
        <w:trPr>
          <w:wBefore w:w="0" w:type="dxa"/>
          <w:wAfter w:w="0" w:type="dxa"/>
          <w:trHeight w:val="656"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rFonts w:hint="eastAsia"/>
                <w:color w:val="000000"/>
                <w:sz w:val="24"/>
              </w:rPr>
            </w:pPr>
            <w:r>
              <w:rPr>
                <w:rFonts w:hint="eastAsia"/>
                <w:color w:val="000000"/>
                <w:sz w:val="24"/>
              </w:rPr>
              <w:t>9</w:t>
            </w:r>
          </w:p>
        </w:tc>
        <w:tc>
          <w:tcPr>
            <w:tcW w:w="8713" w:type="dxa"/>
            <w:gridSpan w:val="2"/>
            <w:tcBorders>
              <w:top w:val="single" w:color="auto" w:sz="4" w:space="0"/>
              <w:left w:val="nil"/>
              <w:bottom w:val="single" w:color="auto" w:sz="4" w:space="0"/>
              <w:right w:val="single" w:color="auto" w:sz="12" w:space="0"/>
            </w:tcBorders>
            <w:noWrap w:val="0"/>
            <w:vAlign w:val="center"/>
          </w:tcPr>
          <w:p>
            <w:pPr>
              <w:spacing w:line="400" w:lineRule="atLeast"/>
              <w:rPr>
                <w:rFonts w:hint="eastAsia"/>
                <w:color w:val="000000"/>
                <w:sz w:val="24"/>
              </w:rPr>
            </w:pPr>
            <w:r>
              <w:rPr>
                <w:rFonts w:hint="eastAsia"/>
                <w:color w:val="000000"/>
                <w:sz w:val="24"/>
              </w:rPr>
              <w:t>由投标人自行踏勘，</w:t>
            </w:r>
          </w:p>
          <w:p>
            <w:pPr>
              <w:spacing w:line="400" w:lineRule="atLeast"/>
              <w:rPr>
                <w:color w:val="000000"/>
                <w:sz w:val="24"/>
              </w:rPr>
            </w:pPr>
            <w:r>
              <w:rPr>
                <w:rFonts w:hint="eastAsia"/>
                <w:color w:val="000000"/>
                <w:sz w:val="24"/>
              </w:rPr>
              <w:t>若投标人没有参加现场实地踏勘，则意味放弃项目前期踏勘的权利，由此造成投标人在项目实施中遇见不可未知的问题由投标人自行负责。</w:t>
            </w:r>
          </w:p>
        </w:tc>
      </w:tr>
      <w:tr>
        <w:tblPrEx>
          <w:tblCellMar>
            <w:top w:w="0" w:type="dxa"/>
            <w:left w:w="108" w:type="dxa"/>
            <w:bottom w:w="0" w:type="dxa"/>
            <w:right w:w="108" w:type="dxa"/>
          </w:tblCellMar>
        </w:tblPrEx>
        <w:trPr>
          <w:wBefore w:w="0" w:type="dxa"/>
          <w:wAfter w:w="0" w:type="dxa"/>
          <w:trHeight w:val="656" w:hRule="atLeast"/>
          <w:jc w:val="center"/>
        </w:trPr>
        <w:tc>
          <w:tcPr>
            <w:tcW w:w="825" w:type="dxa"/>
            <w:tcBorders>
              <w:top w:val="single" w:color="auto" w:sz="4" w:space="0"/>
              <w:left w:val="single" w:color="auto" w:sz="12" w:space="0"/>
              <w:bottom w:val="single" w:color="auto" w:sz="4" w:space="0"/>
              <w:right w:val="single" w:color="auto" w:sz="4" w:space="0"/>
            </w:tcBorders>
            <w:noWrap w:val="0"/>
            <w:vAlign w:val="center"/>
          </w:tcPr>
          <w:p>
            <w:pPr>
              <w:spacing w:line="400" w:lineRule="atLeast"/>
              <w:jc w:val="center"/>
              <w:rPr>
                <w:color w:val="000000"/>
                <w:sz w:val="24"/>
              </w:rPr>
            </w:pPr>
            <w:r>
              <w:rPr>
                <w:rFonts w:hint="eastAsia"/>
                <w:color w:val="000000"/>
                <w:sz w:val="24"/>
              </w:rPr>
              <w:t>10</w:t>
            </w:r>
          </w:p>
        </w:tc>
        <w:tc>
          <w:tcPr>
            <w:tcW w:w="8713" w:type="dxa"/>
            <w:gridSpan w:val="2"/>
            <w:tcBorders>
              <w:top w:val="single" w:color="auto" w:sz="4" w:space="0"/>
              <w:left w:val="nil"/>
              <w:bottom w:val="single" w:color="auto" w:sz="4" w:space="0"/>
              <w:right w:val="single" w:color="auto" w:sz="12" w:space="0"/>
            </w:tcBorders>
            <w:noWrap w:val="0"/>
            <w:vAlign w:val="center"/>
          </w:tcPr>
          <w:p>
            <w:pPr>
              <w:spacing w:line="400" w:lineRule="atLeast"/>
              <w:ind w:firstLine="480" w:firstLineChars="200"/>
              <w:rPr>
                <w:rFonts w:hint="eastAsia"/>
                <w:color w:val="auto"/>
                <w:sz w:val="24"/>
              </w:rPr>
            </w:pPr>
            <w:r>
              <w:rPr>
                <w:rFonts w:hint="eastAsia"/>
                <w:color w:val="auto"/>
                <w:sz w:val="24"/>
              </w:rPr>
              <w:t>1、绿化保洁要求</w:t>
            </w:r>
          </w:p>
          <w:p>
            <w:pPr>
              <w:adjustRightInd w:val="0"/>
              <w:snapToGrid w:val="0"/>
              <w:spacing w:line="400" w:lineRule="atLeast"/>
              <w:ind w:firstLine="480" w:firstLineChars="200"/>
              <w:rPr>
                <w:color w:val="auto"/>
                <w:sz w:val="24"/>
              </w:rPr>
            </w:pPr>
            <w:r>
              <w:rPr>
                <w:color w:val="auto"/>
                <w:kern w:val="0"/>
                <w:sz w:val="24"/>
              </w:rPr>
              <w:t>《余杭区城市化管理范围内市政、绿化、保洁、保序分级分类及考核办法（试行）的通知》（余政办[2013]76号）</w:t>
            </w:r>
            <w:r>
              <w:rPr>
                <w:rFonts w:hint="eastAsia"/>
                <w:color w:val="auto"/>
                <w:kern w:val="0"/>
                <w:sz w:val="24"/>
              </w:rPr>
              <w:t>及《中泰街道城市维护作业项目监管考核实施办法》</w:t>
            </w:r>
            <w:r>
              <w:rPr>
                <w:color w:val="auto"/>
                <w:kern w:val="0"/>
                <w:sz w:val="24"/>
              </w:rPr>
              <w:t>中规定的作业标准和</w:t>
            </w:r>
            <w:r>
              <w:rPr>
                <w:rFonts w:hint="eastAsia"/>
                <w:color w:val="auto"/>
                <w:kern w:val="0"/>
                <w:sz w:val="24"/>
              </w:rPr>
              <w:t>分级分类</w:t>
            </w:r>
            <w:r>
              <w:rPr>
                <w:color w:val="auto"/>
                <w:kern w:val="0"/>
                <w:sz w:val="24"/>
              </w:rPr>
              <w:t>要求执行</w:t>
            </w:r>
            <w:r>
              <w:rPr>
                <w:color w:val="auto"/>
                <w:sz w:val="24"/>
              </w:rPr>
              <w:t>。</w:t>
            </w:r>
          </w:p>
          <w:p>
            <w:pPr>
              <w:spacing w:line="400" w:lineRule="atLeast"/>
              <w:ind w:firstLine="480" w:firstLineChars="200"/>
              <w:rPr>
                <w:rFonts w:hint="eastAsia"/>
                <w:sz w:val="24"/>
              </w:rPr>
            </w:pPr>
            <w:r>
              <w:rPr>
                <w:rFonts w:hint="eastAsia"/>
                <w:sz w:val="24"/>
              </w:rPr>
              <w:t>2、道路保洁要求</w:t>
            </w:r>
          </w:p>
          <w:p>
            <w:pPr>
              <w:spacing w:line="440" w:lineRule="exact"/>
              <w:ind w:firstLine="630"/>
              <w:rPr>
                <w:rFonts w:ascii="仿宋_GB2312" w:eastAsia="仿宋_GB2312" w:cs="仿宋_GB2312"/>
                <w:b/>
                <w:sz w:val="24"/>
              </w:rPr>
            </w:pPr>
            <w:r>
              <w:rPr>
                <w:rFonts w:hint="eastAsia" w:ascii="仿宋_GB2312" w:eastAsia="仿宋_GB2312" w:cs="仿宋_GB2312"/>
                <w:b/>
                <w:sz w:val="24"/>
              </w:rPr>
              <w:t>1）一类道路。要求：</w:t>
            </w:r>
            <w:r>
              <w:rPr>
                <w:rFonts w:hint="eastAsia" w:ascii="仿宋_GB2312" w:eastAsia="仿宋_GB2312" w:cs="仿宋_GB2312"/>
                <w:sz w:val="24"/>
              </w:rPr>
              <w:t>每日18小时以上保洁，人均保洁面积5000㎡，每日洒水4次、机械化清扫2次，每周清洗道路2次。</w:t>
            </w:r>
            <w:r>
              <w:rPr>
                <w:rFonts w:hint="eastAsia" w:ascii="仿宋_GB2312" w:eastAsia="仿宋_GB2312" w:cs="仿宋_GB2312"/>
                <w:b/>
                <w:sz w:val="24"/>
              </w:rPr>
              <w:t>标准：</w:t>
            </w:r>
            <w:r>
              <w:rPr>
                <w:rFonts w:hint="eastAsia" w:ascii="仿宋_GB2312" w:eastAsia="仿宋_GB2312" w:cs="仿宋_GB2312"/>
                <w:sz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其他城市家具定期擦洗。⑤</w:t>
            </w:r>
            <w:r>
              <w:rPr>
                <w:rFonts w:hint="eastAsia" w:ascii="仿宋_GB2312" w:eastAsia="仿宋_GB2312"/>
                <w:sz w:val="24"/>
              </w:rPr>
              <w:t>在规定时间内（夏季上午7点前，其它季节上午7点30分前）完成第一遍普扫，然后进行全天巡回保洁，道路有色垃圾滞留时间不得10分钟。</w:t>
            </w:r>
          </w:p>
          <w:p>
            <w:pPr>
              <w:spacing w:line="440" w:lineRule="exact"/>
              <w:ind w:firstLine="630"/>
              <w:rPr>
                <w:rFonts w:ascii="仿宋_GB2312" w:eastAsia="仿宋_GB2312" w:cs="仿宋_GB2312"/>
                <w:sz w:val="24"/>
              </w:rPr>
            </w:pPr>
            <w:r>
              <w:rPr>
                <w:rFonts w:hint="eastAsia" w:ascii="仿宋_GB2312" w:eastAsia="仿宋_GB2312" w:cs="仿宋_GB2312"/>
                <w:b/>
                <w:sz w:val="24"/>
              </w:rPr>
              <w:t>2）二类道路。要求：</w:t>
            </w:r>
            <w:r>
              <w:rPr>
                <w:rFonts w:hint="eastAsia" w:ascii="仿宋_GB2312" w:eastAsia="仿宋_GB2312" w:cs="仿宋_GB2312"/>
                <w:sz w:val="24"/>
              </w:rPr>
              <w:t>保洁时间为14小时，人均保洁面积5500</w:t>
            </w:r>
            <w:r>
              <w:rPr>
                <w:rFonts w:hint="eastAsia" w:ascii="仿宋_GB2312" w:hAnsi="宋体" w:cs="宋体"/>
                <w:sz w:val="24"/>
              </w:rPr>
              <w:t>㎡</w:t>
            </w:r>
            <w:r>
              <w:rPr>
                <w:rFonts w:hint="eastAsia" w:ascii="仿宋_GB2312" w:hAnsi="仿宋_GB2312" w:eastAsia="仿宋_GB2312" w:cs="仿宋_GB2312"/>
                <w:sz w:val="24"/>
              </w:rPr>
              <w:t>，每日洒水</w:t>
            </w:r>
            <w:r>
              <w:rPr>
                <w:rFonts w:hint="eastAsia" w:ascii="仿宋_GB2312" w:eastAsia="仿宋_GB2312" w:cs="仿宋_GB2312"/>
                <w:sz w:val="24"/>
              </w:rPr>
              <w:t>3次、机械化清扫2次，每月清洗道路2次。</w:t>
            </w:r>
            <w:r>
              <w:rPr>
                <w:rFonts w:hint="eastAsia" w:ascii="仿宋_GB2312" w:eastAsia="仿宋_GB2312" w:cs="仿宋_GB2312"/>
                <w:b/>
                <w:sz w:val="24"/>
              </w:rPr>
              <w:t>标准：</w:t>
            </w:r>
            <w:r>
              <w:rPr>
                <w:rFonts w:hint="eastAsia" w:ascii="仿宋_GB2312" w:eastAsia="仿宋_GB2312" w:cs="仿宋_GB2312"/>
                <w:sz w:val="24"/>
              </w:rPr>
              <w:t>①路面无垃圾、污渍、积泥较少，人行道无杂草，晴天无积水，道路两侧3米内无废土、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其他城市家具定期擦洗。⑤</w:t>
            </w:r>
            <w:r>
              <w:rPr>
                <w:rFonts w:hint="eastAsia" w:ascii="仿宋_GB2312" w:eastAsia="仿宋_GB2312"/>
                <w:sz w:val="24"/>
              </w:rPr>
              <w:t>在规定时间内（夏季上午7点前，其它季节上午7点30分前）完成第一遍普扫，然后进行全天巡回保洁，道路有色垃圾滞留时间不得15分钟。</w:t>
            </w:r>
          </w:p>
          <w:p>
            <w:pPr>
              <w:spacing w:line="440" w:lineRule="exact"/>
              <w:ind w:firstLine="629"/>
              <w:rPr>
                <w:rFonts w:ascii="仿宋_GB2312" w:eastAsia="仿宋_GB2312" w:cs="仿宋_GB2312"/>
                <w:sz w:val="24"/>
              </w:rPr>
            </w:pPr>
            <w:r>
              <w:rPr>
                <w:rFonts w:hint="eastAsia" w:ascii="仿宋_GB2312" w:eastAsia="仿宋_GB2312" w:cs="仿宋_GB2312"/>
                <w:b/>
                <w:sz w:val="24"/>
              </w:rPr>
              <w:t>3）三类道路。要求：</w:t>
            </w:r>
            <w:r>
              <w:rPr>
                <w:rFonts w:hint="eastAsia" w:ascii="仿宋_GB2312" w:eastAsia="仿宋_GB2312" w:cs="仿宋_GB2312"/>
                <w:sz w:val="24"/>
              </w:rPr>
              <w:t>道路保洁时间为8小时，人均保洁面积6000</w:t>
            </w:r>
            <w:r>
              <w:rPr>
                <w:rFonts w:hint="eastAsia" w:ascii="仿宋_GB2312" w:hAnsi="宋体" w:cs="宋体"/>
                <w:sz w:val="24"/>
              </w:rPr>
              <w:t>㎡</w:t>
            </w:r>
            <w:r>
              <w:rPr>
                <w:rFonts w:hint="eastAsia" w:ascii="仿宋_GB2312" w:hAnsi="仿宋_GB2312" w:eastAsia="仿宋_GB2312" w:cs="仿宋_GB2312"/>
                <w:sz w:val="24"/>
              </w:rPr>
              <w:t>，每日洒水</w:t>
            </w:r>
            <w:r>
              <w:rPr>
                <w:rFonts w:hint="eastAsia" w:ascii="仿宋_GB2312" w:eastAsia="仿宋_GB2312" w:cs="仿宋_GB2312"/>
                <w:sz w:val="24"/>
              </w:rPr>
              <w:t>2次、机械化清扫1次，每月清洗道路1次。</w:t>
            </w:r>
            <w:r>
              <w:rPr>
                <w:rFonts w:hint="eastAsia" w:ascii="仿宋_GB2312" w:eastAsia="仿宋_GB2312" w:cs="仿宋_GB2312"/>
                <w:b/>
                <w:sz w:val="24"/>
              </w:rPr>
              <w:t>标准：</w:t>
            </w:r>
            <w:r>
              <w:rPr>
                <w:rFonts w:hint="eastAsia" w:ascii="仿宋_GB2312" w:eastAsia="仿宋_GB2312" w:cs="仿宋_GB2312"/>
                <w:sz w:val="24"/>
              </w:rPr>
              <w:t>①路面无垃圾、污渍、积泥较少，人行道杂草较少，道路两侧3米内无成堆废土、垃圾。②雨水井沟眼无垃圾，无积泥嵌石。③道路绿地、花坛、树圈内无垃圾。④环卫设施（果壳箱、垃圾桶、垃圾房）设置整齐规范、无破损、歪斜、垃圾满溢，表面清洁无污垢，周围地面无暴露垃圾、污水现象；其他城市家具定期擦洗。⑤</w:t>
            </w:r>
            <w:r>
              <w:rPr>
                <w:rFonts w:hint="eastAsia" w:ascii="仿宋_GB2312" w:eastAsia="仿宋_GB2312"/>
                <w:sz w:val="24"/>
              </w:rPr>
              <w:t>在规定时间内（夏季上午7点前，其它季节上午7点30分前）完成第一遍普扫，然后进行全天巡回保洁，道路有色垃圾滞留时间不得超过20分钟。</w:t>
            </w:r>
          </w:p>
          <w:p>
            <w:pPr>
              <w:spacing w:line="440" w:lineRule="exact"/>
              <w:ind w:firstLine="630"/>
              <w:rPr>
                <w:rFonts w:hint="eastAsia" w:ascii="仿宋_GB2312" w:eastAsia="仿宋_GB2312" w:cs="仿宋_GB2312"/>
                <w:sz w:val="24"/>
              </w:rPr>
            </w:pPr>
            <w:r>
              <w:rPr>
                <w:rFonts w:hint="eastAsia" w:ascii="仿宋_GB2312" w:eastAsia="仿宋_GB2312" w:cs="仿宋_GB2312"/>
                <w:b/>
                <w:sz w:val="24"/>
              </w:rPr>
              <w:t>4）其他类道路、县乡公路。要求：</w:t>
            </w:r>
            <w:r>
              <w:rPr>
                <w:rFonts w:hint="eastAsia" w:ascii="仿宋_GB2312" w:eastAsia="仿宋_GB2312" w:cs="仿宋_GB2312"/>
                <w:sz w:val="24"/>
              </w:rPr>
              <w:t>道路保洁时间为8小时，人均保洁面积8000平方米，每日洒水1次，机械化清扫1次，每月清洗道路1次。</w:t>
            </w:r>
            <w:r>
              <w:rPr>
                <w:rFonts w:hint="eastAsia" w:ascii="仿宋_GB2312" w:eastAsia="仿宋_GB2312" w:cs="仿宋_GB2312"/>
                <w:b/>
                <w:sz w:val="24"/>
              </w:rPr>
              <w:t>标准：</w:t>
            </w:r>
            <w:r>
              <w:rPr>
                <w:rFonts w:hint="eastAsia" w:ascii="仿宋_GB2312" w:eastAsia="仿宋_GB2312" w:cs="仿宋_GB2312"/>
                <w:sz w:val="24"/>
              </w:rPr>
              <w:t>①路面无垃圾、无杂物、无积泥（沙石），晴天无积水。②雨水井沟眼畅通干净。③绿化内清洁无垃圾、杂物。④环卫设施无破损，箱（桶、房）表面及周边整洁；其他城市家具定期擦洗。⑤有色垃圾滞留时间不得超过30分钟，县乡公路不超过60分钟。</w:t>
            </w:r>
          </w:p>
          <w:p>
            <w:pPr>
              <w:spacing w:line="440" w:lineRule="exact"/>
              <w:ind w:firstLine="480"/>
              <w:rPr>
                <w:rFonts w:hint="eastAsia" w:ascii="仿宋_GB2312" w:eastAsia="仿宋_GB2312" w:cs="仿宋_GB2312"/>
                <w:sz w:val="24"/>
              </w:rPr>
            </w:pPr>
            <w:r>
              <w:rPr>
                <w:rFonts w:hint="eastAsia" w:ascii="仿宋_GB2312" w:eastAsia="仿宋_GB2312" w:cs="仿宋_GB2312"/>
                <w:sz w:val="24"/>
              </w:rPr>
              <w:t>3、垃圾清运要求</w:t>
            </w:r>
          </w:p>
          <w:p>
            <w:pPr>
              <w:spacing w:line="440" w:lineRule="exact"/>
              <w:ind w:firstLine="480"/>
              <w:rPr>
                <w:rFonts w:hint="eastAsia" w:ascii="仿宋_GB2312" w:cs="仿宋_GB2312"/>
                <w:sz w:val="24"/>
              </w:rPr>
            </w:pPr>
            <w:r>
              <w:rPr>
                <w:rFonts w:hint="eastAsia" w:ascii="宋体" w:hAnsi="宋体" w:eastAsia="仿宋_GB2312" w:cs="宋体"/>
                <w:bCs/>
                <w:sz w:val="24"/>
              </w:rPr>
              <w:t>1）中泰</w:t>
            </w:r>
            <w:r>
              <w:rPr>
                <w:rFonts w:hint="eastAsia" w:ascii="宋体" w:hAnsi="宋体" w:cs="宋体"/>
                <w:bCs/>
                <w:sz w:val="24"/>
              </w:rPr>
              <w:t>街道辖区范围的垃圾清运由中标人用分类垃圾车到桶位收集，厨房垃圾和其他垃圾每天按区城管局垃圾分类运输规定和要求，桶车对应分类清运至招标人指定地点；由村负责分类清运至10吨垃圾车可以出入的集中点，每天由中标人分类清运至招标人指定地点；其他村和部分小区内垃圾堆放点大型车辆难以进入，投标人须自行考虑小型车辆进行收集后再统一运至垃圾清运车内，此过程中，运送的垃圾不得掉落地面，确保桶位干净。所有的器具及车辆必须由投标人自行提供，设备费及维护费用等均包含在投标总价内。餐厨垃圾清运必须用专业餐厨垃圾清运车，并由投标人自行提供，设备费及维护费用等均包含在投标总价内。</w:t>
            </w:r>
          </w:p>
          <w:p>
            <w:pPr>
              <w:spacing w:line="400" w:lineRule="atLeast"/>
              <w:ind w:firstLine="480" w:firstLineChars="200"/>
              <w:rPr>
                <w:color w:val="000000"/>
                <w:sz w:val="24"/>
              </w:rPr>
            </w:pPr>
            <w:r>
              <w:rPr>
                <w:rFonts w:hint="eastAsia"/>
                <w:color w:val="000000"/>
                <w:sz w:val="24"/>
              </w:rPr>
              <w:t>4、中标单位所提供资料，经查实为虚假材料的，或经成本核算达不到额定标准的，或经发现中标单位转包给其他企业的，或违规有关保洁合同约定的，采购人有权不予签订合同或终止合同。</w:t>
            </w:r>
          </w:p>
          <w:p>
            <w:pPr>
              <w:spacing w:line="400" w:lineRule="atLeast"/>
              <w:ind w:firstLine="480" w:firstLineChars="200"/>
              <w:rPr>
                <w:rFonts w:hint="eastAsia"/>
                <w:color w:val="000000"/>
                <w:sz w:val="24"/>
              </w:rPr>
            </w:pPr>
            <w:r>
              <w:rPr>
                <w:rFonts w:hint="eastAsia"/>
                <w:color w:val="000000"/>
                <w:sz w:val="24"/>
              </w:rPr>
              <w:t>5、投标文件组成中、评分细则中要求投标人提供的原件，投标时随标书一起提供，评标结束后返还。</w:t>
            </w:r>
          </w:p>
        </w:tc>
      </w:tr>
    </w:tbl>
    <w:p>
      <w:pPr>
        <w:widowControl/>
        <w:spacing w:line="360" w:lineRule="auto"/>
        <w:jc w:val="left"/>
        <w:rPr>
          <w:rFonts w:hint="eastAsia" w:ascii="宋体" w:hAnsi="宋体" w:cs="宋体"/>
          <w:b/>
          <w:sz w:val="30"/>
        </w:rPr>
        <w:sectPr>
          <w:pgSz w:w="11849" w:h="16781"/>
          <w:pgMar w:top="1417" w:right="1417" w:bottom="1417" w:left="1417" w:header="851" w:footer="992" w:gutter="0"/>
          <w:cols w:space="720" w:num="1"/>
          <w:docGrid w:type="lines" w:linePitch="317" w:charSpace="0"/>
        </w:sectPr>
      </w:pPr>
    </w:p>
    <w:p>
      <w:pPr>
        <w:spacing w:line="360" w:lineRule="auto"/>
        <w:jc w:val="center"/>
        <w:rPr>
          <w:rFonts w:hint="eastAsia" w:ascii="宋体" w:hAnsi="宋体" w:cs="宋体"/>
          <w:b/>
          <w:sz w:val="32"/>
        </w:rPr>
      </w:pPr>
      <w:r>
        <w:rPr>
          <w:rFonts w:hint="eastAsia" w:ascii="宋体" w:hAnsi="宋体" w:cs="宋体"/>
          <w:b/>
          <w:sz w:val="32"/>
        </w:rPr>
        <w:t>二、投标人须知</w:t>
      </w: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一、总则</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1、适用范围</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本招标文件适用于本项目的招标、投标、评标、定标、验收、合同履约、付款等行为。</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2、定义</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2.1、“招标采购单位”系指组织本次招标的采购代理机构（杭州金信工程造价咨询事务所有限公司）以及本项目采购人。</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2.2、“投标人”系指向招标采购单位递交投标文件的单位。</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2.3、“书面形式”包括信函、传真、电报等。</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3、采购方式：</w:t>
      </w:r>
      <w:r>
        <w:rPr>
          <w:rFonts w:hint="eastAsia" w:ascii="宋体" w:hAnsi="宋体" w:cs="宋体"/>
          <w:color w:val="000000"/>
          <w:sz w:val="24"/>
        </w:rPr>
        <w:t>公开招标。</w:t>
      </w:r>
    </w:p>
    <w:p>
      <w:pPr>
        <w:rPr>
          <w:rFonts w:hint="eastAsia" w:ascii="宋体" w:hAnsi="宋体" w:cs="宋体"/>
          <w:b/>
          <w:color w:val="000000"/>
          <w:sz w:val="24"/>
        </w:rPr>
      </w:pPr>
      <w:r>
        <w:rPr>
          <w:rFonts w:hint="eastAsia" w:ascii="宋体" w:hAnsi="宋体" w:cs="宋体"/>
          <w:b/>
          <w:color w:val="000000"/>
          <w:sz w:val="24"/>
        </w:rPr>
        <w:t>4、投标委托：投标人代表</w:t>
      </w:r>
      <w:r>
        <w:rPr>
          <w:rFonts w:hint="eastAsia" w:ascii="宋体" w:hAnsi="宋体" w:cs="宋体"/>
          <w:b/>
          <w:kern w:val="0"/>
          <w:sz w:val="24"/>
        </w:rPr>
        <w:t>应当是投标人的在职正式职工，</w:t>
      </w:r>
      <w:r>
        <w:rPr>
          <w:rFonts w:hint="eastAsia" w:ascii="宋体" w:hAnsi="宋体" w:cs="宋体"/>
          <w:b/>
          <w:color w:val="000000"/>
          <w:sz w:val="24"/>
        </w:rPr>
        <w:t>请携带本人有效身份证件及有效社保缴纳证明。如投标人代表不是法定代表人，须有法定代表人出具的授权委托书。授权委托书必须按照“第五部分投标文件格式”填写，如有不符授权无效，可能会导致投标无效。</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5、投标费用：</w:t>
      </w:r>
      <w:r>
        <w:rPr>
          <w:rFonts w:hint="eastAsia" w:ascii="宋体" w:hAnsi="宋体" w:cs="宋体"/>
          <w:color w:val="000000"/>
          <w:sz w:val="24"/>
        </w:rPr>
        <w:t>投标人需自行承担涉及投标的一切费用。</w:t>
      </w:r>
    </w:p>
    <w:p>
      <w:pPr>
        <w:adjustRightInd w:val="0"/>
        <w:snapToGrid w:val="0"/>
        <w:spacing w:line="440" w:lineRule="exact"/>
        <w:rPr>
          <w:rFonts w:hint="eastAsia" w:ascii="宋体" w:hAnsi="宋体" w:cs="宋体"/>
          <w:b/>
          <w:bCs/>
          <w:color w:val="000000"/>
          <w:sz w:val="24"/>
        </w:rPr>
      </w:pPr>
      <w:r>
        <w:rPr>
          <w:rFonts w:hint="eastAsia" w:ascii="宋体" w:hAnsi="宋体" w:cs="宋体"/>
          <w:b/>
          <w:bCs/>
          <w:color w:val="000000"/>
          <w:sz w:val="24"/>
        </w:rPr>
        <w:t>6、特别说明：</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6.2、单位负责人为同一人或者存在直接控股、管理关系的不同供应商，不得参加同一合同项下的政府采购活动。</w:t>
      </w:r>
    </w:p>
    <w:p>
      <w:pPr>
        <w:adjustRightInd w:val="0"/>
        <w:snapToGrid w:val="0"/>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rPr>
        <w:t>6.3、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6.4、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000000"/>
          <w:sz w:val="24"/>
          <w:lang w:val="zh-CN"/>
        </w:rPr>
        <w:t>供应商</w:t>
      </w:r>
      <w:r>
        <w:rPr>
          <w:rFonts w:hint="eastAsia" w:ascii="宋体" w:hAnsi="宋体" w:cs="宋体"/>
          <w:color w:val="000000"/>
          <w:sz w:val="24"/>
        </w:rPr>
        <w:t>应承担相应后果，</w:t>
      </w:r>
      <w:r>
        <w:rPr>
          <w:rFonts w:hint="eastAsia" w:ascii="宋体" w:hAnsi="宋体" w:cs="宋体"/>
          <w:color w:val="000000"/>
          <w:sz w:val="24"/>
          <w:lang w:val="zh-CN"/>
        </w:rPr>
        <w:t>并负责赔偿。</w:t>
      </w:r>
      <w:r>
        <w:rPr>
          <w:rFonts w:hint="eastAsia" w:ascii="宋体" w:hAnsi="宋体" w:cs="宋体"/>
          <w:color w:val="000000"/>
          <w:sz w:val="24"/>
        </w:rPr>
        <w:t>供应商为执行本项目合同而提供的技术资料等归采购人所有。</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6.5、本招标文件中所指的有效身份证件指的是：居民户口薄、居民身份证、临时居民身份证、护照、港澳同胞回乡证、港澳居民来往内地通行证、台湾居民来往大陆通行证、外国人居留证、外国人出入境证、驾驶证、市民卡，有期限规定的证件在有效期内方为有效。</w:t>
      </w: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二、招标文件</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7、招标文件的澄清与修改</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7.1、</w:t>
      </w:r>
      <w:r>
        <w:rPr>
          <w:rFonts w:hint="eastAsia" w:ascii="宋体" w:hAnsi="宋体" w:cs="宋体"/>
          <w:bCs/>
          <w:color w:val="000000"/>
          <w:sz w:val="24"/>
        </w:rPr>
        <w:t>投标人应认真阅读本招标文件，发现其中有误或有不合理要求的，投标人必须以书面形式要求招标采购单位澄清</w:t>
      </w:r>
      <w:r>
        <w:rPr>
          <w:rFonts w:hint="eastAsia" w:ascii="宋体" w:hAnsi="宋体" w:cs="宋体"/>
          <w:color w:val="000000"/>
          <w:sz w:val="24"/>
        </w:rPr>
        <w:t>。招标采购单位对已发出的招标文件进行必要澄清、答复、修改或补充的，应当在采购信息发布媒体上发布更正公告，并以书面形式通知所有报名的投标人。</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7.2、采购代理机构必须以书面形式答复投标人要求澄清的问题，并将不包含问题来源的答复书面通知所有前来报名的投标人。</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7.3、招标文件澄清、答复、修改、补充的内容为招标文件的组成部分。当招标文件与招标文件的答复、澄清、修改、补充通知就同一内容的表述不一致时，以最后发出的书面文件为准。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7.4、招标文件的澄清、答复、修改或补充都应该通过采购代理机构以法定形式发布，采购人不得擅自澄清、答复、修改或补充招标文件。</w:t>
      </w: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三、投标文件的编制</w:t>
      </w:r>
    </w:p>
    <w:p>
      <w:pPr>
        <w:spacing w:line="440" w:lineRule="exact"/>
        <w:rPr>
          <w:rFonts w:hint="eastAsia" w:ascii="宋体" w:hAnsi="宋体" w:cs="宋体"/>
          <w:b/>
          <w:color w:val="000000"/>
          <w:sz w:val="24"/>
        </w:rPr>
      </w:pPr>
      <w:r>
        <w:rPr>
          <w:rFonts w:hint="eastAsia" w:ascii="宋体" w:hAnsi="宋体" w:cs="宋体"/>
          <w:b/>
          <w:color w:val="000000"/>
          <w:sz w:val="24"/>
        </w:rPr>
        <w:t>8、投标文件的语言及计量</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360" w:firstLineChars="150"/>
        <w:rPr>
          <w:rFonts w:hint="eastAsia" w:ascii="宋体" w:hAnsi="宋体" w:cs="宋体"/>
          <w:color w:val="000000"/>
          <w:sz w:val="24"/>
        </w:rPr>
      </w:pPr>
      <w:r>
        <w:rPr>
          <w:rFonts w:hint="eastAsia" w:ascii="宋体" w:hAnsi="宋体" w:cs="宋体"/>
          <w:color w:val="000000"/>
          <w:sz w:val="24"/>
        </w:rPr>
        <w:t>8.3、投标计量单位，招标文件已有明确规定的，使用招标文件规定的计量单位；招标文件没有规定的，应采用中华人民共和国法定计量单位（货币单位：人民币元），否则视同未响应。</w:t>
      </w:r>
    </w:p>
    <w:p>
      <w:pPr>
        <w:pStyle w:val="8"/>
        <w:spacing w:line="440" w:lineRule="exact"/>
        <w:ind w:firstLine="360" w:firstLineChars="150"/>
        <w:rPr>
          <w:rFonts w:hint="eastAsia" w:hAnsi="宋体" w:cs="宋体"/>
          <w:color w:val="000000"/>
          <w:sz w:val="24"/>
          <w:szCs w:val="24"/>
        </w:rPr>
      </w:pPr>
      <w:r>
        <w:rPr>
          <w:rFonts w:hint="eastAsia" w:hAnsi="宋体" w:cs="宋体"/>
          <w:color w:val="000000"/>
          <w:sz w:val="24"/>
        </w:rPr>
        <w:t>8.</w:t>
      </w:r>
      <w:r>
        <w:rPr>
          <w:rFonts w:hint="eastAsia" w:hAnsi="宋体" w:cs="宋体"/>
          <w:color w:val="000000"/>
          <w:sz w:val="24"/>
          <w:szCs w:val="24"/>
        </w:rPr>
        <w:t>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hint="eastAsia" w:ascii="宋体" w:hAnsi="宋体" w:cs="宋体"/>
          <w:color w:val="000000"/>
          <w:sz w:val="24"/>
        </w:rPr>
      </w:pPr>
      <w:r>
        <w:rPr>
          <w:rFonts w:hint="eastAsia" w:ascii="宋体" w:hAnsi="宋体" w:cs="宋体"/>
          <w:color w:val="000000"/>
          <w:sz w:val="24"/>
        </w:rPr>
        <w:t>9、投标文件组成详见“第二节   投标人须知之专用条款”中相关条款。</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10、 投标有效期</w:t>
      </w:r>
    </w:p>
    <w:p>
      <w:pPr>
        <w:pStyle w:val="32"/>
        <w:spacing w:before="0" w:line="440" w:lineRule="exact"/>
        <w:ind w:firstLine="480"/>
        <w:rPr>
          <w:rFonts w:hint="eastAsia" w:ascii="宋体" w:hAnsi="宋体" w:cs="宋体"/>
          <w:color w:val="000000"/>
          <w:u w:val="single"/>
        </w:rPr>
      </w:pPr>
      <w:r>
        <w:rPr>
          <w:rFonts w:hint="eastAsia" w:ascii="宋体" w:hAnsi="宋体" w:cs="宋体"/>
          <w:color w:val="000000"/>
        </w:rPr>
        <w:t>10.1、</w:t>
      </w:r>
      <w:r>
        <w:rPr>
          <w:rFonts w:hint="eastAsia" w:ascii="宋体" w:hAnsi="宋体" w:cs="宋体"/>
          <w:color w:val="000000"/>
          <w:u w:val="single"/>
        </w:rPr>
        <w:t>投标文件递交后60天内有效。</w:t>
      </w:r>
    </w:p>
    <w:p>
      <w:pPr>
        <w:pStyle w:val="32"/>
        <w:spacing w:before="0" w:line="440" w:lineRule="exact"/>
        <w:ind w:firstLine="480"/>
        <w:rPr>
          <w:rFonts w:hint="eastAsia" w:ascii="宋体" w:hAnsi="宋体" w:cs="宋体"/>
          <w:color w:val="000000"/>
        </w:rPr>
      </w:pPr>
      <w:r>
        <w:rPr>
          <w:rFonts w:hint="eastAsia" w:ascii="宋体" w:hAnsi="宋体" w:cs="宋体"/>
          <w:color w:val="000000"/>
        </w:rPr>
        <w:t>10.2、在原定投标有效期之前，如果出现特殊情况，采购代理机构可以以书面形式通知投标人延长投标有效期。</w:t>
      </w:r>
    </w:p>
    <w:p>
      <w:pPr>
        <w:pStyle w:val="32"/>
        <w:spacing w:before="0" w:line="440" w:lineRule="exact"/>
        <w:ind w:firstLine="0" w:firstLineChars="0"/>
        <w:rPr>
          <w:rFonts w:hint="eastAsia" w:ascii="宋体" w:hAnsi="宋体" w:cs="宋体"/>
          <w:b/>
          <w:color w:val="000000"/>
        </w:rPr>
      </w:pPr>
      <w:r>
        <w:rPr>
          <w:rFonts w:hint="eastAsia" w:ascii="宋体" w:hAnsi="宋体" w:cs="宋体"/>
          <w:b/>
          <w:color w:val="000000"/>
        </w:rPr>
        <w:t>11、 投标保证金</w:t>
      </w:r>
    </w:p>
    <w:p>
      <w:pPr>
        <w:pStyle w:val="32"/>
        <w:spacing w:before="0" w:line="440" w:lineRule="exact"/>
        <w:ind w:firstLine="482" w:firstLineChars="200"/>
        <w:rPr>
          <w:rFonts w:hint="eastAsia" w:ascii="宋体" w:hAnsi="宋体" w:eastAsia="宋体" w:cs="宋体"/>
          <w:b/>
          <w:color w:val="000000"/>
          <w:lang w:val="en-US" w:eastAsia="zh-CN"/>
        </w:rPr>
      </w:pPr>
      <w:r>
        <w:rPr>
          <w:rFonts w:hint="eastAsia" w:ascii="宋体" w:hAnsi="宋体" w:cs="宋体"/>
          <w:b/>
          <w:color w:val="000000"/>
          <w:lang w:val="en-US" w:eastAsia="zh-CN"/>
        </w:rPr>
        <w:t>不采用。</w:t>
      </w:r>
    </w:p>
    <w:p>
      <w:pPr>
        <w:pStyle w:val="32"/>
        <w:numPr>
          <w:ilvl w:val="0"/>
          <w:numId w:val="5"/>
        </w:numPr>
        <w:spacing w:before="0" w:line="440" w:lineRule="exact"/>
        <w:ind w:firstLine="482"/>
        <w:rPr>
          <w:rFonts w:hint="eastAsia" w:ascii="宋体" w:hAnsi="宋体" w:cs="宋体"/>
          <w:b/>
          <w:color w:val="000000"/>
        </w:rPr>
      </w:pPr>
      <w:r>
        <w:rPr>
          <w:rFonts w:hint="eastAsia" w:ascii="宋体" w:hAnsi="宋体" w:cs="宋体"/>
          <w:b/>
          <w:color w:val="000000"/>
        </w:rPr>
        <w:t>投标文件的编制</w:t>
      </w:r>
    </w:p>
    <w:p>
      <w:pPr>
        <w:pStyle w:val="32"/>
        <w:spacing w:before="0" w:line="440" w:lineRule="exact"/>
        <w:ind w:firstLine="0" w:firstLineChars="0"/>
        <w:rPr>
          <w:rFonts w:hint="eastAsia" w:ascii="宋体" w:hAnsi="宋体" w:cs="宋体"/>
          <w:color w:val="000000"/>
        </w:rPr>
      </w:pPr>
      <w:r>
        <w:rPr>
          <w:rFonts w:hint="eastAsia" w:ascii="宋体" w:hAnsi="宋体" w:cs="宋体"/>
          <w:color w:val="000000"/>
        </w:rPr>
        <w:t xml:space="preserve">    12.1、投标文件标识不清、编写不完整、编排混乱导致投标文件被误拆、误读、漏读或者查找不到相关内容的，责任由投标人自行承担。</w:t>
      </w:r>
    </w:p>
    <w:p>
      <w:pPr>
        <w:pStyle w:val="32"/>
        <w:spacing w:before="0" w:line="440" w:lineRule="exact"/>
        <w:ind w:firstLine="480"/>
        <w:rPr>
          <w:rFonts w:hint="eastAsia" w:ascii="宋体" w:hAnsi="宋体" w:cs="宋体"/>
          <w:color w:val="000000"/>
        </w:rPr>
      </w:pPr>
      <w:r>
        <w:rPr>
          <w:rFonts w:hint="eastAsia" w:ascii="宋体" w:hAnsi="宋体" w:cs="宋体"/>
          <w:color w:val="000000"/>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32"/>
        <w:spacing w:before="0" w:line="440" w:lineRule="exact"/>
        <w:ind w:firstLine="480"/>
        <w:rPr>
          <w:rFonts w:hint="eastAsia" w:ascii="宋体" w:hAnsi="宋体" w:cs="宋体"/>
          <w:color w:val="000000"/>
        </w:rPr>
      </w:pPr>
      <w:r>
        <w:rPr>
          <w:rFonts w:hint="eastAsia" w:ascii="宋体" w:hAnsi="宋体" w:cs="宋体"/>
          <w:color w:val="000000"/>
        </w:rPr>
        <w:t>12.3、投标文件提倡采用A4幅面双面打印，并按顺序统一编目编码装订成册。</w:t>
      </w:r>
    </w:p>
    <w:p>
      <w:pPr>
        <w:pStyle w:val="32"/>
        <w:spacing w:before="0" w:line="440" w:lineRule="exact"/>
        <w:ind w:firstLine="0" w:firstLineChars="0"/>
        <w:rPr>
          <w:rFonts w:hint="eastAsia" w:ascii="宋体" w:hAnsi="宋体" w:cs="宋体"/>
          <w:b/>
          <w:color w:val="000000"/>
        </w:rPr>
      </w:pPr>
      <w:r>
        <w:rPr>
          <w:rFonts w:hint="eastAsia" w:ascii="宋体" w:hAnsi="宋体" w:cs="宋体"/>
          <w:b/>
          <w:color w:val="000000"/>
        </w:rPr>
        <w:t>13、投标文件的签署和份数</w:t>
      </w:r>
    </w:p>
    <w:p>
      <w:pPr>
        <w:pStyle w:val="32"/>
        <w:spacing w:before="0" w:line="440" w:lineRule="exact"/>
        <w:ind w:firstLine="480"/>
        <w:rPr>
          <w:rFonts w:hint="eastAsia" w:ascii="宋体" w:hAnsi="宋体" w:cs="宋体"/>
          <w:color w:val="000000"/>
        </w:rPr>
      </w:pPr>
      <w:r>
        <w:rPr>
          <w:rFonts w:hint="eastAsia" w:ascii="宋体" w:hAnsi="宋体" w:cs="宋体"/>
          <w:color w:val="000000"/>
        </w:rPr>
        <w:t>13.1、投标人应按商务、技术文件、报价文件正本各一份，副本各四份分别编制并单独装订成册，商务、技术文件可合并装订（但须明显区分）。投标文件封面上应注明“商务/技术文件/报价文件、正本/副本、项目名称、项目编号”等字样，同时必须加盖单位公章。一旦正本和副本有差异，以正本为准。</w:t>
      </w:r>
    </w:p>
    <w:p>
      <w:pPr>
        <w:pStyle w:val="32"/>
        <w:spacing w:before="0" w:line="440" w:lineRule="exact"/>
        <w:ind w:firstLine="480"/>
        <w:rPr>
          <w:rFonts w:hint="eastAsia" w:ascii="宋体" w:hAnsi="宋体" w:cs="宋体"/>
          <w:color w:val="000000"/>
        </w:rPr>
      </w:pPr>
      <w:r>
        <w:rPr>
          <w:rFonts w:hint="eastAsia" w:ascii="宋体" w:hAnsi="宋体" w:cs="宋体"/>
          <w:color w:val="000000"/>
        </w:rPr>
        <w:t>13.2、投标文件的正本需打印或用不褪色的墨水填写，投标文件正本除 “第二部分 投标人须知”中规定的可提供复印件外均提供原件。副本为正本的复印件。</w:t>
      </w:r>
    </w:p>
    <w:p>
      <w:pPr>
        <w:adjustRightInd w:val="0"/>
        <w:snapToGrid w:val="0"/>
        <w:spacing w:line="440" w:lineRule="exact"/>
        <w:ind w:firstLine="480" w:firstLineChars="200"/>
        <w:jc w:val="left"/>
        <w:rPr>
          <w:rFonts w:hint="eastAsia" w:ascii="宋体" w:hAnsi="宋体" w:cs="宋体"/>
          <w:color w:val="000000"/>
          <w:sz w:val="24"/>
          <w:szCs w:val="20"/>
        </w:rPr>
      </w:pPr>
      <w:r>
        <w:rPr>
          <w:rFonts w:hint="eastAsia" w:ascii="宋体" w:hAnsi="宋体" w:cs="宋体"/>
          <w:color w:val="000000"/>
          <w:sz w:val="24"/>
          <w:szCs w:val="20"/>
        </w:rPr>
        <w:t>13.3、投标文件须由投标人在规定位置加盖单位公章、法定代表人或授权代表签署，投标人应写全称。</w:t>
      </w:r>
    </w:p>
    <w:p>
      <w:pPr>
        <w:adjustRightInd w:val="0"/>
        <w:snapToGrid w:val="0"/>
        <w:jc w:val="center"/>
        <w:rPr>
          <w:rFonts w:hint="eastAsia" w:ascii="宋体" w:hAnsi="宋体" w:cs="宋体"/>
          <w:color w:val="000000"/>
        </w:rPr>
      </w:pPr>
      <w:r>
        <w:rPr>
          <w:rFonts w:hint="eastAsia" w:ascii="宋体" w:hAnsi="宋体" w:cs="宋体"/>
          <w:b/>
          <w:bCs/>
          <w:color w:val="000000"/>
          <w:sz w:val="24"/>
        </w:rPr>
        <w:t>四、 投标文件的递交</w:t>
      </w:r>
    </w:p>
    <w:p>
      <w:pPr>
        <w:pStyle w:val="32"/>
        <w:spacing w:before="0" w:line="440" w:lineRule="exact"/>
        <w:ind w:firstLine="0" w:firstLineChars="0"/>
        <w:rPr>
          <w:rFonts w:hint="eastAsia" w:ascii="宋体" w:hAnsi="宋体" w:cs="宋体"/>
          <w:b/>
          <w:color w:val="000000"/>
        </w:rPr>
      </w:pPr>
      <w:r>
        <w:rPr>
          <w:rFonts w:hint="eastAsia" w:ascii="宋体" w:hAnsi="宋体" w:cs="宋体"/>
          <w:b/>
          <w:color w:val="000000"/>
        </w:rPr>
        <w:t>14、投标文件的包装和递交</w:t>
      </w:r>
    </w:p>
    <w:p>
      <w:pPr>
        <w:pStyle w:val="32"/>
        <w:spacing w:before="0" w:line="440" w:lineRule="exact"/>
        <w:ind w:firstLine="480"/>
        <w:rPr>
          <w:rFonts w:hint="eastAsia" w:ascii="宋体" w:hAnsi="宋体" w:cs="宋体"/>
          <w:color w:val="000000"/>
        </w:rPr>
      </w:pPr>
      <w:r>
        <w:rPr>
          <w:rFonts w:hint="eastAsia" w:ascii="宋体" w:hAnsi="宋体" w:cs="宋体"/>
          <w:color w:val="000000"/>
        </w:rPr>
        <w:t>14.1、投标文件须密封包装并加盖投标人公章，</w:t>
      </w:r>
      <w:r>
        <w:rPr>
          <w:rFonts w:hint="eastAsia" w:ascii="宋体" w:hAnsi="宋体" w:cs="宋体"/>
          <w:b/>
          <w:color w:val="000000"/>
        </w:rPr>
        <w:t>报价文件必须单独密封包装，除报价文件之外其他投标文件中不得出现投标报价</w:t>
      </w:r>
      <w:r>
        <w:rPr>
          <w:rFonts w:hint="eastAsia" w:ascii="宋体" w:hAnsi="宋体" w:cs="宋体"/>
          <w:b/>
          <w:bCs/>
          <w:color w:val="000000"/>
        </w:rPr>
        <w:t>（招标文件另有规定的除外）</w:t>
      </w:r>
      <w:r>
        <w:rPr>
          <w:rFonts w:hint="eastAsia" w:ascii="宋体" w:hAnsi="宋体" w:cs="宋体"/>
          <w:b/>
          <w:color w:val="000000"/>
        </w:rPr>
        <w:t>。</w:t>
      </w:r>
    </w:p>
    <w:p>
      <w:pPr>
        <w:pStyle w:val="32"/>
        <w:spacing w:before="0" w:line="440" w:lineRule="exact"/>
        <w:ind w:firstLine="480"/>
        <w:rPr>
          <w:rFonts w:hint="eastAsia" w:ascii="宋体" w:hAnsi="宋体" w:cs="宋体"/>
          <w:color w:val="000000"/>
        </w:rPr>
      </w:pPr>
      <w:r>
        <w:rPr>
          <w:rFonts w:hint="eastAsia" w:ascii="宋体" w:hAnsi="宋体" w:cs="宋体"/>
          <w:color w:val="000000"/>
        </w:rPr>
        <w:t>14.2、投标文件外层包装封面上应注明“商务/技术文件/报价文件、项目名称、项目编号、投标人名称及开标时启封”等字样，并加盖投标人公章。可参考“第五部分 投标文件格式”。</w:t>
      </w:r>
    </w:p>
    <w:p>
      <w:pPr>
        <w:pStyle w:val="32"/>
        <w:spacing w:before="0" w:line="440" w:lineRule="exact"/>
        <w:ind w:firstLine="480"/>
        <w:rPr>
          <w:rFonts w:hint="eastAsia" w:ascii="宋体" w:hAnsi="宋体" w:cs="宋体"/>
          <w:color w:val="000000"/>
        </w:rPr>
      </w:pPr>
      <w:r>
        <w:rPr>
          <w:rFonts w:hint="eastAsia" w:ascii="宋体" w:hAnsi="宋体" w:cs="宋体"/>
          <w:color w:val="000000"/>
        </w:rPr>
        <w:t>14.3、招标采购单位将拒绝未通过报名的投标人的投标文件。</w:t>
      </w:r>
    </w:p>
    <w:p>
      <w:pPr>
        <w:pStyle w:val="32"/>
        <w:spacing w:before="0" w:line="440" w:lineRule="exact"/>
        <w:ind w:firstLine="480"/>
        <w:rPr>
          <w:rFonts w:hint="eastAsia" w:ascii="宋体" w:hAnsi="宋体" w:cs="宋体"/>
          <w:color w:val="000000"/>
        </w:rPr>
      </w:pPr>
      <w:r>
        <w:rPr>
          <w:rFonts w:hint="eastAsia" w:ascii="宋体" w:hAnsi="宋体" w:cs="宋体"/>
          <w:color w:val="000000"/>
        </w:rPr>
        <w:t>14.4、未按规定密封或未按规定标记的投标文件，一经发现将被拒绝，由此造成投标文件被误投或提前拆封的风险由投标人承担。</w:t>
      </w:r>
    </w:p>
    <w:p>
      <w:pPr>
        <w:pStyle w:val="32"/>
        <w:spacing w:before="0" w:line="440" w:lineRule="exact"/>
        <w:ind w:firstLine="480"/>
        <w:rPr>
          <w:rFonts w:hint="eastAsia" w:ascii="宋体" w:hAnsi="宋体" w:cs="宋体"/>
          <w:color w:val="000000"/>
        </w:rPr>
      </w:pPr>
      <w:r>
        <w:rPr>
          <w:rFonts w:hint="eastAsia" w:ascii="宋体" w:hAnsi="宋体" w:cs="宋体"/>
          <w:color w:val="000000"/>
        </w:rPr>
        <w:t>14.5、投标人在投标截止时间前将投标文件送至招标采购单位指定地点。</w:t>
      </w:r>
    </w:p>
    <w:p>
      <w:pPr>
        <w:pStyle w:val="32"/>
        <w:spacing w:before="0" w:line="440" w:lineRule="exact"/>
        <w:ind w:firstLine="480"/>
        <w:rPr>
          <w:rFonts w:hint="eastAsia" w:ascii="宋体" w:hAnsi="宋体" w:cs="宋体"/>
          <w:color w:val="000000"/>
        </w:rPr>
      </w:pPr>
      <w:r>
        <w:rPr>
          <w:rFonts w:hint="eastAsia" w:ascii="宋体" w:hAnsi="宋体" w:cs="宋体"/>
          <w:color w:val="000000"/>
        </w:rPr>
        <w:t>14.6、投标文件一经拆封不予退回</w:t>
      </w:r>
      <w:r>
        <w:rPr>
          <w:rFonts w:hint="eastAsia" w:ascii="宋体" w:hAnsi="宋体" w:cs="宋体"/>
          <w:bCs/>
          <w:color w:val="000000"/>
        </w:rPr>
        <w:t>（法律法规另有规定的除外）</w:t>
      </w:r>
      <w:r>
        <w:rPr>
          <w:rFonts w:hint="eastAsia" w:ascii="宋体" w:hAnsi="宋体" w:cs="宋体"/>
          <w:color w:val="000000"/>
        </w:rPr>
        <w:t>。</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15、递交投标文件的截止时间</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15.1、所有投标文件必须按招标文件规定的投标截止时间之前送至招标采购单位指定地点。</w:t>
      </w:r>
    </w:p>
    <w:p>
      <w:pPr>
        <w:adjustRightInd w:val="0"/>
        <w:snapToGrid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15.2、招标采购单位将拒绝在投标截止时间后递交的投标文件。</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16、投标文件的修改和撤回</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五、 开标</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17、开标准备</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采购代理机构将在规定的时间和地点进行开标，投标人的法定代表人或其授权代表应准时参加开标会议并签到，主动出示本人的有效身份证件由采购代理机构验证确认，否则视同未派代表参加开标大会，事后不得对采购相关人员、开标过程和开标结果提出异议。</w:t>
      </w:r>
    </w:p>
    <w:p>
      <w:pPr>
        <w:numPr>
          <w:ilvl w:val="0"/>
          <w:numId w:val="6"/>
        </w:num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开标程序：</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18.1、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18.2、商务技术评分结束后，开报价文件，由投标人代表检查各报价文件的密封情况。确认无误后，工作人员当众拆封报价文件，并清点报价文件正、副本数量，若报价文件数量不符合要求的，视其投标无效，并由投标人代表签字确认。符合要求的报价文件，工作人员进行唱标，唱标内容为报价文件正本中“开标一览表”内容并作记录，由授权代表当场校核及勘误并签字确认，授权代表未到场确认或拒绝签字的，不影响评标过程。</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18.3、开标会结束。</w:t>
      </w:r>
    </w:p>
    <w:p>
      <w:pPr>
        <w:pStyle w:val="32"/>
        <w:spacing w:before="0"/>
        <w:ind w:firstLine="482"/>
        <w:jc w:val="center"/>
        <w:rPr>
          <w:rFonts w:hint="eastAsia" w:ascii="宋体" w:hAnsi="宋体" w:cs="宋体"/>
          <w:b/>
          <w:sz w:val="32"/>
        </w:rPr>
      </w:pPr>
      <w:r>
        <w:rPr>
          <w:rFonts w:hint="eastAsia" w:ascii="宋体" w:hAnsi="宋体" w:cs="宋体"/>
          <w:b/>
          <w:bCs/>
          <w:color w:val="000000"/>
          <w:szCs w:val="24"/>
        </w:rPr>
        <w:t>六、资格审查</w:t>
      </w:r>
    </w:p>
    <w:p>
      <w:pPr>
        <w:pStyle w:val="32"/>
        <w:spacing w:before="0"/>
        <w:ind w:firstLine="0" w:firstLineChars="0"/>
        <w:rPr>
          <w:rFonts w:hint="eastAsia" w:ascii="宋体" w:hAnsi="宋体" w:cs="宋体"/>
          <w:b/>
          <w:szCs w:val="24"/>
        </w:rPr>
      </w:pPr>
      <w:r>
        <w:rPr>
          <w:rFonts w:hint="eastAsia" w:ascii="宋体" w:hAnsi="宋体" w:cs="宋体"/>
          <w:b/>
          <w:szCs w:val="24"/>
        </w:rPr>
        <w:t>19、资格审查</w:t>
      </w:r>
    </w:p>
    <w:p>
      <w:pPr>
        <w:pStyle w:val="32"/>
        <w:spacing w:before="0"/>
        <w:ind w:firstLine="480"/>
        <w:rPr>
          <w:rFonts w:hint="eastAsia" w:ascii="宋体" w:hAnsi="宋体" w:cs="宋体"/>
          <w:kern w:val="0"/>
          <w:szCs w:val="24"/>
        </w:rPr>
      </w:pPr>
      <w:r>
        <w:rPr>
          <w:rFonts w:hint="eastAsia" w:ascii="宋体" w:hAnsi="宋体" w:cs="宋体"/>
          <w:kern w:val="0"/>
          <w:szCs w:val="24"/>
        </w:rPr>
        <w:t>19.1、开标结束后，采购人或采购代理机构依法对投标人的资格进行审查。</w:t>
      </w:r>
    </w:p>
    <w:p>
      <w:pPr>
        <w:pStyle w:val="32"/>
        <w:ind w:firstLine="480"/>
        <w:rPr>
          <w:rFonts w:hint="eastAsia" w:ascii="宋体" w:hAnsi="宋体" w:cs="宋体"/>
          <w:color w:val="000000"/>
        </w:rPr>
      </w:pPr>
      <w:r>
        <w:rPr>
          <w:rFonts w:hint="eastAsia" w:ascii="宋体" w:hAnsi="宋体" w:cs="宋体"/>
          <w:kern w:val="0"/>
        </w:rPr>
        <w:t>19.2、</w:t>
      </w:r>
      <w:r>
        <w:rPr>
          <w:rFonts w:hint="eastAsia" w:ascii="宋体" w:hAnsi="宋体" w:cs="宋体"/>
          <w:kern w:val="0"/>
          <w:szCs w:val="24"/>
        </w:rPr>
        <w:t>投标人未按照招标文件要求提供</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adjustRightInd w:val="0"/>
        <w:snapToGrid w:val="0"/>
        <w:spacing w:line="440" w:lineRule="exact"/>
        <w:jc w:val="center"/>
        <w:rPr>
          <w:rFonts w:hint="eastAsia" w:ascii="宋体" w:hAnsi="宋体" w:cs="宋体"/>
          <w:b/>
          <w:bCs/>
          <w:color w:val="000000"/>
          <w:sz w:val="24"/>
        </w:rPr>
      </w:pPr>
      <w:r>
        <w:rPr>
          <w:rFonts w:hint="eastAsia" w:ascii="宋体" w:hAnsi="宋体" w:cs="宋体"/>
          <w:b/>
          <w:bCs/>
          <w:color w:val="000000"/>
          <w:sz w:val="24"/>
        </w:rPr>
        <w:t>七、评标</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20、组建评标委员会</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项目评标委员会根据相关规定由采购人代表和有关技术、经济等方面的专家组成，成员人数应当为5人</w:t>
      </w:r>
      <w:r>
        <w:rPr>
          <w:rFonts w:hint="eastAsia" w:hAnsi="宋体" w:cs="宋体"/>
          <w:color w:val="000000"/>
          <w:sz w:val="24"/>
        </w:rPr>
        <w:t>及</w:t>
      </w:r>
      <w:r>
        <w:rPr>
          <w:rFonts w:hint="eastAsia" w:hAnsi="宋体" w:cs="宋体"/>
          <w:color w:val="000000"/>
          <w:sz w:val="24"/>
          <w:szCs w:val="24"/>
        </w:rPr>
        <w:t>以上单数。</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21、评标的方式</w:t>
      </w:r>
    </w:p>
    <w:p>
      <w:pPr>
        <w:pStyle w:val="8"/>
        <w:spacing w:line="440" w:lineRule="exact"/>
        <w:ind w:firstLine="470" w:firstLineChars="196"/>
        <w:rPr>
          <w:rFonts w:hint="eastAsia" w:hAnsi="宋体" w:cs="宋体"/>
          <w:color w:val="000000"/>
          <w:sz w:val="24"/>
          <w:szCs w:val="24"/>
          <w:u w:val="single"/>
        </w:rPr>
      </w:pPr>
      <w:r>
        <w:rPr>
          <w:rFonts w:hint="eastAsia" w:hAnsi="宋体" w:cs="宋体"/>
          <w:color w:val="000000"/>
          <w:sz w:val="24"/>
          <w:szCs w:val="24"/>
          <w:u w:val="single"/>
        </w:rPr>
        <w:t>本项目采用不公开方式评标，评标的依据为招标文件和投标文件。</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22、评标程序</w:t>
      </w:r>
    </w:p>
    <w:p>
      <w:pPr>
        <w:pStyle w:val="8"/>
        <w:spacing w:line="440" w:lineRule="exact"/>
        <w:ind w:firstLine="470" w:firstLineChars="196"/>
        <w:rPr>
          <w:rFonts w:hint="eastAsia" w:hAnsi="宋体" w:cs="宋体"/>
          <w:color w:val="000000"/>
          <w:sz w:val="24"/>
        </w:rPr>
      </w:pPr>
      <w:r>
        <w:rPr>
          <w:rFonts w:hint="eastAsia" w:hAnsi="宋体" w:cs="宋体"/>
          <w:color w:val="000000"/>
          <w:sz w:val="24"/>
        </w:rPr>
        <w:t>22.1、本项目评标一般将按以下程序进行：投标文件符合性审查、澄清有关问题、投标文件技术与商务部分的比较与评审、报价文件的比较与评审、推荐中标投标人和编写评标报告等。</w:t>
      </w:r>
    </w:p>
    <w:p>
      <w:pPr>
        <w:pStyle w:val="8"/>
        <w:spacing w:line="440" w:lineRule="exact"/>
        <w:ind w:firstLine="470" w:firstLineChars="196"/>
        <w:rPr>
          <w:rFonts w:hint="eastAsia" w:hAnsi="宋体" w:cs="宋体"/>
          <w:color w:val="000000"/>
          <w:sz w:val="24"/>
        </w:rPr>
      </w:pPr>
      <w:r>
        <w:rPr>
          <w:rFonts w:hint="eastAsia" w:hAnsi="宋体" w:cs="宋体"/>
          <w:color w:val="000000"/>
          <w:sz w:val="24"/>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8"/>
        <w:spacing w:line="440" w:lineRule="exact"/>
        <w:ind w:firstLine="470" w:firstLineChars="196"/>
        <w:rPr>
          <w:rFonts w:hint="eastAsia" w:hAnsi="宋体" w:cs="宋体"/>
          <w:color w:val="000000"/>
          <w:sz w:val="24"/>
        </w:rPr>
      </w:pPr>
      <w:r>
        <w:rPr>
          <w:rFonts w:hint="eastAsia" w:hAnsi="宋体" w:cs="宋体"/>
          <w:color w:val="000000"/>
          <w:sz w:val="24"/>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8"/>
        <w:spacing w:line="440" w:lineRule="exact"/>
        <w:ind w:firstLine="470" w:firstLineChars="196"/>
        <w:rPr>
          <w:rFonts w:hint="eastAsia" w:hAnsi="宋体" w:cs="宋体"/>
          <w:color w:val="000000"/>
          <w:sz w:val="24"/>
        </w:rPr>
      </w:pPr>
      <w:r>
        <w:rPr>
          <w:rFonts w:hint="eastAsia" w:hAnsi="宋体" w:cs="宋体"/>
          <w:color w:val="000000"/>
          <w:sz w:val="24"/>
        </w:rPr>
        <w:t>22.4、比较与评审。按招标文件中规定的评标方法和标准，对资格性检查和符合性审查合格的投标文件进行商务、技术、价格比较和评审。</w:t>
      </w:r>
    </w:p>
    <w:p>
      <w:pPr>
        <w:pStyle w:val="8"/>
        <w:spacing w:line="440" w:lineRule="exact"/>
        <w:ind w:firstLine="470" w:firstLineChars="196"/>
        <w:rPr>
          <w:rFonts w:hint="eastAsia" w:hAnsi="宋体" w:cs="宋体"/>
          <w:color w:val="000000"/>
          <w:sz w:val="24"/>
        </w:rPr>
      </w:pPr>
      <w:r>
        <w:rPr>
          <w:rFonts w:hint="eastAsia" w:hAnsi="宋体" w:cs="宋体"/>
          <w:color w:val="000000"/>
          <w:sz w:val="24"/>
        </w:rPr>
        <w:t>22.5、推荐中标候选人。根据评标情况，推荐中标候选人。</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23、错误修正</w:t>
      </w:r>
    </w:p>
    <w:p>
      <w:pPr>
        <w:spacing w:line="360" w:lineRule="auto"/>
        <w:ind w:firstLine="360"/>
        <w:rPr>
          <w:rFonts w:hint="eastAsia" w:ascii="宋体" w:hAnsi="宋体" w:cs="宋体"/>
          <w:bCs/>
          <w:sz w:val="24"/>
        </w:rPr>
      </w:pPr>
      <w:r>
        <w:rPr>
          <w:rFonts w:hint="eastAsia" w:ascii="宋体" w:hAnsi="宋体" w:cs="宋体"/>
          <w:bCs/>
          <w:sz w:val="24"/>
        </w:rPr>
        <w:t>投标文件报价出现前后不一致的，按照下列规定修正：</w:t>
      </w:r>
    </w:p>
    <w:p>
      <w:pPr>
        <w:spacing w:line="360" w:lineRule="auto"/>
        <w:ind w:firstLine="360"/>
        <w:rPr>
          <w:rFonts w:hint="eastAsia" w:ascii="宋体" w:hAnsi="宋体" w:cs="宋体"/>
          <w:bCs/>
          <w:sz w:val="24"/>
        </w:rPr>
      </w:pPr>
      <w:r>
        <w:rPr>
          <w:rFonts w:hint="eastAsia" w:ascii="宋体" w:hAnsi="宋体" w:cs="宋体"/>
          <w:bCs/>
          <w:sz w:val="24"/>
        </w:rPr>
        <w:t>(1)投标文件中开标一览表(报价表)内容与投标文件中相应内容不一致的，以开标一览表(报价表)为准;</w:t>
      </w:r>
    </w:p>
    <w:p>
      <w:pPr>
        <w:spacing w:line="360" w:lineRule="auto"/>
        <w:ind w:firstLine="360"/>
        <w:rPr>
          <w:rFonts w:hint="eastAsia" w:ascii="宋体" w:hAnsi="宋体" w:cs="宋体"/>
          <w:bCs/>
          <w:sz w:val="24"/>
        </w:rPr>
      </w:pPr>
      <w:r>
        <w:rPr>
          <w:rFonts w:hint="eastAsia" w:ascii="宋体" w:hAnsi="宋体" w:cs="宋体"/>
          <w:bCs/>
          <w:sz w:val="24"/>
        </w:rPr>
        <w:t>(2)大写金额和小写金额不一致的，以大写金额为准;</w:t>
      </w:r>
    </w:p>
    <w:p>
      <w:pPr>
        <w:spacing w:line="360" w:lineRule="auto"/>
        <w:ind w:firstLine="360"/>
        <w:rPr>
          <w:rFonts w:hint="eastAsia" w:ascii="宋体" w:hAnsi="宋体" w:cs="宋体"/>
          <w:bCs/>
          <w:sz w:val="24"/>
        </w:rPr>
      </w:pPr>
      <w:r>
        <w:rPr>
          <w:rFonts w:hint="eastAsia" w:ascii="宋体" w:hAnsi="宋体" w:cs="宋体"/>
          <w:bCs/>
          <w:sz w:val="24"/>
        </w:rPr>
        <w:t>(3)单价金额小数点或者百分比有明显错位的，以开标一览表的总价为准，并修改单价;</w:t>
      </w:r>
    </w:p>
    <w:p>
      <w:pPr>
        <w:spacing w:line="360" w:lineRule="auto"/>
        <w:ind w:firstLine="360"/>
        <w:rPr>
          <w:rFonts w:hint="eastAsia" w:ascii="宋体" w:hAnsi="宋体" w:cs="宋体"/>
          <w:bCs/>
          <w:sz w:val="24"/>
        </w:rPr>
      </w:pPr>
      <w:r>
        <w:rPr>
          <w:rFonts w:hint="eastAsia" w:ascii="宋体" w:hAnsi="宋体" w:cs="宋体"/>
          <w:bCs/>
          <w:sz w:val="24"/>
        </w:rPr>
        <w:t>(4)总价金额与按单价汇总金额不一致的，以单价金额计算结果为准。</w:t>
      </w:r>
    </w:p>
    <w:p>
      <w:pPr>
        <w:spacing w:line="360" w:lineRule="auto"/>
        <w:ind w:firstLine="360"/>
        <w:rPr>
          <w:rFonts w:hint="eastAsia" w:ascii="宋体" w:hAnsi="宋体" w:cs="宋体"/>
          <w:bCs/>
          <w:sz w:val="24"/>
        </w:rPr>
      </w:pPr>
      <w:r>
        <w:rPr>
          <w:rFonts w:hint="eastAsia" w:ascii="宋体" w:hAnsi="宋体" w:cs="宋体"/>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24、评标方法和评标原则</w:t>
      </w:r>
    </w:p>
    <w:p>
      <w:pPr>
        <w:spacing w:line="360" w:lineRule="auto"/>
        <w:ind w:firstLine="360"/>
        <w:rPr>
          <w:rFonts w:hint="eastAsia" w:ascii="宋体" w:hAnsi="宋体" w:cs="宋体"/>
          <w:bCs/>
          <w:sz w:val="24"/>
        </w:rPr>
      </w:pPr>
      <w:r>
        <w:rPr>
          <w:rFonts w:hint="eastAsia" w:ascii="宋体" w:hAnsi="宋体" w:cs="宋体"/>
          <w:b/>
          <w:sz w:val="24"/>
        </w:rPr>
        <w:t>24.1、综合评分法：</w:t>
      </w:r>
      <w:r>
        <w:rPr>
          <w:rFonts w:hint="eastAsia" w:ascii="宋体" w:hAnsi="宋体" w:cs="宋体"/>
          <w:bCs/>
          <w:sz w:val="24"/>
        </w:rPr>
        <w:t>是指投标文件满足招标文件全部实质性要求，且按照评审因素的量化指标评审得分最高的投标人为中标候选人的评标方法。</w:t>
      </w:r>
    </w:p>
    <w:p>
      <w:pPr>
        <w:spacing w:line="360" w:lineRule="auto"/>
        <w:ind w:firstLine="360"/>
        <w:rPr>
          <w:rFonts w:hint="eastAsia" w:ascii="宋体" w:hAnsi="宋体" w:cs="宋体"/>
          <w:bCs/>
          <w:sz w:val="24"/>
        </w:rPr>
      </w:pPr>
      <w:r>
        <w:rPr>
          <w:rFonts w:hint="eastAsia" w:ascii="宋体" w:hAnsi="宋体" w:cs="宋体"/>
          <w:bCs/>
          <w:sz w:val="24"/>
        </w:rPr>
        <w:t>使用综合评分法的采购项目，提供的全部核心产品均为相同品牌的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360"/>
        <w:rPr>
          <w:rFonts w:hint="eastAsia" w:ascii="宋体" w:hAnsi="宋体" w:cs="宋体"/>
          <w:bCs/>
          <w:sz w:val="24"/>
        </w:rPr>
      </w:pPr>
      <w:r>
        <w:rPr>
          <w:rFonts w:hint="eastAsia" w:ascii="宋体" w:hAnsi="宋体" w:cs="宋体"/>
          <w:b/>
          <w:sz w:val="24"/>
        </w:rPr>
        <w:t>24.2、评标原则：</w:t>
      </w:r>
      <w:r>
        <w:rPr>
          <w:rFonts w:hint="eastAsia" w:ascii="宋体" w:hAnsi="宋体" w:cs="宋体"/>
          <w:bCs/>
          <w:sz w:val="24"/>
        </w:rPr>
        <w:t>评标委员会必须公平、公正、客观，不带任何倾向性；不得向外界透露任何与评标有关的内容；任何单位和个人不得干扰、影响评标的正常进行；评标委员会及有关工作人员不得私下与投标人接触。</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25、评标过程的监控</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本项目评标过程实行全程录音、录像监控，投标人在评标过程中所进行的试图影响评标结果的不公正活动，可能导致其投标无效。</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26、无效投标的情形</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26.1、资格性审查无效投标的情形</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（1）、被拒绝的投标文件；</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（2）、未通过报名的；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3</w:t>
      </w:r>
      <w:r>
        <w:rPr>
          <w:rFonts w:hint="eastAsia" w:hAnsi="宋体" w:cs="宋体"/>
          <w:color w:val="000000"/>
          <w:sz w:val="24"/>
          <w:szCs w:val="24"/>
        </w:rPr>
        <w:t>）、投标文件份数不符合要求；</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4</w:t>
      </w:r>
      <w:r>
        <w:rPr>
          <w:rFonts w:hint="eastAsia" w:hAnsi="宋体" w:cs="宋体"/>
          <w:color w:val="000000"/>
          <w:sz w:val="24"/>
          <w:szCs w:val="24"/>
        </w:rPr>
        <w:t xml:space="preserve">）、资格证明文件不全，或者不符合招标文件标明的资格要求（参见招标公告之“五、合格投标人的资格要求”）；  </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5</w:t>
      </w:r>
      <w:r>
        <w:rPr>
          <w:rFonts w:hint="eastAsia" w:hAnsi="宋体" w:cs="宋体"/>
          <w:color w:val="000000"/>
          <w:sz w:val="24"/>
          <w:szCs w:val="24"/>
        </w:rPr>
        <w:t>）、信用审查不通过的；</w:t>
      </w:r>
    </w:p>
    <w:p>
      <w:pPr>
        <w:adjustRightInd w:val="0"/>
        <w:snapToGrid w:val="0"/>
        <w:spacing w:line="440" w:lineRule="exact"/>
        <w:rPr>
          <w:rFonts w:hint="eastAsia" w:ascii="宋体" w:hAnsi="宋体" w:cs="宋体"/>
          <w:color w:val="000000"/>
          <w:sz w:val="24"/>
        </w:rPr>
      </w:pPr>
      <w:r>
        <w:rPr>
          <w:rFonts w:hint="eastAsia" w:ascii="宋体" w:hAnsi="宋体" w:cs="宋体"/>
          <w:b/>
          <w:color w:val="000000"/>
          <w:sz w:val="24"/>
        </w:rPr>
        <w:t>26.2、符合性审查及其他无效投标的情形</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（1）、投标文件封面、开标一览表、投标响应函、授权委托书，任意一项未加盖单位公章；</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（2）、开标一览表或投标响应函无法定代表人（或授权代表）签字；</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（3）、提供虚假证明材料；</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（4）、加“▲”的分项报价表中“品名”、“数量”与采购清单不一致或有缺项的；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（5）、投标文件中对于采购需求中的实质性内容的响应表述不清或不响应，评标委员会不能确认为有效；</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（6）、投标文件组成中带“▲”资料提供不全的；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（7）、投标技术方案不明确或存在备选（替代）投标方案；</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（8）、未按照招标文件标明的币种报价；</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（9）、报价超出最高限价，或者超出采购预算金额，采购人不能支付；</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（10）、投标报价具有选择性；</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（11）、报价文件之外其他投标文件中出现投标报价的（招标文件另有规定的除外）；</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（12）、投标人拒绝按招标文件规定的修正原则对投标文件进行修改的；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（13）、投标人串通投标的；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（14）、本项目如需采购节能清单中的政府强制采购的节能产品的，所投产品不在节能产品政府采购清单中的；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（15）、投标文件中承诺的投标有效期少于招标文件中载明的投标有效期的；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（16）、投标文件含有采购人不能接受的附加条件的;</w:t>
      </w:r>
    </w:p>
    <w:p>
      <w:pPr>
        <w:pStyle w:val="8"/>
        <w:spacing w:line="440" w:lineRule="exact"/>
        <w:ind w:firstLine="470" w:firstLineChars="196"/>
        <w:rPr>
          <w:rFonts w:hint="eastAsia" w:hAnsi="宋体" w:cs="宋体"/>
          <w:color w:val="000000"/>
          <w:sz w:val="24"/>
          <w:szCs w:val="24"/>
        </w:rPr>
      </w:pPr>
      <w:r>
        <w:rPr>
          <w:rFonts w:hint="eastAsia" w:hAnsi="宋体" w:cs="宋体"/>
          <w:color w:val="000000"/>
          <w:sz w:val="24"/>
          <w:szCs w:val="24"/>
        </w:rPr>
        <w:t>（17）、不符合法律、法规等相关规定或投标文件有招标采购单位不能接受的附加条件；</w:t>
      </w:r>
    </w:p>
    <w:p>
      <w:pPr>
        <w:pStyle w:val="8"/>
        <w:spacing w:line="440" w:lineRule="exact"/>
        <w:ind w:firstLine="470" w:firstLineChars="196"/>
        <w:rPr>
          <w:rFonts w:hint="eastAsia" w:hAnsi="宋体" w:cs="宋体"/>
          <w:b/>
          <w:color w:val="000000"/>
          <w:sz w:val="24"/>
        </w:rPr>
      </w:pPr>
      <w:r>
        <w:rPr>
          <w:rFonts w:hint="eastAsia" w:hAnsi="宋体" w:cs="宋体"/>
          <w:color w:val="000000"/>
          <w:sz w:val="24"/>
          <w:szCs w:val="24"/>
        </w:rPr>
        <w:t xml:space="preserve">（18）、根据招标文件、相关法律法规等要求，评标委员会认为应当作无效投标处理的其他情况。 </w:t>
      </w:r>
      <w:r>
        <w:rPr>
          <w:rFonts w:hint="eastAsia" w:hAnsi="宋体" w:cs="宋体"/>
          <w:b/>
          <w:bCs/>
          <w:color w:val="000000"/>
          <w:sz w:val="24"/>
        </w:rPr>
        <w:t xml:space="preserve"> </w:t>
      </w:r>
      <w:r>
        <w:rPr>
          <w:rFonts w:hint="eastAsia" w:hAnsi="宋体" w:cs="宋体"/>
          <w:b/>
          <w:color w:val="000000"/>
          <w:sz w:val="24"/>
        </w:rPr>
        <w:t xml:space="preserve">                                                                                                    </w:t>
      </w:r>
    </w:p>
    <w:p>
      <w:pPr>
        <w:pStyle w:val="7"/>
        <w:spacing w:line="440" w:lineRule="exact"/>
        <w:ind w:firstLine="0"/>
        <w:rPr>
          <w:rFonts w:hint="eastAsia" w:hAnsi="宋体" w:cs="宋体"/>
          <w:b/>
          <w:color w:val="000000"/>
          <w:sz w:val="24"/>
        </w:rPr>
      </w:pPr>
      <w:r>
        <w:rPr>
          <w:rFonts w:hint="eastAsia" w:hAnsi="宋体" w:cs="宋体"/>
          <w:b/>
          <w:color w:val="000000"/>
          <w:sz w:val="24"/>
        </w:rPr>
        <w:t>27、废标</w:t>
      </w:r>
    </w:p>
    <w:p>
      <w:pPr>
        <w:pStyle w:val="32"/>
        <w:spacing w:before="0" w:line="440" w:lineRule="exact"/>
        <w:ind w:firstLine="600" w:firstLineChars="250"/>
        <w:rPr>
          <w:rFonts w:hint="eastAsia" w:ascii="宋体" w:hAnsi="宋体" w:cs="宋体"/>
          <w:color w:val="000000"/>
          <w:kern w:val="0"/>
          <w:szCs w:val="24"/>
          <w:lang w:val="zh-CN"/>
        </w:rPr>
      </w:pPr>
      <w:r>
        <w:rPr>
          <w:rFonts w:hint="eastAsia" w:ascii="宋体" w:hAnsi="宋体" w:cs="宋体"/>
          <w:color w:val="000000"/>
          <w:kern w:val="0"/>
          <w:szCs w:val="24"/>
          <w:lang w:val="zh-CN"/>
        </w:rPr>
        <w:t>根据《中华人民共和国政府采购法》第三十六条等条款之规定，在招标采购中，出现下列情形之一的，应予废标：</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xml:space="preserve">    （一）符合专业条件的供应商或者对招标文件作实质响应的供应商不足三家的；</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（二）出现影响采购公正的违法、违规行为的；</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（三）投标人的报价均超过了采购预算，采购人不能支付的；</w:t>
      </w:r>
    </w:p>
    <w:p>
      <w:pPr>
        <w:widowControl/>
        <w:spacing w:line="380" w:lineRule="atLeast"/>
        <w:jc w:val="left"/>
        <w:rPr>
          <w:rFonts w:hint="eastAsia" w:ascii="宋体" w:hAnsi="宋体" w:cs="宋体"/>
          <w:color w:val="000000"/>
          <w:kern w:val="0"/>
          <w:sz w:val="24"/>
        </w:rPr>
      </w:pPr>
      <w:r>
        <w:rPr>
          <w:rFonts w:hint="eastAsia" w:ascii="宋体" w:hAnsi="宋体" w:cs="宋体"/>
          <w:color w:val="000000"/>
          <w:kern w:val="0"/>
          <w:sz w:val="24"/>
        </w:rPr>
        <w:t>　　（四）因重大变故，采购任务取消的。</w:t>
      </w:r>
    </w:p>
    <w:p>
      <w:pPr>
        <w:autoSpaceDE w:val="0"/>
        <w:autoSpaceDN w:val="0"/>
        <w:adjustRightInd w:val="0"/>
        <w:spacing w:line="440" w:lineRule="exact"/>
        <w:ind w:firstLine="570"/>
        <w:rPr>
          <w:rFonts w:hint="eastAsia" w:ascii="宋体" w:hAnsi="宋体" w:cs="宋体"/>
          <w:color w:val="000000"/>
          <w:kern w:val="0"/>
          <w:sz w:val="24"/>
          <w:lang w:val="zh-CN"/>
        </w:rPr>
      </w:pPr>
      <w:r>
        <w:rPr>
          <w:rFonts w:hint="eastAsia" w:ascii="宋体" w:hAnsi="宋体" w:cs="宋体"/>
          <w:color w:val="000000"/>
          <w:kern w:val="0"/>
          <w:sz w:val="24"/>
          <w:lang w:val="zh-CN"/>
        </w:rPr>
        <w:t>第一条款按照有关法律法规，除作为废标外可经批准后继续按原采购方式进行或采取其它采购方式。废标后，招标采购单位将就废标理由通知所有投标人。</w:t>
      </w:r>
    </w:p>
    <w:p>
      <w:pPr>
        <w:pStyle w:val="7"/>
        <w:spacing w:line="440" w:lineRule="exact"/>
        <w:ind w:firstLine="0"/>
        <w:rPr>
          <w:rFonts w:hint="eastAsia" w:hAnsi="宋体" w:cs="宋体"/>
          <w:b/>
          <w:color w:val="000000"/>
          <w:sz w:val="24"/>
        </w:rPr>
      </w:pPr>
      <w:r>
        <w:rPr>
          <w:rFonts w:hint="eastAsia" w:hAnsi="宋体" w:cs="宋体"/>
          <w:b/>
          <w:color w:val="000000"/>
          <w:sz w:val="24"/>
        </w:rPr>
        <w:t>28、评标内容的保密</w:t>
      </w:r>
    </w:p>
    <w:p>
      <w:pPr>
        <w:pStyle w:val="32"/>
        <w:spacing w:before="0" w:line="440" w:lineRule="exact"/>
        <w:ind w:firstLine="480"/>
        <w:rPr>
          <w:rFonts w:hint="eastAsia" w:ascii="宋体" w:hAnsi="宋体" w:cs="宋体"/>
          <w:color w:val="000000"/>
          <w:szCs w:val="24"/>
        </w:rPr>
      </w:pPr>
      <w:r>
        <w:rPr>
          <w:rFonts w:hint="eastAsia" w:ascii="宋体" w:hAnsi="宋体" w:cs="宋体"/>
          <w:color w:val="000000"/>
          <w:szCs w:val="24"/>
        </w:rPr>
        <w:t>28.1、凡属于审查、澄清、评价和比较投标的所有资料，不应向投标人或与评标无关的其他人泄漏。</w:t>
      </w:r>
    </w:p>
    <w:p>
      <w:pPr>
        <w:pStyle w:val="32"/>
        <w:spacing w:before="0" w:line="440" w:lineRule="exact"/>
        <w:ind w:firstLine="480"/>
        <w:rPr>
          <w:rFonts w:hint="eastAsia" w:ascii="宋体" w:hAnsi="宋体" w:cs="宋体"/>
          <w:color w:val="000000"/>
          <w:szCs w:val="24"/>
        </w:rPr>
      </w:pPr>
      <w:r>
        <w:rPr>
          <w:rFonts w:hint="eastAsia" w:ascii="宋体" w:hAnsi="宋体" w:cs="宋体"/>
          <w:color w:val="000000"/>
          <w:szCs w:val="24"/>
        </w:rPr>
        <w:t>28.2、在投标文件的审查、澄清、评价和比较以及确定中标单位过程中，投标人对采购代理机构和评标委员会施加影响的违规行为，都将导致其不被推荐为中标候选人。</w:t>
      </w:r>
    </w:p>
    <w:p>
      <w:pPr>
        <w:pStyle w:val="32"/>
        <w:spacing w:before="0" w:line="440" w:lineRule="exact"/>
        <w:ind w:firstLine="482"/>
        <w:jc w:val="center"/>
        <w:rPr>
          <w:rFonts w:hint="eastAsia" w:ascii="宋体" w:hAnsi="宋体" w:cs="宋体"/>
          <w:b/>
          <w:color w:val="000000"/>
          <w:szCs w:val="24"/>
        </w:rPr>
      </w:pPr>
      <w:r>
        <w:rPr>
          <w:rFonts w:hint="eastAsia" w:ascii="宋体" w:hAnsi="宋体" w:cs="宋体"/>
          <w:b/>
          <w:color w:val="000000"/>
          <w:szCs w:val="24"/>
        </w:rPr>
        <w:t>八、定标</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 xml:space="preserve">29、 </w:t>
      </w:r>
      <w:r>
        <w:rPr>
          <w:rFonts w:hint="eastAsia" w:ascii="宋体" w:hAnsi="宋体" w:cs="宋体"/>
          <w:b/>
          <w:color w:val="000000"/>
        </w:rPr>
        <w:t>推荐中标单位</w:t>
      </w:r>
    </w:p>
    <w:p>
      <w:pPr>
        <w:pStyle w:val="32"/>
        <w:spacing w:before="0" w:line="440" w:lineRule="exact"/>
        <w:ind w:firstLine="480"/>
        <w:rPr>
          <w:rFonts w:hint="eastAsia" w:ascii="宋体" w:hAnsi="宋体" w:cs="宋体"/>
          <w:color w:val="000000"/>
          <w:u w:val="single"/>
        </w:rPr>
      </w:pPr>
      <w:r>
        <w:rPr>
          <w:rFonts w:hint="eastAsia" w:ascii="宋体" w:hAnsi="宋体" w:cs="宋体"/>
          <w:color w:val="000000"/>
          <w:szCs w:val="24"/>
        </w:rPr>
        <w:t>29.</w:t>
      </w:r>
      <w:r>
        <w:rPr>
          <w:rFonts w:hint="eastAsia" w:ascii="宋体" w:hAnsi="宋体" w:cs="宋体"/>
          <w:color w:val="000000"/>
          <w:szCs w:val="24"/>
          <w:u w:val="single"/>
        </w:rPr>
        <w:t>1、</w:t>
      </w:r>
      <w:r>
        <w:rPr>
          <w:rFonts w:hint="eastAsia" w:ascii="宋体" w:hAnsi="宋体" w:cs="宋体"/>
          <w:b/>
          <w:bCs/>
          <w:color w:val="000000"/>
          <w:szCs w:val="24"/>
          <w:u w:val="single"/>
        </w:rPr>
        <w:t>综合评分法：</w:t>
      </w:r>
      <w:r>
        <w:rPr>
          <w:rFonts w:hint="eastAsia" w:ascii="宋体" w:hAnsi="宋体" w:cs="宋体"/>
          <w:color w:val="000000"/>
          <w:szCs w:val="24"/>
          <w:u w:val="single"/>
        </w:rPr>
        <w:t>评标委员会将根据招标文件和有关规定，履行评标工作职责，以评标原则和评标办法为标准，全面衡量各投标人对招标文件的响应情况后，对实质上响应招标要求的投标人，以招标文件规定的</w:t>
      </w:r>
      <w:r>
        <w:rPr>
          <w:rFonts w:hint="eastAsia" w:ascii="宋体" w:hAnsi="宋体" w:cs="宋体"/>
          <w:color w:val="000000"/>
          <w:kern w:val="0"/>
          <w:u w:val="single"/>
          <w:lang w:val="zh-CN"/>
        </w:rPr>
        <w:t>打分方法</w:t>
      </w:r>
      <w:r>
        <w:rPr>
          <w:rFonts w:hint="eastAsia" w:ascii="宋体" w:hAnsi="宋体" w:cs="宋体"/>
          <w:color w:val="000000"/>
          <w:u w:val="single"/>
        </w:rPr>
        <w:t>对各投标人</w:t>
      </w:r>
      <w:r>
        <w:rPr>
          <w:rFonts w:hint="eastAsia" w:ascii="宋体" w:hAnsi="宋体" w:cs="宋体"/>
          <w:color w:val="000000"/>
          <w:kern w:val="0"/>
          <w:u w:val="single"/>
          <w:lang w:val="zh-CN"/>
        </w:rPr>
        <w:t>进行综合评审，按评审后得分由高到低顺序排列。得分相同的，按投标报价由低到高顺序排列；得分且投标报价相同的，按技术指标优劣顺序排列。</w:t>
      </w:r>
      <w:r>
        <w:rPr>
          <w:rFonts w:hint="eastAsia" w:ascii="宋体" w:hAnsi="宋体" w:cs="宋体"/>
          <w:color w:val="000000"/>
          <w:u w:val="single"/>
          <w:lang w:val="zh-CN"/>
        </w:rPr>
        <w:t>按</w:t>
      </w:r>
      <w:r>
        <w:rPr>
          <w:rFonts w:hint="eastAsia" w:ascii="宋体" w:hAnsi="宋体" w:cs="宋体"/>
          <w:color w:val="000000"/>
          <w:u w:val="single"/>
        </w:rPr>
        <w:t>顺序</w:t>
      </w:r>
      <w:r>
        <w:rPr>
          <w:rFonts w:hint="eastAsia" w:ascii="宋体" w:hAnsi="宋体" w:cs="宋体"/>
          <w:color w:val="000000"/>
          <w:u w:val="single"/>
          <w:lang w:val="zh-CN"/>
        </w:rPr>
        <w:t>推荐中标候选人</w:t>
      </w:r>
      <w:r>
        <w:rPr>
          <w:rFonts w:hint="eastAsia" w:ascii="宋体" w:hAnsi="宋体" w:cs="宋体"/>
          <w:color w:val="000000"/>
          <w:u w:val="single"/>
        </w:rPr>
        <w:t>。</w:t>
      </w:r>
    </w:p>
    <w:p>
      <w:pPr>
        <w:pStyle w:val="32"/>
        <w:spacing w:before="0" w:line="440" w:lineRule="exact"/>
        <w:ind w:firstLine="480"/>
        <w:rPr>
          <w:rFonts w:hint="eastAsia" w:ascii="宋体" w:hAnsi="宋体" w:cs="宋体"/>
          <w:color w:val="000000"/>
          <w:u w:val="single"/>
        </w:rPr>
      </w:pPr>
      <w:r>
        <w:rPr>
          <w:rFonts w:hint="eastAsia" w:ascii="宋体" w:hAnsi="宋体" w:cs="宋体"/>
          <w:color w:val="000000"/>
          <w:szCs w:val="24"/>
          <w:u w:val="single"/>
        </w:rPr>
        <w:t xml:space="preserve">  </w:t>
      </w:r>
      <w:r>
        <w:rPr>
          <w:rFonts w:hint="eastAsia" w:ascii="宋体" w:hAnsi="宋体" w:cs="宋体"/>
          <w:b/>
          <w:bCs/>
          <w:color w:val="000000"/>
          <w:szCs w:val="24"/>
          <w:u w:val="single"/>
        </w:rPr>
        <w:t>最低评标价法：</w:t>
      </w:r>
      <w:r>
        <w:rPr>
          <w:rFonts w:hint="eastAsia" w:ascii="宋体" w:hAnsi="宋体" w:cs="宋体"/>
          <w:color w:val="000000"/>
          <w:szCs w:val="24"/>
          <w:u w:val="single"/>
        </w:rPr>
        <w:t>评标委员会将根据招标文件和有关规定，履行评标工作职责，全面衡量各投标人对招标文件的响应情况后，对实质上响应招标要求的投标人，按评审后在全部满足采购文件实质性要求前提下，依据报价由低到高顺序排列。按顺序推荐中标候选人。</w:t>
      </w:r>
    </w:p>
    <w:p>
      <w:pPr>
        <w:pStyle w:val="32"/>
        <w:spacing w:before="0" w:line="440" w:lineRule="exact"/>
        <w:ind w:firstLine="480"/>
        <w:rPr>
          <w:rFonts w:hint="eastAsia" w:ascii="宋体" w:hAnsi="宋体" w:cs="宋体"/>
          <w:color w:val="000000"/>
        </w:rPr>
      </w:pPr>
      <w:r>
        <w:rPr>
          <w:rFonts w:hint="eastAsia" w:ascii="宋体" w:hAnsi="宋体" w:cs="宋体"/>
          <w:color w:val="000000"/>
          <w:szCs w:val="24"/>
        </w:rPr>
        <w:t>29.2、</w:t>
      </w:r>
      <w:r>
        <w:rPr>
          <w:rFonts w:hint="eastAsia" w:ascii="宋体" w:hAnsi="宋体" w:cs="宋体"/>
          <w:color w:val="000000"/>
        </w:rPr>
        <w:t>评标结果报经批准，最终确定中标单位。</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30、定标</w:t>
      </w:r>
    </w:p>
    <w:p>
      <w:pPr>
        <w:pStyle w:val="32"/>
        <w:spacing w:before="0" w:line="440" w:lineRule="exact"/>
        <w:ind w:firstLine="480"/>
        <w:rPr>
          <w:rFonts w:hint="eastAsia" w:ascii="宋体" w:hAnsi="宋体" w:cs="宋体"/>
          <w:color w:val="000000"/>
          <w:szCs w:val="24"/>
        </w:rPr>
      </w:pPr>
      <w:r>
        <w:rPr>
          <w:rFonts w:hint="eastAsia" w:ascii="宋体" w:hAnsi="宋体" w:cs="宋体"/>
          <w:color w:val="000000"/>
          <w:szCs w:val="24"/>
        </w:rPr>
        <w:t>30.1、招标采购单位将在中标供应商确定之日起2个工作日内，将中标公告发布于以下网站：</w:t>
      </w:r>
    </w:p>
    <w:p>
      <w:pPr>
        <w:pStyle w:val="32"/>
        <w:spacing w:before="0" w:line="440" w:lineRule="exact"/>
        <w:ind w:firstLine="480"/>
        <w:rPr>
          <w:rFonts w:hint="eastAsia" w:ascii="宋体" w:hAnsi="宋体" w:cs="宋体"/>
          <w:color w:val="000000"/>
          <w:szCs w:val="24"/>
        </w:rPr>
      </w:pPr>
      <w:r>
        <w:rPr>
          <w:rFonts w:hint="eastAsia" w:ascii="宋体" w:hAnsi="宋体" w:cs="宋体"/>
          <w:color w:val="000000"/>
          <w:szCs w:val="24"/>
        </w:rPr>
        <w:t>浙江政府采购网(</w:t>
      </w:r>
      <w:r>
        <w:rPr>
          <w:rFonts w:hint="eastAsia" w:ascii="宋体" w:hAnsi="宋体" w:cs="宋体"/>
          <w:color w:val="000000"/>
          <w:szCs w:val="24"/>
        </w:rPr>
        <w:fldChar w:fldCharType="begin"/>
      </w:r>
      <w:r>
        <w:rPr>
          <w:rFonts w:hint="eastAsia" w:ascii="宋体" w:hAnsi="宋体" w:cs="宋体"/>
          <w:color w:val="000000"/>
          <w:szCs w:val="24"/>
        </w:rPr>
        <w:instrText xml:space="preserve"> HYPERLINK "http://www.zjzfcg.gov.cn/" </w:instrText>
      </w:r>
      <w:r>
        <w:rPr>
          <w:rFonts w:hint="eastAsia" w:ascii="宋体" w:hAnsi="宋体" w:cs="宋体"/>
          <w:color w:val="000000"/>
          <w:szCs w:val="24"/>
        </w:rPr>
        <w:fldChar w:fldCharType="separate"/>
      </w:r>
      <w:r>
        <w:rPr>
          <w:rFonts w:hint="eastAsia" w:ascii="宋体" w:hAnsi="宋体" w:cs="宋体"/>
          <w:color w:val="000000"/>
          <w:szCs w:val="24"/>
        </w:rPr>
        <w:t>http://www.zjzfcg.gov.cn</w:t>
      </w:r>
      <w:r>
        <w:rPr>
          <w:rFonts w:hint="eastAsia" w:ascii="宋体" w:hAnsi="宋体" w:cs="宋体"/>
          <w:color w:val="000000"/>
          <w:szCs w:val="24"/>
        </w:rPr>
        <w:fldChar w:fldCharType="end"/>
      </w:r>
      <w:r>
        <w:rPr>
          <w:rFonts w:hint="eastAsia" w:ascii="宋体" w:hAnsi="宋体" w:cs="宋体"/>
          <w:color w:val="000000"/>
          <w:szCs w:val="24"/>
        </w:rPr>
        <w:t>)；</w:t>
      </w:r>
    </w:p>
    <w:p>
      <w:pPr>
        <w:pStyle w:val="32"/>
        <w:spacing w:before="0" w:line="440" w:lineRule="exact"/>
        <w:ind w:firstLine="480"/>
        <w:rPr>
          <w:rFonts w:hint="eastAsia" w:ascii="宋体" w:hAnsi="宋体" w:cs="宋体"/>
          <w:color w:val="000000"/>
          <w:szCs w:val="24"/>
        </w:rPr>
      </w:pPr>
      <w:r>
        <w:rPr>
          <w:rFonts w:hint="eastAsia" w:ascii="宋体" w:hAnsi="宋体" w:cs="宋体"/>
          <w:color w:val="000000"/>
          <w:szCs w:val="24"/>
        </w:rPr>
        <w:t>杭州市余杭区公共资源交易网（</w:t>
      </w:r>
      <w:r>
        <w:rPr>
          <w:rFonts w:hint="eastAsia" w:ascii="宋体" w:hAnsi="宋体" w:cs="宋体"/>
          <w:color w:val="000000"/>
          <w:szCs w:val="24"/>
        </w:rPr>
        <w:fldChar w:fldCharType="begin"/>
      </w:r>
      <w:r>
        <w:rPr>
          <w:rFonts w:hint="eastAsia" w:ascii="宋体" w:hAnsi="宋体" w:cs="宋体"/>
          <w:color w:val="000000"/>
          <w:szCs w:val="24"/>
        </w:rPr>
        <w:instrText xml:space="preserve"> HYPERLINK "http://www.yhggzy.com.cn" </w:instrText>
      </w:r>
      <w:r>
        <w:rPr>
          <w:rFonts w:hint="eastAsia" w:ascii="宋体" w:hAnsi="宋体" w:cs="宋体"/>
          <w:color w:val="000000"/>
          <w:szCs w:val="24"/>
        </w:rPr>
        <w:fldChar w:fldCharType="separate"/>
      </w:r>
      <w:r>
        <w:rPr>
          <w:rFonts w:hint="eastAsia" w:ascii="宋体" w:hAnsi="宋体" w:cs="宋体"/>
          <w:color w:val="000000"/>
          <w:szCs w:val="24"/>
        </w:rPr>
        <w:t>http://www.yhggzy.com.cn</w:t>
      </w:r>
      <w:r>
        <w:rPr>
          <w:rFonts w:hint="eastAsia" w:ascii="宋体" w:hAnsi="宋体" w:cs="宋体"/>
          <w:color w:val="000000"/>
          <w:szCs w:val="24"/>
        </w:rPr>
        <w:fldChar w:fldCharType="end"/>
      </w:r>
      <w:r>
        <w:rPr>
          <w:rFonts w:hint="eastAsia" w:ascii="宋体" w:hAnsi="宋体" w:cs="宋体"/>
          <w:color w:val="000000"/>
          <w:szCs w:val="24"/>
        </w:rPr>
        <w:t>）；</w:t>
      </w:r>
    </w:p>
    <w:p>
      <w:pPr>
        <w:pStyle w:val="32"/>
        <w:spacing w:before="0" w:line="440" w:lineRule="exact"/>
        <w:ind w:firstLine="480"/>
        <w:rPr>
          <w:rFonts w:hint="eastAsia" w:ascii="宋体" w:hAnsi="宋体" w:cs="宋体"/>
          <w:color w:val="000000"/>
          <w:szCs w:val="24"/>
        </w:rPr>
      </w:pPr>
      <w:r>
        <w:rPr>
          <w:rFonts w:hint="eastAsia" w:ascii="宋体" w:hAnsi="宋体" w:cs="宋体"/>
          <w:color w:val="000000"/>
          <w:szCs w:val="24"/>
        </w:rPr>
        <w:t>对于未中标单位，将不再另行通知，招标采购单位无义务解释未中标原因。</w:t>
      </w:r>
    </w:p>
    <w:p>
      <w:pPr>
        <w:pStyle w:val="32"/>
        <w:spacing w:before="0" w:line="440" w:lineRule="exact"/>
        <w:ind w:firstLine="480"/>
        <w:rPr>
          <w:rFonts w:hint="eastAsia" w:ascii="宋体" w:hAnsi="宋体" w:cs="宋体"/>
          <w:color w:val="000000"/>
        </w:rPr>
      </w:pPr>
      <w:r>
        <w:rPr>
          <w:rFonts w:hint="eastAsia" w:ascii="宋体" w:hAnsi="宋体" w:cs="宋体"/>
          <w:color w:val="000000"/>
          <w:szCs w:val="24"/>
        </w:rPr>
        <w:t>30.2、</w:t>
      </w:r>
      <w:r>
        <w:rPr>
          <w:rFonts w:hint="eastAsia" w:ascii="宋体" w:hAnsi="宋体" w:cs="宋体"/>
          <w:color w:val="000000"/>
        </w:rPr>
        <w:t>中标公告发布后，招标采购单位将以书面形式发出中标通知书，中标通知书一经发出即发生法律效力。中标通知书将作为签订合同的依据。</w:t>
      </w:r>
    </w:p>
    <w:p>
      <w:pPr>
        <w:pStyle w:val="32"/>
        <w:spacing w:before="0" w:line="440" w:lineRule="exact"/>
        <w:ind w:firstLine="482"/>
        <w:jc w:val="center"/>
        <w:rPr>
          <w:rFonts w:hint="eastAsia" w:ascii="宋体" w:hAnsi="宋体" w:cs="宋体"/>
          <w:b/>
          <w:color w:val="000000"/>
          <w:szCs w:val="24"/>
        </w:rPr>
      </w:pPr>
      <w:r>
        <w:rPr>
          <w:rFonts w:hint="eastAsia" w:ascii="宋体" w:hAnsi="宋体" w:cs="宋体"/>
          <w:b/>
          <w:color w:val="000000"/>
          <w:szCs w:val="24"/>
        </w:rPr>
        <w:t>九、合同签订及其他</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31、签订合同</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31.1、采购人与中标单位应当在中标通知书发出之日起30日内签订政府采购合同。</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31.2、招标文件、中标单位的投标文件、澄清文件及中标通知书等，均为签订合同的依据。</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31.3、中标单位不遵守招标文件或投标文件的要约、承诺</w:t>
      </w:r>
      <w:r>
        <w:rPr>
          <w:rFonts w:hint="eastAsia" w:ascii="宋体" w:hAnsi="宋体" w:cs="宋体"/>
          <w:sz w:val="24"/>
        </w:rPr>
        <w:t>，</w:t>
      </w:r>
      <w:r>
        <w:rPr>
          <w:rFonts w:hint="eastAsia" w:ascii="宋体" w:hAnsi="宋体" w:cs="宋体"/>
          <w:color w:val="000000"/>
          <w:sz w:val="24"/>
        </w:rPr>
        <w:t>擅自修改报价或在接到中标通知书规定时间内借故拖延、拒签合同者，招标采购单位不予退还投标保证金。同时，招标采购单位有权取消该单位的中标资格，与下一中标候选人签订合同或重新组织招标。</w:t>
      </w:r>
    </w:p>
    <w:p>
      <w:pPr>
        <w:adjustRightInd w:val="0"/>
        <w:snapToGrid w:val="0"/>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31.4、采购人与中标单位签订合同并经杭州金信工程造价咨询事务所有限公司鉴证后生效。</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32、合同备案</w:t>
      </w:r>
    </w:p>
    <w:p>
      <w:pPr>
        <w:pStyle w:val="32"/>
        <w:spacing w:before="0" w:line="440" w:lineRule="exact"/>
        <w:ind w:firstLine="470" w:firstLineChars="196"/>
        <w:rPr>
          <w:rFonts w:hint="eastAsia" w:ascii="宋体" w:hAnsi="宋体" w:cs="宋体"/>
          <w:b/>
          <w:color w:val="000000"/>
          <w:szCs w:val="24"/>
        </w:rPr>
      </w:pPr>
      <w:r>
        <w:rPr>
          <w:rFonts w:hint="eastAsia" w:ascii="宋体" w:hAnsi="宋体" w:cs="宋体"/>
          <w:color w:val="000000"/>
          <w:szCs w:val="24"/>
        </w:rPr>
        <w:t>政府采购合同一式多份，除单次采购金额在十万元以上的货物类采购项目须提供三份外，其余须提供两份到杭州金信工程造价咨询事务所有限公司备案。</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33、履约保证金、质量保证金</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33.1、履约保证金、质量保证金根据不同采购人的采购需求而定。</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33.2、履约保证金、质量保证金均由采购人收取。</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34、验收</w:t>
      </w:r>
    </w:p>
    <w:p>
      <w:pPr>
        <w:adjustRightInd w:val="0"/>
        <w:snapToGrid w:val="0"/>
        <w:spacing w:line="440" w:lineRule="exact"/>
        <w:ind w:firstLine="482" w:firstLineChars="200"/>
        <w:rPr>
          <w:rFonts w:hint="eastAsia" w:ascii="宋体" w:hAnsi="宋体" w:cs="宋体"/>
          <w:color w:val="000000"/>
          <w:sz w:val="24"/>
        </w:rPr>
      </w:pPr>
      <w:r>
        <w:rPr>
          <w:rFonts w:hint="eastAsia" w:ascii="宋体" w:hAnsi="宋体" w:cs="宋体"/>
          <w:b/>
          <w:bCs/>
          <w:color w:val="000000"/>
          <w:sz w:val="24"/>
        </w:rPr>
        <w:t>货物类：</w:t>
      </w:r>
      <w:r>
        <w:rPr>
          <w:rFonts w:hint="eastAsia" w:ascii="宋体" w:hAnsi="宋体" w:cs="宋体"/>
          <w:color w:val="000000"/>
          <w:sz w:val="24"/>
        </w:rPr>
        <w:t>根据《关于进一步加强政府采购验收工作的意见》的通知，对于单次采购金额在十万元以上的货物类采购项目（除国家规定应由专业机构强制检测或已聘请专业监理公司监理的采购项目），委托余杭区质量计量监测中心政府采购验收办公室进行验收。对不按招标文件、投标承诺及政府采购合同要求供货的供应商，将依据《中华人民共和国政府采购法》、《中华人民共和国政府采购法实施条例》等相关法律法规的规定，列入不良行为记录名单，给予1至3年内禁止参加政府采购活动的处罚，同时将处罚结果上网进行公示。</w:t>
      </w:r>
    </w:p>
    <w:p>
      <w:pPr>
        <w:pStyle w:val="32"/>
        <w:spacing w:before="0" w:line="440" w:lineRule="exact"/>
        <w:ind w:firstLine="0" w:firstLineChars="0"/>
        <w:rPr>
          <w:rFonts w:hint="eastAsia" w:ascii="宋体" w:hAnsi="宋体" w:cs="宋体"/>
          <w:b/>
          <w:color w:val="000000"/>
          <w:szCs w:val="24"/>
        </w:rPr>
      </w:pPr>
      <w:r>
        <w:rPr>
          <w:rFonts w:hint="eastAsia" w:ascii="宋体" w:hAnsi="宋体" w:cs="宋体"/>
          <w:b/>
          <w:color w:val="000000"/>
          <w:szCs w:val="24"/>
        </w:rPr>
        <w:t>35、质疑与投诉</w:t>
      </w:r>
    </w:p>
    <w:p>
      <w:pPr>
        <w:adjustRightInd w:val="0"/>
        <w:snapToGrid w:val="0"/>
        <w:spacing w:line="360" w:lineRule="auto"/>
        <w:ind w:firstLine="480" w:firstLineChars="200"/>
        <w:rPr>
          <w:rFonts w:hint="eastAsia" w:ascii="宋体" w:hAnsi="宋体" w:cs="宋体"/>
          <w:b/>
          <w:bCs/>
          <w:color w:val="000000"/>
          <w:sz w:val="24"/>
        </w:rPr>
      </w:pPr>
      <w:r>
        <w:rPr>
          <w:rFonts w:hint="eastAsia" w:ascii="宋体" w:hAnsi="宋体" w:cs="宋体"/>
          <w:color w:val="000000"/>
          <w:sz w:val="24"/>
        </w:rPr>
        <w:t>35.1、投标人如认为招标公告信息使自身的合法权益受到损害的，应于自招标公告发布之日起七个工作日内以书面形式向采购代理机构提出质疑。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35.2、投标人如认为招标文件使自身的合法权益受到损害的，应于自获取招标文件之日起七个工作日内（招标文件获取截止时间之后获取的，应于自招标文件获取截止时间之日起七个工作日内），且应当在投标响应截止时间之前以书面形式向采购代理机构提出，否则，采购代理机构可不予接受。</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35.3、投标人如认为采购过程使自身的合法权益受到损害的，应于自各采购程序环节结束之日起七个工作日内，以书面形式向采购代理机构提出质疑。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35.4、投标人如认为中标结果使自身的合法权益受到损害的，应于自中标结果公告期限（公告期限为1个工作日）届满之日起七个工作日内，以书面形式向采购代理机构提出质疑。</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35.5、投标人对采购代理机构的质疑答复不满意或者采购代理机构未在规定时间内作出答复的，可以在答复期满后十五个工作日内向同级政府采购监督管理部门余杭区财政局采购监管科投诉，联系电话为0571-89180113。</w:t>
      </w:r>
    </w:p>
    <w:p>
      <w:pPr>
        <w:spacing w:line="360" w:lineRule="auto"/>
        <w:rPr>
          <w:rFonts w:hint="eastAsia" w:ascii="宋体" w:hAnsi="宋体" w:cs="宋体"/>
          <w:sz w:val="24"/>
        </w:rPr>
      </w:pPr>
    </w:p>
    <w:p>
      <w:pPr>
        <w:adjustRightInd w:val="0"/>
        <w:snapToGrid w:val="0"/>
        <w:spacing w:line="400" w:lineRule="atLeast"/>
        <w:ind w:firstLine="96" w:firstLineChars="40"/>
        <w:jc w:val="center"/>
        <w:rPr>
          <w:b/>
          <w:bCs/>
          <w:color w:val="000000"/>
          <w:szCs w:val="21"/>
        </w:rPr>
      </w:pPr>
      <w:r>
        <w:rPr>
          <w:b/>
          <w:bCs/>
          <w:color w:val="000000"/>
          <w:sz w:val="24"/>
        </w:rPr>
        <w:t>第二节   投标人须知之专用条款</w:t>
      </w:r>
    </w:p>
    <w:p>
      <w:pPr>
        <w:ind w:firstLine="480" w:firstLineChars="200"/>
        <w:rPr>
          <w:rFonts w:ascii="宋体" w:hAnsi="宋体" w:cs="宋体"/>
          <w:sz w:val="24"/>
        </w:rPr>
      </w:pPr>
      <w:r>
        <w:rPr>
          <w:rFonts w:hint="eastAsia" w:ascii="宋体" w:hAnsi="宋体" w:cs="宋体"/>
          <w:sz w:val="24"/>
        </w:rPr>
        <w:t>36、投标文件组成</w:t>
      </w:r>
      <w:r>
        <w:rPr>
          <w:rFonts w:hint="eastAsia" w:ascii="宋体" w:hAnsi="宋体" w:cs="宋体"/>
          <w:b/>
          <w:bCs/>
          <w:sz w:val="24"/>
        </w:rPr>
        <w:t>（加“▲”的资料为必须提供，否则将视为无效标处理）</w:t>
      </w:r>
    </w:p>
    <w:p>
      <w:pPr>
        <w:ind w:firstLine="480" w:firstLineChars="200"/>
        <w:rPr>
          <w:rFonts w:ascii="宋体" w:hAnsi="宋体" w:cs="宋体"/>
          <w:sz w:val="24"/>
        </w:rPr>
      </w:pPr>
      <w:r>
        <w:rPr>
          <w:rFonts w:hint="eastAsia" w:ascii="宋体" w:hAnsi="宋体" w:cs="宋体"/>
          <w:sz w:val="24"/>
        </w:rPr>
        <w:t>部分格式可参考“第五部分 投标文件格式”，未提供参考格式的由投标人根据相关要求自行编制。投标文件一般应当包括以下主要内容：报价文件和技术文件、商务文件。</w:t>
      </w:r>
    </w:p>
    <w:p>
      <w:pPr>
        <w:ind w:firstLine="482" w:firstLineChars="200"/>
        <w:rPr>
          <w:rFonts w:ascii="宋体" w:hAnsi="宋体" w:cs="宋体"/>
          <w:b/>
          <w:bCs/>
          <w:sz w:val="24"/>
        </w:rPr>
      </w:pPr>
      <w:r>
        <w:rPr>
          <w:rFonts w:hint="eastAsia" w:ascii="宋体" w:hAnsi="宋体" w:cs="宋体"/>
          <w:b/>
          <w:bCs/>
          <w:sz w:val="24"/>
        </w:rPr>
        <w:t>注意：投标文件封面、开标一览表、投标响应函、授权委托书须加盖单位公章，开标一览表、投标响应函须经法定代表人（或授权代表）签字，否则视为无效投标。</w:t>
      </w:r>
    </w:p>
    <w:p>
      <w:pPr>
        <w:ind w:firstLine="480" w:firstLineChars="200"/>
        <w:rPr>
          <w:rFonts w:ascii="宋体" w:hAnsi="宋体" w:cs="宋体"/>
          <w:sz w:val="24"/>
        </w:rPr>
      </w:pPr>
      <w:r>
        <w:rPr>
          <w:rFonts w:hint="eastAsia" w:ascii="宋体" w:hAnsi="宋体" w:cs="宋体"/>
          <w:sz w:val="24"/>
        </w:rPr>
        <w:t>36.1、报价文件（单独密封），</w:t>
      </w:r>
      <w:r>
        <w:rPr>
          <w:rFonts w:hint="eastAsia" w:ascii="宋体" w:hAnsi="宋体" w:cs="宋体"/>
          <w:sz w:val="24"/>
          <w:lang w:val="zh-CN"/>
        </w:rPr>
        <w:t>应包括以下内容</w:t>
      </w:r>
      <w:r>
        <w:rPr>
          <w:rFonts w:hint="eastAsia" w:ascii="宋体" w:hAnsi="宋体" w:cs="宋体"/>
          <w:sz w:val="24"/>
        </w:rPr>
        <w:t>：</w:t>
      </w:r>
    </w:p>
    <w:p>
      <w:pPr>
        <w:ind w:firstLine="482" w:firstLineChars="200"/>
        <w:rPr>
          <w:rFonts w:ascii="宋体" w:hAnsi="宋体" w:cs="宋体"/>
          <w:b/>
          <w:bCs/>
          <w:sz w:val="24"/>
        </w:rPr>
      </w:pPr>
      <w:r>
        <w:rPr>
          <w:rFonts w:hint="eastAsia" w:ascii="宋体" w:hAnsi="宋体" w:cs="宋体"/>
          <w:b/>
          <w:bCs/>
          <w:sz w:val="24"/>
        </w:rPr>
        <w:t>▲1）开标一览表；</w:t>
      </w:r>
    </w:p>
    <w:p>
      <w:pPr>
        <w:ind w:firstLine="482" w:firstLineChars="200"/>
        <w:rPr>
          <w:rFonts w:ascii="宋体" w:hAnsi="宋体" w:cs="宋体"/>
          <w:b/>
          <w:bCs/>
          <w:sz w:val="24"/>
        </w:rPr>
      </w:pPr>
      <w:r>
        <w:rPr>
          <w:rFonts w:hint="eastAsia" w:ascii="宋体" w:hAnsi="宋体" w:cs="宋体"/>
          <w:b/>
          <w:bCs/>
          <w:sz w:val="24"/>
        </w:rPr>
        <w:t>▲2）分项报价表；</w:t>
      </w:r>
    </w:p>
    <w:p>
      <w:pPr>
        <w:ind w:firstLine="480" w:firstLineChars="200"/>
        <w:rPr>
          <w:rFonts w:ascii="宋体" w:hAnsi="宋体" w:cs="宋体"/>
          <w:sz w:val="24"/>
        </w:rPr>
      </w:pPr>
      <w:r>
        <w:rPr>
          <w:rFonts w:hint="eastAsia" w:ascii="宋体" w:hAnsi="宋体" w:cs="宋体"/>
          <w:sz w:val="24"/>
        </w:rPr>
        <w:t>3）投标人认为需要提供的与本项目有关的其他文件和说明。</w:t>
      </w:r>
    </w:p>
    <w:p>
      <w:pPr>
        <w:ind w:firstLine="480" w:firstLineChars="200"/>
        <w:rPr>
          <w:rFonts w:ascii="宋体" w:hAnsi="宋体" w:cs="宋体"/>
          <w:sz w:val="24"/>
        </w:rPr>
      </w:pPr>
      <w:r>
        <w:rPr>
          <w:rFonts w:hint="eastAsia" w:ascii="宋体" w:hAnsi="宋体" w:cs="宋体"/>
          <w:sz w:val="24"/>
        </w:rPr>
        <w:t>投标报价注意事项：</w:t>
      </w:r>
    </w:p>
    <w:p>
      <w:pPr>
        <w:ind w:firstLine="480" w:firstLineChars="200"/>
        <w:rPr>
          <w:rFonts w:ascii="宋体" w:hAnsi="宋体" w:cs="宋体"/>
          <w:sz w:val="24"/>
        </w:rPr>
      </w:pPr>
      <w:r>
        <w:rPr>
          <w:rFonts w:hint="eastAsia" w:ascii="宋体" w:hAnsi="宋体" w:cs="宋体"/>
          <w:sz w:val="24"/>
        </w:rPr>
        <w:t>1）投标报价应包括物</w:t>
      </w:r>
      <w:r>
        <w:rPr>
          <w:rFonts w:hint="eastAsia" w:ascii="宋体" w:hAnsi="宋体" w:cs="宋体"/>
          <w:color w:val="000000"/>
          <w:sz w:val="24"/>
        </w:rPr>
        <w:t>资配送过程中需要配置的各种设备运输、装卸搬运、人工等费用及售后服务费、有关部门的验收费、政策性文件规定及合同包含的所有费用、责任等各</w:t>
      </w:r>
      <w:r>
        <w:rPr>
          <w:rFonts w:hint="eastAsia" w:ascii="宋体" w:hAnsi="宋体" w:cs="宋体"/>
          <w:sz w:val="24"/>
        </w:rPr>
        <w:t>项全部费用。</w:t>
      </w:r>
    </w:p>
    <w:p>
      <w:pPr>
        <w:ind w:firstLine="480" w:firstLineChars="200"/>
        <w:rPr>
          <w:rFonts w:ascii="宋体" w:hAnsi="宋体" w:cs="宋体"/>
          <w:sz w:val="24"/>
        </w:rPr>
      </w:pPr>
      <w:r>
        <w:rPr>
          <w:rFonts w:hint="eastAsia" w:ascii="宋体" w:hAnsi="宋体" w:cs="宋体"/>
          <w:sz w:val="24"/>
        </w:rPr>
        <w:t>2）投标报价应是唯一的，招标采购单位将拒绝有选择的报价。</w:t>
      </w:r>
    </w:p>
    <w:p>
      <w:pPr>
        <w:ind w:firstLine="480" w:firstLineChars="200"/>
        <w:rPr>
          <w:rFonts w:ascii="宋体" w:hAnsi="宋体" w:cs="宋体"/>
          <w:sz w:val="24"/>
        </w:rPr>
      </w:pPr>
      <w:r>
        <w:rPr>
          <w:rFonts w:hint="eastAsia" w:ascii="宋体" w:hAnsi="宋体" w:cs="宋体"/>
          <w:sz w:val="24"/>
        </w:rPr>
        <w:t>36.2、</w:t>
      </w:r>
      <w:r>
        <w:rPr>
          <w:rFonts w:hint="eastAsia" w:ascii="宋体" w:hAnsi="宋体" w:cs="宋体"/>
          <w:sz w:val="24"/>
          <w:lang w:val="zh-CN"/>
        </w:rPr>
        <w:t>技术文件应包括以下内容：</w:t>
      </w:r>
    </w:p>
    <w:p>
      <w:pPr>
        <w:ind w:firstLine="480" w:firstLineChars="200"/>
        <w:rPr>
          <w:rFonts w:ascii="宋体" w:hAnsi="宋体" w:cs="宋体"/>
          <w:sz w:val="24"/>
        </w:rPr>
      </w:pPr>
      <w:r>
        <w:rPr>
          <w:rFonts w:hint="eastAsia" w:ascii="宋体" w:hAnsi="宋体" w:cs="宋体"/>
          <w:sz w:val="24"/>
        </w:rPr>
        <w:t>1）目录；</w:t>
      </w:r>
    </w:p>
    <w:p>
      <w:pPr>
        <w:ind w:firstLine="480" w:firstLineChars="200"/>
        <w:rPr>
          <w:rFonts w:ascii="宋体" w:hAnsi="宋体" w:cs="宋体"/>
          <w:sz w:val="24"/>
        </w:rPr>
      </w:pPr>
      <w:r>
        <w:rPr>
          <w:rFonts w:hint="eastAsia" w:ascii="宋体" w:hAnsi="宋体" w:cs="宋体"/>
          <w:sz w:val="24"/>
        </w:rPr>
        <w:t>2）评分响应表；</w:t>
      </w:r>
    </w:p>
    <w:p>
      <w:pPr>
        <w:ind w:firstLine="482" w:firstLineChars="200"/>
        <w:rPr>
          <w:rFonts w:ascii="宋体" w:hAnsi="宋体" w:cs="宋体"/>
          <w:b/>
          <w:bCs/>
          <w:sz w:val="24"/>
        </w:rPr>
      </w:pPr>
      <w:r>
        <w:rPr>
          <w:rFonts w:hint="eastAsia" w:ascii="宋体" w:hAnsi="宋体" w:cs="宋体"/>
          <w:b/>
          <w:bCs/>
          <w:sz w:val="24"/>
        </w:rPr>
        <w:t>▲3）采购需求实质性内容响应表（格式见第五部分 投标文件格式）；</w:t>
      </w:r>
    </w:p>
    <w:p>
      <w:pPr>
        <w:ind w:firstLine="480" w:firstLineChars="200"/>
        <w:rPr>
          <w:rFonts w:ascii="宋体" w:hAnsi="宋体" w:cs="宋体"/>
          <w:sz w:val="24"/>
        </w:rPr>
      </w:pPr>
      <w:r>
        <w:rPr>
          <w:rFonts w:hint="eastAsia" w:ascii="宋体" w:hAnsi="宋体" w:cs="宋体"/>
          <w:sz w:val="24"/>
        </w:rPr>
        <w:t>4）对应技术分评分细则提供相关证明资料，并根据要求盖章、提供原件；</w:t>
      </w:r>
    </w:p>
    <w:p>
      <w:pPr>
        <w:ind w:firstLine="480" w:firstLineChars="200"/>
        <w:rPr>
          <w:rFonts w:ascii="宋体" w:hAnsi="宋体" w:cs="宋体"/>
          <w:sz w:val="24"/>
        </w:rPr>
      </w:pPr>
      <w:r>
        <w:rPr>
          <w:rFonts w:hint="eastAsia" w:ascii="宋体" w:hAnsi="宋体" w:cs="宋体"/>
          <w:sz w:val="24"/>
        </w:rPr>
        <w:t>5）投标人认为需要提供的与本项目有关的其他文件和说明。</w:t>
      </w:r>
    </w:p>
    <w:p>
      <w:pPr>
        <w:ind w:firstLine="480" w:firstLineChars="200"/>
        <w:rPr>
          <w:rFonts w:ascii="宋体" w:hAnsi="宋体" w:cs="宋体"/>
          <w:sz w:val="24"/>
          <w:lang w:val="zh-CN"/>
        </w:rPr>
      </w:pPr>
      <w:r>
        <w:rPr>
          <w:rFonts w:hint="eastAsia" w:ascii="宋体" w:hAnsi="宋体" w:cs="宋体"/>
          <w:sz w:val="24"/>
        </w:rPr>
        <w:t>36.3、</w:t>
      </w:r>
      <w:r>
        <w:rPr>
          <w:rFonts w:hint="eastAsia" w:ascii="宋体" w:hAnsi="宋体" w:cs="宋体"/>
          <w:sz w:val="24"/>
          <w:lang w:val="zh-CN"/>
        </w:rPr>
        <w:t>商务文件应包括以下内容：</w:t>
      </w:r>
    </w:p>
    <w:p>
      <w:pPr>
        <w:ind w:firstLine="480" w:firstLineChars="200"/>
        <w:rPr>
          <w:rFonts w:ascii="宋体" w:hAnsi="宋体" w:cs="宋体"/>
          <w:sz w:val="24"/>
        </w:rPr>
      </w:pPr>
      <w:r>
        <w:rPr>
          <w:rFonts w:hint="eastAsia" w:ascii="宋体" w:hAnsi="宋体" w:cs="宋体"/>
          <w:sz w:val="24"/>
        </w:rPr>
        <w:t>1）目录；</w:t>
      </w:r>
    </w:p>
    <w:p>
      <w:pPr>
        <w:ind w:firstLine="480" w:firstLineChars="200"/>
        <w:rPr>
          <w:rFonts w:ascii="宋体" w:hAnsi="宋体" w:cs="宋体"/>
          <w:sz w:val="24"/>
        </w:rPr>
      </w:pPr>
      <w:r>
        <w:rPr>
          <w:rFonts w:hint="eastAsia" w:ascii="宋体" w:hAnsi="宋体" w:cs="宋体"/>
          <w:sz w:val="24"/>
        </w:rPr>
        <w:t>2）评分响应表；</w:t>
      </w:r>
    </w:p>
    <w:p>
      <w:pPr>
        <w:ind w:firstLine="482" w:firstLineChars="200"/>
        <w:rPr>
          <w:rFonts w:ascii="宋体" w:hAnsi="宋体" w:cs="宋体"/>
          <w:b/>
          <w:bCs/>
          <w:sz w:val="24"/>
        </w:rPr>
      </w:pPr>
      <w:r>
        <w:rPr>
          <w:rFonts w:hint="eastAsia" w:ascii="宋体" w:hAnsi="宋体" w:cs="宋体"/>
          <w:b/>
          <w:bCs/>
          <w:sz w:val="24"/>
        </w:rPr>
        <w:t>▲3）营业执照（或事业单位法人登记证书或其他工商等登记证明材料）复印件；</w:t>
      </w:r>
    </w:p>
    <w:p>
      <w:pPr>
        <w:ind w:firstLine="482" w:firstLineChars="200"/>
        <w:rPr>
          <w:rFonts w:ascii="宋体" w:hAnsi="宋体" w:cs="宋体"/>
          <w:b/>
          <w:bCs/>
          <w:sz w:val="24"/>
        </w:rPr>
      </w:pPr>
      <w:r>
        <w:rPr>
          <w:rFonts w:hint="eastAsia" w:ascii="宋体" w:hAnsi="宋体" w:cs="宋体"/>
          <w:b/>
          <w:bCs/>
          <w:sz w:val="24"/>
        </w:rPr>
        <w:t>▲4）组织机构代码证、社保登记证（或供应商一年内缴纳过的社保缴纳花名册）、税务登记证复印件（持“五证合一”新版营业执照的投标人不要求提供组织机构代码证、社保登记证、税务登记证；持“三证合一”新版营业执照的投标人不要求提供组织机构代码证、税务登记证；个体工商户不要求提供组织机构代码证，持“两证整合”新版营业执照的个体工商户不要求提供税务登记证）；</w:t>
      </w:r>
    </w:p>
    <w:p>
      <w:pPr>
        <w:ind w:firstLine="723" w:firstLineChars="300"/>
        <w:rPr>
          <w:rFonts w:ascii="宋体" w:hAnsi="宋体" w:cs="宋体"/>
          <w:b/>
          <w:bCs/>
          <w:sz w:val="24"/>
        </w:rPr>
      </w:pPr>
      <w:r>
        <w:rPr>
          <w:rFonts w:hint="eastAsia" w:ascii="宋体" w:hAnsi="宋体" w:cs="宋体"/>
          <w:b/>
          <w:bCs/>
          <w:sz w:val="24"/>
        </w:rPr>
        <w:t>5）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pPr>
        <w:ind w:firstLine="482" w:firstLineChars="200"/>
        <w:rPr>
          <w:rFonts w:ascii="宋体" w:hAnsi="宋体" w:cs="宋体"/>
          <w:b/>
          <w:bCs/>
          <w:sz w:val="24"/>
        </w:rPr>
      </w:pPr>
      <w:r>
        <w:rPr>
          <w:rFonts w:hint="eastAsia" w:ascii="宋体" w:hAnsi="宋体" w:cs="宋体"/>
          <w:b/>
          <w:bCs/>
          <w:sz w:val="24"/>
        </w:rPr>
        <w:t>▲6）符合特定资格条件（如果项目要求）的有关证明材料（复印件）；</w:t>
      </w:r>
    </w:p>
    <w:p>
      <w:pPr>
        <w:ind w:firstLine="482" w:firstLineChars="200"/>
        <w:rPr>
          <w:rFonts w:ascii="宋体" w:hAnsi="宋体" w:cs="宋体"/>
          <w:b/>
          <w:bCs/>
          <w:sz w:val="24"/>
        </w:rPr>
      </w:pPr>
      <w:r>
        <w:rPr>
          <w:rFonts w:hint="eastAsia" w:ascii="宋体" w:hAnsi="宋体" w:cs="宋体"/>
          <w:b/>
          <w:bCs/>
          <w:sz w:val="24"/>
        </w:rPr>
        <w:t>▲7）投标响应函（必须按照第五部分 投标文件格式）；</w:t>
      </w:r>
    </w:p>
    <w:p>
      <w:pPr>
        <w:ind w:firstLine="482" w:firstLineChars="200"/>
        <w:rPr>
          <w:rFonts w:ascii="宋体" w:hAnsi="宋体" w:cs="宋体"/>
          <w:b/>
          <w:bCs/>
          <w:sz w:val="24"/>
        </w:rPr>
      </w:pPr>
      <w:r>
        <w:rPr>
          <w:rFonts w:hint="eastAsia" w:ascii="宋体" w:hAnsi="宋体" w:cs="宋体"/>
          <w:b/>
          <w:bCs/>
          <w:sz w:val="24"/>
        </w:rPr>
        <w:t>▲8）法定代表人授权委托书原件、法定代表人及授权代表的身份证正反面复印件（必须按照第五部分 投标文件格式，如法定代表人直接参加投标并对相应文件签字的，只需提供其身份证正反面复印件）；</w:t>
      </w:r>
    </w:p>
    <w:p>
      <w:pPr>
        <w:ind w:firstLine="482" w:firstLineChars="200"/>
        <w:rPr>
          <w:rFonts w:ascii="宋体" w:hAnsi="宋体" w:cs="宋体"/>
          <w:b/>
          <w:bCs/>
          <w:sz w:val="24"/>
        </w:rPr>
      </w:pPr>
      <w:r>
        <w:rPr>
          <w:rFonts w:hint="eastAsia" w:ascii="宋体" w:hAnsi="宋体" w:cs="宋体"/>
          <w:b/>
          <w:bCs/>
          <w:sz w:val="24"/>
        </w:rPr>
        <w:t>▲9）无失信行为承诺书（必须按照第五部分 投标文件格式）；</w:t>
      </w:r>
    </w:p>
    <w:p>
      <w:pPr>
        <w:ind w:firstLine="480" w:firstLineChars="200"/>
        <w:rPr>
          <w:rFonts w:ascii="宋体" w:hAnsi="宋体" w:cs="宋体"/>
          <w:sz w:val="24"/>
        </w:rPr>
      </w:pPr>
      <w:r>
        <w:rPr>
          <w:rFonts w:hint="eastAsia" w:ascii="宋体" w:hAnsi="宋体" w:cs="宋体"/>
          <w:sz w:val="24"/>
        </w:rPr>
        <w:t>10）中小企业证明材料（必须按照第五部分 投标文件格式）；</w:t>
      </w:r>
    </w:p>
    <w:p>
      <w:pPr>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）对应商务分评分细则提供相关证明资料，并根据要求盖章、提供原件；</w:t>
      </w:r>
    </w:p>
    <w:p>
      <w:pPr>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）投标人认为需要提供的与本项目有关的其他文件和说明。</w:t>
      </w:r>
    </w:p>
    <w:p>
      <w:pPr>
        <w:pStyle w:val="32"/>
        <w:spacing w:before="0" w:line="400" w:lineRule="atLeast"/>
        <w:ind w:firstLine="602" w:firstLineChars="250"/>
        <w:rPr>
          <w:rFonts w:ascii="Times New Roman" w:hAnsi="Times New Roman"/>
          <w:color w:val="000000"/>
        </w:rPr>
      </w:pPr>
      <w:r>
        <w:rPr>
          <w:rFonts w:ascii="Times New Roman" w:hAnsi="Times New Roman"/>
          <w:b/>
          <w:color w:val="000000"/>
        </w:rPr>
        <w:t>本次评标采用</w:t>
      </w:r>
      <w:bookmarkStart w:id="7" w:name="ruleMainCatName2"/>
      <w:r>
        <w:rPr>
          <w:rFonts w:ascii="Times New Roman" w:hAnsi="Times New Roman"/>
          <w:b/>
          <w:color w:val="000000"/>
        </w:rPr>
        <w:t>综合评分法</w:t>
      </w:r>
      <w:bookmarkEnd w:id="7"/>
      <w:r>
        <w:rPr>
          <w:rFonts w:ascii="Times New Roman" w:hAnsi="Times New Roman"/>
          <w:b/>
          <w:color w:val="000000"/>
        </w:rPr>
        <w:t>，总分为100分。</w:t>
      </w:r>
      <w:r>
        <w:rPr>
          <w:rFonts w:ascii="Times New Roman" w:hAnsi="Times New Roman"/>
          <w:color w:val="000000"/>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32"/>
        <w:spacing w:before="0" w:line="400" w:lineRule="atLeast"/>
        <w:ind w:firstLine="600" w:firstLineChars="250"/>
        <w:rPr>
          <w:rFonts w:ascii="Times New Roman" w:hAnsi="Times New Roman"/>
          <w:color w:val="000000"/>
        </w:rPr>
      </w:pPr>
      <w:r>
        <w:rPr>
          <w:rFonts w:ascii="Times New Roman" w:hAnsi="Times New Roman"/>
          <w:color w:val="000000"/>
        </w:rPr>
        <w:t>投标人评标综合得分=价格分+(技术、商务分)</w:t>
      </w:r>
    </w:p>
    <w:p>
      <w:pPr>
        <w:pStyle w:val="32"/>
        <w:spacing w:before="0"/>
        <w:ind w:firstLine="600" w:firstLineChars="250"/>
        <w:rPr>
          <w:rFonts w:ascii="宋体" w:hAnsi="宋体" w:cs="宋体"/>
        </w:rPr>
      </w:pPr>
      <w:bookmarkStart w:id="8" w:name="_Toc475713979"/>
      <w:bookmarkStart w:id="9" w:name="_Toc251227787"/>
      <w:bookmarkStart w:id="10" w:name="_Toc359943667"/>
      <w:bookmarkStart w:id="11" w:name="_Toc382810542"/>
      <w:r>
        <w:rPr>
          <w:rFonts w:hint="eastAsia" w:ascii="宋体" w:hAnsi="宋体" w:cs="宋体"/>
        </w:rPr>
        <w:t>37.2、评标内容及标准</w:t>
      </w:r>
    </w:p>
    <w:p>
      <w:pPr>
        <w:pStyle w:val="32"/>
        <w:spacing w:before="0"/>
        <w:ind w:firstLine="602" w:firstLineChars="250"/>
        <w:rPr>
          <w:rFonts w:ascii="宋体" w:hAnsi="宋体" w:cs="宋体"/>
          <w:b/>
        </w:rPr>
      </w:pPr>
      <w:r>
        <w:rPr>
          <w:rFonts w:hint="eastAsia" w:ascii="宋体" w:hAnsi="宋体" w:cs="宋体"/>
          <w:b/>
        </w:rPr>
        <w:t>37.2.1、价格分（30分）</w:t>
      </w:r>
    </w:p>
    <w:p>
      <w:pPr>
        <w:pStyle w:val="32"/>
        <w:spacing w:before="0"/>
        <w:ind w:firstLine="600" w:firstLineChars="250"/>
        <w:rPr>
          <w:rFonts w:hint="eastAsia" w:ascii="宋体" w:hAnsi="宋体" w:cs="宋体"/>
        </w:rPr>
      </w:pPr>
      <w:r>
        <w:rPr>
          <w:rFonts w:hint="eastAsia" w:ascii="宋体" w:hAnsi="宋体" w:cs="宋体"/>
        </w:rPr>
        <w:t>投标价格的合理性：分析投标价格是否合理，投标价格范围是否完整，有否重大错漏项。投标价格分计算方法：满足招标文件要求且投标价格最低的投标报价为评标基准价（精确到小数点后二位）。</w:t>
      </w:r>
      <w:r>
        <w:rPr>
          <w:rFonts w:ascii="Times New Roman" w:hAnsi="Times New Roman"/>
          <w:color w:val="000000"/>
        </w:rPr>
        <w:t>其他投标人的价格分统一按照下列公式计算：投标报价得分=(评标基准价／投标报价)×价格权值×100（精确到小数点后二位）</w:t>
      </w:r>
      <w:r>
        <w:rPr>
          <w:rFonts w:hint="eastAsia" w:ascii="Times New Roman" w:hAnsi="Times New Roman"/>
          <w:color w:val="000000"/>
        </w:rPr>
        <w:t>。</w:t>
      </w:r>
    </w:p>
    <w:p>
      <w:pPr>
        <w:pStyle w:val="32"/>
        <w:spacing w:before="0" w:after="120"/>
        <w:ind w:firstLine="602" w:firstLineChars="250"/>
        <w:rPr>
          <w:rFonts w:hint="eastAsia" w:ascii="宋体" w:hAnsi="宋体" w:cs="宋体"/>
          <w:b/>
        </w:rPr>
      </w:pPr>
      <w:r>
        <w:rPr>
          <w:rFonts w:hint="eastAsia" w:ascii="宋体" w:hAnsi="宋体" w:cs="宋体"/>
          <w:b/>
        </w:rPr>
        <w:t>37.2.2、技术、商务分（70分）</w:t>
      </w:r>
    </w:p>
    <w:p>
      <w:pPr>
        <w:pStyle w:val="32"/>
        <w:spacing w:before="0"/>
        <w:ind w:firstLine="602" w:firstLineChars="250"/>
        <w:rPr>
          <w:rFonts w:ascii="宋体" w:hAnsi="宋体" w:cs="宋体"/>
          <w:b/>
        </w:rPr>
      </w:pPr>
      <w:r>
        <w:rPr>
          <w:rFonts w:hint="eastAsia" w:ascii="宋体" w:hAnsi="宋体" w:cs="宋体"/>
          <w:b/>
        </w:rPr>
        <w:t>（1）、技术、商务分的计算：</w:t>
      </w:r>
    </w:p>
    <w:p>
      <w:pPr>
        <w:pStyle w:val="32"/>
        <w:spacing w:before="0"/>
        <w:ind w:firstLine="600" w:firstLineChars="250"/>
        <w:rPr>
          <w:rFonts w:ascii="宋体" w:hAnsi="宋体" w:cs="宋体"/>
        </w:rPr>
      </w:pPr>
      <w:r>
        <w:rPr>
          <w:rFonts w:hint="eastAsia" w:ascii="宋体" w:hAnsi="宋体" w:cs="宋体"/>
        </w:rPr>
        <w:t>技术、商务分按照评标委员会成员的独立评分结果汇总数的算术平均分计算，计算公式为：</w:t>
      </w:r>
    </w:p>
    <w:p>
      <w:pPr>
        <w:pStyle w:val="32"/>
        <w:spacing w:before="0"/>
        <w:ind w:firstLine="600" w:firstLineChars="250"/>
        <w:rPr>
          <w:rFonts w:ascii="宋体" w:hAnsi="宋体" w:cs="宋体"/>
        </w:rPr>
      </w:pPr>
      <w:r>
        <w:rPr>
          <w:rFonts w:hint="eastAsia" w:ascii="宋体" w:hAnsi="宋体" w:cs="宋体"/>
        </w:rPr>
        <w:t>技术、商务分=评标委员会所有成员评分合计数/评标委员会组成人员数</w:t>
      </w:r>
    </w:p>
    <w:p>
      <w:pPr>
        <w:pStyle w:val="32"/>
        <w:spacing w:before="0"/>
        <w:ind w:firstLine="602" w:firstLineChars="250"/>
        <w:rPr>
          <w:rFonts w:hint="eastAsia" w:ascii="宋体" w:hAnsi="宋体" w:cs="宋体"/>
          <w:b/>
        </w:rPr>
      </w:pPr>
      <w:r>
        <w:rPr>
          <w:rFonts w:hint="eastAsia" w:ascii="宋体" w:hAnsi="宋体" w:cs="宋体"/>
          <w:b/>
        </w:rPr>
        <w:t>（2）、评分细则如下：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531"/>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评分细则</w:t>
            </w:r>
          </w:p>
        </w:tc>
        <w:tc>
          <w:tcPr>
            <w:tcW w:w="55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评分细则内容</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94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资信分（30分）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640" w:type="dxa"/>
            <w:shd w:val="clear" w:color="auto" w:fill="auto"/>
            <w:noWrap w:val="0"/>
            <w:vAlign w:val="center"/>
          </w:tcPr>
          <w:p>
            <w:pPr>
              <w:spacing w:line="400" w:lineRule="atLeast"/>
              <w:rPr>
                <w:rFonts w:hint="eastAsia" w:ascii="宋体" w:hAnsi="宋体" w:cs="宋体"/>
                <w:color w:val="auto"/>
                <w:sz w:val="24"/>
              </w:rPr>
            </w:pPr>
            <w:r>
              <w:rPr>
                <w:rFonts w:hint="eastAsia" w:ascii="宋体" w:hAnsi="宋体"/>
                <w:color w:val="auto"/>
                <w:sz w:val="24"/>
              </w:rPr>
              <w:t>（1）</w:t>
            </w:r>
            <w:r>
              <w:rPr>
                <w:rFonts w:hint="eastAsia"/>
                <w:color w:val="auto"/>
                <w:sz w:val="24"/>
              </w:rPr>
              <w:t>企业规模</w:t>
            </w:r>
          </w:p>
        </w:tc>
        <w:tc>
          <w:tcPr>
            <w:tcW w:w="5531" w:type="dxa"/>
            <w:shd w:val="clear" w:color="auto" w:fill="FFFFFF"/>
            <w:noWrap w:val="0"/>
            <w:vAlign w:val="top"/>
          </w:tcPr>
          <w:p>
            <w:pPr>
              <w:spacing w:line="360" w:lineRule="exact"/>
              <w:rPr>
                <w:rFonts w:hint="eastAsia" w:ascii="宋体" w:hAnsi="宋体" w:cs="宋体"/>
                <w:bCs/>
                <w:color w:val="auto"/>
                <w:sz w:val="24"/>
              </w:rPr>
            </w:pPr>
            <w:r>
              <w:rPr>
                <w:rFonts w:hint="eastAsia"/>
                <w:color w:val="auto"/>
                <w:sz w:val="24"/>
              </w:rPr>
              <w:t>注册资本在1000万以上的得3分，500万（含）以上1000万（含）以下的得2分，500万以下的不得分；营业执照注册地在余杭组团的得1分，其余不得分。具有垃圾中转站管理工作经验3年以上的得2分，其余不得分。（有效证明材料为下列之一：协议或当地政府证明等）</w:t>
            </w:r>
          </w:p>
        </w:tc>
        <w:tc>
          <w:tcPr>
            <w:tcW w:w="1286" w:type="dxa"/>
            <w:shd w:val="clear" w:color="auto" w:fill="FFFFFF"/>
            <w:noWrap w:val="0"/>
            <w:vAlign w:val="center"/>
          </w:tcPr>
          <w:p>
            <w:pPr>
              <w:spacing w:line="360" w:lineRule="auto"/>
              <w:jc w:val="center"/>
              <w:rPr>
                <w:rFonts w:hint="eastAsia" w:ascii="宋体" w:hAnsi="宋体" w:cs="宋体"/>
                <w:color w:val="auto"/>
                <w:sz w:val="24"/>
              </w:rPr>
            </w:pPr>
            <w:r>
              <w:rPr>
                <w:rFonts w:hint="eastAsia" w:ascii="宋体" w:hAnsi="宋体" w:cs="宋体"/>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640" w:type="dxa"/>
            <w:shd w:val="clear" w:color="auto" w:fill="auto"/>
            <w:noWrap w:val="0"/>
            <w:vAlign w:val="center"/>
          </w:tcPr>
          <w:p>
            <w:pPr>
              <w:rPr>
                <w:rFonts w:hint="eastAsia" w:ascii="宋体" w:hAnsi="宋体" w:cs="宋体"/>
                <w:color w:val="auto"/>
                <w:sz w:val="24"/>
              </w:rPr>
            </w:pPr>
            <w:r>
              <w:rPr>
                <w:rFonts w:hint="eastAsia" w:ascii="宋体" w:hAnsi="宋体" w:cs="宋体"/>
                <w:color w:val="auto"/>
                <w:sz w:val="24"/>
              </w:rPr>
              <w:t>(2)</w:t>
            </w:r>
            <w:r>
              <w:rPr>
                <w:rFonts w:hint="eastAsia"/>
                <w:color w:val="auto"/>
                <w:sz w:val="24"/>
              </w:rPr>
              <w:t>机械设备</w:t>
            </w:r>
          </w:p>
        </w:tc>
        <w:tc>
          <w:tcPr>
            <w:tcW w:w="5531" w:type="dxa"/>
            <w:shd w:val="clear" w:color="auto" w:fill="FFFFFF"/>
            <w:noWrap w:val="0"/>
            <w:vAlign w:val="center"/>
          </w:tcPr>
          <w:p>
            <w:pPr>
              <w:autoSpaceDE w:val="0"/>
              <w:autoSpaceDN w:val="0"/>
              <w:adjustRightInd w:val="0"/>
              <w:spacing w:line="300" w:lineRule="auto"/>
              <w:rPr>
                <w:rFonts w:hint="eastAsia" w:ascii="宋体" w:hAnsi="宋体" w:cs="宋体"/>
                <w:color w:val="auto"/>
                <w:sz w:val="24"/>
              </w:rPr>
            </w:pPr>
            <w:r>
              <w:rPr>
                <w:rFonts w:hint="eastAsia"/>
                <w:color w:val="auto"/>
                <w:sz w:val="24"/>
              </w:rPr>
              <w:t>自备8吨（含）以上洒水车、8吨（含）以上道路洗扫车、8吨以上全封闭压缩垃圾清运车、7吨（含）以上拉臂式转运车、自备吸粪车、电动冲洗车各一台以上的得12分,每少一台扣2分。（有效证明材料为下列之一：车辆行驶证、发票）。</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 w:hRule="atLeast"/>
        </w:trPr>
        <w:tc>
          <w:tcPr>
            <w:tcW w:w="2640" w:type="dxa"/>
            <w:shd w:val="clear" w:color="auto" w:fill="auto"/>
            <w:noWrap w:val="0"/>
            <w:vAlign w:val="center"/>
          </w:tcPr>
          <w:p>
            <w:pPr>
              <w:rPr>
                <w:rFonts w:hint="eastAsia" w:ascii="宋体" w:hAnsi="宋体" w:cs="宋体"/>
                <w:color w:val="auto"/>
                <w:sz w:val="24"/>
              </w:rPr>
            </w:pPr>
            <w:r>
              <w:rPr>
                <w:rFonts w:hint="eastAsia" w:ascii="宋体" w:hAnsi="宋体" w:cs="宋体"/>
                <w:color w:val="auto"/>
                <w:sz w:val="24"/>
              </w:rPr>
              <w:t>（3）办公场所</w:t>
            </w:r>
          </w:p>
        </w:tc>
        <w:tc>
          <w:tcPr>
            <w:tcW w:w="5531" w:type="dxa"/>
            <w:shd w:val="clear" w:color="auto" w:fill="FFFFFF"/>
            <w:noWrap w:val="0"/>
            <w:vAlign w:val="center"/>
          </w:tcPr>
          <w:p>
            <w:pPr>
              <w:rPr>
                <w:rFonts w:hint="eastAsia" w:ascii="宋体" w:hAnsi="宋体" w:cs="宋体"/>
                <w:color w:val="auto"/>
                <w:sz w:val="24"/>
              </w:rPr>
            </w:pPr>
            <w:r>
              <w:rPr>
                <w:rFonts w:hint="eastAsia"/>
                <w:color w:val="auto"/>
                <w:sz w:val="24"/>
              </w:rPr>
              <w:t>余杭组团范围内自有或租赁的固定办公及仓库、停车场所面积达到500㎡及以上得1分（自有的凭房产证复印件，租赁的凭租赁合同复印件）。企业具有一名以上垃圾处理工程师专业证书的，得1分；一名以上污水处理工程师专业证书的得1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2640" w:type="dxa"/>
            <w:shd w:val="clear" w:color="auto" w:fill="auto"/>
            <w:noWrap w:val="0"/>
            <w:vAlign w:val="center"/>
          </w:tcPr>
          <w:p>
            <w:pPr>
              <w:rPr>
                <w:rFonts w:hint="eastAsia" w:ascii="宋体" w:hAnsi="宋体" w:cs="宋体"/>
                <w:color w:val="auto"/>
                <w:sz w:val="24"/>
              </w:rPr>
            </w:pPr>
            <w:r>
              <w:rPr>
                <w:rFonts w:hint="eastAsia" w:ascii="宋体" w:hAnsi="宋体"/>
                <w:color w:val="auto"/>
                <w:sz w:val="24"/>
              </w:rPr>
              <w:t>（5）企业业主</w:t>
            </w:r>
          </w:p>
        </w:tc>
        <w:tc>
          <w:tcPr>
            <w:tcW w:w="5531" w:type="dxa"/>
            <w:shd w:val="clear" w:color="auto" w:fill="FFFFFF"/>
            <w:noWrap w:val="0"/>
            <w:vAlign w:val="center"/>
          </w:tcPr>
          <w:p>
            <w:pPr>
              <w:autoSpaceDE w:val="0"/>
              <w:autoSpaceDN w:val="0"/>
              <w:adjustRightInd w:val="0"/>
              <w:snapToGrid w:val="0"/>
              <w:spacing w:line="360" w:lineRule="auto"/>
              <w:jc w:val="left"/>
              <w:rPr>
                <w:rFonts w:hint="eastAsia" w:ascii="宋体" w:hAnsi="宋体" w:cs="宋体"/>
                <w:color w:val="auto"/>
                <w:sz w:val="24"/>
              </w:rPr>
            </w:pPr>
            <w:r>
              <w:rPr>
                <w:rFonts w:hint="eastAsia"/>
                <w:color w:val="auto"/>
                <w:sz w:val="24"/>
              </w:rPr>
              <w:t>中泰范围内有环卫保洁工作经历5年以上得1分，其余不得分；（有效证明材料为下列之一：合同文本原件或中标通知书原件）。</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2640" w:type="dxa"/>
            <w:shd w:val="clear" w:color="auto" w:fill="auto"/>
            <w:noWrap w:val="0"/>
            <w:vAlign w:val="center"/>
          </w:tcPr>
          <w:p>
            <w:pPr>
              <w:autoSpaceDE w:val="0"/>
              <w:autoSpaceDN w:val="0"/>
              <w:adjustRightInd w:val="0"/>
              <w:snapToGrid w:val="0"/>
              <w:spacing w:line="360" w:lineRule="auto"/>
              <w:jc w:val="left"/>
              <w:rPr>
                <w:color w:val="auto"/>
              </w:rPr>
            </w:pPr>
            <w:r>
              <w:rPr>
                <w:rFonts w:hint="eastAsia" w:ascii="宋体" w:hAnsi="宋体"/>
                <w:color w:val="auto"/>
                <w:sz w:val="24"/>
              </w:rPr>
              <w:t>（6）创建工作</w:t>
            </w:r>
          </w:p>
        </w:tc>
        <w:tc>
          <w:tcPr>
            <w:tcW w:w="5531" w:type="dxa"/>
            <w:shd w:val="clear" w:color="auto" w:fill="FFFFFF"/>
            <w:noWrap w:val="0"/>
            <w:vAlign w:val="center"/>
          </w:tcPr>
          <w:p>
            <w:pPr>
              <w:autoSpaceDE w:val="0"/>
              <w:autoSpaceDN w:val="0"/>
              <w:adjustRightInd w:val="0"/>
              <w:snapToGrid w:val="0"/>
              <w:spacing w:line="360" w:lineRule="auto"/>
              <w:jc w:val="left"/>
              <w:rPr>
                <w:rFonts w:hint="eastAsia" w:ascii="宋体" w:hAnsi="宋体"/>
                <w:color w:val="auto"/>
                <w:sz w:val="24"/>
              </w:rPr>
            </w:pPr>
            <w:r>
              <w:rPr>
                <w:rFonts w:hint="eastAsia"/>
                <w:color w:val="auto"/>
                <w:sz w:val="24"/>
              </w:rPr>
              <w:t>其中有配合有关镇街创建省卫成功工作经历得1分，创建国卫工作经历得2分，其余不得分。（出具街道创建成功的有效证明）</w:t>
            </w:r>
          </w:p>
        </w:tc>
        <w:tc>
          <w:tcPr>
            <w:tcW w:w="1286" w:type="dxa"/>
            <w:shd w:val="clear" w:color="auto" w:fill="FFFFFF"/>
            <w:noWrap w:val="0"/>
            <w:vAlign w:val="center"/>
          </w:tcPr>
          <w:p>
            <w:pPr>
              <w:autoSpaceDE w:val="0"/>
              <w:autoSpaceDN w:val="0"/>
              <w:adjustRightInd w:val="0"/>
              <w:snapToGrid w:val="0"/>
              <w:spacing w:line="360" w:lineRule="auto"/>
              <w:ind w:firstLine="480" w:firstLineChars="200"/>
              <w:jc w:val="left"/>
              <w:rPr>
                <w:rFonts w:hint="eastAsia" w:ascii="宋体" w:hAnsi="宋体"/>
                <w:color w:val="auto"/>
                <w:sz w:val="24"/>
              </w:rPr>
            </w:pPr>
            <w:r>
              <w:rPr>
                <w:rFonts w:hint="eastAsia" w:ascii="宋体" w:hAnsi="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2640" w:type="dxa"/>
            <w:noWrap w:val="0"/>
            <w:vAlign w:val="center"/>
          </w:tcPr>
          <w:p>
            <w:pPr>
              <w:rPr>
                <w:rFonts w:hint="eastAsia" w:ascii="宋体" w:hAnsi="宋体" w:cs="宋体"/>
                <w:color w:val="auto"/>
                <w:sz w:val="24"/>
              </w:rPr>
            </w:pPr>
            <w:r>
              <w:rPr>
                <w:rFonts w:hint="eastAsia" w:ascii="宋体" w:hAnsi="宋体"/>
                <w:color w:val="auto"/>
                <w:sz w:val="24"/>
              </w:rPr>
              <w:t>（6）企业业绩</w:t>
            </w:r>
          </w:p>
        </w:tc>
        <w:tc>
          <w:tcPr>
            <w:tcW w:w="5531" w:type="dxa"/>
            <w:noWrap w:val="0"/>
            <w:vAlign w:val="center"/>
          </w:tcPr>
          <w:p>
            <w:pPr>
              <w:rPr>
                <w:rFonts w:hint="eastAsia" w:ascii="宋体" w:hAnsi="宋体" w:cs="宋体"/>
                <w:color w:val="auto"/>
                <w:sz w:val="24"/>
              </w:rPr>
            </w:pPr>
            <w:r>
              <w:rPr>
                <w:rFonts w:hint="eastAsia"/>
                <w:color w:val="auto"/>
                <w:sz w:val="24"/>
              </w:rPr>
              <w:t>具有餐厨垃圾处理站管理经验的得1分；河道作业经验的得1分；具有公厕保洁维护作业经验的得1分；具有绿化养护作业经验的得1分。（有效证明材料为下列之一：合同或协议原件）</w:t>
            </w:r>
          </w:p>
        </w:tc>
        <w:tc>
          <w:tcPr>
            <w:tcW w:w="1286" w:type="dxa"/>
            <w:noWrap w:val="0"/>
            <w:vAlign w:val="center"/>
          </w:tcPr>
          <w:p>
            <w:pPr>
              <w:jc w:val="center"/>
              <w:rPr>
                <w:rFonts w:hint="eastAsia" w:ascii="宋体" w:hAnsi="宋体" w:cs="宋体"/>
                <w:color w:val="auto"/>
                <w:sz w:val="24"/>
              </w:rPr>
            </w:pPr>
            <w:r>
              <w:rPr>
                <w:rFonts w:hint="eastAsia" w:ascii="宋体" w:hAnsi="宋体" w:cs="宋体"/>
                <w:color w:val="auto"/>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2" w:hRule="atLeast"/>
        </w:trPr>
        <w:tc>
          <w:tcPr>
            <w:tcW w:w="2640" w:type="dxa"/>
            <w:noWrap w:val="0"/>
            <w:vAlign w:val="center"/>
          </w:tcPr>
          <w:p>
            <w:pPr>
              <w:autoSpaceDE w:val="0"/>
              <w:autoSpaceDN w:val="0"/>
              <w:adjustRightInd w:val="0"/>
              <w:spacing w:line="300" w:lineRule="auto"/>
              <w:jc w:val="left"/>
              <w:rPr>
                <w:rFonts w:hint="eastAsia" w:ascii="宋体" w:hAnsi="宋体" w:cs="宋体"/>
                <w:color w:val="auto"/>
                <w:sz w:val="24"/>
              </w:rPr>
            </w:pPr>
            <w:r>
              <w:rPr>
                <w:rFonts w:hint="eastAsia" w:ascii="宋体" w:hAnsi="宋体"/>
                <w:color w:val="auto"/>
                <w:sz w:val="24"/>
              </w:rPr>
              <w:t>（7）</w:t>
            </w:r>
          </w:p>
        </w:tc>
        <w:tc>
          <w:tcPr>
            <w:tcW w:w="5531" w:type="dxa"/>
            <w:noWrap w:val="0"/>
            <w:vAlign w:val="center"/>
          </w:tcPr>
          <w:p>
            <w:pPr>
              <w:spacing w:line="440" w:lineRule="exact"/>
              <w:rPr>
                <w:rFonts w:hint="eastAsia" w:ascii="宋体" w:hAnsi="宋体" w:cs="宋体"/>
                <w:color w:val="auto"/>
                <w:sz w:val="24"/>
              </w:rPr>
            </w:pPr>
            <w:r>
              <w:rPr>
                <w:rFonts w:hint="eastAsia"/>
                <w:color w:val="auto"/>
                <w:sz w:val="24"/>
              </w:rPr>
              <w:t>能承接垃圾分类业务并有垃圾分类工作经验的得2分（有效证明材料为下列之一：合同或协议原件）</w:t>
            </w:r>
          </w:p>
        </w:tc>
        <w:tc>
          <w:tcPr>
            <w:tcW w:w="1286" w:type="dxa"/>
            <w:noWrap w:val="0"/>
            <w:vAlign w:val="center"/>
          </w:tcPr>
          <w:p>
            <w:pPr>
              <w:jc w:val="center"/>
              <w:rPr>
                <w:rFonts w:hint="eastAsia"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2" w:hRule="atLeast"/>
        </w:trPr>
        <w:tc>
          <w:tcPr>
            <w:tcW w:w="9457" w:type="dxa"/>
            <w:gridSpan w:val="3"/>
            <w:noWrap w:val="0"/>
            <w:vAlign w:val="center"/>
          </w:tcPr>
          <w:p>
            <w:pPr>
              <w:jc w:val="center"/>
              <w:rPr>
                <w:rFonts w:hint="eastAsia" w:ascii="宋体" w:hAnsi="宋体" w:cs="宋体"/>
                <w:color w:val="auto"/>
                <w:sz w:val="24"/>
              </w:rPr>
            </w:pPr>
            <w:r>
              <w:rPr>
                <w:rFonts w:hint="eastAsia" w:ascii="宋体" w:hAnsi="宋体" w:cs="宋体"/>
                <w:color w:val="auto"/>
                <w:sz w:val="24"/>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6" w:hRule="atLeast"/>
        </w:trPr>
        <w:tc>
          <w:tcPr>
            <w:tcW w:w="2640" w:type="dxa"/>
            <w:vMerge w:val="restart"/>
            <w:noWrap w:val="0"/>
            <w:vAlign w:val="center"/>
          </w:tcPr>
          <w:p>
            <w:pPr>
              <w:rPr>
                <w:rFonts w:hint="eastAsia" w:ascii="宋体" w:hAnsi="宋体" w:cs="宋体"/>
                <w:color w:val="auto"/>
              </w:rPr>
            </w:pPr>
            <w:r>
              <w:rPr>
                <w:rFonts w:hint="eastAsia"/>
                <w:color w:val="auto"/>
                <w:sz w:val="24"/>
              </w:rPr>
              <w:t>保洁组织实施方案（40分）</w:t>
            </w:r>
          </w:p>
        </w:tc>
        <w:tc>
          <w:tcPr>
            <w:tcW w:w="5531" w:type="dxa"/>
            <w:noWrap w:val="0"/>
            <w:vAlign w:val="center"/>
          </w:tcPr>
          <w:p>
            <w:pPr>
              <w:autoSpaceDE w:val="0"/>
              <w:autoSpaceDN w:val="0"/>
              <w:adjustRightInd w:val="0"/>
              <w:spacing w:line="300" w:lineRule="auto"/>
              <w:jc w:val="left"/>
              <w:rPr>
                <w:rFonts w:hint="eastAsia" w:ascii="宋体" w:hAnsi="宋体" w:cs="宋体"/>
                <w:color w:val="auto"/>
                <w:sz w:val="24"/>
              </w:rPr>
            </w:pPr>
            <w:r>
              <w:rPr>
                <w:rFonts w:ascii="宋体" w:hAnsi="宋体"/>
                <w:color w:val="auto"/>
                <w:kern w:val="0"/>
                <w:sz w:val="24"/>
              </w:rPr>
              <w:t xml:space="preserve">(1) </w:t>
            </w:r>
            <w:r>
              <w:rPr>
                <w:rFonts w:hint="eastAsia" w:ascii="宋体" w:hAnsi="宋体"/>
                <w:color w:val="auto"/>
                <w:kern w:val="0"/>
                <w:sz w:val="24"/>
              </w:rPr>
              <w:t>有健全的管理组织（0-3分）</w:t>
            </w:r>
          </w:p>
        </w:tc>
        <w:tc>
          <w:tcPr>
            <w:tcW w:w="1286" w:type="dxa"/>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640" w:type="dxa"/>
            <w:vMerge w:val="continue"/>
            <w:noWrap w:val="0"/>
            <w:vAlign w:val="center"/>
          </w:tcPr>
          <w:p>
            <w:pPr>
              <w:rPr>
                <w:rFonts w:hint="eastAsia" w:ascii="宋体" w:hAnsi="宋体" w:cs="宋体"/>
                <w:color w:val="auto"/>
                <w:sz w:val="24"/>
              </w:rPr>
            </w:pPr>
          </w:p>
        </w:tc>
        <w:tc>
          <w:tcPr>
            <w:tcW w:w="5531" w:type="dxa"/>
            <w:noWrap w:val="0"/>
            <w:vAlign w:val="center"/>
          </w:tcPr>
          <w:p>
            <w:pPr>
              <w:autoSpaceDE w:val="0"/>
              <w:autoSpaceDN w:val="0"/>
              <w:adjustRightInd w:val="0"/>
              <w:spacing w:line="300" w:lineRule="auto"/>
              <w:jc w:val="left"/>
              <w:rPr>
                <w:color w:val="auto"/>
              </w:rPr>
            </w:pPr>
            <w:r>
              <w:rPr>
                <w:rFonts w:ascii="宋体" w:hAnsi="宋体"/>
                <w:color w:val="auto"/>
                <w:kern w:val="0"/>
                <w:sz w:val="24"/>
              </w:rPr>
              <w:t>(</w:t>
            </w:r>
            <w:r>
              <w:rPr>
                <w:rFonts w:hint="eastAsia" w:ascii="宋体" w:hAnsi="宋体"/>
                <w:color w:val="auto"/>
                <w:kern w:val="0"/>
                <w:sz w:val="24"/>
              </w:rPr>
              <w:t>2</w:t>
            </w:r>
            <w:r>
              <w:rPr>
                <w:rFonts w:ascii="宋体" w:hAnsi="宋体"/>
                <w:color w:val="auto"/>
                <w:kern w:val="0"/>
                <w:sz w:val="24"/>
              </w:rPr>
              <w:t xml:space="preserve">) </w:t>
            </w:r>
            <w:r>
              <w:rPr>
                <w:rFonts w:hint="eastAsia" w:ascii="宋体" w:hAnsi="宋体"/>
                <w:color w:val="auto"/>
                <w:kern w:val="0"/>
                <w:sz w:val="24"/>
              </w:rPr>
              <w:t>管理制度（0-3分）</w:t>
            </w:r>
          </w:p>
        </w:tc>
        <w:tc>
          <w:tcPr>
            <w:tcW w:w="1286" w:type="dxa"/>
            <w:noWrap w:val="0"/>
            <w:vAlign w:val="center"/>
          </w:tcPr>
          <w:p>
            <w:pPr>
              <w:jc w:val="center"/>
              <w:rPr>
                <w:color w:val="auto"/>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2640" w:type="dxa"/>
            <w:vMerge w:val="continue"/>
            <w:shd w:val="clear" w:color="auto" w:fill="auto"/>
            <w:noWrap w:val="0"/>
            <w:vAlign w:val="center"/>
          </w:tcPr>
          <w:p>
            <w:pPr>
              <w:pStyle w:val="32"/>
              <w:spacing w:before="0" w:line="400" w:lineRule="atLeast"/>
              <w:ind w:firstLine="0" w:firstLineChars="0"/>
              <w:rPr>
                <w:rFonts w:hint="eastAsia" w:ascii="宋体" w:hAnsi="宋体" w:cs="宋体"/>
                <w:color w:val="auto"/>
              </w:rPr>
            </w:pPr>
          </w:p>
        </w:tc>
        <w:tc>
          <w:tcPr>
            <w:tcW w:w="5531" w:type="dxa"/>
            <w:shd w:val="clear" w:color="auto" w:fill="FFFFFF"/>
            <w:noWrap w:val="0"/>
            <w:vAlign w:val="center"/>
          </w:tcPr>
          <w:p>
            <w:pPr>
              <w:rPr>
                <w:rFonts w:hint="eastAsia" w:ascii="宋体" w:hAnsi="宋体" w:cs="宋体"/>
                <w:color w:val="auto"/>
                <w:sz w:val="24"/>
              </w:rPr>
            </w:pPr>
            <w:r>
              <w:rPr>
                <w:rFonts w:ascii="宋体" w:hAnsi="宋体"/>
                <w:color w:val="auto"/>
                <w:kern w:val="0"/>
                <w:sz w:val="24"/>
              </w:rPr>
              <w:t>(</w:t>
            </w:r>
            <w:r>
              <w:rPr>
                <w:rFonts w:hint="eastAsia" w:ascii="宋体" w:hAnsi="宋体"/>
                <w:color w:val="auto"/>
                <w:kern w:val="0"/>
                <w:sz w:val="24"/>
              </w:rPr>
              <w:t>3</w:t>
            </w:r>
            <w:r>
              <w:rPr>
                <w:rFonts w:ascii="宋体" w:hAnsi="宋体"/>
                <w:color w:val="auto"/>
                <w:kern w:val="0"/>
                <w:sz w:val="24"/>
              </w:rPr>
              <w:t xml:space="preserve">) </w:t>
            </w:r>
            <w:r>
              <w:rPr>
                <w:rFonts w:hint="eastAsia"/>
                <w:color w:val="auto"/>
                <w:sz w:val="24"/>
              </w:rPr>
              <w:t>进场作业机构</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3" w:hRule="atLeast"/>
        </w:trPr>
        <w:tc>
          <w:tcPr>
            <w:tcW w:w="2640" w:type="dxa"/>
            <w:vMerge w:val="continue"/>
            <w:noWrap w:val="0"/>
            <w:vAlign w:val="center"/>
          </w:tcPr>
          <w:p>
            <w:pPr>
              <w:rPr>
                <w:rFonts w:hint="eastAsia" w:ascii="宋体" w:hAnsi="宋体" w:cs="宋体"/>
                <w:color w:val="auto"/>
                <w:sz w:val="24"/>
              </w:rPr>
            </w:pPr>
          </w:p>
        </w:tc>
        <w:tc>
          <w:tcPr>
            <w:tcW w:w="5531" w:type="dxa"/>
            <w:noWrap w:val="0"/>
            <w:vAlign w:val="center"/>
          </w:tcPr>
          <w:p>
            <w:pPr>
              <w:rPr>
                <w:rFonts w:hint="eastAsia" w:ascii="宋体" w:hAnsi="宋体" w:cs="宋体"/>
                <w:b/>
                <w:color w:val="auto"/>
                <w:sz w:val="24"/>
              </w:rPr>
            </w:pPr>
            <w:r>
              <w:rPr>
                <w:rFonts w:ascii="宋体" w:hAnsi="宋体"/>
                <w:color w:val="auto"/>
                <w:kern w:val="0"/>
                <w:sz w:val="24"/>
              </w:rPr>
              <w:t>(</w:t>
            </w:r>
            <w:r>
              <w:rPr>
                <w:rFonts w:hint="eastAsia" w:ascii="宋体" w:hAnsi="宋体"/>
                <w:color w:val="auto"/>
                <w:kern w:val="0"/>
                <w:sz w:val="24"/>
              </w:rPr>
              <w:t>4</w:t>
            </w:r>
            <w:r>
              <w:rPr>
                <w:rFonts w:ascii="宋体" w:hAnsi="宋体"/>
                <w:color w:val="auto"/>
                <w:kern w:val="0"/>
                <w:sz w:val="24"/>
              </w:rPr>
              <w:t xml:space="preserve">) </w:t>
            </w:r>
            <w:r>
              <w:rPr>
                <w:rFonts w:hint="eastAsia"/>
                <w:color w:val="auto"/>
                <w:sz w:val="24"/>
              </w:rPr>
              <w:t>作业方案</w:t>
            </w:r>
            <w:r>
              <w:rPr>
                <w:rFonts w:hint="eastAsia" w:ascii="宋体" w:hAnsi="宋体"/>
                <w:color w:val="auto"/>
                <w:kern w:val="0"/>
                <w:sz w:val="24"/>
              </w:rPr>
              <w:t>（0-3分）</w:t>
            </w:r>
          </w:p>
        </w:tc>
        <w:tc>
          <w:tcPr>
            <w:tcW w:w="1286" w:type="dxa"/>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 w:hRule="atLeast"/>
        </w:trPr>
        <w:tc>
          <w:tcPr>
            <w:tcW w:w="2640" w:type="dxa"/>
            <w:vMerge w:val="continue"/>
            <w:noWrap w:val="0"/>
            <w:vAlign w:val="center"/>
          </w:tcPr>
          <w:p>
            <w:pPr>
              <w:rPr>
                <w:rFonts w:hint="eastAsia" w:ascii="宋体" w:hAnsi="宋体" w:cs="宋体"/>
                <w:color w:val="auto"/>
              </w:rPr>
            </w:pPr>
          </w:p>
        </w:tc>
        <w:tc>
          <w:tcPr>
            <w:tcW w:w="5531" w:type="dxa"/>
            <w:noWrap w:val="0"/>
            <w:vAlign w:val="center"/>
          </w:tcPr>
          <w:p>
            <w:pPr>
              <w:autoSpaceDE w:val="0"/>
              <w:autoSpaceDN w:val="0"/>
              <w:adjustRightInd w:val="0"/>
              <w:spacing w:line="300" w:lineRule="auto"/>
              <w:jc w:val="left"/>
              <w:rPr>
                <w:rFonts w:hint="eastAsia" w:ascii="宋体" w:hAnsi="宋体" w:cs="宋体"/>
                <w:color w:val="auto"/>
              </w:rPr>
            </w:pPr>
            <w:r>
              <w:rPr>
                <w:rFonts w:ascii="宋体" w:hAnsi="宋体"/>
                <w:color w:val="auto"/>
                <w:kern w:val="0"/>
                <w:sz w:val="24"/>
              </w:rPr>
              <w:t>(</w:t>
            </w:r>
            <w:r>
              <w:rPr>
                <w:rFonts w:hint="eastAsia" w:ascii="宋体" w:hAnsi="宋体"/>
                <w:color w:val="auto"/>
                <w:kern w:val="0"/>
                <w:sz w:val="24"/>
              </w:rPr>
              <w:t>5</w:t>
            </w:r>
            <w:r>
              <w:rPr>
                <w:rFonts w:ascii="宋体" w:hAnsi="宋体"/>
                <w:color w:val="auto"/>
                <w:kern w:val="0"/>
                <w:sz w:val="24"/>
              </w:rPr>
              <w:t>)</w:t>
            </w:r>
            <w:r>
              <w:rPr>
                <w:rFonts w:hint="eastAsia"/>
                <w:color w:val="auto"/>
                <w:sz w:val="24"/>
              </w:rPr>
              <w:t>进场人员的配置数量（0-3分）</w:t>
            </w:r>
          </w:p>
        </w:tc>
        <w:tc>
          <w:tcPr>
            <w:tcW w:w="1286" w:type="dxa"/>
            <w:noWrap w:val="0"/>
            <w:vAlign w:val="center"/>
          </w:tcPr>
          <w:p>
            <w:pPr>
              <w:jc w:val="center"/>
              <w:rPr>
                <w:rFonts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trPr>
        <w:tc>
          <w:tcPr>
            <w:tcW w:w="2640" w:type="dxa"/>
            <w:vMerge w:val="continue"/>
            <w:noWrap w:val="0"/>
            <w:vAlign w:val="center"/>
          </w:tcPr>
          <w:p>
            <w:pPr>
              <w:rPr>
                <w:rFonts w:hint="eastAsia" w:ascii="宋体" w:hAnsi="宋体" w:cs="宋体"/>
                <w:color w:val="auto"/>
                <w:sz w:val="24"/>
              </w:rPr>
            </w:pPr>
          </w:p>
        </w:tc>
        <w:tc>
          <w:tcPr>
            <w:tcW w:w="5531" w:type="dxa"/>
            <w:noWrap w:val="0"/>
            <w:vAlign w:val="center"/>
          </w:tcPr>
          <w:p>
            <w:pPr>
              <w:autoSpaceDE w:val="0"/>
              <w:autoSpaceDN w:val="0"/>
              <w:adjustRightInd w:val="0"/>
              <w:spacing w:line="300" w:lineRule="auto"/>
              <w:jc w:val="left"/>
              <w:rPr>
                <w:rFonts w:hint="eastAsia" w:ascii="宋体" w:hAnsi="宋体" w:cs="宋体"/>
                <w:color w:val="auto"/>
                <w:sz w:val="24"/>
              </w:rPr>
            </w:pPr>
            <w:r>
              <w:rPr>
                <w:rFonts w:ascii="宋体" w:hAnsi="宋体"/>
                <w:color w:val="auto"/>
                <w:kern w:val="0"/>
                <w:sz w:val="24"/>
              </w:rPr>
              <w:t>(</w:t>
            </w:r>
            <w:r>
              <w:rPr>
                <w:rFonts w:hint="eastAsia" w:ascii="宋体" w:hAnsi="宋体"/>
                <w:color w:val="auto"/>
                <w:kern w:val="0"/>
                <w:sz w:val="24"/>
              </w:rPr>
              <w:t>6</w:t>
            </w:r>
            <w:r>
              <w:rPr>
                <w:rFonts w:ascii="宋体" w:hAnsi="宋体"/>
                <w:color w:val="auto"/>
                <w:kern w:val="0"/>
                <w:sz w:val="24"/>
              </w:rPr>
              <w:t>)</w:t>
            </w:r>
            <w:r>
              <w:rPr>
                <w:rFonts w:hint="eastAsia"/>
                <w:color w:val="auto"/>
                <w:sz w:val="24"/>
              </w:rPr>
              <w:t>进场人员素质（包括年龄、技术等级、项目经理、主要工种）</w:t>
            </w:r>
            <w:r>
              <w:rPr>
                <w:rFonts w:hint="eastAsia" w:ascii="宋体" w:hAnsi="宋体"/>
                <w:color w:val="auto"/>
                <w:kern w:val="0"/>
                <w:sz w:val="24"/>
              </w:rPr>
              <w:t>（0-3分）</w:t>
            </w:r>
          </w:p>
        </w:tc>
        <w:tc>
          <w:tcPr>
            <w:tcW w:w="1286" w:type="dxa"/>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hint="eastAsia" w:ascii="宋体" w:hAnsi="宋体" w:cs="宋体"/>
                <w:color w:val="auto"/>
                <w:sz w:val="24"/>
              </w:rPr>
            </w:pPr>
            <w:r>
              <w:rPr>
                <w:rFonts w:ascii="宋体" w:hAnsi="宋体"/>
                <w:color w:val="auto"/>
                <w:kern w:val="0"/>
                <w:sz w:val="24"/>
              </w:rPr>
              <w:t>(</w:t>
            </w:r>
            <w:r>
              <w:rPr>
                <w:rFonts w:hint="eastAsia" w:ascii="宋体" w:hAnsi="宋体"/>
                <w:color w:val="auto"/>
                <w:kern w:val="0"/>
                <w:sz w:val="24"/>
              </w:rPr>
              <w:t>7</w:t>
            </w:r>
            <w:r>
              <w:rPr>
                <w:rFonts w:ascii="宋体" w:hAnsi="宋体"/>
                <w:color w:val="auto"/>
                <w:kern w:val="0"/>
                <w:sz w:val="24"/>
              </w:rPr>
              <w:t>)</w:t>
            </w:r>
            <w:r>
              <w:rPr>
                <w:rFonts w:hint="eastAsia"/>
                <w:color w:val="auto"/>
                <w:sz w:val="24"/>
              </w:rPr>
              <w:t>作业机具配置</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ascii="宋体" w:hAnsi="宋体"/>
                <w:color w:val="auto"/>
                <w:kern w:val="0"/>
                <w:sz w:val="24"/>
              </w:rPr>
            </w:pPr>
            <w:r>
              <w:rPr>
                <w:rFonts w:ascii="宋体" w:hAnsi="宋体"/>
                <w:color w:val="auto"/>
                <w:kern w:val="0"/>
                <w:sz w:val="24"/>
              </w:rPr>
              <w:t>(</w:t>
            </w:r>
            <w:r>
              <w:rPr>
                <w:rFonts w:hint="eastAsia" w:ascii="宋体" w:hAnsi="宋体"/>
                <w:color w:val="auto"/>
                <w:kern w:val="0"/>
                <w:sz w:val="24"/>
              </w:rPr>
              <w:t>8</w:t>
            </w:r>
            <w:r>
              <w:rPr>
                <w:rFonts w:ascii="宋体" w:hAnsi="宋体"/>
                <w:color w:val="auto"/>
                <w:kern w:val="0"/>
                <w:sz w:val="24"/>
              </w:rPr>
              <w:t>)</w:t>
            </w:r>
            <w:r>
              <w:rPr>
                <w:rFonts w:hint="eastAsia"/>
                <w:color w:val="auto"/>
                <w:sz w:val="24"/>
              </w:rPr>
              <w:t>主要工作流程</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ascii="宋体" w:hAnsi="宋体"/>
                <w:color w:val="auto"/>
                <w:kern w:val="0"/>
                <w:sz w:val="24"/>
              </w:rPr>
            </w:pPr>
            <w:r>
              <w:rPr>
                <w:rFonts w:ascii="宋体" w:hAnsi="宋体"/>
                <w:color w:val="auto"/>
                <w:kern w:val="0"/>
                <w:sz w:val="24"/>
              </w:rPr>
              <w:t>(</w:t>
            </w:r>
            <w:r>
              <w:rPr>
                <w:rFonts w:hint="eastAsia" w:ascii="宋体" w:hAnsi="宋体"/>
                <w:color w:val="auto"/>
                <w:kern w:val="0"/>
                <w:sz w:val="24"/>
              </w:rPr>
              <w:t>9）</w:t>
            </w:r>
            <w:r>
              <w:rPr>
                <w:rFonts w:hint="eastAsia"/>
                <w:color w:val="auto"/>
                <w:sz w:val="24"/>
              </w:rPr>
              <w:t>规范和标准</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hint="eastAsia" w:ascii="宋体" w:hAnsi="宋体"/>
                <w:color w:val="auto"/>
                <w:kern w:val="0"/>
                <w:sz w:val="24"/>
              </w:rPr>
            </w:pPr>
            <w:r>
              <w:rPr>
                <w:rFonts w:ascii="宋体" w:hAnsi="宋体"/>
                <w:color w:val="auto"/>
                <w:kern w:val="0"/>
                <w:sz w:val="24"/>
              </w:rPr>
              <w:t>(</w:t>
            </w:r>
            <w:r>
              <w:rPr>
                <w:rFonts w:hint="eastAsia" w:ascii="宋体" w:hAnsi="宋体"/>
                <w:color w:val="auto"/>
                <w:kern w:val="0"/>
                <w:sz w:val="24"/>
              </w:rPr>
              <w:t>10</w:t>
            </w:r>
            <w:r>
              <w:rPr>
                <w:rFonts w:ascii="宋体" w:hAnsi="宋体"/>
                <w:color w:val="auto"/>
                <w:kern w:val="0"/>
                <w:sz w:val="24"/>
              </w:rPr>
              <w:t>)</w:t>
            </w:r>
            <w:r>
              <w:rPr>
                <w:rFonts w:hint="eastAsia"/>
                <w:color w:val="auto"/>
                <w:sz w:val="24"/>
              </w:rPr>
              <w:t>质量保证体系和质量保证措施</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8"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hint="eastAsia" w:ascii="宋体" w:hAnsi="宋体"/>
                <w:color w:val="auto"/>
                <w:kern w:val="0"/>
                <w:sz w:val="24"/>
              </w:rPr>
            </w:pPr>
            <w:r>
              <w:rPr>
                <w:rFonts w:ascii="宋体" w:hAnsi="宋体"/>
                <w:color w:val="auto"/>
                <w:kern w:val="0"/>
                <w:sz w:val="24"/>
              </w:rPr>
              <w:t>(</w:t>
            </w:r>
            <w:r>
              <w:rPr>
                <w:rFonts w:hint="eastAsia" w:ascii="宋体" w:hAnsi="宋体"/>
                <w:color w:val="auto"/>
                <w:kern w:val="0"/>
                <w:sz w:val="24"/>
              </w:rPr>
              <w:t>11</w:t>
            </w:r>
            <w:r>
              <w:rPr>
                <w:rFonts w:ascii="宋体" w:hAnsi="宋体"/>
                <w:color w:val="auto"/>
                <w:kern w:val="0"/>
                <w:sz w:val="24"/>
              </w:rPr>
              <w:t>)</w:t>
            </w:r>
            <w:r>
              <w:rPr>
                <w:rFonts w:hint="eastAsia"/>
                <w:color w:val="auto"/>
                <w:sz w:val="24"/>
              </w:rPr>
              <w:t>具有完善、先进可靠的文明安全保证体系和安全保证措施</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hint="eastAsia" w:ascii="宋体" w:hAnsi="宋体"/>
                <w:color w:val="auto"/>
                <w:kern w:val="0"/>
                <w:sz w:val="24"/>
              </w:rPr>
            </w:pPr>
            <w:r>
              <w:rPr>
                <w:rFonts w:ascii="宋体" w:hAnsi="宋体"/>
                <w:color w:val="auto"/>
                <w:kern w:val="0"/>
                <w:sz w:val="24"/>
              </w:rPr>
              <w:t>(</w:t>
            </w:r>
            <w:r>
              <w:rPr>
                <w:rFonts w:hint="eastAsia" w:ascii="宋体" w:hAnsi="宋体"/>
                <w:color w:val="auto"/>
                <w:kern w:val="0"/>
                <w:sz w:val="24"/>
              </w:rPr>
              <w:t>12</w:t>
            </w:r>
            <w:r>
              <w:rPr>
                <w:rFonts w:ascii="宋体" w:hAnsi="宋体"/>
                <w:color w:val="auto"/>
                <w:kern w:val="0"/>
                <w:sz w:val="24"/>
              </w:rPr>
              <w:t>)</w:t>
            </w:r>
            <w:r>
              <w:rPr>
                <w:rFonts w:hint="eastAsia"/>
                <w:color w:val="auto"/>
                <w:sz w:val="24"/>
              </w:rPr>
              <w:t>台账管理</w:t>
            </w:r>
            <w:r>
              <w:rPr>
                <w:rFonts w:hint="eastAsia" w:ascii="宋体" w:hAnsi="宋体"/>
                <w:color w:val="auto"/>
                <w:kern w:val="0"/>
                <w:sz w:val="24"/>
              </w:rPr>
              <w:t>（0-3分）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ascii="宋体" w:hAnsi="宋体"/>
                <w:color w:val="auto"/>
                <w:kern w:val="0"/>
                <w:sz w:val="24"/>
              </w:rPr>
            </w:pPr>
            <w:r>
              <w:rPr>
                <w:rFonts w:ascii="宋体" w:hAnsi="宋体"/>
                <w:color w:val="auto"/>
                <w:kern w:val="0"/>
                <w:sz w:val="24"/>
              </w:rPr>
              <w:t>(</w:t>
            </w:r>
            <w:r>
              <w:rPr>
                <w:rFonts w:hint="eastAsia" w:ascii="宋体" w:hAnsi="宋体"/>
                <w:color w:val="auto"/>
                <w:kern w:val="0"/>
                <w:sz w:val="24"/>
              </w:rPr>
              <w:t>13</w:t>
            </w:r>
            <w:r>
              <w:rPr>
                <w:rFonts w:ascii="宋体" w:hAnsi="宋体"/>
                <w:color w:val="auto"/>
                <w:kern w:val="0"/>
                <w:sz w:val="24"/>
              </w:rPr>
              <w:t>)</w:t>
            </w:r>
            <w:r>
              <w:rPr>
                <w:rFonts w:hint="eastAsia"/>
                <w:color w:val="auto"/>
                <w:sz w:val="24"/>
              </w:rPr>
              <w:t>对突发事件、自然灾害的处理及配合重大活动的应急预案</w:t>
            </w:r>
            <w:r>
              <w:rPr>
                <w:rFonts w:hint="eastAsia" w:ascii="宋体" w:hAnsi="宋体"/>
                <w:color w:val="auto"/>
                <w:kern w:val="0"/>
                <w:sz w:val="24"/>
              </w:rPr>
              <w:t>（0-2分）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 w:hRule="atLeast"/>
        </w:trPr>
        <w:tc>
          <w:tcPr>
            <w:tcW w:w="2640" w:type="dxa"/>
            <w:vMerge w:val="continue"/>
            <w:shd w:val="clear" w:color="auto" w:fill="auto"/>
            <w:noWrap w:val="0"/>
            <w:vAlign w:val="center"/>
          </w:tcPr>
          <w:p>
            <w:pPr>
              <w:rPr>
                <w:rFonts w:hint="eastAsia" w:ascii="宋体" w:hAnsi="宋体" w:cs="宋体"/>
                <w:color w:val="auto"/>
                <w:sz w:val="24"/>
              </w:rPr>
            </w:pPr>
          </w:p>
        </w:tc>
        <w:tc>
          <w:tcPr>
            <w:tcW w:w="5531" w:type="dxa"/>
            <w:shd w:val="clear" w:color="auto" w:fill="FFFFFF"/>
            <w:noWrap w:val="0"/>
            <w:vAlign w:val="center"/>
          </w:tcPr>
          <w:p>
            <w:pPr>
              <w:autoSpaceDE w:val="0"/>
              <w:autoSpaceDN w:val="0"/>
              <w:adjustRightInd w:val="0"/>
              <w:spacing w:line="300" w:lineRule="auto"/>
              <w:jc w:val="left"/>
              <w:rPr>
                <w:rFonts w:ascii="宋体" w:hAnsi="宋体"/>
                <w:color w:val="auto"/>
                <w:kern w:val="0"/>
                <w:sz w:val="24"/>
              </w:rPr>
            </w:pPr>
            <w:r>
              <w:rPr>
                <w:rFonts w:ascii="宋体" w:hAnsi="宋体"/>
                <w:color w:val="auto"/>
                <w:kern w:val="0"/>
                <w:sz w:val="24"/>
              </w:rPr>
              <w:t>(</w:t>
            </w:r>
            <w:r>
              <w:rPr>
                <w:rFonts w:hint="eastAsia" w:ascii="宋体" w:hAnsi="宋体"/>
                <w:color w:val="auto"/>
                <w:kern w:val="0"/>
                <w:sz w:val="24"/>
              </w:rPr>
              <w:t>14</w:t>
            </w:r>
            <w:r>
              <w:rPr>
                <w:rFonts w:ascii="宋体" w:hAnsi="宋体"/>
                <w:color w:val="auto"/>
                <w:kern w:val="0"/>
                <w:sz w:val="24"/>
              </w:rPr>
              <w:t>)</w:t>
            </w:r>
            <w:r>
              <w:rPr>
                <w:rFonts w:hint="eastAsia"/>
                <w:color w:val="auto"/>
                <w:sz w:val="24"/>
              </w:rPr>
              <w:t>创建服务承诺：能无条件完成各项文明、卫生创建活动中的突发工作任务要求、确保不失分，得2分，不承诺不得分</w:t>
            </w:r>
          </w:p>
        </w:tc>
        <w:tc>
          <w:tcPr>
            <w:tcW w:w="1286" w:type="dxa"/>
            <w:shd w:val="clear" w:color="auto" w:fill="FFFFFF"/>
            <w:noWrap w:val="0"/>
            <w:vAlign w:val="center"/>
          </w:tcPr>
          <w:p>
            <w:pPr>
              <w:jc w:val="center"/>
              <w:rPr>
                <w:rFonts w:hint="eastAsia" w:ascii="宋体" w:hAnsi="宋体" w:cs="宋体"/>
                <w:color w:val="auto"/>
                <w:sz w:val="24"/>
              </w:rPr>
            </w:pPr>
            <w:r>
              <w:rPr>
                <w:rFonts w:hint="eastAsia" w:ascii="宋体" w:hAnsi="宋体" w:cs="宋体"/>
                <w:color w:val="auto"/>
                <w:sz w:val="24"/>
              </w:rPr>
              <w:t>2</w:t>
            </w:r>
          </w:p>
        </w:tc>
      </w:tr>
    </w:tbl>
    <w:p>
      <w:pPr>
        <w:pStyle w:val="18"/>
        <w:spacing w:before="0" w:after="0" w:line="400" w:lineRule="atLeast"/>
        <w:jc w:val="both"/>
        <w:rPr>
          <w:rFonts w:ascii="Times New Roman" w:hAnsi="Times New Roman"/>
          <w:sz w:val="44"/>
          <w:szCs w:val="44"/>
        </w:rPr>
      </w:pPr>
    </w:p>
    <w:p>
      <w:pPr>
        <w:rPr>
          <w:rFonts w:ascii="Times New Roman" w:hAnsi="Times New Roman"/>
          <w:sz w:val="44"/>
          <w:szCs w:val="44"/>
        </w:rPr>
      </w:pPr>
    </w:p>
    <w:p>
      <w:pPr>
        <w:rPr>
          <w:rFonts w:ascii="Times New Roman" w:hAnsi="Times New Roman"/>
          <w:sz w:val="44"/>
          <w:szCs w:val="44"/>
        </w:rPr>
      </w:pPr>
    </w:p>
    <w:p>
      <w:pPr>
        <w:rPr>
          <w:rFonts w:ascii="Times New Roman" w:hAnsi="Times New Roman"/>
          <w:sz w:val="44"/>
          <w:szCs w:val="44"/>
        </w:rPr>
      </w:pPr>
    </w:p>
    <w:p>
      <w:pPr>
        <w:pStyle w:val="18"/>
        <w:spacing w:before="0" w:after="0" w:line="400" w:lineRule="atLeast"/>
        <w:rPr>
          <w:rFonts w:ascii="Times New Roman" w:hAnsi="Times New Roman"/>
          <w:sz w:val="44"/>
          <w:szCs w:val="44"/>
        </w:rPr>
      </w:pPr>
      <w:r>
        <w:rPr>
          <w:rFonts w:ascii="Times New Roman" w:hAnsi="Times New Roman"/>
          <w:sz w:val="44"/>
          <w:szCs w:val="44"/>
        </w:rPr>
        <w:t>第三部分 采购需求</w:t>
      </w:r>
      <w:bookmarkEnd w:id="8"/>
    </w:p>
    <w:p>
      <w:pPr>
        <w:adjustRightInd w:val="0"/>
        <w:snapToGrid w:val="0"/>
        <w:spacing w:line="360" w:lineRule="auto"/>
        <w:ind w:firstLine="472" w:firstLineChars="196"/>
        <w:rPr>
          <w:b/>
          <w:bCs/>
          <w:color w:val="000000"/>
          <w:sz w:val="24"/>
        </w:rPr>
      </w:pPr>
      <w:r>
        <w:rPr>
          <w:b/>
          <w:bCs/>
          <w:color w:val="000000"/>
          <w:sz w:val="24"/>
        </w:rPr>
        <w:t>一、项目概述：</w:t>
      </w:r>
    </w:p>
    <w:p>
      <w:pPr>
        <w:adjustRightInd w:val="0"/>
        <w:snapToGrid w:val="0"/>
        <w:spacing w:line="360" w:lineRule="auto"/>
        <w:ind w:firstLine="472" w:firstLineChars="197"/>
        <w:rPr>
          <w:bCs/>
          <w:color w:val="000000"/>
          <w:sz w:val="24"/>
        </w:rPr>
      </w:pPr>
      <w:r>
        <w:rPr>
          <w:bCs/>
          <w:color w:val="000000"/>
          <w:sz w:val="24"/>
        </w:rPr>
        <w:t>本项目为</w:t>
      </w:r>
      <w:r>
        <w:rPr>
          <w:rFonts w:hint="eastAsia"/>
          <w:b/>
          <w:sz w:val="24"/>
        </w:rPr>
        <w:t>中泰街道集镇范围保洁服务</w:t>
      </w:r>
      <w:r>
        <w:rPr>
          <w:bCs/>
          <w:sz w:val="24"/>
        </w:rPr>
        <w:t>，采</w:t>
      </w:r>
      <w:r>
        <w:rPr>
          <w:bCs/>
          <w:color w:val="000000"/>
          <w:sz w:val="24"/>
        </w:rPr>
        <w:t>购内容包括</w:t>
      </w:r>
      <w:r>
        <w:rPr>
          <w:color w:val="000000"/>
          <w:sz w:val="24"/>
        </w:rPr>
        <w:t>绿化</w:t>
      </w:r>
      <w:r>
        <w:rPr>
          <w:rFonts w:hint="eastAsia"/>
          <w:color w:val="000000"/>
          <w:sz w:val="24"/>
        </w:rPr>
        <w:t>保洁</w:t>
      </w:r>
      <w:r>
        <w:rPr>
          <w:color w:val="000000"/>
          <w:sz w:val="24"/>
        </w:rPr>
        <w:t>所必须的绿化</w:t>
      </w:r>
      <w:r>
        <w:rPr>
          <w:rFonts w:hint="eastAsia"/>
          <w:color w:val="000000"/>
          <w:sz w:val="24"/>
        </w:rPr>
        <w:t>保洁</w:t>
      </w:r>
      <w:r>
        <w:rPr>
          <w:color w:val="000000"/>
          <w:sz w:val="24"/>
        </w:rPr>
        <w:t>工人管理、绿化施肥、绿化浇水、绿化防病防虫用药、绿化修剪、绿地保洁、绿地除草，以及</w:t>
      </w:r>
      <w:r>
        <w:rPr>
          <w:rFonts w:hint="eastAsia"/>
          <w:color w:val="000000"/>
          <w:sz w:val="24"/>
        </w:rPr>
        <w:t>道路保洁、垃圾清运</w:t>
      </w:r>
      <w:r>
        <w:rPr>
          <w:bCs/>
          <w:color w:val="000000"/>
          <w:sz w:val="24"/>
        </w:rPr>
        <w:t>。</w:t>
      </w:r>
    </w:p>
    <w:p>
      <w:pPr>
        <w:adjustRightInd w:val="0"/>
        <w:snapToGrid w:val="0"/>
        <w:spacing w:line="360" w:lineRule="auto"/>
        <w:ind w:firstLine="480" w:firstLineChars="200"/>
        <w:rPr>
          <w:rFonts w:hint="eastAsia"/>
          <w:color w:val="000000"/>
          <w:sz w:val="24"/>
          <w:highlight w:val="yellow"/>
        </w:rPr>
      </w:pPr>
      <w:r>
        <w:rPr>
          <w:rFonts w:hint="eastAsia"/>
          <w:color w:val="000000"/>
          <w:sz w:val="24"/>
        </w:rPr>
        <w:t>1、</w:t>
      </w:r>
      <w:r>
        <w:rPr>
          <w:color w:val="000000"/>
          <w:sz w:val="24"/>
        </w:rPr>
        <w:t>本项目</w:t>
      </w:r>
      <w:r>
        <w:rPr>
          <w:rFonts w:hint="eastAsia"/>
          <w:color w:val="000000"/>
          <w:sz w:val="24"/>
        </w:rPr>
        <w:t>绿化保洁</w:t>
      </w:r>
      <w:r>
        <w:rPr>
          <w:color w:val="000000"/>
          <w:sz w:val="24"/>
        </w:rPr>
        <w:t>期限为</w:t>
      </w:r>
      <w:r>
        <w:rPr>
          <w:rFonts w:hint="eastAsia"/>
          <w:sz w:val="24"/>
        </w:rPr>
        <w:t>730</w:t>
      </w:r>
      <w:r>
        <w:rPr>
          <w:rFonts w:hint="eastAsia"/>
          <w:b/>
          <w:sz w:val="24"/>
        </w:rPr>
        <w:t>日历天</w:t>
      </w:r>
      <w:r>
        <w:rPr>
          <w:rFonts w:hint="eastAsia"/>
          <w:b/>
          <w:color w:val="000000"/>
          <w:sz w:val="24"/>
        </w:rPr>
        <w:t>。</w:t>
      </w:r>
    </w:p>
    <w:p>
      <w:pPr>
        <w:adjustRightInd w:val="0"/>
        <w:snapToGrid w:val="0"/>
        <w:spacing w:line="400" w:lineRule="atLeast"/>
        <w:ind w:firstLine="236" w:firstLineChars="98"/>
        <w:rPr>
          <w:b/>
          <w:bCs/>
          <w:color w:val="000000"/>
          <w:sz w:val="24"/>
        </w:rPr>
      </w:pPr>
      <w:r>
        <w:rPr>
          <w:b/>
          <w:bCs/>
          <w:color w:val="000000"/>
          <w:sz w:val="24"/>
        </w:rPr>
        <w:t>服务内容：</w:t>
      </w:r>
      <w:r>
        <w:rPr>
          <w:rFonts w:hint="eastAsia"/>
          <w:b/>
          <w:bCs/>
          <w:color w:val="000000"/>
          <w:sz w:val="24"/>
        </w:rPr>
        <w:t>保洁</w:t>
      </w:r>
      <w:r>
        <w:rPr>
          <w:b/>
          <w:bCs/>
          <w:color w:val="000000"/>
          <w:sz w:val="24"/>
        </w:rPr>
        <w:t>面积为</w:t>
      </w:r>
      <w:r>
        <w:rPr>
          <w:rFonts w:hint="eastAsia"/>
          <w:b/>
          <w:bCs/>
          <w:sz w:val="24"/>
        </w:rPr>
        <w:t>109423</w:t>
      </w:r>
      <w:r>
        <w:rPr>
          <w:b/>
          <w:bCs/>
          <w:sz w:val="24"/>
        </w:rPr>
        <w:t>平方米</w:t>
      </w:r>
      <w:r>
        <w:rPr>
          <w:b/>
          <w:bCs/>
          <w:color w:val="000000"/>
          <w:sz w:val="24"/>
        </w:rPr>
        <w:t>，具体</w:t>
      </w:r>
      <w:r>
        <w:rPr>
          <w:rFonts w:hint="eastAsia"/>
          <w:b/>
          <w:bCs/>
          <w:color w:val="000000"/>
          <w:sz w:val="24"/>
        </w:rPr>
        <w:t>保洁</w:t>
      </w:r>
      <w:r>
        <w:rPr>
          <w:b/>
          <w:bCs/>
          <w:color w:val="000000"/>
          <w:sz w:val="24"/>
        </w:rPr>
        <w:t>绿地详见列表</w:t>
      </w:r>
      <w:r>
        <w:rPr>
          <w:rFonts w:hint="eastAsia"/>
          <w:b/>
          <w:bCs/>
          <w:color w:val="000000"/>
          <w:sz w:val="24"/>
        </w:rPr>
        <w:t>一</w:t>
      </w:r>
      <w:r>
        <w:rPr>
          <w:b/>
          <w:bCs/>
          <w:color w:val="000000"/>
          <w:sz w:val="24"/>
        </w:rPr>
        <w:t>。</w:t>
      </w:r>
    </w:p>
    <w:p>
      <w:pPr>
        <w:widowControl/>
        <w:spacing w:line="400" w:lineRule="atLeast"/>
        <w:textAlignment w:val="center"/>
        <w:rPr>
          <w:rFonts w:hint="eastAsia"/>
          <w:color w:val="000000"/>
          <w:kern w:val="0"/>
          <w:sz w:val="24"/>
        </w:rPr>
      </w:pPr>
    </w:p>
    <w:p>
      <w:pPr>
        <w:widowControl/>
        <w:numPr>
          <w:ilvl w:val="0"/>
          <w:numId w:val="7"/>
        </w:numPr>
        <w:spacing w:line="400" w:lineRule="atLeast"/>
        <w:textAlignment w:val="center"/>
        <w:rPr>
          <w:color w:val="000000"/>
          <w:kern w:val="0"/>
          <w:sz w:val="24"/>
        </w:rPr>
      </w:pPr>
      <w:r>
        <w:rPr>
          <w:rFonts w:hint="eastAsia"/>
          <w:color w:val="000000"/>
          <w:kern w:val="0"/>
          <w:sz w:val="24"/>
        </w:rPr>
        <w:t>本项目道路保洁期限为730日历天。</w:t>
      </w:r>
    </w:p>
    <w:p>
      <w:pPr>
        <w:widowControl/>
        <w:spacing w:line="400" w:lineRule="atLeast"/>
        <w:ind w:firstLine="480" w:firstLineChars="200"/>
        <w:textAlignment w:val="center"/>
        <w:rPr>
          <w:rFonts w:hint="eastAsia" w:ascii="宋体" w:hAnsi="宋体"/>
          <w:sz w:val="24"/>
          <w:u w:val="single"/>
        </w:rPr>
      </w:pPr>
      <w:r>
        <w:rPr>
          <w:rFonts w:hint="eastAsia" w:ascii="宋体" w:hAnsi="宋体"/>
          <w:sz w:val="24"/>
          <w:u w:val="single"/>
        </w:rPr>
        <w:t>项目服务内容：道路、人行道、开敞空间的清扫保洁，道路垃圾、路边及人行道杂草清除、路面定期清洗；保洁垃圾清运至垃圾中转站；招标区域内果壳箱、垃圾箱、护栏、公交站台等城市家具的清洗，牛皮癣清理，中泰街道辖区范围的垃圾清运；具体保洁面积详见列表二</w:t>
      </w:r>
    </w:p>
    <w:p>
      <w:pPr>
        <w:widowControl/>
        <w:spacing w:line="400" w:lineRule="atLeast"/>
        <w:textAlignment w:val="center"/>
        <w:rPr>
          <w:rFonts w:ascii="宋体" w:hAnsi="宋体"/>
          <w:sz w:val="24"/>
        </w:rPr>
      </w:pPr>
      <w:r>
        <w:rPr>
          <w:rFonts w:hint="eastAsia" w:ascii="宋体" w:hAnsi="宋体"/>
          <w:sz w:val="24"/>
        </w:rPr>
        <w:t>3、垃圾中转站的日常维护为730日历天。</w:t>
      </w:r>
    </w:p>
    <w:p>
      <w:pPr>
        <w:widowControl/>
        <w:spacing w:line="400" w:lineRule="atLeast"/>
        <w:ind w:firstLine="480" w:firstLineChars="200"/>
        <w:textAlignment w:val="center"/>
        <w:rPr>
          <w:rFonts w:hint="eastAsia" w:ascii="宋体" w:hAnsi="宋体"/>
          <w:sz w:val="24"/>
          <w:u w:val="single"/>
        </w:rPr>
      </w:pPr>
    </w:p>
    <w:p>
      <w:pPr>
        <w:widowControl/>
        <w:spacing w:line="400" w:lineRule="atLeast"/>
        <w:ind w:firstLine="480" w:firstLineChars="200"/>
        <w:textAlignment w:val="center"/>
        <w:rPr>
          <w:rFonts w:hint="eastAsia" w:ascii="宋体" w:hAnsi="宋体"/>
          <w:sz w:val="24"/>
          <w:u w:val="single"/>
        </w:rPr>
      </w:pPr>
    </w:p>
    <w:p>
      <w:pPr>
        <w:widowControl/>
        <w:spacing w:line="400" w:lineRule="atLeast"/>
        <w:ind w:firstLine="480" w:firstLineChars="200"/>
        <w:textAlignment w:val="center"/>
        <w:rPr>
          <w:rFonts w:hint="eastAsia" w:ascii="宋体" w:hAnsi="宋体"/>
          <w:sz w:val="24"/>
          <w:u w:val="single"/>
        </w:rPr>
      </w:pPr>
    </w:p>
    <w:p>
      <w:pPr>
        <w:widowControl/>
        <w:spacing w:line="400" w:lineRule="atLeast"/>
        <w:textAlignment w:val="center"/>
        <w:rPr>
          <w:rFonts w:ascii="宋体" w:hAnsi="宋体"/>
          <w:sz w:val="24"/>
          <w:u w:val="single"/>
        </w:rPr>
        <w:sectPr>
          <w:pgSz w:w="11849" w:h="16781"/>
          <w:pgMar w:top="1417" w:right="1417" w:bottom="1417" w:left="1417" w:header="851" w:footer="992" w:gutter="0"/>
          <w:cols w:space="720" w:num="1"/>
          <w:docGrid w:type="lines" w:linePitch="317" w:charSpace="0"/>
        </w:sectPr>
      </w:pPr>
    </w:p>
    <w:p>
      <w:pPr>
        <w:widowControl/>
        <w:spacing w:line="400" w:lineRule="atLeast"/>
        <w:textAlignment w:val="center"/>
        <w:rPr>
          <w:rFonts w:hint="eastAsia" w:ascii="宋体" w:hAnsi="宋体"/>
          <w:b/>
          <w:bCs/>
          <w:sz w:val="24"/>
        </w:rPr>
      </w:pPr>
      <w:r>
        <w:rPr>
          <w:rFonts w:hint="eastAsia" w:ascii="宋体" w:hAnsi="宋体"/>
          <w:b/>
          <w:bCs/>
          <w:sz w:val="24"/>
        </w:rPr>
        <w:t>列表一：绿化保洁</w:t>
      </w:r>
    </w:p>
    <w:tbl>
      <w:tblPr>
        <w:tblStyle w:val="19"/>
        <w:tblW w:w="0" w:type="auto"/>
        <w:tblInd w:w="91" w:type="dxa"/>
        <w:tblLayout w:type="fixed"/>
        <w:tblCellMar>
          <w:top w:w="0" w:type="dxa"/>
          <w:left w:w="108" w:type="dxa"/>
          <w:bottom w:w="0" w:type="dxa"/>
          <w:right w:w="108" w:type="dxa"/>
        </w:tblCellMar>
      </w:tblPr>
      <w:tblGrid>
        <w:gridCol w:w="726"/>
        <w:gridCol w:w="2552"/>
        <w:gridCol w:w="1984"/>
        <w:gridCol w:w="567"/>
        <w:gridCol w:w="1134"/>
        <w:gridCol w:w="1134"/>
        <w:gridCol w:w="992"/>
        <w:gridCol w:w="631"/>
        <w:gridCol w:w="929"/>
        <w:gridCol w:w="1417"/>
        <w:gridCol w:w="1701"/>
      </w:tblGrid>
      <w:tr>
        <w:tblPrEx>
          <w:tblCellMar>
            <w:top w:w="0" w:type="dxa"/>
            <w:left w:w="108" w:type="dxa"/>
            <w:bottom w:w="0" w:type="dxa"/>
            <w:right w:w="108" w:type="dxa"/>
          </w:tblCellMar>
        </w:tblPrEx>
        <w:trPr>
          <w:wBefore w:w="0" w:type="dxa"/>
          <w:wAfter w:w="0" w:type="dxa"/>
          <w:trHeight w:val="300" w:hRule="atLeast"/>
        </w:trPr>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序号</w:t>
            </w:r>
          </w:p>
        </w:tc>
        <w:tc>
          <w:tcPr>
            <w:tcW w:w="255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地点</w:t>
            </w:r>
          </w:p>
        </w:tc>
        <w:tc>
          <w:tcPr>
            <w:tcW w:w="19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起止点</w:t>
            </w:r>
          </w:p>
        </w:tc>
        <w:tc>
          <w:tcPr>
            <w:tcW w:w="56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面积（M2）</w:t>
            </w:r>
          </w:p>
        </w:tc>
        <w:tc>
          <w:tcPr>
            <w:tcW w:w="2268" w:type="dxa"/>
            <w:gridSpan w:val="2"/>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行道树</w:t>
            </w:r>
          </w:p>
        </w:tc>
        <w:tc>
          <w:tcPr>
            <w:tcW w:w="9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总面积（M2）</w:t>
            </w:r>
          </w:p>
        </w:tc>
        <w:tc>
          <w:tcPr>
            <w:tcW w:w="1560" w:type="dxa"/>
            <w:gridSpan w:val="2"/>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绿化等级</w:t>
            </w:r>
          </w:p>
        </w:tc>
        <w:tc>
          <w:tcPr>
            <w:tcW w:w="1417"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保洁期（天）</w:t>
            </w:r>
          </w:p>
        </w:tc>
        <w:tc>
          <w:tcPr>
            <w:tcW w:w="1701"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备注</w:t>
            </w:r>
          </w:p>
        </w:tc>
      </w:tr>
      <w:tr>
        <w:tblPrEx>
          <w:tblCellMar>
            <w:top w:w="0" w:type="dxa"/>
            <w:left w:w="108" w:type="dxa"/>
            <w:bottom w:w="0" w:type="dxa"/>
            <w:right w:w="108" w:type="dxa"/>
          </w:tblCellMar>
        </w:tblPrEx>
        <w:trPr>
          <w:wBefore w:w="0" w:type="dxa"/>
          <w:wAfter w:w="0" w:type="dxa"/>
          <w:trHeight w:val="870" w:hRule="atLeast"/>
        </w:trPr>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255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19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567"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数量（株）</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折合面积（M2）</w:t>
            </w:r>
          </w:p>
        </w:tc>
        <w:tc>
          <w:tcPr>
            <w:tcW w:w="9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1417"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c>
          <w:tcPr>
            <w:tcW w:w="170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b/>
                <w:bCs/>
                <w:color w:val="auto"/>
                <w:kern w:val="0"/>
                <w:sz w:val="24"/>
              </w:rPr>
            </w:pP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中泰路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良种场至塌阳桥</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643</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11545</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杭泰路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02省道至岑岭村</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177</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708</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杭泰路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02省道至岑岭村</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36</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时花36盆</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水塔路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新南湖绿苑至桃花河</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101</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752</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石鸽路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金岸提香至桃花河</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77</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380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护栏  座椅雕像</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环和路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新西湖小镇边弄巷</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60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97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杭泰北路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园区入口至环园北路（环园南路绿化）</w:t>
            </w:r>
          </w:p>
        </w:tc>
        <w:tc>
          <w:tcPr>
            <w:tcW w:w="567" w:type="dxa"/>
            <w:tcBorders>
              <w:top w:val="nil"/>
              <w:left w:val="nil"/>
              <w:bottom w:val="single" w:color="000000" w:sz="8" w:space="0"/>
              <w:right w:val="single" w:color="000000" w:sz="8" w:space="0"/>
            </w:tcBorders>
            <w:noWrap w:val="0"/>
            <w:vAlign w:val="center"/>
          </w:tcPr>
          <w:p>
            <w:pPr>
              <w:widowControl/>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88</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8600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8</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文化广场</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杭泰路至中学围墙</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49</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5041</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一级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廊桥 座椅</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9</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u w:val="single"/>
              </w:rPr>
            </w:pPr>
            <w:r>
              <w:rPr>
                <w:rFonts w:hint="eastAsia" w:ascii="宋体" w:hAnsi="宋体" w:cs="宋体"/>
                <w:color w:val="auto"/>
                <w:kern w:val="0"/>
                <w:sz w:val="20"/>
                <w:szCs w:val="20"/>
                <w:u w:val="single"/>
              </w:rPr>
              <w:t>背景路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中泰路至石材加工</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1200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10</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中转站</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240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垃圾中转设备</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杭冥线</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跳头高架至跳铜溪</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147</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2123</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原供电营业厅门口</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中泰路与石鸽路口</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602</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13</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阳光城南侧景观</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7" w:type="dxa"/>
            <w:tcBorders>
              <w:top w:val="nil"/>
              <w:left w:val="nil"/>
              <w:bottom w:val="single" w:color="000000" w:sz="8" w:space="0"/>
              <w:right w:val="single" w:color="000000" w:sz="8" w:space="0"/>
            </w:tcBorders>
            <w:noWrap w:val="0"/>
            <w:vAlign w:val="center"/>
          </w:tcPr>
          <w:p>
            <w:pPr>
              <w:widowControl/>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49</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2080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沿河护栏座椅</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14</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商贸城东、北侧道路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02省道至中泰路</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11</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44</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15</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南湖大厦广场</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53</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4000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16</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花鼓街路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69</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2685</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三级</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730</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17</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国际学校</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73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18</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国际学校国文路西侧绿化</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499</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6741</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73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19</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国际学校富泰路南侧绿化</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265</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10431</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20</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南湖东路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518</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15722</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73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21</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南湖东路与中泰路交叉口东北处</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123</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4062</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73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22</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南湖东路与中泰路交叉口西南处</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317</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6813</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23</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街道前服务大厅停车场</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406</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12644</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49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24</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服务大厅南门口停车场</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19</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122</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73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25</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城管对面口袋公园停车场</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48</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704</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26</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商贸城北</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1850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27</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环园东路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3388</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28</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环园西路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862</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29</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环园北路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103</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30</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仙桥路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2005</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31</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绿泰路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1020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32</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富泰路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720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33</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和泰路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1300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285"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34</w:t>
            </w:r>
          </w:p>
        </w:tc>
        <w:tc>
          <w:tcPr>
            <w:tcW w:w="2552"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旺泰路</w:t>
            </w:r>
          </w:p>
        </w:tc>
        <w:tc>
          <w:tcPr>
            <w:tcW w:w="198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567"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134"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992" w:type="dxa"/>
            <w:tcBorders>
              <w:top w:val="nil"/>
              <w:left w:val="nil"/>
              <w:bottom w:val="single" w:color="000000" w:sz="8" w:space="0"/>
              <w:right w:val="single" w:color="000000" w:sz="8" w:space="0"/>
            </w:tcBorders>
            <w:noWrap w:val="0"/>
            <w:vAlign w:val="center"/>
          </w:tcPr>
          <w:p>
            <w:pPr>
              <w:widowControl/>
              <w:jc w:val="right"/>
              <w:rPr>
                <w:rFonts w:ascii="宋体" w:hAnsi="宋体" w:cs="宋体"/>
                <w:color w:val="auto"/>
                <w:kern w:val="0"/>
                <w:sz w:val="20"/>
                <w:szCs w:val="20"/>
              </w:rPr>
            </w:pPr>
            <w:r>
              <w:rPr>
                <w:rFonts w:hint="eastAsia" w:ascii="宋体" w:hAnsi="宋体" w:cs="宋体"/>
                <w:color w:val="auto"/>
                <w:kern w:val="0"/>
                <w:sz w:val="20"/>
                <w:szCs w:val="20"/>
              </w:rPr>
              <w:t>840</w:t>
            </w:r>
          </w:p>
        </w:tc>
        <w:tc>
          <w:tcPr>
            <w:tcW w:w="1560" w:type="dxa"/>
            <w:gridSpan w:val="2"/>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417"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01" w:type="dxa"/>
            <w:tcBorders>
              <w:top w:val="nil"/>
              <w:left w:val="nil"/>
              <w:bottom w:val="single" w:color="000000" w:sz="8" w:space="0"/>
              <w:right w:val="single" w:color="000000" w:sz="8" w:space="0"/>
            </w:tcBorders>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994" w:type="dxa"/>
            <w:gridSpan w:val="7"/>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合计：109423平方米</w:t>
            </w:r>
          </w:p>
        </w:tc>
        <w:tc>
          <w:tcPr>
            <w:tcW w:w="4047" w:type="dxa"/>
            <w:gridSpan w:val="3"/>
            <w:tcBorders>
              <w:top w:val="single" w:color="000000" w:sz="8" w:space="0"/>
              <w:left w:val="nil"/>
              <w:bottom w:val="nil"/>
              <w:right w:val="nil"/>
            </w:tcBorders>
            <w:noWrap w:val="0"/>
            <w:vAlign w:val="center"/>
          </w:tcPr>
          <w:p>
            <w:pPr>
              <w:widowControl/>
              <w:rPr>
                <w:rFonts w:cs="宋体"/>
                <w:color w:val="auto"/>
                <w:kern w:val="0"/>
                <w:szCs w:val="21"/>
              </w:rPr>
            </w:pPr>
            <w:r>
              <w:rPr>
                <w:rFonts w:cs="宋体"/>
                <w:color w:val="auto"/>
                <w:kern w:val="0"/>
                <w:szCs w:val="21"/>
              </w:rPr>
              <w:t>　</w:t>
            </w:r>
          </w:p>
        </w:tc>
      </w:tr>
    </w:tbl>
    <w:p>
      <w:pPr>
        <w:widowControl/>
        <w:spacing w:line="400" w:lineRule="atLeast"/>
        <w:textAlignment w:val="center"/>
        <w:rPr>
          <w:rFonts w:hint="eastAsia" w:ascii="宋体" w:hAnsi="宋体"/>
          <w:sz w:val="24"/>
          <w:u w:val="single"/>
        </w:rPr>
      </w:pPr>
    </w:p>
    <w:p>
      <w:pPr>
        <w:widowControl/>
        <w:spacing w:line="400" w:lineRule="atLeast"/>
        <w:textAlignment w:val="center"/>
        <w:rPr>
          <w:rFonts w:ascii="宋体" w:hAnsi="宋体"/>
          <w:sz w:val="24"/>
          <w:u w:val="single"/>
        </w:rPr>
        <w:sectPr>
          <w:pgSz w:w="16781" w:h="11849" w:orient="landscape"/>
          <w:pgMar w:top="1417" w:right="1417" w:bottom="1417" w:left="1417" w:header="851" w:footer="992" w:gutter="0"/>
          <w:cols w:space="720" w:num="1"/>
          <w:docGrid w:type="lines" w:linePitch="317" w:charSpace="0"/>
        </w:sectPr>
      </w:pPr>
    </w:p>
    <w:p>
      <w:pPr>
        <w:spacing w:line="240" w:lineRule="exact"/>
        <w:rPr>
          <w:rFonts w:ascii="宋体" w:hAnsi="宋体"/>
          <w:b/>
          <w:bCs/>
          <w:color w:val="000000"/>
          <w:sz w:val="24"/>
          <w:szCs w:val="40"/>
        </w:rPr>
      </w:pPr>
      <w:r>
        <w:rPr>
          <w:rFonts w:hint="eastAsia" w:ascii="宋体" w:hAnsi="宋体"/>
          <w:b/>
          <w:bCs/>
          <w:color w:val="000000"/>
          <w:sz w:val="24"/>
          <w:szCs w:val="40"/>
        </w:rPr>
        <w:t>列表2：道路保洁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3506"/>
        <w:gridCol w:w="2339"/>
        <w:gridCol w:w="2341"/>
        <w:gridCol w:w="2340"/>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序号</w:t>
            </w:r>
          </w:p>
        </w:tc>
        <w:tc>
          <w:tcPr>
            <w:tcW w:w="3506" w:type="dxa"/>
            <w:noWrap w:val="0"/>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道路名称</w:t>
            </w:r>
          </w:p>
        </w:tc>
        <w:tc>
          <w:tcPr>
            <w:tcW w:w="2339" w:type="dxa"/>
            <w:noWrap w:val="0"/>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道路等级</w:t>
            </w:r>
          </w:p>
        </w:tc>
        <w:tc>
          <w:tcPr>
            <w:tcW w:w="2341" w:type="dxa"/>
            <w:noWrap w:val="0"/>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道路面积（平方米）</w:t>
            </w:r>
          </w:p>
        </w:tc>
        <w:tc>
          <w:tcPr>
            <w:tcW w:w="2340" w:type="dxa"/>
            <w:noWrap w:val="0"/>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保洁期</w:t>
            </w:r>
          </w:p>
        </w:tc>
        <w:tc>
          <w:tcPr>
            <w:tcW w:w="2341" w:type="dxa"/>
            <w:noWrap w:val="0"/>
            <w:vAlign w:val="center"/>
          </w:tcPr>
          <w:p>
            <w:pPr>
              <w:widowControl/>
              <w:jc w:val="center"/>
              <w:textAlignment w:val="center"/>
              <w:rPr>
                <w:rFonts w:ascii="宋体" w:hAnsi="宋体" w:cs="宋体"/>
                <w:b/>
                <w:kern w:val="0"/>
                <w:sz w:val="24"/>
                <w:lang w:bidi="ar"/>
              </w:rPr>
            </w:pPr>
            <w:r>
              <w:rPr>
                <w:rFonts w:hint="eastAsia" w:ascii="宋体" w:hAnsi="宋体" w:cs="宋体"/>
                <w:b/>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中泰路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一类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109056</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杭泰路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一类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16875</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3</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杭泰路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16536</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4</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水塔路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15000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5</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石鸽路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11840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6</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文化广场消防通道</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1500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环和路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2700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8</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石鸽社区消防通道</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900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9</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跳头集镇</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30000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10</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工业园区一期</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37450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11</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工业园区二期</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37627</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12</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停车场</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7681</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13</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南湖东路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22279</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14</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国际学校</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40491</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15</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垃圾中转站</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1330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16</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老农贸市场过道</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633</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17</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商贸城东、北侧通道</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5250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18</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岑岭农居点</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6328</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19</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背井路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1600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20</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石鸽路延伸段</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8560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21</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世纪家园小区</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2400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22</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阳光城南侧沿河</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4950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23</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金岸提香南侧景观带</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2500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24</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南湖大厦广场</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7333</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25</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环园北路延伸段</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3546</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26</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石鸽北路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4193</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27</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幸福北路（水塔路——南湖东路）</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2860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28</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文化广场</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4662</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 w:hRule="atLeast"/>
        </w:trPr>
        <w:tc>
          <w:tcPr>
            <w:tcW w:w="1173"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29</w:t>
            </w:r>
          </w:p>
        </w:tc>
        <w:tc>
          <w:tcPr>
            <w:tcW w:w="3506"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中心幼儿园配套区域</w:t>
            </w:r>
          </w:p>
        </w:tc>
        <w:tc>
          <w:tcPr>
            <w:tcW w:w="2339"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三类</w:t>
            </w:r>
          </w:p>
        </w:tc>
        <w:tc>
          <w:tcPr>
            <w:tcW w:w="2341"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1800</w:t>
            </w:r>
          </w:p>
        </w:tc>
        <w:tc>
          <w:tcPr>
            <w:tcW w:w="2340" w:type="dxa"/>
            <w:noWrap w:val="0"/>
            <w:vAlign w:val="center"/>
          </w:tcPr>
          <w:p>
            <w:pPr>
              <w:spacing w:line="240" w:lineRule="exact"/>
              <w:jc w:val="center"/>
              <w:rPr>
                <w:rFonts w:ascii="宋体" w:hAnsi="宋体"/>
                <w:color w:val="000000"/>
                <w:sz w:val="20"/>
                <w:szCs w:val="28"/>
              </w:rPr>
            </w:pPr>
            <w:r>
              <w:rPr>
                <w:rFonts w:hint="eastAsia" w:ascii="宋体" w:hAnsi="宋体"/>
                <w:color w:val="000000"/>
                <w:sz w:val="20"/>
                <w:szCs w:val="28"/>
              </w:rPr>
              <w:t>730日历天</w:t>
            </w:r>
          </w:p>
        </w:tc>
        <w:tc>
          <w:tcPr>
            <w:tcW w:w="2341" w:type="dxa"/>
            <w:noWrap w:val="0"/>
            <w:vAlign w:val="center"/>
          </w:tcPr>
          <w:p>
            <w:pPr>
              <w:spacing w:line="240" w:lineRule="exact"/>
              <w:jc w:val="center"/>
              <w:rPr>
                <w:rFonts w:ascii="宋体" w:hAnsi="宋体"/>
                <w:color w:val="000000"/>
                <w:sz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7018" w:type="dxa"/>
            <w:gridSpan w:val="3"/>
            <w:noWrap w:val="0"/>
            <w:vAlign w:val="top"/>
          </w:tcPr>
          <w:p>
            <w:pPr>
              <w:adjustRightInd w:val="0"/>
              <w:snapToGrid w:val="0"/>
              <w:spacing w:line="400" w:lineRule="atLeast"/>
              <w:jc w:val="center"/>
              <w:rPr>
                <w:b/>
                <w:color w:val="000000"/>
                <w:sz w:val="24"/>
              </w:rPr>
            </w:pPr>
            <w:r>
              <w:rPr>
                <w:rFonts w:hint="eastAsia"/>
                <w:b/>
                <w:color w:val="000000"/>
                <w:sz w:val="24"/>
              </w:rPr>
              <w:t>合计：</w:t>
            </w:r>
          </w:p>
        </w:tc>
        <w:tc>
          <w:tcPr>
            <w:tcW w:w="2341" w:type="dxa"/>
            <w:noWrap w:val="0"/>
            <w:vAlign w:val="top"/>
          </w:tcPr>
          <w:p>
            <w:pPr>
              <w:adjustRightInd w:val="0"/>
              <w:snapToGrid w:val="0"/>
              <w:spacing w:line="400" w:lineRule="atLeast"/>
              <w:jc w:val="center"/>
              <w:rPr>
                <w:b/>
                <w:color w:val="000000"/>
                <w:sz w:val="24"/>
              </w:rPr>
            </w:pPr>
            <w:r>
              <w:rPr>
                <w:rFonts w:hint="eastAsia"/>
                <w:b/>
                <w:color w:val="000000"/>
                <w:sz w:val="24"/>
              </w:rPr>
              <w:t>407880</w:t>
            </w:r>
          </w:p>
        </w:tc>
        <w:tc>
          <w:tcPr>
            <w:tcW w:w="2340" w:type="dxa"/>
            <w:noWrap w:val="0"/>
            <w:vAlign w:val="top"/>
          </w:tcPr>
          <w:p>
            <w:pPr>
              <w:adjustRightInd w:val="0"/>
              <w:snapToGrid w:val="0"/>
              <w:spacing w:line="400" w:lineRule="atLeast"/>
              <w:rPr>
                <w:b/>
                <w:color w:val="000000"/>
                <w:sz w:val="24"/>
              </w:rPr>
            </w:pPr>
          </w:p>
        </w:tc>
        <w:tc>
          <w:tcPr>
            <w:tcW w:w="2341" w:type="dxa"/>
            <w:noWrap w:val="0"/>
            <w:vAlign w:val="top"/>
          </w:tcPr>
          <w:p>
            <w:pPr>
              <w:adjustRightInd w:val="0"/>
              <w:snapToGrid w:val="0"/>
              <w:spacing w:line="400" w:lineRule="atLeast"/>
              <w:rPr>
                <w:b/>
                <w:color w:val="000000"/>
                <w:sz w:val="24"/>
              </w:rPr>
            </w:pPr>
          </w:p>
        </w:tc>
      </w:tr>
    </w:tbl>
    <w:p>
      <w:pPr>
        <w:adjustRightInd w:val="0"/>
        <w:snapToGrid w:val="0"/>
        <w:spacing w:line="400" w:lineRule="atLeast"/>
        <w:rPr>
          <w:b/>
          <w:color w:val="000000"/>
          <w:sz w:val="24"/>
        </w:rPr>
        <w:sectPr>
          <w:pgSz w:w="16781" w:h="11849" w:orient="landscape"/>
          <w:pgMar w:top="1417" w:right="1417" w:bottom="1417" w:left="1417" w:header="851" w:footer="992" w:gutter="0"/>
          <w:cols w:space="720" w:num="1"/>
          <w:docGrid w:type="lines" w:linePitch="317" w:charSpace="0"/>
        </w:sectPr>
      </w:pPr>
    </w:p>
    <w:p>
      <w:pPr>
        <w:adjustRightInd w:val="0"/>
        <w:snapToGrid w:val="0"/>
        <w:spacing w:line="400" w:lineRule="atLeast"/>
        <w:rPr>
          <w:rFonts w:hint="eastAsia" w:ascii="宋体" w:hAnsi="宋体"/>
          <w:sz w:val="24"/>
        </w:rPr>
      </w:pPr>
    </w:p>
    <w:p>
      <w:pPr>
        <w:adjustRightInd w:val="0"/>
        <w:snapToGrid w:val="0"/>
        <w:spacing w:line="400" w:lineRule="atLeast"/>
        <w:ind w:firstLine="475" w:firstLineChars="197"/>
        <w:rPr>
          <w:b/>
          <w:bCs/>
          <w:color w:val="000000"/>
          <w:sz w:val="24"/>
        </w:rPr>
      </w:pPr>
      <w:r>
        <w:rPr>
          <w:b/>
          <w:bCs/>
          <w:color w:val="000000"/>
          <w:sz w:val="24"/>
        </w:rPr>
        <w:t>三、投标报价说明</w:t>
      </w:r>
    </w:p>
    <w:p>
      <w:pPr>
        <w:spacing w:line="400" w:lineRule="atLeast"/>
        <w:ind w:firstLine="482" w:firstLineChars="200"/>
        <w:rPr>
          <w:b/>
          <w:bCs/>
          <w:color w:val="000000"/>
          <w:sz w:val="24"/>
        </w:rPr>
      </w:pPr>
      <w:r>
        <w:rPr>
          <w:b/>
          <w:bCs/>
          <w:color w:val="000000"/>
          <w:sz w:val="24"/>
        </w:rPr>
        <w:t>投标报价包括日常绿化</w:t>
      </w:r>
      <w:r>
        <w:rPr>
          <w:rFonts w:hint="eastAsia"/>
          <w:b/>
          <w:bCs/>
          <w:color w:val="000000"/>
          <w:sz w:val="24"/>
        </w:rPr>
        <w:t>保洁</w:t>
      </w:r>
      <w:r>
        <w:rPr>
          <w:b/>
          <w:bCs/>
          <w:color w:val="000000"/>
          <w:sz w:val="24"/>
        </w:rPr>
        <w:t>费</w:t>
      </w:r>
      <w:r>
        <w:rPr>
          <w:rFonts w:hint="eastAsia"/>
          <w:b/>
          <w:bCs/>
          <w:color w:val="000000"/>
          <w:sz w:val="24"/>
        </w:rPr>
        <w:t>；道路保洁，集镇范围内的垃圾清运等</w:t>
      </w:r>
      <w:r>
        <w:rPr>
          <w:b/>
          <w:bCs/>
          <w:color w:val="000000"/>
          <w:sz w:val="24"/>
        </w:rPr>
        <w:t>。</w:t>
      </w:r>
    </w:p>
    <w:p>
      <w:pPr>
        <w:spacing w:line="400" w:lineRule="atLeast"/>
        <w:ind w:firstLine="480" w:firstLineChars="200"/>
        <w:rPr>
          <w:color w:val="000000"/>
          <w:sz w:val="24"/>
        </w:rPr>
      </w:pPr>
      <w:r>
        <w:rPr>
          <w:rFonts w:hint="eastAsia"/>
          <w:color w:val="000000"/>
          <w:sz w:val="24"/>
        </w:rPr>
        <w:t>保洁</w:t>
      </w:r>
      <w:r>
        <w:rPr>
          <w:color w:val="000000"/>
          <w:sz w:val="24"/>
        </w:rPr>
        <w:t>期限内，采购人有权直接委托中标单位</w:t>
      </w:r>
      <w:r>
        <w:rPr>
          <w:rFonts w:hint="eastAsia"/>
          <w:color w:val="000000"/>
          <w:sz w:val="24"/>
        </w:rPr>
        <w:t>保洁</w:t>
      </w:r>
      <w:r>
        <w:rPr>
          <w:color w:val="000000"/>
          <w:sz w:val="24"/>
        </w:rPr>
        <w:t>管理本标段3%以下工程量的公共绿地（含新接收公共绿地），采购人不额外增加</w:t>
      </w:r>
      <w:r>
        <w:rPr>
          <w:rFonts w:hint="eastAsia"/>
          <w:color w:val="000000"/>
          <w:sz w:val="24"/>
        </w:rPr>
        <w:t>保洁</w:t>
      </w:r>
      <w:r>
        <w:rPr>
          <w:color w:val="000000"/>
          <w:sz w:val="24"/>
        </w:rPr>
        <w:t>费。</w:t>
      </w:r>
    </w:p>
    <w:p>
      <w:pPr>
        <w:spacing w:line="400" w:lineRule="atLeast"/>
        <w:ind w:firstLine="482" w:firstLineChars="200"/>
        <w:rPr>
          <w:color w:val="000000"/>
          <w:sz w:val="24"/>
        </w:rPr>
      </w:pPr>
      <w:r>
        <w:rPr>
          <w:rFonts w:hint="eastAsia"/>
          <w:b/>
          <w:color w:val="000000"/>
          <w:sz w:val="24"/>
        </w:rPr>
        <w:t>1、</w:t>
      </w:r>
      <w:r>
        <w:rPr>
          <w:b/>
          <w:color w:val="000000"/>
          <w:sz w:val="24"/>
        </w:rPr>
        <w:t>日常绿化</w:t>
      </w:r>
      <w:r>
        <w:rPr>
          <w:rFonts w:hint="eastAsia"/>
          <w:b/>
          <w:color w:val="000000"/>
          <w:sz w:val="24"/>
        </w:rPr>
        <w:t>保洁</w:t>
      </w:r>
      <w:r>
        <w:rPr>
          <w:b/>
          <w:color w:val="000000"/>
          <w:sz w:val="24"/>
        </w:rPr>
        <w:t>费</w:t>
      </w:r>
      <w:r>
        <w:rPr>
          <w:color w:val="000000"/>
          <w:sz w:val="24"/>
        </w:rPr>
        <w:t>包括：绿化</w:t>
      </w:r>
      <w:r>
        <w:rPr>
          <w:rFonts w:hint="eastAsia"/>
          <w:color w:val="000000"/>
          <w:sz w:val="24"/>
        </w:rPr>
        <w:t>保洁</w:t>
      </w:r>
      <w:r>
        <w:rPr>
          <w:color w:val="000000"/>
          <w:sz w:val="24"/>
        </w:rPr>
        <w:t>人工工资、绿化施肥费、绿化浇水费、绿化防病防虫用药费、其他费用；</w:t>
      </w:r>
    </w:p>
    <w:p>
      <w:pPr>
        <w:spacing w:line="400" w:lineRule="atLeast"/>
        <w:ind w:firstLine="482" w:firstLineChars="200"/>
        <w:rPr>
          <w:color w:val="000000"/>
          <w:sz w:val="24"/>
        </w:rPr>
      </w:pPr>
      <w:r>
        <w:rPr>
          <w:rFonts w:hint="eastAsia"/>
          <w:b/>
          <w:color w:val="000000"/>
          <w:sz w:val="24"/>
        </w:rPr>
        <w:t>①</w:t>
      </w:r>
      <w:r>
        <w:rPr>
          <w:color w:val="000000"/>
          <w:sz w:val="24"/>
        </w:rPr>
        <w:t>人工工资主要包括基本工资、社会保障五险、高温补助、意外伤害险等，人员配备必须附本企业最近一季度交纳的养老保险为依据。</w:t>
      </w:r>
      <w:r>
        <w:rPr>
          <w:rFonts w:hint="eastAsia"/>
          <w:color w:val="000000"/>
          <w:sz w:val="24"/>
        </w:rPr>
        <w:t>保洁</w:t>
      </w:r>
      <w:r>
        <w:rPr>
          <w:color w:val="000000"/>
          <w:sz w:val="24"/>
        </w:rPr>
        <w:t>人员</w:t>
      </w:r>
      <w:r>
        <w:rPr>
          <w:color w:val="000000"/>
          <w:kern w:val="0"/>
          <w:sz w:val="24"/>
        </w:rPr>
        <w:t>主要做好绿地</w:t>
      </w:r>
      <w:r>
        <w:rPr>
          <w:rFonts w:hint="eastAsia"/>
          <w:color w:val="000000"/>
          <w:kern w:val="0"/>
          <w:sz w:val="24"/>
        </w:rPr>
        <w:t>保洁</w:t>
      </w:r>
      <w:r>
        <w:rPr>
          <w:color w:val="000000"/>
          <w:kern w:val="0"/>
          <w:sz w:val="24"/>
        </w:rPr>
        <w:t>中各类</w:t>
      </w:r>
      <w:r>
        <w:rPr>
          <w:rFonts w:hint="eastAsia"/>
          <w:color w:val="000000"/>
          <w:kern w:val="0"/>
          <w:sz w:val="24"/>
        </w:rPr>
        <w:t>保洁</w:t>
      </w:r>
      <w:r>
        <w:rPr>
          <w:color w:val="000000"/>
          <w:kern w:val="0"/>
          <w:sz w:val="24"/>
        </w:rPr>
        <w:t>工作，其中包括服从采购人派遣任务、绿化施肥、浇水、绿地保洁、除草、补种、喷洒农药、应急响应等</w:t>
      </w:r>
      <w:r>
        <w:rPr>
          <w:rFonts w:hint="eastAsia"/>
          <w:color w:val="000000"/>
          <w:kern w:val="0"/>
          <w:sz w:val="24"/>
        </w:rPr>
        <w:t>保洁</w:t>
      </w:r>
      <w:r>
        <w:rPr>
          <w:color w:val="000000"/>
          <w:kern w:val="0"/>
          <w:sz w:val="24"/>
        </w:rPr>
        <w:t>工作</w:t>
      </w:r>
      <w:r>
        <w:rPr>
          <w:color w:val="000000"/>
          <w:sz w:val="24"/>
        </w:rPr>
        <w:t>；</w:t>
      </w:r>
    </w:p>
    <w:p>
      <w:pPr>
        <w:spacing w:line="400" w:lineRule="atLeast"/>
        <w:ind w:firstLine="480" w:firstLineChars="200"/>
        <w:rPr>
          <w:color w:val="000000"/>
          <w:sz w:val="24"/>
        </w:rPr>
      </w:pPr>
      <w:r>
        <w:rPr>
          <w:rFonts w:hint="eastAsia" w:ascii="宋体" w:hAnsi="宋体" w:cs="宋体"/>
          <w:color w:val="000000"/>
          <w:sz w:val="24"/>
        </w:rPr>
        <w:t>②</w:t>
      </w:r>
      <w:r>
        <w:rPr>
          <w:color w:val="000000"/>
          <w:sz w:val="24"/>
        </w:rPr>
        <w:t>绿化施肥费：每年施肥不少于2次，平日应及时追肥，确保绿化生长所必需的养分，</w:t>
      </w:r>
      <w:r>
        <w:rPr>
          <w:color w:val="000000"/>
          <w:kern w:val="0"/>
          <w:sz w:val="24"/>
        </w:rPr>
        <w:t>用有机肥或复合肥0.5kg／㎡</w:t>
      </w:r>
      <w:r>
        <w:rPr>
          <w:color w:val="000000"/>
          <w:sz w:val="24"/>
        </w:rPr>
        <w:t>；</w:t>
      </w:r>
    </w:p>
    <w:p>
      <w:pPr>
        <w:spacing w:line="400" w:lineRule="atLeast"/>
        <w:ind w:firstLine="480" w:firstLineChars="200"/>
        <w:rPr>
          <w:color w:val="000000"/>
          <w:sz w:val="24"/>
        </w:rPr>
      </w:pPr>
      <w:r>
        <w:rPr>
          <w:rFonts w:hint="eastAsia" w:ascii="宋体" w:hAnsi="宋体" w:cs="宋体"/>
          <w:color w:val="000000"/>
          <w:sz w:val="24"/>
        </w:rPr>
        <w:t>③</w:t>
      </w:r>
      <w:r>
        <w:rPr>
          <w:color w:val="000000"/>
          <w:sz w:val="24"/>
        </w:rPr>
        <w:t>绿化浇水费：</w:t>
      </w:r>
      <w:r>
        <w:rPr>
          <w:rFonts w:hint="eastAsia"/>
          <w:color w:val="000000"/>
          <w:sz w:val="24"/>
        </w:rPr>
        <w:t>保洁</w:t>
      </w:r>
      <w:r>
        <w:rPr>
          <w:color w:val="000000"/>
          <w:sz w:val="24"/>
        </w:rPr>
        <w:t>企业需及时发现、及时补充绿化所需水份。天气炎热时，</w:t>
      </w:r>
      <w:r>
        <w:rPr>
          <w:rFonts w:hint="eastAsia"/>
          <w:color w:val="000000"/>
          <w:sz w:val="24"/>
        </w:rPr>
        <w:t>保洁</w:t>
      </w:r>
      <w:r>
        <w:rPr>
          <w:color w:val="000000"/>
          <w:sz w:val="24"/>
        </w:rPr>
        <w:t>企业应抗旱保绿工作，及时给喜阴植物搭建遮阴网，确保绿化不因缺水死亡，并及时交纳绿化水费；</w:t>
      </w:r>
    </w:p>
    <w:p>
      <w:pPr>
        <w:spacing w:line="400" w:lineRule="atLeast"/>
        <w:ind w:firstLine="480" w:firstLineChars="200"/>
        <w:rPr>
          <w:color w:val="000000"/>
          <w:kern w:val="0"/>
          <w:sz w:val="24"/>
        </w:rPr>
      </w:pPr>
      <w:r>
        <w:rPr>
          <w:rFonts w:hint="eastAsia" w:ascii="宋体" w:hAnsi="宋体" w:cs="宋体"/>
          <w:color w:val="000000"/>
          <w:kern w:val="0"/>
          <w:sz w:val="24"/>
        </w:rPr>
        <w:t>④</w:t>
      </w:r>
      <w:r>
        <w:rPr>
          <w:color w:val="000000"/>
          <w:sz w:val="24"/>
        </w:rPr>
        <w:t>绿化防病防虫用药费：要求综合防治，以防为主。病虫害危害应控制在以不影响观赏效果的范围之内，</w:t>
      </w:r>
      <w:r>
        <w:rPr>
          <w:color w:val="000000"/>
          <w:kern w:val="0"/>
          <w:sz w:val="24"/>
        </w:rPr>
        <w:t>其中食叶性害虫危害的叶片，每株不超过5%；刺吸性害虫危害的叶片，每株不超过10%；无蛀干性害虫的活虫、活卵；</w:t>
      </w:r>
    </w:p>
    <w:p>
      <w:pPr>
        <w:spacing w:line="400" w:lineRule="atLeast"/>
        <w:ind w:firstLine="480" w:firstLineChars="200"/>
        <w:rPr>
          <w:color w:val="000000"/>
          <w:sz w:val="24"/>
        </w:rPr>
      </w:pPr>
      <w:r>
        <w:rPr>
          <w:rFonts w:hint="eastAsia"/>
          <w:color w:val="000000"/>
          <w:sz w:val="24"/>
        </w:rPr>
        <w:t>⑤</w:t>
      </w:r>
      <w:r>
        <w:rPr>
          <w:color w:val="000000"/>
          <w:sz w:val="24"/>
        </w:rPr>
        <w:t>其他费用：主要是项目实施过程中须由投标单位支付的其他所有费用，如</w:t>
      </w:r>
      <w:r>
        <w:rPr>
          <w:rFonts w:hint="eastAsia"/>
          <w:color w:val="000000"/>
          <w:sz w:val="24"/>
        </w:rPr>
        <w:t>保洁</w:t>
      </w:r>
      <w:r>
        <w:rPr>
          <w:color w:val="000000"/>
          <w:sz w:val="24"/>
        </w:rPr>
        <w:t>期限内采购人直接委托中标单位</w:t>
      </w:r>
      <w:r>
        <w:rPr>
          <w:rFonts w:hint="eastAsia"/>
          <w:color w:val="000000"/>
          <w:sz w:val="24"/>
        </w:rPr>
        <w:t>保洁</w:t>
      </w:r>
      <w:r>
        <w:rPr>
          <w:color w:val="000000"/>
          <w:sz w:val="24"/>
        </w:rPr>
        <w:t>管理的本项目3%以下工程量的公共绿地（含新接收公共绿地）费用、管理费用及税金、合同实施过程中不可预见的费用等。</w:t>
      </w:r>
    </w:p>
    <w:p>
      <w:pPr>
        <w:adjustRightInd w:val="0"/>
        <w:snapToGrid w:val="0"/>
        <w:spacing w:line="400" w:lineRule="atLeast"/>
        <w:ind w:firstLine="590" w:firstLineChars="245"/>
        <w:rPr>
          <w:b/>
          <w:bCs/>
          <w:color w:val="000000"/>
          <w:sz w:val="24"/>
        </w:rPr>
      </w:pPr>
      <w:r>
        <w:rPr>
          <w:b/>
          <w:bCs/>
          <w:color w:val="000000"/>
          <w:sz w:val="24"/>
        </w:rPr>
        <w:t>四、</w:t>
      </w:r>
      <w:r>
        <w:rPr>
          <w:b/>
          <w:color w:val="000000"/>
          <w:kern w:val="0"/>
          <w:sz w:val="24"/>
        </w:rPr>
        <w:t>公共绿地管养考核办法及奖惩制度</w:t>
      </w:r>
      <w:r>
        <w:rPr>
          <w:b/>
          <w:bCs/>
          <w:color w:val="000000"/>
          <w:sz w:val="24"/>
        </w:rPr>
        <w:t>：</w:t>
      </w:r>
    </w:p>
    <w:p>
      <w:pPr>
        <w:spacing w:line="400" w:lineRule="atLeast"/>
        <w:ind w:firstLine="480" w:firstLineChars="200"/>
        <w:rPr>
          <w:color w:val="FF0000"/>
          <w:sz w:val="24"/>
        </w:rPr>
      </w:pPr>
      <w:r>
        <w:rPr>
          <w:color w:val="000000"/>
          <w:sz w:val="24"/>
        </w:rPr>
        <w:t>《余杭区城市化管理范围内市政设施、公共绿地、环卫保洁管理工作考核办法(试行)》（余政办〔2010〕257号）等文件精神，为进一步提高公共绿地管养水平和</w:t>
      </w:r>
      <w:r>
        <w:rPr>
          <w:rFonts w:hint="eastAsia"/>
          <w:color w:val="000000"/>
          <w:sz w:val="24"/>
        </w:rPr>
        <w:t>保洁</w:t>
      </w:r>
      <w:r>
        <w:rPr>
          <w:color w:val="000000"/>
          <w:sz w:val="24"/>
        </w:rPr>
        <w:t>质量，实现绿化</w:t>
      </w:r>
      <w:r>
        <w:rPr>
          <w:rFonts w:hint="eastAsia"/>
          <w:color w:val="000000"/>
          <w:sz w:val="24"/>
        </w:rPr>
        <w:t>保洁</w:t>
      </w:r>
      <w:r>
        <w:rPr>
          <w:color w:val="000000"/>
          <w:sz w:val="24"/>
        </w:rPr>
        <w:t>管理“标准化、科学化、精细化、长效化”的工作目标，</w:t>
      </w:r>
      <w:r>
        <w:rPr>
          <w:color w:val="000000"/>
          <w:kern w:val="0"/>
          <w:sz w:val="24"/>
        </w:rPr>
        <w:t>确保检查考核工作公平、公正，组织严密，特制定本办法。</w:t>
      </w:r>
    </w:p>
    <w:p>
      <w:pPr>
        <w:adjustRightInd w:val="0"/>
        <w:snapToGrid w:val="0"/>
        <w:spacing w:line="400" w:lineRule="atLeast"/>
        <w:ind w:firstLine="590" w:firstLineChars="245"/>
        <w:rPr>
          <w:b/>
          <w:bCs/>
          <w:sz w:val="24"/>
        </w:rPr>
      </w:pPr>
      <w:r>
        <w:rPr>
          <w:b/>
          <w:bCs/>
          <w:sz w:val="24"/>
        </w:rPr>
        <w:t>●（</w:t>
      </w:r>
      <w:r>
        <w:rPr>
          <w:rFonts w:hint="eastAsia"/>
          <w:b/>
          <w:bCs/>
          <w:sz w:val="24"/>
        </w:rPr>
        <w:t>一</w:t>
      </w:r>
      <w:r>
        <w:rPr>
          <w:b/>
          <w:bCs/>
          <w:sz w:val="24"/>
        </w:rPr>
        <w:t>）绿化</w:t>
      </w:r>
      <w:r>
        <w:rPr>
          <w:rFonts w:hint="eastAsia"/>
          <w:b/>
          <w:bCs/>
          <w:sz w:val="24"/>
        </w:rPr>
        <w:t>保洁</w:t>
      </w:r>
      <w:r>
        <w:rPr>
          <w:b/>
          <w:bCs/>
          <w:sz w:val="24"/>
        </w:rPr>
        <w:t>质量服务标准：</w:t>
      </w:r>
    </w:p>
    <w:p>
      <w:pPr>
        <w:adjustRightInd w:val="0"/>
        <w:snapToGrid w:val="0"/>
        <w:spacing w:line="400" w:lineRule="atLeast"/>
        <w:ind w:firstLine="480" w:firstLineChars="200"/>
        <w:rPr>
          <w:sz w:val="24"/>
        </w:rPr>
      </w:pPr>
      <w:r>
        <w:rPr>
          <w:kern w:val="0"/>
          <w:sz w:val="24"/>
        </w:rPr>
        <w:t>具体服务质量标准根据《杭州市城区绿地</w:t>
      </w:r>
      <w:r>
        <w:rPr>
          <w:rFonts w:hint="eastAsia"/>
          <w:kern w:val="0"/>
          <w:sz w:val="24"/>
        </w:rPr>
        <w:t>保洁</w:t>
      </w:r>
      <w:r>
        <w:rPr>
          <w:kern w:val="0"/>
          <w:sz w:val="24"/>
        </w:rPr>
        <w:t>质量标准》（杭园文[2003]42号）、《余杭区城市化管理范围内市政、绿化、</w:t>
      </w:r>
      <w:r>
        <w:rPr>
          <w:rFonts w:hint="eastAsia"/>
          <w:kern w:val="0"/>
          <w:sz w:val="24"/>
        </w:rPr>
        <w:t>养护</w:t>
      </w:r>
      <w:r>
        <w:rPr>
          <w:kern w:val="0"/>
          <w:sz w:val="24"/>
        </w:rPr>
        <w:t>、保序分级分类及考核办法（试行）的通知》（余政办[2013]76号）</w:t>
      </w:r>
      <w:r>
        <w:rPr>
          <w:rFonts w:hint="eastAsia"/>
          <w:kern w:val="0"/>
          <w:sz w:val="24"/>
        </w:rPr>
        <w:t>及《中泰街道城市维护作业项目监管考核实施办法》</w:t>
      </w:r>
      <w:r>
        <w:rPr>
          <w:kern w:val="0"/>
          <w:sz w:val="24"/>
        </w:rPr>
        <w:t>中规定的作业标准和</w:t>
      </w:r>
      <w:r>
        <w:rPr>
          <w:rFonts w:hint="eastAsia"/>
          <w:kern w:val="0"/>
          <w:sz w:val="24"/>
        </w:rPr>
        <w:t>分级分类</w:t>
      </w:r>
      <w:r>
        <w:rPr>
          <w:kern w:val="0"/>
          <w:sz w:val="24"/>
        </w:rPr>
        <w:t>要求执行</w:t>
      </w:r>
      <w:r>
        <w:rPr>
          <w:sz w:val="24"/>
        </w:rPr>
        <w:t>。</w:t>
      </w:r>
    </w:p>
    <w:p>
      <w:pPr>
        <w:adjustRightInd w:val="0"/>
        <w:snapToGrid w:val="0"/>
        <w:spacing w:line="400" w:lineRule="atLeast"/>
        <w:ind w:firstLine="590" w:firstLineChars="245"/>
        <w:rPr>
          <w:b/>
          <w:bCs/>
          <w:kern w:val="0"/>
          <w:sz w:val="24"/>
        </w:rPr>
      </w:pPr>
      <w:r>
        <w:rPr>
          <w:b/>
          <w:bCs/>
          <w:kern w:val="0"/>
          <w:sz w:val="24"/>
        </w:rPr>
        <w:t>1.公园绿地</w:t>
      </w:r>
      <w:r>
        <w:rPr>
          <w:rFonts w:hint="eastAsia"/>
          <w:b/>
          <w:bCs/>
          <w:kern w:val="0"/>
          <w:sz w:val="24"/>
        </w:rPr>
        <w:t>保洁</w:t>
      </w:r>
      <w:r>
        <w:rPr>
          <w:b/>
          <w:bCs/>
          <w:kern w:val="0"/>
          <w:sz w:val="24"/>
        </w:rPr>
        <w:t>标准</w:t>
      </w:r>
    </w:p>
    <w:p>
      <w:pPr>
        <w:adjustRightInd w:val="0"/>
        <w:snapToGrid w:val="0"/>
        <w:spacing w:line="400" w:lineRule="atLeast"/>
        <w:ind w:firstLine="480" w:firstLineChars="200"/>
        <w:rPr>
          <w:kern w:val="0"/>
          <w:sz w:val="24"/>
        </w:rPr>
      </w:pPr>
      <w:r>
        <w:rPr>
          <w:kern w:val="0"/>
          <w:sz w:val="24"/>
        </w:rPr>
        <w:t>总体标准：指公园绿地</w:t>
      </w:r>
      <w:r>
        <w:rPr>
          <w:rFonts w:hint="eastAsia"/>
          <w:kern w:val="0"/>
          <w:sz w:val="24"/>
        </w:rPr>
        <w:t>保洁</w:t>
      </w:r>
      <w:r>
        <w:rPr>
          <w:kern w:val="0"/>
          <w:sz w:val="24"/>
        </w:rPr>
        <w:t>的整体质量，内容有植物</w:t>
      </w:r>
      <w:r>
        <w:rPr>
          <w:rFonts w:hint="eastAsia"/>
          <w:kern w:val="0"/>
          <w:sz w:val="24"/>
        </w:rPr>
        <w:t>保洁</w:t>
      </w:r>
      <w:r>
        <w:rPr>
          <w:kern w:val="0"/>
          <w:sz w:val="24"/>
        </w:rPr>
        <w:t>、树木存活率、设施维护、土肥标准、病虫害防治标准、卫生标准及管理标准。</w:t>
      </w:r>
    </w:p>
    <w:p>
      <w:pPr>
        <w:spacing w:line="400" w:lineRule="atLeast"/>
        <w:ind w:firstLine="480" w:firstLineChars="200"/>
        <w:rPr>
          <w:kern w:val="0"/>
          <w:sz w:val="24"/>
        </w:rPr>
      </w:pPr>
      <w:r>
        <w:rPr>
          <w:kern w:val="0"/>
          <w:sz w:val="24"/>
        </w:rPr>
        <w:t>1.1植物</w:t>
      </w:r>
      <w:r>
        <w:rPr>
          <w:rFonts w:hint="eastAsia"/>
          <w:kern w:val="0"/>
          <w:sz w:val="24"/>
        </w:rPr>
        <w:t>保洁</w:t>
      </w:r>
      <w:r>
        <w:rPr>
          <w:kern w:val="0"/>
          <w:sz w:val="24"/>
        </w:rPr>
        <w:t>标准：</w:t>
      </w:r>
    </w:p>
    <w:p>
      <w:pPr>
        <w:spacing w:line="400" w:lineRule="atLeast"/>
        <w:ind w:firstLine="360" w:firstLineChars="150"/>
        <w:rPr>
          <w:sz w:val="24"/>
        </w:rPr>
      </w:pPr>
      <w:r>
        <w:rPr>
          <w:sz w:val="24"/>
        </w:rPr>
        <w:t xml:space="preserve"> （</w:t>
      </w:r>
      <w:r>
        <w:rPr>
          <w:rFonts w:hint="eastAsia"/>
          <w:sz w:val="24"/>
        </w:rPr>
        <w:t>1</w:t>
      </w:r>
      <w:r>
        <w:rPr>
          <w:sz w:val="24"/>
        </w:rPr>
        <w:t>）树木及时修剪，无徒长枝、病虫枝、过密枝、枯枝、伤损枝；宿根植物及时翻种、断根、间删；植物无死株。</w:t>
      </w:r>
    </w:p>
    <w:p>
      <w:pPr>
        <w:spacing w:line="400" w:lineRule="atLeast"/>
        <w:ind w:firstLine="360" w:firstLineChars="150"/>
        <w:rPr>
          <w:sz w:val="24"/>
        </w:rPr>
      </w:pPr>
      <w:r>
        <w:rPr>
          <w:sz w:val="24"/>
        </w:rPr>
        <w:t xml:space="preserve"> （</w:t>
      </w:r>
      <w:r>
        <w:rPr>
          <w:rFonts w:hint="eastAsia"/>
          <w:sz w:val="24"/>
        </w:rPr>
        <w:t>2</w:t>
      </w:r>
      <w:r>
        <w:rPr>
          <w:sz w:val="24"/>
        </w:rPr>
        <w:t>）草坪生长茂盛，无空秃，无明显杂草，草坪边缘线清晰（及时切边），草高不超过8厘米，草坪土壤低于园路或侧石。</w:t>
      </w:r>
    </w:p>
    <w:p>
      <w:pPr>
        <w:spacing w:line="400" w:lineRule="atLeast"/>
        <w:ind w:firstLine="360" w:firstLineChars="150"/>
        <w:rPr>
          <w:sz w:val="24"/>
        </w:rPr>
      </w:pPr>
      <w:r>
        <w:rPr>
          <w:sz w:val="24"/>
        </w:rPr>
        <w:t xml:space="preserve"> （</w:t>
      </w:r>
      <w:r>
        <w:rPr>
          <w:rFonts w:hint="eastAsia"/>
          <w:sz w:val="24"/>
        </w:rPr>
        <w:t>3</w:t>
      </w:r>
      <w:r>
        <w:rPr>
          <w:sz w:val="24"/>
        </w:rPr>
        <w:t>） 棚架、假山及垂直绿化管护合理，达到正常生长量。</w:t>
      </w:r>
    </w:p>
    <w:p>
      <w:pPr>
        <w:spacing w:line="400" w:lineRule="atLeast"/>
        <w:ind w:firstLine="360" w:firstLineChars="150"/>
        <w:rPr>
          <w:sz w:val="24"/>
        </w:rPr>
      </w:pPr>
      <w:r>
        <w:rPr>
          <w:sz w:val="24"/>
        </w:rPr>
        <w:t xml:space="preserve">  1.2. 树木成活率标准：树木成活率98%以上；树木保存率100%。</w:t>
      </w:r>
    </w:p>
    <w:p>
      <w:pPr>
        <w:spacing w:line="400" w:lineRule="atLeast"/>
        <w:ind w:firstLine="360" w:firstLineChars="150"/>
        <w:rPr>
          <w:sz w:val="24"/>
        </w:rPr>
      </w:pPr>
      <w:r>
        <w:rPr>
          <w:sz w:val="24"/>
        </w:rPr>
        <w:t xml:space="preserve">  1.3.设施维护标准：</w:t>
      </w:r>
    </w:p>
    <w:p>
      <w:pPr>
        <w:spacing w:line="400" w:lineRule="atLeast"/>
        <w:ind w:firstLine="360" w:firstLineChars="150"/>
        <w:rPr>
          <w:sz w:val="24"/>
        </w:rPr>
      </w:pPr>
      <w:r>
        <w:rPr>
          <w:sz w:val="24"/>
        </w:rPr>
        <w:t xml:space="preserve"> （1） 绿地附属设施完好、分布合理、放置整齐、保持清洁。</w:t>
      </w:r>
    </w:p>
    <w:p>
      <w:pPr>
        <w:spacing w:line="400" w:lineRule="atLeast"/>
        <w:ind w:firstLine="360" w:firstLineChars="150"/>
        <w:rPr>
          <w:sz w:val="24"/>
        </w:rPr>
      </w:pPr>
      <w:r>
        <w:rPr>
          <w:sz w:val="24"/>
        </w:rPr>
        <w:t xml:space="preserve"> （2） 园路、铺装地坪平整，无大面积破损、无积水、无淤泥。</w:t>
      </w:r>
    </w:p>
    <w:p>
      <w:pPr>
        <w:spacing w:line="400" w:lineRule="atLeast"/>
        <w:ind w:firstLine="360" w:firstLineChars="150"/>
        <w:rPr>
          <w:sz w:val="24"/>
        </w:rPr>
      </w:pPr>
      <w:r>
        <w:rPr>
          <w:sz w:val="24"/>
        </w:rPr>
        <w:t xml:space="preserve"> （3）亭、廊及其它园林建筑保持安全，及时修缮，每年油漆不少于一次，维护良好，无瓦草。</w:t>
      </w:r>
    </w:p>
    <w:p>
      <w:pPr>
        <w:spacing w:line="400" w:lineRule="atLeast"/>
        <w:ind w:firstLine="360" w:firstLineChars="150"/>
        <w:rPr>
          <w:sz w:val="24"/>
        </w:rPr>
      </w:pPr>
      <w:r>
        <w:rPr>
          <w:sz w:val="24"/>
        </w:rPr>
        <w:t xml:space="preserve"> （4）金属构件设施无明显锈斑、油漆剥落现象。</w:t>
      </w:r>
    </w:p>
    <w:p>
      <w:pPr>
        <w:spacing w:line="400" w:lineRule="atLeast"/>
        <w:ind w:firstLine="360" w:firstLineChars="150"/>
        <w:rPr>
          <w:sz w:val="24"/>
        </w:rPr>
      </w:pPr>
      <w:r>
        <w:rPr>
          <w:sz w:val="24"/>
        </w:rPr>
        <w:t xml:space="preserve"> （5）供水、供电、排水、喷灌等管网设施维护良好。</w:t>
      </w:r>
    </w:p>
    <w:p>
      <w:pPr>
        <w:spacing w:line="400" w:lineRule="atLeast"/>
        <w:ind w:firstLine="360" w:firstLineChars="150"/>
        <w:rPr>
          <w:sz w:val="24"/>
        </w:rPr>
      </w:pPr>
      <w:r>
        <w:rPr>
          <w:sz w:val="24"/>
        </w:rPr>
        <w:t xml:space="preserve"> （6）指示牌、禁令牌、宣传牌放置合理，醒目、完善、规范。</w:t>
      </w:r>
    </w:p>
    <w:p>
      <w:pPr>
        <w:spacing w:line="400" w:lineRule="atLeast"/>
        <w:ind w:firstLine="360" w:firstLineChars="150"/>
        <w:rPr>
          <w:sz w:val="24"/>
        </w:rPr>
      </w:pPr>
      <w:r>
        <w:rPr>
          <w:sz w:val="24"/>
        </w:rPr>
        <w:t xml:space="preserve">  1.4.土肥标准：土壤疏松，无积水，根据植物生长特性及时施肥，充分利用有机肥，也可施复合肥，增强土壤肥力（要求一年施肥二次，每次用腐熟豆饼或复合肥0.5kg／㎡），改善土壤理化性状。</w:t>
      </w:r>
    </w:p>
    <w:p>
      <w:pPr>
        <w:spacing w:line="400" w:lineRule="atLeast"/>
        <w:ind w:firstLine="360" w:firstLineChars="150"/>
        <w:rPr>
          <w:sz w:val="24"/>
        </w:rPr>
      </w:pPr>
      <w:r>
        <w:rPr>
          <w:sz w:val="24"/>
        </w:rPr>
        <w:t xml:space="preserve">  1.5. 病虫害防治标准：提倡综合防治，以防为主。病虫害危害应控制在以不影响观赏效果的范围之内。其中食叶性害虫危害的叶片，每株不超过5%；刺吸性害虫危害的叶片，每株不超过10%；无蛀干性害虫的活虫、活卵。</w:t>
      </w:r>
    </w:p>
    <w:p>
      <w:pPr>
        <w:spacing w:line="400" w:lineRule="atLeast"/>
        <w:ind w:firstLine="360" w:firstLineChars="150"/>
        <w:rPr>
          <w:sz w:val="24"/>
        </w:rPr>
      </w:pPr>
      <w:r>
        <w:rPr>
          <w:sz w:val="24"/>
        </w:rPr>
        <w:t xml:space="preserve">  1.6.卫生标准：</w:t>
      </w:r>
    </w:p>
    <w:p>
      <w:pPr>
        <w:spacing w:line="400" w:lineRule="atLeast"/>
        <w:ind w:firstLine="360" w:firstLineChars="150"/>
        <w:rPr>
          <w:sz w:val="24"/>
        </w:rPr>
      </w:pPr>
      <w:r>
        <w:rPr>
          <w:sz w:val="24"/>
        </w:rPr>
        <w:t xml:space="preserve"> （1）绿地整洁，地面卫生，无垃圾杂物，墙面无涂刻、无招贴，建筑物上无蛛网。</w:t>
      </w:r>
    </w:p>
    <w:p>
      <w:pPr>
        <w:spacing w:line="400" w:lineRule="atLeast"/>
        <w:ind w:firstLine="360" w:firstLineChars="150"/>
        <w:rPr>
          <w:sz w:val="24"/>
        </w:rPr>
      </w:pPr>
      <w:r>
        <w:rPr>
          <w:sz w:val="24"/>
        </w:rPr>
        <w:t xml:space="preserve"> （2）绿地内水体透明度大于50㎝、无漂浮杂物、无杂生水生植物。</w:t>
      </w:r>
    </w:p>
    <w:p>
      <w:pPr>
        <w:spacing w:line="400" w:lineRule="atLeast"/>
        <w:ind w:firstLine="360" w:firstLineChars="150"/>
        <w:rPr>
          <w:sz w:val="24"/>
        </w:rPr>
      </w:pPr>
      <w:r>
        <w:rPr>
          <w:sz w:val="24"/>
        </w:rPr>
        <w:t xml:space="preserve"> （3）垃圾日产日清，无卫生死角，厕所冲洗设施完整，无积垢，无明显异味。</w:t>
      </w:r>
    </w:p>
    <w:p>
      <w:pPr>
        <w:spacing w:line="400" w:lineRule="atLeast"/>
        <w:ind w:firstLine="360" w:firstLineChars="150"/>
        <w:rPr>
          <w:sz w:val="24"/>
        </w:rPr>
      </w:pPr>
      <w:r>
        <w:rPr>
          <w:sz w:val="24"/>
        </w:rPr>
        <w:t xml:space="preserve">  1.7.管理标准：</w:t>
      </w:r>
    </w:p>
    <w:p>
      <w:pPr>
        <w:spacing w:line="400" w:lineRule="atLeast"/>
        <w:ind w:firstLine="360" w:firstLineChars="150"/>
        <w:rPr>
          <w:sz w:val="24"/>
        </w:rPr>
      </w:pPr>
      <w:r>
        <w:rPr>
          <w:sz w:val="24"/>
        </w:rPr>
        <w:t xml:space="preserve"> （1）绿地管理制度全面落实，档案资料完整、详尽，工作人员统一着装，挂牌上岗。</w:t>
      </w:r>
    </w:p>
    <w:p>
      <w:pPr>
        <w:spacing w:line="400" w:lineRule="atLeast"/>
        <w:ind w:firstLine="360" w:firstLineChars="150"/>
        <w:rPr>
          <w:sz w:val="24"/>
        </w:rPr>
      </w:pPr>
      <w:r>
        <w:rPr>
          <w:sz w:val="24"/>
        </w:rPr>
        <w:t xml:space="preserve"> （2）无违章占绿、无违法建设。</w:t>
      </w:r>
    </w:p>
    <w:p>
      <w:pPr>
        <w:spacing w:line="400" w:lineRule="atLeast"/>
        <w:ind w:firstLine="360" w:firstLineChars="150"/>
        <w:rPr>
          <w:sz w:val="24"/>
        </w:rPr>
      </w:pPr>
      <w:r>
        <w:rPr>
          <w:sz w:val="24"/>
        </w:rPr>
        <w:t xml:space="preserve"> （3）秩序良好，无乱堆乱放、晾晒衣物现象。</w:t>
      </w:r>
    </w:p>
    <w:p>
      <w:pPr>
        <w:spacing w:line="400" w:lineRule="atLeast"/>
        <w:ind w:firstLine="360" w:firstLineChars="150"/>
        <w:rPr>
          <w:sz w:val="24"/>
        </w:rPr>
      </w:pPr>
      <w:r>
        <w:rPr>
          <w:sz w:val="24"/>
        </w:rPr>
        <w:t xml:space="preserve">  1.8.时花花坛的</w:t>
      </w:r>
      <w:r>
        <w:rPr>
          <w:rFonts w:hint="eastAsia"/>
          <w:sz w:val="24"/>
        </w:rPr>
        <w:t>保洁</w:t>
      </w:r>
      <w:r>
        <w:rPr>
          <w:sz w:val="24"/>
        </w:rPr>
        <w:t>标准：</w:t>
      </w:r>
    </w:p>
    <w:p>
      <w:pPr>
        <w:spacing w:line="400" w:lineRule="atLeast"/>
        <w:ind w:firstLine="360" w:firstLineChars="150"/>
        <w:rPr>
          <w:sz w:val="24"/>
        </w:rPr>
      </w:pPr>
      <w:r>
        <w:rPr>
          <w:sz w:val="24"/>
        </w:rPr>
        <w:t xml:space="preserve"> （</w:t>
      </w:r>
      <w:r>
        <w:rPr>
          <w:rFonts w:hint="eastAsia"/>
          <w:sz w:val="24"/>
        </w:rPr>
        <w:t>1</w:t>
      </w:r>
      <w:r>
        <w:rPr>
          <w:sz w:val="24"/>
        </w:rPr>
        <w:t>）花卉生长：花卉植株生长健壮，花色艳丽，始花期方可上花坛种植，株行距适宜，不露底土。无缺株倒伏，无枯枝残花，无杂草垃圾。</w:t>
      </w:r>
    </w:p>
    <w:p>
      <w:pPr>
        <w:spacing w:line="400" w:lineRule="atLeast"/>
        <w:ind w:firstLine="360" w:firstLineChars="150"/>
        <w:rPr>
          <w:sz w:val="24"/>
        </w:rPr>
      </w:pPr>
      <w:r>
        <w:rPr>
          <w:sz w:val="24"/>
        </w:rPr>
        <w:t xml:space="preserve">  1.9常绿草草坪的</w:t>
      </w:r>
      <w:r>
        <w:rPr>
          <w:rFonts w:hint="eastAsia"/>
          <w:sz w:val="24"/>
        </w:rPr>
        <w:t>保洁</w:t>
      </w:r>
      <w:r>
        <w:rPr>
          <w:sz w:val="24"/>
        </w:rPr>
        <w:t>标准：</w:t>
      </w:r>
    </w:p>
    <w:p>
      <w:pPr>
        <w:spacing w:line="400" w:lineRule="atLeast"/>
        <w:ind w:firstLine="360" w:firstLineChars="150"/>
        <w:rPr>
          <w:sz w:val="24"/>
        </w:rPr>
      </w:pPr>
      <w:r>
        <w:rPr>
          <w:sz w:val="24"/>
        </w:rPr>
        <w:t xml:space="preserve"> （</w:t>
      </w:r>
      <w:r>
        <w:rPr>
          <w:rFonts w:hint="eastAsia"/>
          <w:sz w:val="24"/>
        </w:rPr>
        <w:t>1</w:t>
      </w:r>
      <w:r>
        <w:rPr>
          <w:sz w:val="24"/>
        </w:rPr>
        <w:t>）草坪基本无杂草、无空秃，护栏等防护设施完好美观；草坪保持整洁，不得有石块、果壳纸屑及其它垃圾。</w:t>
      </w:r>
    </w:p>
    <w:p>
      <w:pPr>
        <w:spacing w:line="400" w:lineRule="atLeast"/>
        <w:ind w:firstLine="482" w:firstLineChars="200"/>
        <w:rPr>
          <w:b/>
          <w:sz w:val="24"/>
        </w:rPr>
      </w:pPr>
      <w:r>
        <w:rPr>
          <w:b/>
          <w:sz w:val="24"/>
        </w:rPr>
        <w:t>2.行道树</w:t>
      </w:r>
      <w:r>
        <w:rPr>
          <w:rFonts w:hint="eastAsia"/>
          <w:b/>
          <w:sz w:val="24"/>
        </w:rPr>
        <w:t>保洁</w:t>
      </w:r>
      <w:r>
        <w:rPr>
          <w:b/>
          <w:sz w:val="24"/>
        </w:rPr>
        <w:t>标准</w:t>
      </w:r>
    </w:p>
    <w:p>
      <w:pPr>
        <w:spacing w:line="400" w:lineRule="atLeast"/>
        <w:ind w:firstLine="480" w:firstLineChars="200"/>
        <w:rPr>
          <w:sz w:val="24"/>
        </w:rPr>
      </w:pPr>
      <w:r>
        <w:rPr>
          <w:sz w:val="24"/>
        </w:rPr>
        <w:t>总体标准：指行道树</w:t>
      </w:r>
      <w:r>
        <w:rPr>
          <w:rFonts w:hint="eastAsia"/>
          <w:sz w:val="24"/>
        </w:rPr>
        <w:t>保洁</w:t>
      </w:r>
      <w:r>
        <w:rPr>
          <w:sz w:val="24"/>
        </w:rPr>
        <w:t>的整体质量，内容有</w:t>
      </w:r>
      <w:r>
        <w:rPr>
          <w:rFonts w:hint="eastAsia"/>
          <w:sz w:val="24"/>
        </w:rPr>
        <w:t>保洁</w:t>
      </w:r>
      <w:r>
        <w:rPr>
          <w:sz w:val="24"/>
        </w:rPr>
        <w:t>质量、树木存活率、设施维护、土肥标准、病虫害防治标准及管理标准。</w:t>
      </w:r>
    </w:p>
    <w:p>
      <w:pPr>
        <w:spacing w:line="400" w:lineRule="atLeast"/>
        <w:ind w:firstLine="480" w:firstLineChars="200"/>
        <w:rPr>
          <w:sz w:val="24"/>
        </w:rPr>
      </w:pPr>
      <w:r>
        <w:rPr>
          <w:sz w:val="24"/>
        </w:rPr>
        <w:t xml:space="preserve"> 2</w:t>
      </w:r>
      <w:r>
        <w:rPr>
          <w:rFonts w:hint="eastAsia"/>
          <w:sz w:val="24"/>
        </w:rPr>
        <w:t>.1</w:t>
      </w:r>
      <w:r>
        <w:rPr>
          <w:sz w:val="24"/>
        </w:rPr>
        <w:t>.设施维护：</w:t>
      </w:r>
    </w:p>
    <w:p>
      <w:pPr>
        <w:spacing w:line="400" w:lineRule="atLeast"/>
        <w:ind w:firstLine="480" w:firstLineChars="200"/>
        <w:rPr>
          <w:sz w:val="24"/>
        </w:rPr>
      </w:pPr>
      <w:r>
        <w:rPr>
          <w:sz w:val="24"/>
        </w:rPr>
        <w:t>（1）树穴边长净空大于1米，树穴有侧石，有平整盖板或种植地被植物，黄土不裸露。</w:t>
      </w:r>
    </w:p>
    <w:p>
      <w:pPr>
        <w:spacing w:line="400" w:lineRule="atLeast"/>
        <w:ind w:firstLine="480" w:firstLineChars="200"/>
        <w:rPr>
          <w:sz w:val="24"/>
        </w:rPr>
      </w:pPr>
      <w:r>
        <w:rPr>
          <w:sz w:val="24"/>
        </w:rPr>
        <w:t>（2）树木支撑规范、统一，无断桩、坏桩，桩位扎缚规范化。</w:t>
      </w:r>
    </w:p>
    <w:p>
      <w:pPr>
        <w:spacing w:line="400" w:lineRule="atLeast"/>
        <w:ind w:firstLine="480" w:firstLineChars="200"/>
        <w:rPr>
          <w:sz w:val="24"/>
        </w:rPr>
      </w:pPr>
      <w:r>
        <w:rPr>
          <w:sz w:val="24"/>
        </w:rPr>
        <w:t>2.4.土肥标准：栽培基质应具有一定的透水、透气、保肥能力；每年冬季施有机肥一次，每次用腐熟豆饼１公斤／株；石砾含量中，其粒径≤5cm,含量≤10%；ph值为6.0—7.8之间；有效土层(长、宽、深)≥100cm；有机质含量≥25g/kg。</w:t>
      </w:r>
    </w:p>
    <w:p>
      <w:pPr>
        <w:spacing w:line="400" w:lineRule="atLeast"/>
        <w:ind w:firstLine="480" w:firstLineChars="200"/>
        <w:rPr>
          <w:sz w:val="24"/>
        </w:rPr>
      </w:pPr>
      <w:r>
        <w:rPr>
          <w:sz w:val="24"/>
        </w:rPr>
        <w:t xml:space="preserve"> 2.5.病虫害防治标准:基本无病虫害危害迹象。</w:t>
      </w:r>
    </w:p>
    <w:p>
      <w:pPr>
        <w:spacing w:line="400" w:lineRule="atLeast"/>
        <w:ind w:firstLine="480" w:firstLineChars="200"/>
        <w:rPr>
          <w:sz w:val="24"/>
        </w:rPr>
      </w:pPr>
      <w:r>
        <w:rPr>
          <w:sz w:val="24"/>
        </w:rPr>
        <w:t xml:space="preserve"> 2.6.管理标准：</w:t>
      </w:r>
    </w:p>
    <w:p>
      <w:pPr>
        <w:spacing w:line="400" w:lineRule="atLeast"/>
        <w:ind w:firstLine="480" w:firstLineChars="200"/>
        <w:rPr>
          <w:sz w:val="24"/>
        </w:rPr>
      </w:pPr>
      <w:r>
        <w:rPr>
          <w:sz w:val="24"/>
        </w:rPr>
        <w:t>（1）树穴无杂草、垃圾和其它杂物，树干无钉子、铁丝等破坏树木生长的东西。</w:t>
      </w:r>
    </w:p>
    <w:p>
      <w:pPr>
        <w:spacing w:line="400" w:lineRule="atLeast"/>
        <w:ind w:firstLine="480" w:firstLineChars="200"/>
        <w:rPr>
          <w:sz w:val="24"/>
        </w:rPr>
      </w:pPr>
      <w:r>
        <w:rPr>
          <w:sz w:val="24"/>
        </w:rPr>
        <w:t>（2）管理制度全面落实，档案资料完整、详尽，对行道树的基础资料、变更情况及时记录入档；工作人员统一着装，挂牌上岗。</w:t>
      </w:r>
    </w:p>
    <w:p>
      <w:pPr>
        <w:spacing w:line="400" w:lineRule="atLeast"/>
        <w:ind w:firstLine="472" w:firstLineChars="196"/>
        <w:rPr>
          <w:b/>
          <w:sz w:val="24"/>
        </w:rPr>
      </w:pPr>
      <w:r>
        <w:rPr>
          <w:b/>
          <w:sz w:val="24"/>
        </w:rPr>
        <w:t>3.道路绿化带</w:t>
      </w:r>
      <w:r>
        <w:rPr>
          <w:rFonts w:hint="eastAsia"/>
          <w:b/>
          <w:sz w:val="24"/>
        </w:rPr>
        <w:t>保洁</w:t>
      </w:r>
      <w:r>
        <w:rPr>
          <w:b/>
          <w:sz w:val="24"/>
        </w:rPr>
        <w:t>标准</w:t>
      </w:r>
    </w:p>
    <w:p>
      <w:pPr>
        <w:spacing w:line="400" w:lineRule="atLeast"/>
        <w:ind w:firstLine="480" w:firstLineChars="200"/>
        <w:rPr>
          <w:sz w:val="24"/>
        </w:rPr>
      </w:pPr>
      <w:r>
        <w:rPr>
          <w:sz w:val="24"/>
        </w:rPr>
        <w:t>总体标准：指道路绿化带</w:t>
      </w:r>
      <w:r>
        <w:rPr>
          <w:rFonts w:hint="eastAsia"/>
          <w:sz w:val="24"/>
        </w:rPr>
        <w:t>保洁</w:t>
      </w:r>
      <w:r>
        <w:rPr>
          <w:sz w:val="24"/>
        </w:rPr>
        <w:t>的整体质量，内容有</w:t>
      </w:r>
      <w:r>
        <w:rPr>
          <w:rFonts w:hint="eastAsia"/>
          <w:sz w:val="24"/>
        </w:rPr>
        <w:t>保洁</w:t>
      </w:r>
      <w:r>
        <w:rPr>
          <w:sz w:val="24"/>
        </w:rPr>
        <w:t>质量、树木存活率、设施维护、土肥标准、病虫害防治标准及管理标准。</w:t>
      </w:r>
    </w:p>
    <w:p>
      <w:pPr>
        <w:spacing w:line="400" w:lineRule="atLeast"/>
        <w:ind w:firstLine="480" w:firstLineChars="200"/>
        <w:rPr>
          <w:sz w:val="24"/>
        </w:rPr>
      </w:pPr>
      <w:r>
        <w:rPr>
          <w:sz w:val="24"/>
        </w:rPr>
        <w:t xml:space="preserve"> 3.</w:t>
      </w:r>
      <w:r>
        <w:rPr>
          <w:rFonts w:hint="eastAsia"/>
          <w:sz w:val="24"/>
        </w:rPr>
        <w:t>1</w:t>
      </w:r>
      <w:r>
        <w:rPr>
          <w:sz w:val="24"/>
        </w:rPr>
        <w:t>.土肥标准：土壤疏松，无积水，种植土低于容器（或侧石）上沿5cm；充分利用有机肥，也可用复合肥，增强土壤肥力（要求一年施肥二次，每次用腐熟豆饼0.5kg／㎡），其理化性状应符合下列规定：ph值为6.7—7.5之间；石砾粒径≤5cm（高架挂箱石砾粒径≤2cm），含量≤8%（w/w）；有机质含量≥25g/kg。</w:t>
      </w:r>
    </w:p>
    <w:p>
      <w:pPr>
        <w:spacing w:line="400" w:lineRule="atLeast"/>
        <w:ind w:firstLine="480" w:firstLineChars="200"/>
        <w:rPr>
          <w:sz w:val="24"/>
        </w:rPr>
      </w:pPr>
      <w:r>
        <w:rPr>
          <w:sz w:val="24"/>
        </w:rPr>
        <w:t xml:space="preserve"> 3.</w:t>
      </w:r>
      <w:r>
        <w:rPr>
          <w:rFonts w:hint="eastAsia"/>
          <w:sz w:val="24"/>
        </w:rPr>
        <w:t>2</w:t>
      </w:r>
      <w:r>
        <w:rPr>
          <w:sz w:val="24"/>
        </w:rPr>
        <w:t>.病虫害防治标准：提倡综合防治，病虫害应控制在以不影响观赏效果的危害程度之内。</w:t>
      </w:r>
    </w:p>
    <w:p>
      <w:pPr>
        <w:spacing w:line="400" w:lineRule="atLeast"/>
        <w:ind w:firstLine="480" w:firstLineChars="200"/>
        <w:rPr>
          <w:sz w:val="24"/>
        </w:rPr>
      </w:pPr>
      <w:r>
        <w:rPr>
          <w:sz w:val="24"/>
        </w:rPr>
        <w:t xml:space="preserve"> 3.</w:t>
      </w:r>
      <w:r>
        <w:rPr>
          <w:rFonts w:hint="eastAsia"/>
          <w:sz w:val="24"/>
        </w:rPr>
        <w:t>3</w:t>
      </w:r>
      <w:r>
        <w:rPr>
          <w:sz w:val="24"/>
        </w:rPr>
        <w:t>.道路绿化带的具体养管标准。</w:t>
      </w:r>
    </w:p>
    <w:p>
      <w:pPr>
        <w:spacing w:line="400" w:lineRule="atLeast"/>
        <w:ind w:firstLine="480" w:firstLineChars="200"/>
        <w:rPr>
          <w:sz w:val="24"/>
        </w:rPr>
      </w:pPr>
      <w:r>
        <w:rPr>
          <w:sz w:val="24"/>
        </w:rPr>
        <w:t>（1）道路绿化带景观要求。</w:t>
      </w:r>
    </w:p>
    <w:p>
      <w:pPr>
        <w:spacing w:line="400" w:lineRule="atLeast"/>
        <w:ind w:firstLine="480" w:firstLineChars="200"/>
        <w:rPr>
          <w:sz w:val="24"/>
        </w:rPr>
      </w:pPr>
      <w:r>
        <w:rPr>
          <w:sz w:val="24"/>
        </w:rPr>
        <w:t>（2）采用修剪等特殊手法，控制植物高度，植物高度不得影响交通视线。</w:t>
      </w:r>
    </w:p>
    <w:p>
      <w:pPr>
        <w:spacing w:line="400" w:lineRule="atLeast"/>
        <w:ind w:firstLine="480" w:firstLineChars="200"/>
        <w:rPr>
          <w:sz w:val="24"/>
        </w:rPr>
      </w:pPr>
      <w:r>
        <w:rPr>
          <w:sz w:val="24"/>
        </w:rPr>
        <w:t>（3）特殊地段的景观应按设计精心</w:t>
      </w:r>
      <w:r>
        <w:rPr>
          <w:rFonts w:hint="eastAsia"/>
          <w:sz w:val="24"/>
        </w:rPr>
        <w:t>保洁</w:t>
      </w:r>
      <w:r>
        <w:rPr>
          <w:sz w:val="24"/>
        </w:rPr>
        <w:t>，形成有特色的植物景观。整形植物必须及时修剪保持形态，悬垂植物生长健壮，及时通过修剪去除枯死枝和调整高度及生长密度，整体效果良好。</w:t>
      </w:r>
    </w:p>
    <w:p>
      <w:pPr>
        <w:spacing w:line="400" w:lineRule="atLeast"/>
        <w:ind w:firstLine="480" w:firstLineChars="200"/>
        <w:rPr>
          <w:sz w:val="24"/>
        </w:rPr>
      </w:pPr>
      <w:r>
        <w:rPr>
          <w:sz w:val="24"/>
        </w:rPr>
        <w:t>（4）花卉花期整齐，株行距适宜，无空秃、色彩效果好。</w:t>
      </w:r>
    </w:p>
    <w:p>
      <w:pPr>
        <w:spacing w:line="400" w:lineRule="atLeast"/>
        <w:ind w:firstLine="480" w:firstLineChars="200"/>
        <w:rPr>
          <w:sz w:val="24"/>
        </w:rPr>
      </w:pPr>
      <w:r>
        <w:rPr>
          <w:sz w:val="24"/>
        </w:rPr>
        <w:t>（5）绿带必须无裸地，可种植地被植物或草坪。</w:t>
      </w:r>
    </w:p>
    <w:p>
      <w:pPr>
        <w:spacing w:line="400" w:lineRule="atLeast"/>
        <w:ind w:firstLine="480" w:firstLineChars="200"/>
        <w:rPr>
          <w:sz w:val="24"/>
        </w:rPr>
      </w:pPr>
      <w:r>
        <w:rPr>
          <w:sz w:val="24"/>
        </w:rPr>
        <w:t>（6）绿带内无枯枝残叶、无杂草，整洁无垃圾；每天冲洗一次以上，植物叶面无积尘。</w:t>
      </w:r>
    </w:p>
    <w:p>
      <w:pPr>
        <w:spacing w:line="400" w:lineRule="atLeast"/>
        <w:ind w:firstLine="480" w:firstLineChars="200"/>
        <w:rPr>
          <w:sz w:val="24"/>
        </w:rPr>
      </w:pPr>
      <w:r>
        <w:rPr>
          <w:sz w:val="24"/>
        </w:rPr>
        <w:t>（7）辅助设施（包括支撑物和悬挂容器）必须安全、完好、整洁、美观。</w:t>
      </w:r>
    </w:p>
    <w:p>
      <w:pPr>
        <w:spacing w:line="400" w:lineRule="atLeast"/>
        <w:ind w:firstLine="480" w:firstLineChars="200"/>
        <w:rPr>
          <w:sz w:val="24"/>
        </w:rPr>
      </w:pPr>
      <w:r>
        <w:rPr>
          <w:sz w:val="24"/>
        </w:rPr>
        <w:t>（8）道路绿化带及悬垂挂箱冬季浇水应注意不要让水溢出，避免造成路面结冰。</w:t>
      </w:r>
    </w:p>
    <w:p>
      <w:pPr>
        <w:spacing w:line="400" w:lineRule="atLeast"/>
        <w:ind w:firstLine="480" w:firstLineChars="200"/>
        <w:rPr>
          <w:sz w:val="24"/>
        </w:rPr>
      </w:pPr>
      <w:r>
        <w:rPr>
          <w:sz w:val="24"/>
        </w:rPr>
        <w:t>3.6.道路绿化带</w:t>
      </w:r>
      <w:r>
        <w:rPr>
          <w:rFonts w:hint="eastAsia"/>
          <w:sz w:val="24"/>
        </w:rPr>
        <w:t>保洁</w:t>
      </w:r>
      <w:r>
        <w:rPr>
          <w:sz w:val="24"/>
        </w:rPr>
        <w:t>作业必须穿着有反光条的工作服，做到文明作业，尽量减少对行车的干扰。</w:t>
      </w:r>
    </w:p>
    <w:p>
      <w:pPr>
        <w:numPr>
          <w:ilvl w:val="0"/>
          <w:numId w:val="8"/>
        </w:numPr>
        <w:adjustRightInd w:val="0"/>
        <w:snapToGrid w:val="0"/>
        <w:spacing w:line="440" w:lineRule="exact"/>
        <w:rPr>
          <w:rFonts w:hint="eastAsia"/>
          <w:b/>
          <w:bCs/>
          <w:color w:val="000000"/>
          <w:sz w:val="28"/>
          <w:szCs w:val="28"/>
        </w:rPr>
      </w:pPr>
      <w:r>
        <w:rPr>
          <w:rFonts w:hint="eastAsia"/>
          <w:b/>
          <w:bCs/>
          <w:color w:val="000000"/>
          <w:sz w:val="28"/>
          <w:szCs w:val="28"/>
        </w:rPr>
        <w:t>道路保洁技术规范和服务要求：</w:t>
      </w:r>
    </w:p>
    <w:p>
      <w:pPr>
        <w:spacing w:line="440" w:lineRule="exact"/>
        <w:ind w:firstLine="482" w:firstLineChars="200"/>
        <w:rPr>
          <w:rFonts w:hint="eastAsia" w:ascii="宋体" w:hAnsi="宋体" w:cs="宋体"/>
          <w:b/>
          <w:color w:val="000000"/>
          <w:sz w:val="24"/>
        </w:rPr>
      </w:pPr>
      <w:r>
        <w:rPr>
          <w:rFonts w:hint="eastAsia" w:ascii="宋体" w:hAnsi="宋体" w:cs="宋体"/>
          <w:b/>
          <w:color w:val="000000"/>
          <w:sz w:val="24"/>
        </w:rPr>
        <w:t>投标报价说明：一类道路不得高于16.52元/㎡/年，二类道路不得高于13.52元/㎡/年，三类道路不得高于10.82元/㎡/年，其他类道路不得高于10.82元/㎡/年，县乡公路不得高于10万元/km/年；</w:t>
      </w:r>
    </w:p>
    <w:p>
      <w:pPr>
        <w:adjustRightInd w:val="0"/>
        <w:snapToGrid w:val="0"/>
        <w:spacing w:line="440" w:lineRule="exact"/>
        <w:rPr>
          <w:rFonts w:ascii="宋体" w:hAnsi="宋体"/>
          <w:b/>
          <w:sz w:val="24"/>
        </w:rPr>
      </w:pPr>
      <w:r>
        <w:rPr>
          <w:rFonts w:hint="eastAsia" w:ascii="宋体" w:hAnsi="宋体"/>
          <w:b/>
          <w:sz w:val="24"/>
        </w:rPr>
        <w:t>1.作业内容：</w:t>
      </w:r>
    </w:p>
    <w:p>
      <w:pPr>
        <w:spacing w:line="440" w:lineRule="exact"/>
        <w:rPr>
          <w:rFonts w:hint="eastAsia" w:ascii="宋体" w:hAnsi="宋体"/>
          <w:sz w:val="24"/>
        </w:rPr>
      </w:pPr>
      <w:r>
        <w:rPr>
          <w:rFonts w:hint="eastAsia" w:ascii="宋体" w:hAnsi="宋体"/>
          <w:sz w:val="24"/>
        </w:rPr>
        <w:t>（1）本保洁项目要求</w:t>
      </w:r>
    </w:p>
    <w:p>
      <w:pPr>
        <w:spacing w:line="440" w:lineRule="exact"/>
        <w:ind w:firstLine="482" w:firstLineChars="200"/>
        <w:rPr>
          <w:rFonts w:ascii="宋体" w:hAnsi="宋体" w:cs="宋体"/>
          <w:color w:val="000000"/>
          <w:sz w:val="24"/>
        </w:rPr>
      </w:pPr>
      <w:r>
        <w:rPr>
          <w:rFonts w:hint="eastAsia" w:ascii="宋体" w:hAnsi="宋体" w:cs="宋体"/>
          <w:b/>
          <w:color w:val="000000"/>
          <w:sz w:val="24"/>
        </w:rPr>
        <w:t>一类道路洁化标准：</w:t>
      </w:r>
      <w:r>
        <w:rPr>
          <w:rFonts w:hint="eastAsia" w:ascii="宋体" w:hAnsi="宋体" w:cs="宋体"/>
          <w:color w:val="000000"/>
          <w:sz w:val="24"/>
        </w:rPr>
        <w:t>①路面无垃圾、无杂物、无积泥、无污渍，人行道无杂草，晴天无积水，道路两侧3米内无废土、垃圾。②人行道板及各类井盖等处缝隙、沟眼无垃圾，无积泥嵌石。③道路绿地、花坛、树圈保洁应与道路保洁同步，做到无杂物、无垃圾。④环卫设施（果壳箱、垃圾桶、垃圾房）设置整齐规范、无破损、歪斜、油漆剥落（或严重褪色）、垃圾满溢，表面清洁无污垢，周围地面无暴露垃圾、污水现象</w:t>
      </w:r>
      <w:r>
        <w:rPr>
          <w:rFonts w:hint="eastAsia" w:ascii="宋体" w:hAnsi="宋体" w:cs="仿宋_GB2312"/>
          <w:sz w:val="24"/>
        </w:rPr>
        <w:t>；其他城市家具定期擦洗</w:t>
      </w:r>
      <w:r>
        <w:rPr>
          <w:rFonts w:hint="eastAsia" w:ascii="宋体" w:hAnsi="宋体" w:cs="宋体"/>
          <w:color w:val="000000"/>
          <w:sz w:val="24"/>
        </w:rPr>
        <w:t>。⑤在规定时间内（夏季上午7点前，其它季节上午7点30分前）完成第一遍普扫，然后进行全天巡回保洁，道路有色垃圾滞留时间不得10分钟。</w:t>
      </w:r>
    </w:p>
    <w:p>
      <w:pPr>
        <w:spacing w:line="440" w:lineRule="exact"/>
        <w:ind w:firstLine="630"/>
        <w:rPr>
          <w:rFonts w:ascii="宋体" w:hAnsi="宋体" w:cs="宋体"/>
          <w:color w:val="000000"/>
          <w:sz w:val="24"/>
        </w:rPr>
      </w:pPr>
      <w:r>
        <w:rPr>
          <w:rFonts w:hint="eastAsia" w:ascii="宋体" w:hAnsi="宋体" w:cs="宋体"/>
          <w:b/>
          <w:color w:val="000000"/>
          <w:sz w:val="24"/>
        </w:rPr>
        <w:t>二类道路洁化标准：</w:t>
      </w:r>
      <w:r>
        <w:rPr>
          <w:rFonts w:hint="eastAsia" w:ascii="宋体" w:hAnsi="宋体" w:cs="宋体"/>
          <w:color w:val="000000"/>
          <w:sz w:val="24"/>
        </w:rPr>
        <w:t>①路面无垃圾、污渍、积泥较少，人行道无杂草，晴天无积水，道路两侧3米内无垃圾。②人行道板及各类井盖等处缝隙、沟眼无垃圾，无积泥嵌石。③道路绿地、花坛、树圈无杂物、无垃圾。④环卫设施（果壳箱、垃圾桶、垃圾房）设置整齐规范、无破损、歪斜、油漆剥落（或严重褪色）、垃圾满溢，表面清洁无污垢，周围地面无暴露垃圾、污水现象</w:t>
      </w:r>
      <w:r>
        <w:rPr>
          <w:rFonts w:hint="eastAsia" w:ascii="宋体" w:hAnsi="宋体" w:cs="仿宋_GB2312"/>
          <w:sz w:val="24"/>
        </w:rPr>
        <w:t>；其他城市家具定期擦洗</w:t>
      </w:r>
      <w:r>
        <w:rPr>
          <w:rFonts w:hint="eastAsia" w:ascii="宋体" w:hAnsi="宋体" w:cs="宋体"/>
          <w:color w:val="000000"/>
          <w:sz w:val="24"/>
        </w:rPr>
        <w:t>。⑤在规定时间内（夏季上午7点前，其它季节上午7点30分前）完成第一遍普扫，然后进行全天巡回保洁，道路有色垃圾滞留时间不得15分钟。</w:t>
      </w:r>
    </w:p>
    <w:p>
      <w:pPr>
        <w:spacing w:line="440" w:lineRule="exact"/>
        <w:ind w:firstLine="629"/>
        <w:rPr>
          <w:rFonts w:ascii="宋体" w:hAnsi="宋体" w:cs="宋体"/>
          <w:color w:val="000000"/>
          <w:sz w:val="24"/>
        </w:rPr>
      </w:pPr>
      <w:r>
        <w:rPr>
          <w:rFonts w:hint="eastAsia" w:ascii="宋体" w:hAnsi="宋体" w:cs="宋体"/>
          <w:b/>
          <w:color w:val="000000"/>
          <w:sz w:val="24"/>
        </w:rPr>
        <w:t>三类道路洁化标准：</w:t>
      </w:r>
      <w:r>
        <w:rPr>
          <w:rFonts w:hint="eastAsia" w:ascii="宋体" w:hAnsi="宋体" w:cs="宋体"/>
          <w:color w:val="000000"/>
          <w:sz w:val="24"/>
        </w:rPr>
        <w:t>①路面无垃圾、污渍、积泥较少，人行道杂草较少，道路两侧3米内无成堆垃圾。②雨水井沟眼无垃圾，无积泥嵌石。③道路绿地、花坛、树圈内无垃圾。④环卫设施（果壳箱、垃圾桶、垃圾房）设置整齐规范、无破损、歪斜、垃圾满溢，表面清洁无污垢，周围地面无暴露垃圾、污水现象</w:t>
      </w:r>
      <w:r>
        <w:rPr>
          <w:rFonts w:hint="eastAsia" w:ascii="宋体" w:hAnsi="宋体" w:cs="仿宋_GB2312"/>
          <w:sz w:val="24"/>
        </w:rPr>
        <w:t>；其他城市家具定期擦洗</w:t>
      </w:r>
      <w:r>
        <w:rPr>
          <w:rFonts w:hint="eastAsia" w:ascii="宋体" w:hAnsi="宋体" w:cs="宋体"/>
          <w:color w:val="000000"/>
          <w:sz w:val="24"/>
        </w:rPr>
        <w:t>。⑤在规定时间内（夏季上午7点前，其它季节上午7点30分前）完成第一遍普扫，然后进行全天巡回保洁，道路有色垃圾滞留时间不得超过20分钟。</w:t>
      </w:r>
    </w:p>
    <w:p>
      <w:pPr>
        <w:spacing w:line="440" w:lineRule="exact"/>
        <w:ind w:firstLine="630"/>
        <w:rPr>
          <w:rFonts w:ascii="宋体" w:hAnsi="宋体" w:cs="宋体"/>
          <w:sz w:val="24"/>
        </w:rPr>
      </w:pPr>
      <w:r>
        <w:rPr>
          <w:rFonts w:hint="eastAsia" w:ascii="宋体" w:hAnsi="宋体" w:cs="宋体"/>
          <w:b/>
          <w:color w:val="000000"/>
          <w:sz w:val="24"/>
        </w:rPr>
        <w:t>其他类道路、县乡公路：①</w:t>
      </w:r>
      <w:r>
        <w:rPr>
          <w:rFonts w:hint="eastAsia" w:ascii="宋体" w:hAnsi="宋体" w:cs="宋体"/>
          <w:color w:val="000000"/>
          <w:sz w:val="24"/>
        </w:rPr>
        <w:t>路面无垃圾、无杂物、无积泥（沙石），晴天无积水。②雨水井沟眼畅通干净。③绿化内清洁无垃圾、杂物。④环卫设施无破损，箱（桶、房）表面及周边整洁</w:t>
      </w:r>
      <w:r>
        <w:rPr>
          <w:rFonts w:hint="eastAsia" w:ascii="宋体" w:hAnsi="宋体" w:cs="仿宋_GB2312"/>
          <w:sz w:val="24"/>
        </w:rPr>
        <w:t>；其他城市家具定期擦洗</w:t>
      </w:r>
      <w:r>
        <w:rPr>
          <w:rFonts w:hint="eastAsia" w:ascii="宋体" w:hAnsi="宋体" w:cs="宋体"/>
          <w:color w:val="000000"/>
          <w:sz w:val="24"/>
        </w:rPr>
        <w:t>。⑤有色垃圾滞留时间不得超过30分钟，（公路有色垃圾滞留时间不得超过60分钟）。</w:t>
      </w:r>
    </w:p>
    <w:p>
      <w:pPr>
        <w:tabs>
          <w:tab w:val="left" w:pos="720"/>
        </w:tabs>
        <w:adjustRightInd w:val="0"/>
        <w:snapToGrid w:val="0"/>
        <w:spacing w:line="440" w:lineRule="exact"/>
        <w:rPr>
          <w:rFonts w:ascii="宋体" w:hAnsi="宋体"/>
          <w:sz w:val="24"/>
        </w:rPr>
      </w:pPr>
      <w:r>
        <w:rPr>
          <w:rFonts w:hint="eastAsia" w:ascii="宋体" w:hAnsi="宋体"/>
          <w:sz w:val="24"/>
        </w:rPr>
        <w:t>（2）道路冲洗、洒水频次严格按照环卫标准化管理要求操作，洒水必须洒到主车道侧石边，机动车道、非机动车道（铺装）及人行道路面应都列入冲洗范围，道路无积泥、无扬尘、路面见本色。</w:t>
      </w:r>
    </w:p>
    <w:p>
      <w:pPr>
        <w:tabs>
          <w:tab w:val="left" w:pos="720"/>
        </w:tabs>
        <w:adjustRightInd w:val="0"/>
        <w:snapToGrid w:val="0"/>
        <w:spacing w:line="440" w:lineRule="exact"/>
        <w:rPr>
          <w:rFonts w:ascii="宋体" w:hAnsi="宋体"/>
          <w:sz w:val="24"/>
        </w:rPr>
      </w:pPr>
      <w:r>
        <w:rPr>
          <w:rFonts w:hint="eastAsia" w:ascii="宋体" w:hAnsi="宋体"/>
          <w:sz w:val="24"/>
        </w:rPr>
        <w:t>（3）道路保洁范围内的绿化带（绿地）、休闲椅、花坛及铺装面、花钵、树池、窨井沟眼等无积泥积尘、无碎石杂物、无垃圾废土，人行道、树池、侧石边、路肩边基本无杂草杂物、无污迹。</w:t>
      </w:r>
    </w:p>
    <w:p>
      <w:pPr>
        <w:tabs>
          <w:tab w:val="left" w:pos="720"/>
        </w:tabs>
        <w:adjustRightInd w:val="0"/>
        <w:snapToGrid w:val="0"/>
        <w:spacing w:line="440" w:lineRule="exact"/>
        <w:rPr>
          <w:rFonts w:ascii="宋体" w:hAnsi="宋体"/>
          <w:sz w:val="24"/>
        </w:rPr>
      </w:pPr>
      <w:r>
        <w:rPr>
          <w:rFonts w:hint="eastAsia" w:ascii="宋体" w:hAnsi="宋体"/>
          <w:sz w:val="24"/>
        </w:rPr>
        <w:t>（4）机动、非机动作业车不得停放在消防栓、公交车站旁、不得停放在交通路口、应靠近人行道侧石停放，距离不超过20厘米。</w:t>
      </w:r>
    </w:p>
    <w:p>
      <w:pPr>
        <w:tabs>
          <w:tab w:val="left" w:pos="720"/>
        </w:tabs>
        <w:adjustRightInd w:val="0"/>
        <w:snapToGrid w:val="0"/>
        <w:spacing w:line="440" w:lineRule="exact"/>
        <w:rPr>
          <w:rFonts w:ascii="宋体" w:hAnsi="宋体"/>
          <w:sz w:val="24"/>
        </w:rPr>
      </w:pPr>
      <w:r>
        <w:rPr>
          <w:rFonts w:hint="eastAsia" w:ascii="宋体" w:hAnsi="宋体"/>
          <w:sz w:val="24"/>
        </w:rPr>
        <w:t>（5）道路两侧目测范围内（道路路肩外3米内）废土、垃圾应注意及时发现并及时清除。</w:t>
      </w:r>
    </w:p>
    <w:p>
      <w:pPr>
        <w:tabs>
          <w:tab w:val="left" w:pos="720"/>
        </w:tabs>
        <w:adjustRightInd w:val="0"/>
        <w:snapToGrid w:val="0"/>
        <w:spacing w:line="440" w:lineRule="exact"/>
        <w:rPr>
          <w:rFonts w:ascii="宋体" w:hAnsi="宋体"/>
          <w:sz w:val="24"/>
        </w:rPr>
      </w:pPr>
      <w:r>
        <w:rPr>
          <w:rFonts w:hint="eastAsia" w:ascii="宋体" w:hAnsi="宋体"/>
          <w:sz w:val="24"/>
        </w:rPr>
        <w:t>（6）遇有重大活动以及防汛抗台、抗雪抗旱等突发事件，必须及时组织力量做好清扫保洁等应急保障工作，按照城市管理保障应急机制要求，保证人员及时到达指定位置，并根据应急指令服从统一调配。</w:t>
      </w:r>
    </w:p>
    <w:p>
      <w:pPr>
        <w:tabs>
          <w:tab w:val="left" w:pos="720"/>
        </w:tabs>
        <w:adjustRightInd w:val="0"/>
        <w:snapToGrid w:val="0"/>
        <w:spacing w:line="440" w:lineRule="exact"/>
        <w:rPr>
          <w:rFonts w:ascii="宋体" w:hAnsi="宋体"/>
          <w:sz w:val="24"/>
        </w:rPr>
      </w:pPr>
      <w:r>
        <w:rPr>
          <w:rFonts w:hint="eastAsia" w:ascii="宋体" w:hAnsi="宋体"/>
          <w:sz w:val="24"/>
        </w:rPr>
        <w:t>（7）加强管理，确保在国家、省、市、区的各项检查中不失责任分。</w:t>
      </w:r>
    </w:p>
    <w:p>
      <w:pPr>
        <w:adjustRightInd w:val="0"/>
        <w:snapToGrid w:val="0"/>
        <w:spacing w:line="440" w:lineRule="exact"/>
        <w:rPr>
          <w:rFonts w:ascii="宋体" w:hAnsi="宋体"/>
          <w:b/>
          <w:sz w:val="24"/>
        </w:rPr>
      </w:pPr>
      <w:r>
        <w:rPr>
          <w:rFonts w:hint="eastAsia" w:ascii="宋体" w:hAnsi="宋体"/>
          <w:b/>
          <w:sz w:val="24"/>
        </w:rPr>
        <w:t>2.管理要求：</w:t>
      </w:r>
    </w:p>
    <w:p>
      <w:pPr>
        <w:numPr>
          <w:ilvl w:val="0"/>
          <w:numId w:val="9"/>
        </w:numPr>
        <w:adjustRightInd w:val="0"/>
        <w:snapToGrid w:val="0"/>
        <w:spacing w:line="440" w:lineRule="exact"/>
        <w:rPr>
          <w:rFonts w:ascii="宋体" w:hAnsi="宋体"/>
          <w:sz w:val="24"/>
        </w:rPr>
      </w:pPr>
      <w:r>
        <w:rPr>
          <w:rFonts w:hint="eastAsia" w:ascii="宋体" w:hAnsi="宋体"/>
          <w:sz w:val="24"/>
        </w:rPr>
        <w:t>乙方在保洁作业中投入的机械设备、人员配置等必须与投标文件中所承诺的数量规格相符合。加强日常作业质量管理，做好作业质量自查日记，每月25日前报送工作报表。</w:t>
      </w:r>
    </w:p>
    <w:p>
      <w:pPr>
        <w:numPr>
          <w:ilvl w:val="0"/>
          <w:numId w:val="9"/>
        </w:numPr>
        <w:adjustRightInd w:val="0"/>
        <w:snapToGrid w:val="0"/>
        <w:spacing w:line="440" w:lineRule="exact"/>
        <w:rPr>
          <w:rFonts w:ascii="宋体" w:hAnsi="宋体"/>
          <w:sz w:val="24"/>
        </w:rPr>
      </w:pPr>
      <w:r>
        <w:rPr>
          <w:rFonts w:hint="eastAsia" w:ascii="宋体" w:hAnsi="宋体"/>
          <w:sz w:val="24"/>
        </w:rPr>
        <w:t>规范管理、文明作业、自觉接受招标单位及其上级各部门领导的检查和社会监督，对出现的问题要及时整改。</w:t>
      </w:r>
    </w:p>
    <w:p>
      <w:pPr>
        <w:numPr>
          <w:ilvl w:val="0"/>
          <w:numId w:val="9"/>
        </w:numPr>
        <w:adjustRightInd w:val="0"/>
        <w:snapToGrid w:val="0"/>
        <w:spacing w:line="440" w:lineRule="exact"/>
        <w:rPr>
          <w:rFonts w:ascii="宋体" w:hAnsi="宋体"/>
          <w:sz w:val="24"/>
        </w:rPr>
      </w:pPr>
      <w:r>
        <w:rPr>
          <w:rFonts w:hint="eastAsia" w:ascii="宋体" w:hAnsi="宋体"/>
          <w:sz w:val="24"/>
        </w:rPr>
        <w:t>作业时应严格遵守交通规则、遵守劳动纪律、遵守安全操作规程，作业人员须统一穿戴安全反光背心和反光帽，佩证上岗。新职工上岗前必须组织安全教育培训，掌握安全作业知识后方能上岗作业。加强日常安全生产管理，确保职工人身安全。如遇各种意外事故发生由中标单位自行负责，并依照法律法规妥善处理（事故情况应及时告知招标单位）。</w:t>
      </w:r>
    </w:p>
    <w:p>
      <w:pPr>
        <w:numPr>
          <w:ilvl w:val="0"/>
          <w:numId w:val="9"/>
        </w:numPr>
        <w:adjustRightInd w:val="0"/>
        <w:snapToGrid w:val="0"/>
        <w:spacing w:line="440" w:lineRule="exact"/>
        <w:rPr>
          <w:rFonts w:ascii="宋体" w:hAnsi="宋体"/>
          <w:sz w:val="24"/>
        </w:rPr>
      </w:pPr>
      <w:r>
        <w:rPr>
          <w:rFonts w:hint="eastAsia" w:ascii="宋体" w:hAnsi="宋体"/>
          <w:sz w:val="24"/>
        </w:rPr>
        <w:t>乙方不得以任何名义擅自向沿街单位和个人收取环卫保洁费用。</w:t>
      </w:r>
    </w:p>
    <w:p>
      <w:pPr>
        <w:numPr>
          <w:ilvl w:val="0"/>
          <w:numId w:val="9"/>
        </w:numPr>
        <w:adjustRightInd w:val="0"/>
        <w:snapToGrid w:val="0"/>
        <w:spacing w:line="440" w:lineRule="exact"/>
        <w:rPr>
          <w:rFonts w:ascii="宋体" w:hAnsi="宋体"/>
          <w:sz w:val="24"/>
        </w:rPr>
      </w:pPr>
      <w:r>
        <w:rPr>
          <w:rFonts w:hint="eastAsia" w:ascii="宋体" w:hAnsi="宋体"/>
          <w:sz w:val="24"/>
        </w:rPr>
        <w:t>果壳箱应定期保养保持整洁完好无缺失，承包期间因作业操作不善或其它原因造成破损、缺失、被盗的，由乙方承担费用并负责修复或更新（果壳箱更换款式应保持原样，或经采购人同意后调整款式）。</w:t>
      </w:r>
    </w:p>
    <w:p>
      <w:pPr>
        <w:numPr>
          <w:ilvl w:val="0"/>
          <w:numId w:val="9"/>
        </w:numPr>
        <w:adjustRightInd w:val="0"/>
        <w:snapToGrid w:val="0"/>
        <w:spacing w:line="440" w:lineRule="exact"/>
        <w:rPr>
          <w:rFonts w:ascii="宋体" w:hAnsi="宋体"/>
          <w:sz w:val="24"/>
        </w:rPr>
      </w:pPr>
      <w:r>
        <w:rPr>
          <w:rFonts w:hint="eastAsia" w:ascii="宋体" w:hAnsi="宋体"/>
          <w:sz w:val="24"/>
        </w:rPr>
        <w:t>机动、人力车辆应按时冲洗保养保持外观整洁，无抛洒滴漏、无满溢、无吊挂，车辆符合环卫标准化管理要求。</w:t>
      </w:r>
    </w:p>
    <w:p>
      <w:pPr>
        <w:numPr>
          <w:ilvl w:val="0"/>
          <w:numId w:val="9"/>
        </w:numPr>
        <w:adjustRightInd w:val="0"/>
        <w:snapToGrid w:val="0"/>
        <w:spacing w:line="440" w:lineRule="exact"/>
        <w:rPr>
          <w:rFonts w:ascii="宋体" w:hAnsi="宋体"/>
          <w:sz w:val="24"/>
        </w:rPr>
      </w:pPr>
      <w:r>
        <w:rPr>
          <w:rFonts w:hint="eastAsia" w:ascii="宋体" w:hAnsi="宋体"/>
          <w:sz w:val="24"/>
        </w:rPr>
        <w:t>垃圾应倾倒在指定的垃圾中转站，不得焚烧垃圾、树叶，确需垃圾二次转运的应在指定地点进行，不得直接在保洁道路上进行。</w:t>
      </w:r>
    </w:p>
    <w:p>
      <w:pPr>
        <w:numPr>
          <w:ilvl w:val="0"/>
          <w:numId w:val="9"/>
        </w:numPr>
        <w:adjustRightInd w:val="0"/>
        <w:snapToGrid w:val="0"/>
        <w:spacing w:line="440" w:lineRule="exact"/>
        <w:rPr>
          <w:rFonts w:ascii="宋体" w:hAnsi="宋体"/>
          <w:sz w:val="24"/>
        </w:rPr>
      </w:pPr>
      <w:r>
        <w:rPr>
          <w:rFonts w:hint="eastAsia" w:ascii="宋体" w:hAnsi="宋体"/>
          <w:sz w:val="24"/>
        </w:rPr>
        <w:t>如遇渣土抛洒污染路面等情况，乙方应及时举报执法部门，同时配合相关部门进行道路清理冲洗。</w:t>
      </w:r>
    </w:p>
    <w:p>
      <w:pPr>
        <w:numPr>
          <w:ilvl w:val="0"/>
          <w:numId w:val="9"/>
        </w:numPr>
        <w:adjustRightInd w:val="0"/>
        <w:snapToGrid w:val="0"/>
        <w:spacing w:line="440" w:lineRule="exact"/>
        <w:rPr>
          <w:rFonts w:ascii="宋体" w:hAnsi="宋体"/>
          <w:sz w:val="24"/>
        </w:rPr>
      </w:pPr>
      <w:r>
        <w:rPr>
          <w:rFonts w:hint="eastAsia" w:ascii="宋体" w:hAnsi="宋体"/>
          <w:sz w:val="24"/>
        </w:rPr>
        <w:t>专用作业车辆要有反光标志、有编号、有监督电话、有责任单位、车辆停放场所乙方自行负责解决。</w:t>
      </w:r>
    </w:p>
    <w:p>
      <w:pPr>
        <w:numPr>
          <w:ilvl w:val="0"/>
          <w:numId w:val="9"/>
        </w:numPr>
        <w:adjustRightInd w:val="0"/>
        <w:snapToGrid w:val="0"/>
        <w:spacing w:line="440" w:lineRule="exact"/>
        <w:rPr>
          <w:rFonts w:hint="eastAsia"/>
          <w:b/>
          <w:bCs/>
          <w:color w:val="000000"/>
          <w:sz w:val="24"/>
        </w:rPr>
      </w:pPr>
      <w:r>
        <w:rPr>
          <w:rFonts w:hint="eastAsia" w:ascii="宋体" w:hAnsi="宋体"/>
          <w:sz w:val="24"/>
        </w:rPr>
        <w:t>本着以人为本、关爱职工的理念，严格遵守有关劳动法规，落实《杭州市人民政府办公厅关于进一步解决环卫工人实际困难，保障其合法权益的意见》精神。如因违法、违规并造成不良后果的，其责任由乙方自负。</w:t>
      </w:r>
    </w:p>
    <w:p>
      <w:pPr>
        <w:numPr>
          <w:ilvl w:val="0"/>
          <w:numId w:val="10"/>
        </w:numPr>
        <w:spacing w:line="400" w:lineRule="atLeast"/>
        <w:rPr>
          <w:rFonts w:hint="eastAsia" w:ascii="宋体" w:hAnsi="宋体" w:cs="宋体"/>
          <w:b/>
          <w:sz w:val="24"/>
        </w:rPr>
      </w:pPr>
      <w:r>
        <w:rPr>
          <w:rFonts w:hint="eastAsia"/>
          <w:b/>
          <w:bCs/>
          <w:color w:val="000000"/>
          <w:sz w:val="24"/>
        </w:rPr>
        <w:t>垃圾清运</w:t>
      </w:r>
      <w:r>
        <w:rPr>
          <w:rFonts w:hint="eastAsia" w:ascii="宋体" w:hAnsi="宋体" w:cs="宋体"/>
          <w:b/>
          <w:sz w:val="24"/>
        </w:rPr>
        <w:t>具体服务内容、要求</w:t>
      </w:r>
    </w:p>
    <w:p>
      <w:pPr>
        <w:spacing w:line="600" w:lineRule="exact"/>
        <w:ind w:firstLine="480" w:firstLineChars="200"/>
        <w:rPr>
          <w:rFonts w:hint="eastAsia" w:ascii="宋体" w:hAnsi="宋体" w:cs="宋体"/>
          <w:bCs/>
          <w:sz w:val="24"/>
        </w:rPr>
      </w:pPr>
      <w:r>
        <w:rPr>
          <w:rFonts w:hint="eastAsia" w:ascii="宋体" w:hAnsi="宋体" w:cs="宋体"/>
          <w:bCs/>
          <w:sz w:val="24"/>
        </w:rPr>
        <w:t>1、中泰街道辖区范围的垃圾清运由中标人用分类垃圾车到桶位收集，厨房垃圾和其他垃圾每天按区城管局垃圾分类运输规定和要求，桶车对应分类清运至招标人指定地点；村负责分类清运至10吨垃圾车可以出入的集中点，每天由中标人分类清运至招标人指定地点；其他村和部分小区内垃圾堆放点大型车辆难以进入，投标人须自行考虑小型车辆进行收集后再统一运至垃圾清运车内，此过程中，运送的垃圾不得掉落地面，确保桶位干净。所有的器具及车辆必须由投标人自行提供，设备费及维护费用等均包含在投标总价内。餐厨垃圾清运必须用专业餐厨垃圾清运车，并由投标人自行提供，设备费及维护费用等均包含在投标总价内。</w:t>
      </w:r>
    </w:p>
    <w:p>
      <w:pPr>
        <w:spacing w:line="600" w:lineRule="exact"/>
        <w:ind w:firstLine="480" w:firstLineChars="200"/>
        <w:rPr>
          <w:rFonts w:hint="eastAsia" w:ascii="宋体" w:hAnsi="宋体" w:cs="宋体"/>
          <w:bCs/>
          <w:sz w:val="24"/>
        </w:rPr>
      </w:pPr>
      <w:r>
        <w:rPr>
          <w:rFonts w:hint="eastAsia" w:ascii="宋体" w:hAnsi="宋体" w:cs="宋体"/>
          <w:bCs/>
          <w:sz w:val="24"/>
        </w:rPr>
        <w:t>投标报价应包括人工费、材料费、机械使用费、安全管理、利润、规费、税金、必要的保险费用、必须的专用工具、辅助材料费及合同实施过程中不可预见的费用等等所有相关费用组成，所有作业人员必须由投标人购买好人身伤害保险。综合单价应考虑风险因素，招标文件未列明，而投标人认为必需的费用也需列入报价内，总价包干。</w:t>
      </w:r>
    </w:p>
    <w:p>
      <w:pPr>
        <w:numPr>
          <w:ilvl w:val="0"/>
          <w:numId w:val="11"/>
        </w:numPr>
        <w:spacing w:line="600" w:lineRule="exact"/>
        <w:ind w:firstLine="480" w:firstLineChars="200"/>
        <w:rPr>
          <w:rFonts w:hint="eastAsia" w:ascii="宋体" w:hAnsi="宋体" w:cs="宋体"/>
          <w:b/>
          <w:sz w:val="24"/>
        </w:rPr>
      </w:pPr>
      <w:r>
        <w:rPr>
          <w:rFonts w:hint="eastAsia" w:ascii="宋体" w:hAnsi="宋体" w:cs="宋体"/>
          <w:bCs/>
          <w:sz w:val="24"/>
        </w:rPr>
        <w:t>中泰街道机关、***、敬老院、中小学、幼儿园、政府临时菜场、政府举办的大型活动、中泰路、杭泰路、水塔路、石鸽路垃圾音乐线和村社区的垃圾由中标人无偿分类清运。单位、小区的垃圾清运费由中标人按余杭区垃圾清运收费标准协商收取，收取的垃圾清运费归中标人所有。</w:t>
      </w:r>
    </w:p>
    <w:p>
      <w:pPr>
        <w:spacing w:line="600" w:lineRule="exact"/>
        <w:ind w:firstLine="482" w:firstLineChars="200"/>
        <w:rPr>
          <w:rFonts w:hint="eastAsia" w:ascii="宋体" w:hAnsi="宋体" w:cs="宋体"/>
          <w:b/>
          <w:sz w:val="24"/>
        </w:rPr>
      </w:pPr>
      <w:r>
        <w:rPr>
          <w:rFonts w:hint="eastAsia" w:ascii="宋体" w:hAnsi="宋体" w:cs="宋体"/>
          <w:b/>
          <w:sz w:val="24"/>
        </w:rPr>
        <w:t>●垃圾分类清运作业要求：</w:t>
      </w:r>
    </w:p>
    <w:p>
      <w:pPr>
        <w:spacing w:line="600" w:lineRule="exact"/>
        <w:ind w:firstLine="482" w:firstLineChars="200"/>
        <w:rPr>
          <w:rFonts w:hint="eastAsia" w:ascii="宋体" w:hAnsi="宋体" w:cs="宋体"/>
          <w:b/>
          <w:sz w:val="24"/>
        </w:rPr>
      </w:pPr>
      <w:r>
        <w:rPr>
          <w:rFonts w:hint="eastAsia" w:ascii="宋体" w:hAnsi="宋体" w:cs="宋体"/>
          <w:b/>
          <w:sz w:val="24"/>
        </w:rPr>
        <w:t>1、在承包期内，中标单位投入的相应机械设备等应符合杭州市环卫行业标准化管理的要求。</w:t>
      </w:r>
    </w:p>
    <w:p>
      <w:pPr>
        <w:spacing w:line="600" w:lineRule="exact"/>
        <w:ind w:firstLine="482" w:firstLineChars="200"/>
        <w:rPr>
          <w:rFonts w:hint="eastAsia" w:ascii="宋体" w:hAnsi="宋体" w:cs="宋体"/>
          <w:b/>
          <w:sz w:val="24"/>
        </w:rPr>
      </w:pPr>
      <w:r>
        <w:rPr>
          <w:rFonts w:hint="eastAsia" w:ascii="宋体" w:hAnsi="宋体" w:cs="宋体"/>
          <w:b/>
          <w:sz w:val="24"/>
        </w:rPr>
        <w:t>2、在承包期内，迎检和各类创建活动中，中标单位应无条件服从招标人的安排，圆满完成各项任务，由于中标单位的原因失分或造成不良影响的，招标人有权进行下罚和清退中标单位，在迎检过程中，由于中标单位组织不力，由招标人组织人办、物力进行整治所涉及的费用，由中标单位双倍偿还招标人，招标人将直接在承包费中予以扣除。</w:t>
      </w:r>
    </w:p>
    <w:p>
      <w:pPr>
        <w:spacing w:line="600" w:lineRule="exact"/>
        <w:ind w:firstLine="482" w:firstLineChars="200"/>
        <w:rPr>
          <w:rFonts w:hint="eastAsia" w:ascii="宋体" w:hAnsi="宋体" w:cs="宋体"/>
          <w:b/>
          <w:sz w:val="24"/>
        </w:rPr>
      </w:pPr>
      <w:r>
        <w:rPr>
          <w:rFonts w:hint="eastAsia" w:ascii="宋体" w:hAnsi="宋体" w:cs="宋体"/>
          <w:b/>
          <w:sz w:val="24"/>
        </w:rPr>
        <w:t>3、投标人中标后，在垃圾分类清运期间所发生的任何安全事故一律由承包人负责，招标人不承担任何责任。</w:t>
      </w:r>
    </w:p>
    <w:p>
      <w:pPr>
        <w:spacing w:line="600" w:lineRule="exact"/>
        <w:ind w:firstLine="482" w:firstLineChars="200"/>
        <w:rPr>
          <w:rFonts w:hint="eastAsia" w:ascii="宋体" w:hAnsi="宋体" w:cs="宋体"/>
          <w:b/>
          <w:sz w:val="24"/>
        </w:rPr>
      </w:pPr>
      <w:r>
        <w:rPr>
          <w:rFonts w:hint="eastAsia" w:ascii="宋体" w:hAnsi="宋体" w:cs="宋体"/>
          <w:b/>
          <w:sz w:val="24"/>
        </w:rPr>
        <w:t>4、中标单位在合同期内所产生的创建费用、突击整治费用等，由中标单位充分考虑在投标报价内，实施期间不再另行增加费用。</w:t>
      </w:r>
    </w:p>
    <w:p>
      <w:pPr>
        <w:spacing w:line="600" w:lineRule="exact"/>
        <w:ind w:firstLine="482" w:firstLineChars="200"/>
        <w:rPr>
          <w:rFonts w:hint="eastAsia" w:ascii="宋体" w:hAnsi="宋体" w:cs="宋体"/>
          <w:b/>
          <w:sz w:val="24"/>
        </w:rPr>
      </w:pPr>
      <w:r>
        <w:rPr>
          <w:rFonts w:hint="eastAsia" w:ascii="宋体" w:hAnsi="宋体" w:cs="宋体"/>
          <w:b/>
          <w:sz w:val="24"/>
        </w:rPr>
        <w:t>5、投标人中标后应向招标人交纳相应的质量保证金，招标人根据作业考核评分标准对垃圾分类清运进行考核。</w:t>
      </w:r>
    </w:p>
    <w:p>
      <w:pPr>
        <w:spacing w:line="600" w:lineRule="exact"/>
        <w:ind w:firstLine="482" w:firstLineChars="200"/>
        <w:rPr>
          <w:rFonts w:hint="eastAsia" w:ascii="宋体" w:hAnsi="宋体" w:cs="宋体"/>
          <w:b/>
          <w:sz w:val="24"/>
        </w:rPr>
      </w:pPr>
      <w:r>
        <w:rPr>
          <w:rFonts w:hint="eastAsia" w:ascii="宋体" w:hAnsi="宋体" w:cs="宋体"/>
          <w:b/>
          <w:sz w:val="24"/>
        </w:rPr>
        <w:t>6、中标单位不得将本项目分包和转包，否则招标人有权责令其停止作业并终止承包合同，所造成的损失由中标单位负责。</w:t>
      </w:r>
    </w:p>
    <w:p>
      <w:pPr>
        <w:spacing w:line="600" w:lineRule="exact"/>
        <w:ind w:firstLine="482" w:firstLineChars="200"/>
        <w:rPr>
          <w:rFonts w:hint="eastAsia" w:ascii="宋体" w:hAnsi="宋体" w:cs="宋体"/>
          <w:b/>
          <w:sz w:val="24"/>
        </w:rPr>
      </w:pPr>
      <w:r>
        <w:rPr>
          <w:rFonts w:hint="eastAsia" w:ascii="宋体" w:hAnsi="宋体" w:cs="宋体"/>
          <w:b/>
          <w:sz w:val="24"/>
        </w:rPr>
        <w:t>7、中标单位不得向街道范围内的单位和个人另处收取任何费用。</w:t>
      </w:r>
    </w:p>
    <w:p>
      <w:pPr>
        <w:spacing w:line="600" w:lineRule="exact"/>
        <w:ind w:firstLine="482" w:firstLineChars="200"/>
        <w:rPr>
          <w:rFonts w:hint="eastAsia" w:ascii="宋体" w:hAnsi="宋体" w:cs="宋体"/>
          <w:b/>
          <w:sz w:val="24"/>
        </w:rPr>
      </w:pPr>
      <w:r>
        <w:rPr>
          <w:rFonts w:hint="eastAsia" w:ascii="宋体" w:hAnsi="宋体" w:cs="宋体"/>
          <w:b/>
          <w:sz w:val="24"/>
        </w:rPr>
        <w:t>8、承包期内，中标单位应根据工作需要配置必备的作业人员，并确保待遇不降低余杭区最低工资标准并随工作量的提高适当提高待遇。投标单位应在投标文件中予以书面承诺，否则作废标处理。</w:t>
      </w:r>
    </w:p>
    <w:p>
      <w:pPr>
        <w:numPr>
          <w:ilvl w:val="0"/>
          <w:numId w:val="12"/>
        </w:numPr>
        <w:adjustRightInd w:val="0"/>
        <w:snapToGrid w:val="0"/>
        <w:spacing w:line="400" w:lineRule="atLeast"/>
        <w:rPr>
          <w:b/>
          <w:bCs/>
          <w:color w:val="000000"/>
          <w:sz w:val="24"/>
        </w:rPr>
      </w:pPr>
      <w:r>
        <w:rPr>
          <w:b/>
          <w:bCs/>
          <w:color w:val="000000"/>
          <w:sz w:val="24"/>
        </w:rPr>
        <w:t>特别说明：</w:t>
      </w:r>
    </w:p>
    <w:p>
      <w:pPr>
        <w:numPr>
          <w:ilvl w:val="0"/>
          <w:numId w:val="13"/>
        </w:numPr>
        <w:spacing w:line="400" w:lineRule="atLeast"/>
        <w:ind w:firstLine="482" w:firstLineChars="200"/>
        <w:rPr>
          <w:color w:val="000000"/>
          <w:sz w:val="24"/>
        </w:rPr>
      </w:pPr>
      <w:r>
        <w:rPr>
          <w:b/>
          <w:color w:val="000000"/>
          <w:sz w:val="24"/>
        </w:rPr>
        <w:t>投标人投标中必须附《</w:t>
      </w:r>
      <w:r>
        <w:rPr>
          <w:rFonts w:hint="eastAsia"/>
          <w:b/>
          <w:color w:val="000000"/>
          <w:sz w:val="24"/>
        </w:rPr>
        <w:t>保洁</w:t>
      </w:r>
      <w:r>
        <w:rPr>
          <w:b/>
          <w:color w:val="000000"/>
          <w:sz w:val="24"/>
        </w:rPr>
        <w:t>承诺书》，否则视为投标无效处理</w:t>
      </w:r>
      <w:r>
        <w:rPr>
          <w:color w:val="000000"/>
          <w:sz w:val="24"/>
        </w:rPr>
        <w:t>；</w:t>
      </w:r>
    </w:p>
    <w:p>
      <w:pPr>
        <w:numPr>
          <w:ilvl w:val="0"/>
          <w:numId w:val="13"/>
        </w:numPr>
        <w:spacing w:line="400" w:lineRule="atLeast"/>
        <w:ind w:firstLine="482" w:firstLineChars="200"/>
        <w:rPr>
          <w:color w:val="000000"/>
          <w:sz w:val="24"/>
        </w:rPr>
      </w:pPr>
      <w:r>
        <w:rPr>
          <w:rFonts w:hint="eastAsia" w:ascii="宋体" w:hAnsi="宋体" w:cs="宋体"/>
          <w:b/>
          <w:sz w:val="24"/>
        </w:rPr>
        <w:t>投标单位项目负责人要求必须是投标单位员工，须在标书中提供项目负责人近3个月在投标单位缴纳社保的证明材料。</w:t>
      </w:r>
    </w:p>
    <w:p>
      <w:pPr>
        <w:spacing w:line="400" w:lineRule="atLeast"/>
        <w:ind w:firstLine="480" w:firstLineChars="200"/>
        <w:rPr>
          <w:rFonts w:hint="eastAsia"/>
          <w:color w:val="000000"/>
          <w:sz w:val="24"/>
        </w:rPr>
      </w:pPr>
      <w:r>
        <w:rPr>
          <w:rFonts w:hint="eastAsia"/>
          <w:color w:val="000000"/>
          <w:sz w:val="24"/>
        </w:rPr>
        <w:t>3</w:t>
      </w:r>
      <w:r>
        <w:rPr>
          <w:color w:val="000000"/>
          <w:sz w:val="24"/>
        </w:rPr>
        <w:t>、</w:t>
      </w:r>
      <w:r>
        <w:rPr>
          <w:rFonts w:hint="eastAsia"/>
          <w:color w:val="000000"/>
          <w:sz w:val="24"/>
        </w:rPr>
        <w:t>保洁要求</w:t>
      </w:r>
    </w:p>
    <w:p>
      <w:pPr>
        <w:spacing w:line="400" w:lineRule="atLeast"/>
        <w:ind w:firstLine="480" w:firstLineChars="200"/>
        <w:rPr>
          <w:rFonts w:hint="eastAsia"/>
          <w:color w:val="000000"/>
          <w:sz w:val="24"/>
        </w:rPr>
      </w:pPr>
      <w:r>
        <w:rPr>
          <w:rFonts w:hint="eastAsia"/>
          <w:color w:val="000000"/>
          <w:sz w:val="24"/>
        </w:rPr>
        <w:t>3.1</w:t>
      </w:r>
      <w:r>
        <w:rPr>
          <w:rFonts w:hint="eastAsia"/>
          <w:sz w:val="24"/>
        </w:rPr>
        <w:t>一类道路不得高于</w:t>
      </w:r>
      <w:r>
        <w:rPr>
          <w:rFonts w:hint="eastAsia"/>
          <w:sz w:val="24"/>
          <w:u w:val="single"/>
        </w:rPr>
        <w:t>16.52元/㎡/年</w:t>
      </w:r>
      <w:r>
        <w:rPr>
          <w:rFonts w:hint="eastAsia"/>
          <w:sz w:val="24"/>
        </w:rPr>
        <w:t>，二类道路不得高于</w:t>
      </w:r>
      <w:r>
        <w:rPr>
          <w:rFonts w:hint="eastAsia"/>
          <w:sz w:val="24"/>
          <w:u w:val="single"/>
        </w:rPr>
        <w:t>13.52元/㎡/年</w:t>
      </w:r>
      <w:r>
        <w:rPr>
          <w:rFonts w:hint="eastAsia"/>
          <w:sz w:val="24"/>
        </w:rPr>
        <w:t>，三类道路不得高于</w:t>
      </w:r>
      <w:r>
        <w:rPr>
          <w:rFonts w:hint="eastAsia"/>
          <w:sz w:val="24"/>
          <w:u w:val="single"/>
        </w:rPr>
        <w:t>10.82元/㎡/年</w:t>
      </w:r>
      <w:r>
        <w:rPr>
          <w:rFonts w:hint="eastAsia"/>
          <w:sz w:val="24"/>
        </w:rPr>
        <w:t>；</w:t>
      </w:r>
    </w:p>
    <w:p>
      <w:pPr>
        <w:spacing w:line="400" w:lineRule="atLeast"/>
        <w:ind w:firstLine="480" w:firstLineChars="200"/>
        <w:rPr>
          <w:color w:val="000000"/>
          <w:sz w:val="24"/>
        </w:rPr>
      </w:pPr>
      <w:r>
        <w:rPr>
          <w:rFonts w:hint="eastAsia"/>
          <w:color w:val="000000"/>
          <w:sz w:val="24"/>
        </w:rPr>
        <w:t>4</w:t>
      </w:r>
      <w:r>
        <w:rPr>
          <w:color w:val="000000"/>
          <w:sz w:val="24"/>
        </w:rPr>
        <w:t>、中标通知书发出后15天内，中标单位须向采购人出具以下资料，否则视为自动放弃中标资格，不予签订合同：</w:t>
      </w:r>
    </w:p>
    <w:p>
      <w:pPr>
        <w:spacing w:line="400" w:lineRule="atLeast"/>
        <w:ind w:firstLine="480" w:firstLineChars="200"/>
        <w:rPr>
          <w:color w:val="000000"/>
          <w:sz w:val="24"/>
        </w:rPr>
      </w:pPr>
      <w:r>
        <w:rPr>
          <w:rFonts w:hint="eastAsia"/>
          <w:color w:val="000000"/>
          <w:sz w:val="24"/>
        </w:rPr>
        <w:t>4</w:t>
      </w:r>
      <w:r>
        <w:rPr>
          <w:color w:val="000000"/>
          <w:sz w:val="24"/>
        </w:rPr>
        <w:t>.1</w:t>
      </w:r>
      <w:r>
        <w:rPr>
          <w:rFonts w:hint="eastAsia"/>
          <w:color w:val="000000"/>
          <w:sz w:val="24"/>
        </w:rPr>
        <w:t>中标单位在中泰街道及其周边区域（</w:t>
      </w:r>
      <w:r>
        <w:rPr>
          <w:rFonts w:hint="eastAsia"/>
          <w:color w:val="FF0000"/>
          <w:sz w:val="24"/>
        </w:rPr>
        <w:t>余杭、仓前、闲林、未来科技城</w:t>
      </w:r>
      <w:r>
        <w:rPr>
          <w:rFonts w:hint="eastAsia"/>
          <w:color w:val="000000"/>
          <w:sz w:val="24"/>
        </w:rPr>
        <w:t>）范围内有综合保洁所必需的固定办公场所和仓库（综合面积不少于500平方米）的有效证件。若办公场所、仓库为中标单位所有的，须出具本单位房产证、土地证等有效证件；若办公场所、仓库为租赁的，须出具租赁合同</w:t>
      </w:r>
      <w:r>
        <w:rPr>
          <w:color w:val="000000"/>
          <w:sz w:val="24"/>
        </w:rPr>
        <w:t>，且租赁到期期限须在招标合同期内。</w:t>
      </w:r>
    </w:p>
    <w:p>
      <w:pPr>
        <w:spacing w:line="400" w:lineRule="atLeast"/>
        <w:ind w:firstLine="480" w:firstLineChars="200"/>
        <w:rPr>
          <w:color w:val="000000"/>
          <w:sz w:val="24"/>
        </w:rPr>
      </w:pPr>
      <w:r>
        <w:rPr>
          <w:rFonts w:hint="eastAsia"/>
          <w:color w:val="000000"/>
          <w:sz w:val="24"/>
        </w:rPr>
        <w:t>4</w:t>
      </w:r>
      <w:r>
        <w:rPr>
          <w:color w:val="000000"/>
          <w:sz w:val="24"/>
        </w:rPr>
        <w:t>.2中标单位若为余杭区外企业，还须提供：</w:t>
      </w:r>
    </w:p>
    <w:p>
      <w:pPr>
        <w:spacing w:line="400" w:lineRule="atLeast"/>
        <w:ind w:firstLine="480" w:firstLineChars="200"/>
        <w:rPr>
          <w:color w:val="000000"/>
          <w:sz w:val="24"/>
        </w:rPr>
      </w:pPr>
      <w:r>
        <w:rPr>
          <w:rFonts w:hint="eastAsia" w:ascii="宋体" w:hAnsi="宋体" w:cs="宋体"/>
          <w:color w:val="000000"/>
          <w:sz w:val="24"/>
        </w:rPr>
        <w:t>①</w:t>
      </w:r>
      <w:r>
        <w:rPr>
          <w:color w:val="000000"/>
          <w:sz w:val="24"/>
        </w:rPr>
        <w:t>已在余杭区备案的外地企业，须出具《外地施工企业管理手册》；</w:t>
      </w:r>
    </w:p>
    <w:p>
      <w:pPr>
        <w:spacing w:line="400" w:lineRule="atLeast"/>
        <w:ind w:firstLine="480" w:firstLineChars="200"/>
        <w:rPr>
          <w:color w:val="000000"/>
          <w:sz w:val="24"/>
        </w:rPr>
      </w:pPr>
      <w:r>
        <w:rPr>
          <w:rFonts w:hint="eastAsia" w:ascii="宋体" w:hAnsi="宋体" w:cs="宋体"/>
          <w:color w:val="000000"/>
          <w:sz w:val="24"/>
        </w:rPr>
        <w:t>②</w:t>
      </w:r>
      <w:r>
        <w:rPr>
          <w:color w:val="000000"/>
          <w:sz w:val="24"/>
        </w:rPr>
        <w:t>未在余杭区备案的外地企业，须提供由中标单位注册地建设行政主管部门（本省企业由所在地级市出具、外省企业由所在省出具）出具的当年无死亡事故、近两年无重大质量安全事故和扰乱园林市场活动、拖欠农民工工资等违法违规行为的证明。</w:t>
      </w:r>
    </w:p>
    <w:p>
      <w:pPr>
        <w:spacing w:line="400" w:lineRule="atLeast"/>
        <w:ind w:firstLine="480" w:firstLineChars="200"/>
        <w:rPr>
          <w:rFonts w:hint="eastAsia"/>
          <w:color w:val="000000"/>
          <w:sz w:val="24"/>
        </w:rPr>
      </w:pPr>
      <w:r>
        <w:rPr>
          <w:rFonts w:hint="eastAsia"/>
          <w:color w:val="000000"/>
          <w:sz w:val="24"/>
        </w:rPr>
        <w:t>5</w:t>
      </w:r>
      <w:r>
        <w:rPr>
          <w:color w:val="000000"/>
          <w:sz w:val="24"/>
        </w:rPr>
        <w:t>、投标单位中标后，在签订合同前</w:t>
      </w:r>
      <w:r>
        <w:rPr>
          <w:rFonts w:hint="eastAsia" w:ascii="宋体" w:hAnsi="宋体" w:cs="宋体"/>
          <w:b/>
          <w:bCs/>
          <w:kern w:val="0"/>
          <w:sz w:val="24"/>
          <w:u w:val="single"/>
        </w:rPr>
        <w:t>必须自备洒水车、扫地车、三位一体车、封闭式垃圾收集车、小型多功能清洗车、电动垃圾直运车、电动巡检车等。本标段要求配作业车辆为：</w:t>
      </w:r>
      <w:r>
        <w:rPr>
          <w:rFonts w:hint="eastAsia" w:ascii="宋体" w:hAnsi="宋体" w:cs="宋体"/>
          <w:b/>
          <w:bCs/>
          <w:color w:val="FF0000"/>
          <w:kern w:val="0"/>
          <w:sz w:val="24"/>
          <w:u w:val="single"/>
        </w:rPr>
        <w:t>2辆</w:t>
      </w:r>
      <w:r>
        <w:rPr>
          <w:rFonts w:hint="eastAsia" w:ascii="宋体" w:hAnsi="宋体" w:cs="宋体"/>
          <w:b/>
          <w:bCs/>
          <w:kern w:val="0"/>
          <w:sz w:val="24"/>
          <w:u w:val="single"/>
        </w:rPr>
        <w:t>全车总质量10吨及以上道路洒水车，</w:t>
      </w:r>
      <w:r>
        <w:rPr>
          <w:rFonts w:hint="eastAsia" w:ascii="宋体" w:hAnsi="宋体" w:cs="宋体"/>
          <w:b/>
          <w:bCs/>
          <w:color w:val="FF0000"/>
          <w:kern w:val="0"/>
          <w:sz w:val="24"/>
          <w:u w:val="single"/>
        </w:rPr>
        <w:t xml:space="preserve"> 1辆</w:t>
      </w:r>
      <w:r>
        <w:rPr>
          <w:rFonts w:hint="eastAsia" w:ascii="宋体" w:hAnsi="宋体" w:cs="宋体"/>
          <w:b/>
          <w:bCs/>
          <w:kern w:val="0"/>
          <w:sz w:val="24"/>
          <w:u w:val="single"/>
        </w:rPr>
        <w:t>全车总质量6吨及以上扫地车，</w:t>
      </w:r>
      <w:r>
        <w:rPr>
          <w:rFonts w:hint="eastAsia" w:ascii="宋体" w:hAnsi="宋体" w:cs="宋体"/>
          <w:b/>
          <w:bCs/>
          <w:color w:val="FF0000"/>
          <w:kern w:val="0"/>
          <w:sz w:val="24"/>
          <w:u w:val="single"/>
        </w:rPr>
        <w:t>1辆</w:t>
      </w:r>
      <w:r>
        <w:rPr>
          <w:rFonts w:hint="eastAsia" w:ascii="宋体" w:hAnsi="宋体" w:cs="宋体"/>
          <w:b/>
          <w:bCs/>
          <w:kern w:val="0"/>
          <w:sz w:val="24"/>
          <w:u w:val="single"/>
        </w:rPr>
        <w:t>全车总质量16吨及以上三位一体车，</w:t>
      </w:r>
      <w:r>
        <w:rPr>
          <w:rFonts w:hint="eastAsia" w:ascii="宋体" w:hAnsi="宋体" w:cs="宋体"/>
          <w:b/>
          <w:bCs/>
          <w:color w:val="FF0000"/>
          <w:kern w:val="0"/>
          <w:sz w:val="24"/>
          <w:u w:val="single"/>
        </w:rPr>
        <w:t>2辆</w:t>
      </w:r>
      <w:r>
        <w:rPr>
          <w:rFonts w:hint="eastAsia" w:ascii="宋体" w:hAnsi="宋体" w:cs="宋体"/>
          <w:b/>
          <w:bCs/>
          <w:kern w:val="0"/>
          <w:sz w:val="24"/>
          <w:u w:val="single"/>
        </w:rPr>
        <w:t>小型多功能清洗车，</w:t>
      </w:r>
      <w:r>
        <w:rPr>
          <w:rFonts w:hint="eastAsia" w:ascii="宋体" w:hAnsi="宋体" w:cs="宋体"/>
          <w:b/>
          <w:bCs/>
          <w:color w:val="FF0000"/>
          <w:kern w:val="0"/>
          <w:sz w:val="24"/>
          <w:u w:val="single"/>
        </w:rPr>
        <w:t>5辆</w:t>
      </w:r>
      <w:r>
        <w:rPr>
          <w:rFonts w:hint="eastAsia" w:ascii="宋体" w:hAnsi="宋体" w:cs="宋体"/>
          <w:b/>
          <w:bCs/>
          <w:kern w:val="0"/>
          <w:sz w:val="24"/>
          <w:u w:val="single"/>
        </w:rPr>
        <w:t>电动巡检车，</w:t>
      </w:r>
      <w:r>
        <w:rPr>
          <w:rFonts w:hint="eastAsia" w:ascii="宋体" w:hAnsi="宋体" w:cs="宋体"/>
          <w:b/>
          <w:bCs/>
          <w:color w:val="FF0000"/>
          <w:kern w:val="0"/>
          <w:sz w:val="24"/>
          <w:u w:val="single"/>
        </w:rPr>
        <w:t>2辆</w:t>
      </w:r>
      <w:r>
        <w:rPr>
          <w:rFonts w:hint="eastAsia" w:ascii="宋体" w:hAnsi="宋体" w:cs="宋体"/>
          <w:b/>
          <w:sz w:val="24"/>
          <w:u w:val="single"/>
        </w:rPr>
        <w:t>分色垃圾清运车（其他垃圾清运车1辆、餐厨垃圾清运车1辆全车总质量12.5吨及以上），</w:t>
      </w:r>
      <w:r>
        <w:rPr>
          <w:rFonts w:hint="eastAsia" w:ascii="宋体" w:hAnsi="宋体" w:cs="宋体"/>
          <w:b/>
          <w:color w:val="FF0000"/>
          <w:sz w:val="24"/>
          <w:u w:val="single"/>
        </w:rPr>
        <w:t>3辆</w:t>
      </w:r>
      <w:r>
        <w:rPr>
          <w:rFonts w:hint="eastAsia" w:ascii="宋体" w:hAnsi="宋体" w:cs="宋体"/>
          <w:b/>
          <w:sz w:val="24"/>
          <w:u w:val="single"/>
        </w:rPr>
        <w:t>压缩式垃圾直运车，</w:t>
      </w:r>
      <w:r>
        <w:rPr>
          <w:rFonts w:hint="eastAsia" w:ascii="宋体" w:hAnsi="宋体" w:cs="宋体"/>
          <w:b/>
          <w:color w:val="FF0000"/>
          <w:sz w:val="24"/>
          <w:u w:val="single"/>
        </w:rPr>
        <w:t>2辆</w:t>
      </w:r>
      <w:r>
        <w:rPr>
          <w:rFonts w:hint="eastAsia" w:ascii="宋体" w:hAnsi="宋体" w:cs="宋体"/>
          <w:b/>
          <w:sz w:val="24"/>
          <w:u w:val="single"/>
        </w:rPr>
        <w:t>短驳车</w:t>
      </w:r>
      <w:r>
        <w:rPr>
          <w:rFonts w:hint="eastAsia" w:ascii="宋体" w:hAnsi="宋体" w:cs="宋体"/>
          <w:b/>
          <w:bCs/>
          <w:kern w:val="0"/>
          <w:sz w:val="24"/>
          <w:u w:val="single"/>
        </w:rPr>
        <w:t>等（一旦投标人中标，扫地车、洒水车、三位一体车、小型多功能清洗车，</w:t>
      </w:r>
      <w:r>
        <w:rPr>
          <w:rFonts w:hint="eastAsia" w:ascii="宋体" w:hAnsi="宋体" w:cs="宋体"/>
          <w:b/>
          <w:sz w:val="24"/>
          <w:u w:val="single"/>
        </w:rPr>
        <w:t>压缩式垃圾直运车，</w:t>
      </w:r>
      <w:r>
        <w:rPr>
          <w:rFonts w:hint="eastAsia" w:ascii="宋体" w:hAnsi="宋体" w:cs="宋体"/>
          <w:b/>
          <w:bCs/>
          <w:kern w:val="0"/>
          <w:sz w:val="24"/>
          <w:u w:val="single"/>
        </w:rPr>
        <w:t>电动巡检车，分色垃圾清运车等在保洁期内只能用于本标段保洁工作，凡是发现不能专用于本标段作业的，招标人有权提前终止合同）。</w:t>
      </w:r>
      <w:r>
        <w:rPr>
          <w:color w:val="000000"/>
          <w:sz w:val="24"/>
        </w:rPr>
        <w:t>以投标单位车辆行驶证和购车发票为准，否则不予签订合同；</w:t>
      </w:r>
      <w:r>
        <w:rPr>
          <w:rFonts w:hint="eastAsia" w:ascii="宋体" w:hAnsi="宋体" w:cs="宋体"/>
          <w:b/>
          <w:bCs/>
          <w:kern w:val="0"/>
          <w:sz w:val="24"/>
          <w:u w:val="single"/>
        </w:rPr>
        <w:t>本标段要求配备现场管理人员为：</w:t>
      </w:r>
      <w:r>
        <w:rPr>
          <w:rFonts w:hint="eastAsia" w:ascii="宋体" w:hAnsi="宋体" w:cs="宋体"/>
          <w:b/>
          <w:bCs/>
          <w:color w:val="FF0000"/>
          <w:kern w:val="0"/>
          <w:sz w:val="24"/>
          <w:u w:val="single"/>
        </w:rPr>
        <w:t>60人（不得高于65周岁；50周岁以下不得少于40%）；保洁人工工资报价不得低于杭州市最低工资标准（根据《杭州市人民政府关于调整市区最低工资标准的通知》（杭政函〔2017〕161号）的140%；在保洁期内，</w:t>
      </w:r>
      <w:r>
        <w:rPr>
          <w:rFonts w:hint="eastAsia" w:ascii="宋体" w:hAnsi="宋体" w:cs="宋体"/>
          <w:b/>
          <w:bCs/>
          <w:kern w:val="0"/>
          <w:sz w:val="24"/>
          <w:u w:val="single"/>
        </w:rPr>
        <w:t>此保洁的所有道路每天保证必要的清扫，做到河道保洁一日一清，牛皮癣一日一清；</w:t>
      </w:r>
      <w:r>
        <w:rPr>
          <w:rFonts w:hint="eastAsia" w:ascii="宋体" w:hAnsi="宋体" w:cs="宋体"/>
          <w:b/>
          <w:sz w:val="24"/>
          <w:u w:val="single"/>
        </w:rPr>
        <w:t>中泰路、杭泰路、水塔路、石鸽路实施垃圾不落地音乐线。</w:t>
      </w:r>
    </w:p>
    <w:p>
      <w:pPr>
        <w:spacing w:line="400" w:lineRule="atLeast"/>
        <w:ind w:firstLine="480" w:firstLineChars="200"/>
        <w:rPr>
          <w:color w:val="000000"/>
          <w:sz w:val="24"/>
        </w:rPr>
      </w:pPr>
      <w:r>
        <w:rPr>
          <w:rFonts w:hint="eastAsia"/>
          <w:color w:val="000000"/>
          <w:sz w:val="24"/>
        </w:rPr>
        <w:t>6</w:t>
      </w:r>
      <w:r>
        <w:rPr>
          <w:color w:val="000000"/>
          <w:sz w:val="24"/>
        </w:rPr>
        <w:t>、中标单位在进场</w:t>
      </w:r>
      <w:r>
        <w:rPr>
          <w:rFonts w:hint="eastAsia"/>
          <w:color w:val="000000"/>
          <w:sz w:val="24"/>
        </w:rPr>
        <w:t>保洁</w:t>
      </w:r>
      <w:r>
        <w:rPr>
          <w:color w:val="000000"/>
          <w:sz w:val="24"/>
        </w:rPr>
        <w:t>后2个月内，须向采购人提供本项目</w:t>
      </w:r>
      <w:r>
        <w:rPr>
          <w:rFonts w:hint="eastAsia"/>
          <w:color w:val="000000"/>
          <w:sz w:val="24"/>
        </w:rPr>
        <w:t>保洁</w:t>
      </w:r>
      <w:r>
        <w:rPr>
          <w:color w:val="000000"/>
          <w:sz w:val="24"/>
        </w:rPr>
        <w:t>人员的养老保险为依据，经采购人核查，人员配备达不到投标要求的，要求中标单位限期整改，逾期不整改的，采购人有权终止合同。</w:t>
      </w:r>
    </w:p>
    <w:p>
      <w:pPr>
        <w:adjustRightInd w:val="0"/>
        <w:snapToGrid w:val="0"/>
        <w:spacing w:line="400" w:lineRule="atLeast"/>
        <w:ind w:firstLine="480" w:firstLineChars="200"/>
        <w:rPr>
          <w:color w:val="000000"/>
          <w:sz w:val="24"/>
        </w:rPr>
      </w:pPr>
      <w:r>
        <w:rPr>
          <w:rFonts w:hint="eastAsia"/>
          <w:color w:val="000000"/>
          <w:sz w:val="24"/>
        </w:rPr>
        <w:t>7</w:t>
      </w:r>
      <w:r>
        <w:rPr>
          <w:color w:val="000000"/>
          <w:sz w:val="24"/>
        </w:rPr>
        <w:t>、中标单位所提供资料，经查实为虚假材料的，或经成本核算达不到额定标准的，或经发现中标单位转包给其他企业的，或违规有关</w:t>
      </w:r>
      <w:r>
        <w:rPr>
          <w:rFonts w:hint="eastAsia"/>
          <w:color w:val="000000"/>
          <w:sz w:val="24"/>
        </w:rPr>
        <w:t>保洁</w:t>
      </w:r>
      <w:r>
        <w:rPr>
          <w:color w:val="000000"/>
          <w:sz w:val="24"/>
        </w:rPr>
        <w:t>合同约定的，采购人有权不予签订合同或终止合同。</w:t>
      </w:r>
    </w:p>
    <w:p>
      <w:pPr>
        <w:adjustRightInd w:val="0"/>
        <w:snapToGrid w:val="0"/>
        <w:spacing w:line="400" w:lineRule="atLeast"/>
        <w:ind w:firstLine="480" w:firstLineChars="200"/>
        <w:rPr>
          <w:rFonts w:hint="eastAsia"/>
          <w:color w:val="000000"/>
          <w:sz w:val="24"/>
        </w:rPr>
      </w:pPr>
      <w:r>
        <w:rPr>
          <w:rFonts w:hint="eastAsia"/>
          <w:color w:val="000000"/>
          <w:sz w:val="24"/>
        </w:rPr>
        <w:t>8、采购人依照《</w:t>
      </w:r>
      <w:r>
        <w:rPr>
          <w:rFonts w:hint="eastAsia"/>
          <w:color w:val="000000"/>
          <w:sz w:val="24"/>
          <w:lang w:val="zh-CN"/>
        </w:rPr>
        <w:t>201</w:t>
      </w:r>
      <w:r>
        <w:rPr>
          <w:rFonts w:hint="eastAsia"/>
          <w:color w:val="000000"/>
          <w:sz w:val="24"/>
        </w:rPr>
        <w:t>8</w:t>
      </w:r>
      <w:r>
        <w:rPr>
          <w:rFonts w:hint="eastAsia"/>
          <w:color w:val="000000"/>
          <w:sz w:val="24"/>
          <w:lang w:val="zh-CN"/>
        </w:rPr>
        <w:t>中泰街道保洁管理考核评分细则</w:t>
      </w:r>
      <w:r>
        <w:rPr>
          <w:rFonts w:hint="eastAsia"/>
          <w:color w:val="000000"/>
          <w:sz w:val="24"/>
        </w:rPr>
        <w:t>》对中标人按季度进行考核。总得分低于90分，每下降1分扣除当季度养护款的2%。</w:t>
      </w:r>
    </w:p>
    <w:p>
      <w:pPr>
        <w:adjustRightInd w:val="0"/>
        <w:snapToGrid w:val="0"/>
        <w:spacing w:line="400" w:lineRule="atLeast"/>
        <w:ind w:firstLine="480" w:firstLineChars="200"/>
        <w:rPr>
          <w:color w:val="000000"/>
          <w:sz w:val="24"/>
        </w:rPr>
      </w:pPr>
      <w:r>
        <w:rPr>
          <w:rFonts w:hint="eastAsia"/>
          <w:color w:val="000000"/>
          <w:sz w:val="24"/>
        </w:rPr>
        <w:t>保洁期内，一次全区通报批评处罚合同金额的10%-15%；两次全区倒数第一或</w:t>
      </w:r>
      <w:r>
        <w:rPr>
          <w:color w:val="000000"/>
          <w:sz w:val="24"/>
        </w:rPr>
        <w:t>中标单位在合同期限内有意不实施且阻挠工程改造的，经3次通报批评，仍不整改的，采购人有权终止合同。</w:t>
      </w:r>
    </w:p>
    <w:p>
      <w:pPr>
        <w:adjustRightInd w:val="0"/>
        <w:snapToGrid w:val="0"/>
        <w:spacing w:line="400" w:lineRule="atLeast"/>
        <w:rPr>
          <w:b/>
          <w:bCs/>
          <w:color w:val="000000"/>
          <w:sz w:val="24"/>
          <w:u w:val="single"/>
        </w:rPr>
      </w:pPr>
      <w:r>
        <w:rPr>
          <w:b/>
          <w:bCs/>
          <w:color w:val="000000"/>
          <w:sz w:val="24"/>
        </w:rPr>
        <w:t>九、采购人认为必须说明的其他内容：</w:t>
      </w:r>
    </w:p>
    <w:p>
      <w:pPr>
        <w:adjustRightInd w:val="0"/>
        <w:snapToGrid w:val="0"/>
        <w:spacing w:line="400" w:lineRule="atLeast"/>
        <w:ind w:firstLine="354" w:firstLineChars="147"/>
        <w:rPr>
          <w:szCs w:val="21"/>
        </w:rPr>
      </w:pPr>
      <w:r>
        <w:rPr>
          <w:b/>
          <w:color w:val="000000"/>
          <w:kern w:val="0"/>
          <w:sz w:val="24"/>
          <w:lang w:val="zh-CN"/>
        </w:rPr>
        <w:t>带“●”条款为实质性条款，投标人须提供《采购需求实质性内容响应表》（格式见第五部分 投标文件格式），如有任意一条未响应或不满足，将被视为无效。</w:t>
      </w:r>
    </w:p>
    <w:bookmarkEnd w:id="9"/>
    <w:bookmarkEnd w:id="10"/>
    <w:bookmarkEnd w:id="11"/>
    <w:p>
      <w:pPr>
        <w:pStyle w:val="18"/>
        <w:spacing w:before="0" w:after="0" w:line="400" w:lineRule="atLeast"/>
        <w:rPr>
          <w:rFonts w:ascii="Times New Roman" w:hAnsi="Times New Roman"/>
          <w:sz w:val="44"/>
          <w:szCs w:val="44"/>
          <w:highlight w:val="yellow"/>
        </w:rPr>
      </w:pPr>
      <w:bookmarkStart w:id="12" w:name="_Toc475713980"/>
    </w:p>
    <w:p>
      <w:pPr>
        <w:pStyle w:val="18"/>
        <w:spacing w:before="0" w:after="0" w:line="400" w:lineRule="atLeast"/>
        <w:rPr>
          <w:rFonts w:ascii="Times New Roman" w:hAnsi="Times New Roman"/>
          <w:sz w:val="44"/>
          <w:szCs w:val="44"/>
          <w:highlight w:val="yellow"/>
        </w:rPr>
        <w:sectPr>
          <w:footerReference r:id="rId4" w:type="default"/>
          <w:pgSz w:w="11907" w:h="16839"/>
          <w:pgMar w:top="1304" w:right="1565" w:bottom="1247" w:left="1344" w:header="851" w:footer="992" w:gutter="0"/>
          <w:cols w:space="720" w:num="1"/>
          <w:docGrid w:type="lines" w:linePitch="312" w:charSpace="0"/>
        </w:sectPr>
      </w:pPr>
    </w:p>
    <w:p>
      <w:pPr>
        <w:adjustRightInd w:val="0"/>
        <w:snapToGrid w:val="0"/>
        <w:spacing w:line="520" w:lineRule="exact"/>
        <w:ind w:left="2158" w:leftChars="1" w:hanging="2156" w:hangingChars="599"/>
        <w:jc w:val="center"/>
        <w:rPr>
          <w:rFonts w:hint="eastAsia" w:ascii="方正小标宋_GBK" w:eastAsia="方正小标宋_GBK" w:cs="方正小标宋_GBK"/>
          <w:bCs/>
          <w:sz w:val="36"/>
          <w:szCs w:val="36"/>
          <w:lang w:val="zh-CN"/>
        </w:rPr>
      </w:pPr>
      <w:r>
        <w:rPr>
          <w:rFonts w:hint="eastAsia" w:ascii="方正小标宋_GBK" w:eastAsia="方正小标宋_GBK" w:cs="方正小标宋_GBK"/>
          <w:bCs/>
          <w:sz w:val="36"/>
          <w:szCs w:val="36"/>
          <w:lang w:val="zh-CN"/>
        </w:rPr>
        <w:t>201</w:t>
      </w:r>
      <w:r>
        <w:rPr>
          <w:rFonts w:hint="eastAsia" w:ascii="方正小标宋_GBK" w:eastAsia="方正小标宋_GBK" w:cs="方正小标宋_GBK"/>
          <w:bCs/>
          <w:sz w:val="36"/>
          <w:szCs w:val="36"/>
        </w:rPr>
        <w:t>8</w:t>
      </w:r>
      <w:r>
        <w:rPr>
          <w:rFonts w:hint="eastAsia" w:ascii="方正小标宋_GBK" w:eastAsia="方正小标宋_GBK" w:cs="方正小标宋_GBK"/>
          <w:bCs/>
          <w:sz w:val="36"/>
          <w:szCs w:val="36"/>
          <w:lang w:val="zh-CN"/>
        </w:rPr>
        <w:t>中泰街道保洁管理考核评分细则</w:t>
      </w:r>
    </w:p>
    <w:tbl>
      <w:tblPr>
        <w:tblStyle w:val="19"/>
        <w:tblW w:w="0" w:type="auto"/>
        <w:jc w:val="center"/>
        <w:shd w:val="clear" w:color="auto" w:fill="FFFFFF"/>
        <w:tblLayout w:type="fixed"/>
        <w:tblCellMar>
          <w:top w:w="0" w:type="dxa"/>
          <w:left w:w="0" w:type="dxa"/>
          <w:bottom w:w="0" w:type="dxa"/>
          <w:right w:w="0" w:type="dxa"/>
        </w:tblCellMar>
      </w:tblPr>
      <w:tblGrid>
        <w:gridCol w:w="588"/>
        <w:gridCol w:w="994"/>
        <w:gridCol w:w="7762"/>
        <w:gridCol w:w="2850"/>
        <w:gridCol w:w="1318"/>
      </w:tblGrid>
      <w:tr>
        <w:tblPrEx>
          <w:shd w:val="clear" w:color="auto" w:fill="FFFFFF"/>
          <w:tblCellMar>
            <w:top w:w="0" w:type="dxa"/>
            <w:left w:w="0" w:type="dxa"/>
            <w:bottom w:w="0" w:type="dxa"/>
            <w:right w:w="0" w:type="dxa"/>
          </w:tblCellMar>
        </w:tblPrEx>
        <w:trPr>
          <w:wBefore w:w="0" w:type="dxa"/>
          <w:wAfter w:w="0" w:type="dxa"/>
          <w:trHeight w:val="815" w:hRule="atLeast"/>
          <w:jc w:val="center"/>
        </w:trPr>
        <w:tc>
          <w:tcPr>
            <w:tcW w:w="58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52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序号</w:t>
            </w:r>
          </w:p>
        </w:tc>
        <w:tc>
          <w:tcPr>
            <w:tcW w:w="994"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52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考核项目</w:t>
            </w:r>
          </w:p>
        </w:tc>
        <w:tc>
          <w:tcPr>
            <w:tcW w:w="7762" w:type="dxa"/>
            <w:tcBorders>
              <w:top w:val="single" w:color="auto" w:sz="8" w:space="0"/>
              <w:left w:val="nil"/>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line="52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评分标准(100分)</w:t>
            </w:r>
          </w:p>
        </w:tc>
        <w:tc>
          <w:tcPr>
            <w:tcW w:w="2850" w:type="dxa"/>
            <w:tcBorders>
              <w:top w:val="single" w:color="auto" w:sz="8" w:space="0"/>
              <w:left w:val="nil"/>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line="52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考核情况</w:t>
            </w:r>
          </w:p>
        </w:tc>
        <w:tc>
          <w:tcPr>
            <w:tcW w:w="1318" w:type="dxa"/>
            <w:tcBorders>
              <w:top w:val="single" w:color="auto" w:sz="8" w:space="0"/>
              <w:left w:val="nil"/>
              <w:bottom w:val="single" w:color="auto" w:sz="8" w:space="0"/>
              <w:right w:val="single" w:color="auto" w:sz="4" w:space="0"/>
            </w:tcBorders>
            <w:shd w:val="clear" w:color="auto" w:fill="auto"/>
            <w:noWrap w:val="0"/>
            <w:tcMar>
              <w:top w:w="0" w:type="dxa"/>
              <w:left w:w="108" w:type="dxa"/>
              <w:bottom w:w="0" w:type="dxa"/>
              <w:right w:w="108" w:type="dxa"/>
            </w:tcMar>
            <w:vAlign w:val="center"/>
          </w:tcPr>
          <w:p>
            <w:pPr>
              <w:widowControl/>
              <w:spacing w:line="520" w:lineRule="exact"/>
              <w:jc w:val="center"/>
              <w:rPr>
                <w:rFonts w:hint="eastAsia" w:ascii="仿宋_GB2312" w:hAnsi="宋体" w:eastAsia="仿宋_GB2312" w:cs="宋体"/>
                <w:b/>
                <w:kern w:val="0"/>
                <w:sz w:val="24"/>
              </w:rPr>
            </w:pPr>
            <w:r>
              <w:rPr>
                <w:rFonts w:hint="eastAsia" w:ascii="仿宋_GB2312" w:hAnsi="宋体" w:eastAsia="仿宋_GB2312" w:cs="宋体"/>
                <w:b/>
                <w:kern w:val="0"/>
                <w:sz w:val="24"/>
              </w:rPr>
              <w:t>得分</w:t>
            </w:r>
          </w:p>
        </w:tc>
      </w:tr>
      <w:tr>
        <w:tblPrEx>
          <w:shd w:val="clear" w:color="auto" w:fill="FFFFFF"/>
          <w:tblCellMar>
            <w:top w:w="0" w:type="dxa"/>
            <w:left w:w="0" w:type="dxa"/>
            <w:bottom w:w="0" w:type="dxa"/>
            <w:right w:w="0" w:type="dxa"/>
          </w:tblCellMar>
        </w:tblPrEx>
        <w:trPr>
          <w:wBefore w:w="0" w:type="dxa"/>
          <w:wAfter w:w="0" w:type="dxa"/>
          <w:trHeight w:val="652" w:hRule="atLeast"/>
          <w:jc w:val="center"/>
        </w:trPr>
        <w:tc>
          <w:tcPr>
            <w:tcW w:w="588"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994" w:type="dxa"/>
            <w:tcBorders>
              <w:top w:val="single" w:color="auto" w:sz="8" w:space="0"/>
              <w:left w:val="nil"/>
              <w:bottom w:val="single" w:color="auto" w:sz="4" w:space="0"/>
              <w:right w:val="single" w:color="auto" w:sz="8" w:space="0"/>
            </w:tcBorders>
            <w:shd w:val="clear" w:color="auto" w:fill="auto"/>
            <w:noWrap w:val="0"/>
            <w:vAlign w:val="center"/>
          </w:tcPr>
          <w:p>
            <w:pPr>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清扫保洁（35分）</w:t>
            </w:r>
          </w:p>
        </w:tc>
        <w:tc>
          <w:tcPr>
            <w:tcW w:w="7762" w:type="dxa"/>
            <w:tcBorders>
              <w:top w:val="single" w:color="auto" w:sz="8"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区域内实行12小时清扫保洁的道路，上午6时至下午6时，未按规定执行的扣2分。在规定时间（道路每天必须普扫二次，其余时间巡回保洁。要求上午第一次普扫须在早晨7时30分前结束，然后进行不间断地巡回保洁；下午第二次普扫须在下午1时30分前结束，然后进行不间断地巡回保洁。）内完成清扫，未完成的每条道路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道路在完成第一遍清扫后，应做到巡回保洁随脏随扫（可视范围为有色垃圾滞留路的时间不得超过30分钟，一类道路为10分钟），未达要求扣1分。机械化清扫车和洒水车作业作业时必须开警示灯或发送警示信号；未按要求作业的，每次扣0.5分。机扫作业时，未礼让行车，未喷水压尘，或车速超过10公里/小时的，每次扣0.5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人行道、主干道不得漏扫，每漏扫一处扣0.5分，垃圾应归类、归堆清除彻底，不清除扣0.5分，不彻底扣0.2分。清扫垃圾不得扫入窨井，发现垃圾扫入窨井的扣0.5分。树圈应清扫彻底，未扫扣1分，清扫不洁扣0.5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道路无积泥，晴天无积水（无排水设施的不计），发现道路积泥每条扣1分，道路晴天积水扣1分。示范区域每周清洗道路两次，一般区域每周清洗道路一次，原则上道路洒水不少于4次/天。未达到要求的，每次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5、垃圾倒在规定地点，不发生焚烧垃圾、树叶，落叶旺季及时清扫，按指定地点堆放转运树叶，未倒在规定地点或焚烧垃圾、树叶，扣2分。落叶旺季未及时清扫或未按指定地点堆放转运树叶扣1分。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6、环卫设施（果壳箱、垃圾桶、垃圾房等）无破损、歪斜、油漆剥落、垃圾满溢，表面清洁无污垢，周围地面无暴露垃圾、污水现象。发现上述问题每处扣0.5分。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7、清扫专用车整洁，无破损、满溢、车厢无吊挂杂物的现象，应密闭运输。未达标准扣1分。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8、保洁员扫道路时必须穿反光安全背心，违者扣1分。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9、人行道板及各类井盖等处缝隙、沟眼无垃圾，无积泥嵌石，发现不符标准每处扣0.5分。</w:t>
            </w:r>
          </w:p>
          <w:p>
            <w:pPr>
              <w:spacing w:line="240" w:lineRule="exact"/>
              <w:jc w:val="left"/>
              <w:rPr>
                <w:rFonts w:hint="eastAsia" w:ascii="仿宋_GB2312" w:hAnsi="宋体" w:eastAsia="仿宋_GB2312" w:cs="宋体"/>
                <w:kern w:val="0"/>
                <w:szCs w:val="21"/>
              </w:rPr>
            </w:pPr>
          </w:p>
        </w:tc>
        <w:tc>
          <w:tcPr>
            <w:tcW w:w="2850" w:type="dxa"/>
            <w:tcBorders>
              <w:top w:val="single" w:color="auto" w:sz="8"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numPr>
                <w:ilvl w:val="0"/>
                <w:numId w:val="14"/>
              </w:num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杭泰路沿线道路零星垃圾2处，扣1分；</w:t>
            </w:r>
          </w:p>
          <w:p>
            <w:pPr>
              <w:numPr>
                <w:ilvl w:val="0"/>
                <w:numId w:val="14"/>
              </w:num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新西湖公交站道路一处垃圾未及时清理，扣1分；</w:t>
            </w:r>
          </w:p>
          <w:p>
            <w:pPr>
              <w:numPr>
                <w:ilvl w:val="0"/>
                <w:numId w:val="14"/>
              </w:num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石鸽路阳光城西门人行道侧道路积泥1处，扣1分</w:t>
            </w:r>
          </w:p>
          <w:p>
            <w:pPr>
              <w:spacing w:line="240" w:lineRule="exact"/>
              <w:jc w:val="left"/>
              <w:rPr>
                <w:rFonts w:hint="eastAsia" w:ascii="仿宋_GB2312" w:hAnsi="仿宋_GB2312" w:eastAsia="仿宋_GB2312" w:cs="仿宋_GB2312"/>
                <w:kern w:val="0"/>
                <w:szCs w:val="21"/>
              </w:rPr>
            </w:pPr>
          </w:p>
        </w:tc>
        <w:tc>
          <w:tcPr>
            <w:tcW w:w="1318" w:type="dxa"/>
            <w:tcBorders>
              <w:top w:val="single" w:color="auto" w:sz="8"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32</w:t>
            </w:r>
          </w:p>
        </w:tc>
      </w:tr>
      <w:tr>
        <w:tblPrEx>
          <w:shd w:val="clear" w:color="auto" w:fill="FFFFFF"/>
          <w:tblCellMar>
            <w:top w:w="0" w:type="dxa"/>
            <w:left w:w="0" w:type="dxa"/>
            <w:bottom w:w="0" w:type="dxa"/>
            <w:right w:w="0" w:type="dxa"/>
          </w:tblCellMar>
        </w:tblPrEx>
        <w:trPr>
          <w:wBefore w:w="0" w:type="dxa"/>
          <w:wAfter w:w="0" w:type="dxa"/>
          <w:trHeight w:val="2383" w:hRule="atLeast"/>
          <w:jc w:val="center"/>
        </w:trPr>
        <w:tc>
          <w:tcPr>
            <w:tcW w:w="588" w:type="dxa"/>
            <w:tcBorders>
              <w:top w:val="single" w:color="auto" w:sz="4" w:space="0"/>
              <w:left w:val="single" w:color="auto" w:sz="8" w:space="0"/>
              <w:right w:val="single" w:color="auto" w:sz="8"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994" w:type="dxa"/>
            <w:tcBorders>
              <w:top w:val="single" w:color="auto" w:sz="4" w:space="0"/>
              <w:left w:val="nil"/>
              <w:right w:val="single" w:color="auto" w:sz="8"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垃圾收集清运（5分</w:t>
            </w:r>
            <w:r>
              <w:rPr>
                <w:rFonts w:hint="eastAsia" w:ascii="黑体" w:eastAsia="黑体"/>
                <w:sz w:val="32"/>
                <w:szCs w:val="32"/>
              </w:rPr>
              <w:t>）</w:t>
            </w:r>
          </w:p>
        </w:tc>
        <w:tc>
          <w:tcPr>
            <w:tcW w:w="7762"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垃圾房（桶、箱）无漏清、无垃圾外溢，垃圾桶（箱）无破损，垃圾清除后应关闭垃圾房门和垃圾桶，清除后必须放回原处。发现垃圾房（桶、箱）漏清、垃圾外溢，每处扣3分。垃圾桶（箱）破损，每只扣1分。垃圾房清除后，门不关扣2分，垃圾桶清除后未放回原处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2、垃圾车辆运输过程中应密闭运输，未密闭扣2分。车厢周围无堆放杂物、无抛、撒、漏、吊挂，车辆无破损。有则扣1分。</w:t>
            </w:r>
          </w:p>
          <w:p>
            <w:pPr>
              <w:spacing w:line="240" w:lineRule="exact"/>
              <w:jc w:val="left"/>
              <w:rPr>
                <w:rFonts w:hint="eastAsia" w:ascii="仿宋_GB2312" w:hAnsi="宋体" w:eastAsia="仿宋_GB2312" w:cs="宋体"/>
                <w:kern w:val="0"/>
                <w:szCs w:val="21"/>
              </w:rPr>
            </w:pPr>
            <w:r>
              <w:rPr>
                <w:rFonts w:hint="eastAsia" w:ascii="仿宋_GB2312" w:hAnsi="仿宋_GB2312" w:eastAsia="仿宋_GB2312" w:cs="仿宋_GB2312"/>
                <w:kern w:val="0"/>
                <w:szCs w:val="21"/>
              </w:rPr>
              <w:t>3、垃圾未倒入指定地点扣2分，焚烧的扣1分。</w:t>
            </w:r>
          </w:p>
        </w:tc>
        <w:tc>
          <w:tcPr>
            <w:tcW w:w="2850" w:type="dxa"/>
            <w:tcBorders>
              <w:top w:val="single" w:color="auto" w:sz="4" w:space="0"/>
              <w:left w:val="nil"/>
              <w:right w:val="single" w:color="auto" w:sz="4" w:space="0"/>
            </w:tcBorders>
            <w:shd w:val="clear" w:color="auto" w:fill="auto"/>
            <w:noWrap w:val="0"/>
            <w:tcMar>
              <w:top w:w="0" w:type="dxa"/>
              <w:left w:w="108" w:type="dxa"/>
              <w:bottom w:w="0" w:type="dxa"/>
              <w:right w:w="108" w:type="dxa"/>
            </w:tcMar>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垃圾收集车运输过程中未密闭运输发现一次，扣2分</w:t>
            </w:r>
          </w:p>
        </w:tc>
        <w:tc>
          <w:tcPr>
            <w:tcW w:w="1318" w:type="dxa"/>
            <w:tcBorders>
              <w:top w:val="single" w:color="auto" w:sz="4" w:space="0"/>
              <w:left w:val="nil"/>
              <w:right w:val="single" w:color="auto" w:sz="4" w:space="0"/>
            </w:tcBorders>
            <w:shd w:val="clear" w:color="auto" w:fill="auto"/>
            <w:noWrap w:val="0"/>
            <w:tcMar>
              <w:top w:w="0" w:type="dxa"/>
              <w:left w:w="108" w:type="dxa"/>
              <w:bottom w:w="0" w:type="dxa"/>
              <w:right w:w="108" w:type="dxa"/>
            </w:tcMar>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r>
      <w:tr>
        <w:tblPrEx>
          <w:shd w:val="clear" w:color="auto" w:fill="FFFFFF"/>
          <w:tblCellMar>
            <w:top w:w="0" w:type="dxa"/>
            <w:left w:w="0" w:type="dxa"/>
            <w:bottom w:w="0" w:type="dxa"/>
            <w:right w:w="0" w:type="dxa"/>
          </w:tblCellMar>
        </w:tblPrEx>
        <w:trPr>
          <w:wBefore w:w="0" w:type="dxa"/>
          <w:wAfter w:w="0" w:type="dxa"/>
          <w:trHeight w:val="2577" w:hRule="atLeast"/>
          <w:jc w:val="center"/>
        </w:trPr>
        <w:tc>
          <w:tcPr>
            <w:tcW w:w="588" w:type="dxa"/>
            <w:tcBorders>
              <w:top w:val="single" w:color="auto" w:sz="4" w:space="0"/>
              <w:left w:val="single" w:color="auto" w:sz="8" w:space="0"/>
              <w:bottom w:val="single" w:color="auto" w:sz="4" w:space="0"/>
              <w:right w:val="single" w:color="auto" w:sz="8" w:space="0"/>
            </w:tcBorders>
            <w:shd w:val="clear" w:color="auto" w:fill="auto"/>
            <w:noWrap w:val="0"/>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 w:val="24"/>
              </w:rPr>
              <w:t>3</w:t>
            </w:r>
          </w:p>
        </w:tc>
        <w:tc>
          <w:tcPr>
            <w:tcW w:w="994" w:type="dxa"/>
            <w:tcBorders>
              <w:top w:val="single" w:color="auto" w:sz="4" w:space="0"/>
              <w:left w:val="nil"/>
              <w:bottom w:val="single" w:color="auto" w:sz="4" w:space="0"/>
              <w:right w:val="single" w:color="auto" w:sz="8"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垃圾中转站（5分）</w:t>
            </w:r>
          </w:p>
        </w:tc>
        <w:tc>
          <w:tcPr>
            <w:tcW w:w="7762"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1、中转站内外墙面无蛛网、积灰，地面、机械设施整洁，无堆放杂物、乱停车辆、乱放工具、通道堵塞，若发生上述情况的各扣1分。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2、中转站内无污水、积水、蛆虫，祼视野范围内有较大面积积水、苍蝇、蛆虫或未按规定处理污水的，每次扣1分。有严重异味扣1分。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3、中转站内发现有捡荒者扣1分，废品乱堆放扣1分。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4、车辆实行密闭运输，箱体整洁，运输中无抛、撒、漏现象，否则发现一辆扣1分。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5、中转站垃圾不压站，如有超过10吨（二车）扣1分，垃圾堆压在中转站外扣2分。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6、中转站设施维修不到位，造成有责损坏或提前报废的，扣3分</w:t>
            </w:r>
          </w:p>
          <w:p>
            <w:pPr>
              <w:spacing w:line="240" w:lineRule="exact"/>
              <w:jc w:val="left"/>
              <w:rPr>
                <w:rFonts w:hint="eastAsia" w:ascii="仿宋_GB2312" w:hAnsi="宋体" w:eastAsia="仿宋_GB2312" w:cs="宋体"/>
                <w:kern w:val="0"/>
                <w:szCs w:val="21"/>
              </w:rPr>
            </w:pPr>
          </w:p>
        </w:tc>
        <w:tc>
          <w:tcPr>
            <w:tcW w:w="2850"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p>
        </w:tc>
        <w:tc>
          <w:tcPr>
            <w:tcW w:w="1318" w:type="dxa"/>
            <w:tcBorders>
              <w:top w:val="single" w:color="auto" w:sz="4" w:space="0"/>
              <w:left w:val="nil"/>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5</w:t>
            </w:r>
          </w:p>
        </w:tc>
      </w:tr>
      <w:tr>
        <w:tblPrEx>
          <w:shd w:val="clear" w:color="auto" w:fill="FFFFFF"/>
          <w:tblCellMar>
            <w:top w:w="0" w:type="dxa"/>
            <w:left w:w="0" w:type="dxa"/>
            <w:bottom w:w="0" w:type="dxa"/>
            <w:right w:w="0" w:type="dxa"/>
          </w:tblCellMar>
        </w:tblPrEx>
        <w:trPr>
          <w:wBefore w:w="0" w:type="dxa"/>
          <w:wAfter w:w="0" w:type="dxa"/>
          <w:trHeight w:val="257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4</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公厕管理（10分）</w:t>
            </w:r>
          </w:p>
          <w:p>
            <w:pPr>
              <w:spacing w:line="240" w:lineRule="exact"/>
              <w:jc w:val="center"/>
              <w:rPr>
                <w:rFonts w:hint="eastAsia" w:ascii="仿宋_GB2312" w:hAnsi="宋体" w:eastAsia="仿宋_GB2312" w:cs="宋体"/>
                <w:kern w:val="0"/>
                <w:sz w:val="24"/>
              </w:rPr>
            </w:pP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1、公厕有专人管理和保洁，实行12小时保洁制，按操作程序进行打扫，管理员须佩证上岗，没有按时保洁扣1分，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2、公厕保洁管理制度上墙，否则扣1分。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公厕外环境整洁，无垃圾、粪便，否则扣1分，周围绿化带（盆）内无杂物、垃圾，如有扣1分，管理房（工具房）内不得乱放、乱堆杂物，有乱堆乱放现象扣1分，内环境墙裙无破损、无蛛网、地面无积水、无不洁、不堆放杂物，如有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4、大小便器（池）无尿碱，墙裙、隔离板、蹲板无粪迹，无明显异味，如有扣2分。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5、公厕应及时用水冲洗，无便槽粪便堆积，如有扣1分。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6、公厕倒粪处，化粪池盖无破损、缺少，如有每处0.5分；粪便清运后粪池周围有遗留粪水，粪渣未冲洗扣0.5分，粪便清运后盖板未盖好扣1分。</w:t>
            </w:r>
          </w:p>
          <w:p>
            <w:pPr>
              <w:spacing w:line="240" w:lineRule="exact"/>
              <w:jc w:val="left"/>
              <w:rPr>
                <w:rFonts w:hint="eastAsia" w:ascii="仿宋_GB2312" w:hAnsi="宋体" w:eastAsia="仿宋_GB2312" w:cs="宋体"/>
                <w:kern w:val="0"/>
                <w:szCs w:val="21"/>
              </w:rPr>
            </w:pPr>
            <w:r>
              <w:rPr>
                <w:rFonts w:hint="eastAsia" w:ascii="仿宋_GB2312" w:hAnsi="仿宋_GB2312" w:eastAsia="仿宋_GB2312" w:cs="仿宋_GB2312"/>
                <w:kern w:val="0"/>
                <w:szCs w:val="21"/>
              </w:rPr>
              <w:t>7、卫生洁具及辅助设施破损、缺失，无障碍设施未正常使用每处扣1分。</w:t>
            </w:r>
            <w:r>
              <w:rPr>
                <w:rFonts w:hint="eastAsia" w:ascii="仿宋_GB2312" w:hAnsi="仿宋_GB2312" w:eastAsia="仿宋_GB2312" w:cs="仿宋_GB2312"/>
                <w:kern w:val="0"/>
                <w:szCs w:val="21"/>
              </w:rPr>
              <w:tab/>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 xml:space="preserve">公厕管理员未佩证上岗，扣1分； </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9</w:t>
            </w:r>
          </w:p>
        </w:tc>
      </w:tr>
      <w:tr>
        <w:tblPrEx>
          <w:shd w:val="clear" w:color="auto" w:fill="FFFFFF"/>
          <w:tblCellMar>
            <w:top w:w="0" w:type="dxa"/>
            <w:left w:w="0" w:type="dxa"/>
            <w:bottom w:w="0" w:type="dxa"/>
            <w:right w:w="0" w:type="dxa"/>
          </w:tblCellMar>
        </w:tblPrEx>
        <w:trPr>
          <w:wBefore w:w="0" w:type="dxa"/>
          <w:wAfter w:w="0" w:type="dxa"/>
          <w:trHeight w:val="257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餐厨垃圾处理站（15分）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1.组织健全，人员稳定，分工明确，实行定岗定员，无专职作业人员的扣2分，作业人员未定岗定员或作业人员更换频繁，两个月内更换人员超过2人的，每次扣1分。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2.实行分类的区域必须分类清运，未实行单独分类清运的，或餐厨垃圾清运车辆与其他垃圾清运车辆混合运输的，每次扣3分，第二次加倍扣分，连续三次以上，直接取消作业资格。</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3.清运车辆外观不洁、破损，有吊挂、抛洒滴漏现象，经指出后未能整改的，每次扣1分；餐厨垃圾清运未实行日产日清的，每次扣1分，第二次加倍。</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4.未按设备操作规程操作，导致设备非正常损坏或设备全年累计非正常故障天数超过15天的，视情节轻重扣2-5分。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5.单独清运的餐厨垃圾未进入处理站或混入其他垃圾进行处理的，每次扣3分（分类准确率在75%以下的除外）</w:t>
            </w:r>
          </w:p>
          <w:p>
            <w:pPr>
              <w:spacing w:line="240" w:lineRule="exact"/>
              <w:jc w:val="left"/>
              <w:rPr>
                <w:rFonts w:hint="eastAsia" w:ascii="仿宋_GB2312" w:eastAsia="仿宋_GB2312"/>
                <w:sz w:val="28"/>
                <w:szCs w:val="28"/>
              </w:rPr>
            </w:pPr>
            <w:r>
              <w:rPr>
                <w:rFonts w:hint="eastAsia" w:ascii="仿宋_GB2312" w:hAnsi="仿宋_GB2312" w:eastAsia="仿宋_GB2312" w:cs="仿宋_GB2312"/>
                <w:kern w:val="0"/>
                <w:szCs w:val="21"/>
              </w:rPr>
              <w:t>6.有机肥料未实行整齐码放的，每次扣1分；有机肥料领用记录不齐或台帐记录不规范的每次扣1分。</w:t>
            </w:r>
          </w:p>
          <w:p>
            <w:pPr>
              <w:spacing w:line="240" w:lineRule="exact"/>
              <w:jc w:val="left"/>
              <w:rPr>
                <w:rFonts w:hint="eastAsia" w:ascii="仿宋_GB2312" w:hAnsi="宋体" w:eastAsia="仿宋_GB2312" w:cs="宋体"/>
                <w:kern w:val="0"/>
                <w:szCs w:val="21"/>
              </w:rPr>
            </w:pP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1、有机肥料未实行整齐码，扣1分；</w:t>
            </w:r>
          </w:p>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2、有机肥料领用记录不齐，扣1分</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13</w:t>
            </w:r>
          </w:p>
        </w:tc>
      </w:tr>
      <w:tr>
        <w:tblPrEx>
          <w:shd w:val="clear" w:color="auto" w:fill="FFFFFF"/>
          <w:tblCellMar>
            <w:top w:w="0" w:type="dxa"/>
            <w:left w:w="0" w:type="dxa"/>
            <w:bottom w:w="0" w:type="dxa"/>
            <w:right w:w="0" w:type="dxa"/>
          </w:tblCellMar>
        </w:tblPrEx>
        <w:trPr>
          <w:wBefore w:w="0" w:type="dxa"/>
          <w:wAfter w:w="0" w:type="dxa"/>
          <w:trHeight w:val="203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仿宋_GB2312" w:eastAsia="仿宋_GB2312" w:cs="仿宋_GB2312"/>
                <w:kern w:val="0"/>
                <w:szCs w:val="21"/>
              </w:rPr>
              <w:t>组织管理（5分）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1、发生一起有责投诉扣1分，有责投诉处理不及时扣1分。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2、对新闻媒体曝光，“12345”受理中心和信访投诉（有责任事件）扣2分，每月考核检查问题处理不及时、不力扣3分。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3、区级以上检查不失责任分，失责任分的扣2分。</w:t>
            </w:r>
          </w:p>
          <w:p>
            <w:pPr>
              <w:spacing w:line="240" w:lineRule="exact"/>
              <w:jc w:val="left"/>
              <w:rPr>
                <w:rFonts w:hint="eastAsia" w:ascii="仿宋_GB2312" w:hAnsi="宋体" w:eastAsia="仿宋_GB2312" w:cs="宋体"/>
                <w:kern w:val="0"/>
                <w:szCs w:val="21"/>
              </w:rPr>
            </w:pPr>
            <w:r>
              <w:rPr>
                <w:rFonts w:hint="eastAsia" w:ascii="仿宋_GB2312" w:hAnsi="仿宋_GB2312" w:eastAsia="仿宋_GB2312" w:cs="仿宋_GB2312"/>
                <w:kern w:val="0"/>
                <w:szCs w:val="21"/>
              </w:rPr>
              <w:t>4、作业人员上路作业不穿工作服、不遵守安全防护规定、不文明作业的，每次扣1。</w:t>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5</w:t>
            </w:r>
          </w:p>
        </w:tc>
      </w:tr>
      <w:tr>
        <w:tblPrEx>
          <w:shd w:val="clear" w:color="auto" w:fill="FFFFFF"/>
          <w:tblCellMar>
            <w:top w:w="0" w:type="dxa"/>
            <w:left w:w="0" w:type="dxa"/>
            <w:bottom w:w="0" w:type="dxa"/>
            <w:right w:w="0" w:type="dxa"/>
          </w:tblCellMar>
        </w:tblPrEx>
        <w:trPr>
          <w:wBefore w:w="0" w:type="dxa"/>
          <w:wAfter w:w="0" w:type="dxa"/>
          <w:trHeight w:val="203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7</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牛皮癣清除（10分）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1、发现在道路两侧50米内有一处张贴涂写末清理的扣0.5分，在抽查200米道路范围有2处以内每一处扣0.5分、有2处以上每一处扣1分；新产生“牛皮癣”超过3个小时未淸理的每处扣0.5分.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2、在道路两侧各入口处5至10米内发现三处以上末清理的扣1分.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3、以癣治癣每处扣0.5分，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4、色彩不一、清理不彻底每处扣0.5分</w:t>
            </w:r>
          </w:p>
          <w:p>
            <w:pPr>
              <w:spacing w:line="240" w:lineRule="exact"/>
              <w:jc w:val="left"/>
              <w:rPr>
                <w:rFonts w:hint="eastAsia" w:ascii="仿宋_GB2312" w:hAnsi="仿宋_GB2312" w:eastAsia="仿宋_GB2312" w:cs="仿宋_GB2312"/>
                <w:kern w:val="0"/>
                <w:szCs w:val="21"/>
              </w:rPr>
            </w:pP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1、杭泰路路灯杆1处牛皮癣，扣0.5分</w:t>
            </w:r>
          </w:p>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2、水塔路路灯杆上1处牛皮癣，扣0.5分</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9</w:t>
            </w:r>
          </w:p>
        </w:tc>
      </w:tr>
      <w:tr>
        <w:tblPrEx>
          <w:shd w:val="clear" w:color="auto" w:fill="FFFFFF"/>
          <w:tblCellMar>
            <w:top w:w="0" w:type="dxa"/>
            <w:left w:w="0" w:type="dxa"/>
            <w:bottom w:w="0" w:type="dxa"/>
            <w:right w:w="0" w:type="dxa"/>
          </w:tblCellMar>
        </w:tblPrEx>
        <w:trPr>
          <w:wBefore w:w="0" w:type="dxa"/>
          <w:wAfter w:w="0" w:type="dxa"/>
          <w:trHeight w:val="203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8</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河道保洁（10分）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1.河面有无明显散落垃圾，河岸（滩）无成堆垃圾和卫生死角；两侧管理控制区内无成堆、成片垃圾杂物及明显散落垃圾，发现的每处扣0.5分，超过5平方以上的每处扣1分。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2.垃圾日产日清，规范处置，发生未日产日清的，每次扣1分，未规范处置的，每次扣1分。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3.河道保洁船只的船容船貌应保持整洁，蚊蝇孳生季节每天消杀。船容船貌不整治的，每次扣0.2分，蚊蝇孳生季节未每天消杀的，每次扣0.5分。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4.未做好安全防护措施，造成安全事故的，视情节轻重扣5-10分。</w:t>
            </w:r>
          </w:p>
          <w:p>
            <w:pPr>
              <w:spacing w:line="240" w:lineRule="exact"/>
              <w:jc w:val="left"/>
              <w:rPr>
                <w:rFonts w:hint="eastAsia" w:ascii="仿宋_GB2312" w:hAnsi="仿宋_GB2312" w:eastAsia="仿宋_GB2312" w:cs="仿宋_GB2312"/>
                <w:kern w:val="0"/>
                <w:szCs w:val="21"/>
              </w:rPr>
            </w:pP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仿宋_GB2312" w:eastAsia="仿宋_GB2312" w:cs="仿宋_GB2312"/>
                <w:kern w:val="0"/>
                <w:szCs w:val="21"/>
              </w:rPr>
              <w:t>横溪河面零星垃圾两处，扣1分</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9</w:t>
            </w:r>
          </w:p>
        </w:tc>
      </w:tr>
      <w:tr>
        <w:tblPrEx>
          <w:shd w:val="clear" w:color="auto" w:fill="FFFFFF"/>
          <w:tblCellMar>
            <w:top w:w="0" w:type="dxa"/>
            <w:left w:w="0" w:type="dxa"/>
            <w:bottom w:w="0" w:type="dxa"/>
            <w:right w:w="0" w:type="dxa"/>
          </w:tblCellMar>
        </w:tblPrEx>
        <w:trPr>
          <w:wBefore w:w="0" w:type="dxa"/>
          <w:wAfter w:w="0" w:type="dxa"/>
          <w:trHeight w:val="1677" w:hRule="atLeast"/>
          <w:jc w:val="center"/>
        </w:trPr>
        <w:tc>
          <w:tcPr>
            <w:tcW w:w="5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9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垃圾分类（5分）</w:t>
            </w:r>
          </w:p>
        </w:tc>
        <w:tc>
          <w:tcPr>
            <w:tcW w:w="7762"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1.杭泰路、中泰路、杭昱路三条路段垃圾分类未覆盖到位的，每条路扣１分。</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2.垃圾分类质量未达到80%以上，每处扣0.15分，扣完为止。</w:t>
            </w:r>
          </w:p>
          <w:p>
            <w:pPr>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3.连续三个月扣满５分，取消作业资格。</w:t>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三条路段垃圾分类未达标扣3分</w:t>
            </w: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2</w:t>
            </w:r>
          </w:p>
        </w:tc>
      </w:tr>
      <w:tr>
        <w:tblPrEx>
          <w:shd w:val="clear" w:color="auto" w:fill="FFFFFF"/>
          <w:tblCellMar>
            <w:top w:w="0" w:type="dxa"/>
            <w:left w:w="0" w:type="dxa"/>
            <w:bottom w:w="0" w:type="dxa"/>
            <w:right w:w="0" w:type="dxa"/>
          </w:tblCellMar>
        </w:tblPrEx>
        <w:trPr>
          <w:wBefore w:w="0" w:type="dxa"/>
          <w:wAfter w:w="0" w:type="dxa"/>
          <w:trHeight w:val="1092" w:hRule="atLeast"/>
          <w:jc w:val="center"/>
        </w:trPr>
        <w:tc>
          <w:tcPr>
            <w:tcW w:w="934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仿宋_GB2312" w:eastAsia="仿宋_GB2312" w:cs="仿宋_GB2312"/>
                <w:kern w:val="0"/>
                <w:szCs w:val="21"/>
              </w:rPr>
            </w:pPr>
            <w:r>
              <w:rPr>
                <w:rFonts w:hint="eastAsia" w:ascii="仿宋_GB2312" w:hAnsi="宋体" w:eastAsia="仿宋_GB2312" w:cs="宋体"/>
                <w:kern w:val="0"/>
                <w:sz w:val="24"/>
              </w:rPr>
              <w:t>总  得  分</w:t>
            </w:r>
          </w:p>
        </w:tc>
        <w:tc>
          <w:tcPr>
            <w:tcW w:w="2850"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87</w:t>
            </w:r>
          </w:p>
        </w:tc>
      </w:tr>
    </w:tbl>
    <w:p>
      <w:pPr>
        <w:spacing w:line="240" w:lineRule="exact"/>
      </w:pPr>
    </w:p>
    <w:p>
      <w:pPr>
        <w:rPr>
          <w:rFonts w:hint="eastAsia"/>
          <w:sz w:val="30"/>
          <w:szCs w:val="30"/>
        </w:rPr>
      </w:pPr>
      <w:r>
        <w:rPr>
          <w:rFonts w:hint="eastAsia"/>
        </w:rPr>
        <w:t xml:space="preserve">      </w:t>
      </w:r>
      <w:r>
        <w:rPr>
          <w:rFonts w:hint="eastAsia"/>
          <w:sz w:val="30"/>
          <w:szCs w:val="30"/>
        </w:rPr>
        <w:t xml:space="preserve">  </w:t>
      </w:r>
    </w:p>
    <w:p>
      <w:pPr>
        <w:rPr>
          <w:rFonts w:hint="eastAsia"/>
          <w:sz w:val="30"/>
          <w:szCs w:val="30"/>
        </w:rPr>
      </w:pPr>
      <w:r>
        <w:rPr>
          <w:rFonts w:hint="eastAsia"/>
          <w:sz w:val="30"/>
          <w:szCs w:val="30"/>
        </w:rPr>
        <w:t xml:space="preserve">       被考核单位签字（盖章）：                                                                                                                                                                </w:t>
      </w:r>
    </w:p>
    <w:p>
      <w:pPr>
        <w:rPr>
          <w:rFonts w:hint="eastAsia"/>
          <w:sz w:val="30"/>
          <w:szCs w:val="30"/>
        </w:rPr>
      </w:pPr>
      <w:r>
        <w:rPr>
          <w:rFonts w:hint="eastAsia"/>
          <w:sz w:val="30"/>
          <w:szCs w:val="30"/>
        </w:rPr>
        <w:t xml:space="preserve">                                                                中泰街道城管服务中心                                                    </w:t>
      </w:r>
    </w:p>
    <w:p>
      <w:pPr>
        <w:sectPr>
          <w:pgSz w:w="16839" w:h="11907" w:orient="landscape"/>
          <w:pgMar w:top="1344" w:right="1304" w:bottom="1565" w:left="1247" w:header="851" w:footer="992" w:gutter="0"/>
          <w:cols w:space="720" w:num="1"/>
          <w:docGrid w:type="lines" w:linePitch="312" w:charSpace="0"/>
        </w:sectPr>
      </w:pPr>
      <w:r>
        <w:rPr>
          <w:rFonts w:hint="eastAsia"/>
          <w:sz w:val="30"/>
          <w:szCs w:val="30"/>
        </w:rPr>
        <w:t xml:space="preserve">       考核人签字：                                             考核日期： 2018年  月  日</w:t>
      </w:r>
    </w:p>
    <w:p>
      <w:pPr>
        <w:rPr>
          <w:rFonts w:ascii="Times New Roman" w:hAnsi="Times New Roman"/>
          <w:sz w:val="44"/>
          <w:szCs w:val="44"/>
          <w:highlight w:val="yellow"/>
        </w:rPr>
      </w:pPr>
    </w:p>
    <w:p>
      <w:pPr>
        <w:rPr>
          <w:rFonts w:ascii="Times New Roman" w:hAnsi="Times New Roman"/>
          <w:sz w:val="44"/>
          <w:szCs w:val="44"/>
          <w:highlight w:val="yellow"/>
        </w:rPr>
      </w:pPr>
    </w:p>
    <w:p>
      <w:pPr>
        <w:pStyle w:val="18"/>
        <w:spacing w:before="0" w:after="0" w:line="400" w:lineRule="atLeast"/>
        <w:rPr>
          <w:rFonts w:ascii="Times New Roman" w:hAnsi="Times New Roman"/>
          <w:sz w:val="44"/>
          <w:szCs w:val="44"/>
          <w:highlight w:val="none"/>
        </w:rPr>
      </w:pPr>
      <w:r>
        <w:rPr>
          <w:rFonts w:ascii="Times New Roman" w:hAnsi="Times New Roman"/>
          <w:sz w:val="44"/>
          <w:szCs w:val="44"/>
          <w:highlight w:val="none"/>
        </w:rPr>
        <w:t>第四部分 合同样本</w:t>
      </w:r>
      <w:bookmarkEnd w:id="12"/>
    </w:p>
    <w:p>
      <w:pPr>
        <w:widowControl/>
        <w:overflowPunct w:val="0"/>
        <w:autoSpaceDE w:val="0"/>
        <w:autoSpaceDN w:val="0"/>
        <w:adjustRightInd w:val="0"/>
        <w:snapToGrid w:val="0"/>
        <w:spacing w:line="400" w:lineRule="atLeast"/>
        <w:jc w:val="left"/>
        <w:textAlignment w:val="baseline"/>
        <w:rPr>
          <w:rFonts w:hint="eastAsia"/>
          <w:color w:val="000000"/>
          <w:kern w:val="0"/>
          <w:sz w:val="24"/>
          <w:highlight w:val="none"/>
        </w:rPr>
      </w:pPr>
      <w:r>
        <w:rPr>
          <w:rFonts w:hint="eastAsia"/>
          <w:color w:val="000000"/>
          <w:kern w:val="0"/>
          <w:sz w:val="24"/>
          <w:highlight w:val="none"/>
        </w:rPr>
        <w:t>甲方：（买方）</w:t>
      </w:r>
    </w:p>
    <w:p>
      <w:pPr>
        <w:widowControl/>
        <w:overflowPunct w:val="0"/>
        <w:autoSpaceDE w:val="0"/>
        <w:autoSpaceDN w:val="0"/>
        <w:adjustRightInd w:val="0"/>
        <w:snapToGrid w:val="0"/>
        <w:spacing w:line="400" w:lineRule="atLeast"/>
        <w:jc w:val="left"/>
        <w:textAlignment w:val="baseline"/>
        <w:rPr>
          <w:rFonts w:hint="eastAsia"/>
          <w:color w:val="000000"/>
          <w:kern w:val="0"/>
          <w:sz w:val="24"/>
          <w:highlight w:val="none"/>
        </w:rPr>
      </w:pPr>
      <w:r>
        <w:rPr>
          <w:rFonts w:hint="eastAsia"/>
          <w:color w:val="000000"/>
          <w:kern w:val="0"/>
          <w:sz w:val="24"/>
          <w:highlight w:val="none"/>
        </w:rPr>
        <w:t>乙方：（卖方）</w:t>
      </w:r>
    </w:p>
    <w:p>
      <w:pPr>
        <w:widowControl/>
        <w:overflowPunct w:val="0"/>
        <w:autoSpaceDE w:val="0"/>
        <w:autoSpaceDN w:val="0"/>
        <w:adjustRightInd w:val="0"/>
        <w:snapToGrid w:val="0"/>
        <w:spacing w:line="400" w:lineRule="atLeast"/>
        <w:jc w:val="left"/>
        <w:textAlignment w:val="baseline"/>
        <w:rPr>
          <w:rFonts w:hint="eastAsia"/>
          <w:color w:val="000000"/>
          <w:kern w:val="0"/>
          <w:sz w:val="24"/>
          <w:highlight w:val="none"/>
        </w:rPr>
      </w:pPr>
      <w:r>
        <w:rPr>
          <w:rFonts w:hint="eastAsia"/>
          <w:color w:val="000000"/>
          <w:kern w:val="0"/>
          <w:sz w:val="24"/>
          <w:highlight w:val="none"/>
        </w:rPr>
        <w:t>鉴证方：</w:t>
      </w:r>
    </w:p>
    <w:p>
      <w:pPr>
        <w:widowControl/>
        <w:overflowPunct w:val="0"/>
        <w:autoSpaceDE w:val="0"/>
        <w:autoSpaceDN w:val="0"/>
        <w:adjustRightInd w:val="0"/>
        <w:snapToGrid w:val="0"/>
        <w:spacing w:line="400" w:lineRule="atLeast"/>
        <w:jc w:val="left"/>
        <w:textAlignment w:val="baseline"/>
        <w:rPr>
          <w:rFonts w:hint="eastAsia"/>
          <w:b/>
          <w:color w:val="000000"/>
          <w:kern w:val="0"/>
          <w:sz w:val="24"/>
          <w:highlight w:val="none"/>
        </w:rPr>
      </w:pPr>
      <w:r>
        <w:rPr>
          <w:rFonts w:hint="eastAsia"/>
          <w:b/>
          <w:color w:val="000000"/>
          <w:kern w:val="0"/>
          <w:sz w:val="24"/>
          <w:highlight w:val="none"/>
        </w:rPr>
        <w:t xml:space="preserve">   </w:t>
      </w:r>
      <w:r>
        <w:rPr>
          <w:rFonts w:hint="eastAsia"/>
          <w:color w:val="000000"/>
          <w:kern w:val="0"/>
          <w:sz w:val="24"/>
          <w:highlight w:val="none"/>
        </w:rPr>
        <w:t>甲、乙双方根据</w:t>
      </w:r>
      <w:r>
        <w:rPr>
          <w:rFonts w:hint="eastAsia"/>
          <w:color w:val="000000"/>
          <w:kern w:val="0"/>
          <w:sz w:val="24"/>
          <w:highlight w:val="none"/>
          <w:u w:val="single"/>
        </w:rPr>
        <w:t xml:space="preserve">                  </w:t>
      </w:r>
      <w:r>
        <w:rPr>
          <w:rFonts w:hint="eastAsia"/>
          <w:color w:val="000000"/>
          <w:kern w:val="0"/>
          <w:sz w:val="24"/>
          <w:highlight w:val="none"/>
        </w:rPr>
        <w:t>项目（项目编号： ）公开招标的结果，签署本合同。</w:t>
      </w:r>
    </w:p>
    <w:p>
      <w:pPr>
        <w:numPr>
          <w:ilvl w:val="0"/>
          <w:numId w:val="15"/>
        </w:numPr>
        <w:spacing w:after="78" w:afterLines="25" w:line="400" w:lineRule="atLeast"/>
        <w:rPr>
          <w:rFonts w:hint="eastAsia"/>
          <w:color w:val="000000"/>
          <w:sz w:val="24"/>
          <w:highlight w:val="none"/>
        </w:rPr>
      </w:pPr>
      <w:r>
        <w:rPr>
          <w:rFonts w:hint="eastAsia"/>
          <w:color w:val="000000"/>
          <w:sz w:val="24"/>
          <w:highlight w:val="none"/>
        </w:rPr>
        <w:t>项目的名称，项目所包含招标内容的清单(名称、数量、单价等)</w:t>
      </w:r>
    </w:p>
    <w:p>
      <w:pPr>
        <w:numPr>
          <w:ilvl w:val="1"/>
          <w:numId w:val="15"/>
        </w:numPr>
        <w:spacing w:after="78" w:afterLines="25" w:line="400" w:lineRule="atLeast"/>
        <w:rPr>
          <w:rFonts w:hint="eastAsia"/>
          <w:color w:val="000000"/>
          <w:sz w:val="24"/>
          <w:highlight w:val="none"/>
        </w:rPr>
      </w:pPr>
      <w:r>
        <w:rPr>
          <w:rFonts w:hint="eastAsia"/>
          <w:color w:val="000000"/>
          <w:sz w:val="24"/>
          <w:highlight w:val="none"/>
        </w:rPr>
        <w:t>项目名称：</w:t>
      </w:r>
    </w:p>
    <w:p>
      <w:pPr>
        <w:numPr>
          <w:ilvl w:val="1"/>
          <w:numId w:val="15"/>
        </w:numPr>
        <w:spacing w:after="78" w:afterLines="25" w:line="400" w:lineRule="atLeast"/>
        <w:rPr>
          <w:rFonts w:hint="eastAsia"/>
          <w:color w:val="000000"/>
          <w:sz w:val="24"/>
          <w:highlight w:val="none"/>
        </w:rPr>
      </w:pPr>
      <w:r>
        <w:rPr>
          <w:rFonts w:hint="eastAsia"/>
          <w:color w:val="000000"/>
          <w:sz w:val="24"/>
          <w:highlight w:val="none"/>
        </w:rPr>
        <w:t>项目内容清单：</w:t>
      </w:r>
    </w:p>
    <w:p>
      <w:pPr>
        <w:numPr>
          <w:ilvl w:val="0"/>
          <w:numId w:val="15"/>
        </w:numPr>
        <w:spacing w:after="78" w:afterLines="25" w:line="400" w:lineRule="atLeast"/>
        <w:rPr>
          <w:rFonts w:hint="eastAsia"/>
          <w:color w:val="000000"/>
          <w:sz w:val="24"/>
          <w:highlight w:val="none"/>
        </w:rPr>
      </w:pPr>
      <w:r>
        <w:rPr>
          <w:rFonts w:hint="eastAsia"/>
          <w:color w:val="000000"/>
          <w:sz w:val="24"/>
          <w:highlight w:val="none"/>
        </w:rPr>
        <w:t>绿化养护服务及损害赔偿</w:t>
      </w:r>
    </w:p>
    <w:p>
      <w:pPr>
        <w:spacing w:line="400" w:lineRule="atLeast"/>
        <w:ind w:firstLine="480" w:firstLineChars="200"/>
        <w:rPr>
          <w:rFonts w:hint="eastAsia"/>
          <w:color w:val="000000"/>
          <w:sz w:val="24"/>
          <w:highlight w:val="none"/>
        </w:rPr>
      </w:pPr>
      <w:r>
        <w:rPr>
          <w:rFonts w:hint="eastAsia"/>
          <w:color w:val="000000"/>
          <w:sz w:val="24"/>
          <w:highlight w:val="none"/>
        </w:rPr>
        <w:t>按招标文件和乙方投标文件技术标准执行。乙方需要提供所投项目二年绿化养护服务，如因乙方的绿化服务原因，导致甲方受损，乙方应予以赔偿。</w:t>
      </w:r>
    </w:p>
    <w:p>
      <w:pPr>
        <w:numPr>
          <w:ilvl w:val="0"/>
          <w:numId w:val="15"/>
        </w:numPr>
        <w:spacing w:after="78" w:afterLines="25" w:line="400" w:lineRule="atLeast"/>
        <w:rPr>
          <w:rFonts w:hint="eastAsia"/>
          <w:color w:val="000000"/>
          <w:sz w:val="24"/>
          <w:highlight w:val="none"/>
        </w:rPr>
      </w:pPr>
      <w:r>
        <w:rPr>
          <w:rFonts w:hint="eastAsia"/>
          <w:color w:val="000000"/>
          <w:sz w:val="24"/>
          <w:highlight w:val="none"/>
        </w:rPr>
        <w:t xml:space="preserve"> 服务和验收</w:t>
      </w:r>
    </w:p>
    <w:p>
      <w:pPr>
        <w:numPr>
          <w:ilvl w:val="1"/>
          <w:numId w:val="15"/>
        </w:numPr>
        <w:spacing w:after="78" w:afterLines="25" w:line="400" w:lineRule="atLeast"/>
        <w:rPr>
          <w:rFonts w:hint="eastAsia"/>
          <w:color w:val="000000"/>
          <w:sz w:val="24"/>
          <w:highlight w:val="none"/>
        </w:rPr>
      </w:pPr>
      <w:r>
        <w:rPr>
          <w:rFonts w:hint="eastAsia"/>
          <w:color w:val="000000"/>
          <w:sz w:val="24"/>
          <w:highlight w:val="none"/>
        </w:rPr>
        <w:t>根据招标文件中规定的服务时间和服务地点；</w:t>
      </w:r>
    </w:p>
    <w:p>
      <w:pPr>
        <w:numPr>
          <w:ilvl w:val="1"/>
          <w:numId w:val="15"/>
        </w:numPr>
        <w:spacing w:after="78" w:afterLines="25" w:line="400" w:lineRule="atLeast"/>
        <w:rPr>
          <w:rFonts w:hint="eastAsia"/>
          <w:color w:val="000000"/>
          <w:sz w:val="24"/>
          <w:highlight w:val="none"/>
        </w:rPr>
      </w:pPr>
      <w:r>
        <w:rPr>
          <w:rFonts w:hint="eastAsia"/>
          <w:color w:val="000000"/>
          <w:sz w:val="24"/>
          <w:highlight w:val="none"/>
        </w:rPr>
        <w:t>验收方式：乙方负责工作安排；甲方派有经验的人员检查其绿化服务质量和指标。</w:t>
      </w:r>
    </w:p>
    <w:p>
      <w:pPr>
        <w:numPr>
          <w:ilvl w:val="1"/>
          <w:numId w:val="15"/>
        </w:numPr>
        <w:spacing w:after="78" w:afterLines="25" w:line="400" w:lineRule="atLeast"/>
        <w:rPr>
          <w:rFonts w:hint="eastAsia"/>
          <w:color w:val="000000"/>
          <w:sz w:val="24"/>
          <w:highlight w:val="none"/>
        </w:rPr>
      </w:pPr>
      <w:r>
        <w:rPr>
          <w:rFonts w:hint="eastAsia"/>
          <w:color w:val="000000"/>
          <w:sz w:val="24"/>
          <w:highlight w:val="none"/>
        </w:rPr>
        <w:t>验收方法：按照招标书的规定进行测试验收。</w:t>
      </w:r>
    </w:p>
    <w:p>
      <w:pPr>
        <w:spacing w:line="400" w:lineRule="atLeast"/>
        <w:rPr>
          <w:rFonts w:hint="eastAsia"/>
          <w:color w:val="000000"/>
          <w:sz w:val="24"/>
          <w:highlight w:val="none"/>
        </w:rPr>
      </w:pPr>
      <w:r>
        <w:rPr>
          <w:rFonts w:hint="eastAsia"/>
          <w:color w:val="000000"/>
          <w:sz w:val="24"/>
          <w:highlight w:val="none"/>
        </w:rPr>
        <w:t>第四条 履约保证金</w:t>
      </w:r>
    </w:p>
    <w:p>
      <w:pPr>
        <w:adjustRightInd w:val="0"/>
        <w:snapToGrid w:val="0"/>
        <w:spacing w:line="400" w:lineRule="atLeast"/>
        <w:ind w:firstLine="470" w:firstLineChars="196"/>
        <w:rPr>
          <w:rFonts w:hint="eastAsia"/>
          <w:color w:val="000000"/>
          <w:kern w:val="0"/>
          <w:sz w:val="24"/>
          <w:highlight w:val="none"/>
        </w:rPr>
      </w:pPr>
      <w:r>
        <w:rPr>
          <w:rFonts w:hint="eastAsia"/>
          <w:color w:val="000000"/>
          <w:kern w:val="0"/>
          <w:sz w:val="24"/>
          <w:highlight w:val="none"/>
        </w:rPr>
        <w:t>在合同签订前，由中标单位向采购人缴纳</w:t>
      </w:r>
      <w:r>
        <w:rPr>
          <w:rFonts w:hint="eastAsia"/>
          <w:color w:val="000000"/>
          <w:sz w:val="24"/>
          <w:highlight w:val="none"/>
        </w:rPr>
        <w:t>中标总额10</w:t>
      </w:r>
      <w:r>
        <w:rPr>
          <w:rFonts w:hint="eastAsia"/>
          <w:color w:val="000000"/>
          <w:kern w:val="0"/>
          <w:sz w:val="24"/>
          <w:highlight w:val="none"/>
        </w:rPr>
        <w:t>%的履约保证金，</w:t>
      </w:r>
      <w:r>
        <w:rPr>
          <w:rFonts w:hint="eastAsia"/>
          <w:color w:val="000000"/>
          <w:sz w:val="24"/>
          <w:highlight w:val="none"/>
        </w:rPr>
        <w:t>在合同到期后30天内，经采购人考核合格后退还全部保证金（本履约保证金不计息）。如在合同期限内，采购人终止合同的，履约保证金不予归还。在合同期内如因中标单位养护原因造成采购人损失的，采购人有权酌情扣去一定的履约保证金作为赔偿金。</w:t>
      </w:r>
    </w:p>
    <w:p>
      <w:pPr>
        <w:numPr>
          <w:ilvl w:val="0"/>
          <w:numId w:val="16"/>
        </w:numPr>
        <w:spacing w:after="78" w:afterLines="25" w:line="400" w:lineRule="atLeast"/>
        <w:rPr>
          <w:rFonts w:hint="eastAsia"/>
          <w:color w:val="000000"/>
          <w:sz w:val="24"/>
          <w:highlight w:val="none"/>
        </w:rPr>
      </w:pPr>
      <w:r>
        <w:rPr>
          <w:rFonts w:hint="eastAsia"/>
          <w:color w:val="000000"/>
          <w:sz w:val="24"/>
          <w:highlight w:val="none"/>
        </w:rPr>
        <w:t>项目费用及付款方式</w:t>
      </w:r>
    </w:p>
    <w:p>
      <w:pPr>
        <w:spacing w:line="400" w:lineRule="atLeast"/>
        <w:ind w:left="420"/>
        <w:rPr>
          <w:rFonts w:hint="eastAsia"/>
          <w:color w:val="000000"/>
          <w:sz w:val="24"/>
          <w:highlight w:val="none"/>
        </w:rPr>
      </w:pPr>
      <w:r>
        <w:rPr>
          <w:rFonts w:hint="eastAsia"/>
          <w:color w:val="000000"/>
          <w:sz w:val="24"/>
          <w:highlight w:val="none"/>
        </w:rPr>
        <w:t>1、费用计算</w:t>
      </w:r>
    </w:p>
    <w:p>
      <w:pPr>
        <w:spacing w:line="400" w:lineRule="atLeast"/>
        <w:ind w:left="420"/>
        <w:rPr>
          <w:rFonts w:hint="eastAsia"/>
          <w:color w:val="000000"/>
          <w:sz w:val="24"/>
          <w:highlight w:val="none"/>
        </w:rPr>
      </w:pPr>
      <w:r>
        <w:rPr>
          <w:rFonts w:hint="eastAsia"/>
          <w:color w:val="000000"/>
          <w:sz w:val="24"/>
          <w:highlight w:val="none"/>
        </w:rPr>
        <w:t xml:space="preserve">投标总报价作为合同价，共计人民币            元(大写：           )；其中日常养护费为合同价的70%，人民币        元(大写：           )； </w:t>
      </w:r>
    </w:p>
    <w:p>
      <w:pPr>
        <w:spacing w:line="400" w:lineRule="atLeast"/>
        <w:ind w:left="420"/>
        <w:rPr>
          <w:rFonts w:hint="eastAsia"/>
          <w:color w:val="000000"/>
          <w:sz w:val="24"/>
          <w:highlight w:val="none"/>
        </w:rPr>
      </w:pPr>
      <w:r>
        <w:rPr>
          <w:rFonts w:hint="eastAsia"/>
          <w:color w:val="000000"/>
          <w:sz w:val="24"/>
          <w:highlight w:val="none"/>
        </w:rPr>
        <w:t>绿化更新改造费为合同价的30%，人民币      元(大写：           )。</w:t>
      </w:r>
    </w:p>
    <w:p>
      <w:pPr>
        <w:spacing w:line="400" w:lineRule="atLeast"/>
        <w:ind w:left="420"/>
        <w:rPr>
          <w:rFonts w:hint="eastAsia"/>
          <w:color w:val="000000"/>
          <w:sz w:val="24"/>
          <w:highlight w:val="none"/>
        </w:rPr>
      </w:pPr>
      <w:r>
        <w:rPr>
          <w:rFonts w:hint="eastAsia"/>
          <w:color w:val="000000"/>
          <w:sz w:val="24"/>
          <w:highlight w:val="none"/>
        </w:rPr>
        <w:t>2、付款方式</w:t>
      </w:r>
    </w:p>
    <w:p>
      <w:pPr>
        <w:widowControl/>
        <w:adjustRightInd w:val="0"/>
        <w:snapToGrid w:val="0"/>
        <w:spacing w:line="400" w:lineRule="atLeast"/>
        <w:ind w:firstLine="482" w:firstLineChars="200"/>
        <w:jc w:val="left"/>
        <w:rPr>
          <w:rFonts w:hint="eastAsia"/>
          <w:color w:val="000000"/>
          <w:sz w:val="24"/>
          <w:highlight w:val="none"/>
        </w:rPr>
      </w:pPr>
      <w:r>
        <w:rPr>
          <w:rFonts w:hint="eastAsia"/>
          <w:b/>
          <w:color w:val="000000"/>
          <w:sz w:val="24"/>
          <w:highlight w:val="none"/>
        </w:rPr>
        <w:t>绿化养护费总价</w:t>
      </w:r>
      <w:r>
        <w:rPr>
          <w:rFonts w:hint="eastAsia"/>
          <w:color w:val="000000"/>
          <w:kern w:val="0"/>
          <w:sz w:val="24"/>
          <w:highlight w:val="none"/>
        </w:rPr>
        <w:t>的70%属于</w:t>
      </w:r>
      <w:r>
        <w:rPr>
          <w:rFonts w:hint="eastAsia"/>
          <w:b/>
          <w:color w:val="000000"/>
          <w:kern w:val="0"/>
          <w:sz w:val="24"/>
          <w:highlight w:val="none"/>
        </w:rPr>
        <w:t>日常绿化养护费</w:t>
      </w:r>
      <w:r>
        <w:rPr>
          <w:rFonts w:hint="eastAsia"/>
          <w:color w:val="000000"/>
          <w:kern w:val="0"/>
          <w:sz w:val="24"/>
          <w:highlight w:val="none"/>
        </w:rPr>
        <w:t>、其余的30%作为</w:t>
      </w:r>
      <w:r>
        <w:rPr>
          <w:rFonts w:hint="eastAsia"/>
          <w:b/>
          <w:color w:val="000000"/>
          <w:sz w:val="24"/>
          <w:highlight w:val="none"/>
        </w:rPr>
        <w:t>绿化养护中的更新改造费</w:t>
      </w:r>
      <w:r>
        <w:rPr>
          <w:rFonts w:hint="eastAsia"/>
          <w:color w:val="000000"/>
          <w:sz w:val="24"/>
          <w:highlight w:val="none"/>
        </w:rPr>
        <w:t>。</w:t>
      </w:r>
    </w:p>
    <w:p>
      <w:pPr>
        <w:widowControl/>
        <w:adjustRightInd w:val="0"/>
        <w:snapToGrid w:val="0"/>
        <w:spacing w:line="400" w:lineRule="atLeast"/>
        <w:ind w:firstLine="480" w:firstLineChars="200"/>
        <w:jc w:val="left"/>
        <w:rPr>
          <w:rFonts w:hint="eastAsia"/>
          <w:color w:val="000000"/>
          <w:sz w:val="24"/>
          <w:highlight w:val="none"/>
        </w:rPr>
      </w:pPr>
      <w:r>
        <w:rPr>
          <w:rFonts w:hint="eastAsia"/>
          <w:color w:val="000000"/>
          <w:kern w:val="0"/>
          <w:sz w:val="24"/>
          <w:highlight w:val="none"/>
        </w:rPr>
        <w:t>（1）日常绿化养护费</w:t>
      </w:r>
      <w:r>
        <w:rPr>
          <w:rFonts w:hint="eastAsia"/>
          <w:b/>
          <w:color w:val="000000"/>
          <w:kern w:val="0"/>
          <w:sz w:val="24"/>
          <w:highlight w:val="none"/>
        </w:rPr>
        <w:t>：</w:t>
      </w:r>
      <w:r>
        <w:rPr>
          <w:rFonts w:hint="eastAsia"/>
          <w:color w:val="000000"/>
          <w:kern w:val="0"/>
          <w:sz w:val="24"/>
          <w:highlight w:val="none"/>
        </w:rPr>
        <w:t>一般养护期限为三个月（季度）支付一次日常绿化养护款。</w:t>
      </w:r>
      <w:r>
        <w:rPr>
          <w:rFonts w:hint="eastAsia"/>
          <w:color w:val="000000"/>
          <w:sz w:val="24"/>
          <w:highlight w:val="none"/>
        </w:rPr>
        <w:t>待完成移交并合同签署生效后，养护企业进场养护90天后，经采购人对养护绿地进行考核，采购人向中标单位支付首付20%的日常绿化养护费，以后每季度经采购人考核后，每次支付10%的当季日常绿化养护费，直至所付日常绿化养护费的90%止，剩余10%日常绿化养护费在合同期满，经考核验收合格后30日内付清。</w:t>
      </w:r>
    </w:p>
    <w:p>
      <w:pPr>
        <w:widowControl/>
        <w:adjustRightInd w:val="0"/>
        <w:snapToGrid w:val="0"/>
        <w:spacing w:line="400" w:lineRule="atLeast"/>
        <w:ind w:firstLine="480" w:firstLineChars="200"/>
        <w:jc w:val="left"/>
        <w:rPr>
          <w:rFonts w:hint="eastAsia"/>
          <w:color w:val="000000"/>
          <w:sz w:val="24"/>
          <w:highlight w:val="none"/>
        </w:rPr>
      </w:pPr>
      <w:r>
        <w:rPr>
          <w:rFonts w:hint="eastAsia"/>
          <w:color w:val="000000"/>
          <w:kern w:val="0"/>
          <w:sz w:val="24"/>
          <w:highlight w:val="none"/>
        </w:rPr>
        <w:t>采购人对季度考核合格及以上的养护企业，</w:t>
      </w:r>
      <w:r>
        <w:rPr>
          <w:rFonts w:hint="eastAsia"/>
          <w:color w:val="000000"/>
          <w:sz w:val="24"/>
          <w:highlight w:val="none"/>
        </w:rPr>
        <w:t>并无单项（日常检查、专项考核、杭州市“双最”考核等）扣款的，采购人应</w:t>
      </w:r>
      <w:r>
        <w:rPr>
          <w:rFonts w:hint="eastAsia"/>
          <w:color w:val="000000"/>
          <w:kern w:val="0"/>
          <w:sz w:val="24"/>
          <w:highlight w:val="none"/>
        </w:rPr>
        <w:t>全额支付当季养护经费</w:t>
      </w:r>
      <w:r>
        <w:rPr>
          <w:rFonts w:hint="eastAsia"/>
          <w:color w:val="000000"/>
          <w:sz w:val="24"/>
          <w:highlight w:val="none"/>
        </w:rPr>
        <w:t>；得分在90分以下，每下降1分扣除当季度养护款的2%，其中涉及单项（日常检查、专项考核、杭州市“双最”考核等）扣款的，在当季养护款中一并扣除。</w:t>
      </w:r>
    </w:p>
    <w:p>
      <w:pPr>
        <w:spacing w:line="400" w:lineRule="atLeast"/>
        <w:ind w:firstLine="480" w:firstLineChars="200"/>
        <w:rPr>
          <w:rFonts w:hint="eastAsia"/>
          <w:b/>
          <w:color w:val="000000"/>
          <w:sz w:val="24"/>
          <w:highlight w:val="none"/>
        </w:rPr>
      </w:pPr>
      <w:r>
        <w:rPr>
          <w:rFonts w:hint="eastAsia"/>
          <w:color w:val="000000"/>
          <w:sz w:val="24"/>
          <w:highlight w:val="none"/>
        </w:rPr>
        <w:t>（2）</w:t>
      </w:r>
      <w:r>
        <w:rPr>
          <w:rFonts w:hint="eastAsia"/>
          <w:b/>
          <w:color w:val="000000"/>
          <w:sz w:val="24"/>
          <w:highlight w:val="none"/>
        </w:rPr>
        <w:t>绿化养护中的更新改造费：</w:t>
      </w:r>
    </w:p>
    <w:p>
      <w:pPr>
        <w:spacing w:line="400" w:lineRule="atLeast"/>
        <w:ind w:firstLine="480" w:firstLineChars="200"/>
        <w:rPr>
          <w:rFonts w:hint="eastAsia"/>
          <w:color w:val="000000"/>
          <w:sz w:val="24"/>
          <w:highlight w:val="none"/>
        </w:rPr>
      </w:pPr>
      <w:r>
        <w:rPr>
          <w:rFonts w:hint="eastAsia" w:ascii="宋体" w:hAnsi="宋体" w:cs="宋体"/>
          <w:color w:val="000000"/>
          <w:sz w:val="24"/>
          <w:highlight w:val="none"/>
        </w:rPr>
        <w:t>①</w:t>
      </w:r>
      <w:r>
        <w:rPr>
          <w:rFonts w:hint="eastAsia"/>
          <w:color w:val="000000"/>
          <w:sz w:val="24"/>
          <w:highlight w:val="none"/>
        </w:rPr>
        <w:t>每一期改造竣工验收后，由采购人送审计部门进行审计，并按最终审计价支付。若更新改造费尾款低于2万以内，无法送审的，且中标单位已经完成改造任务的，采购人可以通过双方签订零星改造协议、并经采购人验收合格后，按照决算价下浮15%后进行支付。</w:t>
      </w:r>
    </w:p>
    <w:p>
      <w:pPr>
        <w:spacing w:line="400" w:lineRule="atLeast"/>
        <w:ind w:firstLine="480" w:firstLineChars="200"/>
        <w:rPr>
          <w:rFonts w:hint="eastAsia"/>
          <w:color w:val="000000"/>
          <w:sz w:val="24"/>
          <w:highlight w:val="none"/>
        </w:rPr>
      </w:pPr>
      <w:r>
        <w:rPr>
          <w:rFonts w:hint="eastAsia" w:ascii="宋体" w:hAnsi="宋体" w:cs="宋体"/>
          <w:color w:val="000000"/>
          <w:sz w:val="24"/>
          <w:highlight w:val="none"/>
        </w:rPr>
        <w:t>②</w:t>
      </w:r>
      <w:r>
        <w:rPr>
          <w:rFonts w:hint="eastAsia"/>
          <w:color w:val="000000"/>
          <w:sz w:val="24"/>
          <w:highlight w:val="none"/>
        </w:rPr>
        <w:t>若改造工程中涉及基本审计费，经采购人审核同意后支付。</w:t>
      </w:r>
    </w:p>
    <w:p>
      <w:pPr>
        <w:spacing w:line="400" w:lineRule="atLeast"/>
        <w:ind w:firstLine="480" w:firstLineChars="200"/>
        <w:rPr>
          <w:rFonts w:hint="eastAsia"/>
          <w:color w:val="000000"/>
          <w:sz w:val="24"/>
          <w:highlight w:val="none"/>
        </w:rPr>
      </w:pPr>
      <w:r>
        <w:rPr>
          <w:rFonts w:hint="eastAsia" w:ascii="宋体" w:hAnsi="宋体" w:cs="宋体"/>
          <w:color w:val="000000"/>
          <w:sz w:val="24"/>
          <w:highlight w:val="none"/>
        </w:rPr>
        <w:t>③</w:t>
      </w:r>
      <w:r>
        <w:rPr>
          <w:rFonts w:hint="eastAsia"/>
          <w:color w:val="000000"/>
          <w:sz w:val="24"/>
          <w:highlight w:val="none"/>
        </w:rPr>
        <w:t>绿化养护中的更新改造费超出的，由中标单位自行承担。</w:t>
      </w:r>
    </w:p>
    <w:p>
      <w:pPr>
        <w:spacing w:line="400" w:lineRule="atLeast"/>
        <w:rPr>
          <w:rFonts w:hint="eastAsia"/>
          <w:color w:val="000000"/>
          <w:sz w:val="24"/>
          <w:highlight w:val="none"/>
        </w:rPr>
      </w:pPr>
      <w:r>
        <w:rPr>
          <w:rFonts w:hint="eastAsia"/>
          <w:color w:val="000000"/>
          <w:sz w:val="24"/>
          <w:highlight w:val="none"/>
        </w:rPr>
        <w:t>第六条对服务异议的解决办法</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甲方在服务期内，如果发现有关绿化服务不合格，应在30日内向乙方提出书面异议；甲方怠于通知或者自验收之日起三个月未通知乙方，视为服务合乎规定；</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乙方在接到甲方书面异议后，应在10天内负责处理，否则，集视为默认甲方提出的异议和处理意见。</w:t>
      </w:r>
    </w:p>
    <w:p>
      <w:pPr>
        <w:numPr>
          <w:ilvl w:val="0"/>
          <w:numId w:val="17"/>
        </w:numPr>
        <w:spacing w:after="78" w:afterLines="25" w:line="400" w:lineRule="atLeast"/>
        <w:rPr>
          <w:rFonts w:hint="eastAsia"/>
          <w:color w:val="000000"/>
          <w:sz w:val="24"/>
          <w:highlight w:val="none"/>
        </w:rPr>
      </w:pPr>
      <w:r>
        <w:rPr>
          <w:rFonts w:hint="eastAsia"/>
          <w:color w:val="000000"/>
          <w:sz w:val="24"/>
          <w:highlight w:val="none"/>
        </w:rPr>
        <w:t>乙方的违约责任</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乙方逾期履行合同的或间断服务的，自逾期之日或间断服务之日起十天内，向甲方每日偿付合同总价千分之二的滞纳金；乙方逾期十天（含）以上，每天处以采购金额总价千分之五的罚款。</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乙方不能提供相应绿化服务，甲方不向乙方付款，乙方应向甲方偿付合同总额的5%作为违约金；</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乙方所提供的绿化服务质量不符合合同规定的，由乙方负全责，并承担实际费用，或由于乙方所提供的服务不能满足要求时，由乙方负责重新绿化养护，甲方有权终止合同，并向甲方偿付合同总额的5%作为违约金；</w:t>
      </w:r>
    </w:p>
    <w:p>
      <w:pPr>
        <w:numPr>
          <w:ilvl w:val="0"/>
          <w:numId w:val="17"/>
        </w:numPr>
        <w:spacing w:after="78" w:afterLines="25" w:line="400" w:lineRule="atLeast"/>
        <w:rPr>
          <w:rFonts w:hint="eastAsia"/>
          <w:color w:val="000000"/>
          <w:sz w:val="24"/>
          <w:highlight w:val="none"/>
        </w:rPr>
      </w:pPr>
      <w:r>
        <w:rPr>
          <w:rFonts w:hint="eastAsia"/>
          <w:color w:val="000000"/>
          <w:sz w:val="24"/>
          <w:highlight w:val="none"/>
        </w:rPr>
        <w:t>甲方的违约责任</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甲方逾期付款的，每天应向乙方偿付合同总额的千分之五作为违约金；</w:t>
      </w:r>
    </w:p>
    <w:p>
      <w:pPr>
        <w:numPr>
          <w:ilvl w:val="1"/>
          <w:numId w:val="17"/>
        </w:numPr>
        <w:spacing w:after="78" w:afterLines="25" w:line="400" w:lineRule="atLeast"/>
        <w:rPr>
          <w:rFonts w:hint="eastAsia"/>
          <w:color w:val="000000"/>
          <w:sz w:val="24"/>
          <w:highlight w:val="none"/>
        </w:rPr>
      </w:pPr>
      <w:r>
        <w:rPr>
          <w:rFonts w:hint="eastAsia"/>
          <w:color w:val="000000"/>
          <w:sz w:val="24"/>
          <w:highlight w:val="none"/>
        </w:rPr>
        <w:t>甲方违反合同规定拒绝绿化服务的，应承担乙方因此而造成的损失费用。</w:t>
      </w:r>
    </w:p>
    <w:p>
      <w:pPr>
        <w:numPr>
          <w:ilvl w:val="0"/>
          <w:numId w:val="17"/>
        </w:numPr>
        <w:spacing w:after="78" w:afterLines="25" w:line="400" w:lineRule="atLeast"/>
        <w:rPr>
          <w:rFonts w:hint="eastAsia"/>
          <w:color w:val="000000"/>
          <w:sz w:val="24"/>
          <w:highlight w:val="none"/>
        </w:rPr>
      </w:pPr>
      <w:r>
        <w:rPr>
          <w:rFonts w:hint="eastAsia"/>
          <w:color w:val="000000"/>
          <w:sz w:val="24"/>
          <w:highlight w:val="none"/>
        </w:rPr>
        <w:t>不可抗力</w:t>
      </w:r>
    </w:p>
    <w:p>
      <w:pPr>
        <w:spacing w:line="400" w:lineRule="atLeast"/>
        <w:ind w:firstLine="570"/>
        <w:rPr>
          <w:rFonts w:hint="eastAsia"/>
          <w:color w:val="000000"/>
          <w:sz w:val="24"/>
          <w:highlight w:val="none"/>
        </w:rPr>
      </w:pPr>
      <w:r>
        <w:rPr>
          <w:rFonts w:hint="eastAsia"/>
          <w:color w:val="000000"/>
          <w:sz w:val="24"/>
          <w:highlight w:val="none"/>
        </w:rPr>
        <w:t>甲乙双方任何一方由于不可抗力原因不能履行合同，应及时向对方通报不能履行或不能完全履行的理由，以减轻给对方造成的损失，在取得有关机构证明后，不应该被没收履约保证金，也不应该承担误期赔偿或终止合同的责任。</w:t>
      </w:r>
    </w:p>
    <w:p>
      <w:pPr>
        <w:autoSpaceDE w:val="0"/>
        <w:autoSpaceDN w:val="0"/>
        <w:adjustRightInd w:val="0"/>
        <w:spacing w:line="400" w:lineRule="atLeast"/>
        <w:jc w:val="left"/>
        <w:rPr>
          <w:color w:val="000000"/>
          <w:sz w:val="24"/>
          <w:highlight w:val="none"/>
        </w:rPr>
      </w:pPr>
      <w:r>
        <w:rPr>
          <w:rFonts w:hint="eastAsia"/>
          <w:color w:val="000000"/>
          <w:sz w:val="24"/>
          <w:highlight w:val="none"/>
        </w:rPr>
        <w:t>第九条 适用法律：本合同应按照中华人民共和国的法律进行解释。</w:t>
      </w:r>
    </w:p>
    <w:p>
      <w:pPr>
        <w:autoSpaceDE w:val="0"/>
        <w:autoSpaceDN w:val="0"/>
        <w:adjustRightInd w:val="0"/>
        <w:spacing w:line="400" w:lineRule="atLeast"/>
        <w:jc w:val="left"/>
        <w:rPr>
          <w:color w:val="000000"/>
          <w:sz w:val="24"/>
          <w:highlight w:val="none"/>
        </w:rPr>
      </w:pPr>
      <w:r>
        <w:rPr>
          <w:rFonts w:hint="eastAsia"/>
          <w:color w:val="000000"/>
          <w:sz w:val="24"/>
          <w:highlight w:val="none"/>
        </w:rPr>
        <w:t>第十条 争议处理</w:t>
      </w:r>
    </w:p>
    <w:p>
      <w:pPr>
        <w:autoSpaceDE w:val="0"/>
        <w:autoSpaceDN w:val="0"/>
        <w:adjustRightInd w:val="0"/>
        <w:spacing w:line="400" w:lineRule="atLeast"/>
        <w:ind w:firstLine="720" w:firstLineChars="300"/>
        <w:jc w:val="left"/>
        <w:rPr>
          <w:color w:val="000000"/>
          <w:sz w:val="24"/>
          <w:highlight w:val="none"/>
        </w:rPr>
      </w:pPr>
      <w:r>
        <w:rPr>
          <w:rFonts w:hint="eastAsia"/>
          <w:color w:val="000000"/>
          <w:sz w:val="24"/>
          <w:highlight w:val="none"/>
        </w:rPr>
        <w:t>1、合同在履行过程中发生争议时，采购人与中标人及时协商解决。协商不成时，按《中华人民共和国政府采购法》的规定处理。</w:t>
      </w:r>
    </w:p>
    <w:p>
      <w:pPr>
        <w:tabs>
          <w:tab w:val="left" w:pos="0"/>
        </w:tabs>
        <w:autoSpaceDE w:val="0"/>
        <w:autoSpaceDN w:val="0"/>
        <w:adjustRightInd w:val="0"/>
        <w:spacing w:line="400" w:lineRule="atLeast"/>
        <w:ind w:firstLine="720" w:firstLineChars="300"/>
        <w:jc w:val="left"/>
        <w:rPr>
          <w:rFonts w:hint="eastAsia"/>
          <w:color w:val="000000"/>
          <w:sz w:val="24"/>
          <w:highlight w:val="none"/>
        </w:rPr>
      </w:pPr>
      <w:r>
        <w:rPr>
          <w:rFonts w:hint="eastAsia"/>
          <w:color w:val="000000"/>
          <w:sz w:val="24"/>
          <w:highlight w:val="none"/>
        </w:rPr>
        <w:t>2、对于因违反或终止合同而引起的损失、损害的赔偿，由采购人与中标人友好协商解决，经协商仍未能达成一致的，按《中华人民共和国政府采购法》的规定处理。</w:t>
      </w:r>
    </w:p>
    <w:p>
      <w:pPr>
        <w:autoSpaceDE w:val="0"/>
        <w:autoSpaceDN w:val="0"/>
        <w:adjustRightInd w:val="0"/>
        <w:spacing w:line="400" w:lineRule="atLeast"/>
        <w:rPr>
          <w:rFonts w:hint="eastAsia"/>
          <w:color w:val="000000"/>
          <w:sz w:val="24"/>
          <w:highlight w:val="none"/>
        </w:rPr>
      </w:pPr>
      <w:r>
        <w:rPr>
          <w:rFonts w:hint="eastAsia"/>
          <w:color w:val="000000"/>
          <w:sz w:val="24"/>
          <w:highlight w:val="none"/>
        </w:rPr>
        <w:t>第十一条 合同生效</w:t>
      </w:r>
    </w:p>
    <w:p>
      <w:pPr>
        <w:autoSpaceDE w:val="0"/>
        <w:autoSpaceDN w:val="0"/>
        <w:adjustRightInd w:val="0"/>
        <w:spacing w:line="400" w:lineRule="atLeast"/>
        <w:ind w:firstLine="480" w:firstLineChars="200"/>
        <w:rPr>
          <w:rFonts w:hint="eastAsia"/>
          <w:color w:val="000000"/>
          <w:sz w:val="24"/>
          <w:highlight w:val="none"/>
        </w:rPr>
      </w:pPr>
      <w:r>
        <w:rPr>
          <w:rFonts w:hint="eastAsia"/>
          <w:color w:val="000000"/>
          <w:sz w:val="24"/>
          <w:highlight w:val="none"/>
        </w:rPr>
        <w:t>1、中标方持余杭区公共资源交易中心签发的中标通知书作为与需方签订合同的凭证。</w:t>
      </w:r>
    </w:p>
    <w:p>
      <w:pPr>
        <w:widowControl/>
        <w:overflowPunct w:val="0"/>
        <w:autoSpaceDE w:val="0"/>
        <w:autoSpaceDN w:val="0"/>
        <w:adjustRightInd w:val="0"/>
        <w:snapToGrid w:val="0"/>
        <w:spacing w:line="400" w:lineRule="atLeast"/>
        <w:ind w:firstLine="410" w:firstLineChars="171"/>
        <w:jc w:val="left"/>
        <w:textAlignment w:val="baseline"/>
        <w:rPr>
          <w:rFonts w:hint="eastAsia"/>
          <w:color w:val="000000"/>
          <w:kern w:val="0"/>
          <w:sz w:val="24"/>
          <w:highlight w:val="none"/>
        </w:rPr>
      </w:pPr>
      <w:r>
        <w:rPr>
          <w:rFonts w:hint="eastAsia"/>
          <w:color w:val="000000"/>
          <w:kern w:val="0"/>
          <w:sz w:val="24"/>
          <w:highlight w:val="none"/>
        </w:rPr>
        <w:t>2、本合同经需、供双方法定代表人或其委托人签字并加盖公章，并经余杭区公共资源交易中心鉴证后生效。</w:t>
      </w:r>
    </w:p>
    <w:p>
      <w:pPr>
        <w:widowControl/>
        <w:overflowPunct w:val="0"/>
        <w:autoSpaceDE w:val="0"/>
        <w:autoSpaceDN w:val="0"/>
        <w:adjustRightInd w:val="0"/>
        <w:snapToGrid w:val="0"/>
        <w:spacing w:line="400" w:lineRule="atLeast"/>
        <w:ind w:firstLine="410" w:firstLineChars="171"/>
        <w:jc w:val="left"/>
        <w:textAlignment w:val="baseline"/>
        <w:rPr>
          <w:rFonts w:hint="eastAsia"/>
          <w:color w:val="000000"/>
          <w:kern w:val="0"/>
          <w:sz w:val="24"/>
          <w:highlight w:val="none"/>
        </w:rPr>
      </w:pPr>
      <w:r>
        <w:rPr>
          <w:rFonts w:hint="eastAsia"/>
          <w:color w:val="000000"/>
          <w:kern w:val="0"/>
          <w:sz w:val="24"/>
          <w:highlight w:val="none"/>
        </w:rPr>
        <w:t xml:space="preserve">3、本合同一式多份，具有同等法律效力，甲乙双方、鉴证方、余杭区财政局采购监管科、验收单位，各执一份。 </w:t>
      </w:r>
    </w:p>
    <w:p>
      <w:pPr>
        <w:spacing w:line="400" w:lineRule="atLeast"/>
        <w:rPr>
          <w:rFonts w:hint="eastAsia"/>
          <w:color w:val="000000"/>
          <w:sz w:val="24"/>
          <w:highlight w:val="none"/>
        </w:rPr>
      </w:pPr>
    </w:p>
    <w:p>
      <w:pPr>
        <w:spacing w:line="400" w:lineRule="atLeast"/>
        <w:ind w:firstLine="360" w:firstLineChars="150"/>
        <w:jc w:val="left"/>
        <w:rPr>
          <w:rFonts w:hint="eastAsia"/>
          <w:color w:val="000000"/>
          <w:sz w:val="24"/>
          <w:highlight w:val="none"/>
        </w:rPr>
      </w:pPr>
      <w:r>
        <w:rPr>
          <w:rFonts w:hint="eastAsia"/>
          <w:color w:val="000000"/>
          <w:sz w:val="24"/>
          <w:highlight w:val="none"/>
        </w:rPr>
        <w:t xml:space="preserve"> 甲方（盖章）：                          乙方（盖章）：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法定代表人：                           法定代表人：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或授权代表（签字）：                    或授权代表（签字）：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地址：                                 地址：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邮编：                                 邮编：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电话：                                 电话：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传真：                                 传真：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开户银行：                             开户银行：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帐号：                                 帐号：     </w:t>
      </w:r>
    </w:p>
    <w:p>
      <w:pPr>
        <w:spacing w:line="400" w:lineRule="atLeast"/>
        <w:ind w:firstLine="480" w:firstLineChars="200"/>
        <w:jc w:val="left"/>
        <w:rPr>
          <w:rFonts w:hint="eastAsia"/>
          <w:color w:val="000000"/>
          <w:sz w:val="24"/>
          <w:highlight w:val="none"/>
        </w:rPr>
      </w:pP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鉴证方（盖章）：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法定代表人或授权代表（签字）：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地址：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邮编：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电话：                                              </w:t>
      </w:r>
    </w:p>
    <w:p>
      <w:pPr>
        <w:spacing w:line="400" w:lineRule="atLeast"/>
        <w:ind w:firstLine="480" w:firstLineChars="200"/>
        <w:jc w:val="left"/>
        <w:rPr>
          <w:rFonts w:hint="eastAsia"/>
          <w:color w:val="000000"/>
          <w:sz w:val="24"/>
          <w:highlight w:val="none"/>
        </w:rPr>
      </w:pPr>
      <w:r>
        <w:rPr>
          <w:rFonts w:hint="eastAsia"/>
          <w:color w:val="000000"/>
          <w:sz w:val="24"/>
          <w:highlight w:val="none"/>
        </w:rPr>
        <w:t xml:space="preserve">传真：                                                                        </w:t>
      </w:r>
    </w:p>
    <w:p>
      <w:pPr>
        <w:spacing w:line="400" w:lineRule="atLeast"/>
        <w:ind w:right="120"/>
        <w:jc w:val="right"/>
        <w:rPr>
          <w:rFonts w:hint="eastAsia"/>
          <w:color w:val="000000"/>
          <w:sz w:val="24"/>
          <w:highlight w:val="none"/>
        </w:rPr>
      </w:pPr>
      <w:r>
        <w:rPr>
          <w:rFonts w:hint="eastAsia"/>
          <w:color w:val="000000"/>
          <w:sz w:val="24"/>
          <w:highlight w:val="none"/>
        </w:rPr>
        <w:t>签约时间：      年    月   日</w:t>
      </w:r>
    </w:p>
    <w:p>
      <w:pPr>
        <w:spacing w:line="400" w:lineRule="atLeast"/>
        <w:ind w:right="480" w:firstLine="5400" w:firstLineChars="2250"/>
        <w:rPr>
          <w:rFonts w:hint="eastAsia"/>
          <w:color w:val="000000"/>
          <w:sz w:val="24"/>
          <w:highlight w:val="none"/>
        </w:rPr>
      </w:pPr>
      <w:r>
        <w:rPr>
          <w:rFonts w:hint="eastAsia"/>
          <w:color w:val="000000"/>
          <w:sz w:val="24"/>
          <w:highlight w:val="none"/>
        </w:rPr>
        <w:t xml:space="preserve">签约地点：                    </w:t>
      </w:r>
    </w:p>
    <w:p>
      <w:pPr>
        <w:spacing w:line="400" w:lineRule="atLeast"/>
        <w:rPr>
          <w:color w:val="000000"/>
          <w:szCs w:val="21"/>
          <w:highlight w:val="none"/>
        </w:rPr>
      </w:pPr>
      <w:bookmarkStart w:id="13" w:name="_Toc339872468"/>
      <w:bookmarkStart w:id="14" w:name="_Toc349721554"/>
      <w:bookmarkStart w:id="15" w:name="_Toc328381300"/>
      <w:bookmarkStart w:id="16" w:name="_Toc350327365"/>
      <w:bookmarkStart w:id="17" w:name="_Toc326765771"/>
      <w:r>
        <w:rPr>
          <w:rFonts w:hint="eastAsia" w:ascii="宋体" w:hAnsi="宋体" w:cs="宋体"/>
          <w:b/>
          <w:bCs/>
          <w:color w:val="000000"/>
          <w:sz w:val="24"/>
          <w:highlight w:val="none"/>
        </w:rPr>
        <w:t>★</w:t>
      </w:r>
      <w:r>
        <w:rPr>
          <w:rFonts w:hint="eastAsia"/>
          <w:b/>
          <w:bCs/>
          <w:color w:val="000000"/>
          <w:sz w:val="24"/>
          <w:highlight w:val="none"/>
        </w:rPr>
        <w:t xml:space="preserve"> 此仅为合同书样本，中标单位需根据实际情况和采购人签订相应的合同！</w:t>
      </w:r>
      <w:bookmarkEnd w:id="13"/>
      <w:bookmarkEnd w:id="14"/>
      <w:bookmarkEnd w:id="15"/>
      <w:bookmarkEnd w:id="16"/>
      <w:bookmarkEnd w:id="17"/>
    </w:p>
    <w:p>
      <w:pPr>
        <w:spacing w:line="400" w:lineRule="atLeast"/>
        <w:rPr>
          <w:szCs w:val="21"/>
        </w:rPr>
      </w:pPr>
      <w:r>
        <w:rPr>
          <w:szCs w:val="21"/>
          <w:highlight w:val="none"/>
        </w:rPr>
        <w:br w:type="page"/>
      </w:r>
    </w:p>
    <w:p>
      <w:pPr>
        <w:pStyle w:val="18"/>
        <w:spacing w:before="0" w:after="0" w:line="400" w:lineRule="atLeast"/>
        <w:rPr>
          <w:rFonts w:hint="eastAsia" w:ascii="Times New Roman" w:hAnsi="Times New Roman"/>
          <w:sz w:val="44"/>
          <w:szCs w:val="44"/>
        </w:rPr>
      </w:pPr>
      <w:bookmarkStart w:id="18" w:name="_Toc475713981"/>
      <w:r>
        <w:rPr>
          <w:rFonts w:ascii="Times New Roman" w:hAnsi="Times New Roman"/>
          <w:sz w:val="44"/>
          <w:szCs w:val="44"/>
        </w:rPr>
        <w:t>第五部分 投标文件格式</w:t>
      </w:r>
      <w:bookmarkEnd w:id="18"/>
    </w:p>
    <w:p>
      <w:pPr>
        <w:numPr>
          <w:ilvl w:val="0"/>
          <w:numId w:val="18"/>
        </w:numPr>
        <w:spacing w:line="400" w:lineRule="atLeast"/>
        <w:jc w:val="center"/>
        <w:rPr>
          <w:b/>
          <w:color w:val="000000"/>
          <w:kern w:val="0"/>
          <w:sz w:val="32"/>
          <w:szCs w:val="32"/>
        </w:rPr>
      </w:pPr>
      <w:bookmarkStart w:id="19" w:name="_Toc303256686"/>
      <w:bookmarkStart w:id="20" w:name="_Toc349721557"/>
      <w:bookmarkStart w:id="21" w:name="_Toc339872473"/>
      <w:bookmarkStart w:id="22" w:name="_Toc328381297"/>
      <w:bookmarkStart w:id="23" w:name="_Toc350327368"/>
      <w:r>
        <w:rPr>
          <w:b/>
          <w:color w:val="000000"/>
          <w:kern w:val="0"/>
          <w:sz w:val="32"/>
          <w:szCs w:val="32"/>
        </w:rPr>
        <w:t>开 标 一 览 表</w:t>
      </w:r>
      <w:bookmarkEnd w:id="19"/>
      <w:bookmarkEnd w:id="20"/>
      <w:bookmarkEnd w:id="21"/>
      <w:bookmarkEnd w:id="22"/>
      <w:bookmarkEnd w:id="23"/>
    </w:p>
    <w:p>
      <w:pPr>
        <w:autoSpaceDE w:val="0"/>
        <w:autoSpaceDN w:val="0"/>
        <w:adjustRightInd w:val="0"/>
        <w:spacing w:line="400" w:lineRule="atLeast"/>
        <w:rPr>
          <w:rFonts w:hint="eastAsia"/>
          <w:b/>
          <w:color w:val="000000"/>
          <w:kern w:val="0"/>
          <w:sz w:val="24"/>
        </w:rPr>
      </w:pPr>
      <w:r>
        <w:rPr>
          <w:b/>
          <w:color w:val="000000"/>
          <w:kern w:val="0"/>
          <w:sz w:val="24"/>
        </w:rPr>
        <w:t>项目编号：</w:t>
      </w:r>
      <w:r>
        <w:rPr>
          <w:rFonts w:hint="eastAsia"/>
          <w:b/>
          <w:color w:val="000000"/>
          <w:kern w:val="0"/>
          <w:sz w:val="24"/>
        </w:rPr>
        <w:t xml:space="preserve">  </w:t>
      </w:r>
    </w:p>
    <w:p>
      <w:pPr>
        <w:autoSpaceDE w:val="0"/>
        <w:autoSpaceDN w:val="0"/>
        <w:adjustRightInd w:val="0"/>
        <w:spacing w:line="400" w:lineRule="atLeast"/>
        <w:rPr>
          <w:b/>
          <w:color w:val="000000"/>
          <w:kern w:val="0"/>
          <w:sz w:val="24"/>
        </w:rPr>
      </w:pPr>
      <w:r>
        <w:rPr>
          <w:b/>
          <w:color w:val="000000"/>
          <w:kern w:val="0"/>
          <w:sz w:val="24"/>
        </w:rPr>
        <w:t>标项序号：</w:t>
      </w:r>
    </w:p>
    <w:p>
      <w:pPr>
        <w:spacing w:line="440" w:lineRule="exact"/>
        <w:jc w:val="center"/>
        <w:rPr>
          <w:b/>
          <w:color w:val="000000"/>
          <w:kern w:val="0"/>
          <w:sz w:val="32"/>
          <w:szCs w:val="32"/>
        </w:rPr>
      </w:pPr>
      <w:r>
        <w:rPr>
          <w:b/>
          <w:color w:val="000000"/>
          <w:kern w:val="0"/>
          <w:sz w:val="32"/>
          <w:szCs w:val="32"/>
        </w:rPr>
        <w:t>一、开标一览表</w:t>
      </w:r>
    </w:p>
    <w:p>
      <w:pPr>
        <w:autoSpaceDE w:val="0"/>
        <w:autoSpaceDN w:val="0"/>
        <w:adjustRightInd w:val="0"/>
        <w:spacing w:line="440" w:lineRule="exact"/>
        <w:rPr>
          <w:b/>
          <w:color w:val="000000"/>
          <w:kern w:val="0"/>
          <w:sz w:val="24"/>
        </w:rPr>
      </w:pPr>
      <w:r>
        <w:rPr>
          <w:b/>
          <w:color w:val="000000"/>
          <w:kern w:val="0"/>
          <w:sz w:val="24"/>
        </w:rPr>
        <w:t>项目编号：</w:t>
      </w:r>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6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229" w:type="dxa"/>
            <w:tcBorders>
              <w:top w:val="single" w:color="auto" w:sz="4" w:space="0"/>
              <w:left w:val="double" w:color="auto" w:sz="4" w:space="0"/>
              <w:bottom w:val="double" w:color="auto" w:sz="4" w:space="0"/>
              <w:right w:val="single" w:color="auto" w:sz="4" w:space="0"/>
            </w:tcBorders>
            <w:noWrap w:val="0"/>
            <w:vAlign w:val="center"/>
          </w:tcPr>
          <w:p>
            <w:pPr>
              <w:autoSpaceDE w:val="0"/>
              <w:autoSpaceDN w:val="0"/>
              <w:adjustRightInd w:val="0"/>
              <w:spacing w:line="440" w:lineRule="exact"/>
              <w:jc w:val="center"/>
              <w:rPr>
                <w:b/>
                <w:color w:val="000000"/>
                <w:kern w:val="0"/>
                <w:sz w:val="24"/>
              </w:rPr>
            </w:pPr>
            <w:r>
              <w:rPr>
                <w:b/>
                <w:color w:val="000000"/>
                <w:kern w:val="0"/>
                <w:sz w:val="24"/>
              </w:rPr>
              <w:t>本项目投标总报价</w:t>
            </w:r>
          </w:p>
        </w:tc>
        <w:tc>
          <w:tcPr>
            <w:tcW w:w="7653" w:type="dxa"/>
            <w:tcBorders>
              <w:top w:val="single" w:color="auto" w:sz="4" w:space="0"/>
              <w:left w:val="single" w:color="auto" w:sz="4" w:space="0"/>
              <w:bottom w:val="double" w:color="auto" w:sz="4" w:space="0"/>
              <w:right w:val="double" w:color="auto" w:sz="4" w:space="0"/>
            </w:tcBorders>
            <w:noWrap w:val="0"/>
            <w:vAlign w:val="center"/>
          </w:tcPr>
          <w:p>
            <w:pPr>
              <w:autoSpaceDE w:val="0"/>
              <w:autoSpaceDN w:val="0"/>
              <w:adjustRightInd w:val="0"/>
              <w:spacing w:line="440" w:lineRule="exact"/>
              <w:rPr>
                <w:b/>
                <w:color w:val="000000"/>
                <w:kern w:val="0"/>
                <w:sz w:val="24"/>
              </w:rPr>
            </w:pPr>
          </w:p>
          <w:p>
            <w:pPr>
              <w:autoSpaceDE w:val="0"/>
              <w:autoSpaceDN w:val="0"/>
              <w:adjustRightInd w:val="0"/>
              <w:spacing w:line="480" w:lineRule="auto"/>
              <w:jc w:val="left"/>
              <w:rPr>
                <w:b/>
                <w:color w:val="000000"/>
                <w:kern w:val="0"/>
                <w:sz w:val="24"/>
              </w:rPr>
            </w:pPr>
            <w:r>
              <w:rPr>
                <w:b/>
                <w:color w:val="000000"/>
                <w:kern w:val="0"/>
                <w:sz w:val="24"/>
              </w:rPr>
              <w:t>1、</w:t>
            </w:r>
            <w:r>
              <w:rPr>
                <w:rFonts w:hint="eastAsia"/>
                <w:b/>
                <w:color w:val="000000"/>
                <w:kern w:val="0"/>
                <w:sz w:val="24"/>
              </w:rPr>
              <w:t>绿化保洁</w:t>
            </w:r>
            <w:r>
              <w:rPr>
                <w:b/>
                <w:color w:val="000000"/>
                <w:kern w:val="0"/>
                <w:sz w:val="24"/>
              </w:rPr>
              <w:t>：</w:t>
            </w:r>
            <w:r>
              <w:rPr>
                <w:rFonts w:hint="eastAsia"/>
                <w:b/>
                <w:color w:val="000000"/>
                <w:kern w:val="0"/>
                <w:sz w:val="24"/>
              </w:rPr>
              <w:t>人民币大写：</w:t>
            </w:r>
            <w:r>
              <w:rPr>
                <w:b/>
                <w:color w:val="000000"/>
                <w:kern w:val="0"/>
                <w:sz w:val="24"/>
              </w:rPr>
              <w:t xml:space="preserve">    </w:t>
            </w:r>
            <w:r>
              <w:rPr>
                <w:rFonts w:hint="eastAsia"/>
                <w:b/>
                <w:color w:val="000000"/>
                <w:kern w:val="0"/>
                <w:sz w:val="24"/>
              </w:rPr>
              <w:t>元整（</w:t>
            </w:r>
            <w:r>
              <w:rPr>
                <w:b/>
                <w:color w:val="000000"/>
                <w:kern w:val="0"/>
                <w:sz w:val="24"/>
              </w:rPr>
              <w:t xml:space="preserve">¥      </w:t>
            </w:r>
            <w:r>
              <w:rPr>
                <w:rFonts w:hint="eastAsia"/>
                <w:b/>
                <w:color w:val="000000"/>
                <w:kern w:val="0"/>
                <w:sz w:val="24"/>
              </w:rPr>
              <w:t>）</w:t>
            </w:r>
          </w:p>
          <w:p>
            <w:pPr>
              <w:autoSpaceDE w:val="0"/>
              <w:autoSpaceDN w:val="0"/>
              <w:adjustRightInd w:val="0"/>
              <w:spacing w:line="480" w:lineRule="auto"/>
              <w:jc w:val="left"/>
              <w:rPr>
                <w:b/>
                <w:sz w:val="24"/>
              </w:rPr>
            </w:pPr>
            <w:r>
              <w:rPr>
                <w:b/>
                <w:color w:val="000000"/>
                <w:kern w:val="0"/>
                <w:sz w:val="24"/>
              </w:rPr>
              <w:t>2、</w:t>
            </w:r>
            <w:r>
              <w:rPr>
                <w:rFonts w:hint="eastAsia"/>
                <w:b/>
                <w:color w:val="000000"/>
                <w:kern w:val="0"/>
                <w:sz w:val="24"/>
              </w:rPr>
              <w:t>道路保洁及垃圾清运</w:t>
            </w:r>
            <w:r>
              <w:rPr>
                <w:b/>
                <w:color w:val="000000"/>
                <w:kern w:val="0"/>
                <w:sz w:val="24"/>
              </w:rPr>
              <w:t>：</w:t>
            </w:r>
            <w:r>
              <w:rPr>
                <w:b/>
                <w:sz w:val="24"/>
              </w:rPr>
              <w:t>人民币大写：</w:t>
            </w:r>
            <w:r>
              <w:rPr>
                <w:rFonts w:hint="eastAsia"/>
                <w:b/>
                <w:sz w:val="24"/>
              </w:rPr>
              <w:t xml:space="preserve">   </w:t>
            </w:r>
            <w:r>
              <w:rPr>
                <w:b/>
                <w:sz w:val="24"/>
              </w:rPr>
              <w:t>元整</w:t>
            </w:r>
            <w:r>
              <w:rPr>
                <w:rFonts w:hint="eastAsia"/>
                <w:b/>
                <w:sz w:val="24"/>
              </w:rPr>
              <w:t>（</w:t>
            </w:r>
            <w:r>
              <w:rPr>
                <w:b/>
                <w:sz w:val="24"/>
              </w:rPr>
              <w:t xml:space="preserve">¥  </w:t>
            </w:r>
            <w:r>
              <w:rPr>
                <w:rFonts w:hint="eastAsia"/>
                <w:b/>
                <w:sz w:val="24"/>
              </w:rPr>
              <w:t xml:space="preserve">    ）</w:t>
            </w:r>
          </w:p>
          <w:p>
            <w:pPr>
              <w:autoSpaceDE w:val="0"/>
              <w:autoSpaceDN w:val="0"/>
              <w:adjustRightInd w:val="0"/>
              <w:spacing w:line="480" w:lineRule="auto"/>
              <w:jc w:val="left"/>
              <w:rPr>
                <w:b/>
                <w:sz w:val="24"/>
              </w:rPr>
            </w:pPr>
          </w:p>
          <w:p>
            <w:pPr>
              <w:autoSpaceDE w:val="0"/>
              <w:autoSpaceDN w:val="0"/>
              <w:adjustRightInd w:val="0"/>
              <w:spacing w:line="480" w:lineRule="auto"/>
              <w:jc w:val="left"/>
              <w:rPr>
                <w:b/>
                <w:color w:val="000000"/>
                <w:kern w:val="0"/>
                <w:sz w:val="24"/>
              </w:rPr>
            </w:pPr>
            <w:r>
              <w:rPr>
                <w:b/>
                <w:sz w:val="24"/>
              </w:rPr>
              <w:t>合计人民币</w:t>
            </w:r>
            <w:r>
              <w:rPr>
                <w:rFonts w:hint="eastAsia"/>
                <w:b/>
                <w:sz w:val="24"/>
              </w:rPr>
              <w:t xml:space="preserve">        </w:t>
            </w:r>
            <w:r>
              <w:rPr>
                <w:b/>
                <w:sz w:val="24"/>
              </w:rPr>
              <w:t>元整（¥</w:t>
            </w:r>
            <w:r>
              <w:rPr>
                <w:rFonts w:hint="eastAsia"/>
                <w:b/>
                <w:sz w:val="24"/>
              </w:rPr>
              <w:t xml:space="preserve">             </w:t>
            </w:r>
            <w:r>
              <w:rPr>
                <w:b/>
                <w:sz w:val="24"/>
              </w:rPr>
              <w:t>）</w:t>
            </w:r>
          </w:p>
          <w:p>
            <w:pPr>
              <w:autoSpaceDE w:val="0"/>
              <w:autoSpaceDN w:val="0"/>
              <w:adjustRightInd w:val="0"/>
              <w:spacing w:line="440" w:lineRule="exact"/>
              <w:jc w:val="left"/>
              <w:rPr>
                <w:b/>
                <w:color w:val="000000"/>
                <w:kern w:val="0"/>
                <w:sz w:val="24"/>
              </w:rPr>
            </w:pPr>
          </w:p>
        </w:tc>
      </w:tr>
    </w:tbl>
    <w:p>
      <w:pPr>
        <w:autoSpaceDE w:val="0"/>
        <w:autoSpaceDN w:val="0"/>
        <w:adjustRightInd w:val="0"/>
        <w:spacing w:line="440" w:lineRule="exact"/>
        <w:rPr>
          <w:b/>
          <w:color w:val="000000"/>
          <w:kern w:val="0"/>
          <w:sz w:val="24"/>
        </w:rPr>
      </w:pPr>
      <w:r>
        <w:rPr>
          <w:color w:val="000000"/>
          <w:kern w:val="0"/>
          <w:sz w:val="24"/>
        </w:rPr>
        <w:t>备注：大写总价与小写总价不一致，以大写总价为准</w:t>
      </w:r>
      <w:r>
        <w:rPr>
          <w:b/>
          <w:color w:val="000000"/>
          <w:kern w:val="0"/>
          <w:sz w:val="24"/>
        </w:rPr>
        <w:t>。</w:t>
      </w:r>
    </w:p>
    <w:p>
      <w:pPr>
        <w:autoSpaceDE w:val="0"/>
        <w:autoSpaceDN w:val="0"/>
        <w:adjustRightInd w:val="0"/>
        <w:spacing w:line="440" w:lineRule="exact"/>
        <w:rPr>
          <w:b/>
          <w:color w:val="000000"/>
          <w:kern w:val="0"/>
          <w:sz w:val="24"/>
        </w:rPr>
      </w:pPr>
    </w:p>
    <w:p>
      <w:pPr>
        <w:pStyle w:val="7"/>
        <w:spacing w:line="300" w:lineRule="exact"/>
        <w:ind w:firstLine="480"/>
        <w:rPr>
          <w:rFonts w:hint="eastAsia" w:ascii="仿宋" w:hAnsi="仿宋" w:eastAsia="仿宋" w:cs="仿宋"/>
          <w:color w:val="000000"/>
          <w:sz w:val="24"/>
          <w:szCs w:val="24"/>
        </w:rPr>
      </w:pPr>
    </w:p>
    <w:p>
      <w:pPr>
        <w:autoSpaceDE w:val="0"/>
        <w:autoSpaceDN w:val="0"/>
        <w:adjustRightInd w:val="0"/>
        <w:spacing w:line="440" w:lineRule="exact"/>
        <w:rPr>
          <w:rFonts w:hint="eastAsia" w:eastAsia="微软雅黑"/>
          <w:color w:val="000000"/>
          <w:kern w:val="0"/>
          <w:sz w:val="24"/>
        </w:rPr>
      </w:pPr>
      <w:r>
        <w:rPr>
          <w:rFonts w:hint="eastAsia"/>
          <w:color w:val="000000"/>
          <w:kern w:val="0"/>
          <w:sz w:val="24"/>
        </w:rPr>
        <w:t>备注：</w:t>
      </w:r>
    </w:p>
    <w:p>
      <w:pPr>
        <w:numPr>
          <w:ilvl w:val="0"/>
          <w:numId w:val="19"/>
        </w:numPr>
        <w:autoSpaceDE w:val="0"/>
        <w:autoSpaceDN w:val="0"/>
        <w:adjustRightInd w:val="0"/>
        <w:spacing w:line="440" w:lineRule="exact"/>
        <w:rPr>
          <w:color w:val="000000"/>
          <w:kern w:val="0"/>
          <w:sz w:val="24"/>
        </w:rPr>
      </w:pPr>
      <w:r>
        <w:rPr>
          <w:color w:val="000000"/>
          <w:kern w:val="0"/>
          <w:sz w:val="24"/>
        </w:rPr>
        <w:t>大写总价与小写总价不一致，以大写总价为准；</w:t>
      </w:r>
    </w:p>
    <w:p>
      <w:pPr>
        <w:autoSpaceDE w:val="0"/>
        <w:autoSpaceDN w:val="0"/>
        <w:adjustRightInd w:val="0"/>
        <w:spacing w:line="300" w:lineRule="exact"/>
        <w:rPr>
          <w:color w:val="000000"/>
          <w:kern w:val="0"/>
          <w:sz w:val="24"/>
        </w:rPr>
      </w:pPr>
      <w:r>
        <w:rPr>
          <w:rFonts w:hint="eastAsia"/>
          <w:kern w:val="0"/>
          <w:sz w:val="24"/>
        </w:rPr>
        <w:t>2、此表在不改变格式内容时，可自行制作。</w:t>
      </w:r>
    </w:p>
    <w:p>
      <w:pPr>
        <w:autoSpaceDE w:val="0"/>
        <w:autoSpaceDN w:val="0"/>
        <w:adjustRightInd w:val="0"/>
        <w:spacing w:line="400" w:lineRule="atLeast"/>
        <w:rPr>
          <w:b/>
          <w:color w:val="000000"/>
          <w:kern w:val="0"/>
          <w:sz w:val="24"/>
        </w:rPr>
      </w:pPr>
    </w:p>
    <w:p>
      <w:pPr>
        <w:autoSpaceDE w:val="0"/>
        <w:autoSpaceDN w:val="0"/>
        <w:adjustRightInd w:val="0"/>
        <w:spacing w:line="400" w:lineRule="atLeast"/>
        <w:rPr>
          <w:b/>
          <w:color w:val="000000"/>
          <w:kern w:val="0"/>
          <w:sz w:val="24"/>
        </w:rPr>
      </w:pPr>
    </w:p>
    <w:p>
      <w:pPr>
        <w:autoSpaceDE w:val="0"/>
        <w:autoSpaceDN w:val="0"/>
        <w:adjustRightInd w:val="0"/>
        <w:spacing w:line="400" w:lineRule="atLeast"/>
        <w:rPr>
          <w:b/>
          <w:color w:val="000000"/>
          <w:kern w:val="0"/>
          <w:sz w:val="24"/>
        </w:rPr>
      </w:pP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投标人（公章）：     </w:t>
      </w: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法定代表人或授权代表（签字）：     </w:t>
      </w: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日期：</w:t>
      </w:r>
      <w:r>
        <w:rPr>
          <w:color w:val="000000"/>
          <w:kern w:val="0"/>
          <w:sz w:val="24"/>
        </w:rPr>
        <w:t xml:space="preserve">  </w:t>
      </w:r>
      <w:r>
        <w:rPr>
          <w:color w:val="000000"/>
          <w:kern w:val="0"/>
          <w:sz w:val="24"/>
          <w:lang w:val="zh-CN"/>
        </w:rPr>
        <w:t xml:space="preserve">年  月   日      </w:t>
      </w:r>
    </w:p>
    <w:p>
      <w:pPr>
        <w:autoSpaceDE w:val="0"/>
        <w:autoSpaceDN w:val="0"/>
        <w:adjustRightInd w:val="0"/>
        <w:spacing w:line="400" w:lineRule="atLeast"/>
        <w:rPr>
          <w:color w:val="000000"/>
          <w:kern w:val="0"/>
          <w:sz w:val="24"/>
          <w:lang w:val="zh-CN"/>
        </w:rPr>
      </w:pPr>
    </w:p>
    <w:p>
      <w:pPr>
        <w:autoSpaceDE w:val="0"/>
        <w:autoSpaceDN w:val="0"/>
        <w:adjustRightInd w:val="0"/>
        <w:spacing w:line="400" w:lineRule="atLeast"/>
        <w:jc w:val="right"/>
        <w:rPr>
          <w:color w:val="000000"/>
          <w:kern w:val="0"/>
          <w:sz w:val="24"/>
          <w:lang w:val="zh-CN"/>
        </w:rPr>
      </w:pP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w:t>
      </w:r>
    </w:p>
    <w:p>
      <w:pPr>
        <w:spacing w:line="400" w:lineRule="atLeast"/>
        <w:rPr>
          <w:b/>
          <w:color w:val="000000"/>
          <w:kern w:val="0"/>
          <w:sz w:val="32"/>
          <w:szCs w:val="32"/>
        </w:rPr>
      </w:pPr>
    </w:p>
    <w:p>
      <w:pPr>
        <w:spacing w:line="400" w:lineRule="atLeast"/>
        <w:rPr>
          <w:b/>
          <w:color w:val="000000"/>
          <w:kern w:val="0"/>
          <w:sz w:val="32"/>
          <w:szCs w:val="32"/>
        </w:rPr>
      </w:pPr>
    </w:p>
    <w:p>
      <w:pPr>
        <w:spacing w:line="440" w:lineRule="exact"/>
        <w:jc w:val="center"/>
        <w:rPr>
          <w:rFonts w:hint="eastAsia" w:ascii="宋体" w:hAnsi="宋体" w:cs="宋体"/>
          <w:b/>
          <w:kern w:val="0"/>
          <w:sz w:val="32"/>
          <w:szCs w:val="32"/>
        </w:rPr>
      </w:pPr>
      <w:r>
        <w:rPr>
          <w:rFonts w:hint="eastAsia" w:ascii="宋体" w:hAnsi="宋体" w:cs="宋体"/>
          <w:b/>
          <w:kern w:val="0"/>
          <w:sz w:val="32"/>
          <w:szCs w:val="32"/>
        </w:rPr>
        <w:t>二、分项报价表</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项目编号：</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标项序号：</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绿化保洁报价表</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6"/>
        <w:gridCol w:w="3405"/>
        <w:gridCol w:w="942"/>
        <w:gridCol w:w="4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24" w:hRule="atLeast"/>
          <w:jc w:val="center"/>
        </w:trPr>
        <w:tc>
          <w:tcPr>
            <w:tcW w:w="736" w:type="dxa"/>
            <w:tcBorders>
              <w:top w:val="single" w:color="000000" w:sz="4" w:space="0"/>
              <w:left w:val="single" w:color="000000" w:sz="4" w:space="0"/>
              <w:bottom w:val="single" w:color="000000" w:sz="4" w:space="0"/>
              <w:right w:val="single" w:color="auto" w:sz="4" w:space="0"/>
            </w:tcBorders>
            <w:noWrap w:val="0"/>
            <w:vAlign w:val="center"/>
          </w:tcPr>
          <w:p>
            <w:pPr>
              <w:jc w:val="center"/>
              <w:rPr>
                <w:b/>
                <w:bCs/>
                <w:spacing w:val="40"/>
                <w:sz w:val="24"/>
              </w:rPr>
            </w:pPr>
            <w:r>
              <w:rPr>
                <w:b/>
                <w:bCs/>
                <w:spacing w:val="40"/>
                <w:sz w:val="24"/>
              </w:rPr>
              <w:t>序号</w:t>
            </w:r>
          </w:p>
        </w:tc>
        <w:tc>
          <w:tcPr>
            <w:tcW w:w="3405" w:type="dxa"/>
            <w:tcBorders>
              <w:top w:val="single" w:color="000000" w:sz="4" w:space="0"/>
              <w:left w:val="single" w:color="auto" w:sz="4" w:space="0"/>
              <w:bottom w:val="single" w:color="000000" w:sz="4" w:space="0"/>
              <w:right w:val="single" w:color="000000" w:sz="4" w:space="0"/>
            </w:tcBorders>
            <w:noWrap w:val="0"/>
            <w:vAlign w:val="center"/>
          </w:tcPr>
          <w:p>
            <w:pPr>
              <w:ind w:left="360"/>
              <w:jc w:val="center"/>
              <w:rPr>
                <w:b/>
                <w:bCs/>
                <w:spacing w:val="40"/>
                <w:sz w:val="24"/>
              </w:rPr>
            </w:pPr>
            <w:r>
              <w:rPr>
                <w:b/>
                <w:bCs/>
                <w:spacing w:val="40"/>
                <w:sz w:val="24"/>
              </w:rPr>
              <w:t>项目</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rPr>
                <w:b/>
                <w:bCs/>
                <w:spacing w:val="40"/>
                <w:sz w:val="24"/>
              </w:rPr>
            </w:pPr>
            <w:r>
              <w:rPr>
                <w:b/>
                <w:bCs/>
                <w:spacing w:val="40"/>
                <w:sz w:val="24"/>
              </w:rPr>
              <w:t>小计</w:t>
            </w:r>
          </w:p>
        </w:tc>
        <w:tc>
          <w:tcPr>
            <w:tcW w:w="4150" w:type="dxa"/>
            <w:tcBorders>
              <w:top w:val="single" w:color="000000" w:sz="4" w:space="0"/>
              <w:left w:val="single" w:color="000000" w:sz="4" w:space="0"/>
              <w:bottom w:val="single" w:color="000000" w:sz="4" w:space="0"/>
              <w:right w:val="single" w:color="000000" w:sz="4" w:space="0"/>
            </w:tcBorders>
            <w:noWrap w:val="0"/>
            <w:vAlign w:val="center"/>
          </w:tcPr>
          <w:p>
            <w:pPr>
              <w:ind w:left="360"/>
              <w:jc w:val="center"/>
              <w:rPr>
                <w:b/>
                <w:bCs/>
                <w:spacing w:val="40"/>
                <w:sz w:val="24"/>
              </w:rPr>
            </w:pPr>
            <w:r>
              <w:rPr>
                <w:b/>
                <w:bCs/>
                <w:spacing w:val="4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94" w:hRule="atLeast"/>
          <w:jc w:val="center"/>
        </w:trPr>
        <w:tc>
          <w:tcPr>
            <w:tcW w:w="736" w:type="dxa"/>
            <w:tcBorders>
              <w:top w:val="single" w:color="000000" w:sz="4" w:space="0"/>
              <w:left w:val="single" w:color="000000" w:sz="4" w:space="0"/>
              <w:bottom w:val="single" w:color="000000" w:sz="4" w:space="0"/>
              <w:right w:val="single" w:color="auto" w:sz="4" w:space="0"/>
            </w:tcBorders>
            <w:noWrap w:val="0"/>
            <w:vAlign w:val="center"/>
          </w:tcPr>
          <w:p>
            <w:pPr>
              <w:ind w:left="360"/>
              <w:jc w:val="center"/>
              <w:rPr>
                <w:bCs/>
                <w:spacing w:val="40"/>
                <w:sz w:val="24"/>
              </w:rPr>
            </w:pPr>
            <w:r>
              <w:rPr>
                <w:bCs/>
                <w:spacing w:val="40"/>
                <w:sz w:val="24"/>
              </w:rPr>
              <w:t>1</w:t>
            </w:r>
          </w:p>
        </w:tc>
        <w:tc>
          <w:tcPr>
            <w:tcW w:w="3405"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auto"/>
              <w:rPr>
                <w:kern w:val="0"/>
                <w:sz w:val="24"/>
              </w:rPr>
            </w:pPr>
            <w:r>
              <w:rPr>
                <w:b/>
                <w:kern w:val="0"/>
                <w:sz w:val="24"/>
              </w:rPr>
              <w:t>日常绿化</w:t>
            </w:r>
            <w:r>
              <w:rPr>
                <w:rFonts w:hint="eastAsia"/>
                <w:b/>
                <w:kern w:val="0"/>
                <w:sz w:val="24"/>
              </w:rPr>
              <w:t>保洁</w:t>
            </w:r>
            <w:r>
              <w:rPr>
                <w:b/>
                <w:kern w:val="0"/>
                <w:sz w:val="24"/>
              </w:rPr>
              <w:t>费</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rPr>
                <w:sz w:val="24"/>
              </w:rPr>
            </w:pPr>
          </w:p>
        </w:tc>
        <w:tc>
          <w:tcPr>
            <w:tcW w:w="4150" w:type="dxa"/>
            <w:tcBorders>
              <w:top w:val="single" w:color="000000" w:sz="4" w:space="0"/>
              <w:left w:val="single" w:color="000000" w:sz="4" w:space="0"/>
              <w:bottom w:val="single" w:color="000000" w:sz="4" w:space="0"/>
              <w:right w:val="single" w:color="000000" w:sz="4" w:space="0"/>
            </w:tcBorders>
            <w:noWrap w:val="0"/>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40" w:hRule="atLeast"/>
          <w:jc w:val="center"/>
        </w:trPr>
        <w:tc>
          <w:tcPr>
            <w:tcW w:w="414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ind w:left="360"/>
              <w:jc w:val="center"/>
              <w:rPr>
                <w:rFonts w:hint="eastAsia"/>
                <w:b/>
                <w:bCs/>
                <w:spacing w:val="40"/>
                <w:sz w:val="24"/>
              </w:rPr>
            </w:pPr>
            <w:r>
              <w:rPr>
                <w:b/>
                <w:bCs/>
                <w:spacing w:val="40"/>
                <w:sz w:val="24"/>
              </w:rPr>
              <w:t>合计总价</w:t>
            </w:r>
            <w:r>
              <w:rPr>
                <w:rFonts w:hint="eastAsia"/>
                <w:b/>
                <w:bCs/>
                <w:spacing w:val="40"/>
                <w:sz w:val="24"/>
              </w:rPr>
              <w:t>（二年）</w:t>
            </w:r>
          </w:p>
        </w:tc>
        <w:tc>
          <w:tcPr>
            <w:tcW w:w="942" w:type="dxa"/>
            <w:tcBorders>
              <w:top w:val="single" w:color="000000" w:sz="4" w:space="0"/>
              <w:left w:val="single" w:color="000000" w:sz="4" w:space="0"/>
              <w:bottom w:val="single" w:color="auto" w:sz="4" w:space="0"/>
              <w:right w:val="single" w:color="000000" w:sz="4" w:space="0"/>
            </w:tcBorders>
            <w:noWrap w:val="0"/>
            <w:vAlign w:val="center"/>
          </w:tcPr>
          <w:p>
            <w:pPr>
              <w:jc w:val="left"/>
              <w:rPr>
                <w:b/>
                <w:bCs/>
                <w:spacing w:val="40"/>
                <w:sz w:val="24"/>
              </w:rPr>
            </w:pPr>
            <w:r>
              <w:rPr>
                <w:b/>
                <w:bCs/>
                <w:spacing w:val="40"/>
                <w:sz w:val="24"/>
              </w:rPr>
              <w:t>小写</w:t>
            </w:r>
          </w:p>
        </w:tc>
        <w:tc>
          <w:tcPr>
            <w:tcW w:w="4150" w:type="dxa"/>
            <w:vMerge w:val="restart"/>
            <w:tcBorders>
              <w:top w:val="single" w:color="000000" w:sz="4" w:space="0"/>
              <w:left w:val="single" w:color="000000" w:sz="4" w:space="0"/>
              <w:bottom w:val="single" w:color="000000" w:sz="4" w:space="0"/>
              <w:right w:val="single" w:color="000000" w:sz="4" w:space="0"/>
            </w:tcBorders>
            <w:noWrap w:val="0"/>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90" w:hRule="atLeast"/>
          <w:jc w:val="center"/>
        </w:trPr>
        <w:tc>
          <w:tcPr>
            <w:tcW w:w="414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b/>
                <w:bCs/>
                <w:spacing w:val="40"/>
                <w:sz w:val="24"/>
              </w:rPr>
            </w:pPr>
          </w:p>
        </w:tc>
        <w:tc>
          <w:tcPr>
            <w:tcW w:w="942" w:type="dxa"/>
            <w:tcBorders>
              <w:top w:val="single" w:color="auto" w:sz="4" w:space="0"/>
              <w:left w:val="single" w:color="000000" w:sz="4" w:space="0"/>
              <w:bottom w:val="single" w:color="000000" w:sz="4" w:space="0"/>
              <w:right w:val="single" w:color="000000" w:sz="4" w:space="0"/>
            </w:tcBorders>
            <w:noWrap w:val="0"/>
            <w:vAlign w:val="center"/>
          </w:tcPr>
          <w:p>
            <w:pPr>
              <w:jc w:val="left"/>
              <w:rPr>
                <w:b/>
                <w:bCs/>
                <w:spacing w:val="40"/>
                <w:sz w:val="24"/>
              </w:rPr>
            </w:pPr>
            <w:r>
              <w:rPr>
                <w:b/>
                <w:bCs/>
                <w:spacing w:val="40"/>
                <w:sz w:val="24"/>
              </w:rPr>
              <w:t>大写</w:t>
            </w:r>
          </w:p>
        </w:tc>
        <w:tc>
          <w:tcPr>
            <w:tcW w:w="41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58" w:hRule="atLeast"/>
          <w:jc w:val="center"/>
        </w:trPr>
        <w:tc>
          <w:tcPr>
            <w:tcW w:w="9233" w:type="dxa"/>
            <w:gridSpan w:val="4"/>
            <w:tcBorders>
              <w:top w:val="single" w:color="000000" w:sz="4" w:space="0"/>
              <w:left w:val="single" w:color="000000" w:sz="4" w:space="0"/>
              <w:bottom w:val="single" w:color="000000" w:sz="4" w:space="0"/>
              <w:right w:val="single" w:color="000000" w:sz="4" w:space="0"/>
            </w:tcBorders>
            <w:noWrap w:val="0"/>
            <w:vAlign w:val="center"/>
          </w:tcPr>
          <w:p>
            <w:pPr>
              <w:rPr>
                <w:bCs/>
                <w:sz w:val="24"/>
              </w:rPr>
            </w:pPr>
            <w:r>
              <w:rPr>
                <w:b/>
                <w:bCs/>
                <w:sz w:val="24"/>
              </w:rPr>
              <w:t>说明：</w:t>
            </w:r>
            <w:r>
              <w:rPr>
                <w:bCs/>
                <w:sz w:val="24"/>
              </w:rPr>
              <w:t>1</w:t>
            </w:r>
            <w:r>
              <w:rPr>
                <w:rFonts w:hint="eastAsia"/>
                <w:bCs/>
                <w:sz w:val="24"/>
              </w:rPr>
              <w:t>、绿化保洁最高报价不得超过50万元/年。</w:t>
            </w:r>
            <w:r>
              <w:rPr>
                <w:kern w:val="0"/>
                <w:sz w:val="24"/>
              </w:rPr>
              <w:t>；2</w:t>
            </w:r>
            <w:r>
              <w:rPr>
                <w:rFonts w:hint="eastAsia"/>
                <w:kern w:val="0"/>
                <w:sz w:val="24"/>
              </w:rPr>
              <w:t>、</w:t>
            </w:r>
            <w:r>
              <w:rPr>
                <w:kern w:val="0"/>
                <w:sz w:val="24"/>
              </w:rPr>
              <w:t>不符合要求的，视为投标无效。</w:t>
            </w:r>
            <w:r>
              <w:rPr>
                <w:sz w:val="24"/>
              </w:rPr>
              <w:t>3</w:t>
            </w:r>
            <w:r>
              <w:rPr>
                <w:rFonts w:hint="eastAsia"/>
                <w:bCs/>
                <w:sz w:val="24"/>
              </w:rPr>
              <w:t>、</w:t>
            </w:r>
            <w:r>
              <w:rPr>
                <w:bCs/>
                <w:sz w:val="24"/>
              </w:rPr>
              <w:t>其他报价不得低于相关比率投标报价四舍五入到元。</w:t>
            </w:r>
          </w:p>
        </w:tc>
      </w:tr>
    </w:tbl>
    <w:p>
      <w:pPr>
        <w:autoSpaceDE w:val="0"/>
        <w:autoSpaceDN w:val="0"/>
        <w:adjustRightInd w:val="0"/>
        <w:spacing w:line="400" w:lineRule="atLeast"/>
        <w:rPr>
          <w:kern w:val="0"/>
          <w:sz w:val="24"/>
        </w:rPr>
      </w:pPr>
      <w:r>
        <w:rPr>
          <w:kern w:val="0"/>
          <w:sz w:val="24"/>
        </w:rPr>
        <w:t>备注：</w:t>
      </w:r>
    </w:p>
    <w:p>
      <w:pPr>
        <w:autoSpaceDE w:val="0"/>
        <w:autoSpaceDN w:val="0"/>
        <w:adjustRightInd w:val="0"/>
        <w:spacing w:line="400" w:lineRule="atLeast"/>
        <w:ind w:firstLine="120" w:firstLineChars="50"/>
        <w:rPr>
          <w:rFonts w:hint="eastAsia"/>
          <w:kern w:val="0"/>
          <w:sz w:val="24"/>
        </w:rPr>
      </w:pPr>
      <w:r>
        <w:rPr>
          <w:kern w:val="0"/>
          <w:sz w:val="24"/>
        </w:rPr>
        <w:t>1、</w:t>
      </w:r>
      <w:r>
        <w:rPr>
          <w:rFonts w:hint="eastAsia"/>
          <w:kern w:val="0"/>
          <w:sz w:val="24"/>
        </w:rPr>
        <w:t>根据上表内容填写</w:t>
      </w:r>
      <w:r>
        <w:rPr>
          <w:kern w:val="0"/>
          <w:sz w:val="24"/>
        </w:rPr>
        <w:t>一份“分项报价表”</w:t>
      </w:r>
      <w:r>
        <w:rPr>
          <w:rFonts w:hint="eastAsia"/>
          <w:kern w:val="0"/>
          <w:sz w:val="24"/>
        </w:rPr>
        <w:t>。</w:t>
      </w:r>
    </w:p>
    <w:p>
      <w:pPr>
        <w:autoSpaceDE w:val="0"/>
        <w:autoSpaceDN w:val="0"/>
        <w:adjustRightInd w:val="0"/>
        <w:spacing w:line="400" w:lineRule="atLeast"/>
        <w:rPr>
          <w:kern w:val="0"/>
          <w:sz w:val="24"/>
        </w:rPr>
      </w:pPr>
      <w:r>
        <w:rPr>
          <w:kern w:val="0"/>
          <w:sz w:val="24"/>
        </w:rPr>
        <w:t xml:space="preserve"> 2、分项报价表中合计总价应与开标一览表中的相应报价相一致，不一致时，以开标一览表报价为准。</w:t>
      </w:r>
    </w:p>
    <w:p>
      <w:pPr>
        <w:autoSpaceDE w:val="0"/>
        <w:autoSpaceDN w:val="0"/>
        <w:adjustRightInd w:val="0"/>
        <w:spacing w:line="400" w:lineRule="atLeast"/>
        <w:ind w:firstLine="120" w:firstLineChars="50"/>
        <w:rPr>
          <w:kern w:val="0"/>
          <w:sz w:val="24"/>
        </w:rPr>
      </w:pPr>
      <w:r>
        <w:rPr>
          <w:kern w:val="0"/>
          <w:sz w:val="24"/>
        </w:rPr>
        <w:t>3、此表在不改变格式内容时，可自行制作。</w:t>
      </w:r>
    </w:p>
    <w:p>
      <w:pPr>
        <w:autoSpaceDE w:val="0"/>
        <w:autoSpaceDN w:val="0"/>
        <w:adjustRightInd w:val="0"/>
        <w:spacing w:line="400" w:lineRule="atLeast"/>
        <w:jc w:val="right"/>
        <w:rPr>
          <w:kern w:val="0"/>
          <w:sz w:val="24"/>
          <w:lang w:val="zh-CN"/>
        </w:rPr>
      </w:pPr>
      <w:r>
        <w:rPr>
          <w:kern w:val="0"/>
          <w:sz w:val="24"/>
        </w:rPr>
        <w:t xml:space="preserve">                                 </w:t>
      </w:r>
      <w:r>
        <w:rPr>
          <w:kern w:val="0"/>
          <w:sz w:val="24"/>
          <w:lang w:val="zh-CN"/>
        </w:rPr>
        <w:t xml:space="preserve">      投标人（公章）：     </w:t>
      </w:r>
    </w:p>
    <w:p>
      <w:pPr>
        <w:autoSpaceDE w:val="0"/>
        <w:autoSpaceDN w:val="0"/>
        <w:adjustRightInd w:val="0"/>
        <w:spacing w:line="400" w:lineRule="atLeast"/>
        <w:jc w:val="right"/>
        <w:rPr>
          <w:kern w:val="0"/>
          <w:sz w:val="24"/>
          <w:lang w:val="zh-CN"/>
        </w:rPr>
      </w:pPr>
      <w:r>
        <w:rPr>
          <w:kern w:val="0"/>
          <w:sz w:val="24"/>
          <w:lang w:val="zh-CN"/>
        </w:rPr>
        <w:t xml:space="preserve">                                   法定代表人或授权代表（签字）：     </w:t>
      </w:r>
    </w:p>
    <w:p>
      <w:pPr>
        <w:spacing w:line="400" w:lineRule="atLeast"/>
        <w:jc w:val="center"/>
        <w:rPr>
          <w:kern w:val="0"/>
          <w:sz w:val="24"/>
          <w:lang w:val="zh-CN"/>
        </w:rPr>
      </w:pPr>
      <w:r>
        <w:rPr>
          <w:kern w:val="0"/>
          <w:sz w:val="24"/>
        </w:rPr>
        <w:t xml:space="preserve">                                       </w:t>
      </w:r>
      <w:r>
        <w:rPr>
          <w:kern w:val="0"/>
          <w:sz w:val="24"/>
          <w:lang w:val="zh-CN"/>
        </w:rPr>
        <w:t xml:space="preserve"> 日期：  年 </w:t>
      </w:r>
      <w:r>
        <w:rPr>
          <w:kern w:val="0"/>
          <w:sz w:val="24"/>
        </w:rPr>
        <w:t xml:space="preserve"> </w:t>
      </w:r>
      <w:r>
        <w:rPr>
          <w:kern w:val="0"/>
          <w:sz w:val="24"/>
          <w:lang w:val="zh-CN"/>
        </w:rPr>
        <w:t xml:space="preserve"> 月   日</w:t>
      </w: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p>
    <w:p>
      <w:pPr>
        <w:spacing w:line="480" w:lineRule="auto"/>
        <w:jc w:val="center"/>
        <w:rPr>
          <w:rFonts w:hint="eastAsia" w:ascii="黑体" w:eastAsia="黑体"/>
          <w:sz w:val="44"/>
          <w:szCs w:val="44"/>
        </w:rPr>
      </w:pPr>
      <w:r>
        <w:rPr>
          <w:rFonts w:hint="eastAsia" w:ascii="黑体" w:eastAsia="黑体"/>
          <w:sz w:val="36"/>
          <w:szCs w:val="36"/>
        </w:rPr>
        <w:t>分项报价表</w:t>
      </w:r>
    </w:p>
    <w:p>
      <w:pPr>
        <w:autoSpaceDE w:val="0"/>
        <w:autoSpaceDN w:val="0"/>
        <w:adjustRightInd w:val="0"/>
        <w:spacing w:line="440" w:lineRule="exact"/>
        <w:rPr>
          <w:rFonts w:hint="eastAsia" w:ascii="宋体" w:hAnsi="宋体"/>
          <w:b/>
          <w:kern w:val="0"/>
          <w:sz w:val="24"/>
        </w:rPr>
      </w:pPr>
      <w:r>
        <w:rPr>
          <w:rFonts w:hint="eastAsia" w:ascii="宋体" w:hAnsi="宋体"/>
          <w:b/>
          <w:kern w:val="0"/>
          <w:sz w:val="24"/>
        </w:rPr>
        <w:t>道路保洁及垃圾清运报价表</w:t>
      </w:r>
    </w:p>
    <w:tbl>
      <w:tblPr>
        <w:tblStyle w:val="19"/>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21"/>
        <w:gridCol w:w="1559"/>
        <w:gridCol w:w="2004"/>
        <w:gridCol w:w="210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2" w:type="dxa"/>
            <w:noWrap w:val="0"/>
            <w:vAlign w:val="center"/>
          </w:tcPr>
          <w:p>
            <w:pPr>
              <w:spacing w:line="480" w:lineRule="auto"/>
              <w:jc w:val="center"/>
              <w:rPr>
                <w:rFonts w:ascii="黑体" w:eastAsia="黑体"/>
                <w:sz w:val="28"/>
                <w:szCs w:val="28"/>
              </w:rPr>
            </w:pPr>
            <w:r>
              <w:rPr>
                <w:rFonts w:hint="eastAsia" w:ascii="黑体" w:eastAsia="黑体"/>
                <w:sz w:val="28"/>
                <w:szCs w:val="28"/>
              </w:rPr>
              <w:t>序号</w:t>
            </w:r>
          </w:p>
        </w:tc>
        <w:tc>
          <w:tcPr>
            <w:tcW w:w="1421" w:type="dxa"/>
            <w:noWrap w:val="0"/>
            <w:vAlign w:val="center"/>
          </w:tcPr>
          <w:p>
            <w:pPr>
              <w:spacing w:line="480" w:lineRule="auto"/>
              <w:jc w:val="center"/>
              <w:rPr>
                <w:rFonts w:ascii="黑体" w:eastAsia="黑体"/>
                <w:sz w:val="24"/>
              </w:rPr>
            </w:pPr>
            <w:r>
              <w:rPr>
                <w:rFonts w:hint="eastAsia" w:ascii="黑体" w:eastAsia="黑体"/>
                <w:sz w:val="24"/>
              </w:rPr>
              <w:t>等级</w:t>
            </w:r>
          </w:p>
        </w:tc>
        <w:tc>
          <w:tcPr>
            <w:tcW w:w="1559" w:type="dxa"/>
            <w:noWrap w:val="0"/>
            <w:vAlign w:val="center"/>
          </w:tcPr>
          <w:p>
            <w:pPr>
              <w:spacing w:line="480" w:lineRule="auto"/>
              <w:jc w:val="center"/>
              <w:rPr>
                <w:rFonts w:ascii="黑体" w:eastAsia="黑体"/>
                <w:sz w:val="24"/>
              </w:rPr>
            </w:pPr>
            <w:r>
              <w:rPr>
                <w:rFonts w:hint="eastAsia" w:ascii="黑体" w:eastAsia="黑体"/>
                <w:sz w:val="24"/>
              </w:rPr>
              <w:t>数量</w:t>
            </w:r>
          </w:p>
        </w:tc>
        <w:tc>
          <w:tcPr>
            <w:tcW w:w="2004" w:type="dxa"/>
            <w:noWrap w:val="0"/>
            <w:vAlign w:val="center"/>
          </w:tcPr>
          <w:p>
            <w:pPr>
              <w:spacing w:line="480" w:lineRule="auto"/>
              <w:jc w:val="center"/>
              <w:rPr>
                <w:rFonts w:ascii="黑体" w:eastAsia="黑体"/>
                <w:sz w:val="28"/>
                <w:szCs w:val="28"/>
              </w:rPr>
            </w:pPr>
            <w:r>
              <w:rPr>
                <w:rFonts w:hint="eastAsia" w:ascii="黑体" w:eastAsia="黑体"/>
                <w:sz w:val="28"/>
                <w:szCs w:val="28"/>
              </w:rPr>
              <w:t>综合单价</w:t>
            </w:r>
          </w:p>
        </w:tc>
        <w:tc>
          <w:tcPr>
            <w:tcW w:w="2107" w:type="dxa"/>
            <w:noWrap w:val="0"/>
            <w:vAlign w:val="center"/>
          </w:tcPr>
          <w:p>
            <w:pPr>
              <w:spacing w:line="520" w:lineRule="exact"/>
              <w:jc w:val="center"/>
              <w:rPr>
                <w:rFonts w:ascii="黑体" w:eastAsia="黑体"/>
                <w:sz w:val="28"/>
                <w:szCs w:val="28"/>
              </w:rPr>
            </w:pPr>
            <w:r>
              <w:rPr>
                <w:rFonts w:hint="eastAsia" w:ascii="黑体" w:eastAsia="黑体"/>
                <w:sz w:val="28"/>
                <w:szCs w:val="28"/>
              </w:rPr>
              <w:t>二年合计</w:t>
            </w:r>
          </w:p>
          <w:p>
            <w:pPr>
              <w:spacing w:line="520" w:lineRule="exact"/>
              <w:jc w:val="center"/>
              <w:rPr>
                <w:rFonts w:ascii="黑体" w:eastAsia="黑体"/>
                <w:sz w:val="28"/>
                <w:szCs w:val="28"/>
              </w:rPr>
            </w:pPr>
            <w:r>
              <w:rPr>
                <w:rFonts w:hint="eastAsia" w:ascii="黑体" w:eastAsia="黑体"/>
                <w:sz w:val="28"/>
                <w:szCs w:val="28"/>
              </w:rPr>
              <w:t>（万元）</w:t>
            </w:r>
          </w:p>
        </w:tc>
        <w:tc>
          <w:tcPr>
            <w:tcW w:w="1701" w:type="dxa"/>
            <w:noWrap w:val="0"/>
            <w:vAlign w:val="center"/>
          </w:tcPr>
          <w:p>
            <w:pPr>
              <w:widowControl/>
              <w:jc w:val="center"/>
              <w:rPr>
                <w:rFonts w:ascii="黑体" w:eastAsia="黑体"/>
                <w:sz w:val="28"/>
                <w:szCs w:val="28"/>
              </w:rPr>
            </w:pPr>
            <w:r>
              <w:rPr>
                <w:rFonts w:hint="eastAsia" w:asci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2" w:type="dxa"/>
            <w:noWrap w:val="0"/>
            <w:vAlign w:val="center"/>
          </w:tcPr>
          <w:p>
            <w:pPr>
              <w:jc w:val="center"/>
              <w:rPr>
                <w:rFonts w:ascii="宋体" w:hAnsi="宋体"/>
                <w:sz w:val="24"/>
              </w:rPr>
            </w:pPr>
            <w:r>
              <w:rPr>
                <w:rFonts w:hint="eastAsia" w:ascii="宋体" w:hAnsi="宋体"/>
                <w:sz w:val="24"/>
              </w:rPr>
              <w:t>1</w:t>
            </w:r>
          </w:p>
        </w:tc>
        <w:tc>
          <w:tcPr>
            <w:tcW w:w="1421" w:type="dxa"/>
            <w:noWrap w:val="0"/>
            <w:vAlign w:val="center"/>
          </w:tcPr>
          <w:p>
            <w:pPr>
              <w:jc w:val="center"/>
              <w:rPr>
                <w:rFonts w:ascii="宋体" w:hAnsi="宋体"/>
                <w:sz w:val="24"/>
              </w:rPr>
            </w:pPr>
            <w:r>
              <w:rPr>
                <w:rFonts w:hint="eastAsia" w:ascii="宋体" w:hAnsi="宋体"/>
                <w:sz w:val="24"/>
              </w:rPr>
              <w:t>一类道路</w:t>
            </w:r>
          </w:p>
        </w:tc>
        <w:tc>
          <w:tcPr>
            <w:tcW w:w="1559" w:type="dxa"/>
            <w:noWrap w:val="0"/>
            <w:vAlign w:val="center"/>
          </w:tcPr>
          <w:p>
            <w:pPr>
              <w:jc w:val="center"/>
              <w:rPr>
                <w:rFonts w:ascii="宋体" w:hAnsi="宋体"/>
                <w:color w:val="FF0000"/>
                <w:sz w:val="24"/>
              </w:rPr>
            </w:pPr>
            <w:r>
              <w:rPr>
                <w:rFonts w:hint="eastAsia" w:ascii="宋体" w:hAnsi="宋体"/>
                <w:color w:val="FF0000"/>
                <w:sz w:val="24"/>
              </w:rPr>
              <w:t>125931㎡</w:t>
            </w:r>
          </w:p>
        </w:tc>
        <w:tc>
          <w:tcPr>
            <w:tcW w:w="2004" w:type="dxa"/>
            <w:noWrap w:val="0"/>
            <w:vAlign w:val="center"/>
          </w:tcPr>
          <w:p>
            <w:pPr>
              <w:jc w:val="center"/>
              <w:rPr>
                <w:rFonts w:ascii="宋体" w:hAnsi="宋体"/>
                <w:sz w:val="24"/>
              </w:rPr>
            </w:pPr>
          </w:p>
        </w:tc>
        <w:tc>
          <w:tcPr>
            <w:tcW w:w="2107" w:type="dxa"/>
            <w:noWrap w:val="0"/>
            <w:vAlign w:val="center"/>
          </w:tcPr>
          <w:p>
            <w:pPr>
              <w:jc w:val="center"/>
              <w:rPr>
                <w:rFonts w:ascii="宋体" w:hAnsi="宋体"/>
                <w:sz w:val="24"/>
              </w:rPr>
            </w:pPr>
          </w:p>
        </w:tc>
        <w:tc>
          <w:tcPr>
            <w:tcW w:w="1701"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2" w:type="dxa"/>
            <w:noWrap w:val="0"/>
            <w:vAlign w:val="center"/>
          </w:tcPr>
          <w:p>
            <w:pPr>
              <w:jc w:val="center"/>
              <w:rPr>
                <w:rFonts w:hint="eastAsia" w:ascii="宋体" w:hAnsi="宋体"/>
                <w:sz w:val="24"/>
              </w:rPr>
            </w:pPr>
            <w:r>
              <w:rPr>
                <w:rFonts w:hint="eastAsia" w:ascii="宋体" w:hAnsi="宋体"/>
                <w:sz w:val="24"/>
              </w:rPr>
              <w:t>2</w:t>
            </w:r>
          </w:p>
        </w:tc>
        <w:tc>
          <w:tcPr>
            <w:tcW w:w="1421" w:type="dxa"/>
            <w:noWrap w:val="0"/>
            <w:vAlign w:val="center"/>
          </w:tcPr>
          <w:p>
            <w:pPr>
              <w:jc w:val="center"/>
              <w:rPr>
                <w:rFonts w:ascii="宋体" w:hAnsi="宋体"/>
                <w:sz w:val="24"/>
              </w:rPr>
            </w:pPr>
            <w:r>
              <w:rPr>
                <w:rFonts w:hint="eastAsia" w:ascii="宋体" w:hAnsi="宋体"/>
                <w:sz w:val="24"/>
              </w:rPr>
              <w:t>三类道路</w:t>
            </w:r>
          </w:p>
        </w:tc>
        <w:tc>
          <w:tcPr>
            <w:tcW w:w="1559" w:type="dxa"/>
            <w:noWrap w:val="0"/>
            <w:vAlign w:val="center"/>
          </w:tcPr>
          <w:p>
            <w:pPr>
              <w:jc w:val="center"/>
              <w:rPr>
                <w:rFonts w:ascii="宋体" w:hAnsi="宋体"/>
                <w:color w:val="FF0000"/>
                <w:sz w:val="24"/>
              </w:rPr>
            </w:pPr>
            <w:r>
              <w:rPr>
                <w:rFonts w:hint="eastAsia" w:ascii="宋体" w:hAnsi="宋体"/>
                <w:color w:val="FF0000"/>
                <w:sz w:val="24"/>
              </w:rPr>
              <w:t>281949㎡</w:t>
            </w:r>
          </w:p>
        </w:tc>
        <w:tc>
          <w:tcPr>
            <w:tcW w:w="2004" w:type="dxa"/>
            <w:noWrap w:val="0"/>
            <w:vAlign w:val="center"/>
          </w:tcPr>
          <w:p>
            <w:pPr>
              <w:jc w:val="center"/>
              <w:rPr>
                <w:rFonts w:ascii="宋体" w:hAnsi="宋体"/>
                <w:sz w:val="24"/>
              </w:rPr>
            </w:pPr>
          </w:p>
        </w:tc>
        <w:tc>
          <w:tcPr>
            <w:tcW w:w="2107" w:type="dxa"/>
            <w:noWrap w:val="0"/>
            <w:vAlign w:val="center"/>
          </w:tcPr>
          <w:p>
            <w:pPr>
              <w:jc w:val="center"/>
              <w:rPr>
                <w:rFonts w:ascii="宋体" w:hAnsi="宋体"/>
                <w:sz w:val="24"/>
              </w:rPr>
            </w:pPr>
          </w:p>
        </w:tc>
        <w:tc>
          <w:tcPr>
            <w:tcW w:w="1701" w:type="dxa"/>
            <w:noWrap w:val="0"/>
            <w:vAlign w:val="center"/>
          </w:tcPr>
          <w:p>
            <w:pPr>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2" w:type="dxa"/>
            <w:noWrap w:val="0"/>
            <w:vAlign w:val="center"/>
          </w:tcPr>
          <w:p>
            <w:pPr>
              <w:jc w:val="center"/>
              <w:rPr>
                <w:rFonts w:hint="eastAsia" w:ascii="宋体" w:hAnsi="宋体"/>
                <w:sz w:val="24"/>
              </w:rPr>
            </w:pPr>
            <w:r>
              <w:rPr>
                <w:rFonts w:hint="eastAsia" w:ascii="宋体" w:hAnsi="宋体"/>
                <w:sz w:val="24"/>
              </w:rPr>
              <w:t>3</w:t>
            </w:r>
          </w:p>
        </w:tc>
        <w:tc>
          <w:tcPr>
            <w:tcW w:w="1421" w:type="dxa"/>
            <w:noWrap w:val="0"/>
            <w:vAlign w:val="center"/>
          </w:tcPr>
          <w:p>
            <w:pPr>
              <w:jc w:val="center"/>
              <w:rPr>
                <w:rFonts w:hint="eastAsia" w:ascii="宋体" w:hAnsi="宋体"/>
                <w:sz w:val="24"/>
              </w:rPr>
            </w:pPr>
            <w:r>
              <w:rPr>
                <w:rFonts w:hint="eastAsia" w:ascii="宋体" w:hAnsi="宋体"/>
                <w:sz w:val="24"/>
              </w:rPr>
              <w:t>垃圾清运</w:t>
            </w:r>
          </w:p>
        </w:tc>
        <w:tc>
          <w:tcPr>
            <w:tcW w:w="1559" w:type="dxa"/>
            <w:noWrap w:val="0"/>
            <w:vAlign w:val="center"/>
          </w:tcPr>
          <w:p>
            <w:pPr>
              <w:jc w:val="center"/>
              <w:rPr>
                <w:rFonts w:hint="eastAsia" w:ascii="宋体" w:hAnsi="宋体"/>
                <w:color w:val="FF0000"/>
                <w:sz w:val="24"/>
              </w:rPr>
            </w:pPr>
            <w:r>
              <w:rPr>
                <w:rFonts w:hint="eastAsia" w:ascii="宋体" w:hAnsi="宋体"/>
                <w:color w:val="FF0000"/>
                <w:sz w:val="24"/>
              </w:rPr>
              <w:t>15000吨/年</w:t>
            </w:r>
          </w:p>
        </w:tc>
        <w:tc>
          <w:tcPr>
            <w:tcW w:w="2004" w:type="dxa"/>
            <w:noWrap w:val="0"/>
            <w:vAlign w:val="center"/>
          </w:tcPr>
          <w:p>
            <w:pPr>
              <w:jc w:val="center"/>
              <w:rPr>
                <w:rFonts w:ascii="宋体" w:hAnsi="宋体"/>
                <w:sz w:val="24"/>
              </w:rPr>
            </w:pPr>
          </w:p>
        </w:tc>
        <w:tc>
          <w:tcPr>
            <w:tcW w:w="2107" w:type="dxa"/>
            <w:noWrap w:val="0"/>
            <w:vAlign w:val="center"/>
          </w:tcPr>
          <w:p>
            <w:pPr>
              <w:jc w:val="center"/>
              <w:rPr>
                <w:rFonts w:ascii="宋体" w:hAnsi="宋体"/>
                <w:sz w:val="24"/>
              </w:rPr>
            </w:pPr>
          </w:p>
        </w:tc>
        <w:tc>
          <w:tcPr>
            <w:tcW w:w="1701" w:type="dxa"/>
            <w:noWrap w:val="0"/>
            <w:vAlign w:val="center"/>
          </w:tcPr>
          <w:p>
            <w:pPr>
              <w:jc w:val="center"/>
              <w:rPr>
                <w:rFonts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32" w:type="dxa"/>
            <w:noWrap w:val="0"/>
            <w:vAlign w:val="top"/>
          </w:tcPr>
          <w:p>
            <w:pPr>
              <w:spacing w:line="480" w:lineRule="auto"/>
              <w:jc w:val="center"/>
              <w:rPr>
                <w:rFonts w:hint="eastAsia" w:ascii="黑体" w:eastAsia="黑体"/>
                <w:sz w:val="24"/>
              </w:rPr>
            </w:pPr>
            <w:r>
              <w:rPr>
                <w:rFonts w:hint="eastAsia" w:ascii="黑体" w:eastAsia="黑体"/>
                <w:sz w:val="24"/>
              </w:rPr>
              <w:t>4</w:t>
            </w:r>
          </w:p>
        </w:tc>
        <w:tc>
          <w:tcPr>
            <w:tcW w:w="2980" w:type="dxa"/>
            <w:gridSpan w:val="2"/>
            <w:noWrap w:val="0"/>
            <w:vAlign w:val="top"/>
          </w:tcPr>
          <w:p>
            <w:pPr>
              <w:spacing w:line="480" w:lineRule="auto"/>
              <w:jc w:val="center"/>
              <w:rPr>
                <w:rFonts w:ascii="黑体" w:eastAsia="黑体"/>
                <w:sz w:val="24"/>
              </w:rPr>
            </w:pPr>
            <w:r>
              <w:rPr>
                <w:rFonts w:hint="eastAsia" w:ascii="黑体" w:eastAsia="黑体"/>
                <w:sz w:val="24"/>
              </w:rPr>
              <w:t>投标总报价</w:t>
            </w:r>
          </w:p>
        </w:tc>
        <w:tc>
          <w:tcPr>
            <w:tcW w:w="4111" w:type="dxa"/>
            <w:gridSpan w:val="2"/>
            <w:noWrap w:val="0"/>
            <w:vAlign w:val="top"/>
          </w:tcPr>
          <w:p>
            <w:pPr>
              <w:spacing w:line="480" w:lineRule="auto"/>
              <w:jc w:val="center"/>
              <w:rPr>
                <w:rFonts w:ascii="黑体" w:eastAsia="黑体"/>
                <w:sz w:val="24"/>
              </w:rPr>
            </w:pPr>
          </w:p>
        </w:tc>
        <w:tc>
          <w:tcPr>
            <w:tcW w:w="1701" w:type="dxa"/>
            <w:noWrap w:val="0"/>
            <w:vAlign w:val="top"/>
          </w:tcPr>
          <w:p>
            <w:pPr>
              <w:spacing w:line="480" w:lineRule="auto"/>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3612" w:type="dxa"/>
            <w:gridSpan w:val="3"/>
            <w:noWrap w:val="0"/>
            <w:vAlign w:val="center"/>
          </w:tcPr>
          <w:p>
            <w:pPr>
              <w:spacing w:line="480" w:lineRule="auto"/>
              <w:jc w:val="center"/>
              <w:rPr>
                <w:rFonts w:hint="eastAsia" w:ascii="黑体" w:eastAsia="黑体"/>
                <w:sz w:val="28"/>
                <w:szCs w:val="28"/>
              </w:rPr>
            </w:pPr>
            <w:r>
              <w:rPr>
                <w:rFonts w:hint="eastAsia" w:ascii="黑体" w:eastAsia="黑体"/>
                <w:sz w:val="28"/>
                <w:szCs w:val="28"/>
              </w:rPr>
              <w:t>投标总报价（二年）</w:t>
            </w:r>
          </w:p>
        </w:tc>
        <w:tc>
          <w:tcPr>
            <w:tcW w:w="5812" w:type="dxa"/>
            <w:gridSpan w:val="3"/>
            <w:noWrap w:val="0"/>
            <w:vAlign w:val="center"/>
          </w:tcPr>
          <w:p>
            <w:pPr>
              <w:spacing w:line="480" w:lineRule="auto"/>
              <w:rPr>
                <w:rFonts w:ascii="黑体" w:eastAsia="黑体"/>
                <w:sz w:val="28"/>
                <w:szCs w:val="28"/>
              </w:rPr>
            </w:pPr>
            <w:r>
              <w:rPr>
                <w:rFonts w:hint="eastAsia" w:ascii="黑体" w:eastAsia="黑体"/>
                <w:sz w:val="28"/>
                <w:szCs w:val="28"/>
              </w:rPr>
              <w:t xml:space="preserve">人民币大写   （报价保留到元）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9424" w:type="dxa"/>
            <w:gridSpan w:val="6"/>
            <w:noWrap w:val="0"/>
            <w:vAlign w:val="center"/>
          </w:tcPr>
          <w:p>
            <w:pPr>
              <w:spacing w:line="480" w:lineRule="auto"/>
              <w:rPr>
                <w:rFonts w:hint="eastAsia"/>
                <w:sz w:val="24"/>
                <w:u w:val="single"/>
              </w:rPr>
            </w:pPr>
            <w:r>
              <w:rPr>
                <w:rFonts w:hint="eastAsia" w:ascii="黑体" w:eastAsia="黑体"/>
                <w:sz w:val="28"/>
                <w:szCs w:val="28"/>
              </w:rPr>
              <w:t>说明：1、</w:t>
            </w:r>
            <w:r>
              <w:rPr>
                <w:rFonts w:hint="eastAsia"/>
                <w:sz w:val="24"/>
              </w:rPr>
              <w:t>一类道路不得高于</w:t>
            </w:r>
            <w:r>
              <w:rPr>
                <w:rFonts w:hint="eastAsia"/>
                <w:sz w:val="24"/>
                <w:u w:val="single"/>
              </w:rPr>
              <w:t>16.52元/㎡/年</w:t>
            </w:r>
            <w:r>
              <w:rPr>
                <w:rFonts w:hint="eastAsia"/>
                <w:sz w:val="24"/>
              </w:rPr>
              <w:t>，三类道路不得高于</w:t>
            </w:r>
            <w:r>
              <w:rPr>
                <w:rFonts w:hint="eastAsia"/>
                <w:sz w:val="24"/>
                <w:u w:val="single"/>
              </w:rPr>
              <w:t>10.82元/㎡/年，</w:t>
            </w:r>
          </w:p>
          <w:p>
            <w:pPr>
              <w:spacing w:line="480" w:lineRule="auto"/>
              <w:rPr>
                <w:sz w:val="24"/>
                <w:u w:val="single"/>
              </w:rPr>
            </w:pPr>
            <w:r>
              <w:rPr>
                <w:rFonts w:hint="eastAsia"/>
                <w:sz w:val="24"/>
                <w:u w:val="single"/>
              </w:rPr>
              <w:t>最高报价不得高于600万元/年；</w:t>
            </w:r>
            <w:r>
              <w:rPr>
                <w:kern w:val="0"/>
                <w:sz w:val="24"/>
              </w:rPr>
              <w:t>2</w:t>
            </w:r>
            <w:r>
              <w:rPr>
                <w:rFonts w:hint="eastAsia"/>
                <w:kern w:val="0"/>
                <w:sz w:val="24"/>
              </w:rPr>
              <w:t>、</w:t>
            </w:r>
            <w:r>
              <w:rPr>
                <w:kern w:val="0"/>
                <w:sz w:val="24"/>
              </w:rPr>
              <w:t>不符合要求的，视为投标无效。</w:t>
            </w:r>
            <w:r>
              <w:rPr>
                <w:sz w:val="24"/>
              </w:rPr>
              <w:t>3</w:t>
            </w:r>
            <w:r>
              <w:rPr>
                <w:rFonts w:hint="eastAsia"/>
                <w:bCs/>
                <w:sz w:val="24"/>
              </w:rPr>
              <w:t>、</w:t>
            </w:r>
            <w:r>
              <w:rPr>
                <w:bCs/>
                <w:sz w:val="24"/>
              </w:rPr>
              <w:t>其他报价不得低于相关比率投标报价四舍五入到元</w:t>
            </w:r>
          </w:p>
        </w:tc>
      </w:tr>
    </w:tbl>
    <w:p>
      <w:pPr>
        <w:spacing w:line="480" w:lineRule="auto"/>
        <w:jc w:val="center"/>
        <w:rPr>
          <w:rFonts w:ascii="黑体" w:eastAsia="黑体"/>
          <w:sz w:val="44"/>
          <w:szCs w:val="44"/>
        </w:rPr>
      </w:pPr>
    </w:p>
    <w:p>
      <w:pPr>
        <w:spacing w:line="480" w:lineRule="auto"/>
        <w:jc w:val="center"/>
        <w:rPr>
          <w:rFonts w:ascii="黑体" w:eastAsia="黑体"/>
          <w:sz w:val="44"/>
          <w:szCs w:val="44"/>
        </w:rPr>
      </w:pPr>
    </w:p>
    <w:p>
      <w:pPr>
        <w:rPr>
          <w:rFonts w:ascii="黑体" w:hAnsi="宋体" w:eastAsia="黑体"/>
          <w:sz w:val="28"/>
          <w:szCs w:val="28"/>
        </w:rPr>
      </w:pPr>
      <w:r>
        <w:rPr>
          <w:rFonts w:hint="eastAsia" w:ascii="黑体" w:hAnsi="宋体" w:eastAsia="黑体"/>
          <w:sz w:val="28"/>
          <w:szCs w:val="28"/>
        </w:rPr>
        <w:t>投标人：               （盖章）</w:t>
      </w:r>
    </w:p>
    <w:p>
      <w:pPr>
        <w:rPr>
          <w:rFonts w:ascii="黑体" w:hAnsi="宋体" w:eastAsia="黑体"/>
          <w:sz w:val="28"/>
          <w:szCs w:val="28"/>
        </w:rPr>
      </w:pPr>
      <w:r>
        <w:rPr>
          <w:rFonts w:hint="eastAsia" w:ascii="黑体" w:hAnsi="宋体" w:eastAsia="黑体"/>
          <w:sz w:val="28"/>
          <w:szCs w:val="28"/>
        </w:rPr>
        <w:t>法定代表人或委托代理人：（签字或盖章）</w:t>
      </w:r>
    </w:p>
    <w:p>
      <w:pPr>
        <w:rPr>
          <w:rFonts w:ascii="黑体" w:hAnsi="宋体" w:eastAsia="黑体"/>
          <w:sz w:val="28"/>
          <w:szCs w:val="28"/>
        </w:rPr>
      </w:pPr>
    </w:p>
    <w:p>
      <w:pPr>
        <w:ind w:firstLine="4480" w:firstLineChars="1600"/>
        <w:rPr>
          <w:rFonts w:ascii="黑体" w:hAnsi="宋体" w:eastAsia="黑体"/>
          <w:sz w:val="28"/>
          <w:szCs w:val="28"/>
        </w:rPr>
      </w:pPr>
      <w:r>
        <w:rPr>
          <w:rFonts w:hint="eastAsia" w:ascii="黑体" w:hAnsi="宋体" w:eastAsia="黑体"/>
          <w:sz w:val="28"/>
          <w:szCs w:val="28"/>
        </w:rPr>
        <w:t>日期：   年   月    日</w:t>
      </w:r>
    </w:p>
    <w:p>
      <w:pPr>
        <w:spacing w:line="440" w:lineRule="exact"/>
        <w:jc w:val="right"/>
        <w:rPr>
          <w:rFonts w:hint="eastAsia" w:ascii="宋体" w:hAnsi="宋体" w:cs="仿宋_GB2312"/>
          <w:kern w:val="0"/>
          <w:sz w:val="24"/>
          <w:lang w:val="zh-CN"/>
        </w:rPr>
      </w:pPr>
      <w:r>
        <w:rPr>
          <w:kern w:val="0"/>
          <w:sz w:val="24"/>
          <w:lang w:val="zh-CN"/>
        </w:rPr>
        <w:t xml:space="preserve"> </w:t>
      </w:r>
      <w:r>
        <w:rPr>
          <w:rFonts w:hint="eastAsia" w:ascii="宋体" w:hAnsi="宋体" w:cs="仿宋_GB2312"/>
          <w:kern w:val="0"/>
          <w:sz w:val="24"/>
          <w:lang w:val="zh-CN"/>
        </w:rPr>
        <w:t xml:space="preserve">   </w:t>
      </w:r>
    </w:p>
    <w:p>
      <w:pPr>
        <w:spacing w:line="440" w:lineRule="exact"/>
        <w:jc w:val="right"/>
        <w:rPr>
          <w:rFonts w:hint="eastAsia" w:ascii="宋体" w:hAnsi="宋体" w:cs="仿宋_GB2312"/>
          <w:kern w:val="0"/>
          <w:sz w:val="24"/>
          <w:lang w:val="zh-CN"/>
        </w:rPr>
      </w:pPr>
    </w:p>
    <w:p>
      <w:pPr>
        <w:spacing w:line="440" w:lineRule="exact"/>
        <w:jc w:val="right"/>
        <w:rPr>
          <w:rFonts w:hint="eastAsia" w:ascii="宋体" w:hAnsi="宋体" w:cs="仿宋_GB2312"/>
          <w:kern w:val="0"/>
          <w:sz w:val="24"/>
          <w:lang w:val="zh-CN"/>
        </w:rPr>
      </w:pPr>
    </w:p>
    <w:p>
      <w:pPr>
        <w:spacing w:line="440" w:lineRule="exact"/>
        <w:jc w:val="right"/>
        <w:rPr>
          <w:rFonts w:hint="eastAsia" w:ascii="宋体" w:hAnsi="宋体" w:cs="仿宋_GB2312"/>
          <w:kern w:val="0"/>
          <w:sz w:val="24"/>
          <w:lang w:val="zh-CN"/>
        </w:rPr>
      </w:pPr>
    </w:p>
    <w:p>
      <w:pPr>
        <w:spacing w:line="440" w:lineRule="exact"/>
        <w:jc w:val="center"/>
        <w:rPr>
          <w:rFonts w:hint="eastAsia" w:ascii="宋体" w:hAnsi="宋体" w:cs="宋体"/>
          <w:b/>
          <w:kern w:val="0"/>
          <w:sz w:val="32"/>
          <w:szCs w:val="32"/>
        </w:rPr>
      </w:pPr>
    </w:p>
    <w:p>
      <w:pPr>
        <w:spacing w:line="400" w:lineRule="atLeast"/>
        <w:jc w:val="center"/>
        <w:rPr>
          <w:rFonts w:hint="eastAsia"/>
          <w:b/>
          <w:color w:val="000000"/>
          <w:kern w:val="0"/>
          <w:sz w:val="32"/>
          <w:szCs w:val="32"/>
        </w:rPr>
      </w:pPr>
    </w:p>
    <w:p>
      <w:pPr>
        <w:spacing w:line="400" w:lineRule="atLeast"/>
        <w:jc w:val="center"/>
        <w:rPr>
          <w:rFonts w:hint="eastAsia"/>
          <w:b/>
          <w:color w:val="000000"/>
          <w:kern w:val="0"/>
          <w:sz w:val="32"/>
          <w:szCs w:val="32"/>
        </w:rPr>
      </w:pPr>
    </w:p>
    <w:p>
      <w:pPr>
        <w:spacing w:line="400" w:lineRule="atLeast"/>
        <w:jc w:val="center"/>
        <w:rPr>
          <w:b/>
          <w:color w:val="000000"/>
          <w:kern w:val="0"/>
          <w:sz w:val="32"/>
          <w:szCs w:val="32"/>
        </w:rPr>
      </w:pPr>
      <w:r>
        <w:rPr>
          <w:rFonts w:hint="eastAsia"/>
          <w:b/>
          <w:color w:val="000000"/>
          <w:kern w:val="0"/>
          <w:sz w:val="32"/>
          <w:szCs w:val="32"/>
        </w:rPr>
        <w:t>三</w:t>
      </w:r>
      <w:r>
        <w:rPr>
          <w:b/>
          <w:color w:val="000000"/>
          <w:kern w:val="0"/>
          <w:sz w:val="32"/>
          <w:szCs w:val="32"/>
        </w:rPr>
        <w:t>、评分对应表</w:t>
      </w:r>
    </w:p>
    <w:p>
      <w:pPr>
        <w:spacing w:line="400" w:lineRule="atLeast"/>
        <w:ind w:firstLine="361" w:firstLineChars="150"/>
        <w:jc w:val="left"/>
        <w:rPr>
          <w:b/>
          <w:color w:val="000000"/>
          <w:kern w:val="0"/>
          <w:sz w:val="24"/>
        </w:rPr>
      </w:pPr>
      <w:r>
        <w:rPr>
          <w:b/>
          <w:color w:val="000000"/>
          <w:kern w:val="0"/>
          <w:sz w:val="24"/>
        </w:rPr>
        <w:t xml:space="preserve">                                   </w:t>
      </w:r>
    </w:p>
    <w:p>
      <w:pPr>
        <w:autoSpaceDE w:val="0"/>
        <w:autoSpaceDN w:val="0"/>
        <w:adjustRightInd w:val="0"/>
        <w:spacing w:line="400" w:lineRule="atLeast"/>
        <w:ind w:firstLine="479" w:firstLineChars="199"/>
        <w:rPr>
          <w:rFonts w:hint="eastAsia"/>
          <w:b/>
          <w:color w:val="000000"/>
          <w:kern w:val="0"/>
          <w:sz w:val="24"/>
        </w:rPr>
      </w:pPr>
      <w:r>
        <w:rPr>
          <w:b/>
          <w:color w:val="000000"/>
          <w:kern w:val="0"/>
          <w:sz w:val="24"/>
        </w:rPr>
        <w:t>项目编号：</w:t>
      </w:r>
    </w:p>
    <w:p>
      <w:pPr>
        <w:autoSpaceDE w:val="0"/>
        <w:autoSpaceDN w:val="0"/>
        <w:adjustRightInd w:val="0"/>
        <w:spacing w:line="400" w:lineRule="atLeast"/>
        <w:ind w:firstLine="479" w:firstLineChars="199"/>
        <w:rPr>
          <w:b/>
          <w:color w:val="000000"/>
          <w:kern w:val="0"/>
          <w:sz w:val="24"/>
        </w:rPr>
      </w:pPr>
      <w:r>
        <w:rPr>
          <w:rFonts w:hint="eastAsia" w:ascii="宋体" w:hAnsi="宋体" w:cs="宋体"/>
          <w:b/>
          <w:bCs/>
          <w:color w:val="000000"/>
          <w:kern w:val="0"/>
          <w:sz w:val="24"/>
        </w:rPr>
        <w:t>标项序号：</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7"/>
        <w:gridCol w:w="1318"/>
        <w:gridCol w:w="3124"/>
        <w:gridCol w:w="2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r>
              <w:rPr>
                <w:b/>
                <w:bCs/>
                <w:color w:val="000000"/>
                <w:sz w:val="24"/>
                <w:szCs w:val="24"/>
              </w:rPr>
              <w:t>序号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r>
              <w:rPr>
                <w:b/>
                <w:bCs/>
                <w:color w:val="000000"/>
                <w:sz w:val="24"/>
                <w:szCs w:val="24"/>
              </w:rPr>
              <w:t>评审内容</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r>
              <w:rPr>
                <w:b/>
                <w:bCs/>
                <w:color w:val="000000"/>
                <w:sz w:val="24"/>
                <w:szCs w:val="24"/>
              </w:rPr>
              <w:t>评分标准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r>
              <w:rPr>
                <w:b/>
                <w:bCs/>
                <w:color w:val="000000"/>
                <w:sz w:val="24"/>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0"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r>
              <w:rPr>
                <w:b/>
                <w:bCs/>
                <w:color w:val="000000"/>
                <w:sz w:val="24"/>
                <w:szCs w:val="24"/>
              </w:rPr>
              <w:t>一</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r>
              <w:rPr>
                <w:b/>
                <w:bCs/>
                <w:color w:val="000000"/>
                <w:sz w:val="24"/>
                <w:szCs w:val="24"/>
              </w:rPr>
              <w:t>技术分</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ind w:firstLine="482"/>
              <w:jc w:val="center"/>
              <w:rPr>
                <w:b/>
                <w:bCs/>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74"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r>
              <w:rPr>
                <w:color w:val="000000"/>
                <w:sz w:val="24"/>
              </w:rPr>
              <w:t>1</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sz w:val="24"/>
              </w:rPr>
            </w:pPr>
          </w:p>
        </w:tc>
        <w:tc>
          <w:tcPr>
            <w:tcW w:w="3124" w:type="dxa"/>
            <w:tcBorders>
              <w:top w:val="single" w:color="auto" w:sz="4" w:space="0"/>
              <w:left w:val="single" w:color="auto" w:sz="4" w:space="0"/>
              <w:right w:val="single" w:color="auto" w:sz="4" w:space="0"/>
            </w:tcBorders>
            <w:noWrap w:val="0"/>
            <w:vAlign w:val="center"/>
          </w:tcPr>
          <w:p>
            <w:pPr>
              <w:spacing w:line="400" w:lineRule="atLeast"/>
              <w:jc w:val="center"/>
              <w:rPr>
                <w:color w:val="000000"/>
                <w:sz w:val="24"/>
              </w:rPr>
            </w:pPr>
          </w:p>
        </w:tc>
        <w:tc>
          <w:tcPr>
            <w:tcW w:w="2700" w:type="dxa"/>
            <w:tcBorders>
              <w:top w:val="single" w:color="auto" w:sz="4" w:space="0"/>
              <w:left w:val="single" w:color="auto" w:sz="4" w:space="0"/>
              <w:right w:val="single" w:color="auto" w:sz="4" w:space="0"/>
            </w:tcBorders>
            <w:noWrap w:val="0"/>
            <w:vAlign w:val="center"/>
          </w:tcPr>
          <w:p>
            <w:pPr>
              <w:spacing w:line="400" w:lineRule="atLeast"/>
              <w:jc w:val="center"/>
              <w:rPr>
                <w:bCs/>
                <w:color w:val="000000"/>
                <w:sz w:val="24"/>
              </w:rPr>
            </w:pPr>
            <w:r>
              <w:rPr>
                <w:bCs/>
                <w:color w:val="000000"/>
                <w:sz w:val="24"/>
              </w:rPr>
              <w:t>详见技术文件第几页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046"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r>
              <w:rPr>
                <w:color w:val="000000"/>
                <w:sz w:val="24"/>
              </w:rPr>
              <w:t>2</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sz w:val="24"/>
              </w:rPr>
            </w:pPr>
          </w:p>
        </w:tc>
        <w:tc>
          <w:tcPr>
            <w:tcW w:w="3124" w:type="dxa"/>
            <w:tcBorders>
              <w:top w:val="single" w:color="auto" w:sz="4" w:space="0"/>
              <w:left w:val="single" w:color="auto" w:sz="4" w:space="0"/>
              <w:right w:val="single" w:color="auto" w:sz="4" w:space="0"/>
            </w:tcBorders>
            <w:noWrap w:val="0"/>
            <w:vAlign w:val="center"/>
          </w:tcPr>
          <w:p>
            <w:pPr>
              <w:widowControl/>
              <w:spacing w:line="400" w:lineRule="atLeast"/>
              <w:jc w:val="center"/>
              <w:rPr>
                <w:color w:val="000000"/>
                <w:kern w:val="0"/>
                <w:sz w:val="24"/>
              </w:rPr>
            </w:pPr>
          </w:p>
        </w:tc>
        <w:tc>
          <w:tcPr>
            <w:tcW w:w="2700" w:type="dxa"/>
            <w:tcBorders>
              <w:top w:val="single" w:color="auto" w:sz="4" w:space="0"/>
              <w:left w:val="single" w:color="auto" w:sz="4" w:space="0"/>
              <w:right w:val="single" w:color="auto" w:sz="4" w:space="0"/>
            </w:tcBorders>
            <w:noWrap w:val="0"/>
            <w:vAlign w:val="center"/>
          </w:tcPr>
          <w:p>
            <w:pPr>
              <w:spacing w:line="400" w:lineRule="atLeast"/>
              <w:jc w:val="center"/>
              <w:rPr>
                <w:bCs/>
                <w:color w:val="000000"/>
                <w:sz w:val="24"/>
              </w:rPr>
            </w:pPr>
            <w:r>
              <w:rPr>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762" w:hRule="atLeast"/>
          <w:jc w:val="center"/>
        </w:trPr>
        <w:tc>
          <w:tcPr>
            <w:tcW w:w="1127" w:type="dxa"/>
            <w:tcBorders>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r>
              <w:rPr>
                <w:color w:val="000000"/>
                <w:sz w:val="24"/>
              </w:rPr>
              <w:t>……</w:t>
            </w:r>
          </w:p>
        </w:tc>
        <w:tc>
          <w:tcPr>
            <w:tcW w:w="1318" w:type="dxa"/>
            <w:tcBorders>
              <w:left w:val="single" w:color="auto" w:sz="4" w:space="0"/>
              <w:bottom w:val="single" w:color="auto" w:sz="4" w:space="0"/>
              <w:right w:val="single" w:color="auto" w:sz="4" w:space="0"/>
            </w:tcBorders>
            <w:noWrap w:val="0"/>
            <w:vAlign w:val="center"/>
          </w:tcPr>
          <w:p>
            <w:pPr>
              <w:widowControl/>
              <w:spacing w:line="400" w:lineRule="atLeast"/>
              <w:jc w:val="center"/>
              <w:rPr>
                <w:color w:val="000000"/>
                <w:kern w:val="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ind w:left="55" w:leftChars="26"/>
              <w:jc w:val="center"/>
              <w:rPr>
                <w:color w:val="000000"/>
                <w:kern w:val="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b/>
                <w:color w:val="000000"/>
                <w:sz w:val="24"/>
              </w:rPr>
            </w:pPr>
            <w:r>
              <w:rPr>
                <w:b/>
                <w:color w:val="000000"/>
                <w:sz w:val="24"/>
              </w:rPr>
              <w:t>二</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b/>
                <w:color w:val="000000"/>
                <w:sz w:val="24"/>
              </w:rPr>
            </w:pPr>
            <w:r>
              <w:rPr>
                <w:b/>
                <w:color w:val="000000"/>
                <w:sz w:val="24"/>
              </w:rPr>
              <w:t>商务分</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50"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kern w:val="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kern w:val="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rPr>
                <w:bCs/>
                <w:color w:val="000000"/>
                <w:sz w:val="24"/>
              </w:rPr>
            </w:pPr>
            <w:r>
              <w:rPr>
                <w:bCs/>
                <w:color w:val="000000"/>
                <w:sz w:val="24"/>
              </w:rPr>
              <w:t>详见商务文件第几页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color w:val="000000"/>
                <w:sz w:val="24"/>
                <w:szCs w:val="24"/>
              </w:rPr>
            </w:pPr>
            <w:r>
              <w:rPr>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05"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22" w:hRule="atLeast"/>
          <w:jc w:val="center"/>
        </w:trPr>
        <w:tc>
          <w:tcPr>
            <w:tcW w:w="1127" w:type="dxa"/>
            <w:tcBorders>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left w:val="single" w:color="auto" w:sz="4" w:space="0"/>
              <w:bottom w:val="single" w:color="auto" w:sz="4" w:space="0"/>
              <w:right w:val="single" w:color="auto" w:sz="4" w:space="0"/>
            </w:tcBorders>
            <w:noWrap w:val="0"/>
            <w:vAlign w:val="center"/>
          </w:tcPr>
          <w:p>
            <w:pPr>
              <w:widowControl/>
              <w:spacing w:line="400" w:lineRule="atLeast"/>
              <w:jc w:val="center"/>
              <w:rPr>
                <w:b/>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atLeast"/>
              <w:jc w:val="center"/>
              <w:rPr>
                <w:color w:val="000000"/>
                <w:sz w:val="24"/>
                <w:szCs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28" w:hRule="atLeast"/>
          <w:jc w:val="center"/>
        </w:trPr>
        <w:tc>
          <w:tcPr>
            <w:tcW w:w="1127" w:type="dxa"/>
            <w:tcBorders>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28" w:hRule="atLeast"/>
          <w:jc w:val="center"/>
        </w:trPr>
        <w:tc>
          <w:tcPr>
            <w:tcW w:w="11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atLeast"/>
              <w:jc w:val="center"/>
              <w:rPr>
                <w:color w:val="000000"/>
                <w:sz w:val="24"/>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400" w:lineRule="atLeast"/>
              <w:jc w:val="center"/>
              <w:rPr>
                <w:bCs/>
                <w:color w:val="000000"/>
                <w:sz w:val="24"/>
              </w:rPr>
            </w:pPr>
          </w:p>
        </w:tc>
        <w:tc>
          <w:tcPr>
            <w:tcW w:w="2700" w:type="dxa"/>
            <w:tcBorders>
              <w:top w:val="single" w:color="auto" w:sz="4" w:space="0"/>
              <w:left w:val="single" w:color="auto" w:sz="4" w:space="0"/>
              <w:right w:val="single" w:color="auto" w:sz="4" w:space="0"/>
            </w:tcBorders>
            <w:noWrap w:val="0"/>
            <w:vAlign w:val="center"/>
          </w:tcPr>
          <w:p>
            <w:pPr>
              <w:spacing w:line="400" w:lineRule="atLeast"/>
              <w:jc w:val="center"/>
              <w:rPr>
                <w:bCs/>
                <w:color w:val="000000"/>
                <w:sz w:val="24"/>
              </w:rPr>
            </w:pPr>
          </w:p>
        </w:tc>
      </w:tr>
    </w:tbl>
    <w:p>
      <w:pPr>
        <w:snapToGrid w:val="0"/>
        <w:spacing w:line="400" w:lineRule="atLeast"/>
        <w:ind w:firstLine="600" w:firstLineChars="250"/>
        <w:rPr>
          <w:color w:val="000000"/>
          <w:sz w:val="24"/>
        </w:rPr>
      </w:pPr>
      <w:r>
        <w:rPr>
          <w:color w:val="000000"/>
          <w:sz w:val="24"/>
        </w:rPr>
        <w:t>注：评分对应表主要用于作为专家评分的一个参考及查阅依据。</w:t>
      </w:r>
    </w:p>
    <w:p>
      <w:pPr>
        <w:snapToGrid w:val="0"/>
        <w:spacing w:line="400" w:lineRule="atLeast"/>
        <w:rPr>
          <w:color w:val="000000"/>
          <w:sz w:val="24"/>
        </w:rPr>
      </w:pPr>
    </w:p>
    <w:p>
      <w:pPr>
        <w:adjustRightInd w:val="0"/>
        <w:snapToGrid w:val="0"/>
        <w:spacing w:line="400" w:lineRule="atLeast"/>
        <w:jc w:val="center"/>
        <w:rPr>
          <w:b/>
          <w:color w:val="000000"/>
          <w:sz w:val="32"/>
          <w:szCs w:val="32"/>
        </w:rPr>
      </w:pPr>
      <w:bookmarkStart w:id="24" w:name="_Toc297472062"/>
      <w:bookmarkStart w:id="25" w:name="_Toc297472829"/>
      <w:r>
        <w:rPr>
          <w:b/>
          <w:color w:val="000000"/>
          <w:kern w:val="0"/>
          <w:sz w:val="32"/>
          <w:szCs w:val="32"/>
        </w:rPr>
        <w:br w:type="page"/>
      </w:r>
      <w:bookmarkEnd w:id="24"/>
      <w:bookmarkEnd w:id="25"/>
      <w:r>
        <w:rPr>
          <w:rFonts w:hint="eastAsia"/>
          <w:b/>
          <w:color w:val="000000"/>
          <w:kern w:val="0"/>
          <w:sz w:val="32"/>
          <w:szCs w:val="32"/>
        </w:rPr>
        <w:t>四</w:t>
      </w:r>
      <w:r>
        <w:rPr>
          <w:b/>
          <w:color w:val="000000"/>
          <w:kern w:val="0"/>
          <w:sz w:val="32"/>
          <w:szCs w:val="32"/>
        </w:rPr>
        <w:t>、</w:t>
      </w:r>
      <w:bookmarkStart w:id="26" w:name="_Toc297472063"/>
      <w:bookmarkStart w:id="27" w:name="_Toc297472830"/>
      <w:r>
        <w:rPr>
          <w:rFonts w:hint="eastAsia"/>
          <w:b/>
          <w:color w:val="000000"/>
          <w:sz w:val="32"/>
          <w:szCs w:val="32"/>
        </w:rPr>
        <w:t>保洁</w:t>
      </w:r>
      <w:r>
        <w:rPr>
          <w:b/>
          <w:color w:val="000000"/>
          <w:sz w:val="32"/>
          <w:szCs w:val="32"/>
        </w:rPr>
        <w:t>承诺书</w:t>
      </w:r>
    </w:p>
    <w:p>
      <w:pPr>
        <w:adjustRightInd w:val="0"/>
        <w:snapToGrid w:val="0"/>
        <w:spacing w:line="400" w:lineRule="atLeast"/>
        <w:rPr>
          <w:bCs/>
          <w:color w:val="000000"/>
          <w:sz w:val="24"/>
          <w:u w:val="single"/>
        </w:rPr>
      </w:pPr>
    </w:p>
    <w:p>
      <w:pPr>
        <w:adjustRightInd w:val="0"/>
        <w:snapToGrid w:val="0"/>
        <w:spacing w:line="400" w:lineRule="atLeast"/>
        <w:rPr>
          <w:bCs/>
          <w:color w:val="000000"/>
          <w:sz w:val="24"/>
        </w:rPr>
      </w:pPr>
      <w:r>
        <w:rPr>
          <w:rFonts w:hint="eastAsia"/>
          <w:bCs/>
          <w:sz w:val="24"/>
          <w:u w:val="single"/>
        </w:rPr>
        <w:t>杭州市余杭区人民政府中泰街道办事处、杭州</w:t>
      </w:r>
      <w:r>
        <w:rPr>
          <w:rFonts w:hint="eastAsia"/>
          <w:bCs/>
          <w:color w:val="000000"/>
          <w:sz w:val="24"/>
          <w:u w:val="single"/>
        </w:rPr>
        <w:t>金信工程造价咨询事务所有限公司</w:t>
      </w:r>
      <w:r>
        <w:rPr>
          <w:bCs/>
          <w:color w:val="000000"/>
          <w:sz w:val="24"/>
        </w:rPr>
        <w:t>：</w:t>
      </w:r>
    </w:p>
    <w:p>
      <w:pPr>
        <w:spacing w:line="400" w:lineRule="atLeast"/>
        <w:rPr>
          <w:bCs/>
          <w:color w:val="000000"/>
          <w:sz w:val="24"/>
        </w:rPr>
      </w:pPr>
      <w:r>
        <w:rPr>
          <w:bCs/>
          <w:color w:val="000000"/>
          <w:sz w:val="24"/>
        </w:rPr>
        <w:t xml:space="preserve">                        </w:t>
      </w:r>
    </w:p>
    <w:p>
      <w:pPr>
        <w:spacing w:line="400" w:lineRule="atLeast"/>
        <w:ind w:firstLine="480" w:firstLineChars="200"/>
        <w:rPr>
          <w:color w:val="000000"/>
          <w:sz w:val="24"/>
        </w:rPr>
      </w:pPr>
      <w:r>
        <w:rPr>
          <w:color w:val="000000"/>
          <w:sz w:val="24"/>
        </w:rPr>
        <w:t>若我单位中标承建</w:t>
      </w:r>
      <w:r>
        <w:rPr>
          <w:color w:val="000000"/>
          <w:sz w:val="24"/>
          <w:u w:val="single"/>
        </w:rPr>
        <w:t xml:space="preserve">                   </w:t>
      </w:r>
      <w:r>
        <w:rPr>
          <w:color w:val="000000"/>
          <w:sz w:val="24"/>
        </w:rPr>
        <w:t>项目，郑重承诺：</w:t>
      </w:r>
    </w:p>
    <w:p>
      <w:pPr>
        <w:spacing w:line="400" w:lineRule="atLeast"/>
        <w:ind w:firstLine="480" w:firstLineChars="200"/>
        <w:rPr>
          <w:color w:val="000000"/>
          <w:sz w:val="24"/>
        </w:rPr>
      </w:pPr>
      <w:r>
        <w:rPr>
          <w:color w:val="000000"/>
          <w:sz w:val="24"/>
        </w:rPr>
        <w:t>1、我单位在此项目中，发生任何安全事故或纠纷，均由我单位承担，与贵单位无关。</w:t>
      </w:r>
    </w:p>
    <w:p>
      <w:pPr>
        <w:spacing w:line="400" w:lineRule="atLeast"/>
        <w:ind w:firstLine="480" w:firstLineChars="200"/>
        <w:rPr>
          <w:color w:val="000000"/>
          <w:sz w:val="24"/>
        </w:rPr>
      </w:pPr>
      <w:r>
        <w:rPr>
          <w:color w:val="000000"/>
          <w:sz w:val="24"/>
        </w:rPr>
        <w:t>2、我单位在此项目中，严格按照本</w:t>
      </w:r>
      <w:r>
        <w:rPr>
          <w:sz w:val="24"/>
        </w:rPr>
        <w:t>《</w:t>
      </w:r>
      <w:r>
        <w:rPr>
          <w:rFonts w:hint="eastAsia"/>
          <w:b/>
          <w:sz w:val="24"/>
        </w:rPr>
        <w:t>中泰街道集镇范围保洁服务</w:t>
      </w:r>
      <w:r>
        <w:rPr>
          <w:sz w:val="24"/>
        </w:rPr>
        <w:t>》中招标需求</w:t>
      </w:r>
      <w:r>
        <w:rPr>
          <w:color w:val="000000"/>
          <w:sz w:val="24"/>
        </w:rPr>
        <w:t>所有条款进场</w:t>
      </w:r>
      <w:r>
        <w:rPr>
          <w:rFonts w:hint="eastAsia"/>
          <w:color w:val="000000"/>
          <w:sz w:val="24"/>
        </w:rPr>
        <w:t>保洁</w:t>
      </w:r>
      <w:r>
        <w:rPr>
          <w:color w:val="000000"/>
          <w:sz w:val="24"/>
        </w:rPr>
        <w:t>，若发生纠纷，我单位将承担一切责任。</w:t>
      </w:r>
    </w:p>
    <w:p>
      <w:pPr>
        <w:spacing w:line="400" w:lineRule="atLeast"/>
        <w:ind w:firstLine="480" w:firstLineChars="200"/>
        <w:rPr>
          <w:color w:val="000000"/>
          <w:sz w:val="24"/>
        </w:rPr>
      </w:pPr>
    </w:p>
    <w:p>
      <w:pPr>
        <w:spacing w:line="400" w:lineRule="atLeast"/>
        <w:rPr>
          <w:color w:val="000000"/>
          <w:sz w:val="24"/>
        </w:rPr>
      </w:pPr>
    </w:p>
    <w:p>
      <w:pPr>
        <w:spacing w:line="400" w:lineRule="atLeast"/>
        <w:rPr>
          <w:color w:val="000000"/>
          <w:sz w:val="24"/>
        </w:rPr>
      </w:pPr>
    </w:p>
    <w:p>
      <w:pPr>
        <w:spacing w:line="400" w:lineRule="atLeast"/>
        <w:rPr>
          <w:color w:val="000000"/>
          <w:sz w:val="24"/>
        </w:rPr>
      </w:pPr>
    </w:p>
    <w:p>
      <w:pPr>
        <w:spacing w:line="400" w:lineRule="atLeast"/>
        <w:rPr>
          <w:color w:val="000000"/>
          <w:sz w:val="24"/>
        </w:rPr>
      </w:pPr>
    </w:p>
    <w:p>
      <w:pPr>
        <w:spacing w:line="400" w:lineRule="atLeast"/>
        <w:ind w:right="480" w:firstLine="4320" w:firstLineChars="1800"/>
        <w:rPr>
          <w:color w:val="000000"/>
          <w:sz w:val="24"/>
        </w:rPr>
      </w:pPr>
      <w:r>
        <w:rPr>
          <w:rFonts w:hint="eastAsia"/>
          <w:color w:val="000000"/>
          <w:sz w:val="24"/>
        </w:rPr>
        <w:t xml:space="preserve">         </w:t>
      </w:r>
      <w:r>
        <w:rPr>
          <w:color w:val="000000"/>
          <w:sz w:val="24"/>
        </w:rPr>
        <w:t>投标人名称：（盖公章）</w:t>
      </w:r>
    </w:p>
    <w:p>
      <w:pPr>
        <w:spacing w:line="400" w:lineRule="atLeast"/>
        <w:ind w:firstLine="480" w:firstLineChars="200"/>
        <w:jc w:val="right"/>
        <w:rPr>
          <w:color w:val="000000"/>
          <w:sz w:val="24"/>
        </w:rPr>
      </w:pPr>
      <w:r>
        <w:rPr>
          <w:color w:val="000000"/>
          <w:sz w:val="24"/>
        </w:rPr>
        <w:t>法定代表人签字或盖章（或授权代理人签名）：</w:t>
      </w:r>
      <w:r>
        <w:rPr>
          <w:bCs/>
          <w:color w:val="000000"/>
          <w:sz w:val="24"/>
        </w:rPr>
        <w:t xml:space="preserve">                    </w:t>
      </w:r>
    </w:p>
    <w:p>
      <w:pPr>
        <w:autoSpaceDE w:val="0"/>
        <w:autoSpaceDN w:val="0"/>
        <w:adjustRightInd w:val="0"/>
        <w:spacing w:line="400" w:lineRule="atLeast"/>
        <w:jc w:val="center"/>
        <w:rPr>
          <w:color w:val="000000"/>
          <w:kern w:val="0"/>
          <w:sz w:val="24"/>
          <w:lang w:val="zh-CN"/>
        </w:rPr>
      </w:pPr>
      <w:r>
        <w:rPr>
          <w:bCs/>
          <w:color w:val="000000"/>
          <w:sz w:val="24"/>
        </w:rPr>
        <w:t xml:space="preserve">                         年   月   日</w:t>
      </w:r>
      <w:r>
        <w:rPr>
          <w:color w:val="000000"/>
          <w:kern w:val="0"/>
          <w:sz w:val="24"/>
          <w:lang w:val="zh-CN"/>
        </w:rPr>
        <w:t xml:space="preserve"> </w:t>
      </w: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400" w:lineRule="atLeast"/>
        <w:jc w:val="center"/>
        <w:rPr>
          <w:color w:val="000000"/>
          <w:kern w:val="0"/>
          <w:sz w:val="24"/>
          <w:lang w:val="zh-CN"/>
        </w:rPr>
      </w:pPr>
    </w:p>
    <w:p>
      <w:pPr>
        <w:spacing w:line="360" w:lineRule="auto"/>
        <w:jc w:val="center"/>
        <w:rPr>
          <w:rFonts w:hint="eastAsia"/>
          <w:b/>
          <w:color w:val="000000"/>
          <w:kern w:val="0"/>
          <w:sz w:val="32"/>
          <w:szCs w:val="32"/>
        </w:rPr>
      </w:pPr>
      <w:r>
        <w:rPr>
          <w:rFonts w:hint="eastAsia" w:ascii="宋体" w:hAnsi="宋体" w:cs="宋体"/>
          <w:b/>
          <w:kern w:val="0"/>
          <w:sz w:val="32"/>
          <w:szCs w:val="32"/>
        </w:rPr>
        <w:t>五、</w:t>
      </w:r>
      <w:r>
        <w:rPr>
          <w:b/>
          <w:color w:val="000000"/>
          <w:kern w:val="0"/>
          <w:sz w:val="32"/>
          <w:szCs w:val="32"/>
        </w:rPr>
        <w:t>作业设备拥有情况表</w:t>
      </w:r>
    </w:p>
    <w:p>
      <w:pPr>
        <w:autoSpaceDE w:val="0"/>
        <w:autoSpaceDN w:val="0"/>
        <w:adjustRightInd w:val="0"/>
        <w:spacing w:line="400" w:lineRule="atLeast"/>
        <w:ind w:firstLine="361" w:firstLineChars="150"/>
        <w:rPr>
          <w:rFonts w:hint="eastAsia"/>
          <w:b/>
          <w:color w:val="000000"/>
          <w:kern w:val="0"/>
          <w:sz w:val="24"/>
        </w:rPr>
      </w:pPr>
      <w:r>
        <w:rPr>
          <w:b/>
          <w:color w:val="000000"/>
          <w:kern w:val="0"/>
          <w:sz w:val="24"/>
        </w:rPr>
        <w:t xml:space="preserve">项目编号： </w:t>
      </w:r>
    </w:p>
    <w:p>
      <w:pPr>
        <w:autoSpaceDE w:val="0"/>
        <w:autoSpaceDN w:val="0"/>
        <w:adjustRightInd w:val="0"/>
        <w:spacing w:line="400" w:lineRule="atLeast"/>
        <w:ind w:firstLine="361" w:firstLineChars="150"/>
        <w:rPr>
          <w:b/>
          <w:color w:val="000000"/>
          <w:kern w:val="0"/>
          <w:sz w:val="24"/>
        </w:rPr>
      </w:pPr>
      <w:r>
        <w:rPr>
          <w:rFonts w:hint="eastAsia" w:ascii="宋体" w:hAnsi="宋体" w:cs="宋体"/>
          <w:b/>
          <w:bCs/>
          <w:color w:val="000000"/>
          <w:kern w:val="0"/>
          <w:sz w:val="24"/>
        </w:rPr>
        <w:t>标项序号：</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8"/>
        <w:gridCol w:w="2592"/>
        <w:gridCol w:w="992"/>
        <w:gridCol w:w="992"/>
        <w:gridCol w:w="2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50" w:hRule="atLeast"/>
          <w:jc w:val="center"/>
        </w:trPr>
        <w:tc>
          <w:tcPr>
            <w:tcW w:w="998" w:type="dxa"/>
            <w:noWrap w:val="0"/>
            <w:vAlign w:val="center"/>
          </w:tcPr>
          <w:p>
            <w:pPr>
              <w:spacing w:line="360" w:lineRule="auto"/>
              <w:rPr>
                <w:rFonts w:hint="eastAsia" w:ascii="宋体" w:hAnsi="宋体"/>
                <w:sz w:val="24"/>
              </w:rPr>
            </w:pPr>
            <w:r>
              <w:rPr>
                <w:rFonts w:hint="eastAsia" w:ascii="宋体" w:hAnsi="宋体"/>
                <w:sz w:val="24"/>
              </w:rPr>
              <w:t>序号</w:t>
            </w:r>
          </w:p>
        </w:tc>
        <w:tc>
          <w:tcPr>
            <w:tcW w:w="2592" w:type="dxa"/>
            <w:noWrap w:val="0"/>
            <w:vAlign w:val="center"/>
          </w:tcPr>
          <w:p>
            <w:pPr>
              <w:spacing w:line="360" w:lineRule="auto"/>
              <w:rPr>
                <w:rFonts w:hint="eastAsia" w:ascii="宋体" w:hAnsi="宋体"/>
                <w:sz w:val="24"/>
              </w:rPr>
            </w:pPr>
            <w:r>
              <w:rPr>
                <w:rFonts w:hint="eastAsia" w:ascii="宋体" w:hAnsi="宋体"/>
                <w:sz w:val="24"/>
              </w:rPr>
              <w:t>设备名称</w:t>
            </w:r>
          </w:p>
        </w:tc>
        <w:tc>
          <w:tcPr>
            <w:tcW w:w="992" w:type="dxa"/>
            <w:noWrap w:val="0"/>
            <w:vAlign w:val="center"/>
          </w:tcPr>
          <w:p>
            <w:pPr>
              <w:spacing w:line="360" w:lineRule="auto"/>
              <w:rPr>
                <w:rFonts w:hint="eastAsia" w:ascii="宋体" w:hAnsi="宋体"/>
                <w:sz w:val="24"/>
              </w:rPr>
            </w:pPr>
            <w:r>
              <w:rPr>
                <w:rFonts w:hint="eastAsia" w:ascii="宋体" w:hAnsi="宋体"/>
                <w:sz w:val="24"/>
              </w:rPr>
              <w:t>规格</w:t>
            </w:r>
          </w:p>
          <w:p>
            <w:pPr>
              <w:spacing w:line="360" w:lineRule="auto"/>
              <w:rPr>
                <w:rFonts w:hint="eastAsia" w:ascii="宋体" w:hAnsi="宋体"/>
                <w:sz w:val="24"/>
              </w:rPr>
            </w:pPr>
            <w:r>
              <w:rPr>
                <w:rFonts w:hint="eastAsia" w:ascii="宋体" w:hAnsi="宋体"/>
                <w:sz w:val="24"/>
              </w:rPr>
              <w:t>型号</w:t>
            </w:r>
          </w:p>
        </w:tc>
        <w:tc>
          <w:tcPr>
            <w:tcW w:w="992" w:type="dxa"/>
            <w:noWrap w:val="0"/>
            <w:vAlign w:val="center"/>
          </w:tcPr>
          <w:p>
            <w:pPr>
              <w:spacing w:line="360" w:lineRule="auto"/>
              <w:rPr>
                <w:rFonts w:hint="eastAsia" w:ascii="宋体" w:hAnsi="宋体"/>
                <w:sz w:val="24"/>
              </w:rPr>
            </w:pPr>
            <w:r>
              <w:rPr>
                <w:rFonts w:hint="eastAsia" w:ascii="宋体" w:hAnsi="宋体"/>
                <w:sz w:val="24"/>
              </w:rPr>
              <w:t>数量</w:t>
            </w:r>
          </w:p>
        </w:tc>
        <w:tc>
          <w:tcPr>
            <w:tcW w:w="2948" w:type="dxa"/>
            <w:noWrap w:val="0"/>
            <w:vAlign w:val="center"/>
          </w:tcPr>
          <w:p>
            <w:pPr>
              <w:spacing w:line="360" w:lineRule="auto"/>
              <w:rPr>
                <w:rFonts w:hint="eastAsia" w:ascii="宋体" w:hAnsi="宋体"/>
                <w:sz w:val="24"/>
              </w:rPr>
            </w:pPr>
            <w:r>
              <w:rPr>
                <w:rFonts w:hint="eastAsia" w:ascii="宋体" w:hAnsi="宋体"/>
                <w:sz w:val="24"/>
              </w:rPr>
              <w:t>品牌、主要参数、车牌号（购置发票复印件、车辆行驶证复印件等附后）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p>
        </w:tc>
        <w:tc>
          <w:tcPr>
            <w:tcW w:w="2592" w:type="dxa"/>
            <w:noWrap w:val="0"/>
            <w:vAlign w:val="center"/>
          </w:tcPr>
          <w:p>
            <w:pPr>
              <w:spacing w:line="360" w:lineRule="auto"/>
              <w:jc w:val="center"/>
              <w:rPr>
                <w:rFonts w:hint="eastAsia" w:ascii="宋体" w:hAnsi="宋体"/>
                <w:sz w:val="24"/>
              </w:rPr>
            </w:pPr>
          </w:p>
        </w:tc>
        <w:tc>
          <w:tcPr>
            <w:tcW w:w="992" w:type="dxa"/>
            <w:noWrap w:val="0"/>
            <w:vAlign w:val="top"/>
          </w:tcPr>
          <w:p>
            <w:pPr>
              <w:spacing w:line="360" w:lineRule="auto"/>
              <w:jc w:val="center"/>
              <w:rPr>
                <w:rFonts w:hint="eastAsia" w:ascii="宋体" w:hAnsi="宋体"/>
                <w:sz w:val="24"/>
              </w:rPr>
            </w:pPr>
          </w:p>
        </w:tc>
        <w:tc>
          <w:tcPr>
            <w:tcW w:w="992" w:type="dxa"/>
            <w:noWrap w:val="0"/>
            <w:vAlign w:val="center"/>
          </w:tcPr>
          <w:p>
            <w:pPr>
              <w:spacing w:line="360" w:lineRule="auto"/>
              <w:jc w:val="center"/>
              <w:rPr>
                <w:rFonts w:hint="eastAsia" w:ascii="宋体" w:hAnsi="宋体"/>
                <w:sz w:val="24"/>
              </w:rPr>
            </w:pPr>
          </w:p>
        </w:tc>
        <w:tc>
          <w:tcPr>
            <w:tcW w:w="2948" w:type="dxa"/>
            <w:noWrap w:val="0"/>
            <w:vAlign w:val="center"/>
          </w:tcPr>
          <w:p>
            <w:pPr>
              <w:spacing w:line="360" w:lineRule="auto"/>
              <w:jc w:val="cente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998" w:type="dxa"/>
            <w:noWrap w:val="0"/>
            <w:vAlign w:val="top"/>
          </w:tcPr>
          <w:p>
            <w:pPr>
              <w:spacing w:line="360" w:lineRule="auto"/>
              <w:jc w:val="center"/>
              <w:rPr>
                <w:rFonts w:hint="eastAsia" w:ascii="宋体" w:hAnsi="宋体"/>
                <w:sz w:val="24"/>
              </w:rPr>
            </w:pPr>
            <w:r>
              <w:rPr>
                <w:rFonts w:hint="eastAsia" w:ascii="宋体" w:hAnsi="宋体"/>
                <w:sz w:val="24"/>
              </w:rPr>
              <w:t>说明</w:t>
            </w:r>
          </w:p>
        </w:tc>
        <w:tc>
          <w:tcPr>
            <w:tcW w:w="7524" w:type="dxa"/>
            <w:gridSpan w:val="4"/>
            <w:noWrap w:val="0"/>
            <w:vAlign w:val="center"/>
          </w:tcPr>
          <w:p>
            <w:pPr>
              <w:spacing w:line="360" w:lineRule="auto"/>
              <w:rPr>
                <w:rFonts w:hint="eastAsia" w:ascii="宋体" w:hAnsi="宋体"/>
                <w:sz w:val="24"/>
              </w:rPr>
            </w:pPr>
            <w:r>
              <w:rPr>
                <w:rFonts w:hint="eastAsia" w:ascii="宋体" w:hAnsi="宋体"/>
                <w:sz w:val="24"/>
              </w:rPr>
              <w:t xml:space="preserve">以上绿化保洁设备可以自行添加； </w:t>
            </w:r>
          </w:p>
        </w:tc>
      </w:tr>
    </w:tbl>
    <w:p>
      <w:pPr>
        <w:wordWrap w:val="0"/>
        <w:autoSpaceDE w:val="0"/>
        <w:autoSpaceDN w:val="0"/>
        <w:adjustRightInd w:val="0"/>
        <w:spacing w:line="440" w:lineRule="exact"/>
        <w:jc w:val="right"/>
        <w:rPr>
          <w:rFonts w:hint="eastAsia" w:ascii="宋体" w:hAnsi="宋体" w:cs="仿宋_GB2312"/>
          <w:kern w:val="0"/>
          <w:sz w:val="24"/>
          <w:lang w:val="zh-CN"/>
        </w:rPr>
      </w:pPr>
      <w:r>
        <w:rPr>
          <w:rFonts w:hint="eastAsia" w:ascii="宋体" w:hAnsi="宋体"/>
          <w:kern w:val="0"/>
          <w:sz w:val="24"/>
        </w:rPr>
        <w:t xml:space="preserve">                                 </w:t>
      </w:r>
      <w:r>
        <w:rPr>
          <w:rFonts w:hint="eastAsia" w:ascii="宋体" w:hAnsi="宋体" w:cs="仿宋_GB2312"/>
          <w:kern w:val="0"/>
          <w:sz w:val="24"/>
          <w:lang w:val="zh-CN"/>
        </w:rPr>
        <w:t xml:space="preserve">             投标人（公章）：     </w:t>
      </w:r>
    </w:p>
    <w:p>
      <w:pPr>
        <w:wordWrap w:val="0"/>
        <w:autoSpaceDE w:val="0"/>
        <w:autoSpaceDN w:val="0"/>
        <w:adjustRightInd w:val="0"/>
        <w:spacing w:line="440" w:lineRule="exact"/>
        <w:jc w:val="right"/>
        <w:rPr>
          <w:rFonts w:hint="eastAsia" w:ascii="宋体" w:hAnsi="宋体" w:cs="仿宋_GB2312"/>
          <w:kern w:val="0"/>
          <w:sz w:val="24"/>
          <w:lang w:val="zh-CN"/>
        </w:rPr>
      </w:pPr>
      <w:r>
        <w:rPr>
          <w:rFonts w:hint="eastAsia" w:ascii="宋体" w:hAnsi="宋体" w:cs="仿宋_GB2312"/>
          <w:kern w:val="0"/>
          <w:sz w:val="24"/>
          <w:lang w:val="zh-CN"/>
        </w:rPr>
        <w:t xml:space="preserve">                                   法定代表人或授权代表（签字）：     </w:t>
      </w:r>
    </w:p>
    <w:p>
      <w:pPr>
        <w:spacing w:line="360" w:lineRule="auto"/>
        <w:jc w:val="center"/>
        <w:rPr>
          <w:rFonts w:hint="eastAsia" w:ascii="宋体" w:hAnsi="宋体" w:cs="宋体"/>
          <w:b/>
          <w:kern w:val="0"/>
          <w:sz w:val="32"/>
          <w:szCs w:val="32"/>
        </w:rPr>
      </w:pPr>
      <w:r>
        <w:rPr>
          <w:rFonts w:hint="eastAsia" w:ascii="宋体" w:hAnsi="宋体" w:cs="仿宋_GB2312"/>
          <w:kern w:val="0"/>
          <w:sz w:val="24"/>
          <w:lang w:val="zh-CN"/>
        </w:rPr>
        <w:t xml:space="preserve">                                      日期：</w:t>
      </w:r>
      <w:r>
        <w:rPr>
          <w:rFonts w:hint="eastAsia" w:ascii="宋体" w:hAnsi="宋体" w:cs="仿宋_GB2312"/>
          <w:kern w:val="0"/>
          <w:sz w:val="24"/>
        </w:rPr>
        <w:t xml:space="preserve"> </w:t>
      </w:r>
      <w:r>
        <w:rPr>
          <w:rFonts w:hint="eastAsia" w:ascii="宋体" w:hAnsi="宋体" w:cs="仿宋_GB2312"/>
          <w:kern w:val="0"/>
          <w:sz w:val="24"/>
          <w:lang w:val="zh-CN"/>
        </w:rPr>
        <w:t xml:space="preserve"> 年  月   日     </w:t>
      </w:r>
    </w:p>
    <w:p>
      <w:pPr>
        <w:spacing w:line="400" w:lineRule="atLeast"/>
        <w:rPr>
          <w:b/>
          <w:color w:val="000000"/>
          <w:kern w:val="0"/>
          <w:sz w:val="32"/>
          <w:szCs w:val="32"/>
        </w:rPr>
      </w:pPr>
      <w:r>
        <w:rPr>
          <w:color w:val="000000"/>
          <w:kern w:val="0"/>
          <w:sz w:val="24"/>
          <w:lang w:val="zh-CN"/>
        </w:rPr>
        <w:br w:type="page"/>
      </w:r>
      <w:r>
        <w:rPr>
          <w:rFonts w:hint="eastAsia"/>
          <w:color w:val="000000"/>
          <w:kern w:val="0"/>
          <w:sz w:val="24"/>
        </w:rPr>
        <w:t xml:space="preserve">                  </w:t>
      </w:r>
      <w:r>
        <w:rPr>
          <w:rFonts w:hint="eastAsia"/>
          <w:b/>
          <w:bCs/>
          <w:color w:val="000000"/>
          <w:kern w:val="0"/>
          <w:sz w:val="32"/>
          <w:szCs w:val="32"/>
        </w:rPr>
        <w:t>六</w:t>
      </w:r>
      <w:r>
        <w:rPr>
          <w:b/>
          <w:color w:val="000000"/>
          <w:kern w:val="0"/>
          <w:sz w:val="32"/>
          <w:szCs w:val="32"/>
        </w:rPr>
        <w:t>、采购需求实质性内容响应表</w:t>
      </w:r>
    </w:p>
    <w:p>
      <w:pPr>
        <w:autoSpaceDE w:val="0"/>
        <w:autoSpaceDN w:val="0"/>
        <w:adjustRightInd w:val="0"/>
        <w:spacing w:line="400" w:lineRule="atLeast"/>
        <w:jc w:val="center"/>
        <w:rPr>
          <w:b/>
          <w:color w:val="000000"/>
          <w:kern w:val="0"/>
          <w:sz w:val="32"/>
          <w:szCs w:val="32"/>
        </w:rPr>
      </w:pPr>
    </w:p>
    <w:p>
      <w:pPr>
        <w:autoSpaceDE w:val="0"/>
        <w:autoSpaceDN w:val="0"/>
        <w:adjustRightInd w:val="0"/>
        <w:spacing w:line="400" w:lineRule="atLeast"/>
        <w:ind w:firstLine="361" w:firstLineChars="150"/>
        <w:rPr>
          <w:rFonts w:hint="eastAsia"/>
          <w:b/>
          <w:color w:val="000000"/>
          <w:kern w:val="0"/>
          <w:sz w:val="24"/>
        </w:rPr>
      </w:pPr>
      <w:r>
        <w:rPr>
          <w:b/>
          <w:color w:val="000000"/>
          <w:kern w:val="0"/>
          <w:sz w:val="24"/>
        </w:rPr>
        <w:t xml:space="preserve">项目编号： </w:t>
      </w:r>
    </w:p>
    <w:p>
      <w:pPr>
        <w:autoSpaceDE w:val="0"/>
        <w:autoSpaceDN w:val="0"/>
        <w:adjustRightInd w:val="0"/>
        <w:spacing w:line="400" w:lineRule="atLeast"/>
        <w:ind w:firstLine="361" w:firstLineChars="150"/>
        <w:rPr>
          <w:b/>
          <w:color w:val="000000"/>
          <w:kern w:val="0"/>
          <w:sz w:val="24"/>
        </w:rPr>
      </w:pPr>
      <w:r>
        <w:rPr>
          <w:rFonts w:hint="eastAsia" w:ascii="宋体" w:hAnsi="宋体" w:cs="宋体"/>
          <w:b/>
          <w:bCs/>
          <w:color w:val="000000"/>
          <w:kern w:val="0"/>
          <w:sz w:val="24"/>
        </w:rPr>
        <w:t>标项序号：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2835"/>
        <w:gridCol w:w="3686"/>
        <w:gridCol w:w="1276"/>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76" w:hRule="atLeast"/>
          <w:jc w:val="center"/>
        </w:trPr>
        <w:tc>
          <w:tcPr>
            <w:tcW w:w="485" w:type="dxa"/>
            <w:tcBorders>
              <w:bottom w:val="single" w:color="auto" w:sz="4" w:space="0"/>
            </w:tcBorders>
            <w:noWrap w:val="0"/>
            <w:vAlign w:val="center"/>
          </w:tcPr>
          <w:p>
            <w:pPr>
              <w:spacing w:line="400" w:lineRule="atLeast"/>
              <w:jc w:val="center"/>
              <w:rPr>
                <w:b/>
                <w:color w:val="000000"/>
                <w:sz w:val="24"/>
              </w:rPr>
            </w:pPr>
            <w:r>
              <w:rPr>
                <w:b/>
                <w:color w:val="000000"/>
                <w:sz w:val="24"/>
              </w:rPr>
              <w:t>序号</w:t>
            </w:r>
          </w:p>
        </w:tc>
        <w:tc>
          <w:tcPr>
            <w:tcW w:w="2835" w:type="dxa"/>
            <w:tcBorders>
              <w:bottom w:val="single" w:color="auto" w:sz="4" w:space="0"/>
            </w:tcBorders>
            <w:noWrap w:val="0"/>
            <w:vAlign w:val="center"/>
          </w:tcPr>
          <w:p>
            <w:pPr>
              <w:spacing w:line="400" w:lineRule="atLeast"/>
              <w:jc w:val="center"/>
              <w:rPr>
                <w:b/>
                <w:color w:val="000000"/>
                <w:sz w:val="24"/>
              </w:rPr>
            </w:pPr>
            <w:r>
              <w:rPr>
                <w:b/>
                <w:color w:val="000000"/>
                <w:sz w:val="24"/>
              </w:rPr>
              <w:t>实质性条款</w:t>
            </w:r>
          </w:p>
        </w:tc>
        <w:tc>
          <w:tcPr>
            <w:tcW w:w="3686" w:type="dxa"/>
            <w:tcBorders>
              <w:bottom w:val="single" w:color="auto" w:sz="4" w:space="0"/>
            </w:tcBorders>
            <w:noWrap w:val="0"/>
            <w:vAlign w:val="center"/>
          </w:tcPr>
          <w:p>
            <w:pPr>
              <w:spacing w:line="400" w:lineRule="atLeast"/>
              <w:jc w:val="center"/>
              <w:rPr>
                <w:b/>
                <w:color w:val="000000"/>
                <w:sz w:val="24"/>
              </w:rPr>
            </w:pPr>
            <w:r>
              <w:rPr>
                <w:b/>
                <w:color w:val="000000"/>
                <w:sz w:val="24"/>
              </w:rPr>
              <w:t>招标文件要求</w:t>
            </w:r>
          </w:p>
        </w:tc>
        <w:tc>
          <w:tcPr>
            <w:tcW w:w="1276" w:type="dxa"/>
            <w:tcBorders>
              <w:bottom w:val="single" w:color="auto" w:sz="4" w:space="0"/>
            </w:tcBorders>
            <w:noWrap w:val="0"/>
            <w:vAlign w:val="center"/>
          </w:tcPr>
          <w:p>
            <w:pPr>
              <w:spacing w:line="400" w:lineRule="atLeast"/>
              <w:rPr>
                <w:b/>
                <w:color w:val="000000"/>
                <w:sz w:val="24"/>
              </w:rPr>
            </w:pPr>
            <w:r>
              <w:rPr>
                <w:b/>
                <w:color w:val="000000"/>
                <w:sz w:val="24"/>
              </w:rPr>
              <w:t>投标承诺或说明</w:t>
            </w:r>
          </w:p>
        </w:tc>
        <w:tc>
          <w:tcPr>
            <w:tcW w:w="552" w:type="dxa"/>
            <w:tcBorders>
              <w:bottom w:val="single" w:color="auto" w:sz="4" w:space="0"/>
            </w:tcBorders>
            <w:noWrap w:val="0"/>
            <w:vAlign w:val="center"/>
          </w:tcPr>
          <w:p>
            <w:pPr>
              <w:spacing w:line="400" w:lineRule="atLeast"/>
              <w:jc w:val="center"/>
              <w:rPr>
                <w:b/>
                <w:color w:val="000000"/>
                <w:sz w:val="24"/>
              </w:rPr>
            </w:pPr>
            <w:r>
              <w:rPr>
                <w:b/>
                <w:color w:val="000000"/>
                <w:sz w:val="24"/>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485" w:type="dxa"/>
            <w:noWrap w:val="0"/>
            <w:vAlign w:val="center"/>
          </w:tcPr>
          <w:p>
            <w:pPr>
              <w:spacing w:line="400" w:lineRule="atLeast"/>
              <w:jc w:val="center"/>
              <w:rPr>
                <w:color w:val="000000"/>
                <w:sz w:val="24"/>
              </w:rPr>
            </w:pPr>
            <w:r>
              <w:rPr>
                <w:color w:val="000000"/>
                <w:sz w:val="24"/>
              </w:rPr>
              <w:t>1</w:t>
            </w:r>
          </w:p>
        </w:tc>
        <w:tc>
          <w:tcPr>
            <w:tcW w:w="2835" w:type="dxa"/>
            <w:noWrap w:val="0"/>
            <w:vAlign w:val="top"/>
          </w:tcPr>
          <w:p>
            <w:pPr>
              <w:spacing w:line="400" w:lineRule="atLeast"/>
              <w:rPr>
                <w:color w:val="000000"/>
                <w:sz w:val="24"/>
              </w:rPr>
            </w:pPr>
            <w:r>
              <w:rPr>
                <w:b/>
                <w:bCs/>
                <w:color w:val="000000"/>
                <w:sz w:val="24"/>
              </w:rPr>
              <w:t>项目概述</w:t>
            </w:r>
          </w:p>
        </w:tc>
        <w:tc>
          <w:tcPr>
            <w:tcW w:w="3686" w:type="dxa"/>
            <w:noWrap w:val="0"/>
            <w:vAlign w:val="top"/>
          </w:tcPr>
          <w:p>
            <w:pPr>
              <w:spacing w:line="400" w:lineRule="atLeast"/>
              <w:rPr>
                <w:color w:val="000000"/>
                <w:sz w:val="24"/>
              </w:rPr>
            </w:pPr>
          </w:p>
        </w:tc>
        <w:tc>
          <w:tcPr>
            <w:tcW w:w="1276" w:type="dxa"/>
            <w:noWrap w:val="0"/>
            <w:vAlign w:val="top"/>
          </w:tcPr>
          <w:p>
            <w:pPr>
              <w:spacing w:line="400" w:lineRule="atLeast"/>
              <w:rPr>
                <w:color w:val="000000"/>
                <w:sz w:val="24"/>
              </w:rPr>
            </w:pPr>
          </w:p>
        </w:tc>
        <w:tc>
          <w:tcPr>
            <w:tcW w:w="552" w:type="dxa"/>
            <w:noWrap w:val="0"/>
            <w:vAlign w:val="top"/>
          </w:tcPr>
          <w:p>
            <w:pPr>
              <w:spacing w:line="40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485" w:type="dxa"/>
            <w:noWrap w:val="0"/>
            <w:vAlign w:val="center"/>
          </w:tcPr>
          <w:p>
            <w:pPr>
              <w:spacing w:line="400" w:lineRule="atLeast"/>
              <w:jc w:val="center"/>
              <w:rPr>
                <w:color w:val="000000"/>
                <w:sz w:val="24"/>
              </w:rPr>
            </w:pPr>
            <w:r>
              <w:rPr>
                <w:color w:val="000000"/>
                <w:sz w:val="24"/>
              </w:rPr>
              <w:t>2</w:t>
            </w:r>
          </w:p>
        </w:tc>
        <w:tc>
          <w:tcPr>
            <w:tcW w:w="2835" w:type="dxa"/>
            <w:noWrap w:val="0"/>
            <w:vAlign w:val="top"/>
          </w:tcPr>
          <w:p>
            <w:pPr>
              <w:spacing w:line="400" w:lineRule="atLeast"/>
              <w:rPr>
                <w:color w:val="000000"/>
                <w:sz w:val="24"/>
              </w:rPr>
            </w:pPr>
            <w:r>
              <w:rPr>
                <w:b/>
                <w:color w:val="000000"/>
                <w:sz w:val="24"/>
              </w:rPr>
              <w:t>日常</w:t>
            </w:r>
            <w:r>
              <w:rPr>
                <w:rFonts w:hint="eastAsia"/>
                <w:b/>
                <w:color w:val="000000"/>
                <w:sz w:val="24"/>
              </w:rPr>
              <w:t>保洁</w:t>
            </w:r>
            <w:r>
              <w:rPr>
                <w:b/>
                <w:color w:val="000000"/>
                <w:sz w:val="24"/>
              </w:rPr>
              <w:t>费</w:t>
            </w:r>
          </w:p>
        </w:tc>
        <w:tc>
          <w:tcPr>
            <w:tcW w:w="3686" w:type="dxa"/>
            <w:noWrap w:val="0"/>
            <w:vAlign w:val="top"/>
          </w:tcPr>
          <w:p>
            <w:pPr>
              <w:spacing w:line="400" w:lineRule="atLeast"/>
              <w:rPr>
                <w:color w:val="000000"/>
                <w:sz w:val="24"/>
              </w:rPr>
            </w:pPr>
          </w:p>
        </w:tc>
        <w:tc>
          <w:tcPr>
            <w:tcW w:w="1276" w:type="dxa"/>
            <w:noWrap w:val="0"/>
            <w:vAlign w:val="top"/>
          </w:tcPr>
          <w:p>
            <w:pPr>
              <w:spacing w:line="400" w:lineRule="atLeast"/>
              <w:rPr>
                <w:color w:val="000000"/>
                <w:sz w:val="24"/>
              </w:rPr>
            </w:pPr>
          </w:p>
        </w:tc>
        <w:tc>
          <w:tcPr>
            <w:tcW w:w="552" w:type="dxa"/>
            <w:noWrap w:val="0"/>
            <w:vAlign w:val="top"/>
          </w:tcPr>
          <w:p>
            <w:pPr>
              <w:spacing w:line="40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3" w:hRule="atLeast"/>
          <w:jc w:val="center"/>
        </w:trPr>
        <w:tc>
          <w:tcPr>
            <w:tcW w:w="485" w:type="dxa"/>
            <w:noWrap w:val="0"/>
            <w:vAlign w:val="center"/>
          </w:tcPr>
          <w:p>
            <w:pPr>
              <w:spacing w:line="400" w:lineRule="atLeast"/>
              <w:jc w:val="center"/>
              <w:rPr>
                <w:color w:val="000000"/>
                <w:sz w:val="24"/>
              </w:rPr>
            </w:pPr>
            <w:r>
              <w:rPr>
                <w:color w:val="000000"/>
                <w:sz w:val="24"/>
              </w:rPr>
              <w:t>3</w:t>
            </w:r>
          </w:p>
        </w:tc>
        <w:tc>
          <w:tcPr>
            <w:tcW w:w="2835" w:type="dxa"/>
            <w:noWrap w:val="0"/>
            <w:vAlign w:val="top"/>
          </w:tcPr>
          <w:p>
            <w:pPr>
              <w:spacing w:line="400" w:lineRule="atLeast"/>
              <w:rPr>
                <w:color w:val="000000"/>
                <w:sz w:val="24"/>
              </w:rPr>
            </w:pPr>
            <w:r>
              <w:rPr>
                <w:rFonts w:hint="eastAsia"/>
                <w:b/>
                <w:bCs/>
                <w:color w:val="000000"/>
                <w:sz w:val="24"/>
              </w:rPr>
              <w:t>保洁</w:t>
            </w:r>
            <w:r>
              <w:rPr>
                <w:b/>
                <w:bCs/>
                <w:color w:val="000000"/>
                <w:sz w:val="24"/>
              </w:rPr>
              <w:t>质量服务标准</w:t>
            </w:r>
          </w:p>
        </w:tc>
        <w:tc>
          <w:tcPr>
            <w:tcW w:w="3686" w:type="dxa"/>
            <w:noWrap w:val="0"/>
            <w:vAlign w:val="top"/>
          </w:tcPr>
          <w:p>
            <w:pPr>
              <w:spacing w:line="400" w:lineRule="atLeast"/>
              <w:rPr>
                <w:color w:val="000000"/>
                <w:sz w:val="24"/>
              </w:rPr>
            </w:pPr>
          </w:p>
        </w:tc>
        <w:tc>
          <w:tcPr>
            <w:tcW w:w="1276" w:type="dxa"/>
            <w:noWrap w:val="0"/>
            <w:vAlign w:val="top"/>
          </w:tcPr>
          <w:p>
            <w:pPr>
              <w:spacing w:line="400" w:lineRule="atLeast"/>
              <w:rPr>
                <w:color w:val="000000"/>
                <w:sz w:val="24"/>
              </w:rPr>
            </w:pPr>
          </w:p>
        </w:tc>
        <w:tc>
          <w:tcPr>
            <w:tcW w:w="552" w:type="dxa"/>
            <w:noWrap w:val="0"/>
            <w:vAlign w:val="top"/>
          </w:tcPr>
          <w:p>
            <w:pPr>
              <w:spacing w:line="40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485" w:type="dxa"/>
            <w:noWrap w:val="0"/>
            <w:vAlign w:val="center"/>
          </w:tcPr>
          <w:p>
            <w:pPr>
              <w:spacing w:line="400" w:lineRule="atLeast"/>
              <w:jc w:val="center"/>
              <w:rPr>
                <w:color w:val="000000"/>
                <w:sz w:val="24"/>
              </w:rPr>
            </w:pPr>
            <w:r>
              <w:rPr>
                <w:color w:val="000000"/>
                <w:sz w:val="24"/>
              </w:rPr>
              <w:t>4</w:t>
            </w:r>
          </w:p>
        </w:tc>
        <w:tc>
          <w:tcPr>
            <w:tcW w:w="2835" w:type="dxa"/>
            <w:noWrap w:val="0"/>
            <w:vAlign w:val="top"/>
          </w:tcPr>
          <w:p>
            <w:pPr>
              <w:spacing w:line="400" w:lineRule="atLeast"/>
              <w:rPr>
                <w:color w:val="000000"/>
                <w:sz w:val="24"/>
              </w:rPr>
            </w:pPr>
            <w:r>
              <w:rPr>
                <w:b/>
                <w:color w:val="000000"/>
                <w:kern w:val="0"/>
                <w:sz w:val="24"/>
              </w:rPr>
              <w:t>检查考核办法及奖惩制度</w:t>
            </w:r>
          </w:p>
        </w:tc>
        <w:tc>
          <w:tcPr>
            <w:tcW w:w="3686" w:type="dxa"/>
            <w:noWrap w:val="0"/>
            <w:vAlign w:val="top"/>
          </w:tcPr>
          <w:p>
            <w:pPr>
              <w:spacing w:line="400" w:lineRule="atLeast"/>
              <w:rPr>
                <w:color w:val="000000"/>
                <w:sz w:val="24"/>
              </w:rPr>
            </w:pPr>
          </w:p>
        </w:tc>
        <w:tc>
          <w:tcPr>
            <w:tcW w:w="1276" w:type="dxa"/>
            <w:noWrap w:val="0"/>
            <w:vAlign w:val="top"/>
          </w:tcPr>
          <w:p>
            <w:pPr>
              <w:spacing w:line="400" w:lineRule="atLeast"/>
              <w:rPr>
                <w:color w:val="000000"/>
                <w:sz w:val="24"/>
              </w:rPr>
            </w:pPr>
          </w:p>
        </w:tc>
        <w:tc>
          <w:tcPr>
            <w:tcW w:w="552" w:type="dxa"/>
            <w:noWrap w:val="0"/>
            <w:vAlign w:val="top"/>
          </w:tcPr>
          <w:p>
            <w:pPr>
              <w:spacing w:line="40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485" w:type="dxa"/>
            <w:noWrap w:val="0"/>
            <w:vAlign w:val="center"/>
          </w:tcPr>
          <w:p>
            <w:pPr>
              <w:spacing w:line="400" w:lineRule="atLeast"/>
              <w:jc w:val="center"/>
              <w:rPr>
                <w:color w:val="000000"/>
                <w:sz w:val="24"/>
              </w:rPr>
            </w:pPr>
            <w:r>
              <w:rPr>
                <w:color w:val="000000"/>
                <w:sz w:val="24"/>
              </w:rPr>
              <w:t>5</w:t>
            </w:r>
          </w:p>
        </w:tc>
        <w:tc>
          <w:tcPr>
            <w:tcW w:w="2835" w:type="dxa"/>
            <w:noWrap w:val="0"/>
            <w:vAlign w:val="top"/>
          </w:tcPr>
          <w:p>
            <w:pPr>
              <w:spacing w:line="400" w:lineRule="atLeast"/>
              <w:rPr>
                <w:color w:val="000000"/>
                <w:sz w:val="24"/>
              </w:rPr>
            </w:pPr>
            <w:r>
              <w:rPr>
                <w:rFonts w:hint="eastAsia"/>
                <w:b/>
                <w:color w:val="000000"/>
                <w:kern w:val="0"/>
                <w:sz w:val="24"/>
              </w:rPr>
              <w:t>保洁</w:t>
            </w:r>
            <w:r>
              <w:rPr>
                <w:b/>
                <w:color w:val="000000"/>
                <w:kern w:val="0"/>
                <w:sz w:val="24"/>
              </w:rPr>
              <w:t>费结算方式</w:t>
            </w:r>
          </w:p>
        </w:tc>
        <w:tc>
          <w:tcPr>
            <w:tcW w:w="3686" w:type="dxa"/>
            <w:noWrap w:val="0"/>
            <w:vAlign w:val="top"/>
          </w:tcPr>
          <w:p>
            <w:pPr>
              <w:spacing w:line="400" w:lineRule="atLeast"/>
              <w:rPr>
                <w:color w:val="000000"/>
                <w:sz w:val="24"/>
              </w:rPr>
            </w:pPr>
          </w:p>
        </w:tc>
        <w:tc>
          <w:tcPr>
            <w:tcW w:w="1276" w:type="dxa"/>
            <w:noWrap w:val="0"/>
            <w:vAlign w:val="top"/>
          </w:tcPr>
          <w:p>
            <w:pPr>
              <w:spacing w:line="400" w:lineRule="atLeast"/>
              <w:rPr>
                <w:color w:val="000000"/>
                <w:sz w:val="24"/>
              </w:rPr>
            </w:pPr>
          </w:p>
        </w:tc>
        <w:tc>
          <w:tcPr>
            <w:tcW w:w="552" w:type="dxa"/>
            <w:noWrap w:val="0"/>
            <w:vAlign w:val="top"/>
          </w:tcPr>
          <w:p>
            <w:pPr>
              <w:spacing w:line="400" w:lineRule="atLeas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30" w:hRule="atLeast"/>
          <w:jc w:val="center"/>
        </w:trPr>
        <w:tc>
          <w:tcPr>
            <w:tcW w:w="485" w:type="dxa"/>
            <w:noWrap w:val="0"/>
            <w:vAlign w:val="top"/>
          </w:tcPr>
          <w:p>
            <w:pPr>
              <w:spacing w:line="400" w:lineRule="atLeast"/>
              <w:rPr>
                <w:color w:val="000000"/>
                <w:sz w:val="24"/>
              </w:rPr>
            </w:pPr>
          </w:p>
        </w:tc>
        <w:tc>
          <w:tcPr>
            <w:tcW w:w="2835" w:type="dxa"/>
            <w:noWrap w:val="0"/>
            <w:vAlign w:val="top"/>
          </w:tcPr>
          <w:p>
            <w:pPr>
              <w:spacing w:line="400" w:lineRule="atLeast"/>
              <w:rPr>
                <w:color w:val="000000"/>
                <w:sz w:val="24"/>
              </w:rPr>
            </w:pPr>
          </w:p>
        </w:tc>
        <w:tc>
          <w:tcPr>
            <w:tcW w:w="3686" w:type="dxa"/>
            <w:noWrap w:val="0"/>
            <w:vAlign w:val="top"/>
          </w:tcPr>
          <w:p>
            <w:pPr>
              <w:spacing w:line="400" w:lineRule="atLeast"/>
              <w:rPr>
                <w:color w:val="000000"/>
                <w:sz w:val="24"/>
              </w:rPr>
            </w:pPr>
          </w:p>
        </w:tc>
        <w:tc>
          <w:tcPr>
            <w:tcW w:w="1276" w:type="dxa"/>
            <w:noWrap w:val="0"/>
            <w:vAlign w:val="top"/>
          </w:tcPr>
          <w:p>
            <w:pPr>
              <w:spacing w:line="400" w:lineRule="atLeast"/>
              <w:rPr>
                <w:color w:val="000000"/>
                <w:sz w:val="24"/>
              </w:rPr>
            </w:pPr>
          </w:p>
        </w:tc>
        <w:tc>
          <w:tcPr>
            <w:tcW w:w="552" w:type="dxa"/>
            <w:noWrap w:val="0"/>
            <w:vAlign w:val="top"/>
          </w:tcPr>
          <w:p>
            <w:pPr>
              <w:spacing w:line="400" w:lineRule="atLeast"/>
              <w:rPr>
                <w:color w:val="000000"/>
                <w:sz w:val="24"/>
              </w:rPr>
            </w:pPr>
          </w:p>
        </w:tc>
      </w:tr>
    </w:tbl>
    <w:p>
      <w:pPr>
        <w:adjustRightInd w:val="0"/>
        <w:snapToGrid w:val="0"/>
        <w:spacing w:line="400" w:lineRule="atLeast"/>
        <w:rPr>
          <w:color w:val="000000"/>
          <w:kern w:val="0"/>
          <w:sz w:val="24"/>
        </w:rPr>
      </w:pPr>
      <w:r>
        <w:rPr>
          <w:color w:val="000000"/>
          <w:kern w:val="0"/>
          <w:sz w:val="24"/>
        </w:rPr>
        <w:t>填表说明：</w:t>
      </w:r>
    </w:p>
    <w:p>
      <w:pPr>
        <w:adjustRightInd w:val="0"/>
        <w:snapToGrid w:val="0"/>
        <w:spacing w:line="400" w:lineRule="atLeast"/>
        <w:ind w:firstLine="480" w:firstLineChars="200"/>
        <w:rPr>
          <w:color w:val="000000"/>
          <w:kern w:val="0"/>
          <w:sz w:val="24"/>
          <w:lang w:val="zh-CN"/>
        </w:rPr>
      </w:pPr>
      <w:r>
        <w:rPr>
          <w:color w:val="000000"/>
          <w:kern w:val="0"/>
          <w:sz w:val="24"/>
        </w:rPr>
        <w:t>1、</w:t>
      </w:r>
      <w:r>
        <w:rPr>
          <w:color w:val="000000"/>
          <w:kern w:val="0"/>
          <w:sz w:val="24"/>
          <w:lang w:val="zh-CN"/>
        </w:rPr>
        <w:t>“实质性条款”详见“第三部分 采购需求”中带“●”条款，本表中所列条款仅供参考；</w:t>
      </w:r>
    </w:p>
    <w:p>
      <w:pPr>
        <w:adjustRightInd w:val="0"/>
        <w:snapToGrid w:val="0"/>
        <w:spacing w:line="400" w:lineRule="atLeast"/>
        <w:ind w:firstLine="480" w:firstLineChars="200"/>
        <w:rPr>
          <w:color w:val="000000"/>
          <w:kern w:val="0"/>
          <w:sz w:val="24"/>
        </w:rPr>
      </w:pPr>
      <w:r>
        <w:rPr>
          <w:color w:val="000000"/>
          <w:kern w:val="0"/>
          <w:sz w:val="24"/>
          <w:lang w:val="zh-CN"/>
        </w:rPr>
        <w:t>2、</w:t>
      </w:r>
      <w:r>
        <w:rPr>
          <w:color w:val="000000"/>
          <w:kern w:val="0"/>
          <w:sz w:val="24"/>
        </w:rPr>
        <w:t>投标人应根据投标承诺或说明、对照招标文件要求在“满足情况”栏注明“满足”或“不满足”；</w:t>
      </w:r>
    </w:p>
    <w:p>
      <w:pPr>
        <w:adjustRightInd w:val="0"/>
        <w:snapToGrid w:val="0"/>
        <w:spacing w:line="400" w:lineRule="atLeast"/>
        <w:ind w:firstLine="480" w:firstLineChars="200"/>
        <w:rPr>
          <w:color w:val="000000"/>
          <w:kern w:val="0"/>
          <w:sz w:val="24"/>
          <w:lang w:val="zh-CN"/>
        </w:rPr>
      </w:pPr>
      <w:r>
        <w:rPr>
          <w:color w:val="000000"/>
          <w:kern w:val="0"/>
          <w:sz w:val="24"/>
        </w:rPr>
        <w:t>3、</w:t>
      </w:r>
      <w:r>
        <w:rPr>
          <w:color w:val="000000"/>
          <w:kern w:val="0"/>
          <w:sz w:val="24"/>
          <w:lang w:val="zh-CN"/>
        </w:rPr>
        <w:t>本项目“第三部分 采购需求”中所有带“●”条款，投标人必须作出实质性响应，如有任意一条未响应或不满足，将被视为无效。</w:t>
      </w:r>
    </w:p>
    <w:p>
      <w:pPr>
        <w:autoSpaceDE w:val="0"/>
        <w:autoSpaceDN w:val="0"/>
        <w:adjustRightInd w:val="0"/>
        <w:spacing w:line="400" w:lineRule="atLeast"/>
        <w:rPr>
          <w:color w:val="000000"/>
          <w:kern w:val="0"/>
          <w:sz w:val="24"/>
          <w:lang w:val="zh-CN"/>
        </w:rPr>
      </w:pPr>
    </w:p>
    <w:p>
      <w:pPr>
        <w:autoSpaceDE w:val="0"/>
        <w:autoSpaceDN w:val="0"/>
        <w:adjustRightInd w:val="0"/>
        <w:spacing w:line="400" w:lineRule="atLeast"/>
        <w:rPr>
          <w:color w:val="000000"/>
          <w:kern w:val="0"/>
          <w:sz w:val="24"/>
          <w:lang w:val="zh-CN"/>
        </w:rPr>
      </w:pPr>
    </w:p>
    <w:p>
      <w:pPr>
        <w:autoSpaceDE w:val="0"/>
        <w:autoSpaceDN w:val="0"/>
        <w:adjustRightInd w:val="0"/>
        <w:spacing w:line="400" w:lineRule="atLeast"/>
        <w:rPr>
          <w:color w:val="000000"/>
          <w:kern w:val="0"/>
          <w:sz w:val="24"/>
          <w:lang w:val="zh-CN"/>
        </w:rPr>
      </w:pPr>
    </w:p>
    <w:p>
      <w:pPr>
        <w:autoSpaceDE w:val="0"/>
        <w:autoSpaceDN w:val="0"/>
        <w:adjustRightInd w:val="0"/>
        <w:spacing w:line="400" w:lineRule="atLeast"/>
        <w:jc w:val="center"/>
        <w:rPr>
          <w:color w:val="000000"/>
          <w:kern w:val="0"/>
          <w:sz w:val="24"/>
          <w:lang w:val="zh-CN"/>
        </w:rPr>
      </w:pPr>
      <w:r>
        <w:rPr>
          <w:rFonts w:hint="eastAsia"/>
          <w:color w:val="000000"/>
          <w:kern w:val="0"/>
          <w:sz w:val="24"/>
        </w:rPr>
        <w:t xml:space="preserve">                                             </w:t>
      </w:r>
      <w:r>
        <w:rPr>
          <w:color w:val="000000"/>
          <w:kern w:val="0"/>
          <w:sz w:val="24"/>
          <w:lang w:val="zh-CN"/>
        </w:rPr>
        <w:t xml:space="preserve">投标人（公章）：     </w:t>
      </w: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法定代表人或授权代表（签字）：     </w:t>
      </w:r>
    </w:p>
    <w:p>
      <w:pPr>
        <w:autoSpaceDE w:val="0"/>
        <w:autoSpaceDN w:val="0"/>
        <w:adjustRightInd w:val="0"/>
        <w:spacing w:line="400" w:lineRule="atLeast"/>
        <w:jc w:val="center"/>
        <w:rPr>
          <w:color w:val="000000"/>
          <w:kern w:val="0"/>
          <w:sz w:val="24"/>
          <w:lang w:val="zh-CN"/>
        </w:rPr>
      </w:pPr>
      <w:r>
        <w:rPr>
          <w:color w:val="000000"/>
          <w:kern w:val="0"/>
          <w:sz w:val="24"/>
          <w:lang w:val="zh-CN"/>
        </w:rPr>
        <w:t xml:space="preserve">                                         日期：</w:t>
      </w:r>
      <w:r>
        <w:rPr>
          <w:color w:val="000000"/>
          <w:kern w:val="0"/>
          <w:sz w:val="24"/>
        </w:rPr>
        <w:t xml:space="preserve">   </w:t>
      </w:r>
      <w:r>
        <w:rPr>
          <w:color w:val="000000"/>
          <w:kern w:val="0"/>
          <w:sz w:val="24"/>
          <w:lang w:val="zh-CN"/>
        </w:rPr>
        <w:t xml:space="preserve">年  </w:t>
      </w:r>
      <w:r>
        <w:rPr>
          <w:rFonts w:hint="eastAsia"/>
          <w:color w:val="000000"/>
          <w:kern w:val="0"/>
          <w:sz w:val="24"/>
        </w:rPr>
        <w:t xml:space="preserve"> </w:t>
      </w:r>
      <w:r>
        <w:rPr>
          <w:color w:val="000000"/>
          <w:kern w:val="0"/>
          <w:sz w:val="24"/>
          <w:lang w:val="zh-CN"/>
        </w:rPr>
        <w:t xml:space="preserve">月 </w:t>
      </w:r>
      <w:r>
        <w:rPr>
          <w:rFonts w:hint="eastAsia"/>
          <w:color w:val="000000"/>
          <w:kern w:val="0"/>
          <w:sz w:val="24"/>
        </w:rPr>
        <w:t xml:space="preserve"> </w:t>
      </w:r>
      <w:r>
        <w:rPr>
          <w:color w:val="000000"/>
          <w:kern w:val="0"/>
          <w:sz w:val="24"/>
          <w:lang w:val="zh-CN"/>
        </w:rPr>
        <w:t xml:space="preserve"> 日</w:t>
      </w:r>
    </w:p>
    <w:p>
      <w:pPr>
        <w:autoSpaceDE w:val="0"/>
        <w:autoSpaceDN w:val="0"/>
        <w:adjustRightInd w:val="0"/>
        <w:spacing w:line="400" w:lineRule="atLeast"/>
        <w:jc w:val="center"/>
        <w:rPr>
          <w:b/>
          <w:color w:val="000000"/>
          <w:kern w:val="0"/>
          <w:sz w:val="32"/>
          <w:szCs w:val="32"/>
        </w:rPr>
        <w:sectPr>
          <w:pgSz w:w="11907" w:h="16839"/>
          <w:pgMar w:top="1304" w:right="1565" w:bottom="1247" w:left="1344" w:header="851" w:footer="992" w:gutter="0"/>
          <w:cols w:space="720" w:num="1"/>
          <w:docGrid w:type="lines" w:linePitch="312" w:charSpace="0"/>
        </w:sectPr>
      </w:pPr>
    </w:p>
    <w:p>
      <w:pPr>
        <w:spacing w:line="400" w:lineRule="atLeast"/>
        <w:jc w:val="center"/>
        <w:rPr>
          <w:b/>
          <w:color w:val="000000"/>
          <w:kern w:val="0"/>
          <w:sz w:val="32"/>
          <w:szCs w:val="32"/>
        </w:rPr>
      </w:pPr>
      <w:r>
        <w:rPr>
          <w:rFonts w:hint="eastAsia"/>
          <w:b/>
          <w:color w:val="000000"/>
          <w:kern w:val="0"/>
          <w:sz w:val="32"/>
          <w:szCs w:val="32"/>
        </w:rPr>
        <w:t>七</w:t>
      </w:r>
      <w:r>
        <w:rPr>
          <w:b/>
          <w:color w:val="000000"/>
          <w:kern w:val="0"/>
          <w:sz w:val="32"/>
          <w:szCs w:val="32"/>
        </w:rPr>
        <w:t>、项目组人员情况安排表</w:t>
      </w:r>
    </w:p>
    <w:p>
      <w:pPr>
        <w:spacing w:line="400" w:lineRule="atLeast"/>
        <w:jc w:val="left"/>
        <w:rPr>
          <w:rFonts w:hint="eastAsia"/>
          <w:b/>
          <w:color w:val="000000"/>
          <w:sz w:val="24"/>
        </w:rPr>
      </w:pPr>
      <w:r>
        <w:rPr>
          <w:b/>
          <w:color w:val="000000"/>
          <w:sz w:val="24"/>
        </w:rPr>
        <w:t>项目编号：</w:t>
      </w:r>
    </w:p>
    <w:p>
      <w:pPr>
        <w:spacing w:line="400" w:lineRule="atLeast"/>
        <w:jc w:val="left"/>
        <w:rPr>
          <w:b/>
          <w:bCs/>
          <w:color w:val="000000"/>
          <w:kern w:val="0"/>
          <w:sz w:val="30"/>
          <w:szCs w:val="30"/>
          <w:lang w:val="zh-CN"/>
        </w:rPr>
      </w:pPr>
      <w:r>
        <w:rPr>
          <w:rFonts w:hint="eastAsia" w:ascii="宋体" w:hAnsi="宋体" w:cs="宋体"/>
          <w:b/>
          <w:bCs/>
          <w:color w:val="000000"/>
          <w:kern w:val="0"/>
          <w:sz w:val="24"/>
        </w:rPr>
        <w:t>标项序号：</w:t>
      </w: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19"/>
        <w:gridCol w:w="1002"/>
        <w:gridCol w:w="1260"/>
        <w:gridCol w:w="1575"/>
        <w:gridCol w:w="1365"/>
        <w:gridCol w:w="2625"/>
        <w:gridCol w:w="1890"/>
        <w:gridCol w:w="199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60" w:hRule="atLeast"/>
        </w:trPr>
        <w:tc>
          <w:tcPr>
            <w:tcW w:w="1419" w:type="dxa"/>
            <w:tcBorders>
              <w:top w:val="single" w:color="auto" w:sz="12" w:space="0"/>
              <w:bottom w:val="single" w:color="auto" w:sz="2" w:space="0"/>
            </w:tcBorders>
            <w:noWrap w:val="0"/>
            <w:vAlign w:val="center"/>
          </w:tcPr>
          <w:p>
            <w:pPr>
              <w:spacing w:line="400" w:lineRule="atLeast"/>
              <w:jc w:val="center"/>
              <w:rPr>
                <w:color w:val="000000"/>
                <w:sz w:val="24"/>
              </w:rPr>
            </w:pPr>
            <w:r>
              <w:rPr>
                <w:color w:val="000000"/>
                <w:sz w:val="24"/>
              </w:rPr>
              <w:t>拟任分工</w:t>
            </w:r>
          </w:p>
        </w:tc>
        <w:tc>
          <w:tcPr>
            <w:tcW w:w="1002" w:type="dxa"/>
            <w:tcBorders>
              <w:top w:val="single" w:color="auto" w:sz="12" w:space="0"/>
              <w:bottom w:val="single" w:color="auto" w:sz="2" w:space="0"/>
            </w:tcBorders>
            <w:noWrap w:val="0"/>
            <w:vAlign w:val="center"/>
          </w:tcPr>
          <w:p>
            <w:pPr>
              <w:spacing w:line="400" w:lineRule="atLeast"/>
              <w:ind w:left="105" w:leftChars="50"/>
              <w:jc w:val="center"/>
              <w:rPr>
                <w:color w:val="000000"/>
                <w:sz w:val="24"/>
              </w:rPr>
            </w:pPr>
            <w:r>
              <w:rPr>
                <w:color w:val="000000"/>
                <w:sz w:val="24"/>
              </w:rPr>
              <w:t>姓名</w:t>
            </w:r>
          </w:p>
        </w:tc>
        <w:tc>
          <w:tcPr>
            <w:tcW w:w="1260" w:type="dxa"/>
            <w:tcBorders>
              <w:top w:val="single" w:color="auto" w:sz="12" w:space="0"/>
              <w:bottom w:val="single" w:color="auto" w:sz="2" w:space="0"/>
            </w:tcBorders>
            <w:noWrap w:val="0"/>
            <w:vAlign w:val="center"/>
          </w:tcPr>
          <w:p>
            <w:pPr>
              <w:spacing w:line="400" w:lineRule="atLeast"/>
              <w:jc w:val="center"/>
              <w:rPr>
                <w:color w:val="000000"/>
                <w:sz w:val="24"/>
              </w:rPr>
            </w:pPr>
            <w:r>
              <w:rPr>
                <w:color w:val="000000"/>
                <w:sz w:val="24"/>
              </w:rPr>
              <w:t>学历</w:t>
            </w:r>
          </w:p>
        </w:tc>
        <w:tc>
          <w:tcPr>
            <w:tcW w:w="1575" w:type="dxa"/>
            <w:tcBorders>
              <w:top w:val="single" w:color="auto" w:sz="12" w:space="0"/>
              <w:bottom w:val="single" w:color="auto" w:sz="2" w:space="0"/>
            </w:tcBorders>
            <w:noWrap w:val="0"/>
            <w:vAlign w:val="center"/>
          </w:tcPr>
          <w:p>
            <w:pPr>
              <w:spacing w:line="400" w:lineRule="atLeast"/>
              <w:jc w:val="center"/>
              <w:rPr>
                <w:color w:val="000000"/>
                <w:sz w:val="24"/>
              </w:rPr>
            </w:pPr>
            <w:r>
              <w:rPr>
                <w:color w:val="000000"/>
                <w:sz w:val="24"/>
              </w:rPr>
              <w:t>本单位工作时间</w:t>
            </w:r>
          </w:p>
        </w:tc>
        <w:tc>
          <w:tcPr>
            <w:tcW w:w="1365" w:type="dxa"/>
            <w:tcBorders>
              <w:top w:val="single" w:color="auto" w:sz="12" w:space="0"/>
              <w:bottom w:val="single" w:color="auto" w:sz="2" w:space="0"/>
            </w:tcBorders>
            <w:noWrap w:val="0"/>
            <w:vAlign w:val="center"/>
          </w:tcPr>
          <w:p>
            <w:pPr>
              <w:spacing w:line="400" w:lineRule="atLeast"/>
              <w:jc w:val="center"/>
              <w:rPr>
                <w:color w:val="000000"/>
                <w:sz w:val="24"/>
              </w:rPr>
            </w:pPr>
            <w:r>
              <w:rPr>
                <w:color w:val="000000"/>
                <w:sz w:val="24"/>
              </w:rPr>
              <w:t>专业工龄</w:t>
            </w:r>
          </w:p>
        </w:tc>
        <w:tc>
          <w:tcPr>
            <w:tcW w:w="2625" w:type="dxa"/>
            <w:tcBorders>
              <w:top w:val="single" w:color="auto" w:sz="12" w:space="0"/>
              <w:bottom w:val="single" w:color="auto" w:sz="2" w:space="0"/>
            </w:tcBorders>
            <w:noWrap w:val="0"/>
            <w:vAlign w:val="center"/>
          </w:tcPr>
          <w:p>
            <w:pPr>
              <w:spacing w:line="400" w:lineRule="atLeast"/>
              <w:ind w:left="132" w:leftChars="63"/>
              <w:jc w:val="center"/>
              <w:rPr>
                <w:color w:val="000000"/>
                <w:sz w:val="24"/>
              </w:rPr>
            </w:pPr>
            <w:r>
              <w:rPr>
                <w:color w:val="000000"/>
                <w:sz w:val="24"/>
              </w:rPr>
              <w:t>获得的专业技术资格证或技术培训登记证</w:t>
            </w:r>
          </w:p>
        </w:tc>
        <w:tc>
          <w:tcPr>
            <w:tcW w:w="1890" w:type="dxa"/>
            <w:tcBorders>
              <w:top w:val="single" w:color="auto" w:sz="12" w:space="0"/>
              <w:bottom w:val="single" w:color="auto" w:sz="2" w:space="0"/>
              <w:right w:val="single" w:color="auto" w:sz="4" w:space="0"/>
            </w:tcBorders>
            <w:noWrap w:val="0"/>
            <w:vAlign w:val="center"/>
          </w:tcPr>
          <w:p>
            <w:pPr>
              <w:spacing w:line="400" w:lineRule="atLeast"/>
              <w:jc w:val="center"/>
              <w:rPr>
                <w:color w:val="000000"/>
                <w:sz w:val="24"/>
              </w:rPr>
            </w:pPr>
            <w:r>
              <w:rPr>
                <w:color w:val="000000"/>
                <w:sz w:val="24"/>
              </w:rPr>
              <w:t>履 历</w:t>
            </w:r>
          </w:p>
        </w:tc>
        <w:tc>
          <w:tcPr>
            <w:tcW w:w="1995" w:type="dxa"/>
            <w:tcBorders>
              <w:top w:val="single" w:color="auto" w:sz="12" w:space="0"/>
              <w:left w:val="single" w:color="auto" w:sz="4" w:space="0"/>
              <w:bottom w:val="single" w:color="auto" w:sz="2" w:space="0"/>
            </w:tcBorders>
            <w:noWrap w:val="0"/>
            <w:vAlign w:val="center"/>
          </w:tcPr>
          <w:p>
            <w:pPr>
              <w:spacing w:line="400" w:lineRule="atLeast"/>
              <w:jc w:val="center"/>
              <w:rPr>
                <w:color w:val="000000"/>
                <w:sz w:val="24"/>
              </w:rPr>
            </w:pPr>
            <w:r>
              <w:rPr>
                <w:color w:val="000000"/>
                <w:sz w:val="24"/>
              </w:rPr>
              <w:t>联系电话/手机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5" w:hRule="atLeast"/>
        </w:trPr>
        <w:tc>
          <w:tcPr>
            <w:tcW w:w="1419" w:type="dxa"/>
            <w:tcBorders>
              <w:top w:val="single" w:color="auto" w:sz="2" w:space="0"/>
            </w:tcBorders>
            <w:noWrap w:val="0"/>
            <w:vAlign w:val="center"/>
          </w:tcPr>
          <w:p>
            <w:pPr>
              <w:spacing w:line="400" w:lineRule="atLeast"/>
              <w:jc w:val="center"/>
              <w:rPr>
                <w:color w:val="000000"/>
                <w:sz w:val="24"/>
              </w:rPr>
            </w:pPr>
            <w:r>
              <w:rPr>
                <w:color w:val="000000"/>
                <w:sz w:val="24"/>
              </w:rPr>
              <w:t>项目负责人</w:t>
            </w: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5" w:hRule="atLeast"/>
        </w:trPr>
        <w:tc>
          <w:tcPr>
            <w:tcW w:w="1419" w:type="dxa"/>
            <w:vMerge w:val="restart"/>
            <w:tcBorders>
              <w:top w:val="single" w:color="auto" w:sz="2" w:space="0"/>
            </w:tcBorders>
            <w:noWrap w:val="0"/>
            <w:vAlign w:val="center"/>
          </w:tcPr>
          <w:p>
            <w:pPr>
              <w:spacing w:line="400" w:lineRule="atLeast"/>
              <w:jc w:val="center"/>
              <w:rPr>
                <w:color w:val="000000"/>
                <w:sz w:val="24"/>
              </w:rPr>
            </w:pPr>
            <w:r>
              <w:rPr>
                <w:color w:val="000000"/>
                <w:sz w:val="24"/>
              </w:rPr>
              <w:t>……</w:t>
            </w: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5" w:hRule="atLeast"/>
        </w:trPr>
        <w:tc>
          <w:tcPr>
            <w:tcW w:w="1419" w:type="dxa"/>
            <w:vMerge w:val="continue"/>
            <w:noWrap w:val="0"/>
            <w:vAlign w:val="center"/>
          </w:tcPr>
          <w:p>
            <w:pPr>
              <w:spacing w:line="400" w:lineRule="atLeast"/>
              <w:jc w:val="center"/>
              <w:rPr>
                <w:color w:val="000000"/>
                <w:sz w:val="24"/>
              </w:rPr>
            </w:pP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5" w:hRule="atLeast"/>
        </w:trPr>
        <w:tc>
          <w:tcPr>
            <w:tcW w:w="1419" w:type="dxa"/>
            <w:vMerge w:val="restart"/>
            <w:tcBorders>
              <w:top w:val="single" w:color="auto" w:sz="2" w:space="0"/>
            </w:tcBorders>
            <w:noWrap w:val="0"/>
            <w:vAlign w:val="center"/>
          </w:tcPr>
          <w:p>
            <w:pPr>
              <w:spacing w:line="400" w:lineRule="atLeast"/>
              <w:jc w:val="center"/>
              <w:rPr>
                <w:color w:val="000000"/>
                <w:sz w:val="24"/>
              </w:rPr>
            </w:pP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42" w:hRule="atLeast"/>
        </w:trPr>
        <w:tc>
          <w:tcPr>
            <w:tcW w:w="1419" w:type="dxa"/>
            <w:vMerge w:val="continue"/>
            <w:noWrap w:val="0"/>
            <w:vAlign w:val="center"/>
          </w:tcPr>
          <w:p>
            <w:pPr>
              <w:spacing w:line="400" w:lineRule="atLeast"/>
              <w:jc w:val="center"/>
              <w:rPr>
                <w:color w:val="000000"/>
                <w:sz w:val="24"/>
              </w:rPr>
            </w:pP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5" w:hRule="atLeast"/>
        </w:trPr>
        <w:tc>
          <w:tcPr>
            <w:tcW w:w="1419" w:type="dxa"/>
            <w:tcBorders>
              <w:top w:val="single" w:color="auto" w:sz="2" w:space="0"/>
            </w:tcBorders>
            <w:noWrap w:val="0"/>
            <w:vAlign w:val="center"/>
          </w:tcPr>
          <w:p>
            <w:pPr>
              <w:spacing w:line="400" w:lineRule="atLeast"/>
              <w:jc w:val="center"/>
              <w:rPr>
                <w:color w:val="000000"/>
                <w:sz w:val="24"/>
              </w:rPr>
            </w:pP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14" w:hRule="atLeast"/>
        </w:trPr>
        <w:tc>
          <w:tcPr>
            <w:tcW w:w="1419" w:type="dxa"/>
            <w:vMerge w:val="restart"/>
            <w:tcBorders>
              <w:top w:val="single" w:color="auto" w:sz="2" w:space="0"/>
            </w:tcBorders>
            <w:noWrap w:val="0"/>
            <w:vAlign w:val="center"/>
          </w:tcPr>
          <w:p>
            <w:pPr>
              <w:spacing w:line="400" w:lineRule="atLeast"/>
              <w:jc w:val="center"/>
              <w:rPr>
                <w:color w:val="000000"/>
                <w:sz w:val="24"/>
              </w:rPr>
            </w:pP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66" w:hRule="atLeast"/>
        </w:trPr>
        <w:tc>
          <w:tcPr>
            <w:tcW w:w="1419" w:type="dxa"/>
            <w:vMerge w:val="continue"/>
            <w:noWrap w:val="0"/>
            <w:vAlign w:val="center"/>
          </w:tcPr>
          <w:p>
            <w:pPr>
              <w:spacing w:line="400" w:lineRule="atLeast"/>
              <w:jc w:val="center"/>
              <w:rPr>
                <w:color w:val="000000"/>
                <w:sz w:val="24"/>
              </w:rPr>
            </w:pPr>
          </w:p>
        </w:tc>
        <w:tc>
          <w:tcPr>
            <w:tcW w:w="1002" w:type="dxa"/>
            <w:tcBorders>
              <w:top w:val="single" w:color="auto" w:sz="2" w:space="0"/>
            </w:tcBorders>
            <w:noWrap w:val="0"/>
            <w:vAlign w:val="center"/>
          </w:tcPr>
          <w:p>
            <w:pPr>
              <w:spacing w:line="400" w:lineRule="atLeast"/>
              <w:ind w:firstLine="600"/>
              <w:jc w:val="center"/>
              <w:rPr>
                <w:color w:val="000000"/>
                <w:sz w:val="24"/>
              </w:rPr>
            </w:pPr>
          </w:p>
        </w:tc>
        <w:tc>
          <w:tcPr>
            <w:tcW w:w="1260" w:type="dxa"/>
            <w:tcBorders>
              <w:top w:val="single" w:color="auto" w:sz="2" w:space="0"/>
            </w:tcBorders>
            <w:noWrap w:val="0"/>
            <w:vAlign w:val="top"/>
          </w:tcPr>
          <w:p>
            <w:pPr>
              <w:spacing w:line="400" w:lineRule="atLeast"/>
              <w:ind w:firstLine="921" w:firstLineChars="384"/>
              <w:jc w:val="center"/>
              <w:rPr>
                <w:color w:val="000000"/>
                <w:sz w:val="24"/>
              </w:rPr>
            </w:pPr>
          </w:p>
        </w:tc>
        <w:tc>
          <w:tcPr>
            <w:tcW w:w="1575" w:type="dxa"/>
            <w:tcBorders>
              <w:top w:val="single" w:color="auto" w:sz="2" w:space="0"/>
            </w:tcBorders>
            <w:noWrap w:val="0"/>
            <w:vAlign w:val="center"/>
          </w:tcPr>
          <w:p>
            <w:pPr>
              <w:spacing w:line="400" w:lineRule="atLeast"/>
              <w:ind w:firstLine="921" w:firstLineChars="384"/>
              <w:jc w:val="center"/>
              <w:rPr>
                <w:color w:val="000000"/>
                <w:sz w:val="24"/>
              </w:rPr>
            </w:pPr>
          </w:p>
        </w:tc>
        <w:tc>
          <w:tcPr>
            <w:tcW w:w="1365" w:type="dxa"/>
            <w:tcBorders>
              <w:top w:val="single" w:color="auto" w:sz="2" w:space="0"/>
            </w:tcBorders>
            <w:noWrap w:val="0"/>
            <w:vAlign w:val="center"/>
          </w:tcPr>
          <w:p>
            <w:pPr>
              <w:spacing w:line="400" w:lineRule="atLeast"/>
              <w:jc w:val="center"/>
              <w:rPr>
                <w:color w:val="000000"/>
                <w:sz w:val="24"/>
              </w:rPr>
            </w:pPr>
          </w:p>
        </w:tc>
        <w:tc>
          <w:tcPr>
            <w:tcW w:w="2625" w:type="dxa"/>
            <w:tcBorders>
              <w:top w:val="single" w:color="auto" w:sz="2" w:space="0"/>
            </w:tcBorders>
            <w:noWrap w:val="0"/>
            <w:vAlign w:val="center"/>
          </w:tcPr>
          <w:p>
            <w:pPr>
              <w:spacing w:line="400" w:lineRule="atLeast"/>
              <w:ind w:firstLine="600"/>
              <w:jc w:val="center"/>
              <w:rPr>
                <w:color w:val="000000"/>
                <w:sz w:val="24"/>
              </w:rPr>
            </w:pPr>
          </w:p>
        </w:tc>
        <w:tc>
          <w:tcPr>
            <w:tcW w:w="1890" w:type="dxa"/>
            <w:tcBorders>
              <w:top w:val="single" w:color="auto" w:sz="2" w:space="0"/>
              <w:right w:val="single" w:color="auto" w:sz="4" w:space="0"/>
            </w:tcBorders>
            <w:noWrap w:val="0"/>
            <w:vAlign w:val="center"/>
          </w:tcPr>
          <w:p>
            <w:pPr>
              <w:spacing w:line="400" w:lineRule="atLeast"/>
              <w:ind w:firstLine="600"/>
              <w:jc w:val="center"/>
              <w:rPr>
                <w:color w:val="000000"/>
                <w:sz w:val="24"/>
              </w:rPr>
            </w:pPr>
          </w:p>
        </w:tc>
        <w:tc>
          <w:tcPr>
            <w:tcW w:w="1995" w:type="dxa"/>
            <w:tcBorders>
              <w:top w:val="single" w:color="auto" w:sz="2" w:space="0"/>
              <w:left w:val="single" w:color="auto" w:sz="4" w:space="0"/>
            </w:tcBorders>
            <w:noWrap w:val="0"/>
            <w:vAlign w:val="center"/>
          </w:tcPr>
          <w:p>
            <w:pPr>
              <w:spacing w:line="400" w:lineRule="atLeast"/>
              <w:ind w:firstLine="600"/>
              <w:jc w:val="center"/>
              <w:rPr>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20" w:hRule="atLeast"/>
        </w:trPr>
        <w:tc>
          <w:tcPr>
            <w:tcW w:w="1419" w:type="dxa"/>
            <w:noWrap w:val="0"/>
            <w:vAlign w:val="top"/>
          </w:tcPr>
          <w:p>
            <w:pPr>
              <w:spacing w:line="400" w:lineRule="atLeast"/>
              <w:rPr>
                <w:color w:val="000000"/>
                <w:sz w:val="24"/>
              </w:rPr>
            </w:pPr>
          </w:p>
        </w:tc>
        <w:tc>
          <w:tcPr>
            <w:tcW w:w="1002" w:type="dxa"/>
            <w:noWrap w:val="0"/>
            <w:vAlign w:val="center"/>
          </w:tcPr>
          <w:p>
            <w:pPr>
              <w:spacing w:line="400" w:lineRule="atLeast"/>
              <w:ind w:firstLine="600"/>
              <w:jc w:val="center"/>
              <w:rPr>
                <w:color w:val="000000"/>
                <w:sz w:val="24"/>
              </w:rPr>
            </w:pPr>
          </w:p>
        </w:tc>
        <w:tc>
          <w:tcPr>
            <w:tcW w:w="1260" w:type="dxa"/>
            <w:noWrap w:val="0"/>
            <w:vAlign w:val="top"/>
          </w:tcPr>
          <w:p>
            <w:pPr>
              <w:spacing w:line="400" w:lineRule="atLeast"/>
              <w:ind w:firstLine="921" w:firstLineChars="384"/>
              <w:jc w:val="center"/>
              <w:rPr>
                <w:color w:val="000000"/>
                <w:sz w:val="24"/>
              </w:rPr>
            </w:pPr>
          </w:p>
        </w:tc>
        <w:tc>
          <w:tcPr>
            <w:tcW w:w="1575" w:type="dxa"/>
            <w:noWrap w:val="0"/>
            <w:vAlign w:val="center"/>
          </w:tcPr>
          <w:p>
            <w:pPr>
              <w:spacing w:line="400" w:lineRule="atLeast"/>
              <w:ind w:firstLine="921" w:firstLineChars="384"/>
              <w:jc w:val="center"/>
              <w:rPr>
                <w:color w:val="000000"/>
                <w:sz w:val="24"/>
              </w:rPr>
            </w:pPr>
          </w:p>
        </w:tc>
        <w:tc>
          <w:tcPr>
            <w:tcW w:w="1365" w:type="dxa"/>
            <w:noWrap w:val="0"/>
            <w:vAlign w:val="center"/>
          </w:tcPr>
          <w:p>
            <w:pPr>
              <w:spacing w:line="400" w:lineRule="atLeast"/>
              <w:jc w:val="center"/>
              <w:rPr>
                <w:color w:val="000000"/>
                <w:sz w:val="24"/>
              </w:rPr>
            </w:pPr>
          </w:p>
        </w:tc>
        <w:tc>
          <w:tcPr>
            <w:tcW w:w="2625" w:type="dxa"/>
            <w:noWrap w:val="0"/>
            <w:vAlign w:val="center"/>
          </w:tcPr>
          <w:p>
            <w:pPr>
              <w:spacing w:line="400" w:lineRule="atLeast"/>
              <w:ind w:firstLine="600"/>
              <w:jc w:val="center"/>
              <w:rPr>
                <w:color w:val="000000"/>
                <w:sz w:val="24"/>
              </w:rPr>
            </w:pPr>
          </w:p>
        </w:tc>
        <w:tc>
          <w:tcPr>
            <w:tcW w:w="1890" w:type="dxa"/>
            <w:tcBorders>
              <w:right w:val="single" w:color="auto" w:sz="4" w:space="0"/>
            </w:tcBorders>
            <w:noWrap w:val="0"/>
            <w:vAlign w:val="center"/>
          </w:tcPr>
          <w:p>
            <w:pPr>
              <w:spacing w:line="400" w:lineRule="atLeast"/>
              <w:ind w:firstLine="600"/>
              <w:jc w:val="center"/>
              <w:rPr>
                <w:color w:val="000000"/>
                <w:sz w:val="24"/>
              </w:rPr>
            </w:pPr>
          </w:p>
        </w:tc>
        <w:tc>
          <w:tcPr>
            <w:tcW w:w="1995" w:type="dxa"/>
            <w:tcBorders>
              <w:left w:val="single" w:color="auto" w:sz="4" w:space="0"/>
            </w:tcBorders>
            <w:noWrap w:val="0"/>
            <w:vAlign w:val="center"/>
          </w:tcPr>
          <w:p>
            <w:pPr>
              <w:spacing w:line="400" w:lineRule="atLeast"/>
              <w:ind w:firstLine="600"/>
              <w:jc w:val="center"/>
              <w:rPr>
                <w:color w:val="000000"/>
                <w:sz w:val="24"/>
              </w:rPr>
            </w:pPr>
          </w:p>
        </w:tc>
      </w:tr>
    </w:tbl>
    <w:p>
      <w:pPr>
        <w:adjustRightInd w:val="0"/>
        <w:snapToGrid w:val="0"/>
        <w:spacing w:line="400" w:lineRule="atLeast"/>
        <w:rPr>
          <w:color w:val="000000"/>
          <w:sz w:val="24"/>
        </w:rPr>
      </w:pPr>
      <w:r>
        <w:rPr>
          <w:b/>
          <w:color w:val="000000"/>
          <w:sz w:val="24"/>
        </w:rPr>
        <w:t>备注：</w:t>
      </w:r>
      <w:r>
        <w:rPr>
          <w:color w:val="000000"/>
          <w:sz w:val="24"/>
        </w:rPr>
        <w:t>提供上述人员履历，学历、资质证书的复印件（加盖单位公章）和近3个月的社保缴纳证明（须加盖当地社保部门公章）。</w:t>
      </w:r>
    </w:p>
    <w:p>
      <w:pPr>
        <w:adjustRightInd w:val="0"/>
        <w:snapToGrid w:val="0"/>
        <w:spacing w:line="400" w:lineRule="atLeast"/>
        <w:ind w:firstLine="235" w:firstLineChars="98"/>
        <w:rPr>
          <w:color w:val="000000"/>
          <w:kern w:val="0"/>
          <w:sz w:val="24"/>
        </w:rPr>
      </w:pPr>
      <w:r>
        <w:rPr>
          <w:color w:val="000000"/>
          <w:kern w:val="0"/>
          <w:sz w:val="24"/>
          <w:lang w:val="zh-CN"/>
        </w:rPr>
        <w:t xml:space="preserve">                                         </w:t>
      </w:r>
      <w:r>
        <w:rPr>
          <w:color w:val="000000"/>
          <w:kern w:val="0"/>
          <w:sz w:val="24"/>
        </w:rPr>
        <w:t xml:space="preserve">投标人（公章）：      </w:t>
      </w:r>
    </w:p>
    <w:p>
      <w:pPr>
        <w:autoSpaceDE w:val="0"/>
        <w:autoSpaceDN w:val="0"/>
        <w:adjustRightInd w:val="0"/>
        <w:spacing w:line="400" w:lineRule="atLeast"/>
        <w:rPr>
          <w:color w:val="000000"/>
          <w:kern w:val="0"/>
          <w:sz w:val="24"/>
        </w:rPr>
      </w:pPr>
      <w:r>
        <w:rPr>
          <w:color w:val="000000"/>
          <w:kern w:val="0"/>
          <w:sz w:val="24"/>
        </w:rPr>
        <w:t xml:space="preserve">                                           法定代表人或授权代表（签字）： </w:t>
      </w:r>
    </w:p>
    <w:p>
      <w:pPr>
        <w:autoSpaceDE w:val="0"/>
        <w:autoSpaceDN w:val="0"/>
        <w:adjustRightInd w:val="0"/>
        <w:spacing w:line="400" w:lineRule="atLeast"/>
        <w:rPr>
          <w:color w:val="000000"/>
          <w:sz w:val="24"/>
        </w:rPr>
      </w:pPr>
      <w:r>
        <w:rPr>
          <w:color w:val="000000"/>
          <w:kern w:val="0"/>
          <w:sz w:val="24"/>
        </w:rPr>
        <w:t xml:space="preserve">                                           日期：   年  月   日</w:t>
      </w:r>
      <w:bookmarkEnd w:id="26"/>
      <w:bookmarkEnd w:id="27"/>
    </w:p>
    <w:p>
      <w:pPr>
        <w:autoSpaceDE w:val="0"/>
        <w:autoSpaceDN w:val="0"/>
        <w:adjustRightInd w:val="0"/>
        <w:spacing w:line="400" w:lineRule="atLeast"/>
        <w:rPr>
          <w:b/>
          <w:color w:val="000000"/>
          <w:kern w:val="0"/>
          <w:sz w:val="32"/>
          <w:szCs w:val="32"/>
        </w:rPr>
        <w:sectPr>
          <w:headerReference r:id="rId5" w:type="default"/>
          <w:footerReference r:id="rId7" w:type="default"/>
          <w:headerReference r:id="rId6" w:type="even"/>
          <w:footerReference r:id="rId8" w:type="even"/>
          <w:pgSz w:w="16838" w:h="11906" w:orient="landscape"/>
          <w:pgMar w:top="1304" w:right="1531" w:bottom="1361" w:left="1531" w:header="851" w:footer="601" w:gutter="0"/>
          <w:cols w:space="720" w:num="1"/>
          <w:docGrid w:type="linesAndChars" w:linePitch="312" w:charSpace="0"/>
        </w:sectPr>
      </w:pPr>
    </w:p>
    <w:p>
      <w:pPr>
        <w:autoSpaceDE w:val="0"/>
        <w:autoSpaceDN w:val="0"/>
        <w:adjustRightInd w:val="0"/>
        <w:spacing w:line="400" w:lineRule="atLeast"/>
        <w:rPr>
          <w:b/>
          <w:color w:val="000000"/>
          <w:kern w:val="0"/>
          <w:sz w:val="32"/>
          <w:szCs w:val="32"/>
        </w:rPr>
      </w:pPr>
      <w:r>
        <w:rPr>
          <w:rFonts w:hint="eastAsia"/>
          <w:b/>
          <w:color w:val="000000"/>
          <w:kern w:val="0"/>
          <w:sz w:val="32"/>
          <w:szCs w:val="32"/>
        </w:rPr>
        <w:t>八</w:t>
      </w:r>
      <w:r>
        <w:rPr>
          <w:b/>
          <w:color w:val="000000"/>
          <w:kern w:val="0"/>
          <w:sz w:val="32"/>
          <w:szCs w:val="32"/>
        </w:rPr>
        <w:t>、距采购人最近或者能为本项目提供最优服务的网点情况表</w:t>
      </w:r>
    </w:p>
    <w:p>
      <w:pPr>
        <w:spacing w:line="400" w:lineRule="atLeast"/>
        <w:jc w:val="left"/>
        <w:rPr>
          <w:color w:val="000000"/>
          <w:sz w:val="24"/>
        </w:rPr>
      </w:pPr>
    </w:p>
    <w:p>
      <w:pPr>
        <w:spacing w:line="400" w:lineRule="atLeast"/>
        <w:ind w:firstLine="482" w:firstLineChars="200"/>
        <w:jc w:val="left"/>
        <w:rPr>
          <w:rFonts w:hint="eastAsia"/>
          <w:b/>
          <w:color w:val="000000"/>
          <w:sz w:val="24"/>
        </w:rPr>
      </w:pPr>
      <w:r>
        <w:rPr>
          <w:b/>
          <w:color w:val="000000"/>
          <w:sz w:val="24"/>
        </w:rPr>
        <w:t>项目编号：</w:t>
      </w:r>
    </w:p>
    <w:p>
      <w:pPr>
        <w:spacing w:line="400" w:lineRule="atLeast"/>
        <w:ind w:firstLine="482" w:firstLineChars="200"/>
        <w:jc w:val="left"/>
        <w:rPr>
          <w:b/>
          <w:bCs/>
          <w:color w:val="000000"/>
          <w:kern w:val="0"/>
          <w:sz w:val="30"/>
          <w:szCs w:val="30"/>
          <w:lang w:val="zh-CN"/>
        </w:rPr>
      </w:pPr>
      <w:r>
        <w:rPr>
          <w:rFonts w:hint="eastAsia" w:ascii="宋体" w:hAnsi="宋体" w:cs="宋体"/>
          <w:b/>
          <w:bCs/>
          <w:color w:val="000000"/>
          <w:kern w:val="0"/>
          <w:sz w:val="24"/>
        </w:rPr>
        <w:t>标项序号：</w:t>
      </w:r>
      <w:r>
        <w:rPr>
          <w:b/>
          <w:color w:val="000000"/>
          <w:kern w:val="0"/>
          <w:sz w:val="24"/>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2"/>
        <w:gridCol w:w="2176"/>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服务网点名称</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地址</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注册资本金</w:t>
            </w:r>
          </w:p>
        </w:tc>
        <w:tc>
          <w:tcPr>
            <w:tcW w:w="217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员工总人数</w:t>
            </w:r>
          </w:p>
        </w:tc>
        <w:tc>
          <w:tcPr>
            <w:tcW w:w="217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ind w:left="60"/>
              <w:jc w:val="left"/>
              <w:rPr>
                <w:color w:val="000000"/>
                <w:sz w:val="24"/>
                <w:szCs w:val="20"/>
              </w:rPr>
            </w:pPr>
            <w:r>
              <w:rPr>
                <w:color w:val="000000"/>
                <w:sz w:val="24"/>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经营期限</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95" w:hRule="atLeas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售后服务协议</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78" w:hRule="atLeast"/>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售后服务内容</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工作业绩</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服务承诺</w:t>
            </w:r>
          </w:p>
        </w:tc>
        <w:tc>
          <w:tcPr>
            <w:tcW w:w="6132"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业务咨询电话</w:t>
            </w:r>
          </w:p>
        </w:tc>
        <w:tc>
          <w:tcPr>
            <w:tcW w:w="2367"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400" w:lineRule="atLeast"/>
              <w:jc w:val="left"/>
              <w:rPr>
                <w:color w:val="000000"/>
                <w:sz w:val="24"/>
                <w:szCs w:val="20"/>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line="400" w:lineRule="atLeast"/>
              <w:jc w:val="left"/>
              <w:rPr>
                <w:color w:val="000000"/>
                <w:sz w:val="24"/>
                <w:szCs w:val="20"/>
              </w:rPr>
            </w:pPr>
            <w:r>
              <w:rPr>
                <w:color w:val="000000"/>
                <w:sz w:val="24"/>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line="400" w:lineRule="atLeast"/>
              <w:jc w:val="left"/>
              <w:rPr>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1932"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atLeast"/>
              <w:jc w:val="left"/>
              <w:rPr>
                <w:color w:val="000000"/>
                <w:sz w:val="24"/>
                <w:szCs w:val="20"/>
              </w:rPr>
            </w:pPr>
            <w:r>
              <w:rPr>
                <w:color w:val="000000"/>
                <w:sz w:val="24"/>
              </w:rPr>
              <w:t>负责人</w:t>
            </w:r>
          </w:p>
        </w:tc>
        <w:tc>
          <w:tcPr>
            <w:tcW w:w="2367"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line="400" w:lineRule="atLeast"/>
              <w:jc w:val="left"/>
              <w:rPr>
                <w:color w:val="000000"/>
                <w:sz w:val="24"/>
                <w:szCs w:val="20"/>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line="400" w:lineRule="atLeast"/>
              <w:jc w:val="left"/>
              <w:rPr>
                <w:color w:val="000000"/>
                <w:sz w:val="24"/>
                <w:szCs w:val="20"/>
              </w:rPr>
            </w:pPr>
            <w:r>
              <w:rPr>
                <w:color w:val="000000"/>
                <w:sz w:val="24"/>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line="400" w:lineRule="atLeast"/>
              <w:jc w:val="left"/>
              <w:rPr>
                <w:color w:val="000000"/>
                <w:sz w:val="24"/>
                <w:szCs w:val="20"/>
              </w:rPr>
            </w:pPr>
          </w:p>
        </w:tc>
      </w:tr>
    </w:tbl>
    <w:p>
      <w:pPr>
        <w:spacing w:line="400" w:lineRule="atLeast"/>
        <w:rPr>
          <w:color w:val="000000"/>
          <w:sz w:val="24"/>
        </w:rPr>
      </w:pP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投标人（公章）：     </w:t>
      </w: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法定代表人或授权代表（签字）：     </w:t>
      </w:r>
    </w:p>
    <w:p>
      <w:pPr>
        <w:spacing w:line="400" w:lineRule="atLeast"/>
        <w:jc w:val="center"/>
        <w:rPr>
          <w:b/>
          <w:bCs/>
          <w:color w:val="000000"/>
          <w:sz w:val="32"/>
          <w:szCs w:val="32"/>
        </w:rPr>
      </w:pPr>
      <w:r>
        <w:rPr>
          <w:color w:val="000000"/>
          <w:kern w:val="0"/>
          <w:sz w:val="24"/>
          <w:lang w:val="zh-CN"/>
        </w:rPr>
        <w:t>日期：</w:t>
      </w:r>
      <w:r>
        <w:rPr>
          <w:color w:val="000000"/>
          <w:kern w:val="0"/>
          <w:sz w:val="24"/>
        </w:rPr>
        <w:t xml:space="preserve">  </w:t>
      </w:r>
      <w:r>
        <w:rPr>
          <w:color w:val="000000"/>
          <w:kern w:val="0"/>
          <w:sz w:val="24"/>
          <w:lang w:val="zh-CN"/>
        </w:rPr>
        <w:t xml:space="preserve">年  月   日    </w:t>
      </w:r>
      <w:r>
        <w:rPr>
          <w:rFonts w:hint="eastAsia"/>
          <w:color w:val="000000"/>
          <w:kern w:val="0"/>
          <w:sz w:val="24"/>
        </w:rPr>
        <w:t xml:space="preserve">   </w:t>
      </w:r>
      <w:r>
        <w:rPr>
          <w:b/>
          <w:color w:val="000000"/>
          <w:kern w:val="0"/>
          <w:sz w:val="32"/>
          <w:szCs w:val="32"/>
        </w:rPr>
        <w:br w:type="page"/>
      </w:r>
      <w:bookmarkStart w:id="28" w:name="_Toc297472057"/>
      <w:bookmarkStart w:id="29" w:name="_Toc350327367"/>
      <w:bookmarkStart w:id="30" w:name="_Toc297472825"/>
      <w:bookmarkStart w:id="31" w:name="_Toc328381294"/>
      <w:bookmarkStart w:id="32" w:name="_Toc339872470"/>
      <w:bookmarkStart w:id="33" w:name="_Toc349721556"/>
      <w:bookmarkStart w:id="34" w:name="_Toc303256683"/>
      <w:r>
        <w:rPr>
          <w:rFonts w:hint="eastAsia"/>
          <w:b/>
          <w:color w:val="000000"/>
          <w:kern w:val="0"/>
          <w:sz w:val="32"/>
          <w:szCs w:val="32"/>
        </w:rPr>
        <w:t>九</w:t>
      </w:r>
      <w:r>
        <w:rPr>
          <w:b/>
          <w:color w:val="000000"/>
          <w:kern w:val="0"/>
          <w:sz w:val="32"/>
          <w:szCs w:val="32"/>
        </w:rPr>
        <w:t>、投标响应</w:t>
      </w:r>
      <w:r>
        <w:rPr>
          <w:b/>
          <w:color w:val="000000"/>
          <w:sz w:val="32"/>
          <w:szCs w:val="32"/>
        </w:rPr>
        <w:t>函</w:t>
      </w:r>
      <w:bookmarkEnd w:id="28"/>
      <w:bookmarkEnd w:id="29"/>
      <w:bookmarkEnd w:id="30"/>
      <w:bookmarkEnd w:id="31"/>
      <w:bookmarkEnd w:id="32"/>
      <w:bookmarkEnd w:id="33"/>
      <w:bookmarkEnd w:id="34"/>
    </w:p>
    <w:p>
      <w:pPr>
        <w:autoSpaceDE w:val="0"/>
        <w:autoSpaceDN w:val="0"/>
        <w:adjustRightInd w:val="0"/>
        <w:spacing w:line="400" w:lineRule="atLeast"/>
        <w:jc w:val="center"/>
        <w:rPr>
          <w:b/>
          <w:color w:val="000000"/>
          <w:kern w:val="0"/>
          <w:sz w:val="24"/>
        </w:rPr>
      </w:pPr>
    </w:p>
    <w:p>
      <w:pPr>
        <w:spacing w:line="440" w:lineRule="exact"/>
        <w:rPr>
          <w:rFonts w:hint="eastAsia" w:ascii="宋体" w:hAnsi="宋体" w:cs="宋体"/>
          <w:b/>
          <w:bCs/>
          <w:color w:val="000000"/>
          <w:sz w:val="24"/>
        </w:rPr>
      </w:pPr>
      <w:r>
        <w:rPr>
          <w:rFonts w:hint="eastAsia" w:ascii="宋体" w:hAnsi="宋体" w:cs="宋体"/>
          <w:b/>
          <w:bCs/>
          <w:color w:val="000000"/>
          <w:sz w:val="24"/>
        </w:rPr>
        <w:t xml:space="preserve"> </w:t>
      </w:r>
      <w:r>
        <w:rPr>
          <w:rFonts w:hint="eastAsia" w:ascii="宋体" w:hAnsi="宋体" w:cs="宋体"/>
          <w:b/>
          <w:bCs/>
          <w:color w:val="000000"/>
          <w:sz w:val="24"/>
          <w:u w:val="single"/>
        </w:rPr>
        <w:t xml:space="preserve">                          ：</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(投标人全称)授权</w:t>
      </w:r>
      <w:r>
        <w:rPr>
          <w:rFonts w:hint="eastAsia" w:ascii="宋体" w:hAnsi="宋体" w:cs="宋体"/>
          <w:color w:val="000000"/>
          <w:sz w:val="24"/>
          <w:u w:val="single"/>
        </w:rPr>
        <w:t xml:space="preserve">                </w:t>
      </w:r>
      <w:r>
        <w:rPr>
          <w:rFonts w:hint="eastAsia" w:ascii="宋体" w:hAnsi="宋体" w:cs="宋体"/>
          <w:color w:val="000000"/>
          <w:sz w:val="24"/>
        </w:rPr>
        <w:t>(全权代表姓名)</w:t>
      </w:r>
      <w:r>
        <w:rPr>
          <w:rFonts w:hint="eastAsia" w:ascii="宋体" w:hAnsi="宋体" w:cs="宋体"/>
          <w:color w:val="000000"/>
          <w:sz w:val="24"/>
          <w:u w:val="single"/>
        </w:rPr>
        <w:t xml:space="preserve">          </w:t>
      </w:r>
      <w:r>
        <w:rPr>
          <w:rFonts w:hint="eastAsia" w:ascii="宋体" w:hAnsi="宋体" w:cs="宋体"/>
          <w:color w:val="000000"/>
          <w:sz w:val="24"/>
        </w:rPr>
        <w:t>(职务、职称)为全权代表，参加贵方组织</w:t>
      </w:r>
      <w:r>
        <w:rPr>
          <w:rFonts w:hint="eastAsia" w:ascii="宋体" w:hAnsi="宋体" w:cs="宋体"/>
          <w:color w:val="000000"/>
          <w:sz w:val="24"/>
          <w:u w:val="single"/>
        </w:rPr>
        <w:t xml:space="preserve">            </w:t>
      </w:r>
      <w:r>
        <w:rPr>
          <w:rFonts w:hint="eastAsia" w:ascii="宋体" w:hAnsi="宋体" w:cs="宋体"/>
          <w:color w:val="000000"/>
          <w:sz w:val="24"/>
        </w:rPr>
        <w:t>项目（项目编号：                 ）采购的有关活动，并对此项目进行投标。全部投标文件，包括报价文件正本一份、副本四份，商务/技术文件正本一份、副本四份，以及其他要求投标人提交的全部文件。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据此函，签字代表宣布同意如下：</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1、我方承诺已经具备《中华人民共和国政府采购法》第二十二条中规定的参加政府采购活动的投标人应当具备的条件：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（一）具有独立承担民事责任的能力；</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（二）具有良好的商业信誉和健全的财务会计制度；</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（三）具有履行合同所必需的设备和专业技术能力；</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（四）有依法缴纳税收和社会保障资金的良好记录；</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（五）参加政府采购活动前三年内，在经营活动中没有重大违法记录；</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（六）法律、行政法规规定的其他条件。</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2、本投标有效期自投标文件合格递交之日起</w:t>
      </w:r>
      <w:r>
        <w:rPr>
          <w:rFonts w:hint="eastAsia" w:ascii="宋体" w:hAnsi="宋体" w:cs="宋体"/>
          <w:b/>
          <w:bCs/>
          <w:color w:val="000000"/>
          <w:sz w:val="24"/>
          <w:u w:val="thick"/>
        </w:rPr>
        <w:t xml:space="preserve"> 60日</w:t>
      </w:r>
      <w:r>
        <w:rPr>
          <w:rFonts w:hint="eastAsia" w:ascii="宋体" w:hAnsi="宋体" w:cs="宋体"/>
          <w:color w:val="000000"/>
          <w:sz w:val="24"/>
        </w:rPr>
        <w:t>。</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4、如果在开标后规定的投标有效期内撤回投标，我方的投标保证金将不被退还。</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5、我方完全理解贵方不一定要接受最低价的投标。</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6、我方同意按照贵方要求提供与投标有关的一切数据或资料，配合招标采购单位进行评标、验收等与本次采购相关工作。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8、我方已详细审查全部招标文件，包括更正通知（如有的话）以及全部参考资料和有关附件，已经了解我方对于招标文件、采购过程、采购结果有依法进行询问、质疑、投诉的权利及相关渠道和要求。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9、我方向贵方提交的所有投标文件、资料都是准确的和真实的。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10、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（一）提供虚假材料谋取中标、成交的；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（二）采取不正当手段诋毁、排挤其他供应商的；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（三）与采购人、其他供应商或者采购代理机构恶意串通的；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（四）向采购人、采购代理机构行贿或者提供其他不正当利益的；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（五）在招标采购过程中与采购人进行协商谈判的；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（六）拒绝有关部门监督检查或者提供虚假情况的。</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供应商有前款第（一）至（五）项情形之一的，中标、成交无效。</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autoSpaceDE w:val="0"/>
        <w:autoSpaceDN w:val="0"/>
        <w:adjustRightInd w:val="0"/>
        <w:spacing w:line="440" w:lineRule="exact"/>
        <w:rPr>
          <w:rFonts w:hint="eastAsia" w:ascii="宋体" w:hAnsi="宋体" w:cs="仿宋_GB2312"/>
          <w:color w:val="000000"/>
          <w:kern w:val="0"/>
          <w:sz w:val="24"/>
          <w:u w:val="single"/>
        </w:rPr>
      </w:pPr>
      <w:r>
        <w:rPr>
          <w:rFonts w:hint="eastAsia" w:ascii="宋体" w:hAnsi="宋体" w:cs="仿宋_GB2312"/>
          <w:color w:val="000000"/>
          <w:kern w:val="0"/>
          <w:sz w:val="24"/>
        </w:rPr>
        <w:t xml:space="preserve">法定代表人或授权代表（签字）： </w:t>
      </w:r>
      <w:r>
        <w:rPr>
          <w:rFonts w:hint="eastAsia" w:ascii="宋体" w:hAnsi="宋体" w:cs="仿宋_GB2312"/>
          <w:color w:val="000000"/>
          <w:kern w:val="0"/>
          <w:sz w:val="24"/>
          <w:u w:val="single"/>
        </w:rPr>
        <w:t xml:space="preserve">                     </w:t>
      </w:r>
    </w:p>
    <w:p>
      <w:pPr>
        <w:autoSpaceDE w:val="0"/>
        <w:autoSpaceDN w:val="0"/>
        <w:adjustRightInd w:val="0"/>
        <w:spacing w:line="440" w:lineRule="exact"/>
        <w:rPr>
          <w:rFonts w:hint="eastAsia" w:ascii="宋体" w:hAnsi="宋体" w:cs="仿宋_GB2312"/>
          <w:color w:val="000000"/>
          <w:kern w:val="0"/>
          <w:sz w:val="24"/>
          <w:u w:val="single"/>
        </w:rPr>
      </w:pPr>
      <w:r>
        <w:rPr>
          <w:rFonts w:hint="eastAsia" w:ascii="宋体" w:hAnsi="宋体" w:cs="仿宋_GB2312"/>
          <w:color w:val="000000"/>
          <w:kern w:val="0"/>
          <w:sz w:val="24"/>
        </w:rPr>
        <w:t xml:space="preserve">投标人（公章）:  </w:t>
      </w:r>
      <w:r>
        <w:rPr>
          <w:rFonts w:hint="eastAsia" w:ascii="宋体" w:hAnsi="宋体" w:cs="仿宋_GB2312"/>
          <w:color w:val="000000"/>
          <w:kern w:val="0"/>
          <w:sz w:val="24"/>
          <w:u w:val="single"/>
        </w:rPr>
        <w:t xml:space="preserve">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仿宋_GB2312"/>
          <w:color w:val="000000"/>
          <w:kern w:val="0"/>
          <w:sz w:val="24"/>
        </w:rPr>
        <w:t>联系人：</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  邮政编码：</w:t>
      </w:r>
      <w:r>
        <w:rPr>
          <w:rFonts w:hint="eastAsia" w:ascii="宋体" w:hAnsi="宋体" w:cs="仿宋_GB2312"/>
          <w:color w:val="000000"/>
          <w:kern w:val="0"/>
          <w:sz w:val="24"/>
          <w:u w:val="single"/>
        </w:rPr>
        <w:t xml:space="preserve">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仿宋_GB2312"/>
          <w:color w:val="000000"/>
          <w:kern w:val="0"/>
          <w:sz w:val="24"/>
        </w:rPr>
        <w:t>联系地址：</w:t>
      </w:r>
      <w:r>
        <w:rPr>
          <w:rFonts w:hint="eastAsia" w:ascii="宋体" w:hAnsi="宋体" w:cs="仿宋_GB2312"/>
          <w:color w:val="000000"/>
          <w:kern w:val="0"/>
          <w:sz w:val="24"/>
          <w:u w:val="single"/>
        </w:rPr>
        <w:t xml:space="preserve">                                                             </w:t>
      </w:r>
    </w:p>
    <w:p>
      <w:pPr>
        <w:autoSpaceDE w:val="0"/>
        <w:autoSpaceDN w:val="0"/>
        <w:adjustRightInd w:val="0"/>
        <w:spacing w:line="440" w:lineRule="exact"/>
        <w:rPr>
          <w:rFonts w:hint="eastAsia" w:ascii="宋体" w:hAnsi="宋体" w:cs="宋体"/>
          <w:color w:val="000000"/>
          <w:kern w:val="0"/>
          <w:sz w:val="24"/>
        </w:rPr>
      </w:pPr>
      <w:r>
        <w:rPr>
          <w:rFonts w:hint="eastAsia" w:ascii="宋体" w:hAnsi="宋体" w:cs="仿宋_GB2312"/>
          <w:color w:val="000000"/>
          <w:kern w:val="0"/>
          <w:sz w:val="24"/>
        </w:rPr>
        <w:t xml:space="preserve">联系电话: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传真号码：</w:t>
      </w:r>
      <w:r>
        <w:rPr>
          <w:rFonts w:hint="eastAsia" w:ascii="宋体" w:hAnsi="宋体" w:cs="仿宋_GB2312"/>
          <w:color w:val="000000"/>
          <w:kern w:val="0"/>
          <w:sz w:val="24"/>
          <w:u w:val="single"/>
        </w:rPr>
        <w:t xml:space="preserve">               </w:t>
      </w:r>
    </w:p>
    <w:p>
      <w:pPr>
        <w:autoSpaceDE w:val="0"/>
        <w:autoSpaceDN w:val="0"/>
        <w:adjustRightInd w:val="0"/>
        <w:spacing w:line="400" w:lineRule="atLeast"/>
        <w:jc w:val="center"/>
        <w:rPr>
          <w:rFonts w:hint="eastAsia" w:ascii="宋体" w:hAnsi="宋体" w:cs="仿宋_GB2312"/>
          <w:color w:val="000000"/>
          <w:kern w:val="0"/>
          <w:sz w:val="24"/>
        </w:rPr>
      </w:pPr>
      <w:r>
        <w:rPr>
          <w:rFonts w:hint="eastAsia" w:ascii="宋体" w:hAnsi="宋体" w:cs="仿宋_GB2312"/>
          <w:color w:val="000000"/>
          <w:kern w:val="0"/>
          <w:sz w:val="24"/>
        </w:rPr>
        <w:t xml:space="preserve">日    期： </w:t>
      </w:r>
      <w:r>
        <w:rPr>
          <w:rFonts w:hint="eastAsia" w:ascii="宋体" w:hAnsi="宋体" w:cs="仿宋_GB2312"/>
          <w:color w:val="000000"/>
          <w:kern w:val="0"/>
          <w:sz w:val="24"/>
          <w:u w:val="single"/>
        </w:rPr>
        <w:t xml:space="preserve">       </w:t>
      </w:r>
      <w:r>
        <w:rPr>
          <w:rFonts w:hint="eastAsia" w:ascii="宋体" w:hAnsi="宋体" w:cs="仿宋_GB2312"/>
          <w:color w:val="000000"/>
          <w:kern w:val="0"/>
          <w:sz w:val="24"/>
        </w:rPr>
        <w:t xml:space="preserve">年  </w:t>
      </w:r>
      <w:r>
        <w:rPr>
          <w:rFonts w:hint="eastAsia" w:ascii="宋体" w:hAnsi="宋体" w:cs="宋体"/>
          <w:color w:val="000000"/>
          <w:kern w:val="0"/>
          <w:sz w:val="24"/>
          <w:u w:val="single"/>
        </w:rPr>
        <w:tab/>
      </w:r>
      <w:r>
        <w:rPr>
          <w:rFonts w:hint="eastAsia" w:ascii="宋体" w:hAnsi="宋体" w:cs="仿宋_GB2312"/>
          <w:color w:val="000000"/>
          <w:kern w:val="0"/>
          <w:sz w:val="24"/>
        </w:rPr>
        <w:t xml:space="preserve">月 </w:t>
      </w:r>
      <w:r>
        <w:rPr>
          <w:rFonts w:hint="eastAsia" w:ascii="宋体" w:hAnsi="宋体" w:cs="宋体"/>
          <w:color w:val="000000"/>
          <w:kern w:val="0"/>
          <w:sz w:val="24"/>
          <w:u w:val="single"/>
        </w:rPr>
        <w:tab/>
      </w:r>
      <w:r>
        <w:rPr>
          <w:rFonts w:hint="eastAsia" w:ascii="宋体" w:hAnsi="宋体" w:cs="宋体"/>
          <w:color w:val="000000"/>
          <w:kern w:val="0"/>
          <w:sz w:val="24"/>
          <w:u w:val="single"/>
        </w:rPr>
        <w:tab/>
      </w:r>
      <w:r>
        <w:rPr>
          <w:rFonts w:hint="eastAsia" w:ascii="宋体" w:hAnsi="宋体" w:cs="仿宋_GB2312"/>
          <w:color w:val="000000"/>
          <w:kern w:val="0"/>
          <w:sz w:val="24"/>
        </w:rPr>
        <w:t>日</w:t>
      </w: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autoSpaceDE w:val="0"/>
        <w:autoSpaceDN w:val="0"/>
        <w:adjustRightInd w:val="0"/>
        <w:spacing w:line="400" w:lineRule="atLeast"/>
        <w:jc w:val="center"/>
        <w:rPr>
          <w:rFonts w:hint="eastAsia" w:ascii="宋体" w:hAnsi="宋体" w:cs="仿宋_GB2312"/>
          <w:color w:val="000000"/>
          <w:kern w:val="0"/>
          <w:sz w:val="24"/>
        </w:rPr>
      </w:pPr>
    </w:p>
    <w:p>
      <w:pPr>
        <w:spacing w:line="240" w:lineRule="atLeast"/>
        <w:rPr>
          <w:rFonts w:hint="eastAsia" w:ascii="宋体" w:hAnsi="宋体" w:cs="宋体"/>
          <w:b/>
          <w:sz w:val="32"/>
          <w:szCs w:val="32"/>
        </w:rPr>
      </w:pPr>
    </w:p>
    <w:p>
      <w:pPr>
        <w:spacing w:line="240" w:lineRule="atLeast"/>
        <w:jc w:val="center"/>
        <w:rPr>
          <w:rFonts w:ascii="宋体" w:hAnsi="宋体" w:cs="宋体"/>
          <w:b/>
          <w:spacing w:val="-6"/>
          <w:sz w:val="32"/>
          <w:szCs w:val="32"/>
        </w:rPr>
      </w:pPr>
      <w:r>
        <w:rPr>
          <w:rFonts w:hint="eastAsia" w:ascii="宋体" w:hAnsi="宋体" w:cs="宋体"/>
          <w:b/>
          <w:sz w:val="32"/>
          <w:szCs w:val="32"/>
        </w:rPr>
        <w:t>十、</w:t>
      </w:r>
      <w:r>
        <w:rPr>
          <w:rFonts w:hint="eastAsia" w:ascii="宋体" w:hAnsi="宋体" w:cs="宋体"/>
          <w:b/>
          <w:spacing w:val="-6"/>
          <w:sz w:val="32"/>
          <w:szCs w:val="32"/>
        </w:rPr>
        <w:t>无失信行为承诺书</w:t>
      </w:r>
    </w:p>
    <w:p>
      <w:pPr>
        <w:spacing w:line="240" w:lineRule="atLeast"/>
        <w:ind w:firstLine="2156" w:firstLineChars="700"/>
        <w:rPr>
          <w:rFonts w:ascii="宋体" w:hAnsi="宋体" w:cs="宋体"/>
          <w:spacing w:val="-6"/>
          <w:sz w:val="32"/>
          <w:szCs w:val="32"/>
        </w:rPr>
      </w:pPr>
    </w:p>
    <w:p>
      <w:pPr>
        <w:spacing w:line="600" w:lineRule="exact"/>
        <w:rPr>
          <w:rFonts w:ascii="宋体" w:hAnsi="宋体" w:cs="宋体"/>
          <w:sz w:val="24"/>
          <w:lang w:val="zh-CN"/>
        </w:rPr>
      </w:pPr>
      <w:r>
        <w:rPr>
          <w:rFonts w:hint="eastAsia"/>
          <w:bCs/>
          <w:color w:val="000000"/>
          <w:sz w:val="24"/>
          <w:u w:val="single"/>
        </w:rPr>
        <w:t xml:space="preserve">        （致招标人）            </w:t>
      </w:r>
      <w:r>
        <w:rPr>
          <w:rFonts w:hint="eastAsia" w:ascii="宋体" w:hAnsi="宋体" w:cs="宋体"/>
          <w:sz w:val="24"/>
          <w:lang w:val="zh-CN"/>
        </w:rPr>
        <w:t>：</w:t>
      </w:r>
    </w:p>
    <w:p>
      <w:pPr>
        <w:spacing w:line="600" w:lineRule="exact"/>
        <w:ind w:firstLine="480" w:firstLineChars="200"/>
        <w:rPr>
          <w:rFonts w:ascii="宋体" w:hAnsi="宋体" w:cs="宋体"/>
          <w:sz w:val="24"/>
        </w:rPr>
      </w:pPr>
      <w:r>
        <w:rPr>
          <w:rFonts w:hint="eastAsia" w:ascii="宋体" w:hAnsi="宋体" w:cs="宋体"/>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没收投标保证金等有关处理，给采购人造成损失的，依法承担赔偿责任，并愿意承担相关法律责任。</w:t>
      </w:r>
    </w:p>
    <w:p>
      <w:pPr>
        <w:spacing w:line="600" w:lineRule="exact"/>
        <w:rPr>
          <w:rFonts w:ascii="宋体" w:hAnsi="宋体" w:cs="宋体"/>
          <w:sz w:val="24"/>
        </w:rPr>
      </w:pPr>
    </w:p>
    <w:p>
      <w:pPr>
        <w:spacing w:line="600" w:lineRule="exact"/>
        <w:jc w:val="right"/>
        <w:rPr>
          <w:rFonts w:ascii="宋体" w:hAnsi="宋体" w:cs="宋体"/>
          <w:sz w:val="24"/>
          <w:lang w:val="zh-CN"/>
        </w:rPr>
      </w:pPr>
    </w:p>
    <w:p>
      <w:pPr>
        <w:spacing w:line="600" w:lineRule="exact"/>
        <w:jc w:val="right"/>
        <w:rPr>
          <w:rFonts w:ascii="宋体" w:hAnsi="宋体" w:cs="宋体"/>
          <w:sz w:val="24"/>
          <w:lang w:val="zh-CN"/>
        </w:rPr>
      </w:pPr>
      <w:r>
        <w:rPr>
          <w:rFonts w:hint="eastAsia" w:ascii="宋体" w:hAnsi="宋体" w:cs="宋体"/>
          <w:sz w:val="24"/>
          <w:lang w:val="zh-CN"/>
        </w:rPr>
        <w:t>法定代表人（签字或盖章）：</w:t>
      </w:r>
    </w:p>
    <w:p>
      <w:pPr>
        <w:spacing w:line="600" w:lineRule="exact"/>
        <w:jc w:val="right"/>
        <w:rPr>
          <w:rFonts w:ascii="宋体" w:hAnsi="宋体" w:cs="宋体"/>
          <w:sz w:val="24"/>
          <w:lang w:val="zh-CN"/>
        </w:rPr>
      </w:pPr>
      <w:r>
        <w:rPr>
          <w:rFonts w:hint="eastAsia" w:ascii="宋体" w:hAnsi="宋体" w:cs="宋体"/>
          <w:sz w:val="24"/>
          <w:lang w:val="zh-CN"/>
        </w:rPr>
        <w:t xml:space="preserve">投标人（公章）： </w:t>
      </w:r>
    </w:p>
    <w:p>
      <w:pPr>
        <w:spacing w:line="600" w:lineRule="exact"/>
        <w:jc w:val="right"/>
        <w:rPr>
          <w:rFonts w:ascii="宋体" w:hAnsi="宋体" w:cs="宋体"/>
          <w:sz w:val="24"/>
          <w:lang w:val="zh-CN"/>
        </w:rPr>
      </w:pPr>
    </w:p>
    <w:p>
      <w:pPr>
        <w:jc w:val="center"/>
        <w:rPr>
          <w:rFonts w:hint="eastAsia" w:ascii="宋体" w:hAnsi="宋体" w:cs="宋体"/>
          <w:b/>
          <w:sz w:val="32"/>
          <w:szCs w:val="32"/>
        </w:rPr>
      </w:pPr>
      <w:r>
        <w:rPr>
          <w:rFonts w:hint="eastAsia" w:ascii="宋体" w:hAnsi="宋体" w:cs="宋体"/>
          <w:sz w:val="24"/>
          <w:lang w:val="zh-CN"/>
        </w:rPr>
        <w:t xml:space="preserve">                                          日期：20  年  月   日</w:t>
      </w:r>
      <w:r>
        <w:rPr>
          <w:b/>
          <w:color w:val="000000"/>
          <w:kern w:val="0"/>
          <w:sz w:val="32"/>
          <w:szCs w:val="32"/>
        </w:rPr>
        <w:br w:type="page"/>
      </w:r>
      <w:r>
        <w:rPr>
          <w:rFonts w:hint="eastAsia" w:ascii="宋体" w:hAnsi="宋体" w:cs="宋体"/>
          <w:b/>
          <w:sz w:val="32"/>
          <w:szCs w:val="32"/>
        </w:rPr>
        <w:t>十一、中小企业证明材料</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b/>
          <w:sz w:val="32"/>
          <w:szCs w:val="32"/>
        </w:rPr>
      </w:pPr>
      <w:r>
        <w:rPr>
          <w:rFonts w:hint="eastAsia" w:ascii="宋体" w:hAnsi="宋体" w:cs="宋体"/>
          <w:sz w:val="24"/>
        </w:rPr>
        <w:t>注：符合《关于促进残疾人就业政府采购政策的通知》（财库〔2017〕141号）规定的条件并提供提供《残疾人福利性单位声明函》（附后）的残疾人福利性单位视同小型、微型企业；根据《关于政府采购支持监狱企业发展有关问题的通知》（财库[2014]68号）的规定，投标人提供由</w:t>
      </w:r>
      <w:r>
        <w:rPr>
          <w:rFonts w:hint="eastAsia" w:ascii="宋体" w:hAnsi="宋体" w:cs="宋体"/>
          <w:b/>
          <w:bCs/>
          <w:sz w:val="24"/>
        </w:rPr>
        <w:t>省级以上监狱管理局、戒毒管理局（含新疆生产建设兵团）出具的属于监狱企业证明文件的，视同为小型和微型企业。</w:t>
      </w:r>
    </w:p>
    <w:p>
      <w:pPr>
        <w:pStyle w:val="3"/>
        <w:widowControl/>
        <w:tabs>
          <w:tab w:val="left" w:pos="432"/>
        </w:tabs>
        <w:spacing w:line="240" w:lineRule="atLeast"/>
        <w:jc w:val="center"/>
        <w:rPr>
          <w:rFonts w:hint="eastAsia" w:ascii="宋体" w:hAnsi="宋体" w:cs="宋体"/>
        </w:rPr>
      </w:pPr>
      <w:r>
        <w:rPr>
          <w:rFonts w:hint="eastAsia" w:ascii="宋体" w:hAnsi="宋体" w:cs="宋体"/>
        </w:rPr>
        <w:t>（一）中小企业声明函</w:t>
      </w:r>
    </w:p>
    <w:p>
      <w:pPr>
        <w:rPr>
          <w:rFonts w:hint="eastAsia" w:ascii="宋体" w:hAnsi="宋体" w:cs="宋体"/>
        </w:rPr>
      </w:pPr>
    </w:p>
    <w:p>
      <w:pPr>
        <w:spacing w:line="360" w:lineRule="auto"/>
        <w:ind w:firstLine="480" w:firstLineChars="200"/>
        <w:rPr>
          <w:rFonts w:hint="eastAsia" w:ascii="宋体" w:hAnsi="宋体" w:cs="宋体"/>
          <w:sz w:val="24"/>
        </w:rPr>
      </w:pPr>
      <w:r>
        <w:rPr>
          <w:rFonts w:hint="eastAsia" w:ascii="宋体" w:hAnsi="宋体" w:cs="宋体"/>
          <w:sz w:val="24"/>
        </w:rPr>
        <w:t>本公司郑重声明，根据《政府采购促进中小企业发展暂行办法》（财库[2011]181号）的规定，本公司为</w:t>
      </w:r>
      <w:r>
        <w:rPr>
          <w:rFonts w:hint="eastAsia" w:ascii="宋体" w:hAnsi="宋体" w:cs="宋体"/>
          <w:sz w:val="24"/>
          <w:u w:val="single"/>
        </w:rPr>
        <w:t xml:space="preserve">      </w:t>
      </w:r>
      <w:r>
        <w:rPr>
          <w:rFonts w:hint="eastAsia" w:ascii="宋体" w:hAnsi="宋体" w:cs="宋体"/>
          <w:sz w:val="24"/>
        </w:rPr>
        <w:t>（请填写：中型、小型、微型）企业。即，本公司同时满足以下条件：</w:t>
      </w:r>
    </w:p>
    <w:p>
      <w:pPr>
        <w:pStyle w:val="30"/>
        <w:widowControl/>
        <w:numPr>
          <w:ilvl w:val="0"/>
          <w:numId w:val="20"/>
        </w:numPr>
        <w:ind w:firstLineChars="0"/>
        <w:rPr>
          <w:rFonts w:hint="eastAsia" w:ascii="宋体" w:hAnsi="宋体" w:cs="宋体"/>
          <w:szCs w:val="24"/>
        </w:rPr>
      </w:pPr>
      <w:r>
        <w:rPr>
          <w:rFonts w:hint="eastAsia" w:ascii="宋体" w:hAnsi="宋体" w:cs="宋体"/>
          <w:szCs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szCs w:val="24"/>
          <w:u w:val="single"/>
        </w:rPr>
        <w:t xml:space="preserve">   </w:t>
      </w:r>
      <w:r>
        <w:rPr>
          <w:rFonts w:hint="eastAsia" w:ascii="宋体" w:hAnsi="宋体" w:cs="宋体"/>
          <w:szCs w:val="24"/>
        </w:rPr>
        <w:t>（请填写：中型、小型、微型）企业。</w:t>
      </w:r>
    </w:p>
    <w:p>
      <w:pPr>
        <w:pStyle w:val="30"/>
        <w:widowControl/>
        <w:numPr>
          <w:ilvl w:val="0"/>
          <w:numId w:val="20"/>
        </w:numPr>
        <w:ind w:firstLineChars="0"/>
        <w:rPr>
          <w:rFonts w:hint="eastAsia" w:ascii="宋体" w:hAnsi="宋体" w:cs="宋体"/>
          <w:szCs w:val="24"/>
        </w:rPr>
      </w:pPr>
      <w:r>
        <w:rPr>
          <w:rFonts w:hint="eastAsia" w:ascii="宋体" w:hAnsi="宋体" w:cs="宋体"/>
          <w:szCs w:val="24"/>
        </w:rPr>
        <w:t>本公司参加</w:t>
      </w:r>
      <w:r>
        <w:rPr>
          <w:rFonts w:hint="eastAsia" w:ascii="宋体" w:hAnsi="宋体" w:cs="宋体"/>
          <w:szCs w:val="24"/>
          <w:u w:val="single"/>
        </w:rPr>
        <w:t xml:space="preserve">         </w:t>
      </w:r>
      <w:r>
        <w:rPr>
          <w:rFonts w:hint="eastAsia" w:ascii="宋体" w:hAnsi="宋体" w:cs="宋体"/>
          <w:szCs w:val="24"/>
        </w:rPr>
        <w:t>单位的</w:t>
      </w:r>
      <w:r>
        <w:rPr>
          <w:rFonts w:hint="eastAsia" w:ascii="宋体" w:hAnsi="宋体" w:cs="宋体"/>
          <w:szCs w:val="24"/>
          <w:u w:val="single"/>
        </w:rPr>
        <w:t xml:space="preserve">       </w:t>
      </w:r>
      <w:r>
        <w:rPr>
          <w:rFonts w:hint="eastAsia" w:ascii="宋体" w:hAnsi="宋体" w:cs="宋体"/>
          <w:szCs w:val="24"/>
        </w:rPr>
        <w:t xml:space="preserve">项目采购活动提供本企业制造的货物，由本企业承担工程、提供服务，或者提供其他 </w:t>
      </w:r>
      <w:r>
        <w:rPr>
          <w:rFonts w:hint="eastAsia" w:ascii="宋体" w:hAnsi="宋体" w:cs="宋体"/>
          <w:szCs w:val="24"/>
          <w:u w:val="single"/>
        </w:rPr>
        <w:t xml:space="preserve">        </w:t>
      </w:r>
      <w:r>
        <w:rPr>
          <w:rFonts w:hint="eastAsia" w:ascii="宋体" w:hAnsi="宋体" w:cs="宋体"/>
          <w:szCs w:val="24"/>
        </w:rPr>
        <w:t>（请填写：中型、小型、微型）企业制造的货物。本条所称货物不包括使用大型企业注册商标的货物。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本公司对上述声明的真实性负责。如有虚假，将依法承担相应责任。</w:t>
      </w:r>
    </w:p>
    <w:p>
      <w:pPr>
        <w:spacing w:line="360" w:lineRule="auto"/>
        <w:jc w:val="right"/>
        <w:rPr>
          <w:rFonts w:hint="eastAsia" w:ascii="宋体" w:hAnsi="宋体" w:cs="宋体"/>
          <w:sz w:val="24"/>
        </w:rPr>
      </w:pPr>
    </w:p>
    <w:p>
      <w:pPr>
        <w:spacing w:line="360" w:lineRule="auto"/>
        <w:ind w:right="420" w:firstLine="5880" w:firstLineChars="2450"/>
        <w:rPr>
          <w:rFonts w:hint="eastAsia" w:ascii="宋体" w:hAnsi="宋体" w:cs="宋体"/>
          <w:sz w:val="24"/>
        </w:rPr>
      </w:pPr>
      <w:r>
        <w:rPr>
          <w:rFonts w:hint="eastAsia" w:ascii="宋体" w:hAnsi="宋体" w:cs="宋体"/>
          <w:sz w:val="24"/>
        </w:rPr>
        <w:t xml:space="preserve">企业名称（盖章）：                                 </w:t>
      </w:r>
    </w:p>
    <w:p>
      <w:pPr>
        <w:spacing w:line="360" w:lineRule="auto"/>
        <w:ind w:right="420" w:firstLine="5520" w:firstLineChars="2300"/>
        <w:rPr>
          <w:rFonts w:hint="eastAsia" w:ascii="宋体" w:hAnsi="宋体" w:cs="宋体"/>
        </w:rPr>
      </w:pPr>
      <w:r>
        <w:rPr>
          <w:rFonts w:hint="eastAsia" w:ascii="宋体" w:hAnsi="宋体" w:cs="宋体"/>
          <w:sz w:val="24"/>
        </w:rPr>
        <w:t xml:space="preserve">日期：     年     月   </w:t>
      </w:r>
      <w:r>
        <w:rPr>
          <w:rFonts w:hint="eastAsia" w:ascii="宋体" w:hAnsi="宋体" w:cs="宋体"/>
        </w:rPr>
        <w:t xml:space="preserve">日              </w:t>
      </w:r>
    </w:p>
    <w:p>
      <w:pPr>
        <w:spacing w:line="360" w:lineRule="auto"/>
        <w:jc w:val="center"/>
        <w:rPr>
          <w:rFonts w:hint="eastAsia" w:ascii="宋体" w:hAnsi="宋体" w:cs="宋体"/>
        </w:rPr>
      </w:pPr>
      <w:r>
        <w:rPr>
          <w:rFonts w:hint="eastAsia" w:ascii="宋体" w:hAnsi="宋体" w:cs="宋体"/>
        </w:rPr>
        <w:br w:type="page"/>
      </w:r>
      <w:r>
        <w:rPr>
          <w:rStyle w:val="25"/>
          <w:rFonts w:hint="eastAsia"/>
        </w:rPr>
        <w:t>（二）承诺书</w:t>
      </w:r>
    </w:p>
    <w:p>
      <w:pPr>
        <w:rPr>
          <w:rFonts w:hint="eastAsia" w:ascii="宋体" w:hAnsi="宋体" w:cs="宋体"/>
          <w:sz w:val="24"/>
        </w:rPr>
      </w:pPr>
    </w:p>
    <w:p>
      <w:pPr>
        <w:spacing w:line="600" w:lineRule="exact"/>
        <w:ind w:firstLine="480" w:firstLineChars="200"/>
        <w:rPr>
          <w:rFonts w:hint="eastAsia" w:ascii="宋体" w:hAnsi="宋体" w:cs="宋体"/>
          <w:sz w:val="24"/>
          <w:u w:val="single"/>
        </w:rPr>
      </w:pPr>
      <w:r>
        <w:rPr>
          <w:rFonts w:hint="eastAsia" w:ascii="宋体" w:hAnsi="宋体" w:cs="宋体"/>
          <w:sz w:val="24"/>
        </w:rPr>
        <w:t>我单位根据《工业和信息化部、国家统计局、国家发展和改革委员会、财政部关于印发中小企业划型标准规定的通知》（工信部联企业〔2011〕300号）规定的划型标准，主营业务属于</w:t>
      </w:r>
      <w:r>
        <w:rPr>
          <w:rFonts w:hint="eastAsia" w:ascii="宋体" w:hAnsi="宋体" w:cs="宋体"/>
          <w:sz w:val="24"/>
          <w:u w:val="single"/>
        </w:rPr>
        <w:t xml:space="preserve">                                                    </w:t>
      </w:r>
    </w:p>
    <w:p>
      <w:pPr>
        <w:spacing w:line="600" w:lineRule="exact"/>
        <w:ind w:firstLine="480" w:firstLineChars="200"/>
        <w:rPr>
          <w:rFonts w:hint="eastAsia" w:ascii="宋体" w:hAnsi="宋体" w:cs="宋体"/>
          <w:sz w:val="24"/>
        </w:rPr>
      </w:pPr>
      <w:r>
        <w:rPr>
          <w:rFonts w:hint="eastAsia" w:ascii="宋体" w:hAnsi="宋体" w:cs="宋体"/>
          <w:sz w:val="24"/>
        </w:rPr>
        <w:t>行业（（1）农、林、牧、渔业（2）工业（3）建筑业（4）批发业（5）零售业（6）交通运输业（7）仓储业（8）邮政业（9）住宿业（10）餐饮业（11）信息传输业（12）软件和信息技术服务业（13）房地产开发经营（14）物业管理（15）租赁和商务服务业（16）其他未列明行业），并提交如下材料：</w:t>
      </w:r>
    </w:p>
    <w:p>
      <w:pPr>
        <w:spacing w:line="600" w:lineRule="exact"/>
        <w:ind w:firstLine="480" w:firstLineChars="200"/>
        <w:rPr>
          <w:rFonts w:hint="eastAsia" w:ascii="宋体" w:hAnsi="宋体" w:cs="宋体"/>
          <w:sz w:val="24"/>
        </w:rPr>
      </w:pPr>
      <w:r>
        <w:rPr>
          <w:rFonts w:hint="eastAsia" w:ascii="宋体" w:hAnsi="宋体" w:cs="宋体"/>
          <w:sz w:val="24"/>
        </w:rPr>
        <w:t>1、企业营业执照副本复印件；（加盖单位公章）；</w:t>
      </w:r>
    </w:p>
    <w:p>
      <w:pPr>
        <w:spacing w:line="600" w:lineRule="exact"/>
        <w:ind w:firstLine="480" w:firstLineChars="200"/>
        <w:rPr>
          <w:rFonts w:hint="eastAsia" w:ascii="宋体" w:hAnsi="宋体" w:cs="宋体"/>
          <w:sz w:val="24"/>
        </w:rPr>
      </w:pPr>
      <w:r>
        <w:rPr>
          <w:rFonts w:hint="eastAsia" w:ascii="宋体" w:hAnsi="宋体" w:cs="宋体"/>
          <w:sz w:val="24"/>
        </w:rPr>
        <w:t>2、企业上年度财务报表（企业利润表、企业资产负债表）（相关材料加盖税务部门公章）；</w:t>
      </w:r>
    </w:p>
    <w:p>
      <w:pPr>
        <w:spacing w:line="600" w:lineRule="exact"/>
        <w:ind w:firstLine="480" w:firstLineChars="200"/>
        <w:rPr>
          <w:rFonts w:hint="eastAsia" w:ascii="宋体" w:hAnsi="宋体" w:cs="宋体"/>
          <w:sz w:val="24"/>
        </w:rPr>
      </w:pPr>
      <w:r>
        <w:rPr>
          <w:rFonts w:hint="eastAsia" w:ascii="宋体" w:hAnsi="宋体" w:cs="宋体"/>
          <w:sz w:val="24"/>
        </w:rPr>
        <w:t>3、企业上年度从业人员证明材料（1-12月份社会保险基本结算表或社会保险费年度结算申报表）（相关材料加盖社保部门公章）；</w:t>
      </w:r>
    </w:p>
    <w:p>
      <w:pPr>
        <w:spacing w:line="600" w:lineRule="exact"/>
        <w:ind w:firstLine="480" w:firstLineChars="200"/>
        <w:rPr>
          <w:rFonts w:hint="eastAsia" w:ascii="宋体" w:hAnsi="宋体" w:cs="宋体"/>
          <w:sz w:val="24"/>
        </w:rPr>
      </w:pPr>
      <w:r>
        <w:rPr>
          <w:rFonts w:hint="eastAsia" w:ascii="宋体" w:hAnsi="宋体" w:cs="宋体"/>
          <w:sz w:val="24"/>
        </w:rPr>
        <w:t>我单位承诺：以上提交材料内容真实、有效。如有不实,愿负相应的法律责任并承担由此产生的一切后果。</w:t>
      </w:r>
    </w:p>
    <w:p>
      <w:pPr>
        <w:spacing w:line="600" w:lineRule="exact"/>
        <w:ind w:firstLine="480" w:firstLineChars="200"/>
        <w:rPr>
          <w:rFonts w:hint="eastAsia" w:ascii="宋体" w:hAnsi="宋体" w:cs="宋体"/>
          <w:sz w:val="24"/>
        </w:rPr>
      </w:pPr>
      <w:r>
        <w:rPr>
          <w:rFonts w:hint="eastAsia" w:ascii="宋体" w:hAnsi="宋体" w:cs="宋体"/>
          <w:sz w:val="24"/>
        </w:rPr>
        <w:t>特此承诺。</w:t>
      </w:r>
    </w:p>
    <w:p>
      <w:pPr>
        <w:spacing w:line="600" w:lineRule="exact"/>
        <w:jc w:val="right"/>
        <w:rPr>
          <w:rFonts w:hint="eastAsia" w:ascii="宋体" w:hAnsi="宋体" w:cs="宋体"/>
          <w:sz w:val="24"/>
        </w:rPr>
      </w:pPr>
    </w:p>
    <w:p>
      <w:pPr>
        <w:spacing w:line="600" w:lineRule="exact"/>
        <w:jc w:val="right"/>
        <w:rPr>
          <w:rFonts w:hint="eastAsia" w:ascii="宋体" w:hAnsi="宋体" w:cs="宋体"/>
          <w:sz w:val="24"/>
        </w:rPr>
      </w:pPr>
      <w:r>
        <w:rPr>
          <w:rFonts w:hint="eastAsia" w:ascii="宋体" w:hAnsi="宋体" w:cs="宋体"/>
          <w:sz w:val="24"/>
        </w:rPr>
        <w:t>公司名称：</w:t>
      </w:r>
    </w:p>
    <w:p>
      <w:pPr>
        <w:spacing w:line="600" w:lineRule="exact"/>
        <w:jc w:val="right"/>
        <w:rPr>
          <w:rFonts w:hint="eastAsia" w:ascii="宋体" w:hAnsi="宋体" w:cs="宋体"/>
          <w:sz w:val="24"/>
        </w:rPr>
      </w:pPr>
      <w:r>
        <w:rPr>
          <w:rFonts w:hint="eastAsia" w:ascii="宋体" w:hAnsi="宋体" w:cs="宋体"/>
          <w:sz w:val="24"/>
        </w:rPr>
        <w:t>经办人签字：</w:t>
      </w:r>
    </w:p>
    <w:p>
      <w:pPr>
        <w:spacing w:line="600" w:lineRule="exact"/>
        <w:jc w:val="right"/>
        <w:rPr>
          <w:rFonts w:hint="eastAsia" w:ascii="宋体" w:hAnsi="宋体" w:cs="宋体"/>
          <w:sz w:val="24"/>
        </w:rPr>
      </w:pPr>
      <w:r>
        <w:rPr>
          <w:rFonts w:hint="eastAsia" w:ascii="宋体" w:hAnsi="宋体" w:cs="宋体"/>
          <w:sz w:val="24"/>
        </w:rPr>
        <w:t>职    务：</w:t>
      </w:r>
    </w:p>
    <w:p>
      <w:pPr>
        <w:spacing w:line="600" w:lineRule="exact"/>
        <w:jc w:val="right"/>
        <w:rPr>
          <w:rFonts w:hint="eastAsia" w:ascii="宋体" w:hAnsi="宋体" w:cs="宋体"/>
          <w:sz w:val="24"/>
        </w:rPr>
      </w:pPr>
      <w:r>
        <w:rPr>
          <w:rFonts w:hint="eastAsia" w:ascii="宋体" w:hAnsi="宋体" w:cs="宋体"/>
          <w:sz w:val="24"/>
        </w:rPr>
        <w:t>联系电话：</w:t>
      </w:r>
    </w:p>
    <w:p>
      <w:pPr>
        <w:spacing w:line="600" w:lineRule="exact"/>
        <w:jc w:val="right"/>
        <w:rPr>
          <w:rFonts w:hint="eastAsia" w:ascii="宋体" w:hAnsi="宋体" w:cs="宋体"/>
          <w:sz w:val="24"/>
        </w:rPr>
      </w:pPr>
      <w:r>
        <w:rPr>
          <w:rFonts w:hint="eastAsia" w:ascii="宋体" w:hAnsi="宋体" w:cs="宋体"/>
          <w:sz w:val="24"/>
        </w:rPr>
        <w:t>办理日期：    年    月    日</w:t>
      </w:r>
    </w:p>
    <w:p>
      <w:pPr>
        <w:autoSpaceDE w:val="0"/>
        <w:autoSpaceDN w:val="0"/>
        <w:adjustRightInd w:val="0"/>
        <w:spacing w:line="400" w:lineRule="atLeast"/>
        <w:jc w:val="center"/>
        <w:rPr>
          <w:b/>
          <w:color w:val="000000"/>
          <w:sz w:val="32"/>
          <w:szCs w:val="32"/>
        </w:rPr>
      </w:pPr>
      <w:r>
        <w:rPr>
          <w:rFonts w:hint="eastAsia"/>
          <w:b/>
          <w:color w:val="000000"/>
          <w:kern w:val="0"/>
          <w:sz w:val="32"/>
          <w:szCs w:val="32"/>
        </w:rPr>
        <w:t>十二</w:t>
      </w:r>
      <w:r>
        <w:rPr>
          <w:b/>
          <w:color w:val="000000"/>
          <w:sz w:val="32"/>
          <w:szCs w:val="32"/>
        </w:rPr>
        <w:t>、授权委托书</w:t>
      </w:r>
    </w:p>
    <w:p>
      <w:pPr>
        <w:spacing w:line="400" w:lineRule="atLeast"/>
        <w:jc w:val="center"/>
        <w:rPr>
          <w:b/>
          <w:color w:val="000000"/>
          <w:sz w:val="32"/>
          <w:szCs w:val="32"/>
        </w:rPr>
      </w:pPr>
    </w:p>
    <w:p>
      <w:pPr>
        <w:spacing w:line="400" w:lineRule="atLeast"/>
        <w:rPr>
          <w:b/>
          <w:color w:val="000000"/>
          <w:sz w:val="24"/>
        </w:rPr>
      </w:pPr>
      <w:r>
        <w:rPr>
          <w:rFonts w:hint="eastAsia"/>
          <w:b/>
          <w:color w:val="000000"/>
          <w:sz w:val="24"/>
        </w:rPr>
        <w:t>杭州金信工程造价咨询事务所有限公司</w:t>
      </w:r>
      <w:r>
        <w:rPr>
          <w:b/>
          <w:color w:val="000000"/>
          <w:sz w:val="24"/>
        </w:rPr>
        <w:t>：</w:t>
      </w:r>
    </w:p>
    <w:p>
      <w:pPr>
        <w:spacing w:line="400" w:lineRule="atLeast"/>
        <w:rPr>
          <w:b/>
          <w:color w:val="000000"/>
          <w:sz w:val="24"/>
        </w:rPr>
      </w:pPr>
    </w:p>
    <w:p>
      <w:pPr>
        <w:spacing w:line="440" w:lineRule="exact"/>
        <w:ind w:firstLine="480" w:firstLineChars="200"/>
        <w:rPr>
          <w:rFonts w:hint="eastAsia" w:ascii="宋体" w:hAnsi="宋体" w:cs="宋体"/>
          <w:color w:val="000000"/>
          <w:sz w:val="24"/>
        </w:rPr>
      </w:pPr>
      <w:bookmarkStart w:id="35" w:name="_Toc91899922"/>
      <w:r>
        <w:rPr>
          <w:rFonts w:hint="eastAsia" w:ascii="宋体" w:hAnsi="宋体" w:cs="宋体"/>
          <w:color w:val="000000"/>
          <w:sz w:val="24"/>
        </w:rPr>
        <w:t>兹委派我公司</w:t>
      </w:r>
      <w:r>
        <w:rPr>
          <w:rFonts w:hint="eastAsia" w:ascii="宋体" w:hAnsi="宋体" w:cs="宋体"/>
          <w:color w:val="000000"/>
          <w:sz w:val="24"/>
          <w:u w:val="single"/>
        </w:rPr>
        <w:t xml:space="preserve">                </w:t>
      </w:r>
      <w:r>
        <w:rPr>
          <w:rFonts w:hint="eastAsia" w:ascii="宋体" w:hAnsi="宋体" w:cs="宋体"/>
          <w:color w:val="000000"/>
          <w:sz w:val="24"/>
        </w:rPr>
        <w:t>先生/女士（其在本公司的职务是：</w:t>
      </w:r>
      <w:r>
        <w:rPr>
          <w:rFonts w:hint="eastAsia" w:ascii="宋体" w:hAnsi="宋体" w:cs="宋体"/>
          <w:color w:val="000000"/>
          <w:sz w:val="24"/>
          <w:u w:val="single"/>
        </w:rPr>
        <w:t xml:space="preserve">        </w:t>
      </w: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，手机：</w:t>
      </w:r>
      <w:r>
        <w:rPr>
          <w:rFonts w:hint="eastAsia" w:ascii="宋体" w:hAnsi="宋体" w:cs="宋体"/>
          <w:color w:val="000000"/>
          <w:sz w:val="24"/>
          <w:u w:val="single"/>
        </w:rPr>
        <w:t xml:space="preserve">           </w:t>
      </w: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，身份证号：</w:t>
      </w:r>
      <w:r>
        <w:rPr>
          <w:rFonts w:hint="eastAsia" w:ascii="宋体" w:hAnsi="宋体" w:cs="宋体"/>
          <w:color w:val="000000"/>
          <w:sz w:val="24"/>
          <w:u w:val="single"/>
        </w:rPr>
        <w:t xml:space="preserve">                </w:t>
      </w:r>
      <w:r>
        <w:rPr>
          <w:rFonts w:hint="eastAsia" w:ascii="宋体" w:hAnsi="宋体" w:cs="宋体"/>
          <w:color w:val="000000"/>
          <w:sz w:val="24"/>
        </w:rPr>
        <w:t>）代表我公司全权处理</w:t>
      </w:r>
      <w:r>
        <w:rPr>
          <w:rFonts w:hint="eastAsia" w:ascii="宋体" w:hAnsi="宋体" w:cs="宋体"/>
          <w:color w:val="000000"/>
          <w:sz w:val="24"/>
          <w:u w:val="single"/>
        </w:rPr>
        <w:t xml:space="preserve">                   </w:t>
      </w:r>
      <w:r>
        <w:rPr>
          <w:rFonts w:hint="eastAsia" w:ascii="宋体" w:hAnsi="宋体" w:cs="宋体"/>
          <w:color w:val="000000"/>
          <w:sz w:val="24"/>
        </w:rPr>
        <w:t>项目（项目编号：</w:t>
      </w:r>
      <w:r>
        <w:rPr>
          <w:rFonts w:hint="eastAsia" w:ascii="宋体" w:hAnsi="宋体" w:cs="宋体"/>
          <w:color w:val="000000"/>
          <w:sz w:val="24"/>
          <w:lang w:eastAsia="zh-CN"/>
        </w:rPr>
        <w:t>JXZFCG-2019-008</w:t>
      </w:r>
      <w:r>
        <w:rPr>
          <w:rFonts w:hint="eastAsia" w:ascii="宋体" w:hAnsi="宋体" w:cs="宋体"/>
          <w:color w:val="000000"/>
          <w:sz w:val="24"/>
        </w:rPr>
        <w:t xml:space="preserve">    ）的一切事项，若中标则全权代表本公司签订合同，并负责处理合同履行等事宜。</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授权代表无转委托权，特此委托。</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特此告知。</w:t>
      </w:r>
    </w:p>
    <w:p>
      <w:pPr>
        <w:spacing w:line="440" w:lineRule="exact"/>
        <w:rPr>
          <w:rFonts w:hint="eastAsia" w:ascii="宋体" w:hAnsi="宋体" w:cs="宋体"/>
          <w:color w:val="000000"/>
          <w:sz w:val="24"/>
        </w:rPr>
      </w:pPr>
      <w:r>
        <w:rPr>
          <w:rFonts w:hint="eastAsia" w:ascii="宋体" w:hAnsi="宋体" w:cs="宋体"/>
          <w:color w:val="000000"/>
          <w:sz w:val="24"/>
        </w:rPr>
        <w:t xml:space="preserve"> </w:t>
      </w:r>
    </w:p>
    <w:p>
      <w:pPr>
        <w:spacing w:line="440" w:lineRule="exact"/>
        <w:rPr>
          <w:rFonts w:hint="eastAsia" w:ascii="宋体" w:hAnsi="宋体" w:cs="宋体"/>
          <w:color w:val="000000"/>
          <w:sz w:val="24"/>
        </w:rPr>
      </w:pPr>
      <w:r>
        <w:rPr>
          <w:rFonts w:hint="eastAsia" w:ascii="宋体" w:hAnsi="宋体" w:cs="宋体"/>
          <w:color w:val="000000"/>
          <w:sz w:val="24"/>
        </w:rPr>
        <w:t xml:space="preserve">法定代表人（签字）：                     授权代表（签字）：           </w:t>
      </w:r>
    </w:p>
    <w:p>
      <w:pPr>
        <w:spacing w:line="440" w:lineRule="exact"/>
        <w:rPr>
          <w:rFonts w:hint="eastAsia" w:ascii="宋体" w:hAnsi="宋体" w:cs="宋体"/>
          <w:color w:val="000000"/>
          <w:sz w:val="24"/>
        </w:rPr>
      </w:pPr>
      <w:r>
        <w:rPr>
          <w:rFonts w:hint="eastAsia" w:ascii="宋体" w:hAnsi="宋体" w:cs="宋体"/>
          <w:color w:val="000000"/>
          <w:sz w:val="24"/>
        </w:rPr>
        <w:t>职务：                                  职务：</w:t>
      </w:r>
    </w:p>
    <w:p>
      <w:pPr>
        <w:spacing w:line="440" w:lineRule="exact"/>
        <w:rPr>
          <w:rFonts w:hint="eastAsia" w:ascii="宋体" w:hAnsi="宋体" w:cs="宋体"/>
          <w:color w:val="000000"/>
          <w:sz w:val="24"/>
        </w:rPr>
      </w:pPr>
      <w:r>
        <w:rPr>
          <w:rFonts w:hint="eastAsia" w:ascii="宋体" w:hAnsi="宋体" w:cs="宋体"/>
          <w:color w:val="000000"/>
          <w:sz w:val="24"/>
        </w:rPr>
        <w:t>身份证号码：                            身份证号码：</w:t>
      </w:r>
    </w:p>
    <w:p>
      <w:pPr>
        <w:spacing w:line="440" w:lineRule="exact"/>
        <w:rPr>
          <w:rFonts w:hint="eastAsia" w:ascii="宋体" w:hAnsi="宋体" w:cs="宋体"/>
          <w:color w:val="000000"/>
          <w:sz w:val="24"/>
        </w:rPr>
      </w:pPr>
      <w:r>
        <w:rPr>
          <w:rFonts w:hint="eastAsia" w:ascii="宋体" w:hAnsi="宋体" w:cs="宋体"/>
          <w:color w:val="000000"/>
          <w:sz w:val="24"/>
        </w:rPr>
        <w:t xml:space="preserve">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wordWrap w:val="0"/>
        <w:autoSpaceDE w:val="0"/>
        <w:autoSpaceDN w:val="0"/>
        <w:adjustRightInd w:val="0"/>
        <w:spacing w:line="440" w:lineRule="exact"/>
        <w:ind w:right="480" w:firstLine="5760" w:firstLineChars="2400"/>
        <w:rPr>
          <w:rFonts w:hint="eastAsia" w:ascii="宋体" w:hAnsi="宋体" w:cs="仿宋_GB2312"/>
          <w:color w:val="000000"/>
          <w:kern w:val="0"/>
          <w:sz w:val="24"/>
        </w:rPr>
      </w:pPr>
      <w:r>
        <w:rPr>
          <w:rFonts w:hint="eastAsia" w:ascii="宋体" w:hAnsi="宋体" w:cs="仿宋_GB2312"/>
          <w:color w:val="000000"/>
          <w:kern w:val="0"/>
          <w:sz w:val="24"/>
        </w:rPr>
        <w:t xml:space="preserve">      投标人（公章）：   </w:t>
      </w:r>
    </w:p>
    <w:p>
      <w:pPr>
        <w:autoSpaceDE w:val="0"/>
        <w:autoSpaceDN w:val="0"/>
        <w:adjustRightInd w:val="0"/>
        <w:spacing w:line="400" w:lineRule="atLeast"/>
        <w:jc w:val="right"/>
        <w:rPr>
          <w:color w:val="000000"/>
          <w:kern w:val="0"/>
          <w:sz w:val="24"/>
          <w:lang w:val="zh-CN"/>
        </w:rPr>
      </w:pPr>
      <w:r>
        <w:rPr>
          <w:rFonts w:hint="eastAsia" w:ascii="宋体" w:hAnsi="宋体" w:cs="仿宋_GB2312"/>
          <w:color w:val="000000"/>
          <w:kern w:val="0"/>
          <w:sz w:val="24"/>
        </w:rPr>
        <w:t xml:space="preserve">                       </w:t>
      </w:r>
      <w:r>
        <w:rPr>
          <w:rFonts w:hint="eastAsia" w:ascii="宋体" w:hAnsi="宋体" w:cs="宋体"/>
          <w:color w:val="000000"/>
          <w:sz w:val="24"/>
        </w:rPr>
        <w:t>授权委托日期</w:t>
      </w:r>
      <w:r>
        <w:rPr>
          <w:rFonts w:hint="eastAsia" w:ascii="宋体" w:hAnsi="宋体" w:cs="仿宋_GB2312"/>
          <w:color w:val="000000"/>
          <w:kern w:val="0"/>
          <w:sz w:val="24"/>
        </w:rPr>
        <w:t xml:space="preserve">：   年  月   日      </w:t>
      </w:r>
    </w:p>
    <w:p>
      <w:pPr>
        <w:spacing w:line="400" w:lineRule="atLeast"/>
        <w:jc w:val="center"/>
        <w:rPr>
          <w:rFonts w:hint="eastAsia"/>
          <w:b/>
          <w:color w:val="000000"/>
          <w:sz w:val="32"/>
          <w:szCs w:val="32"/>
        </w:rPr>
      </w:pPr>
      <w:r>
        <w:rPr>
          <w:b/>
          <w:color w:val="000000"/>
          <w:sz w:val="32"/>
          <w:szCs w:val="32"/>
        </w:rPr>
        <w:br w:type="page"/>
      </w:r>
      <w:r>
        <w:rPr>
          <w:b/>
          <w:color w:val="000000"/>
          <w:sz w:val="32"/>
          <w:szCs w:val="32"/>
        </w:rPr>
        <w:t>十</w:t>
      </w:r>
      <w:r>
        <w:rPr>
          <w:rFonts w:hint="eastAsia"/>
          <w:b/>
          <w:color w:val="000000"/>
          <w:sz w:val="32"/>
          <w:szCs w:val="32"/>
        </w:rPr>
        <w:t>三</w:t>
      </w:r>
      <w:r>
        <w:rPr>
          <w:b/>
          <w:color w:val="000000"/>
          <w:sz w:val="32"/>
          <w:szCs w:val="32"/>
        </w:rPr>
        <w:t>、</w:t>
      </w:r>
      <w:bookmarkEnd w:id="35"/>
      <w:r>
        <w:rPr>
          <w:b/>
          <w:color w:val="000000"/>
          <w:sz w:val="32"/>
          <w:szCs w:val="32"/>
        </w:rPr>
        <w:t>类似项目实施业绩一览表</w:t>
      </w:r>
    </w:p>
    <w:p>
      <w:pPr>
        <w:spacing w:line="440" w:lineRule="exact"/>
        <w:jc w:val="left"/>
        <w:rPr>
          <w:rFonts w:hint="eastAsia" w:ascii="宋体" w:hAnsi="宋体" w:cs="宋体"/>
          <w:b/>
          <w:bCs/>
          <w:color w:val="000000"/>
          <w:kern w:val="0"/>
          <w:sz w:val="24"/>
        </w:rPr>
      </w:pPr>
      <w:r>
        <w:rPr>
          <w:rFonts w:hint="eastAsia" w:ascii="宋体" w:hAnsi="宋体" w:cs="宋体"/>
          <w:b/>
          <w:bCs/>
          <w:color w:val="000000"/>
          <w:sz w:val="24"/>
        </w:rPr>
        <w:t>项目编号：</w:t>
      </w:r>
      <w:r>
        <w:rPr>
          <w:rFonts w:hint="eastAsia" w:ascii="宋体" w:hAnsi="宋体" w:cs="宋体"/>
          <w:b/>
          <w:bCs/>
          <w:color w:val="000000"/>
          <w:kern w:val="0"/>
          <w:sz w:val="24"/>
        </w:rPr>
        <w:t xml:space="preserve"> </w:t>
      </w:r>
    </w:p>
    <w:p>
      <w:pPr>
        <w:spacing w:line="400" w:lineRule="atLeast"/>
        <w:rPr>
          <w:b/>
          <w:color w:val="000000"/>
          <w:sz w:val="32"/>
          <w:szCs w:val="32"/>
        </w:rPr>
      </w:pPr>
      <w:r>
        <w:rPr>
          <w:rFonts w:hint="eastAsia" w:ascii="宋体" w:hAnsi="宋体" w:cs="宋体"/>
          <w:b/>
          <w:bCs/>
          <w:color w:val="000000"/>
          <w:kern w:val="0"/>
          <w:sz w:val="24"/>
        </w:rPr>
        <w:t>标项序号：</w:t>
      </w:r>
    </w:p>
    <w:tbl>
      <w:tblPr>
        <w:tblStyle w:val="19"/>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210"/>
        <w:gridCol w:w="1281"/>
        <w:gridCol w:w="1674"/>
        <w:gridCol w:w="1290"/>
        <w:gridCol w:w="23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5" w:hRule="atLeast"/>
        </w:trPr>
        <w:tc>
          <w:tcPr>
            <w:tcW w:w="1388" w:type="dxa"/>
            <w:tcBorders>
              <w:top w:val="double" w:color="auto" w:sz="4" w:space="0"/>
              <w:bottom w:val="single" w:color="auto" w:sz="4" w:space="0"/>
            </w:tcBorders>
            <w:shd w:val="clear" w:color="auto" w:fill="FFFF99"/>
            <w:noWrap w:val="0"/>
            <w:vAlign w:val="center"/>
          </w:tcPr>
          <w:p>
            <w:pPr>
              <w:autoSpaceDE w:val="0"/>
              <w:autoSpaceDN w:val="0"/>
              <w:adjustRightInd w:val="0"/>
              <w:spacing w:line="400" w:lineRule="atLeast"/>
              <w:jc w:val="center"/>
              <w:rPr>
                <w:color w:val="000000"/>
                <w:sz w:val="24"/>
                <w:lang w:val="zh-CN"/>
              </w:rPr>
            </w:pPr>
            <w:r>
              <w:rPr>
                <w:color w:val="000000"/>
                <w:sz w:val="24"/>
                <w:lang w:val="zh-CN"/>
              </w:rPr>
              <w:t>项目名称</w:t>
            </w:r>
          </w:p>
        </w:tc>
        <w:tc>
          <w:tcPr>
            <w:tcW w:w="1210" w:type="dxa"/>
            <w:tcBorders>
              <w:top w:val="double" w:color="auto" w:sz="4" w:space="0"/>
              <w:bottom w:val="single" w:color="auto" w:sz="4" w:space="0"/>
            </w:tcBorders>
            <w:shd w:val="clear" w:color="auto" w:fill="FFFF99"/>
            <w:noWrap w:val="0"/>
            <w:vAlign w:val="center"/>
          </w:tcPr>
          <w:p>
            <w:pPr>
              <w:autoSpaceDE w:val="0"/>
              <w:autoSpaceDN w:val="0"/>
              <w:adjustRightInd w:val="0"/>
              <w:spacing w:line="400" w:lineRule="atLeast"/>
              <w:jc w:val="center"/>
              <w:rPr>
                <w:color w:val="000000"/>
                <w:sz w:val="24"/>
                <w:lang w:val="zh-CN"/>
              </w:rPr>
            </w:pPr>
            <w:r>
              <w:rPr>
                <w:color w:val="000000"/>
                <w:sz w:val="24"/>
                <w:lang w:val="zh-CN"/>
              </w:rPr>
              <w:t>项目</w:t>
            </w:r>
          </w:p>
          <w:p>
            <w:pPr>
              <w:autoSpaceDE w:val="0"/>
              <w:autoSpaceDN w:val="0"/>
              <w:adjustRightInd w:val="0"/>
              <w:spacing w:line="400" w:lineRule="atLeast"/>
              <w:jc w:val="center"/>
              <w:rPr>
                <w:color w:val="000000"/>
                <w:sz w:val="24"/>
                <w:lang w:val="zh-CN"/>
              </w:rPr>
            </w:pPr>
            <w:r>
              <w:rPr>
                <w:color w:val="000000"/>
                <w:sz w:val="24"/>
                <w:lang w:val="zh-CN"/>
              </w:rPr>
              <w:t>类型</w:t>
            </w:r>
          </w:p>
        </w:tc>
        <w:tc>
          <w:tcPr>
            <w:tcW w:w="1281" w:type="dxa"/>
            <w:tcBorders>
              <w:top w:val="double" w:color="auto" w:sz="4" w:space="0"/>
              <w:bottom w:val="single" w:color="auto" w:sz="4" w:space="0"/>
            </w:tcBorders>
            <w:shd w:val="clear" w:color="auto" w:fill="FFFF99"/>
            <w:noWrap w:val="0"/>
            <w:vAlign w:val="center"/>
          </w:tcPr>
          <w:p>
            <w:pPr>
              <w:autoSpaceDE w:val="0"/>
              <w:autoSpaceDN w:val="0"/>
              <w:adjustRightInd w:val="0"/>
              <w:spacing w:line="400" w:lineRule="atLeast"/>
              <w:jc w:val="center"/>
              <w:rPr>
                <w:color w:val="000000"/>
                <w:sz w:val="24"/>
                <w:lang w:val="zh-CN"/>
              </w:rPr>
            </w:pPr>
            <w:r>
              <w:rPr>
                <w:color w:val="000000"/>
                <w:sz w:val="24"/>
                <w:lang w:val="zh-CN"/>
              </w:rPr>
              <w:t>简要描述</w:t>
            </w:r>
          </w:p>
        </w:tc>
        <w:tc>
          <w:tcPr>
            <w:tcW w:w="1674" w:type="dxa"/>
            <w:tcBorders>
              <w:top w:val="double" w:color="auto" w:sz="4" w:space="0"/>
              <w:bottom w:val="single" w:color="auto" w:sz="4" w:space="0"/>
            </w:tcBorders>
            <w:shd w:val="clear" w:color="auto" w:fill="FFFF99"/>
            <w:noWrap w:val="0"/>
            <w:vAlign w:val="center"/>
          </w:tcPr>
          <w:p>
            <w:pPr>
              <w:autoSpaceDE w:val="0"/>
              <w:autoSpaceDN w:val="0"/>
              <w:adjustRightInd w:val="0"/>
              <w:spacing w:line="400" w:lineRule="atLeast"/>
              <w:jc w:val="center"/>
              <w:rPr>
                <w:color w:val="000000"/>
                <w:sz w:val="24"/>
                <w:lang w:val="zh-CN"/>
              </w:rPr>
            </w:pPr>
            <w:r>
              <w:rPr>
                <w:color w:val="000000"/>
                <w:sz w:val="24"/>
                <w:lang w:val="zh-CN"/>
              </w:rPr>
              <w:t>项目金额</w:t>
            </w:r>
          </w:p>
          <w:p>
            <w:pPr>
              <w:autoSpaceDE w:val="0"/>
              <w:autoSpaceDN w:val="0"/>
              <w:adjustRightInd w:val="0"/>
              <w:spacing w:line="400" w:lineRule="atLeast"/>
              <w:jc w:val="center"/>
              <w:rPr>
                <w:color w:val="000000"/>
                <w:sz w:val="24"/>
                <w:lang w:val="zh-CN"/>
              </w:rPr>
            </w:pPr>
            <w:r>
              <w:rPr>
                <w:color w:val="000000"/>
                <w:sz w:val="24"/>
                <w:lang w:val="zh-CN"/>
              </w:rPr>
              <w:t>（万元）</w:t>
            </w:r>
          </w:p>
        </w:tc>
        <w:tc>
          <w:tcPr>
            <w:tcW w:w="1290" w:type="dxa"/>
            <w:tcBorders>
              <w:top w:val="double" w:color="auto" w:sz="4" w:space="0"/>
              <w:bottom w:val="single" w:color="auto" w:sz="4" w:space="0"/>
            </w:tcBorders>
            <w:shd w:val="clear" w:color="auto" w:fill="FFFF99"/>
            <w:noWrap w:val="0"/>
            <w:vAlign w:val="center"/>
          </w:tcPr>
          <w:p>
            <w:pPr>
              <w:autoSpaceDE w:val="0"/>
              <w:autoSpaceDN w:val="0"/>
              <w:adjustRightInd w:val="0"/>
              <w:spacing w:line="400" w:lineRule="atLeast"/>
              <w:jc w:val="center"/>
              <w:rPr>
                <w:color w:val="000000"/>
                <w:sz w:val="24"/>
                <w:lang w:val="zh-CN"/>
              </w:rPr>
            </w:pPr>
            <w:r>
              <w:rPr>
                <w:color w:val="000000"/>
                <w:sz w:val="24"/>
                <w:lang w:val="zh-CN"/>
              </w:rPr>
              <w:t>合同签订时间</w:t>
            </w:r>
          </w:p>
        </w:tc>
        <w:tc>
          <w:tcPr>
            <w:tcW w:w="2337" w:type="dxa"/>
            <w:tcBorders>
              <w:top w:val="double" w:color="auto" w:sz="4" w:space="0"/>
              <w:bottom w:val="single" w:color="auto" w:sz="4" w:space="0"/>
            </w:tcBorders>
            <w:shd w:val="clear" w:color="auto" w:fill="FFFF99"/>
            <w:noWrap w:val="0"/>
            <w:vAlign w:val="center"/>
          </w:tcPr>
          <w:p>
            <w:pPr>
              <w:widowControl/>
              <w:spacing w:line="400" w:lineRule="atLeast"/>
              <w:jc w:val="center"/>
              <w:rPr>
                <w:color w:val="000000"/>
                <w:sz w:val="24"/>
                <w:lang w:val="zh-CN"/>
              </w:rPr>
            </w:pPr>
            <w:r>
              <w:rPr>
                <w:color w:val="000000"/>
                <w:sz w:val="24"/>
                <w:lang w:val="zh-CN"/>
              </w:rPr>
              <w:t>项目单位</w:t>
            </w:r>
          </w:p>
          <w:p>
            <w:pPr>
              <w:autoSpaceDE w:val="0"/>
              <w:autoSpaceDN w:val="0"/>
              <w:adjustRightInd w:val="0"/>
              <w:spacing w:line="400" w:lineRule="atLeast"/>
              <w:jc w:val="center"/>
              <w:rPr>
                <w:color w:val="000000"/>
                <w:sz w:val="24"/>
                <w:lang w:val="zh-CN"/>
              </w:rPr>
            </w:pPr>
            <w:r>
              <w:rPr>
                <w:color w:val="000000"/>
                <w:sz w:val="24"/>
                <w:lang w:val="zh-CN"/>
              </w:rPr>
              <w:t>联系人及电话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trPr>
        <w:tc>
          <w:tcPr>
            <w:tcW w:w="1388" w:type="dxa"/>
            <w:tcBorders>
              <w:top w:val="single" w:color="auto" w:sz="4" w:space="0"/>
            </w:tcBorders>
            <w:noWrap w:val="0"/>
            <w:vAlign w:val="top"/>
          </w:tcPr>
          <w:p>
            <w:pPr>
              <w:autoSpaceDE w:val="0"/>
              <w:autoSpaceDN w:val="0"/>
              <w:adjustRightInd w:val="0"/>
              <w:spacing w:line="400" w:lineRule="atLeast"/>
              <w:rPr>
                <w:color w:val="000000"/>
                <w:sz w:val="24"/>
                <w:lang w:val="zh-CN"/>
              </w:rPr>
            </w:pPr>
          </w:p>
        </w:tc>
        <w:tc>
          <w:tcPr>
            <w:tcW w:w="1210" w:type="dxa"/>
            <w:tcBorders>
              <w:top w:val="single" w:color="auto" w:sz="4" w:space="0"/>
            </w:tcBorders>
            <w:noWrap w:val="0"/>
            <w:vAlign w:val="top"/>
          </w:tcPr>
          <w:p>
            <w:pPr>
              <w:autoSpaceDE w:val="0"/>
              <w:autoSpaceDN w:val="0"/>
              <w:adjustRightInd w:val="0"/>
              <w:spacing w:line="400" w:lineRule="atLeast"/>
              <w:rPr>
                <w:color w:val="000000"/>
                <w:sz w:val="24"/>
                <w:lang w:val="zh-CN"/>
              </w:rPr>
            </w:pPr>
          </w:p>
        </w:tc>
        <w:tc>
          <w:tcPr>
            <w:tcW w:w="1281" w:type="dxa"/>
            <w:tcBorders>
              <w:top w:val="single" w:color="auto" w:sz="4" w:space="0"/>
            </w:tcBorders>
            <w:noWrap w:val="0"/>
            <w:vAlign w:val="top"/>
          </w:tcPr>
          <w:p>
            <w:pPr>
              <w:autoSpaceDE w:val="0"/>
              <w:autoSpaceDN w:val="0"/>
              <w:adjustRightInd w:val="0"/>
              <w:spacing w:line="400" w:lineRule="atLeast"/>
              <w:rPr>
                <w:color w:val="000000"/>
                <w:sz w:val="24"/>
                <w:lang w:val="zh-CN"/>
              </w:rPr>
            </w:pPr>
          </w:p>
        </w:tc>
        <w:tc>
          <w:tcPr>
            <w:tcW w:w="1674" w:type="dxa"/>
            <w:tcBorders>
              <w:top w:val="single" w:color="auto" w:sz="4" w:space="0"/>
            </w:tcBorders>
            <w:noWrap w:val="0"/>
            <w:vAlign w:val="top"/>
          </w:tcPr>
          <w:p>
            <w:pPr>
              <w:autoSpaceDE w:val="0"/>
              <w:autoSpaceDN w:val="0"/>
              <w:adjustRightInd w:val="0"/>
              <w:spacing w:line="400" w:lineRule="atLeast"/>
              <w:rPr>
                <w:color w:val="000000"/>
                <w:sz w:val="24"/>
                <w:lang w:val="zh-CN"/>
              </w:rPr>
            </w:pPr>
          </w:p>
        </w:tc>
        <w:tc>
          <w:tcPr>
            <w:tcW w:w="1290" w:type="dxa"/>
            <w:tcBorders>
              <w:top w:val="single" w:color="auto" w:sz="4" w:space="0"/>
            </w:tcBorders>
            <w:noWrap w:val="0"/>
            <w:vAlign w:val="top"/>
          </w:tcPr>
          <w:p>
            <w:pPr>
              <w:autoSpaceDE w:val="0"/>
              <w:autoSpaceDN w:val="0"/>
              <w:adjustRightInd w:val="0"/>
              <w:spacing w:line="400" w:lineRule="atLeast"/>
              <w:rPr>
                <w:color w:val="000000"/>
                <w:sz w:val="24"/>
                <w:lang w:val="zh-CN"/>
              </w:rPr>
            </w:pPr>
          </w:p>
        </w:tc>
        <w:tc>
          <w:tcPr>
            <w:tcW w:w="2337" w:type="dxa"/>
            <w:tcBorders>
              <w:top w:val="single" w:color="auto" w:sz="4" w:space="0"/>
            </w:tcBorders>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7" w:hRule="atLeast"/>
        </w:trPr>
        <w:tc>
          <w:tcPr>
            <w:tcW w:w="1388" w:type="dxa"/>
            <w:noWrap w:val="0"/>
            <w:vAlign w:val="top"/>
          </w:tcPr>
          <w:p>
            <w:pPr>
              <w:autoSpaceDE w:val="0"/>
              <w:autoSpaceDN w:val="0"/>
              <w:adjustRightInd w:val="0"/>
              <w:spacing w:line="400" w:lineRule="atLeast"/>
              <w:rPr>
                <w:color w:val="000000"/>
                <w:sz w:val="24"/>
                <w:lang w:val="zh-CN"/>
              </w:rPr>
            </w:pPr>
          </w:p>
        </w:tc>
        <w:tc>
          <w:tcPr>
            <w:tcW w:w="1210" w:type="dxa"/>
            <w:noWrap w:val="0"/>
            <w:vAlign w:val="top"/>
          </w:tcPr>
          <w:p>
            <w:pPr>
              <w:autoSpaceDE w:val="0"/>
              <w:autoSpaceDN w:val="0"/>
              <w:adjustRightInd w:val="0"/>
              <w:spacing w:line="400" w:lineRule="atLeast"/>
              <w:rPr>
                <w:color w:val="000000"/>
                <w:sz w:val="24"/>
                <w:lang w:val="zh-CN"/>
              </w:rPr>
            </w:pPr>
          </w:p>
        </w:tc>
        <w:tc>
          <w:tcPr>
            <w:tcW w:w="1281" w:type="dxa"/>
            <w:noWrap w:val="0"/>
            <w:vAlign w:val="top"/>
          </w:tcPr>
          <w:p>
            <w:pPr>
              <w:autoSpaceDE w:val="0"/>
              <w:autoSpaceDN w:val="0"/>
              <w:adjustRightInd w:val="0"/>
              <w:spacing w:line="400" w:lineRule="atLeast"/>
              <w:rPr>
                <w:color w:val="000000"/>
                <w:sz w:val="24"/>
                <w:lang w:val="zh-CN"/>
              </w:rPr>
            </w:pPr>
          </w:p>
        </w:tc>
        <w:tc>
          <w:tcPr>
            <w:tcW w:w="1674" w:type="dxa"/>
            <w:noWrap w:val="0"/>
            <w:vAlign w:val="top"/>
          </w:tcPr>
          <w:p>
            <w:pPr>
              <w:autoSpaceDE w:val="0"/>
              <w:autoSpaceDN w:val="0"/>
              <w:adjustRightInd w:val="0"/>
              <w:spacing w:line="400" w:lineRule="atLeast"/>
              <w:rPr>
                <w:color w:val="000000"/>
                <w:sz w:val="24"/>
                <w:lang w:val="zh-CN"/>
              </w:rPr>
            </w:pPr>
          </w:p>
        </w:tc>
        <w:tc>
          <w:tcPr>
            <w:tcW w:w="1290" w:type="dxa"/>
            <w:noWrap w:val="0"/>
            <w:vAlign w:val="top"/>
          </w:tcPr>
          <w:p>
            <w:pPr>
              <w:autoSpaceDE w:val="0"/>
              <w:autoSpaceDN w:val="0"/>
              <w:adjustRightInd w:val="0"/>
              <w:spacing w:line="400" w:lineRule="atLeast"/>
              <w:rPr>
                <w:color w:val="000000"/>
                <w:sz w:val="24"/>
                <w:lang w:val="zh-CN"/>
              </w:rPr>
            </w:pPr>
          </w:p>
        </w:tc>
        <w:tc>
          <w:tcPr>
            <w:tcW w:w="2337" w:type="dxa"/>
            <w:noWrap w:val="0"/>
            <w:vAlign w:val="top"/>
          </w:tcPr>
          <w:p>
            <w:pPr>
              <w:autoSpaceDE w:val="0"/>
              <w:autoSpaceDN w:val="0"/>
              <w:adjustRightInd w:val="0"/>
              <w:spacing w:line="400" w:lineRule="atLeast"/>
              <w:rPr>
                <w:color w:val="000000"/>
                <w:sz w:val="24"/>
                <w:lang w:val="zh-CN"/>
              </w:rPr>
            </w:pPr>
          </w:p>
        </w:tc>
      </w:tr>
    </w:tbl>
    <w:p>
      <w:pPr>
        <w:pStyle w:val="32"/>
        <w:spacing w:before="0" w:line="400" w:lineRule="atLeast"/>
        <w:ind w:firstLine="602" w:firstLineChars="250"/>
        <w:rPr>
          <w:rFonts w:ascii="Times New Roman" w:hAnsi="Times New Roman"/>
          <w:color w:val="000000"/>
          <w:kern w:val="0"/>
        </w:rPr>
      </w:pPr>
      <w:r>
        <w:rPr>
          <w:rFonts w:ascii="Times New Roman" w:hAnsi="Times New Roman"/>
          <w:b/>
          <w:color w:val="000000"/>
        </w:rPr>
        <w:t>备注：</w:t>
      </w:r>
      <w:r>
        <w:rPr>
          <w:rFonts w:ascii="Times New Roman" w:hAnsi="Times New Roman"/>
          <w:color w:val="000000"/>
          <w:kern w:val="0"/>
        </w:rPr>
        <w:t>以合同签订时间为准，须提供合同复印件</w:t>
      </w:r>
      <w:r>
        <w:rPr>
          <w:rFonts w:ascii="Times New Roman" w:hAnsi="Times New Roman"/>
          <w:color w:val="000000"/>
        </w:rPr>
        <w:t>加盖公章</w:t>
      </w:r>
      <w:r>
        <w:rPr>
          <w:rFonts w:ascii="Times New Roman" w:hAnsi="Times New Roman"/>
          <w:color w:val="000000"/>
          <w:kern w:val="0"/>
        </w:rPr>
        <w:t>。</w:t>
      </w:r>
    </w:p>
    <w:p>
      <w:pPr>
        <w:pStyle w:val="32"/>
        <w:spacing w:before="0" w:line="400" w:lineRule="atLeast"/>
        <w:ind w:firstLine="600" w:firstLineChars="250"/>
        <w:rPr>
          <w:rFonts w:ascii="Times New Roman" w:hAnsi="Times New Roman"/>
          <w:color w:val="000000"/>
        </w:rPr>
      </w:pP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投标人（公章）：     </w:t>
      </w:r>
    </w:p>
    <w:p>
      <w:pPr>
        <w:autoSpaceDE w:val="0"/>
        <w:autoSpaceDN w:val="0"/>
        <w:adjustRightInd w:val="0"/>
        <w:spacing w:line="400" w:lineRule="atLeast"/>
        <w:jc w:val="right"/>
        <w:rPr>
          <w:color w:val="000000"/>
          <w:kern w:val="0"/>
          <w:sz w:val="24"/>
          <w:lang w:val="zh-CN"/>
        </w:rPr>
      </w:pPr>
      <w:r>
        <w:rPr>
          <w:color w:val="000000"/>
          <w:kern w:val="0"/>
          <w:sz w:val="24"/>
          <w:lang w:val="zh-CN"/>
        </w:rPr>
        <w:t xml:space="preserve">                                   法定代表人或授权代表（签字）：     </w:t>
      </w:r>
    </w:p>
    <w:p>
      <w:pPr>
        <w:spacing w:line="400" w:lineRule="atLeast"/>
        <w:jc w:val="center"/>
        <w:rPr>
          <w:color w:val="000000"/>
          <w:sz w:val="24"/>
          <w:lang w:val="zh-CN"/>
        </w:rPr>
      </w:pPr>
      <w:r>
        <w:rPr>
          <w:color w:val="000000"/>
          <w:kern w:val="0"/>
          <w:sz w:val="24"/>
          <w:lang w:val="zh-CN"/>
        </w:rPr>
        <w:t xml:space="preserve">                                           日期：</w:t>
      </w:r>
      <w:r>
        <w:rPr>
          <w:color w:val="000000"/>
          <w:kern w:val="0"/>
          <w:sz w:val="24"/>
        </w:rPr>
        <w:t xml:space="preserve">   </w:t>
      </w:r>
      <w:r>
        <w:rPr>
          <w:color w:val="000000"/>
          <w:kern w:val="0"/>
          <w:sz w:val="24"/>
          <w:lang w:val="zh-CN"/>
        </w:rPr>
        <w:t xml:space="preserve">年  月   日      </w:t>
      </w:r>
    </w:p>
    <w:p>
      <w:pPr>
        <w:autoSpaceDE w:val="0"/>
        <w:autoSpaceDN w:val="0"/>
        <w:adjustRightInd w:val="0"/>
        <w:spacing w:line="400" w:lineRule="atLeast"/>
        <w:jc w:val="right"/>
        <w:rPr>
          <w:b/>
          <w:color w:val="000000"/>
          <w:kern w:val="0"/>
          <w:sz w:val="24"/>
        </w:rPr>
      </w:pPr>
      <w:r>
        <w:rPr>
          <w:color w:val="000000"/>
          <w:sz w:val="24"/>
          <w:lang w:val="zh-CN"/>
        </w:rPr>
        <w:br w:type="page"/>
      </w:r>
    </w:p>
    <w:p>
      <w:pPr>
        <w:jc w:val="center"/>
        <w:rPr>
          <w:rFonts w:hint="eastAsia" w:ascii="宋体" w:hAnsi="宋体" w:cs="宋体"/>
          <w:b/>
          <w:bCs/>
          <w:color w:val="000000"/>
          <w:sz w:val="30"/>
          <w:szCs w:val="30"/>
        </w:rPr>
      </w:pPr>
      <w:r>
        <w:rPr>
          <w:rFonts w:hint="eastAsia" w:ascii="宋体" w:hAnsi="宋体" w:cs="宋体"/>
          <w:b/>
          <w:bCs/>
          <w:color w:val="000000"/>
          <w:sz w:val="30"/>
          <w:szCs w:val="30"/>
        </w:rPr>
        <w:t>十四、投标文件外层包装封面（格式供参考）</w:t>
      </w:r>
    </w:p>
    <w:p>
      <w:pPr>
        <w:rPr>
          <w:rFonts w:hint="eastAsia" w:ascii="宋体" w:hAnsi="宋体" w:cs="宋体"/>
          <w:b/>
          <w:bCs/>
          <w:color w:val="000000"/>
          <w:sz w:val="30"/>
          <w:szCs w:val="30"/>
        </w:rPr>
      </w:pPr>
      <w:r>
        <w:rPr>
          <w:rFonts w:hint="eastAsia" w:ascii="宋体" w:hAnsi="宋体" w:cs="宋体"/>
          <w:b/>
          <w:bCs/>
          <w:color w:val="000000"/>
          <w:sz w:val="30"/>
          <w:szCs w:val="30"/>
        </w:rPr>
        <w:t>1、报价文件外层包装封面</w:t>
      </w:r>
    </w:p>
    <w:p>
      <w:pPr>
        <w:jc w:val="center"/>
        <w:rPr>
          <w:rFonts w:hint="eastAsia" w:ascii="宋体" w:hAnsi="宋体" w:cs="宋体"/>
          <w:b/>
          <w:bCs/>
          <w:color w:val="000000"/>
          <w:sz w:val="30"/>
          <w:szCs w:val="30"/>
        </w:rPr>
      </w:pPr>
      <w:r>
        <w:rPr>
          <w:rFonts w:hint="eastAsia" w:ascii="宋体" w:hAnsi="宋体" w:cs="宋体"/>
          <w:b/>
          <w:bCs/>
          <w:color w:val="000000"/>
          <w:sz w:val="30"/>
          <w:szCs w:val="30"/>
        </w:rPr>
        <w:t>报价文件</w:t>
      </w:r>
    </w:p>
    <w:p>
      <w:pPr>
        <w:jc w:val="center"/>
        <w:rPr>
          <w:rFonts w:hint="eastAsia" w:ascii="宋体" w:hAnsi="宋体" w:cs="宋体"/>
          <w:b/>
          <w:bCs/>
          <w:color w:val="000000"/>
          <w:sz w:val="30"/>
          <w:szCs w:val="30"/>
        </w:rPr>
      </w:pPr>
      <w:r>
        <w:rPr>
          <w:rFonts w:hint="eastAsia" w:ascii="宋体" w:hAnsi="宋体" w:cs="宋体"/>
          <w:b/>
          <w:bCs/>
          <w:color w:val="000000"/>
          <w:sz w:val="30"/>
          <w:szCs w:val="30"/>
        </w:rPr>
        <w:t>(唱标时启封)</w:t>
      </w:r>
    </w:p>
    <w:p>
      <w:pPr>
        <w:rPr>
          <w:rFonts w:hint="eastAsia" w:ascii="宋体" w:hAnsi="宋体" w:cs="宋体"/>
          <w:b/>
          <w:bCs/>
          <w:color w:val="000000"/>
          <w:sz w:val="30"/>
          <w:szCs w:val="30"/>
        </w:rPr>
      </w:pPr>
      <w:r>
        <w:rPr>
          <w:rFonts w:hint="eastAsia" w:ascii="宋体" w:hAnsi="宋体" w:cs="宋体"/>
          <w:b/>
          <w:bCs/>
          <w:color w:val="000000"/>
          <w:sz w:val="30"/>
          <w:szCs w:val="30"/>
        </w:rPr>
        <w:t>项目名称：</w:t>
      </w:r>
      <w:r>
        <w:rPr>
          <w:rFonts w:hint="eastAsia" w:ascii="宋体" w:hAnsi="宋体" w:cs="宋体"/>
          <w:b/>
          <w:bCs/>
          <w:color w:val="000000"/>
          <w:sz w:val="30"/>
          <w:szCs w:val="30"/>
          <w:u w:val="single"/>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项目编号：</w:t>
      </w:r>
      <w:r>
        <w:rPr>
          <w:rFonts w:hint="eastAsia" w:ascii="宋体" w:hAnsi="宋体" w:cs="宋体"/>
          <w:b/>
          <w:bCs/>
          <w:color w:val="000000"/>
          <w:sz w:val="30"/>
          <w:szCs w:val="30"/>
          <w:u w:val="single"/>
        </w:rPr>
        <w:t xml:space="preserve">                                    </w:t>
      </w:r>
    </w:p>
    <w:p>
      <w:pPr>
        <w:rPr>
          <w:rFonts w:hint="eastAsia" w:ascii="宋体" w:hAnsi="宋体" w:cs="宋体"/>
          <w:b/>
          <w:bCs/>
          <w:color w:val="000000"/>
          <w:sz w:val="30"/>
          <w:szCs w:val="30"/>
          <w:u w:val="single"/>
        </w:rPr>
      </w:pPr>
      <w:r>
        <w:rPr>
          <w:rFonts w:hint="eastAsia" w:ascii="宋体" w:hAnsi="宋体" w:cs="宋体"/>
          <w:b/>
          <w:bCs/>
          <w:color w:val="000000"/>
          <w:sz w:val="30"/>
          <w:szCs w:val="30"/>
        </w:rPr>
        <w:t>标项序号：</w:t>
      </w:r>
      <w:r>
        <w:rPr>
          <w:rFonts w:hint="eastAsia" w:ascii="宋体" w:hAnsi="宋体" w:cs="宋体"/>
          <w:b/>
          <w:bCs/>
          <w:color w:val="000000"/>
          <w:sz w:val="30"/>
          <w:szCs w:val="30"/>
          <w:u w:val="single"/>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投标人名称（盖章）：</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在    年    月     日     时     分之前不得启封</w:t>
      </w:r>
    </w:p>
    <w:p>
      <w:pPr>
        <w:rPr>
          <w:rFonts w:hint="eastAsia" w:ascii="宋体" w:hAnsi="宋体" w:cs="宋体"/>
          <w:b/>
          <w:bCs/>
          <w:color w:val="000000"/>
          <w:sz w:val="30"/>
          <w:szCs w:val="30"/>
        </w:rPr>
      </w:pPr>
      <w:r>
        <w:rPr>
          <w:rFonts w:hint="eastAsia" w:ascii="宋体" w:hAnsi="宋体" w:cs="宋体"/>
          <w:b/>
          <w:bCs/>
          <w:color w:val="000000"/>
          <w:sz w:val="30"/>
          <w:szCs w:val="30"/>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2、商务/技术文件外层包装封面</w:t>
      </w:r>
    </w:p>
    <w:p>
      <w:pPr>
        <w:jc w:val="center"/>
        <w:rPr>
          <w:rFonts w:hint="eastAsia" w:ascii="宋体" w:hAnsi="宋体" w:cs="宋体"/>
          <w:b/>
          <w:bCs/>
          <w:color w:val="000000"/>
          <w:sz w:val="30"/>
          <w:szCs w:val="30"/>
        </w:rPr>
      </w:pPr>
      <w:r>
        <w:rPr>
          <w:rFonts w:hint="eastAsia" w:ascii="宋体" w:hAnsi="宋体" w:cs="宋体"/>
          <w:b/>
          <w:bCs/>
          <w:color w:val="000000"/>
          <w:sz w:val="30"/>
          <w:szCs w:val="30"/>
        </w:rPr>
        <w:t>商务/技术文件</w:t>
      </w:r>
    </w:p>
    <w:p>
      <w:pPr>
        <w:jc w:val="center"/>
        <w:rPr>
          <w:rFonts w:hint="eastAsia" w:ascii="宋体" w:hAnsi="宋体" w:cs="宋体"/>
          <w:b/>
          <w:bCs/>
          <w:color w:val="000000"/>
          <w:sz w:val="30"/>
          <w:szCs w:val="30"/>
        </w:rPr>
      </w:pPr>
      <w:r>
        <w:rPr>
          <w:rFonts w:hint="eastAsia" w:ascii="宋体" w:hAnsi="宋体" w:cs="宋体"/>
          <w:b/>
          <w:bCs/>
          <w:color w:val="000000"/>
          <w:sz w:val="30"/>
          <w:szCs w:val="30"/>
        </w:rPr>
        <w:t>(开标时启封)</w:t>
      </w:r>
    </w:p>
    <w:p>
      <w:pPr>
        <w:rPr>
          <w:rFonts w:hint="eastAsia" w:ascii="宋体" w:hAnsi="宋体" w:cs="宋体"/>
          <w:b/>
          <w:bCs/>
          <w:color w:val="000000"/>
          <w:sz w:val="30"/>
          <w:szCs w:val="30"/>
        </w:rPr>
      </w:pPr>
      <w:r>
        <w:rPr>
          <w:rFonts w:hint="eastAsia" w:ascii="宋体" w:hAnsi="宋体" w:cs="宋体"/>
          <w:b/>
          <w:bCs/>
          <w:color w:val="000000"/>
          <w:sz w:val="30"/>
          <w:szCs w:val="30"/>
        </w:rPr>
        <w:t>项目名称：</w:t>
      </w:r>
      <w:r>
        <w:rPr>
          <w:rFonts w:hint="eastAsia" w:ascii="宋体" w:hAnsi="宋体" w:cs="宋体"/>
          <w:b/>
          <w:bCs/>
          <w:color w:val="000000"/>
          <w:sz w:val="30"/>
          <w:szCs w:val="30"/>
          <w:u w:val="single"/>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项目编号：</w:t>
      </w:r>
      <w:r>
        <w:rPr>
          <w:rFonts w:hint="eastAsia" w:ascii="宋体" w:hAnsi="宋体" w:cs="宋体"/>
          <w:b/>
          <w:bCs/>
          <w:color w:val="000000"/>
          <w:sz w:val="30"/>
          <w:szCs w:val="30"/>
          <w:u w:val="single"/>
        </w:rPr>
        <w:t xml:space="preserve">                                    </w:t>
      </w:r>
    </w:p>
    <w:p>
      <w:pPr>
        <w:rPr>
          <w:rFonts w:hint="eastAsia" w:ascii="宋体" w:hAnsi="宋体" w:cs="宋体"/>
          <w:b/>
          <w:bCs/>
          <w:color w:val="000000"/>
          <w:sz w:val="30"/>
          <w:szCs w:val="30"/>
          <w:u w:val="single"/>
        </w:rPr>
      </w:pPr>
      <w:r>
        <w:rPr>
          <w:rFonts w:hint="eastAsia" w:ascii="宋体" w:hAnsi="宋体" w:cs="宋体"/>
          <w:b/>
          <w:bCs/>
          <w:color w:val="000000"/>
          <w:sz w:val="30"/>
          <w:szCs w:val="30"/>
        </w:rPr>
        <w:t>标项序号：</w:t>
      </w:r>
      <w:r>
        <w:rPr>
          <w:rFonts w:hint="eastAsia" w:ascii="宋体" w:hAnsi="宋体" w:cs="宋体"/>
          <w:b/>
          <w:bCs/>
          <w:color w:val="000000"/>
          <w:sz w:val="30"/>
          <w:szCs w:val="30"/>
          <w:u w:val="single"/>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投标人名称（盖章）：</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 xml:space="preserve">     </w:t>
      </w:r>
    </w:p>
    <w:p>
      <w:pPr>
        <w:rPr>
          <w:rFonts w:hint="eastAsia" w:ascii="宋体" w:hAnsi="宋体" w:cs="宋体"/>
          <w:b/>
          <w:bCs/>
          <w:color w:val="000000"/>
          <w:sz w:val="30"/>
          <w:szCs w:val="30"/>
        </w:rPr>
      </w:pPr>
      <w:r>
        <w:rPr>
          <w:rFonts w:hint="eastAsia" w:ascii="宋体" w:hAnsi="宋体" w:cs="宋体"/>
          <w:b/>
          <w:bCs/>
          <w:color w:val="000000"/>
          <w:sz w:val="30"/>
          <w:szCs w:val="30"/>
        </w:rPr>
        <w:t>在    年    月     日     时     分之前不得启封</w:t>
      </w:r>
    </w:p>
    <w:p>
      <w:pPr>
        <w:jc w:val="center"/>
        <w:rPr>
          <w:rFonts w:hint="eastAsia" w:ascii="宋体" w:hAnsi="宋体" w:cs="宋体"/>
          <w:b/>
          <w:bCs/>
          <w:color w:val="000000"/>
          <w:sz w:val="32"/>
          <w:szCs w:val="32"/>
        </w:rPr>
      </w:pPr>
      <w:r>
        <w:rPr>
          <w:rFonts w:hint="eastAsia" w:ascii="宋体" w:hAnsi="宋体" w:cs="宋体"/>
          <w:b/>
          <w:bCs/>
          <w:color w:val="000000"/>
          <w:sz w:val="30"/>
          <w:szCs w:val="30"/>
        </w:rPr>
        <w:br w:type="page"/>
      </w:r>
      <w:r>
        <w:rPr>
          <w:rFonts w:hint="eastAsia" w:ascii="宋体" w:hAnsi="宋体" w:cs="宋体"/>
          <w:b/>
          <w:bCs/>
          <w:color w:val="000000"/>
          <w:sz w:val="32"/>
          <w:szCs w:val="32"/>
        </w:rPr>
        <w:t>十五、投标文件封面（格式供参考）</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1、报价文件封面</w:t>
      </w:r>
    </w:p>
    <w:p>
      <w:pPr>
        <w:autoSpaceDE w:val="0"/>
        <w:autoSpaceDN w:val="0"/>
        <w:adjustRightInd w:val="0"/>
        <w:spacing w:line="360" w:lineRule="auto"/>
        <w:jc w:val="right"/>
        <w:rPr>
          <w:rFonts w:hint="eastAsia" w:ascii="宋体" w:hAnsi="宋体" w:cs="宋体"/>
          <w:b/>
          <w:bCs/>
          <w:color w:val="000000"/>
          <w:sz w:val="28"/>
          <w:szCs w:val="28"/>
        </w:rPr>
      </w:pPr>
      <w:r>
        <w:rPr>
          <w:rFonts w:hint="eastAsia" w:ascii="宋体" w:hAnsi="宋体" w:cs="宋体"/>
          <w:b/>
          <w:bCs/>
          <w:color w:val="000000"/>
          <w:sz w:val="32"/>
          <w:szCs w:val="32"/>
        </w:rPr>
        <w:t xml:space="preserve">                   </w:t>
      </w:r>
      <w:r>
        <w:rPr>
          <w:rFonts w:hint="eastAsia" w:ascii="宋体" w:hAnsi="宋体" w:cs="宋体"/>
          <w:b/>
          <w:bCs/>
          <w:color w:val="000000"/>
          <w:sz w:val="24"/>
        </w:rPr>
        <w:t xml:space="preserve"> </w:t>
      </w:r>
      <w:r>
        <w:rPr>
          <w:rFonts w:hint="eastAsia" w:ascii="宋体" w:hAnsi="宋体" w:cs="宋体"/>
          <w:b/>
          <w:bCs/>
          <w:color w:val="000000"/>
          <w:sz w:val="28"/>
          <w:szCs w:val="28"/>
        </w:rPr>
        <w:t>正本/副本</w:t>
      </w:r>
    </w:p>
    <w:p>
      <w:pPr>
        <w:autoSpaceDE w:val="0"/>
        <w:autoSpaceDN w:val="0"/>
        <w:adjustRightInd w:val="0"/>
        <w:spacing w:line="360" w:lineRule="auto"/>
        <w:jc w:val="center"/>
        <w:rPr>
          <w:rFonts w:hint="eastAsia" w:ascii="宋体" w:hAnsi="宋体" w:cs="宋体"/>
          <w:b/>
          <w:bCs/>
          <w:color w:val="000000"/>
          <w:sz w:val="32"/>
          <w:szCs w:val="32"/>
        </w:rPr>
      </w:pPr>
      <w:r>
        <w:rPr>
          <w:rFonts w:hint="eastAsia" w:ascii="宋体" w:hAnsi="宋体" w:cs="宋体"/>
          <w:b/>
          <w:bCs/>
          <w:color w:val="000000"/>
          <w:sz w:val="32"/>
          <w:szCs w:val="32"/>
        </w:rPr>
        <w:t>报价文件</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项目名称：</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项目编号：</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u w:val="single"/>
        </w:rPr>
      </w:pPr>
      <w:r>
        <w:rPr>
          <w:rFonts w:hint="eastAsia" w:ascii="宋体" w:hAnsi="宋体" w:cs="宋体"/>
          <w:b/>
          <w:bCs/>
          <w:color w:val="000000"/>
          <w:sz w:val="32"/>
          <w:szCs w:val="32"/>
        </w:rPr>
        <w:t>标项序号：</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投标人名称（盖章）：</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法定代表人或授权代表签字：</w:t>
      </w:r>
      <w:r>
        <w:rPr>
          <w:rFonts w:hint="eastAsia" w:ascii="宋体" w:hAnsi="宋体" w:cs="宋体"/>
          <w:b/>
          <w:bCs/>
          <w:color w:val="000000"/>
          <w:sz w:val="32"/>
          <w:szCs w:val="32"/>
          <w:u w:val="single"/>
        </w:rPr>
        <w:t xml:space="preserve">                    </w:t>
      </w:r>
      <w:r>
        <w:rPr>
          <w:rFonts w:hint="eastAsia" w:ascii="宋体" w:hAnsi="宋体" w:cs="宋体"/>
          <w:b/>
          <w:bCs/>
          <w:color w:val="000000"/>
          <w:sz w:val="32"/>
          <w:szCs w:val="32"/>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2、商务/技术文件封面</w:t>
      </w:r>
    </w:p>
    <w:p>
      <w:pPr>
        <w:autoSpaceDE w:val="0"/>
        <w:autoSpaceDN w:val="0"/>
        <w:adjustRightInd w:val="0"/>
        <w:spacing w:line="360" w:lineRule="auto"/>
        <w:jc w:val="right"/>
        <w:rPr>
          <w:rFonts w:hint="eastAsia" w:ascii="宋体" w:hAnsi="宋体" w:cs="宋体"/>
          <w:b/>
          <w:bCs/>
          <w:color w:val="000000"/>
          <w:sz w:val="28"/>
          <w:szCs w:val="28"/>
        </w:rPr>
      </w:pPr>
      <w:r>
        <w:rPr>
          <w:rFonts w:hint="eastAsia" w:ascii="宋体" w:hAnsi="宋体" w:cs="宋体"/>
          <w:b/>
          <w:bCs/>
          <w:color w:val="000000"/>
          <w:sz w:val="32"/>
          <w:szCs w:val="32"/>
        </w:rPr>
        <w:t xml:space="preserve">                </w:t>
      </w:r>
      <w:r>
        <w:rPr>
          <w:rFonts w:hint="eastAsia" w:ascii="宋体" w:hAnsi="宋体" w:cs="宋体"/>
          <w:b/>
          <w:bCs/>
          <w:color w:val="000000"/>
          <w:sz w:val="28"/>
          <w:szCs w:val="28"/>
        </w:rPr>
        <w:t>正本/副本</w:t>
      </w:r>
    </w:p>
    <w:p>
      <w:pPr>
        <w:autoSpaceDE w:val="0"/>
        <w:autoSpaceDN w:val="0"/>
        <w:adjustRightInd w:val="0"/>
        <w:spacing w:line="360" w:lineRule="auto"/>
        <w:ind w:firstLine="4160" w:firstLineChars="1295"/>
        <w:rPr>
          <w:rFonts w:hint="eastAsia" w:ascii="宋体" w:hAnsi="宋体" w:cs="宋体"/>
          <w:b/>
          <w:bCs/>
          <w:color w:val="000000"/>
          <w:sz w:val="32"/>
          <w:szCs w:val="32"/>
        </w:rPr>
      </w:pPr>
      <w:r>
        <w:rPr>
          <w:rFonts w:hint="eastAsia" w:ascii="宋体" w:hAnsi="宋体" w:cs="宋体"/>
          <w:b/>
          <w:bCs/>
          <w:color w:val="000000"/>
          <w:sz w:val="32"/>
          <w:szCs w:val="32"/>
        </w:rPr>
        <w:t>商务/技术文件</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项目名称：</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项目编号：</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u w:val="single"/>
        </w:rPr>
      </w:pPr>
      <w:r>
        <w:rPr>
          <w:rFonts w:hint="eastAsia" w:ascii="宋体" w:hAnsi="宋体" w:cs="宋体"/>
          <w:b/>
          <w:bCs/>
          <w:color w:val="000000"/>
          <w:sz w:val="32"/>
          <w:szCs w:val="32"/>
        </w:rPr>
        <w:t>标项序号：</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投标人名称（盖章）：</w:t>
      </w:r>
      <w:r>
        <w:rPr>
          <w:rFonts w:hint="eastAsia" w:ascii="宋体" w:hAnsi="宋体" w:cs="宋体"/>
          <w:b/>
          <w:bCs/>
          <w:color w:val="000000"/>
          <w:sz w:val="32"/>
          <w:szCs w:val="32"/>
          <w:u w:val="single"/>
        </w:rPr>
        <w:t xml:space="preserve">                           </w:t>
      </w:r>
    </w:p>
    <w:p>
      <w:pPr>
        <w:autoSpaceDE w:val="0"/>
        <w:autoSpaceDN w:val="0"/>
        <w:adjustRightInd w:val="0"/>
        <w:spacing w:line="360" w:lineRule="auto"/>
        <w:rPr>
          <w:rFonts w:hint="eastAsia" w:ascii="宋体" w:hAnsi="宋体" w:cs="宋体"/>
          <w:b/>
          <w:bCs/>
          <w:color w:val="000000"/>
          <w:sz w:val="32"/>
          <w:szCs w:val="32"/>
        </w:rPr>
      </w:pPr>
      <w:r>
        <w:rPr>
          <w:rFonts w:hint="eastAsia" w:ascii="宋体" w:hAnsi="宋体" w:cs="宋体"/>
          <w:b/>
          <w:bCs/>
          <w:color w:val="000000"/>
          <w:sz w:val="32"/>
          <w:szCs w:val="32"/>
        </w:rPr>
        <w:t xml:space="preserve">法定代表人或授权代表签字： </w:t>
      </w:r>
      <w:r>
        <w:rPr>
          <w:rFonts w:hint="eastAsia" w:ascii="宋体" w:hAnsi="宋体" w:cs="宋体"/>
          <w:b/>
          <w:bCs/>
          <w:color w:val="000000"/>
          <w:sz w:val="32"/>
          <w:szCs w:val="32"/>
          <w:u w:val="single"/>
        </w:rPr>
        <w:t xml:space="preserve">                   </w:t>
      </w:r>
    </w:p>
    <w:p>
      <w:pPr>
        <w:rPr>
          <w:rFonts w:hint="eastAsia" w:cs="宋体"/>
          <w:szCs w:val="21"/>
        </w:rPr>
      </w:pPr>
      <w:r>
        <w:rPr>
          <w:rFonts w:hint="eastAsia" w:cs="宋体"/>
          <w:szCs w:val="21"/>
        </w:rPr>
        <w:t xml:space="preserve"> </w:t>
      </w:r>
    </w:p>
    <w:p>
      <w:pPr>
        <w:rPr>
          <w:color w:val="000000"/>
          <w:szCs w:val="21"/>
        </w:rPr>
      </w:pPr>
      <w:r>
        <w:rPr>
          <w:rFonts w:hint="eastAsia" w:cs="宋体"/>
          <w:szCs w:val="21"/>
        </w:rPr>
        <w:t xml:space="preserve"> </w:t>
      </w:r>
    </w:p>
    <w:p>
      <w:pPr>
        <w:snapToGrid w:val="0"/>
        <w:spacing w:line="360" w:lineRule="auto"/>
        <w:rPr>
          <w:rFonts w:hint="eastAsia" w:ascii="宋体" w:hAnsi="宋体" w:cs="宋体"/>
          <w:b/>
          <w:bCs/>
          <w:sz w:val="24"/>
        </w:rPr>
      </w:pPr>
    </w:p>
    <w:sectPr>
      <w:footerReference r:id="rId9" w:type="default"/>
      <w:pgSz w:w="11849" w:h="16781"/>
      <w:pgMar w:top="1417" w:right="1417" w:bottom="1417" w:left="1417" w:header="851" w:footer="992" w:gutter="0"/>
      <w:cols w:space="720" w:num="1"/>
      <w:docGrid w:type="lines" w:linePitch="317" w:charSpace="0"/>
    </w:sectPr>
  </w:body>
</w:document>
</file>

<file path=word/customizations.xml><?xml version="1.0" encoding="utf-8"?>
<wne:tcg xmlns:r="http://schemas.openxmlformats.org/officeDocument/2006/relationships" xmlns:wne="http://schemas.microsoft.com/office/word/2006/wordml">
  <wne:keymaps>
    <wne:keymap wne:kcmPrimary="065A">
      <wne:fci wne:fciName="ApplyStyleName"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imes">
    <w:altName w:val="Times New Roman"/>
    <w:panose1 w:val="02020603050405020304"/>
    <w:charset w:val="00"/>
    <w:family w:val="roman"/>
    <w:pitch w:val="default"/>
    <w:sig w:usb0="E0002AFF" w:usb1="C0007841"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rPr>
                            <w:t>26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98bSusgBAACZAwAADgAAAGRycy9lMm9Eb2MueG1srVPNjtMwEL4j8Q6W 79RpD6iKmq4WVYuQECAtPIDr2I0l/8njNukLwBtw4sKd5+pzMHaS7rJc9rAXZzwz/ma+byabm8Ea cpIRtHcNXS4qSqQTvtXu0NBvX+/erCmBxF3LjXeyoWcJ9Gb7+tWmD7Vc+c6bVkaCIA7qPjS0SynU jIHopOWw8EE6DCofLU94jQfWRt4jujVsVVVvWe9jG6IXEgC9uzFIJ8T4HECvlBZy58XRSpdG1CgN T0gJOh2Abku3SkmRPisFMhHTUGSayolF0N7nk203vD5EHjotphb4c1p4wsly7bDoFWrHEyfHqP+D slpED16lhfCWjUSKIshiWT3R5r7jQRYuKDWEq+jwcrDi0+lLJLpt6IoSxy0O/PLzx+XXn8vv72SZ 5ekD1Jh1HzAvDe/8gEsz+wGdmfWgos1f5EMwjuKer+LKIRGRH61X63WFIYGx+YL47OF5iJDeS29J NhoacXpFVH76CGlMnVNyNefvtDFlgsb940DM7GG597HHbKVhP0yE9r49I58eB99Qh3tOifngUNe8 I7MRZ2M/G8cQ9aErS5TrQbg9Jmyi9JYrjLBTYZxYYTdtV16Jx/eS9fBHbf8C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PfG0rrIAQAAmQMAAA4AAAAAAAAAAQAgAAAAHgEAAGRycy9lMm9Eb2Mu eG1sUEsFBgAAAAAGAAYAWQEAAFgFAAAAAA== ">
              <v:fill on="f" focussize="0,0"/>
              <v:stroke on="f"/>
              <v:imagedata o:title=""/>
              <o:lock v:ext="edit" aspectratio="f"/>
              <v:textbox inset="0mm,0mm,0mm,0mm" style="mso-fit-shape-to-text:t;">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rPr>
                      <w:t>26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33</w:t>
                          </w:r>
                          <w:r>
                            <w:rPr>
                              <w:kern w:val="0"/>
                              <w:szCs w:val="21"/>
                            </w:rPr>
                            <w:fldChar w:fldCharType="end"/>
                          </w:r>
                          <w:r>
                            <w:rPr>
                              <w:rFonts w:hint="eastAsia"/>
                              <w:kern w:val="0"/>
                              <w:szCs w:val="21"/>
                            </w:rPr>
                            <w:t xml:space="preserve"> 页 共 49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BSrDu8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X1DieMWB37++eP86/H88J0s sz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FKsO7yQEAAJkDAAAOAAAAAAAAAAEAIAAAAB4BAABkcnMvZTJvRG9j LnhtbFBLBQYAAAAABgAGAFkBAABZBQAAAAA= ">
              <v:fill on="f" focussize="0,0"/>
              <v:stroke on="f"/>
              <v:imagedata o:title=""/>
              <o:lock v:ext="edit" aspectratio="f"/>
              <v:textbox inset="0mm,0mm,0mm,0mm" style="mso-fit-shape-to-text:t;">
                <w:txbxContent>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33</w:t>
                    </w:r>
                    <w:r>
                      <w:rPr>
                        <w:kern w:val="0"/>
                        <w:szCs w:val="21"/>
                      </w:rPr>
                      <w:fldChar w:fldCharType="end"/>
                    </w:r>
                    <w:r>
                      <w:rPr>
                        <w:rFonts w:hint="eastAsia"/>
                        <w:kern w:val="0"/>
                        <w:szCs w:val="21"/>
                      </w:rPr>
                      <w:t xml:space="preserve"> 页 共 49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51</w:t>
                          </w:r>
                          <w:r>
                            <w:rPr>
                              <w:kern w:val="0"/>
                              <w:szCs w:val="21"/>
                            </w:rPr>
                            <w:fldChar w:fldCharType="end"/>
                          </w:r>
                          <w:r>
                            <w:rPr>
                              <w:rFonts w:hint="eastAsia"/>
                              <w:kern w:val="0"/>
                              <w:szCs w:val="21"/>
                            </w:rPr>
                            <w:t xml:space="preserve"> 页 共 51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04QsZskBAACZAwAADgAAAGRycy9lMm9Eb2MueG1srVPNjtMwEL4j8Q6W 79TZg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DeUOG5x4OefP86//px/fye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ThCxmyQEAAJkDAAAOAAAAAAAAAAEAIAAAAB4BAABkcnMvZTJvRG9j LnhtbFBLBQYAAAAABgAGAFkBAABZBQAAAAA= ">
              <v:fill on="f" focussize="0,0"/>
              <v:stroke on="f"/>
              <v:imagedata o:title=""/>
              <o:lock v:ext="edit" aspectratio="f"/>
              <v:textbox inset="0mm,0mm,0mm,0mm" style="mso-fit-shape-to-text:t;">
                <w:txbxContent>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51</w:t>
                    </w:r>
                    <w:r>
                      <w:rPr>
                        <w:kern w:val="0"/>
                        <w:szCs w:val="21"/>
                      </w:rPr>
                      <w:fldChar w:fldCharType="end"/>
                    </w:r>
                    <w:r>
                      <w:rPr>
                        <w:rFonts w:hint="eastAsia"/>
                        <w:kern w:val="0"/>
                        <w:szCs w:val="21"/>
                      </w:rPr>
                      <w:t xml:space="preserve"> 页 共 51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3"/>
      <w:rPr>
        <w:rStyle w:val="22"/>
      </w:rPr>
    </w:pPr>
    <w:r>
      <w:fldChar w:fldCharType="begin"/>
    </w:r>
    <w:r>
      <w:rPr>
        <w:rStyle w:val="22"/>
      </w:rPr>
      <w:instrText xml:space="preserve">PAGE  </w:instrText>
    </w:r>
    <w:r>
      <w:fldChar w:fldCharType="separate"/>
    </w:r>
    <w:r>
      <w:rPr>
        <w:rStyle w:val="22"/>
      </w:rPr>
      <w:t>14</w: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2"/>
        <w:b/>
        <w:sz w:val="15"/>
      </w:rPr>
    </w:pPr>
    <w:r>
      <w:rPr>
        <w:sz w:val="15"/>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2"/>
                            </w:rPr>
                          </w:pPr>
                          <w:r>
                            <w:fldChar w:fldCharType="begin"/>
                          </w:r>
                          <w:r>
                            <w:rPr>
                              <w:rStyle w:val="22"/>
                            </w:rPr>
                            <w:instrText xml:space="preserve">PAGE  </w:instrText>
                          </w:r>
                          <w:r>
                            <w:fldChar w:fldCharType="separate"/>
                          </w:r>
                          <w:r>
                            <w:rPr>
                              <w:rStyle w:val="22"/>
                              <w:lang/>
                            </w:rPr>
                            <w:t>54</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JXxwCskBAACZAwAADgAAAGRycy9lMm9Eb2MueG1srVPNjtMwEL4j8Q6W 79TZClAVNV2BqkVICJCWfQDXsRtL/pPHbdIXgDfgxIU7z9XnYOwkXdi97GEvznhm/M1830zW14M1 5CgjaO8aerWoKJFO+Fa7fUPvvt28WlECibuWG+9kQ08S6PXm5Yt1H2q59J03rYwEQRzUfWhol1Ko GQPRScth4YN0GFQ+Wp7wGvesjbxHdGvYsqrest7HNkQvJAB6t2OQTojxKYBeKS3k1ouDlS6NqFEa npASdDoA3ZRulZIifVEKZCKmocg0lROLoL3LJ9useb2PPHRaTC3wp7TwgJPl2mHRC9SWJ04OUT+C slpED16lhfCWjUSKIsjiqnqgzW3HgyxcUGoIF9Hh+WDF5+PXSHTb0DeUOG5x4OefP86//px/fyev szx9gBqzbgPmpeG9H3BpZj+gM7MeVLT5i3wIxlHc00VcOSQi8qPVcrWqMCQwNl8Qn90/DxHSB+kt yUZDI06viMqPnyCNqXNKrub8jTamTNC4/xyImT0s9z72mK007IaJ0M63J+TT4+Ab6nDPKTEfHeqa d2Q24mzsZuMQot53ZYlyPQjvDgmbKL3lCiPsVBgnVthN25VX4t97ybr/ozZ/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AlfHAKyQEAAJkDAAAOAAAAAAAAAAEAIAAAAB4BAABkcnMvZTJvRG9j LnhtbFBLBQYAAAAABgAGAFkBAABZBQAAAAA= ">
              <v:fill on="f" focussize="0,0"/>
              <v:stroke on="f"/>
              <v:imagedata o:title=""/>
              <o:lock v:ext="edit" aspectratio="f"/>
              <v:textbox inset="0mm,0mm,0mm,0mm" style="mso-fit-shape-to-text:t;">
                <w:txbxContent>
                  <w:p>
                    <w:pPr>
                      <w:pStyle w:val="12"/>
                      <w:rPr>
                        <w:rStyle w:val="22"/>
                      </w:rPr>
                    </w:pPr>
                    <w:r>
                      <w:fldChar w:fldCharType="begin"/>
                    </w:r>
                    <w:r>
                      <w:rPr>
                        <w:rStyle w:val="22"/>
                      </w:rPr>
                      <w:instrText xml:space="preserve">PAGE  </w:instrText>
                    </w:r>
                    <w:r>
                      <w:fldChar w:fldCharType="separate"/>
                    </w:r>
                    <w:r>
                      <w:rPr>
                        <w:rStyle w:val="22"/>
                        <w:lang/>
                      </w:rPr>
                      <w:t>54</w:t>
                    </w:r>
                    <w:r>
                      <w:fldChar w:fldCharType="end"/>
                    </w:r>
                  </w:p>
                </w:txbxContent>
              </v:textbox>
            </v:shape>
          </w:pict>
        </mc:Fallback>
      </mc:AlternateContent>
    </w:r>
  </w:p>
  <w:p>
    <w:pPr>
      <w:pStyle w:val="12"/>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3"/>
      <w:rPr>
        <w:rStyle w:val="22"/>
      </w:rPr>
    </w:pPr>
    <w:r>
      <w:fldChar w:fldCharType="begin"/>
    </w:r>
    <w:r>
      <w:rPr>
        <w:rStyle w:val="22"/>
      </w:rPr>
      <w:instrText xml:space="preserve">PAGE  </w:instrText>
    </w:r>
    <w:r>
      <w:fldChar w:fldCharType="separate"/>
    </w:r>
    <w:r>
      <w:rPr>
        <w:rStyle w:val="22"/>
      </w:rPr>
      <w:t>14</w:t>
    </w:r>
    <w: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8CB3E"/>
    <w:multiLevelType w:val="singleLevel"/>
    <w:tmpl w:val="9E28CB3E"/>
    <w:lvl w:ilvl="0" w:tentative="0">
      <w:start w:val="1"/>
      <w:numFmt w:val="decimal"/>
      <w:suff w:val="nothing"/>
      <w:lvlText w:val="%1、"/>
      <w:lvlJc w:val="left"/>
    </w:lvl>
  </w:abstractNum>
  <w:abstractNum w:abstractNumId="1">
    <w:nsid w:val="CFDC5C85"/>
    <w:multiLevelType w:val="singleLevel"/>
    <w:tmpl w:val="CFDC5C85"/>
    <w:lvl w:ilvl="0" w:tentative="0">
      <w:start w:val="18"/>
      <w:numFmt w:val="decimal"/>
      <w:suff w:val="nothing"/>
      <w:lvlText w:val="%1、"/>
      <w:lvlJc w:val="left"/>
    </w:lvl>
  </w:abstractNum>
  <w:abstractNum w:abstractNumId="2">
    <w:nsid w:val="F21436C3"/>
    <w:multiLevelType w:val="singleLevel"/>
    <w:tmpl w:val="F21436C3"/>
    <w:lvl w:ilvl="0" w:tentative="0">
      <w:start w:val="2"/>
      <w:numFmt w:val="decimal"/>
      <w:suff w:val="nothing"/>
      <w:lvlText w:val="%1、"/>
      <w:lvlJc w:val="left"/>
    </w:lvl>
  </w:abstractNum>
  <w:abstractNum w:abstractNumId="3">
    <w:nsid w:val="0000000C"/>
    <w:multiLevelType w:val="multilevel"/>
    <w:tmpl w:val="0000000C"/>
    <w:lvl w:ilvl="0" w:tentative="0">
      <w:start w:val="1"/>
      <w:numFmt w:val="japaneseCounting"/>
      <w:pStyle w:val="33"/>
      <w:lvlText w:val="%1、"/>
      <w:lvlJc w:val="left"/>
      <w:pPr>
        <w:tabs>
          <w:tab w:val="left" w:pos="1260"/>
        </w:tabs>
        <w:ind w:left="1260" w:hanging="7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00000010"/>
    <w:multiLevelType w:val="multilevel"/>
    <w:tmpl w:val="00000010"/>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AAB0BDB"/>
    <w:multiLevelType w:val="singleLevel"/>
    <w:tmpl w:val="0AAB0BDB"/>
    <w:lvl w:ilvl="0" w:tentative="0">
      <w:start w:val="8"/>
      <w:numFmt w:val="chineseCounting"/>
      <w:suff w:val="nothing"/>
      <w:lvlText w:val="%1、"/>
      <w:lvlJc w:val="left"/>
      <w:rPr>
        <w:rFonts w:hint="eastAsia"/>
      </w:rPr>
    </w:lvl>
  </w:abstractNum>
  <w:abstractNum w:abstractNumId="6">
    <w:nsid w:val="173FDAB5"/>
    <w:multiLevelType w:val="singleLevel"/>
    <w:tmpl w:val="173FDAB5"/>
    <w:lvl w:ilvl="0" w:tentative="0">
      <w:start w:val="3"/>
      <w:numFmt w:val="decimal"/>
      <w:suff w:val="nothing"/>
      <w:lvlText w:val="%1、"/>
      <w:lvlJc w:val="left"/>
    </w:lvl>
  </w:abstractNum>
  <w:abstractNum w:abstractNumId="7">
    <w:nsid w:val="1C70C797"/>
    <w:multiLevelType w:val="singleLevel"/>
    <w:tmpl w:val="1C70C797"/>
    <w:lvl w:ilvl="0" w:tentative="0">
      <w:start w:val="1"/>
      <w:numFmt w:val="chineseCounting"/>
      <w:suff w:val="nothing"/>
      <w:lvlText w:val="%1、"/>
      <w:lvlJc w:val="left"/>
      <w:rPr>
        <w:rFonts w:hint="eastAsia"/>
      </w:rPr>
    </w:lvl>
  </w:abstractNum>
  <w:abstractNum w:abstractNumId="8">
    <w:nsid w:val="1EDF0AA6"/>
    <w:multiLevelType w:val="multilevel"/>
    <w:tmpl w:val="1EDF0AA6"/>
    <w:lvl w:ilvl="0" w:tentative="0">
      <w:start w:val="1"/>
      <w:numFmt w:val="japaneseCounting"/>
      <w:lvlText w:val="第%1条"/>
      <w:lvlJc w:val="left"/>
      <w:pPr>
        <w:tabs>
          <w:tab w:val="left" w:pos="840"/>
        </w:tabs>
        <w:ind w:left="840" w:hanging="84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EA24B9F"/>
    <w:multiLevelType w:val="multilevel"/>
    <w:tmpl w:val="2EA24B9F"/>
    <w:lvl w:ilvl="0" w:tentative="0">
      <w:start w:val="6"/>
      <w:numFmt w:val="japaneseCounting"/>
      <w:lvlText w:val="第%1条"/>
      <w:lvlJc w:val="left"/>
      <w:pPr>
        <w:tabs>
          <w:tab w:val="left" w:pos="720"/>
        </w:tabs>
        <w:ind w:left="720" w:hanging="720"/>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BA5E105"/>
    <w:multiLevelType w:val="singleLevel"/>
    <w:tmpl w:val="3BA5E105"/>
    <w:lvl w:ilvl="0" w:tentative="0">
      <w:start w:val="9"/>
      <w:numFmt w:val="chineseCounting"/>
      <w:suff w:val="nothing"/>
      <w:lvlText w:val="%1、"/>
      <w:lvlJc w:val="left"/>
      <w:rPr>
        <w:rFonts w:hint="eastAsia"/>
      </w:rPr>
    </w:lvl>
  </w:abstractNum>
  <w:abstractNum w:abstractNumId="12">
    <w:nsid w:val="47E8446E"/>
    <w:multiLevelType w:val="multilevel"/>
    <w:tmpl w:val="47E8446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EE240E4"/>
    <w:multiLevelType w:val="singleLevel"/>
    <w:tmpl w:val="4EE240E4"/>
    <w:lvl w:ilvl="0" w:tentative="0">
      <w:start w:val="8"/>
      <w:numFmt w:val="chineseCounting"/>
      <w:suff w:val="nothing"/>
      <w:lvlText w:val="%1、"/>
      <w:lvlJc w:val="left"/>
      <w:rPr>
        <w:rFonts w:hint="eastAsia"/>
      </w:rPr>
    </w:lvl>
  </w:abstractNum>
  <w:abstractNum w:abstractNumId="14">
    <w:nsid w:val="59FC1BBE"/>
    <w:multiLevelType w:val="singleLevel"/>
    <w:tmpl w:val="59FC1BBE"/>
    <w:lvl w:ilvl="0" w:tentative="0">
      <w:start w:val="12"/>
      <w:numFmt w:val="decimal"/>
      <w:suff w:val="nothing"/>
      <w:lvlText w:val="%1、"/>
      <w:lvlJc w:val="left"/>
    </w:lvl>
  </w:abstractNum>
  <w:abstractNum w:abstractNumId="15">
    <w:nsid w:val="5AB06310"/>
    <w:multiLevelType w:val="singleLevel"/>
    <w:tmpl w:val="5AB06310"/>
    <w:lvl w:ilvl="0" w:tentative="0">
      <w:start w:val="1"/>
      <w:numFmt w:val="decimal"/>
      <w:suff w:val="nothing"/>
      <w:lvlText w:val="%1、"/>
      <w:lvlJc w:val="left"/>
    </w:lvl>
  </w:abstractNum>
  <w:abstractNum w:abstractNumId="16">
    <w:nsid w:val="5B7A5EF8"/>
    <w:multiLevelType w:val="singleLevel"/>
    <w:tmpl w:val="5B7A5EF8"/>
    <w:lvl w:ilvl="0" w:tentative="0">
      <w:start w:val="2"/>
      <w:numFmt w:val="decimal"/>
      <w:suff w:val="nothing"/>
      <w:lvlText w:val="%1、"/>
      <w:lvlJc w:val="left"/>
    </w:lvl>
  </w:abstractNum>
  <w:abstractNum w:abstractNumId="17">
    <w:nsid w:val="5C7A7FBC"/>
    <w:multiLevelType w:val="singleLevel"/>
    <w:tmpl w:val="5C7A7FBC"/>
    <w:lvl w:ilvl="0" w:tentative="0">
      <w:start w:val="1"/>
      <w:numFmt w:val="decimal"/>
      <w:suff w:val="nothing"/>
      <w:lvlText w:val="%1）"/>
      <w:lvlJc w:val="left"/>
    </w:lvl>
  </w:abstractNum>
  <w:abstractNum w:abstractNumId="18">
    <w:nsid w:val="5CDD218D"/>
    <w:multiLevelType w:val="singleLevel"/>
    <w:tmpl w:val="5CDD218D"/>
    <w:lvl w:ilvl="0" w:tentative="0">
      <w:start w:val="1"/>
      <w:numFmt w:val="decimal"/>
      <w:suff w:val="nothing"/>
      <w:lvlText w:val="%1、"/>
      <w:lvlJc w:val="left"/>
    </w:lvl>
  </w:abstractNum>
  <w:abstractNum w:abstractNumId="19">
    <w:nsid w:val="7DFC097C"/>
    <w:multiLevelType w:val="multilevel"/>
    <w:tmpl w:val="7DFC097C"/>
    <w:lvl w:ilvl="0" w:tentative="0">
      <w:start w:val="5"/>
      <w:numFmt w:val="japaneseCounting"/>
      <w:lvlText w:val="第%1条"/>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7"/>
  </w:num>
  <w:num w:numId="3">
    <w:abstractNumId w:val="6"/>
  </w:num>
  <w:num w:numId="4">
    <w:abstractNumId w:val="17"/>
  </w:num>
  <w:num w:numId="5">
    <w:abstractNumId w:val="14"/>
  </w:num>
  <w:num w:numId="6">
    <w:abstractNumId w:val="1"/>
  </w:num>
  <w:num w:numId="7">
    <w:abstractNumId w:val="2"/>
  </w:num>
  <w:num w:numId="8">
    <w:abstractNumId w:val="5"/>
  </w:num>
  <w:num w:numId="9">
    <w:abstractNumId w:val="4"/>
    <w:lvlOverride w:ilvl="0">
      <w:startOverride w:val="1"/>
    </w:lvlOverride>
  </w:num>
  <w:num w:numId="10">
    <w:abstractNumId w:val="11"/>
  </w:num>
  <w:num w:numId="11">
    <w:abstractNumId w:val="16"/>
  </w:num>
  <w:num w:numId="12">
    <w:abstractNumId w:val="13"/>
  </w:num>
  <w:num w:numId="13">
    <w:abstractNumId w:val="18"/>
  </w:num>
  <w:num w:numId="14">
    <w:abstractNumId w:val="15"/>
  </w:num>
  <w:num w:numId="15">
    <w:abstractNumId w:val="8"/>
  </w:num>
  <w:num w:numId="16">
    <w:abstractNumId w:val="19"/>
  </w:num>
  <w:num w:numId="17">
    <w:abstractNumId w:val="9"/>
  </w:num>
  <w:num w:numId="18">
    <w:abstractNumId w:val="12"/>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0E"/>
    <w:rsid w:val="00001321"/>
    <w:rsid w:val="000042B5"/>
    <w:rsid w:val="000144E2"/>
    <w:rsid w:val="00015F35"/>
    <w:rsid w:val="00016E2B"/>
    <w:rsid w:val="00023396"/>
    <w:rsid w:val="00030235"/>
    <w:rsid w:val="00033788"/>
    <w:rsid w:val="00040DF5"/>
    <w:rsid w:val="00042F51"/>
    <w:rsid w:val="000439A6"/>
    <w:rsid w:val="0004416B"/>
    <w:rsid w:val="00057E8F"/>
    <w:rsid w:val="00061862"/>
    <w:rsid w:val="00062297"/>
    <w:rsid w:val="00062A80"/>
    <w:rsid w:val="00066E1C"/>
    <w:rsid w:val="00072F6B"/>
    <w:rsid w:val="000757F2"/>
    <w:rsid w:val="00075859"/>
    <w:rsid w:val="00082BEC"/>
    <w:rsid w:val="0008770C"/>
    <w:rsid w:val="00097CD1"/>
    <w:rsid w:val="000A3BD1"/>
    <w:rsid w:val="000B1B99"/>
    <w:rsid w:val="000B401A"/>
    <w:rsid w:val="000B79FD"/>
    <w:rsid w:val="000C4ADD"/>
    <w:rsid w:val="000C64A9"/>
    <w:rsid w:val="000C7AC1"/>
    <w:rsid w:val="000E03F5"/>
    <w:rsid w:val="000E2E22"/>
    <w:rsid w:val="000E5500"/>
    <w:rsid w:val="001107AE"/>
    <w:rsid w:val="00112422"/>
    <w:rsid w:val="00114823"/>
    <w:rsid w:val="0011539E"/>
    <w:rsid w:val="00115CFB"/>
    <w:rsid w:val="001325C2"/>
    <w:rsid w:val="00133D82"/>
    <w:rsid w:val="00133D95"/>
    <w:rsid w:val="00134A19"/>
    <w:rsid w:val="001359F5"/>
    <w:rsid w:val="00145B73"/>
    <w:rsid w:val="0014635C"/>
    <w:rsid w:val="001503FF"/>
    <w:rsid w:val="00152FD7"/>
    <w:rsid w:val="00154356"/>
    <w:rsid w:val="00160996"/>
    <w:rsid w:val="00161838"/>
    <w:rsid w:val="001625A6"/>
    <w:rsid w:val="001717B0"/>
    <w:rsid w:val="00173086"/>
    <w:rsid w:val="00176142"/>
    <w:rsid w:val="00180D45"/>
    <w:rsid w:val="0018186D"/>
    <w:rsid w:val="00185B30"/>
    <w:rsid w:val="00190A4E"/>
    <w:rsid w:val="001924FB"/>
    <w:rsid w:val="001A4B89"/>
    <w:rsid w:val="001B2ADC"/>
    <w:rsid w:val="001C2CE7"/>
    <w:rsid w:val="001C2DBE"/>
    <w:rsid w:val="001C2F04"/>
    <w:rsid w:val="001C6ADF"/>
    <w:rsid w:val="001C7547"/>
    <w:rsid w:val="001D0C2E"/>
    <w:rsid w:val="001F1985"/>
    <w:rsid w:val="001F204B"/>
    <w:rsid w:val="001F22CD"/>
    <w:rsid w:val="001F352C"/>
    <w:rsid w:val="001F6E1F"/>
    <w:rsid w:val="00202B9B"/>
    <w:rsid w:val="00205ACC"/>
    <w:rsid w:val="00206084"/>
    <w:rsid w:val="00216C08"/>
    <w:rsid w:val="00221AFC"/>
    <w:rsid w:val="002227B1"/>
    <w:rsid w:val="00222B69"/>
    <w:rsid w:val="00223B5C"/>
    <w:rsid w:val="00231A3B"/>
    <w:rsid w:val="00243CE2"/>
    <w:rsid w:val="002463D3"/>
    <w:rsid w:val="00250C47"/>
    <w:rsid w:val="002564E6"/>
    <w:rsid w:val="00263BBE"/>
    <w:rsid w:val="00264441"/>
    <w:rsid w:val="002713A8"/>
    <w:rsid w:val="00271942"/>
    <w:rsid w:val="002726A3"/>
    <w:rsid w:val="00273358"/>
    <w:rsid w:val="00274F8D"/>
    <w:rsid w:val="00283B6A"/>
    <w:rsid w:val="0029033F"/>
    <w:rsid w:val="00292AF5"/>
    <w:rsid w:val="00292B16"/>
    <w:rsid w:val="002B11AC"/>
    <w:rsid w:val="002C0F90"/>
    <w:rsid w:val="002C11E4"/>
    <w:rsid w:val="002C1C09"/>
    <w:rsid w:val="002C2701"/>
    <w:rsid w:val="002C3EA9"/>
    <w:rsid w:val="002D1CFA"/>
    <w:rsid w:val="002D73B4"/>
    <w:rsid w:val="002E09C2"/>
    <w:rsid w:val="002E5A0E"/>
    <w:rsid w:val="002E7FD9"/>
    <w:rsid w:val="002F25AE"/>
    <w:rsid w:val="002F3A2E"/>
    <w:rsid w:val="002F3CC1"/>
    <w:rsid w:val="002F6A2C"/>
    <w:rsid w:val="00300333"/>
    <w:rsid w:val="00302912"/>
    <w:rsid w:val="00304815"/>
    <w:rsid w:val="00304B01"/>
    <w:rsid w:val="0030554D"/>
    <w:rsid w:val="003105A1"/>
    <w:rsid w:val="0031670D"/>
    <w:rsid w:val="00322154"/>
    <w:rsid w:val="00323693"/>
    <w:rsid w:val="00324587"/>
    <w:rsid w:val="00330F6C"/>
    <w:rsid w:val="0033185F"/>
    <w:rsid w:val="003322A7"/>
    <w:rsid w:val="0033354B"/>
    <w:rsid w:val="00334622"/>
    <w:rsid w:val="00340111"/>
    <w:rsid w:val="003456D5"/>
    <w:rsid w:val="00351C3F"/>
    <w:rsid w:val="00353869"/>
    <w:rsid w:val="00356077"/>
    <w:rsid w:val="00357047"/>
    <w:rsid w:val="0036045A"/>
    <w:rsid w:val="00360F41"/>
    <w:rsid w:val="003622FF"/>
    <w:rsid w:val="00367ABE"/>
    <w:rsid w:val="00372674"/>
    <w:rsid w:val="003758A5"/>
    <w:rsid w:val="00384458"/>
    <w:rsid w:val="00384D5F"/>
    <w:rsid w:val="00384FF4"/>
    <w:rsid w:val="00385B00"/>
    <w:rsid w:val="003A6DD1"/>
    <w:rsid w:val="003A6E27"/>
    <w:rsid w:val="003B2EA4"/>
    <w:rsid w:val="003B60A1"/>
    <w:rsid w:val="003B6BAF"/>
    <w:rsid w:val="003C19D2"/>
    <w:rsid w:val="003C287A"/>
    <w:rsid w:val="003D3A64"/>
    <w:rsid w:val="003D3C7B"/>
    <w:rsid w:val="003D4E82"/>
    <w:rsid w:val="003D77E0"/>
    <w:rsid w:val="003E34C4"/>
    <w:rsid w:val="003E6978"/>
    <w:rsid w:val="003E7487"/>
    <w:rsid w:val="003F377E"/>
    <w:rsid w:val="003F4F4F"/>
    <w:rsid w:val="0040663E"/>
    <w:rsid w:val="00410245"/>
    <w:rsid w:val="00423238"/>
    <w:rsid w:val="00425BC8"/>
    <w:rsid w:val="00432982"/>
    <w:rsid w:val="00434D0A"/>
    <w:rsid w:val="004350F9"/>
    <w:rsid w:val="00436DD9"/>
    <w:rsid w:val="00440A5A"/>
    <w:rsid w:val="00443188"/>
    <w:rsid w:val="00451E47"/>
    <w:rsid w:val="00460094"/>
    <w:rsid w:val="004636D6"/>
    <w:rsid w:val="00471C4B"/>
    <w:rsid w:val="00473DA6"/>
    <w:rsid w:val="00482697"/>
    <w:rsid w:val="004852CF"/>
    <w:rsid w:val="0048591E"/>
    <w:rsid w:val="00486062"/>
    <w:rsid w:val="00486B83"/>
    <w:rsid w:val="00497B2C"/>
    <w:rsid w:val="004A228C"/>
    <w:rsid w:val="004A7134"/>
    <w:rsid w:val="004C072E"/>
    <w:rsid w:val="004C1029"/>
    <w:rsid w:val="004C18A2"/>
    <w:rsid w:val="004C22E6"/>
    <w:rsid w:val="004C482F"/>
    <w:rsid w:val="004C4EBB"/>
    <w:rsid w:val="004C7186"/>
    <w:rsid w:val="004D3192"/>
    <w:rsid w:val="004D502D"/>
    <w:rsid w:val="004D5A20"/>
    <w:rsid w:val="004E5809"/>
    <w:rsid w:val="004E5909"/>
    <w:rsid w:val="004E73B9"/>
    <w:rsid w:val="004F247D"/>
    <w:rsid w:val="004F41E3"/>
    <w:rsid w:val="00511D27"/>
    <w:rsid w:val="00514B28"/>
    <w:rsid w:val="00521896"/>
    <w:rsid w:val="00523063"/>
    <w:rsid w:val="00526700"/>
    <w:rsid w:val="00531A5C"/>
    <w:rsid w:val="0053560A"/>
    <w:rsid w:val="005405C8"/>
    <w:rsid w:val="00547BEF"/>
    <w:rsid w:val="00552C83"/>
    <w:rsid w:val="00555B90"/>
    <w:rsid w:val="00565BFB"/>
    <w:rsid w:val="00570865"/>
    <w:rsid w:val="00583FF3"/>
    <w:rsid w:val="00590C42"/>
    <w:rsid w:val="005919E3"/>
    <w:rsid w:val="00592D06"/>
    <w:rsid w:val="00592D5B"/>
    <w:rsid w:val="00597288"/>
    <w:rsid w:val="0059746C"/>
    <w:rsid w:val="005A3E35"/>
    <w:rsid w:val="005A3F33"/>
    <w:rsid w:val="005A7EF5"/>
    <w:rsid w:val="005A7FE0"/>
    <w:rsid w:val="005B1CCB"/>
    <w:rsid w:val="005C14D9"/>
    <w:rsid w:val="005C76F5"/>
    <w:rsid w:val="005E0DCF"/>
    <w:rsid w:val="005E74F3"/>
    <w:rsid w:val="005F1BE0"/>
    <w:rsid w:val="005F1CBB"/>
    <w:rsid w:val="005F33FC"/>
    <w:rsid w:val="005F469B"/>
    <w:rsid w:val="005F571B"/>
    <w:rsid w:val="005F64A7"/>
    <w:rsid w:val="00601209"/>
    <w:rsid w:val="00603A25"/>
    <w:rsid w:val="00603C95"/>
    <w:rsid w:val="006054AE"/>
    <w:rsid w:val="006135B5"/>
    <w:rsid w:val="00617A29"/>
    <w:rsid w:val="006208CA"/>
    <w:rsid w:val="00620A29"/>
    <w:rsid w:val="00620BAD"/>
    <w:rsid w:val="00620DAB"/>
    <w:rsid w:val="0062275B"/>
    <w:rsid w:val="006253F8"/>
    <w:rsid w:val="00625CF7"/>
    <w:rsid w:val="00640729"/>
    <w:rsid w:val="006414A7"/>
    <w:rsid w:val="00652D8D"/>
    <w:rsid w:val="00654836"/>
    <w:rsid w:val="006549E3"/>
    <w:rsid w:val="006550B7"/>
    <w:rsid w:val="0065564A"/>
    <w:rsid w:val="00660DD6"/>
    <w:rsid w:val="0066274A"/>
    <w:rsid w:val="00672005"/>
    <w:rsid w:val="006740B6"/>
    <w:rsid w:val="006951C3"/>
    <w:rsid w:val="006972D5"/>
    <w:rsid w:val="006A50E2"/>
    <w:rsid w:val="006B1AA2"/>
    <w:rsid w:val="006B1F2E"/>
    <w:rsid w:val="006B1FB4"/>
    <w:rsid w:val="006B420C"/>
    <w:rsid w:val="006B44AD"/>
    <w:rsid w:val="006B69CE"/>
    <w:rsid w:val="006B75E3"/>
    <w:rsid w:val="006C0809"/>
    <w:rsid w:val="006C160E"/>
    <w:rsid w:val="006C2FF2"/>
    <w:rsid w:val="006C7DD9"/>
    <w:rsid w:val="006E1FD4"/>
    <w:rsid w:val="006E20E3"/>
    <w:rsid w:val="006E58F5"/>
    <w:rsid w:val="006E6F44"/>
    <w:rsid w:val="006F1A79"/>
    <w:rsid w:val="006F57E8"/>
    <w:rsid w:val="006F764B"/>
    <w:rsid w:val="00703A5F"/>
    <w:rsid w:val="00703F69"/>
    <w:rsid w:val="007068AD"/>
    <w:rsid w:val="00707397"/>
    <w:rsid w:val="007077FF"/>
    <w:rsid w:val="007132E1"/>
    <w:rsid w:val="00715374"/>
    <w:rsid w:val="007164B4"/>
    <w:rsid w:val="00720EB1"/>
    <w:rsid w:val="007247A6"/>
    <w:rsid w:val="00727682"/>
    <w:rsid w:val="00727805"/>
    <w:rsid w:val="00732976"/>
    <w:rsid w:val="00734CA7"/>
    <w:rsid w:val="00741A4E"/>
    <w:rsid w:val="007472FC"/>
    <w:rsid w:val="00752E84"/>
    <w:rsid w:val="00760796"/>
    <w:rsid w:val="00763103"/>
    <w:rsid w:val="00784606"/>
    <w:rsid w:val="00792518"/>
    <w:rsid w:val="00792889"/>
    <w:rsid w:val="00795AE2"/>
    <w:rsid w:val="007A6522"/>
    <w:rsid w:val="007B1481"/>
    <w:rsid w:val="007B2902"/>
    <w:rsid w:val="007B3521"/>
    <w:rsid w:val="007D05E6"/>
    <w:rsid w:val="007D0777"/>
    <w:rsid w:val="007D29B1"/>
    <w:rsid w:val="007D2F14"/>
    <w:rsid w:val="007D6EE5"/>
    <w:rsid w:val="007E0D1A"/>
    <w:rsid w:val="007F5D16"/>
    <w:rsid w:val="007F5D48"/>
    <w:rsid w:val="007F6DFD"/>
    <w:rsid w:val="0080105E"/>
    <w:rsid w:val="008017DB"/>
    <w:rsid w:val="008060C5"/>
    <w:rsid w:val="00807D82"/>
    <w:rsid w:val="00811731"/>
    <w:rsid w:val="008130D9"/>
    <w:rsid w:val="008138A7"/>
    <w:rsid w:val="00824D42"/>
    <w:rsid w:val="008256B5"/>
    <w:rsid w:val="00826B44"/>
    <w:rsid w:val="00827443"/>
    <w:rsid w:val="00831E4E"/>
    <w:rsid w:val="00834C3F"/>
    <w:rsid w:val="00834C49"/>
    <w:rsid w:val="00835B75"/>
    <w:rsid w:val="0083794F"/>
    <w:rsid w:val="00841F9C"/>
    <w:rsid w:val="00844AA9"/>
    <w:rsid w:val="00844EE8"/>
    <w:rsid w:val="00847C37"/>
    <w:rsid w:val="00855E56"/>
    <w:rsid w:val="00856CE9"/>
    <w:rsid w:val="00857005"/>
    <w:rsid w:val="008600DE"/>
    <w:rsid w:val="0087360B"/>
    <w:rsid w:val="008750AB"/>
    <w:rsid w:val="00875274"/>
    <w:rsid w:val="00890CBC"/>
    <w:rsid w:val="00891076"/>
    <w:rsid w:val="008914E5"/>
    <w:rsid w:val="008B4627"/>
    <w:rsid w:val="008C5643"/>
    <w:rsid w:val="008D09CA"/>
    <w:rsid w:val="008D399A"/>
    <w:rsid w:val="008D5F12"/>
    <w:rsid w:val="008E4DA3"/>
    <w:rsid w:val="008E6BA9"/>
    <w:rsid w:val="008F19CE"/>
    <w:rsid w:val="008F3006"/>
    <w:rsid w:val="00900299"/>
    <w:rsid w:val="00905634"/>
    <w:rsid w:val="00906869"/>
    <w:rsid w:val="00922108"/>
    <w:rsid w:val="00922864"/>
    <w:rsid w:val="00923087"/>
    <w:rsid w:val="0092352A"/>
    <w:rsid w:val="00927A90"/>
    <w:rsid w:val="00935EE9"/>
    <w:rsid w:val="00945066"/>
    <w:rsid w:val="00950E92"/>
    <w:rsid w:val="00950EE8"/>
    <w:rsid w:val="00957172"/>
    <w:rsid w:val="0096010D"/>
    <w:rsid w:val="00961BDB"/>
    <w:rsid w:val="0096426C"/>
    <w:rsid w:val="00966A00"/>
    <w:rsid w:val="00972BC6"/>
    <w:rsid w:val="00981F55"/>
    <w:rsid w:val="00985C0D"/>
    <w:rsid w:val="00986228"/>
    <w:rsid w:val="00993AC0"/>
    <w:rsid w:val="00994B72"/>
    <w:rsid w:val="009977AD"/>
    <w:rsid w:val="00997C80"/>
    <w:rsid w:val="009A3128"/>
    <w:rsid w:val="009A3862"/>
    <w:rsid w:val="009A5A66"/>
    <w:rsid w:val="009B0505"/>
    <w:rsid w:val="009B27CC"/>
    <w:rsid w:val="009B34E5"/>
    <w:rsid w:val="009B6A78"/>
    <w:rsid w:val="009B6B70"/>
    <w:rsid w:val="009B7411"/>
    <w:rsid w:val="009B7A1D"/>
    <w:rsid w:val="009C0454"/>
    <w:rsid w:val="009C3E6C"/>
    <w:rsid w:val="009C450F"/>
    <w:rsid w:val="009C6456"/>
    <w:rsid w:val="009D05ED"/>
    <w:rsid w:val="009E50B9"/>
    <w:rsid w:val="009F1248"/>
    <w:rsid w:val="009F20E9"/>
    <w:rsid w:val="009F2D2F"/>
    <w:rsid w:val="00A04274"/>
    <w:rsid w:val="00A073ED"/>
    <w:rsid w:val="00A15ED6"/>
    <w:rsid w:val="00A32E2F"/>
    <w:rsid w:val="00A3543C"/>
    <w:rsid w:val="00A36073"/>
    <w:rsid w:val="00A4420A"/>
    <w:rsid w:val="00A512CB"/>
    <w:rsid w:val="00A530F2"/>
    <w:rsid w:val="00A53517"/>
    <w:rsid w:val="00A54955"/>
    <w:rsid w:val="00A61390"/>
    <w:rsid w:val="00A62D87"/>
    <w:rsid w:val="00A67A54"/>
    <w:rsid w:val="00A71191"/>
    <w:rsid w:val="00A7404F"/>
    <w:rsid w:val="00A76627"/>
    <w:rsid w:val="00A81847"/>
    <w:rsid w:val="00A853C8"/>
    <w:rsid w:val="00A92B14"/>
    <w:rsid w:val="00A92BC0"/>
    <w:rsid w:val="00A94972"/>
    <w:rsid w:val="00A94E6A"/>
    <w:rsid w:val="00AA5AF3"/>
    <w:rsid w:val="00AB1644"/>
    <w:rsid w:val="00AB4142"/>
    <w:rsid w:val="00AB529E"/>
    <w:rsid w:val="00AC2329"/>
    <w:rsid w:val="00AC765F"/>
    <w:rsid w:val="00AD033E"/>
    <w:rsid w:val="00AD509D"/>
    <w:rsid w:val="00AE1C9F"/>
    <w:rsid w:val="00AE70E5"/>
    <w:rsid w:val="00AF0F57"/>
    <w:rsid w:val="00AF107F"/>
    <w:rsid w:val="00AF391D"/>
    <w:rsid w:val="00B00CD7"/>
    <w:rsid w:val="00B02857"/>
    <w:rsid w:val="00B05920"/>
    <w:rsid w:val="00B07CF3"/>
    <w:rsid w:val="00B270E7"/>
    <w:rsid w:val="00B324A3"/>
    <w:rsid w:val="00B36028"/>
    <w:rsid w:val="00B3630C"/>
    <w:rsid w:val="00B403AC"/>
    <w:rsid w:val="00B40EB7"/>
    <w:rsid w:val="00B438E7"/>
    <w:rsid w:val="00B4541D"/>
    <w:rsid w:val="00B50B93"/>
    <w:rsid w:val="00B517FE"/>
    <w:rsid w:val="00B55A7E"/>
    <w:rsid w:val="00B56711"/>
    <w:rsid w:val="00B60F88"/>
    <w:rsid w:val="00B61358"/>
    <w:rsid w:val="00B65189"/>
    <w:rsid w:val="00B75DF6"/>
    <w:rsid w:val="00B80A13"/>
    <w:rsid w:val="00B80EAA"/>
    <w:rsid w:val="00B80F98"/>
    <w:rsid w:val="00B81BC9"/>
    <w:rsid w:val="00B87A96"/>
    <w:rsid w:val="00B908E6"/>
    <w:rsid w:val="00B946B6"/>
    <w:rsid w:val="00B960C5"/>
    <w:rsid w:val="00BA008D"/>
    <w:rsid w:val="00BA010E"/>
    <w:rsid w:val="00BA54B7"/>
    <w:rsid w:val="00BA6D18"/>
    <w:rsid w:val="00BB3766"/>
    <w:rsid w:val="00BB3F64"/>
    <w:rsid w:val="00BB7237"/>
    <w:rsid w:val="00BC1957"/>
    <w:rsid w:val="00BD0A8B"/>
    <w:rsid w:val="00BD19B1"/>
    <w:rsid w:val="00BD1BBA"/>
    <w:rsid w:val="00BD6EA1"/>
    <w:rsid w:val="00BE05C9"/>
    <w:rsid w:val="00BE14F5"/>
    <w:rsid w:val="00BE279B"/>
    <w:rsid w:val="00BE349E"/>
    <w:rsid w:val="00BE48D3"/>
    <w:rsid w:val="00BE6CD7"/>
    <w:rsid w:val="00C024E6"/>
    <w:rsid w:val="00C0303B"/>
    <w:rsid w:val="00C07B54"/>
    <w:rsid w:val="00C10F16"/>
    <w:rsid w:val="00C15E2D"/>
    <w:rsid w:val="00C16526"/>
    <w:rsid w:val="00C16808"/>
    <w:rsid w:val="00C24D14"/>
    <w:rsid w:val="00C32F1D"/>
    <w:rsid w:val="00C34B72"/>
    <w:rsid w:val="00C35DB9"/>
    <w:rsid w:val="00C36239"/>
    <w:rsid w:val="00C40BE6"/>
    <w:rsid w:val="00C41D49"/>
    <w:rsid w:val="00C4336B"/>
    <w:rsid w:val="00C50910"/>
    <w:rsid w:val="00C522A2"/>
    <w:rsid w:val="00C536C7"/>
    <w:rsid w:val="00C55B18"/>
    <w:rsid w:val="00C57DE1"/>
    <w:rsid w:val="00C60245"/>
    <w:rsid w:val="00C63101"/>
    <w:rsid w:val="00C65BAD"/>
    <w:rsid w:val="00C65E0B"/>
    <w:rsid w:val="00C67D3E"/>
    <w:rsid w:val="00C740FB"/>
    <w:rsid w:val="00C7600C"/>
    <w:rsid w:val="00C77D15"/>
    <w:rsid w:val="00C80B86"/>
    <w:rsid w:val="00C81BB3"/>
    <w:rsid w:val="00C8344D"/>
    <w:rsid w:val="00C84377"/>
    <w:rsid w:val="00C85C44"/>
    <w:rsid w:val="00C85EDE"/>
    <w:rsid w:val="00C87235"/>
    <w:rsid w:val="00C97493"/>
    <w:rsid w:val="00CA1724"/>
    <w:rsid w:val="00CA239F"/>
    <w:rsid w:val="00CA607E"/>
    <w:rsid w:val="00CA7494"/>
    <w:rsid w:val="00CB1901"/>
    <w:rsid w:val="00CB2920"/>
    <w:rsid w:val="00CB3670"/>
    <w:rsid w:val="00CB64E9"/>
    <w:rsid w:val="00CC1036"/>
    <w:rsid w:val="00CC1A22"/>
    <w:rsid w:val="00CC1D37"/>
    <w:rsid w:val="00CC7920"/>
    <w:rsid w:val="00CD4780"/>
    <w:rsid w:val="00CD55BE"/>
    <w:rsid w:val="00CE0E59"/>
    <w:rsid w:val="00CE0EFE"/>
    <w:rsid w:val="00CE265F"/>
    <w:rsid w:val="00CE2AB7"/>
    <w:rsid w:val="00CE2DFE"/>
    <w:rsid w:val="00CE3AD9"/>
    <w:rsid w:val="00CE40C6"/>
    <w:rsid w:val="00CE4A60"/>
    <w:rsid w:val="00CE6773"/>
    <w:rsid w:val="00CF36CA"/>
    <w:rsid w:val="00CF404F"/>
    <w:rsid w:val="00D03455"/>
    <w:rsid w:val="00D03568"/>
    <w:rsid w:val="00D10DA9"/>
    <w:rsid w:val="00D135C2"/>
    <w:rsid w:val="00D17A04"/>
    <w:rsid w:val="00D20EF9"/>
    <w:rsid w:val="00D51B3E"/>
    <w:rsid w:val="00D525EC"/>
    <w:rsid w:val="00D554FC"/>
    <w:rsid w:val="00D616FE"/>
    <w:rsid w:val="00D71111"/>
    <w:rsid w:val="00D7543F"/>
    <w:rsid w:val="00D77BA1"/>
    <w:rsid w:val="00D81A6F"/>
    <w:rsid w:val="00D849BF"/>
    <w:rsid w:val="00D85B92"/>
    <w:rsid w:val="00D945F9"/>
    <w:rsid w:val="00D976DD"/>
    <w:rsid w:val="00DA52A4"/>
    <w:rsid w:val="00DB26E1"/>
    <w:rsid w:val="00DB5E92"/>
    <w:rsid w:val="00DB7BEA"/>
    <w:rsid w:val="00DC1D99"/>
    <w:rsid w:val="00DC3553"/>
    <w:rsid w:val="00DC464C"/>
    <w:rsid w:val="00DD113A"/>
    <w:rsid w:val="00DD13C5"/>
    <w:rsid w:val="00DD5BD7"/>
    <w:rsid w:val="00DD7D75"/>
    <w:rsid w:val="00DE3CB2"/>
    <w:rsid w:val="00DE47CC"/>
    <w:rsid w:val="00DE4A25"/>
    <w:rsid w:val="00DE67A3"/>
    <w:rsid w:val="00DF0AA0"/>
    <w:rsid w:val="00DF485E"/>
    <w:rsid w:val="00DF7095"/>
    <w:rsid w:val="00E00055"/>
    <w:rsid w:val="00E001DF"/>
    <w:rsid w:val="00E05E9C"/>
    <w:rsid w:val="00E11759"/>
    <w:rsid w:val="00E22640"/>
    <w:rsid w:val="00E302E9"/>
    <w:rsid w:val="00E31478"/>
    <w:rsid w:val="00E31AA4"/>
    <w:rsid w:val="00E3348B"/>
    <w:rsid w:val="00E34633"/>
    <w:rsid w:val="00E351AF"/>
    <w:rsid w:val="00E36771"/>
    <w:rsid w:val="00E379DD"/>
    <w:rsid w:val="00E41743"/>
    <w:rsid w:val="00E430AC"/>
    <w:rsid w:val="00E43183"/>
    <w:rsid w:val="00E507AD"/>
    <w:rsid w:val="00E53F75"/>
    <w:rsid w:val="00E54A72"/>
    <w:rsid w:val="00E5616A"/>
    <w:rsid w:val="00E6165B"/>
    <w:rsid w:val="00E616AD"/>
    <w:rsid w:val="00E631D3"/>
    <w:rsid w:val="00E72407"/>
    <w:rsid w:val="00E744B5"/>
    <w:rsid w:val="00E82FC4"/>
    <w:rsid w:val="00E84F46"/>
    <w:rsid w:val="00E87A20"/>
    <w:rsid w:val="00E90299"/>
    <w:rsid w:val="00E90991"/>
    <w:rsid w:val="00E95E9B"/>
    <w:rsid w:val="00EA10D7"/>
    <w:rsid w:val="00EB07C2"/>
    <w:rsid w:val="00EB2CD3"/>
    <w:rsid w:val="00EB3B25"/>
    <w:rsid w:val="00EB6CC4"/>
    <w:rsid w:val="00EC3FA5"/>
    <w:rsid w:val="00EC5A4B"/>
    <w:rsid w:val="00EC5AE3"/>
    <w:rsid w:val="00ED0733"/>
    <w:rsid w:val="00EE08BD"/>
    <w:rsid w:val="00EE0D10"/>
    <w:rsid w:val="00EE1C6C"/>
    <w:rsid w:val="00EE55BA"/>
    <w:rsid w:val="00EE7D2E"/>
    <w:rsid w:val="00EF169E"/>
    <w:rsid w:val="00EF2158"/>
    <w:rsid w:val="00EF29A6"/>
    <w:rsid w:val="00EF673E"/>
    <w:rsid w:val="00F07FE5"/>
    <w:rsid w:val="00F12338"/>
    <w:rsid w:val="00F14290"/>
    <w:rsid w:val="00F20ED8"/>
    <w:rsid w:val="00F23F95"/>
    <w:rsid w:val="00F25253"/>
    <w:rsid w:val="00F2743E"/>
    <w:rsid w:val="00F345E6"/>
    <w:rsid w:val="00F404E2"/>
    <w:rsid w:val="00F431C9"/>
    <w:rsid w:val="00F43BF9"/>
    <w:rsid w:val="00F457C7"/>
    <w:rsid w:val="00F4704E"/>
    <w:rsid w:val="00F47AA5"/>
    <w:rsid w:val="00F47EE1"/>
    <w:rsid w:val="00F50053"/>
    <w:rsid w:val="00F51B02"/>
    <w:rsid w:val="00F57F20"/>
    <w:rsid w:val="00F637CD"/>
    <w:rsid w:val="00F7095A"/>
    <w:rsid w:val="00F75C86"/>
    <w:rsid w:val="00F75F5B"/>
    <w:rsid w:val="00F76357"/>
    <w:rsid w:val="00F81EA5"/>
    <w:rsid w:val="00F84657"/>
    <w:rsid w:val="00F932E8"/>
    <w:rsid w:val="00F93D1F"/>
    <w:rsid w:val="00F95B30"/>
    <w:rsid w:val="00F97696"/>
    <w:rsid w:val="00FA2808"/>
    <w:rsid w:val="00FA2AD7"/>
    <w:rsid w:val="00FA309D"/>
    <w:rsid w:val="00FA649B"/>
    <w:rsid w:val="00FA715E"/>
    <w:rsid w:val="00FB21F3"/>
    <w:rsid w:val="00FB3093"/>
    <w:rsid w:val="00FB3386"/>
    <w:rsid w:val="00FB5165"/>
    <w:rsid w:val="00FC142E"/>
    <w:rsid w:val="00FC5E1D"/>
    <w:rsid w:val="00FD2D4C"/>
    <w:rsid w:val="00FD6438"/>
    <w:rsid w:val="00FD7D43"/>
    <w:rsid w:val="00FE5E14"/>
    <w:rsid w:val="00FF0EA3"/>
    <w:rsid w:val="00FF163F"/>
    <w:rsid w:val="00FF1EE2"/>
    <w:rsid w:val="00FF27F2"/>
    <w:rsid w:val="024F0186"/>
    <w:rsid w:val="02B26F12"/>
    <w:rsid w:val="02FC024F"/>
    <w:rsid w:val="03953715"/>
    <w:rsid w:val="04954183"/>
    <w:rsid w:val="075B282E"/>
    <w:rsid w:val="07644844"/>
    <w:rsid w:val="08743D3F"/>
    <w:rsid w:val="08E26864"/>
    <w:rsid w:val="0BD51672"/>
    <w:rsid w:val="0BEB698A"/>
    <w:rsid w:val="1268757B"/>
    <w:rsid w:val="14011C37"/>
    <w:rsid w:val="15E11687"/>
    <w:rsid w:val="17590ED6"/>
    <w:rsid w:val="185A2FDF"/>
    <w:rsid w:val="1F270845"/>
    <w:rsid w:val="20E73F51"/>
    <w:rsid w:val="21C64A5B"/>
    <w:rsid w:val="22300C6F"/>
    <w:rsid w:val="22B2661D"/>
    <w:rsid w:val="251B696F"/>
    <w:rsid w:val="25F262C4"/>
    <w:rsid w:val="266516F0"/>
    <w:rsid w:val="29F2585D"/>
    <w:rsid w:val="2BDB2C62"/>
    <w:rsid w:val="2D64580E"/>
    <w:rsid w:val="2E43647A"/>
    <w:rsid w:val="2F787F49"/>
    <w:rsid w:val="302D5C10"/>
    <w:rsid w:val="33602E55"/>
    <w:rsid w:val="34175C00"/>
    <w:rsid w:val="34CF7B46"/>
    <w:rsid w:val="371D35E9"/>
    <w:rsid w:val="39C82893"/>
    <w:rsid w:val="3A455482"/>
    <w:rsid w:val="3B175AE6"/>
    <w:rsid w:val="3C2F1F79"/>
    <w:rsid w:val="405915A4"/>
    <w:rsid w:val="417D5D02"/>
    <w:rsid w:val="4CCA58C1"/>
    <w:rsid w:val="547B7D08"/>
    <w:rsid w:val="57B84C63"/>
    <w:rsid w:val="60922134"/>
    <w:rsid w:val="624D00E4"/>
    <w:rsid w:val="6508310E"/>
    <w:rsid w:val="67347C43"/>
    <w:rsid w:val="68DE5D64"/>
    <w:rsid w:val="6CE014ED"/>
    <w:rsid w:val="6D3C06EE"/>
    <w:rsid w:val="6E2C64B1"/>
    <w:rsid w:val="6E985F52"/>
    <w:rsid w:val="70EB48F5"/>
    <w:rsid w:val="71FC28B4"/>
    <w:rsid w:val="7410607F"/>
    <w:rsid w:val="74FB3456"/>
    <w:rsid w:val="78510DED"/>
    <w:rsid w:val="79310C3C"/>
    <w:rsid w:val="7A2D27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8"/>
    <w:qFormat/>
    <w:uiPriority w:val="0"/>
    <w:pPr>
      <w:keepNext/>
      <w:keepLines/>
      <w:spacing w:line="540" w:lineRule="atLeast"/>
      <w:outlineLvl w:val="0"/>
    </w:pPr>
    <w:rPr>
      <w:rFonts w:ascii="黑体" w:hAnsi="宋体" w:eastAsia="黑体"/>
      <w:b/>
      <w:spacing w:val="8"/>
      <w:kern w:val="44"/>
      <w:sz w:val="32"/>
      <w:szCs w:val="20"/>
    </w:rPr>
  </w:style>
  <w:style w:type="paragraph" w:styleId="3">
    <w:name w:val="heading 2"/>
    <w:basedOn w:val="1"/>
    <w:next w:val="1"/>
    <w:link w:val="25"/>
    <w:qFormat/>
    <w:uiPriority w:val="0"/>
    <w:pPr>
      <w:keepNext/>
      <w:keepLines/>
      <w:spacing w:before="260" w:after="260" w:line="413" w:lineRule="auto"/>
      <w:outlineLvl w:val="1"/>
    </w:pPr>
    <w:rPr>
      <w:rFonts w:ascii="Cambria" w:hAnsi="Cambria"/>
      <w:b/>
      <w:bCs/>
      <w:kern w:val="0"/>
      <w:sz w:val="32"/>
      <w:szCs w:val="32"/>
    </w:rPr>
  </w:style>
  <w:style w:type="character" w:default="1" w:styleId="21">
    <w:name w:val="Default Paragraph Font"/>
    <w:semiHidden/>
    <w:uiPriority w:val="0"/>
  </w:style>
  <w:style w:type="table" w:default="1" w:styleId="19">
    <w:name w:val="Normal Table"/>
    <w:semiHidden/>
    <w:uiPriority w:val="0"/>
    <w:tblPr>
      <w:tblStyle w:val="19"/>
      <w:tblCellMar>
        <w:top w:w="0" w:type="dxa"/>
        <w:left w:w="108" w:type="dxa"/>
        <w:bottom w:w="0" w:type="dxa"/>
        <w:right w:w="108" w:type="dxa"/>
      </w:tblCellMar>
    </w:tblPr>
  </w:style>
  <w:style w:type="paragraph" w:styleId="4">
    <w:name w:val="Normal Indent"/>
    <w:basedOn w:val="1"/>
    <w:uiPriority w:val="0"/>
    <w:pPr>
      <w:adjustRightInd w:val="0"/>
      <w:spacing w:line="315" w:lineRule="atLeast"/>
      <w:ind w:firstLine="420"/>
      <w:jc w:val="left"/>
    </w:pPr>
    <w:rPr>
      <w:rFonts w:ascii="宋体"/>
      <w:kern w:val="0"/>
      <w:szCs w:val="20"/>
    </w:rPr>
  </w:style>
  <w:style w:type="paragraph" w:styleId="5">
    <w:name w:val="annotation text"/>
    <w:basedOn w:val="1"/>
    <w:uiPriority w:val="0"/>
    <w:pPr>
      <w:jc w:val="left"/>
    </w:pPr>
  </w:style>
  <w:style w:type="paragraph" w:styleId="6">
    <w:name w:val="Body Text"/>
    <w:basedOn w:val="1"/>
    <w:uiPriority w:val="0"/>
    <w:rPr>
      <w:sz w:val="30"/>
      <w:szCs w:val="20"/>
    </w:rPr>
  </w:style>
  <w:style w:type="paragraph" w:styleId="7">
    <w:name w:val="Body Text Indent"/>
    <w:basedOn w:val="1"/>
    <w:uiPriority w:val="0"/>
    <w:pPr>
      <w:ind w:firstLine="552"/>
    </w:pPr>
    <w:rPr>
      <w:rFonts w:ascii="宋体"/>
      <w:sz w:val="28"/>
      <w:szCs w:val="20"/>
    </w:rPr>
  </w:style>
  <w:style w:type="paragraph" w:styleId="8">
    <w:name w:val="Plain Text"/>
    <w:basedOn w:val="1"/>
    <w:uiPriority w:val="0"/>
    <w:rPr>
      <w:rFonts w:ascii="宋体" w:hAnsi="Courier New"/>
      <w:szCs w:val="20"/>
    </w:rPr>
  </w:style>
  <w:style w:type="paragraph" w:styleId="9">
    <w:name w:val="Date"/>
    <w:basedOn w:val="1"/>
    <w:next w:val="1"/>
    <w:uiPriority w:val="0"/>
    <w:pPr>
      <w:adjustRightInd w:val="0"/>
      <w:spacing w:line="312" w:lineRule="atLeast"/>
    </w:pPr>
    <w:rPr>
      <w:rFonts w:ascii="仿宋_GB2312" w:eastAsia="仿宋_GB2312"/>
      <w:kern w:val="0"/>
      <w:sz w:val="28"/>
      <w:szCs w:val="20"/>
    </w:rPr>
  </w:style>
  <w:style w:type="paragraph" w:styleId="10">
    <w:name w:val="Body Text Indent 2"/>
    <w:basedOn w:val="1"/>
    <w:uiPriority w:val="0"/>
    <w:pPr>
      <w:adjustRightInd w:val="0"/>
      <w:snapToGrid w:val="0"/>
      <w:spacing w:line="500" w:lineRule="atLeast"/>
      <w:ind w:firstLine="552"/>
      <w:jc w:val="left"/>
    </w:pPr>
    <w:rPr>
      <w:rFonts w:ascii="仿宋_GB2312" w:eastAsia="仿宋_GB2312"/>
      <w:kern w:val="0"/>
      <w:sz w:val="28"/>
      <w:szCs w:val="20"/>
    </w:rPr>
  </w:style>
  <w:style w:type="paragraph" w:styleId="11">
    <w:name w:val="Balloon Text"/>
    <w:basedOn w:val="1"/>
    <w:semiHidden/>
    <w:uiPriority w:val="0"/>
    <w:rPr>
      <w:sz w:val="18"/>
      <w:szCs w:val="18"/>
    </w:rPr>
  </w:style>
  <w:style w:type="paragraph" w:styleId="12">
    <w:name w:val="footer"/>
    <w:basedOn w:val="1"/>
    <w:link w:val="26"/>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14">
    <w:name w:val="toc 1"/>
    <w:basedOn w:val="1"/>
    <w:next w:val="1"/>
    <w:uiPriority w:val="0"/>
    <w:pPr>
      <w:widowControl/>
      <w:adjustRightInd w:val="0"/>
      <w:snapToGrid w:val="0"/>
      <w:spacing w:line="300" w:lineRule="auto"/>
      <w:ind w:firstLine="278" w:firstLineChars="116"/>
    </w:pPr>
    <w:rPr>
      <w:rFonts w:ascii="Arial" w:hAnsi="Arial"/>
      <w:kern w:val="0"/>
      <w:sz w:val="24"/>
    </w:rPr>
  </w:style>
  <w:style w:type="paragraph" w:styleId="15">
    <w:name w:val="Body Text Indent 3"/>
    <w:basedOn w:val="1"/>
    <w:uiPriority w:val="0"/>
    <w:pPr>
      <w:spacing w:after="120"/>
      <w:ind w:left="420" w:leftChars="200"/>
    </w:pPr>
    <w:rPr>
      <w:sz w:val="16"/>
      <w:szCs w:val="16"/>
    </w:rPr>
  </w:style>
  <w:style w:type="paragraph" w:styleId="16">
    <w:name w:val="Body Text 2"/>
    <w:basedOn w:val="1"/>
    <w:uiPriority w:val="0"/>
    <w:pPr>
      <w:adjustRightInd w:val="0"/>
      <w:spacing w:line="360" w:lineRule="auto"/>
    </w:pPr>
    <w:rPr>
      <w:kern w:val="0"/>
      <w:sz w:val="24"/>
      <w:szCs w:val="20"/>
    </w:rPr>
  </w:style>
  <w:style w:type="paragraph" w:styleId="17">
    <w:name w:val="Normal (Web)"/>
    <w:basedOn w:val="1"/>
    <w:uiPriority w:val="0"/>
    <w:pPr>
      <w:widowControl/>
      <w:spacing w:before="100" w:beforeAutospacing="1" w:after="100" w:afterAutospacing="1"/>
      <w:jc w:val="left"/>
    </w:pPr>
    <w:rPr>
      <w:rFonts w:ascii="宋体" w:hAnsi="宋体" w:cs="宋体"/>
      <w:kern w:val="0"/>
      <w:sz w:val="24"/>
    </w:rPr>
  </w:style>
  <w:style w:type="paragraph" w:styleId="18">
    <w:name w:val="Title"/>
    <w:basedOn w:val="1"/>
    <w:next w:val="1"/>
    <w:qFormat/>
    <w:uiPriority w:val="0"/>
    <w:pPr>
      <w:spacing w:before="240" w:after="60"/>
      <w:jc w:val="center"/>
      <w:outlineLvl w:val="0"/>
    </w:pPr>
    <w:rPr>
      <w:rFonts w:ascii="Cambria" w:hAnsi="Cambria"/>
      <w:b/>
      <w:bCs/>
      <w:kern w:val="0"/>
      <w:sz w:val="32"/>
      <w:szCs w:val="32"/>
    </w:rPr>
  </w:style>
  <w:style w:type="table" w:styleId="20">
    <w:name w:val="Table Grid"/>
    <w:basedOn w:val="19"/>
    <w:uiPriority w:val="0"/>
    <w:pPr>
      <w:widowControl w:val="0"/>
      <w:jc w:val="both"/>
    </w:pPr>
    <w:tblPr>
      <w:tblStyle w:val="1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iPriority w:val="0"/>
  </w:style>
  <w:style w:type="character" w:styleId="23">
    <w:name w:val="Hyperlink"/>
    <w:uiPriority w:val="0"/>
    <w:rPr>
      <w:color w:val="0000FF"/>
      <w:u w:val="single"/>
    </w:rPr>
  </w:style>
  <w:style w:type="character" w:styleId="24">
    <w:name w:val="annotation reference"/>
    <w:semiHidden/>
    <w:uiPriority w:val="99"/>
    <w:rPr>
      <w:sz w:val="21"/>
      <w:szCs w:val="21"/>
    </w:rPr>
  </w:style>
  <w:style w:type="character" w:customStyle="1" w:styleId="25">
    <w:name w:val="标题 2 Char"/>
    <w:link w:val="3"/>
    <w:uiPriority w:val="0"/>
    <w:rPr>
      <w:rFonts w:ascii="Cambria" w:hAnsi="Cambria"/>
      <w:b/>
      <w:bCs/>
      <w:kern w:val="0"/>
      <w:sz w:val="32"/>
      <w:szCs w:val="32"/>
    </w:rPr>
  </w:style>
  <w:style w:type="character" w:customStyle="1" w:styleId="26">
    <w:name w:val="页脚 Char"/>
    <w:link w:val="12"/>
    <w:uiPriority w:val="0"/>
    <w:rPr>
      <w:kern w:val="2"/>
      <w:sz w:val="18"/>
      <w:szCs w:val="18"/>
    </w:rPr>
  </w:style>
  <w:style w:type="character" w:customStyle="1" w:styleId="27">
    <w:name w:val="样式 正文（首行缩进两字） + 宋体 Char"/>
    <w:uiPriority w:val="0"/>
    <w:rPr>
      <w:rFonts w:hint="eastAsia" w:ascii="宋体" w:hAnsi="宋体" w:eastAsia="宋体"/>
      <w:spacing w:val="6"/>
      <w:kern w:val="24"/>
      <w:sz w:val="24"/>
      <w:szCs w:val="24"/>
      <w:lang w:val="en-US" w:eastAsia="zh-CN" w:bidi="ar-SA"/>
    </w:rPr>
  </w:style>
  <w:style w:type="character" w:customStyle="1" w:styleId="28">
    <w:name w:val="标题 1 Char"/>
    <w:link w:val="2"/>
    <w:uiPriority w:val="0"/>
    <w:rPr>
      <w:rFonts w:ascii="黑体" w:hAnsi="宋体" w:eastAsia="黑体" w:cs="宋体"/>
      <w:b/>
      <w:spacing w:val="8"/>
      <w:kern w:val="44"/>
      <w:sz w:val="32"/>
      <w:szCs w:val="20"/>
    </w:rPr>
  </w:style>
  <w:style w:type="paragraph" w:customStyle="1" w:styleId="29">
    <w:name w:val="Normal"/>
    <w:uiPriority w:val="0"/>
    <w:pPr>
      <w:widowControl w:val="0"/>
      <w:adjustRightInd w:val="0"/>
      <w:spacing w:line="315" w:lineRule="atLeast"/>
      <w:jc w:val="both"/>
    </w:pPr>
    <w:rPr>
      <w:rFonts w:ascii="宋体"/>
      <w:sz w:val="21"/>
      <w:lang w:val="en-US" w:eastAsia="zh-CN" w:bidi="ar-SA"/>
    </w:rPr>
  </w:style>
  <w:style w:type="paragraph" w:customStyle="1" w:styleId="30">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1">
    <w:name w:val="_Style 3"/>
    <w:semiHidden/>
    <w:qFormat/>
    <w:uiPriority w:val="99"/>
    <w:rPr>
      <w:kern w:val="2"/>
      <w:sz w:val="21"/>
      <w:szCs w:val="24"/>
      <w:lang w:val="en-US" w:eastAsia="zh-CN" w:bidi="ar-SA"/>
    </w:rPr>
  </w:style>
  <w:style w:type="paragraph" w:customStyle="1" w:styleId="32">
    <w:name w:val="正文2"/>
    <w:basedOn w:val="1"/>
    <w:uiPriority w:val="0"/>
    <w:pPr>
      <w:spacing w:before="156" w:line="360" w:lineRule="auto"/>
      <w:ind w:firstLine="510" w:firstLineChars="200"/>
    </w:pPr>
    <w:rPr>
      <w:rFonts w:ascii="Calibri" w:hAnsi="Calibri"/>
      <w:sz w:val="24"/>
      <w:szCs w:val="20"/>
    </w:rPr>
  </w:style>
  <w:style w:type="paragraph" w:customStyle="1" w:styleId="33">
    <w:name w:val="标题b"/>
    <w:basedOn w:val="1"/>
    <w:uiPriority w:val="0"/>
    <w:pPr>
      <w:numPr>
        <w:ilvl w:val="0"/>
        <w:numId w:val="1"/>
      </w:numPr>
      <w:spacing w:line="360" w:lineRule="auto"/>
    </w:pPr>
    <w:rPr>
      <w:rFonts w:ascii="Times" w:hAnsi="Times"/>
      <w:b/>
      <w:sz w:val="28"/>
      <w:szCs w:val="28"/>
    </w:rPr>
  </w:style>
  <w:style w:type="paragraph" w:customStyle="1" w:styleId="34">
    <w:name w:val=" Char Char Char"/>
    <w:basedOn w:val="1"/>
    <w:uiPriority w:val="0"/>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izations.xml" Type="http://schemas.microsoft.com/office/2006/relationships/keyMapCustomizations"/><Relationship Id="rId14" Target="fontTable.xml" Type="http://schemas.openxmlformats.org/officeDocument/2006/relationships/fontTable"/><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header1.xml" Type="http://schemas.openxmlformats.org/officeDocument/2006/relationships/head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62</Pages>
  <Words>6067</Words>
  <Characters>34582</Characters>
  <Lines>288</Lines>
  <Paragraphs>81</Paragraphs>
  <TotalTime>14</TotalTime>
  <ScaleCrop>false</ScaleCrop>
  <LinksUpToDate>false</LinksUpToDate>
  <CharactersWithSpaces>40568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2019-04-29T04:08:00Z</dcterms:created>
  <dc:creator>Administrator</dc:creator>
  <cp:lastModifiedBy>WPS_1701756769</cp:lastModifiedBy>
  <cp:lastPrinted>2019-04-30T11:11:00Z</cp:lastPrinted>
  <dcterms:modified xsi:type="dcterms:W3CDTF">2024-02-23T04:01:00Z</dcterms:modified>
  <cp:revision>7</cp:revision>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B0AD85016B3842EC82FA3883CB7B1FFB_13</vt:lpwstr>
  </property>
</Properties>
</file>